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4.xml" ContentType="application/vnd.openxmlformats-officedocument.wordprocessingml.footer+xml"/>
  <Override PartName="/word/header18.xml" ContentType="application/vnd.openxmlformats-officedocument.wordprocessingml.header+xml"/>
  <Override PartName="/word/footer5.xml" ContentType="application/vnd.openxmlformats-officedocument.wordprocessingml.footer+xml"/>
  <Override PartName="/word/header19.xml" ContentType="application/vnd.openxmlformats-officedocument.wordprocessingml.header+xml"/>
  <Override PartName="/word/footer6.xml" ContentType="application/vnd.openxmlformats-officedocument.wordprocessingml.footer+xml"/>
  <Override PartName="/word/header20.xml" ContentType="application/vnd.openxmlformats-officedocument.wordprocessingml.header+xml"/>
  <Override PartName="/word/footer7.xml" ContentType="application/vnd.openxmlformats-officedocument.wordprocessingml.footer+xml"/>
  <Override PartName="/word/header21.xml" ContentType="application/vnd.openxmlformats-officedocument.wordprocessingml.head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footer10.xml" ContentType="application/vnd.openxmlformats-officedocument.wordprocessingml.footer+xml"/>
  <Override PartName="/word/header24.xml" ContentType="application/vnd.openxmlformats-officedocument.wordprocessingml.header+xml"/>
  <Override PartName="/word/footer11.xml" ContentType="application/vnd.openxmlformats-officedocument.wordprocessingml.footer+xml"/>
  <Override PartName="/word/header25.xml" ContentType="application/vnd.openxmlformats-officedocument.wordprocessingml.header+xml"/>
  <Override PartName="/word/footer12.xml" ContentType="application/vnd.openxmlformats-officedocument.wordprocessingml.foot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6.xml" ContentType="application/vnd.openxmlformats-officedocument.wordprocessingml.footer+xml"/>
  <Override PartName="/word/header33.xml" ContentType="application/vnd.openxmlformats-officedocument.wordprocessingml.header+xml"/>
  <Override PartName="/word/footer17.xml" ContentType="application/vnd.openxmlformats-officedocument.wordprocessingml.footer+xml"/>
  <Override PartName="/word/header34.xml" ContentType="application/vnd.openxmlformats-officedocument.wordprocessingml.header+xml"/>
  <Override PartName="/word/footer1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19.xml" ContentType="application/vnd.openxmlformats-officedocument.wordprocessingml.footer+xml"/>
  <Override PartName="/word/header37.xml" ContentType="application/vnd.openxmlformats-officedocument.wordprocessingml.header+xml"/>
  <Override PartName="/word/footer20.xml" ContentType="application/vnd.openxmlformats-officedocument.wordprocessingml.footer+xml"/>
  <Override PartName="/word/header38.xml" ContentType="application/vnd.openxmlformats-officedocument.wordprocessingml.header+xml"/>
  <Override PartName="/word/footer21.xml" ContentType="application/vnd.openxmlformats-officedocument.wordprocessingml.footer+xml"/>
  <Override PartName="/word/header39.xml" ContentType="application/vnd.openxmlformats-officedocument.wordprocessingml.header+xml"/>
  <Override PartName="/word/footer22.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23.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footer24.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25.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footer26.xml" ContentType="application/vnd.openxmlformats-officedocument.wordprocessingml.footer+xml"/>
  <Override PartName="/word/header63.xml" ContentType="application/vnd.openxmlformats-officedocument.wordprocessingml.header+xml"/>
  <Override PartName="/word/footer27.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28.xml" ContentType="application/vnd.openxmlformats-officedocument.wordprocessingml.footer+xml"/>
  <Override PartName="/word/header66.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8"/>
          <w:szCs w:val="18"/>
        </w:rPr>
      </w:pPr>
    </w:p>
    <w:p>
      <w:pPr>
        <w:spacing w:line="674" w:lineRule="exact" w:before="8"/>
        <w:ind w:left="2322" w:right="2324" w:firstLine="2"/>
        <w:jc w:val="center"/>
        <w:rPr>
          <w:rFonts w:ascii="黑体" w:hAnsi="黑体" w:cs="黑体" w:eastAsia="黑体" w:hint="default"/>
          <w:sz w:val="52"/>
          <w:szCs w:val="52"/>
        </w:rPr>
      </w:pPr>
      <w:r>
        <w:rPr>
          <w:rFonts w:ascii="黑体" w:hAnsi="黑体" w:cs="黑体" w:eastAsia="黑体" w:hint="default"/>
          <w:b/>
          <w:bCs/>
          <w:color w:val="FF0000"/>
          <w:sz w:val="52"/>
          <w:szCs w:val="52"/>
        </w:rPr>
        <w:t>同方股份有限公司</w:t>
      </w:r>
      <w:r>
        <w:rPr>
          <w:rFonts w:ascii="黑体" w:hAnsi="黑体" w:cs="黑体" w:eastAsia="黑体" w:hint="default"/>
          <w:b/>
          <w:bCs/>
          <w:color w:val="FF0000"/>
          <w:w w:val="99"/>
          <w:sz w:val="52"/>
          <w:szCs w:val="52"/>
        </w:rPr>
        <w:t> </w:t>
      </w:r>
      <w:r>
        <w:rPr>
          <w:rFonts w:ascii="黑体" w:hAnsi="黑体" w:cs="黑体" w:eastAsia="黑体" w:hint="default"/>
          <w:b/>
          <w:bCs/>
          <w:color w:val="FF0000"/>
          <w:sz w:val="52"/>
          <w:szCs w:val="52"/>
        </w:rPr>
        <w:t>二零一五年年度报告</w:t>
      </w:r>
      <w:r>
        <w:rPr>
          <w:rFonts w:ascii="黑体" w:hAnsi="黑体" w:cs="黑体" w:eastAsia="黑体" w:hint="default"/>
          <w:sz w:val="52"/>
          <w:szCs w:val="52"/>
        </w:rPr>
      </w: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before="414"/>
        <w:ind w:left="477" w:right="477" w:firstLine="0"/>
        <w:jc w:val="center"/>
        <w:rPr>
          <w:rFonts w:ascii="黑体" w:hAnsi="黑体" w:cs="黑体" w:eastAsia="黑体" w:hint="default"/>
          <w:sz w:val="36"/>
          <w:szCs w:val="36"/>
        </w:rPr>
      </w:pPr>
      <w:r>
        <w:rPr>
          <w:rFonts w:ascii="黑体" w:hAnsi="黑体" w:cs="黑体" w:eastAsia="黑体" w:hint="default"/>
          <w:b/>
          <w:bCs/>
          <w:color w:val="FF0000"/>
          <w:sz w:val="36"/>
          <w:szCs w:val="36"/>
        </w:rPr>
        <w:t>同方股份有限公司</w:t>
      </w:r>
      <w:r>
        <w:rPr>
          <w:rFonts w:ascii="黑体" w:hAnsi="黑体" w:cs="黑体" w:eastAsia="黑体" w:hint="default"/>
          <w:sz w:val="36"/>
          <w:szCs w:val="36"/>
        </w:rPr>
      </w:r>
    </w:p>
    <w:p>
      <w:pPr>
        <w:pStyle w:val="Heading2"/>
        <w:spacing w:line="240" w:lineRule="auto" w:before="8"/>
        <w:ind w:left="479" w:right="477"/>
        <w:jc w:val="center"/>
      </w:pPr>
      <w:r>
        <w:rPr>
          <w:color w:val="FF0000"/>
        </w:rPr>
        <w:t>印制时间：</w:t>
      </w:r>
      <w:r>
        <w:rPr>
          <w:rFonts w:ascii="黑体" w:hAnsi="黑体" w:cs="黑体" w:eastAsia="黑体" w:hint="default"/>
          <w:color w:val="FF0000"/>
        </w:rPr>
        <w:t>2016</w:t>
      </w:r>
      <w:r>
        <w:rPr>
          <w:rFonts w:ascii="黑体" w:hAnsi="黑体" w:cs="黑体" w:eastAsia="黑体" w:hint="default"/>
          <w:color w:val="FF0000"/>
          <w:spacing w:val="-70"/>
        </w:rPr>
        <w:t> </w:t>
      </w:r>
      <w:r>
        <w:rPr>
          <w:color w:val="FF0000"/>
        </w:rPr>
        <w:t>年</w:t>
      </w:r>
      <w:r>
        <w:rPr>
          <w:color w:val="FF0000"/>
          <w:spacing w:val="-73"/>
        </w:rPr>
        <w:t> </w:t>
      </w:r>
      <w:r>
        <w:rPr>
          <w:rFonts w:ascii="黑体" w:hAnsi="黑体" w:cs="黑体" w:eastAsia="黑体" w:hint="default"/>
          <w:color w:val="FF0000"/>
        </w:rPr>
        <w:t>4</w:t>
      </w:r>
      <w:r>
        <w:rPr>
          <w:rFonts w:ascii="黑体" w:hAnsi="黑体" w:cs="黑体" w:eastAsia="黑体" w:hint="default"/>
          <w:color w:val="FF0000"/>
          <w:spacing w:val="-70"/>
        </w:rPr>
        <w:t> </w:t>
      </w:r>
      <w:r>
        <w:rPr>
          <w:color w:val="FF0000"/>
        </w:rPr>
        <w:t>月</w:t>
      </w:r>
      <w:r>
        <w:rPr>
          <w:color w:val="FF0000"/>
          <w:spacing w:val="-71"/>
        </w:rPr>
        <w:t> </w:t>
      </w:r>
      <w:r>
        <w:rPr>
          <w:rFonts w:ascii="黑体" w:hAnsi="黑体" w:cs="黑体" w:eastAsia="黑体" w:hint="default"/>
          <w:color w:val="FF0000"/>
        </w:rPr>
        <w:t>20</w:t>
      </w:r>
      <w:r>
        <w:rPr>
          <w:rFonts w:ascii="黑体" w:hAnsi="黑体" w:cs="黑体" w:eastAsia="黑体" w:hint="default"/>
          <w:color w:val="FF0000"/>
          <w:spacing w:val="-70"/>
        </w:rPr>
        <w:t> </w:t>
      </w:r>
      <w:r>
        <w:rPr>
          <w:color w:val="FF0000"/>
        </w:rPr>
        <w:t>日</w:t>
      </w:r>
      <w:r>
        <w:rPr/>
      </w:r>
    </w:p>
    <w:p>
      <w:pPr>
        <w:spacing w:after="0" w:line="240" w:lineRule="auto"/>
        <w:jc w:val="center"/>
        <w:sectPr>
          <w:headerReference w:type="default" r:id="rId5"/>
          <w:type w:val="continuous"/>
          <w:pgSz w:w="11910" w:h="16840"/>
          <w:pgMar w:header="618" w:top="1020" w:bottom="280" w:left="1280" w:right="12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7"/>
          <w:szCs w:val="27"/>
        </w:rPr>
      </w:pPr>
    </w:p>
    <w:p>
      <w:pPr>
        <w:spacing w:line="674" w:lineRule="exact" w:before="8"/>
        <w:ind w:left="2332" w:right="2323" w:firstLine="259"/>
        <w:jc w:val="left"/>
        <w:rPr>
          <w:rFonts w:ascii="黑体" w:hAnsi="黑体" w:cs="黑体" w:eastAsia="黑体" w:hint="default"/>
          <w:sz w:val="52"/>
          <w:szCs w:val="52"/>
        </w:rPr>
      </w:pPr>
      <w:r>
        <w:rPr>
          <w:rFonts w:ascii="黑体" w:hAnsi="黑体" w:cs="黑体" w:eastAsia="黑体" w:hint="default"/>
          <w:sz w:val="52"/>
          <w:szCs w:val="52"/>
        </w:rPr>
        <w:t>同方股份有限公司</w:t>
      </w:r>
      <w:r>
        <w:rPr>
          <w:rFonts w:ascii="黑体" w:hAnsi="黑体" w:cs="黑体" w:eastAsia="黑体" w:hint="default"/>
          <w:w w:val="100"/>
          <w:sz w:val="52"/>
          <w:szCs w:val="52"/>
        </w:rPr>
        <w:t> </w:t>
      </w:r>
      <w:r>
        <w:rPr>
          <w:rFonts w:ascii="黑体" w:hAnsi="黑体" w:cs="黑体" w:eastAsia="黑体" w:hint="default"/>
          <w:spacing w:val="-1"/>
          <w:sz w:val="52"/>
          <w:szCs w:val="52"/>
        </w:rPr>
        <w:t>二零一五年年度报告</w:t>
      </w:r>
    </w:p>
    <w:p>
      <w:pPr>
        <w:spacing w:line="240" w:lineRule="auto" w:before="0"/>
        <w:rPr>
          <w:rFonts w:ascii="黑体" w:hAnsi="黑体" w:cs="黑体" w:eastAsia="黑体" w:hint="default"/>
          <w:sz w:val="52"/>
          <w:szCs w:val="52"/>
        </w:rPr>
      </w:pPr>
    </w:p>
    <w:p>
      <w:pPr>
        <w:spacing w:line="240" w:lineRule="auto" w:before="0"/>
        <w:rPr>
          <w:rFonts w:ascii="黑体" w:hAnsi="黑体" w:cs="黑体" w:eastAsia="黑体" w:hint="default"/>
          <w:sz w:val="52"/>
          <w:szCs w:val="52"/>
        </w:rPr>
      </w:pPr>
    </w:p>
    <w:p>
      <w:pPr>
        <w:spacing w:line="240" w:lineRule="auto" w:before="0"/>
        <w:rPr>
          <w:rFonts w:ascii="黑体" w:hAnsi="黑体" w:cs="黑体" w:eastAsia="黑体" w:hint="default"/>
          <w:sz w:val="52"/>
          <w:szCs w:val="52"/>
        </w:rPr>
      </w:pPr>
    </w:p>
    <w:p>
      <w:pPr>
        <w:spacing w:line="240" w:lineRule="auto" w:before="0"/>
        <w:rPr>
          <w:rFonts w:ascii="黑体" w:hAnsi="黑体" w:cs="黑体" w:eastAsia="黑体" w:hint="default"/>
          <w:sz w:val="52"/>
          <w:szCs w:val="52"/>
        </w:rPr>
      </w:pPr>
    </w:p>
    <w:p>
      <w:pPr>
        <w:spacing w:line="240" w:lineRule="auto" w:before="0"/>
        <w:rPr>
          <w:rFonts w:ascii="黑体" w:hAnsi="黑体" w:cs="黑体" w:eastAsia="黑体" w:hint="default"/>
          <w:sz w:val="52"/>
          <w:szCs w:val="52"/>
        </w:rPr>
      </w:pPr>
    </w:p>
    <w:p>
      <w:pPr>
        <w:spacing w:line="240" w:lineRule="auto" w:before="0"/>
        <w:rPr>
          <w:rFonts w:ascii="黑体" w:hAnsi="黑体" w:cs="黑体" w:eastAsia="黑体" w:hint="default"/>
          <w:sz w:val="52"/>
          <w:szCs w:val="52"/>
        </w:rPr>
      </w:pPr>
    </w:p>
    <w:p>
      <w:pPr>
        <w:spacing w:line="240" w:lineRule="auto" w:before="0"/>
        <w:rPr>
          <w:rFonts w:ascii="黑体" w:hAnsi="黑体" w:cs="黑体" w:eastAsia="黑体" w:hint="default"/>
          <w:sz w:val="52"/>
          <w:szCs w:val="52"/>
        </w:rPr>
      </w:pPr>
    </w:p>
    <w:p>
      <w:pPr>
        <w:spacing w:line="240" w:lineRule="auto" w:before="0"/>
        <w:rPr>
          <w:rFonts w:ascii="黑体" w:hAnsi="黑体" w:cs="黑体" w:eastAsia="黑体" w:hint="default"/>
          <w:sz w:val="52"/>
          <w:szCs w:val="52"/>
        </w:rPr>
      </w:pPr>
    </w:p>
    <w:p>
      <w:pPr>
        <w:spacing w:line="240" w:lineRule="auto" w:before="0"/>
        <w:rPr>
          <w:rFonts w:ascii="黑体" w:hAnsi="黑体" w:cs="黑体" w:eastAsia="黑体" w:hint="default"/>
          <w:sz w:val="52"/>
          <w:szCs w:val="52"/>
        </w:rPr>
      </w:pPr>
    </w:p>
    <w:p>
      <w:pPr>
        <w:spacing w:before="373"/>
        <w:ind w:left="5949" w:right="477" w:firstLine="0"/>
        <w:jc w:val="center"/>
        <w:rPr>
          <w:rFonts w:ascii="黑体" w:hAnsi="黑体" w:cs="黑体" w:eastAsia="黑体" w:hint="default"/>
          <w:sz w:val="36"/>
          <w:szCs w:val="36"/>
        </w:rPr>
      </w:pPr>
      <w:r>
        <w:rPr>
          <w:rFonts w:ascii="黑体" w:hAnsi="黑体" w:cs="黑体" w:eastAsia="黑体" w:hint="default"/>
          <w:sz w:val="36"/>
          <w:szCs w:val="36"/>
        </w:rPr>
        <w:t>同方股份有限公司</w:t>
      </w:r>
    </w:p>
    <w:p>
      <w:pPr>
        <w:spacing w:line="240" w:lineRule="auto" w:before="11"/>
        <w:rPr>
          <w:rFonts w:ascii="黑体" w:hAnsi="黑体" w:cs="黑体" w:eastAsia="黑体" w:hint="default"/>
          <w:sz w:val="39"/>
          <w:szCs w:val="39"/>
        </w:rPr>
      </w:pPr>
    </w:p>
    <w:p>
      <w:pPr>
        <w:spacing w:line="338" w:lineRule="auto" w:before="0"/>
        <w:ind w:left="6010" w:right="136" w:firstLine="86"/>
        <w:jc w:val="center"/>
        <w:rPr>
          <w:rFonts w:ascii="黑体" w:hAnsi="黑体" w:cs="黑体" w:eastAsia="黑体" w:hint="default"/>
          <w:sz w:val="32"/>
          <w:szCs w:val="32"/>
        </w:rPr>
      </w:pPr>
      <w:r>
        <w:rPr>
          <w:rFonts w:ascii="黑体" w:hAnsi="黑体" w:cs="黑体" w:eastAsia="黑体" w:hint="default"/>
          <w:w w:val="95"/>
          <w:sz w:val="32"/>
          <w:szCs w:val="32"/>
        </w:rPr>
        <w:t>董事长：</w:t>
      </w:r>
      <w:r>
        <w:rPr>
          <w:rFonts w:ascii="黑体" w:hAnsi="黑体" w:cs="黑体" w:eastAsia="黑体" w:hint="default"/>
          <w:spacing w:val="-62"/>
          <w:w w:val="95"/>
          <w:sz w:val="32"/>
          <w:szCs w:val="32"/>
        </w:rPr>
        <w:t> </w:t>
      </w:r>
      <w:r>
        <w:rPr>
          <w:rFonts w:ascii="黑体" w:hAnsi="黑体" w:cs="黑体" w:eastAsia="黑体" w:hint="default"/>
          <w:spacing w:val="-130"/>
          <w:sz w:val="32"/>
          <w:szCs w:val="32"/>
        </w:rPr>
        <w:drawing>
          <wp:inline distT="0" distB="0" distL="0" distR="0">
            <wp:extent cx="1145692" cy="612267"/>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6" cstate="print"/>
                    <a:stretch>
                      <a:fillRect/>
                    </a:stretch>
                  </pic:blipFill>
                  <pic:spPr>
                    <a:xfrm>
                      <a:off x="0" y="0"/>
                      <a:ext cx="1145692" cy="612267"/>
                    </a:xfrm>
                    <a:prstGeom prst="rect">
                      <a:avLst/>
                    </a:prstGeom>
                  </pic:spPr>
                </pic:pic>
              </a:graphicData>
            </a:graphic>
          </wp:inline>
        </w:drawing>
      </w:r>
      <w:r>
        <w:rPr>
          <w:rFonts w:ascii="黑体" w:hAnsi="黑体" w:cs="黑体" w:eastAsia="黑体" w:hint="default"/>
          <w:spacing w:val="-130"/>
          <w:sz w:val="32"/>
          <w:szCs w:val="32"/>
        </w:rPr>
      </w:r>
      <w:r>
        <w:rPr>
          <w:rFonts w:ascii="Times New Roman" w:hAnsi="Times New Roman" w:cs="Times New Roman" w:eastAsia="Times New Roman" w:hint="default"/>
          <w:spacing w:val="-130"/>
          <w:sz w:val="32"/>
          <w:szCs w:val="32"/>
        </w:rPr>
        <w:t> </w:t>
      </w:r>
      <w:r>
        <w:rPr>
          <w:rFonts w:ascii="黑体" w:hAnsi="黑体" w:cs="黑体" w:eastAsia="黑体" w:hint="default"/>
          <w:w w:val="95"/>
          <w:sz w:val="32"/>
          <w:szCs w:val="32"/>
        </w:rPr>
        <w:t>二零一六年四月二十日</w:t>
      </w:r>
      <w:r>
        <w:rPr>
          <w:rFonts w:ascii="黑体" w:hAnsi="黑体" w:cs="黑体" w:eastAsia="黑体" w:hint="default"/>
          <w:sz w:val="32"/>
          <w:szCs w:val="32"/>
        </w:rPr>
      </w:r>
    </w:p>
    <w:p>
      <w:pPr>
        <w:spacing w:after="0" w:line="338" w:lineRule="auto"/>
        <w:jc w:val="center"/>
        <w:rPr>
          <w:rFonts w:ascii="黑体" w:hAnsi="黑体" w:cs="黑体" w:eastAsia="黑体" w:hint="default"/>
          <w:sz w:val="32"/>
          <w:szCs w:val="32"/>
        </w:rPr>
        <w:sectPr>
          <w:pgSz w:w="11910" w:h="16840"/>
          <w:pgMar w:header="618" w:footer="0" w:top="1080" w:bottom="280" w:left="1280" w:right="12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539" w:lineRule="exact" w:before="0"/>
        <w:ind w:left="735" w:right="477" w:firstLine="0"/>
        <w:jc w:val="center"/>
        <w:rPr>
          <w:rFonts w:ascii="黑体" w:hAnsi="黑体" w:cs="黑体" w:eastAsia="黑体" w:hint="default"/>
          <w:sz w:val="44"/>
          <w:szCs w:val="44"/>
        </w:rPr>
      </w:pPr>
      <w:r>
        <w:rPr>
          <w:rFonts w:ascii="黑体" w:hAnsi="黑体" w:cs="黑体" w:eastAsia="黑体" w:hint="default"/>
          <w:b/>
          <w:bCs/>
          <w:sz w:val="44"/>
          <w:szCs w:val="44"/>
        </w:rPr>
        <w:t>目录</w:t>
      </w:r>
      <w:r>
        <w:rPr>
          <w:rFonts w:ascii="黑体" w:hAnsi="黑体" w:cs="黑体" w:eastAsia="黑体" w:hint="default"/>
          <w:sz w:val="44"/>
          <w:szCs w:val="44"/>
        </w:rPr>
      </w:r>
    </w:p>
    <w:sdt>
      <w:sdtPr>
        <w:docPartObj>
          <w:docPartGallery w:val="Table of Contents"/>
          <w:docPartUnique/>
        </w:docPartObj>
      </w:sdtPr>
      <w:sdtEndPr/>
      <w:sdtContent>
        <w:p>
          <w:pPr>
            <w:pStyle w:val="TOC1"/>
            <w:tabs>
              <w:tab w:pos="9200" w:val="right" w:leader="dot"/>
            </w:tabs>
            <w:spacing w:line="240" w:lineRule="auto" w:before="447"/>
            <w:ind w:right="0"/>
            <w:jc w:val="left"/>
            <w:rPr>
              <w:rFonts w:ascii="黑体" w:hAnsi="黑体" w:cs="黑体" w:eastAsia="黑体" w:hint="default"/>
            </w:rPr>
          </w:pPr>
          <w:r>
            <w:rPr/>
            <w:t>目录</w:t>
          </w:r>
          <w:r>
            <w:rPr>
              <w:rFonts w:ascii="黑体" w:hAnsi="黑体" w:cs="黑体" w:eastAsia="黑体" w:hint="default"/>
            </w:rPr>
            <w:tab/>
            <w:t>1</w:t>
          </w:r>
        </w:p>
        <w:p>
          <w:pPr>
            <w:pStyle w:val="TOC1"/>
            <w:tabs>
              <w:tab w:pos="9200" w:val="right" w:leader="dot"/>
            </w:tabs>
            <w:spacing w:line="240" w:lineRule="auto"/>
            <w:ind w:right="0"/>
            <w:jc w:val="left"/>
            <w:rPr>
              <w:rFonts w:ascii="黑体" w:hAnsi="黑体" w:cs="黑体" w:eastAsia="黑体" w:hint="default"/>
            </w:rPr>
          </w:pPr>
          <w:r>
            <w:rPr/>
            <w:t>重要提示</w:t>
          </w:r>
          <w:r>
            <w:rPr>
              <w:rFonts w:ascii="黑体" w:hAnsi="黑体" w:cs="黑体" w:eastAsia="黑体" w:hint="default"/>
            </w:rPr>
            <w:tab/>
            <w:t>2</w:t>
          </w:r>
        </w:p>
        <w:p>
          <w:pPr>
            <w:pStyle w:val="TOC1"/>
            <w:tabs>
              <w:tab w:pos="1098" w:val="left" w:leader="none"/>
              <w:tab w:pos="9200" w:val="right" w:leader="dot"/>
            </w:tabs>
            <w:spacing w:line="240" w:lineRule="auto"/>
            <w:ind w:right="0"/>
            <w:jc w:val="left"/>
            <w:rPr>
              <w:rFonts w:ascii="黑体" w:hAnsi="黑体" w:cs="黑体" w:eastAsia="黑体" w:hint="default"/>
            </w:rPr>
          </w:pPr>
          <w:hyperlink w:history="true" w:anchor="_TOC_250010">
            <w:r>
              <w:rPr/>
              <w:t>第一章</w:t>
              <w:tab/>
              <w:t>释义</w:t>
            </w:r>
            <w:r>
              <w:rPr>
                <w:rFonts w:ascii="黑体" w:hAnsi="黑体" w:cs="黑体" w:eastAsia="黑体" w:hint="default"/>
              </w:rPr>
              <w:tab/>
              <w:t>4</w:t>
            </w:r>
          </w:hyperlink>
        </w:p>
        <w:p>
          <w:pPr>
            <w:pStyle w:val="TOC1"/>
            <w:tabs>
              <w:tab w:pos="1098" w:val="left" w:leader="none"/>
              <w:tab w:pos="9200" w:val="right" w:leader="dot"/>
            </w:tabs>
            <w:spacing w:line="240" w:lineRule="auto"/>
            <w:ind w:right="0"/>
            <w:jc w:val="left"/>
            <w:rPr>
              <w:rFonts w:ascii="黑体" w:hAnsi="黑体" w:cs="黑体" w:eastAsia="黑体" w:hint="default"/>
            </w:rPr>
          </w:pPr>
          <w:hyperlink w:history="true" w:anchor="_TOC_250009">
            <w:r>
              <w:rPr/>
              <w:t>第二章</w:t>
              <w:tab/>
              <w:t>公司简介和主要财务指标</w:t>
            </w:r>
            <w:r>
              <w:rPr>
                <w:rFonts w:ascii="黑体" w:hAnsi="黑体" w:cs="黑体" w:eastAsia="黑体" w:hint="default"/>
              </w:rPr>
              <w:tab/>
              <w:t>6</w:t>
            </w:r>
          </w:hyperlink>
        </w:p>
        <w:p>
          <w:pPr>
            <w:pStyle w:val="TOC1"/>
            <w:tabs>
              <w:tab w:pos="1098" w:val="left" w:leader="none"/>
              <w:tab w:pos="9200" w:val="right" w:leader="dot"/>
            </w:tabs>
            <w:spacing w:line="240" w:lineRule="auto"/>
            <w:ind w:right="0"/>
            <w:jc w:val="left"/>
            <w:rPr>
              <w:rFonts w:ascii="黑体" w:hAnsi="黑体" w:cs="黑体" w:eastAsia="黑体" w:hint="default"/>
            </w:rPr>
          </w:pPr>
          <w:hyperlink w:history="true" w:anchor="_TOC_250008">
            <w:r>
              <w:rPr/>
              <w:t>第三章</w:t>
              <w:tab/>
              <w:t>董事会报告</w:t>
            </w:r>
            <w:r>
              <w:rPr>
                <w:rFonts w:ascii="黑体" w:hAnsi="黑体" w:cs="黑体" w:eastAsia="黑体" w:hint="default"/>
              </w:rPr>
              <w:tab/>
              <w:t>9</w:t>
            </w:r>
          </w:hyperlink>
        </w:p>
        <w:p>
          <w:pPr>
            <w:pStyle w:val="TOC1"/>
            <w:tabs>
              <w:tab w:pos="1098" w:val="left" w:leader="none"/>
              <w:tab w:pos="9200" w:val="right" w:leader="dot"/>
            </w:tabs>
            <w:spacing w:line="240" w:lineRule="auto"/>
            <w:ind w:right="0"/>
            <w:jc w:val="left"/>
            <w:rPr>
              <w:rFonts w:ascii="黑体" w:hAnsi="黑体" w:cs="黑体" w:eastAsia="黑体" w:hint="default"/>
            </w:rPr>
          </w:pPr>
          <w:hyperlink w:history="true" w:anchor="_TOC_250007">
            <w:r>
              <w:rPr/>
              <w:t>第四章</w:t>
              <w:tab/>
              <w:t>管理层讨论与分析</w:t>
            </w:r>
            <w:r>
              <w:rPr>
                <w:rFonts w:ascii="黑体" w:hAnsi="黑体" w:cs="黑体" w:eastAsia="黑体" w:hint="default"/>
              </w:rPr>
              <w:tab/>
              <w:t>13</w:t>
            </w:r>
          </w:hyperlink>
        </w:p>
        <w:p>
          <w:pPr>
            <w:pStyle w:val="TOC1"/>
            <w:tabs>
              <w:tab w:pos="9200" w:val="right" w:leader="dot"/>
            </w:tabs>
            <w:spacing w:line="240" w:lineRule="auto"/>
            <w:ind w:right="0"/>
            <w:jc w:val="left"/>
            <w:rPr>
              <w:rFonts w:ascii="黑体" w:hAnsi="黑体" w:cs="黑体" w:eastAsia="黑体" w:hint="default"/>
            </w:rPr>
          </w:pPr>
          <w:r>
            <w:rPr/>
            <w:t>第五章</w:t>
          </w:r>
          <w:r>
            <w:rPr>
              <w:spacing w:val="-1"/>
            </w:rPr>
            <w:t> </w:t>
          </w:r>
          <w:r>
            <w:rPr/>
            <w:t>重要事项</w:t>
          </w:r>
          <w:r>
            <w:rPr>
              <w:rFonts w:ascii="黑体" w:hAnsi="黑体" w:cs="黑体" w:eastAsia="黑体" w:hint="default"/>
            </w:rPr>
            <w:tab/>
            <w:t>42</w:t>
          </w:r>
        </w:p>
        <w:p>
          <w:pPr>
            <w:pStyle w:val="TOC1"/>
            <w:tabs>
              <w:tab w:pos="9200" w:val="right" w:leader="dot"/>
            </w:tabs>
            <w:spacing w:line="240" w:lineRule="auto"/>
            <w:ind w:right="0"/>
            <w:jc w:val="left"/>
            <w:rPr>
              <w:rFonts w:ascii="黑体" w:hAnsi="黑体" w:cs="黑体" w:eastAsia="黑体" w:hint="default"/>
            </w:rPr>
          </w:pPr>
          <w:hyperlink w:history="true" w:anchor="_TOC_250006">
            <w:r>
              <w:rPr/>
              <w:t>第六章</w:t>
            </w:r>
            <w:r>
              <w:rPr>
                <w:spacing w:val="-1"/>
              </w:rPr>
              <w:t> </w:t>
            </w:r>
            <w:r>
              <w:rPr/>
              <w:t>股份变动及股东情况</w:t>
            </w:r>
            <w:r>
              <w:rPr>
                <w:rFonts w:ascii="黑体" w:hAnsi="黑体" w:cs="黑体" w:eastAsia="黑体" w:hint="default"/>
              </w:rPr>
              <w:tab/>
              <w:t>52</w:t>
            </w:r>
          </w:hyperlink>
        </w:p>
        <w:p>
          <w:pPr>
            <w:pStyle w:val="TOC1"/>
            <w:tabs>
              <w:tab w:pos="1098" w:val="left" w:leader="none"/>
              <w:tab w:pos="9200" w:val="right" w:leader="dot"/>
            </w:tabs>
            <w:spacing w:line="240" w:lineRule="auto"/>
            <w:ind w:right="0"/>
            <w:jc w:val="left"/>
            <w:rPr>
              <w:rFonts w:ascii="黑体" w:hAnsi="黑体" w:cs="黑体" w:eastAsia="黑体" w:hint="default"/>
            </w:rPr>
          </w:pPr>
          <w:hyperlink w:history="true" w:anchor="_TOC_250005">
            <w:r>
              <w:rPr/>
              <w:t>第七章</w:t>
              <w:tab/>
              <w:t>优先股相关情况</w:t>
            </w:r>
            <w:r>
              <w:rPr>
                <w:rFonts w:ascii="黑体" w:hAnsi="黑体" w:cs="黑体" w:eastAsia="黑体" w:hint="default"/>
              </w:rPr>
              <w:tab/>
              <w:t>58</w:t>
            </w:r>
          </w:hyperlink>
        </w:p>
        <w:p>
          <w:pPr>
            <w:pStyle w:val="TOC1"/>
            <w:tabs>
              <w:tab w:pos="9200" w:val="right" w:leader="dot"/>
            </w:tabs>
            <w:spacing w:line="240" w:lineRule="auto"/>
            <w:ind w:right="0"/>
            <w:jc w:val="left"/>
            <w:rPr>
              <w:rFonts w:ascii="黑体" w:hAnsi="黑体" w:cs="黑体" w:eastAsia="黑体" w:hint="default"/>
            </w:rPr>
          </w:pPr>
          <w:hyperlink w:history="true" w:anchor="_TOC_250004">
            <w:r>
              <w:rPr/>
              <w:t>第八章</w:t>
            </w:r>
            <w:r>
              <w:rPr>
                <w:spacing w:val="-1"/>
              </w:rPr>
              <w:t> </w:t>
            </w:r>
            <w:r>
              <w:rPr/>
              <w:t>董事、监事、高级管理人员和员工情况</w:t>
            </w:r>
            <w:r>
              <w:rPr>
                <w:rFonts w:ascii="黑体" w:hAnsi="黑体" w:cs="黑体" w:eastAsia="黑体" w:hint="default"/>
              </w:rPr>
              <w:tab/>
              <w:t>59</w:t>
            </w:r>
          </w:hyperlink>
        </w:p>
        <w:p>
          <w:pPr>
            <w:pStyle w:val="TOC1"/>
            <w:tabs>
              <w:tab w:pos="9200" w:val="right" w:leader="dot"/>
            </w:tabs>
            <w:spacing w:line="240" w:lineRule="auto"/>
            <w:ind w:right="0"/>
            <w:jc w:val="left"/>
            <w:rPr>
              <w:rFonts w:ascii="黑体" w:hAnsi="黑体" w:cs="黑体" w:eastAsia="黑体" w:hint="default"/>
            </w:rPr>
          </w:pPr>
          <w:hyperlink w:history="true" w:anchor="_TOC_250003">
            <w:r>
              <w:rPr/>
              <w:t>第九章</w:t>
            </w:r>
            <w:r>
              <w:rPr>
                <w:spacing w:val="-1"/>
              </w:rPr>
              <w:t> </w:t>
            </w:r>
            <w:r>
              <w:rPr/>
              <w:t>公司治理</w:t>
            </w:r>
            <w:r>
              <w:rPr>
                <w:rFonts w:ascii="黑体" w:hAnsi="黑体" w:cs="黑体" w:eastAsia="黑体" w:hint="default"/>
              </w:rPr>
              <w:tab/>
              <w:t>66</w:t>
            </w:r>
          </w:hyperlink>
        </w:p>
        <w:p>
          <w:pPr>
            <w:pStyle w:val="TOC1"/>
            <w:tabs>
              <w:tab w:pos="1098" w:val="left" w:leader="none"/>
              <w:tab w:pos="9200" w:val="right" w:leader="dot"/>
            </w:tabs>
            <w:spacing w:line="240" w:lineRule="auto"/>
            <w:ind w:right="0"/>
            <w:jc w:val="left"/>
            <w:rPr>
              <w:rFonts w:ascii="黑体" w:hAnsi="黑体" w:cs="黑体" w:eastAsia="黑体" w:hint="default"/>
            </w:rPr>
          </w:pPr>
          <w:hyperlink w:history="true" w:anchor="_TOC_250002">
            <w:r>
              <w:rPr/>
              <w:t>第十章</w:t>
              <w:tab/>
              <w:t>公司债券相关情况</w:t>
            </w:r>
            <w:r>
              <w:rPr>
                <w:rFonts w:ascii="黑体" w:hAnsi="黑体" w:cs="黑体" w:eastAsia="黑体" w:hint="default"/>
              </w:rPr>
              <w:tab/>
              <w:t>71</w:t>
            </w:r>
          </w:hyperlink>
        </w:p>
        <w:p>
          <w:pPr>
            <w:pStyle w:val="TOC1"/>
            <w:tabs>
              <w:tab w:pos="9200" w:val="right" w:leader="dot"/>
            </w:tabs>
            <w:spacing w:line="240" w:lineRule="auto"/>
            <w:ind w:right="0"/>
            <w:jc w:val="left"/>
            <w:rPr>
              <w:rFonts w:ascii="黑体" w:hAnsi="黑体" w:cs="黑体" w:eastAsia="黑体" w:hint="default"/>
            </w:rPr>
          </w:pPr>
          <w:hyperlink w:history="true" w:anchor="_TOC_250001">
            <w:r>
              <w:rPr/>
              <w:t>第十一章</w:t>
            </w:r>
            <w:r>
              <w:rPr>
                <w:spacing w:val="-1"/>
              </w:rPr>
              <w:t> </w:t>
            </w:r>
            <w:r>
              <w:rPr/>
              <w:t>财务报告</w:t>
            </w:r>
            <w:r>
              <w:rPr>
                <w:rFonts w:ascii="黑体" w:hAnsi="黑体" w:cs="黑体" w:eastAsia="黑体" w:hint="default"/>
              </w:rPr>
              <w:tab/>
              <w:t>72</w:t>
            </w:r>
          </w:hyperlink>
        </w:p>
        <w:p>
          <w:pPr>
            <w:pStyle w:val="TOC1"/>
            <w:tabs>
              <w:tab w:pos="9200" w:val="right" w:leader="dot"/>
            </w:tabs>
            <w:spacing w:line="240" w:lineRule="auto"/>
            <w:ind w:right="0"/>
            <w:jc w:val="left"/>
            <w:rPr>
              <w:rFonts w:ascii="黑体" w:hAnsi="黑体" w:cs="黑体" w:eastAsia="黑体" w:hint="default"/>
            </w:rPr>
          </w:pPr>
          <w:hyperlink w:history="true" w:anchor="_TOC_250000">
            <w:r>
              <w:rPr/>
              <w:t>第十一章</w:t>
            </w:r>
            <w:r>
              <w:rPr>
                <w:spacing w:val="-1"/>
              </w:rPr>
              <w:t> </w:t>
            </w:r>
            <w:r>
              <w:rPr/>
              <w:t>备查文件</w:t>
            </w:r>
            <w:r>
              <w:rPr>
                <w:rFonts w:ascii="黑体" w:hAnsi="黑体" w:cs="黑体" w:eastAsia="黑体" w:hint="default"/>
              </w:rPr>
              <w:tab/>
              <w:t>179</w:t>
            </w:r>
          </w:hyperlink>
        </w:p>
      </w:sdtContent>
    </w:sdt>
    <w:p>
      <w:pPr>
        <w:spacing w:after="0" w:line="240" w:lineRule="auto"/>
        <w:jc w:val="left"/>
        <w:rPr>
          <w:rFonts w:ascii="黑体" w:hAnsi="黑体" w:cs="黑体" w:eastAsia="黑体" w:hint="default"/>
        </w:rPr>
        <w:sectPr>
          <w:pgSz w:w="11910" w:h="16840"/>
          <w:pgMar w:header="618" w:footer="0" w:top="1080" w:bottom="280" w:left="1280" w:right="1280"/>
        </w:sectPr>
      </w:pPr>
    </w:p>
    <w:p>
      <w:pPr>
        <w:spacing w:line="240" w:lineRule="auto" w:before="0"/>
        <w:rPr>
          <w:rFonts w:ascii="黑体" w:hAnsi="黑体" w:cs="黑体" w:eastAsia="黑体" w:hint="default"/>
          <w:sz w:val="44"/>
          <w:szCs w:val="44"/>
        </w:rPr>
      </w:pPr>
    </w:p>
    <w:p>
      <w:pPr>
        <w:spacing w:before="391"/>
        <w:ind w:left="3770" w:right="3868" w:firstLine="0"/>
        <w:jc w:val="center"/>
        <w:rPr>
          <w:rFonts w:ascii="黑体" w:hAnsi="黑体" w:cs="黑体" w:eastAsia="黑体" w:hint="default"/>
          <w:sz w:val="44"/>
          <w:szCs w:val="44"/>
        </w:rPr>
      </w:pPr>
      <w:r>
        <w:rPr>
          <w:rFonts w:ascii="黑体" w:hAnsi="黑体" w:cs="黑体" w:eastAsia="黑体" w:hint="default"/>
          <w:b/>
          <w:bCs/>
          <w:sz w:val="44"/>
          <w:szCs w:val="44"/>
        </w:rPr>
        <w:t>重要提示</w:t>
      </w:r>
      <w:r>
        <w:rPr>
          <w:rFonts w:ascii="黑体" w:hAnsi="黑体" w:cs="黑体" w:eastAsia="黑体" w:hint="default"/>
          <w:sz w:val="44"/>
          <w:szCs w:val="44"/>
        </w:rPr>
      </w:r>
    </w:p>
    <w:p>
      <w:pPr>
        <w:spacing w:line="240" w:lineRule="auto" w:before="7"/>
        <w:rPr>
          <w:rFonts w:ascii="黑体" w:hAnsi="黑体" w:cs="黑体" w:eastAsia="黑体" w:hint="default"/>
          <w:b/>
          <w:bCs/>
          <w:sz w:val="36"/>
          <w:szCs w:val="36"/>
        </w:rPr>
      </w:pPr>
    </w:p>
    <w:p>
      <w:pPr>
        <w:pStyle w:val="BodyText"/>
        <w:spacing w:line="312" w:lineRule="exact"/>
        <w:ind w:left="138" w:right="224" w:firstLine="480"/>
        <w:jc w:val="left"/>
      </w:pPr>
      <w:r>
        <w:rPr>
          <w:spacing w:val="-8"/>
        </w:rPr>
        <w:t>一、本公司董事会、监事会及董事、监事、高级管理人员保证年度报告内容的真实、</w:t>
      </w:r>
      <w:r>
        <w:rPr/>
        <w:t> </w:t>
      </w:r>
      <w:r>
        <w:rPr>
          <w:spacing w:val="-8"/>
        </w:rPr>
        <w:t>准确、完整，不存在虚假记载、误导性陈述或重大遗漏，并承担个别和连带的法律责任。</w:t>
      </w:r>
    </w:p>
    <w:p>
      <w:pPr>
        <w:spacing w:line="240" w:lineRule="auto" w:before="4"/>
        <w:rPr>
          <w:rFonts w:ascii="宋体" w:hAnsi="宋体" w:cs="宋体" w:eastAsia="宋体" w:hint="default"/>
          <w:sz w:val="21"/>
          <w:szCs w:val="21"/>
        </w:rPr>
      </w:pPr>
    </w:p>
    <w:p>
      <w:pPr>
        <w:pStyle w:val="BodyText"/>
        <w:spacing w:line="475" w:lineRule="auto"/>
        <w:ind w:left="604" w:right="1142" w:firstLine="14"/>
        <w:jc w:val="left"/>
      </w:pPr>
      <w:r>
        <w:rPr/>
        <w:t>二、公司全体董事出席董事会会议。 三、信永中和会计师事务所为本公司出具了标准无保留意见的审计报告。</w:t>
      </w:r>
    </w:p>
    <w:p>
      <w:pPr>
        <w:pStyle w:val="BodyText"/>
        <w:spacing w:line="310" w:lineRule="exact" w:before="107"/>
        <w:ind w:left="138" w:right="96" w:firstLine="465"/>
        <w:jc w:val="left"/>
      </w:pPr>
      <w:r>
        <w:rPr/>
        <w:t>四、本公司负责人董事长周立业先生、主管会计工作负责人财务总监刘卫东先生、 会计机构负责人王映浒先生声明：保证年度报告中财务报告的真实、准确、完整。</w:t>
      </w:r>
    </w:p>
    <w:p>
      <w:pPr>
        <w:spacing w:line="240" w:lineRule="auto" w:before="10"/>
        <w:rPr>
          <w:rFonts w:ascii="宋体" w:hAnsi="宋体" w:cs="宋体" w:eastAsia="宋体" w:hint="default"/>
          <w:sz w:val="18"/>
          <w:szCs w:val="18"/>
        </w:rPr>
      </w:pPr>
    </w:p>
    <w:p>
      <w:pPr>
        <w:pStyle w:val="BodyText"/>
        <w:spacing w:line="240" w:lineRule="auto"/>
        <w:ind w:left="604" w:right="224"/>
        <w:jc w:val="left"/>
      </w:pPr>
      <w:r>
        <w:rPr/>
        <w:t>五、经董事会审议的报告期利润分配预案或公积金转增股本预案</w:t>
      </w:r>
    </w:p>
    <w:p>
      <w:pPr>
        <w:spacing w:line="240" w:lineRule="auto" w:before="12"/>
        <w:rPr>
          <w:rFonts w:ascii="宋体" w:hAnsi="宋体" w:cs="宋体" w:eastAsia="宋体" w:hint="default"/>
          <w:sz w:val="20"/>
          <w:szCs w:val="20"/>
        </w:rPr>
      </w:pPr>
    </w:p>
    <w:p>
      <w:pPr>
        <w:pStyle w:val="BodyText"/>
        <w:spacing w:line="313" w:lineRule="exact"/>
        <w:ind w:left="604" w:right="96"/>
        <w:jc w:val="left"/>
      </w:pPr>
      <w:r>
        <w:rPr/>
        <w:t>根据公司</w:t>
      </w:r>
      <w:r>
        <w:rPr>
          <w:spacing w:val="-61"/>
        </w:rPr>
        <w:t> </w:t>
      </w:r>
      <w:r>
        <w:rPr>
          <w:rFonts w:ascii="宋体" w:hAnsi="宋体" w:cs="宋体" w:eastAsia="宋体" w:hint="default"/>
        </w:rPr>
        <w:t>2015</w:t>
      </w:r>
      <w:r>
        <w:rPr>
          <w:rFonts w:ascii="宋体" w:hAnsi="宋体" w:cs="宋体" w:eastAsia="宋体" w:hint="default"/>
          <w:spacing w:val="-60"/>
        </w:rPr>
        <w:t> </w:t>
      </w:r>
      <w:r>
        <w:rPr>
          <w:spacing w:val="-3"/>
        </w:rPr>
        <w:t>年度财务审计报告，公司在</w:t>
      </w:r>
      <w:r>
        <w:rPr>
          <w:spacing w:val="-59"/>
        </w:rPr>
        <w:t> </w:t>
      </w:r>
      <w:r>
        <w:rPr>
          <w:rFonts w:ascii="宋体" w:hAnsi="宋体" w:cs="宋体" w:eastAsia="宋体" w:hint="default"/>
        </w:rPr>
        <w:t>2015</w:t>
      </w:r>
      <w:r>
        <w:rPr>
          <w:rFonts w:ascii="宋体" w:hAnsi="宋体" w:cs="宋体" w:eastAsia="宋体" w:hint="default"/>
          <w:spacing w:val="-60"/>
        </w:rPr>
        <w:t> </w:t>
      </w:r>
      <w:r>
        <w:rPr/>
        <w:t>年实现归属于母公司股东的净利润</w:t>
      </w:r>
    </w:p>
    <w:p>
      <w:pPr>
        <w:pStyle w:val="BodyText"/>
        <w:spacing w:line="311" w:lineRule="exact"/>
        <w:ind w:left="138" w:right="96"/>
        <w:jc w:val="left"/>
      </w:pPr>
      <w:r>
        <w:rPr>
          <w:rFonts w:ascii="宋体" w:hAnsi="宋体" w:cs="宋体" w:eastAsia="宋体" w:hint="default"/>
        </w:rPr>
        <w:t>1,261,593,370.02</w:t>
      </w:r>
      <w:r>
        <w:rPr>
          <w:rFonts w:ascii="宋体" w:hAnsi="宋体" w:cs="宋体" w:eastAsia="宋体" w:hint="default"/>
          <w:spacing w:val="-44"/>
        </w:rPr>
        <w:t> </w:t>
      </w:r>
      <w:r>
        <w:rPr/>
        <w:t>元，提取</w:t>
      </w:r>
      <w:r>
        <w:rPr>
          <w:spacing w:val="-43"/>
        </w:rPr>
        <w:t> </w:t>
      </w:r>
      <w:r>
        <w:rPr>
          <w:rFonts w:ascii="宋体" w:hAnsi="宋体" w:cs="宋体" w:eastAsia="宋体" w:hint="default"/>
        </w:rPr>
        <w:t>10%</w:t>
      </w:r>
      <w:r>
        <w:rPr/>
        <w:t>的法定公积金</w:t>
      </w:r>
      <w:r>
        <w:rPr>
          <w:spacing w:val="-44"/>
        </w:rPr>
        <w:t> </w:t>
      </w:r>
      <w:r>
        <w:rPr>
          <w:rFonts w:ascii="宋体" w:hAnsi="宋体" w:cs="宋体" w:eastAsia="宋体" w:hint="default"/>
        </w:rPr>
        <w:t>126,159,337.00</w:t>
      </w:r>
      <w:r>
        <w:rPr>
          <w:rFonts w:ascii="宋体" w:hAnsi="宋体" w:cs="宋体" w:eastAsia="宋体" w:hint="default"/>
          <w:spacing w:val="-43"/>
        </w:rPr>
        <w:t> </w:t>
      </w:r>
      <w:r>
        <w:rPr/>
        <w:t>元后，累计未分配利润</w:t>
      </w:r>
    </w:p>
    <w:p>
      <w:pPr>
        <w:pStyle w:val="BodyText"/>
        <w:spacing w:line="312" w:lineRule="exact"/>
        <w:ind w:left="138" w:right="224"/>
        <w:jc w:val="left"/>
      </w:pPr>
      <w:r>
        <w:rPr/>
        <w:t>共计 </w:t>
      </w:r>
      <w:r>
        <w:rPr>
          <w:rFonts w:ascii="宋体" w:hAnsi="宋体" w:cs="宋体" w:eastAsia="宋体" w:hint="default"/>
        </w:rPr>
        <w:t>4,410,668,665.65</w:t>
      </w:r>
      <w:r>
        <w:rPr>
          <w:rFonts w:ascii="宋体" w:hAnsi="宋体" w:cs="宋体" w:eastAsia="宋体" w:hint="default"/>
          <w:spacing w:val="-61"/>
        </w:rPr>
        <w:t> </w:t>
      </w:r>
      <w:r>
        <w:rPr/>
        <w:t>元。</w:t>
      </w:r>
    </w:p>
    <w:p>
      <w:pPr>
        <w:spacing w:line="240" w:lineRule="auto" w:before="9"/>
        <w:rPr>
          <w:rFonts w:ascii="宋体" w:hAnsi="宋体" w:cs="宋体" w:eastAsia="宋体" w:hint="default"/>
          <w:sz w:val="23"/>
          <w:szCs w:val="23"/>
        </w:rPr>
      </w:pPr>
    </w:p>
    <w:p>
      <w:pPr>
        <w:pStyle w:val="BodyText"/>
        <w:spacing w:line="312" w:lineRule="exact"/>
        <w:ind w:left="604" w:right="96"/>
        <w:jc w:val="left"/>
      </w:pPr>
      <w:r>
        <w:rPr/>
        <w:t>以公司截至</w:t>
      </w:r>
      <w:r>
        <w:rPr>
          <w:spacing w:val="-51"/>
        </w:rPr>
        <w:t> </w:t>
      </w:r>
      <w:r>
        <w:rPr>
          <w:rFonts w:ascii="宋体" w:hAnsi="宋体" w:cs="宋体" w:eastAsia="宋体" w:hint="default"/>
        </w:rPr>
        <w:t>2015</w:t>
      </w:r>
      <w:r>
        <w:rPr>
          <w:rFonts w:ascii="宋体" w:hAnsi="宋体" w:cs="宋体" w:eastAsia="宋体" w:hint="default"/>
          <w:spacing w:val="-51"/>
        </w:rPr>
        <w:t> </w:t>
      </w:r>
      <w:r>
        <w:rPr/>
        <w:t>年</w:t>
      </w:r>
      <w:r>
        <w:rPr>
          <w:spacing w:val="-50"/>
        </w:rPr>
        <w:t> </w:t>
      </w:r>
      <w:r>
        <w:rPr>
          <w:rFonts w:ascii="宋体" w:hAnsi="宋体" w:cs="宋体" w:eastAsia="宋体" w:hint="default"/>
        </w:rPr>
        <w:t>12</w:t>
      </w:r>
      <w:r>
        <w:rPr>
          <w:rFonts w:ascii="宋体" w:hAnsi="宋体" w:cs="宋体" w:eastAsia="宋体" w:hint="default"/>
          <w:spacing w:val="-48"/>
        </w:rPr>
        <w:t> </w:t>
      </w:r>
      <w:r>
        <w:rPr/>
        <w:t>月</w:t>
      </w:r>
      <w:r>
        <w:rPr>
          <w:spacing w:val="-51"/>
        </w:rPr>
        <w:t> </w:t>
      </w:r>
      <w:r>
        <w:rPr>
          <w:rFonts w:ascii="宋体" w:hAnsi="宋体" w:cs="宋体" w:eastAsia="宋体" w:hint="default"/>
        </w:rPr>
        <w:t>31</w:t>
      </w:r>
      <w:r>
        <w:rPr>
          <w:rFonts w:ascii="宋体" w:hAnsi="宋体" w:cs="宋体" w:eastAsia="宋体" w:hint="default"/>
          <w:spacing w:val="-51"/>
        </w:rPr>
        <w:t> </w:t>
      </w:r>
      <w:r>
        <w:rPr/>
        <w:t>日的总股本</w:t>
      </w:r>
      <w:r>
        <w:rPr>
          <w:spacing w:val="-51"/>
        </w:rPr>
        <w:t> </w:t>
      </w:r>
      <w:r>
        <w:rPr>
          <w:rFonts w:ascii="宋体" w:hAnsi="宋体" w:cs="宋体" w:eastAsia="宋体" w:hint="default"/>
        </w:rPr>
        <w:t>2,963,898,951</w:t>
      </w:r>
      <w:r>
        <w:rPr>
          <w:rFonts w:ascii="宋体" w:hAnsi="宋体" w:cs="宋体" w:eastAsia="宋体" w:hint="default"/>
          <w:spacing w:val="-50"/>
        </w:rPr>
        <w:t> </w:t>
      </w:r>
      <w:r>
        <w:rPr/>
        <w:t>股为基准，向全体股东以</w:t>
      </w:r>
    </w:p>
    <w:p>
      <w:pPr>
        <w:pStyle w:val="BodyText"/>
        <w:spacing w:line="311" w:lineRule="exact"/>
        <w:ind w:left="138" w:right="96"/>
        <w:jc w:val="left"/>
      </w:pPr>
      <w:r>
        <w:rPr/>
        <w:t>每 </w:t>
      </w:r>
      <w:r>
        <w:rPr>
          <w:rFonts w:ascii="宋体" w:hAnsi="宋体" w:cs="宋体" w:eastAsia="宋体" w:hint="default"/>
        </w:rPr>
        <w:t>10 </w:t>
      </w:r>
      <w:r>
        <w:rPr>
          <w:spacing w:val="4"/>
        </w:rPr>
        <w:t>股派送现金红利 </w:t>
      </w:r>
      <w:r>
        <w:rPr>
          <w:rFonts w:ascii="宋体" w:hAnsi="宋体" w:cs="宋体" w:eastAsia="宋体" w:hint="default"/>
        </w:rPr>
        <w:t>1.3 </w:t>
      </w:r>
      <w:r>
        <w:rPr>
          <w:spacing w:val="5"/>
        </w:rPr>
        <w:t>元</w:t>
      </w:r>
      <w:r>
        <w:rPr>
          <w:rFonts w:ascii="宋体" w:hAnsi="宋体" w:cs="宋体" w:eastAsia="宋体" w:hint="default"/>
          <w:spacing w:val="5"/>
        </w:rPr>
        <w:t>(</w:t>
      </w:r>
      <w:r>
        <w:rPr>
          <w:spacing w:val="5"/>
        </w:rPr>
        <w:t>含税</w:t>
      </w:r>
      <w:r>
        <w:rPr>
          <w:rFonts w:ascii="宋体" w:hAnsi="宋体" w:cs="宋体" w:eastAsia="宋体" w:hint="default"/>
          <w:spacing w:val="5"/>
        </w:rPr>
        <w:t>)</w:t>
      </w:r>
      <w:r>
        <w:rPr>
          <w:spacing w:val="5"/>
        </w:rPr>
        <w:t>，共 </w:t>
      </w:r>
      <w:r>
        <w:rPr>
          <w:rFonts w:ascii="宋体" w:hAnsi="宋体" w:cs="宋体" w:eastAsia="宋体" w:hint="default"/>
        </w:rPr>
        <w:t>385,306,863.63</w:t>
      </w:r>
      <w:r>
        <w:rPr>
          <w:rFonts w:ascii="宋体" w:hAnsi="宋体" w:cs="宋体" w:eastAsia="宋体" w:hint="default"/>
          <w:spacing w:val="54"/>
        </w:rPr>
        <w:t> </w:t>
      </w:r>
      <w:r>
        <w:rPr>
          <w:spacing w:val="5"/>
        </w:rPr>
        <w:t>元</w:t>
      </w:r>
      <w:r>
        <w:rPr>
          <w:rFonts w:ascii="宋体" w:hAnsi="宋体" w:cs="宋体" w:eastAsia="宋体" w:hint="default"/>
          <w:spacing w:val="5"/>
        </w:rPr>
        <w:t>,</w:t>
      </w:r>
      <w:r>
        <w:rPr>
          <w:spacing w:val="5"/>
        </w:rPr>
        <w:t>尚余可供分配的利润</w:t>
      </w:r>
    </w:p>
    <w:p>
      <w:pPr>
        <w:pStyle w:val="BodyText"/>
        <w:spacing w:line="312" w:lineRule="exact" w:before="29"/>
        <w:ind w:left="138" w:right="219"/>
        <w:jc w:val="left"/>
      </w:pPr>
      <w:r>
        <w:rPr>
          <w:rFonts w:ascii="宋体" w:hAnsi="宋体" w:cs="宋体" w:eastAsia="宋体" w:hint="default"/>
        </w:rPr>
        <w:t>4,025,361,802.02 </w:t>
      </w:r>
      <w:r>
        <w:rPr/>
        <w:t>元留待以后年度分配。资本公积不转增。</w:t>
      </w:r>
      <w:r>
        <w:rPr>
          <w:rFonts w:ascii="宋体" w:hAnsi="宋体" w:cs="宋体" w:eastAsia="宋体" w:hint="default"/>
        </w:rPr>
        <w:t>2015</w:t>
      </w:r>
      <w:r>
        <w:rPr>
          <w:rFonts w:ascii="宋体" w:hAnsi="宋体" w:cs="宋体" w:eastAsia="宋体" w:hint="default"/>
          <w:spacing w:val="-51"/>
        </w:rPr>
        <w:t> </w:t>
      </w:r>
      <w:r>
        <w:rPr/>
        <w:t>年度拟派送的现金红 利金额占</w:t>
      </w:r>
      <w:r>
        <w:rPr>
          <w:spacing w:val="-61"/>
        </w:rPr>
        <w:t> </w:t>
      </w:r>
      <w:r>
        <w:rPr>
          <w:rFonts w:ascii="宋体" w:hAnsi="宋体" w:cs="宋体" w:eastAsia="宋体" w:hint="default"/>
        </w:rPr>
        <w:t>2015</w:t>
      </w:r>
      <w:r>
        <w:rPr>
          <w:rFonts w:ascii="宋体" w:hAnsi="宋体" w:cs="宋体" w:eastAsia="宋体" w:hint="default"/>
          <w:spacing w:val="-60"/>
        </w:rPr>
        <w:t> </w:t>
      </w:r>
      <w:r>
        <w:rPr/>
        <w:t>年归属于上市公司股东的净利润比例为</w:t>
      </w:r>
      <w:r>
        <w:rPr>
          <w:spacing w:val="-59"/>
        </w:rPr>
        <w:t> </w:t>
      </w:r>
      <w:r>
        <w:rPr>
          <w:rFonts w:ascii="宋体" w:hAnsi="宋体" w:cs="宋体" w:eastAsia="宋体" w:hint="default"/>
        </w:rPr>
        <w:t>30.54%</w:t>
      </w:r>
      <w:r>
        <w:rPr/>
        <w:t>。</w:t>
      </w:r>
    </w:p>
    <w:p>
      <w:pPr>
        <w:spacing w:line="240" w:lineRule="auto" w:before="9"/>
        <w:rPr>
          <w:rFonts w:ascii="宋体" w:hAnsi="宋体" w:cs="宋体" w:eastAsia="宋体" w:hint="default"/>
          <w:sz w:val="23"/>
          <w:szCs w:val="23"/>
        </w:rPr>
      </w:pPr>
    </w:p>
    <w:p>
      <w:pPr>
        <w:pStyle w:val="BodyText"/>
        <w:spacing w:line="312" w:lineRule="exact"/>
        <w:ind w:left="138" w:right="220" w:firstLine="480"/>
        <w:jc w:val="left"/>
      </w:pPr>
      <w:r>
        <w:rPr/>
        <w:t>六、本公司 </w:t>
      </w:r>
      <w:r>
        <w:rPr>
          <w:rFonts w:ascii="宋体" w:hAnsi="宋体" w:cs="宋体" w:eastAsia="宋体" w:hint="default"/>
        </w:rPr>
        <w:t>2015</w:t>
      </w:r>
      <w:r>
        <w:rPr>
          <w:rFonts w:ascii="宋体" w:hAnsi="宋体" w:cs="宋体" w:eastAsia="宋体" w:hint="default"/>
          <w:spacing w:val="-52"/>
        </w:rPr>
        <w:t> </w:t>
      </w:r>
      <w:r>
        <w:rPr/>
        <w:t>年年度报告涉及的公司未来计划等内容不构成公司对投资者的实 质承诺，请投资者注意投资风险。</w:t>
      </w:r>
    </w:p>
    <w:p>
      <w:pPr>
        <w:spacing w:line="240" w:lineRule="auto" w:before="4"/>
        <w:rPr>
          <w:rFonts w:ascii="宋体" w:hAnsi="宋体" w:cs="宋体" w:eastAsia="宋体" w:hint="default"/>
          <w:sz w:val="21"/>
          <w:szCs w:val="21"/>
        </w:rPr>
      </w:pPr>
    </w:p>
    <w:p>
      <w:pPr>
        <w:pStyle w:val="BodyText"/>
        <w:spacing w:line="475" w:lineRule="auto"/>
        <w:ind w:left="618" w:right="224"/>
        <w:jc w:val="left"/>
      </w:pPr>
      <w:r>
        <w:rPr/>
        <w:t>七、本公司不存在被控股股东及其关联方非经营性占用资金的情况。 八、本公司不存在违反规定决策程序对外提供担保的情况。</w:t>
      </w:r>
    </w:p>
    <w:p>
      <w:pPr>
        <w:pStyle w:val="BodyText"/>
        <w:spacing w:line="312" w:lineRule="exact" w:before="106"/>
        <w:ind w:left="138" w:right="224" w:firstLine="480"/>
        <w:jc w:val="left"/>
      </w:pPr>
      <w:r>
        <w:rPr>
          <w:spacing w:val="-2"/>
        </w:rPr>
        <w:t>九、本公司已在本报告中详细描述可能存在的相关风险，敬请查阅第四章管理层讨</w:t>
      </w:r>
      <w:r>
        <w:rPr/>
        <w:t> 论与分析中关于公司未来发展的讨论与分析中可能面对的风险因素的内容。</w:t>
      </w:r>
    </w:p>
    <w:p>
      <w:pPr>
        <w:spacing w:line="240" w:lineRule="auto" w:before="7"/>
        <w:rPr>
          <w:rFonts w:ascii="宋体" w:hAnsi="宋体" w:cs="宋体" w:eastAsia="宋体" w:hint="default"/>
          <w:sz w:val="21"/>
          <w:szCs w:val="21"/>
        </w:rPr>
      </w:pPr>
    </w:p>
    <w:p>
      <w:pPr>
        <w:pStyle w:val="BodyText"/>
        <w:spacing w:line="237" w:lineRule="auto"/>
        <w:ind w:left="138" w:right="96" w:firstLine="480"/>
        <w:jc w:val="left"/>
      </w:pPr>
      <w:r>
        <w:rPr/>
        <w:t>十、</w:t>
      </w:r>
      <w:r>
        <w:rPr>
          <w:rFonts w:ascii="宋体" w:hAnsi="宋体" w:cs="宋体" w:eastAsia="宋体" w:hint="default"/>
        </w:rPr>
        <w:t>2015</w:t>
      </w:r>
      <w:r>
        <w:rPr>
          <w:rFonts w:ascii="宋体" w:hAnsi="宋体" w:cs="宋体" w:eastAsia="宋体" w:hint="default"/>
          <w:spacing w:val="-59"/>
        </w:rPr>
        <w:t> </w:t>
      </w:r>
      <w:r>
        <w:rPr/>
        <w:t>年</w:t>
      </w:r>
      <w:r>
        <w:rPr>
          <w:spacing w:val="-59"/>
        </w:rPr>
        <w:t> </w:t>
      </w:r>
      <w:r>
        <w:rPr>
          <w:rFonts w:ascii="宋体" w:hAnsi="宋体" w:cs="宋体" w:eastAsia="宋体" w:hint="default"/>
        </w:rPr>
        <w:t>11</w:t>
      </w:r>
      <w:r>
        <w:rPr>
          <w:rFonts w:ascii="宋体" w:hAnsi="宋体" w:cs="宋体" w:eastAsia="宋体" w:hint="default"/>
          <w:spacing w:val="-59"/>
        </w:rPr>
        <w:t> </w:t>
      </w:r>
      <w:r>
        <w:rPr/>
        <w:t>月</w:t>
      </w:r>
      <w:r>
        <w:rPr>
          <w:spacing w:val="-58"/>
        </w:rPr>
        <w:t> </w:t>
      </w:r>
      <w:r>
        <w:rPr>
          <w:rFonts w:ascii="宋体" w:hAnsi="宋体" w:cs="宋体" w:eastAsia="宋体" w:hint="default"/>
        </w:rPr>
        <w:t>2</w:t>
      </w:r>
      <w:r>
        <w:rPr>
          <w:rFonts w:ascii="宋体" w:hAnsi="宋体" w:cs="宋体" w:eastAsia="宋体" w:hint="default"/>
          <w:spacing w:val="-59"/>
        </w:rPr>
        <w:t> </w:t>
      </w:r>
      <w:r>
        <w:rPr/>
        <w:t>日，公司召开第六届董事会第二十六次会议，审议通过了《关 于向紫光春华转让同方国芯</w:t>
      </w:r>
      <w:r>
        <w:rPr>
          <w:spacing w:val="-42"/>
        </w:rPr>
        <w:t> </w:t>
      </w:r>
      <w:r>
        <w:rPr>
          <w:rFonts w:ascii="宋体" w:hAnsi="宋体" w:cs="宋体" w:eastAsia="宋体" w:hint="default"/>
          <w:spacing w:val="-5"/>
        </w:rPr>
        <w:t>36.39%</w:t>
      </w:r>
      <w:r>
        <w:rPr>
          <w:spacing w:val="-5"/>
        </w:rPr>
        <w:t>股权的关联交易暨预计新增日常关联交易的议案》，</w:t>
      </w:r>
      <w:r>
        <w:rPr>
          <w:spacing w:val="-104"/>
        </w:rPr>
        <w:t> </w:t>
      </w:r>
      <w:r>
        <w:rPr>
          <w:spacing w:val="-104"/>
        </w:rPr>
      </w:r>
      <w:r>
        <w:rPr/>
        <w:t>拟将公司持有的同方国芯</w:t>
      </w:r>
      <w:r>
        <w:rPr>
          <w:spacing w:val="-58"/>
        </w:rPr>
        <w:t> </w:t>
      </w:r>
      <w:r>
        <w:rPr>
          <w:rFonts w:ascii="宋体" w:hAnsi="宋体" w:cs="宋体" w:eastAsia="宋体" w:hint="default"/>
          <w:spacing w:val="-4"/>
        </w:rPr>
        <w:t>36.39%</w:t>
      </w:r>
      <w:r>
        <w:rPr>
          <w:spacing w:val="-4"/>
        </w:rPr>
        <w:t>的股权转让给西藏紫光春华投资有限公司，本次转让完</w:t>
      </w:r>
      <w:r>
        <w:rPr>
          <w:spacing w:val="-114"/>
        </w:rPr>
        <w:t> </w:t>
      </w:r>
      <w:r>
        <w:rPr>
          <w:spacing w:val="-114"/>
        </w:rPr>
      </w:r>
      <w:r>
        <w:rPr/>
        <w:t>成后，公司对同方国芯的持股比例由 </w:t>
      </w:r>
      <w:r>
        <w:rPr>
          <w:rFonts w:ascii="宋体" w:hAnsi="宋体" w:cs="宋体" w:eastAsia="宋体" w:hint="default"/>
        </w:rPr>
        <w:t>41.38%</w:t>
      </w:r>
      <w:r>
        <w:rPr/>
        <w:t>降至</w:t>
      </w:r>
      <w:r>
        <w:rPr>
          <w:spacing w:val="-48"/>
        </w:rPr>
        <w:t> </w:t>
      </w:r>
      <w:r>
        <w:rPr>
          <w:rFonts w:ascii="宋体" w:hAnsi="宋体" w:cs="宋体" w:eastAsia="宋体" w:hint="default"/>
        </w:rPr>
        <w:t>4.99%</w:t>
      </w:r>
      <w:r>
        <w:rPr/>
        <w:t>，公司不再将其纳入合并范围。 本次交易标的为公司持有的同方国芯的</w:t>
      </w:r>
      <w:r>
        <w:rPr>
          <w:spacing w:val="-56"/>
        </w:rPr>
        <w:t> </w:t>
      </w:r>
      <w:r>
        <w:rPr>
          <w:rFonts w:ascii="宋体" w:hAnsi="宋体" w:cs="宋体" w:eastAsia="宋体" w:hint="default"/>
        </w:rPr>
        <w:t>220,835,000</w:t>
      </w:r>
      <w:r>
        <w:rPr>
          <w:rFonts w:ascii="宋体" w:hAnsi="宋体" w:cs="宋体" w:eastAsia="宋体" w:hint="default"/>
          <w:spacing w:val="-56"/>
        </w:rPr>
        <w:t> </w:t>
      </w:r>
      <w:r>
        <w:rPr>
          <w:spacing w:val="-4"/>
        </w:rPr>
        <w:t>股股票，定价方式为按照同方国芯</w:t>
      </w:r>
    </w:p>
    <w:p>
      <w:pPr>
        <w:pStyle w:val="BodyText"/>
        <w:spacing w:line="309" w:lineRule="exact"/>
        <w:ind w:left="138" w:right="96"/>
        <w:jc w:val="left"/>
      </w:pPr>
      <w:r>
        <w:rPr/>
        <w:t>停牌前</w:t>
      </w:r>
      <w:r>
        <w:rPr>
          <w:rFonts w:ascii="宋体" w:hAnsi="宋体" w:cs="宋体" w:eastAsia="宋体" w:hint="default"/>
        </w:rPr>
        <w:t>(2015</w:t>
      </w:r>
      <w:r>
        <w:rPr>
          <w:rFonts w:ascii="宋体" w:hAnsi="宋体" w:cs="宋体" w:eastAsia="宋体" w:hint="default"/>
          <w:spacing w:val="-60"/>
        </w:rPr>
        <w:t> </w:t>
      </w:r>
      <w:r>
        <w:rPr/>
        <w:t>年</w:t>
      </w:r>
      <w:r>
        <w:rPr>
          <w:spacing w:val="-60"/>
        </w:rPr>
        <w:t> </w:t>
      </w:r>
      <w:r>
        <w:rPr>
          <w:rFonts w:ascii="宋体" w:hAnsi="宋体" w:cs="宋体" w:eastAsia="宋体" w:hint="default"/>
        </w:rPr>
        <w:t>10</w:t>
      </w:r>
      <w:r>
        <w:rPr>
          <w:rFonts w:ascii="宋体" w:hAnsi="宋体" w:cs="宋体" w:eastAsia="宋体" w:hint="default"/>
          <w:spacing w:val="-60"/>
        </w:rPr>
        <w:t> </w:t>
      </w:r>
      <w:r>
        <w:rPr/>
        <w:t>月</w:t>
      </w:r>
      <w:r>
        <w:rPr>
          <w:spacing w:val="-60"/>
        </w:rPr>
        <w:t> </w:t>
      </w:r>
      <w:r>
        <w:rPr>
          <w:rFonts w:ascii="宋体" w:hAnsi="宋体" w:cs="宋体" w:eastAsia="宋体" w:hint="default"/>
        </w:rPr>
        <w:t>12</w:t>
      </w:r>
      <w:r>
        <w:rPr>
          <w:rFonts w:ascii="宋体" w:hAnsi="宋体" w:cs="宋体" w:eastAsia="宋体" w:hint="default"/>
          <w:spacing w:val="-60"/>
        </w:rPr>
        <w:t> </w:t>
      </w:r>
      <w:r>
        <w:rPr/>
        <w:t>日</w:t>
      </w:r>
      <w:r>
        <w:rPr>
          <w:rFonts w:ascii="宋体" w:hAnsi="宋体" w:cs="宋体" w:eastAsia="宋体" w:hint="default"/>
        </w:rPr>
        <w:t>)30</w:t>
      </w:r>
      <w:r>
        <w:rPr>
          <w:rFonts w:ascii="宋体" w:hAnsi="宋体" w:cs="宋体" w:eastAsia="宋体" w:hint="default"/>
          <w:spacing w:val="-60"/>
        </w:rPr>
        <w:t> </w:t>
      </w:r>
      <w:r>
        <w:rPr/>
        <w:t>个交易日均价</w:t>
      </w:r>
      <w:r>
        <w:rPr>
          <w:spacing w:val="-60"/>
        </w:rPr>
        <w:t> </w:t>
      </w:r>
      <w:r>
        <w:rPr>
          <w:rFonts w:ascii="宋体" w:hAnsi="宋体" w:cs="宋体" w:eastAsia="宋体" w:hint="default"/>
        </w:rPr>
        <w:t>31.75</w:t>
      </w:r>
      <w:r>
        <w:rPr>
          <w:rFonts w:ascii="宋体" w:hAnsi="宋体" w:cs="宋体" w:eastAsia="宋体" w:hint="default"/>
          <w:spacing w:val="-60"/>
        </w:rPr>
        <w:t> </w:t>
      </w:r>
      <w:r>
        <w:rPr>
          <w:spacing w:val="-5"/>
        </w:rPr>
        <w:t>元</w:t>
      </w:r>
      <w:r>
        <w:rPr>
          <w:rFonts w:ascii="宋体" w:hAnsi="宋体" w:cs="宋体" w:eastAsia="宋体" w:hint="default"/>
          <w:spacing w:val="-5"/>
        </w:rPr>
        <w:t>/</w:t>
      </w:r>
      <w:r>
        <w:rPr>
          <w:spacing w:val="-5"/>
        </w:rPr>
        <w:t>股确定，交易金额约为</w:t>
      </w:r>
      <w:r>
        <w:rPr>
          <w:spacing w:val="-60"/>
        </w:rPr>
        <w:t> </w:t>
      </w:r>
      <w:r>
        <w:rPr>
          <w:rFonts w:ascii="宋体" w:hAnsi="宋体" w:cs="宋体" w:eastAsia="宋体" w:hint="default"/>
        </w:rPr>
        <w:t>70.12</w:t>
      </w:r>
      <w:r>
        <w:rPr>
          <w:rFonts w:ascii="宋体" w:hAnsi="宋体" w:cs="宋体" w:eastAsia="宋体" w:hint="default"/>
          <w:spacing w:val="-60"/>
        </w:rPr>
        <w:t> </w:t>
      </w:r>
      <w:r>
        <w:rPr/>
        <w:t>亿</w:t>
      </w:r>
    </w:p>
    <w:p>
      <w:pPr>
        <w:pStyle w:val="BodyText"/>
        <w:spacing w:line="312" w:lineRule="exact"/>
        <w:ind w:left="138" w:right="96"/>
        <w:jc w:val="left"/>
      </w:pPr>
      <w:r>
        <w:rPr/>
        <w:t>元。公司已于</w:t>
      </w:r>
      <w:r>
        <w:rPr>
          <w:spacing w:val="-49"/>
        </w:rPr>
        <w:t> </w:t>
      </w:r>
      <w:r>
        <w:rPr>
          <w:rFonts w:ascii="宋体" w:hAnsi="宋体" w:cs="宋体" w:eastAsia="宋体" w:hint="default"/>
        </w:rPr>
        <w:t>2015</w:t>
      </w:r>
      <w:r>
        <w:rPr>
          <w:rFonts w:ascii="宋体" w:hAnsi="宋体" w:cs="宋体" w:eastAsia="宋体" w:hint="default"/>
          <w:spacing w:val="-48"/>
        </w:rPr>
        <w:t> </w:t>
      </w:r>
      <w:r>
        <w:rPr/>
        <w:t>年</w:t>
      </w:r>
      <w:r>
        <w:rPr>
          <w:spacing w:val="-48"/>
        </w:rPr>
        <w:t> </w:t>
      </w:r>
      <w:r>
        <w:rPr>
          <w:rFonts w:ascii="宋体" w:hAnsi="宋体" w:cs="宋体" w:eastAsia="宋体" w:hint="default"/>
        </w:rPr>
        <w:t>11</w:t>
      </w:r>
      <w:r>
        <w:rPr>
          <w:rFonts w:ascii="宋体" w:hAnsi="宋体" w:cs="宋体" w:eastAsia="宋体" w:hint="default"/>
          <w:spacing w:val="-48"/>
        </w:rPr>
        <w:t> </w:t>
      </w:r>
      <w:r>
        <w:rPr/>
        <w:t>月</w:t>
      </w:r>
      <w:r>
        <w:rPr>
          <w:spacing w:val="-48"/>
        </w:rPr>
        <w:t> </w:t>
      </w:r>
      <w:r>
        <w:rPr>
          <w:rFonts w:ascii="宋体" w:hAnsi="宋体" w:cs="宋体" w:eastAsia="宋体" w:hint="default"/>
        </w:rPr>
        <w:t>2</w:t>
      </w:r>
      <w:r>
        <w:rPr>
          <w:rFonts w:ascii="宋体" w:hAnsi="宋体" w:cs="宋体" w:eastAsia="宋体" w:hint="default"/>
          <w:spacing w:val="-48"/>
        </w:rPr>
        <w:t> </w:t>
      </w:r>
      <w:r>
        <w:rPr/>
        <w:t>日与紫光春华签署了《股份转让协议</w:t>
      </w:r>
      <w:r>
        <w:rPr>
          <w:spacing w:val="-120"/>
        </w:rPr>
        <w:t>》</w:t>
      </w:r>
      <w:r>
        <w:rPr/>
        <w:t>，上述议案也已经</w:t>
      </w:r>
    </w:p>
    <w:p>
      <w:pPr>
        <w:pStyle w:val="BodyText"/>
        <w:spacing w:line="313" w:lineRule="exact"/>
        <w:ind w:left="138" w:right="224"/>
        <w:jc w:val="left"/>
      </w:pPr>
      <w:r>
        <w:rPr/>
        <w:t>公司</w:t>
      </w:r>
      <w:r>
        <w:rPr>
          <w:spacing w:val="-60"/>
        </w:rPr>
        <w:t> </w:t>
      </w:r>
      <w:r>
        <w:rPr>
          <w:rFonts w:ascii="宋体" w:hAnsi="宋体" w:cs="宋体" w:eastAsia="宋体" w:hint="default"/>
        </w:rPr>
        <w:t>2015</w:t>
      </w:r>
      <w:r>
        <w:rPr>
          <w:rFonts w:ascii="宋体" w:hAnsi="宋体" w:cs="宋体" w:eastAsia="宋体" w:hint="default"/>
          <w:spacing w:val="-61"/>
        </w:rPr>
        <w:t> </w:t>
      </w:r>
      <w:r>
        <w:rPr/>
        <w:t>年第三次临时股东大会审议通过。</w:t>
      </w:r>
    </w:p>
    <w:p>
      <w:pPr>
        <w:spacing w:after="0" w:line="313" w:lineRule="exact"/>
        <w:jc w:val="left"/>
        <w:sectPr>
          <w:footerReference w:type="default" r:id="rId7"/>
          <w:pgSz w:w="11910" w:h="16840"/>
          <w:pgMar w:footer="760" w:header="618" w:top="1080" w:bottom="960" w:left="1280" w:right="1180"/>
          <w:pgNumType w:start="2"/>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312" w:lineRule="exact" w:before="56"/>
        <w:ind w:left="138" w:right="233" w:firstLine="480"/>
        <w:jc w:val="both"/>
      </w:pPr>
      <w:r>
        <w:rPr>
          <w:spacing w:val="-2"/>
        </w:rPr>
        <w:t>截至本报告披露日，上述股份转让事宜已经获得财政部审核批准、商务部反垄断审</w:t>
      </w:r>
      <w:r>
        <w:rPr/>
        <w:t> 查和证监会要约收购豁免核准。公司与紫光春华已于</w:t>
      </w:r>
      <w:r>
        <w:rPr>
          <w:spacing w:val="-48"/>
        </w:rPr>
        <w:t> </w:t>
      </w:r>
      <w:r>
        <w:rPr>
          <w:rFonts w:ascii="宋体" w:hAnsi="宋体" w:cs="宋体" w:eastAsia="宋体" w:hint="default"/>
        </w:rPr>
        <w:t>2016</w:t>
      </w:r>
      <w:r>
        <w:rPr>
          <w:rFonts w:ascii="宋体" w:hAnsi="宋体" w:cs="宋体" w:eastAsia="宋体" w:hint="default"/>
          <w:spacing w:val="-48"/>
        </w:rPr>
        <w:t> </w:t>
      </w:r>
      <w:r>
        <w:rPr/>
        <w:t>年</w:t>
      </w:r>
      <w:r>
        <w:rPr>
          <w:spacing w:val="-48"/>
        </w:rPr>
        <w:t> </w:t>
      </w:r>
      <w:r>
        <w:rPr>
          <w:rFonts w:ascii="宋体" w:hAnsi="宋体" w:cs="宋体" w:eastAsia="宋体" w:hint="default"/>
        </w:rPr>
        <w:t>4</w:t>
      </w:r>
      <w:r>
        <w:rPr>
          <w:rFonts w:ascii="宋体" w:hAnsi="宋体" w:cs="宋体" w:eastAsia="宋体" w:hint="default"/>
          <w:spacing w:val="-48"/>
        </w:rPr>
        <w:t> </w:t>
      </w:r>
      <w:r>
        <w:rPr/>
        <w:t>月</w:t>
      </w:r>
      <w:r>
        <w:rPr>
          <w:spacing w:val="-48"/>
        </w:rPr>
        <w:t> </w:t>
      </w:r>
      <w:r>
        <w:rPr>
          <w:rFonts w:ascii="宋体" w:hAnsi="宋体" w:cs="宋体" w:eastAsia="宋体" w:hint="default"/>
        </w:rPr>
        <w:t>7</w:t>
      </w:r>
      <w:r>
        <w:rPr>
          <w:rFonts w:ascii="宋体" w:hAnsi="宋体" w:cs="宋体" w:eastAsia="宋体" w:hint="default"/>
          <w:spacing w:val="-51"/>
        </w:rPr>
        <w:t> </w:t>
      </w:r>
      <w:r>
        <w:rPr/>
        <w:t>日办理完成同方国 芯</w:t>
      </w:r>
      <w:r>
        <w:rPr>
          <w:spacing w:val="-61"/>
        </w:rPr>
        <w:t> </w:t>
      </w:r>
      <w:r>
        <w:rPr>
          <w:rFonts w:ascii="宋体" w:hAnsi="宋体" w:cs="宋体" w:eastAsia="宋体" w:hint="default"/>
        </w:rPr>
        <w:t>36.39%</w:t>
      </w:r>
      <w:r>
        <w:rPr/>
        <w:t>股权的过户手续，公司不再将同方国芯纳入合并范围。</w:t>
      </w:r>
    </w:p>
    <w:p>
      <w:pPr>
        <w:spacing w:line="240" w:lineRule="auto" w:before="4"/>
        <w:rPr>
          <w:rFonts w:ascii="宋体" w:hAnsi="宋体" w:cs="宋体" w:eastAsia="宋体" w:hint="default"/>
          <w:sz w:val="21"/>
          <w:szCs w:val="21"/>
        </w:rPr>
      </w:pPr>
    </w:p>
    <w:p>
      <w:pPr>
        <w:pStyle w:val="BodyText"/>
        <w:spacing w:line="313" w:lineRule="exact"/>
        <w:ind w:left="618" w:right="96"/>
        <w:jc w:val="left"/>
        <w:rPr>
          <w:rFonts w:ascii="宋体" w:hAnsi="宋体" w:cs="宋体" w:eastAsia="宋体" w:hint="default"/>
        </w:rPr>
      </w:pPr>
      <w:r>
        <w:rPr/>
        <w:t>关于本次交易的相关信息，投资者也可参阅公司于</w:t>
      </w:r>
      <w:r>
        <w:rPr>
          <w:spacing w:val="-51"/>
        </w:rPr>
        <w:t> </w:t>
      </w:r>
      <w:r>
        <w:rPr>
          <w:rFonts w:ascii="宋体" w:hAnsi="宋体" w:cs="宋体" w:eastAsia="宋体" w:hint="default"/>
        </w:rPr>
        <w:t>2015</w:t>
      </w:r>
      <w:r>
        <w:rPr>
          <w:rFonts w:ascii="宋体" w:hAnsi="宋体" w:cs="宋体" w:eastAsia="宋体" w:hint="default"/>
          <w:spacing w:val="-52"/>
        </w:rPr>
        <w:t> </w:t>
      </w:r>
      <w:r>
        <w:rPr/>
        <w:t>年</w:t>
      </w:r>
      <w:r>
        <w:rPr>
          <w:spacing w:val="-52"/>
        </w:rPr>
        <w:t> </w:t>
      </w:r>
      <w:r>
        <w:rPr>
          <w:rFonts w:ascii="宋体" w:hAnsi="宋体" w:cs="宋体" w:eastAsia="宋体" w:hint="default"/>
        </w:rPr>
        <w:t>11</w:t>
      </w:r>
      <w:r>
        <w:rPr>
          <w:rFonts w:ascii="宋体" w:hAnsi="宋体" w:cs="宋体" w:eastAsia="宋体" w:hint="default"/>
          <w:spacing w:val="-54"/>
        </w:rPr>
        <w:t> </w:t>
      </w:r>
      <w:r>
        <w:rPr/>
        <w:t>月</w:t>
      </w:r>
      <w:r>
        <w:rPr>
          <w:spacing w:val="-52"/>
        </w:rPr>
        <w:t> </w:t>
      </w:r>
      <w:r>
        <w:rPr>
          <w:rFonts w:ascii="宋体" w:hAnsi="宋体" w:cs="宋体" w:eastAsia="宋体" w:hint="default"/>
        </w:rPr>
        <w:t>3</w:t>
      </w:r>
      <w:r>
        <w:rPr>
          <w:rFonts w:ascii="宋体" w:hAnsi="宋体" w:cs="宋体" w:eastAsia="宋体" w:hint="default"/>
          <w:spacing w:val="-51"/>
        </w:rPr>
        <w:t> </w:t>
      </w:r>
      <w:r>
        <w:rPr/>
        <w:t>日、</w:t>
      </w:r>
      <w:r>
        <w:rPr>
          <w:rFonts w:ascii="宋体" w:hAnsi="宋体" w:cs="宋体" w:eastAsia="宋体" w:hint="default"/>
        </w:rPr>
        <w:t>2015</w:t>
      </w:r>
      <w:r>
        <w:rPr>
          <w:rFonts w:ascii="宋体" w:hAnsi="宋体" w:cs="宋体" w:eastAsia="宋体" w:hint="default"/>
          <w:spacing w:val="-52"/>
        </w:rPr>
        <w:t> </w:t>
      </w:r>
      <w:r>
        <w:rPr/>
        <w:t>年</w:t>
      </w:r>
      <w:r>
        <w:rPr>
          <w:spacing w:val="-52"/>
        </w:rPr>
        <w:t> </w:t>
      </w:r>
      <w:r>
        <w:rPr>
          <w:rFonts w:ascii="宋体" w:hAnsi="宋体" w:cs="宋体" w:eastAsia="宋体" w:hint="default"/>
        </w:rPr>
        <w:t>11</w:t>
      </w:r>
    </w:p>
    <w:p>
      <w:pPr>
        <w:pStyle w:val="BodyText"/>
        <w:spacing w:line="312" w:lineRule="exact"/>
        <w:ind w:left="138" w:right="0"/>
        <w:jc w:val="left"/>
      </w:pPr>
      <w:r>
        <w:rPr/>
        <w:t>月</w:t>
      </w:r>
      <w:r>
        <w:rPr>
          <w:spacing w:val="-56"/>
        </w:rPr>
        <w:t> </w:t>
      </w:r>
      <w:r>
        <w:rPr>
          <w:rFonts w:ascii="宋体" w:hAnsi="宋体" w:cs="宋体" w:eastAsia="宋体" w:hint="default"/>
        </w:rPr>
        <w:t>4</w:t>
      </w:r>
      <w:r>
        <w:rPr>
          <w:rFonts w:ascii="宋体" w:hAnsi="宋体" w:cs="宋体" w:eastAsia="宋体" w:hint="default"/>
          <w:spacing w:val="-56"/>
        </w:rPr>
        <w:t> </w:t>
      </w:r>
      <w:r>
        <w:rPr/>
        <w:t>日</w:t>
      </w:r>
      <w:r>
        <w:rPr>
          <w:spacing w:val="-1"/>
        </w:rPr>
        <w:t>、</w:t>
      </w:r>
      <w:r>
        <w:rPr>
          <w:rFonts w:ascii="宋体" w:hAnsi="宋体" w:cs="宋体" w:eastAsia="宋体" w:hint="default"/>
        </w:rPr>
        <w:t>2015</w:t>
      </w:r>
      <w:r>
        <w:rPr>
          <w:rFonts w:ascii="宋体" w:hAnsi="宋体" w:cs="宋体" w:eastAsia="宋体" w:hint="default"/>
          <w:spacing w:val="-56"/>
        </w:rPr>
        <w:t> </w:t>
      </w:r>
      <w:r>
        <w:rPr/>
        <w:t>年</w:t>
      </w:r>
      <w:r>
        <w:rPr>
          <w:spacing w:val="-56"/>
        </w:rPr>
        <w:t> </w:t>
      </w:r>
      <w:r>
        <w:rPr>
          <w:rFonts w:ascii="宋体" w:hAnsi="宋体" w:cs="宋体" w:eastAsia="宋体" w:hint="default"/>
          <w:spacing w:val="-3"/>
        </w:rPr>
        <w:t>1</w:t>
      </w:r>
      <w:r>
        <w:rPr>
          <w:rFonts w:ascii="宋体" w:hAnsi="宋体" w:cs="宋体" w:eastAsia="宋体" w:hint="default"/>
        </w:rPr>
        <w:t>1</w:t>
      </w:r>
      <w:r>
        <w:rPr>
          <w:rFonts w:ascii="宋体" w:hAnsi="宋体" w:cs="宋体" w:eastAsia="宋体" w:hint="default"/>
          <w:spacing w:val="-56"/>
        </w:rPr>
        <w:t> </w:t>
      </w:r>
      <w:r>
        <w:rPr/>
        <w:t>月</w:t>
      </w:r>
      <w:r>
        <w:rPr>
          <w:spacing w:val="-57"/>
        </w:rPr>
        <w:t> </w:t>
      </w:r>
      <w:r>
        <w:rPr>
          <w:rFonts w:ascii="宋体" w:hAnsi="宋体" w:cs="宋体" w:eastAsia="宋体" w:hint="default"/>
        </w:rPr>
        <w:t>19</w:t>
      </w:r>
      <w:r>
        <w:rPr>
          <w:rFonts w:ascii="宋体" w:hAnsi="宋体" w:cs="宋体" w:eastAsia="宋体" w:hint="default"/>
          <w:spacing w:val="-56"/>
        </w:rPr>
        <w:t> </w:t>
      </w:r>
      <w:r>
        <w:rPr/>
        <w:t>日、</w:t>
      </w:r>
      <w:r>
        <w:rPr>
          <w:rFonts w:ascii="宋体" w:hAnsi="宋体" w:cs="宋体" w:eastAsia="宋体" w:hint="default"/>
        </w:rPr>
        <w:t>2016</w:t>
      </w:r>
      <w:r>
        <w:rPr>
          <w:rFonts w:ascii="宋体" w:hAnsi="宋体" w:cs="宋体" w:eastAsia="宋体" w:hint="default"/>
          <w:spacing w:val="-56"/>
        </w:rPr>
        <w:t> </w:t>
      </w:r>
      <w:r>
        <w:rPr/>
        <w:t>年</w:t>
      </w:r>
      <w:r>
        <w:rPr>
          <w:spacing w:val="-56"/>
        </w:rPr>
        <w:t> </w:t>
      </w:r>
      <w:r>
        <w:rPr>
          <w:rFonts w:ascii="宋体" w:hAnsi="宋体" w:cs="宋体" w:eastAsia="宋体" w:hint="default"/>
        </w:rPr>
        <w:t>3</w:t>
      </w:r>
      <w:r>
        <w:rPr>
          <w:rFonts w:ascii="宋体" w:hAnsi="宋体" w:cs="宋体" w:eastAsia="宋体" w:hint="default"/>
          <w:spacing w:val="-58"/>
        </w:rPr>
        <w:t> </w:t>
      </w:r>
      <w:r>
        <w:rPr/>
        <w:t>月</w:t>
      </w:r>
      <w:r>
        <w:rPr>
          <w:spacing w:val="-56"/>
        </w:rPr>
        <w:t> </w:t>
      </w:r>
      <w:r>
        <w:rPr>
          <w:rFonts w:ascii="宋体" w:hAnsi="宋体" w:cs="宋体" w:eastAsia="宋体" w:hint="default"/>
        </w:rPr>
        <w:t>26</w:t>
      </w:r>
      <w:r>
        <w:rPr>
          <w:rFonts w:ascii="宋体" w:hAnsi="宋体" w:cs="宋体" w:eastAsia="宋体" w:hint="default"/>
          <w:spacing w:val="-58"/>
        </w:rPr>
        <w:t> </w:t>
      </w:r>
      <w:r>
        <w:rPr/>
        <w:t>日和</w:t>
      </w:r>
      <w:r>
        <w:rPr>
          <w:spacing w:val="-55"/>
        </w:rPr>
        <w:t> </w:t>
      </w:r>
      <w:r>
        <w:rPr>
          <w:rFonts w:ascii="宋体" w:hAnsi="宋体" w:cs="宋体" w:eastAsia="宋体" w:hint="default"/>
        </w:rPr>
        <w:t>2016</w:t>
      </w:r>
      <w:r>
        <w:rPr>
          <w:rFonts w:ascii="宋体" w:hAnsi="宋体" w:cs="宋体" w:eastAsia="宋体" w:hint="default"/>
          <w:spacing w:val="-56"/>
        </w:rPr>
        <w:t> </w:t>
      </w:r>
      <w:r>
        <w:rPr/>
        <w:t>年</w:t>
      </w:r>
      <w:r>
        <w:rPr>
          <w:spacing w:val="-56"/>
        </w:rPr>
        <w:t> </w:t>
      </w:r>
      <w:r>
        <w:rPr>
          <w:rFonts w:ascii="宋体" w:hAnsi="宋体" w:cs="宋体" w:eastAsia="宋体" w:hint="default"/>
        </w:rPr>
        <w:t>4</w:t>
      </w:r>
      <w:r>
        <w:rPr>
          <w:rFonts w:ascii="宋体" w:hAnsi="宋体" w:cs="宋体" w:eastAsia="宋体" w:hint="default"/>
          <w:spacing w:val="-58"/>
        </w:rPr>
        <w:t> </w:t>
      </w:r>
      <w:r>
        <w:rPr/>
        <w:t>月</w:t>
      </w:r>
      <w:r>
        <w:rPr>
          <w:spacing w:val="-56"/>
        </w:rPr>
        <w:t> </w:t>
      </w:r>
      <w:r>
        <w:rPr>
          <w:rFonts w:ascii="宋体" w:hAnsi="宋体" w:cs="宋体" w:eastAsia="宋体" w:hint="default"/>
        </w:rPr>
        <w:t>9</w:t>
      </w:r>
      <w:r>
        <w:rPr>
          <w:rFonts w:ascii="宋体" w:hAnsi="宋体" w:cs="宋体" w:eastAsia="宋体" w:hint="default"/>
          <w:spacing w:val="-56"/>
        </w:rPr>
        <w:t> </w:t>
      </w:r>
      <w:r>
        <w:rPr>
          <w:spacing w:val="-3"/>
        </w:rPr>
        <w:t>日</w:t>
      </w:r>
      <w:r>
        <w:rPr/>
        <w:t>在《中国证券报</w:t>
      </w:r>
      <w:r>
        <w:rPr>
          <w:spacing w:val="-120"/>
        </w:rPr>
        <w:t>》</w:t>
      </w:r>
      <w:r>
        <w:rPr/>
        <w:t>、</w:t>
      </w:r>
    </w:p>
    <w:p>
      <w:pPr>
        <w:pStyle w:val="BodyText"/>
        <w:spacing w:line="310" w:lineRule="exact" w:before="31"/>
        <w:ind w:left="138" w:right="224"/>
        <w:jc w:val="left"/>
      </w:pPr>
      <w:r>
        <w:rPr>
          <w:spacing w:val="-7"/>
        </w:rPr>
        <w:t>《上海证券报》、《证券时报》和上海证券交易所网站</w:t>
      </w:r>
      <w:r>
        <w:rPr>
          <w:rFonts w:ascii="宋体" w:hAnsi="宋体" w:cs="宋体" w:eastAsia="宋体" w:hint="default"/>
          <w:spacing w:val="-7"/>
        </w:rPr>
        <w:t>(www.sse.com.cn)</w:t>
      </w:r>
      <w:r>
        <w:rPr>
          <w:spacing w:val="-7"/>
        </w:rPr>
        <w:t>上披露的相关公</w:t>
      </w:r>
      <w:r>
        <w:rPr>
          <w:spacing w:val="-79"/>
        </w:rPr>
        <w:t> </w:t>
      </w:r>
      <w:r>
        <w:rPr/>
        <w:t>告。</w:t>
      </w:r>
    </w:p>
    <w:p>
      <w:pPr>
        <w:spacing w:after="0" w:line="310" w:lineRule="exact"/>
        <w:jc w:val="left"/>
        <w:sectPr>
          <w:pgSz w:w="11910" w:h="16840"/>
          <w:pgMar w:header="618" w:footer="760" w:top="1080" w:bottom="980" w:left="1280" w:right="1180"/>
        </w:sectPr>
      </w:pPr>
    </w:p>
    <w:p>
      <w:pPr>
        <w:spacing w:line="240" w:lineRule="auto" w:before="9"/>
        <w:rPr>
          <w:rFonts w:ascii="宋体" w:hAnsi="宋体" w:cs="宋体" w:eastAsia="宋体" w:hint="default"/>
          <w:sz w:val="3"/>
          <w:szCs w:val="3"/>
        </w:rPr>
      </w:pPr>
    </w:p>
    <w:p>
      <w:pPr>
        <w:spacing w:line="20" w:lineRule="exact"/>
        <w:ind w:left="202" w:right="0" w:firstLine="0"/>
        <w:rPr>
          <w:rFonts w:ascii="宋体" w:hAnsi="宋体" w:cs="宋体" w:eastAsia="宋体" w:hint="default"/>
          <w:sz w:val="2"/>
          <w:szCs w:val="2"/>
        </w:rPr>
      </w:pPr>
      <w:r>
        <w:rPr>
          <w:rFonts w:ascii="宋体" w:hAnsi="宋体" w:cs="宋体" w:eastAsia="宋体" w:hint="default"/>
          <w:sz w:val="2"/>
          <w:szCs w:val="2"/>
        </w:rPr>
        <w:pict>
          <v:group style="width:463.75pt;height:.75pt;mso-position-horizontal-relative:char;mso-position-vertical-relative:line" coordorigin="0,0" coordsize="9275,15">
            <v:group style="position:absolute;left:7;top:7;width:9261;height:2" coordorigin="7,7" coordsize="9261,2">
              <v:shape style="position:absolute;left:7;top:7;width:9261;height:2" coordorigin="7,7" coordsize="9261,0" path="m7,7l9268,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7"/>
          <w:szCs w:val="27"/>
        </w:rPr>
      </w:pPr>
    </w:p>
    <w:p>
      <w:pPr>
        <w:pStyle w:val="Heading1"/>
        <w:tabs>
          <w:tab w:pos="1243" w:val="left" w:leader="none"/>
        </w:tabs>
        <w:spacing w:line="240" w:lineRule="auto"/>
        <w:ind w:right="204"/>
        <w:jc w:val="center"/>
        <w:rPr>
          <w:b w:val="0"/>
          <w:bCs w:val="0"/>
        </w:rPr>
      </w:pPr>
      <w:bookmarkStart w:name="_TOC_250010" w:id="1"/>
      <w:r>
        <w:rPr>
          <w:w w:val="95"/>
        </w:rPr>
        <w:t>第一章</w:t>
        <w:tab/>
      </w:r>
      <w:r>
        <w:rPr/>
        <w:t>释义</w:t>
      </w:r>
      <w:bookmarkEnd w:id="1"/>
      <w:r>
        <w:rPr>
          <w:b w:val="0"/>
          <w:bCs w:val="0"/>
        </w:rPr>
      </w:r>
    </w:p>
    <w:p>
      <w:pPr>
        <w:spacing w:line="240" w:lineRule="auto" w:before="0"/>
        <w:rPr>
          <w:rFonts w:ascii="黑体" w:hAnsi="黑体" w:cs="黑体" w:eastAsia="黑体" w:hint="default"/>
          <w:b/>
          <w:bCs/>
          <w:sz w:val="32"/>
          <w:szCs w:val="32"/>
        </w:rPr>
      </w:pPr>
    </w:p>
    <w:p>
      <w:pPr>
        <w:spacing w:line="240" w:lineRule="auto" w:before="9"/>
        <w:rPr>
          <w:rFonts w:ascii="黑体" w:hAnsi="黑体" w:cs="黑体" w:eastAsia="黑体" w:hint="default"/>
          <w:b/>
          <w:bCs/>
          <w:sz w:val="38"/>
          <w:szCs w:val="38"/>
        </w:rPr>
      </w:pPr>
    </w:p>
    <w:p>
      <w:pPr>
        <w:pStyle w:val="BodyText"/>
        <w:spacing w:line="240" w:lineRule="auto"/>
        <w:ind w:left="238" w:right="0"/>
        <w:jc w:val="left"/>
      </w:pPr>
      <w:r>
        <w:rPr/>
        <w:t>在本报告书中，除非文义另有所指，下列词语具有如下含义：</w:t>
      </w:r>
    </w:p>
    <w:p>
      <w:pPr>
        <w:spacing w:line="240" w:lineRule="auto" w:before="10"/>
        <w:rPr>
          <w:rFonts w:ascii="宋体" w:hAnsi="宋体" w:cs="宋体" w:eastAsia="宋体" w:hint="default"/>
          <w:sz w:val="26"/>
          <w:szCs w:val="26"/>
        </w:rPr>
      </w:pPr>
    </w:p>
    <w:tbl>
      <w:tblPr>
        <w:tblW w:w="0" w:type="auto"/>
        <w:jc w:val="left"/>
        <w:tblInd w:w="116" w:type="dxa"/>
        <w:tblLayout w:type="fixed"/>
        <w:tblCellMar>
          <w:top w:w="0" w:type="dxa"/>
          <w:left w:w="0" w:type="dxa"/>
          <w:bottom w:w="0" w:type="dxa"/>
          <w:right w:w="0" w:type="dxa"/>
        </w:tblCellMar>
        <w:tblLook w:val="01E0"/>
      </w:tblPr>
      <w:tblGrid>
        <w:gridCol w:w="1951"/>
        <w:gridCol w:w="567"/>
        <w:gridCol w:w="7091"/>
      </w:tblGrid>
      <w:tr>
        <w:trPr>
          <w:trHeight w:val="334" w:hRule="exact"/>
        </w:trPr>
        <w:tc>
          <w:tcPr>
            <w:tcW w:w="1951" w:type="dxa"/>
            <w:tcBorders>
              <w:top w:val="single" w:sz="12"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同方股份、公司</w:t>
            </w:r>
          </w:p>
        </w:tc>
        <w:tc>
          <w:tcPr>
            <w:tcW w:w="567"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12"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同方股份有限公司</w:t>
            </w:r>
          </w:p>
        </w:tc>
      </w:tr>
      <w:tr>
        <w:trPr>
          <w:trHeight w:val="32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报告期</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2015</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日至</w:t>
            </w:r>
            <w:r>
              <w:rPr>
                <w:rFonts w:ascii="宋体" w:hAnsi="宋体" w:cs="宋体" w:eastAsia="宋体" w:hint="default"/>
                <w:spacing w:val="-60"/>
                <w:sz w:val="24"/>
                <w:szCs w:val="24"/>
              </w:rPr>
              <w:t> </w:t>
            </w:r>
            <w:r>
              <w:rPr>
                <w:rFonts w:ascii="宋体" w:hAnsi="宋体" w:cs="宋体" w:eastAsia="宋体" w:hint="default"/>
                <w:sz w:val="24"/>
                <w:szCs w:val="24"/>
              </w:rPr>
              <w:t>2015</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z w:val="24"/>
                <w:szCs w:val="24"/>
              </w:rPr>
              <w:t>日</w:t>
            </w:r>
          </w:p>
        </w:tc>
      </w:tr>
      <w:tr>
        <w:trPr>
          <w:trHeight w:val="327"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交易所或上交所</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上海证券交易所</w:t>
            </w:r>
          </w:p>
        </w:tc>
      </w:tr>
      <w:tr>
        <w:trPr>
          <w:trHeight w:val="32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清华控股</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清华控股有限公司</w:t>
            </w:r>
          </w:p>
        </w:tc>
      </w:tr>
      <w:tr>
        <w:trPr>
          <w:trHeight w:val="32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紫光集团</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紫光集团有限公司</w:t>
            </w:r>
          </w:p>
        </w:tc>
      </w:tr>
      <w:tr>
        <w:trPr>
          <w:trHeight w:val="63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同方国芯</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pacing w:val="9"/>
                <w:sz w:val="24"/>
                <w:szCs w:val="24"/>
              </w:rPr>
              <w:t>同方国芯电子股份有限公司</w:t>
            </w:r>
            <w:r>
              <w:rPr>
                <w:rFonts w:ascii="宋体" w:hAnsi="宋体" w:cs="宋体" w:eastAsia="宋体" w:hint="default"/>
                <w:spacing w:val="9"/>
                <w:sz w:val="24"/>
                <w:szCs w:val="24"/>
              </w:rPr>
              <w:t>(</w:t>
            </w:r>
            <w:r>
              <w:rPr>
                <w:rFonts w:ascii="宋体" w:hAnsi="宋体" w:cs="宋体" w:eastAsia="宋体" w:hint="default"/>
                <w:spacing w:val="9"/>
                <w:sz w:val="24"/>
                <w:szCs w:val="24"/>
              </w:rPr>
              <w:t>股票简称：同方国芯，股票代码：</w:t>
            </w:r>
          </w:p>
          <w:p>
            <w:pPr>
              <w:pStyle w:val="TableParagraph"/>
              <w:spacing w:line="313" w:lineRule="exact"/>
              <w:ind w:left="100" w:right="0"/>
              <w:jc w:val="left"/>
              <w:rPr>
                <w:rFonts w:ascii="宋体" w:hAnsi="宋体" w:cs="宋体" w:eastAsia="宋体" w:hint="default"/>
                <w:sz w:val="24"/>
                <w:szCs w:val="24"/>
              </w:rPr>
            </w:pPr>
            <w:r>
              <w:rPr>
                <w:rFonts w:ascii="宋体"/>
                <w:sz w:val="24"/>
              </w:rPr>
              <w:t>002049)</w:t>
            </w:r>
          </w:p>
        </w:tc>
      </w:tr>
      <w:tr>
        <w:trPr>
          <w:trHeight w:val="950"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93" w:right="0"/>
              <w:jc w:val="left"/>
              <w:rPr>
                <w:rFonts w:ascii="宋体" w:hAnsi="宋体" w:cs="宋体" w:eastAsia="宋体" w:hint="default"/>
                <w:sz w:val="24"/>
                <w:szCs w:val="24"/>
              </w:rPr>
            </w:pPr>
            <w:r>
              <w:rPr>
                <w:rFonts w:ascii="宋体"/>
                <w:sz w:val="24"/>
              </w:rPr>
              <w:t>SOC</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System on</w:t>
            </w:r>
            <w:r>
              <w:rPr>
                <w:rFonts w:ascii="宋体" w:hAnsi="宋体" w:cs="宋体" w:eastAsia="宋体" w:hint="default"/>
                <w:spacing w:val="-91"/>
                <w:sz w:val="24"/>
                <w:szCs w:val="24"/>
              </w:rPr>
              <w:t> </w:t>
            </w:r>
            <w:r>
              <w:rPr>
                <w:rFonts w:ascii="宋体" w:hAnsi="宋体" w:cs="宋体" w:eastAsia="宋体" w:hint="default"/>
                <w:sz w:val="24"/>
                <w:szCs w:val="24"/>
              </w:rPr>
              <w:t>Chip</w:t>
            </w:r>
            <w:r>
              <w:rPr>
                <w:rFonts w:ascii="宋体" w:hAnsi="宋体" w:cs="宋体" w:eastAsia="宋体" w:hint="default"/>
                <w:sz w:val="24"/>
                <w:szCs w:val="24"/>
              </w:rPr>
              <w:t>，称为芯片级系统，也有称片上系统，意指它是一</w:t>
            </w:r>
          </w:p>
          <w:p>
            <w:pPr>
              <w:pStyle w:val="TableParagraph"/>
              <w:spacing w:line="312" w:lineRule="exact" w:before="28"/>
              <w:ind w:left="100" w:right="92"/>
              <w:jc w:val="left"/>
              <w:rPr>
                <w:rFonts w:ascii="宋体" w:hAnsi="宋体" w:cs="宋体" w:eastAsia="宋体" w:hint="default"/>
                <w:sz w:val="24"/>
                <w:szCs w:val="24"/>
              </w:rPr>
            </w:pPr>
            <w:r>
              <w:rPr>
                <w:rFonts w:ascii="宋体" w:hAnsi="宋体" w:cs="宋体" w:eastAsia="宋体" w:hint="default"/>
                <w:spacing w:val="-4"/>
                <w:sz w:val="24"/>
                <w:szCs w:val="24"/>
              </w:rPr>
              <w:t>个产品，是一个有专用目标的集成电路，其中包含完整系统并有嵌</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z w:val="24"/>
                <w:szCs w:val="24"/>
              </w:rPr>
              <w:t>入软件的全部内容。</w:t>
            </w:r>
          </w:p>
        </w:tc>
      </w:tr>
      <w:tr>
        <w:trPr>
          <w:trHeight w:val="63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5"/>
              <w:ind w:left="93" w:right="0"/>
              <w:jc w:val="left"/>
              <w:rPr>
                <w:rFonts w:ascii="宋体" w:hAnsi="宋体" w:cs="宋体" w:eastAsia="宋体" w:hint="default"/>
                <w:sz w:val="24"/>
                <w:szCs w:val="24"/>
              </w:rPr>
            </w:pPr>
            <w:r>
              <w:rPr>
                <w:rFonts w:ascii="宋体" w:hAnsi="宋体" w:cs="宋体" w:eastAsia="宋体" w:hint="default"/>
                <w:sz w:val="24"/>
                <w:szCs w:val="24"/>
              </w:rPr>
              <w:t>SWP-SIM</w:t>
            </w:r>
            <w:r>
              <w:rPr>
                <w:rFonts w:ascii="宋体" w:hAnsi="宋体" w:cs="宋体" w:eastAsia="宋体" w:hint="default"/>
                <w:spacing w:val="-61"/>
                <w:sz w:val="24"/>
                <w:szCs w:val="24"/>
              </w:rPr>
              <w:t> </w:t>
            </w:r>
            <w:r>
              <w:rPr>
                <w:rFonts w:ascii="宋体" w:hAnsi="宋体" w:cs="宋体" w:eastAsia="宋体" w:hint="default"/>
                <w:sz w:val="24"/>
                <w:szCs w:val="24"/>
              </w:rPr>
              <w:t>卡</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以一种新规格的</w:t>
            </w:r>
            <w:r>
              <w:rPr>
                <w:rFonts w:ascii="宋体" w:hAnsi="宋体" w:cs="宋体" w:eastAsia="宋体" w:hint="default"/>
                <w:spacing w:val="-57"/>
                <w:sz w:val="24"/>
                <w:szCs w:val="24"/>
              </w:rPr>
              <w:t> </w:t>
            </w:r>
            <w:r>
              <w:rPr>
                <w:rFonts w:ascii="宋体" w:hAnsi="宋体" w:cs="宋体" w:eastAsia="宋体" w:hint="default"/>
                <w:sz w:val="24"/>
                <w:szCs w:val="24"/>
              </w:rPr>
              <w:t>SIM</w:t>
            </w:r>
            <w:r>
              <w:rPr>
                <w:rFonts w:ascii="宋体" w:hAnsi="宋体" w:cs="宋体" w:eastAsia="宋体" w:hint="default"/>
                <w:spacing w:val="-57"/>
                <w:sz w:val="24"/>
                <w:szCs w:val="24"/>
              </w:rPr>
              <w:t> </w:t>
            </w:r>
            <w:r>
              <w:rPr>
                <w:rFonts w:ascii="宋体" w:hAnsi="宋体" w:cs="宋体" w:eastAsia="宋体" w:hint="default"/>
                <w:spacing w:val="-6"/>
                <w:sz w:val="24"/>
                <w:szCs w:val="24"/>
              </w:rPr>
              <w:t>卡做为安全芯片，将卡号与密码存放在</w:t>
            </w:r>
            <w:r>
              <w:rPr>
                <w:rFonts w:ascii="宋体" w:hAnsi="宋体" w:cs="宋体" w:eastAsia="宋体" w:hint="default"/>
                <w:spacing w:val="-56"/>
                <w:sz w:val="24"/>
                <w:szCs w:val="24"/>
              </w:rPr>
              <w:t> </w:t>
            </w:r>
            <w:r>
              <w:rPr>
                <w:rFonts w:ascii="宋体" w:hAnsi="宋体" w:cs="宋体" w:eastAsia="宋体" w:hint="default"/>
                <w:sz w:val="24"/>
                <w:szCs w:val="24"/>
              </w:rPr>
              <w:t>SIM</w:t>
            </w:r>
            <w:r>
              <w:rPr>
                <w:rFonts w:ascii="宋体" w:hAnsi="宋体" w:cs="宋体" w:eastAsia="宋体" w:hint="default"/>
                <w:spacing w:val="-57"/>
                <w:sz w:val="24"/>
                <w:szCs w:val="24"/>
              </w:rPr>
              <w:t> </w:t>
            </w:r>
            <w:r>
              <w:rPr>
                <w:rFonts w:ascii="宋体" w:hAnsi="宋体" w:cs="宋体" w:eastAsia="宋体" w:hint="default"/>
                <w:sz w:val="24"/>
                <w:szCs w:val="24"/>
              </w:rPr>
              <w:t>卡</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内，透过卡上的</w:t>
            </w:r>
            <w:r>
              <w:rPr>
                <w:rFonts w:ascii="宋体" w:hAnsi="宋体" w:cs="宋体" w:eastAsia="宋体" w:hint="default"/>
                <w:spacing w:val="-60"/>
                <w:sz w:val="24"/>
                <w:szCs w:val="24"/>
              </w:rPr>
              <w:t> </w:t>
            </w:r>
            <w:r>
              <w:rPr>
                <w:rFonts w:ascii="宋体" w:hAnsi="宋体" w:cs="宋体" w:eastAsia="宋体" w:hint="default"/>
                <w:sz w:val="24"/>
                <w:szCs w:val="24"/>
              </w:rPr>
              <w:t>C6</w:t>
            </w:r>
            <w:r>
              <w:rPr>
                <w:rFonts w:ascii="宋体" w:hAnsi="宋体" w:cs="宋体" w:eastAsia="宋体" w:hint="default"/>
                <w:spacing w:val="-60"/>
                <w:sz w:val="24"/>
                <w:szCs w:val="24"/>
              </w:rPr>
              <w:t> </w:t>
            </w:r>
            <w:r>
              <w:rPr>
                <w:rFonts w:ascii="宋体" w:hAnsi="宋体" w:cs="宋体" w:eastAsia="宋体" w:hint="default"/>
                <w:sz w:val="24"/>
                <w:szCs w:val="24"/>
              </w:rPr>
              <w:t>接脚与</w:t>
            </w:r>
            <w:r>
              <w:rPr>
                <w:rFonts w:ascii="宋体" w:hAnsi="宋体" w:cs="宋体" w:eastAsia="宋体" w:hint="default"/>
                <w:spacing w:val="-60"/>
                <w:sz w:val="24"/>
                <w:szCs w:val="24"/>
              </w:rPr>
              <w:t> </w:t>
            </w:r>
            <w:r>
              <w:rPr>
                <w:rFonts w:ascii="宋体" w:hAnsi="宋体" w:cs="宋体" w:eastAsia="宋体" w:hint="default"/>
                <w:sz w:val="24"/>
                <w:szCs w:val="24"/>
              </w:rPr>
              <w:t>NFC</w:t>
            </w:r>
            <w:r>
              <w:rPr>
                <w:rFonts w:ascii="宋体" w:hAnsi="宋体" w:cs="宋体" w:eastAsia="宋体" w:hint="default"/>
                <w:spacing w:val="-60"/>
                <w:sz w:val="24"/>
                <w:szCs w:val="24"/>
              </w:rPr>
              <w:t> </w:t>
            </w:r>
            <w:r>
              <w:rPr>
                <w:rFonts w:ascii="宋体" w:hAnsi="宋体" w:cs="宋体" w:eastAsia="宋体" w:hint="default"/>
                <w:sz w:val="24"/>
                <w:szCs w:val="24"/>
              </w:rPr>
              <w:t>控制器连接。</w:t>
            </w:r>
          </w:p>
        </w:tc>
      </w:tr>
      <w:tr>
        <w:trPr>
          <w:trHeight w:val="1260"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sz w:val="24"/>
              </w:rPr>
              <w:t>LED</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Lighting Emitting</w:t>
            </w:r>
            <w:r>
              <w:rPr>
                <w:rFonts w:ascii="宋体" w:hAnsi="宋体" w:cs="宋体" w:eastAsia="宋体" w:hint="default"/>
                <w:spacing w:val="27"/>
                <w:sz w:val="24"/>
                <w:szCs w:val="24"/>
              </w:rPr>
              <w:t> </w:t>
            </w:r>
            <w:r>
              <w:rPr>
                <w:rFonts w:ascii="宋体" w:hAnsi="宋体" w:cs="宋体" w:eastAsia="宋体" w:hint="default"/>
                <w:sz w:val="24"/>
                <w:szCs w:val="24"/>
              </w:rPr>
              <w:t>Diode</w:t>
            </w:r>
            <w:r>
              <w:rPr>
                <w:rFonts w:ascii="宋体" w:hAnsi="宋体" w:cs="宋体" w:eastAsia="宋体" w:hint="default"/>
                <w:sz w:val="24"/>
                <w:szCs w:val="24"/>
              </w:rPr>
              <w:t>，即发光二极管，是一种半导体固体发</w:t>
            </w:r>
          </w:p>
          <w:p>
            <w:pPr>
              <w:pStyle w:val="TableParagraph"/>
              <w:spacing w:line="312" w:lineRule="exact" w:before="30"/>
              <w:ind w:left="100" w:right="-26"/>
              <w:jc w:val="left"/>
              <w:rPr>
                <w:rFonts w:ascii="宋体" w:hAnsi="宋体" w:cs="宋体" w:eastAsia="宋体" w:hint="default"/>
                <w:sz w:val="24"/>
                <w:szCs w:val="24"/>
              </w:rPr>
            </w:pPr>
            <w:r>
              <w:rPr>
                <w:rFonts w:ascii="宋体" w:hAnsi="宋体" w:cs="宋体" w:eastAsia="宋体" w:hint="default"/>
                <w:spacing w:val="-4"/>
                <w:sz w:val="24"/>
                <w:szCs w:val="24"/>
              </w:rPr>
              <w:t>光器件。它是利用固体半导体芯片作为发光材料，在半导体中通过</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pacing w:val="-7"/>
                <w:sz w:val="24"/>
                <w:szCs w:val="24"/>
              </w:rPr>
              <w:t>载流子发生复合放出过剩的能量而引起光子发射，直接发出红、黄、</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蓝、绿、青、橙、紫等单色的光。</w:t>
            </w:r>
          </w:p>
        </w:tc>
      </w:tr>
      <w:tr>
        <w:trPr>
          <w:trHeight w:val="638"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同方泰德</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Technovator International</w:t>
            </w:r>
            <w:r>
              <w:rPr>
                <w:rFonts w:ascii="宋体" w:hAnsi="宋体" w:cs="宋体" w:eastAsia="宋体" w:hint="default"/>
                <w:spacing w:val="30"/>
                <w:sz w:val="24"/>
                <w:szCs w:val="24"/>
              </w:rPr>
              <w:t> </w:t>
            </w:r>
            <w:r>
              <w:rPr>
                <w:rFonts w:ascii="宋体" w:hAnsi="宋体" w:cs="宋体" w:eastAsia="宋体" w:hint="default"/>
                <w:sz w:val="24"/>
                <w:szCs w:val="24"/>
              </w:rPr>
              <w:t>Limited</w:t>
            </w:r>
            <w:r>
              <w:rPr>
                <w:rFonts w:ascii="宋体" w:hAnsi="宋体" w:cs="宋体" w:eastAsia="宋体" w:hint="default"/>
                <w:sz w:val="24"/>
                <w:szCs w:val="24"/>
              </w:rPr>
              <w:t>，股票代码：</w:t>
            </w:r>
            <w:r>
              <w:rPr>
                <w:rFonts w:ascii="宋体" w:hAnsi="宋体" w:cs="宋体" w:eastAsia="宋体" w:hint="default"/>
                <w:sz w:val="24"/>
                <w:szCs w:val="24"/>
              </w:rPr>
              <w:t>HK1206</w:t>
            </w:r>
            <w:r>
              <w:rPr>
                <w:rFonts w:ascii="宋体" w:hAnsi="宋体" w:cs="宋体" w:eastAsia="宋体" w:hint="default"/>
                <w:sz w:val="24"/>
                <w:szCs w:val="24"/>
              </w:rPr>
              <w:t>，股票</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简称：同方泰德</w:t>
            </w:r>
          </w:p>
        </w:tc>
      </w:tr>
      <w:tr>
        <w:trPr>
          <w:trHeight w:val="32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sz w:val="24"/>
              </w:rPr>
              <w:t>Distech</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tabs>
                <w:tab w:pos="1180" w:val="left" w:leader="none"/>
              </w:tabs>
              <w:spacing w:line="274" w:lineRule="exact"/>
              <w:ind w:left="100" w:right="0"/>
              <w:jc w:val="left"/>
              <w:rPr>
                <w:rFonts w:ascii="宋体" w:hAnsi="宋体" w:cs="宋体" w:eastAsia="宋体" w:hint="default"/>
                <w:sz w:val="24"/>
                <w:szCs w:val="24"/>
              </w:rPr>
            </w:pPr>
            <w:r>
              <w:rPr>
                <w:rFonts w:ascii="宋体"/>
                <w:sz w:val="24"/>
              </w:rPr>
              <w:t>Distech</w:t>
              <w:tab/>
              <w:t>Controls Inc.</w:t>
            </w:r>
          </w:p>
        </w:tc>
      </w:tr>
      <w:tr>
        <w:trPr>
          <w:trHeight w:val="63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同方友友</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25"/>
              <w:jc w:val="left"/>
              <w:rPr>
                <w:rFonts w:ascii="宋体" w:hAnsi="宋体" w:cs="宋体" w:eastAsia="宋体" w:hint="default"/>
                <w:sz w:val="24"/>
                <w:szCs w:val="24"/>
              </w:rPr>
            </w:pPr>
            <w:r>
              <w:rPr>
                <w:rFonts w:ascii="宋体" w:hAnsi="宋体" w:cs="宋体" w:eastAsia="宋体" w:hint="default"/>
                <w:sz w:val="24"/>
                <w:szCs w:val="24"/>
              </w:rPr>
              <w:t>Neo-Neon</w:t>
            </w:r>
            <w:r>
              <w:rPr>
                <w:rFonts w:ascii="宋体" w:hAnsi="宋体" w:cs="宋体" w:eastAsia="宋体" w:hint="default"/>
                <w:spacing w:val="-52"/>
                <w:sz w:val="24"/>
                <w:szCs w:val="24"/>
              </w:rPr>
              <w:t> </w:t>
            </w:r>
            <w:r>
              <w:rPr>
                <w:rFonts w:ascii="宋体" w:hAnsi="宋体" w:cs="宋体" w:eastAsia="宋体" w:hint="default"/>
                <w:sz w:val="24"/>
                <w:szCs w:val="24"/>
              </w:rPr>
              <w:t>Holdings</w:t>
            </w:r>
            <w:r>
              <w:rPr>
                <w:rFonts w:ascii="宋体" w:hAnsi="宋体" w:cs="宋体" w:eastAsia="宋体" w:hint="default"/>
                <w:spacing w:val="-52"/>
                <w:sz w:val="24"/>
                <w:szCs w:val="24"/>
              </w:rPr>
              <w:t> </w:t>
            </w:r>
            <w:r>
              <w:rPr>
                <w:rFonts w:ascii="宋体" w:hAnsi="宋体" w:cs="宋体" w:eastAsia="宋体" w:hint="default"/>
                <w:spacing w:val="-9"/>
                <w:sz w:val="24"/>
                <w:szCs w:val="24"/>
              </w:rPr>
              <w:t>Limited</w:t>
            </w:r>
            <w:r>
              <w:rPr>
                <w:rFonts w:ascii="宋体" w:hAnsi="宋体" w:cs="宋体" w:eastAsia="宋体" w:hint="default"/>
                <w:spacing w:val="-9"/>
                <w:sz w:val="24"/>
                <w:szCs w:val="24"/>
              </w:rPr>
              <w:t>，原中文名称“真明丽控股有限公司”，</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股票代码：</w:t>
            </w:r>
            <w:r>
              <w:rPr>
                <w:rFonts w:ascii="宋体" w:hAnsi="宋体" w:cs="宋体" w:eastAsia="宋体" w:hint="default"/>
                <w:sz w:val="24"/>
                <w:szCs w:val="24"/>
              </w:rPr>
              <w:t>HK1868</w:t>
            </w:r>
            <w:r>
              <w:rPr>
                <w:rFonts w:ascii="宋体" w:hAnsi="宋体" w:cs="宋体" w:eastAsia="宋体" w:hint="default"/>
                <w:sz w:val="24"/>
                <w:szCs w:val="24"/>
              </w:rPr>
              <w:t>，股票简称：同方友友</w:t>
            </w:r>
          </w:p>
        </w:tc>
      </w:tr>
      <w:tr>
        <w:trPr>
          <w:trHeight w:val="638"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hAnsi="宋体" w:cs="宋体" w:eastAsia="宋体" w:hint="default"/>
                <w:sz w:val="24"/>
                <w:szCs w:val="24"/>
              </w:rPr>
              <w:t>同方健康</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pacing w:val="-3"/>
                <w:sz w:val="24"/>
                <w:szCs w:val="24"/>
              </w:rPr>
              <w:t>同方健康科技</w:t>
            </w:r>
            <w:r>
              <w:rPr>
                <w:rFonts w:ascii="宋体" w:hAnsi="宋体" w:cs="宋体" w:eastAsia="宋体" w:hint="default"/>
                <w:spacing w:val="-3"/>
                <w:sz w:val="24"/>
                <w:szCs w:val="24"/>
              </w:rPr>
              <w:t>(</w:t>
            </w:r>
            <w:r>
              <w:rPr>
                <w:rFonts w:ascii="宋体" w:hAnsi="宋体" w:cs="宋体" w:eastAsia="宋体" w:hint="default"/>
                <w:spacing w:val="-3"/>
                <w:sz w:val="24"/>
                <w:szCs w:val="24"/>
              </w:rPr>
              <w:t>北京</w:t>
            </w:r>
            <w:r>
              <w:rPr>
                <w:rFonts w:ascii="宋体" w:hAnsi="宋体" w:cs="宋体" w:eastAsia="宋体" w:hint="default"/>
                <w:spacing w:val="-3"/>
                <w:sz w:val="24"/>
                <w:szCs w:val="24"/>
              </w:rPr>
              <w:t>)</w:t>
            </w:r>
            <w:r>
              <w:rPr>
                <w:rFonts w:ascii="宋体" w:hAnsi="宋体" w:cs="宋体" w:eastAsia="宋体" w:hint="default"/>
                <w:spacing w:val="-3"/>
                <w:sz w:val="24"/>
                <w:szCs w:val="24"/>
              </w:rPr>
              <w:t>股份有限公司，证券简称：同方健康，证券代</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码：</w:t>
            </w:r>
            <w:r>
              <w:rPr>
                <w:rFonts w:ascii="宋体" w:hAnsi="宋体" w:cs="宋体" w:eastAsia="宋体" w:hint="default"/>
                <w:sz w:val="24"/>
                <w:szCs w:val="24"/>
              </w:rPr>
              <w:t>833151</w:t>
            </w:r>
          </w:p>
        </w:tc>
      </w:tr>
      <w:tr>
        <w:trPr>
          <w:trHeight w:val="327"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泰豪科技</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pacing w:val="-3"/>
                <w:sz w:val="24"/>
                <w:szCs w:val="24"/>
              </w:rPr>
              <w:t>泰豪科技股份有限公司，股票代码：</w:t>
            </w:r>
            <w:r>
              <w:rPr>
                <w:rFonts w:ascii="宋体" w:hAnsi="宋体" w:cs="宋体" w:eastAsia="宋体" w:hint="default"/>
                <w:spacing w:val="-3"/>
                <w:sz w:val="24"/>
                <w:szCs w:val="24"/>
              </w:rPr>
              <w:t>600590</w:t>
            </w:r>
            <w:r>
              <w:rPr>
                <w:rFonts w:ascii="宋体" w:hAnsi="宋体" w:cs="宋体" w:eastAsia="宋体" w:hint="default"/>
                <w:spacing w:val="-3"/>
                <w:sz w:val="24"/>
                <w:szCs w:val="24"/>
              </w:rPr>
              <w:t>，股票简称：泰豪科技</w:t>
            </w:r>
          </w:p>
        </w:tc>
      </w:tr>
      <w:tr>
        <w:trPr>
          <w:trHeight w:val="638"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华控赛格</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81" w:lineRule="exact"/>
              <w:ind w:left="100" w:right="0"/>
              <w:jc w:val="left"/>
              <w:rPr>
                <w:rFonts w:ascii="宋体" w:hAnsi="宋体" w:cs="宋体" w:eastAsia="宋体" w:hint="default"/>
                <w:sz w:val="24"/>
                <w:szCs w:val="24"/>
              </w:rPr>
            </w:pPr>
            <w:r>
              <w:rPr>
                <w:rFonts w:ascii="宋体" w:hAnsi="宋体" w:cs="宋体" w:eastAsia="宋体" w:hint="default"/>
                <w:w w:val="95"/>
                <w:sz w:val="24"/>
                <w:szCs w:val="24"/>
              </w:rPr>
              <w:t>深圳华控赛格股份有限公司，股票代码：</w:t>
            </w:r>
            <w:r>
              <w:rPr>
                <w:rFonts w:ascii="Arial" w:hAnsi="Arial" w:cs="Arial" w:eastAsia="Arial" w:hint="default"/>
                <w:w w:val="95"/>
                <w:sz w:val="24"/>
                <w:szCs w:val="24"/>
              </w:rPr>
              <w:t>000068</w:t>
            </w:r>
            <w:r>
              <w:rPr>
                <w:rFonts w:ascii="宋体" w:hAnsi="宋体" w:cs="宋体" w:eastAsia="宋体" w:hint="default"/>
                <w:w w:val="95"/>
                <w:sz w:val="24"/>
                <w:szCs w:val="24"/>
              </w:rPr>
              <w:t>，股票简称：华控</w:t>
            </w:r>
          </w:p>
          <w:p>
            <w:pPr>
              <w:pStyle w:val="TableParagraph"/>
              <w:spacing w:line="304" w:lineRule="exact"/>
              <w:ind w:left="100" w:right="0"/>
              <w:jc w:val="left"/>
              <w:rPr>
                <w:rFonts w:ascii="宋体" w:hAnsi="宋体" w:cs="宋体" w:eastAsia="宋体" w:hint="default"/>
                <w:sz w:val="24"/>
                <w:szCs w:val="24"/>
              </w:rPr>
            </w:pPr>
            <w:r>
              <w:rPr>
                <w:rFonts w:ascii="宋体" w:hAnsi="宋体" w:cs="宋体" w:eastAsia="宋体" w:hint="default"/>
                <w:sz w:val="24"/>
                <w:szCs w:val="24"/>
              </w:rPr>
              <w:t>赛格</w:t>
            </w:r>
          </w:p>
        </w:tc>
      </w:tr>
      <w:tr>
        <w:trPr>
          <w:trHeight w:val="32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联合水泥</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91" w:lineRule="exact"/>
              <w:ind w:left="100" w:right="0"/>
              <w:jc w:val="left"/>
              <w:rPr>
                <w:rFonts w:ascii="宋体" w:hAnsi="宋体" w:cs="宋体" w:eastAsia="宋体" w:hint="default"/>
                <w:sz w:val="24"/>
                <w:szCs w:val="24"/>
              </w:rPr>
            </w:pPr>
            <w:r>
              <w:rPr>
                <w:rFonts w:ascii="宋体" w:hAnsi="宋体" w:cs="宋体" w:eastAsia="宋体" w:hint="default"/>
                <w:spacing w:val="-3"/>
                <w:w w:val="95"/>
                <w:sz w:val="24"/>
                <w:szCs w:val="24"/>
              </w:rPr>
              <w:t>联合水泥控股有限公司，股票代码：</w:t>
            </w:r>
            <w:r>
              <w:rPr>
                <w:rFonts w:ascii="Arial" w:hAnsi="Arial" w:cs="Arial" w:eastAsia="Arial" w:hint="default"/>
                <w:spacing w:val="-3"/>
                <w:w w:val="95"/>
                <w:sz w:val="24"/>
                <w:szCs w:val="24"/>
              </w:rPr>
              <w:t>HK1312</w:t>
            </w:r>
            <w:r>
              <w:rPr>
                <w:rFonts w:ascii="宋体" w:hAnsi="宋体" w:cs="宋体" w:eastAsia="宋体" w:hint="default"/>
                <w:spacing w:val="-3"/>
                <w:w w:val="95"/>
                <w:sz w:val="24"/>
                <w:szCs w:val="24"/>
              </w:rPr>
              <w:t>，股票简称：联合水泥</w:t>
            </w:r>
          </w:p>
        </w:tc>
      </w:tr>
      <w:tr>
        <w:trPr>
          <w:trHeight w:val="324"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辰安科技</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北京辰安科技股份有限公司</w:t>
            </w:r>
          </w:p>
        </w:tc>
      </w:tr>
      <w:tr>
        <w:trPr>
          <w:trHeight w:val="32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hAnsi="宋体" w:cs="宋体" w:eastAsia="宋体" w:hint="default"/>
                <w:sz w:val="24"/>
                <w:szCs w:val="24"/>
              </w:rPr>
              <w:t>同方投资</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同方投资有限公司</w:t>
            </w:r>
          </w:p>
        </w:tc>
      </w:tr>
      <w:tr>
        <w:trPr>
          <w:trHeight w:val="32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hAnsi="宋体" w:cs="宋体" w:eastAsia="宋体" w:hint="default"/>
                <w:sz w:val="24"/>
                <w:szCs w:val="24"/>
              </w:rPr>
              <w:t>嘉融投资</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嘉融投资有限公司</w:t>
            </w:r>
          </w:p>
        </w:tc>
      </w:tr>
      <w:tr>
        <w:trPr>
          <w:trHeight w:val="32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hAnsi="宋体" w:cs="宋体" w:eastAsia="宋体" w:hint="default"/>
                <w:sz w:val="24"/>
                <w:szCs w:val="24"/>
              </w:rPr>
              <w:t>重庆国信</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重庆国信投资控股有限公司</w:t>
            </w:r>
          </w:p>
        </w:tc>
      </w:tr>
      <w:tr>
        <w:trPr>
          <w:trHeight w:val="32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hAnsi="宋体" w:cs="宋体" w:eastAsia="宋体" w:hint="default"/>
                <w:sz w:val="24"/>
                <w:szCs w:val="24"/>
              </w:rPr>
              <w:t>同方全球人寿</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同方全球人寿保险有限公司，原名称“海康人寿保险有限公司”</w:t>
            </w:r>
          </w:p>
        </w:tc>
      </w:tr>
      <w:tr>
        <w:trPr>
          <w:trHeight w:val="32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sz w:val="24"/>
              </w:rPr>
              <w:t>NFC</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近距离无线通信技术</w:t>
            </w:r>
          </w:p>
        </w:tc>
      </w:tr>
      <w:tr>
        <w:trPr>
          <w:trHeight w:val="327"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E</w:t>
            </w:r>
            <w:r>
              <w:rPr>
                <w:rFonts w:ascii="宋体" w:hAnsi="宋体" w:cs="宋体" w:eastAsia="宋体" w:hint="default"/>
                <w:spacing w:val="-60"/>
                <w:sz w:val="24"/>
                <w:szCs w:val="24"/>
              </w:rPr>
              <w:t> </w:t>
            </w:r>
            <w:r>
              <w:rPr>
                <w:rFonts w:ascii="宋体" w:hAnsi="宋体" w:cs="宋体" w:eastAsia="宋体" w:hint="default"/>
                <w:sz w:val="24"/>
                <w:szCs w:val="24"/>
              </w:rPr>
              <w:t>人</w:t>
            </w:r>
            <w:r>
              <w:rPr>
                <w:rFonts w:ascii="宋体" w:hAnsi="宋体" w:cs="宋体" w:eastAsia="宋体" w:hint="default"/>
                <w:spacing w:val="-60"/>
                <w:sz w:val="24"/>
                <w:szCs w:val="24"/>
              </w:rPr>
              <w:t> </w:t>
            </w:r>
            <w:r>
              <w:rPr>
                <w:rFonts w:ascii="宋体" w:hAnsi="宋体" w:cs="宋体" w:eastAsia="宋体" w:hint="default"/>
                <w:sz w:val="24"/>
                <w:szCs w:val="24"/>
              </w:rPr>
              <w:t>E</w:t>
            </w:r>
            <w:r>
              <w:rPr>
                <w:rFonts w:ascii="宋体" w:hAnsi="宋体" w:cs="宋体" w:eastAsia="宋体" w:hint="default"/>
                <w:spacing w:val="-61"/>
                <w:sz w:val="24"/>
                <w:szCs w:val="24"/>
              </w:rPr>
              <w:t> </w:t>
            </w:r>
            <w:r>
              <w:rPr>
                <w:rFonts w:ascii="宋体" w:hAnsi="宋体" w:cs="宋体" w:eastAsia="宋体" w:hint="default"/>
                <w:sz w:val="24"/>
                <w:szCs w:val="24"/>
              </w:rPr>
              <w:t>本</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北京壹人壹本信息科技有限公司自有的商用平板电脑等产品</w:t>
            </w:r>
          </w:p>
        </w:tc>
      </w:tr>
      <w:tr>
        <w:trPr>
          <w:trHeight w:val="334" w:hRule="exact"/>
        </w:trPr>
        <w:tc>
          <w:tcPr>
            <w:tcW w:w="1951" w:type="dxa"/>
            <w:tcBorders>
              <w:top w:val="single" w:sz="6" w:space="0" w:color="000000"/>
              <w:left w:val="single" w:sz="12" w:space="0" w:color="000000"/>
              <w:bottom w:val="single" w:sz="12"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sz w:val="24"/>
              </w:rPr>
              <w:t>CNKI</w:t>
            </w:r>
          </w:p>
        </w:tc>
        <w:tc>
          <w:tcPr>
            <w:tcW w:w="567"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12" w:space="0" w:color="000000"/>
              <w:right w:val="single" w:sz="12" w:space="0" w:color="000000"/>
            </w:tcBorders>
          </w:tcPr>
          <w:p>
            <w:pPr>
              <w:pStyle w:val="TableParagraph"/>
              <w:spacing w:line="292" w:lineRule="exact"/>
              <w:ind w:left="100" w:right="0"/>
              <w:jc w:val="left"/>
              <w:rPr>
                <w:rFonts w:ascii="宋体" w:hAnsi="宋体" w:cs="宋体" w:eastAsia="宋体" w:hint="default"/>
                <w:sz w:val="24"/>
                <w:szCs w:val="24"/>
              </w:rPr>
            </w:pPr>
            <w:hyperlink r:id="rId8">
              <w:r>
                <w:rPr>
                  <w:rFonts w:ascii="Times New Roman" w:hAnsi="Times New Roman" w:cs="Times New Roman" w:eastAsia="Times New Roman" w:hint="default"/>
                  <w:sz w:val="24"/>
                  <w:szCs w:val="24"/>
                </w:rPr>
                <w:t>www.cnki.net</w:t>
              </w:r>
            </w:hyperlink>
            <w:r>
              <w:rPr>
                <w:rFonts w:ascii="宋体" w:hAnsi="宋体" w:cs="宋体" w:eastAsia="宋体" w:hint="default"/>
                <w:sz w:val="24"/>
                <w:szCs w:val="24"/>
              </w:rPr>
              <w:t>，中国知网的门户网站</w:t>
            </w:r>
          </w:p>
        </w:tc>
      </w:tr>
    </w:tbl>
    <w:p>
      <w:pPr>
        <w:spacing w:after="0" w:line="292" w:lineRule="exact"/>
        <w:jc w:val="left"/>
        <w:rPr>
          <w:rFonts w:ascii="宋体" w:hAnsi="宋体" w:cs="宋体" w:eastAsia="宋体" w:hint="default"/>
          <w:sz w:val="24"/>
          <w:szCs w:val="24"/>
        </w:rPr>
        <w:sectPr>
          <w:pgSz w:w="11910" w:h="16840"/>
          <w:pgMar w:header="618" w:footer="760" w:top="1020" w:bottom="980" w:left="1180" w:right="8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8"/>
          <w:szCs w:val="18"/>
        </w:rPr>
      </w:pPr>
    </w:p>
    <w:tbl>
      <w:tblPr>
        <w:tblW w:w="0" w:type="auto"/>
        <w:jc w:val="left"/>
        <w:tblInd w:w="116" w:type="dxa"/>
        <w:tblLayout w:type="fixed"/>
        <w:tblCellMar>
          <w:top w:w="0" w:type="dxa"/>
          <w:left w:w="0" w:type="dxa"/>
          <w:bottom w:w="0" w:type="dxa"/>
          <w:right w:w="0" w:type="dxa"/>
        </w:tblCellMar>
        <w:tblLook w:val="01E0"/>
      </w:tblPr>
      <w:tblGrid>
        <w:gridCol w:w="1951"/>
        <w:gridCol w:w="567"/>
        <w:gridCol w:w="7091"/>
      </w:tblGrid>
      <w:tr>
        <w:trPr>
          <w:trHeight w:val="334" w:hRule="exact"/>
        </w:trPr>
        <w:tc>
          <w:tcPr>
            <w:tcW w:w="1951" w:type="dxa"/>
            <w:tcBorders>
              <w:top w:val="single" w:sz="12"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sz w:val="24"/>
              </w:rPr>
              <w:t>TECHCON</w:t>
            </w:r>
          </w:p>
        </w:tc>
        <w:tc>
          <w:tcPr>
            <w:tcW w:w="567"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12"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同方泰德创立的自有品牌</w:t>
            </w:r>
          </w:p>
        </w:tc>
      </w:tr>
      <w:tr>
        <w:trPr>
          <w:trHeight w:val="948"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93" w:right="0"/>
              <w:jc w:val="left"/>
              <w:rPr>
                <w:rFonts w:ascii="宋体" w:hAnsi="宋体" w:cs="宋体" w:eastAsia="宋体" w:hint="default"/>
                <w:sz w:val="24"/>
                <w:szCs w:val="24"/>
              </w:rPr>
            </w:pPr>
            <w:r>
              <w:rPr>
                <w:rFonts w:ascii="宋体"/>
                <w:sz w:val="24"/>
              </w:rPr>
              <w:t>EMC</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合同能源管理</w:t>
            </w:r>
            <w:r>
              <w:rPr>
                <w:rFonts w:ascii="宋体" w:hAnsi="宋体" w:cs="宋体" w:eastAsia="宋体" w:hint="default"/>
                <w:sz w:val="24"/>
                <w:szCs w:val="24"/>
              </w:rPr>
              <w:t>(Energy Management</w:t>
            </w:r>
            <w:r>
              <w:rPr>
                <w:rFonts w:ascii="宋体" w:hAnsi="宋体" w:cs="宋体" w:eastAsia="宋体" w:hint="default"/>
                <w:spacing w:val="30"/>
                <w:sz w:val="24"/>
                <w:szCs w:val="24"/>
              </w:rPr>
              <w:t> </w:t>
            </w:r>
            <w:r>
              <w:rPr>
                <w:rFonts w:ascii="宋体" w:hAnsi="宋体" w:cs="宋体" w:eastAsia="宋体" w:hint="default"/>
                <w:sz w:val="24"/>
                <w:szCs w:val="24"/>
              </w:rPr>
              <w:t>Contracting)</w:t>
            </w:r>
            <w:r>
              <w:rPr>
                <w:rFonts w:ascii="宋体" w:hAnsi="宋体" w:cs="宋体" w:eastAsia="宋体" w:hint="default"/>
                <w:sz w:val="24"/>
                <w:szCs w:val="24"/>
              </w:rPr>
              <w:t>，是一种以减少</w:t>
            </w:r>
          </w:p>
          <w:p>
            <w:pPr>
              <w:pStyle w:val="TableParagraph"/>
              <w:spacing w:line="312" w:lineRule="exact" w:before="29"/>
              <w:ind w:left="100" w:right="103"/>
              <w:jc w:val="left"/>
              <w:rPr>
                <w:rFonts w:ascii="宋体" w:hAnsi="宋体" w:cs="宋体" w:eastAsia="宋体" w:hint="default"/>
                <w:sz w:val="24"/>
                <w:szCs w:val="24"/>
              </w:rPr>
            </w:pPr>
            <w:r>
              <w:rPr>
                <w:rFonts w:ascii="宋体" w:hAnsi="宋体" w:cs="宋体" w:eastAsia="宋体" w:hint="default"/>
                <w:spacing w:val="4"/>
                <w:sz w:val="24"/>
                <w:szCs w:val="24"/>
              </w:rPr>
              <w:t>的能源费用来支付节能项目全部投入并获得投资收益的节能投资</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方式。</w:t>
            </w:r>
          </w:p>
        </w:tc>
      </w:tr>
      <w:tr>
        <w:trPr>
          <w:trHeight w:val="1884"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sz w:val="24"/>
              </w:rPr>
              <w:t>PPP</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both"/>
              <w:rPr>
                <w:rFonts w:ascii="宋体" w:hAnsi="宋体" w:cs="宋体" w:eastAsia="宋体" w:hint="default"/>
                <w:sz w:val="24"/>
                <w:szCs w:val="24"/>
              </w:rPr>
            </w:pPr>
            <w:r>
              <w:rPr>
                <w:rFonts w:ascii="宋体" w:hAnsi="宋体" w:cs="宋体" w:eastAsia="宋体" w:hint="default"/>
                <w:spacing w:val="-3"/>
                <w:sz w:val="24"/>
                <w:szCs w:val="24"/>
              </w:rPr>
              <w:t>公私合营模式</w:t>
            </w:r>
            <w:r>
              <w:rPr>
                <w:rFonts w:ascii="宋体" w:hAnsi="宋体" w:cs="宋体" w:eastAsia="宋体" w:hint="default"/>
                <w:spacing w:val="-3"/>
                <w:sz w:val="24"/>
                <w:szCs w:val="24"/>
              </w:rPr>
              <w:t>(Public</w:t>
            </w:r>
            <w:r>
              <w:rPr>
                <w:rFonts w:ascii="宋体" w:hAnsi="宋体" w:cs="宋体" w:eastAsia="宋体" w:hint="default"/>
                <w:spacing w:val="-3"/>
                <w:sz w:val="24"/>
                <w:szCs w:val="24"/>
              </w:rPr>
              <w:t>—</w:t>
            </w:r>
            <w:r>
              <w:rPr>
                <w:rFonts w:ascii="宋体" w:hAnsi="宋体" w:cs="宋体" w:eastAsia="宋体" w:hint="default"/>
                <w:spacing w:val="-3"/>
                <w:sz w:val="24"/>
                <w:szCs w:val="24"/>
              </w:rPr>
              <w:t>Private</w:t>
            </w:r>
            <w:r>
              <w:rPr>
                <w:rFonts w:ascii="宋体" w:hAnsi="宋体" w:cs="宋体" w:eastAsia="宋体" w:hint="default"/>
                <w:spacing w:val="-3"/>
                <w:sz w:val="24"/>
                <w:szCs w:val="24"/>
              </w:rPr>
              <w:t>—</w:t>
            </w:r>
            <w:r>
              <w:rPr>
                <w:rFonts w:ascii="宋体" w:hAnsi="宋体" w:cs="宋体" w:eastAsia="宋体" w:hint="default"/>
                <w:spacing w:val="-3"/>
                <w:sz w:val="24"/>
                <w:szCs w:val="24"/>
              </w:rPr>
              <w:t>Partnership)</w:t>
            </w:r>
            <w:r>
              <w:rPr>
                <w:rFonts w:ascii="宋体" w:hAnsi="宋体" w:cs="宋体" w:eastAsia="宋体" w:hint="default"/>
                <w:spacing w:val="-3"/>
                <w:sz w:val="24"/>
                <w:szCs w:val="24"/>
              </w:rPr>
              <w:t>，是指政府与私人</w:t>
            </w:r>
          </w:p>
          <w:p>
            <w:pPr>
              <w:pStyle w:val="TableParagraph"/>
              <w:spacing w:line="237" w:lineRule="auto"/>
              <w:ind w:left="100" w:right="92"/>
              <w:jc w:val="both"/>
              <w:rPr>
                <w:rFonts w:ascii="宋体" w:hAnsi="宋体" w:cs="宋体" w:eastAsia="宋体" w:hint="default"/>
                <w:sz w:val="24"/>
                <w:szCs w:val="24"/>
              </w:rPr>
            </w:pPr>
            <w:r>
              <w:rPr>
                <w:rFonts w:ascii="宋体" w:hAnsi="宋体" w:cs="宋体" w:eastAsia="宋体" w:hint="default"/>
                <w:spacing w:val="-4"/>
                <w:sz w:val="24"/>
                <w:szCs w:val="24"/>
              </w:rPr>
              <w:t>组织之间，为了合作建设城市基础设施项目，或是为了提供某种公</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pacing w:val="-4"/>
                <w:sz w:val="24"/>
                <w:szCs w:val="24"/>
              </w:rPr>
              <w:t>共物品和服务，以特许权协议为基础，彼此之间形成一种伙伴式的</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pacing w:val="-4"/>
                <w:sz w:val="24"/>
                <w:szCs w:val="24"/>
              </w:rPr>
              <w:t>合作关系，并通过签署合同来明确双方的权利和义务，以确保合作</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pacing w:val="4"/>
                <w:sz w:val="24"/>
                <w:szCs w:val="24"/>
              </w:rPr>
              <w:t>的顺利完成，最终使合作各方达到比预期单独行动更为有利的结</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果。</w:t>
            </w:r>
          </w:p>
        </w:tc>
      </w:tr>
      <w:tr>
        <w:trPr>
          <w:trHeight w:val="948"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93" w:right="0"/>
              <w:jc w:val="left"/>
              <w:rPr>
                <w:rFonts w:ascii="宋体" w:hAnsi="宋体" w:cs="宋体" w:eastAsia="宋体" w:hint="default"/>
                <w:sz w:val="24"/>
                <w:szCs w:val="24"/>
              </w:rPr>
            </w:pPr>
            <w:r>
              <w:rPr>
                <w:rFonts w:ascii="宋体"/>
                <w:sz w:val="24"/>
              </w:rPr>
              <w:t>IHS</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26"/>
              <w:jc w:val="left"/>
              <w:rPr>
                <w:rFonts w:ascii="宋体" w:hAnsi="宋体" w:cs="宋体" w:eastAsia="宋体" w:hint="default"/>
                <w:sz w:val="24"/>
                <w:szCs w:val="24"/>
              </w:rPr>
            </w:pPr>
            <w:r>
              <w:rPr>
                <w:rFonts w:ascii="宋体" w:hAnsi="宋体" w:cs="宋体" w:eastAsia="宋体" w:hint="default"/>
                <w:sz w:val="24"/>
                <w:szCs w:val="24"/>
              </w:rPr>
              <w:t>Imformation Handling Sevices</w:t>
            </w:r>
            <w:r>
              <w:rPr>
                <w:rFonts w:ascii="宋体" w:hAnsi="宋体" w:cs="宋体" w:eastAsia="宋体" w:hint="default"/>
                <w:sz w:val="24"/>
                <w:szCs w:val="24"/>
              </w:rPr>
              <w:t>，美国</w:t>
            </w:r>
            <w:r>
              <w:rPr>
                <w:rFonts w:ascii="宋体" w:hAnsi="宋体" w:cs="宋体" w:eastAsia="宋体" w:hint="default"/>
                <w:spacing w:val="-53"/>
                <w:sz w:val="24"/>
                <w:szCs w:val="24"/>
              </w:rPr>
              <w:t> </w:t>
            </w:r>
            <w:r>
              <w:rPr>
                <w:rFonts w:ascii="宋体" w:hAnsi="宋体" w:cs="宋体" w:eastAsia="宋体" w:hint="default"/>
                <w:sz w:val="24"/>
                <w:szCs w:val="24"/>
              </w:rPr>
              <w:t>IHS</w:t>
            </w:r>
            <w:r>
              <w:rPr>
                <w:rFonts w:ascii="宋体" w:hAnsi="宋体" w:cs="宋体" w:eastAsia="宋体" w:hint="default"/>
                <w:spacing w:val="-53"/>
                <w:sz w:val="24"/>
                <w:szCs w:val="24"/>
              </w:rPr>
              <w:t> </w:t>
            </w:r>
            <w:r>
              <w:rPr>
                <w:rFonts w:ascii="宋体" w:hAnsi="宋体" w:cs="宋体" w:eastAsia="宋体" w:hint="default"/>
                <w:sz w:val="24"/>
                <w:szCs w:val="24"/>
              </w:rPr>
              <w:t>公司成立于</w:t>
            </w:r>
            <w:r>
              <w:rPr>
                <w:rFonts w:ascii="宋体" w:hAnsi="宋体" w:cs="宋体" w:eastAsia="宋体" w:hint="default"/>
                <w:spacing w:val="-52"/>
                <w:sz w:val="24"/>
                <w:szCs w:val="24"/>
              </w:rPr>
              <w:t> </w:t>
            </w:r>
            <w:r>
              <w:rPr>
                <w:rFonts w:ascii="宋体" w:hAnsi="宋体" w:cs="宋体" w:eastAsia="宋体" w:hint="default"/>
                <w:sz w:val="24"/>
                <w:szCs w:val="24"/>
              </w:rPr>
              <w:t>1959</w:t>
            </w:r>
            <w:r>
              <w:rPr>
                <w:rFonts w:ascii="宋体" w:hAnsi="宋体" w:cs="宋体" w:eastAsia="宋体" w:hint="default"/>
                <w:spacing w:val="-53"/>
                <w:sz w:val="24"/>
                <w:szCs w:val="24"/>
              </w:rPr>
              <w:t> </w:t>
            </w:r>
            <w:r>
              <w:rPr>
                <w:rFonts w:ascii="宋体" w:hAnsi="宋体" w:cs="宋体" w:eastAsia="宋体" w:hint="default"/>
                <w:sz w:val="24"/>
                <w:szCs w:val="24"/>
              </w:rPr>
              <w:t>年，</w:t>
            </w:r>
          </w:p>
          <w:p>
            <w:pPr>
              <w:pStyle w:val="TableParagraph"/>
              <w:spacing w:line="310" w:lineRule="exact" w:before="31"/>
              <w:ind w:left="100" w:right="-26"/>
              <w:jc w:val="left"/>
              <w:rPr>
                <w:rFonts w:ascii="宋体" w:hAnsi="宋体" w:cs="宋体" w:eastAsia="宋体" w:hint="default"/>
                <w:sz w:val="24"/>
                <w:szCs w:val="24"/>
              </w:rPr>
            </w:pPr>
            <w:r>
              <w:rPr>
                <w:rFonts w:ascii="宋体" w:hAnsi="宋体" w:cs="宋体" w:eastAsia="宋体" w:hint="default"/>
                <w:spacing w:val="-8"/>
                <w:sz w:val="24"/>
                <w:szCs w:val="24"/>
              </w:rPr>
              <w:t>总部位于美国丹佛市。</w:t>
            </w:r>
            <w:r>
              <w:rPr>
                <w:rFonts w:ascii="宋体" w:hAnsi="宋体" w:cs="宋体" w:eastAsia="宋体" w:hint="default"/>
                <w:spacing w:val="-8"/>
                <w:sz w:val="24"/>
                <w:szCs w:val="24"/>
              </w:rPr>
              <w:t>IHS</w:t>
            </w:r>
            <w:r>
              <w:rPr>
                <w:rFonts w:ascii="宋体" w:hAnsi="宋体" w:cs="宋体" w:eastAsia="宋体" w:hint="default"/>
                <w:spacing w:val="3"/>
                <w:sz w:val="24"/>
                <w:szCs w:val="24"/>
              </w:rPr>
              <w:t> </w:t>
            </w:r>
            <w:r>
              <w:rPr>
                <w:rFonts w:ascii="宋体" w:hAnsi="宋体" w:cs="宋体" w:eastAsia="宋体" w:hint="default"/>
                <w:spacing w:val="-6"/>
                <w:sz w:val="24"/>
                <w:szCs w:val="24"/>
              </w:rPr>
              <w:t>是全球具有领先地位的关键信息、产品、</w:t>
            </w:r>
            <w:r>
              <w:rPr>
                <w:rFonts w:ascii="宋体" w:hAnsi="宋体" w:cs="宋体" w:eastAsia="宋体" w:hint="default"/>
                <w:sz w:val="24"/>
                <w:szCs w:val="24"/>
              </w:rPr>
              <w:t> 解决方案和服务供应商。</w:t>
            </w:r>
          </w:p>
        </w:tc>
      </w:tr>
      <w:tr>
        <w:trPr>
          <w:trHeight w:val="32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sz w:val="24"/>
              </w:rPr>
              <w:t>EWC</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爆炸物、武器和违禁品</w:t>
            </w:r>
          </w:p>
        </w:tc>
      </w:tr>
      <w:tr>
        <w:trPr>
          <w:trHeight w:val="32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sz w:val="24"/>
              </w:rPr>
              <w:t>CT</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CT(Computed Tomography)</w:t>
            </w:r>
            <w:r>
              <w:rPr>
                <w:rFonts w:ascii="宋体" w:hAnsi="宋体" w:cs="宋体" w:eastAsia="宋体" w:hint="default"/>
                <w:sz w:val="24"/>
                <w:szCs w:val="24"/>
              </w:rPr>
              <w:t>，即电子计算机断层扫描</w:t>
            </w:r>
          </w:p>
        </w:tc>
      </w:tr>
      <w:tr>
        <w:trPr>
          <w:trHeight w:val="948"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热泵</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pacing w:val="-4"/>
                <w:sz w:val="24"/>
                <w:szCs w:val="24"/>
              </w:rPr>
              <w:t>一种装置，通过电力做功，从自然界的空气、各类水体、地层结构</w:t>
            </w:r>
          </w:p>
          <w:p>
            <w:pPr>
              <w:pStyle w:val="TableParagraph"/>
              <w:spacing w:line="310" w:lineRule="exact" w:before="31"/>
              <w:ind w:left="100" w:right="92"/>
              <w:jc w:val="left"/>
              <w:rPr>
                <w:rFonts w:ascii="宋体" w:hAnsi="宋体" w:cs="宋体" w:eastAsia="宋体" w:hint="default"/>
                <w:sz w:val="24"/>
                <w:szCs w:val="24"/>
              </w:rPr>
            </w:pPr>
            <w:r>
              <w:rPr>
                <w:rFonts w:ascii="宋体" w:hAnsi="宋体" w:cs="宋体" w:eastAsia="宋体" w:hint="default"/>
                <w:spacing w:val="-4"/>
                <w:sz w:val="24"/>
                <w:szCs w:val="24"/>
              </w:rPr>
              <w:t>或其他介质中捕获低品位热能，转移并提升至可供人们生产、生活</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z w:val="24"/>
                <w:szCs w:val="24"/>
              </w:rPr>
              <w:t>利用的高品位热源。</w:t>
            </w:r>
          </w:p>
        </w:tc>
      </w:tr>
      <w:tr>
        <w:trPr>
          <w:trHeight w:val="1260"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外延片</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both"/>
              <w:rPr>
                <w:rFonts w:ascii="宋体" w:hAnsi="宋体" w:cs="宋体" w:eastAsia="宋体" w:hint="default"/>
                <w:sz w:val="24"/>
                <w:szCs w:val="24"/>
              </w:rPr>
            </w:pPr>
            <w:r>
              <w:rPr>
                <w:rFonts w:ascii="宋体" w:hAnsi="宋体" w:cs="宋体" w:eastAsia="宋体" w:hint="default"/>
                <w:spacing w:val="-4"/>
                <w:sz w:val="24"/>
                <w:szCs w:val="24"/>
              </w:rPr>
              <w:t>外延是半导体器件加工过程中的一种工艺，指的是采用高温化学汽</w:t>
            </w:r>
          </w:p>
          <w:p>
            <w:pPr>
              <w:pStyle w:val="TableParagraph"/>
              <w:spacing w:line="237" w:lineRule="auto" w:before="1"/>
              <w:ind w:left="100" w:right="92"/>
              <w:jc w:val="both"/>
              <w:rPr>
                <w:rFonts w:ascii="宋体" w:hAnsi="宋体" w:cs="宋体" w:eastAsia="宋体" w:hint="default"/>
                <w:sz w:val="24"/>
                <w:szCs w:val="24"/>
              </w:rPr>
            </w:pPr>
            <w:r>
              <w:rPr>
                <w:rFonts w:ascii="宋体" w:hAnsi="宋体" w:cs="宋体" w:eastAsia="宋体" w:hint="default"/>
                <w:spacing w:val="-4"/>
                <w:sz w:val="24"/>
                <w:szCs w:val="24"/>
              </w:rPr>
              <w:t>相淀积的方法，在一种单晶片的表面生长一层同质或异质单晶。新</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pacing w:val="-4"/>
                <w:sz w:val="24"/>
                <w:szCs w:val="24"/>
              </w:rPr>
              <w:t>生长的单晶层一般称为外延层，半导体器件往往做在外延层上。经</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z w:val="24"/>
                <w:szCs w:val="24"/>
              </w:rPr>
              <w:t>过外延加工的圆片一般称为外延片。</w:t>
            </w:r>
          </w:p>
        </w:tc>
      </w:tr>
      <w:tr>
        <w:trPr>
          <w:trHeight w:val="1572"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sz w:val="24"/>
              </w:rPr>
              <w:t>BOT</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pacing w:val="-3"/>
                <w:sz w:val="24"/>
                <w:szCs w:val="24"/>
              </w:rPr>
              <w:t>建设</w:t>
            </w:r>
            <w:r>
              <w:rPr>
                <w:rFonts w:ascii="宋体" w:hAnsi="宋体" w:cs="宋体" w:eastAsia="宋体" w:hint="default"/>
                <w:spacing w:val="-3"/>
                <w:sz w:val="24"/>
                <w:szCs w:val="24"/>
              </w:rPr>
              <w:t>-</w:t>
            </w:r>
            <w:r>
              <w:rPr>
                <w:rFonts w:ascii="宋体" w:hAnsi="宋体" w:cs="宋体" w:eastAsia="宋体" w:hint="default"/>
                <w:spacing w:val="-3"/>
                <w:sz w:val="24"/>
                <w:szCs w:val="24"/>
              </w:rPr>
              <w:t>运营</w:t>
            </w:r>
            <w:r>
              <w:rPr>
                <w:rFonts w:ascii="宋体" w:hAnsi="宋体" w:cs="宋体" w:eastAsia="宋体" w:hint="default"/>
                <w:spacing w:val="-3"/>
                <w:sz w:val="24"/>
                <w:szCs w:val="24"/>
              </w:rPr>
              <w:t>-</w:t>
            </w:r>
            <w:r>
              <w:rPr>
                <w:rFonts w:ascii="宋体" w:hAnsi="宋体" w:cs="宋体" w:eastAsia="宋体" w:hint="default"/>
                <w:spacing w:val="-3"/>
                <w:sz w:val="24"/>
                <w:szCs w:val="24"/>
              </w:rPr>
              <w:t>移交的过程，即政府通过特许权协议，授权签约企业承</w:t>
            </w:r>
          </w:p>
          <w:p>
            <w:pPr>
              <w:pStyle w:val="TableParagraph"/>
              <w:spacing w:line="237" w:lineRule="auto" w:before="1"/>
              <w:ind w:left="100" w:right="5"/>
              <w:jc w:val="left"/>
              <w:rPr>
                <w:rFonts w:ascii="宋体" w:hAnsi="宋体" w:cs="宋体" w:eastAsia="宋体" w:hint="default"/>
                <w:sz w:val="24"/>
                <w:szCs w:val="24"/>
              </w:rPr>
            </w:pPr>
            <w:r>
              <w:rPr>
                <w:rFonts w:ascii="宋体" w:hAnsi="宋体" w:cs="宋体" w:eastAsia="宋体" w:hint="default"/>
                <w:sz w:val="24"/>
                <w:szCs w:val="24"/>
              </w:rPr>
              <w:t>担项目</w:t>
            </w:r>
            <w:r>
              <w:rPr>
                <w:rFonts w:ascii="宋体" w:hAnsi="宋体" w:cs="宋体" w:eastAsia="宋体" w:hint="default"/>
                <w:sz w:val="24"/>
                <w:szCs w:val="24"/>
              </w:rPr>
              <w:t>(</w:t>
            </w:r>
            <w:r>
              <w:rPr>
                <w:rFonts w:ascii="宋体" w:hAnsi="宋体" w:cs="宋体" w:eastAsia="宋体" w:hint="default"/>
                <w:sz w:val="24"/>
                <w:szCs w:val="24"/>
              </w:rPr>
              <w:t>主要是基础设施项目</w:t>
            </w:r>
            <w:r>
              <w:rPr>
                <w:rFonts w:ascii="宋体" w:hAnsi="宋体" w:cs="宋体" w:eastAsia="宋体" w:hint="default"/>
                <w:sz w:val="24"/>
                <w:szCs w:val="24"/>
              </w:rPr>
              <w:t>)</w:t>
            </w:r>
            <w:r>
              <w:rPr>
                <w:rFonts w:ascii="宋体" w:hAnsi="宋体" w:cs="宋体" w:eastAsia="宋体" w:hint="default"/>
                <w:sz w:val="24"/>
                <w:szCs w:val="24"/>
              </w:rPr>
              <w:t>的融资、设计、建造、运营和维护， </w:t>
            </w:r>
            <w:r>
              <w:rPr>
                <w:rFonts w:ascii="宋体" w:hAnsi="宋体" w:cs="宋体" w:eastAsia="宋体" w:hint="default"/>
                <w:spacing w:val="-4"/>
                <w:sz w:val="24"/>
                <w:szCs w:val="24"/>
              </w:rPr>
              <w:t>在规定的特许期内向该项目的使用者收取费用，由此回收项目的投</w:t>
            </w:r>
            <w:r>
              <w:rPr>
                <w:rFonts w:ascii="宋体" w:hAnsi="宋体" w:cs="宋体" w:eastAsia="宋体" w:hint="default"/>
                <w:spacing w:val="-93"/>
                <w:sz w:val="24"/>
                <w:szCs w:val="24"/>
              </w:rPr>
              <w:t> </w:t>
            </w:r>
            <w:r>
              <w:rPr>
                <w:rFonts w:ascii="宋体" w:hAnsi="宋体" w:cs="宋体" w:eastAsia="宋体" w:hint="default"/>
                <w:spacing w:val="-93"/>
                <w:sz w:val="24"/>
                <w:szCs w:val="24"/>
              </w:rPr>
            </w:r>
            <w:r>
              <w:rPr>
                <w:rFonts w:ascii="宋体" w:hAnsi="宋体" w:cs="宋体" w:eastAsia="宋体" w:hint="default"/>
                <w:spacing w:val="-3"/>
                <w:sz w:val="24"/>
                <w:szCs w:val="24"/>
              </w:rPr>
              <w:t>资、运营和维护等成本，并获得合理的回报，特许期满后将项目交</w:t>
            </w:r>
            <w:r>
              <w:rPr>
                <w:rFonts w:ascii="宋体" w:hAnsi="宋体" w:cs="宋体" w:eastAsia="宋体" w:hint="default"/>
                <w:sz w:val="24"/>
                <w:szCs w:val="24"/>
              </w:rPr>
              <w:t> 回政府。</w:t>
            </w:r>
          </w:p>
        </w:tc>
      </w:tr>
      <w:tr>
        <w:trPr>
          <w:trHeight w:val="1573"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sz w:val="24"/>
              </w:rPr>
              <w:t>TOT</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both"/>
              <w:rPr>
                <w:rFonts w:ascii="宋体" w:hAnsi="宋体" w:cs="宋体" w:eastAsia="宋体" w:hint="default"/>
                <w:sz w:val="24"/>
                <w:szCs w:val="24"/>
              </w:rPr>
            </w:pPr>
            <w:r>
              <w:rPr>
                <w:rFonts w:ascii="宋体" w:hAnsi="宋体" w:cs="宋体" w:eastAsia="宋体" w:hint="default"/>
                <w:spacing w:val="-3"/>
                <w:sz w:val="24"/>
                <w:szCs w:val="24"/>
              </w:rPr>
              <w:t>移交</w:t>
            </w:r>
            <w:r>
              <w:rPr>
                <w:rFonts w:ascii="宋体" w:hAnsi="宋体" w:cs="宋体" w:eastAsia="宋体" w:hint="default"/>
                <w:spacing w:val="-3"/>
                <w:sz w:val="24"/>
                <w:szCs w:val="24"/>
              </w:rPr>
              <w:t>-</w:t>
            </w:r>
            <w:r>
              <w:rPr>
                <w:rFonts w:ascii="宋体" w:hAnsi="宋体" w:cs="宋体" w:eastAsia="宋体" w:hint="default"/>
                <w:spacing w:val="-3"/>
                <w:sz w:val="24"/>
                <w:szCs w:val="24"/>
              </w:rPr>
              <w:t>运营</w:t>
            </w:r>
            <w:r>
              <w:rPr>
                <w:rFonts w:ascii="宋体" w:hAnsi="宋体" w:cs="宋体" w:eastAsia="宋体" w:hint="default"/>
                <w:spacing w:val="-3"/>
                <w:sz w:val="24"/>
                <w:szCs w:val="24"/>
              </w:rPr>
              <w:t>-</w:t>
            </w:r>
            <w:r>
              <w:rPr>
                <w:rFonts w:ascii="宋体" w:hAnsi="宋体" w:cs="宋体" w:eastAsia="宋体" w:hint="default"/>
                <w:spacing w:val="-3"/>
                <w:sz w:val="24"/>
                <w:szCs w:val="24"/>
              </w:rPr>
              <w:t>移交的过程，即指政府部门或国有企业将建设好的项目</w:t>
            </w:r>
          </w:p>
          <w:p>
            <w:pPr>
              <w:pStyle w:val="TableParagraph"/>
              <w:spacing w:line="237" w:lineRule="auto" w:before="1"/>
              <w:ind w:left="100" w:right="92"/>
              <w:jc w:val="both"/>
              <w:rPr>
                <w:rFonts w:ascii="宋体" w:hAnsi="宋体" w:cs="宋体" w:eastAsia="宋体" w:hint="default"/>
                <w:sz w:val="24"/>
                <w:szCs w:val="24"/>
              </w:rPr>
            </w:pPr>
            <w:r>
              <w:rPr>
                <w:rFonts w:ascii="宋体" w:hAnsi="宋体" w:cs="宋体" w:eastAsia="宋体" w:hint="default"/>
                <w:spacing w:val="-4"/>
                <w:sz w:val="24"/>
                <w:szCs w:val="24"/>
              </w:rPr>
              <w:t>的一定期限的产权和经营权，有偿转让给投资人，由其进行运营管</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pacing w:val="-4"/>
                <w:sz w:val="24"/>
                <w:szCs w:val="24"/>
              </w:rPr>
              <w:t>理；投资人在一个约定的时间内通过经营收回全部投资和得到合理</w:t>
            </w:r>
            <w:r>
              <w:rPr>
                <w:rFonts w:ascii="宋体" w:hAnsi="宋体" w:cs="宋体" w:eastAsia="宋体" w:hint="default"/>
                <w:spacing w:val="-93"/>
                <w:sz w:val="24"/>
                <w:szCs w:val="24"/>
              </w:rPr>
              <w:t> </w:t>
            </w:r>
            <w:r>
              <w:rPr>
                <w:rFonts w:ascii="宋体" w:hAnsi="宋体" w:cs="宋体" w:eastAsia="宋体" w:hint="default"/>
                <w:spacing w:val="-93"/>
                <w:sz w:val="24"/>
                <w:szCs w:val="24"/>
              </w:rPr>
            </w:r>
            <w:r>
              <w:rPr>
                <w:rFonts w:ascii="宋体" w:hAnsi="宋体" w:cs="宋体" w:eastAsia="宋体" w:hint="default"/>
                <w:spacing w:val="-4"/>
                <w:sz w:val="24"/>
                <w:szCs w:val="24"/>
              </w:rPr>
              <w:t>的回报，并在合约期满之后，再交回给政府部门或原单位的一种融</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z w:val="24"/>
                <w:szCs w:val="24"/>
              </w:rPr>
              <w:t>资方式。</w:t>
            </w:r>
            <w:r>
              <w:rPr>
                <w:rFonts w:ascii="宋体" w:hAnsi="宋体" w:cs="宋体" w:eastAsia="宋体" w:hint="default"/>
                <w:sz w:val="24"/>
                <w:szCs w:val="24"/>
              </w:rPr>
              <w:t>TOT</w:t>
            </w:r>
            <w:r>
              <w:rPr>
                <w:rFonts w:ascii="宋体" w:hAnsi="宋体" w:cs="宋体" w:eastAsia="宋体" w:hint="default"/>
                <w:spacing w:val="-60"/>
                <w:sz w:val="24"/>
                <w:szCs w:val="24"/>
              </w:rPr>
              <w:t> </w:t>
            </w:r>
            <w:r>
              <w:rPr>
                <w:rFonts w:ascii="宋体" w:hAnsi="宋体" w:cs="宋体" w:eastAsia="宋体" w:hint="default"/>
                <w:sz w:val="24"/>
                <w:szCs w:val="24"/>
              </w:rPr>
              <w:t>是</w:t>
            </w:r>
            <w:r>
              <w:rPr>
                <w:rFonts w:ascii="宋体" w:hAnsi="宋体" w:cs="宋体" w:eastAsia="宋体" w:hint="default"/>
                <w:spacing w:val="-60"/>
                <w:sz w:val="24"/>
                <w:szCs w:val="24"/>
              </w:rPr>
              <w:t> </w:t>
            </w:r>
            <w:r>
              <w:rPr>
                <w:rFonts w:ascii="宋体" w:hAnsi="宋体" w:cs="宋体" w:eastAsia="宋体" w:hint="default"/>
                <w:sz w:val="24"/>
                <w:szCs w:val="24"/>
              </w:rPr>
              <w:t>BOT</w:t>
            </w:r>
            <w:r>
              <w:rPr>
                <w:rFonts w:ascii="宋体" w:hAnsi="宋体" w:cs="宋体" w:eastAsia="宋体" w:hint="default"/>
                <w:spacing w:val="-60"/>
                <w:sz w:val="24"/>
                <w:szCs w:val="24"/>
              </w:rPr>
              <w:t> </w:t>
            </w:r>
            <w:r>
              <w:rPr>
                <w:rFonts w:ascii="宋体" w:hAnsi="宋体" w:cs="宋体" w:eastAsia="宋体" w:hint="default"/>
                <w:sz w:val="24"/>
                <w:szCs w:val="24"/>
              </w:rPr>
              <w:t>融资方式的新发展。</w:t>
            </w:r>
          </w:p>
        </w:tc>
      </w:tr>
      <w:tr>
        <w:trPr>
          <w:trHeight w:val="63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东方明珠</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2" w:lineRule="exact"/>
              <w:ind w:left="100" w:right="0"/>
              <w:jc w:val="left"/>
              <w:rPr>
                <w:rFonts w:ascii="宋体" w:hAnsi="宋体" w:cs="宋体" w:eastAsia="宋体" w:hint="default"/>
                <w:sz w:val="24"/>
                <w:szCs w:val="24"/>
              </w:rPr>
            </w:pPr>
            <w:r>
              <w:rPr>
                <w:rFonts w:ascii="宋体" w:hAnsi="宋体" w:cs="宋体" w:eastAsia="宋体" w:hint="default"/>
                <w:sz w:val="24"/>
                <w:szCs w:val="24"/>
              </w:rPr>
              <w:t>上海东方明珠新媒体股份有限公司</w:t>
            </w:r>
            <w:r>
              <w:rPr>
                <w:rFonts w:ascii="宋体" w:hAnsi="宋体" w:cs="宋体" w:eastAsia="宋体" w:hint="default"/>
                <w:sz w:val="24"/>
                <w:szCs w:val="24"/>
              </w:rPr>
              <w:t>(</w:t>
            </w:r>
            <w:r>
              <w:rPr>
                <w:rFonts w:ascii="宋体" w:hAnsi="宋体" w:cs="宋体" w:eastAsia="宋体" w:hint="default"/>
                <w:sz w:val="24"/>
                <w:szCs w:val="24"/>
              </w:rPr>
              <w:t>股票简称：东方明珠，股票代</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码：</w:t>
            </w:r>
            <w:r>
              <w:rPr>
                <w:rFonts w:ascii="宋体" w:hAnsi="宋体" w:cs="宋体" w:eastAsia="宋体" w:hint="default"/>
                <w:sz w:val="24"/>
                <w:szCs w:val="24"/>
              </w:rPr>
              <w:t>600637)</w:t>
            </w:r>
          </w:p>
        </w:tc>
      </w:tr>
      <w:tr>
        <w:trPr>
          <w:trHeight w:val="638"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润邦股份</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pacing w:val="9"/>
                <w:sz w:val="24"/>
                <w:szCs w:val="24"/>
              </w:rPr>
              <w:t>江苏润邦重工股份有限公司</w:t>
            </w:r>
            <w:r>
              <w:rPr>
                <w:rFonts w:ascii="宋体" w:hAnsi="宋体" w:cs="宋体" w:eastAsia="宋体" w:hint="default"/>
                <w:spacing w:val="9"/>
                <w:sz w:val="24"/>
                <w:szCs w:val="24"/>
              </w:rPr>
              <w:t>(</w:t>
            </w:r>
            <w:r>
              <w:rPr>
                <w:rFonts w:ascii="宋体" w:hAnsi="宋体" w:cs="宋体" w:eastAsia="宋体" w:hint="default"/>
                <w:spacing w:val="9"/>
                <w:sz w:val="24"/>
                <w:szCs w:val="24"/>
              </w:rPr>
              <w:t>股票简称：润邦股份，股票代码：</w:t>
            </w:r>
          </w:p>
          <w:p>
            <w:pPr>
              <w:pStyle w:val="TableParagraph"/>
              <w:spacing w:line="313" w:lineRule="exact"/>
              <w:ind w:left="100" w:right="0"/>
              <w:jc w:val="left"/>
              <w:rPr>
                <w:rFonts w:ascii="宋体" w:hAnsi="宋体" w:cs="宋体" w:eastAsia="宋体" w:hint="default"/>
                <w:sz w:val="24"/>
                <w:szCs w:val="24"/>
              </w:rPr>
            </w:pPr>
            <w:r>
              <w:rPr>
                <w:rFonts w:ascii="宋体"/>
                <w:sz w:val="24"/>
              </w:rPr>
              <w:t>002483)</w:t>
            </w:r>
          </w:p>
        </w:tc>
      </w:tr>
      <w:tr>
        <w:trPr>
          <w:trHeight w:val="32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诚志股份</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诚志股份有限公司</w:t>
            </w:r>
            <w:r>
              <w:rPr>
                <w:rFonts w:ascii="宋体" w:hAnsi="宋体" w:cs="宋体" w:eastAsia="宋体" w:hint="default"/>
                <w:sz w:val="24"/>
                <w:szCs w:val="24"/>
              </w:rPr>
              <w:t>(</w:t>
            </w:r>
            <w:r>
              <w:rPr>
                <w:rFonts w:ascii="宋体" w:hAnsi="宋体" w:cs="宋体" w:eastAsia="宋体" w:hint="default"/>
                <w:sz w:val="24"/>
                <w:szCs w:val="24"/>
              </w:rPr>
              <w:t>股票简称：诚志股份，股票代码：</w:t>
            </w:r>
            <w:r>
              <w:rPr>
                <w:rFonts w:ascii="宋体" w:hAnsi="宋体" w:cs="宋体" w:eastAsia="宋体" w:hint="default"/>
                <w:sz w:val="24"/>
                <w:szCs w:val="24"/>
              </w:rPr>
              <w:t>000990)</w:t>
            </w:r>
          </w:p>
        </w:tc>
      </w:tr>
      <w:tr>
        <w:trPr>
          <w:trHeight w:val="32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紫光股份</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紫光股份有限公司</w:t>
            </w:r>
            <w:r>
              <w:rPr>
                <w:rFonts w:ascii="宋体" w:hAnsi="宋体" w:cs="宋体" w:eastAsia="宋体" w:hint="default"/>
                <w:sz w:val="24"/>
                <w:szCs w:val="24"/>
              </w:rPr>
              <w:t>(</w:t>
            </w:r>
            <w:r>
              <w:rPr>
                <w:rFonts w:ascii="宋体" w:hAnsi="宋体" w:cs="宋体" w:eastAsia="宋体" w:hint="default"/>
                <w:sz w:val="24"/>
                <w:szCs w:val="24"/>
              </w:rPr>
              <w:t>股票简称：紫光股份，股票代码：</w:t>
            </w:r>
            <w:r>
              <w:rPr>
                <w:rFonts w:ascii="宋体" w:hAnsi="宋体" w:cs="宋体" w:eastAsia="宋体" w:hint="default"/>
                <w:sz w:val="24"/>
                <w:szCs w:val="24"/>
              </w:rPr>
              <w:t>000938)</w:t>
            </w:r>
          </w:p>
        </w:tc>
      </w:tr>
      <w:tr>
        <w:trPr>
          <w:trHeight w:val="326" w:hRule="exact"/>
        </w:trPr>
        <w:tc>
          <w:tcPr>
            <w:tcW w:w="19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国金证券</w:t>
            </w:r>
          </w:p>
        </w:tc>
        <w:tc>
          <w:tcPr>
            <w:tcW w:w="56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pacing w:val="-3"/>
                <w:sz w:val="24"/>
                <w:szCs w:val="24"/>
              </w:rPr>
              <w:t>国金证券股份有限公司</w:t>
            </w:r>
            <w:r>
              <w:rPr>
                <w:rFonts w:ascii="宋体" w:hAnsi="宋体" w:cs="宋体" w:eastAsia="宋体" w:hint="default"/>
                <w:spacing w:val="-3"/>
                <w:sz w:val="24"/>
                <w:szCs w:val="24"/>
              </w:rPr>
              <w:t>(</w:t>
            </w:r>
            <w:r>
              <w:rPr>
                <w:rFonts w:ascii="宋体" w:hAnsi="宋体" w:cs="宋体" w:eastAsia="宋体" w:hint="default"/>
                <w:spacing w:val="-3"/>
                <w:sz w:val="24"/>
                <w:szCs w:val="24"/>
              </w:rPr>
              <w:t>股票简称：国金证券，股票代码：</w:t>
            </w:r>
            <w:r>
              <w:rPr>
                <w:rFonts w:ascii="宋体" w:hAnsi="宋体" w:cs="宋体" w:eastAsia="宋体" w:hint="default"/>
                <w:spacing w:val="-3"/>
                <w:sz w:val="24"/>
                <w:szCs w:val="24"/>
              </w:rPr>
              <w:t>600109)</w:t>
            </w:r>
          </w:p>
        </w:tc>
      </w:tr>
      <w:tr>
        <w:trPr>
          <w:trHeight w:val="331" w:hRule="exact"/>
        </w:trPr>
        <w:tc>
          <w:tcPr>
            <w:tcW w:w="1951" w:type="dxa"/>
            <w:tcBorders>
              <w:top w:val="single" w:sz="6" w:space="0" w:color="000000"/>
              <w:left w:val="single" w:sz="12" w:space="0" w:color="000000"/>
              <w:bottom w:val="single" w:sz="12"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元</w:t>
            </w:r>
            <w:r>
              <w:rPr>
                <w:rFonts w:ascii="宋体" w:hAnsi="宋体" w:cs="宋体" w:eastAsia="宋体" w:hint="default"/>
                <w:sz w:val="24"/>
                <w:szCs w:val="24"/>
              </w:rPr>
              <w:t>/</w:t>
            </w:r>
            <w:r>
              <w:rPr>
                <w:rFonts w:ascii="宋体" w:hAnsi="宋体" w:cs="宋体" w:eastAsia="宋体" w:hint="default"/>
                <w:sz w:val="24"/>
                <w:szCs w:val="24"/>
              </w:rPr>
              <w:t>万元</w:t>
            </w:r>
            <w:r>
              <w:rPr>
                <w:rFonts w:ascii="宋体" w:hAnsi="宋体" w:cs="宋体" w:eastAsia="宋体" w:hint="default"/>
                <w:sz w:val="24"/>
                <w:szCs w:val="24"/>
              </w:rPr>
              <w:t>/</w:t>
            </w:r>
            <w:r>
              <w:rPr>
                <w:rFonts w:ascii="宋体" w:hAnsi="宋体" w:cs="宋体" w:eastAsia="宋体" w:hint="default"/>
                <w:sz w:val="24"/>
                <w:szCs w:val="24"/>
              </w:rPr>
              <w:t>亿元</w:t>
            </w:r>
          </w:p>
        </w:tc>
        <w:tc>
          <w:tcPr>
            <w:tcW w:w="567"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指</w:t>
            </w:r>
          </w:p>
        </w:tc>
        <w:tc>
          <w:tcPr>
            <w:tcW w:w="7091" w:type="dxa"/>
            <w:tcBorders>
              <w:top w:val="single" w:sz="6" w:space="0" w:color="000000"/>
              <w:left w:val="single" w:sz="6" w:space="0" w:color="000000"/>
              <w:bottom w:val="single" w:sz="12"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人民币元</w:t>
            </w:r>
            <w:r>
              <w:rPr>
                <w:rFonts w:ascii="宋体" w:hAnsi="宋体" w:cs="宋体" w:eastAsia="宋体" w:hint="default"/>
                <w:sz w:val="24"/>
                <w:szCs w:val="24"/>
              </w:rPr>
              <w:t>/</w:t>
            </w:r>
            <w:r>
              <w:rPr>
                <w:rFonts w:ascii="宋体" w:hAnsi="宋体" w:cs="宋体" w:eastAsia="宋体" w:hint="default"/>
                <w:sz w:val="24"/>
                <w:szCs w:val="24"/>
              </w:rPr>
              <w:t>万元</w:t>
            </w:r>
            <w:r>
              <w:rPr>
                <w:rFonts w:ascii="宋体" w:hAnsi="宋体" w:cs="宋体" w:eastAsia="宋体" w:hint="default"/>
                <w:sz w:val="24"/>
                <w:szCs w:val="24"/>
              </w:rPr>
              <w:t>/</w:t>
            </w:r>
            <w:r>
              <w:rPr>
                <w:rFonts w:ascii="宋体" w:hAnsi="宋体" w:cs="宋体" w:eastAsia="宋体" w:hint="default"/>
                <w:sz w:val="24"/>
                <w:szCs w:val="24"/>
              </w:rPr>
              <w:t>亿元</w:t>
            </w:r>
          </w:p>
        </w:tc>
      </w:tr>
    </w:tbl>
    <w:p>
      <w:pPr>
        <w:spacing w:after="0" w:line="274" w:lineRule="exact"/>
        <w:jc w:val="left"/>
        <w:rPr>
          <w:rFonts w:ascii="宋体" w:hAnsi="宋体" w:cs="宋体" w:eastAsia="宋体" w:hint="default"/>
          <w:sz w:val="24"/>
          <w:szCs w:val="24"/>
        </w:rPr>
        <w:sectPr>
          <w:headerReference w:type="default" r:id="rId9"/>
          <w:pgSz w:w="11910" w:h="16840"/>
          <w:pgMar w:header="628" w:footer="760" w:top="1020" w:bottom="960" w:left="1180" w:right="8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1"/>
        <w:spacing w:line="240" w:lineRule="auto" w:before="156"/>
        <w:ind w:left="2533" w:right="110"/>
        <w:jc w:val="left"/>
        <w:rPr>
          <w:b w:val="0"/>
          <w:bCs w:val="0"/>
        </w:rPr>
      </w:pPr>
      <w:bookmarkStart w:name="_TOC_250009" w:id="2"/>
      <w:r>
        <w:rPr/>
        <w:t>第二章</w:t>
      </w:r>
      <w:r>
        <w:rPr>
          <w:spacing w:val="-51"/>
        </w:rPr>
        <w:t> </w:t>
      </w:r>
      <w:r>
        <w:rPr/>
        <w:t>公司简介和主要财务指标</w:t>
      </w:r>
      <w:bookmarkEnd w:id="2"/>
      <w:r>
        <w:rPr>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4"/>
        <w:rPr>
          <w:rFonts w:ascii="黑体" w:hAnsi="黑体" w:cs="黑体" w:eastAsia="黑体" w:hint="default"/>
          <w:b/>
          <w:bCs/>
          <w:sz w:val="29"/>
          <w:szCs w:val="29"/>
        </w:rPr>
      </w:pPr>
    </w:p>
    <w:p>
      <w:pPr>
        <w:pStyle w:val="Heading2"/>
        <w:spacing w:line="240" w:lineRule="auto" w:before="14"/>
        <w:ind w:right="110"/>
        <w:jc w:val="left"/>
      </w:pPr>
      <w:r>
        <w:rPr/>
        <w:t>一、公司信息</w:t>
      </w:r>
    </w:p>
    <w:p>
      <w:pPr>
        <w:spacing w:line="240" w:lineRule="auto" w:before="11"/>
        <w:rPr>
          <w:rFonts w:ascii="黑体" w:hAnsi="黑体" w:cs="黑体" w:eastAsia="黑体" w:hint="default"/>
          <w:sz w:val="7"/>
          <w:szCs w:val="7"/>
        </w:rPr>
      </w:pPr>
    </w:p>
    <w:tbl>
      <w:tblPr>
        <w:tblW w:w="0" w:type="auto"/>
        <w:jc w:val="left"/>
        <w:tblInd w:w="116" w:type="dxa"/>
        <w:tblLayout w:type="fixed"/>
        <w:tblCellMar>
          <w:top w:w="0" w:type="dxa"/>
          <w:left w:w="0" w:type="dxa"/>
          <w:bottom w:w="0" w:type="dxa"/>
          <w:right w:w="0" w:type="dxa"/>
        </w:tblCellMar>
        <w:tblLook w:val="01E0"/>
      </w:tblPr>
      <w:tblGrid>
        <w:gridCol w:w="3085"/>
        <w:gridCol w:w="6335"/>
      </w:tblGrid>
      <w:tr>
        <w:trPr>
          <w:trHeight w:val="334" w:hRule="exact"/>
        </w:trPr>
        <w:tc>
          <w:tcPr>
            <w:tcW w:w="3085" w:type="dxa"/>
            <w:tcBorders>
              <w:top w:val="single" w:sz="12"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公司的中文名称</w:t>
            </w:r>
          </w:p>
        </w:tc>
        <w:tc>
          <w:tcPr>
            <w:tcW w:w="6335" w:type="dxa"/>
            <w:tcBorders>
              <w:top w:val="single" w:sz="12"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同方股份有限公司</w:t>
            </w:r>
          </w:p>
        </w:tc>
      </w:tr>
      <w:tr>
        <w:trPr>
          <w:trHeight w:val="326" w:hRule="exact"/>
        </w:trPr>
        <w:tc>
          <w:tcPr>
            <w:tcW w:w="3085"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公司的中文简称</w:t>
            </w:r>
          </w:p>
        </w:tc>
        <w:tc>
          <w:tcPr>
            <w:tcW w:w="6335"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同方股份</w:t>
            </w:r>
          </w:p>
        </w:tc>
      </w:tr>
      <w:tr>
        <w:trPr>
          <w:trHeight w:val="326" w:hRule="exact"/>
        </w:trPr>
        <w:tc>
          <w:tcPr>
            <w:tcW w:w="3085"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公司的外文名称</w:t>
            </w:r>
          </w:p>
        </w:tc>
        <w:tc>
          <w:tcPr>
            <w:tcW w:w="6335"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sz w:val="24"/>
              </w:rPr>
              <w:t>TSINGHUATONGFANG CO.,LTD.</w:t>
            </w:r>
          </w:p>
        </w:tc>
      </w:tr>
      <w:tr>
        <w:trPr>
          <w:trHeight w:val="326" w:hRule="exact"/>
        </w:trPr>
        <w:tc>
          <w:tcPr>
            <w:tcW w:w="3085"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公司的外文简称</w:t>
            </w:r>
          </w:p>
        </w:tc>
        <w:tc>
          <w:tcPr>
            <w:tcW w:w="6335"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sz w:val="24"/>
              </w:rPr>
              <w:t>THTF</w:t>
            </w:r>
          </w:p>
        </w:tc>
      </w:tr>
      <w:tr>
        <w:trPr>
          <w:trHeight w:val="332" w:hRule="exact"/>
        </w:trPr>
        <w:tc>
          <w:tcPr>
            <w:tcW w:w="3085" w:type="dxa"/>
            <w:tcBorders>
              <w:top w:val="single" w:sz="6" w:space="0" w:color="000000"/>
              <w:left w:val="single" w:sz="12" w:space="0" w:color="000000"/>
              <w:bottom w:val="single" w:sz="12"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公司的法定代表人</w:t>
            </w:r>
          </w:p>
        </w:tc>
        <w:tc>
          <w:tcPr>
            <w:tcW w:w="6335" w:type="dxa"/>
            <w:tcBorders>
              <w:top w:val="single" w:sz="6" w:space="0" w:color="000000"/>
              <w:left w:val="single" w:sz="6" w:space="0" w:color="000000"/>
              <w:bottom w:val="single" w:sz="12"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周立业</w:t>
            </w:r>
          </w:p>
        </w:tc>
      </w:tr>
    </w:tbl>
    <w:p>
      <w:pPr>
        <w:spacing w:line="240" w:lineRule="auto" w:before="12"/>
        <w:rPr>
          <w:rFonts w:ascii="黑体" w:hAnsi="黑体" w:cs="黑体" w:eastAsia="黑体" w:hint="default"/>
          <w:sz w:val="13"/>
          <w:szCs w:val="13"/>
        </w:rPr>
      </w:pPr>
    </w:p>
    <w:p>
      <w:pPr>
        <w:pStyle w:val="Heading2"/>
        <w:spacing w:line="240" w:lineRule="auto" w:before="14"/>
        <w:ind w:right="110"/>
        <w:jc w:val="left"/>
      </w:pPr>
      <w:r>
        <w:rPr/>
        <w:t>二、联系人和联系方式</w:t>
      </w:r>
    </w:p>
    <w:p>
      <w:pPr>
        <w:spacing w:line="240" w:lineRule="auto" w:before="13"/>
        <w:rPr>
          <w:rFonts w:ascii="黑体" w:hAnsi="黑体" w:cs="黑体" w:eastAsia="黑体" w:hint="default"/>
          <w:sz w:val="7"/>
          <w:szCs w:val="7"/>
        </w:rPr>
      </w:pPr>
    </w:p>
    <w:tbl>
      <w:tblPr>
        <w:tblW w:w="0" w:type="auto"/>
        <w:jc w:val="left"/>
        <w:tblInd w:w="116" w:type="dxa"/>
        <w:tblLayout w:type="fixed"/>
        <w:tblCellMar>
          <w:top w:w="0" w:type="dxa"/>
          <w:left w:w="0" w:type="dxa"/>
          <w:bottom w:w="0" w:type="dxa"/>
          <w:right w:w="0" w:type="dxa"/>
        </w:tblCellMar>
        <w:tblLook w:val="01E0"/>
      </w:tblPr>
      <w:tblGrid>
        <w:gridCol w:w="2234"/>
        <w:gridCol w:w="3404"/>
        <w:gridCol w:w="3781"/>
      </w:tblGrid>
      <w:tr>
        <w:trPr>
          <w:trHeight w:val="334" w:hRule="exact"/>
        </w:trPr>
        <w:tc>
          <w:tcPr>
            <w:tcW w:w="2234" w:type="dxa"/>
            <w:tcBorders>
              <w:top w:val="single" w:sz="12" w:space="0" w:color="000000"/>
              <w:left w:val="single" w:sz="12" w:space="0" w:color="000000"/>
              <w:bottom w:val="single" w:sz="6" w:space="0" w:color="000000"/>
              <w:right w:val="single" w:sz="6" w:space="0" w:color="000000"/>
            </w:tcBorders>
          </w:tcPr>
          <w:p>
            <w:pPr/>
          </w:p>
        </w:tc>
        <w:tc>
          <w:tcPr>
            <w:tcW w:w="3404"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董事会秘书</w:t>
            </w:r>
          </w:p>
        </w:tc>
        <w:tc>
          <w:tcPr>
            <w:tcW w:w="3781" w:type="dxa"/>
            <w:tcBorders>
              <w:top w:val="single" w:sz="12" w:space="0" w:color="000000"/>
              <w:left w:val="single" w:sz="6" w:space="0" w:color="000000"/>
              <w:bottom w:val="single" w:sz="6" w:space="0" w:color="000000"/>
              <w:right w:val="single" w:sz="12" w:space="0" w:color="000000"/>
            </w:tcBorders>
          </w:tcPr>
          <w:p>
            <w:pPr>
              <w:pStyle w:val="TableParagraph"/>
              <w:spacing w:line="274" w:lineRule="exact"/>
              <w:ind w:left="4" w:right="0"/>
              <w:jc w:val="center"/>
              <w:rPr>
                <w:rFonts w:ascii="宋体" w:hAnsi="宋体" w:cs="宋体" w:eastAsia="宋体" w:hint="default"/>
                <w:sz w:val="24"/>
                <w:szCs w:val="24"/>
              </w:rPr>
            </w:pPr>
            <w:r>
              <w:rPr>
                <w:rFonts w:ascii="宋体" w:hAnsi="宋体" w:cs="宋体" w:eastAsia="宋体" w:hint="default"/>
                <w:sz w:val="24"/>
                <w:szCs w:val="24"/>
              </w:rPr>
              <w:t>证券事务代表</w:t>
            </w:r>
          </w:p>
        </w:tc>
      </w:tr>
      <w:tr>
        <w:trPr>
          <w:trHeight w:val="326" w:hRule="exact"/>
        </w:trPr>
        <w:tc>
          <w:tcPr>
            <w:tcW w:w="2234" w:type="dxa"/>
            <w:tcBorders>
              <w:top w:val="single" w:sz="6" w:space="0" w:color="000000"/>
              <w:left w:val="single" w:sz="12" w:space="0" w:color="000000"/>
              <w:bottom w:val="single" w:sz="6" w:space="0" w:color="000000"/>
              <w:right w:val="single" w:sz="6" w:space="0" w:color="000000"/>
            </w:tcBorders>
          </w:tcPr>
          <w:p>
            <w:pPr>
              <w:pStyle w:val="TableParagraph"/>
              <w:tabs>
                <w:tab w:pos="719" w:val="left" w:leader="none"/>
              </w:tabs>
              <w:spacing w:line="274" w:lineRule="exact"/>
              <w:ind w:right="7"/>
              <w:jc w:val="center"/>
              <w:rPr>
                <w:rFonts w:ascii="宋体" w:hAnsi="宋体" w:cs="宋体" w:eastAsia="宋体" w:hint="default"/>
                <w:sz w:val="24"/>
                <w:szCs w:val="24"/>
              </w:rPr>
            </w:pPr>
            <w:r>
              <w:rPr>
                <w:rFonts w:ascii="宋体" w:hAnsi="宋体" w:cs="宋体" w:eastAsia="宋体" w:hint="default"/>
                <w:sz w:val="24"/>
                <w:szCs w:val="24"/>
              </w:rPr>
              <w:t>姓</w:t>
              <w:tab/>
              <w:t>名</w:t>
            </w:r>
          </w:p>
        </w:tc>
        <w:tc>
          <w:tcPr>
            <w:tcW w:w="340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孙岷</w:t>
            </w:r>
          </w:p>
        </w:tc>
        <w:tc>
          <w:tcPr>
            <w:tcW w:w="3781"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4" w:right="0"/>
              <w:jc w:val="center"/>
              <w:rPr>
                <w:rFonts w:ascii="宋体" w:hAnsi="宋体" w:cs="宋体" w:eastAsia="宋体" w:hint="default"/>
                <w:sz w:val="24"/>
                <w:szCs w:val="24"/>
              </w:rPr>
            </w:pPr>
            <w:r>
              <w:rPr>
                <w:rFonts w:ascii="宋体" w:hAnsi="宋体" w:cs="宋体" w:eastAsia="宋体" w:hint="default"/>
                <w:sz w:val="24"/>
                <w:szCs w:val="24"/>
              </w:rPr>
              <w:t>张园园</w:t>
            </w:r>
          </w:p>
        </w:tc>
      </w:tr>
      <w:tr>
        <w:trPr>
          <w:trHeight w:val="326" w:hRule="exact"/>
        </w:trPr>
        <w:tc>
          <w:tcPr>
            <w:tcW w:w="2234"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right="7"/>
              <w:jc w:val="center"/>
              <w:rPr>
                <w:rFonts w:ascii="宋体" w:hAnsi="宋体" w:cs="宋体" w:eastAsia="宋体" w:hint="default"/>
                <w:sz w:val="24"/>
                <w:szCs w:val="24"/>
              </w:rPr>
            </w:pPr>
            <w:r>
              <w:rPr>
                <w:rFonts w:ascii="宋体" w:hAnsi="宋体" w:cs="宋体" w:eastAsia="宋体" w:hint="default"/>
                <w:sz w:val="24"/>
                <w:szCs w:val="24"/>
              </w:rPr>
              <w:t>联系地址</w:t>
            </w:r>
          </w:p>
        </w:tc>
        <w:tc>
          <w:tcPr>
            <w:tcW w:w="718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北京海淀区清华同方科技大厦</w:t>
            </w:r>
            <w:r>
              <w:rPr>
                <w:rFonts w:ascii="宋体" w:hAnsi="宋体" w:cs="宋体" w:eastAsia="宋体" w:hint="default"/>
                <w:spacing w:val="-59"/>
                <w:sz w:val="24"/>
                <w:szCs w:val="24"/>
              </w:rPr>
              <w:t> </w:t>
            </w:r>
            <w:r>
              <w:rPr>
                <w:rFonts w:ascii="宋体" w:hAnsi="宋体" w:cs="宋体" w:eastAsia="宋体" w:hint="default"/>
                <w:sz w:val="24"/>
                <w:szCs w:val="24"/>
              </w:rPr>
              <w:t>A</w:t>
            </w:r>
            <w:r>
              <w:rPr>
                <w:rFonts w:ascii="宋体" w:hAnsi="宋体" w:cs="宋体" w:eastAsia="宋体" w:hint="default"/>
                <w:spacing w:val="-60"/>
                <w:sz w:val="24"/>
                <w:szCs w:val="24"/>
              </w:rPr>
              <w:t> </w:t>
            </w:r>
            <w:r>
              <w:rPr>
                <w:rFonts w:ascii="宋体" w:hAnsi="宋体" w:cs="宋体" w:eastAsia="宋体" w:hint="default"/>
                <w:sz w:val="24"/>
                <w:szCs w:val="24"/>
              </w:rPr>
              <w:t>座</w:t>
            </w:r>
            <w:r>
              <w:rPr>
                <w:rFonts w:ascii="宋体" w:hAnsi="宋体" w:cs="宋体" w:eastAsia="宋体" w:hint="default"/>
                <w:spacing w:val="-60"/>
                <w:sz w:val="24"/>
                <w:szCs w:val="24"/>
              </w:rPr>
              <w:t> </w:t>
            </w:r>
            <w:r>
              <w:rPr>
                <w:rFonts w:ascii="宋体" w:hAnsi="宋体" w:cs="宋体" w:eastAsia="宋体" w:hint="default"/>
                <w:sz w:val="24"/>
                <w:szCs w:val="24"/>
              </w:rPr>
              <w:t>29</w:t>
            </w:r>
            <w:r>
              <w:rPr>
                <w:rFonts w:ascii="宋体" w:hAnsi="宋体" w:cs="宋体" w:eastAsia="宋体" w:hint="default"/>
                <w:spacing w:val="-60"/>
                <w:sz w:val="24"/>
                <w:szCs w:val="24"/>
              </w:rPr>
              <w:t> </w:t>
            </w:r>
            <w:r>
              <w:rPr>
                <w:rFonts w:ascii="宋体" w:hAnsi="宋体" w:cs="宋体" w:eastAsia="宋体" w:hint="default"/>
                <w:sz w:val="24"/>
                <w:szCs w:val="24"/>
              </w:rPr>
              <w:t>层</w:t>
            </w:r>
          </w:p>
        </w:tc>
      </w:tr>
      <w:tr>
        <w:trPr>
          <w:trHeight w:val="326" w:hRule="exact"/>
        </w:trPr>
        <w:tc>
          <w:tcPr>
            <w:tcW w:w="2234" w:type="dxa"/>
            <w:tcBorders>
              <w:top w:val="single" w:sz="6" w:space="0" w:color="000000"/>
              <w:left w:val="single" w:sz="12" w:space="0" w:color="000000"/>
              <w:bottom w:val="single" w:sz="6" w:space="0" w:color="000000"/>
              <w:right w:val="single" w:sz="6" w:space="0" w:color="000000"/>
            </w:tcBorders>
          </w:tcPr>
          <w:p>
            <w:pPr>
              <w:pStyle w:val="TableParagraph"/>
              <w:tabs>
                <w:tab w:pos="719" w:val="left" w:leader="none"/>
              </w:tabs>
              <w:spacing w:line="274" w:lineRule="exact"/>
              <w:ind w:right="7"/>
              <w:jc w:val="center"/>
              <w:rPr>
                <w:rFonts w:ascii="宋体" w:hAnsi="宋体" w:cs="宋体" w:eastAsia="宋体" w:hint="default"/>
                <w:sz w:val="24"/>
                <w:szCs w:val="24"/>
              </w:rPr>
            </w:pPr>
            <w:r>
              <w:rPr>
                <w:rFonts w:ascii="宋体" w:hAnsi="宋体" w:cs="宋体" w:eastAsia="宋体" w:hint="default"/>
                <w:sz w:val="24"/>
                <w:szCs w:val="24"/>
              </w:rPr>
              <w:t>电</w:t>
              <w:tab/>
              <w:t>话</w:t>
            </w:r>
          </w:p>
        </w:tc>
        <w:tc>
          <w:tcPr>
            <w:tcW w:w="718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010</w:t>
            </w:r>
            <w:r>
              <w:rPr>
                <w:rFonts w:ascii="宋体" w:hAnsi="宋体" w:cs="宋体" w:eastAsia="宋体" w:hint="default"/>
                <w:sz w:val="24"/>
                <w:szCs w:val="24"/>
              </w:rPr>
              <w:t>－</w:t>
            </w:r>
            <w:r>
              <w:rPr>
                <w:rFonts w:ascii="宋体" w:hAnsi="宋体" w:cs="宋体" w:eastAsia="宋体" w:hint="default"/>
                <w:sz w:val="24"/>
                <w:szCs w:val="24"/>
              </w:rPr>
              <w:t>82399888</w:t>
            </w:r>
          </w:p>
        </w:tc>
      </w:tr>
      <w:tr>
        <w:trPr>
          <w:trHeight w:val="326" w:hRule="exact"/>
        </w:trPr>
        <w:tc>
          <w:tcPr>
            <w:tcW w:w="2234" w:type="dxa"/>
            <w:tcBorders>
              <w:top w:val="single" w:sz="6" w:space="0" w:color="000000"/>
              <w:left w:val="single" w:sz="12" w:space="0" w:color="000000"/>
              <w:bottom w:val="single" w:sz="6" w:space="0" w:color="000000"/>
              <w:right w:val="single" w:sz="6" w:space="0" w:color="000000"/>
            </w:tcBorders>
          </w:tcPr>
          <w:p>
            <w:pPr>
              <w:pStyle w:val="TableParagraph"/>
              <w:tabs>
                <w:tab w:pos="719" w:val="left" w:leader="none"/>
              </w:tabs>
              <w:spacing w:line="274" w:lineRule="exact"/>
              <w:ind w:right="7"/>
              <w:jc w:val="center"/>
              <w:rPr>
                <w:rFonts w:ascii="宋体" w:hAnsi="宋体" w:cs="宋体" w:eastAsia="宋体" w:hint="default"/>
                <w:sz w:val="24"/>
                <w:szCs w:val="24"/>
              </w:rPr>
            </w:pPr>
            <w:r>
              <w:rPr>
                <w:rFonts w:ascii="宋体" w:hAnsi="宋体" w:cs="宋体" w:eastAsia="宋体" w:hint="default"/>
                <w:sz w:val="24"/>
                <w:szCs w:val="24"/>
              </w:rPr>
              <w:t>传</w:t>
              <w:tab/>
              <w:t>真</w:t>
            </w:r>
          </w:p>
        </w:tc>
        <w:tc>
          <w:tcPr>
            <w:tcW w:w="7185" w:type="dxa"/>
            <w:gridSpan w:val="2"/>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010</w:t>
            </w:r>
            <w:r>
              <w:rPr>
                <w:rFonts w:ascii="宋体" w:hAnsi="宋体" w:cs="宋体" w:eastAsia="宋体" w:hint="default"/>
                <w:sz w:val="24"/>
                <w:szCs w:val="24"/>
              </w:rPr>
              <w:t>－</w:t>
            </w:r>
            <w:r>
              <w:rPr>
                <w:rFonts w:ascii="宋体" w:hAnsi="宋体" w:cs="宋体" w:eastAsia="宋体" w:hint="default"/>
                <w:sz w:val="24"/>
                <w:szCs w:val="24"/>
              </w:rPr>
              <w:t>82399765</w:t>
            </w:r>
          </w:p>
        </w:tc>
      </w:tr>
      <w:tr>
        <w:trPr>
          <w:trHeight w:val="331" w:hRule="exact"/>
        </w:trPr>
        <w:tc>
          <w:tcPr>
            <w:tcW w:w="2234" w:type="dxa"/>
            <w:tcBorders>
              <w:top w:val="single" w:sz="6" w:space="0" w:color="000000"/>
              <w:left w:val="single" w:sz="12" w:space="0" w:color="000000"/>
              <w:bottom w:val="single" w:sz="12" w:space="0" w:color="000000"/>
              <w:right w:val="single" w:sz="6" w:space="0" w:color="000000"/>
            </w:tcBorders>
          </w:tcPr>
          <w:p>
            <w:pPr>
              <w:pStyle w:val="TableParagraph"/>
              <w:spacing w:line="274" w:lineRule="exact"/>
              <w:ind w:right="7"/>
              <w:jc w:val="center"/>
              <w:rPr>
                <w:rFonts w:ascii="宋体" w:hAnsi="宋体" w:cs="宋体" w:eastAsia="宋体" w:hint="default"/>
                <w:sz w:val="24"/>
                <w:szCs w:val="24"/>
              </w:rPr>
            </w:pPr>
            <w:r>
              <w:rPr>
                <w:rFonts w:ascii="宋体" w:hAnsi="宋体" w:cs="宋体" w:eastAsia="宋体" w:hint="default"/>
                <w:sz w:val="24"/>
                <w:szCs w:val="24"/>
              </w:rPr>
              <w:t>电子信箱</w:t>
            </w:r>
          </w:p>
        </w:tc>
        <w:tc>
          <w:tcPr>
            <w:tcW w:w="7185" w:type="dxa"/>
            <w:gridSpan w:val="2"/>
            <w:tcBorders>
              <w:top w:val="single" w:sz="6" w:space="0" w:color="000000"/>
              <w:left w:val="single" w:sz="6" w:space="0" w:color="000000"/>
              <w:bottom w:val="single" w:sz="12"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hyperlink r:id="rId10">
              <w:r>
                <w:rPr>
                  <w:rFonts w:ascii="宋体"/>
                  <w:sz w:val="24"/>
                </w:rPr>
                <w:t>600100@thtf.com.cn</w:t>
              </w:r>
            </w:hyperlink>
          </w:p>
        </w:tc>
      </w:tr>
    </w:tbl>
    <w:p>
      <w:pPr>
        <w:spacing w:line="240" w:lineRule="auto" w:before="12"/>
        <w:rPr>
          <w:rFonts w:ascii="黑体" w:hAnsi="黑体" w:cs="黑体" w:eastAsia="黑体" w:hint="default"/>
          <w:sz w:val="13"/>
          <w:szCs w:val="13"/>
        </w:rPr>
      </w:pPr>
    </w:p>
    <w:p>
      <w:pPr>
        <w:pStyle w:val="Heading2"/>
        <w:spacing w:line="240" w:lineRule="auto" w:before="14"/>
        <w:ind w:right="110"/>
        <w:jc w:val="left"/>
      </w:pPr>
      <w:r>
        <w:rPr/>
        <w:t>三、基本情况简介</w:t>
      </w:r>
    </w:p>
    <w:p>
      <w:pPr>
        <w:spacing w:line="240" w:lineRule="auto" w:before="11"/>
        <w:rPr>
          <w:rFonts w:ascii="黑体" w:hAnsi="黑体" w:cs="黑体" w:eastAsia="黑体" w:hint="default"/>
          <w:sz w:val="7"/>
          <w:szCs w:val="7"/>
        </w:rPr>
      </w:pPr>
    </w:p>
    <w:tbl>
      <w:tblPr>
        <w:tblW w:w="0" w:type="auto"/>
        <w:jc w:val="left"/>
        <w:tblInd w:w="116" w:type="dxa"/>
        <w:tblLayout w:type="fixed"/>
        <w:tblCellMar>
          <w:top w:w="0" w:type="dxa"/>
          <w:left w:w="0" w:type="dxa"/>
          <w:bottom w:w="0" w:type="dxa"/>
          <w:right w:w="0" w:type="dxa"/>
        </w:tblCellMar>
        <w:tblLook w:val="01E0"/>
      </w:tblPr>
      <w:tblGrid>
        <w:gridCol w:w="3085"/>
        <w:gridCol w:w="6335"/>
      </w:tblGrid>
      <w:tr>
        <w:trPr>
          <w:trHeight w:val="336" w:hRule="exact"/>
        </w:trPr>
        <w:tc>
          <w:tcPr>
            <w:tcW w:w="3085" w:type="dxa"/>
            <w:tcBorders>
              <w:top w:val="single" w:sz="12"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hAnsi="宋体" w:cs="宋体" w:eastAsia="宋体" w:hint="default"/>
                <w:sz w:val="24"/>
                <w:szCs w:val="24"/>
              </w:rPr>
              <w:t>公司注册地址</w:t>
            </w:r>
          </w:p>
        </w:tc>
        <w:tc>
          <w:tcPr>
            <w:tcW w:w="6335" w:type="dxa"/>
            <w:tcBorders>
              <w:top w:val="single" w:sz="12" w:space="0" w:color="000000"/>
              <w:left w:val="single" w:sz="6" w:space="0" w:color="000000"/>
              <w:bottom w:val="single" w:sz="6" w:space="0" w:color="000000"/>
              <w:right w:val="single" w:sz="12"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北京海淀区王庄路</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号清华同方科技大厦</w:t>
            </w:r>
            <w:r>
              <w:rPr>
                <w:rFonts w:ascii="宋体" w:hAnsi="宋体" w:cs="宋体" w:eastAsia="宋体" w:hint="default"/>
                <w:spacing w:val="-60"/>
                <w:sz w:val="24"/>
                <w:szCs w:val="24"/>
              </w:rPr>
              <w:t> </w:t>
            </w:r>
            <w:r>
              <w:rPr>
                <w:rFonts w:ascii="宋体" w:hAnsi="宋体" w:cs="宋体" w:eastAsia="宋体" w:hint="default"/>
                <w:sz w:val="24"/>
                <w:szCs w:val="24"/>
              </w:rPr>
              <w:t>A</w:t>
            </w:r>
            <w:r>
              <w:rPr>
                <w:rFonts w:ascii="宋体" w:hAnsi="宋体" w:cs="宋体" w:eastAsia="宋体" w:hint="default"/>
                <w:spacing w:val="-60"/>
                <w:sz w:val="24"/>
                <w:szCs w:val="24"/>
              </w:rPr>
              <w:t> </w:t>
            </w:r>
            <w:r>
              <w:rPr>
                <w:rFonts w:ascii="宋体" w:hAnsi="宋体" w:cs="宋体" w:eastAsia="宋体" w:hint="default"/>
                <w:sz w:val="24"/>
                <w:szCs w:val="24"/>
              </w:rPr>
              <w:t>座</w:t>
            </w:r>
            <w:r>
              <w:rPr>
                <w:rFonts w:ascii="宋体" w:hAnsi="宋体" w:cs="宋体" w:eastAsia="宋体" w:hint="default"/>
                <w:spacing w:val="-60"/>
                <w:sz w:val="24"/>
                <w:szCs w:val="24"/>
              </w:rPr>
              <w:t> </w:t>
            </w:r>
            <w:r>
              <w:rPr>
                <w:rFonts w:ascii="宋体" w:hAnsi="宋体" w:cs="宋体" w:eastAsia="宋体" w:hint="default"/>
                <w:sz w:val="24"/>
                <w:szCs w:val="24"/>
              </w:rPr>
              <w:t>30</w:t>
            </w:r>
            <w:r>
              <w:rPr>
                <w:rFonts w:ascii="宋体" w:hAnsi="宋体" w:cs="宋体" w:eastAsia="宋体" w:hint="default"/>
                <w:spacing w:val="-60"/>
                <w:sz w:val="24"/>
                <w:szCs w:val="24"/>
              </w:rPr>
              <w:t> </w:t>
            </w:r>
            <w:r>
              <w:rPr>
                <w:rFonts w:ascii="宋体" w:hAnsi="宋体" w:cs="宋体" w:eastAsia="宋体" w:hint="default"/>
                <w:sz w:val="24"/>
                <w:szCs w:val="24"/>
              </w:rPr>
              <w:t>层</w:t>
            </w:r>
          </w:p>
        </w:tc>
      </w:tr>
      <w:tr>
        <w:trPr>
          <w:trHeight w:val="326" w:hRule="exact"/>
        </w:trPr>
        <w:tc>
          <w:tcPr>
            <w:tcW w:w="3085"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公司注册地址的邮政编码</w:t>
            </w:r>
          </w:p>
        </w:tc>
        <w:tc>
          <w:tcPr>
            <w:tcW w:w="6335"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sz w:val="24"/>
              </w:rPr>
              <w:t>100083</w:t>
            </w:r>
          </w:p>
        </w:tc>
      </w:tr>
      <w:tr>
        <w:trPr>
          <w:trHeight w:val="324" w:hRule="exact"/>
        </w:trPr>
        <w:tc>
          <w:tcPr>
            <w:tcW w:w="3085"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公司办公地址</w:t>
            </w:r>
          </w:p>
        </w:tc>
        <w:tc>
          <w:tcPr>
            <w:tcW w:w="6335"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北京海淀区清华同方科技大厦</w:t>
            </w:r>
            <w:r>
              <w:rPr>
                <w:rFonts w:ascii="宋体" w:hAnsi="宋体" w:cs="宋体" w:eastAsia="宋体" w:hint="default"/>
                <w:spacing w:val="-60"/>
                <w:sz w:val="24"/>
                <w:szCs w:val="24"/>
              </w:rPr>
              <w:t> </w:t>
            </w:r>
            <w:r>
              <w:rPr>
                <w:rFonts w:ascii="宋体" w:hAnsi="宋体" w:cs="宋体" w:eastAsia="宋体" w:hint="default"/>
                <w:sz w:val="24"/>
                <w:szCs w:val="24"/>
              </w:rPr>
              <w:t>A</w:t>
            </w:r>
            <w:r>
              <w:rPr>
                <w:rFonts w:ascii="宋体" w:hAnsi="宋体" w:cs="宋体" w:eastAsia="宋体" w:hint="default"/>
                <w:spacing w:val="-60"/>
                <w:sz w:val="24"/>
                <w:szCs w:val="24"/>
              </w:rPr>
              <w:t> </w:t>
            </w:r>
            <w:r>
              <w:rPr>
                <w:rFonts w:ascii="宋体" w:hAnsi="宋体" w:cs="宋体" w:eastAsia="宋体" w:hint="default"/>
                <w:sz w:val="24"/>
                <w:szCs w:val="24"/>
              </w:rPr>
              <w:t>座</w:t>
            </w:r>
            <w:r>
              <w:rPr>
                <w:rFonts w:ascii="宋体" w:hAnsi="宋体" w:cs="宋体" w:eastAsia="宋体" w:hint="default"/>
                <w:spacing w:val="-60"/>
                <w:sz w:val="24"/>
                <w:szCs w:val="24"/>
              </w:rPr>
              <w:t> </w:t>
            </w:r>
            <w:r>
              <w:rPr>
                <w:rFonts w:ascii="宋体" w:hAnsi="宋体" w:cs="宋体" w:eastAsia="宋体" w:hint="default"/>
                <w:sz w:val="24"/>
                <w:szCs w:val="24"/>
              </w:rPr>
              <w:t>29</w:t>
            </w:r>
            <w:r>
              <w:rPr>
                <w:rFonts w:ascii="宋体" w:hAnsi="宋体" w:cs="宋体" w:eastAsia="宋体" w:hint="default"/>
                <w:spacing w:val="-60"/>
                <w:sz w:val="24"/>
                <w:szCs w:val="24"/>
              </w:rPr>
              <w:t> </w:t>
            </w:r>
            <w:r>
              <w:rPr>
                <w:rFonts w:ascii="宋体" w:hAnsi="宋体" w:cs="宋体" w:eastAsia="宋体" w:hint="default"/>
                <w:sz w:val="24"/>
                <w:szCs w:val="24"/>
              </w:rPr>
              <w:t>层</w:t>
            </w:r>
          </w:p>
        </w:tc>
      </w:tr>
      <w:tr>
        <w:trPr>
          <w:trHeight w:val="326" w:hRule="exact"/>
        </w:trPr>
        <w:tc>
          <w:tcPr>
            <w:tcW w:w="3085"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hAnsi="宋体" w:cs="宋体" w:eastAsia="宋体" w:hint="default"/>
                <w:sz w:val="24"/>
                <w:szCs w:val="24"/>
              </w:rPr>
              <w:t>公司办公地址的邮政编码</w:t>
            </w:r>
          </w:p>
        </w:tc>
        <w:tc>
          <w:tcPr>
            <w:tcW w:w="6335"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sz w:val="24"/>
              </w:rPr>
              <w:t>100083</w:t>
            </w:r>
          </w:p>
        </w:tc>
      </w:tr>
      <w:tr>
        <w:trPr>
          <w:trHeight w:val="326" w:hRule="exact"/>
        </w:trPr>
        <w:tc>
          <w:tcPr>
            <w:tcW w:w="3085"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hAnsi="宋体" w:cs="宋体" w:eastAsia="宋体" w:hint="default"/>
                <w:sz w:val="24"/>
                <w:szCs w:val="24"/>
              </w:rPr>
              <w:t>公司网址</w:t>
            </w:r>
          </w:p>
        </w:tc>
        <w:tc>
          <w:tcPr>
            <w:tcW w:w="6335"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left="100" w:right="0"/>
              <w:jc w:val="left"/>
              <w:rPr>
                <w:rFonts w:ascii="宋体" w:hAnsi="宋体" w:cs="宋体" w:eastAsia="宋体" w:hint="default"/>
                <w:sz w:val="24"/>
                <w:szCs w:val="24"/>
              </w:rPr>
            </w:pPr>
            <w:hyperlink r:id="rId11">
              <w:r>
                <w:rPr>
                  <w:rFonts w:ascii="宋体"/>
                  <w:sz w:val="24"/>
                </w:rPr>
                <w:t>http://www.thtf.com.cn</w:t>
              </w:r>
            </w:hyperlink>
          </w:p>
        </w:tc>
      </w:tr>
      <w:tr>
        <w:trPr>
          <w:trHeight w:val="334" w:hRule="exact"/>
        </w:trPr>
        <w:tc>
          <w:tcPr>
            <w:tcW w:w="3085" w:type="dxa"/>
            <w:tcBorders>
              <w:top w:val="single" w:sz="6" w:space="0" w:color="000000"/>
              <w:left w:val="single" w:sz="12" w:space="0" w:color="000000"/>
              <w:bottom w:val="single" w:sz="12"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hAnsi="宋体" w:cs="宋体" w:eastAsia="宋体" w:hint="default"/>
                <w:sz w:val="24"/>
                <w:szCs w:val="24"/>
              </w:rPr>
              <w:t>电子信箱</w:t>
            </w:r>
          </w:p>
        </w:tc>
        <w:tc>
          <w:tcPr>
            <w:tcW w:w="6335" w:type="dxa"/>
            <w:tcBorders>
              <w:top w:val="single" w:sz="6" w:space="0" w:color="000000"/>
              <w:left w:val="single" w:sz="6" w:space="0" w:color="000000"/>
              <w:bottom w:val="single" w:sz="12" w:space="0" w:color="000000"/>
              <w:right w:val="single" w:sz="12" w:space="0" w:color="000000"/>
            </w:tcBorders>
          </w:tcPr>
          <w:p>
            <w:pPr>
              <w:pStyle w:val="TableParagraph"/>
              <w:spacing w:line="276" w:lineRule="exact"/>
              <w:ind w:left="100" w:right="0"/>
              <w:jc w:val="left"/>
              <w:rPr>
                <w:rFonts w:ascii="宋体" w:hAnsi="宋体" w:cs="宋体" w:eastAsia="宋体" w:hint="default"/>
                <w:sz w:val="24"/>
                <w:szCs w:val="24"/>
              </w:rPr>
            </w:pPr>
            <w:hyperlink r:id="rId10">
              <w:r>
                <w:rPr>
                  <w:rFonts w:ascii="宋体"/>
                  <w:sz w:val="24"/>
                </w:rPr>
                <w:t>600100@thtf.com.cn</w:t>
              </w:r>
            </w:hyperlink>
          </w:p>
        </w:tc>
      </w:tr>
    </w:tbl>
    <w:p>
      <w:pPr>
        <w:spacing w:line="240" w:lineRule="auto" w:before="12"/>
        <w:rPr>
          <w:rFonts w:ascii="黑体" w:hAnsi="黑体" w:cs="黑体" w:eastAsia="黑体" w:hint="default"/>
          <w:sz w:val="13"/>
          <w:szCs w:val="13"/>
        </w:rPr>
      </w:pPr>
    </w:p>
    <w:p>
      <w:pPr>
        <w:pStyle w:val="Heading2"/>
        <w:spacing w:line="240" w:lineRule="auto" w:before="14"/>
        <w:ind w:right="110"/>
        <w:jc w:val="left"/>
      </w:pPr>
      <w:r>
        <w:rPr/>
        <w:t>四、信息披露及备置地点</w:t>
      </w:r>
    </w:p>
    <w:p>
      <w:pPr>
        <w:spacing w:line="240" w:lineRule="auto" w:before="11"/>
        <w:rPr>
          <w:rFonts w:ascii="黑体" w:hAnsi="黑体" w:cs="黑体" w:eastAsia="黑体" w:hint="default"/>
          <w:sz w:val="7"/>
          <w:szCs w:val="7"/>
        </w:rPr>
      </w:pPr>
    </w:p>
    <w:tbl>
      <w:tblPr>
        <w:tblW w:w="0" w:type="auto"/>
        <w:jc w:val="left"/>
        <w:tblInd w:w="116" w:type="dxa"/>
        <w:tblLayout w:type="fixed"/>
        <w:tblCellMar>
          <w:top w:w="0" w:type="dxa"/>
          <w:left w:w="0" w:type="dxa"/>
          <w:bottom w:w="0" w:type="dxa"/>
          <w:right w:w="0" w:type="dxa"/>
        </w:tblCellMar>
        <w:tblLook w:val="01E0"/>
      </w:tblPr>
      <w:tblGrid>
        <w:gridCol w:w="4220"/>
        <w:gridCol w:w="5199"/>
      </w:tblGrid>
      <w:tr>
        <w:trPr>
          <w:trHeight w:val="334" w:hRule="exact"/>
        </w:trPr>
        <w:tc>
          <w:tcPr>
            <w:tcW w:w="4220" w:type="dxa"/>
            <w:tcBorders>
              <w:top w:val="single" w:sz="12" w:space="0" w:color="000000"/>
              <w:left w:val="single" w:sz="12" w:space="0" w:color="000000"/>
              <w:bottom w:val="single" w:sz="6" w:space="0" w:color="000000"/>
              <w:right w:val="single" w:sz="6" w:space="0" w:color="000000"/>
            </w:tcBorders>
          </w:tcPr>
          <w:p>
            <w:pPr>
              <w:pStyle w:val="TableParagraph"/>
              <w:spacing w:line="277" w:lineRule="exact"/>
              <w:ind w:left="93" w:right="0"/>
              <w:jc w:val="left"/>
              <w:rPr>
                <w:rFonts w:ascii="宋体" w:hAnsi="宋体" w:cs="宋体" w:eastAsia="宋体" w:hint="default"/>
                <w:sz w:val="24"/>
                <w:szCs w:val="24"/>
              </w:rPr>
            </w:pPr>
            <w:r>
              <w:rPr>
                <w:rFonts w:ascii="宋体" w:hAnsi="宋体" w:cs="宋体" w:eastAsia="宋体" w:hint="default"/>
                <w:sz w:val="24"/>
                <w:szCs w:val="24"/>
              </w:rPr>
              <w:t>公司选定的信息披露报纸名称</w:t>
            </w:r>
          </w:p>
        </w:tc>
        <w:tc>
          <w:tcPr>
            <w:tcW w:w="5199" w:type="dxa"/>
            <w:tcBorders>
              <w:top w:val="single" w:sz="12"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4"/>
                <w:szCs w:val="24"/>
              </w:rPr>
            </w:pPr>
            <w:r>
              <w:rPr>
                <w:rFonts w:ascii="宋体" w:hAnsi="宋体" w:cs="宋体" w:eastAsia="宋体" w:hint="default"/>
                <w:sz w:val="24"/>
                <w:szCs w:val="24"/>
              </w:rPr>
              <w:t>《中国证券报</w:t>
            </w:r>
            <w:r>
              <w:rPr>
                <w:rFonts w:ascii="宋体" w:hAnsi="宋体" w:cs="宋体" w:eastAsia="宋体" w:hint="default"/>
                <w:spacing w:val="-120"/>
                <w:sz w:val="24"/>
                <w:szCs w:val="24"/>
              </w:rPr>
              <w:t>》、</w:t>
            </w:r>
            <w:r>
              <w:rPr>
                <w:rFonts w:ascii="宋体" w:hAnsi="宋体" w:cs="宋体" w:eastAsia="宋体" w:hint="default"/>
                <w:sz w:val="24"/>
                <w:szCs w:val="24"/>
              </w:rPr>
              <w:t>《上海证券报</w:t>
            </w:r>
            <w:r>
              <w:rPr>
                <w:rFonts w:ascii="宋体" w:hAnsi="宋体" w:cs="宋体" w:eastAsia="宋体" w:hint="default"/>
                <w:spacing w:val="-120"/>
                <w:sz w:val="24"/>
                <w:szCs w:val="24"/>
              </w:rPr>
              <w:t>》、</w:t>
            </w:r>
            <w:r>
              <w:rPr>
                <w:rFonts w:ascii="宋体" w:hAnsi="宋体" w:cs="宋体" w:eastAsia="宋体" w:hint="default"/>
                <w:sz w:val="24"/>
                <w:szCs w:val="24"/>
              </w:rPr>
              <w:t>《证券时报》</w:t>
            </w:r>
          </w:p>
        </w:tc>
      </w:tr>
      <w:tr>
        <w:trPr>
          <w:trHeight w:val="638" w:hRule="exact"/>
        </w:trPr>
        <w:tc>
          <w:tcPr>
            <w:tcW w:w="4220"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pacing w:val="9"/>
                <w:sz w:val="24"/>
                <w:szCs w:val="24"/>
              </w:rPr>
              <w:t>登载公司年度报告的中国证监会指定</w:t>
            </w:r>
          </w:p>
          <w:p>
            <w:pPr>
              <w:pStyle w:val="TableParagraph"/>
              <w:spacing w:line="312" w:lineRule="exact"/>
              <w:ind w:left="93" w:right="0"/>
              <w:jc w:val="left"/>
              <w:rPr>
                <w:rFonts w:ascii="宋体" w:hAnsi="宋体" w:cs="宋体" w:eastAsia="宋体" w:hint="default"/>
                <w:sz w:val="24"/>
                <w:szCs w:val="24"/>
              </w:rPr>
            </w:pPr>
            <w:r>
              <w:rPr>
                <w:rFonts w:ascii="宋体" w:hAnsi="宋体" w:cs="宋体" w:eastAsia="宋体" w:hint="default"/>
                <w:sz w:val="24"/>
                <w:szCs w:val="24"/>
              </w:rPr>
              <w:t>国际互联网网址</w:t>
            </w:r>
          </w:p>
        </w:tc>
        <w:tc>
          <w:tcPr>
            <w:tcW w:w="5199"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left="100" w:right="0"/>
              <w:jc w:val="left"/>
              <w:rPr>
                <w:rFonts w:ascii="宋体" w:hAnsi="宋体" w:cs="宋体" w:eastAsia="宋体" w:hint="default"/>
                <w:sz w:val="24"/>
                <w:szCs w:val="24"/>
              </w:rPr>
            </w:pPr>
            <w:hyperlink r:id="rId12">
              <w:r>
                <w:rPr>
                  <w:rFonts w:ascii="宋体"/>
                  <w:sz w:val="24"/>
                </w:rPr>
                <w:t>http://www.sse.com.cn</w:t>
              </w:r>
            </w:hyperlink>
          </w:p>
        </w:tc>
      </w:tr>
      <w:tr>
        <w:trPr>
          <w:trHeight w:val="331" w:hRule="exact"/>
        </w:trPr>
        <w:tc>
          <w:tcPr>
            <w:tcW w:w="4220" w:type="dxa"/>
            <w:tcBorders>
              <w:top w:val="single" w:sz="6" w:space="0" w:color="000000"/>
              <w:left w:val="single" w:sz="12" w:space="0" w:color="000000"/>
              <w:bottom w:val="single" w:sz="12"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公司年度报告置备地点</w:t>
            </w:r>
          </w:p>
        </w:tc>
        <w:tc>
          <w:tcPr>
            <w:tcW w:w="5199" w:type="dxa"/>
            <w:tcBorders>
              <w:top w:val="single" w:sz="6" w:space="0" w:color="000000"/>
              <w:left w:val="single" w:sz="6" w:space="0" w:color="000000"/>
              <w:bottom w:val="single" w:sz="12"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北京海淀区清华同方科技大厦</w:t>
            </w:r>
            <w:r>
              <w:rPr>
                <w:rFonts w:ascii="宋体" w:hAnsi="宋体" w:cs="宋体" w:eastAsia="宋体" w:hint="default"/>
                <w:spacing w:val="-60"/>
                <w:sz w:val="24"/>
                <w:szCs w:val="24"/>
              </w:rPr>
              <w:t> </w:t>
            </w:r>
            <w:r>
              <w:rPr>
                <w:rFonts w:ascii="宋体" w:hAnsi="宋体" w:cs="宋体" w:eastAsia="宋体" w:hint="default"/>
                <w:sz w:val="24"/>
                <w:szCs w:val="24"/>
              </w:rPr>
              <w:t>A</w:t>
            </w:r>
            <w:r>
              <w:rPr>
                <w:rFonts w:ascii="宋体" w:hAnsi="宋体" w:cs="宋体" w:eastAsia="宋体" w:hint="default"/>
                <w:spacing w:val="-60"/>
                <w:sz w:val="24"/>
                <w:szCs w:val="24"/>
              </w:rPr>
              <w:t> </w:t>
            </w:r>
            <w:r>
              <w:rPr>
                <w:rFonts w:ascii="宋体" w:hAnsi="宋体" w:cs="宋体" w:eastAsia="宋体" w:hint="default"/>
                <w:sz w:val="24"/>
                <w:szCs w:val="24"/>
              </w:rPr>
              <w:t>座</w:t>
            </w:r>
            <w:r>
              <w:rPr>
                <w:rFonts w:ascii="宋体" w:hAnsi="宋体" w:cs="宋体" w:eastAsia="宋体" w:hint="default"/>
                <w:spacing w:val="-60"/>
                <w:sz w:val="24"/>
                <w:szCs w:val="24"/>
              </w:rPr>
              <w:t> </w:t>
            </w:r>
            <w:r>
              <w:rPr>
                <w:rFonts w:ascii="宋体" w:hAnsi="宋体" w:cs="宋体" w:eastAsia="宋体" w:hint="default"/>
                <w:sz w:val="24"/>
                <w:szCs w:val="24"/>
              </w:rPr>
              <w:t>29</w:t>
            </w:r>
            <w:r>
              <w:rPr>
                <w:rFonts w:ascii="宋体" w:hAnsi="宋体" w:cs="宋体" w:eastAsia="宋体" w:hint="default"/>
                <w:spacing w:val="-60"/>
                <w:sz w:val="24"/>
                <w:szCs w:val="24"/>
              </w:rPr>
              <w:t> </w:t>
            </w:r>
            <w:r>
              <w:rPr>
                <w:rFonts w:ascii="宋体" w:hAnsi="宋体" w:cs="宋体" w:eastAsia="宋体" w:hint="default"/>
                <w:sz w:val="24"/>
                <w:szCs w:val="24"/>
              </w:rPr>
              <w:t>层办公室</w:t>
            </w:r>
          </w:p>
        </w:tc>
      </w:tr>
    </w:tbl>
    <w:p>
      <w:pPr>
        <w:spacing w:line="240" w:lineRule="auto" w:before="12"/>
        <w:rPr>
          <w:rFonts w:ascii="黑体" w:hAnsi="黑体" w:cs="黑体" w:eastAsia="黑体" w:hint="default"/>
          <w:sz w:val="13"/>
          <w:szCs w:val="13"/>
        </w:rPr>
      </w:pPr>
    </w:p>
    <w:p>
      <w:pPr>
        <w:pStyle w:val="Heading2"/>
        <w:spacing w:line="240" w:lineRule="auto" w:before="14"/>
        <w:ind w:right="110"/>
        <w:jc w:val="left"/>
      </w:pPr>
      <w:r>
        <w:rPr/>
        <w:t>五、公司股票简况</w:t>
      </w:r>
    </w:p>
    <w:p>
      <w:pPr>
        <w:spacing w:line="240" w:lineRule="auto" w:before="13"/>
        <w:rPr>
          <w:rFonts w:ascii="黑体" w:hAnsi="黑体" w:cs="黑体" w:eastAsia="黑体" w:hint="default"/>
          <w:sz w:val="7"/>
          <w:szCs w:val="7"/>
        </w:rPr>
      </w:pPr>
    </w:p>
    <w:tbl>
      <w:tblPr>
        <w:tblW w:w="0" w:type="auto"/>
        <w:jc w:val="left"/>
        <w:tblInd w:w="116" w:type="dxa"/>
        <w:tblLayout w:type="fixed"/>
        <w:tblCellMar>
          <w:top w:w="0" w:type="dxa"/>
          <w:left w:w="0" w:type="dxa"/>
          <w:bottom w:w="0" w:type="dxa"/>
          <w:right w:w="0" w:type="dxa"/>
        </w:tblCellMar>
        <w:tblLook w:val="01E0"/>
      </w:tblPr>
      <w:tblGrid>
        <w:gridCol w:w="1385"/>
        <w:gridCol w:w="1985"/>
        <w:gridCol w:w="1558"/>
        <w:gridCol w:w="1702"/>
        <w:gridCol w:w="2789"/>
      </w:tblGrid>
      <w:tr>
        <w:trPr>
          <w:trHeight w:val="334" w:hRule="exact"/>
        </w:trPr>
        <w:tc>
          <w:tcPr>
            <w:tcW w:w="1385" w:type="dxa"/>
            <w:tcBorders>
              <w:top w:val="single" w:sz="12" w:space="0" w:color="000000"/>
              <w:left w:val="single" w:sz="12" w:space="0" w:color="000000"/>
              <w:bottom w:val="single" w:sz="6" w:space="0" w:color="000000"/>
              <w:right w:val="single" w:sz="6" w:space="0" w:color="000000"/>
            </w:tcBorders>
          </w:tcPr>
          <w:p>
            <w:pPr>
              <w:pStyle w:val="TableParagraph"/>
              <w:spacing w:line="274" w:lineRule="exact"/>
              <w:ind w:right="7"/>
              <w:jc w:val="center"/>
              <w:rPr>
                <w:rFonts w:ascii="宋体" w:hAnsi="宋体" w:cs="宋体" w:eastAsia="宋体" w:hint="default"/>
                <w:sz w:val="24"/>
                <w:szCs w:val="24"/>
              </w:rPr>
            </w:pPr>
            <w:r>
              <w:rPr>
                <w:rFonts w:ascii="宋体" w:hAnsi="宋体" w:cs="宋体" w:eastAsia="宋体" w:hint="default"/>
                <w:sz w:val="24"/>
                <w:szCs w:val="24"/>
              </w:rPr>
              <w:t>股票种类</w:t>
            </w:r>
          </w:p>
        </w:tc>
        <w:tc>
          <w:tcPr>
            <w:tcW w:w="1985"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股票上市交易所</w:t>
            </w:r>
          </w:p>
        </w:tc>
        <w:tc>
          <w:tcPr>
            <w:tcW w:w="1558"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ind w:left="292" w:right="0"/>
              <w:jc w:val="left"/>
              <w:rPr>
                <w:rFonts w:ascii="宋体" w:hAnsi="宋体" w:cs="宋体" w:eastAsia="宋体" w:hint="default"/>
                <w:sz w:val="24"/>
                <w:szCs w:val="24"/>
              </w:rPr>
            </w:pPr>
            <w:r>
              <w:rPr>
                <w:rFonts w:ascii="宋体" w:hAnsi="宋体" w:cs="宋体" w:eastAsia="宋体" w:hint="default"/>
                <w:sz w:val="24"/>
                <w:szCs w:val="24"/>
              </w:rPr>
              <w:t>股票简称</w:t>
            </w:r>
          </w:p>
        </w:tc>
        <w:tc>
          <w:tcPr>
            <w:tcW w:w="1702"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股票代码</w:t>
            </w:r>
          </w:p>
        </w:tc>
        <w:tc>
          <w:tcPr>
            <w:tcW w:w="2789" w:type="dxa"/>
            <w:tcBorders>
              <w:top w:val="single" w:sz="12" w:space="0" w:color="000000"/>
              <w:left w:val="single" w:sz="6" w:space="0" w:color="000000"/>
              <w:bottom w:val="single" w:sz="6" w:space="0" w:color="000000"/>
              <w:right w:val="single" w:sz="12" w:space="0" w:color="000000"/>
            </w:tcBorders>
          </w:tcPr>
          <w:p>
            <w:pPr>
              <w:pStyle w:val="TableParagraph"/>
              <w:spacing w:line="274" w:lineRule="exact"/>
              <w:ind w:left="6" w:right="0"/>
              <w:jc w:val="center"/>
              <w:rPr>
                <w:rFonts w:ascii="宋体" w:hAnsi="宋体" w:cs="宋体" w:eastAsia="宋体" w:hint="default"/>
                <w:sz w:val="24"/>
                <w:szCs w:val="24"/>
              </w:rPr>
            </w:pPr>
            <w:r>
              <w:rPr>
                <w:rFonts w:ascii="宋体" w:hAnsi="宋体" w:cs="宋体" w:eastAsia="宋体" w:hint="default"/>
                <w:sz w:val="24"/>
                <w:szCs w:val="24"/>
              </w:rPr>
              <w:t>变更前股票简称</w:t>
            </w:r>
          </w:p>
        </w:tc>
      </w:tr>
      <w:tr>
        <w:trPr>
          <w:trHeight w:val="331" w:hRule="exact"/>
        </w:trPr>
        <w:tc>
          <w:tcPr>
            <w:tcW w:w="1385" w:type="dxa"/>
            <w:tcBorders>
              <w:top w:val="single" w:sz="6" w:space="0" w:color="000000"/>
              <w:left w:val="single" w:sz="12" w:space="0" w:color="000000"/>
              <w:bottom w:val="single" w:sz="12" w:space="0" w:color="000000"/>
              <w:right w:val="single" w:sz="6" w:space="0" w:color="000000"/>
            </w:tcBorders>
          </w:tcPr>
          <w:p>
            <w:pPr>
              <w:pStyle w:val="TableParagraph"/>
              <w:spacing w:line="274" w:lineRule="exact"/>
              <w:ind w:right="5"/>
              <w:jc w:val="center"/>
              <w:rPr>
                <w:rFonts w:ascii="宋体" w:hAnsi="宋体" w:cs="宋体" w:eastAsia="宋体" w:hint="default"/>
                <w:sz w:val="24"/>
                <w:szCs w:val="24"/>
              </w:rPr>
            </w:pPr>
            <w:r>
              <w:rPr>
                <w:rFonts w:ascii="宋体" w:hAnsi="宋体" w:cs="宋体" w:eastAsia="宋体" w:hint="default"/>
                <w:sz w:val="24"/>
                <w:szCs w:val="24"/>
              </w:rPr>
              <w:t>A</w:t>
            </w:r>
            <w:r>
              <w:rPr>
                <w:rFonts w:ascii="宋体" w:hAnsi="宋体" w:cs="宋体" w:eastAsia="宋体" w:hint="default"/>
                <w:spacing w:val="-60"/>
                <w:sz w:val="24"/>
                <w:szCs w:val="24"/>
              </w:rPr>
              <w:t> </w:t>
            </w:r>
            <w:r>
              <w:rPr>
                <w:rFonts w:ascii="宋体" w:hAnsi="宋体" w:cs="宋体" w:eastAsia="宋体" w:hint="default"/>
                <w:sz w:val="24"/>
                <w:szCs w:val="24"/>
              </w:rPr>
              <w:t>股</w:t>
            </w:r>
          </w:p>
        </w:tc>
        <w:tc>
          <w:tcPr>
            <w:tcW w:w="1985"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上海证券交易所</w:t>
            </w:r>
          </w:p>
        </w:tc>
        <w:tc>
          <w:tcPr>
            <w:tcW w:w="1558"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left="292" w:right="0"/>
              <w:jc w:val="left"/>
              <w:rPr>
                <w:rFonts w:ascii="宋体" w:hAnsi="宋体" w:cs="宋体" w:eastAsia="宋体" w:hint="default"/>
                <w:sz w:val="24"/>
                <w:szCs w:val="24"/>
              </w:rPr>
            </w:pPr>
            <w:r>
              <w:rPr>
                <w:rFonts w:ascii="宋体" w:hAnsi="宋体" w:cs="宋体" w:eastAsia="宋体" w:hint="default"/>
                <w:sz w:val="24"/>
                <w:szCs w:val="24"/>
              </w:rPr>
              <w:t>同方股份</w:t>
            </w:r>
          </w:p>
        </w:tc>
        <w:tc>
          <w:tcPr>
            <w:tcW w:w="1702"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right="1"/>
              <w:jc w:val="center"/>
              <w:rPr>
                <w:rFonts w:ascii="宋体" w:hAnsi="宋体" w:cs="宋体" w:eastAsia="宋体" w:hint="default"/>
                <w:sz w:val="24"/>
                <w:szCs w:val="24"/>
              </w:rPr>
            </w:pPr>
            <w:r>
              <w:rPr>
                <w:rFonts w:ascii="宋体"/>
                <w:sz w:val="24"/>
              </w:rPr>
              <w:t>600100</w:t>
            </w:r>
          </w:p>
        </w:tc>
        <w:tc>
          <w:tcPr>
            <w:tcW w:w="2789" w:type="dxa"/>
            <w:tcBorders>
              <w:top w:val="single" w:sz="6" w:space="0" w:color="000000"/>
              <w:left w:val="single" w:sz="6" w:space="0" w:color="000000"/>
              <w:bottom w:val="single" w:sz="12" w:space="0" w:color="000000"/>
              <w:right w:val="single" w:sz="12" w:space="0" w:color="000000"/>
            </w:tcBorders>
          </w:tcPr>
          <w:p>
            <w:pPr>
              <w:pStyle w:val="TableParagraph"/>
              <w:spacing w:line="274" w:lineRule="exact"/>
              <w:ind w:left="6" w:right="0"/>
              <w:jc w:val="center"/>
              <w:rPr>
                <w:rFonts w:ascii="宋体" w:hAnsi="宋体" w:cs="宋体" w:eastAsia="宋体" w:hint="default"/>
                <w:sz w:val="24"/>
                <w:szCs w:val="24"/>
              </w:rPr>
            </w:pPr>
            <w:r>
              <w:rPr>
                <w:rFonts w:ascii="宋体" w:hAnsi="宋体" w:cs="宋体" w:eastAsia="宋体" w:hint="default"/>
                <w:sz w:val="24"/>
                <w:szCs w:val="24"/>
              </w:rPr>
              <w:t>清华同方</w:t>
            </w:r>
          </w:p>
        </w:tc>
      </w:tr>
    </w:tbl>
    <w:p>
      <w:pPr>
        <w:spacing w:line="240" w:lineRule="auto" w:before="12"/>
        <w:rPr>
          <w:rFonts w:ascii="黑体" w:hAnsi="黑体" w:cs="黑体" w:eastAsia="黑体" w:hint="default"/>
          <w:sz w:val="13"/>
          <w:szCs w:val="13"/>
        </w:rPr>
      </w:pPr>
    </w:p>
    <w:p>
      <w:pPr>
        <w:pStyle w:val="Heading2"/>
        <w:spacing w:line="240" w:lineRule="auto" w:before="14"/>
        <w:ind w:right="110"/>
        <w:jc w:val="left"/>
      </w:pPr>
      <w:r>
        <w:rPr/>
        <w:t>六、其他相关资料</w:t>
      </w:r>
    </w:p>
    <w:p>
      <w:pPr>
        <w:spacing w:line="240" w:lineRule="auto" w:before="13"/>
        <w:rPr>
          <w:rFonts w:ascii="黑体" w:hAnsi="黑体" w:cs="黑体" w:eastAsia="黑体" w:hint="default"/>
          <w:sz w:val="7"/>
          <w:szCs w:val="7"/>
        </w:rPr>
      </w:pPr>
    </w:p>
    <w:tbl>
      <w:tblPr>
        <w:tblW w:w="0" w:type="auto"/>
        <w:jc w:val="left"/>
        <w:tblInd w:w="116" w:type="dxa"/>
        <w:tblLayout w:type="fixed"/>
        <w:tblCellMar>
          <w:top w:w="0" w:type="dxa"/>
          <w:left w:w="0" w:type="dxa"/>
          <w:bottom w:w="0" w:type="dxa"/>
          <w:right w:w="0" w:type="dxa"/>
        </w:tblCellMar>
        <w:tblLook w:val="01E0"/>
      </w:tblPr>
      <w:tblGrid>
        <w:gridCol w:w="1810"/>
        <w:gridCol w:w="2693"/>
        <w:gridCol w:w="4823"/>
      </w:tblGrid>
      <w:tr>
        <w:trPr>
          <w:trHeight w:val="334" w:hRule="exact"/>
        </w:trPr>
        <w:tc>
          <w:tcPr>
            <w:tcW w:w="1810" w:type="dxa"/>
            <w:vMerge w:val="restart"/>
            <w:tcBorders>
              <w:top w:val="single" w:sz="12" w:space="0" w:color="000000"/>
              <w:left w:val="single" w:sz="12" w:space="0" w:color="000000"/>
              <w:right w:val="single" w:sz="6" w:space="0" w:color="000000"/>
            </w:tcBorders>
          </w:tcPr>
          <w:p>
            <w:pPr>
              <w:pStyle w:val="TableParagraph"/>
              <w:spacing w:line="280" w:lineRule="exact"/>
              <w:ind w:left="170" w:right="0"/>
              <w:jc w:val="left"/>
              <w:rPr>
                <w:rFonts w:ascii="宋体" w:hAnsi="宋体" w:cs="宋体" w:eastAsia="宋体" w:hint="default"/>
                <w:sz w:val="24"/>
                <w:szCs w:val="24"/>
              </w:rPr>
            </w:pPr>
            <w:r>
              <w:rPr>
                <w:rFonts w:ascii="宋体" w:hAnsi="宋体" w:cs="宋体" w:eastAsia="宋体" w:hint="default"/>
                <w:sz w:val="24"/>
                <w:szCs w:val="24"/>
              </w:rPr>
              <w:t>公司聘请的会</w:t>
            </w:r>
          </w:p>
          <w:p>
            <w:pPr>
              <w:pStyle w:val="TableParagraph"/>
              <w:spacing w:line="313" w:lineRule="exact"/>
              <w:ind w:left="170" w:right="0"/>
              <w:jc w:val="left"/>
              <w:rPr>
                <w:rFonts w:ascii="宋体" w:hAnsi="宋体" w:cs="宋体" w:eastAsia="宋体" w:hint="default"/>
                <w:sz w:val="24"/>
                <w:szCs w:val="24"/>
              </w:rPr>
            </w:pPr>
            <w:r>
              <w:rPr>
                <w:rFonts w:ascii="宋体" w:hAnsi="宋体" w:cs="宋体" w:eastAsia="宋体" w:hint="default"/>
                <w:sz w:val="24"/>
                <w:szCs w:val="24"/>
              </w:rPr>
              <w:t>计师事务所名</w:t>
            </w:r>
          </w:p>
        </w:tc>
        <w:tc>
          <w:tcPr>
            <w:tcW w:w="2693"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名称</w:t>
            </w:r>
          </w:p>
        </w:tc>
        <w:tc>
          <w:tcPr>
            <w:tcW w:w="4823" w:type="dxa"/>
            <w:tcBorders>
              <w:top w:val="single" w:sz="12"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信永中和会计师事务所</w:t>
            </w:r>
            <w:r>
              <w:rPr>
                <w:rFonts w:ascii="宋体" w:hAnsi="宋体" w:cs="宋体" w:eastAsia="宋体" w:hint="default"/>
                <w:sz w:val="24"/>
                <w:szCs w:val="24"/>
              </w:rPr>
              <w:t>(</w:t>
            </w:r>
            <w:r>
              <w:rPr>
                <w:rFonts w:ascii="宋体" w:hAnsi="宋体" w:cs="宋体" w:eastAsia="宋体" w:hint="default"/>
                <w:sz w:val="24"/>
                <w:szCs w:val="24"/>
              </w:rPr>
              <w:t>特殊普通合伙</w:t>
            </w:r>
            <w:r>
              <w:rPr>
                <w:rFonts w:ascii="宋体" w:hAnsi="宋体" w:cs="宋体" w:eastAsia="宋体" w:hint="default"/>
                <w:sz w:val="24"/>
                <w:szCs w:val="24"/>
              </w:rPr>
              <w:t>)</w:t>
            </w:r>
          </w:p>
        </w:tc>
      </w:tr>
      <w:tr>
        <w:trPr>
          <w:trHeight w:val="331" w:hRule="exact"/>
        </w:trPr>
        <w:tc>
          <w:tcPr>
            <w:tcW w:w="1810" w:type="dxa"/>
            <w:vMerge/>
            <w:tcBorders>
              <w:left w:val="single" w:sz="12" w:space="0" w:color="000000"/>
              <w:bottom w:val="single" w:sz="12" w:space="0" w:color="000000"/>
              <w:right w:val="single" w:sz="6" w:space="0" w:color="000000"/>
            </w:tcBorders>
          </w:tcPr>
          <w:p>
            <w:pPr/>
          </w:p>
        </w:tc>
        <w:tc>
          <w:tcPr>
            <w:tcW w:w="2693"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办公地址</w:t>
            </w:r>
          </w:p>
        </w:tc>
        <w:tc>
          <w:tcPr>
            <w:tcW w:w="4823" w:type="dxa"/>
            <w:tcBorders>
              <w:top w:val="single" w:sz="6" w:space="0" w:color="000000"/>
              <w:left w:val="single" w:sz="6" w:space="0" w:color="000000"/>
              <w:bottom w:val="single" w:sz="12"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北京市朝阳门北大街</w:t>
            </w:r>
            <w:r>
              <w:rPr>
                <w:rFonts w:ascii="宋体" w:hAnsi="宋体" w:cs="宋体" w:eastAsia="宋体" w:hint="default"/>
                <w:spacing w:val="-60"/>
                <w:sz w:val="24"/>
                <w:szCs w:val="24"/>
              </w:rPr>
              <w:t> </w:t>
            </w: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号富华大厦</w:t>
            </w:r>
            <w:r>
              <w:rPr>
                <w:rFonts w:ascii="宋体" w:hAnsi="宋体" w:cs="宋体" w:eastAsia="宋体" w:hint="default"/>
                <w:spacing w:val="-60"/>
                <w:sz w:val="24"/>
                <w:szCs w:val="24"/>
              </w:rPr>
              <w:t> </w:t>
            </w:r>
            <w:r>
              <w:rPr>
                <w:rFonts w:ascii="宋体" w:hAnsi="宋体" w:cs="宋体" w:eastAsia="宋体" w:hint="default"/>
                <w:sz w:val="24"/>
                <w:szCs w:val="24"/>
              </w:rPr>
              <w:t>A</w:t>
            </w:r>
            <w:r>
              <w:rPr>
                <w:rFonts w:ascii="宋体" w:hAnsi="宋体" w:cs="宋体" w:eastAsia="宋体" w:hint="default"/>
                <w:spacing w:val="-60"/>
                <w:sz w:val="24"/>
                <w:szCs w:val="24"/>
              </w:rPr>
              <w:t> </w:t>
            </w:r>
            <w:r>
              <w:rPr>
                <w:rFonts w:ascii="宋体" w:hAnsi="宋体" w:cs="宋体" w:eastAsia="宋体" w:hint="default"/>
                <w:sz w:val="24"/>
                <w:szCs w:val="24"/>
              </w:rPr>
              <w:t>座</w:t>
            </w:r>
            <w:r>
              <w:rPr>
                <w:rFonts w:ascii="宋体" w:hAnsi="宋体" w:cs="宋体" w:eastAsia="宋体" w:hint="default"/>
                <w:spacing w:val="-60"/>
                <w:sz w:val="24"/>
                <w:szCs w:val="24"/>
              </w:rPr>
              <w:t> </w:t>
            </w: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层</w:t>
            </w:r>
          </w:p>
        </w:tc>
      </w:tr>
    </w:tbl>
    <w:p>
      <w:pPr>
        <w:spacing w:after="0" w:line="274" w:lineRule="exact"/>
        <w:jc w:val="left"/>
        <w:rPr>
          <w:rFonts w:ascii="宋体" w:hAnsi="宋体" w:cs="宋体" w:eastAsia="宋体" w:hint="default"/>
          <w:sz w:val="24"/>
          <w:szCs w:val="24"/>
        </w:rPr>
        <w:sectPr>
          <w:pgSz w:w="11910" w:h="16840"/>
          <w:pgMar w:header="628" w:footer="760" w:top="1020" w:bottom="960" w:left="1180" w:right="104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11"/>
          <w:szCs w:val="11"/>
        </w:rPr>
      </w:pPr>
    </w:p>
    <w:tbl>
      <w:tblPr>
        <w:tblW w:w="0" w:type="auto"/>
        <w:jc w:val="left"/>
        <w:tblInd w:w="116" w:type="dxa"/>
        <w:tblLayout w:type="fixed"/>
        <w:tblCellMar>
          <w:top w:w="0" w:type="dxa"/>
          <w:left w:w="0" w:type="dxa"/>
          <w:bottom w:w="0" w:type="dxa"/>
          <w:right w:w="0" w:type="dxa"/>
        </w:tblCellMar>
        <w:tblLook w:val="01E0"/>
      </w:tblPr>
      <w:tblGrid>
        <w:gridCol w:w="1810"/>
        <w:gridCol w:w="2693"/>
        <w:gridCol w:w="4823"/>
      </w:tblGrid>
      <w:tr>
        <w:trPr>
          <w:trHeight w:val="334" w:hRule="exact"/>
        </w:trPr>
        <w:tc>
          <w:tcPr>
            <w:tcW w:w="1810" w:type="dxa"/>
            <w:tcBorders>
              <w:top w:val="single" w:sz="12" w:space="0" w:color="000000"/>
              <w:left w:val="single" w:sz="12" w:space="0" w:color="000000"/>
              <w:bottom w:val="single" w:sz="6" w:space="0" w:color="000000"/>
              <w:right w:val="single" w:sz="6" w:space="0" w:color="000000"/>
            </w:tcBorders>
          </w:tcPr>
          <w:p>
            <w:pPr>
              <w:pStyle w:val="TableParagraph"/>
              <w:spacing w:line="274" w:lineRule="exact"/>
              <w:ind w:left="410" w:right="0"/>
              <w:jc w:val="left"/>
              <w:rPr>
                <w:rFonts w:ascii="宋体" w:hAnsi="宋体" w:cs="宋体" w:eastAsia="宋体" w:hint="default"/>
                <w:sz w:val="24"/>
                <w:szCs w:val="24"/>
              </w:rPr>
            </w:pPr>
            <w:r>
              <w:rPr>
                <w:rFonts w:ascii="宋体" w:hAnsi="宋体" w:cs="宋体" w:eastAsia="宋体" w:hint="default"/>
                <w:sz w:val="24"/>
                <w:szCs w:val="24"/>
              </w:rPr>
              <w:t>称</w:t>
            </w:r>
            <w:r>
              <w:rPr>
                <w:rFonts w:ascii="宋体" w:hAnsi="宋体" w:cs="宋体" w:eastAsia="宋体" w:hint="default"/>
                <w:sz w:val="24"/>
                <w:szCs w:val="24"/>
              </w:rPr>
              <w:t>(</w:t>
            </w:r>
            <w:r>
              <w:rPr>
                <w:rFonts w:ascii="宋体" w:hAnsi="宋体" w:cs="宋体" w:eastAsia="宋体" w:hint="default"/>
                <w:sz w:val="24"/>
                <w:szCs w:val="24"/>
              </w:rPr>
              <w:t>境内</w:t>
            </w:r>
            <w:r>
              <w:rPr>
                <w:rFonts w:ascii="宋体" w:hAnsi="宋体" w:cs="宋体" w:eastAsia="宋体" w:hint="default"/>
                <w:sz w:val="24"/>
                <w:szCs w:val="24"/>
              </w:rPr>
              <w:t>)</w:t>
            </w:r>
          </w:p>
        </w:tc>
        <w:tc>
          <w:tcPr>
            <w:tcW w:w="2693"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签字会计师姓名</w:t>
            </w:r>
          </w:p>
        </w:tc>
        <w:tc>
          <w:tcPr>
            <w:tcW w:w="4823" w:type="dxa"/>
            <w:tcBorders>
              <w:top w:val="single" w:sz="12"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周海涛、刘宇</w:t>
            </w:r>
          </w:p>
        </w:tc>
      </w:tr>
      <w:tr>
        <w:trPr>
          <w:trHeight w:val="326" w:hRule="exact"/>
        </w:trPr>
        <w:tc>
          <w:tcPr>
            <w:tcW w:w="1810" w:type="dxa"/>
            <w:vMerge w:val="restart"/>
            <w:tcBorders>
              <w:top w:val="single" w:sz="6" w:space="0" w:color="000000"/>
              <w:left w:val="single" w:sz="12" w:space="0" w:color="000000"/>
              <w:right w:val="single" w:sz="6" w:space="0" w:color="000000"/>
            </w:tcBorders>
          </w:tcPr>
          <w:p>
            <w:pPr>
              <w:pStyle w:val="TableParagraph"/>
              <w:spacing w:line="240" w:lineRule="auto" w:before="10"/>
              <w:ind w:right="0"/>
              <w:jc w:val="left"/>
              <w:rPr>
                <w:rFonts w:ascii="黑体" w:hAnsi="黑体" w:cs="黑体" w:eastAsia="黑体" w:hint="default"/>
                <w:sz w:val="24"/>
                <w:szCs w:val="24"/>
              </w:rPr>
            </w:pPr>
          </w:p>
          <w:p>
            <w:pPr>
              <w:pStyle w:val="TableParagraph"/>
              <w:spacing w:line="312" w:lineRule="exact"/>
              <w:ind w:left="170" w:right="175"/>
              <w:jc w:val="both"/>
              <w:rPr>
                <w:rFonts w:ascii="宋体" w:hAnsi="宋体" w:cs="宋体" w:eastAsia="宋体" w:hint="default"/>
                <w:sz w:val="24"/>
                <w:szCs w:val="24"/>
              </w:rPr>
            </w:pPr>
            <w:r>
              <w:rPr>
                <w:rFonts w:ascii="宋体" w:hAnsi="宋体" w:cs="宋体" w:eastAsia="宋体" w:hint="default"/>
                <w:sz w:val="24"/>
                <w:szCs w:val="24"/>
              </w:rPr>
              <w:t>报告期内履行 持续督导职责 的保荐机构</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名称</w:t>
            </w:r>
          </w:p>
        </w:tc>
        <w:tc>
          <w:tcPr>
            <w:tcW w:w="4823"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中信证券股份有限公司</w:t>
            </w:r>
          </w:p>
        </w:tc>
      </w:tr>
      <w:tr>
        <w:trPr>
          <w:trHeight w:val="638" w:hRule="exact"/>
        </w:trPr>
        <w:tc>
          <w:tcPr>
            <w:tcW w:w="1810" w:type="dxa"/>
            <w:vMerge/>
            <w:tcBorders>
              <w:left w:val="single" w:sz="12" w:space="0" w:color="000000"/>
              <w:right w:val="single" w:sz="6" w:space="0" w:color="000000"/>
            </w:tcBorders>
          </w:tcPr>
          <w:p>
            <w:pP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办公地址</w:t>
            </w:r>
          </w:p>
        </w:tc>
        <w:tc>
          <w:tcPr>
            <w:tcW w:w="4823"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广东省深圳市福田区中心三路 </w:t>
            </w:r>
            <w:r>
              <w:rPr>
                <w:rFonts w:ascii="宋体" w:hAnsi="宋体" w:cs="宋体" w:eastAsia="宋体" w:hint="default"/>
                <w:sz w:val="24"/>
                <w:szCs w:val="24"/>
              </w:rPr>
              <w:t>8</w:t>
            </w:r>
            <w:r>
              <w:rPr>
                <w:rFonts w:ascii="宋体" w:hAnsi="宋体" w:cs="宋体" w:eastAsia="宋体" w:hint="default"/>
                <w:spacing w:val="-77"/>
                <w:sz w:val="24"/>
                <w:szCs w:val="24"/>
              </w:rPr>
              <w:t> </w:t>
            </w:r>
            <w:r>
              <w:rPr>
                <w:rFonts w:ascii="宋体" w:hAnsi="宋体" w:cs="宋体" w:eastAsia="宋体" w:hint="default"/>
                <w:sz w:val="24"/>
                <w:szCs w:val="24"/>
              </w:rPr>
              <w:t>号卓越时代</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广场</w:t>
            </w:r>
            <w:r>
              <w:rPr>
                <w:rFonts w:ascii="宋体" w:hAnsi="宋体" w:cs="宋体" w:eastAsia="宋体" w:hint="default"/>
                <w:sz w:val="24"/>
                <w:szCs w:val="24"/>
              </w:rPr>
              <w:t>(</w:t>
            </w:r>
            <w:r>
              <w:rPr>
                <w:rFonts w:ascii="宋体" w:hAnsi="宋体" w:cs="宋体" w:eastAsia="宋体" w:hint="default"/>
                <w:sz w:val="24"/>
                <w:szCs w:val="24"/>
              </w:rPr>
              <w:t>二期</w:t>
            </w:r>
            <w:r>
              <w:rPr>
                <w:rFonts w:ascii="宋体" w:hAnsi="宋体" w:cs="宋体" w:eastAsia="宋体" w:hint="default"/>
                <w:sz w:val="24"/>
                <w:szCs w:val="24"/>
              </w:rPr>
              <w:t>)</w:t>
            </w:r>
            <w:r>
              <w:rPr>
                <w:rFonts w:ascii="宋体" w:hAnsi="宋体" w:cs="宋体" w:eastAsia="宋体" w:hint="default"/>
                <w:sz w:val="24"/>
                <w:szCs w:val="24"/>
              </w:rPr>
              <w:t>北座</w:t>
            </w:r>
          </w:p>
        </w:tc>
      </w:tr>
      <w:tr>
        <w:trPr>
          <w:trHeight w:val="324" w:hRule="exact"/>
        </w:trPr>
        <w:tc>
          <w:tcPr>
            <w:tcW w:w="1810" w:type="dxa"/>
            <w:vMerge/>
            <w:tcBorders>
              <w:left w:val="single" w:sz="12" w:space="0" w:color="000000"/>
              <w:right w:val="single" w:sz="6" w:space="0" w:color="000000"/>
            </w:tcBorders>
          </w:tcPr>
          <w:p>
            <w:pP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签字的保荐代表人姓名</w:t>
            </w:r>
          </w:p>
        </w:tc>
        <w:tc>
          <w:tcPr>
            <w:tcW w:w="4823"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刘景泉、方浩</w:t>
            </w:r>
          </w:p>
        </w:tc>
      </w:tr>
      <w:tr>
        <w:trPr>
          <w:trHeight w:val="334" w:hRule="exact"/>
        </w:trPr>
        <w:tc>
          <w:tcPr>
            <w:tcW w:w="1810" w:type="dxa"/>
            <w:vMerge/>
            <w:tcBorders>
              <w:left w:val="single" w:sz="12" w:space="0" w:color="000000"/>
              <w:bottom w:val="single" w:sz="12" w:space="0" w:color="000000"/>
              <w:right w:val="single" w:sz="6" w:space="0" w:color="000000"/>
            </w:tcBorders>
          </w:tcPr>
          <w:p>
            <w:pPr/>
          </w:p>
        </w:tc>
        <w:tc>
          <w:tcPr>
            <w:tcW w:w="2693" w:type="dxa"/>
            <w:tcBorders>
              <w:top w:val="single" w:sz="6" w:space="0" w:color="000000"/>
              <w:left w:val="single" w:sz="6" w:space="0" w:color="000000"/>
              <w:bottom w:val="single" w:sz="12" w:space="0" w:color="000000"/>
              <w:right w:val="single" w:sz="6"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持续督导的期间</w:t>
            </w:r>
          </w:p>
        </w:tc>
        <w:tc>
          <w:tcPr>
            <w:tcW w:w="4823" w:type="dxa"/>
            <w:tcBorders>
              <w:top w:val="single" w:sz="6" w:space="0" w:color="000000"/>
              <w:left w:val="single" w:sz="6" w:space="0" w:color="000000"/>
              <w:bottom w:val="single" w:sz="12" w:space="0" w:color="000000"/>
              <w:right w:val="single" w:sz="12"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2015</w:t>
            </w:r>
            <w:r>
              <w:rPr>
                <w:rFonts w:ascii="宋体" w:hAnsi="宋体" w:cs="宋体" w:eastAsia="宋体" w:hint="default"/>
                <w:sz w:val="24"/>
                <w:szCs w:val="24"/>
              </w:rPr>
              <w:t>、</w:t>
            </w:r>
            <w:r>
              <w:rPr>
                <w:rFonts w:ascii="宋体" w:hAnsi="宋体" w:cs="宋体" w:eastAsia="宋体" w:hint="default"/>
                <w:sz w:val="24"/>
                <w:szCs w:val="24"/>
              </w:rPr>
              <w:t>2016</w:t>
            </w:r>
            <w:r>
              <w:rPr>
                <w:rFonts w:ascii="宋体" w:hAnsi="宋体" w:cs="宋体" w:eastAsia="宋体" w:hint="default"/>
                <w:spacing w:val="-60"/>
                <w:sz w:val="24"/>
                <w:szCs w:val="24"/>
              </w:rPr>
              <w:t> </w:t>
            </w:r>
            <w:r>
              <w:rPr>
                <w:rFonts w:ascii="宋体" w:hAnsi="宋体" w:cs="宋体" w:eastAsia="宋体" w:hint="default"/>
                <w:sz w:val="24"/>
                <w:szCs w:val="24"/>
              </w:rPr>
              <w:t>年度</w:t>
            </w:r>
          </w:p>
        </w:tc>
      </w:tr>
    </w:tbl>
    <w:p>
      <w:pPr>
        <w:spacing w:line="240" w:lineRule="auto" w:before="12"/>
        <w:rPr>
          <w:rFonts w:ascii="黑体" w:hAnsi="黑体" w:cs="黑体" w:eastAsia="黑体" w:hint="default"/>
          <w:sz w:val="13"/>
          <w:szCs w:val="13"/>
        </w:rPr>
      </w:pPr>
    </w:p>
    <w:p>
      <w:pPr>
        <w:pStyle w:val="Heading2"/>
        <w:spacing w:line="240" w:lineRule="auto" w:before="14"/>
        <w:ind w:right="0"/>
        <w:jc w:val="left"/>
      </w:pPr>
      <w:r>
        <w:rPr/>
        <w:pict>
          <v:group style="position:absolute;margin-left:74.699997pt;margin-top:-34.848454pt;width:.4pt;height:28.2pt;mso-position-horizontal-relative:page;mso-position-vertical-relative:paragraph;z-index:-1198096" coordorigin="1494,-697" coordsize="8,564">
            <v:shape style="position:absolute;left:1494;top:-697;width:8;height:564" coordorigin="1494,-697" coordsize="8,564" path="m1502,-697l1494,-133e" filled="false" stroked="true" strokeweight="1pt" strokecolor="#ffffff">
              <v:path arrowok="t"/>
            </v:shape>
            <w10:wrap type="none"/>
          </v:group>
        </w:pict>
      </w:r>
      <w:r>
        <w:rPr/>
        <w:t>七、近三年主要会计数据和财务指标</w:t>
      </w:r>
    </w:p>
    <w:p>
      <w:pPr>
        <w:pStyle w:val="Heading3"/>
        <w:spacing w:line="240" w:lineRule="auto" w:before="62"/>
        <w:ind w:right="0"/>
        <w:jc w:val="left"/>
        <w:rPr>
          <w:b w:val="0"/>
          <w:bCs w:val="0"/>
        </w:rPr>
      </w:pPr>
      <w:r>
        <w:rPr>
          <w:rFonts w:ascii="宋体" w:hAnsi="宋体" w:cs="宋体" w:eastAsia="宋体" w:hint="default"/>
        </w:rPr>
        <w:t>(</w:t>
      </w:r>
      <w:r>
        <w:rPr/>
        <w:t>一</w:t>
      </w:r>
      <w:r>
        <w:rPr>
          <w:rFonts w:ascii="宋体" w:hAnsi="宋体" w:cs="宋体" w:eastAsia="宋体" w:hint="default"/>
        </w:rPr>
        <w:t>)</w:t>
      </w:r>
      <w:r>
        <w:rPr/>
        <w:t>主要会计数据</w:t>
      </w:r>
      <w:r>
        <w:rPr>
          <w:b w:val="0"/>
          <w:bCs w:val="0"/>
        </w:rPr>
      </w:r>
    </w:p>
    <w:p>
      <w:pPr>
        <w:spacing w:line="240" w:lineRule="auto" w:before="6"/>
        <w:rPr>
          <w:rFonts w:ascii="宋体" w:hAnsi="宋体" w:cs="宋体" w:eastAsia="宋体" w:hint="default"/>
          <w:b/>
          <w:bCs/>
          <w:sz w:val="21"/>
          <w:szCs w:val="21"/>
        </w:rPr>
      </w:pPr>
    </w:p>
    <w:p>
      <w:pPr>
        <w:spacing w:before="36"/>
        <w:ind w:left="0" w:right="425"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2912"/>
        <w:gridCol w:w="1567"/>
        <w:gridCol w:w="1565"/>
        <w:gridCol w:w="1719"/>
        <w:gridCol w:w="1567"/>
      </w:tblGrid>
      <w:tr>
        <w:trPr>
          <w:trHeight w:val="533" w:hRule="exact"/>
        </w:trPr>
        <w:tc>
          <w:tcPr>
            <w:tcW w:w="291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9"/>
              <w:ind w:left="897" w:right="0"/>
              <w:jc w:val="left"/>
              <w:rPr>
                <w:rFonts w:ascii="宋体" w:hAnsi="宋体" w:cs="宋体" w:eastAsia="宋体" w:hint="default"/>
                <w:sz w:val="18"/>
                <w:szCs w:val="18"/>
              </w:rPr>
            </w:pPr>
            <w:r>
              <w:rPr>
                <w:rFonts w:ascii="宋体" w:hAnsi="宋体" w:cs="宋体" w:eastAsia="宋体" w:hint="default"/>
                <w:b/>
                <w:bCs/>
                <w:sz w:val="18"/>
                <w:szCs w:val="18"/>
              </w:rPr>
              <w:t>主要会计数据</w:t>
            </w:r>
            <w:r>
              <w:rPr>
                <w:rFonts w:ascii="宋体" w:hAnsi="宋体" w:cs="宋体" w:eastAsia="宋体" w:hint="default"/>
                <w:sz w:val="18"/>
                <w:szCs w:val="18"/>
              </w:rPr>
            </w:r>
          </w:p>
        </w:tc>
        <w:tc>
          <w:tcPr>
            <w:tcW w:w="156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9"/>
              <w:ind w:right="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2015</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56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9"/>
              <w:ind w:left="48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1"/>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719" w:type="dxa"/>
            <w:tcBorders>
              <w:top w:val="single" w:sz="12" w:space="0" w:color="000000"/>
              <w:left w:val="single" w:sz="6" w:space="0" w:color="000000"/>
              <w:bottom w:val="single" w:sz="6" w:space="0" w:color="000000"/>
              <w:right w:val="single" w:sz="6" w:space="0" w:color="000000"/>
            </w:tcBorders>
          </w:tcPr>
          <w:p>
            <w:pPr>
              <w:pStyle w:val="TableParagraph"/>
              <w:spacing w:line="232" w:lineRule="exact" w:before="18"/>
              <w:ind w:left="611" w:right="128" w:hanging="483"/>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本期比上年同期增</w:t>
            </w:r>
            <w:r>
              <w:rPr>
                <w:rFonts w:ascii="宋体" w:hAnsi="宋体" w:cs="宋体" w:eastAsia="宋体" w:hint="default"/>
                <w:b/>
                <w:bCs/>
                <w:w w:val="99"/>
                <w:sz w:val="18"/>
                <w:szCs w:val="18"/>
              </w:rPr>
              <w:t> </w:t>
            </w:r>
            <w:r>
              <w:rPr>
                <w:rFonts w:ascii="宋体" w:hAnsi="宋体" w:cs="宋体" w:eastAsia="宋体" w:hint="default"/>
                <w:b/>
                <w:bCs/>
                <w:sz w:val="18"/>
                <w:szCs w:val="18"/>
              </w:rPr>
              <w:t>减</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56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9"/>
              <w:ind w:left="48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2013</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r>
      <w:tr>
        <w:trPr>
          <w:trHeight w:val="286" w:hRule="exact"/>
        </w:trPr>
        <w:tc>
          <w:tcPr>
            <w:tcW w:w="2912" w:type="dxa"/>
            <w:tcBorders>
              <w:top w:val="single" w:sz="6" w:space="0" w:color="000000"/>
              <w:left w:val="single" w:sz="12" w:space="0" w:color="000000"/>
              <w:bottom w:val="single" w:sz="6" w:space="0" w:color="000000"/>
              <w:right w:val="single" w:sz="6" w:space="0" w:color="000000"/>
            </w:tcBorders>
          </w:tcPr>
          <w:p>
            <w:pPr>
              <w:pStyle w:val="TableParagraph"/>
              <w:spacing w:line="225" w:lineRule="exact"/>
              <w:ind w:left="9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0"/>
              <w:jc w:val="center"/>
              <w:rPr>
                <w:rFonts w:ascii="Times New Roman" w:hAnsi="Times New Roman" w:cs="Times New Roman" w:eastAsia="Times New Roman" w:hint="default"/>
                <w:sz w:val="18"/>
                <w:szCs w:val="18"/>
              </w:rPr>
            </w:pPr>
            <w:r>
              <w:rPr>
                <w:rFonts w:ascii="Times New Roman"/>
                <w:sz w:val="18"/>
              </w:rPr>
              <w:t>28,447,284,180.28</w:t>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97"/>
              <w:jc w:val="right"/>
              <w:rPr>
                <w:rFonts w:ascii="Times New Roman" w:hAnsi="Times New Roman" w:cs="Times New Roman" w:eastAsia="Times New Roman" w:hint="default"/>
                <w:sz w:val="18"/>
                <w:szCs w:val="18"/>
              </w:rPr>
            </w:pPr>
            <w:r>
              <w:rPr>
                <w:rFonts w:ascii="Times New Roman"/>
                <w:spacing w:val="-1"/>
                <w:sz w:val="18"/>
              </w:rPr>
              <w:t>25,993,724,026.86</w:t>
            </w:r>
          </w:p>
        </w:tc>
        <w:tc>
          <w:tcPr>
            <w:tcW w:w="17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98"/>
              <w:jc w:val="right"/>
              <w:rPr>
                <w:rFonts w:ascii="Times New Roman" w:hAnsi="Times New Roman" w:cs="Times New Roman" w:eastAsia="Times New Roman" w:hint="default"/>
                <w:sz w:val="18"/>
                <w:szCs w:val="18"/>
              </w:rPr>
            </w:pPr>
            <w:r>
              <w:rPr>
                <w:rFonts w:ascii="Times New Roman"/>
                <w:sz w:val="18"/>
              </w:rPr>
              <w:t>9.44%</w:t>
            </w:r>
          </w:p>
        </w:tc>
        <w:tc>
          <w:tcPr>
            <w:tcW w:w="15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6"/>
              <w:ind w:right="92"/>
              <w:jc w:val="right"/>
              <w:rPr>
                <w:rFonts w:ascii="Times New Roman" w:hAnsi="Times New Roman" w:cs="Times New Roman" w:eastAsia="Times New Roman" w:hint="default"/>
                <w:sz w:val="18"/>
                <w:szCs w:val="18"/>
              </w:rPr>
            </w:pPr>
            <w:r>
              <w:rPr>
                <w:rFonts w:ascii="Times New Roman"/>
                <w:spacing w:val="-1"/>
                <w:sz w:val="18"/>
              </w:rPr>
              <w:t>22,650,144,108.08</w:t>
            </w:r>
          </w:p>
        </w:tc>
      </w:tr>
      <w:tr>
        <w:trPr>
          <w:trHeight w:val="286" w:hRule="exact"/>
        </w:trPr>
        <w:tc>
          <w:tcPr>
            <w:tcW w:w="2912" w:type="dxa"/>
            <w:tcBorders>
              <w:top w:val="single" w:sz="6" w:space="0" w:color="000000"/>
              <w:left w:val="single" w:sz="12" w:space="0" w:color="000000"/>
              <w:bottom w:val="single" w:sz="6" w:space="0" w:color="000000"/>
              <w:right w:val="single" w:sz="6" w:space="0" w:color="000000"/>
            </w:tcBorders>
          </w:tcPr>
          <w:p>
            <w:pPr>
              <w:pStyle w:val="TableParagraph"/>
              <w:spacing w:line="225" w:lineRule="exact"/>
              <w:ind w:left="93"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5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left="92" w:right="0"/>
              <w:jc w:val="center"/>
              <w:rPr>
                <w:rFonts w:ascii="Times New Roman" w:hAnsi="Times New Roman" w:cs="Times New Roman" w:eastAsia="Times New Roman" w:hint="default"/>
                <w:sz w:val="18"/>
                <w:szCs w:val="18"/>
              </w:rPr>
            </w:pPr>
            <w:r>
              <w:rPr>
                <w:rFonts w:ascii="Times New Roman"/>
                <w:sz w:val="18"/>
              </w:rPr>
              <w:t>1,261,593,370.02</w:t>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96"/>
              <w:jc w:val="right"/>
              <w:rPr>
                <w:rFonts w:ascii="Times New Roman" w:hAnsi="Times New Roman" w:cs="Times New Roman" w:eastAsia="Times New Roman" w:hint="default"/>
                <w:sz w:val="18"/>
                <w:szCs w:val="18"/>
              </w:rPr>
            </w:pPr>
            <w:r>
              <w:rPr>
                <w:rFonts w:ascii="Times New Roman"/>
                <w:spacing w:val="-1"/>
                <w:sz w:val="18"/>
              </w:rPr>
              <w:t>755,641,901.57</w:t>
            </w:r>
          </w:p>
        </w:tc>
        <w:tc>
          <w:tcPr>
            <w:tcW w:w="17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96"/>
              <w:jc w:val="right"/>
              <w:rPr>
                <w:rFonts w:ascii="Times New Roman" w:hAnsi="Times New Roman" w:cs="Times New Roman" w:eastAsia="Times New Roman" w:hint="default"/>
                <w:sz w:val="18"/>
                <w:szCs w:val="18"/>
              </w:rPr>
            </w:pPr>
            <w:r>
              <w:rPr>
                <w:rFonts w:ascii="Times New Roman"/>
                <w:sz w:val="18"/>
              </w:rPr>
              <w:t>66.96%</w:t>
            </w:r>
          </w:p>
        </w:tc>
        <w:tc>
          <w:tcPr>
            <w:tcW w:w="15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6"/>
              <w:ind w:right="91"/>
              <w:jc w:val="right"/>
              <w:rPr>
                <w:rFonts w:ascii="Times New Roman" w:hAnsi="Times New Roman" w:cs="Times New Roman" w:eastAsia="Times New Roman" w:hint="default"/>
                <w:sz w:val="18"/>
                <w:szCs w:val="18"/>
              </w:rPr>
            </w:pPr>
            <w:r>
              <w:rPr>
                <w:rFonts w:ascii="Times New Roman"/>
                <w:spacing w:val="-1"/>
                <w:sz w:val="18"/>
              </w:rPr>
              <w:t>676,951,178.95</w:t>
            </w:r>
          </w:p>
        </w:tc>
      </w:tr>
      <w:tr>
        <w:trPr>
          <w:trHeight w:val="480" w:hRule="exact"/>
        </w:trPr>
        <w:tc>
          <w:tcPr>
            <w:tcW w:w="2912" w:type="dxa"/>
            <w:tcBorders>
              <w:top w:val="single" w:sz="6" w:space="0" w:color="000000"/>
              <w:left w:val="single" w:sz="12" w:space="0" w:color="000000"/>
              <w:bottom w:val="single" w:sz="6" w:space="0" w:color="000000"/>
              <w:right w:val="single" w:sz="6" w:space="0" w:color="000000"/>
            </w:tcBorders>
          </w:tcPr>
          <w:p>
            <w:pPr>
              <w:pStyle w:val="TableParagraph"/>
              <w:spacing w:line="204" w:lineRule="exact"/>
              <w:ind w:left="93" w:right="0"/>
              <w:jc w:val="left"/>
              <w:rPr>
                <w:rFonts w:ascii="宋体" w:hAnsi="宋体" w:cs="宋体" w:eastAsia="宋体" w:hint="default"/>
                <w:sz w:val="18"/>
                <w:szCs w:val="18"/>
              </w:rPr>
            </w:pPr>
            <w:r>
              <w:rPr>
                <w:rFonts w:ascii="宋体" w:hAnsi="宋体" w:cs="宋体" w:eastAsia="宋体" w:hint="default"/>
                <w:spacing w:val="12"/>
                <w:sz w:val="18"/>
                <w:szCs w:val="18"/>
              </w:rPr>
              <w:t>归属于上市公司股东的扣除非经</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常性损益的净利润</w:t>
            </w:r>
          </w:p>
        </w:tc>
        <w:tc>
          <w:tcPr>
            <w:tcW w:w="15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left="225" w:right="0"/>
              <w:jc w:val="center"/>
              <w:rPr>
                <w:rFonts w:ascii="Times New Roman" w:hAnsi="Times New Roman" w:cs="Times New Roman" w:eastAsia="Times New Roman" w:hint="default"/>
                <w:sz w:val="18"/>
                <w:szCs w:val="18"/>
              </w:rPr>
            </w:pPr>
            <w:r>
              <w:rPr>
                <w:rFonts w:ascii="Times New Roman"/>
                <w:sz w:val="18"/>
              </w:rPr>
              <w:t>546,100,805.14</w:t>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right="96"/>
              <w:jc w:val="right"/>
              <w:rPr>
                <w:rFonts w:ascii="Times New Roman" w:hAnsi="Times New Roman" w:cs="Times New Roman" w:eastAsia="Times New Roman" w:hint="default"/>
                <w:sz w:val="18"/>
                <w:szCs w:val="18"/>
              </w:rPr>
            </w:pPr>
            <w:r>
              <w:rPr>
                <w:rFonts w:ascii="Times New Roman"/>
                <w:spacing w:val="-1"/>
                <w:sz w:val="18"/>
              </w:rPr>
              <w:t>614,292,724.60</w:t>
            </w:r>
          </w:p>
        </w:tc>
        <w:tc>
          <w:tcPr>
            <w:tcW w:w="17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right="96"/>
              <w:jc w:val="right"/>
              <w:rPr>
                <w:rFonts w:ascii="Times New Roman" w:hAnsi="Times New Roman" w:cs="Times New Roman" w:eastAsia="Times New Roman" w:hint="default"/>
                <w:sz w:val="18"/>
                <w:szCs w:val="18"/>
              </w:rPr>
            </w:pPr>
            <w:r>
              <w:rPr>
                <w:rFonts w:ascii="Times New Roman"/>
                <w:sz w:val="18"/>
              </w:rPr>
              <w:t>-11.10%</w:t>
            </w:r>
          </w:p>
        </w:tc>
        <w:tc>
          <w:tcPr>
            <w:tcW w:w="15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4"/>
              <w:ind w:right="91"/>
              <w:jc w:val="right"/>
              <w:rPr>
                <w:rFonts w:ascii="Times New Roman" w:hAnsi="Times New Roman" w:cs="Times New Roman" w:eastAsia="Times New Roman" w:hint="default"/>
                <w:sz w:val="18"/>
                <w:szCs w:val="18"/>
              </w:rPr>
            </w:pPr>
            <w:r>
              <w:rPr>
                <w:rFonts w:ascii="Times New Roman"/>
                <w:spacing w:val="-1"/>
                <w:sz w:val="18"/>
              </w:rPr>
              <w:t>162,852,621.91</w:t>
            </w:r>
          </w:p>
        </w:tc>
      </w:tr>
      <w:tr>
        <w:trPr>
          <w:trHeight w:val="286" w:hRule="exact"/>
        </w:trPr>
        <w:tc>
          <w:tcPr>
            <w:tcW w:w="2912" w:type="dxa"/>
            <w:tcBorders>
              <w:top w:val="single" w:sz="6" w:space="0" w:color="000000"/>
              <w:left w:val="single" w:sz="12" w:space="0" w:color="000000"/>
              <w:bottom w:val="single" w:sz="6" w:space="0" w:color="000000"/>
              <w:right w:val="single" w:sz="6" w:space="0" w:color="000000"/>
            </w:tcBorders>
          </w:tcPr>
          <w:p>
            <w:pPr>
              <w:pStyle w:val="TableParagraph"/>
              <w:spacing w:line="225" w:lineRule="exact"/>
              <w:ind w:left="9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5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86" w:right="0"/>
              <w:jc w:val="center"/>
              <w:rPr>
                <w:rFonts w:ascii="Times New Roman" w:hAnsi="Times New Roman" w:cs="Times New Roman" w:eastAsia="Times New Roman" w:hint="default"/>
                <w:sz w:val="18"/>
                <w:szCs w:val="18"/>
              </w:rPr>
            </w:pPr>
            <w:r>
              <w:rPr>
                <w:rFonts w:ascii="Times New Roman"/>
                <w:sz w:val="18"/>
              </w:rPr>
              <w:t>2,500,765,008.32</w:t>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6"/>
              <w:jc w:val="right"/>
              <w:rPr>
                <w:rFonts w:ascii="Times New Roman" w:hAnsi="Times New Roman" w:cs="Times New Roman" w:eastAsia="Times New Roman" w:hint="default"/>
                <w:sz w:val="18"/>
                <w:szCs w:val="18"/>
              </w:rPr>
            </w:pPr>
            <w:r>
              <w:rPr>
                <w:rFonts w:ascii="Times New Roman"/>
                <w:spacing w:val="-1"/>
                <w:sz w:val="18"/>
              </w:rPr>
              <w:t>856,103,304.69</w:t>
            </w:r>
          </w:p>
        </w:tc>
        <w:tc>
          <w:tcPr>
            <w:tcW w:w="17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Times New Roman" w:hAnsi="Times New Roman" w:cs="Times New Roman" w:eastAsia="Times New Roman" w:hint="default"/>
                <w:sz w:val="18"/>
                <w:szCs w:val="18"/>
              </w:rPr>
            </w:pPr>
            <w:r>
              <w:rPr>
                <w:rFonts w:ascii="Times New Roman"/>
                <w:spacing w:val="-1"/>
                <w:sz w:val="18"/>
              </w:rPr>
              <w:t>192.11%</w:t>
            </w:r>
          </w:p>
        </w:tc>
        <w:tc>
          <w:tcPr>
            <w:tcW w:w="15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1"/>
              <w:jc w:val="right"/>
              <w:rPr>
                <w:rFonts w:ascii="Times New Roman" w:hAnsi="Times New Roman" w:cs="Times New Roman" w:eastAsia="Times New Roman" w:hint="default"/>
                <w:sz w:val="18"/>
                <w:szCs w:val="18"/>
              </w:rPr>
            </w:pPr>
            <w:r>
              <w:rPr>
                <w:rFonts w:ascii="Times New Roman"/>
                <w:spacing w:val="-1"/>
                <w:sz w:val="18"/>
              </w:rPr>
              <w:t>863,593,861.06</w:t>
            </w:r>
          </w:p>
        </w:tc>
      </w:tr>
      <w:tr>
        <w:trPr>
          <w:trHeight w:val="526" w:hRule="exact"/>
        </w:trPr>
        <w:tc>
          <w:tcPr>
            <w:tcW w:w="2912" w:type="dxa"/>
            <w:tcBorders>
              <w:top w:val="single" w:sz="6" w:space="0" w:color="000000"/>
              <w:left w:val="single" w:sz="12" w:space="0" w:color="000000"/>
              <w:bottom w:val="single" w:sz="6" w:space="0" w:color="000000"/>
              <w:right w:val="single" w:sz="6" w:space="0" w:color="000000"/>
            </w:tcBorders>
          </w:tcPr>
          <w:p>
            <w:pPr/>
          </w:p>
        </w:tc>
        <w:tc>
          <w:tcPr>
            <w:tcW w:w="15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right="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2015</w:t>
            </w:r>
            <w:r>
              <w:rPr>
                <w:rFonts w:ascii="Times New Roman" w:hAnsi="Times New Roman" w:cs="Times New Roman" w:eastAsia="Times New Roman" w:hint="default"/>
                <w:b/>
                <w:bCs/>
                <w:spacing w:val="-3"/>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393"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c>
          <w:tcPr>
            <w:tcW w:w="1719" w:type="dxa"/>
            <w:tcBorders>
              <w:top w:val="single" w:sz="6" w:space="0" w:color="000000"/>
              <w:left w:val="single" w:sz="6" w:space="0" w:color="000000"/>
              <w:bottom w:val="single" w:sz="6" w:space="0" w:color="000000"/>
              <w:right w:val="single" w:sz="6" w:space="0" w:color="000000"/>
            </w:tcBorders>
          </w:tcPr>
          <w:p>
            <w:pPr>
              <w:pStyle w:val="TableParagraph"/>
              <w:spacing w:line="236" w:lineRule="exact" w:before="12"/>
              <w:ind w:left="309" w:right="128" w:hanging="180"/>
              <w:jc w:val="left"/>
              <w:rPr>
                <w:rFonts w:ascii="宋体" w:hAnsi="宋体" w:cs="宋体" w:eastAsia="宋体" w:hint="default"/>
                <w:sz w:val="18"/>
                <w:szCs w:val="18"/>
              </w:rPr>
            </w:pPr>
            <w:r>
              <w:rPr>
                <w:rFonts w:ascii="宋体" w:hAnsi="宋体" w:cs="宋体" w:eastAsia="宋体" w:hint="default"/>
                <w:b/>
                <w:bCs/>
                <w:sz w:val="18"/>
                <w:szCs w:val="18"/>
              </w:rPr>
              <w:t>本期末比上年同期</w:t>
            </w:r>
            <w:r>
              <w:rPr>
                <w:rFonts w:ascii="宋体" w:hAnsi="宋体" w:cs="宋体" w:eastAsia="宋体" w:hint="default"/>
                <w:b/>
                <w:bCs/>
                <w:w w:val="99"/>
                <w:sz w:val="18"/>
                <w:szCs w:val="18"/>
              </w:rPr>
              <w:t> </w:t>
            </w:r>
            <w:r>
              <w:rPr>
                <w:rFonts w:ascii="宋体" w:hAnsi="宋体" w:cs="宋体" w:eastAsia="宋体" w:hint="default"/>
                <w:b/>
                <w:bCs/>
                <w:sz w:val="18"/>
                <w:szCs w:val="18"/>
              </w:rPr>
              <w:t>末增减（</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c>
          <w:tcPr>
            <w:tcW w:w="15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9"/>
              <w:ind w:left="393"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2013</w:t>
            </w:r>
            <w:r>
              <w:rPr>
                <w:rFonts w:ascii="Times New Roman" w:hAnsi="Times New Roman" w:cs="Times New Roman" w:eastAsia="Times New Roman" w:hint="default"/>
                <w:b/>
                <w:bCs/>
                <w:spacing w:val="-3"/>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r>
      <w:tr>
        <w:trPr>
          <w:trHeight w:val="286" w:hRule="exact"/>
        </w:trPr>
        <w:tc>
          <w:tcPr>
            <w:tcW w:w="2912" w:type="dxa"/>
            <w:tcBorders>
              <w:top w:val="single" w:sz="6" w:space="0" w:color="000000"/>
              <w:left w:val="single" w:sz="12" w:space="0" w:color="000000"/>
              <w:bottom w:val="single" w:sz="6" w:space="0" w:color="000000"/>
              <w:right w:val="single" w:sz="6" w:space="0" w:color="000000"/>
            </w:tcBorders>
          </w:tcPr>
          <w:p>
            <w:pPr>
              <w:pStyle w:val="TableParagraph"/>
              <w:spacing w:line="225" w:lineRule="exact"/>
              <w:ind w:left="93"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tc>
        <w:tc>
          <w:tcPr>
            <w:tcW w:w="15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left="1" w:right="0"/>
              <w:jc w:val="center"/>
              <w:rPr>
                <w:rFonts w:ascii="Times New Roman" w:hAnsi="Times New Roman" w:cs="Times New Roman" w:eastAsia="Times New Roman" w:hint="default"/>
                <w:sz w:val="18"/>
                <w:szCs w:val="18"/>
              </w:rPr>
            </w:pPr>
            <w:r>
              <w:rPr>
                <w:rFonts w:ascii="Times New Roman"/>
                <w:sz w:val="18"/>
              </w:rPr>
              <w:t>17,651,442,387.31</w:t>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97"/>
              <w:jc w:val="right"/>
              <w:rPr>
                <w:rFonts w:ascii="Times New Roman" w:hAnsi="Times New Roman" w:cs="Times New Roman" w:eastAsia="Times New Roman" w:hint="default"/>
                <w:sz w:val="18"/>
                <w:szCs w:val="18"/>
              </w:rPr>
            </w:pPr>
            <w:r>
              <w:rPr>
                <w:rFonts w:ascii="Times New Roman"/>
                <w:spacing w:val="-1"/>
                <w:sz w:val="18"/>
              </w:rPr>
              <w:t>11,542,899,330.07</w:t>
            </w:r>
          </w:p>
        </w:tc>
        <w:tc>
          <w:tcPr>
            <w:tcW w:w="17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96"/>
              <w:jc w:val="right"/>
              <w:rPr>
                <w:rFonts w:ascii="Times New Roman" w:hAnsi="Times New Roman" w:cs="Times New Roman" w:eastAsia="Times New Roman" w:hint="default"/>
                <w:sz w:val="18"/>
                <w:szCs w:val="18"/>
              </w:rPr>
            </w:pPr>
            <w:r>
              <w:rPr>
                <w:rFonts w:ascii="Times New Roman"/>
                <w:sz w:val="18"/>
              </w:rPr>
              <w:t>52.92%</w:t>
            </w:r>
          </w:p>
        </w:tc>
        <w:tc>
          <w:tcPr>
            <w:tcW w:w="15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6"/>
              <w:ind w:right="92"/>
              <w:jc w:val="right"/>
              <w:rPr>
                <w:rFonts w:ascii="Times New Roman" w:hAnsi="Times New Roman" w:cs="Times New Roman" w:eastAsia="Times New Roman" w:hint="default"/>
                <w:sz w:val="18"/>
                <w:szCs w:val="18"/>
              </w:rPr>
            </w:pPr>
            <w:r>
              <w:rPr>
                <w:rFonts w:ascii="Times New Roman"/>
                <w:spacing w:val="-1"/>
                <w:sz w:val="18"/>
              </w:rPr>
              <w:t>10,757,904,342.89</w:t>
            </w:r>
          </w:p>
        </w:tc>
      </w:tr>
      <w:tr>
        <w:trPr>
          <w:trHeight w:val="284" w:hRule="exact"/>
        </w:trPr>
        <w:tc>
          <w:tcPr>
            <w:tcW w:w="2912" w:type="dxa"/>
            <w:tcBorders>
              <w:top w:val="single" w:sz="6" w:space="0" w:color="000000"/>
              <w:left w:val="single" w:sz="12" w:space="0" w:color="000000"/>
              <w:bottom w:val="single" w:sz="6" w:space="0" w:color="000000"/>
              <w:right w:val="single" w:sz="6" w:space="0" w:color="000000"/>
            </w:tcBorders>
          </w:tcPr>
          <w:p>
            <w:pPr>
              <w:pStyle w:val="TableParagraph"/>
              <w:spacing w:line="223" w:lineRule="exact"/>
              <w:ind w:left="93"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5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left="2" w:right="0"/>
              <w:jc w:val="center"/>
              <w:rPr>
                <w:rFonts w:ascii="Times New Roman" w:hAnsi="Times New Roman" w:cs="Times New Roman" w:eastAsia="Times New Roman" w:hint="default"/>
                <w:sz w:val="18"/>
                <w:szCs w:val="18"/>
              </w:rPr>
            </w:pPr>
            <w:r>
              <w:rPr>
                <w:rFonts w:ascii="Times New Roman"/>
                <w:sz w:val="18"/>
              </w:rPr>
              <w:t>56,860,835,872.59</w:t>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97"/>
              <w:jc w:val="right"/>
              <w:rPr>
                <w:rFonts w:ascii="Times New Roman" w:hAnsi="Times New Roman" w:cs="Times New Roman" w:eastAsia="Times New Roman" w:hint="default"/>
                <w:sz w:val="18"/>
                <w:szCs w:val="18"/>
              </w:rPr>
            </w:pPr>
            <w:r>
              <w:rPr>
                <w:rFonts w:ascii="Times New Roman"/>
                <w:spacing w:val="-1"/>
                <w:sz w:val="18"/>
              </w:rPr>
              <w:t>49,725,008,905.96</w:t>
            </w:r>
          </w:p>
        </w:tc>
        <w:tc>
          <w:tcPr>
            <w:tcW w:w="17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96"/>
              <w:jc w:val="right"/>
              <w:rPr>
                <w:rFonts w:ascii="Times New Roman" w:hAnsi="Times New Roman" w:cs="Times New Roman" w:eastAsia="Times New Roman" w:hint="default"/>
                <w:sz w:val="18"/>
                <w:szCs w:val="18"/>
              </w:rPr>
            </w:pPr>
            <w:r>
              <w:rPr>
                <w:rFonts w:ascii="Times New Roman"/>
                <w:sz w:val="18"/>
              </w:rPr>
              <w:t>14.35%</w:t>
            </w:r>
          </w:p>
        </w:tc>
        <w:tc>
          <w:tcPr>
            <w:tcW w:w="15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6"/>
              <w:ind w:right="92"/>
              <w:jc w:val="right"/>
              <w:rPr>
                <w:rFonts w:ascii="Times New Roman" w:hAnsi="Times New Roman" w:cs="Times New Roman" w:eastAsia="Times New Roman" w:hint="default"/>
                <w:sz w:val="18"/>
                <w:szCs w:val="18"/>
              </w:rPr>
            </w:pPr>
            <w:r>
              <w:rPr>
                <w:rFonts w:ascii="Times New Roman"/>
                <w:spacing w:val="-1"/>
                <w:sz w:val="18"/>
              </w:rPr>
              <w:t>42,618,410,329.21</w:t>
            </w:r>
          </w:p>
        </w:tc>
      </w:tr>
      <w:tr>
        <w:trPr>
          <w:trHeight w:val="293" w:hRule="exact"/>
        </w:trPr>
        <w:tc>
          <w:tcPr>
            <w:tcW w:w="2912" w:type="dxa"/>
            <w:tcBorders>
              <w:top w:val="single" w:sz="6" w:space="0" w:color="000000"/>
              <w:left w:val="single" w:sz="12" w:space="0" w:color="000000"/>
              <w:bottom w:val="single" w:sz="12" w:space="0" w:color="000000"/>
              <w:right w:val="single" w:sz="6" w:space="0" w:color="000000"/>
            </w:tcBorders>
          </w:tcPr>
          <w:p>
            <w:pPr>
              <w:pStyle w:val="TableParagraph"/>
              <w:spacing w:line="225" w:lineRule="exact"/>
              <w:ind w:left="93" w:right="0"/>
              <w:jc w:val="left"/>
              <w:rPr>
                <w:rFonts w:ascii="宋体" w:hAnsi="宋体" w:cs="宋体" w:eastAsia="宋体" w:hint="default"/>
                <w:sz w:val="18"/>
                <w:szCs w:val="18"/>
              </w:rPr>
            </w:pPr>
            <w:r>
              <w:rPr>
                <w:rFonts w:ascii="宋体" w:hAnsi="宋体" w:cs="宋体" w:eastAsia="宋体" w:hint="default"/>
                <w:sz w:val="18"/>
                <w:szCs w:val="18"/>
              </w:rPr>
              <w:t>期末总股本</w:t>
            </w:r>
          </w:p>
        </w:tc>
        <w:tc>
          <w:tcPr>
            <w:tcW w:w="15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left="86" w:right="0"/>
              <w:jc w:val="center"/>
              <w:rPr>
                <w:rFonts w:ascii="Times New Roman" w:hAnsi="Times New Roman" w:cs="Times New Roman" w:eastAsia="Times New Roman" w:hint="default"/>
                <w:sz w:val="18"/>
                <w:szCs w:val="18"/>
              </w:rPr>
            </w:pPr>
            <w:r>
              <w:rPr>
                <w:rFonts w:ascii="Times New Roman"/>
                <w:sz w:val="18"/>
              </w:rPr>
              <w:t>2,963,898,951.00</w:t>
            </w:r>
          </w:p>
        </w:tc>
        <w:tc>
          <w:tcPr>
            <w:tcW w:w="156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right="99"/>
              <w:jc w:val="right"/>
              <w:rPr>
                <w:rFonts w:ascii="Times New Roman" w:hAnsi="Times New Roman" w:cs="Times New Roman" w:eastAsia="Times New Roman" w:hint="default"/>
                <w:sz w:val="18"/>
                <w:szCs w:val="18"/>
              </w:rPr>
            </w:pPr>
            <w:r>
              <w:rPr>
                <w:rFonts w:ascii="Times New Roman"/>
                <w:spacing w:val="-1"/>
                <w:sz w:val="18"/>
              </w:rPr>
              <w:t>2,197,882,238.00</w:t>
            </w:r>
          </w:p>
        </w:tc>
        <w:tc>
          <w:tcPr>
            <w:tcW w:w="171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right="96"/>
              <w:jc w:val="right"/>
              <w:rPr>
                <w:rFonts w:ascii="Times New Roman" w:hAnsi="Times New Roman" w:cs="Times New Roman" w:eastAsia="Times New Roman" w:hint="default"/>
                <w:sz w:val="18"/>
                <w:szCs w:val="18"/>
              </w:rPr>
            </w:pPr>
            <w:r>
              <w:rPr>
                <w:rFonts w:ascii="Times New Roman"/>
                <w:sz w:val="18"/>
              </w:rPr>
              <w:t>34.85%</w:t>
            </w:r>
          </w:p>
        </w:tc>
        <w:tc>
          <w:tcPr>
            <w:tcW w:w="156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8"/>
              <w:ind w:right="94"/>
              <w:jc w:val="right"/>
              <w:rPr>
                <w:rFonts w:ascii="Times New Roman" w:hAnsi="Times New Roman" w:cs="Times New Roman" w:eastAsia="Times New Roman" w:hint="default"/>
                <w:sz w:val="18"/>
                <w:szCs w:val="18"/>
              </w:rPr>
            </w:pPr>
            <w:r>
              <w:rPr>
                <w:rFonts w:ascii="Times New Roman"/>
                <w:spacing w:val="-1"/>
                <w:sz w:val="18"/>
              </w:rPr>
              <w:t>2,197,882,238.00</w:t>
            </w:r>
          </w:p>
        </w:tc>
      </w:tr>
    </w:tbl>
    <w:p>
      <w:pPr>
        <w:spacing w:line="240" w:lineRule="auto" w:before="10"/>
        <w:rPr>
          <w:rFonts w:ascii="宋体" w:hAnsi="宋体" w:cs="宋体" w:eastAsia="宋体" w:hint="default"/>
          <w:sz w:val="18"/>
          <w:szCs w:val="18"/>
        </w:rPr>
      </w:pPr>
    </w:p>
    <w:p>
      <w:pPr>
        <w:pStyle w:val="Heading3"/>
        <w:spacing w:line="240" w:lineRule="auto" w:before="26"/>
        <w:ind w:right="0"/>
        <w:jc w:val="left"/>
        <w:rPr>
          <w:b w:val="0"/>
          <w:bCs w:val="0"/>
        </w:rPr>
      </w:pPr>
      <w:r>
        <w:rPr>
          <w:rFonts w:ascii="宋体" w:hAnsi="宋体" w:cs="宋体" w:eastAsia="宋体" w:hint="default"/>
        </w:rPr>
        <w:t>(</w:t>
      </w:r>
      <w:r>
        <w:rPr/>
        <w:t>二</w:t>
      </w:r>
      <w:r>
        <w:rPr>
          <w:rFonts w:ascii="宋体" w:hAnsi="宋体" w:cs="宋体" w:eastAsia="宋体" w:hint="default"/>
        </w:rPr>
        <w:t>)</w:t>
      </w:r>
      <w:r>
        <w:rPr/>
        <w:t>主要财务指标</w:t>
      </w:r>
      <w:r>
        <w:rPr>
          <w:b w:val="0"/>
          <w:bCs w:val="0"/>
        </w:rPr>
      </w:r>
    </w:p>
    <w:p>
      <w:pPr>
        <w:spacing w:line="240" w:lineRule="auto" w:before="10"/>
        <w:rPr>
          <w:rFonts w:ascii="宋体" w:hAnsi="宋体" w:cs="宋体" w:eastAsia="宋体" w:hint="default"/>
          <w:b/>
          <w:bCs/>
          <w:sz w:val="26"/>
          <w:szCs w:val="26"/>
        </w:rPr>
      </w:pPr>
    </w:p>
    <w:tbl>
      <w:tblPr>
        <w:tblW w:w="0" w:type="auto"/>
        <w:jc w:val="left"/>
        <w:tblInd w:w="116" w:type="dxa"/>
        <w:tblLayout w:type="fixed"/>
        <w:tblCellMar>
          <w:top w:w="0" w:type="dxa"/>
          <w:left w:w="0" w:type="dxa"/>
          <w:bottom w:w="0" w:type="dxa"/>
          <w:right w:w="0" w:type="dxa"/>
        </w:tblCellMar>
        <w:tblLook w:val="01E0"/>
      </w:tblPr>
      <w:tblGrid>
        <w:gridCol w:w="4198"/>
        <w:gridCol w:w="1157"/>
        <w:gridCol w:w="1126"/>
        <w:gridCol w:w="1877"/>
        <w:gridCol w:w="1133"/>
      </w:tblGrid>
      <w:tr>
        <w:trPr>
          <w:trHeight w:val="533" w:hRule="exact"/>
        </w:trPr>
        <w:tc>
          <w:tcPr>
            <w:tcW w:w="419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9"/>
              <w:ind w:right="8"/>
              <w:jc w:val="center"/>
              <w:rPr>
                <w:rFonts w:ascii="宋体" w:hAnsi="宋体" w:cs="宋体" w:eastAsia="宋体" w:hint="default"/>
                <w:sz w:val="18"/>
                <w:szCs w:val="18"/>
              </w:rPr>
            </w:pPr>
            <w:r>
              <w:rPr>
                <w:rFonts w:ascii="宋体" w:hAnsi="宋体" w:cs="宋体" w:eastAsia="宋体" w:hint="default"/>
                <w:b/>
                <w:bCs/>
                <w:sz w:val="18"/>
                <w:szCs w:val="18"/>
              </w:rPr>
              <w:t>主要财务指标</w:t>
            </w:r>
            <w:r>
              <w:rPr>
                <w:rFonts w:ascii="宋体" w:hAnsi="宋体" w:cs="宋体" w:eastAsia="宋体" w:hint="default"/>
                <w:sz w:val="18"/>
                <w:szCs w:val="18"/>
              </w:rPr>
            </w:r>
          </w:p>
        </w:tc>
        <w:tc>
          <w:tcPr>
            <w:tcW w:w="115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9"/>
              <w:ind w:left="278"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2015</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12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9"/>
              <w:ind w:left="263"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87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
              <w:ind w:right="4"/>
              <w:jc w:val="center"/>
              <w:rPr>
                <w:rFonts w:ascii="宋体" w:hAnsi="宋体" w:cs="宋体" w:eastAsia="宋体" w:hint="default"/>
                <w:sz w:val="18"/>
                <w:szCs w:val="18"/>
              </w:rPr>
            </w:pPr>
            <w:r>
              <w:rPr>
                <w:rFonts w:ascii="宋体" w:hAnsi="宋体" w:cs="宋体" w:eastAsia="宋体" w:hint="default"/>
                <w:b/>
                <w:bCs/>
                <w:sz w:val="18"/>
                <w:szCs w:val="18"/>
              </w:rPr>
              <w:t>本期比上年同期增减</w:t>
            </w:r>
            <w:r>
              <w:rPr>
                <w:rFonts w:ascii="宋体" w:hAnsi="宋体" w:cs="宋体" w:eastAsia="宋体" w:hint="default"/>
                <w:sz w:val="18"/>
                <w:szCs w:val="18"/>
              </w:rPr>
            </w:r>
          </w:p>
          <w:p>
            <w:pPr>
              <w:pStyle w:val="TableParagraph"/>
              <w:spacing w:line="240" w:lineRule="auto" w:before="27"/>
              <w:ind w:right="3"/>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113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9"/>
              <w:ind w:left="263"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2013</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r>
      <w:tr>
        <w:trPr>
          <w:trHeight w:val="283" w:hRule="exact"/>
        </w:trPr>
        <w:tc>
          <w:tcPr>
            <w:tcW w:w="4198"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基本每股收益（元／股）</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101"/>
              <w:jc w:val="right"/>
              <w:rPr>
                <w:rFonts w:ascii="Times New Roman" w:hAnsi="Times New Roman" w:cs="Times New Roman" w:eastAsia="Times New Roman" w:hint="default"/>
                <w:sz w:val="18"/>
                <w:szCs w:val="18"/>
              </w:rPr>
            </w:pPr>
            <w:r>
              <w:rPr>
                <w:rFonts w:ascii="Times New Roman"/>
                <w:spacing w:val="-1"/>
                <w:sz w:val="18"/>
              </w:rPr>
              <w:t>0.4448</w:t>
            </w:r>
          </w:p>
        </w:tc>
        <w:tc>
          <w:tcPr>
            <w:tcW w:w="1126"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98"/>
              <w:jc w:val="right"/>
              <w:rPr>
                <w:rFonts w:ascii="Times New Roman" w:hAnsi="Times New Roman" w:cs="Times New Roman" w:eastAsia="Times New Roman" w:hint="default"/>
                <w:sz w:val="18"/>
                <w:szCs w:val="18"/>
              </w:rPr>
            </w:pPr>
            <w:r>
              <w:rPr>
                <w:rFonts w:ascii="Times New Roman"/>
                <w:spacing w:val="-1"/>
                <w:sz w:val="18"/>
              </w:rPr>
              <w:t>0.3438</w:t>
            </w:r>
          </w:p>
        </w:tc>
        <w:tc>
          <w:tcPr>
            <w:tcW w:w="1877"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97"/>
              <w:jc w:val="right"/>
              <w:rPr>
                <w:rFonts w:ascii="Times New Roman" w:hAnsi="Times New Roman" w:cs="Times New Roman" w:eastAsia="Times New Roman" w:hint="default"/>
                <w:sz w:val="18"/>
                <w:szCs w:val="18"/>
              </w:rPr>
            </w:pPr>
            <w:r>
              <w:rPr>
                <w:rFonts w:ascii="Times New Roman"/>
                <w:sz w:val="18"/>
              </w:rPr>
              <w:t>29.38%</w:t>
            </w:r>
          </w:p>
        </w:tc>
        <w:tc>
          <w:tcPr>
            <w:tcW w:w="1133" w:type="dxa"/>
            <w:tcBorders>
              <w:top w:val="single" w:sz="6" w:space="0" w:color="000000"/>
              <w:left w:val="single" w:sz="6" w:space="0" w:color="000000"/>
              <w:bottom w:val="single" w:sz="6" w:space="0" w:color="000000"/>
              <w:right w:val="single" w:sz="12" w:space="0" w:color="000000"/>
            </w:tcBorders>
          </w:tcPr>
          <w:p>
            <w:pPr>
              <w:pStyle w:val="TableParagraph"/>
              <w:spacing w:line="202" w:lineRule="exact"/>
              <w:ind w:right="95"/>
              <w:jc w:val="right"/>
              <w:rPr>
                <w:rFonts w:ascii="Times New Roman" w:hAnsi="Times New Roman" w:cs="Times New Roman" w:eastAsia="Times New Roman" w:hint="default"/>
                <w:sz w:val="18"/>
                <w:szCs w:val="18"/>
              </w:rPr>
            </w:pPr>
            <w:r>
              <w:rPr>
                <w:rFonts w:ascii="Times New Roman"/>
                <w:spacing w:val="-1"/>
                <w:sz w:val="18"/>
              </w:rPr>
              <w:t>0.3262</w:t>
            </w:r>
          </w:p>
        </w:tc>
      </w:tr>
      <w:tr>
        <w:trPr>
          <w:trHeight w:val="286" w:hRule="exact"/>
        </w:trPr>
        <w:tc>
          <w:tcPr>
            <w:tcW w:w="4198"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93" w:right="0"/>
              <w:jc w:val="left"/>
              <w:rPr>
                <w:rFonts w:ascii="宋体" w:hAnsi="宋体" w:cs="宋体" w:eastAsia="宋体" w:hint="default"/>
                <w:sz w:val="18"/>
                <w:szCs w:val="18"/>
              </w:rPr>
            </w:pPr>
            <w:r>
              <w:rPr>
                <w:rFonts w:ascii="宋体" w:hAnsi="宋体" w:cs="宋体" w:eastAsia="宋体" w:hint="default"/>
                <w:sz w:val="18"/>
                <w:szCs w:val="18"/>
              </w:rPr>
              <w:t>稀释每股收益（元／股）</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1"/>
              <w:jc w:val="right"/>
              <w:rPr>
                <w:rFonts w:ascii="Times New Roman" w:hAnsi="Times New Roman" w:cs="Times New Roman" w:eastAsia="Times New Roman" w:hint="default"/>
                <w:sz w:val="18"/>
                <w:szCs w:val="18"/>
              </w:rPr>
            </w:pPr>
            <w:r>
              <w:rPr>
                <w:rFonts w:ascii="Times New Roman"/>
                <w:spacing w:val="-1"/>
                <w:sz w:val="18"/>
              </w:rPr>
              <w:t>0.4448</w:t>
            </w:r>
          </w:p>
        </w:tc>
        <w:tc>
          <w:tcPr>
            <w:tcW w:w="112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Times New Roman" w:hAnsi="Times New Roman" w:cs="Times New Roman" w:eastAsia="Times New Roman" w:hint="default"/>
                <w:sz w:val="18"/>
                <w:szCs w:val="18"/>
              </w:rPr>
            </w:pPr>
            <w:r>
              <w:rPr>
                <w:rFonts w:ascii="Times New Roman"/>
                <w:spacing w:val="-1"/>
                <w:sz w:val="18"/>
              </w:rPr>
              <w:t>0.3438</w:t>
            </w:r>
          </w:p>
        </w:tc>
        <w:tc>
          <w:tcPr>
            <w:tcW w:w="187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7"/>
              <w:jc w:val="right"/>
              <w:rPr>
                <w:rFonts w:ascii="Times New Roman" w:hAnsi="Times New Roman" w:cs="Times New Roman" w:eastAsia="Times New Roman" w:hint="default"/>
                <w:sz w:val="18"/>
                <w:szCs w:val="18"/>
              </w:rPr>
            </w:pPr>
            <w:r>
              <w:rPr>
                <w:rFonts w:ascii="Times New Roman"/>
                <w:sz w:val="18"/>
              </w:rPr>
              <w:t>29.38%</w:t>
            </w:r>
          </w:p>
        </w:tc>
        <w:tc>
          <w:tcPr>
            <w:tcW w:w="1133"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right="95"/>
              <w:jc w:val="right"/>
              <w:rPr>
                <w:rFonts w:ascii="Times New Roman" w:hAnsi="Times New Roman" w:cs="Times New Roman" w:eastAsia="Times New Roman" w:hint="default"/>
                <w:sz w:val="18"/>
                <w:szCs w:val="18"/>
              </w:rPr>
            </w:pPr>
            <w:r>
              <w:rPr>
                <w:rFonts w:ascii="Times New Roman"/>
                <w:spacing w:val="-1"/>
                <w:sz w:val="18"/>
              </w:rPr>
              <w:t>0.3262</w:t>
            </w:r>
          </w:p>
        </w:tc>
      </w:tr>
      <w:tr>
        <w:trPr>
          <w:trHeight w:val="286" w:hRule="exact"/>
        </w:trPr>
        <w:tc>
          <w:tcPr>
            <w:tcW w:w="4198"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扣除非经常性损益后的基本每股收益（元／股）</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102"/>
              <w:jc w:val="right"/>
              <w:rPr>
                <w:rFonts w:ascii="Times New Roman" w:hAnsi="Times New Roman" w:cs="Times New Roman" w:eastAsia="Times New Roman" w:hint="default"/>
                <w:sz w:val="18"/>
                <w:szCs w:val="18"/>
              </w:rPr>
            </w:pPr>
            <w:r>
              <w:rPr>
                <w:rFonts w:ascii="Times New Roman"/>
                <w:spacing w:val="-1"/>
                <w:sz w:val="18"/>
              </w:rPr>
              <w:t>0.1925</w:t>
            </w:r>
          </w:p>
        </w:tc>
        <w:tc>
          <w:tcPr>
            <w:tcW w:w="1126"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98"/>
              <w:jc w:val="right"/>
              <w:rPr>
                <w:rFonts w:ascii="Times New Roman" w:hAnsi="Times New Roman" w:cs="Times New Roman" w:eastAsia="Times New Roman" w:hint="default"/>
                <w:sz w:val="18"/>
                <w:szCs w:val="18"/>
              </w:rPr>
            </w:pPr>
            <w:r>
              <w:rPr>
                <w:rFonts w:ascii="Times New Roman"/>
                <w:spacing w:val="-1"/>
                <w:sz w:val="18"/>
              </w:rPr>
              <w:t>0.2795</w:t>
            </w:r>
          </w:p>
        </w:tc>
        <w:tc>
          <w:tcPr>
            <w:tcW w:w="1877"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97"/>
              <w:jc w:val="right"/>
              <w:rPr>
                <w:rFonts w:ascii="Times New Roman" w:hAnsi="Times New Roman" w:cs="Times New Roman" w:eastAsia="Times New Roman" w:hint="default"/>
                <w:sz w:val="18"/>
                <w:szCs w:val="18"/>
              </w:rPr>
            </w:pPr>
            <w:r>
              <w:rPr>
                <w:rFonts w:ascii="Times New Roman"/>
                <w:sz w:val="18"/>
              </w:rPr>
              <w:t>-31.13%</w:t>
            </w:r>
          </w:p>
        </w:tc>
        <w:tc>
          <w:tcPr>
            <w:tcW w:w="1133" w:type="dxa"/>
            <w:tcBorders>
              <w:top w:val="single" w:sz="6" w:space="0" w:color="000000"/>
              <w:left w:val="single" w:sz="6" w:space="0" w:color="000000"/>
              <w:bottom w:val="single" w:sz="6" w:space="0" w:color="000000"/>
              <w:right w:val="single" w:sz="12" w:space="0" w:color="000000"/>
            </w:tcBorders>
          </w:tcPr>
          <w:p>
            <w:pPr>
              <w:pStyle w:val="TableParagraph"/>
              <w:spacing w:line="202" w:lineRule="exact"/>
              <w:ind w:right="95"/>
              <w:jc w:val="right"/>
              <w:rPr>
                <w:rFonts w:ascii="Times New Roman" w:hAnsi="Times New Roman" w:cs="Times New Roman" w:eastAsia="Times New Roman" w:hint="default"/>
                <w:sz w:val="18"/>
                <w:szCs w:val="18"/>
              </w:rPr>
            </w:pPr>
            <w:r>
              <w:rPr>
                <w:rFonts w:ascii="Times New Roman"/>
                <w:spacing w:val="-1"/>
                <w:sz w:val="18"/>
              </w:rPr>
              <w:t>0.0785</w:t>
            </w:r>
          </w:p>
        </w:tc>
      </w:tr>
      <w:tr>
        <w:trPr>
          <w:trHeight w:val="286" w:hRule="exact"/>
        </w:trPr>
        <w:tc>
          <w:tcPr>
            <w:tcW w:w="4198"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98"/>
              <w:jc w:val="right"/>
              <w:rPr>
                <w:rFonts w:ascii="Times New Roman" w:hAnsi="Times New Roman" w:cs="Times New Roman" w:eastAsia="Times New Roman" w:hint="default"/>
                <w:sz w:val="18"/>
                <w:szCs w:val="18"/>
              </w:rPr>
            </w:pPr>
            <w:r>
              <w:rPr>
                <w:rFonts w:ascii="Times New Roman"/>
                <w:sz w:val="18"/>
              </w:rPr>
              <w:t>7.67%</w:t>
            </w:r>
          </w:p>
        </w:tc>
        <w:tc>
          <w:tcPr>
            <w:tcW w:w="1126"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right="95"/>
              <w:jc w:val="right"/>
              <w:rPr>
                <w:rFonts w:ascii="Times New Roman" w:hAnsi="Times New Roman" w:cs="Times New Roman" w:eastAsia="Times New Roman" w:hint="default"/>
                <w:sz w:val="18"/>
                <w:szCs w:val="18"/>
              </w:rPr>
            </w:pPr>
            <w:r>
              <w:rPr>
                <w:rFonts w:ascii="Times New Roman"/>
                <w:sz w:val="18"/>
              </w:rPr>
              <w:t>6.78%</w:t>
            </w:r>
          </w:p>
        </w:tc>
        <w:tc>
          <w:tcPr>
            <w:tcW w:w="1877"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99"/>
              <w:jc w:val="right"/>
              <w:rPr>
                <w:rFonts w:ascii="宋体" w:hAnsi="宋体" w:cs="宋体" w:eastAsia="宋体" w:hint="default"/>
                <w:sz w:val="18"/>
                <w:szCs w:val="18"/>
              </w:rPr>
            </w:pPr>
            <w:r>
              <w:rPr>
                <w:rFonts w:ascii="宋体" w:hAnsi="宋体" w:cs="宋体" w:eastAsia="宋体" w:hint="default"/>
                <w:sz w:val="18"/>
                <w:szCs w:val="18"/>
              </w:rPr>
              <w:t>增加了</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0.89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个百分点</w:t>
            </w:r>
          </w:p>
        </w:tc>
        <w:tc>
          <w:tcPr>
            <w:tcW w:w="1133" w:type="dxa"/>
            <w:tcBorders>
              <w:top w:val="single" w:sz="6" w:space="0" w:color="000000"/>
              <w:left w:val="single" w:sz="6" w:space="0" w:color="000000"/>
              <w:bottom w:val="single" w:sz="6" w:space="0" w:color="000000"/>
              <w:right w:val="single" w:sz="12" w:space="0" w:color="000000"/>
            </w:tcBorders>
          </w:tcPr>
          <w:p>
            <w:pPr>
              <w:pStyle w:val="TableParagraph"/>
              <w:spacing w:line="202" w:lineRule="exact"/>
              <w:ind w:right="93"/>
              <w:jc w:val="right"/>
              <w:rPr>
                <w:rFonts w:ascii="Times New Roman" w:hAnsi="Times New Roman" w:cs="Times New Roman" w:eastAsia="Times New Roman" w:hint="default"/>
                <w:sz w:val="18"/>
                <w:szCs w:val="18"/>
              </w:rPr>
            </w:pPr>
            <w:r>
              <w:rPr>
                <w:rFonts w:ascii="Times New Roman"/>
                <w:sz w:val="18"/>
              </w:rPr>
              <w:t>6.93%</w:t>
            </w:r>
          </w:p>
        </w:tc>
      </w:tr>
      <w:tr>
        <w:trPr>
          <w:trHeight w:val="291" w:hRule="exact"/>
        </w:trPr>
        <w:tc>
          <w:tcPr>
            <w:tcW w:w="4198" w:type="dxa"/>
            <w:tcBorders>
              <w:top w:val="single" w:sz="6" w:space="0" w:color="000000"/>
              <w:left w:val="single" w:sz="12" w:space="0" w:color="000000"/>
              <w:bottom w:val="single" w:sz="12"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宋体" w:hAnsi="宋体" w:cs="宋体" w:eastAsia="宋体" w:hint="default"/>
                <w:spacing w:val="-2"/>
                <w:sz w:val="18"/>
                <w:szCs w:val="18"/>
              </w:rPr>
              <w:t>扣除非经常性损益后的加权平均净资产收益率（</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w:t>
            </w:r>
          </w:p>
        </w:tc>
        <w:tc>
          <w:tcPr>
            <w:tcW w:w="1157" w:type="dxa"/>
            <w:tcBorders>
              <w:top w:val="single" w:sz="6" w:space="0" w:color="000000"/>
              <w:left w:val="single" w:sz="6" w:space="0" w:color="000000"/>
              <w:bottom w:val="single" w:sz="12" w:space="0" w:color="000000"/>
              <w:right w:val="single" w:sz="6" w:space="0" w:color="000000"/>
            </w:tcBorders>
          </w:tcPr>
          <w:p>
            <w:pPr>
              <w:pStyle w:val="TableParagraph"/>
              <w:spacing w:line="202" w:lineRule="exact"/>
              <w:ind w:right="97"/>
              <w:jc w:val="right"/>
              <w:rPr>
                <w:rFonts w:ascii="Times New Roman" w:hAnsi="Times New Roman" w:cs="Times New Roman" w:eastAsia="Times New Roman" w:hint="default"/>
                <w:sz w:val="18"/>
                <w:szCs w:val="18"/>
              </w:rPr>
            </w:pPr>
            <w:r>
              <w:rPr>
                <w:rFonts w:ascii="Times New Roman"/>
                <w:sz w:val="18"/>
              </w:rPr>
              <w:t>3.32%</w:t>
            </w:r>
          </w:p>
        </w:tc>
        <w:tc>
          <w:tcPr>
            <w:tcW w:w="1126" w:type="dxa"/>
            <w:tcBorders>
              <w:top w:val="single" w:sz="6" w:space="0" w:color="000000"/>
              <w:left w:val="single" w:sz="6" w:space="0" w:color="000000"/>
              <w:bottom w:val="single" w:sz="12" w:space="0" w:color="000000"/>
              <w:right w:val="single" w:sz="6" w:space="0" w:color="000000"/>
            </w:tcBorders>
          </w:tcPr>
          <w:p>
            <w:pPr>
              <w:pStyle w:val="TableParagraph"/>
              <w:spacing w:line="202" w:lineRule="exact"/>
              <w:ind w:right="95"/>
              <w:jc w:val="right"/>
              <w:rPr>
                <w:rFonts w:ascii="Times New Roman" w:hAnsi="Times New Roman" w:cs="Times New Roman" w:eastAsia="Times New Roman" w:hint="default"/>
                <w:sz w:val="18"/>
                <w:szCs w:val="18"/>
              </w:rPr>
            </w:pPr>
            <w:r>
              <w:rPr>
                <w:rFonts w:ascii="Times New Roman"/>
                <w:sz w:val="18"/>
              </w:rPr>
              <w:t>5.51%</w:t>
            </w:r>
          </w:p>
        </w:tc>
        <w:tc>
          <w:tcPr>
            <w:tcW w:w="1877" w:type="dxa"/>
            <w:tcBorders>
              <w:top w:val="single" w:sz="6" w:space="0" w:color="000000"/>
              <w:left w:val="single" w:sz="6" w:space="0" w:color="000000"/>
              <w:bottom w:val="single" w:sz="12" w:space="0" w:color="000000"/>
              <w:right w:val="single" w:sz="6" w:space="0" w:color="000000"/>
            </w:tcBorders>
          </w:tcPr>
          <w:p>
            <w:pPr>
              <w:pStyle w:val="TableParagraph"/>
              <w:spacing w:line="219" w:lineRule="exact"/>
              <w:ind w:right="99"/>
              <w:jc w:val="right"/>
              <w:rPr>
                <w:rFonts w:ascii="宋体" w:hAnsi="宋体" w:cs="宋体" w:eastAsia="宋体" w:hint="default"/>
                <w:sz w:val="18"/>
                <w:szCs w:val="18"/>
              </w:rPr>
            </w:pPr>
            <w:r>
              <w:rPr>
                <w:rFonts w:ascii="宋体" w:hAnsi="宋体" w:cs="宋体" w:eastAsia="宋体" w:hint="default"/>
                <w:sz w:val="18"/>
                <w:szCs w:val="18"/>
              </w:rPr>
              <w:t>减少了</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个百分点</w:t>
            </w:r>
          </w:p>
        </w:tc>
        <w:tc>
          <w:tcPr>
            <w:tcW w:w="1133" w:type="dxa"/>
            <w:tcBorders>
              <w:top w:val="single" w:sz="6" w:space="0" w:color="000000"/>
              <w:left w:val="single" w:sz="6" w:space="0" w:color="000000"/>
              <w:bottom w:val="single" w:sz="12" w:space="0" w:color="000000"/>
              <w:right w:val="single" w:sz="12" w:space="0" w:color="000000"/>
            </w:tcBorders>
          </w:tcPr>
          <w:p>
            <w:pPr>
              <w:pStyle w:val="TableParagraph"/>
              <w:spacing w:line="202" w:lineRule="exact"/>
              <w:ind w:right="93"/>
              <w:jc w:val="right"/>
              <w:rPr>
                <w:rFonts w:ascii="Times New Roman" w:hAnsi="Times New Roman" w:cs="Times New Roman" w:eastAsia="Times New Roman" w:hint="default"/>
                <w:sz w:val="18"/>
                <w:szCs w:val="18"/>
              </w:rPr>
            </w:pPr>
            <w:r>
              <w:rPr>
                <w:rFonts w:ascii="Times New Roman"/>
                <w:sz w:val="18"/>
              </w:rPr>
              <w:t>1.67%</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pStyle w:val="Heading2"/>
        <w:spacing w:line="240" w:lineRule="auto" w:before="14"/>
        <w:ind w:right="0"/>
        <w:jc w:val="left"/>
      </w:pPr>
      <w:r>
        <w:rPr/>
        <w:t>八、境内外会计准则下会计数据差异</w:t>
      </w:r>
    </w:p>
    <w:p>
      <w:pPr>
        <w:pStyle w:val="BodyText"/>
        <w:spacing w:line="240" w:lineRule="auto" w:before="62"/>
        <w:ind w:left="238" w:right="0"/>
        <w:jc w:val="left"/>
      </w:pPr>
      <w:r>
        <w:rPr/>
        <w:t>不适用。</w:t>
      </w:r>
    </w:p>
    <w:p>
      <w:pPr>
        <w:spacing w:after="0" w:line="240" w:lineRule="auto"/>
        <w:jc w:val="left"/>
        <w:sectPr>
          <w:pgSz w:w="11910" w:h="16840"/>
          <w:pgMar w:header="628" w:footer="760" w:top="1020" w:bottom="960" w:left="1180" w:right="96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pStyle w:val="Heading2"/>
        <w:spacing w:line="240" w:lineRule="auto" w:before="14"/>
        <w:ind w:right="110"/>
        <w:jc w:val="left"/>
      </w:pPr>
      <w:r>
        <w:rPr/>
        <w:t>九、</w:t>
      </w:r>
      <w:r>
        <w:rPr>
          <w:rFonts w:ascii="黑体" w:hAnsi="黑体" w:cs="黑体" w:eastAsia="黑体" w:hint="default"/>
        </w:rPr>
        <w:t>2015</w:t>
      </w:r>
      <w:r>
        <w:rPr>
          <w:rFonts w:ascii="黑体" w:hAnsi="黑体" w:cs="黑体" w:eastAsia="黑体" w:hint="default"/>
          <w:spacing w:val="-72"/>
        </w:rPr>
        <w:t> </w:t>
      </w:r>
      <w:r>
        <w:rPr/>
        <w:t>年分季度主要财务数据</w:t>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1"/>
          <w:szCs w:val="11"/>
        </w:rPr>
      </w:pPr>
    </w:p>
    <w:tbl>
      <w:tblPr>
        <w:tblW w:w="0" w:type="auto"/>
        <w:jc w:val="left"/>
        <w:tblInd w:w="116" w:type="dxa"/>
        <w:tblLayout w:type="fixed"/>
        <w:tblCellMar>
          <w:top w:w="0" w:type="dxa"/>
          <w:left w:w="0" w:type="dxa"/>
          <w:bottom w:w="0" w:type="dxa"/>
          <w:right w:w="0" w:type="dxa"/>
        </w:tblCellMar>
        <w:tblLook w:val="01E0"/>
      </w:tblPr>
      <w:tblGrid>
        <w:gridCol w:w="2792"/>
        <w:gridCol w:w="1685"/>
        <w:gridCol w:w="1616"/>
        <w:gridCol w:w="1618"/>
        <w:gridCol w:w="1709"/>
      </w:tblGrid>
      <w:tr>
        <w:trPr>
          <w:trHeight w:val="490" w:hRule="exact"/>
        </w:trPr>
        <w:tc>
          <w:tcPr>
            <w:tcW w:w="279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87"/>
              <w:ind w:right="6"/>
              <w:jc w:val="center"/>
              <w:rPr>
                <w:rFonts w:ascii="宋体" w:hAnsi="宋体" w:cs="宋体" w:eastAsia="宋体" w:hint="default"/>
                <w:sz w:val="18"/>
                <w:szCs w:val="18"/>
              </w:rPr>
            </w:pPr>
            <w:r>
              <w:rPr>
                <w:rFonts w:ascii="宋体" w:hAnsi="宋体" w:cs="宋体" w:eastAsia="宋体" w:hint="default"/>
                <w:b/>
                <w:bCs/>
                <w:sz w:val="18"/>
                <w:szCs w:val="18"/>
              </w:rPr>
              <w:t>单位：元</w:t>
            </w:r>
            <w:r>
              <w:rPr>
                <w:rFonts w:ascii="宋体" w:hAnsi="宋体" w:cs="宋体" w:eastAsia="宋体" w:hint="default"/>
                <w:sz w:val="18"/>
                <w:szCs w:val="18"/>
              </w:rPr>
            </w:r>
          </w:p>
        </w:tc>
        <w:tc>
          <w:tcPr>
            <w:tcW w:w="1685" w:type="dxa"/>
            <w:tcBorders>
              <w:top w:val="single" w:sz="12" w:space="0" w:color="000000"/>
              <w:left w:val="single" w:sz="6" w:space="0" w:color="000000"/>
              <w:bottom w:val="single" w:sz="6" w:space="0" w:color="000000"/>
              <w:right w:val="single" w:sz="6" w:space="0" w:color="000000"/>
            </w:tcBorders>
          </w:tcPr>
          <w:p>
            <w:pPr>
              <w:pStyle w:val="TableParagraph"/>
              <w:spacing w:line="205" w:lineRule="exact"/>
              <w:ind w:left="405" w:right="0" w:firstLine="67"/>
              <w:jc w:val="left"/>
              <w:rPr>
                <w:rFonts w:ascii="宋体" w:hAnsi="宋体" w:cs="宋体" w:eastAsia="宋体" w:hint="default"/>
                <w:sz w:val="18"/>
                <w:szCs w:val="18"/>
              </w:rPr>
            </w:pPr>
            <w:r>
              <w:rPr>
                <w:rFonts w:ascii="宋体" w:hAnsi="宋体" w:cs="宋体" w:eastAsia="宋体" w:hint="default"/>
                <w:b/>
                <w:bCs/>
                <w:sz w:val="18"/>
                <w:szCs w:val="18"/>
              </w:rPr>
              <w:t>第一季度</w:t>
            </w:r>
            <w:r>
              <w:rPr>
                <w:rFonts w:ascii="宋体" w:hAnsi="宋体" w:cs="宋体" w:eastAsia="宋体" w:hint="default"/>
                <w:sz w:val="18"/>
                <w:szCs w:val="18"/>
              </w:rPr>
            </w:r>
          </w:p>
          <w:p>
            <w:pPr>
              <w:pStyle w:val="TableParagraph"/>
              <w:spacing w:line="240" w:lineRule="auto"/>
              <w:ind w:left="405" w:right="0"/>
              <w:jc w:val="left"/>
              <w:rPr>
                <w:rFonts w:ascii="宋体" w:hAnsi="宋体" w:cs="宋体" w:eastAsia="宋体" w:hint="default"/>
                <w:sz w:val="18"/>
                <w:szCs w:val="18"/>
              </w:rPr>
            </w:pPr>
            <w:r>
              <w:rPr>
                <w:rFonts w:ascii="宋体" w:hAnsi="宋体" w:cs="宋体" w:eastAsia="宋体" w:hint="default"/>
                <w:b/>
                <w:bCs/>
                <w:sz w:val="18"/>
                <w:szCs w:val="18"/>
              </w:rPr>
              <w:t>(1-3</w:t>
            </w:r>
            <w:r>
              <w:rPr>
                <w:rFonts w:ascii="宋体" w:hAnsi="宋体" w:cs="宋体" w:eastAsia="宋体" w:hint="default"/>
                <w:b/>
                <w:bCs/>
                <w:spacing w:val="-46"/>
                <w:sz w:val="18"/>
                <w:szCs w:val="18"/>
              </w:rPr>
              <w:t> </w:t>
            </w:r>
            <w:r>
              <w:rPr>
                <w:rFonts w:ascii="宋体" w:hAnsi="宋体" w:cs="宋体" w:eastAsia="宋体" w:hint="default"/>
                <w:b/>
                <w:bCs/>
                <w:sz w:val="18"/>
                <w:szCs w:val="18"/>
              </w:rPr>
              <w:t>月份</w:t>
            </w:r>
            <w:r>
              <w:rPr>
                <w:rFonts w:ascii="宋体" w:hAnsi="宋体" w:cs="宋体" w:eastAsia="宋体" w:hint="default"/>
                <w:b/>
                <w:bCs/>
                <w:sz w:val="18"/>
                <w:szCs w:val="18"/>
              </w:rPr>
              <w:t>)</w:t>
            </w:r>
            <w:r>
              <w:rPr>
                <w:rFonts w:ascii="宋体" w:hAnsi="宋体" w:cs="宋体" w:eastAsia="宋体" w:hint="default"/>
                <w:sz w:val="18"/>
                <w:szCs w:val="18"/>
              </w:rPr>
            </w:r>
          </w:p>
        </w:tc>
        <w:tc>
          <w:tcPr>
            <w:tcW w:w="1616" w:type="dxa"/>
            <w:tcBorders>
              <w:top w:val="single" w:sz="12" w:space="0" w:color="000000"/>
              <w:left w:val="single" w:sz="6" w:space="0" w:color="000000"/>
              <w:bottom w:val="single" w:sz="6" w:space="0" w:color="000000"/>
              <w:right w:val="single" w:sz="6" w:space="0" w:color="000000"/>
            </w:tcBorders>
          </w:tcPr>
          <w:p>
            <w:pPr>
              <w:pStyle w:val="TableParagraph"/>
              <w:spacing w:line="205" w:lineRule="exact"/>
              <w:ind w:left="369" w:right="0" w:firstLine="69"/>
              <w:jc w:val="left"/>
              <w:rPr>
                <w:rFonts w:ascii="宋体" w:hAnsi="宋体" w:cs="宋体" w:eastAsia="宋体" w:hint="default"/>
                <w:sz w:val="18"/>
                <w:szCs w:val="18"/>
              </w:rPr>
            </w:pPr>
            <w:r>
              <w:rPr>
                <w:rFonts w:ascii="宋体" w:hAnsi="宋体" w:cs="宋体" w:eastAsia="宋体" w:hint="default"/>
                <w:b/>
                <w:bCs/>
                <w:sz w:val="18"/>
                <w:szCs w:val="18"/>
              </w:rPr>
              <w:t>第二季度</w:t>
            </w:r>
            <w:r>
              <w:rPr>
                <w:rFonts w:ascii="宋体" w:hAnsi="宋体" w:cs="宋体" w:eastAsia="宋体" w:hint="default"/>
                <w:sz w:val="18"/>
                <w:szCs w:val="18"/>
              </w:rPr>
            </w:r>
          </w:p>
          <w:p>
            <w:pPr>
              <w:pStyle w:val="TableParagraph"/>
              <w:spacing w:line="240" w:lineRule="auto"/>
              <w:ind w:left="369" w:right="0"/>
              <w:jc w:val="left"/>
              <w:rPr>
                <w:rFonts w:ascii="宋体" w:hAnsi="宋体" w:cs="宋体" w:eastAsia="宋体" w:hint="default"/>
                <w:sz w:val="18"/>
                <w:szCs w:val="18"/>
              </w:rPr>
            </w:pPr>
            <w:r>
              <w:rPr>
                <w:rFonts w:ascii="宋体" w:hAnsi="宋体" w:cs="宋体" w:eastAsia="宋体" w:hint="default"/>
                <w:b/>
                <w:bCs/>
                <w:sz w:val="18"/>
                <w:szCs w:val="18"/>
              </w:rPr>
              <w:t>(4-6</w:t>
            </w:r>
            <w:r>
              <w:rPr>
                <w:rFonts w:ascii="宋体" w:hAnsi="宋体" w:cs="宋体" w:eastAsia="宋体" w:hint="default"/>
                <w:b/>
                <w:bCs/>
                <w:spacing w:val="-46"/>
                <w:sz w:val="18"/>
                <w:szCs w:val="18"/>
              </w:rPr>
              <w:t> </w:t>
            </w:r>
            <w:r>
              <w:rPr>
                <w:rFonts w:ascii="宋体" w:hAnsi="宋体" w:cs="宋体" w:eastAsia="宋体" w:hint="default"/>
                <w:b/>
                <w:bCs/>
                <w:sz w:val="18"/>
                <w:szCs w:val="18"/>
              </w:rPr>
              <w:t>月份</w:t>
            </w:r>
            <w:r>
              <w:rPr>
                <w:rFonts w:ascii="宋体" w:hAnsi="宋体" w:cs="宋体" w:eastAsia="宋体" w:hint="default"/>
                <w:b/>
                <w:bCs/>
                <w:sz w:val="18"/>
                <w:szCs w:val="18"/>
              </w:rPr>
              <w:t>)</w:t>
            </w:r>
            <w:r>
              <w:rPr>
                <w:rFonts w:ascii="宋体" w:hAnsi="宋体" w:cs="宋体" w:eastAsia="宋体" w:hint="default"/>
                <w:sz w:val="18"/>
                <w:szCs w:val="18"/>
              </w:rPr>
            </w:r>
          </w:p>
        </w:tc>
        <w:tc>
          <w:tcPr>
            <w:tcW w:w="1618" w:type="dxa"/>
            <w:tcBorders>
              <w:top w:val="single" w:sz="12" w:space="0" w:color="000000"/>
              <w:left w:val="single" w:sz="6" w:space="0" w:color="000000"/>
              <w:bottom w:val="single" w:sz="6" w:space="0" w:color="000000"/>
              <w:right w:val="single" w:sz="6" w:space="0" w:color="000000"/>
            </w:tcBorders>
          </w:tcPr>
          <w:p>
            <w:pPr>
              <w:pStyle w:val="TableParagraph"/>
              <w:spacing w:line="205" w:lineRule="exact"/>
              <w:ind w:left="369" w:right="0" w:firstLine="69"/>
              <w:jc w:val="left"/>
              <w:rPr>
                <w:rFonts w:ascii="宋体" w:hAnsi="宋体" w:cs="宋体" w:eastAsia="宋体" w:hint="default"/>
                <w:sz w:val="18"/>
                <w:szCs w:val="18"/>
              </w:rPr>
            </w:pPr>
            <w:r>
              <w:rPr>
                <w:rFonts w:ascii="宋体" w:hAnsi="宋体" w:cs="宋体" w:eastAsia="宋体" w:hint="default"/>
                <w:b/>
                <w:bCs/>
                <w:sz w:val="18"/>
                <w:szCs w:val="18"/>
              </w:rPr>
              <w:t>第三季度</w:t>
            </w:r>
            <w:r>
              <w:rPr>
                <w:rFonts w:ascii="宋体" w:hAnsi="宋体" w:cs="宋体" w:eastAsia="宋体" w:hint="default"/>
                <w:sz w:val="18"/>
                <w:szCs w:val="18"/>
              </w:rPr>
            </w:r>
          </w:p>
          <w:p>
            <w:pPr>
              <w:pStyle w:val="TableParagraph"/>
              <w:spacing w:line="240" w:lineRule="auto"/>
              <w:ind w:left="369" w:right="0"/>
              <w:jc w:val="left"/>
              <w:rPr>
                <w:rFonts w:ascii="宋体" w:hAnsi="宋体" w:cs="宋体" w:eastAsia="宋体" w:hint="default"/>
                <w:sz w:val="18"/>
                <w:szCs w:val="18"/>
              </w:rPr>
            </w:pPr>
            <w:r>
              <w:rPr>
                <w:rFonts w:ascii="宋体" w:hAnsi="宋体" w:cs="宋体" w:eastAsia="宋体" w:hint="default"/>
                <w:b/>
                <w:bCs/>
                <w:sz w:val="18"/>
                <w:szCs w:val="18"/>
              </w:rPr>
              <w:t>(7-9</w:t>
            </w:r>
            <w:r>
              <w:rPr>
                <w:rFonts w:ascii="宋体" w:hAnsi="宋体" w:cs="宋体" w:eastAsia="宋体" w:hint="default"/>
                <w:b/>
                <w:bCs/>
                <w:spacing w:val="-46"/>
                <w:sz w:val="18"/>
                <w:szCs w:val="18"/>
              </w:rPr>
              <w:t> </w:t>
            </w:r>
            <w:r>
              <w:rPr>
                <w:rFonts w:ascii="宋体" w:hAnsi="宋体" w:cs="宋体" w:eastAsia="宋体" w:hint="default"/>
                <w:b/>
                <w:bCs/>
                <w:sz w:val="18"/>
                <w:szCs w:val="18"/>
              </w:rPr>
              <w:t>月份</w:t>
            </w:r>
            <w:r>
              <w:rPr>
                <w:rFonts w:ascii="宋体" w:hAnsi="宋体" w:cs="宋体" w:eastAsia="宋体" w:hint="default"/>
                <w:b/>
                <w:bCs/>
                <w:sz w:val="18"/>
                <w:szCs w:val="18"/>
              </w:rPr>
              <w:t>)</w:t>
            </w:r>
            <w:r>
              <w:rPr>
                <w:rFonts w:ascii="宋体" w:hAnsi="宋体" w:cs="宋体" w:eastAsia="宋体" w:hint="default"/>
                <w:sz w:val="18"/>
                <w:szCs w:val="18"/>
              </w:rPr>
            </w:r>
          </w:p>
        </w:tc>
        <w:tc>
          <w:tcPr>
            <w:tcW w:w="1709" w:type="dxa"/>
            <w:tcBorders>
              <w:top w:val="single" w:sz="12" w:space="0" w:color="000000"/>
              <w:left w:val="single" w:sz="6" w:space="0" w:color="000000"/>
              <w:bottom w:val="single" w:sz="6" w:space="0" w:color="000000"/>
              <w:right w:val="single" w:sz="12" w:space="0" w:color="000000"/>
            </w:tcBorders>
          </w:tcPr>
          <w:p>
            <w:pPr>
              <w:pStyle w:val="TableParagraph"/>
              <w:spacing w:line="205" w:lineRule="exact"/>
              <w:ind w:left="484" w:right="0"/>
              <w:jc w:val="left"/>
              <w:rPr>
                <w:rFonts w:ascii="宋体" w:hAnsi="宋体" w:cs="宋体" w:eastAsia="宋体" w:hint="default"/>
                <w:sz w:val="18"/>
                <w:szCs w:val="18"/>
              </w:rPr>
            </w:pPr>
            <w:r>
              <w:rPr>
                <w:rFonts w:ascii="宋体" w:hAnsi="宋体" w:cs="宋体" w:eastAsia="宋体" w:hint="default"/>
                <w:b/>
                <w:bCs/>
                <w:sz w:val="18"/>
                <w:szCs w:val="18"/>
              </w:rPr>
              <w:t>第四季度</w:t>
            </w:r>
            <w:r>
              <w:rPr>
                <w:rFonts w:ascii="宋体" w:hAnsi="宋体" w:cs="宋体" w:eastAsia="宋体" w:hint="default"/>
                <w:sz w:val="18"/>
                <w:szCs w:val="18"/>
              </w:rPr>
            </w: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b/>
                <w:bCs/>
                <w:sz w:val="18"/>
                <w:szCs w:val="18"/>
              </w:rPr>
              <w:t>(10-12</w:t>
            </w:r>
            <w:r>
              <w:rPr>
                <w:rFonts w:ascii="宋体" w:hAnsi="宋体" w:cs="宋体" w:eastAsia="宋体" w:hint="default"/>
                <w:b/>
                <w:bCs/>
                <w:spacing w:val="-46"/>
                <w:sz w:val="18"/>
                <w:szCs w:val="18"/>
              </w:rPr>
              <w:t> </w:t>
            </w:r>
            <w:r>
              <w:rPr>
                <w:rFonts w:ascii="宋体" w:hAnsi="宋体" w:cs="宋体" w:eastAsia="宋体" w:hint="default"/>
                <w:b/>
                <w:bCs/>
                <w:sz w:val="18"/>
                <w:szCs w:val="18"/>
              </w:rPr>
              <w:t>月份</w:t>
            </w:r>
            <w:r>
              <w:rPr>
                <w:rFonts w:ascii="宋体" w:hAnsi="宋体" w:cs="宋体" w:eastAsia="宋体" w:hint="default"/>
                <w:b/>
                <w:bCs/>
                <w:sz w:val="18"/>
                <w:szCs w:val="18"/>
              </w:rPr>
              <w:t>)</w:t>
            </w:r>
            <w:r>
              <w:rPr>
                <w:rFonts w:ascii="宋体" w:hAnsi="宋体" w:cs="宋体" w:eastAsia="宋体" w:hint="default"/>
                <w:sz w:val="18"/>
                <w:szCs w:val="18"/>
              </w:rPr>
            </w:r>
          </w:p>
        </w:tc>
      </w:tr>
      <w:tr>
        <w:trPr>
          <w:trHeight w:val="247" w:hRule="exact"/>
        </w:trPr>
        <w:tc>
          <w:tcPr>
            <w:tcW w:w="2792"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26" w:lineRule="exact"/>
              <w:ind w:right="102"/>
              <w:jc w:val="right"/>
              <w:rPr>
                <w:rFonts w:ascii="Times New Roman" w:hAnsi="Times New Roman" w:cs="Times New Roman" w:eastAsia="Times New Roman" w:hint="default"/>
                <w:sz w:val="20"/>
                <w:szCs w:val="20"/>
              </w:rPr>
            </w:pPr>
            <w:r>
              <w:rPr>
                <w:rFonts w:ascii="Times New Roman"/>
                <w:spacing w:val="-1"/>
                <w:sz w:val="20"/>
              </w:rPr>
              <w:t>4,756,667,008.57</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26" w:lineRule="exact"/>
              <w:ind w:right="100"/>
              <w:jc w:val="right"/>
              <w:rPr>
                <w:rFonts w:ascii="Times New Roman" w:hAnsi="Times New Roman" w:cs="Times New Roman" w:eastAsia="Times New Roman" w:hint="default"/>
                <w:sz w:val="20"/>
                <w:szCs w:val="20"/>
              </w:rPr>
            </w:pPr>
            <w:r>
              <w:rPr>
                <w:rFonts w:ascii="Times New Roman"/>
                <w:spacing w:val="-1"/>
                <w:sz w:val="20"/>
              </w:rPr>
              <w:t>5,804,285,983.80</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26" w:lineRule="exact"/>
              <w:ind w:right="102"/>
              <w:jc w:val="right"/>
              <w:rPr>
                <w:rFonts w:ascii="Times New Roman" w:hAnsi="Times New Roman" w:cs="Times New Roman" w:eastAsia="Times New Roman" w:hint="default"/>
                <w:sz w:val="20"/>
                <w:szCs w:val="20"/>
              </w:rPr>
            </w:pPr>
            <w:r>
              <w:rPr>
                <w:rFonts w:ascii="Times New Roman"/>
                <w:spacing w:val="-1"/>
                <w:sz w:val="20"/>
              </w:rPr>
              <w:t>7,376,919,354.93</w:t>
            </w:r>
          </w:p>
        </w:tc>
        <w:tc>
          <w:tcPr>
            <w:tcW w:w="1709" w:type="dxa"/>
            <w:tcBorders>
              <w:top w:val="single" w:sz="6" w:space="0" w:color="000000"/>
              <w:left w:val="single" w:sz="6" w:space="0" w:color="000000"/>
              <w:bottom w:val="single" w:sz="6" w:space="0" w:color="000000"/>
              <w:right w:val="single" w:sz="12" w:space="0" w:color="000000"/>
            </w:tcBorders>
          </w:tcPr>
          <w:p>
            <w:pPr>
              <w:pStyle w:val="TableParagraph"/>
              <w:spacing w:line="226" w:lineRule="exact"/>
              <w:ind w:right="92"/>
              <w:jc w:val="right"/>
              <w:rPr>
                <w:rFonts w:ascii="Times New Roman" w:hAnsi="Times New Roman" w:cs="Times New Roman" w:eastAsia="Times New Roman" w:hint="default"/>
                <w:sz w:val="20"/>
                <w:szCs w:val="20"/>
              </w:rPr>
            </w:pPr>
            <w:r>
              <w:rPr>
                <w:rFonts w:ascii="Times New Roman"/>
                <w:spacing w:val="-1"/>
                <w:sz w:val="20"/>
              </w:rPr>
              <w:t>10,509,411,832.98</w:t>
            </w:r>
          </w:p>
        </w:tc>
      </w:tr>
      <w:tr>
        <w:trPr>
          <w:trHeight w:val="250" w:hRule="exact"/>
        </w:trPr>
        <w:tc>
          <w:tcPr>
            <w:tcW w:w="2792"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93"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26" w:lineRule="exact"/>
              <w:ind w:right="102"/>
              <w:jc w:val="right"/>
              <w:rPr>
                <w:rFonts w:ascii="Times New Roman" w:hAnsi="Times New Roman" w:cs="Times New Roman" w:eastAsia="Times New Roman" w:hint="default"/>
                <w:sz w:val="20"/>
                <w:szCs w:val="20"/>
              </w:rPr>
            </w:pPr>
            <w:r>
              <w:rPr>
                <w:rFonts w:ascii="Times New Roman"/>
                <w:w w:val="95"/>
                <w:sz w:val="20"/>
              </w:rPr>
              <w:t>154,915,155.74</w:t>
            </w:r>
            <w:r>
              <w:rPr>
                <w:rFonts w:ascii="Times New Roman"/>
                <w:sz w:val="20"/>
              </w:rPr>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26" w:lineRule="exact"/>
              <w:ind w:right="102"/>
              <w:jc w:val="right"/>
              <w:rPr>
                <w:rFonts w:ascii="Times New Roman" w:hAnsi="Times New Roman" w:cs="Times New Roman" w:eastAsia="Times New Roman" w:hint="default"/>
                <w:sz w:val="20"/>
                <w:szCs w:val="20"/>
              </w:rPr>
            </w:pPr>
            <w:r>
              <w:rPr>
                <w:rFonts w:ascii="Times New Roman"/>
                <w:w w:val="95"/>
                <w:sz w:val="20"/>
              </w:rPr>
              <w:t>726,756,335.65</w:t>
            </w:r>
            <w:r>
              <w:rPr>
                <w:rFonts w:ascii="Times New Roman"/>
                <w:sz w:val="20"/>
              </w:rPr>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26" w:lineRule="exact"/>
              <w:ind w:right="102"/>
              <w:jc w:val="right"/>
              <w:rPr>
                <w:rFonts w:ascii="Times New Roman" w:hAnsi="Times New Roman" w:cs="Times New Roman" w:eastAsia="Times New Roman" w:hint="default"/>
                <w:sz w:val="20"/>
                <w:szCs w:val="20"/>
              </w:rPr>
            </w:pPr>
            <w:r>
              <w:rPr>
                <w:rFonts w:ascii="Times New Roman"/>
                <w:w w:val="95"/>
                <w:sz w:val="20"/>
              </w:rPr>
              <w:t>-314,906,368.54</w:t>
            </w:r>
            <w:r>
              <w:rPr>
                <w:rFonts w:ascii="Times New Roman"/>
                <w:sz w:val="20"/>
              </w:rPr>
            </w:r>
          </w:p>
        </w:tc>
        <w:tc>
          <w:tcPr>
            <w:tcW w:w="1709" w:type="dxa"/>
            <w:tcBorders>
              <w:top w:val="single" w:sz="6" w:space="0" w:color="000000"/>
              <w:left w:val="single" w:sz="6" w:space="0" w:color="000000"/>
              <w:bottom w:val="single" w:sz="6" w:space="0" w:color="000000"/>
              <w:right w:val="single" w:sz="12" w:space="0" w:color="000000"/>
            </w:tcBorders>
          </w:tcPr>
          <w:p>
            <w:pPr>
              <w:pStyle w:val="TableParagraph"/>
              <w:spacing w:line="226" w:lineRule="exact"/>
              <w:ind w:right="92"/>
              <w:jc w:val="right"/>
              <w:rPr>
                <w:rFonts w:ascii="Times New Roman" w:hAnsi="Times New Roman" w:cs="Times New Roman" w:eastAsia="Times New Roman" w:hint="default"/>
                <w:sz w:val="20"/>
                <w:szCs w:val="20"/>
              </w:rPr>
            </w:pPr>
            <w:r>
              <w:rPr>
                <w:rFonts w:ascii="Times New Roman"/>
                <w:w w:val="95"/>
                <w:sz w:val="20"/>
              </w:rPr>
              <w:t>694,828,247.17</w:t>
            </w:r>
            <w:r>
              <w:rPr>
                <w:rFonts w:ascii="Times New Roman"/>
                <w:sz w:val="20"/>
              </w:rPr>
            </w:r>
          </w:p>
        </w:tc>
      </w:tr>
      <w:tr>
        <w:trPr>
          <w:trHeight w:val="482" w:hRule="exact"/>
        </w:trPr>
        <w:tc>
          <w:tcPr>
            <w:tcW w:w="2792" w:type="dxa"/>
            <w:tcBorders>
              <w:top w:val="single" w:sz="6" w:space="0" w:color="000000"/>
              <w:left w:val="single" w:sz="12" w:space="0" w:color="000000"/>
              <w:bottom w:val="single" w:sz="6" w:space="0" w:color="000000"/>
              <w:right w:val="single" w:sz="6" w:space="0" w:color="000000"/>
            </w:tcBorders>
          </w:tcPr>
          <w:p>
            <w:pPr>
              <w:pStyle w:val="TableParagraph"/>
              <w:spacing w:line="204" w:lineRule="exact"/>
              <w:ind w:left="93" w:right="0"/>
              <w:jc w:val="left"/>
              <w:rPr>
                <w:rFonts w:ascii="宋体" w:hAnsi="宋体" w:cs="宋体" w:eastAsia="宋体" w:hint="default"/>
                <w:sz w:val="18"/>
                <w:szCs w:val="18"/>
              </w:rPr>
            </w:pPr>
            <w:r>
              <w:rPr>
                <w:rFonts w:ascii="宋体" w:hAnsi="宋体" w:cs="宋体" w:eastAsia="宋体" w:hint="default"/>
                <w:spacing w:val="3"/>
                <w:sz w:val="18"/>
                <w:szCs w:val="18"/>
              </w:rPr>
              <w:t>归属于上市公司股东的扣除非经</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常性损益后的净利润</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1"/>
              <w:ind w:right="99"/>
              <w:jc w:val="right"/>
              <w:rPr>
                <w:rFonts w:ascii="Times New Roman" w:hAnsi="Times New Roman" w:cs="Times New Roman" w:eastAsia="Times New Roman" w:hint="default"/>
                <w:sz w:val="20"/>
                <w:szCs w:val="20"/>
              </w:rPr>
            </w:pPr>
            <w:r>
              <w:rPr>
                <w:rFonts w:ascii="Times New Roman"/>
                <w:w w:val="95"/>
                <w:sz w:val="20"/>
              </w:rPr>
              <w:t>-196,886,294.24</w:t>
            </w:r>
            <w:r>
              <w:rPr>
                <w:rFonts w:ascii="Times New Roman"/>
                <w:sz w:val="20"/>
              </w:rPr>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1"/>
              <w:ind w:right="102"/>
              <w:jc w:val="right"/>
              <w:rPr>
                <w:rFonts w:ascii="Times New Roman" w:hAnsi="Times New Roman" w:cs="Times New Roman" w:eastAsia="Times New Roman" w:hint="default"/>
                <w:sz w:val="20"/>
                <w:szCs w:val="20"/>
              </w:rPr>
            </w:pPr>
            <w:r>
              <w:rPr>
                <w:rFonts w:ascii="Times New Roman"/>
                <w:w w:val="95"/>
                <w:sz w:val="20"/>
              </w:rPr>
              <w:t>570,978,948.24</w:t>
            </w:r>
            <w:r>
              <w:rPr>
                <w:rFonts w:ascii="Times New Roman"/>
                <w:sz w:val="20"/>
              </w:rPr>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1"/>
              <w:ind w:right="102"/>
              <w:jc w:val="right"/>
              <w:rPr>
                <w:rFonts w:ascii="Times New Roman" w:hAnsi="Times New Roman" w:cs="Times New Roman" w:eastAsia="Times New Roman" w:hint="default"/>
                <w:sz w:val="20"/>
                <w:szCs w:val="20"/>
              </w:rPr>
            </w:pPr>
            <w:r>
              <w:rPr>
                <w:rFonts w:ascii="Times New Roman"/>
                <w:w w:val="95"/>
                <w:sz w:val="20"/>
              </w:rPr>
              <w:t>-239,594,779.53</w:t>
            </w:r>
            <w:r>
              <w:rPr>
                <w:rFonts w:ascii="Times New Roman"/>
                <w:sz w:val="20"/>
              </w:rPr>
            </w:r>
          </w:p>
        </w:tc>
        <w:tc>
          <w:tcPr>
            <w:tcW w:w="170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1"/>
              <w:ind w:right="92"/>
              <w:jc w:val="right"/>
              <w:rPr>
                <w:rFonts w:ascii="Times New Roman" w:hAnsi="Times New Roman" w:cs="Times New Roman" w:eastAsia="Times New Roman" w:hint="default"/>
                <w:sz w:val="20"/>
                <w:szCs w:val="20"/>
              </w:rPr>
            </w:pPr>
            <w:r>
              <w:rPr>
                <w:rFonts w:ascii="Times New Roman"/>
                <w:spacing w:val="-1"/>
                <w:sz w:val="20"/>
              </w:rPr>
              <w:t>411,602,930.67</w:t>
            </w:r>
          </w:p>
        </w:tc>
      </w:tr>
      <w:tr>
        <w:trPr>
          <w:trHeight w:val="254" w:hRule="exact"/>
        </w:trPr>
        <w:tc>
          <w:tcPr>
            <w:tcW w:w="2792" w:type="dxa"/>
            <w:tcBorders>
              <w:top w:val="single" w:sz="6" w:space="0" w:color="000000"/>
              <w:left w:val="single" w:sz="12" w:space="0" w:color="000000"/>
              <w:bottom w:val="single" w:sz="12"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685" w:type="dxa"/>
            <w:tcBorders>
              <w:top w:val="single" w:sz="6" w:space="0" w:color="000000"/>
              <w:left w:val="single" w:sz="6" w:space="0" w:color="000000"/>
              <w:bottom w:val="single" w:sz="12" w:space="0" w:color="000000"/>
              <w:right w:val="single" w:sz="6" w:space="0" w:color="000000"/>
            </w:tcBorders>
          </w:tcPr>
          <w:p>
            <w:pPr>
              <w:pStyle w:val="TableParagraph"/>
              <w:spacing w:line="226" w:lineRule="exact"/>
              <w:ind w:right="102"/>
              <w:jc w:val="right"/>
              <w:rPr>
                <w:rFonts w:ascii="Times New Roman" w:hAnsi="Times New Roman" w:cs="Times New Roman" w:eastAsia="Times New Roman" w:hint="default"/>
                <w:sz w:val="20"/>
                <w:szCs w:val="20"/>
              </w:rPr>
            </w:pPr>
            <w:r>
              <w:rPr>
                <w:rFonts w:ascii="Times New Roman"/>
                <w:w w:val="95"/>
                <w:sz w:val="20"/>
              </w:rPr>
              <w:t>-2,023,504,244.08</w:t>
            </w:r>
            <w:r>
              <w:rPr>
                <w:rFonts w:ascii="Times New Roman"/>
                <w:sz w:val="20"/>
              </w:rPr>
            </w:r>
          </w:p>
        </w:tc>
        <w:tc>
          <w:tcPr>
            <w:tcW w:w="1616" w:type="dxa"/>
            <w:tcBorders>
              <w:top w:val="single" w:sz="6" w:space="0" w:color="000000"/>
              <w:left w:val="single" w:sz="6" w:space="0" w:color="000000"/>
              <w:bottom w:val="single" w:sz="12" w:space="0" w:color="000000"/>
              <w:right w:val="single" w:sz="6" w:space="0" w:color="000000"/>
            </w:tcBorders>
          </w:tcPr>
          <w:p>
            <w:pPr>
              <w:pStyle w:val="TableParagraph"/>
              <w:spacing w:line="226" w:lineRule="exact"/>
              <w:ind w:right="102"/>
              <w:jc w:val="right"/>
              <w:rPr>
                <w:rFonts w:ascii="Times New Roman" w:hAnsi="Times New Roman" w:cs="Times New Roman" w:eastAsia="Times New Roman" w:hint="default"/>
                <w:sz w:val="20"/>
                <w:szCs w:val="20"/>
              </w:rPr>
            </w:pPr>
            <w:r>
              <w:rPr>
                <w:rFonts w:ascii="Times New Roman"/>
                <w:spacing w:val="-1"/>
                <w:sz w:val="20"/>
              </w:rPr>
              <w:t>83,886,110.02</w:t>
            </w:r>
          </w:p>
        </w:tc>
        <w:tc>
          <w:tcPr>
            <w:tcW w:w="1618" w:type="dxa"/>
            <w:tcBorders>
              <w:top w:val="single" w:sz="6" w:space="0" w:color="000000"/>
              <w:left w:val="single" w:sz="6" w:space="0" w:color="000000"/>
              <w:bottom w:val="single" w:sz="12" w:space="0" w:color="000000"/>
              <w:right w:val="single" w:sz="6" w:space="0" w:color="000000"/>
            </w:tcBorders>
          </w:tcPr>
          <w:p>
            <w:pPr>
              <w:pStyle w:val="TableParagraph"/>
              <w:spacing w:line="226" w:lineRule="exact"/>
              <w:ind w:right="105"/>
              <w:jc w:val="right"/>
              <w:rPr>
                <w:rFonts w:ascii="Times New Roman" w:hAnsi="Times New Roman" w:cs="Times New Roman" w:eastAsia="Times New Roman" w:hint="default"/>
                <w:sz w:val="20"/>
                <w:szCs w:val="20"/>
              </w:rPr>
            </w:pPr>
            <w:r>
              <w:rPr>
                <w:rFonts w:ascii="Times New Roman"/>
                <w:w w:val="95"/>
                <w:sz w:val="20"/>
              </w:rPr>
              <w:t>638,878,146.69</w:t>
            </w:r>
            <w:r>
              <w:rPr>
                <w:rFonts w:ascii="Times New Roman"/>
                <w:sz w:val="20"/>
              </w:rPr>
            </w:r>
          </w:p>
        </w:tc>
        <w:tc>
          <w:tcPr>
            <w:tcW w:w="1709" w:type="dxa"/>
            <w:tcBorders>
              <w:top w:val="single" w:sz="6" w:space="0" w:color="000000"/>
              <w:left w:val="single" w:sz="6" w:space="0" w:color="000000"/>
              <w:bottom w:val="single" w:sz="12" w:space="0" w:color="000000"/>
              <w:right w:val="single" w:sz="12" w:space="0" w:color="000000"/>
            </w:tcBorders>
          </w:tcPr>
          <w:p>
            <w:pPr>
              <w:pStyle w:val="TableParagraph"/>
              <w:spacing w:line="226" w:lineRule="exact"/>
              <w:ind w:right="95"/>
              <w:jc w:val="right"/>
              <w:rPr>
                <w:rFonts w:ascii="Times New Roman" w:hAnsi="Times New Roman" w:cs="Times New Roman" w:eastAsia="Times New Roman" w:hint="default"/>
                <w:sz w:val="20"/>
                <w:szCs w:val="20"/>
              </w:rPr>
            </w:pPr>
            <w:r>
              <w:rPr>
                <w:rFonts w:ascii="Times New Roman"/>
                <w:spacing w:val="-1"/>
                <w:sz w:val="20"/>
              </w:rPr>
              <w:t>3,801,504,995.69</w:t>
            </w:r>
          </w:p>
        </w:tc>
      </w:tr>
    </w:tbl>
    <w:p>
      <w:pPr>
        <w:spacing w:line="240" w:lineRule="auto" w:before="10"/>
        <w:rPr>
          <w:rFonts w:ascii="黑体" w:hAnsi="黑体" w:cs="黑体" w:eastAsia="黑体" w:hint="default"/>
          <w:sz w:val="18"/>
          <w:szCs w:val="18"/>
        </w:rPr>
      </w:pPr>
    </w:p>
    <w:p>
      <w:pPr>
        <w:pStyle w:val="BodyText"/>
        <w:spacing w:line="240" w:lineRule="auto" w:before="26"/>
        <w:ind w:left="238" w:right="110"/>
        <w:jc w:val="left"/>
      </w:pPr>
      <w:r>
        <w:rPr/>
        <w:t>上述季度数据与已披露定期报告数据不存在差异。</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628" w:footer="760" w:top="1020" w:bottom="960" w:left="1180" w:right="1040"/>
        </w:sectPr>
      </w:pPr>
    </w:p>
    <w:p>
      <w:pPr>
        <w:pStyle w:val="Heading2"/>
        <w:spacing w:line="240" w:lineRule="auto" w:before="14"/>
        <w:ind w:right="-7"/>
        <w:jc w:val="left"/>
      </w:pPr>
      <w:r>
        <w:rPr>
          <w:spacing w:val="-1"/>
        </w:rPr>
        <w:t>十、非经常性损益的构成</w:t>
      </w:r>
    </w:p>
    <w:p>
      <w:pPr>
        <w:spacing w:line="240" w:lineRule="auto" w:before="0"/>
        <w:rPr>
          <w:rFonts w:ascii="黑体" w:hAnsi="黑体" w:cs="黑体" w:eastAsia="黑体" w:hint="default"/>
          <w:sz w:val="20"/>
          <w:szCs w:val="20"/>
        </w:rPr>
      </w:pPr>
      <w:r>
        <w:rPr/>
        <w:br w:type="column"/>
      </w:r>
      <w:r>
        <w:rPr>
          <w:rFonts w:ascii="黑体"/>
          <w:sz w:val="20"/>
        </w:rPr>
      </w:r>
    </w:p>
    <w:p>
      <w:pPr>
        <w:spacing w:line="240" w:lineRule="auto" w:before="4"/>
        <w:rPr>
          <w:rFonts w:ascii="黑体" w:hAnsi="黑体" w:cs="黑体" w:eastAsia="黑体" w:hint="default"/>
          <w:sz w:val="14"/>
          <w:szCs w:val="14"/>
        </w:rPr>
      </w:pPr>
    </w:p>
    <w:p>
      <w:pPr>
        <w:tabs>
          <w:tab w:pos="1290" w:val="left" w:leader="none"/>
        </w:tabs>
        <w:spacing w:before="0"/>
        <w:ind w:left="238" w:right="0" w:firstLine="0"/>
        <w:jc w:val="lef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after="0"/>
        <w:jc w:val="left"/>
        <w:rPr>
          <w:rFonts w:ascii="宋体" w:hAnsi="宋体" w:cs="宋体" w:eastAsia="宋体" w:hint="default"/>
          <w:sz w:val="21"/>
          <w:szCs w:val="21"/>
        </w:rPr>
        <w:sectPr>
          <w:type w:val="continuous"/>
          <w:pgSz w:w="11910" w:h="16840"/>
          <w:pgMar w:top="1020" w:bottom="280" w:left="1180" w:right="1040"/>
          <w:cols w:num="2" w:equalWidth="0">
            <w:col w:w="3321" w:space="3571"/>
            <w:col w:w="2798"/>
          </w:cols>
        </w:sectPr>
      </w:pPr>
    </w:p>
    <w:p>
      <w:pPr>
        <w:spacing w:line="240" w:lineRule="auto" w:before="4"/>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5276"/>
        <w:gridCol w:w="1399"/>
        <w:gridCol w:w="1342"/>
        <w:gridCol w:w="1402"/>
      </w:tblGrid>
      <w:tr>
        <w:trPr>
          <w:trHeight w:val="293" w:hRule="exact"/>
        </w:trPr>
        <w:tc>
          <w:tcPr>
            <w:tcW w:w="5276" w:type="dxa"/>
            <w:tcBorders>
              <w:top w:val="single" w:sz="12" w:space="0" w:color="000000"/>
              <w:left w:val="single" w:sz="12" w:space="0" w:color="000000"/>
              <w:bottom w:val="single" w:sz="6" w:space="0" w:color="000000"/>
              <w:right w:val="single" w:sz="6" w:space="0" w:color="000000"/>
            </w:tcBorders>
          </w:tcPr>
          <w:p>
            <w:pPr>
              <w:pStyle w:val="TableParagraph"/>
              <w:spacing w:line="227" w:lineRule="exact"/>
              <w:ind w:right="11"/>
              <w:jc w:val="center"/>
              <w:rPr>
                <w:rFonts w:ascii="宋体" w:hAnsi="宋体" w:cs="宋体" w:eastAsia="宋体" w:hint="default"/>
                <w:sz w:val="18"/>
                <w:szCs w:val="18"/>
              </w:rPr>
            </w:pPr>
            <w:r>
              <w:rPr>
                <w:rFonts w:ascii="宋体" w:hAnsi="宋体" w:cs="宋体" w:eastAsia="宋体" w:hint="default"/>
                <w:b/>
                <w:bCs/>
                <w:sz w:val="18"/>
                <w:szCs w:val="18"/>
              </w:rPr>
              <w:t>非经常性损益项目</w:t>
            </w:r>
            <w:r>
              <w:rPr>
                <w:rFonts w:ascii="宋体" w:hAnsi="宋体" w:cs="宋体" w:eastAsia="宋体" w:hint="default"/>
                <w:sz w:val="18"/>
                <w:szCs w:val="18"/>
              </w:rPr>
            </w:r>
          </w:p>
        </w:tc>
        <w:tc>
          <w:tcPr>
            <w:tcW w:w="1399"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215"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2015</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年金额</w:t>
            </w:r>
            <w:r>
              <w:rPr>
                <w:rFonts w:ascii="宋体" w:hAnsi="宋体" w:cs="宋体" w:eastAsia="宋体" w:hint="default"/>
                <w:sz w:val="18"/>
                <w:szCs w:val="18"/>
              </w:rPr>
            </w:r>
          </w:p>
        </w:tc>
        <w:tc>
          <w:tcPr>
            <w:tcW w:w="1342"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189"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年金额</w:t>
            </w:r>
            <w:r>
              <w:rPr>
                <w:rFonts w:ascii="宋体" w:hAnsi="宋体" w:cs="宋体" w:eastAsia="宋体" w:hint="default"/>
                <w:sz w:val="18"/>
                <w:szCs w:val="18"/>
              </w:rPr>
            </w:r>
          </w:p>
        </w:tc>
        <w:tc>
          <w:tcPr>
            <w:tcW w:w="1402"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left="218"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2013</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年金额</w:t>
            </w:r>
            <w:r>
              <w:rPr>
                <w:rFonts w:ascii="宋体" w:hAnsi="宋体" w:cs="宋体" w:eastAsia="宋体" w:hint="default"/>
                <w:sz w:val="18"/>
                <w:szCs w:val="18"/>
              </w:rPr>
            </w:r>
          </w:p>
        </w:tc>
      </w:tr>
      <w:tr>
        <w:trPr>
          <w:trHeight w:val="286" w:hRule="exact"/>
        </w:trPr>
        <w:tc>
          <w:tcPr>
            <w:tcW w:w="5276" w:type="dxa"/>
            <w:tcBorders>
              <w:top w:val="single" w:sz="6" w:space="0" w:color="000000"/>
              <w:left w:val="single" w:sz="12" w:space="0" w:color="000000"/>
              <w:bottom w:val="single" w:sz="6" w:space="0" w:color="000000"/>
              <w:right w:val="single" w:sz="6" w:space="0" w:color="000000"/>
            </w:tcBorders>
          </w:tcPr>
          <w:p>
            <w:pPr>
              <w:pStyle w:val="TableParagraph"/>
              <w:spacing w:line="225" w:lineRule="exact"/>
              <w:ind w:left="9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Times New Roman" w:hAnsi="Times New Roman" w:cs="Times New Roman" w:eastAsia="Times New Roman" w:hint="default"/>
                <w:sz w:val="18"/>
                <w:szCs w:val="18"/>
              </w:rPr>
            </w:pPr>
            <w:r>
              <w:rPr>
                <w:rFonts w:ascii="Times New Roman"/>
                <w:spacing w:val="-1"/>
                <w:sz w:val="18"/>
              </w:rPr>
              <w:t>716,371,317.42</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Times New Roman" w:hAnsi="Times New Roman" w:cs="Times New Roman" w:eastAsia="Times New Roman" w:hint="default"/>
                <w:sz w:val="18"/>
                <w:szCs w:val="18"/>
              </w:rPr>
            </w:pPr>
            <w:r>
              <w:rPr>
                <w:rFonts w:ascii="Times New Roman"/>
                <w:spacing w:val="-1"/>
                <w:sz w:val="18"/>
              </w:rPr>
              <w:t>-2,634,927.01</w:t>
            </w:r>
          </w:p>
        </w:tc>
        <w:tc>
          <w:tcPr>
            <w:tcW w:w="14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1"/>
              <w:jc w:val="right"/>
              <w:rPr>
                <w:rFonts w:ascii="Times New Roman" w:hAnsi="Times New Roman" w:cs="Times New Roman" w:eastAsia="Times New Roman" w:hint="default"/>
                <w:sz w:val="18"/>
                <w:szCs w:val="18"/>
              </w:rPr>
            </w:pPr>
            <w:r>
              <w:rPr>
                <w:rFonts w:ascii="Times New Roman"/>
                <w:spacing w:val="-1"/>
                <w:sz w:val="18"/>
              </w:rPr>
              <w:t>-339,882,891.50</w:t>
            </w:r>
          </w:p>
        </w:tc>
      </w:tr>
      <w:tr>
        <w:trPr>
          <w:trHeight w:val="715" w:hRule="exact"/>
        </w:trPr>
        <w:tc>
          <w:tcPr>
            <w:tcW w:w="5276"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计入当期损益的政府补助，但与公司正常经营业务密切相关，符</w:t>
            </w:r>
          </w:p>
          <w:p>
            <w:pPr>
              <w:pStyle w:val="TableParagraph"/>
              <w:spacing w:line="232" w:lineRule="exact" w:before="24"/>
              <w:ind w:left="93" w:right="118"/>
              <w:jc w:val="left"/>
              <w:rPr>
                <w:rFonts w:ascii="宋体" w:hAnsi="宋体" w:cs="宋体" w:eastAsia="宋体" w:hint="default"/>
                <w:sz w:val="18"/>
                <w:szCs w:val="18"/>
              </w:rPr>
            </w:pPr>
            <w:r>
              <w:rPr>
                <w:rFonts w:ascii="宋体" w:hAnsi="宋体" w:cs="宋体" w:eastAsia="宋体" w:hint="default"/>
                <w:sz w:val="18"/>
                <w:szCs w:val="18"/>
              </w:rPr>
              <w:t>合国家政策规定、按照一定标准定额或定量持续享受的政府补助 除外</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220,786,354.82</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165,115,984.47</w:t>
            </w:r>
          </w:p>
        </w:tc>
        <w:tc>
          <w:tcPr>
            <w:tcW w:w="14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1"/>
              <w:jc w:val="right"/>
              <w:rPr>
                <w:rFonts w:ascii="Times New Roman" w:hAnsi="Times New Roman" w:cs="Times New Roman" w:eastAsia="Times New Roman" w:hint="default"/>
                <w:sz w:val="18"/>
                <w:szCs w:val="18"/>
              </w:rPr>
            </w:pPr>
            <w:r>
              <w:rPr>
                <w:rFonts w:ascii="Times New Roman"/>
                <w:spacing w:val="-1"/>
                <w:sz w:val="18"/>
              </w:rPr>
              <w:t>282,789,234.41</w:t>
            </w:r>
          </w:p>
        </w:tc>
      </w:tr>
      <w:tr>
        <w:trPr>
          <w:trHeight w:val="511" w:hRule="exact"/>
        </w:trPr>
        <w:tc>
          <w:tcPr>
            <w:tcW w:w="5276" w:type="dxa"/>
            <w:tcBorders>
              <w:top w:val="single" w:sz="6" w:space="0" w:color="000000"/>
              <w:left w:val="single" w:sz="12" w:space="0" w:color="000000"/>
              <w:bottom w:val="single" w:sz="6" w:space="0" w:color="000000"/>
              <w:right w:val="single" w:sz="6" w:space="0" w:color="000000"/>
            </w:tcBorders>
          </w:tcPr>
          <w:p>
            <w:pPr>
              <w:pStyle w:val="TableParagraph"/>
              <w:spacing w:line="236" w:lineRule="exact" w:before="5"/>
              <w:ind w:left="93" w:right="118"/>
              <w:jc w:val="left"/>
              <w:rPr>
                <w:rFonts w:ascii="宋体" w:hAnsi="宋体" w:cs="宋体" w:eastAsia="宋体" w:hint="default"/>
                <w:sz w:val="18"/>
                <w:szCs w:val="18"/>
              </w:rPr>
            </w:pPr>
            <w:r>
              <w:rPr>
                <w:rFonts w:ascii="宋体" w:hAnsi="宋体" w:cs="宋体" w:eastAsia="宋体" w:hint="default"/>
                <w:sz w:val="18"/>
                <w:szCs w:val="18"/>
              </w:rPr>
              <w:t>企业取得子公司、联营企业及合营企业的投资成本小于取得投资 时应享有被投资单位可辨认净资产公允价值产生的收益</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9"/>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9"/>
              <w:ind w:right="101"/>
              <w:jc w:val="right"/>
              <w:rPr>
                <w:rFonts w:ascii="Times New Roman" w:hAnsi="Times New Roman" w:cs="Times New Roman" w:eastAsia="Times New Roman" w:hint="default"/>
                <w:sz w:val="18"/>
                <w:szCs w:val="18"/>
              </w:rPr>
            </w:pPr>
            <w:r>
              <w:rPr>
                <w:rFonts w:ascii="Times New Roman"/>
                <w:spacing w:val="-1"/>
                <w:sz w:val="18"/>
              </w:rPr>
              <w:t>38,613.71</w:t>
            </w:r>
          </w:p>
        </w:tc>
        <w:tc>
          <w:tcPr>
            <w:tcW w:w="1402" w:type="dxa"/>
            <w:tcBorders>
              <w:top w:val="single" w:sz="6" w:space="0" w:color="000000"/>
              <w:left w:val="single" w:sz="6" w:space="0" w:color="000000"/>
              <w:bottom w:val="single" w:sz="6" w:space="0" w:color="000000"/>
              <w:right w:val="single" w:sz="12" w:space="0" w:color="000000"/>
            </w:tcBorders>
          </w:tcPr>
          <w:p>
            <w:pPr/>
          </w:p>
        </w:tc>
      </w:tr>
      <w:tr>
        <w:trPr>
          <w:trHeight w:val="284" w:hRule="exact"/>
        </w:trPr>
        <w:tc>
          <w:tcPr>
            <w:tcW w:w="5276" w:type="dxa"/>
            <w:tcBorders>
              <w:top w:val="single" w:sz="6" w:space="0" w:color="000000"/>
              <w:left w:val="single" w:sz="12" w:space="0" w:color="000000"/>
              <w:bottom w:val="single" w:sz="6" w:space="0" w:color="000000"/>
              <w:right w:val="single" w:sz="6" w:space="0" w:color="000000"/>
            </w:tcBorders>
          </w:tcPr>
          <w:p>
            <w:pPr>
              <w:pStyle w:val="TableParagraph"/>
              <w:spacing w:line="225" w:lineRule="exact"/>
              <w:ind w:left="93"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6"/>
              <w:ind w:right="93"/>
              <w:jc w:val="right"/>
              <w:rPr>
                <w:rFonts w:ascii="Times New Roman" w:hAnsi="Times New Roman" w:cs="Times New Roman" w:eastAsia="Times New Roman" w:hint="default"/>
                <w:sz w:val="18"/>
                <w:szCs w:val="18"/>
              </w:rPr>
            </w:pPr>
            <w:r>
              <w:rPr>
                <w:rFonts w:ascii="Times New Roman"/>
                <w:spacing w:val="-1"/>
                <w:sz w:val="18"/>
              </w:rPr>
              <w:t>-51,020,315.67</w:t>
            </w:r>
          </w:p>
        </w:tc>
      </w:tr>
      <w:tr>
        <w:trPr>
          <w:trHeight w:val="286" w:hRule="exact"/>
        </w:trPr>
        <w:tc>
          <w:tcPr>
            <w:tcW w:w="5276" w:type="dxa"/>
            <w:tcBorders>
              <w:top w:val="single" w:sz="6" w:space="0" w:color="000000"/>
              <w:left w:val="single" w:sz="12" w:space="0" w:color="000000"/>
              <w:bottom w:val="single" w:sz="6" w:space="0" w:color="000000"/>
              <w:right w:val="single" w:sz="6" w:space="0" w:color="000000"/>
            </w:tcBorders>
          </w:tcPr>
          <w:p>
            <w:pPr>
              <w:pStyle w:val="TableParagraph"/>
              <w:spacing w:line="225" w:lineRule="exact"/>
              <w:ind w:left="93" w:right="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同一控制下企业合并产生的子公司期初至合并日的当期净损益</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4"/>
              <w:jc w:val="right"/>
              <w:rPr>
                <w:rFonts w:ascii="Times New Roman" w:hAnsi="Times New Roman" w:cs="Times New Roman" w:eastAsia="Times New Roman" w:hint="default"/>
                <w:sz w:val="18"/>
                <w:szCs w:val="18"/>
              </w:rPr>
            </w:pPr>
            <w:r>
              <w:rPr>
                <w:rFonts w:ascii="Times New Roman"/>
                <w:spacing w:val="-1"/>
                <w:sz w:val="18"/>
              </w:rPr>
              <w:t>45,260,602.60</w:t>
            </w:r>
          </w:p>
        </w:tc>
      </w:tr>
      <w:tr>
        <w:trPr>
          <w:trHeight w:val="950" w:hRule="exact"/>
        </w:trPr>
        <w:tc>
          <w:tcPr>
            <w:tcW w:w="5276"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除同公司正常经营业务相关的有效套期保值业务外，持有交易性</w:t>
            </w:r>
          </w:p>
          <w:p>
            <w:pPr>
              <w:pStyle w:val="TableParagraph"/>
              <w:spacing w:line="232" w:lineRule="exact" w:before="24"/>
              <w:ind w:left="93" w:right="118"/>
              <w:jc w:val="both"/>
              <w:rPr>
                <w:rFonts w:ascii="宋体" w:hAnsi="宋体" w:cs="宋体" w:eastAsia="宋体" w:hint="default"/>
                <w:sz w:val="18"/>
                <w:szCs w:val="18"/>
              </w:rPr>
            </w:pPr>
            <w:r>
              <w:rPr>
                <w:rFonts w:ascii="宋体" w:hAnsi="宋体" w:cs="宋体" w:eastAsia="宋体" w:hint="default"/>
                <w:sz w:val="18"/>
                <w:szCs w:val="18"/>
              </w:rPr>
              <w:t>金融资产、交易性金融负债产生的公允价值变动损益，以及处置 交易性金融资产、交易性金融负债和可供出售金融资产取得的投 资收益</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8"/>
              <w:jc w:val="right"/>
              <w:rPr>
                <w:rFonts w:ascii="Times New Roman" w:hAnsi="Times New Roman" w:cs="Times New Roman" w:eastAsia="Times New Roman" w:hint="default"/>
                <w:sz w:val="18"/>
                <w:szCs w:val="18"/>
              </w:rPr>
            </w:pPr>
            <w:r>
              <w:rPr>
                <w:rFonts w:ascii="Times New Roman"/>
                <w:spacing w:val="-1"/>
                <w:sz w:val="18"/>
              </w:rPr>
              <w:t>357,112,591.30</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9"/>
              <w:jc w:val="right"/>
              <w:rPr>
                <w:rFonts w:ascii="Times New Roman" w:hAnsi="Times New Roman" w:cs="Times New Roman" w:eastAsia="Times New Roman" w:hint="default"/>
                <w:sz w:val="18"/>
                <w:szCs w:val="18"/>
              </w:rPr>
            </w:pPr>
            <w:r>
              <w:rPr>
                <w:rFonts w:ascii="Times New Roman"/>
                <w:spacing w:val="-1"/>
                <w:sz w:val="18"/>
              </w:rPr>
              <w:t>140,723,810.36</w:t>
            </w:r>
          </w:p>
        </w:tc>
        <w:tc>
          <w:tcPr>
            <w:tcW w:w="14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1"/>
              <w:jc w:val="right"/>
              <w:rPr>
                <w:rFonts w:ascii="Times New Roman" w:hAnsi="Times New Roman" w:cs="Times New Roman" w:eastAsia="Times New Roman" w:hint="default"/>
                <w:sz w:val="18"/>
                <w:szCs w:val="18"/>
              </w:rPr>
            </w:pPr>
            <w:r>
              <w:rPr>
                <w:rFonts w:ascii="Times New Roman"/>
                <w:spacing w:val="-1"/>
                <w:sz w:val="18"/>
              </w:rPr>
              <w:t>911,651,051.38</w:t>
            </w:r>
          </w:p>
        </w:tc>
      </w:tr>
      <w:tr>
        <w:trPr>
          <w:trHeight w:val="480" w:hRule="exact"/>
        </w:trPr>
        <w:tc>
          <w:tcPr>
            <w:tcW w:w="5276" w:type="dxa"/>
            <w:tcBorders>
              <w:top w:val="single" w:sz="6" w:space="0" w:color="000000"/>
              <w:left w:val="single" w:sz="12" w:space="0" w:color="000000"/>
              <w:bottom w:val="single" w:sz="6" w:space="0" w:color="000000"/>
              <w:right w:val="single" w:sz="6" w:space="0" w:color="000000"/>
            </w:tcBorders>
          </w:tcPr>
          <w:p>
            <w:pPr>
              <w:pStyle w:val="TableParagraph"/>
              <w:spacing w:line="204" w:lineRule="exact"/>
              <w:ind w:left="93" w:right="0"/>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采用公允价值模式进行后续计量的投资性房地产公允价值变动产</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生的损益</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right="98"/>
              <w:jc w:val="right"/>
              <w:rPr>
                <w:rFonts w:ascii="Times New Roman" w:hAnsi="Times New Roman" w:cs="Times New Roman" w:eastAsia="Times New Roman" w:hint="default"/>
                <w:sz w:val="18"/>
                <w:szCs w:val="18"/>
              </w:rPr>
            </w:pPr>
            <w:r>
              <w:rPr>
                <w:rFonts w:ascii="Times New Roman"/>
                <w:spacing w:val="-1"/>
                <w:sz w:val="18"/>
              </w:rPr>
              <w:t>-1,794,889.76</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right="99"/>
              <w:jc w:val="right"/>
              <w:rPr>
                <w:rFonts w:ascii="Times New Roman" w:hAnsi="Times New Roman" w:cs="Times New Roman" w:eastAsia="Times New Roman" w:hint="default"/>
                <w:sz w:val="18"/>
                <w:szCs w:val="18"/>
              </w:rPr>
            </w:pPr>
            <w:r>
              <w:rPr>
                <w:rFonts w:ascii="Times New Roman"/>
                <w:spacing w:val="-1"/>
                <w:sz w:val="18"/>
              </w:rPr>
              <w:t>166,886.78</w:t>
            </w:r>
          </w:p>
        </w:tc>
        <w:tc>
          <w:tcPr>
            <w:tcW w:w="1402" w:type="dxa"/>
            <w:tcBorders>
              <w:top w:val="single" w:sz="6" w:space="0" w:color="000000"/>
              <w:left w:val="single" w:sz="6" w:space="0" w:color="000000"/>
              <w:bottom w:val="single" w:sz="6" w:space="0" w:color="000000"/>
              <w:right w:val="single" w:sz="12" w:space="0" w:color="000000"/>
            </w:tcBorders>
          </w:tcPr>
          <w:p>
            <w:pPr/>
          </w:p>
        </w:tc>
      </w:tr>
      <w:tr>
        <w:trPr>
          <w:trHeight w:val="286" w:hRule="exact"/>
        </w:trPr>
        <w:tc>
          <w:tcPr>
            <w:tcW w:w="5276" w:type="dxa"/>
            <w:tcBorders>
              <w:top w:val="single" w:sz="6" w:space="0" w:color="000000"/>
              <w:left w:val="single" w:sz="12" w:space="0" w:color="000000"/>
              <w:bottom w:val="single" w:sz="6" w:space="0" w:color="000000"/>
              <w:right w:val="single" w:sz="6" w:space="0" w:color="000000"/>
            </w:tcBorders>
          </w:tcPr>
          <w:p>
            <w:pPr>
              <w:pStyle w:val="TableParagraph"/>
              <w:spacing w:line="225" w:lineRule="exact"/>
              <w:ind w:left="9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Times New Roman" w:hAnsi="Times New Roman" w:cs="Times New Roman" w:eastAsia="Times New Roman" w:hint="default"/>
                <w:sz w:val="18"/>
                <w:szCs w:val="18"/>
              </w:rPr>
            </w:pPr>
            <w:r>
              <w:rPr>
                <w:rFonts w:ascii="Times New Roman"/>
                <w:spacing w:val="-1"/>
                <w:sz w:val="18"/>
              </w:rPr>
              <w:t>1,511,571.82</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Times New Roman" w:hAnsi="Times New Roman" w:cs="Times New Roman" w:eastAsia="Times New Roman" w:hint="default"/>
                <w:sz w:val="18"/>
                <w:szCs w:val="18"/>
              </w:rPr>
            </w:pPr>
            <w:r>
              <w:rPr>
                <w:rFonts w:ascii="Times New Roman"/>
                <w:spacing w:val="-1"/>
                <w:sz w:val="18"/>
              </w:rPr>
              <w:t>3,127,557.86</w:t>
            </w:r>
          </w:p>
        </w:tc>
        <w:tc>
          <w:tcPr>
            <w:tcW w:w="14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3"/>
              <w:jc w:val="right"/>
              <w:rPr>
                <w:rFonts w:ascii="Times New Roman" w:hAnsi="Times New Roman" w:cs="Times New Roman" w:eastAsia="Times New Roman" w:hint="default"/>
                <w:sz w:val="18"/>
                <w:szCs w:val="18"/>
              </w:rPr>
            </w:pPr>
            <w:r>
              <w:rPr>
                <w:rFonts w:ascii="Times New Roman"/>
                <w:spacing w:val="-1"/>
                <w:sz w:val="18"/>
              </w:rPr>
              <w:t>-83,328,621.58</w:t>
            </w:r>
          </w:p>
        </w:tc>
      </w:tr>
      <w:tr>
        <w:trPr>
          <w:trHeight w:val="286" w:hRule="exact"/>
        </w:trPr>
        <w:tc>
          <w:tcPr>
            <w:tcW w:w="5276" w:type="dxa"/>
            <w:tcBorders>
              <w:top w:val="single" w:sz="6" w:space="0" w:color="000000"/>
              <w:left w:val="single" w:sz="12" w:space="0" w:color="000000"/>
              <w:bottom w:val="single" w:sz="6" w:space="0" w:color="000000"/>
              <w:right w:val="single" w:sz="6" w:space="0" w:color="000000"/>
            </w:tcBorders>
          </w:tcPr>
          <w:p>
            <w:pPr>
              <w:pStyle w:val="TableParagraph"/>
              <w:spacing w:line="225" w:lineRule="exact"/>
              <w:ind w:left="93"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98"/>
              <w:jc w:val="right"/>
              <w:rPr>
                <w:rFonts w:ascii="Times New Roman" w:hAnsi="Times New Roman" w:cs="Times New Roman" w:eastAsia="Times New Roman" w:hint="default"/>
                <w:sz w:val="18"/>
                <w:szCs w:val="18"/>
              </w:rPr>
            </w:pPr>
            <w:r>
              <w:rPr>
                <w:rFonts w:ascii="Times New Roman"/>
                <w:spacing w:val="-1"/>
                <w:sz w:val="18"/>
              </w:rPr>
              <w:t>-6,056,260.63</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101"/>
              <w:jc w:val="right"/>
              <w:rPr>
                <w:rFonts w:ascii="Times New Roman" w:hAnsi="Times New Roman" w:cs="Times New Roman" w:eastAsia="Times New Roman" w:hint="default"/>
                <w:sz w:val="18"/>
                <w:szCs w:val="18"/>
              </w:rPr>
            </w:pPr>
            <w:r>
              <w:rPr>
                <w:rFonts w:ascii="Times New Roman"/>
                <w:spacing w:val="-1"/>
                <w:sz w:val="18"/>
              </w:rPr>
              <w:t>-51,851,023.26</w:t>
            </w:r>
          </w:p>
        </w:tc>
        <w:tc>
          <w:tcPr>
            <w:tcW w:w="1402" w:type="dxa"/>
            <w:tcBorders>
              <w:top w:val="single" w:sz="6" w:space="0" w:color="000000"/>
              <w:left w:val="single" w:sz="6" w:space="0" w:color="000000"/>
              <w:bottom w:val="single" w:sz="6" w:space="0" w:color="000000"/>
              <w:right w:val="single" w:sz="12" w:space="0" w:color="000000"/>
            </w:tcBorders>
          </w:tcPr>
          <w:p>
            <w:pPr/>
          </w:p>
        </w:tc>
      </w:tr>
      <w:tr>
        <w:trPr>
          <w:trHeight w:val="286" w:hRule="exact"/>
        </w:trPr>
        <w:tc>
          <w:tcPr>
            <w:tcW w:w="5276" w:type="dxa"/>
            <w:tcBorders>
              <w:top w:val="single" w:sz="6" w:space="0" w:color="000000"/>
              <w:left w:val="single" w:sz="12" w:space="0" w:color="000000"/>
              <w:bottom w:val="single" w:sz="6" w:space="0" w:color="000000"/>
              <w:right w:val="single" w:sz="6" w:space="0" w:color="000000"/>
            </w:tcBorders>
          </w:tcPr>
          <w:p>
            <w:pPr>
              <w:pStyle w:val="TableParagraph"/>
              <w:spacing w:line="225" w:lineRule="exact"/>
              <w:ind w:left="93"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99"/>
              <w:jc w:val="right"/>
              <w:rPr>
                <w:rFonts w:ascii="Times New Roman" w:hAnsi="Times New Roman" w:cs="Times New Roman" w:eastAsia="Times New Roman" w:hint="default"/>
                <w:sz w:val="18"/>
                <w:szCs w:val="18"/>
              </w:rPr>
            </w:pPr>
            <w:r>
              <w:rPr>
                <w:rFonts w:ascii="Times New Roman"/>
                <w:spacing w:val="-1"/>
                <w:sz w:val="18"/>
              </w:rPr>
              <w:t>-469,026,612.66</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101"/>
              <w:jc w:val="right"/>
              <w:rPr>
                <w:rFonts w:ascii="Times New Roman" w:hAnsi="Times New Roman" w:cs="Times New Roman" w:eastAsia="Times New Roman" w:hint="default"/>
                <w:sz w:val="18"/>
                <w:szCs w:val="18"/>
              </w:rPr>
            </w:pPr>
            <w:r>
              <w:rPr>
                <w:rFonts w:ascii="Times New Roman"/>
                <w:spacing w:val="-1"/>
                <w:sz w:val="18"/>
              </w:rPr>
              <w:t>-55,017,861.74</w:t>
            </w:r>
          </w:p>
        </w:tc>
        <w:tc>
          <w:tcPr>
            <w:tcW w:w="14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6"/>
              <w:ind w:right="93"/>
              <w:jc w:val="right"/>
              <w:rPr>
                <w:rFonts w:ascii="Times New Roman" w:hAnsi="Times New Roman" w:cs="Times New Roman" w:eastAsia="Times New Roman" w:hint="default"/>
                <w:sz w:val="18"/>
                <w:szCs w:val="18"/>
              </w:rPr>
            </w:pPr>
            <w:r>
              <w:rPr>
                <w:rFonts w:ascii="Times New Roman"/>
                <w:spacing w:val="-1"/>
                <w:sz w:val="18"/>
              </w:rPr>
              <w:t>-99,874,237.54</w:t>
            </w:r>
          </w:p>
        </w:tc>
      </w:tr>
      <w:tr>
        <w:trPr>
          <w:trHeight w:val="283" w:hRule="exact"/>
        </w:trPr>
        <w:tc>
          <w:tcPr>
            <w:tcW w:w="5276" w:type="dxa"/>
            <w:tcBorders>
              <w:top w:val="single" w:sz="6" w:space="0" w:color="000000"/>
              <w:left w:val="single" w:sz="12" w:space="0" w:color="000000"/>
              <w:bottom w:val="single" w:sz="6" w:space="0" w:color="000000"/>
              <w:right w:val="single" w:sz="6" w:space="0" w:color="000000"/>
            </w:tcBorders>
          </w:tcPr>
          <w:p>
            <w:pPr>
              <w:pStyle w:val="TableParagraph"/>
              <w:spacing w:line="222" w:lineRule="exact"/>
              <w:ind w:left="93"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99"/>
              <w:jc w:val="right"/>
              <w:rPr>
                <w:rFonts w:ascii="Times New Roman" w:hAnsi="Times New Roman" w:cs="Times New Roman" w:eastAsia="Times New Roman" w:hint="default"/>
                <w:sz w:val="18"/>
                <w:szCs w:val="18"/>
              </w:rPr>
            </w:pPr>
            <w:r>
              <w:rPr>
                <w:rFonts w:ascii="Times New Roman"/>
                <w:spacing w:val="-1"/>
                <w:sz w:val="18"/>
              </w:rPr>
              <w:t>-103,411,507.43</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101"/>
              <w:jc w:val="right"/>
              <w:rPr>
                <w:rFonts w:ascii="Times New Roman" w:hAnsi="Times New Roman" w:cs="Times New Roman" w:eastAsia="Times New Roman" w:hint="default"/>
                <w:sz w:val="18"/>
                <w:szCs w:val="18"/>
              </w:rPr>
            </w:pPr>
            <w:r>
              <w:rPr>
                <w:rFonts w:ascii="Times New Roman"/>
                <w:spacing w:val="-1"/>
                <w:sz w:val="18"/>
              </w:rPr>
              <w:t>-58,319,864.20</w:t>
            </w:r>
          </w:p>
        </w:tc>
        <w:tc>
          <w:tcPr>
            <w:tcW w:w="14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6"/>
              <w:ind w:right="91"/>
              <w:jc w:val="right"/>
              <w:rPr>
                <w:rFonts w:ascii="Times New Roman" w:hAnsi="Times New Roman" w:cs="Times New Roman" w:eastAsia="Times New Roman" w:hint="default"/>
                <w:sz w:val="18"/>
                <w:szCs w:val="18"/>
              </w:rPr>
            </w:pPr>
            <w:r>
              <w:rPr>
                <w:rFonts w:ascii="Times New Roman"/>
                <w:spacing w:val="-1"/>
                <w:sz w:val="18"/>
              </w:rPr>
              <w:t>-151,496,265.06</w:t>
            </w:r>
          </w:p>
        </w:tc>
      </w:tr>
      <w:tr>
        <w:trPr>
          <w:trHeight w:val="293" w:hRule="exact"/>
        </w:trPr>
        <w:tc>
          <w:tcPr>
            <w:tcW w:w="5276" w:type="dxa"/>
            <w:tcBorders>
              <w:top w:val="single" w:sz="6" w:space="0" w:color="000000"/>
              <w:left w:val="single" w:sz="12" w:space="0" w:color="000000"/>
              <w:bottom w:val="single" w:sz="12" w:space="0" w:color="000000"/>
              <w:right w:val="single" w:sz="6" w:space="0" w:color="000000"/>
            </w:tcBorders>
          </w:tcPr>
          <w:p>
            <w:pPr>
              <w:pStyle w:val="TableParagraph"/>
              <w:spacing w:line="225" w:lineRule="exact"/>
              <w:ind w:right="6"/>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9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3"/>
              <w:ind w:right="98"/>
              <w:jc w:val="right"/>
              <w:rPr>
                <w:rFonts w:ascii="Times New Roman" w:hAnsi="Times New Roman" w:cs="Times New Roman" w:eastAsia="Times New Roman" w:hint="default"/>
                <w:sz w:val="18"/>
                <w:szCs w:val="18"/>
              </w:rPr>
            </w:pPr>
            <w:r>
              <w:rPr>
                <w:rFonts w:ascii="Times New Roman"/>
                <w:b/>
                <w:spacing w:val="-1"/>
                <w:sz w:val="18"/>
              </w:rPr>
              <w:t>715,492,564.88</w:t>
            </w:r>
            <w:r>
              <w:rPr>
                <w:rFonts w:ascii="Times New Roman"/>
                <w:spacing w:val="-1"/>
                <w:sz w:val="18"/>
              </w:rPr>
            </w:r>
          </w:p>
        </w:tc>
        <w:tc>
          <w:tcPr>
            <w:tcW w:w="13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3"/>
              <w:ind w:right="99"/>
              <w:jc w:val="right"/>
              <w:rPr>
                <w:rFonts w:ascii="Times New Roman" w:hAnsi="Times New Roman" w:cs="Times New Roman" w:eastAsia="Times New Roman" w:hint="default"/>
                <w:sz w:val="18"/>
                <w:szCs w:val="18"/>
              </w:rPr>
            </w:pPr>
            <w:r>
              <w:rPr>
                <w:rFonts w:ascii="Times New Roman"/>
                <w:b/>
                <w:spacing w:val="-1"/>
                <w:sz w:val="18"/>
              </w:rPr>
              <w:t>141,349,176.97</w:t>
            </w:r>
            <w:r>
              <w:rPr>
                <w:rFonts w:ascii="Times New Roman"/>
                <w:spacing w:val="-1"/>
                <w:sz w:val="18"/>
              </w:rPr>
            </w:r>
          </w:p>
        </w:tc>
        <w:tc>
          <w:tcPr>
            <w:tcW w:w="140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3"/>
              <w:ind w:right="91"/>
              <w:jc w:val="right"/>
              <w:rPr>
                <w:rFonts w:ascii="Times New Roman" w:hAnsi="Times New Roman" w:cs="Times New Roman" w:eastAsia="Times New Roman" w:hint="default"/>
                <w:sz w:val="18"/>
                <w:szCs w:val="18"/>
              </w:rPr>
            </w:pPr>
            <w:r>
              <w:rPr>
                <w:rFonts w:ascii="Times New Roman"/>
                <w:b/>
                <w:spacing w:val="-1"/>
                <w:sz w:val="18"/>
              </w:rPr>
              <w:t>514,098,557.04</w:t>
            </w:r>
            <w:r>
              <w:rPr>
                <w:rFonts w:ascii="Times New Roman"/>
                <w:spacing w:val="-1"/>
                <w:sz w:val="18"/>
              </w:rPr>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pStyle w:val="Heading2"/>
        <w:spacing w:line="240" w:lineRule="auto" w:before="14"/>
        <w:ind w:right="110"/>
        <w:jc w:val="left"/>
      </w:pPr>
      <w:r>
        <w:rPr/>
        <w:t>十一、采取公允价值计量的项目</w:t>
      </w:r>
    </w:p>
    <w:p>
      <w:pPr>
        <w:spacing w:line="240" w:lineRule="auto" w:before="7"/>
        <w:rPr>
          <w:rFonts w:ascii="黑体" w:hAnsi="黑体" w:cs="黑体" w:eastAsia="黑体" w:hint="default"/>
          <w:sz w:val="23"/>
          <w:szCs w:val="23"/>
        </w:rPr>
      </w:pPr>
    </w:p>
    <w:p>
      <w:pPr>
        <w:spacing w:before="36"/>
        <w:ind w:left="0" w:right="239"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2429"/>
        <w:gridCol w:w="1616"/>
        <w:gridCol w:w="1616"/>
        <w:gridCol w:w="1534"/>
        <w:gridCol w:w="2225"/>
      </w:tblGrid>
      <w:tr>
        <w:trPr>
          <w:trHeight w:val="281" w:hRule="exact"/>
        </w:trPr>
        <w:tc>
          <w:tcPr>
            <w:tcW w:w="2429" w:type="dxa"/>
            <w:tcBorders>
              <w:top w:val="single" w:sz="12" w:space="0" w:color="000000"/>
              <w:left w:val="single" w:sz="12" w:space="0" w:color="000000"/>
              <w:bottom w:val="single" w:sz="6" w:space="0" w:color="000000"/>
              <w:right w:val="single" w:sz="6" w:space="0" w:color="000000"/>
            </w:tcBorders>
          </w:tcPr>
          <w:p>
            <w:pPr>
              <w:pStyle w:val="TableParagraph"/>
              <w:spacing w:line="230" w:lineRule="exact"/>
              <w:ind w:left="796" w:right="0"/>
              <w:jc w:val="left"/>
              <w:rPr>
                <w:rFonts w:ascii="宋体" w:hAnsi="宋体" w:cs="宋体" w:eastAsia="宋体" w:hint="default"/>
                <w:sz w:val="20"/>
                <w:szCs w:val="20"/>
              </w:rPr>
            </w:pPr>
            <w:r>
              <w:rPr>
                <w:rFonts w:ascii="宋体" w:hAnsi="宋体" w:cs="宋体" w:eastAsia="宋体" w:hint="default"/>
                <w:b/>
                <w:bCs/>
                <w:sz w:val="20"/>
                <w:szCs w:val="20"/>
              </w:rPr>
              <w:t>项目名称</w:t>
            </w:r>
            <w:r>
              <w:rPr>
                <w:rFonts w:ascii="宋体" w:hAnsi="宋体" w:cs="宋体" w:eastAsia="宋体" w:hint="default"/>
                <w:sz w:val="20"/>
                <w:szCs w:val="20"/>
              </w:rPr>
            </w:r>
          </w:p>
        </w:tc>
        <w:tc>
          <w:tcPr>
            <w:tcW w:w="1616" w:type="dxa"/>
            <w:tcBorders>
              <w:top w:val="single" w:sz="12" w:space="0" w:color="000000"/>
              <w:left w:val="single" w:sz="6" w:space="0" w:color="000000"/>
              <w:bottom w:val="single" w:sz="6" w:space="0" w:color="000000"/>
              <w:right w:val="single" w:sz="6" w:space="0" w:color="000000"/>
            </w:tcBorders>
          </w:tcPr>
          <w:p>
            <w:pPr>
              <w:pStyle w:val="TableParagraph"/>
              <w:spacing w:line="230" w:lineRule="exact"/>
              <w:ind w:left="399" w:right="0"/>
              <w:jc w:val="left"/>
              <w:rPr>
                <w:rFonts w:ascii="宋体" w:hAnsi="宋体" w:cs="宋体" w:eastAsia="宋体" w:hint="default"/>
                <w:sz w:val="20"/>
                <w:szCs w:val="20"/>
              </w:rPr>
            </w:pPr>
            <w:r>
              <w:rPr>
                <w:rFonts w:ascii="宋体" w:hAnsi="宋体" w:cs="宋体" w:eastAsia="宋体" w:hint="default"/>
                <w:b/>
                <w:bCs/>
                <w:sz w:val="20"/>
                <w:szCs w:val="20"/>
              </w:rPr>
              <w:t>期初余额</w:t>
            </w:r>
            <w:r>
              <w:rPr>
                <w:rFonts w:ascii="宋体" w:hAnsi="宋体" w:cs="宋体" w:eastAsia="宋体" w:hint="default"/>
                <w:sz w:val="20"/>
                <w:szCs w:val="20"/>
              </w:rPr>
            </w:r>
          </w:p>
        </w:tc>
        <w:tc>
          <w:tcPr>
            <w:tcW w:w="1616" w:type="dxa"/>
            <w:tcBorders>
              <w:top w:val="single" w:sz="12" w:space="0" w:color="000000"/>
              <w:left w:val="single" w:sz="6" w:space="0" w:color="000000"/>
              <w:bottom w:val="single" w:sz="6" w:space="0" w:color="000000"/>
              <w:right w:val="single" w:sz="6" w:space="0" w:color="000000"/>
            </w:tcBorders>
          </w:tcPr>
          <w:p>
            <w:pPr>
              <w:pStyle w:val="TableParagraph"/>
              <w:spacing w:line="230" w:lineRule="exact"/>
              <w:ind w:left="398" w:right="0"/>
              <w:jc w:val="left"/>
              <w:rPr>
                <w:rFonts w:ascii="宋体" w:hAnsi="宋体" w:cs="宋体" w:eastAsia="宋体" w:hint="default"/>
                <w:sz w:val="20"/>
                <w:szCs w:val="20"/>
              </w:rPr>
            </w:pPr>
            <w:r>
              <w:rPr>
                <w:rFonts w:ascii="宋体" w:hAnsi="宋体" w:cs="宋体" w:eastAsia="宋体" w:hint="default"/>
                <w:b/>
                <w:bCs/>
                <w:sz w:val="20"/>
                <w:szCs w:val="20"/>
              </w:rPr>
              <w:t>期末余额</w:t>
            </w:r>
            <w:r>
              <w:rPr>
                <w:rFonts w:ascii="宋体" w:hAnsi="宋体" w:cs="宋体" w:eastAsia="宋体" w:hint="default"/>
                <w:sz w:val="20"/>
                <w:szCs w:val="20"/>
              </w:rPr>
            </w:r>
          </w:p>
        </w:tc>
        <w:tc>
          <w:tcPr>
            <w:tcW w:w="1534" w:type="dxa"/>
            <w:tcBorders>
              <w:top w:val="single" w:sz="12" w:space="0" w:color="000000"/>
              <w:left w:val="single" w:sz="6" w:space="0" w:color="000000"/>
              <w:bottom w:val="single" w:sz="6" w:space="0" w:color="000000"/>
              <w:right w:val="single" w:sz="6" w:space="0" w:color="000000"/>
            </w:tcBorders>
          </w:tcPr>
          <w:p>
            <w:pPr>
              <w:pStyle w:val="TableParagraph"/>
              <w:spacing w:line="230" w:lineRule="exact"/>
              <w:ind w:left="357" w:right="0"/>
              <w:jc w:val="left"/>
              <w:rPr>
                <w:rFonts w:ascii="宋体" w:hAnsi="宋体" w:cs="宋体" w:eastAsia="宋体" w:hint="default"/>
                <w:sz w:val="20"/>
                <w:szCs w:val="20"/>
              </w:rPr>
            </w:pPr>
            <w:r>
              <w:rPr>
                <w:rFonts w:ascii="宋体" w:hAnsi="宋体" w:cs="宋体" w:eastAsia="宋体" w:hint="default"/>
                <w:b/>
                <w:bCs/>
                <w:sz w:val="20"/>
                <w:szCs w:val="20"/>
              </w:rPr>
              <w:t>当期变动</w:t>
            </w:r>
            <w:r>
              <w:rPr>
                <w:rFonts w:ascii="宋体" w:hAnsi="宋体" w:cs="宋体" w:eastAsia="宋体" w:hint="default"/>
                <w:sz w:val="20"/>
                <w:szCs w:val="20"/>
              </w:rPr>
            </w:r>
          </w:p>
        </w:tc>
        <w:tc>
          <w:tcPr>
            <w:tcW w:w="2225" w:type="dxa"/>
            <w:tcBorders>
              <w:top w:val="single" w:sz="12" w:space="0" w:color="000000"/>
              <w:left w:val="single" w:sz="6" w:space="0" w:color="000000"/>
              <w:bottom w:val="single" w:sz="6" w:space="0" w:color="000000"/>
              <w:right w:val="single" w:sz="12" w:space="0" w:color="000000"/>
            </w:tcBorders>
          </w:tcPr>
          <w:p>
            <w:pPr>
              <w:pStyle w:val="TableParagraph"/>
              <w:spacing w:line="230" w:lineRule="exact"/>
              <w:ind w:right="93"/>
              <w:jc w:val="right"/>
              <w:rPr>
                <w:rFonts w:ascii="宋体" w:hAnsi="宋体" w:cs="宋体" w:eastAsia="宋体" w:hint="default"/>
                <w:sz w:val="20"/>
                <w:szCs w:val="20"/>
              </w:rPr>
            </w:pPr>
            <w:r>
              <w:rPr>
                <w:rFonts w:ascii="宋体" w:hAnsi="宋体" w:cs="宋体" w:eastAsia="宋体" w:hint="default"/>
                <w:b/>
                <w:bCs/>
                <w:w w:val="95"/>
                <w:sz w:val="20"/>
                <w:szCs w:val="20"/>
              </w:rPr>
              <w:t>对当期利润的影响金额</w:t>
            </w:r>
            <w:r>
              <w:rPr>
                <w:rFonts w:ascii="宋体" w:hAnsi="宋体" w:cs="宋体" w:eastAsia="宋体" w:hint="default"/>
                <w:sz w:val="20"/>
                <w:szCs w:val="20"/>
              </w:rPr>
            </w:r>
          </w:p>
        </w:tc>
      </w:tr>
      <w:tr>
        <w:trPr>
          <w:trHeight w:val="535" w:hRule="exact"/>
        </w:trPr>
        <w:tc>
          <w:tcPr>
            <w:tcW w:w="2429"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20"/>
                <w:szCs w:val="20"/>
              </w:rPr>
            </w:pPr>
            <w:r>
              <w:rPr>
                <w:rFonts w:ascii="宋体" w:hAnsi="宋体" w:cs="宋体" w:eastAsia="宋体" w:hint="default"/>
                <w:sz w:val="20"/>
                <w:szCs w:val="20"/>
              </w:rPr>
              <w:t>以公允价值计量且其变动</w:t>
            </w:r>
          </w:p>
          <w:p>
            <w:pPr>
              <w:pStyle w:val="TableParagraph"/>
              <w:spacing w:line="260" w:lineRule="exact"/>
              <w:ind w:left="93" w:right="0"/>
              <w:jc w:val="left"/>
              <w:rPr>
                <w:rFonts w:ascii="宋体" w:hAnsi="宋体" w:cs="宋体" w:eastAsia="宋体" w:hint="default"/>
                <w:sz w:val="20"/>
                <w:szCs w:val="20"/>
              </w:rPr>
            </w:pPr>
            <w:r>
              <w:rPr>
                <w:rFonts w:ascii="宋体" w:hAnsi="宋体" w:cs="宋体" w:eastAsia="宋体" w:hint="default"/>
                <w:sz w:val="20"/>
                <w:szCs w:val="20"/>
              </w:rPr>
              <w:t>计入当期损益的金融资产</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9"/>
              <w:ind w:right="99"/>
              <w:jc w:val="right"/>
              <w:rPr>
                <w:rFonts w:ascii="Times New Roman" w:hAnsi="Times New Roman" w:cs="Times New Roman" w:eastAsia="Times New Roman" w:hint="default"/>
                <w:sz w:val="20"/>
                <w:szCs w:val="20"/>
              </w:rPr>
            </w:pPr>
            <w:r>
              <w:rPr>
                <w:rFonts w:ascii="Times New Roman"/>
                <w:spacing w:val="-1"/>
                <w:sz w:val="20"/>
              </w:rPr>
              <w:t>1,491,222,598.08</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9"/>
              <w:ind w:right="100"/>
              <w:jc w:val="right"/>
              <w:rPr>
                <w:rFonts w:ascii="Times New Roman" w:hAnsi="Times New Roman" w:cs="Times New Roman" w:eastAsia="Times New Roman" w:hint="default"/>
                <w:sz w:val="20"/>
                <w:szCs w:val="20"/>
              </w:rPr>
            </w:pPr>
            <w:r>
              <w:rPr>
                <w:rFonts w:ascii="Times New Roman"/>
                <w:spacing w:val="-1"/>
                <w:sz w:val="20"/>
              </w:rPr>
              <w:t>1,233,687,014.15</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9"/>
              <w:ind w:right="99"/>
              <w:jc w:val="right"/>
              <w:rPr>
                <w:rFonts w:ascii="Times New Roman" w:hAnsi="Times New Roman" w:cs="Times New Roman" w:eastAsia="Times New Roman" w:hint="default"/>
                <w:sz w:val="20"/>
                <w:szCs w:val="20"/>
              </w:rPr>
            </w:pPr>
            <w:r>
              <w:rPr>
                <w:rFonts w:ascii="Times New Roman"/>
                <w:w w:val="95"/>
                <w:sz w:val="20"/>
              </w:rPr>
              <w:t>-257,535,583.93</w:t>
            </w:r>
            <w:r>
              <w:rPr>
                <w:rFonts w:ascii="Times New Roman"/>
                <w:sz w:val="20"/>
              </w:rPr>
            </w:r>
          </w:p>
        </w:tc>
        <w:tc>
          <w:tcPr>
            <w:tcW w:w="222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9"/>
              <w:ind w:right="94"/>
              <w:jc w:val="right"/>
              <w:rPr>
                <w:rFonts w:ascii="Times New Roman" w:hAnsi="Times New Roman" w:cs="Times New Roman" w:eastAsia="Times New Roman" w:hint="default"/>
                <w:sz w:val="20"/>
                <w:szCs w:val="20"/>
              </w:rPr>
            </w:pPr>
            <w:r>
              <w:rPr>
                <w:rFonts w:ascii="Times New Roman"/>
                <w:w w:val="95"/>
                <w:sz w:val="20"/>
              </w:rPr>
              <w:t>360,586,659.95</w:t>
            </w:r>
            <w:r>
              <w:rPr>
                <w:rFonts w:ascii="Times New Roman"/>
                <w:sz w:val="20"/>
              </w:rPr>
            </w:r>
          </w:p>
        </w:tc>
      </w:tr>
      <w:tr>
        <w:trPr>
          <w:trHeight w:val="274" w:hRule="exact"/>
        </w:trPr>
        <w:tc>
          <w:tcPr>
            <w:tcW w:w="2429"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sz w:val="20"/>
                <w:szCs w:val="20"/>
              </w:rPr>
              <w:t>可供出售金融资产</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1"/>
              <w:jc w:val="right"/>
              <w:rPr>
                <w:rFonts w:ascii="Times New Roman" w:hAnsi="Times New Roman" w:cs="Times New Roman" w:eastAsia="Times New Roman" w:hint="default"/>
                <w:sz w:val="20"/>
                <w:szCs w:val="20"/>
              </w:rPr>
            </w:pPr>
            <w:r>
              <w:rPr>
                <w:rFonts w:ascii="Times New Roman"/>
                <w:w w:val="95"/>
                <w:sz w:val="20"/>
              </w:rPr>
              <w:t>93,106,629.58</w:t>
            </w:r>
            <w:r>
              <w:rPr>
                <w:rFonts w:ascii="Times New Roman"/>
                <w:sz w:val="20"/>
              </w:rPr>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2"/>
              <w:jc w:val="right"/>
              <w:rPr>
                <w:rFonts w:ascii="Times New Roman" w:hAnsi="Times New Roman" w:cs="Times New Roman" w:eastAsia="Times New Roman" w:hint="default"/>
                <w:sz w:val="20"/>
                <w:szCs w:val="20"/>
              </w:rPr>
            </w:pPr>
            <w:r>
              <w:rPr>
                <w:rFonts w:ascii="Times New Roman"/>
                <w:w w:val="95"/>
                <w:sz w:val="20"/>
              </w:rPr>
              <w:t>76,326,004.13</w:t>
            </w:r>
            <w:r>
              <w:rPr>
                <w:rFonts w:ascii="Times New Roman"/>
                <w:sz w:val="20"/>
              </w:rPr>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2"/>
              <w:jc w:val="right"/>
              <w:rPr>
                <w:rFonts w:ascii="Times New Roman" w:hAnsi="Times New Roman" w:cs="Times New Roman" w:eastAsia="Times New Roman" w:hint="default"/>
                <w:sz w:val="20"/>
                <w:szCs w:val="20"/>
              </w:rPr>
            </w:pPr>
            <w:r>
              <w:rPr>
                <w:rFonts w:ascii="Times New Roman"/>
                <w:w w:val="95"/>
                <w:sz w:val="20"/>
              </w:rPr>
              <w:t>-16,780,625.45</w:t>
            </w:r>
            <w:r>
              <w:rPr>
                <w:rFonts w:ascii="Times New Roman"/>
                <w:sz w:val="20"/>
              </w:rPr>
            </w:r>
          </w:p>
        </w:tc>
        <w:tc>
          <w:tcPr>
            <w:tcW w:w="222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205,853.00</w:t>
            </w:r>
            <w:r>
              <w:rPr>
                <w:rFonts w:ascii="Times New Roman"/>
                <w:sz w:val="20"/>
              </w:rPr>
            </w:r>
          </w:p>
        </w:tc>
      </w:tr>
      <w:tr>
        <w:trPr>
          <w:trHeight w:val="274" w:hRule="exact"/>
        </w:trPr>
        <w:tc>
          <w:tcPr>
            <w:tcW w:w="2429"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sz w:val="20"/>
                <w:szCs w:val="20"/>
              </w:rPr>
              <w:t>投资性房地产</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1"/>
              <w:jc w:val="right"/>
              <w:rPr>
                <w:rFonts w:ascii="Times New Roman" w:hAnsi="Times New Roman" w:cs="Times New Roman" w:eastAsia="Times New Roman" w:hint="default"/>
                <w:sz w:val="20"/>
                <w:szCs w:val="20"/>
              </w:rPr>
            </w:pPr>
            <w:r>
              <w:rPr>
                <w:rFonts w:ascii="Times New Roman"/>
                <w:w w:val="95"/>
                <w:sz w:val="20"/>
              </w:rPr>
              <w:t>15,300,000.00</w:t>
            </w:r>
            <w:r>
              <w:rPr>
                <w:rFonts w:ascii="Times New Roman"/>
                <w:sz w:val="20"/>
              </w:rPr>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2"/>
              <w:jc w:val="right"/>
              <w:rPr>
                <w:rFonts w:ascii="Times New Roman" w:hAnsi="Times New Roman" w:cs="Times New Roman" w:eastAsia="Times New Roman" w:hint="default"/>
                <w:sz w:val="20"/>
                <w:szCs w:val="20"/>
              </w:rPr>
            </w:pPr>
            <w:r>
              <w:rPr>
                <w:rFonts w:ascii="Times New Roman"/>
                <w:w w:val="95"/>
                <w:sz w:val="20"/>
              </w:rPr>
              <w:t>14,700,000.00</w:t>
            </w:r>
            <w:r>
              <w:rPr>
                <w:rFonts w:ascii="Times New Roman"/>
                <w:sz w:val="20"/>
              </w:rPr>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9"/>
              <w:jc w:val="right"/>
              <w:rPr>
                <w:rFonts w:ascii="Times New Roman" w:hAnsi="Times New Roman" w:cs="Times New Roman" w:eastAsia="Times New Roman" w:hint="default"/>
                <w:sz w:val="20"/>
                <w:szCs w:val="20"/>
              </w:rPr>
            </w:pPr>
            <w:r>
              <w:rPr>
                <w:rFonts w:ascii="Times New Roman"/>
                <w:w w:val="95"/>
                <w:sz w:val="20"/>
              </w:rPr>
              <w:t>-600,000.00</w:t>
            </w:r>
            <w:r>
              <w:rPr>
                <w:rFonts w:ascii="Times New Roman"/>
                <w:sz w:val="20"/>
              </w:rPr>
            </w:r>
          </w:p>
        </w:tc>
        <w:tc>
          <w:tcPr>
            <w:tcW w:w="222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-1,794,889.76</w:t>
            </w:r>
            <w:r>
              <w:rPr>
                <w:rFonts w:ascii="Times New Roman"/>
                <w:sz w:val="20"/>
              </w:rPr>
            </w:r>
          </w:p>
        </w:tc>
      </w:tr>
      <w:tr>
        <w:trPr>
          <w:trHeight w:val="276" w:hRule="exact"/>
        </w:trPr>
        <w:tc>
          <w:tcPr>
            <w:tcW w:w="2429"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93" w:right="0"/>
              <w:jc w:val="left"/>
              <w:rPr>
                <w:rFonts w:ascii="宋体" w:hAnsi="宋体" w:cs="宋体" w:eastAsia="宋体" w:hint="default"/>
                <w:sz w:val="20"/>
                <w:szCs w:val="20"/>
              </w:rPr>
            </w:pPr>
            <w:r>
              <w:rPr>
                <w:rFonts w:ascii="宋体" w:hAnsi="宋体" w:cs="宋体" w:eastAsia="宋体" w:hint="default"/>
                <w:sz w:val="20"/>
                <w:szCs w:val="20"/>
              </w:rPr>
              <w:t>其他非流动资产</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2"/>
              <w:jc w:val="right"/>
              <w:rPr>
                <w:rFonts w:ascii="Times New Roman" w:hAnsi="Times New Roman" w:cs="Times New Roman" w:eastAsia="Times New Roman" w:hint="default"/>
                <w:sz w:val="20"/>
                <w:szCs w:val="20"/>
              </w:rPr>
            </w:pPr>
            <w:r>
              <w:rPr>
                <w:rFonts w:ascii="Times New Roman"/>
                <w:w w:val="95"/>
                <w:sz w:val="20"/>
              </w:rPr>
              <w:t>105,500,000.00</w:t>
            </w:r>
            <w:r>
              <w:rPr>
                <w:rFonts w:ascii="Times New Roman"/>
                <w:sz w:val="20"/>
              </w:rPr>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2"/>
              <w:jc w:val="right"/>
              <w:rPr>
                <w:rFonts w:ascii="Times New Roman" w:hAnsi="Times New Roman" w:cs="Times New Roman" w:eastAsia="Times New Roman" w:hint="default"/>
                <w:sz w:val="20"/>
                <w:szCs w:val="20"/>
              </w:rPr>
            </w:pPr>
            <w:r>
              <w:rPr>
                <w:rFonts w:ascii="Times New Roman"/>
                <w:w w:val="95"/>
                <w:sz w:val="20"/>
              </w:rPr>
              <w:t>448,197,303.66</w:t>
            </w:r>
            <w:r>
              <w:rPr>
                <w:rFonts w:ascii="Times New Roman"/>
                <w:sz w:val="20"/>
              </w:rPr>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2"/>
              <w:jc w:val="right"/>
              <w:rPr>
                <w:rFonts w:ascii="Times New Roman" w:hAnsi="Times New Roman" w:cs="Times New Roman" w:eastAsia="Times New Roman" w:hint="default"/>
                <w:sz w:val="20"/>
                <w:szCs w:val="20"/>
              </w:rPr>
            </w:pPr>
            <w:r>
              <w:rPr>
                <w:rFonts w:ascii="Times New Roman"/>
                <w:w w:val="95"/>
                <w:sz w:val="20"/>
              </w:rPr>
              <w:t>342,697,303.66</w:t>
            </w:r>
            <w:r>
              <w:rPr>
                <w:rFonts w:ascii="Times New Roman"/>
                <w:sz w:val="20"/>
              </w:rPr>
            </w:r>
          </w:p>
        </w:tc>
        <w:tc>
          <w:tcPr>
            <w:tcW w:w="222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2"/>
              <w:jc w:val="right"/>
              <w:rPr>
                <w:rFonts w:ascii="Times New Roman" w:hAnsi="Times New Roman" w:cs="Times New Roman" w:eastAsia="Times New Roman" w:hint="default"/>
                <w:sz w:val="20"/>
                <w:szCs w:val="20"/>
              </w:rPr>
            </w:pPr>
            <w:r>
              <w:rPr>
                <w:rFonts w:ascii="Times New Roman"/>
                <w:w w:val="95"/>
                <w:sz w:val="20"/>
              </w:rPr>
              <w:t>2,722,303.66</w:t>
            </w:r>
            <w:r>
              <w:rPr>
                <w:rFonts w:ascii="Times New Roman"/>
                <w:sz w:val="20"/>
              </w:rPr>
            </w:r>
          </w:p>
        </w:tc>
      </w:tr>
      <w:tr>
        <w:trPr>
          <w:trHeight w:val="274" w:hRule="exact"/>
        </w:trPr>
        <w:tc>
          <w:tcPr>
            <w:tcW w:w="2429"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sz w:val="20"/>
                <w:szCs w:val="20"/>
              </w:rPr>
              <w:t>其他非流动负债</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2"/>
              <w:jc w:val="right"/>
              <w:rPr>
                <w:rFonts w:ascii="Times New Roman" w:hAnsi="Times New Roman" w:cs="Times New Roman" w:eastAsia="Times New Roman" w:hint="default"/>
                <w:sz w:val="20"/>
                <w:szCs w:val="20"/>
              </w:rPr>
            </w:pPr>
            <w:r>
              <w:rPr>
                <w:rFonts w:ascii="Times New Roman"/>
                <w:w w:val="95"/>
                <w:sz w:val="20"/>
              </w:rPr>
              <w:t>207,510,517.19</w:t>
            </w:r>
            <w:r>
              <w:rPr>
                <w:rFonts w:ascii="Times New Roman"/>
                <w:sz w:val="20"/>
              </w:rPr>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0"/>
              <w:jc w:val="right"/>
              <w:rPr>
                <w:rFonts w:ascii="Times New Roman" w:hAnsi="Times New Roman" w:cs="Times New Roman" w:eastAsia="Times New Roman" w:hint="default"/>
                <w:sz w:val="20"/>
                <w:szCs w:val="20"/>
              </w:rPr>
            </w:pPr>
            <w:r>
              <w:rPr>
                <w:rFonts w:ascii="Times New Roman"/>
                <w:sz w:val="20"/>
              </w:rPr>
              <w:t>0.00</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Times New Roman" w:hAnsi="Times New Roman" w:cs="Times New Roman" w:eastAsia="Times New Roman" w:hint="default"/>
                <w:sz w:val="20"/>
                <w:szCs w:val="20"/>
              </w:rPr>
            </w:pPr>
            <w:r>
              <w:rPr>
                <w:rFonts w:ascii="Times New Roman"/>
                <w:w w:val="95"/>
                <w:sz w:val="20"/>
              </w:rPr>
              <w:t>-207,510,517.19</w:t>
            </w:r>
            <w:r>
              <w:rPr>
                <w:rFonts w:ascii="Times New Roman"/>
                <w:sz w:val="20"/>
              </w:rPr>
            </w:r>
          </w:p>
        </w:tc>
        <w:tc>
          <w:tcPr>
            <w:tcW w:w="222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3"/>
              <w:jc w:val="right"/>
              <w:rPr>
                <w:rFonts w:ascii="Times New Roman" w:hAnsi="Times New Roman" w:cs="Times New Roman" w:eastAsia="Times New Roman" w:hint="default"/>
                <w:sz w:val="20"/>
                <w:szCs w:val="20"/>
              </w:rPr>
            </w:pPr>
            <w:r>
              <w:rPr>
                <w:rFonts w:ascii="Times New Roman"/>
                <w:sz w:val="20"/>
              </w:rPr>
              <w:t>0.00</w:t>
            </w:r>
          </w:p>
        </w:tc>
      </w:tr>
      <w:tr>
        <w:trPr>
          <w:trHeight w:val="290" w:hRule="exact"/>
        </w:trPr>
        <w:tc>
          <w:tcPr>
            <w:tcW w:w="2429" w:type="dxa"/>
            <w:tcBorders>
              <w:top w:val="single" w:sz="6" w:space="0" w:color="000000"/>
              <w:left w:val="single" w:sz="12" w:space="0" w:color="000000"/>
              <w:bottom w:val="single" w:sz="12" w:space="0" w:color="000000"/>
              <w:right w:val="single" w:sz="6" w:space="0" w:color="000000"/>
            </w:tcBorders>
          </w:tcPr>
          <w:p>
            <w:pPr>
              <w:pStyle w:val="TableParagraph"/>
              <w:spacing w:line="237" w:lineRule="exact"/>
              <w:ind w:right="5"/>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6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9"/>
              <w:ind w:right="99"/>
              <w:jc w:val="right"/>
              <w:rPr>
                <w:rFonts w:ascii="Times New Roman" w:hAnsi="Times New Roman" w:cs="Times New Roman" w:eastAsia="Times New Roman" w:hint="default"/>
                <w:sz w:val="20"/>
                <w:szCs w:val="20"/>
              </w:rPr>
            </w:pPr>
            <w:r>
              <w:rPr>
                <w:rFonts w:ascii="Times New Roman"/>
                <w:b/>
                <w:spacing w:val="-1"/>
                <w:sz w:val="20"/>
              </w:rPr>
              <w:t>1,912,639,744.85</w:t>
            </w:r>
            <w:r>
              <w:rPr>
                <w:rFonts w:ascii="Times New Roman"/>
                <w:spacing w:val="-1"/>
                <w:sz w:val="20"/>
              </w:rPr>
            </w:r>
          </w:p>
        </w:tc>
        <w:tc>
          <w:tcPr>
            <w:tcW w:w="16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9"/>
              <w:ind w:right="100"/>
              <w:jc w:val="right"/>
              <w:rPr>
                <w:rFonts w:ascii="Times New Roman" w:hAnsi="Times New Roman" w:cs="Times New Roman" w:eastAsia="Times New Roman" w:hint="default"/>
                <w:sz w:val="20"/>
                <w:szCs w:val="20"/>
              </w:rPr>
            </w:pPr>
            <w:r>
              <w:rPr>
                <w:rFonts w:ascii="Times New Roman"/>
                <w:b/>
                <w:spacing w:val="-1"/>
                <w:sz w:val="20"/>
              </w:rPr>
              <w:t>1,772,910,321.94</w:t>
            </w:r>
            <w:r>
              <w:rPr>
                <w:rFonts w:ascii="Times New Roman"/>
                <w:spacing w:val="-1"/>
                <w:sz w:val="20"/>
              </w:rPr>
            </w:r>
          </w:p>
        </w:tc>
        <w:tc>
          <w:tcPr>
            <w:tcW w:w="15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9"/>
              <w:ind w:right="99"/>
              <w:jc w:val="right"/>
              <w:rPr>
                <w:rFonts w:ascii="Times New Roman" w:hAnsi="Times New Roman" w:cs="Times New Roman" w:eastAsia="Times New Roman" w:hint="default"/>
                <w:sz w:val="20"/>
                <w:szCs w:val="20"/>
              </w:rPr>
            </w:pPr>
            <w:r>
              <w:rPr>
                <w:rFonts w:ascii="Times New Roman"/>
                <w:b/>
                <w:w w:val="95"/>
                <w:sz w:val="20"/>
              </w:rPr>
              <w:t>-139,729,422.91</w:t>
            </w:r>
            <w:r>
              <w:rPr>
                <w:rFonts w:ascii="Times New Roman"/>
                <w:sz w:val="20"/>
              </w:rPr>
            </w:r>
          </w:p>
        </w:tc>
        <w:tc>
          <w:tcPr>
            <w:tcW w:w="222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9"/>
              <w:ind w:right="94"/>
              <w:jc w:val="right"/>
              <w:rPr>
                <w:rFonts w:ascii="Times New Roman" w:hAnsi="Times New Roman" w:cs="Times New Roman" w:eastAsia="Times New Roman" w:hint="default"/>
                <w:sz w:val="20"/>
                <w:szCs w:val="20"/>
              </w:rPr>
            </w:pPr>
            <w:r>
              <w:rPr>
                <w:rFonts w:ascii="Times New Roman"/>
                <w:b/>
                <w:w w:val="95"/>
                <w:sz w:val="20"/>
              </w:rPr>
              <w:t>361,719,926.85</w:t>
            </w:r>
            <w:r>
              <w:rPr>
                <w:rFonts w:ascii="Times New Roman"/>
                <w:sz w:val="20"/>
              </w:rPr>
            </w:r>
          </w:p>
        </w:tc>
      </w:tr>
    </w:tbl>
    <w:p>
      <w:pPr>
        <w:spacing w:after="0" w:line="240" w:lineRule="auto"/>
        <w:jc w:val="right"/>
        <w:rPr>
          <w:rFonts w:ascii="Times New Roman" w:hAnsi="Times New Roman" w:cs="Times New Roman" w:eastAsia="Times New Roman" w:hint="default"/>
          <w:sz w:val="20"/>
          <w:szCs w:val="20"/>
        </w:rPr>
        <w:sectPr>
          <w:type w:val="continuous"/>
          <w:pgSz w:w="11910" w:h="16840"/>
          <w:pgMar w:top="1020" w:bottom="280" w:left="1180" w:right="10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tabs>
          <w:tab w:pos="4728" w:val="left" w:leader="none"/>
        </w:tabs>
        <w:spacing w:line="240" w:lineRule="auto" w:before="171"/>
        <w:ind w:left="3442" w:right="0"/>
        <w:jc w:val="left"/>
        <w:rPr>
          <w:b w:val="0"/>
          <w:bCs w:val="0"/>
        </w:rPr>
      </w:pPr>
      <w:bookmarkStart w:name="_TOC_250008" w:id="3"/>
      <w:r>
        <w:rPr>
          <w:w w:val="95"/>
        </w:rPr>
        <w:t>第三章</w:t>
        <w:tab/>
      </w:r>
      <w:r>
        <w:rPr/>
        <w:t>董事会报告</w:t>
      </w:r>
      <w:bookmarkEnd w:id="3"/>
      <w:r>
        <w:rPr>
          <w:b w:val="0"/>
          <w:bCs w:val="0"/>
        </w:rPr>
      </w:r>
    </w:p>
    <w:p>
      <w:pPr>
        <w:spacing w:line="240" w:lineRule="auto" w:before="0"/>
        <w:rPr>
          <w:rFonts w:ascii="黑体" w:hAnsi="黑体" w:cs="黑体" w:eastAsia="黑体" w:hint="default"/>
          <w:b/>
          <w:bCs/>
          <w:sz w:val="32"/>
          <w:szCs w:val="32"/>
        </w:rPr>
      </w:pPr>
    </w:p>
    <w:p>
      <w:pPr>
        <w:spacing w:line="240" w:lineRule="auto" w:before="3"/>
        <w:rPr>
          <w:rFonts w:ascii="黑体" w:hAnsi="黑体" w:cs="黑体" w:eastAsia="黑体" w:hint="default"/>
          <w:b/>
          <w:bCs/>
          <w:sz w:val="38"/>
          <w:szCs w:val="38"/>
        </w:rPr>
      </w:pPr>
    </w:p>
    <w:p>
      <w:pPr>
        <w:pStyle w:val="Heading2"/>
        <w:spacing w:line="240" w:lineRule="auto"/>
        <w:ind w:left="158" w:right="0"/>
        <w:jc w:val="both"/>
      </w:pPr>
      <w:r>
        <w:rPr/>
        <w:t>一、报告期内公司所从事的主要业务、经营模式及行业情况说明</w:t>
      </w:r>
    </w:p>
    <w:p>
      <w:pPr>
        <w:spacing w:line="240" w:lineRule="auto" w:before="8"/>
        <w:rPr>
          <w:rFonts w:ascii="黑体" w:hAnsi="黑体" w:cs="黑体" w:eastAsia="黑体" w:hint="default"/>
          <w:sz w:val="28"/>
          <w:szCs w:val="28"/>
        </w:rPr>
      </w:pPr>
    </w:p>
    <w:p>
      <w:pPr>
        <w:pStyle w:val="Heading3"/>
        <w:spacing w:line="240" w:lineRule="auto"/>
        <w:ind w:left="415" w:right="0"/>
        <w:jc w:val="left"/>
        <w:rPr>
          <w:b w:val="0"/>
          <w:bCs w:val="0"/>
        </w:rPr>
      </w:pPr>
      <w:r>
        <w:rPr/>
        <w:t>（一）主要业务</w:t>
      </w:r>
      <w:r>
        <w:rPr>
          <w:b w:val="0"/>
          <w:bCs w:val="0"/>
        </w:rPr>
      </w:r>
    </w:p>
    <w:p>
      <w:pPr>
        <w:spacing w:line="240" w:lineRule="auto" w:before="10"/>
        <w:rPr>
          <w:rFonts w:ascii="宋体" w:hAnsi="宋体" w:cs="宋体" w:eastAsia="宋体" w:hint="default"/>
          <w:b/>
          <w:bCs/>
          <w:sz w:val="24"/>
          <w:szCs w:val="24"/>
        </w:rPr>
      </w:pPr>
    </w:p>
    <w:p>
      <w:pPr>
        <w:pStyle w:val="BodyText"/>
        <w:spacing w:line="228" w:lineRule="auto"/>
        <w:ind w:right="140"/>
        <w:jc w:val="both"/>
      </w:pPr>
      <w:r>
        <w:rPr/>
        <w:t>公司自设立以来，一直立足于信息技术和节能环保两大主营业务领域，确立了以科技产</w:t>
      </w:r>
      <w:r>
        <w:rPr>
          <w:spacing w:val="-50"/>
        </w:rPr>
        <w:t> </w:t>
      </w:r>
      <w:r>
        <w:rPr>
          <w:spacing w:val="-50"/>
        </w:rPr>
      </w:r>
      <w:r>
        <w:rPr>
          <w:spacing w:val="-1"/>
        </w:rPr>
        <w:t>业为核心，创新孵化平台和金融投资平台为两翼的发展战略，形成了以</w:t>
      </w:r>
      <w:r>
        <w:rPr>
          <w:rFonts w:ascii="Times New Roman" w:hAnsi="Times New Roman" w:cs="Times New Roman" w:eastAsia="Times New Roman" w:hint="default"/>
          <w:spacing w:val="-1"/>
        </w:rPr>
        <w:t>“</w:t>
      </w:r>
      <w:r>
        <w:rPr>
          <w:spacing w:val="-1"/>
        </w:rPr>
        <w:t>硬件终端</w:t>
      </w:r>
      <w:r>
        <w:rPr>
          <w:rFonts w:ascii="宋体" w:hAnsi="宋体" w:cs="宋体" w:eastAsia="宋体" w:hint="default"/>
          <w:spacing w:val="-1"/>
        </w:rPr>
        <w:t>+</w:t>
      </w:r>
      <w:r>
        <w:rPr>
          <w:spacing w:val="-1"/>
        </w:rPr>
        <w:t>内容</w:t>
      </w:r>
      <w:r>
        <w:rPr>
          <w:rFonts w:ascii="Times New Roman" w:hAnsi="Times New Roman" w:cs="Times New Roman" w:eastAsia="Times New Roman" w:hint="default"/>
          <w:spacing w:val="-1"/>
        </w:rPr>
        <w:t>”</w:t>
      </w:r>
      <w:r>
        <w:rPr>
          <w:rFonts w:ascii="Times New Roman" w:hAnsi="Times New Roman" w:cs="Times New Roman" w:eastAsia="Times New Roman" w:hint="default"/>
          <w:spacing w:val="-32"/>
        </w:rPr>
        <w:t> </w:t>
      </w:r>
      <w:r>
        <w:rPr>
          <w:spacing w:val="2"/>
        </w:rPr>
        <w:t>为核心的互联网服务与终端产业链、</w:t>
      </w:r>
      <w:r>
        <w:rPr>
          <w:rFonts w:ascii="Times New Roman" w:hAnsi="Times New Roman" w:cs="Times New Roman" w:eastAsia="Times New Roman" w:hint="default"/>
          <w:spacing w:val="2"/>
        </w:rPr>
        <w:t>“</w:t>
      </w:r>
      <w:r>
        <w:rPr>
          <w:spacing w:val="2"/>
        </w:rPr>
        <w:t>大数据</w:t>
      </w:r>
      <w:r>
        <w:rPr>
          <w:rFonts w:ascii="宋体" w:hAnsi="宋体" w:cs="宋体" w:eastAsia="宋体" w:hint="default"/>
          <w:spacing w:val="2"/>
        </w:rPr>
        <w:t>+</w:t>
      </w:r>
      <w:r>
        <w:rPr>
          <w:spacing w:val="2"/>
        </w:rPr>
        <w:t>软件</w:t>
      </w:r>
      <w:r>
        <w:rPr>
          <w:rFonts w:ascii="宋体" w:hAnsi="宋体" w:cs="宋体" w:eastAsia="宋体" w:hint="default"/>
          <w:spacing w:val="2"/>
        </w:rPr>
        <w:t>/</w:t>
      </w:r>
      <w:r>
        <w:rPr>
          <w:spacing w:val="2"/>
        </w:rPr>
        <w:t>硬件</w:t>
      </w:r>
      <w:r>
        <w:rPr>
          <w:rFonts w:ascii="宋体" w:hAnsi="宋体" w:cs="宋体" w:eastAsia="宋体" w:hint="default"/>
          <w:spacing w:val="2"/>
        </w:rPr>
        <w:t>+</w:t>
      </w:r>
      <w:r>
        <w:rPr>
          <w:spacing w:val="2"/>
        </w:rPr>
        <w:t>平台</w:t>
      </w:r>
      <w:r>
        <w:rPr>
          <w:rFonts w:ascii="宋体" w:hAnsi="宋体" w:cs="宋体" w:eastAsia="宋体" w:hint="default"/>
          <w:spacing w:val="2"/>
        </w:rPr>
        <w:t>/</w:t>
      </w:r>
      <w:r>
        <w:rPr>
          <w:spacing w:val="2"/>
        </w:rPr>
        <w:t>系统集成</w:t>
      </w:r>
      <w:r>
        <w:rPr>
          <w:rFonts w:ascii="Times New Roman" w:hAnsi="Times New Roman" w:cs="Times New Roman" w:eastAsia="Times New Roman" w:hint="default"/>
          <w:spacing w:val="2"/>
        </w:rPr>
        <w:t>”</w:t>
      </w:r>
      <w:r>
        <w:rPr>
          <w:spacing w:val="2"/>
        </w:rPr>
        <w:t>的智慧城市产</w:t>
      </w:r>
      <w:r>
        <w:rPr>
          <w:spacing w:val="-111"/>
        </w:rPr>
        <w:t> </w:t>
      </w:r>
      <w:r>
        <w:rPr>
          <w:spacing w:val="-3"/>
        </w:rPr>
        <w:t>业链、</w:t>
      </w:r>
      <w:r>
        <w:rPr>
          <w:rFonts w:ascii="Times New Roman" w:hAnsi="Times New Roman" w:cs="Times New Roman" w:eastAsia="Times New Roman" w:hint="default"/>
          <w:spacing w:val="-3"/>
        </w:rPr>
        <w:t>“</w:t>
      </w:r>
      <w:r>
        <w:rPr>
          <w:spacing w:val="-3"/>
        </w:rPr>
        <w:t>军用通信</w:t>
      </w:r>
      <w:r>
        <w:rPr>
          <w:rFonts w:ascii="宋体" w:hAnsi="宋体" w:cs="宋体" w:eastAsia="宋体" w:hint="default"/>
          <w:spacing w:val="-3"/>
        </w:rPr>
        <w:t>/</w:t>
      </w:r>
      <w:r>
        <w:rPr>
          <w:spacing w:val="-3"/>
        </w:rPr>
        <w:t>保障</w:t>
      </w:r>
      <w:r>
        <w:rPr>
          <w:rFonts w:ascii="宋体" w:hAnsi="宋体" w:cs="宋体" w:eastAsia="宋体" w:hint="default"/>
          <w:spacing w:val="-3"/>
        </w:rPr>
        <w:t>+</w:t>
      </w:r>
      <w:r>
        <w:rPr>
          <w:spacing w:val="-3"/>
        </w:rPr>
        <w:t>安全检查</w:t>
      </w:r>
      <w:r>
        <w:rPr>
          <w:rFonts w:ascii="Times New Roman" w:hAnsi="Times New Roman" w:cs="Times New Roman" w:eastAsia="Times New Roman" w:hint="default"/>
          <w:spacing w:val="-3"/>
        </w:rPr>
        <w:t>”</w:t>
      </w:r>
      <w:r>
        <w:rPr>
          <w:spacing w:val="-3"/>
        </w:rPr>
        <w:t>的公共安全产业链、</w:t>
      </w:r>
      <w:r>
        <w:rPr>
          <w:rFonts w:ascii="Times New Roman" w:hAnsi="Times New Roman" w:cs="Times New Roman" w:eastAsia="Times New Roman" w:hint="default"/>
          <w:spacing w:val="-3"/>
        </w:rPr>
        <w:t>“</w:t>
      </w:r>
      <w:r>
        <w:rPr>
          <w:spacing w:val="-3"/>
        </w:rPr>
        <w:t>建筑节能</w:t>
      </w:r>
      <w:r>
        <w:rPr>
          <w:rFonts w:ascii="宋体" w:hAnsi="宋体" w:cs="宋体" w:eastAsia="宋体" w:hint="default"/>
          <w:spacing w:val="-3"/>
        </w:rPr>
        <w:t>+</w:t>
      </w:r>
      <w:r>
        <w:rPr>
          <w:spacing w:val="-3"/>
        </w:rPr>
        <w:t>工业节能</w:t>
      </w:r>
      <w:r>
        <w:rPr>
          <w:rFonts w:ascii="宋体" w:hAnsi="宋体" w:cs="宋体" w:eastAsia="宋体" w:hint="default"/>
          <w:spacing w:val="-3"/>
        </w:rPr>
        <w:t>+</w:t>
      </w:r>
      <w:r>
        <w:rPr>
          <w:spacing w:val="-3"/>
        </w:rPr>
        <w:t>照明</w:t>
      </w:r>
      <w:r>
        <w:rPr>
          <w:rFonts w:ascii="宋体" w:hAnsi="宋体" w:cs="宋体" w:eastAsia="宋体" w:hint="default"/>
          <w:spacing w:val="-3"/>
        </w:rPr>
        <w:t>+</w:t>
      </w:r>
      <w:r>
        <w:rPr>
          <w:spacing w:val="-3"/>
        </w:rPr>
        <w:t>污水处</w:t>
      </w:r>
      <w:r>
        <w:rPr>
          <w:spacing w:val="-110"/>
        </w:rPr>
        <w:t> </w:t>
      </w:r>
      <w:r>
        <w:rPr/>
        <w:t>理</w:t>
      </w:r>
      <w:r>
        <w:rPr>
          <w:rFonts w:ascii="宋体" w:hAnsi="宋体" w:cs="宋体" w:eastAsia="宋体" w:hint="default"/>
        </w:rPr>
        <w:t>/</w:t>
      </w:r>
      <w:r>
        <w:rPr/>
        <w:t>中水回用</w:t>
      </w:r>
      <w:r>
        <w:rPr>
          <w:rFonts w:ascii="Times New Roman" w:hAnsi="Times New Roman" w:cs="Times New Roman" w:eastAsia="Times New Roman" w:hint="default"/>
        </w:rPr>
        <w:t>”</w:t>
      </w:r>
      <w:r>
        <w:rPr/>
        <w:t>全方位的节能环保产业链条。</w:t>
      </w:r>
    </w:p>
    <w:p>
      <w:pPr>
        <w:spacing w:line="240" w:lineRule="auto" w:before="9"/>
        <w:rPr>
          <w:rFonts w:ascii="宋体" w:hAnsi="宋体" w:cs="宋体" w:eastAsia="宋体" w:hint="default"/>
          <w:sz w:val="22"/>
          <w:szCs w:val="22"/>
        </w:rPr>
      </w:pPr>
    </w:p>
    <w:p>
      <w:pPr>
        <w:pStyle w:val="BodyText"/>
        <w:spacing w:line="237" w:lineRule="auto"/>
        <w:ind w:right="132"/>
        <w:jc w:val="both"/>
      </w:pPr>
      <w:r>
        <w:rPr>
          <w:spacing w:val="-7"/>
        </w:rPr>
        <w:t>截止本公告披露日，公司下属控股了同方泰德</w:t>
      </w:r>
      <w:r>
        <w:rPr>
          <w:rFonts w:ascii="宋体" w:hAnsi="宋体" w:cs="宋体" w:eastAsia="宋体" w:hint="default"/>
          <w:spacing w:val="-7"/>
        </w:rPr>
        <w:t>(</w:t>
      </w:r>
      <w:r>
        <w:rPr>
          <w:spacing w:val="-7"/>
        </w:rPr>
        <w:t>股票代码：</w:t>
      </w:r>
      <w:r>
        <w:rPr>
          <w:rFonts w:ascii="宋体" w:hAnsi="宋体" w:cs="宋体" w:eastAsia="宋体" w:hint="default"/>
          <w:spacing w:val="-7"/>
        </w:rPr>
        <w:t>HK1206)</w:t>
      </w:r>
      <w:r>
        <w:rPr>
          <w:spacing w:val="-7"/>
        </w:rPr>
        <w:t>、同方友友</w:t>
      </w:r>
      <w:r>
        <w:rPr>
          <w:rFonts w:ascii="宋体" w:hAnsi="宋体" w:cs="宋体" w:eastAsia="宋体" w:hint="default"/>
          <w:spacing w:val="-7"/>
        </w:rPr>
        <w:t>(</w:t>
      </w:r>
      <w:r>
        <w:rPr>
          <w:spacing w:val="-7"/>
        </w:rPr>
        <w:t>股票代码：</w:t>
      </w:r>
      <w:r>
        <w:rPr>
          <w:spacing w:val="-93"/>
        </w:rPr>
        <w:t> </w:t>
      </w:r>
      <w:r>
        <w:rPr>
          <w:rFonts w:ascii="宋体" w:hAnsi="宋体" w:cs="宋体" w:eastAsia="宋体" w:hint="default"/>
          <w:spacing w:val="7"/>
        </w:rPr>
        <w:t>HK1868)</w:t>
      </w:r>
      <w:r>
        <w:rPr>
          <w:spacing w:val="7"/>
        </w:rPr>
        <w:t>，以及新三板挂牌公司同方健康等上市企业，并参股了泰豪科技</w:t>
      </w:r>
      <w:r>
        <w:rPr>
          <w:rFonts w:ascii="宋体" w:hAnsi="宋体" w:cs="宋体" w:eastAsia="宋体" w:hint="default"/>
          <w:spacing w:val="7"/>
        </w:rPr>
        <w:t>(</w:t>
      </w:r>
      <w:r>
        <w:rPr>
          <w:spacing w:val="7"/>
        </w:rPr>
        <w:t>股票代码：</w:t>
      </w:r>
      <w:r>
        <w:rPr>
          <w:spacing w:val="-96"/>
        </w:rPr>
        <w:t> </w:t>
      </w:r>
      <w:r>
        <w:rPr>
          <w:rFonts w:ascii="宋体" w:hAnsi="宋体" w:cs="宋体" w:eastAsia="宋体" w:hint="default"/>
        </w:rPr>
        <w:t>600590)</w:t>
      </w:r>
      <w:r>
        <w:rPr/>
        <w:t>、华控赛格</w:t>
      </w:r>
      <w:r>
        <w:rPr>
          <w:rFonts w:ascii="宋体" w:hAnsi="宋体" w:cs="宋体" w:eastAsia="宋体" w:hint="default"/>
        </w:rPr>
        <w:t>(</w:t>
      </w:r>
      <w:r>
        <w:rPr/>
        <w:t>股票代码：</w:t>
      </w:r>
      <w:r>
        <w:rPr>
          <w:rFonts w:ascii="宋体" w:hAnsi="宋体" w:cs="宋体" w:eastAsia="宋体" w:hint="default"/>
        </w:rPr>
        <w:t>000068)</w:t>
      </w:r>
      <w:r>
        <w:rPr/>
        <w:t>、联合水泥</w:t>
      </w:r>
      <w:r>
        <w:rPr>
          <w:rFonts w:ascii="宋体" w:hAnsi="宋体" w:cs="宋体" w:eastAsia="宋体" w:hint="default"/>
        </w:rPr>
        <w:t>(</w:t>
      </w:r>
      <w:r>
        <w:rPr/>
        <w:t>股票代码：</w:t>
      </w:r>
      <w:r>
        <w:rPr>
          <w:rFonts w:ascii="宋体" w:hAnsi="宋体" w:cs="宋体" w:eastAsia="宋体" w:hint="default"/>
        </w:rPr>
        <w:t>HK1312)</w:t>
      </w:r>
      <w:r>
        <w:rPr/>
        <w:t>和已通过</w:t>
      </w:r>
      <w:r>
        <w:rPr>
          <w:spacing w:val="-78"/>
        </w:rPr>
        <w:t> </w:t>
      </w:r>
      <w:r>
        <w:rPr>
          <w:rFonts w:ascii="宋体" w:hAnsi="宋体" w:cs="宋体" w:eastAsia="宋体" w:hint="default"/>
        </w:rPr>
        <w:t>IPO</w:t>
      </w:r>
      <w:r>
        <w:rPr>
          <w:rFonts w:ascii="宋体" w:hAnsi="宋体" w:cs="宋体" w:eastAsia="宋体" w:hint="default"/>
          <w:spacing w:val="-78"/>
        </w:rPr>
        <w:t> </w:t>
      </w:r>
      <w:r>
        <w:rPr/>
        <w:t>审 核的辰安科技。此外，公司还持有同方投资、嘉融投资、重庆国信、同方全球人寿等金</w:t>
      </w:r>
      <w:r>
        <w:rPr>
          <w:spacing w:val="-52"/>
        </w:rPr>
        <w:t> </w:t>
      </w:r>
      <w:r>
        <w:rPr>
          <w:spacing w:val="-52"/>
        </w:rPr>
      </w:r>
      <w:r>
        <w:rPr/>
        <w:t>融、投资企业。</w:t>
      </w:r>
    </w:p>
    <w:p>
      <w:pPr>
        <w:spacing w:line="240" w:lineRule="auto" w:before="7"/>
        <w:rPr>
          <w:rFonts w:ascii="宋体" w:hAnsi="宋体" w:cs="宋体" w:eastAsia="宋体" w:hint="default"/>
          <w:sz w:val="26"/>
          <w:szCs w:val="26"/>
        </w:rPr>
      </w:pPr>
    </w:p>
    <w:p>
      <w:pPr>
        <w:spacing w:line="6256" w:lineRule="exact"/>
        <w:ind w:left="158" w:right="0" w:firstLine="0"/>
        <w:rPr>
          <w:rFonts w:ascii="宋体" w:hAnsi="宋体" w:cs="宋体" w:eastAsia="宋体" w:hint="default"/>
          <w:sz w:val="20"/>
          <w:szCs w:val="20"/>
        </w:rPr>
      </w:pPr>
      <w:r>
        <w:rPr>
          <w:rFonts w:ascii="宋体" w:hAnsi="宋体" w:cs="宋体" w:eastAsia="宋体" w:hint="default"/>
          <w:position w:val="-124"/>
          <w:sz w:val="20"/>
          <w:szCs w:val="20"/>
        </w:rPr>
        <w:drawing>
          <wp:inline distT="0" distB="0" distL="0" distR="0">
            <wp:extent cx="5477994" cy="3973067"/>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3" cstate="print"/>
                    <a:stretch>
                      <a:fillRect/>
                    </a:stretch>
                  </pic:blipFill>
                  <pic:spPr>
                    <a:xfrm>
                      <a:off x="0" y="0"/>
                      <a:ext cx="5477994" cy="3973067"/>
                    </a:xfrm>
                    <a:prstGeom prst="rect">
                      <a:avLst/>
                    </a:prstGeom>
                  </pic:spPr>
                </pic:pic>
              </a:graphicData>
            </a:graphic>
          </wp:inline>
        </w:drawing>
      </w:r>
      <w:r>
        <w:rPr>
          <w:rFonts w:ascii="宋体" w:hAnsi="宋体" w:cs="宋体" w:eastAsia="宋体" w:hint="default"/>
          <w:position w:val="-124"/>
          <w:sz w:val="20"/>
          <w:szCs w:val="20"/>
        </w:rPr>
      </w:r>
    </w:p>
    <w:p>
      <w:pPr>
        <w:spacing w:after="0" w:line="6256" w:lineRule="exact"/>
        <w:rPr>
          <w:rFonts w:ascii="宋体" w:hAnsi="宋体" w:cs="宋体" w:eastAsia="宋体" w:hint="default"/>
          <w:sz w:val="20"/>
          <w:szCs w:val="20"/>
        </w:rPr>
        <w:sectPr>
          <w:pgSz w:w="11910" w:h="16840"/>
          <w:pgMar w:header="628" w:footer="760" w:top="1020" w:bottom="960" w:left="1260" w:right="114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p>
      <w:pPr>
        <w:pStyle w:val="Heading3"/>
        <w:spacing w:line="240" w:lineRule="auto" w:before="26"/>
        <w:ind w:left="415" w:right="0"/>
        <w:jc w:val="left"/>
        <w:rPr>
          <w:b w:val="0"/>
          <w:bCs w:val="0"/>
        </w:rPr>
      </w:pPr>
      <w:r>
        <w:rPr/>
        <w:t>（二）经营模式</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right="138"/>
        <w:jc w:val="both"/>
      </w:pPr>
      <w:r>
        <w:rPr/>
        <w:t>公司在各产业领域采用了“本部</w:t>
      </w:r>
      <w:r>
        <w:rPr>
          <w:rFonts w:ascii="宋体" w:hAnsi="宋体" w:cs="宋体" w:eastAsia="宋体" w:hint="default"/>
        </w:rPr>
        <w:t>+</w:t>
      </w:r>
      <w:r>
        <w:rPr/>
        <w:t>核心子公司</w:t>
      </w:r>
      <w:r>
        <w:rPr>
          <w:rFonts w:ascii="宋体" w:hAnsi="宋体" w:cs="宋体" w:eastAsia="宋体" w:hint="default"/>
        </w:rPr>
        <w:t>+</w:t>
      </w:r>
      <w:r>
        <w:rPr/>
        <w:t>产业基地”的组织架构实施经营，其经营</w:t>
      </w:r>
      <w:r>
        <w:rPr>
          <w:spacing w:val="-49"/>
        </w:rPr>
        <w:t> </w:t>
      </w:r>
      <w:r>
        <w:rPr>
          <w:spacing w:val="-49"/>
        </w:rPr>
      </w:r>
      <w:r>
        <w:rPr/>
        <w:t>模式归纳分属产品类、工程类与技术服务类三大类。产品类业务采取以销定产的经营模</w:t>
      </w:r>
      <w:r>
        <w:rPr>
          <w:spacing w:val="-51"/>
        </w:rPr>
        <w:t> </w:t>
      </w:r>
      <w:r>
        <w:rPr>
          <w:spacing w:val="-51"/>
        </w:rPr>
      </w:r>
      <w:r>
        <w:rPr/>
        <w:t>式；工程类业务具有典型的承包类业务特征，公司通过总承包或分包方式承揽项目后，</w:t>
      </w:r>
      <w:r>
        <w:rPr>
          <w:spacing w:val="-51"/>
        </w:rPr>
        <w:t> </w:t>
      </w:r>
      <w:r>
        <w:rPr>
          <w:spacing w:val="-51"/>
        </w:rPr>
      </w:r>
      <w:r>
        <w:rPr/>
        <w:t>围绕自主知识产权及核心技术形成“工程</w:t>
      </w:r>
      <w:r>
        <w:rPr>
          <w:rFonts w:ascii="宋体" w:hAnsi="宋体" w:cs="宋体" w:eastAsia="宋体" w:hint="default"/>
        </w:rPr>
        <w:t>+</w:t>
      </w:r>
      <w:r>
        <w:rPr/>
        <w:t>产品</w:t>
      </w:r>
      <w:r>
        <w:rPr>
          <w:rFonts w:ascii="宋体" w:hAnsi="宋体" w:cs="宋体" w:eastAsia="宋体" w:hint="default"/>
        </w:rPr>
        <w:t>+</w:t>
      </w:r>
      <w:r>
        <w:rPr/>
        <w:t>服务”三位一体的业务模式，并为客户</w:t>
      </w:r>
      <w:r>
        <w:rPr>
          <w:spacing w:val="-49"/>
        </w:rPr>
        <w:t> </w:t>
      </w:r>
      <w:r>
        <w:rPr>
          <w:spacing w:val="-49"/>
        </w:rPr>
      </w:r>
      <w:r>
        <w:rPr/>
        <w:t>提供全面解决方案，获取产业链中的最大收益；服务类业务依托公司核心竞争优势为专</w:t>
      </w:r>
      <w:r>
        <w:rPr>
          <w:spacing w:val="-51"/>
        </w:rPr>
        <w:t> </w:t>
      </w:r>
      <w:r>
        <w:rPr>
          <w:spacing w:val="-51"/>
        </w:rPr>
      </w:r>
      <w:r>
        <w:rPr/>
        <w:t>业客户提供专业服务。公司总体上经营模式如下图所示：</w:t>
      </w:r>
    </w:p>
    <w:p>
      <w:pPr>
        <w:spacing w:line="240" w:lineRule="auto" w:before="8"/>
        <w:rPr>
          <w:rFonts w:ascii="宋体" w:hAnsi="宋体" w:cs="宋体" w:eastAsia="宋体" w:hint="default"/>
          <w:sz w:val="26"/>
          <w:szCs w:val="26"/>
        </w:rPr>
      </w:pPr>
    </w:p>
    <w:p>
      <w:pPr>
        <w:spacing w:line="6976" w:lineRule="exact"/>
        <w:ind w:left="188" w:right="0" w:firstLine="0"/>
        <w:rPr>
          <w:rFonts w:ascii="宋体" w:hAnsi="宋体" w:cs="宋体" w:eastAsia="宋体" w:hint="default"/>
          <w:sz w:val="20"/>
          <w:szCs w:val="20"/>
        </w:rPr>
      </w:pPr>
      <w:r>
        <w:rPr>
          <w:rFonts w:ascii="宋体" w:hAnsi="宋体" w:cs="宋体" w:eastAsia="宋体" w:hint="default"/>
          <w:position w:val="-139"/>
          <w:sz w:val="20"/>
          <w:szCs w:val="20"/>
        </w:rPr>
        <w:drawing>
          <wp:inline distT="0" distB="0" distL="0" distR="0">
            <wp:extent cx="5482627" cy="4430268"/>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14" cstate="print"/>
                    <a:stretch>
                      <a:fillRect/>
                    </a:stretch>
                  </pic:blipFill>
                  <pic:spPr>
                    <a:xfrm>
                      <a:off x="0" y="0"/>
                      <a:ext cx="5482627" cy="4430268"/>
                    </a:xfrm>
                    <a:prstGeom prst="rect">
                      <a:avLst/>
                    </a:prstGeom>
                  </pic:spPr>
                </pic:pic>
              </a:graphicData>
            </a:graphic>
          </wp:inline>
        </w:drawing>
      </w:r>
      <w:r>
        <w:rPr>
          <w:rFonts w:ascii="宋体" w:hAnsi="宋体" w:cs="宋体" w:eastAsia="宋体" w:hint="default"/>
          <w:position w:val="-139"/>
          <w:sz w:val="20"/>
          <w:szCs w:val="20"/>
        </w:rPr>
      </w:r>
    </w:p>
    <w:p>
      <w:pPr>
        <w:spacing w:line="240" w:lineRule="auto" w:before="4"/>
        <w:rPr>
          <w:rFonts w:ascii="宋体" w:hAnsi="宋体" w:cs="宋体" w:eastAsia="宋体" w:hint="default"/>
          <w:sz w:val="21"/>
          <w:szCs w:val="21"/>
        </w:rPr>
      </w:pPr>
    </w:p>
    <w:p>
      <w:pPr>
        <w:pStyle w:val="Heading3"/>
        <w:spacing w:line="240" w:lineRule="auto"/>
        <w:ind w:left="415" w:right="0"/>
        <w:jc w:val="left"/>
        <w:rPr>
          <w:b w:val="0"/>
          <w:bCs w:val="0"/>
        </w:rPr>
      </w:pPr>
      <w:r>
        <w:rPr/>
        <w:t>（三）行业情况</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right="141"/>
        <w:jc w:val="both"/>
      </w:pPr>
      <w:r>
        <w:rPr/>
        <w:t>公司主营业务归属于信息产业与能源环保产业，涉及互联网服务与终端、智慧城市、公</w:t>
      </w:r>
      <w:r>
        <w:rPr>
          <w:spacing w:val="-52"/>
        </w:rPr>
        <w:t> </w:t>
      </w:r>
      <w:r>
        <w:rPr>
          <w:spacing w:val="-52"/>
        </w:rPr>
      </w:r>
      <w:r>
        <w:rPr/>
        <w:t>共安全、节能环保等产业领域。按照所处行业及经营模式可分为制造业和软件与信息技</w:t>
      </w:r>
      <w:r>
        <w:rPr>
          <w:spacing w:val="-51"/>
        </w:rPr>
        <w:t> </w:t>
      </w:r>
      <w:r>
        <w:rPr>
          <w:spacing w:val="-51"/>
        </w:rPr>
      </w:r>
      <w:r>
        <w:rPr/>
        <w:t>术服务业，其中制造业又以包括硬件终端、安防系统等多个产业领域在内的电子信息制</w:t>
      </w:r>
      <w:r>
        <w:rPr>
          <w:spacing w:val="-51"/>
        </w:rPr>
        <w:t> </w:t>
      </w:r>
      <w:r>
        <w:rPr>
          <w:spacing w:val="-51"/>
        </w:rPr>
      </w:r>
      <w:r>
        <w:rPr/>
        <w:t>造业为核心。</w:t>
      </w:r>
    </w:p>
    <w:p>
      <w:pPr>
        <w:spacing w:line="240" w:lineRule="auto" w:before="12"/>
        <w:rPr>
          <w:rFonts w:ascii="宋体" w:hAnsi="宋体" w:cs="宋体" w:eastAsia="宋体" w:hint="default"/>
          <w:sz w:val="23"/>
          <w:szCs w:val="23"/>
        </w:rPr>
      </w:pPr>
    </w:p>
    <w:p>
      <w:pPr>
        <w:pStyle w:val="BodyText"/>
        <w:spacing w:line="237" w:lineRule="auto"/>
        <w:ind w:right="141"/>
        <w:jc w:val="both"/>
      </w:pPr>
      <w:r>
        <w:rPr/>
        <w:t>从公司业务所处的产业和行业发展情况来看，当前我国政府正在加快推进产业结构优化</w:t>
      </w:r>
      <w:r>
        <w:rPr>
          <w:spacing w:val="-52"/>
        </w:rPr>
        <w:t> </w:t>
      </w:r>
      <w:r>
        <w:rPr>
          <w:spacing w:val="-52"/>
        </w:rPr>
      </w:r>
      <w:r>
        <w:rPr/>
        <w:t>升级，推进先进制造业、现代服务业、战略性新兴产业在国民经济的比重中不断提高，</w:t>
      </w:r>
      <w:r>
        <w:rPr>
          <w:spacing w:val="-45"/>
        </w:rPr>
        <w:t> </w:t>
      </w:r>
      <w:r>
        <w:rPr>
          <w:spacing w:val="-45"/>
        </w:rPr>
      </w:r>
      <w:r>
        <w:rPr/>
        <w:t>大数据、云计算、物联网的应用领域不断拓展和提升，同时还在深入推进以人为核心的</w:t>
      </w:r>
      <w:r>
        <w:rPr>
          <w:spacing w:val="-53"/>
        </w:rPr>
        <w:t> </w:t>
      </w:r>
      <w:r>
        <w:rPr>
          <w:spacing w:val="-53"/>
        </w:rPr>
      </w:r>
      <w:r>
        <w:rPr/>
        <w:t>新型城镇化，推动形成绿色生产生活方式，加快改善生态环境。为此，公司所处的信息</w:t>
      </w:r>
    </w:p>
    <w:p>
      <w:pPr>
        <w:spacing w:after="0" w:line="237" w:lineRule="auto"/>
        <w:jc w:val="both"/>
        <w:sectPr>
          <w:pgSz w:w="11910" w:h="16840"/>
          <w:pgMar w:header="628" w:footer="760" w:top="1020" w:bottom="960" w:left="1260" w:right="114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p>
      <w:pPr>
        <w:pStyle w:val="BodyText"/>
        <w:spacing w:line="240" w:lineRule="auto" w:before="26"/>
        <w:ind w:right="0"/>
        <w:jc w:val="both"/>
      </w:pPr>
      <w:r>
        <w:rPr/>
        <w:t>产业和节能环保产业均处于蓬勃发展阶段。</w:t>
      </w:r>
    </w:p>
    <w:p>
      <w:pPr>
        <w:spacing w:line="240" w:lineRule="auto" w:before="9"/>
        <w:rPr>
          <w:rFonts w:ascii="宋体" w:hAnsi="宋体" w:cs="宋体" w:eastAsia="宋体" w:hint="default"/>
          <w:sz w:val="23"/>
          <w:szCs w:val="23"/>
        </w:rPr>
      </w:pPr>
    </w:p>
    <w:p>
      <w:pPr>
        <w:pStyle w:val="BodyText"/>
        <w:spacing w:line="237" w:lineRule="auto"/>
        <w:ind w:right="220"/>
        <w:jc w:val="both"/>
      </w:pPr>
      <w:r>
        <w:rPr>
          <w:spacing w:val="-7"/>
        </w:rPr>
        <w:t>公司自设立以来，一直坚持“技术</w:t>
      </w:r>
      <w:r>
        <w:rPr>
          <w:rFonts w:ascii="宋体" w:hAnsi="宋体" w:cs="宋体" w:eastAsia="宋体" w:hint="default"/>
          <w:spacing w:val="-7"/>
        </w:rPr>
        <w:t>+</w:t>
      </w:r>
      <w:r>
        <w:rPr>
          <w:spacing w:val="-7"/>
        </w:rPr>
        <w:t>资本”、“发展与合作”的发展战略，并依托清华大学</w:t>
      </w:r>
      <w:r>
        <w:rPr/>
        <w:t> 和自主研发的各项技术，形成了互联网服务与终端、数字城市、公共安全、节能环保四</w:t>
      </w:r>
      <w:r>
        <w:rPr>
          <w:spacing w:val="-51"/>
        </w:rPr>
        <w:t> </w:t>
      </w:r>
      <w:r>
        <w:rPr>
          <w:spacing w:val="-51"/>
        </w:rPr>
      </w:r>
      <w:r>
        <w:rPr/>
        <w:t>大产业链条，打造了大型集装箱检查系统全球市场份额第一、全球最大的学术期刊数据</w:t>
      </w:r>
      <w:r>
        <w:rPr>
          <w:spacing w:val="-51"/>
        </w:rPr>
        <w:t> </w:t>
      </w:r>
      <w:r>
        <w:rPr>
          <w:spacing w:val="-51"/>
        </w:rPr>
      </w:r>
      <w:r>
        <w:rPr>
          <w:spacing w:val="-4"/>
        </w:rPr>
        <w:t>库、智能楼宇工程量全国第一、计算机产品销量国内品牌前三名、</w:t>
      </w:r>
      <w:r>
        <w:rPr>
          <w:rFonts w:ascii="宋体" w:hAnsi="宋体" w:cs="宋体" w:eastAsia="宋体" w:hint="default"/>
          <w:spacing w:val="-4"/>
        </w:rPr>
        <w:t>SIM</w:t>
      </w:r>
      <w:r>
        <w:rPr>
          <w:rFonts w:ascii="宋体" w:hAnsi="宋体" w:cs="宋体" w:eastAsia="宋体" w:hint="default"/>
          <w:spacing w:val="-38"/>
        </w:rPr>
        <w:t> </w:t>
      </w:r>
      <w:r>
        <w:rPr/>
        <w:t>卡芯片出货量国内</w:t>
      </w:r>
      <w:r>
        <w:rPr>
          <w:spacing w:val="-116"/>
        </w:rPr>
        <w:t> </w:t>
      </w:r>
      <w:r>
        <w:rPr/>
        <w:t>第一等市场领先地位。公司还承接了“核高基”等一大批国家级和省市级科研项目，并</w:t>
      </w:r>
      <w:r>
        <w:rPr>
          <w:spacing w:val="-51"/>
        </w:rPr>
        <w:t> </w:t>
      </w:r>
      <w:r>
        <w:rPr>
          <w:spacing w:val="-51"/>
        </w:rPr>
      </w:r>
      <w:r>
        <w:rPr/>
        <w:t>已拥有了千余项专利技术，在多个技术领域处于国内甚至国际领先水平。根据工业和信</w:t>
      </w:r>
      <w:r>
        <w:rPr>
          <w:spacing w:val="-50"/>
        </w:rPr>
        <w:t> </w:t>
      </w:r>
      <w:r>
        <w:rPr>
          <w:spacing w:val="-50"/>
        </w:rPr>
      </w:r>
      <w:r>
        <w:rPr/>
        <w:t>息化部发布的</w:t>
      </w:r>
      <w:r>
        <w:rPr>
          <w:spacing w:val="-61"/>
        </w:rPr>
        <w:t> </w:t>
      </w:r>
      <w:r>
        <w:rPr>
          <w:rFonts w:ascii="宋体" w:hAnsi="宋体" w:cs="宋体" w:eastAsia="宋体" w:hint="default"/>
        </w:rPr>
        <w:t>2015</w:t>
      </w:r>
      <w:r>
        <w:rPr>
          <w:rFonts w:ascii="宋体" w:hAnsi="宋体" w:cs="宋体" w:eastAsia="宋体" w:hint="default"/>
          <w:spacing w:val="-61"/>
        </w:rPr>
        <w:t> </w:t>
      </w:r>
      <w:r>
        <w:rPr/>
        <w:t>年电子信息百强榜单，同方股份位列第</w:t>
      </w:r>
      <w:r>
        <w:rPr>
          <w:spacing w:val="-60"/>
        </w:rPr>
        <w:t> </w:t>
      </w:r>
      <w:r>
        <w:rPr>
          <w:rFonts w:ascii="宋体" w:hAnsi="宋体" w:cs="宋体" w:eastAsia="宋体" w:hint="default"/>
        </w:rPr>
        <w:t>20</w:t>
      </w:r>
      <w:r>
        <w:rPr>
          <w:rFonts w:ascii="宋体" w:hAnsi="宋体" w:cs="宋体" w:eastAsia="宋体" w:hint="default"/>
          <w:spacing w:val="-61"/>
        </w:rPr>
        <w:t> </w:t>
      </w:r>
      <w:r>
        <w:rPr/>
        <w:t>位。</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17"/>
          <w:szCs w:val="17"/>
        </w:rPr>
      </w:pPr>
    </w:p>
    <w:p>
      <w:pPr>
        <w:pStyle w:val="Heading2"/>
        <w:spacing w:line="240" w:lineRule="auto"/>
        <w:ind w:left="158" w:right="0"/>
        <w:jc w:val="both"/>
      </w:pPr>
      <w:r>
        <w:rPr/>
        <w:t>二、报告期内公司主要资产发生重大变化情况的说明</w:t>
      </w:r>
    </w:p>
    <w:p>
      <w:pPr>
        <w:spacing w:line="240" w:lineRule="auto" w:before="8"/>
        <w:rPr>
          <w:rFonts w:ascii="黑体" w:hAnsi="黑体" w:cs="黑体" w:eastAsia="黑体" w:hint="default"/>
          <w:sz w:val="28"/>
          <w:szCs w:val="28"/>
        </w:rPr>
      </w:pPr>
    </w:p>
    <w:p>
      <w:pPr>
        <w:pStyle w:val="BodyText"/>
        <w:spacing w:line="312" w:lineRule="exact"/>
        <w:ind w:right="0"/>
        <w:jc w:val="both"/>
      </w:pPr>
      <w:r>
        <w:rPr/>
        <w:t>本年度，因公司实施了非公开发行股票的方案，募集资金</w:t>
      </w:r>
      <w:r>
        <w:rPr>
          <w:spacing w:val="-80"/>
        </w:rPr>
        <w:t> </w:t>
      </w:r>
      <w:r>
        <w:rPr>
          <w:rFonts w:ascii="宋体" w:hAnsi="宋体" w:cs="宋体" w:eastAsia="宋体" w:hint="default"/>
        </w:rPr>
        <w:t>55</w:t>
      </w:r>
      <w:r>
        <w:rPr>
          <w:rFonts w:ascii="宋体" w:hAnsi="宋体" w:cs="宋体" w:eastAsia="宋体" w:hint="default"/>
          <w:spacing w:val="-80"/>
        </w:rPr>
        <w:t> </w:t>
      </w:r>
      <w:r>
        <w:rPr/>
        <w:t>亿元，这导致了公司净资产</w:t>
      </w:r>
    </w:p>
    <w:p>
      <w:pPr>
        <w:pStyle w:val="BodyText"/>
        <w:spacing w:line="312" w:lineRule="exact" w:before="28"/>
        <w:ind w:right="224"/>
        <w:jc w:val="both"/>
      </w:pPr>
      <w:r>
        <w:rPr/>
        <w:t>大幅增加，报告期末，归属于公司股东的净资产为</w:t>
      </w:r>
      <w:r>
        <w:rPr>
          <w:spacing w:val="-79"/>
        </w:rPr>
        <w:t> </w:t>
      </w:r>
      <w:r>
        <w:rPr>
          <w:rFonts w:ascii="宋体" w:hAnsi="宋体" w:cs="宋体" w:eastAsia="宋体" w:hint="default"/>
        </w:rPr>
        <w:t>176.51</w:t>
      </w:r>
      <w:r>
        <w:rPr>
          <w:rFonts w:ascii="宋体" w:hAnsi="宋体" w:cs="宋体" w:eastAsia="宋体" w:hint="default"/>
          <w:spacing w:val="-79"/>
        </w:rPr>
        <w:t> </w:t>
      </w:r>
      <w:r>
        <w:rPr/>
        <w:t>亿元，与上年期末相比增长了 </w:t>
      </w:r>
      <w:r>
        <w:rPr>
          <w:rFonts w:ascii="宋体" w:hAnsi="宋体" w:cs="宋体" w:eastAsia="宋体" w:hint="default"/>
        </w:rPr>
        <w:t>52.92%</w:t>
      </w:r>
      <w:r>
        <w:rPr/>
        <w:t>，公司总资产为</w:t>
      </w:r>
      <w:r>
        <w:rPr>
          <w:spacing w:val="-61"/>
        </w:rPr>
        <w:t> </w:t>
      </w:r>
      <w:r>
        <w:rPr>
          <w:rFonts w:ascii="宋体" w:hAnsi="宋体" w:cs="宋体" w:eastAsia="宋体" w:hint="default"/>
        </w:rPr>
        <w:t>568.61</w:t>
      </w:r>
      <w:r>
        <w:rPr>
          <w:rFonts w:ascii="宋体" w:hAnsi="宋体" w:cs="宋体" w:eastAsia="宋体" w:hint="default"/>
          <w:spacing w:val="-61"/>
        </w:rPr>
        <w:t> </w:t>
      </w:r>
      <w:r>
        <w:rPr/>
        <w:t>亿元，与上年期末相比增长了</w:t>
      </w:r>
      <w:r>
        <w:rPr>
          <w:spacing w:val="-61"/>
        </w:rPr>
        <w:t> </w:t>
      </w:r>
      <w:r>
        <w:rPr>
          <w:rFonts w:ascii="宋体" w:hAnsi="宋体" w:cs="宋体" w:eastAsia="宋体" w:hint="default"/>
        </w:rPr>
        <w:t>14.35%</w:t>
      </w:r>
      <w:r>
        <w:rPr/>
        <w:t>。</w:t>
      </w:r>
    </w:p>
    <w:p>
      <w:pPr>
        <w:spacing w:line="240" w:lineRule="auto" w:before="4"/>
        <w:rPr>
          <w:rFonts w:ascii="宋体" w:hAnsi="宋体" w:cs="宋体" w:eastAsia="宋体" w:hint="default"/>
          <w:sz w:val="21"/>
          <w:szCs w:val="21"/>
        </w:rPr>
      </w:pPr>
    </w:p>
    <w:p>
      <w:pPr>
        <w:pStyle w:val="BodyText"/>
        <w:spacing w:line="313" w:lineRule="exact"/>
        <w:ind w:right="0"/>
        <w:jc w:val="both"/>
      </w:pPr>
      <w:r>
        <w:rPr/>
        <w:t>其中，公司自</w:t>
      </w:r>
      <w:r>
        <w:rPr>
          <w:spacing w:val="-80"/>
        </w:rPr>
        <w:t> </w:t>
      </w:r>
      <w:r>
        <w:rPr>
          <w:rFonts w:ascii="宋体" w:hAnsi="宋体" w:cs="宋体" w:eastAsia="宋体" w:hint="default"/>
        </w:rPr>
        <w:t>2003</w:t>
      </w:r>
      <w:r>
        <w:rPr>
          <w:rFonts w:ascii="宋体" w:hAnsi="宋体" w:cs="宋体" w:eastAsia="宋体" w:hint="default"/>
          <w:spacing w:val="-80"/>
        </w:rPr>
        <w:t> </w:t>
      </w:r>
      <w:r>
        <w:rPr/>
        <w:t>年实施国际化战略以来，一直不断探索从业务、技术、人才到资本的</w:t>
      </w:r>
    </w:p>
    <w:p>
      <w:pPr>
        <w:pStyle w:val="BodyText"/>
        <w:spacing w:line="312" w:lineRule="exact"/>
        <w:ind w:right="0"/>
        <w:jc w:val="both"/>
        <w:rPr>
          <w:rFonts w:ascii="宋体" w:hAnsi="宋体" w:cs="宋体" w:eastAsia="宋体" w:hint="default"/>
        </w:rPr>
      </w:pPr>
      <w:r>
        <w:rPr/>
        <w:t>“走出去</w:t>
      </w:r>
      <w:r>
        <w:rPr>
          <w:spacing w:val="-120"/>
        </w:rPr>
        <w:t>”</w:t>
      </w:r>
      <w:r>
        <w:rPr/>
        <w:t>，并实现了海外业务收入的不断提升。公司的海外业务收入从</w:t>
      </w:r>
      <w:r>
        <w:rPr>
          <w:spacing w:val="-53"/>
        </w:rPr>
        <w:t> </w:t>
      </w:r>
      <w:r>
        <w:rPr>
          <w:rFonts w:ascii="宋体" w:hAnsi="宋体" w:cs="宋体" w:eastAsia="宋体" w:hint="default"/>
        </w:rPr>
        <w:t>2003</w:t>
      </w:r>
      <w:r>
        <w:rPr>
          <w:rFonts w:ascii="宋体" w:hAnsi="宋体" w:cs="宋体" w:eastAsia="宋体" w:hint="default"/>
          <w:spacing w:val="-53"/>
        </w:rPr>
        <w:t> </w:t>
      </w:r>
      <w:r>
        <w:rPr/>
        <w:t>年的</w:t>
      </w:r>
      <w:r>
        <w:rPr>
          <w:spacing w:val="-53"/>
        </w:rPr>
        <w:t> </w:t>
      </w:r>
      <w:r>
        <w:rPr>
          <w:rFonts w:ascii="宋体" w:hAnsi="宋体" w:cs="宋体" w:eastAsia="宋体" w:hint="default"/>
        </w:rPr>
        <w:t>2.23</w:t>
      </w:r>
    </w:p>
    <w:p>
      <w:pPr>
        <w:pStyle w:val="BodyText"/>
        <w:spacing w:line="237" w:lineRule="auto" w:before="1"/>
        <w:ind w:right="222"/>
        <w:jc w:val="both"/>
      </w:pPr>
      <w:r>
        <w:rPr/>
        <w:t>亿元增至</w:t>
      </w:r>
      <w:r>
        <w:rPr>
          <w:spacing w:val="-58"/>
        </w:rPr>
        <w:t> </w:t>
      </w:r>
      <w:r>
        <w:rPr>
          <w:rFonts w:ascii="宋体" w:hAnsi="宋体" w:cs="宋体" w:eastAsia="宋体" w:hint="default"/>
        </w:rPr>
        <w:t>2015</w:t>
      </w:r>
      <w:r>
        <w:rPr>
          <w:rFonts w:ascii="宋体" w:hAnsi="宋体" w:cs="宋体" w:eastAsia="宋体" w:hint="default"/>
          <w:spacing w:val="-57"/>
        </w:rPr>
        <w:t> </w:t>
      </w:r>
      <w:r>
        <w:rPr/>
        <w:t>年度的</w:t>
      </w:r>
      <w:r>
        <w:rPr>
          <w:spacing w:val="-57"/>
        </w:rPr>
        <w:t> </w:t>
      </w:r>
      <w:r>
        <w:rPr>
          <w:rFonts w:ascii="宋体" w:hAnsi="宋体" w:cs="宋体" w:eastAsia="宋体" w:hint="default"/>
        </w:rPr>
        <w:t>109.95</w:t>
      </w:r>
      <w:r>
        <w:rPr>
          <w:rFonts w:ascii="宋体" w:hAnsi="宋体" w:cs="宋体" w:eastAsia="宋体" w:hint="default"/>
          <w:spacing w:val="-57"/>
        </w:rPr>
        <w:t> </w:t>
      </w:r>
      <w:r>
        <w:rPr>
          <w:spacing w:val="-4"/>
        </w:rPr>
        <w:t>亿元，占公司主营业务收入的比重为</w:t>
      </w:r>
      <w:r>
        <w:rPr>
          <w:spacing w:val="-57"/>
        </w:rPr>
        <w:t> </w:t>
      </w:r>
      <w:r>
        <w:rPr>
          <w:rFonts w:ascii="宋体" w:hAnsi="宋体" w:cs="宋体" w:eastAsia="宋体" w:hint="default"/>
          <w:spacing w:val="-5"/>
        </w:rPr>
        <w:t>39%</w:t>
      </w:r>
      <w:r>
        <w:rPr>
          <w:spacing w:val="-5"/>
        </w:rPr>
        <w:t>。为了支持海外业</w:t>
      </w:r>
      <w:r>
        <w:rPr/>
        <w:t> 务布局和市场的开拓，公司积极推进了海外经营本土化的策略，截至报告期末，公司境</w:t>
      </w:r>
      <w:r>
        <w:rPr>
          <w:spacing w:val="-52"/>
        </w:rPr>
        <w:t> </w:t>
      </w:r>
      <w:r>
        <w:rPr>
          <w:spacing w:val="-52"/>
        </w:rPr>
      </w:r>
      <w:r>
        <w:rPr/>
        <w:t>外资产为</w:t>
      </w:r>
      <w:r>
        <w:rPr>
          <w:spacing w:val="-61"/>
        </w:rPr>
        <w:t> </w:t>
      </w:r>
      <w:r>
        <w:rPr>
          <w:rFonts w:ascii="宋体" w:hAnsi="宋体" w:cs="宋体" w:eastAsia="宋体" w:hint="default"/>
        </w:rPr>
        <w:t>77.22</w:t>
      </w:r>
      <w:r>
        <w:rPr>
          <w:rFonts w:ascii="宋体" w:hAnsi="宋体" w:cs="宋体" w:eastAsia="宋体" w:hint="default"/>
          <w:spacing w:val="-61"/>
        </w:rPr>
        <w:t> </w:t>
      </w:r>
      <w:r>
        <w:rPr/>
        <w:t>亿元，占总资产比例为</w:t>
      </w:r>
      <w:r>
        <w:rPr>
          <w:spacing w:val="-61"/>
        </w:rPr>
        <w:t> </w:t>
      </w:r>
      <w:r>
        <w:rPr>
          <w:rFonts w:ascii="宋体" w:hAnsi="宋体" w:cs="宋体" w:eastAsia="宋体" w:hint="default"/>
        </w:rPr>
        <w:t>13.58%</w:t>
      </w:r>
      <w:r>
        <w:rPr/>
        <w:t>。</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7"/>
          <w:szCs w:val="17"/>
        </w:rPr>
      </w:pPr>
    </w:p>
    <w:p>
      <w:pPr>
        <w:pStyle w:val="Heading2"/>
        <w:spacing w:line="240" w:lineRule="auto"/>
        <w:ind w:left="158" w:right="0"/>
        <w:jc w:val="both"/>
      </w:pPr>
      <w:r>
        <w:rPr/>
        <w:t>三、报告期内核心竞争力分析</w:t>
      </w:r>
    </w:p>
    <w:p>
      <w:pPr>
        <w:spacing w:line="240" w:lineRule="auto" w:before="10"/>
        <w:rPr>
          <w:rFonts w:ascii="黑体" w:hAnsi="黑体" w:cs="黑体" w:eastAsia="黑体" w:hint="default"/>
          <w:sz w:val="28"/>
          <w:szCs w:val="28"/>
        </w:rPr>
      </w:pPr>
    </w:p>
    <w:p>
      <w:pPr>
        <w:pStyle w:val="BodyText"/>
        <w:spacing w:line="237" w:lineRule="auto"/>
        <w:ind w:right="222"/>
        <w:jc w:val="both"/>
      </w:pPr>
      <w:r>
        <w:rPr/>
        <w:t>公司以清华大学所属的计算机科学与工程系、电子系、工程物理系、热能工程系、建筑</w:t>
      </w:r>
      <w:r>
        <w:rPr>
          <w:spacing w:val="-51"/>
        </w:rPr>
        <w:t> </w:t>
      </w:r>
      <w:r>
        <w:rPr>
          <w:spacing w:val="-51"/>
        </w:rPr>
      </w:r>
      <w:r>
        <w:rPr/>
        <w:t>技术科学系、材料科学与工程系、自动化系、微电子学研究所等院系为依托，开展技术</w:t>
      </w:r>
      <w:r>
        <w:rPr>
          <w:spacing w:val="-51"/>
        </w:rPr>
        <w:t> </w:t>
      </w:r>
      <w:r>
        <w:rPr>
          <w:spacing w:val="-51"/>
        </w:rPr>
      </w:r>
      <w:r>
        <w:rPr/>
        <w:t>创新及科研成果孵化。本报告期内，公司持续实施研发投入和技术成果产业化，核心竞</w:t>
      </w:r>
      <w:r>
        <w:rPr>
          <w:spacing w:val="-51"/>
        </w:rPr>
        <w:t> </w:t>
      </w:r>
      <w:r>
        <w:rPr>
          <w:spacing w:val="-51"/>
        </w:rPr>
      </w:r>
      <w:r>
        <w:rPr/>
        <w:t>争力未发生变化。</w:t>
      </w:r>
      <w:r>
        <w:rPr>
          <w:rFonts w:ascii="宋体" w:hAnsi="宋体" w:cs="宋体" w:eastAsia="宋体" w:hint="default"/>
        </w:rPr>
        <w:t>2015</w:t>
      </w:r>
      <w:r>
        <w:rPr>
          <w:rFonts w:ascii="宋体" w:hAnsi="宋体" w:cs="宋体" w:eastAsia="宋体" w:hint="default"/>
          <w:spacing w:val="-39"/>
        </w:rPr>
        <w:t> </w:t>
      </w:r>
      <w:r>
        <w:rPr/>
        <w:t>年，按照公司研发战略、产业布局和长期发展规划，围绕核心业 务领域，公司继续开展了卓有成效的技术研发工作。报告期内，公司共有 </w:t>
      </w:r>
      <w:r>
        <w:rPr>
          <w:rFonts w:ascii="宋体" w:hAnsi="宋体" w:cs="宋体" w:eastAsia="宋体" w:hint="default"/>
        </w:rPr>
        <w:t>120</w:t>
      </w:r>
      <w:r>
        <w:rPr>
          <w:rFonts w:ascii="宋体" w:hAnsi="宋体" w:cs="宋体" w:eastAsia="宋体" w:hint="default"/>
          <w:spacing w:val="-38"/>
        </w:rPr>
        <w:t> </w:t>
      </w:r>
      <w:r>
        <w:rPr/>
        <w:t>多项研发</w:t>
      </w:r>
    </w:p>
    <w:p>
      <w:pPr>
        <w:pStyle w:val="BodyText"/>
        <w:spacing w:line="313" w:lineRule="exact"/>
        <w:ind w:right="0"/>
        <w:jc w:val="both"/>
      </w:pPr>
      <w:r>
        <w:rPr/>
        <w:t>项目正在进行中，其中列入国家级和省部级的科技计划项目</w:t>
      </w:r>
      <w:r>
        <w:rPr>
          <w:spacing w:val="-60"/>
        </w:rPr>
        <w:t> </w:t>
      </w:r>
      <w:r>
        <w:rPr>
          <w:rFonts w:ascii="宋体" w:hAnsi="宋体" w:cs="宋体" w:eastAsia="宋体" w:hint="default"/>
        </w:rPr>
        <w:t>37</w:t>
      </w:r>
      <w:r>
        <w:rPr>
          <w:rFonts w:ascii="宋体" w:hAnsi="宋体" w:cs="宋体" w:eastAsia="宋体" w:hint="default"/>
          <w:spacing w:val="-60"/>
        </w:rPr>
        <w:t> </w:t>
      </w:r>
      <w:r>
        <w:rPr/>
        <w:t>项。</w:t>
      </w:r>
    </w:p>
    <w:p>
      <w:pPr>
        <w:spacing w:line="240" w:lineRule="auto" w:before="9"/>
        <w:rPr>
          <w:rFonts w:ascii="宋体" w:hAnsi="宋体" w:cs="宋体" w:eastAsia="宋体" w:hint="default"/>
          <w:sz w:val="23"/>
          <w:szCs w:val="23"/>
        </w:rPr>
      </w:pPr>
    </w:p>
    <w:p>
      <w:pPr>
        <w:pStyle w:val="BodyText"/>
        <w:spacing w:line="237" w:lineRule="auto"/>
        <w:ind w:right="91"/>
        <w:jc w:val="left"/>
      </w:pPr>
      <w:r>
        <w:rPr/>
        <w:t>目前正在执行的重大科技计划项目主要有：</w:t>
      </w:r>
      <w:r>
        <w:rPr>
          <w:rFonts w:ascii="宋体" w:hAnsi="宋体" w:cs="宋体" w:eastAsia="宋体" w:hint="default"/>
        </w:rPr>
        <w:t>(1)</w:t>
      </w:r>
      <w:r>
        <w:rPr/>
        <w:t>国家重大科技专项项目</w:t>
      </w:r>
      <w:r>
        <w:rPr>
          <w:spacing w:val="-65"/>
        </w:rPr>
        <w:t> </w:t>
      </w:r>
      <w:r>
        <w:rPr>
          <w:rFonts w:ascii="宋体" w:hAnsi="宋体" w:cs="宋体" w:eastAsia="宋体" w:hint="default"/>
        </w:rPr>
        <w:t>3</w:t>
      </w:r>
      <w:r>
        <w:rPr>
          <w:rFonts w:ascii="宋体" w:hAnsi="宋体" w:cs="宋体" w:eastAsia="宋体" w:hint="default"/>
          <w:spacing w:val="-65"/>
        </w:rPr>
        <w:t> </w:t>
      </w:r>
      <w:r>
        <w:rPr>
          <w:spacing w:val="-3"/>
        </w:rPr>
        <w:t>项：双界面金融</w:t>
      </w:r>
      <w:r>
        <w:rPr/>
        <w:t> 卡</w:t>
      </w:r>
      <w:r>
        <w:rPr>
          <w:spacing w:val="-41"/>
        </w:rPr>
        <w:t> </w:t>
      </w:r>
      <w:r>
        <w:rPr>
          <w:rFonts w:ascii="宋体" w:hAnsi="宋体" w:cs="宋体" w:eastAsia="宋体" w:hint="default"/>
        </w:rPr>
        <w:t>SoC</w:t>
      </w:r>
      <w:r>
        <w:rPr>
          <w:rFonts w:ascii="宋体" w:hAnsi="宋体" w:cs="宋体" w:eastAsia="宋体" w:hint="default"/>
          <w:spacing w:val="-41"/>
        </w:rPr>
        <w:t> </w:t>
      </w:r>
      <w:r>
        <w:rPr/>
        <w:t>芯片研发与产业化、大容量</w:t>
      </w:r>
      <w:r>
        <w:rPr>
          <w:spacing w:val="-40"/>
        </w:rPr>
        <w:t> </w:t>
      </w:r>
      <w:r>
        <w:rPr>
          <w:rFonts w:ascii="宋体" w:hAnsi="宋体" w:cs="宋体" w:eastAsia="宋体" w:hint="default"/>
        </w:rPr>
        <w:t>SIM</w:t>
      </w:r>
      <w:r>
        <w:rPr>
          <w:rFonts w:ascii="宋体" w:hAnsi="宋体" w:cs="宋体" w:eastAsia="宋体" w:hint="default"/>
          <w:spacing w:val="-41"/>
        </w:rPr>
        <w:t> </w:t>
      </w:r>
      <w:r>
        <w:rPr/>
        <w:t>卡芯片、毫米波成像探测仪研制及产业化示范； </w:t>
      </w:r>
      <w:r>
        <w:rPr>
          <w:rFonts w:ascii="宋体" w:hAnsi="宋体" w:cs="宋体" w:eastAsia="宋体" w:hint="default"/>
        </w:rPr>
        <w:t>(2)</w:t>
      </w:r>
      <w:r>
        <w:rPr/>
        <w:t>国家发改委专项</w:t>
      </w:r>
      <w:r>
        <w:rPr>
          <w:spacing w:val="-70"/>
        </w:rPr>
        <w:t> </w:t>
      </w:r>
      <w:r>
        <w:rPr>
          <w:rFonts w:ascii="宋体" w:hAnsi="宋体" w:cs="宋体" w:eastAsia="宋体" w:hint="default"/>
        </w:rPr>
        <w:t>3</w:t>
      </w:r>
      <w:r>
        <w:rPr>
          <w:rFonts w:ascii="宋体" w:hAnsi="宋体" w:cs="宋体" w:eastAsia="宋体" w:hint="default"/>
          <w:spacing w:val="-69"/>
        </w:rPr>
        <w:t> </w:t>
      </w:r>
      <w:r>
        <w:rPr/>
        <w:t>项：云计算数据中心容灾备份服务、智能卡芯片设计和产业化、先 进特异物质检测技术产业化；</w:t>
      </w:r>
      <w:r>
        <w:rPr>
          <w:rFonts w:ascii="宋体" w:hAnsi="宋体" w:cs="宋体" w:eastAsia="宋体" w:hint="default"/>
        </w:rPr>
        <w:t>(3)</w:t>
      </w:r>
      <w:r>
        <w:rPr/>
        <w:t>工信部专项项目</w:t>
      </w:r>
      <w:r>
        <w:rPr>
          <w:spacing w:val="-53"/>
        </w:rPr>
        <w:t> </w:t>
      </w:r>
      <w:r>
        <w:rPr>
          <w:rFonts w:ascii="宋体" w:hAnsi="宋体" w:cs="宋体" w:eastAsia="宋体" w:hint="default"/>
        </w:rPr>
        <w:t>2</w:t>
      </w:r>
      <w:r>
        <w:rPr>
          <w:rFonts w:ascii="宋体" w:hAnsi="宋体" w:cs="宋体" w:eastAsia="宋体" w:hint="default"/>
          <w:spacing w:val="-53"/>
        </w:rPr>
        <w:t> </w:t>
      </w:r>
      <w:r>
        <w:rPr/>
        <w:t>项：</w:t>
      </w:r>
      <w:r>
        <w:rPr>
          <w:rFonts w:ascii="宋体" w:hAnsi="宋体" w:cs="宋体" w:eastAsia="宋体" w:hint="default"/>
        </w:rPr>
        <w:t>SWP-SIM</w:t>
      </w:r>
      <w:r>
        <w:rPr>
          <w:rFonts w:ascii="宋体" w:hAnsi="宋体" w:cs="宋体" w:eastAsia="宋体" w:hint="default"/>
          <w:spacing w:val="-53"/>
        </w:rPr>
        <w:t> </w:t>
      </w:r>
      <w:r>
        <w:rPr/>
        <w:t>智能卡芯片开发、高性 </w:t>
      </w:r>
      <w:r>
        <w:rPr>
          <w:spacing w:val="-4"/>
        </w:rPr>
        <w:t>能网络信息安全综合防御系统研发与产业化；</w:t>
      </w:r>
      <w:r>
        <w:rPr>
          <w:rFonts w:ascii="宋体" w:hAnsi="宋体" w:cs="宋体" w:eastAsia="宋体" w:hint="default"/>
          <w:spacing w:val="-4"/>
        </w:rPr>
        <w:t>(4)</w:t>
      </w:r>
      <w:r>
        <w:rPr>
          <w:spacing w:val="-4"/>
        </w:rPr>
        <w:t>中华人民共和国新闻出版总署项目</w:t>
      </w:r>
      <w:r>
        <w:rPr>
          <w:spacing w:val="-65"/>
        </w:rPr>
        <w:t> </w:t>
      </w:r>
      <w:r>
        <w:rPr>
          <w:rFonts w:ascii="宋体" w:hAnsi="宋体" w:cs="宋体" w:eastAsia="宋体" w:hint="default"/>
        </w:rPr>
        <w:t>2</w:t>
      </w:r>
      <w:r>
        <w:rPr>
          <w:rFonts w:ascii="宋体" w:hAnsi="宋体" w:cs="宋体" w:eastAsia="宋体" w:hint="default"/>
          <w:spacing w:val="-66"/>
        </w:rPr>
        <w:t> </w:t>
      </w:r>
      <w:r>
        <w:rPr/>
        <w:t>项：</w:t>
      </w:r>
      <w:r>
        <w:rPr>
          <w:spacing w:val="-117"/>
        </w:rPr>
        <w:t> </w:t>
      </w:r>
      <w:r>
        <w:rPr/>
        <w:t>基于标识的认证技术研发及在音像制品数字版权保护中的应用、多硬件环境版权保护技</w:t>
      </w:r>
      <w:r>
        <w:rPr>
          <w:spacing w:val="-51"/>
        </w:rPr>
        <w:t> </w:t>
      </w:r>
      <w:r>
        <w:rPr>
          <w:spacing w:val="-51"/>
        </w:rPr>
      </w:r>
      <w:r>
        <w:rPr/>
        <w:t>术研发；</w:t>
      </w:r>
      <w:r>
        <w:rPr>
          <w:rFonts w:ascii="宋体" w:hAnsi="宋体" w:cs="宋体" w:eastAsia="宋体" w:hint="default"/>
        </w:rPr>
        <w:t>(5)</w:t>
      </w:r>
      <w:r>
        <w:rPr/>
        <w:t>省市重大专项 </w:t>
      </w:r>
      <w:r>
        <w:rPr>
          <w:rFonts w:ascii="宋体" w:hAnsi="宋体" w:cs="宋体" w:eastAsia="宋体" w:hint="default"/>
        </w:rPr>
        <w:t>11</w:t>
      </w:r>
      <w:r>
        <w:rPr>
          <w:rFonts w:ascii="宋体" w:hAnsi="宋体" w:cs="宋体" w:eastAsia="宋体" w:hint="default"/>
          <w:spacing w:val="-40"/>
        </w:rPr>
        <w:t> </w:t>
      </w:r>
      <w:r>
        <w:rPr/>
        <w:t>项：基于纳米材料的太赫兹人物同检技术研究、中文精品 </w:t>
      </w:r>
      <w:r>
        <w:rPr>
          <w:spacing w:val="-3"/>
        </w:rPr>
        <w:t>学术期刊外文版数字出版工程、</w:t>
      </w:r>
      <w:r>
        <w:rPr>
          <w:rFonts w:ascii="宋体" w:hAnsi="宋体" w:cs="宋体" w:eastAsia="宋体" w:hint="default"/>
          <w:spacing w:val="-3"/>
        </w:rPr>
        <w:t>GaN</w:t>
      </w:r>
      <w:r>
        <w:rPr>
          <w:rFonts w:ascii="宋体" w:hAnsi="宋体" w:cs="宋体" w:eastAsia="宋体" w:hint="default"/>
          <w:spacing w:val="-59"/>
        </w:rPr>
        <w:t> </w:t>
      </w:r>
      <w:r>
        <w:rPr/>
        <w:t>基</w:t>
      </w:r>
      <w:r>
        <w:rPr>
          <w:spacing w:val="-59"/>
        </w:rPr>
        <w:t> </w:t>
      </w:r>
      <w:r>
        <w:rPr>
          <w:rFonts w:ascii="宋体" w:hAnsi="宋体" w:cs="宋体" w:eastAsia="宋体" w:hint="default"/>
        </w:rPr>
        <w:t>LED</w:t>
      </w:r>
      <w:r>
        <w:rPr>
          <w:rFonts w:ascii="宋体" w:hAnsi="宋体" w:cs="宋体" w:eastAsia="宋体" w:hint="default"/>
          <w:spacing w:val="-59"/>
        </w:rPr>
        <w:t> </w:t>
      </w:r>
      <w:r>
        <w:rPr>
          <w:spacing w:val="-3"/>
        </w:rPr>
        <w:t>倒装芯片晶圆级封装、新型职业农民创新创业</w:t>
      </w:r>
      <w:r>
        <w:rPr>
          <w:spacing w:val="-116"/>
        </w:rPr>
        <w:t> </w:t>
      </w:r>
      <w:r>
        <w:rPr>
          <w:spacing w:val="-116"/>
        </w:rPr>
      </w:r>
      <w:r>
        <w:rPr/>
        <w:t>综合服务平台、动植食产品快速通关查验设备—“电子鼻”研制与应用、硅基 </w:t>
      </w:r>
      <w:r>
        <w:rPr>
          <w:rFonts w:ascii="宋体" w:hAnsi="宋体" w:cs="宋体" w:eastAsia="宋体" w:hint="default"/>
        </w:rPr>
        <w:t>GaN</w:t>
      </w:r>
      <w:r>
        <w:rPr>
          <w:rFonts w:ascii="宋体" w:hAnsi="宋体" w:cs="宋体" w:eastAsia="宋体" w:hint="default"/>
          <w:spacing w:val="-39"/>
        </w:rPr>
        <w:t> </w:t>
      </w:r>
      <w:r>
        <w:rPr/>
        <w:t>功率 </w:t>
      </w:r>
      <w:r>
        <w:rPr>
          <w:spacing w:val="-4"/>
        </w:rPr>
        <w:t>器件外延片研发、</w:t>
      </w:r>
      <w:r>
        <w:rPr>
          <w:rFonts w:ascii="宋体" w:hAnsi="宋体" w:cs="宋体" w:eastAsia="宋体" w:hint="default"/>
          <w:spacing w:val="-4"/>
        </w:rPr>
        <w:t>180lm/W</w:t>
      </w:r>
      <w:r>
        <w:rPr>
          <w:rFonts w:ascii="宋体" w:hAnsi="宋体" w:cs="宋体" w:eastAsia="宋体" w:hint="default"/>
          <w:spacing w:val="-52"/>
        </w:rPr>
        <w:t> </w:t>
      </w:r>
      <w:r>
        <w:rPr/>
        <w:t>大功率</w:t>
      </w:r>
      <w:r>
        <w:rPr>
          <w:spacing w:val="-52"/>
        </w:rPr>
        <w:t> </w:t>
      </w:r>
      <w:r>
        <w:rPr>
          <w:rFonts w:ascii="宋体" w:hAnsi="宋体" w:cs="宋体" w:eastAsia="宋体" w:hint="default"/>
        </w:rPr>
        <w:t>LED</w:t>
      </w:r>
      <w:r>
        <w:rPr>
          <w:rFonts w:ascii="宋体" w:hAnsi="宋体" w:cs="宋体" w:eastAsia="宋体" w:hint="default"/>
          <w:spacing w:val="-52"/>
        </w:rPr>
        <w:t> </w:t>
      </w:r>
      <w:r>
        <w:rPr>
          <w:spacing w:val="-3"/>
        </w:rPr>
        <w:t>外延片芯片研发与产业化、基于新一代信息技术的</w:t>
      </w:r>
    </w:p>
    <w:p>
      <w:pPr>
        <w:spacing w:after="0" w:line="237" w:lineRule="auto"/>
        <w:jc w:val="left"/>
        <w:sectPr>
          <w:pgSz w:w="11910" w:h="16840"/>
          <w:pgMar w:header="628" w:footer="760" w:top="1020" w:bottom="960" w:left="1260" w:right="10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p>
      <w:pPr>
        <w:pStyle w:val="BodyText"/>
        <w:spacing w:line="237" w:lineRule="auto" w:before="28"/>
        <w:ind w:right="91"/>
        <w:jc w:val="left"/>
      </w:pPr>
      <w:r>
        <w:rPr/>
        <w:t>公共安全</w:t>
      </w:r>
      <w:r>
        <w:rPr>
          <w:rFonts w:ascii="宋体" w:hAnsi="宋体" w:cs="宋体" w:eastAsia="宋体" w:hint="default"/>
        </w:rPr>
        <w:t>/</w:t>
      </w:r>
      <w:r>
        <w:rPr/>
        <w:t>突发事件综合应急管理平台产业化、非接触式人体安检探测技术与样机研制、</w:t>
      </w:r>
      <w:r>
        <w:rPr>
          <w:spacing w:val="-51"/>
        </w:rPr>
        <w:t> </w:t>
      </w:r>
      <w:r>
        <w:rPr>
          <w:spacing w:val="-51"/>
        </w:rPr>
      </w:r>
      <w:r>
        <w:rPr/>
        <w:t>基于物联网技术的污染源实时监控与减排控制系统、同方大型公共建筑节能监测诊断平</w:t>
      </w:r>
      <w:r>
        <w:rPr>
          <w:spacing w:val="-51"/>
        </w:rPr>
        <w:t> </w:t>
      </w:r>
      <w:r>
        <w:rPr>
          <w:spacing w:val="-51"/>
        </w:rPr>
      </w:r>
      <w:r>
        <w:rPr/>
        <w:t>台建设及大型公共建筑低成本节能诊断改造项目；</w:t>
      </w:r>
      <w:r>
        <w:rPr>
          <w:rFonts w:ascii="宋体" w:hAnsi="宋体" w:cs="宋体" w:eastAsia="宋体" w:hint="default"/>
        </w:rPr>
        <w:t>(6)</w:t>
      </w:r>
      <w:r>
        <w:rPr/>
        <w:t>其他项目 </w:t>
      </w:r>
      <w:r>
        <w:rPr>
          <w:rFonts w:ascii="宋体" w:hAnsi="宋体" w:cs="宋体" w:eastAsia="宋体" w:hint="default"/>
        </w:rPr>
        <w:t>17</w:t>
      </w:r>
      <w:r>
        <w:rPr>
          <w:rFonts w:ascii="宋体" w:hAnsi="宋体" w:cs="宋体" w:eastAsia="宋体" w:hint="default"/>
          <w:spacing w:val="-40"/>
        </w:rPr>
        <w:t> </w:t>
      </w:r>
      <w:r>
        <w:rPr/>
        <w:t>项：基于大数据与新</w:t>
      </w:r>
    </w:p>
    <w:p>
      <w:pPr>
        <w:pStyle w:val="BodyText"/>
        <w:spacing w:line="237" w:lineRule="auto" w:before="1"/>
        <w:ind w:right="220"/>
        <w:jc w:val="both"/>
      </w:pPr>
      <w:r>
        <w:rPr/>
        <w:t>一代移动通信技术的智能型数字城市管理平台、安全快速大容量互联网云存储服务系统</w:t>
      </w:r>
      <w:r>
        <w:rPr>
          <w:spacing w:val="-51"/>
        </w:rPr>
        <w:t> </w:t>
      </w:r>
      <w:r>
        <w:rPr>
          <w:spacing w:val="-51"/>
        </w:rPr>
      </w:r>
      <w:r>
        <w:rPr/>
        <w:t>建设与产业化、基于物联网的安全经济的配用电一体化系统研制、基于</w:t>
      </w:r>
      <w:r>
        <w:rPr>
          <w:spacing w:val="-40"/>
        </w:rPr>
        <w:t> </w:t>
      </w:r>
      <w:r>
        <w:rPr>
          <w:rFonts w:ascii="宋体" w:hAnsi="宋体" w:cs="宋体" w:eastAsia="宋体" w:hint="default"/>
        </w:rPr>
        <w:t>E</w:t>
      </w:r>
      <w:r>
        <w:rPr>
          <w:rFonts w:ascii="宋体" w:hAnsi="宋体" w:cs="宋体" w:eastAsia="宋体" w:hint="default"/>
          <w:spacing w:val="-41"/>
        </w:rPr>
        <w:t> </w:t>
      </w:r>
      <w:r>
        <w:rPr/>
        <w:t>人</w:t>
      </w:r>
      <w:r>
        <w:rPr>
          <w:spacing w:val="-39"/>
        </w:rPr>
        <w:t> </w:t>
      </w:r>
      <w:r>
        <w:rPr>
          <w:rFonts w:ascii="宋体" w:hAnsi="宋体" w:cs="宋体" w:eastAsia="宋体" w:hint="default"/>
        </w:rPr>
        <w:t>E</w:t>
      </w:r>
      <w:r>
        <w:rPr>
          <w:rFonts w:ascii="宋体" w:hAnsi="宋体" w:cs="宋体" w:eastAsia="宋体" w:hint="default"/>
          <w:spacing w:val="-41"/>
        </w:rPr>
        <w:t> </w:t>
      </w:r>
      <w:r>
        <w:rPr/>
        <w:t>本高安全 型移动综合服务平台、应用在平板电脑上的原笔迹手写技术产业、大数据出版、电袋复</w:t>
      </w:r>
      <w:r>
        <w:rPr>
          <w:spacing w:val="-50"/>
        </w:rPr>
        <w:t> </w:t>
      </w:r>
      <w:r>
        <w:rPr>
          <w:spacing w:val="-50"/>
        </w:rPr>
      </w:r>
      <w:r>
        <w:rPr/>
        <w:t>合式</w:t>
      </w:r>
      <w:r>
        <w:rPr>
          <w:spacing w:val="-53"/>
        </w:rPr>
        <w:t> </w:t>
      </w:r>
      <w:r>
        <w:rPr>
          <w:rFonts w:ascii="宋体" w:hAnsi="宋体" w:cs="宋体" w:eastAsia="宋体" w:hint="default"/>
        </w:rPr>
        <w:t>PM2.5</w:t>
      </w:r>
      <w:r>
        <w:rPr>
          <w:rFonts w:ascii="宋体" w:hAnsi="宋体" w:cs="宋体" w:eastAsia="宋体" w:hint="default"/>
          <w:spacing w:val="-53"/>
        </w:rPr>
        <w:t> </w:t>
      </w:r>
      <w:r>
        <w:rPr/>
        <w:t>高效脱除技术研发和产业化、</w:t>
      </w:r>
      <w:r>
        <w:rPr>
          <w:rFonts w:ascii="宋体" w:hAnsi="宋体" w:cs="宋体" w:eastAsia="宋体" w:hint="default"/>
        </w:rPr>
        <w:t>RM</w:t>
      </w:r>
      <w:r>
        <w:rPr>
          <w:rFonts w:ascii="宋体" w:hAnsi="宋体" w:cs="宋体" w:eastAsia="宋体" w:hint="default"/>
          <w:spacing w:val="-53"/>
        </w:rPr>
        <w:t> </w:t>
      </w:r>
      <w:r>
        <w:rPr/>
        <w:t>放射性物质监测系统、高精度数字音视频内 容数字版权管理技术及应用、基于知识服务引擎的数字出版国际营销平台建设与运营、</w:t>
      </w:r>
      <w:r>
        <w:rPr>
          <w:spacing w:val="-51"/>
        </w:rPr>
        <w:t> </w:t>
      </w:r>
      <w:r>
        <w:rPr>
          <w:spacing w:val="-51"/>
        </w:rPr>
      </w:r>
      <w:r>
        <w:rPr/>
        <w:t>建筑节能专家系统、同方基于互联网的大规模计算机远程服务系统研发和产业化、基于</w:t>
      </w:r>
      <w:r>
        <w:rPr>
          <w:spacing w:val="-51"/>
        </w:rPr>
        <w:t> </w:t>
      </w:r>
      <w:r>
        <w:rPr>
          <w:spacing w:val="-51"/>
        </w:rPr>
      </w:r>
      <w:r>
        <w:rPr/>
        <w:t>云计算技术的数字出版及可信发行运营平台、基于 </w:t>
      </w:r>
      <w:r>
        <w:rPr>
          <w:rFonts w:ascii="宋体" w:hAnsi="宋体" w:cs="宋体" w:eastAsia="宋体" w:hint="default"/>
        </w:rPr>
        <w:t>M2M</w:t>
      </w:r>
      <w:r>
        <w:rPr>
          <w:rFonts w:ascii="宋体" w:hAnsi="宋体" w:cs="宋体" w:eastAsia="宋体" w:hint="default"/>
          <w:spacing w:val="-39"/>
        </w:rPr>
        <w:t> </w:t>
      </w:r>
      <w:r>
        <w:rPr/>
        <w:t>的应用构件平台、智能数据中心 管理系统、单芯片集成多功能片上系统嵌入式平台的研发、原笔迹手写办公系统的专利</w:t>
      </w:r>
      <w:r>
        <w:rPr>
          <w:spacing w:val="-51"/>
        </w:rPr>
        <w:t> </w:t>
      </w:r>
      <w:r>
        <w:rPr>
          <w:spacing w:val="-51"/>
        </w:rPr>
      </w:r>
      <w:r>
        <w:rPr/>
        <w:t>转化项目等。</w:t>
      </w:r>
    </w:p>
    <w:p>
      <w:pPr>
        <w:spacing w:line="240" w:lineRule="auto" w:before="2"/>
        <w:rPr>
          <w:rFonts w:ascii="宋体" w:hAnsi="宋体" w:cs="宋体" w:eastAsia="宋体" w:hint="default"/>
          <w:sz w:val="26"/>
          <w:szCs w:val="26"/>
        </w:rPr>
      </w:pPr>
    </w:p>
    <w:p>
      <w:pPr>
        <w:pStyle w:val="BodyText"/>
        <w:spacing w:line="310" w:lineRule="exact"/>
        <w:ind w:right="210"/>
        <w:jc w:val="left"/>
      </w:pPr>
      <w:r>
        <w:rPr/>
        <w:t>在知识产权方面，</w:t>
      </w:r>
      <w:r>
        <w:rPr>
          <w:rFonts w:ascii="宋体" w:hAnsi="宋体" w:cs="宋体" w:eastAsia="宋体" w:hint="default"/>
        </w:rPr>
        <w:t>2015</w:t>
      </w:r>
      <w:r>
        <w:rPr>
          <w:rFonts w:ascii="宋体" w:hAnsi="宋体" w:cs="宋体" w:eastAsia="宋体" w:hint="default"/>
          <w:spacing w:val="-54"/>
        </w:rPr>
        <w:t> </w:t>
      </w:r>
      <w:r>
        <w:rPr/>
        <w:t>年度公司新申请中国专利和计算机软件登记</w:t>
      </w:r>
      <w:r>
        <w:rPr>
          <w:spacing w:val="-54"/>
        </w:rPr>
        <w:t> </w:t>
      </w:r>
      <w:r>
        <w:rPr>
          <w:rFonts w:ascii="宋体" w:hAnsi="宋体" w:cs="宋体" w:eastAsia="宋体" w:hint="default"/>
        </w:rPr>
        <w:t>297</w:t>
      </w:r>
      <w:r>
        <w:rPr>
          <w:rFonts w:ascii="宋体" w:hAnsi="宋体" w:cs="宋体" w:eastAsia="宋体" w:hint="default"/>
          <w:spacing w:val="-54"/>
        </w:rPr>
        <w:t> </w:t>
      </w:r>
      <w:r>
        <w:rPr/>
        <w:t>项，其中发明专 利</w:t>
      </w:r>
      <w:r>
        <w:rPr>
          <w:spacing w:val="-63"/>
        </w:rPr>
        <w:t> </w:t>
      </w:r>
      <w:r>
        <w:rPr>
          <w:rFonts w:ascii="宋体" w:hAnsi="宋体" w:cs="宋体" w:eastAsia="宋体" w:hint="default"/>
        </w:rPr>
        <w:t>146</w:t>
      </w:r>
      <w:r>
        <w:rPr>
          <w:rFonts w:ascii="宋体" w:hAnsi="宋体" w:cs="宋体" w:eastAsia="宋体" w:hint="default"/>
          <w:spacing w:val="-64"/>
        </w:rPr>
        <w:t> </w:t>
      </w:r>
      <w:r>
        <w:rPr/>
        <w:t>项、实用新型专利</w:t>
      </w:r>
      <w:r>
        <w:rPr>
          <w:spacing w:val="-63"/>
        </w:rPr>
        <w:t> </w:t>
      </w:r>
      <w:r>
        <w:rPr>
          <w:rFonts w:ascii="宋体" w:hAnsi="宋体" w:cs="宋体" w:eastAsia="宋体" w:hint="default"/>
        </w:rPr>
        <w:t>104</w:t>
      </w:r>
      <w:r>
        <w:rPr>
          <w:rFonts w:ascii="宋体" w:hAnsi="宋体" w:cs="宋体" w:eastAsia="宋体" w:hint="default"/>
          <w:spacing w:val="-63"/>
        </w:rPr>
        <w:t> </w:t>
      </w:r>
      <w:r>
        <w:rPr/>
        <w:t>项、外观设计</w:t>
      </w:r>
      <w:r>
        <w:rPr>
          <w:spacing w:val="-63"/>
        </w:rPr>
        <w:t> </w:t>
      </w:r>
      <w:r>
        <w:rPr>
          <w:rFonts w:ascii="宋体" w:hAnsi="宋体" w:cs="宋体" w:eastAsia="宋体" w:hint="default"/>
        </w:rPr>
        <w:t>28</w:t>
      </w:r>
      <w:r>
        <w:rPr>
          <w:rFonts w:ascii="宋体" w:hAnsi="宋体" w:cs="宋体" w:eastAsia="宋体" w:hint="default"/>
          <w:spacing w:val="-63"/>
        </w:rPr>
        <w:t> </w:t>
      </w:r>
      <w:r>
        <w:rPr/>
        <w:t>项、计算机软件登记</w:t>
      </w:r>
      <w:r>
        <w:rPr>
          <w:spacing w:val="-63"/>
        </w:rPr>
        <w:t> </w:t>
      </w:r>
      <w:r>
        <w:rPr>
          <w:rFonts w:ascii="宋体" w:hAnsi="宋体" w:cs="宋体" w:eastAsia="宋体" w:hint="default"/>
        </w:rPr>
        <w:t>19</w:t>
      </w:r>
      <w:r>
        <w:rPr>
          <w:rFonts w:ascii="宋体" w:hAnsi="宋体" w:cs="宋体" w:eastAsia="宋体" w:hint="default"/>
          <w:spacing w:val="-63"/>
        </w:rPr>
        <w:t> </w:t>
      </w:r>
      <w:r>
        <w:rPr>
          <w:spacing w:val="-3"/>
        </w:rPr>
        <w:t>项。截止</w:t>
      </w:r>
      <w:r>
        <w:rPr>
          <w:spacing w:val="-63"/>
        </w:rPr>
        <w:t> </w:t>
      </w:r>
      <w:r>
        <w:rPr>
          <w:rFonts w:ascii="宋体" w:hAnsi="宋体" w:cs="宋体" w:eastAsia="宋体" w:hint="default"/>
        </w:rPr>
        <w:t>2015</w:t>
      </w:r>
      <w:r>
        <w:rPr>
          <w:rFonts w:ascii="宋体" w:hAnsi="宋体" w:cs="宋体" w:eastAsia="宋体" w:hint="default"/>
          <w:spacing w:val="-63"/>
        </w:rPr>
        <w:t> </w:t>
      </w:r>
      <w:r>
        <w:rPr/>
        <w:t>年</w:t>
      </w:r>
    </w:p>
    <w:p>
      <w:pPr>
        <w:pStyle w:val="BodyText"/>
        <w:spacing w:line="283" w:lineRule="exact"/>
        <w:ind w:right="91"/>
        <w:jc w:val="left"/>
      </w:pPr>
      <w:r>
        <w:rPr>
          <w:rFonts w:ascii="宋体" w:hAnsi="宋体" w:cs="宋体" w:eastAsia="宋体" w:hint="default"/>
        </w:rPr>
        <w:t>12</w:t>
      </w:r>
      <w:r>
        <w:rPr>
          <w:rFonts w:ascii="宋体" w:hAnsi="宋体" w:cs="宋体" w:eastAsia="宋体" w:hint="default"/>
          <w:spacing w:val="-60"/>
        </w:rPr>
        <w:t> </w:t>
      </w:r>
      <w:r>
        <w:rPr>
          <w:spacing w:val="-6"/>
        </w:rPr>
        <w:t>月底，公司共申请中国专利</w:t>
      </w:r>
      <w:r>
        <w:rPr>
          <w:spacing w:val="-60"/>
        </w:rPr>
        <w:t> </w:t>
      </w:r>
      <w:r>
        <w:rPr>
          <w:rFonts w:ascii="宋体" w:hAnsi="宋体" w:cs="宋体" w:eastAsia="宋体" w:hint="default"/>
        </w:rPr>
        <w:t>2544</w:t>
      </w:r>
      <w:r>
        <w:rPr>
          <w:rFonts w:ascii="宋体" w:hAnsi="宋体" w:cs="宋体" w:eastAsia="宋体" w:hint="default"/>
          <w:spacing w:val="-60"/>
        </w:rPr>
        <w:t> </w:t>
      </w:r>
      <w:r>
        <w:rPr>
          <w:spacing w:val="-8"/>
        </w:rPr>
        <w:t>项，获得中国专利权</w:t>
      </w:r>
      <w:r>
        <w:rPr>
          <w:spacing w:val="-60"/>
        </w:rPr>
        <w:t> </w:t>
      </w:r>
      <w:r>
        <w:rPr>
          <w:rFonts w:ascii="宋体" w:hAnsi="宋体" w:cs="宋体" w:eastAsia="宋体" w:hint="default"/>
        </w:rPr>
        <w:t>1625</w:t>
      </w:r>
      <w:r>
        <w:rPr>
          <w:rFonts w:ascii="宋体" w:hAnsi="宋体" w:cs="宋体" w:eastAsia="宋体" w:hint="default"/>
          <w:spacing w:val="-60"/>
        </w:rPr>
        <w:t> </w:t>
      </w:r>
      <w:r>
        <w:rPr>
          <w:spacing w:val="-9"/>
        </w:rPr>
        <w:t>项，其中发明专利</w:t>
      </w:r>
      <w:r>
        <w:rPr>
          <w:spacing w:val="-60"/>
        </w:rPr>
        <w:t> </w:t>
      </w:r>
      <w:r>
        <w:rPr>
          <w:rFonts w:ascii="宋体" w:hAnsi="宋体" w:cs="宋体" w:eastAsia="宋体" w:hint="default"/>
        </w:rPr>
        <w:t>581</w:t>
      </w:r>
      <w:r>
        <w:rPr>
          <w:rFonts w:ascii="宋体" w:hAnsi="宋体" w:cs="宋体" w:eastAsia="宋体" w:hint="default"/>
          <w:spacing w:val="-60"/>
        </w:rPr>
        <w:t> </w:t>
      </w:r>
      <w:r>
        <w:rPr/>
        <w:t>项，</w:t>
      </w:r>
    </w:p>
    <w:p>
      <w:pPr>
        <w:pStyle w:val="BodyText"/>
        <w:spacing w:line="311" w:lineRule="exact"/>
        <w:ind w:right="91"/>
        <w:jc w:val="left"/>
      </w:pPr>
      <w:r>
        <w:rPr/>
        <w:t>实用新型专利</w:t>
      </w:r>
      <w:r>
        <w:rPr>
          <w:spacing w:val="-47"/>
        </w:rPr>
        <w:t> </w:t>
      </w:r>
      <w:r>
        <w:rPr>
          <w:rFonts w:ascii="宋体" w:hAnsi="宋体" w:cs="宋体" w:eastAsia="宋体" w:hint="default"/>
        </w:rPr>
        <w:t>913</w:t>
      </w:r>
      <w:r>
        <w:rPr>
          <w:rFonts w:ascii="宋体" w:hAnsi="宋体" w:cs="宋体" w:eastAsia="宋体" w:hint="default"/>
          <w:spacing w:val="-47"/>
        </w:rPr>
        <w:t> </w:t>
      </w:r>
      <w:r>
        <w:rPr/>
        <w:t>项，外观设计</w:t>
      </w:r>
      <w:r>
        <w:rPr>
          <w:spacing w:val="-46"/>
        </w:rPr>
        <w:t> </w:t>
      </w:r>
      <w:r>
        <w:rPr>
          <w:rFonts w:ascii="宋体" w:hAnsi="宋体" w:cs="宋体" w:eastAsia="宋体" w:hint="default"/>
        </w:rPr>
        <w:t>131</w:t>
      </w:r>
      <w:r>
        <w:rPr>
          <w:rFonts w:ascii="宋体" w:hAnsi="宋体" w:cs="宋体" w:eastAsia="宋体" w:hint="default"/>
          <w:spacing w:val="-47"/>
        </w:rPr>
        <w:t> </w:t>
      </w:r>
      <w:r>
        <w:rPr/>
        <w:t>项；申请并获得计算机软件登记著作权</w:t>
      </w:r>
      <w:r>
        <w:rPr>
          <w:spacing w:val="-46"/>
        </w:rPr>
        <w:t> </w:t>
      </w:r>
      <w:r>
        <w:rPr>
          <w:rFonts w:ascii="宋体" w:hAnsi="宋体" w:cs="宋体" w:eastAsia="宋体" w:hint="default"/>
        </w:rPr>
        <w:t>240</w:t>
      </w:r>
      <w:r>
        <w:rPr>
          <w:rFonts w:ascii="宋体" w:hAnsi="宋体" w:cs="宋体" w:eastAsia="宋体" w:hint="default"/>
          <w:spacing w:val="-47"/>
        </w:rPr>
        <w:t> </w:t>
      </w:r>
      <w:r>
        <w:rPr/>
        <w:t>项。共</w:t>
      </w:r>
    </w:p>
    <w:p>
      <w:pPr>
        <w:pStyle w:val="BodyText"/>
        <w:spacing w:line="312" w:lineRule="exact"/>
        <w:ind w:right="91"/>
        <w:jc w:val="left"/>
      </w:pPr>
      <w:r>
        <w:rPr/>
        <w:t>申请涉外专利</w:t>
      </w:r>
      <w:r>
        <w:rPr>
          <w:spacing w:val="-61"/>
        </w:rPr>
        <w:t> </w:t>
      </w:r>
      <w:r>
        <w:rPr>
          <w:rFonts w:ascii="宋体" w:hAnsi="宋体" w:cs="宋体" w:eastAsia="宋体" w:hint="default"/>
        </w:rPr>
        <w:t>1179</w:t>
      </w:r>
      <w:r>
        <w:rPr>
          <w:rFonts w:ascii="宋体" w:hAnsi="宋体" w:cs="宋体" w:eastAsia="宋体" w:hint="default"/>
          <w:spacing w:val="-60"/>
        </w:rPr>
        <w:t> </w:t>
      </w:r>
      <w:r>
        <w:rPr/>
        <w:t>项，已获得外国发明专利权</w:t>
      </w:r>
      <w:r>
        <w:rPr>
          <w:spacing w:val="-59"/>
        </w:rPr>
        <w:t> </w:t>
      </w:r>
      <w:r>
        <w:rPr>
          <w:rFonts w:ascii="宋体" w:hAnsi="宋体" w:cs="宋体" w:eastAsia="宋体" w:hint="default"/>
        </w:rPr>
        <w:t>428</w:t>
      </w:r>
      <w:r>
        <w:rPr>
          <w:rFonts w:ascii="宋体" w:hAnsi="宋体" w:cs="宋体" w:eastAsia="宋体" w:hint="default"/>
          <w:spacing w:val="-60"/>
        </w:rPr>
        <w:t> </w:t>
      </w:r>
      <w:r>
        <w:rPr/>
        <w:t>项。</w:t>
      </w:r>
    </w:p>
    <w:p>
      <w:pPr>
        <w:spacing w:after="0" w:line="312" w:lineRule="exact"/>
        <w:jc w:val="left"/>
        <w:sectPr>
          <w:pgSz w:w="11910" w:h="16840"/>
          <w:pgMar w:header="628" w:footer="760" w:top="1020" w:bottom="960" w:left="1260" w:right="10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7"/>
          <w:szCs w:val="27"/>
        </w:rPr>
      </w:pPr>
    </w:p>
    <w:p>
      <w:pPr>
        <w:pStyle w:val="Heading1"/>
        <w:tabs>
          <w:tab w:pos="4326" w:val="left" w:leader="none"/>
        </w:tabs>
        <w:spacing w:line="240" w:lineRule="auto"/>
        <w:ind w:left="3040" w:right="110"/>
        <w:jc w:val="left"/>
        <w:rPr>
          <w:b w:val="0"/>
          <w:bCs w:val="0"/>
        </w:rPr>
      </w:pPr>
      <w:bookmarkStart w:name="_TOC_250007" w:id="4"/>
      <w:r>
        <w:rPr>
          <w:w w:val="95"/>
        </w:rPr>
        <w:t>第四章</w:t>
        <w:tab/>
      </w:r>
      <w:r>
        <w:rPr/>
        <w:t>管理层讨论与分析</w:t>
      </w:r>
      <w:bookmarkEnd w:id="4"/>
      <w:r>
        <w:rPr>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4"/>
        <w:rPr>
          <w:rFonts w:ascii="黑体" w:hAnsi="黑体" w:cs="黑体" w:eastAsia="黑体" w:hint="default"/>
          <w:b/>
          <w:bCs/>
          <w:sz w:val="29"/>
          <w:szCs w:val="29"/>
        </w:rPr>
      </w:pPr>
    </w:p>
    <w:p>
      <w:pPr>
        <w:pStyle w:val="Heading2"/>
        <w:spacing w:line="240" w:lineRule="auto" w:before="14"/>
        <w:ind w:right="0"/>
        <w:jc w:val="both"/>
      </w:pPr>
      <w:r>
        <w:rPr/>
        <w:t>一、管理层讨论与分析</w:t>
      </w:r>
    </w:p>
    <w:p>
      <w:pPr>
        <w:spacing w:line="240" w:lineRule="auto" w:before="8"/>
        <w:rPr>
          <w:rFonts w:ascii="黑体" w:hAnsi="黑体" w:cs="黑体" w:eastAsia="黑体" w:hint="default"/>
          <w:sz w:val="28"/>
          <w:szCs w:val="28"/>
        </w:rPr>
      </w:pPr>
    </w:p>
    <w:p>
      <w:pPr>
        <w:pStyle w:val="BodyText"/>
        <w:spacing w:line="240" w:lineRule="auto"/>
        <w:ind w:left="238" w:right="0"/>
        <w:jc w:val="both"/>
      </w:pPr>
      <w:r>
        <w:rPr>
          <w:rFonts w:ascii="宋体" w:hAnsi="宋体" w:cs="宋体" w:eastAsia="宋体" w:hint="default"/>
        </w:rPr>
        <w:t>2015</w:t>
      </w:r>
      <w:r>
        <w:rPr>
          <w:rFonts w:ascii="宋体" w:hAnsi="宋体" w:cs="宋体" w:eastAsia="宋体" w:hint="default"/>
          <w:spacing w:val="-60"/>
        </w:rPr>
        <w:t> </w:t>
      </w:r>
      <w:r>
        <w:rPr/>
        <w:t>年是公司稳步增长、探索变革的一年。</w:t>
      </w:r>
    </w:p>
    <w:p>
      <w:pPr>
        <w:spacing w:line="240" w:lineRule="auto" w:before="9"/>
        <w:rPr>
          <w:rFonts w:ascii="宋体" w:hAnsi="宋体" w:cs="宋体" w:eastAsia="宋体" w:hint="default"/>
          <w:sz w:val="23"/>
          <w:szCs w:val="23"/>
        </w:rPr>
      </w:pPr>
    </w:p>
    <w:p>
      <w:pPr>
        <w:pStyle w:val="BodyText"/>
        <w:spacing w:line="237" w:lineRule="auto"/>
        <w:ind w:left="238" w:right="241"/>
        <w:jc w:val="both"/>
      </w:pPr>
      <w:r>
        <w:rPr/>
        <w:t>从宏观经济来看，过去一年，国际经济环境复杂严峻，世界经济增速和国际贸易增速低</w:t>
      </w:r>
      <w:r>
        <w:rPr>
          <w:spacing w:val="-51"/>
        </w:rPr>
        <w:t> </w:t>
      </w:r>
      <w:r>
        <w:rPr>
          <w:spacing w:val="-51"/>
        </w:rPr>
      </w:r>
      <w:r>
        <w:rPr/>
        <w:t>位运行，大宗商品价格深度下跌，国际金融市场震荡加剧，对我国经济造成了直接冲击</w:t>
      </w:r>
      <w:r>
        <w:rPr>
          <w:spacing w:val="-51"/>
        </w:rPr>
        <w:t> </w:t>
      </w:r>
      <w:r>
        <w:rPr>
          <w:spacing w:val="-51"/>
        </w:rPr>
      </w:r>
      <w:r>
        <w:rPr>
          <w:spacing w:val="-13"/>
        </w:rPr>
        <w:t>和影响。在国内方面，我国经济增速下行压力持续增大，国内生产总值近年来首次“破</w:t>
      </w:r>
      <w:r>
        <w:rPr>
          <w:spacing w:val="-29"/>
        </w:rPr>
        <w:t> </w:t>
      </w:r>
      <w:r>
        <w:rPr>
          <w:rFonts w:ascii="宋体" w:hAnsi="宋体" w:cs="宋体" w:eastAsia="宋体" w:hint="default"/>
          <w:spacing w:val="-80"/>
        </w:rPr>
        <w:t>7</w:t>
      </w:r>
      <w:r>
        <w:rPr>
          <w:spacing w:val="-80"/>
        </w:rPr>
        <w:t>”，</w:t>
      </w:r>
      <w:r>
        <w:rPr/>
      </w:r>
    </w:p>
    <w:p>
      <w:pPr>
        <w:pStyle w:val="BodyText"/>
        <w:spacing w:line="237" w:lineRule="auto" w:before="1"/>
        <w:ind w:left="238" w:right="241"/>
        <w:jc w:val="both"/>
      </w:pPr>
      <w:r>
        <w:rPr/>
        <w:t>宏观经济运行中的不确定性增加，国外主要经济体复苏乏力，国内随着经济结构性调整</w:t>
      </w:r>
      <w:r>
        <w:rPr>
          <w:spacing w:val="-51"/>
        </w:rPr>
        <w:t> </w:t>
      </w:r>
      <w:r>
        <w:rPr>
          <w:spacing w:val="-51"/>
        </w:rPr>
      </w:r>
      <w:r>
        <w:rPr/>
        <w:t>的展开，工业和房地产等固定资产投资项目增长大幅滑落，虽然新消费和服务业开始崛</w:t>
      </w:r>
      <w:r>
        <w:rPr>
          <w:spacing w:val="-51"/>
        </w:rPr>
        <w:t> </w:t>
      </w:r>
      <w:r>
        <w:rPr>
          <w:spacing w:val="-51"/>
        </w:rPr>
      </w:r>
      <w:r>
        <w:rPr>
          <w:spacing w:val="-5"/>
        </w:rPr>
        <w:t>起，但总体规模依然偏小。为此，我国政府采取了积极的推动支持政策，释放政策红利，</w:t>
      </w:r>
      <w:r>
        <w:rPr>
          <w:spacing w:val="-85"/>
        </w:rPr>
        <w:t> </w:t>
      </w:r>
      <w:r>
        <w:rPr>
          <w:spacing w:val="-85"/>
        </w:rPr>
      </w:r>
      <w:r>
        <w:rPr/>
        <w:t>在消费市场、地产投资和基建投资等方面逐渐发力，并进一步放宽货币政策，保持了经</w:t>
      </w:r>
      <w:r>
        <w:rPr>
          <w:spacing w:val="-52"/>
        </w:rPr>
        <w:t> </w:t>
      </w:r>
      <w:r>
        <w:rPr>
          <w:spacing w:val="-52"/>
        </w:rPr>
      </w:r>
      <w:r>
        <w:rPr>
          <w:spacing w:val="-4"/>
        </w:rPr>
        <w:t>济的稳步增长，实现了</w:t>
      </w:r>
      <w:r>
        <w:rPr>
          <w:spacing w:val="-54"/>
        </w:rPr>
        <w:t> </w:t>
      </w:r>
      <w:r>
        <w:rPr>
          <w:rFonts w:ascii="宋体" w:hAnsi="宋体" w:cs="宋体" w:eastAsia="宋体" w:hint="default"/>
        </w:rPr>
        <w:t>2015</w:t>
      </w:r>
      <w:r>
        <w:rPr>
          <w:rFonts w:ascii="宋体" w:hAnsi="宋体" w:cs="宋体" w:eastAsia="宋体" w:hint="default"/>
          <w:spacing w:val="-54"/>
        </w:rPr>
        <w:t> </w:t>
      </w:r>
      <w:r>
        <w:rPr/>
        <w:t>年国内生产总值</w:t>
      </w:r>
      <w:r>
        <w:rPr>
          <w:spacing w:val="-54"/>
        </w:rPr>
        <w:t> </w:t>
      </w:r>
      <w:r>
        <w:rPr>
          <w:rFonts w:ascii="宋体" w:hAnsi="宋体" w:cs="宋体" w:eastAsia="宋体" w:hint="default"/>
          <w:spacing w:val="-4"/>
        </w:rPr>
        <w:t>6.9%</w:t>
      </w:r>
      <w:r>
        <w:rPr>
          <w:spacing w:val="-4"/>
        </w:rPr>
        <w:t>，在世界主要经济体中位居前列。对企</w:t>
      </w:r>
      <w:r>
        <w:rPr/>
        <w:t> 业而言，一方面，以往的过度投资导致了工业层面出现大量的产能过剩，去产能和去库</w:t>
      </w:r>
      <w:r>
        <w:rPr>
          <w:spacing w:val="-51"/>
        </w:rPr>
        <w:t> </w:t>
      </w:r>
      <w:r>
        <w:rPr>
          <w:spacing w:val="-51"/>
        </w:rPr>
      </w:r>
      <w:r>
        <w:rPr/>
        <w:t>存成为传统制造业企业面临的重要难题。另一方面，结构性调整、基建投资加强、投融</w:t>
      </w:r>
      <w:r>
        <w:rPr>
          <w:spacing w:val="-51"/>
        </w:rPr>
        <w:t> </w:t>
      </w:r>
      <w:r>
        <w:rPr>
          <w:spacing w:val="-51"/>
        </w:rPr>
      </w:r>
      <w:r>
        <w:rPr/>
        <w:t>资体制改革、消费转型和服务业升级都为相关产业的发展提供了机遇。</w:t>
      </w:r>
    </w:p>
    <w:p>
      <w:pPr>
        <w:spacing w:line="240" w:lineRule="auto" w:before="10"/>
        <w:rPr>
          <w:rFonts w:ascii="宋体" w:hAnsi="宋体" w:cs="宋体" w:eastAsia="宋体" w:hint="default"/>
          <w:sz w:val="23"/>
          <w:szCs w:val="23"/>
        </w:rPr>
      </w:pPr>
    </w:p>
    <w:p>
      <w:pPr>
        <w:pStyle w:val="BodyText"/>
        <w:spacing w:line="237" w:lineRule="auto"/>
        <w:ind w:left="238" w:right="242"/>
        <w:jc w:val="both"/>
      </w:pPr>
      <w:r>
        <w:rPr>
          <w:spacing w:val="-8"/>
        </w:rPr>
        <w:t>为此，</w:t>
      </w:r>
      <w:r>
        <w:rPr>
          <w:rFonts w:ascii="宋体" w:hAnsi="宋体" w:cs="宋体" w:eastAsia="宋体" w:hint="default"/>
          <w:spacing w:val="-8"/>
        </w:rPr>
        <w:t>2015</w:t>
      </w:r>
      <w:r>
        <w:rPr>
          <w:rFonts w:ascii="宋体" w:hAnsi="宋体" w:cs="宋体" w:eastAsia="宋体" w:hint="default"/>
          <w:spacing w:val="-59"/>
        </w:rPr>
        <w:t> </w:t>
      </w:r>
      <w:r>
        <w:rPr>
          <w:spacing w:val="-5"/>
        </w:rPr>
        <w:t>年，公司把握经济改革结构性调整带来的产业机遇，在智慧城市、公共安全、</w:t>
      </w:r>
      <w:r>
        <w:rPr/>
        <w:t> 节能环保等市场领域实施积极的市场拓展策略，并持续实施技术、模式的创新，保证了</w:t>
      </w:r>
      <w:r>
        <w:rPr>
          <w:spacing w:val="-51"/>
        </w:rPr>
        <w:t> </w:t>
      </w:r>
      <w:r>
        <w:rPr>
          <w:spacing w:val="-51"/>
        </w:rPr>
      </w:r>
      <w:r>
        <w:rPr/>
        <w:t>收入规模的持续增长和毛利率的稳定。另一方面，公司对于毛利率较低，市场竞争激烈</w:t>
      </w:r>
      <w:r>
        <w:rPr>
          <w:spacing w:val="-51"/>
        </w:rPr>
        <w:t> </w:t>
      </w:r>
      <w:r>
        <w:rPr>
          <w:spacing w:val="-51"/>
        </w:rPr>
      </w:r>
      <w:r>
        <w:rPr/>
        <w:t>的多媒体产品国内市场部分采取了收缩政策，逐步减小经营规模，通过“有进有退”的</w:t>
      </w:r>
      <w:r>
        <w:rPr>
          <w:spacing w:val="-51"/>
        </w:rPr>
        <w:t> </w:t>
      </w:r>
      <w:r>
        <w:rPr>
          <w:spacing w:val="-51"/>
        </w:rPr>
      </w:r>
      <w:r>
        <w:rPr/>
        <w:t>产业布局以保证企业的健康持续发展。</w:t>
      </w:r>
    </w:p>
    <w:p>
      <w:pPr>
        <w:spacing w:line="240" w:lineRule="auto" w:before="10"/>
        <w:rPr>
          <w:rFonts w:ascii="宋体" w:hAnsi="宋体" w:cs="宋体" w:eastAsia="宋体" w:hint="default"/>
          <w:sz w:val="23"/>
          <w:szCs w:val="23"/>
        </w:rPr>
      </w:pPr>
    </w:p>
    <w:p>
      <w:pPr>
        <w:pStyle w:val="BodyText"/>
        <w:spacing w:line="237" w:lineRule="auto"/>
        <w:ind w:left="238" w:right="241"/>
        <w:jc w:val="both"/>
      </w:pPr>
      <w:r>
        <w:rPr/>
        <w:t>本年度，公司顺利完成了非公开发行股票方案，募集资金</w:t>
      </w:r>
      <w:r>
        <w:rPr>
          <w:spacing w:val="-78"/>
        </w:rPr>
        <w:t> </w:t>
      </w:r>
      <w:r>
        <w:rPr>
          <w:rFonts w:ascii="宋体" w:hAnsi="宋体" w:cs="宋体" w:eastAsia="宋体" w:hint="default"/>
        </w:rPr>
        <w:t>55</w:t>
      </w:r>
      <w:r>
        <w:rPr>
          <w:rFonts w:ascii="宋体" w:hAnsi="宋体" w:cs="宋体" w:eastAsia="宋体" w:hint="default"/>
          <w:spacing w:val="-78"/>
        </w:rPr>
        <w:t> </w:t>
      </w:r>
      <w:r>
        <w:rPr/>
        <w:t>亿元，进一步优化了资产负 债结构，降低了财务风险。此外，为进一步落实国务院关于深化国有企业改革指导意见</w:t>
      </w:r>
      <w:r>
        <w:rPr>
          <w:spacing w:val="-51"/>
        </w:rPr>
        <w:t> </w:t>
      </w:r>
      <w:r>
        <w:rPr>
          <w:spacing w:val="-51"/>
        </w:rPr>
      </w:r>
      <w:r>
        <w:rPr/>
        <w:t>的精神，公司根据清华产业的整体统一部署，将持有的同方国芯</w:t>
      </w:r>
      <w:r>
        <w:rPr>
          <w:spacing w:val="-38"/>
        </w:rPr>
        <w:t> </w:t>
      </w:r>
      <w:r>
        <w:rPr>
          <w:rFonts w:ascii="宋体" w:hAnsi="宋体" w:cs="宋体" w:eastAsia="宋体" w:hint="default"/>
        </w:rPr>
        <w:t>36.39%</w:t>
      </w:r>
      <w:r>
        <w:rPr/>
        <w:t>的股权转让给了 紫光集团下属西藏紫光春华投资有限公司。截至本年报披露日，本次股权转让已完成股</w:t>
      </w:r>
      <w:r>
        <w:rPr>
          <w:spacing w:val="-53"/>
        </w:rPr>
        <w:t> </w:t>
      </w:r>
      <w:r>
        <w:rPr>
          <w:spacing w:val="-53"/>
        </w:rPr>
      </w:r>
      <w:r>
        <w:rPr/>
        <w:t>份过户手续。</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17"/>
          <w:szCs w:val="17"/>
        </w:rPr>
      </w:pPr>
    </w:p>
    <w:p>
      <w:pPr>
        <w:pStyle w:val="Heading2"/>
        <w:spacing w:line="240" w:lineRule="auto"/>
        <w:ind w:right="0"/>
        <w:jc w:val="both"/>
      </w:pPr>
      <w:r>
        <w:rPr/>
        <w:t>二、报告期内主要经营情况</w:t>
      </w:r>
    </w:p>
    <w:p>
      <w:pPr>
        <w:spacing w:line="240" w:lineRule="auto" w:before="8"/>
        <w:rPr>
          <w:rFonts w:ascii="黑体" w:hAnsi="黑体" w:cs="黑体" w:eastAsia="黑体" w:hint="default"/>
          <w:sz w:val="28"/>
          <w:szCs w:val="28"/>
        </w:rPr>
      </w:pPr>
    </w:p>
    <w:p>
      <w:pPr>
        <w:pStyle w:val="Heading3"/>
        <w:spacing w:line="240" w:lineRule="auto"/>
        <w:ind w:right="110"/>
        <w:jc w:val="left"/>
        <w:rPr>
          <w:b w:val="0"/>
          <w:bCs w:val="0"/>
        </w:rPr>
      </w:pPr>
      <w:r>
        <w:rPr>
          <w:rFonts w:ascii="宋体" w:hAnsi="宋体" w:cs="宋体" w:eastAsia="宋体" w:hint="default"/>
        </w:rPr>
        <w:t>(</w:t>
      </w:r>
      <w:r>
        <w:rPr/>
        <w:t>一</w:t>
      </w:r>
      <w:r>
        <w:rPr>
          <w:rFonts w:ascii="宋体" w:hAnsi="宋体" w:cs="宋体" w:eastAsia="宋体" w:hint="default"/>
        </w:rPr>
        <w:t>)</w:t>
      </w:r>
      <w:r>
        <w:rPr/>
        <w:t>主营业务分析</w:t>
      </w:r>
      <w:r>
        <w:rPr>
          <w:b w:val="0"/>
          <w:bCs w:val="0"/>
        </w:rPr>
      </w:r>
    </w:p>
    <w:p>
      <w:pPr>
        <w:spacing w:line="240" w:lineRule="auto" w:before="7"/>
        <w:rPr>
          <w:rFonts w:ascii="宋体" w:hAnsi="宋体" w:cs="宋体" w:eastAsia="宋体" w:hint="default"/>
          <w:b/>
          <w:bCs/>
          <w:sz w:val="23"/>
          <w:szCs w:val="23"/>
        </w:rPr>
      </w:pPr>
    </w:p>
    <w:p>
      <w:pPr>
        <w:pStyle w:val="Heading3"/>
        <w:spacing w:line="240" w:lineRule="auto"/>
        <w:ind w:left="2670" w:right="110"/>
        <w:jc w:val="left"/>
        <w:rPr>
          <w:b w:val="0"/>
          <w:bCs w:val="0"/>
        </w:rPr>
      </w:pPr>
      <w:r>
        <w:rPr/>
        <w:t>利润表及现金流量表相关科目变动分析表</w:t>
      </w:r>
      <w:r>
        <w:rPr>
          <w:b w:val="0"/>
          <w:bCs w:val="0"/>
        </w:rPr>
      </w:r>
    </w:p>
    <w:p>
      <w:pPr>
        <w:spacing w:line="240" w:lineRule="auto" w:before="13"/>
        <w:rPr>
          <w:rFonts w:ascii="宋体" w:hAnsi="宋体" w:cs="宋体" w:eastAsia="宋体" w:hint="default"/>
          <w:b/>
          <w:bCs/>
          <w:sz w:val="23"/>
          <w:szCs w:val="23"/>
        </w:rPr>
      </w:pPr>
    </w:p>
    <w:p>
      <w:pPr>
        <w:spacing w:before="0"/>
        <w:ind w:left="0" w:right="239"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3380"/>
        <w:gridCol w:w="1961"/>
        <w:gridCol w:w="2040"/>
        <w:gridCol w:w="2038"/>
      </w:tblGrid>
      <w:tr>
        <w:trPr>
          <w:trHeight w:val="293" w:hRule="exact"/>
        </w:trPr>
        <w:tc>
          <w:tcPr>
            <w:tcW w:w="3380" w:type="dxa"/>
            <w:tcBorders>
              <w:top w:val="single" w:sz="12" w:space="0" w:color="000000"/>
              <w:left w:val="single" w:sz="12" w:space="0" w:color="000000"/>
              <w:bottom w:val="single" w:sz="6" w:space="0" w:color="000000"/>
              <w:right w:val="single" w:sz="6" w:space="0" w:color="000000"/>
            </w:tcBorders>
          </w:tcPr>
          <w:p>
            <w:pPr>
              <w:pStyle w:val="TableParagraph"/>
              <w:spacing w:line="235" w:lineRule="exact"/>
              <w:ind w:right="5"/>
              <w:jc w:val="center"/>
              <w:rPr>
                <w:rFonts w:ascii="宋体" w:hAnsi="宋体" w:cs="宋体" w:eastAsia="宋体" w:hint="default"/>
                <w:sz w:val="20"/>
                <w:szCs w:val="20"/>
              </w:rPr>
            </w:pPr>
            <w:r>
              <w:rPr>
                <w:rFonts w:ascii="宋体" w:hAnsi="宋体" w:cs="宋体" w:eastAsia="宋体" w:hint="default"/>
                <w:b/>
                <w:bCs/>
                <w:sz w:val="20"/>
                <w:szCs w:val="20"/>
              </w:rPr>
              <w:t>科目</w:t>
            </w:r>
            <w:r>
              <w:rPr>
                <w:rFonts w:ascii="宋体" w:hAnsi="宋体" w:cs="宋体" w:eastAsia="宋体" w:hint="default"/>
                <w:sz w:val="20"/>
                <w:szCs w:val="20"/>
              </w:rPr>
            </w:r>
          </w:p>
        </w:tc>
        <w:tc>
          <w:tcPr>
            <w:tcW w:w="1961" w:type="dxa"/>
            <w:tcBorders>
              <w:top w:val="single" w:sz="12" w:space="0" w:color="000000"/>
              <w:left w:val="single" w:sz="6" w:space="0" w:color="000000"/>
              <w:bottom w:val="single" w:sz="6" w:space="0" w:color="000000"/>
              <w:right w:val="single" w:sz="6" w:space="0" w:color="000000"/>
            </w:tcBorders>
          </w:tcPr>
          <w:p>
            <w:pPr>
              <w:pStyle w:val="TableParagraph"/>
              <w:spacing w:line="235" w:lineRule="exact"/>
              <w:ind w:left="2" w:right="0"/>
              <w:jc w:val="center"/>
              <w:rPr>
                <w:rFonts w:ascii="宋体" w:hAnsi="宋体" w:cs="宋体" w:eastAsia="宋体" w:hint="default"/>
                <w:sz w:val="20"/>
                <w:szCs w:val="20"/>
              </w:rPr>
            </w:pPr>
            <w:r>
              <w:rPr>
                <w:rFonts w:ascii="宋体" w:hAnsi="宋体" w:cs="宋体" w:eastAsia="宋体" w:hint="default"/>
                <w:b/>
                <w:bCs/>
                <w:spacing w:val="2"/>
                <w:sz w:val="20"/>
                <w:szCs w:val="20"/>
              </w:rPr>
              <w:t>本期数</w:t>
            </w:r>
            <w:r>
              <w:rPr>
                <w:rFonts w:ascii="宋体" w:hAnsi="宋体" w:cs="宋体" w:eastAsia="宋体" w:hint="default"/>
                <w:sz w:val="20"/>
                <w:szCs w:val="20"/>
              </w:rPr>
            </w:r>
          </w:p>
        </w:tc>
        <w:tc>
          <w:tcPr>
            <w:tcW w:w="2040" w:type="dxa"/>
            <w:tcBorders>
              <w:top w:val="single" w:sz="12" w:space="0" w:color="000000"/>
              <w:left w:val="single" w:sz="6" w:space="0" w:color="000000"/>
              <w:bottom w:val="single" w:sz="6" w:space="0" w:color="000000"/>
              <w:right w:val="single" w:sz="6" w:space="0" w:color="000000"/>
            </w:tcBorders>
          </w:tcPr>
          <w:p>
            <w:pPr>
              <w:pStyle w:val="TableParagraph"/>
              <w:spacing w:line="235" w:lineRule="exact"/>
              <w:ind w:left="508" w:right="0"/>
              <w:jc w:val="left"/>
              <w:rPr>
                <w:rFonts w:ascii="宋体" w:hAnsi="宋体" w:cs="宋体" w:eastAsia="宋体" w:hint="default"/>
                <w:sz w:val="20"/>
                <w:szCs w:val="20"/>
              </w:rPr>
            </w:pPr>
            <w:r>
              <w:rPr>
                <w:rFonts w:ascii="宋体" w:hAnsi="宋体" w:cs="宋体" w:eastAsia="宋体" w:hint="default"/>
                <w:b/>
                <w:bCs/>
                <w:sz w:val="20"/>
                <w:szCs w:val="20"/>
              </w:rPr>
              <w:t>上年同期数</w:t>
            </w:r>
            <w:r>
              <w:rPr>
                <w:rFonts w:ascii="宋体" w:hAnsi="宋体" w:cs="宋体" w:eastAsia="宋体" w:hint="default"/>
                <w:sz w:val="20"/>
                <w:szCs w:val="20"/>
              </w:rPr>
            </w:r>
          </w:p>
        </w:tc>
        <w:tc>
          <w:tcPr>
            <w:tcW w:w="2038" w:type="dxa"/>
            <w:tcBorders>
              <w:top w:val="single" w:sz="12" w:space="0" w:color="000000"/>
              <w:left w:val="single" w:sz="6" w:space="0" w:color="000000"/>
              <w:bottom w:val="single" w:sz="6" w:space="0" w:color="000000"/>
              <w:right w:val="single" w:sz="12" w:space="0" w:color="000000"/>
            </w:tcBorders>
          </w:tcPr>
          <w:p>
            <w:pPr>
              <w:pStyle w:val="TableParagraph"/>
              <w:spacing w:line="250" w:lineRule="exact"/>
              <w:ind w:left="439" w:right="0"/>
              <w:jc w:val="left"/>
              <w:rPr>
                <w:rFonts w:ascii="Times New Roman" w:hAnsi="Times New Roman" w:cs="Times New Roman" w:eastAsia="Times New Roman" w:hint="default"/>
                <w:sz w:val="20"/>
                <w:szCs w:val="20"/>
              </w:rPr>
            </w:pPr>
            <w:r>
              <w:rPr>
                <w:rFonts w:ascii="宋体" w:hAnsi="宋体" w:cs="宋体" w:eastAsia="宋体" w:hint="default"/>
                <w:b/>
                <w:bCs/>
                <w:sz w:val="20"/>
                <w:szCs w:val="20"/>
              </w:rPr>
              <w:t>变动比例</w:t>
            </w:r>
            <w:r>
              <w:rPr>
                <w:rFonts w:ascii="Times New Roman" w:hAnsi="Times New Roman" w:cs="Times New Roman" w:eastAsia="Times New Roman" w:hint="default"/>
                <w:b/>
                <w:bCs/>
                <w:sz w:val="20"/>
                <w:szCs w:val="20"/>
              </w:rPr>
              <w:t>(%)</w:t>
            </w:r>
            <w:r>
              <w:rPr>
                <w:rFonts w:ascii="Times New Roman" w:hAnsi="Times New Roman" w:cs="Times New Roman" w:eastAsia="Times New Roman" w:hint="default"/>
                <w:sz w:val="20"/>
                <w:szCs w:val="20"/>
              </w:rPr>
            </w:r>
          </w:p>
        </w:tc>
      </w:tr>
      <w:tr>
        <w:trPr>
          <w:trHeight w:val="286" w:hRule="exact"/>
        </w:trPr>
        <w:tc>
          <w:tcPr>
            <w:tcW w:w="3380"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w w:val="95"/>
                <w:sz w:val="20"/>
              </w:rPr>
              <w:t>28,447,284,180.28</w:t>
            </w:r>
            <w:r>
              <w:rPr>
                <w:rFonts w:ascii="Times New Roman"/>
                <w:sz w:val="20"/>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w w:val="95"/>
                <w:sz w:val="20"/>
              </w:rPr>
              <w:t>25,993,724,026.86</w:t>
            </w:r>
            <w:r>
              <w:rPr>
                <w:rFonts w:ascii="Times New Roman"/>
                <w:sz w:val="20"/>
              </w:rPr>
            </w:r>
          </w:p>
        </w:tc>
        <w:tc>
          <w:tcPr>
            <w:tcW w:w="20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20"/>
                <w:szCs w:val="20"/>
              </w:rPr>
            </w:pPr>
            <w:r>
              <w:rPr>
                <w:rFonts w:ascii="Times New Roman"/>
                <w:sz w:val="20"/>
              </w:rPr>
              <w:t>9.44%</w:t>
            </w:r>
          </w:p>
        </w:tc>
      </w:tr>
      <w:tr>
        <w:trPr>
          <w:trHeight w:val="290" w:hRule="exact"/>
        </w:trPr>
        <w:tc>
          <w:tcPr>
            <w:tcW w:w="3380" w:type="dxa"/>
            <w:tcBorders>
              <w:top w:val="single" w:sz="6" w:space="0" w:color="000000"/>
              <w:left w:val="single" w:sz="12" w:space="0" w:color="000000"/>
              <w:bottom w:val="single" w:sz="12"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营业成本</w:t>
            </w:r>
          </w:p>
        </w:tc>
        <w:tc>
          <w:tcPr>
            <w:tcW w:w="196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w w:val="95"/>
                <w:sz w:val="20"/>
              </w:rPr>
              <w:t>22,930,738,937.57</w:t>
            </w:r>
            <w:r>
              <w:rPr>
                <w:rFonts w:ascii="Times New Roman"/>
                <w:sz w:val="20"/>
              </w:rPr>
            </w:r>
          </w:p>
        </w:tc>
        <w:tc>
          <w:tcPr>
            <w:tcW w:w="20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w w:val="95"/>
                <w:sz w:val="20"/>
              </w:rPr>
              <w:t>20,829,692,216.26</w:t>
            </w:r>
            <w:r>
              <w:rPr>
                <w:rFonts w:ascii="Times New Roman"/>
                <w:sz w:val="20"/>
              </w:rPr>
            </w:r>
          </w:p>
        </w:tc>
        <w:tc>
          <w:tcPr>
            <w:tcW w:w="203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20"/>
                <w:szCs w:val="20"/>
              </w:rPr>
            </w:pPr>
            <w:r>
              <w:rPr>
                <w:rFonts w:ascii="Times New Roman"/>
                <w:sz w:val="20"/>
              </w:rPr>
              <w:t>10.09%</w:t>
            </w:r>
          </w:p>
        </w:tc>
      </w:tr>
    </w:tbl>
    <w:p>
      <w:pPr>
        <w:spacing w:after="0" w:line="240" w:lineRule="auto"/>
        <w:jc w:val="right"/>
        <w:rPr>
          <w:rFonts w:ascii="Times New Roman" w:hAnsi="Times New Roman" w:cs="Times New Roman" w:eastAsia="Times New Roman" w:hint="default"/>
          <w:sz w:val="20"/>
          <w:szCs w:val="20"/>
        </w:rPr>
        <w:sectPr>
          <w:pgSz w:w="11910" w:h="16840"/>
          <w:pgMar w:header="628" w:footer="760" w:top="1020" w:bottom="960" w:left="1180" w:right="10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1"/>
          <w:szCs w:val="11"/>
        </w:rPr>
      </w:pPr>
    </w:p>
    <w:tbl>
      <w:tblPr>
        <w:tblW w:w="0" w:type="auto"/>
        <w:jc w:val="left"/>
        <w:tblInd w:w="116" w:type="dxa"/>
        <w:tblLayout w:type="fixed"/>
        <w:tblCellMar>
          <w:top w:w="0" w:type="dxa"/>
          <w:left w:w="0" w:type="dxa"/>
          <w:bottom w:w="0" w:type="dxa"/>
          <w:right w:w="0" w:type="dxa"/>
        </w:tblCellMar>
        <w:tblLook w:val="01E0"/>
      </w:tblPr>
      <w:tblGrid>
        <w:gridCol w:w="3380"/>
        <w:gridCol w:w="1961"/>
        <w:gridCol w:w="2040"/>
        <w:gridCol w:w="2038"/>
      </w:tblGrid>
      <w:tr>
        <w:trPr>
          <w:trHeight w:val="293" w:hRule="exact"/>
        </w:trPr>
        <w:tc>
          <w:tcPr>
            <w:tcW w:w="3380" w:type="dxa"/>
            <w:tcBorders>
              <w:top w:val="single" w:sz="12" w:space="0" w:color="000000"/>
              <w:left w:val="single" w:sz="12" w:space="0" w:color="000000"/>
              <w:bottom w:val="single" w:sz="6" w:space="0" w:color="000000"/>
              <w:right w:val="single" w:sz="6" w:space="0" w:color="000000"/>
            </w:tcBorders>
          </w:tcPr>
          <w:p>
            <w:pPr>
              <w:pStyle w:val="TableParagraph"/>
              <w:spacing w:line="235" w:lineRule="exact"/>
              <w:ind w:right="5"/>
              <w:jc w:val="center"/>
              <w:rPr>
                <w:rFonts w:ascii="宋体" w:hAnsi="宋体" w:cs="宋体" w:eastAsia="宋体" w:hint="default"/>
                <w:sz w:val="20"/>
                <w:szCs w:val="20"/>
              </w:rPr>
            </w:pPr>
            <w:r>
              <w:rPr>
                <w:rFonts w:ascii="宋体" w:hAnsi="宋体" w:cs="宋体" w:eastAsia="宋体" w:hint="default"/>
                <w:b/>
                <w:bCs/>
                <w:sz w:val="20"/>
                <w:szCs w:val="20"/>
              </w:rPr>
              <w:t>科目</w:t>
            </w:r>
            <w:r>
              <w:rPr>
                <w:rFonts w:ascii="宋体" w:hAnsi="宋体" w:cs="宋体" w:eastAsia="宋体" w:hint="default"/>
                <w:sz w:val="20"/>
                <w:szCs w:val="20"/>
              </w:rPr>
            </w:r>
          </w:p>
        </w:tc>
        <w:tc>
          <w:tcPr>
            <w:tcW w:w="1961" w:type="dxa"/>
            <w:tcBorders>
              <w:top w:val="single" w:sz="12" w:space="0" w:color="000000"/>
              <w:left w:val="single" w:sz="6" w:space="0" w:color="000000"/>
              <w:bottom w:val="single" w:sz="6" w:space="0" w:color="000000"/>
              <w:right w:val="single" w:sz="6" w:space="0" w:color="000000"/>
            </w:tcBorders>
          </w:tcPr>
          <w:p>
            <w:pPr>
              <w:pStyle w:val="TableParagraph"/>
              <w:spacing w:line="235" w:lineRule="exact"/>
              <w:ind w:left="2" w:right="0"/>
              <w:jc w:val="center"/>
              <w:rPr>
                <w:rFonts w:ascii="宋体" w:hAnsi="宋体" w:cs="宋体" w:eastAsia="宋体" w:hint="default"/>
                <w:sz w:val="20"/>
                <w:szCs w:val="20"/>
              </w:rPr>
            </w:pPr>
            <w:r>
              <w:rPr>
                <w:rFonts w:ascii="宋体" w:hAnsi="宋体" w:cs="宋体" w:eastAsia="宋体" w:hint="default"/>
                <w:b/>
                <w:bCs/>
                <w:spacing w:val="2"/>
                <w:sz w:val="20"/>
                <w:szCs w:val="20"/>
              </w:rPr>
              <w:t>本期数</w:t>
            </w:r>
            <w:r>
              <w:rPr>
                <w:rFonts w:ascii="宋体" w:hAnsi="宋体" w:cs="宋体" w:eastAsia="宋体" w:hint="default"/>
                <w:sz w:val="20"/>
                <w:szCs w:val="20"/>
              </w:rPr>
            </w:r>
          </w:p>
        </w:tc>
        <w:tc>
          <w:tcPr>
            <w:tcW w:w="2040" w:type="dxa"/>
            <w:tcBorders>
              <w:top w:val="single" w:sz="12" w:space="0" w:color="000000"/>
              <w:left w:val="single" w:sz="6" w:space="0" w:color="000000"/>
              <w:bottom w:val="single" w:sz="6" w:space="0" w:color="000000"/>
              <w:right w:val="single" w:sz="6" w:space="0" w:color="000000"/>
            </w:tcBorders>
          </w:tcPr>
          <w:p>
            <w:pPr>
              <w:pStyle w:val="TableParagraph"/>
              <w:spacing w:line="235" w:lineRule="exact"/>
              <w:ind w:left="508" w:right="0"/>
              <w:jc w:val="left"/>
              <w:rPr>
                <w:rFonts w:ascii="宋体" w:hAnsi="宋体" w:cs="宋体" w:eastAsia="宋体" w:hint="default"/>
                <w:sz w:val="20"/>
                <w:szCs w:val="20"/>
              </w:rPr>
            </w:pPr>
            <w:r>
              <w:rPr>
                <w:rFonts w:ascii="宋体" w:hAnsi="宋体" w:cs="宋体" w:eastAsia="宋体" w:hint="default"/>
                <w:b/>
                <w:bCs/>
                <w:sz w:val="20"/>
                <w:szCs w:val="20"/>
              </w:rPr>
              <w:t>上年同期数</w:t>
            </w:r>
            <w:r>
              <w:rPr>
                <w:rFonts w:ascii="宋体" w:hAnsi="宋体" w:cs="宋体" w:eastAsia="宋体" w:hint="default"/>
                <w:sz w:val="20"/>
                <w:szCs w:val="20"/>
              </w:rPr>
            </w:r>
          </w:p>
        </w:tc>
        <w:tc>
          <w:tcPr>
            <w:tcW w:w="2038" w:type="dxa"/>
            <w:tcBorders>
              <w:top w:val="single" w:sz="12" w:space="0" w:color="000000"/>
              <w:left w:val="single" w:sz="6" w:space="0" w:color="000000"/>
              <w:bottom w:val="single" w:sz="6" w:space="0" w:color="000000"/>
              <w:right w:val="single" w:sz="12" w:space="0" w:color="000000"/>
            </w:tcBorders>
          </w:tcPr>
          <w:p>
            <w:pPr>
              <w:pStyle w:val="TableParagraph"/>
              <w:spacing w:line="250" w:lineRule="exact"/>
              <w:ind w:left="439" w:right="0"/>
              <w:jc w:val="left"/>
              <w:rPr>
                <w:rFonts w:ascii="Times New Roman" w:hAnsi="Times New Roman" w:cs="Times New Roman" w:eastAsia="Times New Roman" w:hint="default"/>
                <w:sz w:val="20"/>
                <w:szCs w:val="20"/>
              </w:rPr>
            </w:pPr>
            <w:r>
              <w:rPr>
                <w:rFonts w:ascii="宋体" w:hAnsi="宋体" w:cs="宋体" w:eastAsia="宋体" w:hint="default"/>
                <w:b/>
                <w:bCs/>
                <w:sz w:val="20"/>
                <w:szCs w:val="20"/>
              </w:rPr>
              <w:t>变动比例</w:t>
            </w:r>
            <w:r>
              <w:rPr>
                <w:rFonts w:ascii="Times New Roman" w:hAnsi="Times New Roman" w:cs="Times New Roman" w:eastAsia="Times New Roman" w:hint="default"/>
                <w:b/>
                <w:bCs/>
                <w:sz w:val="20"/>
                <w:szCs w:val="20"/>
              </w:rPr>
              <w:t>(%)</w:t>
            </w:r>
            <w:r>
              <w:rPr>
                <w:rFonts w:ascii="Times New Roman" w:hAnsi="Times New Roman" w:cs="Times New Roman" w:eastAsia="Times New Roman" w:hint="default"/>
                <w:sz w:val="20"/>
                <w:szCs w:val="20"/>
              </w:rPr>
            </w:r>
          </w:p>
        </w:tc>
      </w:tr>
      <w:tr>
        <w:trPr>
          <w:trHeight w:val="286" w:hRule="exact"/>
        </w:trPr>
        <w:tc>
          <w:tcPr>
            <w:tcW w:w="3380"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营业税金及附加</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w w:val="95"/>
                <w:sz w:val="20"/>
              </w:rPr>
              <w:t>166,126,555.94</w:t>
            </w:r>
            <w:r>
              <w:rPr>
                <w:rFonts w:ascii="Times New Roman"/>
                <w:sz w:val="20"/>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w w:val="95"/>
                <w:sz w:val="20"/>
              </w:rPr>
              <w:t>107,847,318.32</w:t>
            </w:r>
            <w:r>
              <w:rPr>
                <w:rFonts w:ascii="Times New Roman"/>
                <w:sz w:val="20"/>
              </w:rPr>
            </w:r>
          </w:p>
        </w:tc>
        <w:tc>
          <w:tcPr>
            <w:tcW w:w="20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20"/>
                <w:szCs w:val="20"/>
              </w:rPr>
            </w:pPr>
            <w:r>
              <w:rPr>
                <w:rFonts w:ascii="Times New Roman"/>
                <w:sz w:val="20"/>
              </w:rPr>
              <w:t>54.04%</w:t>
            </w:r>
          </w:p>
        </w:tc>
      </w:tr>
      <w:tr>
        <w:trPr>
          <w:trHeight w:val="283" w:hRule="exact"/>
        </w:trPr>
        <w:tc>
          <w:tcPr>
            <w:tcW w:w="3380"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销售费用</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spacing w:val="-1"/>
                <w:sz w:val="20"/>
              </w:rPr>
              <w:t>1,964,452,807.79</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spacing w:val="-1"/>
                <w:sz w:val="20"/>
              </w:rPr>
              <w:t>1,702,955,135.50</w:t>
            </w:r>
          </w:p>
        </w:tc>
        <w:tc>
          <w:tcPr>
            <w:tcW w:w="20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20"/>
                <w:szCs w:val="20"/>
              </w:rPr>
            </w:pPr>
            <w:r>
              <w:rPr>
                <w:rFonts w:ascii="Times New Roman"/>
                <w:sz w:val="20"/>
              </w:rPr>
              <w:t>15.36%</w:t>
            </w:r>
          </w:p>
        </w:tc>
      </w:tr>
      <w:tr>
        <w:trPr>
          <w:trHeight w:val="286" w:hRule="exact"/>
        </w:trPr>
        <w:tc>
          <w:tcPr>
            <w:tcW w:w="3380" w:type="dxa"/>
            <w:tcBorders>
              <w:top w:val="single" w:sz="6" w:space="0" w:color="000000"/>
              <w:left w:val="single" w:sz="12" w:space="0" w:color="000000"/>
              <w:bottom w:val="single" w:sz="6" w:space="0" w:color="000000"/>
              <w:right w:val="single" w:sz="6" w:space="0" w:color="000000"/>
            </w:tcBorders>
          </w:tcPr>
          <w:p>
            <w:pPr>
              <w:pStyle w:val="TableParagraph"/>
              <w:spacing w:line="237" w:lineRule="exact"/>
              <w:ind w:left="93"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spacing w:val="-1"/>
                <w:sz w:val="20"/>
              </w:rPr>
              <w:t>2,428,925,970.20</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spacing w:val="-1"/>
                <w:sz w:val="20"/>
              </w:rPr>
              <w:t>1,819,071,593.99</w:t>
            </w:r>
          </w:p>
        </w:tc>
        <w:tc>
          <w:tcPr>
            <w:tcW w:w="20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2"/>
              <w:jc w:val="right"/>
              <w:rPr>
                <w:rFonts w:ascii="Times New Roman" w:hAnsi="Times New Roman" w:cs="Times New Roman" w:eastAsia="Times New Roman" w:hint="default"/>
                <w:sz w:val="20"/>
                <w:szCs w:val="20"/>
              </w:rPr>
            </w:pPr>
            <w:r>
              <w:rPr>
                <w:rFonts w:ascii="Times New Roman"/>
                <w:sz w:val="20"/>
              </w:rPr>
              <w:t>33.53%</w:t>
            </w:r>
          </w:p>
        </w:tc>
      </w:tr>
      <w:tr>
        <w:trPr>
          <w:trHeight w:val="286" w:hRule="exact"/>
        </w:trPr>
        <w:tc>
          <w:tcPr>
            <w:tcW w:w="3380"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w w:val="95"/>
                <w:sz w:val="20"/>
              </w:rPr>
              <w:t>960,733,804.39</w:t>
            </w:r>
            <w:r>
              <w:rPr>
                <w:rFonts w:ascii="Times New Roman"/>
                <w:sz w:val="20"/>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spacing w:val="-1"/>
                <w:sz w:val="20"/>
              </w:rPr>
              <w:t>1,133,948,001.75</w:t>
            </w:r>
          </w:p>
        </w:tc>
        <w:tc>
          <w:tcPr>
            <w:tcW w:w="20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4"/>
              <w:jc w:val="right"/>
              <w:rPr>
                <w:rFonts w:ascii="Times New Roman" w:hAnsi="Times New Roman" w:cs="Times New Roman" w:eastAsia="Times New Roman" w:hint="default"/>
                <w:sz w:val="20"/>
                <w:szCs w:val="20"/>
              </w:rPr>
            </w:pPr>
            <w:r>
              <w:rPr>
                <w:rFonts w:ascii="Times New Roman"/>
                <w:w w:val="95"/>
                <w:sz w:val="20"/>
              </w:rPr>
              <w:t>-15.28%</w:t>
            </w:r>
            <w:r>
              <w:rPr>
                <w:rFonts w:ascii="Times New Roman"/>
                <w:sz w:val="20"/>
              </w:rPr>
            </w:r>
          </w:p>
        </w:tc>
      </w:tr>
      <w:tr>
        <w:trPr>
          <w:trHeight w:val="286" w:hRule="exact"/>
        </w:trPr>
        <w:tc>
          <w:tcPr>
            <w:tcW w:w="3380"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资产减值损失</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w w:val="95"/>
                <w:sz w:val="20"/>
              </w:rPr>
              <w:t>478,441,797.28</w:t>
            </w:r>
            <w:r>
              <w:rPr>
                <w:rFonts w:ascii="Times New Roman"/>
                <w:sz w:val="20"/>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w w:val="95"/>
                <w:sz w:val="20"/>
              </w:rPr>
              <w:t>276,329,197.27</w:t>
            </w:r>
            <w:r>
              <w:rPr>
                <w:rFonts w:ascii="Times New Roman"/>
                <w:sz w:val="20"/>
              </w:rPr>
            </w:r>
          </w:p>
        </w:tc>
        <w:tc>
          <w:tcPr>
            <w:tcW w:w="20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20"/>
                <w:szCs w:val="20"/>
              </w:rPr>
            </w:pPr>
            <w:r>
              <w:rPr>
                <w:rFonts w:ascii="Times New Roman"/>
                <w:sz w:val="20"/>
              </w:rPr>
              <w:t>73.14%</w:t>
            </w:r>
          </w:p>
        </w:tc>
      </w:tr>
      <w:tr>
        <w:trPr>
          <w:trHeight w:val="283" w:hRule="exact"/>
        </w:trPr>
        <w:tc>
          <w:tcPr>
            <w:tcW w:w="3380"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公允价值变动收益</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20"/>
                <w:szCs w:val="20"/>
              </w:rPr>
            </w:pPr>
            <w:r>
              <w:rPr>
                <w:rFonts w:ascii="Times New Roman"/>
                <w:w w:val="95"/>
                <w:sz w:val="20"/>
              </w:rPr>
              <w:t>-229,039,605.97</w:t>
            </w:r>
            <w:r>
              <w:rPr>
                <w:rFonts w:ascii="Times New Roman"/>
                <w:sz w:val="20"/>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w w:val="95"/>
                <w:sz w:val="20"/>
              </w:rPr>
              <w:t>128,133,757.82</w:t>
            </w:r>
            <w:r>
              <w:rPr>
                <w:rFonts w:ascii="Times New Roman"/>
                <w:sz w:val="20"/>
              </w:rPr>
            </w:r>
          </w:p>
        </w:tc>
        <w:tc>
          <w:tcPr>
            <w:tcW w:w="20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20"/>
                <w:szCs w:val="20"/>
              </w:rPr>
            </w:pPr>
            <w:r>
              <w:rPr>
                <w:rFonts w:ascii="Times New Roman"/>
                <w:w w:val="95"/>
                <w:sz w:val="20"/>
              </w:rPr>
              <w:t>-278.75%</w:t>
            </w:r>
            <w:r>
              <w:rPr>
                <w:rFonts w:ascii="Times New Roman"/>
                <w:sz w:val="20"/>
              </w:rPr>
            </w:r>
          </w:p>
        </w:tc>
      </w:tr>
      <w:tr>
        <w:trPr>
          <w:trHeight w:val="286" w:hRule="exact"/>
        </w:trPr>
        <w:tc>
          <w:tcPr>
            <w:tcW w:w="3380" w:type="dxa"/>
            <w:tcBorders>
              <w:top w:val="single" w:sz="6" w:space="0" w:color="000000"/>
              <w:left w:val="single" w:sz="12" w:space="0" w:color="000000"/>
              <w:bottom w:val="single" w:sz="6" w:space="0" w:color="000000"/>
              <w:right w:val="single" w:sz="6" w:space="0" w:color="000000"/>
            </w:tcBorders>
          </w:tcPr>
          <w:p>
            <w:pPr>
              <w:pStyle w:val="TableParagraph"/>
              <w:spacing w:line="237" w:lineRule="exact"/>
              <w:ind w:left="93" w:right="0"/>
              <w:jc w:val="left"/>
              <w:rPr>
                <w:rFonts w:ascii="宋体" w:hAnsi="宋体" w:cs="宋体" w:eastAsia="宋体" w:hint="default"/>
                <w:sz w:val="20"/>
                <w:szCs w:val="20"/>
              </w:rPr>
            </w:pPr>
            <w:r>
              <w:rPr>
                <w:rFonts w:ascii="宋体" w:hAnsi="宋体" w:cs="宋体" w:eastAsia="宋体" w:hint="default"/>
                <w:sz w:val="20"/>
                <w:szCs w:val="20"/>
              </w:rPr>
              <w:t>投资收益</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1"/>
              <w:jc w:val="right"/>
              <w:rPr>
                <w:rFonts w:ascii="Times New Roman" w:hAnsi="Times New Roman" w:cs="Times New Roman" w:eastAsia="Times New Roman" w:hint="default"/>
                <w:sz w:val="20"/>
                <w:szCs w:val="20"/>
              </w:rPr>
            </w:pPr>
            <w:r>
              <w:rPr>
                <w:rFonts w:ascii="Times New Roman"/>
                <w:w w:val="95"/>
                <w:sz w:val="20"/>
              </w:rPr>
              <w:t>2,641,676,433.65</w:t>
            </w:r>
            <w:r>
              <w:rPr>
                <w:rFonts w:ascii="Times New Roman"/>
                <w:sz w:val="20"/>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w w:val="95"/>
                <w:sz w:val="20"/>
              </w:rPr>
              <w:t>877,402,615.56</w:t>
            </w:r>
            <w:r>
              <w:rPr>
                <w:rFonts w:ascii="Times New Roman"/>
                <w:sz w:val="20"/>
              </w:rPr>
            </w:r>
          </w:p>
        </w:tc>
        <w:tc>
          <w:tcPr>
            <w:tcW w:w="20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4"/>
              <w:jc w:val="right"/>
              <w:rPr>
                <w:rFonts w:ascii="Times New Roman" w:hAnsi="Times New Roman" w:cs="Times New Roman" w:eastAsia="Times New Roman" w:hint="default"/>
                <w:sz w:val="20"/>
                <w:szCs w:val="20"/>
              </w:rPr>
            </w:pPr>
            <w:r>
              <w:rPr>
                <w:rFonts w:ascii="Times New Roman"/>
                <w:w w:val="95"/>
                <w:sz w:val="20"/>
              </w:rPr>
              <w:t>201.08%</w:t>
            </w:r>
            <w:r>
              <w:rPr>
                <w:rFonts w:ascii="Times New Roman"/>
                <w:sz w:val="20"/>
              </w:rPr>
            </w:r>
          </w:p>
        </w:tc>
      </w:tr>
      <w:tr>
        <w:trPr>
          <w:trHeight w:val="286" w:hRule="exact"/>
        </w:trPr>
        <w:tc>
          <w:tcPr>
            <w:tcW w:w="3380"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营业外收入</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w w:val="95"/>
                <w:sz w:val="20"/>
              </w:rPr>
              <w:t>454,990,629.64</w:t>
            </w:r>
            <w:r>
              <w:rPr>
                <w:rFonts w:ascii="Times New Roman"/>
                <w:sz w:val="20"/>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w w:val="95"/>
                <w:sz w:val="20"/>
              </w:rPr>
              <w:t>379,200,935.30</w:t>
            </w:r>
            <w:r>
              <w:rPr>
                <w:rFonts w:ascii="Times New Roman"/>
                <w:sz w:val="20"/>
              </w:rPr>
            </w:r>
          </w:p>
        </w:tc>
        <w:tc>
          <w:tcPr>
            <w:tcW w:w="20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2"/>
              <w:jc w:val="right"/>
              <w:rPr>
                <w:rFonts w:ascii="Times New Roman" w:hAnsi="Times New Roman" w:cs="Times New Roman" w:eastAsia="Times New Roman" w:hint="default"/>
                <w:sz w:val="20"/>
                <w:szCs w:val="20"/>
              </w:rPr>
            </w:pPr>
            <w:r>
              <w:rPr>
                <w:rFonts w:ascii="Times New Roman"/>
                <w:sz w:val="20"/>
              </w:rPr>
              <w:t>19.99%</w:t>
            </w:r>
          </w:p>
        </w:tc>
      </w:tr>
      <w:tr>
        <w:trPr>
          <w:trHeight w:val="286" w:hRule="exact"/>
        </w:trPr>
        <w:tc>
          <w:tcPr>
            <w:tcW w:w="3380"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营业外支出</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w w:val="95"/>
                <w:sz w:val="20"/>
              </w:rPr>
              <w:t>12,128,535.24</w:t>
            </w:r>
            <w:r>
              <w:rPr>
                <w:rFonts w:ascii="Times New Roman"/>
                <w:sz w:val="20"/>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w w:val="95"/>
                <w:sz w:val="20"/>
              </w:rPr>
              <w:t>85,437,828.80</w:t>
            </w:r>
            <w:r>
              <w:rPr>
                <w:rFonts w:ascii="Times New Roman"/>
                <w:sz w:val="20"/>
              </w:rPr>
            </w:r>
          </w:p>
        </w:tc>
        <w:tc>
          <w:tcPr>
            <w:tcW w:w="20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4"/>
              <w:jc w:val="right"/>
              <w:rPr>
                <w:rFonts w:ascii="Times New Roman" w:hAnsi="Times New Roman" w:cs="Times New Roman" w:eastAsia="Times New Roman" w:hint="default"/>
                <w:sz w:val="20"/>
                <w:szCs w:val="20"/>
              </w:rPr>
            </w:pPr>
            <w:r>
              <w:rPr>
                <w:rFonts w:ascii="Times New Roman"/>
                <w:w w:val="95"/>
                <w:sz w:val="20"/>
              </w:rPr>
              <w:t>-85.80%</w:t>
            </w:r>
            <w:r>
              <w:rPr>
                <w:rFonts w:ascii="Times New Roman"/>
                <w:sz w:val="20"/>
              </w:rPr>
            </w:r>
          </w:p>
        </w:tc>
      </w:tr>
      <w:tr>
        <w:trPr>
          <w:trHeight w:val="283" w:hRule="exact"/>
        </w:trPr>
        <w:tc>
          <w:tcPr>
            <w:tcW w:w="3380"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所得税费用</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w w:val="95"/>
                <w:sz w:val="20"/>
              </w:rPr>
              <w:t>210,555,970.31</w:t>
            </w:r>
            <w:r>
              <w:rPr>
                <w:rFonts w:ascii="Times New Roman"/>
                <w:sz w:val="20"/>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w w:val="95"/>
                <w:sz w:val="20"/>
              </w:rPr>
              <w:t>209,769,351.52</w:t>
            </w:r>
            <w:r>
              <w:rPr>
                <w:rFonts w:ascii="Times New Roman"/>
                <w:sz w:val="20"/>
              </w:rPr>
            </w:r>
          </w:p>
        </w:tc>
        <w:tc>
          <w:tcPr>
            <w:tcW w:w="20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20"/>
                <w:szCs w:val="20"/>
              </w:rPr>
            </w:pPr>
            <w:r>
              <w:rPr>
                <w:rFonts w:ascii="Times New Roman"/>
                <w:sz w:val="20"/>
              </w:rPr>
              <w:t>0.37%</w:t>
            </w:r>
          </w:p>
        </w:tc>
      </w:tr>
      <w:tr>
        <w:trPr>
          <w:trHeight w:val="286" w:hRule="exact"/>
        </w:trPr>
        <w:tc>
          <w:tcPr>
            <w:tcW w:w="3380"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left="93" w:right="0"/>
              <w:jc w:val="left"/>
              <w:rPr>
                <w:rFonts w:ascii="宋体" w:hAnsi="宋体" w:cs="宋体" w:eastAsia="宋体" w:hint="default"/>
                <w:sz w:val="20"/>
                <w:szCs w:val="20"/>
              </w:rPr>
            </w:pPr>
            <w:r>
              <w:rPr>
                <w:rFonts w:ascii="宋体" w:hAnsi="宋体" w:cs="宋体" w:eastAsia="宋体" w:hint="default"/>
                <w:sz w:val="20"/>
                <w:szCs w:val="20"/>
              </w:rPr>
              <w:t>其他综合收益</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20"/>
                <w:szCs w:val="20"/>
              </w:rPr>
            </w:pPr>
            <w:r>
              <w:rPr>
                <w:rFonts w:ascii="Times New Roman"/>
                <w:w w:val="95"/>
                <w:sz w:val="20"/>
              </w:rPr>
              <w:t>-291,105,102.84</w:t>
            </w:r>
            <w:r>
              <w:rPr>
                <w:rFonts w:ascii="Times New Roman"/>
                <w:sz w:val="20"/>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w w:val="95"/>
                <w:sz w:val="20"/>
              </w:rPr>
              <w:t>176,504,590.10</w:t>
            </w:r>
            <w:r>
              <w:rPr>
                <w:rFonts w:ascii="Times New Roman"/>
                <w:sz w:val="20"/>
              </w:rPr>
            </w:r>
          </w:p>
        </w:tc>
        <w:tc>
          <w:tcPr>
            <w:tcW w:w="20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2"/>
              <w:jc w:val="right"/>
              <w:rPr>
                <w:rFonts w:ascii="Times New Roman" w:hAnsi="Times New Roman" w:cs="Times New Roman" w:eastAsia="Times New Roman" w:hint="default"/>
                <w:sz w:val="20"/>
                <w:szCs w:val="20"/>
              </w:rPr>
            </w:pPr>
            <w:r>
              <w:rPr>
                <w:rFonts w:ascii="Times New Roman"/>
                <w:w w:val="95"/>
                <w:sz w:val="20"/>
              </w:rPr>
              <w:t>-264.93%</w:t>
            </w:r>
            <w:r>
              <w:rPr>
                <w:rFonts w:ascii="Times New Roman"/>
                <w:sz w:val="20"/>
              </w:rPr>
            </w:r>
          </w:p>
        </w:tc>
      </w:tr>
      <w:tr>
        <w:trPr>
          <w:trHeight w:val="286" w:hRule="exact"/>
        </w:trPr>
        <w:tc>
          <w:tcPr>
            <w:tcW w:w="3380"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经营活动产生的现金流量净额</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spacing w:val="-1"/>
                <w:sz w:val="20"/>
              </w:rPr>
              <w:t>2,500,765,008.32</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w w:val="95"/>
                <w:sz w:val="20"/>
              </w:rPr>
              <w:t>856,103,304.69</w:t>
            </w:r>
            <w:r>
              <w:rPr>
                <w:rFonts w:ascii="Times New Roman"/>
                <w:sz w:val="20"/>
              </w:rPr>
            </w:r>
          </w:p>
        </w:tc>
        <w:tc>
          <w:tcPr>
            <w:tcW w:w="20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4"/>
              <w:jc w:val="right"/>
              <w:rPr>
                <w:rFonts w:ascii="Times New Roman" w:hAnsi="Times New Roman" w:cs="Times New Roman" w:eastAsia="Times New Roman" w:hint="default"/>
                <w:sz w:val="20"/>
                <w:szCs w:val="20"/>
              </w:rPr>
            </w:pPr>
            <w:r>
              <w:rPr>
                <w:rFonts w:ascii="Times New Roman"/>
                <w:w w:val="95"/>
                <w:sz w:val="20"/>
              </w:rPr>
              <w:t>192.11%</w:t>
            </w:r>
            <w:r>
              <w:rPr>
                <w:rFonts w:ascii="Times New Roman"/>
                <w:sz w:val="20"/>
              </w:rPr>
            </w:r>
          </w:p>
        </w:tc>
      </w:tr>
      <w:tr>
        <w:trPr>
          <w:trHeight w:val="286" w:hRule="exact"/>
        </w:trPr>
        <w:tc>
          <w:tcPr>
            <w:tcW w:w="3380"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投资活动产生的现金流量净额</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spacing w:val="-1"/>
                <w:sz w:val="20"/>
              </w:rPr>
              <w:t>1,555,817,677.59</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w w:val="95"/>
                <w:sz w:val="20"/>
              </w:rPr>
              <w:t>-2,027,170,017.38</w:t>
            </w:r>
            <w:r>
              <w:rPr>
                <w:rFonts w:ascii="Times New Roman"/>
                <w:sz w:val="20"/>
              </w:rPr>
            </w:r>
          </w:p>
        </w:tc>
        <w:tc>
          <w:tcPr>
            <w:tcW w:w="20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4"/>
              <w:jc w:val="right"/>
              <w:rPr>
                <w:rFonts w:ascii="Times New Roman" w:hAnsi="Times New Roman" w:cs="Times New Roman" w:eastAsia="Times New Roman" w:hint="default"/>
                <w:sz w:val="20"/>
                <w:szCs w:val="20"/>
              </w:rPr>
            </w:pPr>
            <w:r>
              <w:rPr>
                <w:rFonts w:ascii="Times New Roman"/>
                <w:w w:val="95"/>
                <w:sz w:val="20"/>
              </w:rPr>
              <w:t>176.75%</w:t>
            </w:r>
            <w:r>
              <w:rPr>
                <w:rFonts w:ascii="Times New Roman"/>
                <w:sz w:val="20"/>
              </w:rPr>
            </w:r>
          </w:p>
        </w:tc>
      </w:tr>
      <w:tr>
        <w:trPr>
          <w:trHeight w:val="283" w:hRule="exact"/>
        </w:trPr>
        <w:tc>
          <w:tcPr>
            <w:tcW w:w="3380"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筹资活动产生的现金流量净额</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20"/>
                <w:szCs w:val="20"/>
              </w:rPr>
            </w:pPr>
            <w:r>
              <w:rPr>
                <w:rFonts w:ascii="Times New Roman"/>
                <w:w w:val="95"/>
                <w:sz w:val="20"/>
              </w:rPr>
              <w:t>-664,061,535.26</w:t>
            </w:r>
            <w:r>
              <w:rPr>
                <w:rFonts w:ascii="Times New Roman"/>
                <w:sz w:val="20"/>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spacing w:val="-1"/>
                <w:sz w:val="20"/>
              </w:rPr>
              <w:t>2,063,745,733.45</w:t>
            </w:r>
          </w:p>
        </w:tc>
        <w:tc>
          <w:tcPr>
            <w:tcW w:w="20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20"/>
                <w:szCs w:val="20"/>
              </w:rPr>
            </w:pPr>
            <w:r>
              <w:rPr>
                <w:rFonts w:ascii="Times New Roman"/>
                <w:w w:val="95"/>
                <w:sz w:val="20"/>
              </w:rPr>
              <w:t>-132.18%</w:t>
            </w:r>
            <w:r>
              <w:rPr>
                <w:rFonts w:ascii="Times New Roman"/>
                <w:sz w:val="20"/>
              </w:rPr>
            </w:r>
          </w:p>
        </w:tc>
      </w:tr>
      <w:tr>
        <w:trPr>
          <w:trHeight w:val="293" w:hRule="exact"/>
        </w:trPr>
        <w:tc>
          <w:tcPr>
            <w:tcW w:w="3380" w:type="dxa"/>
            <w:tcBorders>
              <w:top w:val="single" w:sz="6" w:space="0" w:color="000000"/>
              <w:left w:val="single" w:sz="12" w:space="0" w:color="000000"/>
              <w:bottom w:val="single" w:sz="12" w:space="0" w:color="000000"/>
              <w:right w:val="single" w:sz="6" w:space="0" w:color="000000"/>
            </w:tcBorders>
          </w:tcPr>
          <w:p>
            <w:pPr>
              <w:pStyle w:val="TableParagraph"/>
              <w:spacing w:line="237" w:lineRule="exact"/>
              <w:ind w:left="93" w:right="0"/>
              <w:jc w:val="left"/>
              <w:rPr>
                <w:rFonts w:ascii="宋体" w:hAnsi="宋体" w:cs="宋体" w:eastAsia="宋体" w:hint="default"/>
                <w:sz w:val="20"/>
                <w:szCs w:val="20"/>
              </w:rPr>
            </w:pPr>
            <w:r>
              <w:rPr>
                <w:rFonts w:ascii="宋体" w:hAnsi="宋体" w:cs="宋体" w:eastAsia="宋体" w:hint="default"/>
                <w:sz w:val="20"/>
                <w:szCs w:val="20"/>
              </w:rPr>
              <w:t>研发支出</w:t>
            </w:r>
          </w:p>
        </w:tc>
        <w:tc>
          <w:tcPr>
            <w:tcW w:w="196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spacing w:val="-1"/>
                <w:sz w:val="20"/>
              </w:rPr>
              <w:t>1,674,327,653.72</w:t>
            </w:r>
          </w:p>
        </w:tc>
        <w:tc>
          <w:tcPr>
            <w:tcW w:w="20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spacing w:val="-1"/>
                <w:sz w:val="20"/>
              </w:rPr>
              <w:t>1,289,598,531.00</w:t>
            </w:r>
          </w:p>
        </w:tc>
        <w:tc>
          <w:tcPr>
            <w:tcW w:w="203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5"/>
              <w:ind w:right="92"/>
              <w:jc w:val="right"/>
              <w:rPr>
                <w:rFonts w:ascii="Times New Roman" w:hAnsi="Times New Roman" w:cs="Times New Roman" w:eastAsia="Times New Roman" w:hint="default"/>
                <w:sz w:val="20"/>
                <w:szCs w:val="20"/>
              </w:rPr>
            </w:pPr>
            <w:r>
              <w:rPr>
                <w:rFonts w:ascii="Times New Roman"/>
                <w:sz w:val="20"/>
              </w:rPr>
              <w:t>29.83%</w:t>
            </w:r>
          </w:p>
        </w:tc>
      </w:tr>
    </w:tbl>
    <w:p>
      <w:pPr>
        <w:spacing w:line="240" w:lineRule="auto" w:before="11"/>
        <w:rPr>
          <w:rFonts w:ascii="宋体" w:hAnsi="宋体" w:cs="宋体" w:eastAsia="宋体" w:hint="default"/>
          <w:sz w:val="15"/>
          <w:szCs w:val="15"/>
        </w:rPr>
      </w:pPr>
    </w:p>
    <w:p>
      <w:pPr>
        <w:pStyle w:val="Heading3"/>
        <w:spacing w:line="475" w:lineRule="auto" w:before="26"/>
        <w:ind w:right="4712"/>
        <w:jc w:val="left"/>
        <w:rPr>
          <w:b w:val="0"/>
          <w:bCs w:val="0"/>
        </w:rPr>
      </w:pPr>
      <w:r>
        <w:rPr>
          <w:rFonts w:ascii="宋体" w:hAnsi="宋体" w:cs="宋体" w:eastAsia="宋体" w:hint="default"/>
        </w:rPr>
        <w:t>1</w:t>
      </w:r>
      <w:r>
        <w:rPr/>
        <w:t>、收入和成本分析</w:t>
      </w:r>
      <w:r>
        <w:rPr>
          <w:w w:val="99"/>
        </w:rPr>
        <w:t> </w:t>
      </w:r>
      <w:r>
        <w:rPr>
          <w:rFonts w:ascii="宋体" w:hAnsi="宋体" w:cs="宋体" w:eastAsia="宋体" w:hint="default"/>
        </w:rPr>
        <w:t>(1)</w:t>
      </w:r>
      <w:r>
        <w:rPr/>
        <w:t>主营业务分行业、分产品、分地区情况</w:t>
      </w:r>
      <w:r>
        <w:rPr>
          <w:b w:val="0"/>
          <w:bCs w:val="0"/>
        </w:rPr>
      </w:r>
    </w:p>
    <w:p>
      <w:pPr>
        <w:pStyle w:val="BodyText"/>
        <w:spacing w:line="240" w:lineRule="auto" w:before="74"/>
        <w:ind w:left="238" w:right="110"/>
        <w:jc w:val="left"/>
      </w:pPr>
      <w:r>
        <w:rPr/>
        <w:t>主营业务分行业情况如下表所示：</w:t>
      </w:r>
    </w:p>
    <w:p>
      <w:pPr>
        <w:spacing w:line="240" w:lineRule="auto" w:before="8"/>
        <w:rPr>
          <w:rFonts w:ascii="宋体" w:hAnsi="宋体" w:cs="宋体" w:eastAsia="宋体" w:hint="default"/>
          <w:sz w:val="26"/>
          <w:szCs w:val="26"/>
        </w:rPr>
      </w:pPr>
    </w:p>
    <w:tbl>
      <w:tblPr>
        <w:tblW w:w="0" w:type="auto"/>
        <w:jc w:val="left"/>
        <w:tblInd w:w="116" w:type="dxa"/>
        <w:tblLayout w:type="fixed"/>
        <w:tblCellMar>
          <w:top w:w="0" w:type="dxa"/>
          <w:left w:w="0" w:type="dxa"/>
          <w:bottom w:w="0" w:type="dxa"/>
          <w:right w:w="0" w:type="dxa"/>
        </w:tblCellMar>
        <w:tblLook w:val="01E0"/>
      </w:tblPr>
      <w:tblGrid>
        <w:gridCol w:w="2016"/>
        <w:gridCol w:w="1421"/>
        <w:gridCol w:w="1421"/>
        <w:gridCol w:w="1311"/>
        <w:gridCol w:w="1234"/>
        <w:gridCol w:w="1054"/>
        <w:gridCol w:w="962"/>
      </w:tblGrid>
      <w:tr>
        <w:trPr>
          <w:trHeight w:val="414" w:hRule="exact"/>
        </w:trPr>
        <w:tc>
          <w:tcPr>
            <w:tcW w:w="2016" w:type="dxa"/>
            <w:tcBorders>
              <w:top w:val="single" w:sz="12" w:space="0" w:color="000000"/>
              <w:left w:val="single" w:sz="12" w:space="0" w:color="000000"/>
              <w:bottom w:val="nil" w:sz="6" w:space="0" w:color="auto"/>
              <w:right w:val="single" w:sz="6" w:space="0" w:color="000000"/>
            </w:tcBorders>
          </w:tcPr>
          <w:p>
            <w:pPr>
              <w:pStyle w:val="TableParagraph"/>
              <w:spacing w:line="237" w:lineRule="exact"/>
              <w:ind w:left="590" w:right="0"/>
              <w:jc w:val="left"/>
              <w:rPr>
                <w:rFonts w:ascii="宋体" w:hAnsi="宋体" w:cs="宋体" w:eastAsia="宋体" w:hint="default"/>
                <w:sz w:val="20"/>
                <w:szCs w:val="20"/>
              </w:rPr>
            </w:pPr>
            <w:r>
              <w:rPr>
                <w:rFonts w:ascii="宋体" w:hAnsi="宋体" w:cs="宋体" w:eastAsia="宋体" w:hint="default"/>
                <w:b/>
                <w:bCs/>
                <w:sz w:val="20"/>
                <w:szCs w:val="20"/>
              </w:rPr>
              <w:t>产业板块</w:t>
            </w:r>
            <w:r>
              <w:rPr>
                <w:rFonts w:ascii="宋体" w:hAnsi="宋体" w:cs="宋体" w:eastAsia="宋体" w:hint="default"/>
                <w:sz w:val="20"/>
                <w:szCs w:val="20"/>
              </w:rPr>
            </w:r>
          </w:p>
        </w:tc>
        <w:tc>
          <w:tcPr>
            <w:tcW w:w="1421" w:type="dxa"/>
            <w:vMerge w:val="restart"/>
            <w:tcBorders>
              <w:top w:val="single" w:sz="12" w:space="0" w:color="000000"/>
              <w:left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7"/>
                <w:szCs w:val="27"/>
              </w:rPr>
            </w:pPr>
          </w:p>
          <w:p>
            <w:pPr>
              <w:pStyle w:val="TableParagraph"/>
              <w:spacing w:line="240" w:lineRule="auto"/>
              <w:ind w:left="100" w:right="0"/>
              <w:jc w:val="left"/>
              <w:rPr>
                <w:rFonts w:ascii="宋体" w:hAnsi="宋体" w:cs="宋体" w:eastAsia="宋体" w:hint="default"/>
                <w:sz w:val="20"/>
                <w:szCs w:val="20"/>
              </w:rPr>
            </w:pPr>
            <w:r>
              <w:rPr>
                <w:rFonts w:ascii="宋体" w:hAnsi="宋体" w:cs="宋体" w:eastAsia="宋体" w:hint="default"/>
                <w:b/>
                <w:bCs/>
                <w:sz w:val="20"/>
                <w:szCs w:val="20"/>
              </w:rPr>
              <w:t>主营业务收入</w:t>
            </w:r>
            <w:r>
              <w:rPr>
                <w:rFonts w:ascii="宋体" w:hAnsi="宋体" w:cs="宋体" w:eastAsia="宋体" w:hint="default"/>
                <w:sz w:val="20"/>
                <w:szCs w:val="20"/>
              </w:rPr>
            </w:r>
          </w:p>
        </w:tc>
        <w:tc>
          <w:tcPr>
            <w:tcW w:w="1421" w:type="dxa"/>
            <w:vMerge w:val="restart"/>
            <w:tcBorders>
              <w:top w:val="single" w:sz="12" w:space="0" w:color="000000"/>
              <w:left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7"/>
                <w:szCs w:val="27"/>
              </w:rPr>
            </w:pPr>
          </w:p>
          <w:p>
            <w:pPr>
              <w:pStyle w:val="TableParagraph"/>
              <w:spacing w:line="240" w:lineRule="auto"/>
              <w:ind w:left="100" w:right="0"/>
              <w:jc w:val="left"/>
              <w:rPr>
                <w:rFonts w:ascii="宋体" w:hAnsi="宋体" w:cs="宋体" w:eastAsia="宋体" w:hint="default"/>
                <w:sz w:val="20"/>
                <w:szCs w:val="20"/>
              </w:rPr>
            </w:pPr>
            <w:r>
              <w:rPr>
                <w:rFonts w:ascii="宋体" w:hAnsi="宋体" w:cs="宋体" w:eastAsia="宋体" w:hint="default"/>
                <w:b/>
                <w:bCs/>
                <w:sz w:val="20"/>
                <w:szCs w:val="20"/>
              </w:rPr>
              <w:t>主营业务成本</w:t>
            </w:r>
            <w:r>
              <w:rPr>
                <w:rFonts w:ascii="宋体" w:hAnsi="宋体" w:cs="宋体" w:eastAsia="宋体" w:hint="default"/>
                <w:sz w:val="20"/>
                <w:szCs w:val="20"/>
              </w:rPr>
            </w:r>
          </w:p>
        </w:tc>
        <w:tc>
          <w:tcPr>
            <w:tcW w:w="1311" w:type="dxa"/>
            <w:vMerge w:val="restart"/>
            <w:tcBorders>
              <w:top w:val="single" w:sz="12" w:space="0" w:color="000000"/>
              <w:left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7"/>
                <w:szCs w:val="27"/>
              </w:rPr>
            </w:pPr>
          </w:p>
          <w:p>
            <w:pPr>
              <w:pStyle w:val="TableParagraph"/>
              <w:spacing w:line="240" w:lineRule="auto"/>
              <w:ind w:left="346" w:right="0"/>
              <w:jc w:val="left"/>
              <w:rPr>
                <w:rFonts w:ascii="宋体" w:hAnsi="宋体" w:cs="宋体" w:eastAsia="宋体" w:hint="default"/>
                <w:sz w:val="20"/>
                <w:szCs w:val="20"/>
              </w:rPr>
            </w:pPr>
            <w:r>
              <w:rPr>
                <w:rFonts w:ascii="宋体" w:hAnsi="宋体" w:cs="宋体" w:eastAsia="宋体" w:hint="default"/>
                <w:b/>
                <w:bCs/>
                <w:spacing w:val="2"/>
                <w:sz w:val="20"/>
                <w:szCs w:val="20"/>
              </w:rPr>
              <w:t>毛利率</w:t>
            </w:r>
            <w:r>
              <w:rPr>
                <w:rFonts w:ascii="宋体" w:hAnsi="宋体" w:cs="宋体" w:eastAsia="宋体" w:hint="default"/>
                <w:sz w:val="20"/>
                <w:szCs w:val="20"/>
              </w:rPr>
            </w:r>
          </w:p>
        </w:tc>
        <w:tc>
          <w:tcPr>
            <w:tcW w:w="1234" w:type="dxa"/>
            <w:vMerge w:val="restart"/>
            <w:tcBorders>
              <w:top w:val="single" w:sz="12" w:space="0" w:color="000000"/>
              <w:left w:val="single" w:sz="6" w:space="0" w:color="000000"/>
              <w:right w:val="single" w:sz="6" w:space="0" w:color="000000"/>
            </w:tcBorders>
          </w:tcPr>
          <w:p>
            <w:pPr>
              <w:pStyle w:val="TableParagraph"/>
              <w:spacing w:line="260" w:lineRule="exact" w:before="125"/>
              <w:ind w:left="107" w:right="106"/>
              <w:jc w:val="both"/>
              <w:rPr>
                <w:rFonts w:ascii="宋体" w:hAnsi="宋体" w:cs="宋体" w:eastAsia="宋体" w:hint="default"/>
                <w:sz w:val="20"/>
                <w:szCs w:val="20"/>
              </w:rPr>
            </w:pPr>
            <w:r>
              <w:rPr>
                <w:rFonts w:ascii="宋体" w:hAnsi="宋体" w:cs="宋体" w:eastAsia="宋体" w:hint="default"/>
                <w:b/>
                <w:bCs/>
                <w:sz w:val="20"/>
                <w:szCs w:val="20"/>
              </w:rPr>
              <w:t>主营业务收</w:t>
            </w:r>
            <w:r>
              <w:rPr>
                <w:rFonts w:ascii="宋体" w:hAnsi="宋体" w:cs="宋体" w:eastAsia="宋体" w:hint="default"/>
                <w:b/>
                <w:bCs/>
                <w:w w:val="99"/>
                <w:sz w:val="20"/>
                <w:szCs w:val="20"/>
              </w:rPr>
              <w:t> </w:t>
            </w:r>
            <w:r>
              <w:rPr>
                <w:rFonts w:ascii="宋体" w:hAnsi="宋体" w:cs="宋体" w:eastAsia="宋体" w:hint="default"/>
                <w:b/>
                <w:bCs/>
                <w:sz w:val="20"/>
                <w:szCs w:val="20"/>
              </w:rPr>
              <w:t>入比上年增</w:t>
            </w:r>
            <w:r>
              <w:rPr>
                <w:rFonts w:ascii="宋体" w:hAnsi="宋体" w:cs="宋体" w:eastAsia="宋体" w:hint="default"/>
                <w:b/>
                <w:bCs/>
                <w:w w:val="99"/>
                <w:sz w:val="20"/>
                <w:szCs w:val="20"/>
              </w:rPr>
              <w:t> </w:t>
            </w:r>
            <w:r>
              <w:rPr>
                <w:rFonts w:ascii="宋体" w:hAnsi="宋体" w:cs="宋体" w:eastAsia="宋体" w:hint="default"/>
                <w:b/>
                <w:bCs/>
                <w:sz w:val="20"/>
                <w:szCs w:val="20"/>
              </w:rPr>
              <w:t>减（</w:t>
            </w: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w:t>
            </w:r>
            <w:r>
              <w:rPr>
                <w:rFonts w:ascii="宋体" w:hAnsi="宋体" w:cs="宋体" w:eastAsia="宋体" w:hint="default"/>
                <w:sz w:val="20"/>
                <w:szCs w:val="20"/>
              </w:rPr>
            </w:r>
          </w:p>
        </w:tc>
        <w:tc>
          <w:tcPr>
            <w:tcW w:w="1054" w:type="dxa"/>
            <w:vMerge w:val="restart"/>
            <w:tcBorders>
              <w:top w:val="single" w:sz="12" w:space="0" w:color="000000"/>
              <w:left w:val="single" w:sz="6" w:space="0" w:color="000000"/>
              <w:right w:val="single" w:sz="6" w:space="0" w:color="000000"/>
            </w:tcBorders>
          </w:tcPr>
          <w:p>
            <w:pPr>
              <w:pStyle w:val="TableParagraph"/>
              <w:spacing w:line="231" w:lineRule="exact"/>
              <w:ind w:left="1" w:right="0"/>
              <w:jc w:val="center"/>
              <w:rPr>
                <w:rFonts w:ascii="宋体" w:hAnsi="宋体" w:cs="宋体" w:eastAsia="宋体" w:hint="default"/>
                <w:sz w:val="20"/>
                <w:szCs w:val="20"/>
              </w:rPr>
            </w:pPr>
            <w:r>
              <w:rPr>
                <w:rFonts w:ascii="宋体" w:hAnsi="宋体" w:cs="宋体" w:eastAsia="宋体" w:hint="default"/>
                <w:b/>
                <w:bCs/>
                <w:sz w:val="20"/>
                <w:szCs w:val="20"/>
              </w:rPr>
              <w:t>主营业务</w:t>
            </w:r>
            <w:r>
              <w:rPr>
                <w:rFonts w:ascii="宋体" w:hAnsi="宋体" w:cs="宋体" w:eastAsia="宋体" w:hint="default"/>
                <w:sz w:val="20"/>
                <w:szCs w:val="20"/>
              </w:rPr>
            </w:r>
          </w:p>
          <w:p>
            <w:pPr>
              <w:pStyle w:val="TableParagraph"/>
              <w:spacing w:line="260" w:lineRule="exact" w:before="24"/>
              <w:ind w:left="117" w:right="113"/>
              <w:jc w:val="center"/>
              <w:rPr>
                <w:rFonts w:ascii="宋体" w:hAnsi="宋体" w:cs="宋体" w:eastAsia="宋体" w:hint="default"/>
                <w:sz w:val="20"/>
                <w:szCs w:val="20"/>
              </w:rPr>
            </w:pPr>
            <w:r>
              <w:rPr>
                <w:rFonts w:ascii="宋体" w:hAnsi="宋体" w:cs="宋体" w:eastAsia="宋体" w:hint="default"/>
                <w:b/>
                <w:bCs/>
                <w:sz w:val="20"/>
                <w:szCs w:val="20"/>
              </w:rPr>
              <w:t>成本比上</w:t>
            </w:r>
            <w:r>
              <w:rPr>
                <w:rFonts w:ascii="宋体" w:hAnsi="宋体" w:cs="宋体" w:eastAsia="宋体" w:hint="default"/>
                <w:b/>
                <w:bCs/>
                <w:spacing w:val="2"/>
                <w:w w:val="99"/>
                <w:sz w:val="20"/>
                <w:szCs w:val="20"/>
              </w:rPr>
              <w:t> </w:t>
            </w:r>
            <w:r>
              <w:rPr>
                <w:rFonts w:ascii="宋体" w:hAnsi="宋体" w:cs="宋体" w:eastAsia="宋体" w:hint="default"/>
                <w:b/>
                <w:bCs/>
                <w:spacing w:val="2"/>
                <w:sz w:val="20"/>
                <w:szCs w:val="20"/>
              </w:rPr>
              <w:t>年增减</w:t>
            </w:r>
            <w:r>
              <w:rPr>
                <w:rFonts w:ascii="宋体" w:hAnsi="宋体" w:cs="宋体" w:eastAsia="宋体" w:hint="default"/>
                <w:sz w:val="20"/>
                <w:szCs w:val="20"/>
              </w:rPr>
            </w:r>
          </w:p>
          <w:p>
            <w:pPr>
              <w:pStyle w:val="TableParagraph"/>
              <w:spacing w:line="250" w:lineRule="exact"/>
              <w:ind w:right="1"/>
              <w:jc w:val="center"/>
              <w:rPr>
                <w:rFonts w:ascii="宋体" w:hAnsi="宋体" w:cs="宋体" w:eastAsia="宋体" w:hint="default"/>
                <w:sz w:val="20"/>
                <w:szCs w:val="20"/>
              </w:rPr>
            </w:pPr>
            <w:r>
              <w:rPr>
                <w:rFonts w:ascii="宋体" w:hAnsi="宋体" w:cs="宋体" w:eastAsia="宋体" w:hint="default"/>
                <w:b/>
                <w:bCs/>
                <w:sz w:val="20"/>
                <w:szCs w:val="20"/>
              </w:rPr>
              <w:t>（</w:t>
            </w: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w:t>
            </w:r>
            <w:r>
              <w:rPr>
                <w:rFonts w:ascii="宋体" w:hAnsi="宋体" w:cs="宋体" w:eastAsia="宋体" w:hint="default"/>
                <w:sz w:val="20"/>
                <w:szCs w:val="20"/>
              </w:rPr>
            </w:r>
          </w:p>
        </w:tc>
        <w:tc>
          <w:tcPr>
            <w:tcW w:w="962" w:type="dxa"/>
            <w:vMerge w:val="restart"/>
            <w:tcBorders>
              <w:top w:val="single" w:sz="12" w:space="0" w:color="000000"/>
              <w:left w:val="single" w:sz="6" w:space="0" w:color="000000"/>
              <w:right w:val="single" w:sz="12" w:space="0" w:color="000000"/>
            </w:tcBorders>
          </w:tcPr>
          <w:p>
            <w:pPr>
              <w:pStyle w:val="TableParagraph"/>
              <w:spacing w:line="231" w:lineRule="exact"/>
              <w:ind w:left="172" w:right="0"/>
              <w:jc w:val="left"/>
              <w:rPr>
                <w:rFonts w:ascii="宋体" w:hAnsi="宋体" w:cs="宋体" w:eastAsia="宋体" w:hint="default"/>
                <w:sz w:val="20"/>
                <w:szCs w:val="20"/>
              </w:rPr>
            </w:pPr>
            <w:r>
              <w:rPr>
                <w:rFonts w:ascii="宋体" w:hAnsi="宋体" w:cs="宋体" w:eastAsia="宋体" w:hint="default"/>
                <w:b/>
                <w:bCs/>
                <w:spacing w:val="2"/>
                <w:sz w:val="20"/>
                <w:szCs w:val="20"/>
              </w:rPr>
              <w:t>毛利率</w:t>
            </w:r>
            <w:r>
              <w:rPr>
                <w:rFonts w:ascii="宋体" w:hAnsi="宋体" w:cs="宋体" w:eastAsia="宋体" w:hint="default"/>
                <w:sz w:val="20"/>
                <w:szCs w:val="20"/>
              </w:rPr>
            </w:r>
          </w:p>
          <w:p>
            <w:pPr>
              <w:pStyle w:val="TableParagraph"/>
              <w:spacing w:line="260" w:lineRule="exact" w:before="24"/>
              <w:ind w:left="273" w:right="161" w:hanging="101"/>
              <w:jc w:val="left"/>
              <w:rPr>
                <w:rFonts w:ascii="宋体" w:hAnsi="宋体" w:cs="宋体" w:eastAsia="宋体" w:hint="default"/>
                <w:sz w:val="20"/>
                <w:szCs w:val="20"/>
              </w:rPr>
            </w:pPr>
            <w:r>
              <w:rPr>
                <w:rFonts w:ascii="宋体" w:hAnsi="宋体" w:cs="宋体" w:eastAsia="宋体" w:hint="default"/>
                <w:b/>
                <w:bCs/>
                <w:spacing w:val="2"/>
                <w:sz w:val="20"/>
                <w:szCs w:val="20"/>
              </w:rPr>
              <w:t>比上年</w:t>
            </w:r>
            <w:r>
              <w:rPr>
                <w:rFonts w:ascii="宋体" w:hAnsi="宋体" w:cs="宋体" w:eastAsia="宋体" w:hint="default"/>
                <w:b/>
                <w:bCs/>
                <w:spacing w:val="2"/>
                <w:w w:val="99"/>
                <w:sz w:val="20"/>
                <w:szCs w:val="20"/>
              </w:rPr>
              <w:t> </w:t>
            </w:r>
            <w:r>
              <w:rPr>
                <w:rFonts w:ascii="宋体" w:hAnsi="宋体" w:cs="宋体" w:eastAsia="宋体" w:hint="default"/>
                <w:b/>
                <w:bCs/>
                <w:sz w:val="20"/>
                <w:szCs w:val="20"/>
              </w:rPr>
              <w:t>增减</w:t>
            </w:r>
            <w:r>
              <w:rPr>
                <w:rFonts w:ascii="宋体" w:hAnsi="宋体" w:cs="宋体" w:eastAsia="宋体" w:hint="default"/>
                <w:sz w:val="20"/>
                <w:szCs w:val="20"/>
              </w:rPr>
            </w:r>
          </w:p>
          <w:p>
            <w:pPr>
              <w:pStyle w:val="TableParagraph"/>
              <w:spacing w:line="250" w:lineRule="exact"/>
              <w:ind w:left="172" w:right="0"/>
              <w:jc w:val="left"/>
              <w:rPr>
                <w:rFonts w:ascii="宋体" w:hAnsi="宋体" w:cs="宋体" w:eastAsia="宋体" w:hint="default"/>
                <w:sz w:val="20"/>
                <w:szCs w:val="20"/>
              </w:rPr>
            </w:pPr>
            <w:r>
              <w:rPr>
                <w:rFonts w:ascii="宋体" w:hAnsi="宋体" w:cs="宋体" w:eastAsia="宋体" w:hint="default"/>
                <w:b/>
                <w:bCs/>
                <w:sz w:val="20"/>
                <w:szCs w:val="20"/>
              </w:rPr>
              <w:t>（</w:t>
            </w: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w:t>
            </w:r>
            <w:r>
              <w:rPr>
                <w:rFonts w:ascii="宋体" w:hAnsi="宋体" w:cs="宋体" w:eastAsia="宋体" w:hint="default"/>
                <w:sz w:val="20"/>
                <w:szCs w:val="20"/>
              </w:rPr>
            </w:r>
          </w:p>
        </w:tc>
      </w:tr>
      <w:tr>
        <w:trPr>
          <w:trHeight w:val="646" w:hRule="exact"/>
        </w:trPr>
        <w:tc>
          <w:tcPr>
            <w:tcW w:w="2016" w:type="dxa"/>
            <w:tcBorders>
              <w:top w:val="nil" w:sz="6" w:space="0" w:color="auto"/>
              <w:left w:val="single" w:sz="12" w:space="0" w:color="000000"/>
              <w:bottom w:val="single" w:sz="6" w:space="0" w:color="000000"/>
              <w:right w:val="single" w:sz="6" w:space="0" w:color="000000"/>
            </w:tcBorders>
          </w:tcPr>
          <w:p>
            <w:pPr>
              <w:pStyle w:val="TableParagraph"/>
              <w:spacing w:line="240" w:lineRule="auto" w:before="100"/>
              <w:ind w:left="290" w:right="0"/>
              <w:jc w:val="left"/>
              <w:rPr>
                <w:rFonts w:ascii="宋体" w:hAnsi="宋体" w:cs="宋体" w:eastAsia="宋体" w:hint="default"/>
                <w:sz w:val="20"/>
                <w:szCs w:val="20"/>
              </w:rPr>
            </w:pPr>
            <w:r>
              <w:rPr>
                <w:rFonts w:ascii="宋体" w:hAnsi="宋体" w:cs="宋体" w:eastAsia="宋体" w:hint="default"/>
                <w:b/>
                <w:bCs/>
                <w:sz w:val="20"/>
                <w:szCs w:val="20"/>
              </w:rPr>
              <w:t>（单位：万元）</w:t>
            </w:r>
            <w:r>
              <w:rPr>
                <w:rFonts w:ascii="宋体" w:hAnsi="宋体" w:cs="宋体" w:eastAsia="宋体" w:hint="default"/>
                <w:sz w:val="20"/>
                <w:szCs w:val="20"/>
              </w:rPr>
            </w:r>
          </w:p>
        </w:tc>
        <w:tc>
          <w:tcPr>
            <w:tcW w:w="1421" w:type="dxa"/>
            <w:vMerge/>
            <w:tcBorders>
              <w:left w:val="single" w:sz="6" w:space="0" w:color="000000"/>
              <w:bottom w:val="single" w:sz="6" w:space="0" w:color="000000"/>
              <w:right w:val="single" w:sz="6" w:space="0" w:color="000000"/>
            </w:tcBorders>
          </w:tcPr>
          <w:p>
            <w:pPr/>
          </w:p>
        </w:tc>
        <w:tc>
          <w:tcPr>
            <w:tcW w:w="1421" w:type="dxa"/>
            <w:vMerge/>
            <w:tcBorders>
              <w:left w:val="single" w:sz="6" w:space="0" w:color="000000"/>
              <w:bottom w:val="single" w:sz="6" w:space="0" w:color="000000"/>
              <w:right w:val="single" w:sz="6" w:space="0" w:color="000000"/>
            </w:tcBorders>
          </w:tcPr>
          <w:p>
            <w:pPr/>
          </w:p>
        </w:tc>
        <w:tc>
          <w:tcPr>
            <w:tcW w:w="1311" w:type="dxa"/>
            <w:vMerge/>
            <w:tcBorders>
              <w:left w:val="single" w:sz="6" w:space="0" w:color="000000"/>
              <w:bottom w:val="single" w:sz="6" w:space="0" w:color="000000"/>
              <w:right w:val="single" w:sz="6" w:space="0" w:color="000000"/>
            </w:tcBorders>
          </w:tcPr>
          <w:p>
            <w:pPr/>
          </w:p>
        </w:tc>
        <w:tc>
          <w:tcPr>
            <w:tcW w:w="1234" w:type="dxa"/>
            <w:vMerge/>
            <w:tcBorders>
              <w:left w:val="single" w:sz="6" w:space="0" w:color="000000"/>
              <w:bottom w:val="single" w:sz="6" w:space="0" w:color="000000"/>
              <w:right w:val="single" w:sz="6" w:space="0" w:color="000000"/>
            </w:tcBorders>
          </w:tcPr>
          <w:p>
            <w:pPr/>
          </w:p>
        </w:tc>
        <w:tc>
          <w:tcPr>
            <w:tcW w:w="1054" w:type="dxa"/>
            <w:vMerge/>
            <w:tcBorders>
              <w:left w:val="single" w:sz="6" w:space="0" w:color="000000"/>
              <w:bottom w:val="single" w:sz="6" w:space="0" w:color="000000"/>
              <w:right w:val="single" w:sz="6" w:space="0" w:color="000000"/>
            </w:tcBorders>
          </w:tcPr>
          <w:p>
            <w:pPr/>
          </w:p>
        </w:tc>
        <w:tc>
          <w:tcPr>
            <w:tcW w:w="962" w:type="dxa"/>
            <w:vMerge/>
            <w:tcBorders>
              <w:left w:val="single" w:sz="6" w:space="0" w:color="000000"/>
              <w:bottom w:val="single" w:sz="6" w:space="0" w:color="000000"/>
              <w:right w:val="single" w:sz="12" w:space="0" w:color="000000"/>
            </w:tcBorders>
          </w:tcPr>
          <w:p>
            <w:pPr/>
          </w:p>
        </w:tc>
      </w:tr>
      <w:tr>
        <w:trPr>
          <w:trHeight w:val="286" w:hRule="exact"/>
        </w:trPr>
        <w:tc>
          <w:tcPr>
            <w:tcW w:w="2016"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互联网服务与终端</w:t>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20"/>
                <w:szCs w:val="20"/>
              </w:rPr>
            </w:pPr>
            <w:r>
              <w:rPr>
                <w:rFonts w:ascii="Times New Roman"/>
                <w:w w:val="95"/>
                <w:sz w:val="20"/>
              </w:rPr>
              <w:t>1,556,890.71</w:t>
            </w:r>
            <w:r>
              <w:rPr>
                <w:rFonts w:ascii="Times New Roman"/>
                <w:sz w:val="20"/>
              </w:rPr>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20"/>
                <w:szCs w:val="20"/>
              </w:rPr>
            </w:pPr>
            <w:r>
              <w:rPr>
                <w:rFonts w:ascii="Times New Roman"/>
                <w:w w:val="95"/>
                <w:sz w:val="20"/>
              </w:rPr>
              <w:t>1,348,055.75</w:t>
            </w:r>
            <w:r>
              <w:rPr>
                <w:rFonts w:ascii="Times New Roman"/>
                <w:sz w:val="20"/>
              </w:rPr>
            </w:r>
          </w:p>
        </w:tc>
        <w:tc>
          <w:tcPr>
            <w:tcW w:w="13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13.41%</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12.81%</w:t>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14.61%</w:t>
            </w:r>
          </w:p>
        </w:tc>
        <w:tc>
          <w:tcPr>
            <w:tcW w:w="96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20"/>
                <w:szCs w:val="20"/>
              </w:rPr>
            </w:pPr>
            <w:r>
              <w:rPr>
                <w:rFonts w:ascii="Times New Roman"/>
                <w:w w:val="95"/>
                <w:sz w:val="20"/>
              </w:rPr>
              <w:t>-1.36%</w:t>
            </w:r>
            <w:r>
              <w:rPr>
                <w:rFonts w:ascii="Times New Roman"/>
                <w:sz w:val="20"/>
              </w:rPr>
            </w:r>
          </w:p>
        </w:tc>
      </w:tr>
      <w:tr>
        <w:trPr>
          <w:trHeight w:val="283" w:hRule="exact"/>
        </w:trPr>
        <w:tc>
          <w:tcPr>
            <w:tcW w:w="2016"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智慧城市</w:t>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w w:val="95"/>
                <w:sz w:val="20"/>
              </w:rPr>
              <w:t>332,579.18</w:t>
            </w:r>
            <w:r>
              <w:rPr>
                <w:rFonts w:ascii="Times New Roman"/>
                <w:sz w:val="20"/>
              </w:rPr>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1"/>
              <w:jc w:val="right"/>
              <w:rPr>
                <w:rFonts w:ascii="Times New Roman" w:hAnsi="Times New Roman" w:cs="Times New Roman" w:eastAsia="Times New Roman" w:hint="default"/>
                <w:sz w:val="20"/>
                <w:szCs w:val="20"/>
              </w:rPr>
            </w:pPr>
            <w:r>
              <w:rPr>
                <w:rFonts w:ascii="Times New Roman"/>
                <w:w w:val="95"/>
                <w:sz w:val="20"/>
              </w:rPr>
              <w:t>284,093.54</w:t>
            </w:r>
            <w:r>
              <w:rPr>
                <w:rFonts w:ascii="Times New Roman"/>
                <w:sz w:val="20"/>
              </w:rPr>
            </w:r>
          </w:p>
        </w:tc>
        <w:tc>
          <w:tcPr>
            <w:tcW w:w="13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14.58%</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6"/>
              <w:jc w:val="right"/>
              <w:rPr>
                <w:rFonts w:ascii="Times New Roman" w:hAnsi="Times New Roman" w:cs="Times New Roman" w:eastAsia="Times New Roman" w:hint="default"/>
                <w:sz w:val="20"/>
                <w:szCs w:val="20"/>
              </w:rPr>
            </w:pPr>
            <w:r>
              <w:rPr>
                <w:rFonts w:ascii="Times New Roman"/>
                <w:sz w:val="20"/>
              </w:rPr>
              <w:t>2.26%</w:t>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6"/>
              <w:jc w:val="right"/>
              <w:rPr>
                <w:rFonts w:ascii="Times New Roman" w:hAnsi="Times New Roman" w:cs="Times New Roman" w:eastAsia="Times New Roman" w:hint="default"/>
                <w:sz w:val="20"/>
                <w:szCs w:val="20"/>
              </w:rPr>
            </w:pPr>
            <w:r>
              <w:rPr>
                <w:rFonts w:ascii="Times New Roman"/>
                <w:sz w:val="20"/>
              </w:rPr>
              <w:t>3.43%</w:t>
            </w:r>
          </w:p>
        </w:tc>
        <w:tc>
          <w:tcPr>
            <w:tcW w:w="96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20"/>
                <w:szCs w:val="20"/>
              </w:rPr>
            </w:pPr>
            <w:r>
              <w:rPr>
                <w:rFonts w:ascii="Times New Roman"/>
                <w:w w:val="95"/>
                <w:sz w:val="20"/>
              </w:rPr>
              <w:t>-0.96%</w:t>
            </w:r>
            <w:r>
              <w:rPr>
                <w:rFonts w:ascii="Times New Roman"/>
                <w:sz w:val="20"/>
              </w:rPr>
            </w:r>
          </w:p>
        </w:tc>
      </w:tr>
      <w:tr>
        <w:trPr>
          <w:trHeight w:val="286" w:hRule="exact"/>
        </w:trPr>
        <w:tc>
          <w:tcPr>
            <w:tcW w:w="2016" w:type="dxa"/>
            <w:tcBorders>
              <w:top w:val="single" w:sz="6" w:space="0" w:color="000000"/>
              <w:left w:val="single" w:sz="12" w:space="0" w:color="000000"/>
              <w:bottom w:val="single" w:sz="6" w:space="0" w:color="000000"/>
              <w:right w:val="single" w:sz="6" w:space="0" w:color="000000"/>
            </w:tcBorders>
          </w:tcPr>
          <w:p>
            <w:pPr>
              <w:pStyle w:val="TableParagraph"/>
              <w:spacing w:line="237" w:lineRule="exact"/>
              <w:ind w:left="93" w:right="0"/>
              <w:jc w:val="left"/>
              <w:rPr>
                <w:rFonts w:ascii="宋体" w:hAnsi="宋体" w:cs="宋体" w:eastAsia="宋体" w:hint="default"/>
                <w:sz w:val="20"/>
                <w:szCs w:val="20"/>
              </w:rPr>
            </w:pPr>
            <w:r>
              <w:rPr>
                <w:rFonts w:ascii="宋体" w:hAnsi="宋体" w:cs="宋体" w:eastAsia="宋体" w:hint="default"/>
                <w:sz w:val="20"/>
                <w:szCs w:val="20"/>
              </w:rPr>
              <w:t>公共安全</w:t>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w w:val="95"/>
                <w:sz w:val="20"/>
              </w:rPr>
              <w:t>492,780.83</w:t>
            </w:r>
            <w:r>
              <w:rPr>
                <w:rFonts w:ascii="Times New Roman"/>
                <w:sz w:val="20"/>
              </w:rPr>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1"/>
              <w:jc w:val="right"/>
              <w:rPr>
                <w:rFonts w:ascii="Times New Roman" w:hAnsi="Times New Roman" w:cs="Times New Roman" w:eastAsia="Times New Roman" w:hint="default"/>
                <w:sz w:val="20"/>
                <w:szCs w:val="20"/>
              </w:rPr>
            </w:pPr>
            <w:r>
              <w:rPr>
                <w:rFonts w:ascii="Times New Roman"/>
                <w:w w:val="95"/>
                <w:sz w:val="20"/>
              </w:rPr>
              <w:t>335,435.09</w:t>
            </w:r>
            <w:r>
              <w:rPr>
                <w:rFonts w:ascii="Times New Roman"/>
                <w:sz w:val="20"/>
              </w:rPr>
            </w:r>
          </w:p>
        </w:tc>
        <w:tc>
          <w:tcPr>
            <w:tcW w:w="13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31.93%</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6"/>
              <w:jc w:val="right"/>
              <w:rPr>
                <w:rFonts w:ascii="Times New Roman" w:hAnsi="Times New Roman" w:cs="Times New Roman" w:eastAsia="Times New Roman" w:hint="default"/>
                <w:sz w:val="20"/>
                <w:szCs w:val="20"/>
              </w:rPr>
            </w:pPr>
            <w:r>
              <w:rPr>
                <w:rFonts w:ascii="Times New Roman"/>
                <w:sz w:val="20"/>
              </w:rPr>
              <w:t>8.71%</w:t>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6"/>
              <w:jc w:val="right"/>
              <w:rPr>
                <w:rFonts w:ascii="Times New Roman" w:hAnsi="Times New Roman" w:cs="Times New Roman" w:eastAsia="Times New Roman" w:hint="default"/>
                <w:sz w:val="20"/>
                <w:szCs w:val="20"/>
              </w:rPr>
            </w:pPr>
            <w:r>
              <w:rPr>
                <w:rFonts w:ascii="Times New Roman"/>
                <w:sz w:val="20"/>
              </w:rPr>
              <w:t>5.24%</w:t>
            </w:r>
          </w:p>
        </w:tc>
        <w:tc>
          <w:tcPr>
            <w:tcW w:w="96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89"/>
              <w:jc w:val="right"/>
              <w:rPr>
                <w:rFonts w:ascii="Times New Roman" w:hAnsi="Times New Roman" w:cs="Times New Roman" w:eastAsia="Times New Roman" w:hint="default"/>
                <w:sz w:val="20"/>
                <w:szCs w:val="20"/>
              </w:rPr>
            </w:pPr>
            <w:r>
              <w:rPr>
                <w:rFonts w:ascii="Times New Roman"/>
                <w:sz w:val="20"/>
              </w:rPr>
              <w:t>2.25%</w:t>
            </w:r>
          </w:p>
        </w:tc>
      </w:tr>
      <w:tr>
        <w:trPr>
          <w:trHeight w:val="286" w:hRule="exact"/>
        </w:trPr>
        <w:tc>
          <w:tcPr>
            <w:tcW w:w="2016" w:type="dxa"/>
            <w:tcBorders>
              <w:top w:val="single" w:sz="6" w:space="0" w:color="000000"/>
              <w:left w:val="single" w:sz="12" w:space="0" w:color="000000"/>
              <w:bottom w:val="single" w:sz="6" w:space="0" w:color="000000"/>
              <w:right w:val="single" w:sz="6" w:space="0" w:color="000000"/>
            </w:tcBorders>
          </w:tcPr>
          <w:p>
            <w:pPr>
              <w:pStyle w:val="TableParagraph"/>
              <w:spacing w:line="237" w:lineRule="exact"/>
              <w:ind w:left="93" w:right="0"/>
              <w:jc w:val="left"/>
              <w:rPr>
                <w:rFonts w:ascii="宋体" w:hAnsi="宋体" w:cs="宋体" w:eastAsia="宋体" w:hint="default"/>
                <w:sz w:val="20"/>
                <w:szCs w:val="20"/>
              </w:rPr>
            </w:pPr>
            <w:r>
              <w:rPr>
                <w:rFonts w:ascii="宋体" w:hAnsi="宋体" w:cs="宋体" w:eastAsia="宋体" w:hint="default"/>
                <w:sz w:val="20"/>
                <w:szCs w:val="20"/>
              </w:rPr>
              <w:t>节能环保</w:t>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w w:val="95"/>
                <w:sz w:val="20"/>
              </w:rPr>
              <w:t>465,586.57</w:t>
            </w:r>
            <w:r>
              <w:rPr>
                <w:rFonts w:ascii="Times New Roman"/>
                <w:sz w:val="20"/>
              </w:rPr>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1"/>
              <w:jc w:val="right"/>
              <w:rPr>
                <w:rFonts w:ascii="Times New Roman" w:hAnsi="Times New Roman" w:cs="Times New Roman" w:eastAsia="Times New Roman" w:hint="default"/>
                <w:sz w:val="20"/>
                <w:szCs w:val="20"/>
              </w:rPr>
            </w:pPr>
            <w:r>
              <w:rPr>
                <w:rFonts w:ascii="Times New Roman"/>
                <w:w w:val="95"/>
                <w:sz w:val="20"/>
              </w:rPr>
              <w:t>340,941.40</w:t>
            </w:r>
            <w:r>
              <w:rPr>
                <w:rFonts w:ascii="Times New Roman"/>
                <w:sz w:val="20"/>
              </w:rPr>
            </w:r>
          </w:p>
        </w:tc>
        <w:tc>
          <w:tcPr>
            <w:tcW w:w="13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26.77%</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6"/>
              <w:jc w:val="right"/>
              <w:rPr>
                <w:rFonts w:ascii="Times New Roman" w:hAnsi="Times New Roman" w:cs="Times New Roman" w:eastAsia="Times New Roman" w:hint="default"/>
                <w:sz w:val="20"/>
                <w:szCs w:val="20"/>
              </w:rPr>
            </w:pPr>
            <w:r>
              <w:rPr>
                <w:rFonts w:ascii="Times New Roman"/>
                <w:sz w:val="20"/>
              </w:rPr>
              <w:t>5.96%</w:t>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6"/>
              <w:jc w:val="right"/>
              <w:rPr>
                <w:rFonts w:ascii="Times New Roman" w:hAnsi="Times New Roman" w:cs="Times New Roman" w:eastAsia="Times New Roman" w:hint="default"/>
                <w:sz w:val="20"/>
                <w:szCs w:val="20"/>
              </w:rPr>
            </w:pPr>
            <w:r>
              <w:rPr>
                <w:rFonts w:ascii="Times New Roman"/>
                <w:sz w:val="20"/>
              </w:rPr>
              <w:t>4.40%</w:t>
            </w:r>
          </w:p>
        </w:tc>
        <w:tc>
          <w:tcPr>
            <w:tcW w:w="96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89"/>
              <w:jc w:val="right"/>
              <w:rPr>
                <w:rFonts w:ascii="Times New Roman" w:hAnsi="Times New Roman" w:cs="Times New Roman" w:eastAsia="Times New Roman" w:hint="default"/>
                <w:sz w:val="20"/>
                <w:szCs w:val="20"/>
              </w:rPr>
            </w:pPr>
            <w:r>
              <w:rPr>
                <w:rFonts w:ascii="Times New Roman"/>
                <w:sz w:val="20"/>
              </w:rPr>
              <w:t>1.10%</w:t>
            </w:r>
          </w:p>
        </w:tc>
      </w:tr>
      <w:tr>
        <w:trPr>
          <w:trHeight w:val="286" w:hRule="exact"/>
        </w:trPr>
        <w:tc>
          <w:tcPr>
            <w:tcW w:w="2016"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科技园区</w:t>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1"/>
              <w:jc w:val="right"/>
              <w:rPr>
                <w:rFonts w:ascii="Times New Roman" w:hAnsi="Times New Roman" w:cs="Times New Roman" w:eastAsia="Times New Roman" w:hint="default"/>
                <w:sz w:val="20"/>
                <w:szCs w:val="20"/>
              </w:rPr>
            </w:pPr>
            <w:r>
              <w:rPr>
                <w:rFonts w:ascii="Times New Roman"/>
                <w:w w:val="95"/>
                <w:sz w:val="20"/>
              </w:rPr>
              <w:t>11,748.45</w:t>
            </w:r>
            <w:r>
              <w:rPr>
                <w:rFonts w:ascii="Times New Roman"/>
                <w:sz w:val="20"/>
              </w:rPr>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20"/>
                <w:szCs w:val="20"/>
              </w:rPr>
            </w:pPr>
            <w:r>
              <w:rPr>
                <w:rFonts w:ascii="Times New Roman"/>
                <w:w w:val="95"/>
                <w:sz w:val="20"/>
              </w:rPr>
              <w:t>8,527.23</w:t>
            </w:r>
            <w:r>
              <w:rPr>
                <w:rFonts w:ascii="Times New Roman"/>
                <w:sz w:val="20"/>
              </w:rPr>
            </w:r>
          </w:p>
        </w:tc>
        <w:tc>
          <w:tcPr>
            <w:tcW w:w="13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27.42%</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15.67%</w:t>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6"/>
              <w:jc w:val="right"/>
              <w:rPr>
                <w:rFonts w:ascii="Times New Roman" w:hAnsi="Times New Roman" w:cs="Times New Roman" w:eastAsia="Times New Roman" w:hint="default"/>
                <w:sz w:val="20"/>
                <w:szCs w:val="20"/>
              </w:rPr>
            </w:pPr>
            <w:r>
              <w:rPr>
                <w:rFonts w:ascii="Times New Roman"/>
                <w:sz w:val="20"/>
              </w:rPr>
              <w:t>8.47%</w:t>
            </w:r>
          </w:p>
        </w:tc>
        <w:tc>
          <w:tcPr>
            <w:tcW w:w="96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0"/>
                <w:szCs w:val="20"/>
              </w:rPr>
            </w:pPr>
            <w:r>
              <w:rPr>
                <w:rFonts w:ascii="Times New Roman"/>
                <w:sz w:val="20"/>
              </w:rPr>
              <w:t>4.82%</w:t>
            </w:r>
          </w:p>
        </w:tc>
      </w:tr>
      <w:tr>
        <w:trPr>
          <w:trHeight w:val="283" w:hRule="exact"/>
        </w:trPr>
        <w:tc>
          <w:tcPr>
            <w:tcW w:w="2016"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right="10"/>
              <w:jc w:val="center"/>
              <w:rPr>
                <w:rFonts w:ascii="宋体" w:hAnsi="宋体" w:cs="宋体" w:eastAsia="宋体" w:hint="default"/>
                <w:sz w:val="20"/>
                <w:szCs w:val="20"/>
              </w:rPr>
            </w:pPr>
            <w:r>
              <w:rPr>
                <w:rFonts w:ascii="宋体" w:hAnsi="宋体" w:cs="宋体" w:eastAsia="宋体" w:hint="default"/>
                <w:sz w:val="20"/>
                <w:szCs w:val="20"/>
              </w:rPr>
              <w:t>小计</w:t>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20"/>
                <w:szCs w:val="20"/>
              </w:rPr>
            </w:pPr>
            <w:r>
              <w:rPr>
                <w:rFonts w:ascii="Times New Roman"/>
                <w:w w:val="95"/>
                <w:sz w:val="20"/>
              </w:rPr>
              <w:t>2,859,585.74</w:t>
            </w:r>
            <w:r>
              <w:rPr>
                <w:rFonts w:ascii="Times New Roman"/>
                <w:sz w:val="20"/>
              </w:rPr>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20"/>
                <w:szCs w:val="20"/>
              </w:rPr>
            </w:pPr>
            <w:r>
              <w:rPr>
                <w:rFonts w:ascii="Times New Roman"/>
                <w:w w:val="95"/>
                <w:sz w:val="20"/>
              </w:rPr>
              <w:t>2,317,053.01</w:t>
            </w:r>
            <w:r>
              <w:rPr>
                <w:rFonts w:ascii="Times New Roman"/>
                <w:sz w:val="20"/>
              </w:rPr>
            </w:r>
          </w:p>
        </w:tc>
        <w:tc>
          <w:tcPr>
            <w:tcW w:w="1311" w:type="dxa"/>
            <w:tcBorders>
              <w:top w:val="single" w:sz="6" w:space="0" w:color="000000"/>
              <w:left w:val="single" w:sz="6" w:space="0" w:color="000000"/>
              <w:bottom w:val="single" w:sz="6" w:space="0" w:color="000000"/>
              <w:right w:val="single" w:sz="6" w:space="0" w:color="000000"/>
            </w:tcBorders>
          </w:tcPr>
          <w:p>
            <w:pPr/>
          </w:p>
        </w:tc>
        <w:tc>
          <w:tcPr>
            <w:tcW w:w="1234" w:type="dxa"/>
            <w:tcBorders>
              <w:top w:val="single" w:sz="6" w:space="0" w:color="000000"/>
              <w:left w:val="single" w:sz="6" w:space="0" w:color="000000"/>
              <w:bottom w:val="single" w:sz="6" w:space="0" w:color="000000"/>
              <w:right w:val="single" w:sz="6" w:space="0" w:color="000000"/>
            </w:tcBorders>
          </w:tcPr>
          <w:p>
            <w:pPr/>
          </w:p>
        </w:tc>
        <w:tc>
          <w:tcPr>
            <w:tcW w:w="1054" w:type="dxa"/>
            <w:tcBorders>
              <w:top w:val="single" w:sz="6" w:space="0" w:color="000000"/>
              <w:left w:val="single" w:sz="6" w:space="0" w:color="000000"/>
              <w:bottom w:val="single" w:sz="6" w:space="0" w:color="000000"/>
              <w:right w:val="single" w:sz="6" w:space="0" w:color="000000"/>
            </w:tcBorders>
          </w:tcPr>
          <w:p>
            <w:pPr/>
          </w:p>
        </w:tc>
        <w:tc>
          <w:tcPr>
            <w:tcW w:w="962" w:type="dxa"/>
            <w:tcBorders>
              <w:top w:val="single" w:sz="6" w:space="0" w:color="000000"/>
              <w:left w:val="single" w:sz="6" w:space="0" w:color="000000"/>
              <w:bottom w:val="single" w:sz="6" w:space="0" w:color="000000"/>
              <w:right w:val="single" w:sz="12" w:space="0" w:color="000000"/>
            </w:tcBorders>
          </w:tcPr>
          <w:p>
            <w:pPr/>
          </w:p>
        </w:tc>
      </w:tr>
      <w:tr>
        <w:trPr>
          <w:trHeight w:val="286" w:hRule="exact"/>
        </w:trPr>
        <w:tc>
          <w:tcPr>
            <w:tcW w:w="2016"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left="93" w:right="0"/>
              <w:jc w:val="left"/>
              <w:rPr>
                <w:rFonts w:ascii="宋体" w:hAnsi="宋体" w:cs="宋体" w:eastAsia="宋体" w:hint="default"/>
                <w:sz w:val="20"/>
                <w:szCs w:val="20"/>
              </w:rPr>
            </w:pPr>
            <w:r>
              <w:rPr>
                <w:rFonts w:ascii="宋体" w:hAnsi="宋体" w:cs="宋体" w:eastAsia="宋体" w:hint="default"/>
                <w:sz w:val="20"/>
                <w:szCs w:val="20"/>
              </w:rPr>
              <w:t>减：业务板块间抵消</w:t>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1"/>
              <w:jc w:val="right"/>
              <w:rPr>
                <w:rFonts w:ascii="Times New Roman" w:hAnsi="Times New Roman" w:cs="Times New Roman" w:eastAsia="Times New Roman" w:hint="default"/>
                <w:sz w:val="20"/>
                <w:szCs w:val="20"/>
              </w:rPr>
            </w:pPr>
            <w:r>
              <w:rPr>
                <w:rFonts w:ascii="Times New Roman"/>
                <w:w w:val="95"/>
                <w:sz w:val="20"/>
              </w:rPr>
              <w:t>-36,384.80</w:t>
            </w:r>
            <w:r>
              <w:rPr>
                <w:rFonts w:ascii="Times New Roman"/>
                <w:sz w:val="20"/>
              </w:rPr>
            </w:r>
          </w:p>
        </w:tc>
        <w:tc>
          <w:tcPr>
            <w:tcW w:w="1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1"/>
              <w:jc w:val="right"/>
              <w:rPr>
                <w:rFonts w:ascii="Times New Roman" w:hAnsi="Times New Roman" w:cs="Times New Roman" w:eastAsia="Times New Roman" w:hint="default"/>
                <w:sz w:val="20"/>
                <w:szCs w:val="20"/>
              </w:rPr>
            </w:pPr>
            <w:r>
              <w:rPr>
                <w:rFonts w:ascii="Times New Roman"/>
                <w:w w:val="95"/>
                <w:sz w:val="20"/>
              </w:rPr>
              <w:t>-35,992.42</w:t>
            </w:r>
            <w:r>
              <w:rPr>
                <w:rFonts w:ascii="Times New Roman"/>
                <w:sz w:val="20"/>
              </w:rPr>
            </w:r>
          </w:p>
        </w:tc>
        <w:tc>
          <w:tcPr>
            <w:tcW w:w="1311" w:type="dxa"/>
            <w:tcBorders>
              <w:top w:val="single" w:sz="6" w:space="0" w:color="000000"/>
              <w:left w:val="single" w:sz="6" w:space="0" w:color="000000"/>
              <w:bottom w:val="single" w:sz="6" w:space="0" w:color="000000"/>
              <w:right w:val="single" w:sz="6" w:space="0" w:color="000000"/>
            </w:tcBorders>
          </w:tcPr>
          <w:p>
            <w:pPr/>
          </w:p>
        </w:tc>
        <w:tc>
          <w:tcPr>
            <w:tcW w:w="1234" w:type="dxa"/>
            <w:tcBorders>
              <w:top w:val="single" w:sz="6" w:space="0" w:color="000000"/>
              <w:left w:val="single" w:sz="6" w:space="0" w:color="000000"/>
              <w:bottom w:val="single" w:sz="6" w:space="0" w:color="000000"/>
              <w:right w:val="single" w:sz="6" w:space="0" w:color="000000"/>
            </w:tcBorders>
          </w:tcPr>
          <w:p>
            <w:pPr/>
          </w:p>
        </w:tc>
        <w:tc>
          <w:tcPr>
            <w:tcW w:w="1054" w:type="dxa"/>
            <w:tcBorders>
              <w:top w:val="single" w:sz="6" w:space="0" w:color="000000"/>
              <w:left w:val="single" w:sz="6" w:space="0" w:color="000000"/>
              <w:bottom w:val="single" w:sz="6" w:space="0" w:color="000000"/>
              <w:right w:val="single" w:sz="6" w:space="0" w:color="000000"/>
            </w:tcBorders>
          </w:tcPr>
          <w:p>
            <w:pPr/>
          </w:p>
        </w:tc>
        <w:tc>
          <w:tcPr>
            <w:tcW w:w="962" w:type="dxa"/>
            <w:tcBorders>
              <w:top w:val="single" w:sz="6" w:space="0" w:color="000000"/>
              <w:left w:val="single" w:sz="6" w:space="0" w:color="000000"/>
              <w:bottom w:val="single" w:sz="6" w:space="0" w:color="000000"/>
              <w:right w:val="single" w:sz="12" w:space="0" w:color="000000"/>
            </w:tcBorders>
          </w:tcPr>
          <w:p>
            <w:pPr/>
          </w:p>
        </w:tc>
      </w:tr>
      <w:tr>
        <w:trPr>
          <w:trHeight w:val="290" w:hRule="exact"/>
        </w:trPr>
        <w:tc>
          <w:tcPr>
            <w:tcW w:w="2016" w:type="dxa"/>
            <w:tcBorders>
              <w:top w:val="single" w:sz="6" w:space="0" w:color="000000"/>
              <w:left w:val="single" w:sz="12" w:space="0" w:color="000000"/>
              <w:bottom w:val="single" w:sz="12" w:space="0" w:color="000000"/>
              <w:right w:val="single" w:sz="6" w:space="0" w:color="000000"/>
            </w:tcBorders>
          </w:tcPr>
          <w:p>
            <w:pPr>
              <w:pStyle w:val="TableParagraph"/>
              <w:spacing w:line="237" w:lineRule="exact"/>
              <w:ind w:right="5"/>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42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9"/>
              <w:ind w:right="100"/>
              <w:jc w:val="right"/>
              <w:rPr>
                <w:rFonts w:ascii="Times New Roman" w:hAnsi="Times New Roman" w:cs="Times New Roman" w:eastAsia="Times New Roman" w:hint="default"/>
                <w:sz w:val="20"/>
                <w:szCs w:val="20"/>
              </w:rPr>
            </w:pPr>
            <w:r>
              <w:rPr>
                <w:rFonts w:ascii="Times New Roman"/>
                <w:b/>
                <w:w w:val="95"/>
                <w:sz w:val="20"/>
              </w:rPr>
              <w:t>2,823,200.94</w:t>
            </w:r>
            <w:r>
              <w:rPr>
                <w:rFonts w:ascii="Times New Roman"/>
                <w:sz w:val="20"/>
              </w:rPr>
            </w:r>
          </w:p>
        </w:tc>
        <w:tc>
          <w:tcPr>
            <w:tcW w:w="142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9"/>
              <w:ind w:right="99"/>
              <w:jc w:val="right"/>
              <w:rPr>
                <w:rFonts w:ascii="Times New Roman" w:hAnsi="Times New Roman" w:cs="Times New Roman" w:eastAsia="Times New Roman" w:hint="default"/>
                <w:sz w:val="20"/>
                <w:szCs w:val="20"/>
              </w:rPr>
            </w:pPr>
            <w:r>
              <w:rPr>
                <w:rFonts w:ascii="Times New Roman"/>
                <w:b/>
                <w:w w:val="95"/>
                <w:sz w:val="20"/>
              </w:rPr>
              <w:t>2,281,060.59</w:t>
            </w:r>
            <w:r>
              <w:rPr>
                <w:rFonts w:ascii="Times New Roman"/>
                <w:sz w:val="20"/>
              </w:rPr>
            </w:r>
          </w:p>
        </w:tc>
        <w:tc>
          <w:tcPr>
            <w:tcW w:w="131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b/>
                <w:sz w:val="20"/>
              </w:rPr>
              <w:t>19.20%</w:t>
            </w:r>
            <w:r>
              <w:rPr>
                <w:rFonts w:ascii="Times New Roman"/>
                <w:sz w:val="20"/>
              </w:rPr>
            </w:r>
          </w:p>
        </w:tc>
        <w:tc>
          <w:tcPr>
            <w:tcW w:w="12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b/>
                <w:sz w:val="20"/>
              </w:rPr>
              <w:t>9.61%</w:t>
            </w:r>
            <w:r>
              <w:rPr>
                <w:rFonts w:ascii="Times New Roman"/>
                <w:sz w:val="20"/>
              </w:rPr>
            </w:r>
          </w:p>
        </w:tc>
        <w:tc>
          <w:tcPr>
            <w:tcW w:w="105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b/>
                <w:sz w:val="20"/>
              </w:rPr>
              <w:t>10.05%</w:t>
            </w:r>
            <w:r>
              <w:rPr>
                <w:rFonts w:ascii="Times New Roman"/>
                <w:sz w:val="20"/>
              </w:rPr>
            </w:r>
          </w:p>
        </w:tc>
        <w:tc>
          <w:tcPr>
            <w:tcW w:w="96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9"/>
              <w:ind w:right="89"/>
              <w:jc w:val="right"/>
              <w:rPr>
                <w:rFonts w:ascii="Times New Roman" w:hAnsi="Times New Roman" w:cs="Times New Roman" w:eastAsia="Times New Roman" w:hint="default"/>
                <w:sz w:val="20"/>
                <w:szCs w:val="20"/>
              </w:rPr>
            </w:pPr>
            <w:r>
              <w:rPr>
                <w:rFonts w:ascii="Times New Roman"/>
                <w:b/>
                <w:sz w:val="20"/>
              </w:rPr>
              <w:t>-0.33%</w:t>
            </w:r>
            <w:r>
              <w:rPr>
                <w:rFonts w:ascii="Times New Roman"/>
                <w:sz w:val="20"/>
              </w:rPr>
            </w:r>
          </w:p>
        </w:tc>
      </w:tr>
    </w:tbl>
    <w:p>
      <w:pPr>
        <w:spacing w:line="240" w:lineRule="auto" w:before="13"/>
        <w:rPr>
          <w:rFonts w:ascii="宋体" w:hAnsi="宋体" w:cs="宋体" w:eastAsia="宋体" w:hint="default"/>
          <w:sz w:val="18"/>
          <w:szCs w:val="18"/>
        </w:rPr>
      </w:pPr>
    </w:p>
    <w:p>
      <w:pPr>
        <w:pStyle w:val="BodyText"/>
        <w:spacing w:line="237" w:lineRule="auto" w:before="28"/>
        <w:ind w:left="238" w:right="242"/>
        <w:jc w:val="both"/>
      </w:pPr>
      <w:r>
        <w:rPr/>
        <w:t>报告期内，公司实现了</w:t>
      </w:r>
      <w:r>
        <w:rPr>
          <w:spacing w:val="-78"/>
        </w:rPr>
        <w:t> </w:t>
      </w:r>
      <w:r>
        <w:rPr>
          <w:rFonts w:ascii="宋体" w:hAnsi="宋体" w:cs="宋体" w:eastAsia="宋体" w:hint="default"/>
        </w:rPr>
        <w:t>282.32</w:t>
      </w:r>
      <w:r>
        <w:rPr>
          <w:rFonts w:ascii="宋体" w:hAnsi="宋体" w:cs="宋体" w:eastAsia="宋体" w:hint="default"/>
          <w:spacing w:val="-78"/>
        </w:rPr>
        <w:t> </w:t>
      </w:r>
      <w:r>
        <w:rPr/>
        <w:t>亿元主营业务收入，保持了稳步增长态势，较上年相比增 长了 </w:t>
      </w:r>
      <w:r>
        <w:rPr>
          <w:rFonts w:ascii="宋体" w:hAnsi="宋体" w:cs="宋体" w:eastAsia="宋体" w:hint="default"/>
        </w:rPr>
        <w:t>9.61%</w:t>
      </w:r>
      <w:r>
        <w:rPr/>
        <w:t>；公司毛利率水平与去年持平，为</w:t>
      </w:r>
      <w:r>
        <w:rPr>
          <w:spacing w:val="-40"/>
        </w:rPr>
        <w:t> </w:t>
      </w:r>
      <w:r>
        <w:rPr>
          <w:rFonts w:ascii="宋体" w:hAnsi="宋体" w:cs="宋体" w:eastAsia="宋体" w:hint="default"/>
        </w:rPr>
        <w:t>19.20%</w:t>
      </w:r>
      <w:r>
        <w:rPr/>
        <w:t>。各产业板块收入、成本和毛利率 与上年相比均无重大变化。</w:t>
      </w:r>
    </w:p>
    <w:p>
      <w:pPr>
        <w:spacing w:line="240" w:lineRule="auto" w:before="12"/>
        <w:rPr>
          <w:rFonts w:ascii="宋体" w:hAnsi="宋体" w:cs="宋体" w:eastAsia="宋体" w:hint="default"/>
          <w:sz w:val="23"/>
          <w:szCs w:val="23"/>
        </w:rPr>
      </w:pPr>
    </w:p>
    <w:p>
      <w:pPr>
        <w:pStyle w:val="BodyText"/>
        <w:spacing w:line="237" w:lineRule="auto"/>
        <w:ind w:left="238" w:right="240"/>
        <w:jc w:val="both"/>
      </w:pPr>
      <w:r>
        <w:rPr>
          <w:rFonts w:ascii="宋体" w:hAnsi="宋体" w:cs="宋体" w:eastAsia="宋体" w:hint="default"/>
        </w:rPr>
        <w:t>2015</w:t>
      </w:r>
      <w:r>
        <w:rPr>
          <w:rFonts w:ascii="宋体" w:hAnsi="宋体" w:cs="宋体" w:eastAsia="宋体" w:hint="default"/>
          <w:spacing w:val="-40"/>
        </w:rPr>
        <w:t> </w:t>
      </w:r>
      <w:r>
        <w:rPr/>
        <w:t>年，公司在海外市场的拓展力度持续加大，计算机产品、安防系统、照明产品等业 务海外收入继续提升，公司国际市场的主营业务收入比重也不断提高。主营业务分地区</w:t>
      </w:r>
      <w:r>
        <w:rPr>
          <w:spacing w:val="-45"/>
        </w:rPr>
        <w:t> </w:t>
      </w:r>
      <w:r>
        <w:rPr>
          <w:spacing w:val="-45"/>
        </w:rPr>
      </w:r>
      <w:r>
        <w:rPr/>
        <w:t>情况如下表所示：</w:t>
      </w:r>
    </w:p>
    <w:p>
      <w:pPr>
        <w:spacing w:after="0" w:line="237" w:lineRule="auto"/>
        <w:jc w:val="both"/>
        <w:sectPr>
          <w:headerReference w:type="default" r:id="rId15"/>
          <w:pgSz w:w="11910" w:h="16840"/>
          <w:pgMar w:header="628" w:footer="760" w:top="1020" w:bottom="960" w:left="1180" w:right="10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1"/>
          <w:szCs w:val="11"/>
        </w:rPr>
      </w:pPr>
    </w:p>
    <w:tbl>
      <w:tblPr>
        <w:tblW w:w="0" w:type="auto"/>
        <w:jc w:val="left"/>
        <w:tblInd w:w="116" w:type="dxa"/>
        <w:tblLayout w:type="fixed"/>
        <w:tblCellMar>
          <w:top w:w="0" w:type="dxa"/>
          <w:left w:w="0" w:type="dxa"/>
          <w:bottom w:w="0" w:type="dxa"/>
          <w:right w:w="0" w:type="dxa"/>
        </w:tblCellMar>
        <w:tblLook w:val="01E0"/>
      </w:tblPr>
      <w:tblGrid>
        <w:gridCol w:w="1800"/>
        <w:gridCol w:w="1801"/>
        <w:gridCol w:w="1236"/>
        <w:gridCol w:w="1731"/>
        <w:gridCol w:w="1193"/>
        <w:gridCol w:w="1658"/>
      </w:tblGrid>
      <w:tr>
        <w:trPr>
          <w:trHeight w:val="293" w:hRule="exact"/>
        </w:trPr>
        <w:tc>
          <w:tcPr>
            <w:tcW w:w="1800" w:type="dxa"/>
            <w:tcBorders>
              <w:top w:val="single" w:sz="12" w:space="0" w:color="000000"/>
              <w:left w:val="single" w:sz="12" w:space="0" w:color="000000"/>
              <w:bottom w:val="nil" w:sz="6" w:space="0" w:color="auto"/>
              <w:right w:val="single" w:sz="6" w:space="0" w:color="000000"/>
            </w:tcBorders>
          </w:tcPr>
          <w:p>
            <w:pPr>
              <w:pStyle w:val="TableParagraph"/>
              <w:spacing w:line="235" w:lineRule="exact"/>
              <w:ind w:right="5"/>
              <w:jc w:val="center"/>
              <w:rPr>
                <w:rFonts w:ascii="宋体" w:hAnsi="宋体" w:cs="宋体" w:eastAsia="宋体" w:hint="default"/>
                <w:sz w:val="20"/>
                <w:szCs w:val="20"/>
              </w:rPr>
            </w:pPr>
            <w:r>
              <w:rPr>
                <w:rFonts w:ascii="宋体" w:hAnsi="宋体" w:cs="宋体" w:eastAsia="宋体" w:hint="default"/>
                <w:b/>
                <w:bCs/>
                <w:sz w:val="20"/>
                <w:szCs w:val="20"/>
              </w:rPr>
              <w:t>地区</w:t>
            </w:r>
            <w:r>
              <w:rPr>
                <w:rFonts w:ascii="宋体" w:hAnsi="宋体" w:cs="宋体" w:eastAsia="宋体" w:hint="default"/>
                <w:sz w:val="20"/>
                <w:szCs w:val="20"/>
              </w:rPr>
            </w:r>
          </w:p>
        </w:tc>
        <w:tc>
          <w:tcPr>
            <w:tcW w:w="3037" w:type="dxa"/>
            <w:gridSpan w:val="2"/>
            <w:tcBorders>
              <w:top w:val="single" w:sz="12" w:space="0" w:color="000000"/>
              <w:left w:val="single" w:sz="6" w:space="0" w:color="000000"/>
              <w:bottom w:val="single" w:sz="6" w:space="0" w:color="000000"/>
              <w:right w:val="single" w:sz="6" w:space="0" w:color="000000"/>
            </w:tcBorders>
          </w:tcPr>
          <w:p>
            <w:pPr>
              <w:pStyle w:val="TableParagraph"/>
              <w:spacing w:line="250" w:lineRule="exact"/>
              <w:ind w:left="583" w:right="0"/>
              <w:jc w:val="left"/>
              <w:rPr>
                <w:rFonts w:ascii="宋体" w:hAnsi="宋体" w:cs="宋体" w:eastAsia="宋体" w:hint="default"/>
                <w:sz w:val="20"/>
                <w:szCs w:val="20"/>
              </w:rPr>
            </w:pPr>
            <w:r>
              <w:rPr>
                <w:rFonts w:ascii="Times New Roman" w:hAnsi="Times New Roman" w:cs="Times New Roman" w:eastAsia="Times New Roman" w:hint="default"/>
                <w:b/>
                <w:bCs/>
                <w:sz w:val="20"/>
                <w:szCs w:val="20"/>
              </w:rPr>
              <w:t>2015</w:t>
            </w:r>
            <w:r>
              <w:rPr>
                <w:rFonts w:ascii="Times New Roman" w:hAnsi="Times New Roman" w:cs="Times New Roman" w:eastAsia="Times New Roman" w:hint="default"/>
                <w:b/>
                <w:bCs/>
                <w:spacing w:val="-3"/>
                <w:sz w:val="20"/>
                <w:szCs w:val="20"/>
              </w:rPr>
              <w:t> </w:t>
            </w:r>
            <w:r>
              <w:rPr>
                <w:rFonts w:ascii="宋体" w:hAnsi="宋体" w:cs="宋体" w:eastAsia="宋体" w:hint="default"/>
                <w:b/>
                <w:bCs/>
                <w:sz w:val="20"/>
                <w:szCs w:val="20"/>
              </w:rPr>
              <w:t>年主营业务收入</w:t>
            </w:r>
            <w:r>
              <w:rPr>
                <w:rFonts w:ascii="宋体" w:hAnsi="宋体" w:cs="宋体" w:eastAsia="宋体" w:hint="default"/>
                <w:sz w:val="20"/>
                <w:szCs w:val="20"/>
              </w:rPr>
            </w:r>
          </w:p>
        </w:tc>
        <w:tc>
          <w:tcPr>
            <w:tcW w:w="2924" w:type="dxa"/>
            <w:gridSpan w:val="2"/>
            <w:tcBorders>
              <w:top w:val="single" w:sz="12" w:space="0" w:color="000000"/>
              <w:left w:val="single" w:sz="6" w:space="0" w:color="000000"/>
              <w:bottom w:val="single" w:sz="6" w:space="0" w:color="000000"/>
              <w:right w:val="single" w:sz="6" w:space="0" w:color="000000"/>
            </w:tcBorders>
          </w:tcPr>
          <w:p>
            <w:pPr>
              <w:pStyle w:val="TableParagraph"/>
              <w:spacing w:line="250" w:lineRule="exact"/>
              <w:ind w:left="525" w:right="0"/>
              <w:jc w:val="left"/>
              <w:rPr>
                <w:rFonts w:ascii="宋体" w:hAnsi="宋体" w:cs="宋体" w:eastAsia="宋体" w:hint="default"/>
                <w:sz w:val="20"/>
                <w:szCs w:val="20"/>
              </w:rPr>
            </w:pPr>
            <w:r>
              <w:rPr>
                <w:rFonts w:ascii="Times New Roman" w:hAnsi="Times New Roman" w:cs="Times New Roman" w:eastAsia="Times New Roman" w:hint="default"/>
                <w:b/>
                <w:bCs/>
                <w:sz w:val="20"/>
                <w:szCs w:val="20"/>
              </w:rPr>
              <w:t>2014</w:t>
            </w:r>
            <w:r>
              <w:rPr>
                <w:rFonts w:ascii="Times New Roman" w:hAnsi="Times New Roman" w:cs="Times New Roman" w:eastAsia="Times New Roman" w:hint="default"/>
                <w:b/>
                <w:bCs/>
                <w:spacing w:val="-3"/>
                <w:sz w:val="20"/>
                <w:szCs w:val="20"/>
              </w:rPr>
              <w:t> </w:t>
            </w:r>
            <w:r>
              <w:rPr>
                <w:rFonts w:ascii="宋体" w:hAnsi="宋体" w:cs="宋体" w:eastAsia="宋体" w:hint="default"/>
                <w:b/>
                <w:bCs/>
                <w:sz w:val="20"/>
                <w:szCs w:val="20"/>
              </w:rPr>
              <w:t>年主营业务收入</w:t>
            </w:r>
            <w:r>
              <w:rPr>
                <w:rFonts w:ascii="宋体" w:hAnsi="宋体" w:cs="宋体" w:eastAsia="宋体" w:hint="default"/>
                <w:sz w:val="20"/>
                <w:szCs w:val="20"/>
              </w:rPr>
            </w:r>
          </w:p>
        </w:tc>
        <w:tc>
          <w:tcPr>
            <w:tcW w:w="1658" w:type="dxa"/>
            <w:vMerge w:val="restart"/>
            <w:tcBorders>
              <w:top w:val="single" w:sz="12" w:space="0" w:color="000000"/>
              <w:left w:val="single" w:sz="6" w:space="0" w:color="000000"/>
              <w:right w:val="single" w:sz="12" w:space="0" w:color="000000"/>
            </w:tcBorders>
          </w:tcPr>
          <w:p>
            <w:pPr>
              <w:pStyle w:val="TableParagraph"/>
              <w:spacing w:line="260" w:lineRule="exact" w:before="12"/>
              <w:ind w:left="316" w:right="114" w:hanging="202"/>
              <w:jc w:val="left"/>
              <w:rPr>
                <w:rFonts w:ascii="宋体" w:hAnsi="宋体" w:cs="宋体" w:eastAsia="宋体" w:hint="default"/>
                <w:sz w:val="20"/>
                <w:szCs w:val="20"/>
              </w:rPr>
            </w:pPr>
            <w:r>
              <w:rPr>
                <w:rFonts w:ascii="宋体" w:hAnsi="宋体" w:cs="宋体" w:eastAsia="宋体" w:hint="default"/>
                <w:b/>
                <w:bCs/>
                <w:sz w:val="20"/>
                <w:szCs w:val="20"/>
              </w:rPr>
              <w:t>主营业务比上年</w:t>
            </w:r>
            <w:r>
              <w:rPr>
                <w:rFonts w:ascii="宋体" w:hAnsi="宋体" w:cs="宋体" w:eastAsia="宋体" w:hint="default"/>
                <w:b/>
                <w:bCs/>
                <w:w w:val="99"/>
                <w:sz w:val="20"/>
                <w:szCs w:val="20"/>
              </w:rPr>
              <w:t> </w:t>
            </w:r>
            <w:r>
              <w:rPr>
                <w:rFonts w:ascii="宋体" w:hAnsi="宋体" w:cs="宋体" w:eastAsia="宋体" w:hint="default"/>
                <w:b/>
                <w:bCs/>
                <w:sz w:val="20"/>
                <w:szCs w:val="20"/>
              </w:rPr>
              <w:t>增减（</w:t>
            </w: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w:t>
            </w:r>
            <w:r>
              <w:rPr>
                <w:rFonts w:ascii="宋体" w:hAnsi="宋体" w:cs="宋体" w:eastAsia="宋体" w:hint="default"/>
                <w:sz w:val="20"/>
                <w:szCs w:val="20"/>
              </w:rPr>
            </w:r>
          </w:p>
        </w:tc>
      </w:tr>
      <w:tr>
        <w:trPr>
          <w:trHeight w:val="286" w:hRule="exact"/>
        </w:trPr>
        <w:tc>
          <w:tcPr>
            <w:tcW w:w="1800" w:type="dxa"/>
            <w:tcBorders>
              <w:top w:val="nil" w:sz="6" w:space="0" w:color="auto"/>
              <w:left w:val="single" w:sz="12" w:space="0" w:color="000000"/>
              <w:bottom w:val="single" w:sz="6" w:space="0" w:color="000000"/>
              <w:right w:val="single" w:sz="6" w:space="0" w:color="000000"/>
            </w:tcBorders>
          </w:tcPr>
          <w:p>
            <w:pPr>
              <w:pStyle w:val="TableParagraph"/>
              <w:spacing w:line="242" w:lineRule="exact"/>
              <w:ind w:left="182" w:right="0"/>
              <w:jc w:val="left"/>
              <w:rPr>
                <w:rFonts w:ascii="宋体" w:hAnsi="宋体" w:cs="宋体" w:eastAsia="宋体" w:hint="default"/>
                <w:sz w:val="20"/>
                <w:szCs w:val="20"/>
              </w:rPr>
            </w:pPr>
            <w:r>
              <w:rPr>
                <w:rFonts w:ascii="宋体" w:hAnsi="宋体" w:cs="宋体" w:eastAsia="宋体" w:hint="default"/>
                <w:b/>
                <w:bCs/>
                <w:sz w:val="20"/>
                <w:szCs w:val="20"/>
              </w:rPr>
              <w:t>（单位：万元）</w:t>
            </w:r>
            <w:r>
              <w:rPr>
                <w:rFonts w:ascii="宋体" w:hAnsi="宋体" w:cs="宋体" w:eastAsia="宋体" w:hint="default"/>
                <w:sz w:val="20"/>
                <w:szCs w:val="20"/>
              </w:rPr>
            </w:r>
          </w:p>
        </w:tc>
        <w:tc>
          <w:tcPr>
            <w:tcW w:w="1801"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0"/>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1236"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left="2" w:right="0"/>
              <w:jc w:val="center"/>
              <w:rPr>
                <w:rFonts w:ascii="宋体" w:hAnsi="宋体" w:cs="宋体" w:eastAsia="宋体" w:hint="default"/>
                <w:sz w:val="20"/>
                <w:szCs w:val="20"/>
              </w:rPr>
            </w:pPr>
            <w:r>
              <w:rPr>
                <w:rFonts w:ascii="宋体" w:hAnsi="宋体" w:cs="宋体" w:eastAsia="宋体" w:hint="default"/>
                <w:b/>
                <w:bCs/>
                <w:sz w:val="20"/>
                <w:szCs w:val="20"/>
              </w:rPr>
              <w:t>比重</w:t>
            </w:r>
            <w:r>
              <w:rPr>
                <w:rFonts w:ascii="宋体" w:hAnsi="宋体" w:cs="宋体" w:eastAsia="宋体" w:hint="default"/>
                <w:sz w:val="20"/>
                <w:szCs w:val="20"/>
              </w:rPr>
            </w:r>
          </w:p>
        </w:tc>
        <w:tc>
          <w:tcPr>
            <w:tcW w:w="1731"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right="1"/>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1193"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ind w:left="388" w:right="0"/>
              <w:jc w:val="left"/>
              <w:rPr>
                <w:rFonts w:ascii="宋体" w:hAnsi="宋体" w:cs="宋体" w:eastAsia="宋体" w:hint="default"/>
                <w:sz w:val="20"/>
                <w:szCs w:val="20"/>
              </w:rPr>
            </w:pPr>
            <w:r>
              <w:rPr>
                <w:rFonts w:ascii="宋体" w:hAnsi="宋体" w:cs="宋体" w:eastAsia="宋体" w:hint="default"/>
                <w:b/>
                <w:bCs/>
                <w:sz w:val="20"/>
                <w:szCs w:val="20"/>
              </w:rPr>
              <w:t>比重</w:t>
            </w:r>
            <w:r>
              <w:rPr>
                <w:rFonts w:ascii="宋体" w:hAnsi="宋体" w:cs="宋体" w:eastAsia="宋体" w:hint="default"/>
                <w:sz w:val="20"/>
                <w:szCs w:val="20"/>
              </w:rPr>
            </w:r>
          </w:p>
        </w:tc>
        <w:tc>
          <w:tcPr>
            <w:tcW w:w="1658" w:type="dxa"/>
            <w:vMerge/>
            <w:tcBorders>
              <w:left w:val="single" w:sz="6" w:space="0" w:color="000000"/>
              <w:bottom w:val="single" w:sz="6" w:space="0" w:color="000000"/>
              <w:right w:val="single" w:sz="12" w:space="0" w:color="000000"/>
            </w:tcBorders>
          </w:tcPr>
          <w:p>
            <w:pPr/>
          </w:p>
        </w:tc>
      </w:tr>
      <w:tr>
        <w:trPr>
          <w:trHeight w:val="283" w:hRule="exact"/>
        </w:trPr>
        <w:tc>
          <w:tcPr>
            <w:tcW w:w="1800"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国内市场</w:t>
            </w:r>
          </w:p>
        </w:tc>
        <w:tc>
          <w:tcPr>
            <w:tcW w:w="18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20"/>
                <w:szCs w:val="20"/>
              </w:rPr>
            </w:pPr>
            <w:r>
              <w:rPr>
                <w:rFonts w:ascii="Times New Roman"/>
                <w:w w:val="95"/>
                <w:sz w:val="20"/>
              </w:rPr>
              <w:t>1,723,743.87</w:t>
            </w:r>
            <w:r>
              <w:rPr>
                <w:rFonts w:ascii="Times New Roman"/>
                <w:sz w:val="20"/>
              </w:rPr>
            </w:r>
          </w:p>
        </w:tc>
        <w:tc>
          <w:tcPr>
            <w:tcW w:w="12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61.06%</w:t>
            </w:r>
          </w:p>
        </w:tc>
        <w:tc>
          <w:tcPr>
            <w:tcW w:w="17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1"/>
              <w:jc w:val="right"/>
              <w:rPr>
                <w:rFonts w:ascii="Times New Roman" w:hAnsi="Times New Roman" w:cs="Times New Roman" w:eastAsia="Times New Roman" w:hint="default"/>
                <w:sz w:val="20"/>
                <w:szCs w:val="20"/>
              </w:rPr>
            </w:pPr>
            <w:r>
              <w:rPr>
                <w:rFonts w:ascii="Times New Roman"/>
                <w:w w:val="95"/>
                <w:sz w:val="20"/>
              </w:rPr>
              <w:t>1,624,933.51</w:t>
            </w:r>
            <w:r>
              <w:rPr>
                <w:rFonts w:ascii="Times New Roman"/>
                <w:sz w:val="20"/>
              </w:rPr>
            </w:r>
          </w:p>
        </w:tc>
        <w:tc>
          <w:tcPr>
            <w:tcW w:w="11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63.09%</w:t>
            </w:r>
          </w:p>
        </w:tc>
        <w:tc>
          <w:tcPr>
            <w:tcW w:w="16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20"/>
                <w:szCs w:val="20"/>
              </w:rPr>
            </w:pPr>
            <w:r>
              <w:rPr>
                <w:rFonts w:ascii="Times New Roman"/>
                <w:sz w:val="20"/>
              </w:rPr>
              <w:t>6.08%</w:t>
            </w:r>
          </w:p>
        </w:tc>
      </w:tr>
      <w:tr>
        <w:trPr>
          <w:trHeight w:val="286" w:hRule="exact"/>
        </w:trPr>
        <w:tc>
          <w:tcPr>
            <w:tcW w:w="1800" w:type="dxa"/>
            <w:tcBorders>
              <w:top w:val="single" w:sz="6" w:space="0" w:color="000000"/>
              <w:left w:val="single" w:sz="12" w:space="0" w:color="000000"/>
              <w:bottom w:val="single" w:sz="6" w:space="0" w:color="000000"/>
              <w:right w:val="single" w:sz="6" w:space="0" w:color="000000"/>
            </w:tcBorders>
          </w:tcPr>
          <w:p>
            <w:pPr>
              <w:pStyle w:val="TableParagraph"/>
              <w:spacing w:line="237" w:lineRule="exact"/>
              <w:ind w:left="93" w:right="0"/>
              <w:jc w:val="left"/>
              <w:rPr>
                <w:rFonts w:ascii="宋体" w:hAnsi="宋体" w:cs="宋体" w:eastAsia="宋体" w:hint="default"/>
                <w:sz w:val="20"/>
                <w:szCs w:val="20"/>
              </w:rPr>
            </w:pPr>
            <w:r>
              <w:rPr>
                <w:rFonts w:ascii="宋体" w:hAnsi="宋体" w:cs="宋体" w:eastAsia="宋体" w:hint="default"/>
                <w:sz w:val="20"/>
                <w:szCs w:val="20"/>
              </w:rPr>
              <w:t>国际市场</w:t>
            </w:r>
          </w:p>
        </w:tc>
        <w:tc>
          <w:tcPr>
            <w:tcW w:w="18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20"/>
                <w:szCs w:val="20"/>
              </w:rPr>
            </w:pPr>
            <w:r>
              <w:rPr>
                <w:rFonts w:ascii="Times New Roman"/>
                <w:w w:val="95"/>
                <w:sz w:val="20"/>
              </w:rPr>
              <w:t>1,099,457.07</w:t>
            </w:r>
            <w:r>
              <w:rPr>
                <w:rFonts w:ascii="Times New Roman"/>
                <w:sz w:val="20"/>
              </w:rPr>
            </w:r>
          </w:p>
        </w:tc>
        <w:tc>
          <w:tcPr>
            <w:tcW w:w="12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38.94%</w:t>
            </w:r>
          </w:p>
        </w:tc>
        <w:tc>
          <w:tcPr>
            <w:tcW w:w="17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3"/>
              <w:jc w:val="right"/>
              <w:rPr>
                <w:rFonts w:ascii="Times New Roman" w:hAnsi="Times New Roman" w:cs="Times New Roman" w:eastAsia="Times New Roman" w:hint="default"/>
                <w:sz w:val="20"/>
                <w:szCs w:val="20"/>
              </w:rPr>
            </w:pPr>
            <w:r>
              <w:rPr>
                <w:rFonts w:ascii="Times New Roman"/>
                <w:w w:val="95"/>
                <w:sz w:val="20"/>
              </w:rPr>
              <w:t>950,757.77</w:t>
            </w:r>
            <w:r>
              <w:rPr>
                <w:rFonts w:ascii="Times New Roman"/>
                <w:sz w:val="20"/>
              </w:rPr>
            </w:r>
          </w:p>
        </w:tc>
        <w:tc>
          <w:tcPr>
            <w:tcW w:w="11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36.91%</w:t>
            </w:r>
          </w:p>
        </w:tc>
        <w:tc>
          <w:tcPr>
            <w:tcW w:w="16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2"/>
              <w:jc w:val="right"/>
              <w:rPr>
                <w:rFonts w:ascii="Times New Roman" w:hAnsi="Times New Roman" w:cs="Times New Roman" w:eastAsia="Times New Roman" w:hint="default"/>
                <w:sz w:val="20"/>
                <w:szCs w:val="20"/>
              </w:rPr>
            </w:pPr>
            <w:r>
              <w:rPr>
                <w:rFonts w:ascii="Times New Roman"/>
                <w:sz w:val="20"/>
              </w:rPr>
              <w:t>15.64%</w:t>
            </w:r>
          </w:p>
        </w:tc>
      </w:tr>
      <w:tr>
        <w:trPr>
          <w:trHeight w:val="290" w:hRule="exact"/>
        </w:trPr>
        <w:tc>
          <w:tcPr>
            <w:tcW w:w="1800" w:type="dxa"/>
            <w:tcBorders>
              <w:top w:val="single" w:sz="6" w:space="0" w:color="000000"/>
              <w:left w:val="single" w:sz="12" w:space="0" w:color="000000"/>
              <w:bottom w:val="single" w:sz="12" w:space="0" w:color="000000"/>
              <w:right w:val="single" w:sz="6" w:space="0" w:color="000000"/>
            </w:tcBorders>
          </w:tcPr>
          <w:p>
            <w:pPr>
              <w:pStyle w:val="TableParagraph"/>
              <w:spacing w:line="235" w:lineRule="exact"/>
              <w:ind w:right="5"/>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80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9"/>
              <w:ind w:right="100"/>
              <w:jc w:val="right"/>
              <w:rPr>
                <w:rFonts w:ascii="Times New Roman" w:hAnsi="Times New Roman" w:cs="Times New Roman" w:eastAsia="Times New Roman" w:hint="default"/>
                <w:sz w:val="20"/>
                <w:szCs w:val="20"/>
              </w:rPr>
            </w:pPr>
            <w:r>
              <w:rPr>
                <w:rFonts w:ascii="Times New Roman"/>
                <w:b/>
                <w:w w:val="95"/>
                <w:sz w:val="20"/>
              </w:rPr>
              <w:t>2,823,200.94</w:t>
            </w:r>
            <w:r>
              <w:rPr>
                <w:rFonts w:ascii="Times New Roman"/>
                <w:sz w:val="20"/>
              </w:rPr>
            </w:r>
          </w:p>
        </w:tc>
        <w:tc>
          <w:tcPr>
            <w:tcW w:w="12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9"/>
              <w:ind w:right="99"/>
              <w:jc w:val="right"/>
              <w:rPr>
                <w:rFonts w:ascii="Times New Roman" w:hAnsi="Times New Roman" w:cs="Times New Roman" w:eastAsia="Times New Roman" w:hint="default"/>
                <w:sz w:val="20"/>
                <w:szCs w:val="20"/>
              </w:rPr>
            </w:pPr>
            <w:r>
              <w:rPr>
                <w:rFonts w:ascii="Times New Roman"/>
                <w:b/>
                <w:w w:val="95"/>
                <w:sz w:val="20"/>
              </w:rPr>
              <w:t>100.00%</w:t>
            </w:r>
            <w:r>
              <w:rPr>
                <w:rFonts w:ascii="Times New Roman"/>
                <w:sz w:val="20"/>
              </w:rPr>
            </w:r>
          </w:p>
        </w:tc>
        <w:tc>
          <w:tcPr>
            <w:tcW w:w="173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9"/>
              <w:ind w:right="101"/>
              <w:jc w:val="right"/>
              <w:rPr>
                <w:rFonts w:ascii="Times New Roman" w:hAnsi="Times New Roman" w:cs="Times New Roman" w:eastAsia="Times New Roman" w:hint="default"/>
                <w:sz w:val="20"/>
                <w:szCs w:val="20"/>
              </w:rPr>
            </w:pPr>
            <w:r>
              <w:rPr>
                <w:rFonts w:ascii="Times New Roman"/>
                <w:b/>
                <w:w w:val="95"/>
                <w:sz w:val="20"/>
              </w:rPr>
              <w:t>2,575,691.28</w:t>
            </w:r>
            <w:r>
              <w:rPr>
                <w:rFonts w:ascii="Times New Roman"/>
                <w:sz w:val="20"/>
              </w:rPr>
            </w:r>
          </w:p>
        </w:tc>
        <w:tc>
          <w:tcPr>
            <w:tcW w:w="119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9"/>
              <w:ind w:right="100"/>
              <w:jc w:val="right"/>
              <w:rPr>
                <w:rFonts w:ascii="Times New Roman" w:hAnsi="Times New Roman" w:cs="Times New Roman" w:eastAsia="Times New Roman" w:hint="default"/>
                <w:sz w:val="20"/>
                <w:szCs w:val="20"/>
              </w:rPr>
            </w:pPr>
            <w:r>
              <w:rPr>
                <w:rFonts w:ascii="Times New Roman"/>
                <w:b/>
                <w:w w:val="95"/>
                <w:sz w:val="20"/>
              </w:rPr>
              <w:t>100.00%</w:t>
            </w:r>
            <w:r>
              <w:rPr>
                <w:rFonts w:ascii="Times New Roman"/>
                <w:sz w:val="20"/>
              </w:rPr>
            </w:r>
          </w:p>
        </w:tc>
        <w:tc>
          <w:tcPr>
            <w:tcW w:w="165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9"/>
              <w:ind w:right="92"/>
              <w:jc w:val="right"/>
              <w:rPr>
                <w:rFonts w:ascii="Times New Roman" w:hAnsi="Times New Roman" w:cs="Times New Roman" w:eastAsia="Times New Roman" w:hint="default"/>
                <w:sz w:val="20"/>
                <w:szCs w:val="20"/>
              </w:rPr>
            </w:pPr>
            <w:r>
              <w:rPr>
                <w:rFonts w:ascii="Times New Roman"/>
                <w:b/>
                <w:sz w:val="20"/>
              </w:rPr>
              <w:t>9.61%</w:t>
            </w:r>
            <w:r>
              <w:rPr>
                <w:rFonts w:ascii="Times New Roman"/>
                <w:sz w:val="20"/>
              </w:rPr>
            </w:r>
          </w:p>
        </w:tc>
      </w:tr>
    </w:tbl>
    <w:p>
      <w:pPr>
        <w:spacing w:line="240" w:lineRule="auto" w:before="13"/>
        <w:rPr>
          <w:rFonts w:ascii="宋体" w:hAnsi="宋体" w:cs="宋体" w:eastAsia="宋体" w:hint="default"/>
          <w:sz w:val="18"/>
          <w:szCs w:val="18"/>
        </w:rPr>
      </w:pPr>
    </w:p>
    <w:p>
      <w:pPr>
        <w:pStyle w:val="Heading3"/>
        <w:spacing w:line="240" w:lineRule="auto" w:before="26"/>
        <w:ind w:right="110"/>
        <w:jc w:val="left"/>
        <w:rPr>
          <w:b w:val="0"/>
          <w:bCs w:val="0"/>
        </w:rPr>
      </w:pPr>
      <w:r>
        <w:rPr>
          <w:rFonts w:ascii="宋体" w:hAnsi="宋体" w:cs="宋体" w:eastAsia="宋体" w:hint="default"/>
        </w:rPr>
        <w:t>1)</w:t>
      </w:r>
      <w:r>
        <w:rPr/>
        <w:t>互联网服务与终端产业链</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left="238" w:right="241"/>
        <w:jc w:val="both"/>
      </w:pPr>
      <w:r>
        <w:rPr>
          <w:rFonts w:ascii="宋体" w:hAnsi="宋体" w:cs="宋体" w:eastAsia="宋体" w:hint="default"/>
        </w:rPr>
        <w:t>2015</w:t>
      </w:r>
      <w:r>
        <w:rPr>
          <w:rFonts w:ascii="宋体" w:hAnsi="宋体" w:cs="宋体" w:eastAsia="宋体" w:hint="default"/>
          <w:spacing w:val="-39"/>
        </w:rPr>
        <w:t> </w:t>
      </w:r>
      <w:r>
        <w:rPr/>
        <w:t>年，我国电子信息行业既面临传统比较优势削弱、外部市场和传统市场需求不振以 及深层次结构性矛盾带来的挑战，同时又有深化改革、扩大开放以及新一轮技术变革带</w:t>
      </w:r>
      <w:r>
        <w:rPr>
          <w:spacing w:val="-51"/>
        </w:rPr>
        <w:t> </w:t>
      </w:r>
      <w:r>
        <w:rPr>
          <w:spacing w:val="-51"/>
        </w:rPr>
      </w:r>
      <w:r>
        <w:rPr/>
        <w:t>来的新机遇。在此背景下，我国电子信息产业加快推进结构调整，产业整体继续保持了</w:t>
      </w:r>
      <w:r>
        <w:rPr>
          <w:spacing w:val="-51"/>
        </w:rPr>
        <w:t> </w:t>
      </w:r>
      <w:r>
        <w:rPr>
          <w:spacing w:val="-51"/>
        </w:rPr>
      </w:r>
      <w:r>
        <w:rPr/>
        <w:t>平稳健康发展。根据工信部《</w:t>
      </w:r>
      <w:r>
        <w:rPr>
          <w:rFonts w:ascii="宋体" w:hAnsi="宋体" w:cs="宋体" w:eastAsia="宋体" w:hint="default"/>
        </w:rPr>
        <w:t>2015</w:t>
      </w:r>
      <w:r>
        <w:rPr>
          <w:rFonts w:ascii="宋体" w:hAnsi="宋体" w:cs="宋体" w:eastAsia="宋体" w:hint="default"/>
          <w:spacing w:val="-79"/>
        </w:rPr>
        <w:t> </w:t>
      </w:r>
      <w:r>
        <w:rPr/>
        <w:t>年电子信息产业统计公报》，</w:t>
      </w:r>
      <w:r>
        <w:rPr>
          <w:rFonts w:ascii="宋体" w:hAnsi="宋体" w:cs="宋体" w:eastAsia="宋体" w:hint="default"/>
        </w:rPr>
        <w:t>2015</w:t>
      </w:r>
      <w:r>
        <w:rPr>
          <w:rFonts w:ascii="宋体" w:hAnsi="宋体" w:cs="宋体" w:eastAsia="宋体" w:hint="default"/>
          <w:spacing w:val="-79"/>
        </w:rPr>
        <w:t> </w:t>
      </w:r>
      <w:r>
        <w:rPr/>
        <w:t>年我国电子信息产 业全年完成销售收入总规模达到</w:t>
      </w:r>
      <w:r>
        <w:rPr>
          <w:spacing w:val="-53"/>
        </w:rPr>
        <w:t> </w:t>
      </w:r>
      <w:r>
        <w:rPr>
          <w:rFonts w:ascii="宋体" w:hAnsi="宋体" w:cs="宋体" w:eastAsia="宋体" w:hint="default"/>
        </w:rPr>
        <w:t>15.4</w:t>
      </w:r>
      <w:r>
        <w:rPr>
          <w:rFonts w:ascii="宋体" w:hAnsi="宋体" w:cs="宋体" w:eastAsia="宋体" w:hint="default"/>
          <w:spacing w:val="-53"/>
        </w:rPr>
        <w:t> </w:t>
      </w:r>
      <w:r>
        <w:rPr/>
        <w:t>万亿元，同比增长</w:t>
      </w:r>
      <w:r>
        <w:rPr>
          <w:spacing w:val="-53"/>
        </w:rPr>
        <w:t> </w:t>
      </w:r>
      <w:r>
        <w:rPr>
          <w:rFonts w:ascii="宋体" w:hAnsi="宋体" w:cs="宋体" w:eastAsia="宋体" w:hint="default"/>
        </w:rPr>
        <w:t>10.4%</w:t>
      </w:r>
      <w:r>
        <w:rPr/>
        <w:t>；其中，电子信息制造业 实现主营业务收入</w:t>
      </w:r>
      <w:r>
        <w:rPr>
          <w:spacing w:val="-55"/>
        </w:rPr>
        <w:t> </w:t>
      </w:r>
      <w:r>
        <w:rPr>
          <w:rFonts w:ascii="宋体" w:hAnsi="宋体" w:cs="宋体" w:eastAsia="宋体" w:hint="default"/>
        </w:rPr>
        <w:t>11.1</w:t>
      </w:r>
      <w:r>
        <w:rPr>
          <w:rFonts w:ascii="宋体" w:hAnsi="宋体" w:cs="宋体" w:eastAsia="宋体" w:hint="default"/>
          <w:spacing w:val="-54"/>
        </w:rPr>
        <w:t> </w:t>
      </w:r>
      <w:r>
        <w:rPr>
          <w:spacing w:val="-7"/>
        </w:rPr>
        <w:t>万亿元，同比增长</w:t>
      </w:r>
      <w:r>
        <w:rPr>
          <w:spacing w:val="-54"/>
        </w:rPr>
        <w:t> </w:t>
      </w:r>
      <w:r>
        <w:rPr>
          <w:rFonts w:ascii="宋体" w:hAnsi="宋体" w:cs="宋体" w:eastAsia="宋体" w:hint="default"/>
          <w:spacing w:val="-3"/>
        </w:rPr>
        <w:t>7.6%</w:t>
      </w:r>
      <w:r>
        <w:rPr>
          <w:spacing w:val="-3"/>
        </w:rPr>
        <w:t>；软件和信息技术服务业实现软件业务收</w:t>
      </w:r>
      <w:r>
        <w:rPr/>
        <w:t> 入</w:t>
      </w:r>
      <w:r>
        <w:rPr>
          <w:spacing w:val="-55"/>
        </w:rPr>
        <w:t> </w:t>
      </w:r>
      <w:r>
        <w:rPr>
          <w:rFonts w:ascii="宋体" w:hAnsi="宋体" w:cs="宋体" w:eastAsia="宋体" w:hint="default"/>
        </w:rPr>
        <w:t>4.3</w:t>
      </w:r>
      <w:r>
        <w:rPr>
          <w:rFonts w:ascii="宋体" w:hAnsi="宋体" w:cs="宋体" w:eastAsia="宋体" w:hint="default"/>
          <w:spacing w:val="-56"/>
        </w:rPr>
        <w:t> </w:t>
      </w:r>
      <w:r>
        <w:rPr>
          <w:spacing w:val="-7"/>
        </w:rPr>
        <w:t>万亿元，同比增长</w:t>
      </w:r>
      <w:r>
        <w:rPr>
          <w:spacing w:val="-55"/>
        </w:rPr>
        <w:t> </w:t>
      </w:r>
      <w:r>
        <w:rPr>
          <w:rFonts w:ascii="宋体" w:hAnsi="宋体" w:cs="宋体" w:eastAsia="宋体" w:hint="default"/>
          <w:spacing w:val="-6"/>
        </w:rPr>
        <w:t>16.6%</w:t>
      </w:r>
      <w:r>
        <w:rPr>
          <w:spacing w:val="-6"/>
        </w:rPr>
        <w:t>。信息消费、互联网</w:t>
      </w:r>
      <w:r>
        <w:rPr>
          <w:rFonts w:ascii="宋体" w:hAnsi="宋体" w:cs="宋体" w:eastAsia="宋体" w:hint="default"/>
          <w:spacing w:val="-6"/>
        </w:rPr>
        <w:t>+</w:t>
      </w:r>
      <w:r>
        <w:rPr>
          <w:spacing w:val="-6"/>
        </w:rPr>
        <w:t>、智能制造成为推动产业发展融合、</w:t>
      </w:r>
      <w:r>
        <w:rPr/>
        <w:t> 转型升级的关键，持续的技术创新能力和自主可控信息技术产品也成为企业在产业竞争</w:t>
      </w:r>
      <w:r>
        <w:rPr>
          <w:spacing w:val="-51"/>
        </w:rPr>
        <w:t> </w:t>
      </w:r>
      <w:r>
        <w:rPr>
          <w:spacing w:val="-51"/>
        </w:rPr>
      </w:r>
      <w:r>
        <w:rPr/>
        <w:t>中保持领先的重要保障。</w:t>
      </w:r>
    </w:p>
    <w:p>
      <w:pPr>
        <w:spacing w:line="240" w:lineRule="auto" w:before="10"/>
        <w:rPr>
          <w:rFonts w:ascii="宋体" w:hAnsi="宋体" w:cs="宋体" w:eastAsia="宋体" w:hint="default"/>
          <w:sz w:val="23"/>
          <w:szCs w:val="23"/>
        </w:rPr>
      </w:pPr>
    </w:p>
    <w:p>
      <w:pPr>
        <w:pStyle w:val="BodyText"/>
        <w:spacing w:line="237" w:lineRule="auto"/>
        <w:ind w:left="238" w:right="241"/>
        <w:jc w:val="both"/>
      </w:pPr>
      <w:r>
        <w:rPr>
          <w:spacing w:val="-5"/>
        </w:rPr>
        <w:t>在互联网服务于终端产业链，公司始终立足于自主可控的业务方向，在芯片、硬件终端、</w:t>
      </w:r>
      <w:r>
        <w:rPr>
          <w:spacing w:val="-84"/>
        </w:rPr>
        <w:t> </w:t>
      </w:r>
      <w:r>
        <w:rPr>
          <w:spacing w:val="-84"/>
        </w:rPr>
      </w:r>
      <w:r>
        <w:rPr/>
        <w:t>应用软件等业务领域大力发展自主核心技术，完善自主可控的技术体系，以顺应国家对</w:t>
      </w:r>
      <w:r>
        <w:rPr>
          <w:spacing w:val="-51"/>
        </w:rPr>
        <w:t> </w:t>
      </w:r>
      <w:r>
        <w:rPr>
          <w:spacing w:val="-51"/>
        </w:rPr>
      </w:r>
      <w:r>
        <w:rPr/>
        <w:t>信息安全、网络安全的需求，发挥国产化的优势，打造安全、可靠的从芯片到硬件、基</w:t>
      </w:r>
      <w:r>
        <w:rPr>
          <w:spacing w:val="-51"/>
        </w:rPr>
        <w:t> </w:t>
      </w:r>
      <w:r>
        <w:rPr>
          <w:spacing w:val="-51"/>
        </w:rPr>
      </w:r>
      <w:r>
        <w:rPr/>
        <w:t>础软件、行业应用软件乃至行业解决方案的完整产业链。</w:t>
      </w:r>
    </w:p>
    <w:p>
      <w:pPr>
        <w:spacing w:line="240" w:lineRule="auto" w:before="12"/>
        <w:rPr>
          <w:rFonts w:ascii="宋体" w:hAnsi="宋体" w:cs="宋体" w:eastAsia="宋体" w:hint="default"/>
          <w:sz w:val="23"/>
          <w:szCs w:val="23"/>
        </w:rPr>
      </w:pPr>
    </w:p>
    <w:p>
      <w:pPr>
        <w:pStyle w:val="BodyText"/>
        <w:spacing w:line="237" w:lineRule="auto"/>
        <w:ind w:left="238" w:right="244"/>
        <w:jc w:val="both"/>
      </w:pPr>
      <w:r>
        <w:rPr/>
        <w:t>报告期内，在 “</w:t>
      </w:r>
      <w:r>
        <w:rPr>
          <w:rFonts w:ascii="宋体" w:hAnsi="宋体" w:cs="宋体" w:eastAsia="宋体" w:hint="default"/>
        </w:rPr>
        <w:t>2015 </w:t>
      </w:r>
      <w:r>
        <w:rPr/>
        <w:t>中国信息产业经济年会”上，公司获“</w:t>
      </w:r>
      <w:r>
        <w:rPr>
          <w:rFonts w:ascii="宋体" w:hAnsi="宋体" w:cs="宋体" w:eastAsia="宋体" w:hint="default"/>
        </w:rPr>
        <w:t>2015</w:t>
      </w:r>
      <w:r>
        <w:rPr>
          <w:rFonts w:ascii="宋体" w:hAnsi="宋体" w:cs="宋体" w:eastAsia="宋体" w:hint="default"/>
          <w:spacing w:val="-41"/>
        </w:rPr>
        <w:t> </w:t>
      </w:r>
      <w:r>
        <w:rPr/>
        <w:t>中国信息产业年度影 响力企业”奖；在由中国电子信息行业联合会主办的</w:t>
      </w:r>
      <w:r>
        <w:rPr>
          <w:spacing w:val="-79"/>
        </w:rPr>
        <w:t> </w:t>
      </w:r>
      <w:r>
        <w:rPr>
          <w:rFonts w:ascii="宋体" w:hAnsi="宋体" w:cs="宋体" w:eastAsia="宋体" w:hint="default"/>
        </w:rPr>
        <w:t>2015</w:t>
      </w:r>
      <w:r>
        <w:rPr>
          <w:rFonts w:ascii="宋体" w:hAnsi="宋体" w:cs="宋体" w:eastAsia="宋体" w:hint="default"/>
          <w:spacing w:val="-79"/>
        </w:rPr>
        <w:t> </w:t>
      </w:r>
      <w:r>
        <w:rPr/>
        <w:t>年中国电子信息百强企业发布 暨新一代信息技术趋势研讨会上，公司还被授予了“</w:t>
      </w:r>
      <w:r>
        <w:rPr>
          <w:rFonts w:ascii="宋体" w:hAnsi="宋体" w:cs="宋体" w:eastAsia="宋体" w:hint="default"/>
        </w:rPr>
        <w:t>2015</w:t>
      </w:r>
      <w:r>
        <w:rPr>
          <w:rFonts w:ascii="宋体" w:hAnsi="宋体" w:cs="宋体" w:eastAsia="宋体" w:hint="default"/>
          <w:spacing w:val="-39"/>
        </w:rPr>
        <w:t> </w:t>
      </w:r>
      <w:r>
        <w:rPr/>
        <w:t>年中国电子信息百强企业”称 号。</w:t>
      </w:r>
    </w:p>
    <w:p>
      <w:pPr>
        <w:spacing w:line="240" w:lineRule="auto" w:before="7"/>
        <w:rPr>
          <w:rFonts w:ascii="宋体" w:hAnsi="宋体" w:cs="宋体" w:eastAsia="宋体" w:hint="default"/>
          <w:sz w:val="23"/>
          <w:szCs w:val="23"/>
        </w:rPr>
      </w:pPr>
    </w:p>
    <w:p>
      <w:pPr>
        <w:pStyle w:val="Heading3"/>
        <w:spacing w:line="240" w:lineRule="auto"/>
        <w:ind w:right="110"/>
        <w:jc w:val="left"/>
        <w:rPr>
          <w:b w:val="0"/>
          <w:bCs w:val="0"/>
        </w:rPr>
      </w:pPr>
      <w:r>
        <w:rPr>
          <w:rFonts w:ascii="宋体" w:hAnsi="宋体" w:cs="宋体" w:eastAsia="宋体" w:hint="default"/>
        </w:rPr>
        <w:t>A.</w:t>
      </w:r>
      <w:r>
        <w:rPr/>
        <w:t>芯片业务</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left="238" w:right="242"/>
        <w:jc w:val="both"/>
      </w:pPr>
      <w:r>
        <w:rPr/>
        <w:t>在智能卡芯片业务方面，</w:t>
      </w:r>
      <w:r>
        <w:rPr>
          <w:spacing w:val="-24"/>
        </w:rPr>
        <w:t> </w:t>
      </w:r>
      <w:r>
        <w:rPr/>
        <w:t>报告期内，在电信芯片领域，公司根据市场现状，针对</w:t>
      </w:r>
      <w:r>
        <w:rPr>
          <w:spacing w:val="-67"/>
        </w:rPr>
        <w:t> </w:t>
      </w:r>
      <w:r>
        <w:rPr>
          <w:rFonts w:ascii="宋体" w:hAnsi="宋体" w:cs="宋体" w:eastAsia="宋体" w:hint="default"/>
        </w:rPr>
        <w:t>NFC</w:t>
      </w:r>
      <w:r>
        <w:rPr>
          <w:rFonts w:ascii="宋体" w:hAnsi="宋体" w:cs="宋体" w:eastAsia="宋体" w:hint="default"/>
          <w:spacing w:val="-68"/>
        </w:rPr>
        <w:t> </w:t>
      </w:r>
      <w:r>
        <w:rPr/>
        <w:t>手 机和非</w:t>
      </w:r>
      <w:r>
        <w:rPr>
          <w:spacing w:val="-60"/>
        </w:rPr>
        <w:t> </w:t>
      </w:r>
      <w:r>
        <w:rPr>
          <w:rFonts w:ascii="宋体" w:hAnsi="宋体" w:cs="宋体" w:eastAsia="宋体" w:hint="default"/>
        </w:rPr>
        <w:t>NFC</w:t>
      </w:r>
      <w:r>
        <w:rPr>
          <w:rFonts w:ascii="宋体" w:hAnsi="宋体" w:cs="宋体" w:eastAsia="宋体" w:hint="default"/>
          <w:spacing w:val="-59"/>
        </w:rPr>
        <w:t> </w:t>
      </w:r>
      <w:r>
        <w:rPr>
          <w:spacing w:val="-8"/>
        </w:rPr>
        <w:t>手机推出了多种解决方案，可满足用户多层次需求，成为首家实现</w:t>
      </w:r>
      <w:r>
        <w:rPr>
          <w:spacing w:val="-58"/>
        </w:rPr>
        <w:t> </w:t>
      </w:r>
      <w:r>
        <w:rPr>
          <w:rFonts w:ascii="宋体" w:hAnsi="宋体" w:cs="宋体" w:eastAsia="宋体" w:hint="default"/>
        </w:rPr>
        <w:t>SWP-SIM</w:t>
      </w:r>
      <w:r>
        <w:rPr>
          <w:rFonts w:ascii="宋体" w:hAnsi="宋体" w:cs="宋体" w:eastAsia="宋体" w:hint="default"/>
          <w:spacing w:val="3"/>
        </w:rPr>
        <w:t> </w:t>
      </w:r>
      <w:r>
        <w:rPr/>
        <w:t>芯 </w:t>
      </w:r>
      <w:r>
        <w:rPr>
          <w:spacing w:val="-5"/>
        </w:rPr>
        <w:t>片商用的国内芯片商。针对运营商双界面</w:t>
      </w:r>
      <w:r>
        <w:rPr>
          <w:spacing w:val="-58"/>
        </w:rPr>
        <w:t> </w:t>
      </w:r>
      <w:r>
        <w:rPr>
          <w:rFonts w:ascii="宋体" w:hAnsi="宋体" w:cs="宋体" w:eastAsia="宋体" w:hint="default"/>
        </w:rPr>
        <w:t>SIM</w:t>
      </w:r>
      <w:r>
        <w:rPr>
          <w:rFonts w:ascii="宋体" w:hAnsi="宋体" w:cs="宋体" w:eastAsia="宋体" w:hint="default"/>
          <w:spacing w:val="-58"/>
        </w:rPr>
        <w:t> </w:t>
      </w:r>
      <w:r>
        <w:rPr>
          <w:spacing w:val="-8"/>
        </w:rPr>
        <w:t>应用，公司特别设计了</w:t>
      </w:r>
      <w:r>
        <w:rPr>
          <w:spacing w:val="-58"/>
        </w:rPr>
        <w:t> </w:t>
      </w:r>
      <w:r>
        <w:rPr>
          <w:rFonts w:ascii="宋体" w:hAnsi="宋体" w:cs="宋体" w:eastAsia="宋体" w:hint="default"/>
        </w:rPr>
        <w:t>THD86EF59AC</w:t>
      </w:r>
      <w:r>
        <w:rPr>
          <w:rFonts w:ascii="宋体" w:hAnsi="宋体" w:cs="宋体" w:eastAsia="宋体" w:hint="default"/>
          <w:spacing w:val="-58"/>
        </w:rPr>
        <w:t> </w:t>
      </w:r>
      <w:r>
        <w:rPr/>
        <w:t>芯片， 这是一款大容量双界面 </w:t>
      </w:r>
      <w:r>
        <w:rPr>
          <w:rFonts w:ascii="宋体" w:hAnsi="宋体" w:cs="宋体" w:eastAsia="宋体" w:hint="default"/>
        </w:rPr>
        <w:t>CPU</w:t>
      </w:r>
      <w:r>
        <w:rPr>
          <w:rFonts w:ascii="宋体" w:hAnsi="宋体" w:cs="宋体" w:eastAsia="宋体" w:hint="default"/>
          <w:spacing w:val="-39"/>
        </w:rPr>
        <w:t> </w:t>
      </w:r>
      <w:r>
        <w:rPr/>
        <w:t>卡芯片，支持双界面同时工作。目前，该芯片已广泛应用于 中国移动、中国联通、中国电信和中国银联的多个移动支付项目中。</w:t>
      </w:r>
    </w:p>
    <w:p>
      <w:pPr>
        <w:spacing w:line="240" w:lineRule="auto" w:before="12"/>
        <w:rPr>
          <w:rFonts w:ascii="宋体" w:hAnsi="宋体" w:cs="宋体" w:eastAsia="宋体" w:hint="default"/>
          <w:sz w:val="23"/>
          <w:szCs w:val="23"/>
        </w:rPr>
      </w:pPr>
    </w:p>
    <w:p>
      <w:pPr>
        <w:pStyle w:val="BodyText"/>
        <w:spacing w:line="237" w:lineRule="auto"/>
        <w:ind w:left="238" w:right="240"/>
        <w:jc w:val="both"/>
      </w:pPr>
      <w:r>
        <w:rPr/>
        <w:t>在身份识别领域，</w:t>
      </w:r>
      <w:r>
        <w:rPr>
          <w:spacing w:val="-1"/>
        </w:rPr>
        <w:t> </w:t>
      </w:r>
      <w:r>
        <w:rPr/>
        <w:t>公司成为</w:t>
      </w:r>
      <w:r>
        <w:rPr>
          <w:spacing w:val="-41"/>
        </w:rPr>
        <w:t> </w:t>
      </w:r>
      <w:r>
        <w:rPr>
          <w:rFonts w:ascii="宋体" w:hAnsi="宋体" w:cs="宋体" w:eastAsia="宋体" w:hint="default"/>
        </w:rPr>
        <w:t>2015</w:t>
      </w:r>
      <w:r>
        <w:rPr>
          <w:rFonts w:ascii="宋体" w:hAnsi="宋体" w:cs="宋体" w:eastAsia="宋体" w:hint="default"/>
          <w:spacing w:val="-41"/>
        </w:rPr>
        <w:t> </w:t>
      </w:r>
      <w:r>
        <w:rPr/>
        <w:t>年</w:t>
      </w:r>
      <w:r>
        <w:rPr>
          <w:spacing w:val="-39"/>
        </w:rPr>
        <w:t> </w:t>
      </w:r>
      <w:r>
        <w:rPr>
          <w:rFonts w:ascii="宋体" w:hAnsi="宋体" w:cs="宋体" w:eastAsia="宋体" w:hint="default"/>
        </w:rPr>
        <w:t>9</w:t>
      </w:r>
      <w:r>
        <w:rPr>
          <w:rFonts w:ascii="宋体" w:hAnsi="宋体" w:cs="宋体" w:eastAsia="宋体" w:hint="default"/>
          <w:spacing w:val="-41"/>
        </w:rPr>
        <w:t> </w:t>
      </w:r>
      <w:r>
        <w:rPr/>
        <w:t>月中旬正式发放的银川“市民一卡通”首批发卡 的独家芯片供应商，联合中信银行实现正式发卡。</w:t>
      </w:r>
      <w:r>
        <w:rPr>
          <w:spacing w:val="66"/>
        </w:rPr>
        <w:t> </w:t>
      </w:r>
      <w:r>
        <w:rPr/>
        <w:t>银川“市民一卡通”，涵盖了居民</w:t>
      </w:r>
      <w:r>
        <w:rPr>
          <w:spacing w:val="-116"/>
        </w:rPr>
        <w:t> </w:t>
      </w:r>
      <w:r>
        <w:rPr>
          <w:spacing w:val="-116"/>
        </w:rPr>
      </w:r>
      <w:r>
        <w:rPr>
          <w:spacing w:val="-5"/>
        </w:rPr>
        <w:t>健康卡、公交卡、商业支付、市政应用等功能，不仅可以用于记录就诊情况及医疗信息、</w:t>
      </w:r>
      <w:r>
        <w:rPr>
          <w:spacing w:val="-83"/>
        </w:rPr>
        <w:t> </w:t>
      </w:r>
      <w:r>
        <w:rPr>
          <w:spacing w:val="-83"/>
        </w:rPr>
      </w:r>
      <w:r>
        <w:rPr/>
        <w:t>公交刷卡乘车，还具有公积金、民政、工商等政府公共服务方面的身份识别、信息查询</w:t>
      </w:r>
      <w:r>
        <w:rPr>
          <w:spacing w:val="-50"/>
        </w:rPr>
        <w:t> </w:t>
      </w:r>
      <w:r>
        <w:rPr>
          <w:spacing w:val="-50"/>
        </w:rPr>
      </w:r>
      <w:r>
        <w:rPr/>
        <w:t>等功能，以及图书馆借书证、公共自行车借车卡、免费 </w:t>
      </w:r>
      <w:r>
        <w:rPr>
          <w:rFonts w:ascii="宋体" w:hAnsi="宋体" w:cs="宋体" w:eastAsia="宋体" w:hint="default"/>
        </w:rPr>
        <w:t>4G WiFi</w:t>
      </w:r>
      <w:r>
        <w:rPr>
          <w:rFonts w:ascii="宋体" w:hAnsi="宋体" w:cs="宋体" w:eastAsia="宋体" w:hint="default"/>
          <w:spacing w:val="-39"/>
        </w:rPr>
        <w:t> </w:t>
      </w:r>
      <w:r>
        <w:rPr/>
        <w:t>身份验证的便民服务功 </w:t>
      </w:r>
      <w:r>
        <w:rPr>
          <w:spacing w:val="-10"/>
        </w:rPr>
        <w:t>能，同时还能进行消费数据采集，真正实现了“一卡在手，生活无忧”。此卡采用的</w:t>
      </w:r>
      <w:r>
        <w:rPr>
          <w:spacing w:val="-35"/>
        </w:rPr>
        <w:t> </w:t>
      </w:r>
      <w:r>
        <w:rPr>
          <w:rFonts w:ascii="宋体" w:hAnsi="宋体" w:cs="宋体" w:eastAsia="宋体" w:hint="default"/>
        </w:rPr>
        <w:t>THD86</w:t>
      </w:r>
      <w:r>
        <w:rPr>
          <w:rFonts w:ascii="宋体" w:hAnsi="宋体" w:cs="宋体" w:eastAsia="宋体" w:hint="default"/>
          <w:spacing w:val="-116"/>
        </w:rPr>
        <w:t> </w:t>
      </w:r>
      <w:r>
        <w:rPr/>
        <w:t>芯片是国内首款</w:t>
      </w:r>
      <w:r>
        <w:rPr>
          <w:spacing w:val="-71"/>
        </w:rPr>
        <w:t> </w:t>
      </w:r>
      <w:r>
        <w:rPr>
          <w:rFonts w:ascii="宋体" w:hAnsi="宋体" w:cs="宋体" w:eastAsia="宋体" w:hint="default"/>
        </w:rPr>
        <w:t>32</w:t>
      </w:r>
      <w:r>
        <w:rPr>
          <w:rFonts w:ascii="宋体" w:hAnsi="宋体" w:cs="宋体" w:eastAsia="宋体" w:hint="default"/>
          <w:spacing w:val="-70"/>
        </w:rPr>
        <w:t> </w:t>
      </w:r>
      <w:r>
        <w:rPr/>
        <w:t>位</w:t>
      </w:r>
      <w:r>
        <w:rPr>
          <w:spacing w:val="-70"/>
        </w:rPr>
        <w:t> </w:t>
      </w:r>
      <w:r>
        <w:rPr>
          <w:rFonts w:ascii="宋体" w:hAnsi="宋体" w:cs="宋体" w:eastAsia="宋体" w:hint="default"/>
        </w:rPr>
        <w:t>CPU</w:t>
      </w:r>
      <w:r>
        <w:rPr>
          <w:rFonts w:ascii="宋体" w:hAnsi="宋体" w:cs="宋体" w:eastAsia="宋体" w:hint="default"/>
          <w:spacing w:val="-70"/>
        </w:rPr>
        <w:t> </w:t>
      </w:r>
      <w:r>
        <w:rPr/>
        <w:t>双界面卡芯片，具备大容量、高安全、双界面的特点，支持金 融应用扩展，支持国外密码和国产密码双算法体系，可广泛用于各种行业应用，为金融</w:t>
      </w:r>
    </w:p>
    <w:p>
      <w:pPr>
        <w:spacing w:after="0" w:line="237" w:lineRule="auto"/>
        <w:jc w:val="both"/>
        <w:sectPr>
          <w:pgSz w:w="11910" w:h="16840"/>
          <w:pgMar w:header="628" w:footer="760" w:top="1020" w:bottom="960" w:left="1180" w:right="104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p>
      <w:pPr>
        <w:pStyle w:val="BodyText"/>
        <w:spacing w:line="240" w:lineRule="auto" w:before="26"/>
        <w:ind w:right="0"/>
        <w:jc w:val="both"/>
      </w:pPr>
      <w:r>
        <w:rPr>
          <w:rFonts w:ascii="宋体" w:hAnsi="宋体" w:cs="宋体" w:eastAsia="宋体" w:hint="default"/>
        </w:rPr>
        <w:t>IC</w:t>
      </w:r>
      <w:r>
        <w:rPr>
          <w:rFonts w:ascii="宋体" w:hAnsi="宋体" w:cs="宋体" w:eastAsia="宋体" w:hint="default"/>
          <w:spacing w:val="-60"/>
        </w:rPr>
        <w:t> </w:t>
      </w:r>
      <w:r>
        <w:rPr/>
        <w:t>卡与行业应用的结合提供了便捷安全的解决方案。</w:t>
      </w:r>
    </w:p>
    <w:p>
      <w:pPr>
        <w:spacing w:line="240" w:lineRule="auto" w:before="9"/>
        <w:rPr>
          <w:rFonts w:ascii="宋体" w:hAnsi="宋体" w:cs="宋体" w:eastAsia="宋体" w:hint="default"/>
          <w:sz w:val="23"/>
          <w:szCs w:val="23"/>
        </w:rPr>
      </w:pPr>
    </w:p>
    <w:p>
      <w:pPr>
        <w:pStyle w:val="BodyText"/>
        <w:spacing w:line="237" w:lineRule="auto"/>
        <w:ind w:right="140"/>
        <w:jc w:val="both"/>
      </w:pPr>
      <w:r>
        <w:rPr/>
        <w:t>在金融支付领域内，公司推出了大容量、双界面、高安全的智能卡芯片，特别适合于双</w:t>
      </w:r>
      <w:r>
        <w:rPr>
          <w:spacing w:val="-51"/>
        </w:rPr>
        <w:t> </w:t>
      </w:r>
      <w:r>
        <w:rPr>
          <w:spacing w:val="-51"/>
        </w:rPr>
      </w:r>
      <w:r>
        <w:rPr/>
        <w:t>界面银行卡的应用场景，同时由于芯片支持国产算法，也正切合了 </w:t>
      </w:r>
      <w:r>
        <w:rPr>
          <w:rFonts w:ascii="宋体" w:hAnsi="宋体" w:cs="宋体" w:eastAsia="宋体" w:hint="default"/>
        </w:rPr>
        <w:t>PBOC3.0 </w:t>
      </w:r>
      <w:r>
        <w:rPr/>
        <w:t>中</w:t>
      </w:r>
      <w:r>
        <w:rPr>
          <w:spacing w:val="-36"/>
        </w:rPr>
        <w:t> </w:t>
      </w:r>
      <w:r>
        <w:rPr>
          <w:rFonts w:ascii="宋体" w:hAnsi="宋体" w:cs="宋体" w:eastAsia="宋体" w:hint="default"/>
        </w:rPr>
        <w:t>SM2/3/4 </w:t>
      </w:r>
      <w:r>
        <w:rPr/>
        <w:t>算法的应用升级需求。为了使客户能够更快速地将产品推向市场，公司还基于该款芯片</w:t>
      </w:r>
      <w:r>
        <w:rPr>
          <w:spacing w:val="-51"/>
        </w:rPr>
        <w:t> </w:t>
      </w:r>
      <w:r>
        <w:rPr>
          <w:spacing w:val="-51"/>
        </w:rPr>
      </w:r>
      <w:r>
        <w:rPr/>
        <w:t>提供包括</w:t>
      </w:r>
      <w:r>
        <w:rPr>
          <w:spacing w:val="-32"/>
        </w:rPr>
        <w:t> </w:t>
      </w:r>
      <w:r>
        <w:rPr>
          <w:rFonts w:ascii="宋体" w:hAnsi="宋体" w:cs="宋体" w:eastAsia="宋体" w:hint="default"/>
        </w:rPr>
        <w:t>PBOC</w:t>
      </w:r>
      <w:r>
        <w:rPr>
          <w:rFonts w:ascii="宋体" w:hAnsi="宋体" w:cs="宋体" w:eastAsia="宋体" w:hint="default"/>
          <w:spacing w:val="-32"/>
        </w:rPr>
        <w:t> </w:t>
      </w:r>
      <w:r>
        <w:rPr/>
        <w:t>借贷记、电子现金及</w:t>
      </w:r>
      <w:r>
        <w:rPr>
          <w:spacing w:val="-31"/>
        </w:rPr>
        <w:t> </w:t>
      </w:r>
      <w:r>
        <w:rPr>
          <w:rFonts w:ascii="宋体" w:hAnsi="宋体" w:cs="宋体" w:eastAsia="宋体" w:hint="default"/>
        </w:rPr>
        <w:t>QPBOC</w:t>
      </w:r>
      <w:r>
        <w:rPr>
          <w:rFonts w:ascii="宋体" w:hAnsi="宋体" w:cs="宋体" w:eastAsia="宋体" w:hint="default"/>
          <w:spacing w:val="-32"/>
        </w:rPr>
        <w:t> </w:t>
      </w:r>
      <w:r>
        <w:rPr/>
        <w:t>等应用的整体解决方案。报告期内，在</w:t>
      </w:r>
      <w:r>
        <w:rPr>
          <w:spacing w:val="-31"/>
        </w:rPr>
        <w:t> </w:t>
      </w:r>
      <w:r>
        <w:rPr>
          <w:rFonts w:ascii="宋体" w:hAnsi="宋体" w:cs="宋体" w:eastAsia="宋体" w:hint="default"/>
        </w:rPr>
        <w:t>2015 </w:t>
      </w:r>
      <w:r>
        <w:rPr/>
        <w:t>中国国际金融展中，公司研发的 </w:t>
      </w:r>
      <w:r>
        <w:rPr>
          <w:rFonts w:ascii="宋体" w:hAnsi="宋体" w:cs="宋体" w:eastAsia="宋体" w:hint="default"/>
        </w:rPr>
        <w:t>THD88</w:t>
      </w:r>
      <w:r>
        <w:rPr>
          <w:rFonts w:ascii="宋体" w:hAnsi="宋体" w:cs="宋体" w:eastAsia="宋体" w:hint="default"/>
          <w:spacing w:val="-39"/>
        </w:rPr>
        <w:t> </w:t>
      </w:r>
      <w:r>
        <w:rPr/>
        <w:t>系列芯片产品获得大会金鼎奖——“优秀银行卡 设备奖”</w:t>
      </w:r>
    </w:p>
    <w:p>
      <w:pPr>
        <w:spacing w:line="240" w:lineRule="auto" w:before="10"/>
        <w:rPr>
          <w:rFonts w:ascii="宋体" w:hAnsi="宋体" w:cs="宋体" w:eastAsia="宋体" w:hint="default"/>
          <w:sz w:val="23"/>
          <w:szCs w:val="23"/>
        </w:rPr>
      </w:pPr>
    </w:p>
    <w:p>
      <w:pPr>
        <w:pStyle w:val="BodyText"/>
        <w:spacing w:line="237" w:lineRule="auto"/>
        <w:ind w:right="141"/>
        <w:jc w:val="both"/>
      </w:pPr>
      <w:r>
        <w:rPr/>
        <w:t>在特种集成电路业务方面，报告期内，公司在产品设计技术方面取得了一系列成绩，解</w:t>
      </w:r>
      <w:r>
        <w:rPr>
          <w:spacing w:val="-51"/>
        </w:rPr>
        <w:t> </w:t>
      </w:r>
      <w:r>
        <w:rPr>
          <w:spacing w:val="-51"/>
        </w:rPr>
      </w:r>
      <w:r>
        <w:rPr/>
        <w:t>决了高速大容量存储器设计中的难题，突破了纳米级 </w:t>
      </w:r>
      <w:r>
        <w:rPr>
          <w:rFonts w:ascii="宋体" w:hAnsi="宋体" w:cs="宋体" w:eastAsia="宋体" w:hint="default"/>
        </w:rPr>
        <w:t>ESD</w:t>
      </w:r>
      <w:r>
        <w:rPr>
          <w:rFonts w:ascii="宋体" w:hAnsi="宋体" w:cs="宋体" w:eastAsia="宋体" w:hint="default"/>
          <w:spacing w:val="-39"/>
        </w:rPr>
        <w:t> </w:t>
      </w:r>
      <w:r>
        <w:rPr/>
        <w:t>设计等关键技术，在高速交换 电路的建模、仿真方面取得重大进步。产品开发方面，新增研发项目近</w:t>
      </w:r>
      <w:r>
        <w:rPr>
          <w:spacing w:val="-40"/>
        </w:rPr>
        <w:t> </w:t>
      </w:r>
      <w:r>
        <w:rPr>
          <w:rFonts w:ascii="宋体" w:hAnsi="宋体" w:cs="宋体" w:eastAsia="宋体" w:hint="default"/>
        </w:rPr>
        <w:t>40</w:t>
      </w:r>
      <w:r>
        <w:rPr>
          <w:rFonts w:ascii="宋体" w:hAnsi="宋体" w:cs="宋体" w:eastAsia="宋体" w:hint="default"/>
          <w:spacing w:val="-41"/>
        </w:rPr>
        <w:t> </w:t>
      </w:r>
      <w:r>
        <w:rPr/>
        <w:t>项，有</w:t>
      </w:r>
      <w:r>
        <w:rPr>
          <w:spacing w:val="-41"/>
        </w:rPr>
        <w:t> </w:t>
      </w:r>
      <w:r>
        <w:rPr>
          <w:rFonts w:ascii="宋体" w:hAnsi="宋体" w:cs="宋体" w:eastAsia="宋体" w:hint="default"/>
        </w:rPr>
        <w:t>10</w:t>
      </w:r>
      <w:r>
        <w:rPr>
          <w:rFonts w:ascii="宋体" w:hAnsi="宋体" w:cs="宋体" w:eastAsia="宋体" w:hint="default"/>
          <w:spacing w:val="-41"/>
        </w:rPr>
        <w:t> </w:t>
      </w:r>
      <w:r>
        <w:rPr/>
        <w:t>多 个新产品完成了设计定型。可编程器件新产品成功投片，用户已开始小批量试用，为后</w:t>
      </w:r>
      <w:r>
        <w:rPr>
          <w:spacing w:val="-51"/>
        </w:rPr>
        <w:t> </w:t>
      </w:r>
      <w:r>
        <w:rPr>
          <w:spacing w:val="-51"/>
        </w:rPr>
      </w:r>
      <w:r>
        <w:rPr/>
        <w:t>期大批量供货奠定了坚实基础。</w:t>
      </w:r>
    </w:p>
    <w:p>
      <w:pPr>
        <w:spacing w:line="240" w:lineRule="auto" w:before="7"/>
        <w:rPr>
          <w:rFonts w:ascii="宋体" w:hAnsi="宋体" w:cs="宋体" w:eastAsia="宋体" w:hint="default"/>
          <w:sz w:val="23"/>
          <w:szCs w:val="23"/>
        </w:rPr>
      </w:pPr>
    </w:p>
    <w:p>
      <w:pPr>
        <w:pStyle w:val="Heading3"/>
        <w:spacing w:line="240" w:lineRule="auto"/>
        <w:ind w:left="415" w:right="0"/>
        <w:jc w:val="left"/>
        <w:rPr>
          <w:b w:val="0"/>
          <w:bCs w:val="0"/>
        </w:rPr>
      </w:pPr>
      <w:r>
        <w:rPr>
          <w:rFonts w:ascii="宋体" w:hAnsi="宋体" w:cs="宋体" w:eastAsia="宋体" w:hint="default"/>
        </w:rPr>
        <w:t>B.</w:t>
      </w:r>
      <w:r>
        <w:rPr/>
        <w:t>硬件终端产业</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right="143"/>
        <w:jc w:val="both"/>
      </w:pPr>
      <w:r>
        <w:rPr/>
        <w:t>在计算机产品方面，</w:t>
      </w:r>
      <w:r>
        <w:rPr>
          <w:rFonts w:ascii="宋体" w:hAnsi="宋体" w:cs="宋体" w:eastAsia="宋体" w:hint="default"/>
        </w:rPr>
        <w:t>2015</w:t>
      </w:r>
      <w:r>
        <w:rPr>
          <w:rFonts w:ascii="宋体" w:hAnsi="宋体" w:cs="宋体" w:eastAsia="宋体" w:hint="default"/>
          <w:spacing w:val="-39"/>
        </w:rPr>
        <w:t> </w:t>
      </w:r>
      <w:r>
        <w:rPr/>
        <w:t>年，在智能手机、平板电脑等移动互联终端的持续冲击下，全 球及国内</w:t>
      </w:r>
      <w:r>
        <w:rPr>
          <w:spacing w:val="-80"/>
        </w:rPr>
        <w:t> </w:t>
      </w:r>
      <w:r>
        <w:rPr>
          <w:rFonts w:ascii="宋体" w:hAnsi="宋体" w:cs="宋体" w:eastAsia="宋体" w:hint="default"/>
        </w:rPr>
        <w:t>PC</w:t>
      </w:r>
      <w:r>
        <w:rPr>
          <w:rFonts w:ascii="宋体" w:hAnsi="宋体" w:cs="宋体" w:eastAsia="宋体" w:hint="default"/>
          <w:spacing w:val="-79"/>
        </w:rPr>
        <w:t> </w:t>
      </w:r>
      <w:r>
        <w:rPr/>
        <w:t>市场总体规模均呈现不同程度下滑。面对回归商用市场为主，消费市场为辅 的市场格局，以及国家大力发展包括</w:t>
      </w:r>
      <w:r>
        <w:rPr>
          <w:spacing w:val="-79"/>
        </w:rPr>
        <w:t> </w:t>
      </w:r>
      <w:r>
        <w:rPr>
          <w:rFonts w:ascii="宋体" w:hAnsi="宋体" w:cs="宋体" w:eastAsia="宋体" w:hint="default"/>
        </w:rPr>
        <w:t>PC</w:t>
      </w:r>
      <w:r>
        <w:rPr>
          <w:rFonts w:ascii="宋体" w:hAnsi="宋体" w:cs="宋体" w:eastAsia="宋体" w:hint="default"/>
          <w:spacing w:val="-79"/>
        </w:rPr>
        <w:t> </w:t>
      </w:r>
      <w:r>
        <w:rPr/>
        <w:t>产业的国家信息安全产业的市场机遇，公司进一 </w:t>
      </w:r>
      <w:r>
        <w:rPr>
          <w:spacing w:val="-5"/>
        </w:rPr>
        <w:t>步明确自身以商用市场为主的业务发展策略，收入规模实现了逆势增长，在中央、中直、</w:t>
      </w:r>
      <w:r>
        <w:rPr>
          <w:spacing w:val="-84"/>
        </w:rPr>
        <w:t> </w:t>
      </w:r>
      <w:r>
        <w:rPr>
          <w:spacing w:val="-84"/>
        </w:rPr>
      </w:r>
      <w:r>
        <w:rPr/>
        <w:t>国税、各省批量集采、教育等众多部门和行业采购中均占据了较大份额。报告期内，公</w:t>
      </w:r>
      <w:r>
        <w:rPr>
          <w:spacing w:val="-53"/>
        </w:rPr>
        <w:t> </w:t>
      </w:r>
      <w:r>
        <w:rPr>
          <w:spacing w:val="-53"/>
        </w:rPr>
      </w:r>
      <w:r>
        <w:rPr/>
        <w:t>司还在南美等海外市场实现了业务的快速增长。</w:t>
      </w:r>
    </w:p>
    <w:p>
      <w:pPr>
        <w:spacing w:line="240" w:lineRule="auto" w:before="10"/>
        <w:rPr>
          <w:rFonts w:ascii="宋体" w:hAnsi="宋体" w:cs="宋体" w:eastAsia="宋体" w:hint="default"/>
          <w:sz w:val="23"/>
          <w:szCs w:val="23"/>
        </w:rPr>
      </w:pPr>
    </w:p>
    <w:p>
      <w:pPr>
        <w:pStyle w:val="BodyText"/>
        <w:spacing w:line="237" w:lineRule="auto"/>
        <w:ind w:right="141"/>
        <w:jc w:val="both"/>
      </w:pPr>
      <w:r>
        <w:rPr/>
        <w:t>在服务器产品方面，自</w:t>
      </w:r>
      <w:r>
        <w:rPr>
          <w:spacing w:val="-47"/>
        </w:rPr>
        <w:t> </w:t>
      </w:r>
      <w:r>
        <w:rPr>
          <w:rFonts w:ascii="宋体" w:hAnsi="宋体" w:cs="宋体" w:eastAsia="宋体" w:hint="default"/>
        </w:rPr>
        <w:t>2015</w:t>
      </w:r>
      <w:r>
        <w:rPr>
          <w:rFonts w:ascii="宋体" w:hAnsi="宋体" w:cs="宋体" w:eastAsia="宋体" w:hint="default"/>
          <w:spacing w:val="-47"/>
        </w:rPr>
        <w:t> </w:t>
      </w:r>
      <w:r>
        <w:rPr/>
        <w:t>年</w:t>
      </w:r>
      <w:r>
        <w:rPr>
          <w:spacing w:val="-47"/>
        </w:rPr>
        <w:t> </w:t>
      </w:r>
      <w:r>
        <w:rPr>
          <w:rFonts w:ascii="宋体" w:hAnsi="宋体" w:cs="宋体" w:eastAsia="宋体" w:hint="default"/>
        </w:rPr>
        <w:t>6</w:t>
      </w:r>
      <w:r>
        <w:rPr>
          <w:rFonts w:ascii="宋体" w:hAnsi="宋体" w:cs="宋体" w:eastAsia="宋体" w:hint="default"/>
          <w:spacing w:val="-47"/>
        </w:rPr>
        <w:t> </w:t>
      </w:r>
      <w:r>
        <w:rPr/>
        <w:t>月公司与</w:t>
      </w:r>
      <w:r>
        <w:rPr>
          <w:spacing w:val="-49"/>
        </w:rPr>
        <w:t> </w:t>
      </w:r>
      <w:r>
        <w:rPr>
          <w:rFonts w:ascii="宋体" w:hAnsi="宋体" w:cs="宋体" w:eastAsia="宋体" w:hint="default"/>
        </w:rPr>
        <w:t>Dell</w:t>
      </w:r>
      <w:r>
        <w:rPr>
          <w:rFonts w:ascii="宋体" w:hAnsi="宋体" w:cs="宋体" w:eastAsia="宋体" w:hint="default"/>
          <w:spacing w:val="-47"/>
        </w:rPr>
        <w:t> </w:t>
      </w:r>
      <w:r>
        <w:rPr/>
        <w:t>签署战略合作协议，共同开发服务器、 存储及网络产品以来，公司推出了一系列具有高品质、高兼容性、高稳定性的国际一流</w:t>
      </w:r>
      <w:r>
        <w:rPr>
          <w:spacing w:val="-51"/>
        </w:rPr>
        <w:t> </w:t>
      </w:r>
      <w:r>
        <w:rPr>
          <w:spacing w:val="-51"/>
        </w:rPr>
      </w:r>
      <w:r>
        <w:rPr/>
        <w:t>产品，短时间内获得诸多客户认可，相继中标中国民航信息</w:t>
      </w:r>
      <w:r>
        <w:rPr>
          <w:spacing w:val="-79"/>
        </w:rPr>
        <w:t> </w:t>
      </w:r>
      <w:r>
        <w:rPr>
          <w:rFonts w:ascii="宋体" w:hAnsi="宋体" w:cs="宋体" w:eastAsia="宋体" w:hint="default"/>
        </w:rPr>
        <w:t>2015</w:t>
      </w:r>
      <w:r>
        <w:rPr>
          <w:rFonts w:ascii="宋体" w:hAnsi="宋体" w:cs="宋体" w:eastAsia="宋体" w:hint="default"/>
          <w:spacing w:val="-79"/>
        </w:rPr>
        <w:t> </w:t>
      </w:r>
      <w:r>
        <w:rPr/>
        <w:t>开放平台计算机资源采 购项目、银监会服务器招投标项目、网安中心服务器采购项目、新疆公安系统服务器采</w:t>
      </w:r>
      <w:r>
        <w:rPr>
          <w:spacing w:val="-51"/>
        </w:rPr>
        <w:t> </w:t>
      </w:r>
      <w:r>
        <w:rPr>
          <w:spacing w:val="-51"/>
        </w:rPr>
      </w:r>
      <w:r>
        <w:rPr/>
        <w:t>购项目等，在政府、企业、军工、金融等多个行业实现了零的突破，为同方计算机进军</w:t>
      </w:r>
      <w:r>
        <w:rPr>
          <w:spacing w:val="-51"/>
        </w:rPr>
        <w:t> </w:t>
      </w:r>
      <w:r>
        <w:rPr>
          <w:spacing w:val="-51"/>
        </w:rPr>
      </w:r>
      <w:r>
        <w:rPr/>
        <w:t>企业级市场创造了良好开端。</w:t>
      </w:r>
    </w:p>
    <w:p>
      <w:pPr>
        <w:spacing w:line="240" w:lineRule="auto" w:before="10"/>
        <w:rPr>
          <w:rFonts w:ascii="宋体" w:hAnsi="宋体" w:cs="宋体" w:eastAsia="宋体" w:hint="default"/>
          <w:sz w:val="23"/>
          <w:szCs w:val="23"/>
        </w:rPr>
      </w:pPr>
    </w:p>
    <w:p>
      <w:pPr>
        <w:pStyle w:val="BodyText"/>
        <w:spacing w:line="237" w:lineRule="auto"/>
        <w:ind w:right="141"/>
        <w:jc w:val="both"/>
      </w:pPr>
      <w:r>
        <w:rPr/>
        <w:t>在多媒体产品方面，公司继续推行国际化战略，保证了市场份额提升。同时，公司还通</w:t>
      </w:r>
      <w:r>
        <w:rPr>
          <w:spacing w:val="-51"/>
        </w:rPr>
        <w:t> </w:t>
      </w:r>
      <w:r>
        <w:rPr>
          <w:spacing w:val="-51"/>
        </w:rPr>
      </w:r>
      <w:r>
        <w:rPr>
          <w:spacing w:val="-10"/>
        </w:rPr>
        <w:t>过实施国际市场的本地化管理，提高了经营效率，实现了互利双赢。报告期内，在</w:t>
      </w:r>
      <w:r>
        <w:rPr>
          <w:spacing w:val="-41"/>
        </w:rPr>
        <w:t> </w:t>
      </w:r>
      <w:r>
        <w:rPr>
          <w:rFonts w:ascii="宋体" w:hAnsi="宋体" w:cs="宋体" w:eastAsia="宋体" w:hint="default"/>
        </w:rPr>
        <w:t>IFA2015</w:t>
      </w:r>
      <w:r>
        <w:rPr>
          <w:rFonts w:ascii="宋体" w:hAnsi="宋体" w:cs="宋体" w:eastAsia="宋体" w:hint="default"/>
          <w:spacing w:val="-118"/>
        </w:rPr>
        <w:t> </w:t>
      </w:r>
      <w:r>
        <w:rPr/>
        <w:t>德国柏林国际消费类电子展中，公司海外自有品牌推出了高端定制品牌</w:t>
      </w:r>
      <w:r>
        <w:rPr>
          <w:spacing w:val="-67"/>
        </w:rPr>
        <w:t> </w:t>
      </w:r>
      <w:r>
        <w:rPr>
          <w:rFonts w:ascii="宋体" w:hAnsi="宋体" w:cs="宋体" w:eastAsia="宋体" w:hint="default"/>
        </w:rPr>
        <w:t>SEIKI</w:t>
      </w:r>
      <w:r>
        <w:rPr>
          <w:rFonts w:ascii="宋体" w:hAnsi="宋体" w:cs="宋体" w:eastAsia="宋体" w:hint="default"/>
          <w:spacing w:val="-68"/>
        </w:rPr>
        <w:t> </w:t>
      </w:r>
      <w:r>
        <w:rPr>
          <w:rFonts w:ascii="宋体" w:hAnsi="宋体" w:cs="宋体" w:eastAsia="宋体" w:hint="default"/>
          <w:spacing w:val="-4"/>
        </w:rPr>
        <w:t>Pro</w:t>
      </w:r>
      <w:r>
        <w:rPr>
          <w:spacing w:val="-4"/>
        </w:rPr>
        <w:t>，以其</w:t>
      </w:r>
      <w:r>
        <w:rPr/>
        <w:t> </w:t>
      </w:r>
      <w:r>
        <w:rPr>
          <w:spacing w:val="-3"/>
        </w:rPr>
        <w:t>极简设计、高端品质为广大用户带来更为超凡的视觉感观体验。同时，</w:t>
      </w:r>
      <w:r>
        <w:rPr>
          <w:rFonts w:ascii="宋体" w:hAnsi="宋体" w:cs="宋体" w:eastAsia="宋体" w:hint="default"/>
          <w:spacing w:val="-3"/>
        </w:rPr>
        <w:t>SEIKI</w:t>
      </w:r>
      <w:r>
        <w:rPr>
          <w:rFonts w:ascii="宋体" w:hAnsi="宋体" w:cs="宋体" w:eastAsia="宋体" w:hint="default"/>
          <w:spacing w:val="-55"/>
        </w:rPr>
        <w:t> </w:t>
      </w:r>
      <w:r>
        <w:rPr/>
        <w:t>还率先与美 国著名互联网视频租赁商店</w:t>
      </w:r>
      <w:r>
        <w:rPr>
          <w:spacing w:val="-59"/>
        </w:rPr>
        <w:t> </w:t>
      </w:r>
      <w:r>
        <w:rPr>
          <w:rFonts w:ascii="宋体" w:hAnsi="宋体" w:cs="宋体" w:eastAsia="宋体" w:hint="default"/>
        </w:rPr>
        <w:t>Netflix</w:t>
      </w:r>
      <w:r>
        <w:rPr>
          <w:rFonts w:ascii="宋体" w:hAnsi="宋体" w:cs="宋体" w:eastAsia="宋体" w:hint="default"/>
          <w:spacing w:val="-59"/>
        </w:rPr>
        <w:t> </w:t>
      </w:r>
      <w:r>
        <w:rPr>
          <w:spacing w:val="-5"/>
        </w:rPr>
        <w:t>达成全球性战略合作，消费者可以通过电视自带</w:t>
      </w:r>
      <w:r>
        <w:rPr>
          <w:spacing w:val="-58"/>
        </w:rPr>
        <w:t> </w:t>
      </w:r>
      <w:r>
        <w:rPr>
          <w:rFonts w:ascii="宋体" w:hAnsi="宋体" w:cs="宋体" w:eastAsia="宋体" w:hint="default"/>
        </w:rPr>
        <w:t>APP </w:t>
      </w:r>
      <w:r>
        <w:rPr/>
        <w:t>获得海量视频点播服务及享受超高分辨率电影片源。</w:t>
      </w:r>
    </w:p>
    <w:p>
      <w:pPr>
        <w:spacing w:line="240" w:lineRule="auto" w:before="10"/>
        <w:rPr>
          <w:rFonts w:ascii="宋体" w:hAnsi="宋体" w:cs="宋体" w:eastAsia="宋体" w:hint="default"/>
          <w:sz w:val="23"/>
          <w:szCs w:val="23"/>
        </w:rPr>
      </w:pPr>
    </w:p>
    <w:p>
      <w:pPr>
        <w:pStyle w:val="BodyText"/>
        <w:spacing w:line="237" w:lineRule="auto"/>
        <w:ind w:right="140"/>
        <w:jc w:val="both"/>
      </w:pPr>
      <w:r>
        <w:rPr/>
        <w:t>在</w:t>
      </w:r>
      <w:r>
        <w:rPr>
          <w:spacing w:val="-41"/>
        </w:rPr>
        <w:t> </w:t>
      </w:r>
      <w:r>
        <w:rPr>
          <w:rFonts w:ascii="宋体" w:hAnsi="宋体" w:cs="宋体" w:eastAsia="宋体" w:hint="default"/>
        </w:rPr>
        <w:t>E</w:t>
      </w:r>
      <w:r>
        <w:rPr>
          <w:rFonts w:ascii="宋体" w:hAnsi="宋体" w:cs="宋体" w:eastAsia="宋体" w:hint="default"/>
          <w:spacing w:val="-41"/>
        </w:rPr>
        <w:t> </w:t>
      </w:r>
      <w:r>
        <w:rPr/>
        <w:t>人</w:t>
      </w:r>
      <w:r>
        <w:rPr>
          <w:spacing w:val="-39"/>
        </w:rPr>
        <w:t> </w:t>
      </w:r>
      <w:r>
        <w:rPr>
          <w:rFonts w:ascii="宋体" w:hAnsi="宋体" w:cs="宋体" w:eastAsia="宋体" w:hint="default"/>
        </w:rPr>
        <w:t>E</w:t>
      </w:r>
      <w:r>
        <w:rPr>
          <w:rFonts w:ascii="宋体" w:hAnsi="宋体" w:cs="宋体" w:eastAsia="宋体" w:hint="default"/>
          <w:spacing w:val="-41"/>
        </w:rPr>
        <w:t> </w:t>
      </w:r>
      <w:r>
        <w:rPr/>
        <w:t>本平板电脑方面，公司始终坚持高质量、差异化的产品策略，持续致力于国产 本土政商用户安全移动办公产品的开拓。报告期内，公司在平板市场加大行业应用的推</w:t>
      </w:r>
      <w:r>
        <w:rPr>
          <w:spacing w:val="-51"/>
        </w:rPr>
        <w:t> </w:t>
      </w:r>
      <w:r>
        <w:rPr>
          <w:spacing w:val="-51"/>
        </w:rPr>
      </w:r>
      <w:r>
        <w:rPr/>
        <w:t>广，推出了安全商务平板电脑 </w:t>
      </w:r>
      <w:r>
        <w:rPr>
          <w:rFonts w:ascii="宋体" w:hAnsi="宋体" w:cs="宋体" w:eastAsia="宋体" w:hint="default"/>
        </w:rPr>
        <w:t>K8s</w:t>
      </w:r>
      <w:r>
        <w:rPr>
          <w:rFonts w:ascii="宋体" w:hAnsi="宋体" w:cs="宋体" w:eastAsia="宋体" w:hint="default"/>
          <w:spacing w:val="-39"/>
        </w:rPr>
        <w:t> </w:t>
      </w:r>
      <w:r>
        <w:rPr/>
        <w:t>及移动政务、移动执法、移动金融、移动教育等相关 行业应用解决方案。在个人消费市场，公司旗下手机新品牌“</w:t>
      </w:r>
      <w:r>
        <w:rPr>
          <w:rFonts w:ascii="宋体" w:hAnsi="宋体" w:cs="宋体" w:eastAsia="宋体" w:hint="default"/>
        </w:rPr>
        <w:t>8848</w:t>
      </w:r>
      <w:r>
        <w:rPr/>
        <w:t>”发布了国内首款钛</w:t>
      </w:r>
      <w:r>
        <w:rPr>
          <w:spacing w:val="-50"/>
        </w:rPr>
        <w:t> </w:t>
      </w:r>
      <w:r>
        <w:rPr/>
        <w:t>金手机，在软、硬件的高配置外，该款手机还提供加密通话和隐形空间功能，以及针对</w:t>
      </w:r>
      <w:r>
        <w:rPr>
          <w:spacing w:val="-51"/>
        </w:rPr>
        <w:t> </w:t>
      </w:r>
      <w:r>
        <w:rPr>
          <w:spacing w:val="-51"/>
        </w:rPr>
      </w:r>
      <w:r>
        <w:rPr/>
        <w:t>系统优化的防病毒、防丢失、防打扰、权限管理和自启动管理等安全工具。</w:t>
      </w:r>
    </w:p>
    <w:p>
      <w:pPr>
        <w:spacing w:after="0" w:line="237" w:lineRule="auto"/>
        <w:jc w:val="both"/>
        <w:sectPr>
          <w:pgSz w:w="11910" w:h="16840"/>
          <w:pgMar w:header="628" w:footer="760" w:top="1020" w:bottom="960" w:left="1260" w:right="11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3"/>
        <w:spacing w:line="240" w:lineRule="auto" w:before="157"/>
        <w:ind w:left="415" w:right="91"/>
        <w:jc w:val="left"/>
        <w:rPr>
          <w:b w:val="0"/>
          <w:bCs w:val="0"/>
        </w:rPr>
      </w:pPr>
      <w:r>
        <w:rPr>
          <w:rFonts w:ascii="宋体" w:hAnsi="宋体" w:cs="宋体" w:eastAsia="宋体" w:hint="default"/>
        </w:rPr>
        <w:t>C.</w:t>
      </w:r>
      <w:r>
        <w:rPr/>
        <w:t>互联网内容服务</w:t>
      </w:r>
      <w:r>
        <w:rPr>
          <w:b w:val="0"/>
          <w:bCs w:val="0"/>
        </w:rPr>
      </w:r>
    </w:p>
    <w:p>
      <w:pPr>
        <w:spacing w:line="240" w:lineRule="auto" w:before="12"/>
        <w:rPr>
          <w:rFonts w:ascii="宋体" w:hAnsi="宋体" w:cs="宋体" w:eastAsia="宋体" w:hint="default"/>
          <w:b/>
          <w:bCs/>
          <w:sz w:val="23"/>
          <w:szCs w:val="23"/>
        </w:rPr>
      </w:pPr>
    </w:p>
    <w:p>
      <w:pPr>
        <w:pStyle w:val="BodyText"/>
        <w:spacing w:line="237" w:lineRule="auto"/>
        <w:ind w:right="221"/>
        <w:jc w:val="both"/>
      </w:pPr>
      <w:r>
        <w:rPr/>
        <w:t>在互联网内容服务领域，公司面对以“互联网</w:t>
      </w:r>
      <w:r>
        <w:rPr>
          <w:rFonts w:ascii="宋体" w:hAnsi="宋体" w:cs="宋体" w:eastAsia="宋体" w:hint="default"/>
        </w:rPr>
        <w:t>+</w:t>
      </w:r>
      <w:r>
        <w:rPr/>
        <w:t>知识创新过程</w:t>
      </w:r>
      <w:r>
        <w:rPr>
          <w:rFonts w:ascii="宋体" w:hAnsi="宋体" w:cs="宋体" w:eastAsia="宋体" w:hint="default"/>
        </w:rPr>
        <w:t>+</w:t>
      </w:r>
      <w:r>
        <w:rPr/>
        <w:t>全周期知识管理与知识服</w:t>
      </w:r>
      <w:r>
        <w:rPr>
          <w:spacing w:val="-51"/>
        </w:rPr>
        <w:t> </w:t>
      </w:r>
      <w:r>
        <w:rPr>
          <w:spacing w:val="-51"/>
        </w:rPr>
      </w:r>
      <w:r>
        <w:rPr>
          <w:spacing w:val="-1"/>
        </w:rPr>
        <w:t>务</w:t>
      </w:r>
      <w:r>
        <w:rPr>
          <w:rFonts w:ascii="宋体" w:hAnsi="宋体" w:cs="宋体" w:eastAsia="宋体" w:hint="default"/>
          <w:spacing w:val="-1"/>
        </w:rPr>
        <w:t>+</w:t>
      </w:r>
      <w:r>
        <w:rPr>
          <w:spacing w:val="-1"/>
        </w:rPr>
        <w:t>知识利用”为特点的数字出版业在互联网时代下的二次转型，以数字内容出版、知识</w:t>
      </w:r>
      <w:r>
        <w:rPr>
          <w:spacing w:val="-117"/>
        </w:rPr>
        <w:t> </w:t>
      </w:r>
      <w:r>
        <w:rPr>
          <w:spacing w:val="-117"/>
        </w:rPr>
      </w:r>
      <w:r>
        <w:rPr/>
        <w:t>服务以及知识管理三个独立且协同增效的细分产业板块为核心业务，持续推动业务转型</w:t>
      </w:r>
      <w:r>
        <w:rPr>
          <w:spacing w:val="-51"/>
        </w:rPr>
        <w:t> </w:t>
      </w:r>
      <w:r>
        <w:rPr>
          <w:spacing w:val="-51"/>
        </w:rPr>
      </w:r>
      <w:r>
        <w:rPr>
          <w:spacing w:val="-5"/>
        </w:rPr>
        <w:t>升级、创新驱动。其中，在数字内容出版领域，通过建立全面、完整、科学的资源类型、</w:t>
      </w:r>
      <w:r>
        <w:rPr>
          <w:spacing w:val="-87"/>
        </w:rPr>
        <w:t> </w:t>
      </w:r>
      <w:r>
        <w:rPr>
          <w:spacing w:val="-87"/>
        </w:rPr>
      </w:r>
      <w:r>
        <w:rPr/>
        <w:t>层次和结构，以及数字化、碎片化、结构化的内容深度处理，持续推动新一代知识网络</w:t>
      </w:r>
      <w:r>
        <w:rPr>
          <w:spacing w:val="-51"/>
        </w:rPr>
        <w:t> </w:t>
      </w:r>
      <w:r>
        <w:rPr>
          <w:spacing w:val="-51"/>
        </w:rPr>
      </w:r>
      <w:r>
        <w:rPr/>
        <w:t>型资源总库价值的提升和市场份额的增长。同时，公司还通过双语出版、数据交换、全</w:t>
      </w:r>
      <w:r>
        <w:rPr>
          <w:spacing w:val="-51"/>
        </w:rPr>
        <w:t> </w:t>
      </w:r>
      <w:r>
        <w:rPr>
          <w:spacing w:val="-51"/>
        </w:rPr>
      </w:r>
      <w:r>
        <w:rPr/>
        <w:t>球化组稿等，实现编辑出版与市场的一体化国际运营，积极开拓国际市场。报告期内，</w:t>
      </w:r>
      <w:r>
        <w:rPr>
          <w:spacing w:val="-52"/>
        </w:rPr>
        <w:t> </w:t>
      </w:r>
      <w:r>
        <w:rPr>
          <w:spacing w:val="-52"/>
        </w:rPr>
      </w:r>
      <w:r>
        <w:rPr/>
        <w:t>公司实施的“中文精品学术期刊外文版数字出版工程”已被国家新闻出版广电总局选入</w:t>
      </w:r>
      <w:r>
        <w:rPr>
          <w:spacing w:val="-51"/>
        </w:rPr>
        <w:t> </w:t>
      </w:r>
      <w:r>
        <w:rPr>
          <w:spacing w:val="-51"/>
        </w:rPr>
      </w:r>
      <w:r>
        <w:rPr/>
        <w:t>“</w:t>
      </w:r>
      <w:r>
        <w:rPr>
          <w:rFonts w:ascii="宋体" w:hAnsi="宋体" w:cs="宋体" w:eastAsia="宋体" w:hint="default"/>
        </w:rPr>
        <w:t>2015</w:t>
      </w:r>
      <w:r>
        <w:rPr>
          <w:rFonts w:ascii="宋体" w:hAnsi="宋体" w:cs="宋体" w:eastAsia="宋体" w:hint="default"/>
          <w:spacing w:val="-39"/>
        </w:rPr>
        <w:t> </w:t>
      </w:r>
      <w:r>
        <w:rPr/>
        <w:t>年新闻出版改革发展项目库”。该工程将通过双语对照数字出版的手段，建立中 文学术期刊走出去集成推广平台，实现学术期刊国际化与数字化转型升级，提升国际影</w:t>
      </w:r>
      <w:r>
        <w:rPr>
          <w:spacing w:val="-51"/>
        </w:rPr>
        <w:t> </w:t>
      </w:r>
      <w:r>
        <w:rPr>
          <w:spacing w:val="-51"/>
        </w:rPr>
      </w:r>
      <w:r>
        <w:rPr/>
        <w:t>响力，使我国最新学术成果能够同时面向国际国内学术界、教育界和社会公众等三个层</w:t>
      </w:r>
      <w:r>
        <w:rPr>
          <w:spacing w:val="-51"/>
        </w:rPr>
        <w:t> </w:t>
      </w:r>
      <w:r>
        <w:rPr>
          <w:spacing w:val="-51"/>
        </w:rPr>
      </w:r>
      <w:r>
        <w:rPr/>
        <w:t>面的读者进行广泛传播，促进中西方学术与文化的交流、融合。</w:t>
      </w:r>
    </w:p>
    <w:p>
      <w:pPr>
        <w:spacing w:line="240" w:lineRule="auto" w:before="12"/>
        <w:rPr>
          <w:rFonts w:ascii="宋体" w:hAnsi="宋体" w:cs="宋体" w:eastAsia="宋体" w:hint="default"/>
          <w:sz w:val="23"/>
          <w:szCs w:val="23"/>
        </w:rPr>
      </w:pPr>
    </w:p>
    <w:p>
      <w:pPr>
        <w:pStyle w:val="BodyText"/>
        <w:spacing w:line="237" w:lineRule="auto"/>
        <w:ind w:right="221"/>
        <w:jc w:val="both"/>
      </w:pPr>
      <w:r>
        <w:rPr/>
        <w:t>在知识服务领域，公司把握国家政策创新引导各行各业创新驱动所产生的全社会、各行</w:t>
      </w:r>
      <w:r>
        <w:rPr>
          <w:spacing w:val="-51"/>
        </w:rPr>
        <w:t> </w:t>
      </w:r>
      <w:r>
        <w:rPr>
          <w:spacing w:val="-51"/>
        </w:rPr>
      </w:r>
      <w:r>
        <w:rPr>
          <w:spacing w:val="-1"/>
        </w:rPr>
        <w:t>各业的创新对知识服务明确的需求，通过包含软件</w:t>
      </w:r>
      <w:r>
        <w:rPr>
          <w:rFonts w:ascii="宋体" w:hAnsi="宋体" w:cs="宋体" w:eastAsia="宋体" w:hint="default"/>
          <w:spacing w:val="-1"/>
        </w:rPr>
        <w:t>+</w:t>
      </w:r>
      <w:r>
        <w:rPr>
          <w:spacing w:val="-1"/>
        </w:rPr>
        <w:t>硬件</w:t>
      </w:r>
      <w:r>
        <w:rPr>
          <w:rFonts w:ascii="宋体" w:hAnsi="宋体" w:cs="宋体" w:eastAsia="宋体" w:hint="default"/>
          <w:spacing w:val="-1"/>
        </w:rPr>
        <w:t>+</w:t>
      </w:r>
      <w:r>
        <w:rPr>
          <w:spacing w:val="-1"/>
        </w:rPr>
        <w:t>平台</w:t>
      </w:r>
      <w:r>
        <w:rPr>
          <w:rFonts w:ascii="宋体" w:hAnsi="宋体" w:cs="宋体" w:eastAsia="宋体" w:hint="default"/>
          <w:spacing w:val="-1"/>
        </w:rPr>
        <w:t>+</w:t>
      </w:r>
      <w:r>
        <w:rPr>
          <w:spacing w:val="-1"/>
        </w:rPr>
        <w:t>内容的知识服务平台，向</w:t>
      </w:r>
      <w:r>
        <w:rPr/>
        <w:t> 各行业重大问题和关键业务提供决策支持。</w:t>
      </w:r>
    </w:p>
    <w:p>
      <w:pPr>
        <w:spacing w:line="240" w:lineRule="auto" w:before="13"/>
        <w:rPr>
          <w:rFonts w:ascii="宋体" w:hAnsi="宋体" w:cs="宋体" w:eastAsia="宋体" w:hint="default"/>
          <w:sz w:val="23"/>
          <w:szCs w:val="23"/>
        </w:rPr>
      </w:pPr>
    </w:p>
    <w:p>
      <w:pPr>
        <w:pStyle w:val="BodyText"/>
        <w:spacing w:line="237" w:lineRule="auto"/>
        <w:ind w:right="221"/>
        <w:jc w:val="both"/>
      </w:pPr>
      <w:r>
        <w:rPr/>
        <w:t>在知识管理领域，公司以面向知识资源生产、管理、利用全生命周期，打造业界领先的</w:t>
      </w:r>
      <w:r>
        <w:rPr>
          <w:spacing w:val="-51"/>
        </w:rPr>
        <w:t> </w:t>
      </w:r>
      <w:r>
        <w:rPr>
          <w:spacing w:val="-51"/>
        </w:rPr>
      </w:r>
      <w:r>
        <w:rPr>
          <w:spacing w:val="-1"/>
        </w:rPr>
        <w:t>知识管理软件和行业解决方案服务商为定位，已开发出知识管理、科研诚信管理</w:t>
      </w:r>
      <w:r>
        <w:rPr>
          <w:rFonts w:ascii="宋体" w:hAnsi="宋体" w:cs="宋体" w:eastAsia="宋体" w:hint="default"/>
          <w:spacing w:val="-1"/>
        </w:rPr>
        <w:t>(</w:t>
      </w:r>
      <w:r>
        <w:rPr>
          <w:spacing w:val="-1"/>
        </w:rPr>
        <w:t>学术不</w:t>
      </w:r>
      <w:r>
        <w:rPr/>
        <w:t> </w:t>
      </w:r>
      <w:r>
        <w:rPr>
          <w:spacing w:val="-2"/>
        </w:rPr>
        <w:t>端系列</w:t>
      </w:r>
      <w:r>
        <w:rPr>
          <w:rFonts w:ascii="宋体" w:hAnsi="宋体" w:cs="宋体" w:eastAsia="宋体" w:hint="default"/>
          <w:spacing w:val="-2"/>
        </w:rPr>
        <w:t>)</w:t>
      </w:r>
      <w:r>
        <w:rPr>
          <w:spacing w:val="-2"/>
        </w:rPr>
        <w:t>、内容生产管理以及互联网治理等软件产品和服务。其中，科研诚信管理系统在</w:t>
      </w:r>
      <w:r>
        <w:rPr>
          <w:spacing w:val="-82"/>
        </w:rPr>
        <w:t> </w:t>
      </w:r>
      <w:r>
        <w:rPr>
          <w:spacing w:val="-82"/>
        </w:rPr>
      </w:r>
      <w:r>
        <w:rPr/>
        <w:t>教学、出版、科研、人事管理等领域得到大规模推广应用并获得广泛认可和好评，系列</w:t>
      </w:r>
      <w:r>
        <w:rPr>
          <w:spacing w:val="-51"/>
        </w:rPr>
        <w:t> </w:t>
      </w:r>
      <w:r>
        <w:rPr>
          <w:spacing w:val="-51"/>
        </w:rPr>
      </w:r>
      <w:r>
        <w:rPr/>
        <w:t>产品已在</w:t>
      </w:r>
      <w:r>
        <w:rPr>
          <w:spacing w:val="-61"/>
        </w:rPr>
        <w:t> </w:t>
      </w:r>
      <w:r>
        <w:rPr>
          <w:rFonts w:ascii="宋体" w:hAnsi="宋体" w:cs="宋体" w:eastAsia="宋体" w:hint="default"/>
        </w:rPr>
        <w:t>10000</w:t>
      </w:r>
      <w:r>
        <w:rPr>
          <w:rFonts w:ascii="宋体" w:hAnsi="宋体" w:cs="宋体" w:eastAsia="宋体" w:hint="default"/>
          <w:spacing w:val="-60"/>
        </w:rPr>
        <w:t> </w:t>
      </w:r>
      <w:r>
        <w:rPr/>
        <w:t>多家机构中普及使用，市场占用率和权威性均位列行业第一。</w:t>
      </w:r>
    </w:p>
    <w:p>
      <w:pPr>
        <w:spacing w:line="240" w:lineRule="auto" w:before="9"/>
        <w:rPr>
          <w:rFonts w:ascii="宋体" w:hAnsi="宋体" w:cs="宋体" w:eastAsia="宋体" w:hint="default"/>
          <w:sz w:val="23"/>
          <w:szCs w:val="23"/>
        </w:rPr>
      </w:pPr>
    </w:p>
    <w:p>
      <w:pPr>
        <w:pStyle w:val="Heading3"/>
        <w:spacing w:line="240" w:lineRule="auto"/>
        <w:ind w:left="415" w:right="91"/>
        <w:jc w:val="left"/>
        <w:rPr>
          <w:b w:val="0"/>
          <w:bCs w:val="0"/>
        </w:rPr>
      </w:pPr>
      <w:r>
        <w:rPr>
          <w:rFonts w:ascii="宋体" w:hAnsi="宋体" w:cs="宋体" w:eastAsia="宋体" w:hint="default"/>
        </w:rPr>
        <w:t>2)</w:t>
      </w:r>
      <w:r>
        <w:rPr/>
        <w:t>智慧城市产业链</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right="221"/>
        <w:jc w:val="both"/>
      </w:pPr>
      <w:r>
        <w:rPr>
          <w:rFonts w:ascii="宋体" w:hAnsi="宋体" w:cs="宋体" w:eastAsia="宋体" w:hint="default"/>
        </w:rPr>
        <w:t>2015</w:t>
      </w:r>
      <w:r>
        <w:rPr>
          <w:rFonts w:ascii="宋体" w:hAnsi="宋体" w:cs="宋体" w:eastAsia="宋体" w:hint="default"/>
          <w:spacing w:val="-59"/>
        </w:rPr>
        <w:t> </w:t>
      </w:r>
      <w:r>
        <w:rPr>
          <w:spacing w:val="-4"/>
        </w:rPr>
        <w:t>年，是我国全面推进新型城镇化建设并取得突破的一年。时隔</w:t>
      </w:r>
      <w:r>
        <w:rPr>
          <w:spacing w:val="-59"/>
        </w:rPr>
        <w:t> </w:t>
      </w:r>
      <w:r>
        <w:rPr>
          <w:rFonts w:ascii="宋体" w:hAnsi="宋体" w:cs="宋体" w:eastAsia="宋体" w:hint="default"/>
        </w:rPr>
        <w:t>37</w:t>
      </w:r>
      <w:r>
        <w:rPr>
          <w:rFonts w:ascii="宋体" w:hAnsi="宋体" w:cs="宋体" w:eastAsia="宋体" w:hint="default"/>
          <w:spacing w:val="-59"/>
        </w:rPr>
        <w:t> </w:t>
      </w:r>
      <w:r>
        <w:rPr/>
        <w:t>年再次召开的中央 </w:t>
      </w:r>
      <w:r>
        <w:rPr>
          <w:spacing w:val="-7"/>
        </w:rPr>
        <w:t>城市工作会议明确指出要在《全国主体功能区规划》、《国家新型城镇化规划</w:t>
      </w:r>
      <w:r>
        <w:rPr>
          <w:rFonts w:ascii="宋体" w:hAnsi="宋体" w:cs="宋体" w:eastAsia="宋体" w:hint="default"/>
          <w:spacing w:val="-7"/>
        </w:rPr>
        <w:t>(2014</w:t>
      </w:r>
      <w:r>
        <w:rPr>
          <w:spacing w:val="-7"/>
        </w:rPr>
        <w:t>－</w:t>
      </w:r>
      <w:r>
        <w:rPr>
          <w:rFonts w:ascii="宋体" w:hAnsi="宋体" w:cs="宋体" w:eastAsia="宋体" w:hint="default"/>
          <w:spacing w:val="-7"/>
        </w:rPr>
        <w:t>2020</w:t>
      </w:r>
      <w:r>
        <w:rPr>
          <w:rFonts w:ascii="宋体" w:hAnsi="宋体" w:cs="宋体" w:eastAsia="宋体" w:hint="default"/>
          <w:spacing w:val="-91"/>
        </w:rPr>
        <w:t> </w:t>
      </w:r>
      <w:r>
        <w:rPr>
          <w:spacing w:val="-8"/>
        </w:rPr>
        <w:t>年</w:t>
      </w:r>
      <w:r>
        <w:rPr>
          <w:rFonts w:ascii="宋体" w:hAnsi="宋体" w:cs="宋体" w:eastAsia="宋体" w:hint="default"/>
          <w:spacing w:val="-8"/>
        </w:rPr>
        <w:t>)</w:t>
      </w:r>
      <w:r>
        <w:rPr>
          <w:spacing w:val="-8"/>
        </w:rPr>
        <w:t>》的基础上，结合实施“一带一路”建设、京津冀协同发展、长江经济带建设等战略，</w:t>
      </w:r>
      <w:r>
        <w:rPr>
          <w:spacing w:val="-81"/>
        </w:rPr>
        <w:t> </w:t>
      </w:r>
      <w:r>
        <w:rPr>
          <w:spacing w:val="-81"/>
        </w:rPr>
      </w:r>
      <w:r>
        <w:rPr/>
        <w:t>明确我国城市发展空间布局、功能定位。要以城市群为主体形态，科学规划城市空间布</w:t>
      </w:r>
      <w:r>
        <w:rPr>
          <w:spacing w:val="-51"/>
        </w:rPr>
        <w:t> </w:t>
      </w:r>
      <w:r>
        <w:rPr>
          <w:spacing w:val="-51"/>
        </w:rPr>
      </w:r>
      <w:r>
        <w:rPr/>
        <w:t>局，实现紧凑集约、高效绿色发展。在此背景下，基于物联网、云计算、大数据等新一</w:t>
      </w:r>
      <w:r>
        <w:rPr>
          <w:spacing w:val="-51"/>
        </w:rPr>
        <w:t> </w:t>
      </w:r>
      <w:r>
        <w:rPr>
          <w:spacing w:val="-51"/>
        </w:rPr>
      </w:r>
      <w:r>
        <w:rPr/>
        <w:t>代信息技术的智慧城市的建设，是对城市基础设施、城市管理、城市生活等方面进行智</w:t>
      </w:r>
      <w:r>
        <w:rPr>
          <w:spacing w:val="-51"/>
        </w:rPr>
        <w:t> </w:t>
      </w:r>
      <w:r>
        <w:rPr>
          <w:spacing w:val="-51"/>
        </w:rPr>
      </w:r>
      <w:r>
        <w:rPr/>
        <w:t>能化和信息化的一种形态，成为实现新型城镇化、促进产业升级转型的重要途径。</w:t>
      </w:r>
    </w:p>
    <w:p>
      <w:pPr>
        <w:spacing w:line="240" w:lineRule="auto" w:before="12"/>
        <w:rPr>
          <w:rFonts w:ascii="宋体" w:hAnsi="宋体" w:cs="宋体" w:eastAsia="宋体" w:hint="default"/>
          <w:sz w:val="23"/>
          <w:szCs w:val="23"/>
        </w:rPr>
      </w:pPr>
    </w:p>
    <w:p>
      <w:pPr>
        <w:pStyle w:val="BodyText"/>
        <w:spacing w:line="237" w:lineRule="auto"/>
        <w:ind w:right="103"/>
        <w:jc w:val="both"/>
      </w:pPr>
      <w:r>
        <w:rPr>
          <w:spacing w:val="-7"/>
        </w:rPr>
        <w:t>为此，作为智慧城市技术提供商，公司立足于大数据、自动化控制软</w:t>
      </w:r>
      <w:r>
        <w:rPr>
          <w:rFonts w:ascii="宋体" w:hAnsi="宋体" w:cs="宋体" w:eastAsia="宋体" w:hint="default"/>
          <w:spacing w:val="-7"/>
        </w:rPr>
        <w:t>/</w:t>
      </w:r>
      <w:r>
        <w:rPr>
          <w:spacing w:val="-7"/>
        </w:rPr>
        <w:t>硬件产品、以</w:t>
      </w:r>
      <w:r>
        <w:rPr>
          <w:spacing w:val="-50"/>
        </w:rPr>
        <w:t> </w:t>
      </w:r>
      <w:r>
        <w:rPr>
          <w:rFonts w:ascii="宋体" w:hAnsi="宋体" w:cs="宋体" w:eastAsia="宋体" w:hint="default"/>
        </w:rPr>
        <w:t>ezONE</w:t>
      </w:r>
      <w:r>
        <w:rPr>
          <w:rFonts w:ascii="宋体" w:hAnsi="宋体" w:cs="宋体" w:eastAsia="宋体" w:hint="default"/>
          <w:spacing w:val="-96"/>
        </w:rPr>
        <w:t> </w:t>
      </w:r>
      <w:r>
        <w:rPr/>
        <w:t>为核心的平台软件、行业应用软件等自主技术，积极寻求与政府合作，通过获取政府公</w:t>
      </w:r>
      <w:r>
        <w:rPr>
          <w:spacing w:val="-51"/>
        </w:rPr>
        <w:t> </w:t>
      </w:r>
      <w:r>
        <w:rPr>
          <w:spacing w:val="-51"/>
        </w:rPr>
      </w:r>
      <w:r>
        <w:rPr>
          <w:spacing w:val="-1"/>
        </w:rPr>
        <w:t>共资源和数据运营权，不断探索由传统的项目型业务向智慧城市垂直领域运营服务转型。</w:t>
      </w:r>
    </w:p>
    <w:p>
      <w:pPr>
        <w:spacing w:line="240" w:lineRule="auto" w:before="7"/>
        <w:rPr>
          <w:rFonts w:ascii="宋体" w:hAnsi="宋体" w:cs="宋体" w:eastAsia="宋体" w:hint="default"/>
          <w:sz w:val="23"/>
          <w:szCs w:val="23"/>
        </w:rPr>
      </w:pPr>
    </w:p>
    <w:p>
      <w:pPr>
        <w:pStyle w:val="Heading3"/>
        <w:spacing w:line="240" w:lineRule="auto"/>
        <w:ind w:left="415" w:right="91"/>
        <w:jc w:val="left"/>
        <w:rPr>
          <w:b w:val="0"/>
          <w:bCs w:val="0"/>
        </w:rPr>
      </w:pPr>
      <w:r>
        <w:rPr>
          <w:rFonts w:ascii="宋体" w:hAnsi="宋体" w:cs="宋体" w:eastAsia="宋体" w:hint="default"/>
        </w:rPr>
        <w:t>A.</w:t>
      </w:r>
      <w:r>
        <w:rPr/>
        <w:t>物联网</w:t>
      </w:r>
      <w:r>
        <w:rPr>
          <w:b w:val="0"/>
          <w:bCs w:val="0"/>
        </w:rPr>
      </w:r>
    </w:p>
    <w:p>
      <w:pPr>
        <w:spacing w:line="240" w:lineRule="auto" w:before="2"/>
        <w:rPr>
          <w:rFonts w:ascii="宋体" w:hAnsi="宋体" w:cs="宋体" w:eastAsia="宋体" w:hint="default"/>
          <w:b/>
          <w:bCs/>
          <w:sz w:val="26"/>
          <w:szCs w:val="26"/>
        </w:rPr>
      </w:pPr>
    </w:p>
    <w:p>
      <w:pPr>
        <w:pStyle w:val="BodyText"/>
        <w:spacing w:line="310" w:lineRule="exact"/>
        <w:ind w:right="221"/>
        <w:jc w:val="both"/>
      </w:pPr>
      <w:r>
        <w:rPr>
          <w:rFonts w:ascii="宋体" w:hAnsi="宋体" w:cs="宋体" w:eastAsia="宋体" w:hint="default"/>
        </w:rPr>
        <w:t>2015</w:t>
      </w:r>
      <w:r>
        <w:rPr>
          <w:rFonts w:ascii="宋体" w:hAnsi="宋体" w:cs="宋体" w:eastAsia="宋体" w:hint="default"/>
          <w:spacing w:val="-39"/>
        </w:rPr>
        <w:t> </w:t>
      </w:r>
      <w:r>
        <w:rPr/>
        <w:t>年，公司继续深化以大数据为核心的智慧城市发展战略，围绕“百城计划”进行核 心技术和商业模式的创新、能力体系的建设，持续保持着在智慧城市建设领域的领军者</w:t>
      </w:r>
    </w:p>
    <w:p>
      <w:pPr>
        <w:spacing w:after="0" w:line="310" w:lineRule="exact"/>
        <w:jc w:val="both"/>
        <w:sectPr>
          <w:pgSz w:w="11910" w:h="16840"/>
          <w:pgMar w:header="628" w:footer="760" w:top="1020" w:bottom="960" w:left="1260" w:right="10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p>
      <w:pPr>
        <w:pStyle w:val="BodyText"/>
        <w:spacing w:line="237" w:lineRule="auto" w:before="28"/>
        <w:ind w:right="221"/>
        <w:jc w:val="both"/>
      </w:pPr>
      <w:r>
        <w:rPr/>
        <w:t>地位。随着国家智慧城市建设全面进入快车道，报告期内，公司相继与江苏镇江、山东</w:t>
      </w:r>
      <w:r>
        <w:rPr>
          <w:spacing w:val="-52"/>
        </w:rPr>
        <w:t> </w:t>
      </w:r>
      <w:r>
        <w:rPr>
          <w:spacing w:val="-52"/>
        </w:rPr>
      </w:r>
      <w:r>
        <w:rPr/>
        <w:t>东营、四川泸县、云南保山、河北永年、贵州凯里、新疆沙湾等</w:t>
      </w:r>
      <w:r>
        <w:rPr>
          <w:spacing w:val="-79"/>
        </w:rPr>
        <w:t> </w:t>
      </w:r>
      <w:r>
        <w:rPr>
          <w:rFonts w:ascii="宋体" w:hAnsi="宋体" w:cs="宋体" w:eastAsia="宋体" w:hint="default"/>
        </w:rPr>
        <w:t>36</w:t>
      </w:r>
      <w:r>
        <w:rPr>
          <w:rFonts w:ascii="宋体" w:hAnsi="宋体" w:cs="宋体" w:eastAsia="宋体" w:hint="default"/>
          <w:spacing w:val="-80"/>
        </w:rPr>
        <w:t> </w:t>
      </w:r>
      <w:r>
        <w:rPr/>
        <w:t>个城市签署了“智慧 城市”战略合作框架协议，并在智慧交通、智慧教育、智慧水利、智慧公安等领域取得</w:t>
      </w:r>
      <w:r>
        <w:rPr>
          <w:spacing w:val="-51"/>
        </w:rPr>
        <w:t> </w:t>
      </w:r>
      <w:r>
        <w:rPr>
          <w:spacing w:val="-51"/>
        </w:rPr>
      </w:r>
      <w:r>
        <w:rPr/>
        <w:t>了实质性的进展，使“河南省公路水路安全畅通与应急处置系统工程”、“内蒙古自治</w:t>
      </w:r>
    </w:p>
    <w:p>
      <w:pPr>
        <w:pStyle w:val="BodyText"/>
        <w:spacing w:line="310" w:lineRule="exact" w:before="30"/>
        <w:ind w:right="91"/>
        <w:jc w:val="left"/>
        <w:rPr>
          <w:rFonts w:ascii="宋体" w:hAnsi="宋体" w:cs="宋体" w:eastAsia="宋体" w:hint="default"/>
        </w:rPr>
      </w:pPr>
      <w:r>
        <w:rPr>
          <w:spacing w:val="-8"/>
        </w:rPr>
        <w:t>区公路水路安全畅通与应急处置工程”、“安徽省基础教育大数据平台顶层设计及建设”、</w:t>
      </w:r>
      <w:r>
        <w:rPr>
          <w:spacing w:val="-82"/>
        </w:rPr>
        <w:t> </w:t>
      </w:r>
      <w:r>
        <w:rPr>
          <w:spacing w:val="-82"/>
        </w:rPr>
      </w:r>
      <w:r>
        <w:rPr/>
        <w:t>“溆浦县</w:t>
      </w:r>
      <w:r>
        <w:rPr>
          <w:spacing w:val="-56"/>
        </w:rPr>
        <w:t> </w:t>
      </w:r>
      <w:r>
        <w:rPr>
          <w:rFonts w:ascii="宋体" w:hAnsi="宋体" w:cs="宋体" w:eastAsia="宋体" w:hint="default"/>
        </w:rPr>
        <w:t>2015</w:t>
      </w:r>
      <w:r>
        <w:rPr>
          <w:rFonts w:ascii="宋体" w:hAnsi="宋体" w:cs="宋体" w:eastAsia="宋体" w:hint="default"/>
          <w:spacing w:val="-54"/>
        </w:rPr>
        <w:t> </w:t>
      </w:r>
      <w:r>
        <w:rPr>
          <w:spacing w:val="-4"/>
        </w:rPr>
        <w:t>年天网工程”等诸多项目成为当地智慧城市建设中的标志工程。截至</w:t>
      </w:r>
      <w:r>
        <w:rPr>
          <w:spacing w:val="-53"/>
        </w:rPr>
        <w:t> </w:t>
      </w:r>
      <w:r>
        <w:rPr>
          <w:rFonts w:ascii="宋体" w:hAnsi="宋体" w:cs="宋体" w:eastAsia="宋体" w:hint="default"/>
        </w:rPr>
        <w:t>2015</w:t>
      </w:r>
    </w:p>
    <w:p>
      <w:pPr>
        <w:pStyle w:val="BodyText"/>
        <w:spacing w:line="284" w:lineRule="exact"/>
        <w:ind w:right="0"/>
        <w:jc w:val="both"/>
      </w:pPr>
      <w:r>
        <w:rPr/>
        <w:t>年年底，公司启动的百城计划已签约</w:t>
      </w:r>
      <w:r>
        <w:rPr>
          <w:spacing w:val="-60"/>
        </w:rPr>
        <w:t> </w:t>
      </w:r>
      <w:r>
        <w:rPr>
          <w:rFonts w:ascii="宋体" w:hAnsi="宋体" w:cs="宋体" w:eastAsia="宋体" w:hint="default"/>
        </w:rPr>
        <w:t>63</w:t>
      </w:r>
      <w:r>
        <w:rPr>
          <w:rFonts w:ascii="宋体" w:hAnsi="宋体" w:cs="宋体" w:eastAsia="宋体" w:hint="default"/>
          <w:spacing w:val="-60"/>
        </w:rPr>
        <w:t> </w:t>
      </w:r>
      <w:r>
        <w:rPr/>
        <w:t>家</w:t>
      </w:r>
    </w:p>
    <w:p>
      <w:pPr>
        <w:spacing w:line="240" w:lineRule="auto" w:before="9"/>
        <w:rPr>
          <w:rFonts w:ascii="宋体" w:hAnsi="宋体" w:cs="宋体" w:eastAsia="宋体" w:hint="default"/>
          <w:sz w:val="23"/>
          <w:szCs w:val="23"/>
        </w:rPr>
      </w:pPr>
    </w:p>
    <w:p>
      <w:pPr>
        <w:pStyle w:val="BodyText"/>
        <w:spacing w:line="237" w:lineRule="auto"/>
        <w:ind w:right="221"/>
        <w:jc w:val="both"/>
      </w:pPr>
      <w:r>
        <w:rPr/>
        <w:t>在大数据技术应用方面，公司秉承“大数据成就智慧”的理念，运用同方大数据技术及</w:t>
      </w:r>
      <w:r>
        <w:rPr>
          <w:spacing w:val="-52"/>
        </w:rPr>
        <w:t> </w:t>
      </w:r>
      <w:r>
        <w:rPr>
          <w:spacing w:val="-52"/>
        </w:rPr>
      </w:r>
      <w:r>
        <w:rPr/>
        <w:t>具有自主知识产权的核心技术架构，承接并实施国家部委级自上而下的重大项目。</w:t>
      </w:r>
      <w:r>
        <w:rPr>
          <w:rFonts w:ascii="宋体" w:hAnsi="宋体" w:cs="宋体" w:eastAsia="宋体" w:hint="default"/>
        </w:rPr>
        <w:t>2015</w:t>
      </w:r>
      <w:r>
        <w:rPr>
          <w:rFonts w:ascii="宋体" w:hAnsi="宋体" w:cs="宋体" w:eastAsia="宋体" w:hint="default"/>
          <w:spacing w:val="-54"/>
        </w:rPr>
        <w:t> </w:t>
      </w:r>
      <w:r>
        <w:rPr/>
        <w:t>年公司实施的项目主要有国家统计局“第三次全国农业普查”、交通部“信息化建设四</w:t>
      </w:r>
      <w:r>
        <w:rPr>
          <w:spacing w:val="-51"/>
        </w:rPr>
        <w:t> </w:t>
      </w:r>
      <w:r>
        <w:rPr>
          <w:spacing w:val="-51"/>
        </w:rPr>
      </w:r>
      <w:r>
        <w:rPr/>
        <w:t>大工程”、教育部“教育信息化三通两平台工程”以及公安部“刑事情报信息分析研判</w:t>
      </w:r>
      <w:r>
        <w:rPr>
          <w:spacing w:val="-51"/>
        </w:rPr>
        <w:t> </w:t>
      </w:r>
      <w:r>
        <w:rPr>
          <w:spacing w:val="-51"/>
        </w:rPr>
      </w:r>
      <w:r>
        <w:rPr/>
        <w:t>系统”等。报告期内，在“</w:t>
      </w:r>
      <w:r>
        <w:rPr>
          <w:rFonts w:ascii="宋体" w:hAnsi="宋体" w:cs="宋体" w:eastAsia="宋体" w:hint="default"/>
        </w:rPr>
        <w:t>2015</w:t>
      </w:r>
      <w:r>
        <w:rPr>
          <w:rFonts w:ascii="宋体" w:hAnsi="宋体" w:cs="宋体" w:eastAsia="宋体" w:hint="default"/>
          <w:spacing w:val="-79"/>
        </w:rPr>
        <w:t> </w:t>
      </w:r>
      <w:r>
        <w:rPr/>
        <w:t>年中国软件大会”上，公司荣膺“</w:t>
      </w:r>
      <w:r>
        <w:rPr>
          <w:rFonts w:ascii="宋体" w:hAnsi="宋体" w:cs="宋体" w:eastAsia="宋体" w:hint="default"/>
        </w:rPr>
        <w:t>2015</w:t>
      </w:r>
      <w:r>
        <w:rPr>
          <w:rFonts w:ascii="宋体" w:hAnsi="宋体" w:cs="宋体" w:eastAsia="宋体" w:hint="default"/>
          <w:spacing w:val="-79"/>
        </w:rPr>
        <w:t> </w:t>
      </w:r>
      <w:r>
        <w:rPr/>
        <w:t>年中国软件和信 息服务智慧城市领域标杆企业”殊荣。</w:t>
      </w:r>
    </w:p>
    <w:p>
      <w:pPr>
        <w:spacing w:line="240" w:lineRule="auto" w:before="7"/>
        <w:rPr>
          <w:rFonts w:ascii="宋体" w:hAnsi="宋体" w:cs="宋体" w:eastAsia="宋体" w:hint="default"/>
          <w:sz w:val="23"/>
          <w:szCs w:val="23"/>
        </w:rPr>
      </w:pPr>
    </w:p>
    <w:p>
      <w:pPr>
        <w:pStyle w:val="Heading3"/>
        <w:spacing w:line="240" w:lineRule="auto"/>
        <w:ind w:left="415" w:right="91"/>
        <w:jc w:val="left"/>
        <w:rPr>
          <w:b w:val="0"/>
          <w:bCs w:val="0"/>
        </w:rPr>
      </w:pPr>
      <w:r>
        <w:rPr>
          <w:rFonts w:ascii="宋体" w:hAnsi="宋体" w:cs="宋体" w:eastAsia="宋体" w:hint="default"/>
        </w:rPr>
        <w:t>B.</w:t>
      </w:r>
      <w:r>
        <w:rPr/>
        <w:t>智能建筑</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right="221"/>
        <w:jc w:val="both"/>
      </w:pPr>
      <w:r>
        <w:rPr/>
        <w:t>在智能建筑领域，公司以高性能作为绿色智能建筑衡量标准的新理念，凭借 </w:t>
      </w:r>
      <w:r>
        <w:rPr>
          <w:rFonts w:ascii="宋体" w:hAnsi="宋体" w:cs="宋体" w:eastAsia="宋体" w:hint="default"/>
        </w:rPr>
        <w:t>Techcon</w:t>
      </w:r>
      <w:r>
        <w:rPr>
          <w:rFonts w:ascii="宋体" w:hAnsi="宋体" w:cs="宋体" w:eastAsia="宋体" w:hint="default"/>
          <w:spacing w:val="-38"/>
        </w:rPr>
        <w:t> </w:t>
      </w:r>
      <w:r>
        <w:rPr/>
        <w:t>系 列楼宇自控系统的性能特点与应用优势，将产品应用和顶层设计结合在一起，提供从整</w:t>
      </w:r>
      <w:r>
        <w:rPr>
          <w:spacing w:val="-53"/>
        </w:rPr>
        <w:t> </w:t>
      </w:r>
      <w:r>
        <w:rPr>
          <w:spacing w:val="-53"/>
        </w:rPr>
      </w:r>
      <w:r>
        <w:rPr/>
        <w:t>体设计、运营维护、行为节能三个维度入手的创新绿色建筑解决方案，实现智能和节能</w:t>
      </w:r>
      <w:r>
        <w:rPr>
          <w:spacing w:val="-51"/>
        </w:rPr>
        <w:t> </w:t>
      </w:r>
      <w:r>
        <w:rPr>
          <w:spacing w:val="-51"/>
        </w:rPr>
      </w:r>
      <w:r>
        <w:rPr/>
        <w:t>的有效平衡，业务覆盖办公楼、商业、医院、学校、文化、交通、体育、媒体等领域。</w:t>
      </w:r>
      <w:r>
        <w:rPr>
          <w:spacing w:val="-51"/>
        </w:rPr>
        <w:t> </w:t>
      </w:r>
      <w:r>
        <w:rPr>
          <w:spacing w:val="-51"/>
        </w:rPr>
      </w:r>
      <w:r>
        <w:rPr>
          <w:rFonts w:ascii="宋体" w:hAnsi="宋体" w:cs="宋体" w:eastAsia="宋体" w:hint="default"/>
        </w:rPr>
        <w:t>2015</w:t>
      </w:r>
      <w:r>
        <w:rPr>
          <w:rFonts w:ascii="宋体" w:hAnsi="宋体" w:cs="宋体" w:eastAsia="宋体" w:hint="default"/>
          <w:spacing w:val="-39"/>
        </w:rPr>
        <w:t> </w:t>
      </w:r>
      <w:r>
        <w:rPr/>
        <w:t>年，公司荣获了中国智能建筑集成商十大品牌第一名，并蝉联八届行业工程总量第 一名。报告期内，公司承接、实施或运营的主要项目包括海南省核应急指挥中心大楼、</w:t>
      </w:r>
      <w:r>
        <w:rPr>
          <w:spacing w:val="-51"/>
        </w:rPr>
        <w:t> </w:t>
      </w:r>
      <w:r>
        <w:rPr>
          <w:spacing w:val="-51"/>
        </w:rPr>
      </w:r>
      <w:r>
        <w:rPr/>
        <w:t>重庆华宇温德姆至尊豪庭大酒店、重庆南川新城区中医院智能化项目以及珠海歌剧院提</w:t>
      </w:r>
      <w:r>
        <w:rPr>
          <w:spacing w:val="-51"/>
        </w:rPr>
        <w:t> </w:t>
      </w:r>
      <w:r>
        <w:rPr>
          <w:spacing w:val="-51"/>
        </w:rPr>
      </w:r>
      <w:r>
        <w:rPr/>
        <w:t>供企业级的系统集成服务等。此外公司还承接了坦桑尼亚 </w:t>
      </w:r>
      <w:r>
        <w:rPr>
          <w:rFonts w:ascii="宋体" w:hAnsi="宋体" w:cs="宋体" w:eastAsia="宋体" w:hint="default"/>
        </w:rPr>
        <w:t>ICT</w:t>
      </w:r>
      <w:r>
        <w:rPr>
          <w:rFonts w:ascii="宋体" w:hAnsi="宋体" w:cs="宋体" w:eastAsia="宋体" w:hint="default"/>
          <w:spacing w:val="-39"/>
        </w:rPr>
        <w:t> </w:t>
      </w:r>
      <w:r>
        <w:rPr/>
        <w:t>骨干网工程三期一阶段弱 电系统集成项目。该项目的成功实施，将为公司在坦桑尼亚及非洲市场的拓展打下坚实</w:t>
      </w:r>
      <w:r>
        <w:rPr>
          <w:spacing w:val="-53"/>
        </w:rPr>
        <w:t> </w:t>
      </w:r>
      <w:r>
        <w:rPr>
          <w:spacing w:val="-53"/>
        </w:rPr>
      </w:r>
      <w:r>
        <w:rPr/>
        <w:t>基础。报告期内，公司承建的海南三亚鹿回头国宾馆扩建项目智能化工程，经中国建筑</w:t>
      </w:r>
      <w:r>
        <w:rPr>
          <w:spacing w:val="-51"/>
        </w:rPr>
        <w:t> </w:t>
      </w:r>
      <w:r>
        <w:rPr>
          <w:spacing w:val="-51"/>
        </w:rPr>
      </w:r>
      <w:r>
        <w:rPr/>
        <w:t>业协会智能建筑分会组织专家评定，还被授予了“智能建筑精品工程”奖。</w:t>
      </w:r>
    </w:p>
    <w:p>
      <w:pPr>
        <w:spacing w:line="240" w:lineRule="auto" w:before="9"/>
        <w:rPr>
          <w:rFonts w:ascii="宋体" w:hAnsi="宋体" w:cs="宋体" w:eastAsia="宋体" w:hint="default"/>
          <w:sz w:val="23"/>
          <w:szCs w:val="23"/>
        </w:rPr>
      </w:pPr>
    </w:p>
    <w:p>
      <w:pPr>
        <w:pStyle w:val="Heading3"/>
        <w:spacing w:line="240" w:lineRule="auto"/>
        <w:ind w:left="415" w:right="91"/>
        <w:jc w:val="left"/>
        <w:rPr>
          <w:b w:val="0"/>
          <w:bCs w:val="0"/>
        </w:rPr>
      </w:pPr>
      <w:r>
        <w:rPr>
          <w:rFonts w:ascii="宋体" w:hAnsi="宋体" w:cs="宋体" w:eastAsia="宋体" w:hint="default"/>
        </w:rPr>
        <w:t>C.</w:t>
      </w:r>
      <w:r>
        <w:rPr/>
        <w:t>轨道交通智能化</w:t>
      </w:r>
      <w:r>
        <w:rPr>
          <w:b w:val="0"/>
          <w:bCs w:val="0"/>
        </w:rPr>
      </w:r>
    </w:p>
    <w:p>
      <w:pPr>
        <w:spacing w:line="240" w:lineRule="auto" w:before="10"/>
        <w:rPr>
          <w:rFonts w:ascii="宋体" w:hAnsi="宋体" w:cs="宋体" w:eastAsia="宋体" w:hint="default"/>
          <w:b/>
          <w:bCs/>
          <w:sz w:val="23"/>
          <w:szCs w:val="23"/>
        </w:rPr>
      </w:pPr>
    </w:p>
    <w:p>
      <w:pPr>
        <w:pStyle w:val="BodyText"/>
        <w:spacing w:line="237" w:lineRule="auto"/>
        <w:ind w:right="218"/>
        <w:jc w:val="both"/>
      </w:pPr>
      <w:r>
        <w:rPr/>
        <w:t>近几年，随着城市轨道交通开通运营的线路越来越多，地铁节能已经成为地铁运营必须</w:t>
      </w:r>
      <w:r>
        <w:rPr>
          <w:spacing w:val="-51"/>
        </w:rPr>
        <w:t> </w:t>
      </w:r>
      <w:r>
        <w:rPr>
          <w:spacing w:val="-51"/>
        </w:rPr>
      </w:r>
      <w:r>
        <w:rPr/>
        <w:t>关注的问题。作为国内首屈一指的轨道交通智能化的解决方案与服务提供商，公司拥有</w:t>
      </w:r>
      <w:r>
        <w:rPr>
          <w:spacing w:val="-51"/>
        </w:rPr>
        <w:t> </w:t>
      </w:r>
      <w:r>
        <w:rPr>
          <w:spacing w:val="-51"/>
        </w:rPr>
      </w:r>
      <w:r>
        <w:rPr/>
        <w:t>线路内“单系统管理</w:t>
      </w:r>
      <w:r>
        <w:rPr>
          <w:rFonts w:ascii="宋体" w:hAnsi="宋体" w:cs="宋体" w:eastAsia="宋体" w:hint="default"/>
        </w:rPr>
        <w:t>-</w:t>
      </w:r>
      <w:r>
        <w:rPr/>
        <w:t>多线路多系统综合管理</w:t>
      </w:r>
      <w:r>
        <w:rPr>
          <w:rFonts w:ascii="宋体" w:hAnsi="宋体" w:cs="宋体" w:eastAsia="宋体" w:hint="default"/>
        </w:rPr>
        <w:t>-</w:t>
      </w:r>
      <w:r>
        <w:rPr/>
        <w:t>城市轨道交通线网管理”的全方位解决方</w:t>
      </w:r>
      <w:r>
        <w:rPr>
          <w:spacing w:val="-49"/>
        </w:rPr>
        <w:t> </w:t>
      </w:r>
      <w:r>
        <w:rPr>
          <w:spacing w:val="-49"/>
        </w:rPr>
      </w:r>
      <w:r>
        <w:rPr/>
        <w:t>案，可以实现在地铁领域综合监控系统和路网指挥中心的集成管理与调度能力，从线路</w:t>
      </w:r>
      <w:r>
        <w:rPr>
          <w:spacing w:val="-50"/>
        </w:rPr>
        <w:t> </w:t>
      </w:r>
      <w:r>
        <w:rPr>
          <w:spacing w:val="-50"/>
        </w:rPr>
      </w:r>
      <w:r>
        <w:rPr/>
        <w:t>级提升以城市级应用，达到行业领先水平。截至报告期末，公司在国内已完成</w:t>
      </w:r>
      <w:r>
        <w:rPr>
          <w:spacing w:val="-78"/>
        </w:rPr>
        <w:t> </w:t>
      </w:r>
      <w:r>
        <w:rPr>
          <w:rFonts w:ascii="宋体" w:hAnsi="宋体" w:cs="宋体" w:eastAsia="宋体" w:hint="default"/>
        </w:rPr>
        <w:t>17</w:t>
      </w:r>
      <w:r>
        <w:rPr>
          <w:rFonts w:ascii="宋体" w:hAnsi="宋体" w:cs="宋体" w:eastAsia="宋体" w:hint="default"/>
          <w:spacing w:val="-78"/>
        </w:rPr>
        <w:t> </w:t>
      </w:r>
      <w:r>
        <w:rPr/>
        <w:t>城市的</w:t>
      </w:r>
    </w:p>
    <w:p>
      <w:pPr>
        <w:pStyle w:val="BodyText"/>
        <w:spacing w:line="310" w:lineRule="exact" w:before="30"/>
        <w:ind w:right="225"/>
        <w:jc w:val="both"/>
      </w:pPr>
      <w:r>
        <w:rPr>
          <w:rFonts w:ascii="宋体" w:hAnsi="宋体" w:cs="宋体" w:eastAsia="宋体" w:hint="default"/>
        </w:rPr>
        <w:t>38</w:t>
      </w:r>
      <w:r>
        <w:rPr>
          <w:rFonts w:ascii="宋体" w:hAnsi="宋体" w:cs="宋体" w:eastAsia="宋体" w:hint="default"/>
          <w:spacing w:val="-66"/>
        </w:rPr>
        <w:t> </w:t>
      </w:r>
      <w:r>
        <w:rPr>
          <w:spacing w:val="-3"/>
        </w:rPr>
        <w:t>条地铁线路。</w:t>
      </w:r>
      <w:r>
        <w:rPr>
          <w:rFonts w:ascii="宋体" w:hAnsi="宋体" w:cs="宋体" w:eastAsia="宋体" w:hint="default"/>
          <w:spacing w:val="-3"/>
        </w:rPr>
        <w:t>2015</w:t>
      </w:r>
      <w:r>
        <w:rPr>
          <w:rFonts w:ascii="宋体" w:hAnsi="宋体" w:cs="宋体" w:eastAsia="宋体" w:hint="default"/>
          <w:spacing w:val="-66"/>
        </w:rPr>
        <w:t> </w:t>
      </w:r>
      <w:r>
        <w:rPr/>
        <w:t>年，公司承建的北京地铁八号线森林公园南门站空调系统节能改造 </w:t>
      </w:r>
      <w:r>
        <w:rPr>
          <w:rFonts w:ascii="宋体" w:hAnsi="宋体" w:cs="宋体" w:eastAsia="宋体" w:hint="default"/>
        </w:rPr>
        <w:t>EMC</w:t>
      </w:r>
      <w:r>
        <w:rPr>
          <w:rFonts w:ascii="宋体" w:hAnsi="宋体" w:cs="宋体" w:eastAsia="宋体" w:hint="default"/>
          <w:spacing w:val="-60"/>
        </w:rPr>
        <w:t> </w:t>
      </w:r>
      <w:r>
        <w:rPr/>
        <w:t>项目还被中国建筑业协会智能建筑分会授予“智能建筑精品工程”奖。</w:t>
      </w:r>
    </w:p>
    <w:p>
      <w:pPr>
        <w:spacing w:line="240" w:lineRule="auto" w:before="7"/>
        <w:rPr>
          <w:rFonts w:ascii="宋体" w:hAnsi="宋体" w:cs="宋体" w:eastAsia="宋体" w:hint="default"/>
          <w:sz w:val="21"/>
          <w:szCs w:val="21"/>
        </w:rPr>
      </w:pPr>
    </w:p>
    <w:p>
      <w:pPr>
        <w:pStyle w:val="Heading3"/>
        <w:tabs>
          <w:tab w:pos="998" w:val="left" w:leader="none"/>
        </w:tabs>
        <w:spacing w:line="240" w:lineRule="auto"/>
        <w:ind w:left="415" w:right="91"/>
        <w:jc w:val="left"/>
        <w:rPr>
          <w:b w:val="0"/>
          <w:bCs w:val="0"/>
        </w:rPr>
      </w:pPr>
      <w:r>
        <w:rPr>
          <w:rFonts w:ascii="宋体" w:hAnsi="宋体" w:cs="宋体" w:eastAsia="宋体" w:hint="default"/>
        </w:rPr>
        <w:t>D.</w:t>
        <w:tab/>
      </w:r>
      <w:r>
        <w:rPr/>
        <w:t>城市热网</w:t>
      </w:r>
      <w:r>
        <w:rPr>
          <w:b w:val="0"/>
          <w:bCs w:val="0"/>
        </w:rPr>
      </w:r>
    </w:p>
    <w:p>
      <w:pPr>
        <w:spacing w:line="240" w:lineRule="auto" w:before="10"/>
        <w:rPr>
          <w:rFonts w:ascii="宋体" w:hAnsi="宋体" w:cs="宋体" w:eastAsia="宋体" w:hint="default"/>
          <w:b/>
          <w:bCs/>
          <w:sz w:val="23"/>
          <w:szCs w:val="23"/>
        </w:rPr>
      </w:pPr>
    </w:p>
    <w:p>
      <w:pPr>
        <w:pStyle w:val="BodyText"/>
        <w:spacing w:line="237" w:lineRule="auto"/>
        <w:ind w:right="220"/>
        <w:jc w:val="both"/>
      </w:pPr>
      <w:r>
        <w:rPr/>
        <w:t>在城市热网领域，公司巩固常规业务优势的同时，持续深入探索包括</w:t>
      </w:r>
      <w:r>
        <w:rPr>
          <w:spacing w:val="-77"/>
        </w:rPr>
        <w:t> </w:t>
      </w:r>
      <w:r>
        <w:rPr>
          <w:rFonts w:ascii="宋体" w:hAnsi="宋体" w:cs="宋体" w:eastAsia="宋体" w:hint="default"/>
        </w:rPr>
        <w:t>EMC</w:t>
      </w:r>
      <w:r>
        <w:rPr/>
        <w:t>、</w:t>
      </w:r>
      <w:r>
        <w:rPr>
          <w:rFonts w:ascii="宋体" w:hAnsi="宋体" w:cs="宋体" w:eastAsia="宋体" w:hint="default"/>
        </w:rPr>
        <w:t>PPP</w:t>
      </w:r>
      <w:r>
        <w:rPr>
          <w:rFonts w:ascii="宋体" w:hAnsi="宋体" w:cs="宋体" w:eastAsia="宋体" w:hint="default"/>
          <w:spacing w:val="-77"/>
        </w:rPr>
        <w:t> </w:t>
      </w:r>
      <w:r>
        <w:rPr/>
        <w:t>在内的热 网运营的新型商业模式，构建基于移动互联、物联网基础上的城市供热业务生态系统。</w:t>
      </w:r>
      <w:r>
        <w:rPr>
          <w:spacing w:val="-51"/>
        </w:rPr>
        <w:t> </w:t>
      </w:r>
      <w:r>
        <w:rPr>
          <w:spacing w:val="-51"/>
        </w:rPr>
      </w:r>
      <w:r>
        <w:rPr>
          <w:spacing w:val="-4"/>
        </w:rPr>
        <w:t>截至报告期末，公司累计实施</w:t>
      </w:r>
      <w:r>
        <w:rPr>
          <w:spacing w:val="-59"/>
        </w:rPr>
        <w:t> </w:t>
      </w:r>
      <w:r>
        <w:rPr>
          <w:rFonts w:ascii="宋体" w:hAnsi="宋体" w:cs="宋体" w:eastAsia="宋体" w:hint="default"/>
        </w:rPr>
        <w:t>123</w:t>
      </w:r>
      <w:r>
        <w:rPr>
          <w:rFonts w:ascii="宋体" w:hAnsi="宋体" w:cs="宋体" w:eastAsia="宋体" w:hint="default"/>
          <w:spacing w:val="-59"/>
        </w:rPr>
        <w:t> </w:t>
      </w:r>
      <w:r>
        <w:rPr>
          <w:spacing w:val="-4"/>
        </w:rPr>
        <w:t>项热源热网机电总包工程，</w:t>
      </w:r>
      <w:r>
        <w:rPr>
          <w:rFonts w:ascii="宋体" w:hAnsi="宋体" w:cs="宋体" w:eastAsia="宋体" w:hint="default"/>
          <w:spacing w:val="-4"/>
        </w:rPr>
        <w:t>30</w:t>
      </w:r>
      <w:r>
        <w:rPr>
          <w:rFonts w:ascii="宋体" w:hAnsi="宋体" w:cs="宋体" w:eastAsia="宋体" w:hint="default"/>
          <w:spacing w:val="-59"/>
        </w:rPr>
        <w:t> </w:t>
      </w:r>
      <w:r>
        <w:rPr/>
        <w:t>多个超过</w:t>
      </w:r>
      <w:r>
        <w:rPr>
          <w:spacing w:val="-59"/>
        </w:rPr>
        <w:t> </w:t>
      </w:r>
      <w:r>
        <w:rPr>
          <w:rFonts w:ascii="宋体" w:hAnsi="宋体" w:cs="宋体" w:eastAsia="宋体" w:hint="default"/>
        </w:rPr>
        <w:t>1000</w:t>
      </w:r>
      <w:r>
        <w:rPr>
          <w:rFonts w:ascii="宋体" w:hAnsi="宋体" w:cs="宋体" w:eastAsia="宋体" w:hint="default"/>
          <w:spacing w:val="-59"/>
        </w:rPr>
        <w:t> </w:t>
      </w:r>
      <w:r>
        <w:rPr/>
        <w:t>万平米的</w:t>
      </w:r>
    </w:p>
    <w:p>
      <w:pPr>
        <w:spacing w:after="0" w:line="237" w:lineRule="auto"/>
        <w:jc w:val="both"/>
        <w:sectPr>
          <w:pgSz w:w="11910" w:h="16840"/>
          <w:pgMar w:header="628" w:footer="760" w:top="1020" w:bottom="960" w:left="1260" w:right="10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p>
      <w:pPr>
        <w:pStyle w:val="BodyText"/>
        <w:spacing w:line="312" w:lineRule="exact" w:before="26"/>
        <w:ind w:right="0"/>
        <w:jc w:val="both"/>
      </w:pPr>
      <w:r>
        <w:rPr/>
        <w:t>大型热网项目，覆盖了全国</w:t>
      </w:r>
      <w:r>
        <w:rPr>
          <w:spacing w:val="-78"/>
        </w:rPr>
        <w:t> </w:t>
      </w:r>
      <w:r>
        <w:rPr>
          <w:rFonts w:ascii="宋体" w:hAnsi="宋体" w:cs="宋体" w:eastAsia="宋体" w:hint="default"/>
        </w:rPr>
        <w:t>12</w:t>
      </w:r>
      <w:r>
        <w:rPr>
          <w:rFonts w:ascii="宋体" w:hAnsi="宋体" w:cs="宋体" w:eastAsia="宋体" w:hint="default"/>
          <w:spacing w:val="-78"/>
        </w:rPr>
        <w:t> </w:t>
      </w:r>
      <w:r>
        <w:rPr/>
        <w:t>省。报告期内，公司与大唐保定供热有限责任公司签订服</w:t>
      </w:r>
    </w:p>
    <w:p>
      <w:pPr>
        <w:pStyle w:val="BodyText"/>
        <w:spacing w:line="312" w:lineRule="exact" w:before="28"/>
        <w:ind w:right="87"/>
        <w:jc w:val="left"/>
      </w:pPr>
      <w:r>
        <w:rPr/>
        <w:t>务协议，将为其打造全新的智慧供热系统，覆盖河北省保定市 </w:t>
      </w:r>
      <w:r>
        <w:rPr>
          <w:rFonts w:ascii="宋体" w:hAnsi="宋体" w:cs="宋体" w:eastAsia="宋体" w:hint="default"/>
        </w:rPr>
        <w:t>2400</w:t>
      </w:r>
      <w:r>
        <w:rPr>
          <w:rFonts w:ascii="宋体" w:hAnsi="宋体" w:cs="宋体" w:eastAsia="宋体" w:hint="default"/>
          <w:spacing w:val="-39"/>
        </w:rPr>
        <w:t> </w:t>
      </w:r>
      <w:r>
        <w:rPr/>
        <w:t>万平方米供热面积， 包括热网中控调度中心软件平台升级改造、老城区</w:t>
      </w:r>
      <w:r>
        <w:rPr>
          <w:spacing w:val="-52"/>
        </w:rPr>
        <w:t> </w:t>
      </w:r>
      <w:r>
        <w:rPr>
          <w:rFonts w:ascii="宋体" w:hAnsi="宋体" w:cs="宋体" w:eastAsia="宋体" w:hint="default"/>
        </w:rPr>
        <w:t>44</w:t>
      </w:r>
      <w:r>
        <w:rPr>
          <w:rFonts w:ascii="宋体" w:hAnsi="宋体" w:cs="宋体" w:eastAsia="宋体" w:hint="default"/>
          <w:spacing w:val="-53"/>
        </w:rPr>
        <w:t> </w:t>
      </w:r>
      <w:r>
        <w:rPr/>
        <w:t>座热力站和热网调控、</w:t>
      </w:r>
      <w:r>
        <w:rPr>
          <w:rFonts w:ascii="宋体" w:hAnsi="宋体" w:cs="宋体" w:eastAsia="宋体" w:hint="default"/>
        </w:rPr>
        <w:t>174</w:t>
      </w:r>
      <w:r>
        <w:rPr>
          <w:rFonts w:ascii="宋体" w:hAnsi="宋体" w:cs="宋体" w:eastAsia="宋体" w:hint="default"/>
          <w:spacing w:val="-53"/>
        </w:rPr>
        <w:t> </w:t>
      </w:r>
      <w:r>
        <w:rPr/>
        <w:t>座换热 站分布式变频泵系统，以及 </w:t>
      </w:r>
      <w:r>
        <w:rPr>
          <w:rFonts w:ascii="宋体" w:hAnsi="宋体" w:cs="宋体" w:eastAsia="宋体" w:hint="default"/>
        </w:rPr>
        <w:t>111</w:t>
      </w:r>
      <w:r>
        <w:rPr>
          <w:rFonts w:ascii="宋体" w:hAnsi="宋体" w:cs="宋体" w:eastAsia="宋体" w:hint="default"/>
          <w:spacing w:val="-39"/>
        </w:rPr>
        <w:t> </w:t>
      </w:r>
      <w:r>
        <w:rPr/>
        <w:t>座热力站电动调节阀工程，达到提高供热效率、降低能 源消耗的目的。</w:t>
      </w:r>
    </w:p>
    <w:p>
      <w:pPr>
        <w:spacing w:line="240" w:lineRule="auto" w:before="4"/>
        <w:rPr>
          <w:rFonts w:ascii="宋体" w:hAnsi="宋体" w:cs="宋体" w:eastAsia="宋体" w:hint="default"/>
          <w:sz w:val="21"/>
          <w:szCs w:val="21"/>
        </w:rPr>
      </w:pPr>
    </w:p>
    <w:p>
      <w:pPr>
        <w:pStyle w:val="Heading3"/>
        <w:spacing w:line="240" w:lineRule="auto"/>
        <w:ind w:left="415" w:right="91"/>
        <w:jc w:val="left"/>
        <w:rPr>
          <w:b w:val="0"/>
          <w:bCs w:val="0"/>
        </w:rPr>
      </w:pPr>
      <w:r>
        <w:rPr>
          <w:rFonts w:ascii="宋体" w:hAnsi="宋体" w:cs="宋体" w:eastAsia="宋体" w:hint="default"/>
        </w:rPr>
        <w:t>3)</w:t>
      </w:r>
      <w:r>
        <w:rPr/>
        <w:t>公共安全产业链</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right="87"/>
        <w:jc w:val="left"/>
      </w:pPr>
      <w:r>
        <w:rPr/>
        <w:t>在公共安全产业链，公司把握国际反恐形势严峻和国内军工改革带来的发展契机，立足</w:t>
      </w:r>
      <w:r>
        <w:rPr>
          <w:spacing w:val="-51"/>
        </w:rPr>
        <w:t> </w:t>
      </w:r>
      <w:r>
        <w:rPr>
          <w:spacing w:val="-51"/>
        </w:rPr>
      </w:r>
      <w:r>
        <w:rPr>
          <w:spacing w:val="-1"/>
        </w:rPr>
        <w:t>安防系统和国防军工两大业务领域，依托关键器件制造和相关软件的自主可控核心技术，</w:t>
      </w:r>
      <w:r>
        <w:rPr/>
        <w:t> 不断打造“大安全”的公共安全产业链。</w:t>
      </w:r>
    </w:p>
    <w:p>
      <w:pPr>
        <w:spacing w:line="240" w:lineRule="auto" w:before="7"/>
        <w:rPr>
          <w:rFonts w:ascii="宋体" w:hAnsi="宋体" w:cs="宋体" w:eastAsia="宋体" w:hint="default"/>
          <w:sz w:val="23"/>
          <w:szCs w:val="23"/>
        </w:rPr>
      </w:pPr>
    </w:p>
    <w:p>
      <w:pPr>
        <w:pStyle w:val="Heading3"/>
        <w:spacing w:line="240" w:lineRule="auto"/>
        <w:ind w:left="415" w:right="91"/>
        <w:jc w:val="left"/>
        <w:rPr>
          <w:b w:val="0"/>
          <w:bCs w:val="0"/>
        </w:rPr>
      </w:pPr>
      <w:r>
        <w:rPr>
          <w:rFonts w:ascii="宋体" w:hAnsi="宋体" w:cs="宋体" w:eastAsia="宋体" w:hint="default"/>
        </w:rPr>
        <w:t>A.</w:t>
      </w:r>
      <w:r>
        <w:rPr/>
        <w:t>安防系统</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right="220"/>
        <w:jc w:val="both"/>
      </w:pPr>
      <w:r>
        <w:rPr>
          <w:spacing w:val="-10"/>
        </w:rPr>
        <w:t>在安防系统领域，</w:t>
      </w:r>
      <w:r>
        <w:rPr>
          <w:rFonts w:ascii="宋体" w:hAnsi="宋体" w:cs="宋体" w:eastAsia="宋体" w:hint="default"/>
          <w:spacing w:val="-10"/>
        </w:rPr>
        <w:t>2015</w:t>
      </w:r>
      <w:r>
        <w:rPr>
          <w:rFonts w:ascii="宋体" w:hAnsi="宋体" w:cs="宋体" w:eastAsia="宋体" w:hint="default"/>
          <w:spacing w:val="-49"/>
        </w:rPr>
        <w:t> </w:t>
      </w:r>
      <w:r>
        <w:rPr>
          <w:spacing w:val="-4"/>
        </w:rPr>
        <w:t>年，异常严峻的国际反恐形势为安防产业带来超常规的发展机遇，</w:t>
      </w:r>
      <w:r>
        <w:rPr>
          <w:spacing w:val="-118"/>
        </w:rPr>
        <w:t> </w:t>
      </w:r>
      <w:r>
        <w:rPr>
          <w:spacing w:val="-118"/>
        </w:rPr>
      </w:r>
      <w:r>
        <w:rPr/>
        <w:t>然而全球经济复苏缓慢、传统市场的几近饱和等因素也使得行业发展，尤其是海外市场</w:t>
      </w:r>
      <w:r>
        <w:rPr>
          <w:spacing w:val="-51"/>
        </w:rPr>
        <w:t> </w:t>
      </w:r>
      <w:r>
        <w:rPr>
          <w:spacing w:val="-51"/>
        </w:rPr>
      </w:r>
      <w:r>
        <w:rPr/>
        <w:t>拓展的压力增大。面对此种市场局势，公司把握全球反恐形式严峻、国内“稳增长、调</w:t>
      </w:r>
      <w:r>
        <w:rPr>
          <w:spacing w:val="-51"/>
        </w:rPr>
        <w:t> </w:t>
      </w:r>
      <w:r>
        <w:rPr>
          <w:spacing w:val="-51"/>
        </w:rPr>
      </w:r>
      <w:r>
        <w:rPr/>
        <w:t>结构”的经济结构转型以及在全球范围推动“一带一路”、“互联互通”建设等宏观、</w:t>
      </w:r>
      <w:r>
        <w:rPr>
          <w:spacing w:val="-51"/>
        </w:rPr>
        <w:t> </w:t>
      </w:r>
      <w:r>
        <w:rPr>
          <w:spacing w:val="-51"/>
        </w:rPr>
      </w:r>
      <w:r>
        <w:rPr/>
        <w:t>行业环境蕴藏的重要机遇，不断开拓创新，提升并完善“全面发展、风险可控”的业务</w:t>
      </w:r>
      <w:r>
        <w:rPr>
          <w:spacing w:val="-51"/>
        </w:rPr>
        <w:t> </w:t>
      </w:r>
      <w:r>
        <w:rPr>
          <w:spacing w:val="-51"/>
        </w:rPr>
      </w:r>
      <w:r>
        <w:rPr/>
        <w:t>结构，实现了行业市场份额的进一步增长。根据行业机构</w:t>
      </w:r>
      <w:r>
        <w:rPr>
          <w:spacing w:val="-52"/>
        </w:rPr>
        <w:t> </w:t>
      </w:r>
      <w:r>
        <w:rPr>
          <w:rFonts w:ascii="宋体" w:hAnsi="宋体" w:cs="宋体" w:eastAsia="宋体" w:hint="default"/>
        </w:rPr>
        <w:t>IHS</w:t>
      </w:r>
      <w:r>
        <w:rPr>
          <w:rFonts w:ascii="宋体" w:hAnsi="宋体" w:cs="宋体" w:eastAsia="宋体" w:hint="default"/>
          <w:spacing w:val="-53"/>
        </w:rPr>
        <w:t> </w:t>
      </w:r>
      <w:r>
        <w:rPr/>
        <w:t>的统计，</w:t>
      </w:r>
      <w:r>
        <w:rPr>
          <w:rFonts w:ascii="宋体" w:hAnsi="宋体" w:cs="宋体" w:eastAsia="宋体" w:hint="default"/>
        </w:rPr>
        <w:t>2015</w:t>
      </w:r>
      <w:r>
        <w:rPr>
          <w:rFonts w:ascii="宋体" w:hAnsi="宋体" w:cs="宋体" w:eastAsia="宋体" w:hint="default"/>
          <w:spacing w:val="-53"/>
        </w:rPr>
        <w:t> </w:t>
      </w:r>
      <w:r>
        <w:rPr/>
        <w:t>年公司安防 业务在全球</w:t>
      </w:r>
      <w:r>
        <w:rPr>
          <w:spacing w:val="-61"/>
        </w:rPr>
        <w:t> </w:t>
      </w:r>
      <w:r>
        <w:rPr>
          <w:rFonts w:ascii="宋体" w:hAnsi="宋体" w:cs="宋体" w:eastAsia="宋体" w:hint="default"/>
        </w:rPr>
        <w:t>EWC</w:t>
      </w:r>
      <w:r>
        <w:rPr>
          <w:rFonts w:ascii="宋体" w:hAnsi="宋体" w:cs="宋体" w:eastAsia="宋体" w:hint="default"/>
          <w:spacing w:val="-60"/>
        </w:rPr>
        <w:t> </w:t>
      </w:r>
      <w:r>
        <w:rPr/>
        <w:t>行业市场份额达到</w:t>
      </w:r>
      <w:r>
        <w:rPr>
          <w:spacing w:val="-60"/>
        </w:rPr>
        <w:t> </w:t>
      </w:r>
      <w:r>
        <w:rPr>
          <w:rFonts w:ascii="宋体" w:hAnsi="宋体" w:cs="宋体" w:eastAsia="宋体" w:hint="default"/>
          <w:spacing w:val="-4"/>
        </w:rPr>
        <w:t>10.4%</w:t>
      </w:r>
      <w:r>
        <w:rPr>
          <w:spacing w:val="-4"/>
        </w:rPr>
        <w:t>，排名行业第四。其中大型集装箱业务中，公司</w:t>
      </w:r>
      <w:r>
        <w:rPr/>
        <w:t> 的市场占有率达到</w:t>
      </w:r>
      <w:r>
        <w:rPr>
          <w:spacing w:val="-40"/>
        </w:rPr>
        <w:t> </w:t>
      </w:r>
      <w:r>
        <w:rPr>
          <w:rFonts w:ascii="宋体" w:hAnsi="宋体" w:cs="宋体" w:eastAsia="宋体" w:hint="default"/>
        </w:rPr>
        <w:t>26%</w:t>
      </w:r>
      <w:r>
        <w:rPr/>
        <w:t>，连续</w:t>
      </w:r>
      <w:r>
        <w:rPr>
          <w:spacing w:val="-40"/>
        </w:rPr>
        <w:t> </w:t>
      </w:r>
      <w:r>
        <w:rPr>
          <w:rFonts w:ascii="宋体" w:hAnsi="宋体" w:cs="宋体" w:eastAsia="宋体" w:hint="default"/>
        </w:rPr>
        <w:t>4</w:t>
      </w:r>
      <w:r>
        <w:rPr>
          <w:rFonts w:ascii="宋体" w:hAnsi="宋体" w:cs="宋体" w:eastAsia="宋体" w:hint="default"/>
          <w:spacing w:val="-40"/>
        </w:rPr>
        <w:t> </w:t>
      </w:r>
      <w:r>
        <w:rPr/>
        <w:t>年位列细分行业的第一名。而</w:t>
      </w:r>
      <w:r>
        <w:rPr>
          <w:spacing w:val="-40"/>
        </w:rPr>
        <w:t> </w:t>
      </w:r>
      <w:r>
        <w:rPr>
          <w:rFonts w:ascii="宋体" w:hAnsi="宋体" w:cs="宋体" w:eastAsia="宋体" w:hint="default"/>
        </w:rPr>
        <w:t>CT</w:t>
      </w:r>
      <w:r>
        <w:rPr/>
        <w:t>、智能产品等小型业务 所占市场份额增长明显，达到</w:t>
      </w:r>
      <w:r>
        <w:rPr>
          <w:spacing w:val="-60"/>
        </w:rPr>
        <w:t> </w:t>
      </w:r>
      <w:r>
        <w:rPr>
          <w:rFonts w:ascii="宋体" w:hAnsi="宋体" w:cs="宋体" w:eastAsia="宋体" w:hint="default"/>
        </w:rPr>
        <w:t>4.5%</w:t>
      </w:r>
      <w:r>
        <w:rPr/>
        <w:t>。</w:t>
      </w:r>
    </w:p>
    <w:p>
      <w:pPr>
        <w:spacing w:line="240" w:lineRule="auto" w:before="10"/>
        <w:rPr>
          <w:rFonts w:ascii="宋体" w:hAnsi="宋体" w:cs="宋体" w:eastAsia="宋体" w:hint="default"/>
          <w:sz w:val="23"/>
          <w:szCs w:val="23"/>
        </w:rPr>
      </w:pPr>
    </w:p>
    <w:p>
      <w:pPr>
        <w:pStyle w:val="BodyText"/>
        <w:spacing w:line="237" w:lineRule="auto"/>
        <w:ind w:right="221"/>
        <w:jc w:val="both"/>
      </w:pPr>
      <w:r>
        <w:rPr/>
        <w:t>报告期内，公司进一步完善战略布局，实现了多个市场的突破。其中，公司大型车载设</w:t>
      </w:r>
      <w:r>
        <w:rPr>
          <w:spacing w:val="-51"/>
        </w:rPr>
        <w:t> </w:t>
      </w:r>
      <w:r>
        <w:rPr>
          <w:spacing w:val="-51"/>
        </w:rPr>
      </w:r>
      <w:r>
        <w:rPr/>
        <w:t>备首次进入德、意国市场，实现了零突破。此外，公司与美国阿拉斯加航空公司正式签</w:t>
      </w:r>
      <w:r>
        <w:rPr>
          <w:spacing w:val="-51"/>
        </w:rPr>
        <w:t> </w:t>
      </w:r>
      <w:r>
        <w:rPr>
          <w:spacing w:val="-51"/>
        </w:rPr>
      </w:r>
      <w:r>
        <w:rPr/>
        <w:t>订了</w:t>
      </w:r>
      <w:r>
        <w:rPr>
          <w:spacing w:val="-51"/>
        </w:rPr>
        <w:t> </w:t>
      </w:r>
      <w:r>
        <w:rPr>
          <w:rFonts w:ascii="宋体" w:hAnsi="宋体" w:cs="宋体" w:eastAsia="宋体" w:hint="default"/>
        </w:rPr>
        <w:t>1</w:t>
      </w:r>
      <w:r>
        <w:rPr>
          <w:rFonts w:ascii="宋体" w:hAnsi="宋体" w:cs="宋体" w:eastAsia="宋体" w:hint="default"/>
          <w:spacing w:val="-51"/>
        </w:rPr>
        <w:t> </w:t>
      </w:r>
      <w:r>
        <w:rPr/>
        <w:t>套</w:t>
      </w:r>
      <w:r>
        <w:rPr>
          <w:spacing w:val="-51"/>
        </w:rPr>
        <w:t> </w:t>
      </w:r>
      <w:r>
        <w:rPr>
          <w:rFonts w:ascii="宋体" w:hAnsi="宋体" w:cs="宋体" w:eastAsia="宋体" w:hint="default"/>
        </w:rPr>
        <w:t>CX6040BI</w:t>
      </w:r>
      <w:r>
        <w:rPr>
          <w:rFonts w:ascii="宋体" w:hAnsi="宋体" w:cs="宋体" w:eastAsia="宋体" w:hint="default"/>
          <w:spacing w:val="-51"/>
        </w:rPr>
        <w:t> </w:t>
      </w:r>
      <w:r>
        <w:rPr/>
        <w:t>和</w:t>
      </w:r>
      <w:r>
        <w:rPr>
          <w:spacing w:val="-48"/>
        </w:rPr>
        <w:t> </w:t>
      </w:r>
      <w:r>
        <w:rPr>
          <w:rFonts w:ascii="宋体" w:hAnsi="宋体" w:cs="宋体" w:eastAsia="宋体" w:hint="default"/>
        </w:rPr>
        <w:t>1</w:t>
      </w:r>
      <w:r>
        <w:rPr>
          <w:rFonts w:ascii="宋体" w:hAnsi="宋体" w:cs="宋体" w:eastAsia="宋体" w:hint="default"/>
          <w:spacing w:val="-51"/>
        </w:rPr>
        <w:t> </w:t>
      </w:r>
      <w:r>
        <w:rPr/>
        <w:t>套</w:t>
      </w:r>
      <w:r>
        <w:rPr>
          <w:spacing w:val="-51"/>
        </w:rPr>
        <w:t> </w:t>
      </w:r>
      <w:r>
        <w:rPr>
          <w:rFonts w:ascii="宋体" w:hAnsi="宋体" w:cs="宋体" w:eastAsia="宋体" w:hint="default"/>
        </w:rPr>
        <w:t>CX100100TI</w:t>
      </w:r>
      <w:r>
        <w:rPr>
          <w:rFonts w:ascii="宋体" w:hAnsi="宋体" w:cs="宋体" w:eastAsia="宋体" w:hint="default"/>
          <w:spacing w:val="-51"/>
        </w:rPr>
        <w:t> </w:t>
      </w:r>
      <w:r>
        <w:rPr/>
        <w:t>设备供货合同，实现了在美国航空货检领域的突 破。同时，公司的传统优势区域市场得到进一步巩固。报告期内，公司被卡塔尔新港委</w:t>
      </w:r>
      <w:r>
        <w:rPr>
          <w:spacing w:val="-51"/>
        </w:rPr>
        <w:t> </w:t>
      </w:r>
      <w:r>
        <w:rPr>
          <w:spacing w:val="-51"/>
        </w:rPr>
      </w:r>
      <w:r>
        <w:rPr/>
        <w:t>员会确定为新港集装箱查验设备供货商，至此，公司在卡塔尔已累计销售</w:t>
      </w:r>
      <w:r>
        <w:rPr>
          <w:spacing w:val="-78"/>
        </w:rPr>
        <w:t> </w:t>
      </w:r>
      <w:r>
        <w:rPr>
          <w:rFonts w:ascii="宋体" w:hAnsi="宋体" w:cs="宋体" w:eastAsia="宋体" w:hint="default"/>
        </w:rPr>
        <w:t>18</w:t>
      </w:r>
      <w:r>
        <w:rPr>
          <w:rFonts w:ascii="宋体" w:hAnsi="宋体" w:cs="宋体" w:eastAsia="宋体" w:hint="default"/>
          <w:spacing w:val="-79"/>
        </w:rPr>
        <w:t> </w:t>
      </w:r>
      <w:r>
        <w:rPr/>
        <w:t>套大型设备 和数十套小型设备，大型设备市场占有率接近</w:t>
      </w:r>
      <w:r>
        <w:rPr>
          <w:spacing w:val="-79"/>
        </w:rPr>
        <w:t> </w:t>
      </w:r>
      <w:r>
        <w:rPr>
          <w:rFonts w:ascii="宋体" w:hAnsi="宋体" w:cs="宋体" w:eastAsia="宋体" w:hint="default"/>
          <w:spacing w:val="-4"/>
        </w:rPr>
        <w:t>90%</w:t>
      </w:r>
      <w:r>
        <w:rPr>
          <w:spacing w:val="-4"/>
        </w:rPr>
        <w:t>，实现了从点到面、从整体到局部的多</w:t>
      </w:r>
      <w:r>
        <w:rPr/>
        <w:t> 种型号产品的全面突破。</w:t>
      </w:r>
    </w:p>
    <w:p>
      <w:pPr>
        <w:spacing w:line="240" w:lineRule="auto" w:before="13"/>
        <w:rPr>
          <w:rFonts w:ascii="宋体" w:hAnsi="宋体" w:cs="宋体" w:eastAsia="宋体" w:hint="default"/>
          <w:sz w:val="23"/>
          <w:szCs w:val="23"/>
        </w:rPr>
      </w:pPr>
    </w:p>
    <w:p>
      <w:pPr>
        <w:pStyle w:val="BodyText"/>
        <w:spacing w:line="237" w:lineRule="auto"/>
        <w:ind w:right="221"/>
        <w:jc w:val="both"/>
      </w:pPr>
      <w:r>
        <w:rPr>
          <w:spacing w:val="-3"/>
        </w:rPr>
        <w:t>本年度，公司还成功完成了包括抗战</w:t>
      </w:r>
      <w:r>
        <w:rPr>
          <w:spacing w:val="-53"/>
        </w:rPr>
        <w:t> </w:t>
      </w:r>
      <w:r>
        <w:rPr>
          <w:rFonts w:ascii="宋体" w:hAnsi="宋体" w:cs="宋体" w:eastAsia="宋体" w:hint="default"/>
        </w:rPr>
        <w:t>70</w:t>
      </w:r>
      <w:r>
        <w:rPr>
          <w:rFonts w:ascii="宋体" w:hAnsi="宋体" w:cs="宋体" w:eastAsia="宋体" w:hint="default"/>
          <w:spacing w:val="-53"/>
        </w:rPr>
        <w:t> </w:t>
      </w:r>
      <w:r>
        <w:rPr>
          <w:spacing w:val="-4"/>
        </w:rPr>
        <w:t>周年阅兵、</w:t>
      </w:r>
      <w:r>
        <w:rPr>
          <w:rFonts w:ascii="宋体" w:hAnsi="宋体" w:cs="宋体" w:eastAsia="宋体" w:hint="default"/>
          <w:spacing w:val="-4"/>
        </w:rPr>
        <w:t>2015</w:t>
      </w:r>
      <w:r>
        <w:rPr>
          <w:rFonts w:ascii="宋体" w:hAnsi="宋体" w:cs="宋体" w:eastAsia="宋体" w:hint="default"/>
          <w:spacing w:val="-53"/>
        </w:rPr>
        <w:t> </w:t>
      </w:r>
      <w:r>
        <w:rPr>
          <w:spacing w:val="-3"/>
        </w:rPr>
        <w:t>年博鳌亚洲论坛、第七届美洲首</w:t>
      </w:r>
      <w:r>
        <w:rPr/>
        <w:t> 脑峰会以及温布尔登网球公开赛等国内外多项大型活动的安保任务，品牌的知名度和影</w:t>
      </w:r>
      <w:r>
        <w:rPr>
          <w:spacing w:val="-51"/>
        </w:rPr>
        <w:t> </w:t>
      </w:r>
      <w:r>
        <w:rPr>
          <w:spacing w:val="-51"/>
        </w:rPr>
      </w:r>
      <w:r>
        <w:rPr/>
        <w:t>响力得到进一步提升。</w:t>
      </w:r>
    </w:p>
    <w:p>
      <w:pPr>
        <w:spacing w:line="240" w:lineRule="auto" w:before="9"/>
        <w:rPr>
          <w:rFonts w:ascii="宋体" w:hAnsi="宋体" w:cs="宋体" w:eastAsia="宋体" w:hint="default"/>
          <w:sz w:val="23"/>
          <w:szCs w:val="23"/>
        </w:rPr>
      </w:pPr>
    </w:p>
    <w:p>
      <w:pPr>
        <w:pStyle w:val="Heading3"/>
        <w:spacing w:line="240" w:lineRule="auto"/>
        <w:ind w:left="415" w:right="91"/>
        <w:jc w:val="left"/>
        <w:rPr>
          <w:b w:val="0"/>
          <w:bCs w:val="0"/>
        </w:rPr>
      </w:pPr>
      <w:r>
        <w:rPr>
          <w:rFonts w:ascii="宋体" w:hAnsi="宋体" w:cs="宋体" w:eastAsia="宋体" w:hint="default"/>
        </w:rPr>
        <w:t>B.</w:t>
      </w:r>
      <w:r>
        <w:rPr/>
        <w:t>国防军工</w:t>
      </w:r>
      <w:r>
        <w:rPr>
          <w:b w:val="0"/>
          <w:bCs w:val="0"/>
        </w:rPr>
      </w:r>
    </w:p>
    <w:p>
      <w:pPr>
        <w:spacing w:line="240" w:lineRule="auto" w:before="7"/>
        <w:rPr>
          <w:rFonts w:ascii="宋体" w:hAnsi="宋体" w:cs="宋体" w:eastAsia="宋体" w:hint="default"/>
          <w:b/>
          <w:bCs/>
          <w:sz w:val="23"/>
          <w:szCs w:val="23"/>
        </w:rPr>
      </w:pPr>
    </w:p>
    <w:p>
      <w:pPr>
        <w:pStyle w:val="BodyText"/>
        <w:spacing w:line="313" w:lineRule="exact"/>
        <w:ind w:right="0"/>
        <w:jc w:val="both"/>
      </w:pPr>
      <w:r>
        <w:rPr/>
        <w:t>在中央军委印发的《关于深化国防和军队改革的意见》中指出，到</w:t>
      </w:r>
      <w:r>
        <w:rPr>
          <w:spacing w:val="-80"/>
        </w:rPr>
        <w:t> </w:t>
      </w:r>
      <w:r>
        <w:rPr>
          <w:rFonts w:ascii="宋体" w:hAnsi="宋体" w:cs="宋体" w:eastAsia="宋体" w:hint="default"/>
        </w:rPr>
        <w:t>2020</w:t>
      </w:r>
      <w:r>
        <w:rPr>
          <w:rFonts w:ascii="宋体" w:hAnsi="宋体" w:cs="宋体" w:eastAsia="宋体" w:hint="default"/>
          <w:spacing w:val="-80"/>
        </w:rPr>
        <w:t> </w:t>
      </w:r>
      <w:r>
        <w:rPr/>
        <w:t>年前努力构建能</w:t>
      </w:r>
    </w:p>
    <w:p>
      <w:pPr>
        <w:pStyle w:val="BodyText"/>
        <w:spacing w:line="237" w:lineRule="auto" w:before="1"/>
        <w:ind w:right="221"/>
        <w:jc w:val="both"/>
      </w:pPr>
      <w:r>
        <w:rPr/>
        <w:t>够打赢信息化战争、有效履行使命任务的中国特色现代军事力量体系。而</w:t>
      </w:r>
      <w:r>
        <w:rPr>
          <w:spacing w:val="-78"/>
        </w:rPr>
        <w:t> </w:t>
      </w:r>
      <w:r>
        <w:rPr>
          <w:rFonts w:ascii="宋体" w:hAnsi="宋体" w:cs="宋体" w:eastAsia="宋体" w:hint="default"/>
        </w:rPr>
        <w:t>2016</w:t>
      </w:r>
      <w:r>
        <w:rPr>
          <w:rFonts w:ascii="宋体" w:hAnsi="宋体" w:cs="宋体" w:eastAsia="宋体" w:hint="default"/>
          <w:spacing w:val="-79"/>
        </w:rPr>
        <w:t> </w:t>
      </w:r>
      <w:r>
        <w:rPr/>
        <w:t>年全国工 业和信息化工作会议明确，今年工信部将大力实施军民融合发展战略，研究出台促进国</w:t>
      </w:r>
      <w:r>
        <w:rPr>
          <w:spacing w:val="-51"/>
        </w:rPr>
        <w:t> </w:t>
      </w:r>
      <w:r>
        <w:rPr>
          <w:spacing w:val="-51"/>
        </w:rPr>
      </w:r>
      <w:r>
        <w:rPr/>
        <w:t>防科技工业军民融合深度发展的若干政策措施，制定国防科技创新资源开放共享办法。</w:t>
      </w:r>
      <w:r>
        <w:rPr>
          <w:spacing w:val="-51"/>
        </w:rPr>
        <w:t> </w:t>
      </w:r>
      <w:r>
        <w:rPr>
          <w:spacing w:val="-51"/>
        </w:rPr>
      </w:r>
      <w:r>
        <w:rPr/>
        <w:t>为此，在国防军工产业，面对军改为军民融合将带来的黄金发展期，公司坚持以自主核</w:t>
      </w:r>
      <w:r>
        <w:rPr>
          <w:spacing w:val="-51"/>
        </w:rPr>
        <w:t> </w:t>
      </w:r>
      <w:r>
        <w:rPr>
          <w:spacing w:val="-51"/>
        </w:rPr>
      </w:r>
      <w:r>
        <w:rPr/>
        <w:t>心技术为基础的新型军工产业发展策略，以高端通信装备、指控装备与军民融合、卫星</w:t>
      </w:r>
    </w:p>
    <w:p>
      <w:pPr>
        <w:spacing w:after="0" w:line="237" w:lineRule="auto"/>
        <w:jc w:val="both"/>
        <w:sectPr>
          <w:pgSz w:w="11910" w:h="16840"/>
          <w:pgMar w:header="628" w:footer="760" w:top="1020" w:bottom="960" w:left="1260" w:right="10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p>
      <w:pPr>
        <w:pStyle w:val="BodyText"/>
        <w:spacing w:line="237" w:lineRule="auto" w:before="28"/>
        <w:ind w:right="220"/>
        <w:jc w:val="both"/>
      </w:pPr>
      <w:r>
        <w:rPr/>
        <w:t>通信地面应用、北斗卫星导航应用、船舶制造等主要业务板块为核心，拓展军民融合范</w:t>
      </w:r>
      <w:r>
        <w:rPr>
          <w:spacing w:val="-51"/>
        </w:rPr>
        <w:t> </w:t>
      </w:r>
      <w:r>
        <w:rPr>
          <w:spacing w:val="-51"/>
        </w:rPr>
      </w:r>
      <w:r>
        <w:rPr/>
        <w:t>围，提升融合层次，推动在国防科技领域军民融合的深度发展。通过采取市场化运作的</w:t>
      </w:r>
      <w:r>
        <w:rPr>
          <w:spacing w:val="-51"/>
        </w:rPr>
        <w:t> </w:t>
      </w:r>
      <w:r>
        <w:rPr>
          <w:spacing w:val="-51"/>
        </w:rPr>
      </w:r>
      <w:r>
        <w:rPr/>
        <w:t>军民融合创新模式，着重建立新型国防采购和技术发展的信息对接平台，为军方、科技</w:t>
      </w:r>
      <w:r>
        <w:rPr>
          <w:spacing w:val="-52"/>
        </w:rPr>
        <w:t> </w:t>
      </w:r>
      <w:r>
        <w:rPr>
          <w:spacing w:val="-52"/>
        </w:rPr>
      </w:r>
      <w:r>
        <w:rPr/>
        <w:t>型企业、高校、科研院所等提供了新的供需交易市场和研发合作渠道。同时，公司以军</w:t>
      </w:r>
      <w:r>
        <w:rPr>
          <w:spacing w:val="-51"/>
        </w:rPr>
        <w:t> </w:t>
      </w:r>
      <w:r>
        <w:rPr>
          <w:spacing w:val="-51"/>
        </w:rPr>
      </w:r>
      <w:r>
        <w:rPr/>
        <w:t>队后勤信息化建设为突破口，稳步发展成集运营平台、智能终端和应用业务支持相组合</w:t>
      </w:r>
      <w:r>
        <w:rPr>
          <w:spacing w:val="-51"/>
        </w:rPr>
        <w:t> </w:t>
      </w:r>
      <w:r>
        <w:rPr>
          <w:spacing w:val="-51"/>
        </w:rPr>
      </w:r>
      <w:r>
        <w:rPr/>
        <w:t>的骨干业务板块。</w:t>
      </w:r>
    </w:p>
    <w:p>
      <w:pPr>
        <w:spacing w:line="240" w:lineRule="auto" w:before="12"/>
        <w:rPr>
          <w:rFonts w:ascii="宋体" w:hAnsi="宋体" w:cs="宋体" w:eastAsia="宋体" w:hint="default"/>
          <w:sz w:val="23"/>
          <w:szCs w:val="23"/>
        </w:rPr>
      </w:pPr>
    </w:p>
    <w:p>
      <w:pPr>
        <w:pStyle w:val="BodyText"/>
        <w:spacing w:line="237" w:lineRule="auto"/>
        <w:ind w:right="221"/>
        <w:jc w:val="both"/>
      </w:pPr>
      <w:r>
        <w:rPr/>
        <w:t>在机械装备领域，公司坚持贯彻“军品优先、民品优选”的经营方针，实行差异化竞争</w:t>
      </w:r>
      <w:r>
        <w:rPr>
          <w:spacing w:val="-51"/>
        </w:rPr>
        <w:t> </w:t>
      </w:r>
      <w:r>
        <w:rPr>
          <w:spacing w:val="-51"/>
        </w:rPr>
      </w:r>
      <w:r>
        <w:rPr/>
        <w:t>发展战略，积极开拓海洋装备建设船舶市场、公务执法船市场及其他工程船市场。报告</w:t>
      </w:r>
      <w:r>
        <w:rPr>
          <w:spacing w:val="-51"/>
        </w:rPr>
        <w:t> </w:t>
      </w:r>
      <w:r>
        <w:rPr>
          <w:spacing w:val="-51"/>
        </w:rPr>
      </w:r>
      <w:r>
        <w:rPr/>
        <w:t>期内，公司首次为中石化建造的巡井交通船——“海蛟 </w:t>
      </w:r>
      <w:r>
        <w:rPr>
          <w:rFonts w:ascii="宋体" w:hAnsi="宋体" w:cs="宋体" w:eastAsia="宋体" w:hint="default"/>
        </w:rPr>
        <w:t>7</w:t>
      </w:r>
      <w:r>
        <w:rPr>
          <w:rFonts w:ascii="宋体" w:hAnsi="宋体" w:cs="宋体" w:eastAsia="宋体" w:hint="default"/>
          <w:spacing w:val="-40"/>
        </w:rPr>
        <w:t> </w:t>
      </w:r>
      <w:r>
        <w:rPr/>
        <w:t>号”在该公司江边码头顺利下 水，这是公司首次为中国石化系统建造此类船只，标志着公司已成功跻身我国海工船舶</w:t>
      </w:r>
      <w:r>
        <w:rPr>
          <w:spacing w:val="-51"/>
        </w:rPr>
        <w:t> </w:t>
      </w:r>
      <w:r>
        <w:rPr>
          <w:spacing w:val="-51"/>
        </w:rPr>
      </w:r>
      <w:r>
        <w:rPr/>
        <w:t>生产经营细分市场。此外，公司为中海油田服务股份有限公司建造的高端海工船、为辽</w:t>
      </w:r>
      <w:r>
        <w:rPr>
          <w:spacing w:val="-53"/>
        </w:rPr>
        <w:t> </w:t>
      </w:r>
      <w:r>
        <w:rPr>
          <w:spacing w:val="-53"/>
        </w:rPr>
      </w:r>
      <w:r>
        <w:rPr>
          <w:spacing w:val="-4"/>
        </w:rPr>
        <w:t>宁东港建造的“中国渔政</w:t>
      </w:r>
      <w:r>
        <w:rPr>
          <w:spacing w:val="-68"/>
        </w:rPr>
        <w:t> </w:t>
      </w:r>
      <w:r>
        <w:rPr>
          <w:rFonts w:ascii="宋体" w:hAnsi="宋体" w:cs="宋体" w:eastAsia="宋体" w:hint="default"/>
          <w:spacing w:val="-5"/>
        </w:rPr>
        <w:t>21202</w:t>
      </w:r>
      <w:r>
        <w:rPr>
          <w:spacing w:val="-5"/>
        </w:rPr>
        <w:t>”号</w:t>
      </w:r>
      <w:r>
        <w:rPr>
          <w:spacing w:val="-68"/>
        </w:rPr>
        <w:t> </w:t>
      </w:r>
      <w:r>
        <w:rPr>
          <w:rFonts w:ascii="宋体" w:hAnsi="宋体" w:cs="宋体" w:eastAsia="宋体" w:hint="default"/>
        </w:rPr>
        <w:t>300</w:t>
      </w:r>
      <w:r>
        <w:rPr>
          <w:rFonts w:ascii="宋体" w:hAnsi="宋体" w:cs="宋体" w:eastAsia="宋体" w:hint="default"/>
          <w:spacing w:val="-68"/>
        </w:rPr>
        <w:t> </w:t>
      </w:r>
      <w:r>
        <w:rPr/>
        <w:t>吨级渔政船等多艘船舶均顺利下水，为公司在新 一轮船市格局重构中抢抓机遇赢得了主动权。</w:t>
      </w:r>
    </w:p>
    <w:p>
      <w:pPr>
        <w:spacing w:line="240" w:lineRule="auto" w:before="7"/>
        <w:rPr>
          <w:rFonts w:ascii="宋体" w:hAnsi="宋体" w:cs="宋体" w:eastAsia="宋体" w:hint="default"/>
          <w:sz w:val="23"/>
          <w:szCs w:val="23"/>
        </w:rPr>
      </w:pPr>
    </w:p>
    <w:p>
      <w:pPr>
        <w:pStyle w:val="Heading3"/>
        <w:spacing w:line="240" w:lineRule="auto"/>
        <w:ind w:left="415" w:right="91"/>
        <w:jc w:val="left"/>
        <w:rPr>
          <w:b w:val="0"/>
          <w:bCs w:val="0"/>
        </w:rPr>
      </w:pPr>
      <w:r>
        <w:rPr>
          <w:rFonts w:ascii="宋体" w:hAnsi="宋体" w:cs="宋体" w:eastAsia="宋体" w:hint="default"/>
        </w:rPr>
        <w:t>4)</w:t>
      </w:r>
      <w:r>
        <w:rPr/>
        <w:t>节能环保产业链</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right="220"/>
        <w:jc w:val="both"/>
      </w:pPr>
      <w:r>
        <w:rPr>
          <w:rFonts w:ascii="宋体" w:hAnsi="宋体" w:cs="宋体" w:eastAsia="宋体" w:hint="default"/>
        </w:rPr>
        <w:t>2015</w:t>
      </w:r>
      <w:r>
        <w:rPr>
          <w:rFonts w:ascii="宋体" w:hAnsi="宋体" w:cs="宋体" w:eastAsia="宋体" w:hint="default"/>
          <w:spacing w:val="-39"/>
        </w:rPr>
        <w:t> </w:t>
      </w:r>
      <w:r>
        <w:rPr/>
        <w:t>是节能环保产业的“十二五”收官之年，在各级政府的大力推动下，行业发展增速 进一步加快。“十二五”期间，我国节能环保产业以</w:t>
      </w:r>
      <w:r>
        <w:rPr>
          <w:spacing w:val="-78"/>
        </w:rPr>
        <w:t> </w:t>
      </w:r>
      <w:r>
        <w:rPr>
          <w:rFonts w:ascii="宋体" w:hAnsi="宋体" w:cs="宋体" w:eastAsia="宋体" w:hint="default"/>
        </w:rPr>
        <w:t>15%</w:t>
      </w:r>
      <w:r>
        <w:rPr/>
        <w:t>至</w:t>
      </w:r>
      <w:r>
        <w:rPr>
          <w:spacing w:val="-78"/>
        </w:rPr>
        <w:t> </w:t>
      </w:r>
      <w:r>
        <w:rPr>
          <w:rFonts w:ascii="宋体" w:hAnsi="宋体" w:cs="宋体" w:eastAsia="宋体" w:hint="default"/>
        </w:rPr>
        <w:t>20%</w:t>
      </w:r>
      <w:r>
        <w:rPr/>
        <w:t>的速度增长，十二五期间 环保投资</w:t>
      </w:r>
      <w:r>
        <w:rPr>
          <w:spacing w:val="-58"/>
        </w:rPr>
        <w:t> </w:t>
      </w:r>
      <w:r>
        <w:rPr>
          <w:rFonts w:ascii="宋体" w:hAnsi="宋体" w:cs="宋体" w:eastAsia="宋体" w:hint="default"/>
        </w:rPr>
        <w:t>3.4</w:t>
      </w:r>
      <w:r>
        <w:rPr>
          <w:rFonts w:ascii="宋体" w:hAnsi="宋体" w:cs="宋体" w:eastAsia="宋体" w:hint="default"/>
          <w:spacing w:val="-56"/>
        </w:rPr>
        <w:t> </w:t>
      </w:r>
      <w:r>
        <w:rPr>
          <w:spacing w:val="-4"/>
        </w:rPr>
        <w:t>万亿元，比十一五期间增长了</w:t>
      </w:r>
      <w:r>
        <w:rPr>
          <w:spacing w:val="-56"/>
        </w:rPr>
        <w:t> </w:t>
      </w:r>
      <w:r>
        <w:rPr>
          <w:rFonts w:ascii="宋体" w:hAnsi="宋体" w:cs="宋体" w:eastAsia="宋体" w:hint="default"/>
          <w:spacing w:val="-3"/>
        </w:rPr>
        <w:t>62%</w:t>
      </w:r>
      <w:r>
        <w:rPr>
          <w:spacing w:val="-3"/>
        </w:rPr>
        <w:t>。节能环保行业各细分领域都获得了快速</w:t>
      </w:r>
      <w:r>
        <w:rPr/>
        <w:t> 的发展。根据国务院发布的《国务院关于加快发展节能环保产业的意见》，节能环保产</w:t>
      </w:r>
      <w:r>
        <w:rPr>
          <w:spacing w:val="-52"/>
        </w:rPr>
        <w:t> </w:t>
      </w:r>
      <w:r>
        <w:rPr>
          <w:spacing w:val="-52"/>
        </w:rPr>
      </w:r>
      <w:r>
        <w:rPr/>
        <w:t>业产值年均增速在</w:t>
      </w:r>
      <w:r>
        <w:rPr>
          <w:spacing w:val="-56"/>
        </w:rPr>
        <w:t> </w:t>
      </w:r>
      <w:r>
        <w:rPr>
          <w:rFonts w:ascii="宋体" w:hAnsi="宋体" w:cs="宋体" w:eastAsia="宋体" w:hint="default"/>
        </w:rPr>
        <w:t>15%</w:t>
      </w:r>
      <w:r>
        <w:rPr/>
        <w:t>以上，到</w:t>
      </w:r>
      <w:r>
        <w:rPr>
          <w:spacing w:val="-55"/>
        </w:rPr>
        <w:t> </w:t>
      </w:r>
      <w:r>
        <w:rPr>
          <w:rFonts w:ascii="宋体" w:hAnsi="宋体" w:cs="宋体" w:eastAsia="宋体" w:hint="default"/>
        </w:rPr>
        <w:t>2015</w:t>
      </w:r>
      <w:r>
        <w:rPr>
          <w:rFonts w:ascii="宋体" w:hAnsi="宋体" w:cs="宋体" w:eastAsia="宋体" w:hint="default"/>
          <w:spacing w:val="-56"/>
        </w:rPr>
        <w:t> </w:t>
      </w:r>
      <w:r>
        <w:rPr/>
        <w:t>年，总产值达到</w:t>
      </w:r>
      <w:r>
        <w:rPr>
          <w:spacing w:val="-55"/>
        </w:rPr>
        <w:t> </w:t>
      </w:r>
      <w:r>
        <w:rPr>
          <w:rFonts w:ascii="宋体" w:hAnsi="宋体" w:cs="宋体" w:eastAsia="宋体" w:hint="default"/>
        </w:rPr>
        <w:t>4.5</w:t>
      </w:r>
      <w:r>
        <w:rPr>
          <w:rFonts w:ascii="宋体" w:hAnsi="宋体" w:cs="宋体" w:eastAsia="宋体" w:hint="default"/>
          <w:spacing w:val="-56"/>
        </w:rPr>
        <w:t> </w:t>
      </w:r>
      <w:r>
        <w:rPr/>
        <w:t>万亿元，成为国民经济新的支 柱产业。节能环保行业迎来了黄金发展阶段。</w:t>
      </w:r>
    </w:p>
    <w:p>
      <w:pPr>
        <w:spacing w:line="240" w:lineRule="auto" w:before="10"/>
        <w:rPr>
          <w:rFonts w:ascii="宋体" w:hAnsi="宋体" w:cs="宋体" w:eastAsia="宋体" w:hint="default"/>
          <w:sz w:val="23"/>
          <w:szCs w:val="23"/>
        </w:rPr>
      </w:pPr>
    </w:p>
    <w:p>
      <w:pPr>
        <w:pStyle w:val="BodyText"/>
        <w:spacing w:line="237" w:lineRule="auto"/>
        <w:ind w:right="221"/>
        <w:jc w:val="both"/>
      </w:pPr>
      <w:r>
        <w:rPr/>
        <w:t>在节能环保产业链，公司充分把握政策利好，继续立足于以楼宇自动化控制为核心的建</w:t>
      </w:r>
      <w:r>
        <w:rPr>
          <w:spacing w:val="-51"/>
        </w:rPr>
        <w:t> </w:t>
      </w:r>
      <w:r>
        <w:rPr>
          <w:spacing w:val="-51"/>
        </w:rPr>
      </w:r>
      <w:r>
        <w:rPr/>
        <w:t>筑节能产业、以供热</w:t>
      </w:r>
      <w:r>
        <w:rPr>
          <w:rFonts w:ascii="宋体" w:hAnsi="宋体" w:cs="宋体" w:eastAsia="宋体" w:hint="default"/>
        </w:rPr>
        <w:t>/</w:t>
      </w:r>
      <w:r>
        <w:rPr/>
        <w:t>冷和余热回用技术为核心的工业节能产业，以</w:t>
      </w:r>
      <w:r>
        <w:rPr>
          <w:spacing w:val="-78"/>
        </w:rPr>
        <w:t> </w:t>
      </w:r>
      <w:r>
        <w:rPr>
          <w:rFonts w:ascii="宋体" w:hAnsi="宋体" w:cs="宋体" w:eastAsia="宋体" w:hint="default"/>
        </w:rPr>
        <w:t>LED</w:t>
      </w:r>
      <w:r>
        <w:rPr>
          <w:rFonts w:ascii="宋体" w:hAnsi="宋体" w:cs="宋体" w:eastAsia="宋体" w:hint="default"/>
          <w:spacing w:val="-79"/>
        </w:rPr>
        <w:t> </w:t>
      </w:r>
      <w:r>
        <w:rPr/>
        <w:t>半导体照明技术 为核心的照明产业和以污水处理、中水回用为核心的水务产业领域。报告期内，公司为</w:t>
      </w:r>
      <w:r>
        <w:rPr>
          <w:spacing w:val="-51"/>
        </w:rPr>
        <w:t> </w:t>
      </w:r>
      <w:r>
        <w:rPr>
          <w:spacing w:val="-51"/>
        </w:rPr>
      </w:r>
      <w:r>
        <w:rPr/>
        <w:t>进一步调整产业架构，实施公司在节能业务领域的业务整合，实施了将智能建筑、轨道</w:t>
      </w:r>
      <w:r>
        <w:rPr>
          <w:spacing w:val="-51"/>
        </w:rPr>
        <w:t> </w:t>
      </w:r>
      <w:r>
        <w:rPr>
          <w:spacing w:val="-51"/>
        </w:rPr>
      </w:r>
      <w:r>
        <w:rPr/>
        <w:t>交通信息化和城市热网监控三项与智能化节能解决方案相关的经营性业务及相关资产转</w:t>
      </w:r>
      <w:r>
        <w:rPr>
          <w:spacing w:val="-51"/>
        </w:rPr>
        <w:t> </w:t>
      </w:r>
      <w:r>
        <w:rPr>
          <w:spacing w:val="-51"/>
        </w:rPr>
      </w:r>
      <w:r>
        <w:rPr/>
        <w:t>让给公司下属控股子公司同方泰德国际科技有限公司的全资子公司，优化资源配置，全</w:t>
      </w:r>
      <w:r>
        <w:rPr>
          <w:spacing w:val="-51"/>
        </w:rPr>
        <w:t> </w:t>
      </w:r>
      <w:r>
        <w:rPr>
          <w:spacing w:val="-51"/>
        </w:rPr>
      </w:r>
      <w:r>
        <w:rPr/>
        <w:t>面打造新的“节能平台”。</w:t>
      </w:r>
    </w:p>
    <w:p>
      <w:pPr>
        <w:spacing w:line="240" w:lineRule="auto" w:before="10"/>
        <w:rPr>
          <w:rFonts w:ascii="宋体" w:hAnsi="宋体" w:cs="宋体" w:eastAsia="宋体" w:hint="default"/>
          <w:sz w:val="23"/>
          <w:szCs w:val="23"/>
        </w:rPr>
      </w:pPr>
    </w:p>
    <w:p>
      <w:pPr>
        <w:pStyle w:val="Heading3"/>
        <w:spacing w:line="240" w:lineRule="auto"/>
        <w:ind w:left="415" w:right="91"/>
        <w:jc w:val="left"/>
        <w:rPr>
          <w:b w:val="0"/>
          <w:bCs w:val="0"/>
        </w:rPr>
      </w:pPr>
      <w:r>
        <w:rPr>
          <w:rFonts w:ascii="宋体" w:hAnsi="宋体" w:cs="宋体" w:eastAsia="宋体" w:hint="default"/>
        </w:rPr>
        <w:t>A.</w:t>
      </w:r>
      <w:r>
        <w:rPr/>
        <w:t>建筑节能</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right="221"/>
        <w:jc w:val="both"/>
      </w:pPr>
      <w:r>
        <w:rPr/>
        <w:t>在建筑节能领域，根据住建部发布的全年工作重点，</w:t>
      </w:r>
      <w:r>
        <w:rPr>
          <w:rFonts w:ascii="宋体" w:hAnsi="宋体" w:cs="宋体" w:eastAsia="宋体" w:hint="default"/>
        </w:rPr>
        <w:t>2015</w:t>
      </w:r>
      <w:r>
        <w:rPr>
          <w:rFonts w:ascii="宋体" w:hAnsi="宋体" w:cs="宋体" w:eastAsia="宋体" w:hint="default"/>
          <w:spacing w:val="-39"/>
        </w:rPr>
        <w:t> </w:t>
      </w:r>
      <w:r>
        <w:rPr/>
        <w:t>年，国家着力促进建筑节能与 </w:t>
      </w:r>
      <w:r>
        <w:rPr>
          <w:spacing w:val="-3"/>
        </w:rPr>
        <w:t>绿色建筑的发展，北方采暖地区普遍执行不低于</w:t>
      </w:r>
      <w:r>
        <w:rPr>
          <w:spacing w:val="-46"/>
        </w:rPr>
        <w:t> </w:t>
      </w:r>
      <w:r>
        <w:rPr>
          <w:rFonts w:ascii="宋体" w:hAnsi="宋体" w:cs="宋体" w:eastAsia="宋体" w:hint="default"/>
          <w:spacing w:val="-3"/>
        </w:rPr>
        <w:t>65%</w:t>
      </w:r>
      <w:r>
        <w:rPr>
          <w:spacing w:val="-3"/>
        </w:rPr>
        <w:t>的建筑节能标准，同时进一步扩大既</w:t>
      </w:r>
      <w:r>
        <w:rPr>
          <w:spacing w:val="-117"/>
        </w:rPr>
        <w:t> </w:t>
      </w:r>
      <w:r>
        <w:rPr>
          <w:spacing w:val="-117"/>
        </w:rPr>
      </w:r>
      <w:r>
        <w:rPr/>
        <w:t>有建筑节能改造规模。</w:t>
      </w:r>
      <w:r>
        <w:rPr>
          <w:rFonts w:ascii="宋体" w:hAnsi="宋体" w:cs="宋体" w:eastAsia="宋体" w:hint="default"/>
        </w:rPr>
        <w:t>2015</w:t>
      </w:r>
      <w:r>
        <w:rPr>
          <w:rFonts w:ascii="宋体" w:hAnsi="宋体" w:cs="宋体" w:eastAsia="宋体" w:hint="default"/>
          <w:spacing w:val="-53"/>
        </w:rPr>
        <w:t> </w:t>
      </w:r>
      <w:r>
        <w:rPr/>
        <w:t>年全年完成北方既有居住建筑供热计量及节能改造</w:t>
      </w:r>
      <w:r>
        <w:rPr>
          <w:spacing w:val="-52"/>
        </w:rPr>
        <w:t> </w:t>
      </w:r>
      <w:r>
        <w:rPr>
          <w:rFonts w:ascii="宋体" w:hAnsi="宋体" w:cs="宋体" w:eastAsia="宋体" w:hint="default"/>
        </w:rPr>
        <w:t>1.5</w:t>
      </w:r>
      <w:r>
        <w:rPr>
          <w:rFonts w:ascii="宋体" w:hAnsi="宋体" w:cs="宋体" w:eastAsia="宋体" w:hint="default"/>
          <w:spacing w:val="-53"/>
        </w:rPr>
        <w:t> </w:t>
      </w:r>
      <w:r>
        <w:rPr/>
        <w:t>亿平 方米；累计完成重点城市高耗能公共建筑节能改造</w:t>
      </w:r>
      <w:r>
        <w:rPr>
          <w:spacing w:val="-79"/>
        </w:rPr>
        <w:t> </w:t>
      </w:r>
      <w:r>
        <w:rPr>
          <w:rFonts w:ascii="宋体" w:hAnsi="宋体" w:cs="宋体" w:eastAsia="宋体" w:hint="default"/>
        </w:rPr>
        <w:t>1600</w:t>
      </w:r>
      <w:r>
        <w:rPr>
          <w:rFonts w:ascii="宋体" w:hAnsi="宋体" w:cs="宋体" w:eastAsia="宋体" w:hint="default"/>
          <w:spacing w:val="-79"/>
        </w:rPr>
        <w:t> </w:t>
      </w:r>
      <w:r>
        <w:rPr/>
        <w:t>万平方米。建立健全大型公共建 筑节能监管体系，促使高耗能公共建筑按节能方式运行。继续做好省级能耗监管平台、</w:t>
      </w:r>
      <w:r>
        <w:rPr>
          <w:spacing w:val="-51"/>
        </w:rPr>
        <w:t> </w:t>
      </w:r>
      <w:r>
        <w:rPr>
          <w:spacing w:val="-51"/>
        </w:rPr>
      </w:r>
      <w:r>
        <w:rPr/>
        <w:t>节约型校园和医院建设及验收，扩大公共建筑节能改造范围与规模。</w:t>
      </w:r>
    </w:p>
    <w:p>
      <w:pPr>
        <w:spacing w:line="240" w:lineRule="auto" w:before="12"/>
        <w:rPr>
          <w:rFonts w:ascii="宋体" w:hAnsi="宋体" w:cs="宋体" w:eastAsia="宋体" w:hint="default"/>
          <w:sz w:val="25"/>
          <w:szCs w:val="25"/>
        </w:rPr>
      </w:pPr>
    </w:p>
    <w:p>
      <w:pPr>
        <w:pStyle w:val="BodyText"/>
        <w:spacing w:line="312" w:lineRule="exact"/>
        <w:ind w:right="221"/>
        <w:jc w:val="both"/>
      </w:pPr>
      <w:r>
        <w:rPr/>
        <w:t>为此，公司把握政策机遇，持续推进城市级建筑节能改造，实践“政、企、银”三位一</w:t>
      </w:r>
      <w:r>
        <w:rPr>
          <w:spacing w:val="-52"/>
        </w:rPr>
        <w:t> </w:t>
      </w:r>
      <w:r>
        <w:rPr>
          <w:spacing w:val="-52"/>
        </w:rPr>
      </w:r>
      <w:r>
        <w:rPr/>
        <w:t>体服务模式并取得显著成果。截至报告期末，公司已先后为重庆、武汉、长沙、苏州、</w:t>
      </w:r>
    </w:p>
    <w:p>
      <w:pPr>
        <w:pStyle w:val="BodyText"/>
        <w:spacing w:line="281" w:lineRule="exact"/>
        <w:ind w:right="0"/>
        <w:jc w:val="both"/>
      </w:pPr>
      <w:r>
        <w:rPr/>
        <w:t>广州、济南、宁波等 </w:t>
      </w:r>
      <w:r>
        <w:rPr>
          <w:rFonts w:ascii="宋体" w:hAnsi="宋体" w:cs="宋体" w:eastAsia="宋体" w:hint="default"/>
        </w:rPr>
        <w:t>41</w:t>
      </w:r>
      <w:r>
        <w:rPr>
          <w:rFonts w:ascii="宋体" w:hAnsi="宋体" w:cs="宋体" w:eastAsia="宋体" w:hint="default"/>
          <w:spacing w:val="-39"/>
        </w:rPr>
        <w:t> </w:t>
      </w:r>
      <w:r>
        <w:rPr/>
        <w:t>市的建筑提供能源监测及节能改造服务，形成了从中央级、省、</w:t>
      </w:r>
    </w:p>
    <w:p>
      <w:pPr>
        <w:spacing w:after="0" w:line="281" w:lineRule="exact"/>
        <w:jc w:val="both"/>
        <w:sectPr>
          <w:pgSz w:w="11910" w:h="16840"/>
          <w:pgMar w:header="628" w:footer="760" w:top="1020" w:bottom="960" w:left="1260" w:right="10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p>
      <w:pPr>
        <w:pStyle w:val="BodyText"/>
        <w:spacing w:line="237" w:lineRule="auto" w:before="28"/>
        <w:ind w:right="220"/>
        <w:jc w:val="both"/>
      </w:pPr>
      <w:r>
        <w:rPr/>
        <w:t>市到建筑终端级的节能监测平台的网状布局，服务覆盖产业园区、医院、商场、文体中</w:t>
      </w:r>
      <w:r>
        <w:rPr>
          <w:spacing w:val="-51"/>
        </w:rPr>
        <w:t> </w:t>
      </w:r>
      <w:r>
        <w:rPr>
          <w:spacing w:val="-51"/>
        </w:rPr>
      </w:r>
      <w:r>
        <w:rPr/>
        <w:t>心、政府、教育建筑、连锁商业网点等领域。报告期内，公司承接的万达广场慧云智能</w:t>
      </w:r>
      <w:r>
        <w:rPr>
          <w:spacing w:val="-51"/>
        </w:rPr>
        <w:t> </w:t>
      </w:r>
      <w:r>
        <w:rPr>
          <w:spacing w:val="-51"/>
        </w:rPr>
      </w:r>
      <w:r>
        <w:rPr/>
        <w:t>化管理系统项目，采用完全自主知识产权的 </w:t>
      </w:r>
      <w:r>
        <w:rPr>
          <w:rFonts w:ascii="宋体" w:hAnsi="宋体" w:cs="宋体" w:eastAsia="宋体" w:hint="default"/>
        </w:rPr>
        <w:t>Techcon IBS 4.0</w:t>
      </w:r>
      <w:r>
        <w:rPr>
          <w:rFonts w:ascii="宋体" w:hAnsi="宋体" w:cs="宋体" w:eastAsia="宋体" w:hint="default"/>
          <w:spacing w:val="-38"/>
        </w:rPr>
        <w:t> </w:t>
      </w:r>
      <w:r>
        <w:rPr/>
        <w:t>智能建筑信息集成系统， 将万达广场</w:t>
      </w:r>
      <w:r>
        <w:rPr>
          <w:spacing w:val="-70"/>
        </w:rPr>
        <w:t> </w:t>
      </w:r>
      <w:r>
        <w:rPr>
          <w:rFonts w:ascii="宋体" w:hAnsi="宋体" w:cs="宋体" w:eastAsia="宋体" w:hint="default"/>
        </w:rPr>
        <w:t>16</w:t>
      </w:r>
      <w:r>
        <w:rPr>
          <w:rFonts w:ascii="宋体" w:hAnsi="宋体" w:cs="宋体" w:eastAsia="宋体" w:hint="default"/>
          <w:spacing w:val="-69"/>
        </w:rPr>
        <w:t> </w:t>
      </w:r>
      <w:r>
        <w:rPr/>
        <w:t>个弱电子系统，集成到万达慧云平台，通过</w:t>
      </w:r>
      <w:r>
        <w:rPr>
          <w:spacing w:val="-68"/>
        </w:rPr>
        <w:t> </w:t>
      </w:r>
      <w:r>
        <w:rPr>
          <w:rFonts w:ascii="宋体" w:hAnsi="宋体" w:cs="宋体" w:eastAsia="宋体" w:hint="default"/>
        </w:rPr>
        <w:t>2</w:t>
      </w:r>
      <w:r>
        <w:rPr>
          <w:rFonts w:ascii="宋体" w:hAnsi="宋体" w:cs="宋体" w:eastAsia="宋体" w:hint="default"/>
          <w:spacing w:val="-69"/>
        </w:rPr>
        <w:t> </w:t>
      </w:r>
      <w:r>
        <w:rPr/>
        <w:t>万多个信息点位，对万达广 场进行消防管理、安防管理、运行管理和节能管理，实现一键式管控，从而降低人工成</w:t>
      </w:r>
      <w:r>
        <w:rPr>
          <w:spacing w:val="-51"/>
        </w:rPr>
        <w:t> </w:t>
      </w:r>
      <w:r>
        <w:rPr>
          <w:spacing w:val="-51"/>
        </w:rPr>
      </w:r>
      <w:r>
        <w:rPr/>
        <w:t>本，保证运行品质，降低运行能耗。国内宁波、包头、东营、桂林、西双版纳、沈阳、</w:t>
      </w:r>
      <w:r>
        <w:rPr>
          <w:spacing w:val="-51"/>
        </w:rPr>
        <w:t> </w:t>
      </w:r>
      <w:r>
        <w:rPr>
          <w:spacing w:val="-51"/>
        </w:rPr>
      </w:r>
      <w:r>
        <w:rPr/>
        <w:t>柳州、重庆八个万达广场的数据首批接入该平台。此外，公司还成功中标深圳深业上城</w:t>
      </w:r>
      <w:r>
        <w:rPr>
          <w:spacing w:val="-51"/>
        </w:rPr>
        <w:t> </w:t>
      </w:r>
      <w:r>
        <w:rPr>
          <w:spacing w:val="-51"/>
        </w:rPr>
      </w:r>
      <w:r>
        <w:rPr/>
        <w:t>南区中央制冷机房机电工程项目。</w:t>
      </w:r>
      <w:r>
        <w:rPr>
          <w:spacing w:val="-94"/>
        </w:rPr>
        <w:t> </w:t>
      </w:r>
      <w:r>
        <w:rPr/>
        <w:t>该项目总建筑面积</w:t>
      </w:r>
      <w:r>
        <w:rPr>
          <w:spacing w:val="-59"/>
        </w:rPr>
        <w:t> </w:t>
      </w:r>
      <w:r>
        <w:rPr>
          <w:rFonts w:ascii="宋体" w:hAnsi="宋体" w:cs="宋体" w:eastAsia="宋体" w:hint="default"/>
        </w:rPr>
        <w:t>93.7</w:t>
      </w:r>
      <w:r>
        <w:rPr>
          <w:rFonts w:ascii="宋体" w:hAnsi="宋体" w:cs="宋体" w:eastAsia="宋体" w:hint="default"/>
          <w:spacing w:val="-59"/>
        </w:rPr>
        <w:t> </w:t>
      </w:r>
      <w:r>
        <w:rPr>
          <w:spacing w:val="-10"/>
        </w:rPr>
        <w:t>万平方米，是集商业、</w:t>
      </w:r>
      <w:r>
        <w:rPr>
          <w:spacing w:val="-93"/>
        </w:rPr>
        <w:t> </w:t>
      </w:r>
      <w:r>
        <w:rPr/>
        <w:t>办公、</w:t>
      </w:r>
      <w:r>
        <w:rPr/>
        <w:t> 产业研发用房、酒店等为一体的大型商业综合体。至此，公司已在深圳地区累计为深业</w:t>
      </w:r>
      <w:r>
        <w:rPr>
          <w:spacing w:val="-51"/>
        </w:rPr>
        <w:t> </w:t>
      </w:r>
      <w:r>
        <w:rPr>
          <w:spacing w:val="-51"/>
        </w:rPr>
      </w:r>
      <w:r>
        <w:rPr/>
        <w:t>上城、平安金融中心、深圳证券大厦、中广核大厦、招商证券大厦、滨海医院等十余个</w:t>
      </w:r>
    </w:p>
    <w:p>
      <w:pPr>
        <w:pStyle w:val="BodyText"/>
        <w:spacing w:line="313" w:lineRule="exact"/>
        <w:ind w:right="0"/>
        <w:jc w:val="both"/>
      </w:pPr>
      <w:r>
        <w:rPr/>
        <w:t>大型蓄能项目提供产品服务和技术支持，稳固了在深圳及华南地区蓄能市场的领军地位。</w:t>
      </w:r>
    </w:p>
    <w:p>
      <w:pPr>
        <w:spacing w:line="240" w:lineRule="auto" w:before="11"/>
        <w:rPr>
          <w:rFonts w:ascii="宋体" w:hAnsi="宋体" w:cs="宋体" w:eastAsia="宋体" w:hint="default"/>
          <w:sz w:val="25"/>
          <w:szCs w:val="25"/>
        </w:rPr>
      </w:pPr>
    </w:p>
    <w:p>
      <w:pPr>
        <w:pStyle w:val="BodyText"/>
        <w:spacing w:line="312" w:lineRule="exact"/>
        <w:ind w:right="222"/>
        <w:jc w:val="both"/>
      </w:pPr>
      <w:r>
        <w:rPr/>
        <w:t>报告期内，公司还在由中国节能协会节能服务产业委员会</w:t>
      </w:r>
      <w:r>
        <w:rPr>
          <w:rFonts w:ascii="宋体" w:hAnsi="宋体" w:cs="宋体" w:eastAsia="宋体" w:hint="default"/>
        </w:rPr>
        <w:t>(EMCA)</w:t>
      </w:r>
      <w:r>
        <w:rPr/>
        <w:t>主办的“</w:t>
      </w:r>
      <w:r>
        <w:rPr>
          <w:rFonts w:ascii="宋体" w:hAnsi="宋体" w:cs="宋体" w:eastAsia="宋体" w:hint="default"/>
        </w:rPr>
        <w:t>2015</w:t>
      </w:r>
      <w:r>
        <w:rPr>
          <w:rFonts w:ascii="宋体" w:hAnsi="宋体" w:cs="宋体" w:eastAsia="宋体" w:hint="default"/>
          <w:spacing w:val="-39"/>
        </w:rPr>
        <w:t> </w:t>
      </w:r>
      <w:r>
        <w:rPr/>
        <w:t>节能服务 产业年度峰会”上荣获“十二五”节能服务产业突出贡献企业等多个奖项。</w:t>
      </w:r>
    </w:p>
    <w:p>
      <w:pPr>
        <w:spacing w:line="240" w:lineRule="auto" w:before="4"/>
        <w:rPr>
          <w:rFonts w:ascii="宋体" w:hAnsi="宋体" w:cs="宋体" w:eastAsia="宋体" w:hint="default"/>
          <w:sz w:val="21"/>
          <w:szCs w:val="21"/>
        </w:rPr>
      </w:pPr>
    </w:p>
    <w:p>
      <w:pPr>
        <w:pStyle w:val="Heading3"/>
        <w:spacing w:line="240" w:lineRule="auto"/>
        <w:ind w:left="415" w:right="91"/>
        <w:jc w:val="left"/>
        <w:rPr>
          <w:b w:val="0"/>
          <w:bCs w:val="0"/>
        </w:rPr>
      </w:pPr>
      <w:r>
        <w:rPr>
          <w:rFonts w:ascii="宋体" w:hAnsi="宋体" w:cs="宋体" w:eastAsia="宋体" w:hint="default"/>
        </w:rPr>
        <w:t>B.</w:t>
      </w:r>
      <w:r>
        <w:rPr/>
        <w:t>工业节能</w:t>
      </w:r>
      <w:r>
        <w:rPr>
          <w:b w:val="0"/>
          <w:bCs w:val="0"/>
        </w:rPr>
      </w:r>
    </w:p>
    <w:p>
      <w:pPr>
        <w:spacing w:line="240" w:lineRule="auto" w:before="11"/>
        <w:rPr>
          <w:rFonts w:ascii="宋体" w:hAnsi="宋体" w:cs="宋体" w:eastAsia="宋体" w:hint="default"/>
          <w:b/>
          <w:bCs/>
          <w:sz w:val="25"/>
          <w:szCs w:val="25"/>
        </w:rPr>
      </w:pPr>
    </w:p>
    <w:p>
      <w:pPr>
        <w:pStyle w:val="BodyText"/>
        <w:spacing w:line="312" w:lineRule="exact"/>
        <w:ind w:right="223"/>
        <w:jc w:val="both"/>
      </w:pPr>
      <w:r>
        <w:rPr/>
        <w:t>在工业节能领域，</w:t>
      </w:r>
      <w:r>
        <w:rPr>
          <w:rFonts w:ascii="宋体" w:hAnsi="宋体" w:cs="宋体" w:eastAsia="宋体" w:hint="default"/>
        </w:rPr>
        <w:t>2015</w:t>
      </w:r>
      <w:r>
        <w:rPr>
          <w:rFonts w:ascii="宋体" w:hAnsi="宋体" w:cs="宋体" w:eastAsia="宋体" w:hint="default"/>
          <w:spacing w:val="-39"/>
        </w:rPr>
        <w:t> </w:t>
      </w:r>
      <w:r>
        <w:rPr/>
        <w:t>年，公司把握多地相继出台的关于清洁能源的使用及推广的相关 政策为热泵行业的发展的巨大契机，持续围绕热泵布局，核心能力得到进一步提升。</w:t>
      </w:r>
    </w:p>
    <w:p>
      <w:pPr>
        <w:spacing w:line="240" w:lineRule="auto" w:before="10"/>
        <w:rPr>
          <w:rFonts w:ascii="宋体" w:hAnsi="宋体" w:cs="宋体" w:eastAsia="宋体" w:hint="default"/>
          <w:sz w:val="21"/>
          <w:szCs w:val="21"/>
        </w:rPr>
      </w:pPr>
    </w:p>
    <w:p>
      <w:pPr>
        <w:pStyle w:val="BodyText"/>
        <w:spacing w:line="237" w:lineRule="auto"/>
        <w:ind w:right="221"/>
        <w:jc w:val="both"/>
      </w:pPr>
      <w:r>
        <w:rPr>
          <w:spacing w:val="-5"/>
        </w:rPr>
        <w:t>本年度，公司围绕有优势的热电市场，以热泵换热机组产品树立包括太原第二热力公司、</w:t>
      </w:r>
      <w:r>
        <w:rPr>
          <w:spacing w:val="-85"/>
        </w:rPr>
        <w:t> </w:t>
      </w:r>
      <w:r>
        <w:rPr>
          <w:spacing w:val="-85"/>
        </w:rPr>
      </w:r>
      <w:r>
        <w:rPr/>
        <w:t>华电包头发电分公司等典型项目，持续扩充城市供热新应用。公司还把握自身在以空气</w:t>
      </w:r>
      <w:r>
        <w:rPr>
          <w:spacing w:val="-51"/>
        </w:rPr>
        <w:t> </w:t>
      </w:r>
      <w:r>
        <w:rPr>
          <w:spacing w:val="-51"/>
        </w:rPr>
      </w:r>
      <w:r>
        <w:rPr/>
        <w:t>源热泵为代表的热泵产品所积累的优势和市场机会，致力于城镇化建设的居民采暖和燃</w:t>
      </w:r>
      <w:r>
        <w:rPr>
          <w:spacing w:val="-51"/>
        </w:rPr>
        <w:t> </w:t>
      </w:r>
      <w:r>
        <w:rPr>
          <w:spacing w:val="-51"/>
        </w:rPr>
      </w:r>
      <w:r>
        <w:rPr/>
        <w:t>煤锅炉替代的区域采暖的解决方案的提供。在上半年发布的《北京市推广、限制和禁止</w:t>
      </w:r>
      <w:r>
        <w:rPr>
          <w:spacing w:val="-51"/>
        </w:rPr>
        <w:t> </w:t>
      </w:r>
      <w:r>
        <w:rPr>
          <w:spacing w:val="-51"/>
        </w:rPr>
      </w:r>
      <w:r>
        <w:rPr/>
        <w:t>使用建筑材料目录》中，空气源热泵首次被指定为“适用于分户独立供暖的民用建筑工</w:t>
      </w:r>
      <w:r>
        <w:rPr>
          <w:spacing w:val="-51"/>
        </w:rPr>
        <w:t> </w:t>
      </w:r>
      <w:r>
        <w:rPr>
          <w:spacing w:val="-51"/>
        </w:rPr>
      </w:r>
      <w:r>
        <w:rPr/>
        <w:t>程可再生能源采暖设备”进行推广，为北方空气源市场的开拓提供了政策的保障。报告</w:t>
      </w:r>
      <w:r>
        <w:rPr>
          <w:spacing w:val="-51"/>
        </w:rPr>
        <w:t> </w:t>
      </w:r>
      <w:r>
        <w:rPr>
          <w:spacing w:val="-51"/>
        </w:rPr>
      </w:r>
      <w:r>
        <w:rPr/>
        <w:t>期内，公司在北京、天津、河北和山东等地相继中标多个热泵采暖项目，包括北京市政</w:t>
      </w:r>
      <w:r>
        <w:rPr>
          <w:spacing w:val="-52"/>
        </w:rPr>
        <w:t> </w:t>
      </w:r>
      <w:r>
        <w:rPr>
          <w:spacing w:val="-52"/>
        </w:rPr>
      </w:r>
      <w:r>
        <w:rPr/>
        <w:t>府在“煤改电设备采购项目”中房山区的招标项目、天津市首个采用公司的空气源热泵</w:t>
      </w:r>
      <w:r>
        <w:rPr>
          <w:spacing w:val="-51"/>
        </w:rPr>
        <w:t> </w:t>
      </w:r>
      <w:r>
        <w:rPr>
          <w:spacing w:val="-51"/>
        </w:rPr>
      </w:r>
      <w:r>
        <w:rPr/>
        <w:t>供暖系统的建设试点“兆丰路社区居委会办公楼”、张家口“中国北方硅谷”大型高科</w:t>
      </w:r>
      <w:r>
        <w:rPr>
          <w:spacing w:val="-51"/>
        </w:rPr>
        <w:t> </w:t>
      </w:r>
      <w:r>
        <w:rPr>
          <w:spacing w:val="-51"/>
        </w:rPr>
      </w:r>
      <w:r>
        <w:rPr/>
        <w:t>技园区以及青岛富达国际商贸国际城等多个项目。其中，在有着“京津冀协同发展”和</w:t>
      </w:r>
      <w:r>
        <w:rPr>
          <w:spacing w:val="-51"/>
        </w:rPr>
        <w:t> </w:t>
      </w:r>
      <w:r>
        <w:rPr>
          <w:spacing w:val="-51"/>
        </w:rPr>
      </w:r>
      <w:r>
        <w:rPr/>
        <w:t>“京张联合申冬奥”两大历史机遇的张家口市，公司依托自身先进的热泵技术积极参与</w:t>
      </w:r>
      <w:r>
        <w:rPr>
          <w:spacing w:val="-51"/>
        </w:rPr>
        <w:t> </w:t>
      </w:r>
      <w:r>
        <w:rPr>
          <w:spacing w:val="-51"/>
        </w:rPr>
      </w:r>
      <w:r>
        <w:rPr/>
        <w:t>该市的大气污染防治工作，至今已在张家口地区累计实施项目面积近百万平方米，为当</w:t>
      </w:r>
      <w:r>
        <w:rPr>
          <w:spacing w:val="-51"/>
        </w:rPr>
        <w:t> </w:t>
      </w:r>
      <w:r>
        <w:rPr>
          <w:spacing w:val="-51"/>
        </w:rPr>
      </w:r>
      <w:r>
        <w:rPr/>
        <w:t>地空气环境的改善做出了积极的贡献。</w:t>
      </w:r>
    </w:p>
    <w:p>
      <w:pPr>
        <w:spacing w:line="240" w:lineRule="auto" w:before="10"/>
        <w:rPr>
          <w:rFonts w:ascii="宋体" w:hAnsi="宋体" w:cs="宋体" w:eastAsia="宋体" w:hint="default"/>
          <w:sz w:val="23"/>
          <w:szCs w:val="23"/>
        </w:rPr>
      </w:pPr>
    </w:p>
    <w:p>
      <w:pPr>
        <w:pStyle w:val="BodyText"/>
        <w:spacing w:line="237" w:lineRule="auto"/>
        <w:ind w:right="220"/>
        <w:jc w:val="both"/>
      </w:pPr>
      <w:r>
        <w:rPr/>
        <w:t>报告期内，公司实施的“北京密云司马台新村冬季采暖工程”还在第十一届清华大学建</w:t>
      </w:r>
      <w:r>
        <w:rPr>
          <w:spacing w:val="-50"/>
        </w:rPr>
        <w:t> </w:t>
      </w:r>
      <w:r>
        <w:rPr>
          <w:spacing w:val="-50"/>
        </w:rPr>
      </w:r>
      <w:r>
        <w:rPr/>
        <w:t>筑节能学术周中荣获“北方城镇建筑供暖节能减排最佳实践案例”奖，在“清洁能源建</w:t>
      </w:r>
      <w:r>
        <w:rPr>
          <w:spacing w:val="-51"/>
        </w:rPr>
        <w:t> </w:t>
      </w:r>
      <w:r>
        <w:rPr>
          <w:spacing w:val="-51"/>
        </w:rPr>
      </w:r>
      <w:r>
        <w:rPr/>
        <w:t>筑应用技术联盟成立大会暨蓝天杯颁奖大会”中荣获“蓝天杯”优秀大奖。该项目同时</w:t>
      </w:r>
      <w:r>
        <w:rPr>
          <w:spacing w:val="-51"/>
        </w:rPr>
        <w:t> </w:t>
      </w:r>
      <w:r>
        <w:rPr>
          <w:spacing w:val="-51"/>
        </w:rPr>
      </w:r>
      <w:r>
        <w:rPr/>
        <w:t>入选</w:t>
      </w:r>
      <w:r>
        <w:rPr>
          <w:spacing w:val="-60"/>
        </w:rPr>
        <w:t> </w:t>
      </w:r>
      <w:r>
        <w:rPr>
          <w:rFonts w:ascii="宋体" w:hAnsi="宋体" w:cs="宋体" w:eastAsia="宋体" w:hint="default"/>
        </w:rPr>
        <w:t>2015</w:t>
      </w:r>
      <w:r>
        <w:rPr>
          <w:rFonts w:ascii="宋体" w:hAnsi="宋体" w:cs="宋体" w:eastAsia="宋体" w:hint="default"/>
          <w:spacing w:val="-61"/>
        </w:rPr>
        <w:t> </w:t>
      </w:r>
      <w:r>
        <w:rPr/>
        <w:t>年《中国建筑节能年度发展研究报告》。</w:t>
      </w:r>
    </w:p>
    <w:p>
      <w:pPr>
        <w:spacing w:line="240" w:lineRule="auto" w:before="9"/>
        <w:rPr>
          <w:rFonts w:ascii="宋体" w:hAnsi="宋体" w:cs="宋体" w:eastAsia="宋体" w:hint="default"/>
          <w:sz w:val="23"/>
          <w:szCs w:val="23"/>
        </w:rPr>
      </w:pPr>
    </w:p>
    <w:p>
      <w:pPr>
        <w:pStyle w:val="Heading3"/>
        <w:spacing w:line="240" w:lineRule="auto"/>
        <w:ind w:left="415" w:right="91"/>
        <w:jc w:val="left"/>
        <w:rPr>
          <w:b w:val="0"/>
          <w:bCs w:val="0"/>
        </w:rPr>
      </w:pPr>
      <w:r>
        <w:rPr>
          <w:rFonts w:ascii="宋体" w:hAnsi="宋体" w:cs="宋体" w:eastAsia="宋体" w:hint="default"/>
        </w:rPr>
        <w:t>C.</w:t>
      </w:r>
      <w:r>
        <w:rPr/>
        <w:t>半导体照明</w:t>
      </w:r>
      <w:r>
        <w:rPr>
          <w:b w:val="0"/>
          <w:bCs w:val="0"/>
        </w:rPr>
      </w:r>
    </w:p>
    <w:p>
      <w:pPr>
        <w:spacing w:line="240" w:lineRule="auto" w:before="10"/>
        <w:rPr>
          <w:rFonts w:ascii="宋体" w:hAnsi="宋体" w:cs="宋体" w:eastAsia="宋体" w:hint="default"/>
          <w:b/>
          <w:bCs/>
          <w:sz w:val="23"/>
          <w:szCs w:val="23"/>
        </w:rPr>
      </w:pPr>
    </w:p>
    <w:p>
      <w:pPr>
        <w:pStyle w:val="BodyText"/>
        <w:spacing w:line="237" w:lineRule="auto"/>
        <w:ind w:right="222"/>
        <w:jc w:val="both"/>
        <w:rPr>
          <w:rFonts w:ascii="宋体" w:hAnsi="宋体" w:cs="宋体" w:eastAsia="宋体" w:hint="default"/>
        </w:rPr>
      </w:pPr>
      <w:r>
        <w:rPr>
          <w:rFonts w:ascii="宋体" w:hAnsi="宋体" w:cs="宋体" w:eastAsia="宋体" w:hint="default"/>
        </w:rPr>
        <w:t>2015 </w:t>
      </w:r>
      <w:r>
        <w:rPr>
          <w:spacing w:val="-3"/>
        </w:rPr>
        <w:t>年的半导体照明领域，仍然是挑战与机遇并存。一方面，</w:t>
      </w:r>
      <w:r>
        <w:rPr>
          <w:spacing w:val="-85"/>
        </w:rPr>
        <w:t> </w:t>
      </w:r>
      <w:r>
        <w:rPr/>
        <w:t>在全球节能环保呼声越来</w:t>
      </w:r>
      <w:r>
        <w:rPr/>
        <w:t> </w:t>
      </w:r>
      <w:r>
        <w:rPr>
          <w:spacing w:val="-3"/>
        </w:rPr>
        <w:t>越强烈的大背景下，中国乃至全球都在力推绿色照明。</w:t>
      </w:r>
      <w:r>
        <w:rPr>
          <w:rFonts w:ascii="宋体" w:hAnsi="宋体" w:cs="宋体" w:eastAsia="宋体" w:hint="default"/>
          <w:spacing w:val="-3"/>
        </w:rPr>
        <w:t>LED</w:t>
      </w:r>
      <w:r>
        <w:rPr>
          <w:rFonts w:ascii="宋体" w:hAnsi="宋体" w:cs="宋体" w:eastAsia="宋体" w:hint="default"/>
          <w:spacing w:val="-44"/>
        </w:rPr>
        <w:t> </w:t>
      </w:r>
      <w:r>
        <w:rPr>
          <w:spacing w:val="-3"/>
        </w:rPr>
        <w:t>作为国家新兴产业，在市场刺</w:t>
      </w:r>
      <w:r>
        <w:rPr>
          <w:spacing w:val="-118"/>
        </w:rPr>
        <w:t> </w:t>
      </w:r>
      <w:r>
        <w:rPr>
          <w:spacing w:val="-118"/>
        </w:rPr>
      </w:r>
      <w:r>
        <w:rPr>
          <w:spacing w:val="-10"/>
        </w:rPr>
        <w:t>激以及国家政策扶持下，迎来良好的发展空间。根据</w:t>
      </w:r>
      <w:r>
        <w:rPr>
          <w:spacing w:val="-56"/>
        </w:rPr>
        <w:t> </w:t>
      </w:r>
      <w:r>
        <w:rPr>
          <w:rFonts w:ascii="宋体" w:hAnsi="宋体" w:cs="宋体" w:eastAsia="宋体" w:hint="default"/>
        </w:rPr>
        <w:t>OFweek</w:t>
      </w:r>
      <w:r>
        <w:rPr>
          <w:rFonts w:ascii="宋体" w:hAnsi="宋体" w:cs="宋体" w:eastAsia="宋体" w:hint="default"/>
          <w:spacing w:val="-56"/>
        </w:rPr>
        <w:t> </w:t>
      </w:r>
      <w:r>
        <w:rPr>
          <w:spacing w:val="-11"/>
        </w:rPr>
        <w:t>行业研究中心预测，预计</w:t>
      </w:r>
      <w:r>
        <w:rPr>
          <w:spacing w:val="-56"/>
        </w:rPr>
        <w:t> </w:t>
      </w:r>
      <w:r>
        <w:rPr>
          <w:rFonts w:ascii="宋体" w:hAnsi="宋体" w:cs="宋体" w:eastAsia="宋体" w:hint="default"/>
        </w:rPr>
        <w:t>2020</w:t>
      </w:r>
    </w:p>
    <w:p>
      <w:pPr>
        <w:spacing w:after="0" w:line="237" w:lineRule="auto"/>
        <w:jc w:val="both"/>
        <w:rPr>
          <w:rFonts w:ascii="宋体" w:hAnsi="宋体" w:cs="宋体" w:eastAsia="宋体" w:hint="default"/>
        </w:rPr>
        <w:sectPr>
          <w:pgSz w:w="11910" w:h="16840"/>
          <w:pgMar w:header="628" w:footer="760" w:top="1020" w:bottom="960" w:left="1260" w:right="10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p>
      <w:pPr>
        <w:pStyle w:val="BodyText"/>
        <w:spacing w:line="237" w:lineRule="auto" w:before="28"/>
        <w:ind w:left="238" w:right="241"/>
        <w:jc w:val="both"/>
      </w:pPr>
      <w:r>
        <w:rPr/>
        <w:t>年智能照明市场将达到 </w:t>
      </w:r>
      <w:r>
        <w:rPr>
          <w:rFonts w:ascii="宋体" w:hAnsi="宋体" w:cs="宋体" w:eastAsia="宋体" w:hint="default"/>
        </w:rPr>
        <w:t>103 </w:t>
      </w:r>
      <w:r>
        <w:rPr/>
        <w:t>亿美元，年复合增长率</w:t>
      </w:r>
      <w:r>
        <w:rPr>
          <w:spacing w:val="-39"/>
        </w:rPr>
        <w:t> </w:t>
      </w:r>
      <w:r>
        <w:rPr>
          <w:rFonts w:ascii="宋体" w:hAnsi="宋体" w:cs="宋体" w:eastAsia="宋体" w:hint="default"/>
        </w:rPr>
        <w:t>27%</w:t>
      </w:r>
      <w:r>
        <w:rPr/>
        <w:t>，将在全球照明市场规模中占比 </w:t>
      </w:r>
      <w:r>
        <w:rPr>
          <w:rFonts w:ascii="宋体" w:hAnsi="宋体" w:cs="宋体" w:eastAsia="宋体" w:hint="default"/>
        </w:rPr>
        <w:t>5%</w:t>
      </w:r>
      <w:r>
        <w:rPr/>
        <w:t>，而从全球消费市场来看，中国市场规模将在</w:t>
      </w:r>
      <w:r>
        <w:rPr>
          <w:spacing w:val="-52"/>
        </w:rPr>
        <w:t> </w:t>
      </w:r>
      <w:r>
        <w:rPr>
          <w:rFonts w:ascii="宋体" w:hAnsi="宋体" w:cs="宋体" w:eastAsia="宋体" w:hint="default"/>
        </w:rPr>
        <w:t>2020</w:t>
      </w:r>
      <w:r>
        <w:rPr>
          <w:rFonts w:ascii="宋体" w:hAnsi="宋体" w:cs="宋体" w:eastAsia="宋体" w:hint="default"/>
          <w:spacing w:val="-53"/>
        </w:rPr>
        <w:t> </w:t>
      </w:r>
      <w:r>
        <w:rPr/>
        <w:t>年达到</w:t>
      </w:r>
      <w:r>
        <w:rPr>
          <w:spacing w:val="-53"/>
        </w:rPr>
        <w:t> </w:t>
      </w:r>
      <w:r>
        <w:rPr>
          <w:rFonts w:ascii="宋体" w:hAnsi="宋体" w:cs="宋体" w:eastAsia="宋体" w:hint="default"/>
        </w:rPr>
        <w:t>23%</w:t>
      </w:r>
      <w:r>
        <w:rPr/>
        <w:t>。另一方面，行业整体 产能过剩而导致的价格不断下滑也进一步加大了企业的压力。为此，公司充分把握行业</w:t>
      </w:r>
      <w:r>
        <w:rPr>
          <w:spacing w:val="-51"/>
        </w:rPr>
        <w:t> </w:t>
      </w:r>
      <w:r>
        <w:rPr>
          <w:spacing w:val="-51"/>
        </w:rPr>
      </w:r>
      <w:r>
        <w:rPr/>
        <w:t>保持高速增长带来的市场机遇，坚持研发高端产品的战略，积极迎接挑战。</w:t>
      </w:r>
    </w:p>
    <w:p>
      <w:pPr>
        <w:spacing w:line="240" w:lineRule="auto" w:before="7"/>
        <w:rPr>
          <w:rFonts w:ascii="宋体" w:hAnsi="宋体" w:cs="宋体" w:eastAsia="宋体" w:hint="default"/>
          <w:sz w:val="23"/>
          <w:szCs w:val="23"/>
        </w:rPr>
      </w:pPr>
    </w:p>
    <w:p>
      <w:pPr>
        <w:pStyle w:val="BodyText"/>
        <w:spacing w:line="313" w:lineRule="exact"/>
        <w:ind w:left="238" w:right="0"/>
        <w:jc w:val="both"/>
      </w:pPr>
      <w:r>
        <w:rPr/>
        <w:t>在芯片、外延片领域，报告期内，公司不断实施升级改造，将原有的 </w:t>
      </w:r>
      <w:r>
        <w:rPr>
          <w:rFonts w:ascii="宋体" w:hAnsi="宋体" w:cs="宋体" w:eastAsia="宋体" w:hint="default"/>
        </w:rPr>
        <w:t>2</w:t>
      </w:r>
      <w:r>
        <w:rPr>
          <w:rFonts w:ascii="宋体" w:hAnsi="宋体" w:cs="宋体" w:eastAsia="宋体" w:hint="default"/>
          <w:spacing w:val="-38"/>
        </w:rPr>
        <w:t> </w:t>
      </w:r>
      <w:r>
        <w:rPr/>
        <w:t>寸外延片生长技</w:t>
      </w:r>
    </w:p>
    <w:p>
      <w:pPr>
        <w:pStyle w:val="BodyText"/>
        <w:spacing w:line="312" w:lineRule="exact" w:before="29"/>
        <w:ind w:left="238" w:right="245"/>
        <w:jc w:val="both"/>
      </w:pPr>
      <w:r>
        <w:rPr/>
        <w:t>术提升为 </w:t>
      </w:r>
      <w:r>
        <w:rPr>
          <w:rFonts w:ascii="宋体" w:hAnsi="宋体" w:cs="宋体" w:eastAsia="宋体" w:hint="default"/>
        </w:rPr>
        <w:t>4</w:t>
      </w:r>
      <w:r>
        <w:rPr>
          <w:rFonts w:ascii="宋体" w:hAnsi="宋体" w:cs="宋体" w:eastAsia="宋体" w:hint="default"/>
          <w:spacing w:val="-40"/>
        </w:rPr>
        <w:t> </w:t>
      </w:r>
      <w:r>
        <w:rPr/>
        <w:t>寸生长技术，使得外延片产品生长的均匀性上有了新的突破，同时通过对外 延结构中不同沉降物厚度的调整，以及增加反射涂层，提升了外延亮度。</w:t>
      </w:r>
    </w:p>
    <w:p>
      <w:pPr>
        <w:spacing w:line="240" w:lineRule="auto" w:before="7"/>
        <w:rPr>
          <w:rFonts w:ascii="宋体" w:hAnsi="宋体" w:cs="宋体" w:eastAsia="宋体" w:hint="default"/>
          <w:sz w:val="21"/>
          <w:szCs w:val="21"/>
        </w:rPr>
      </w:pPr>
    </w:p>
    <w:p>
      <w:pPr>
        <w:pStyle w:val="BodyText"/>
        <w:spacing w:line="237" w:lineRule="auto"/>
        <w:ind w:left="238" w:right="241"/>
        <w:jc w:val="both"/>
      </w:pPr>
      <w:r>
        <w:rPr>
          <w:spacing w:val="-5"/>
        </w:rPr>
        <w:t>在照明产品领域，公司专注技术、产业和市场，在不断提升产品研发和制造能力的同时，</w:t>
      </w:r>
      <w:r>
        <w:rPr>
          <w:spacing w:val="-85"/>
        </w:rPr>
        <w:t> </w:t>
      </w:r>
      <w:r>
        <w:rPr>
          <w:spacing w:val="-85"/>
        </w:rPr>
      </w:r>
      <w:r>
        <w:rPr>
          <w:spacing w:val="-6"/>
        </w:rPr>
        <w:t>建立全球销售网络，迅速提升全球化的销售能力、报告期内，公司以蜡烛灯，</w:t>
      </w:r>
      <w:r>
        <w:rPr>
          <w:rFonts w:ascii="宋体" w:hAnsi="宋体" w:cs="宋体" w:eastAsia="宋体" w:hint="default"/>
          <w:spacing w:val="-6"/>
        </w:rPr>
        <w:t>HELLO</w:t>
      </w:r>
      <w:r>
        <w:rPr>
          <w:rFonts w:ascii="宋体" w:hAnsi="宋体" w:cs="宋体" w:eastAsia="宋体" w:hint="default"/>
          <w:spacing w:val="-51"/>
        </w:rPr>
        <w:t> </w:t>
      </w:r>
      <w:r>
        <w:rPr>
          <w:rFonts w:ascii="宋体" w:hAnsi="宋体" w:cs="宋体" w:eastAsia="宋体" w:hint="default"/>
        </w:rPr>
        <w:t>KITTY</w:t>
      </w:r>
      <w:r>
        <w:rPr>
          <w:rFonts w:ascii="宋体" w:hAnsi="宋体" w:cs="宋体" w:eastAsia="宋体" w:hint="default"/>
          <w:spacing w:val="-118"/>
        </w:rPr>
        <w:t> </w:t>
      </w:r>
      <w:r>
        <w:rPr>
          <w:rFonts w:ascii="宋体" w:hAnsi="宋体" w:cs="宋体" w:eastAsia="宋体" w:hint="default"/>
          <w:spacing w:val="-118"/>
        </w:rPr>
      </w:r>
      <w:r>
        <w:rPr/>
        <w:t>艺术灯系列产品等集装饰、照明功能及艺术效果于一身装饰照明产品为主要发展方向，</w:t>
      </w:r>
      <w:r>
        <w:rPr>
          <w:spacing w:val="-51"/>
        </w:rPr>
        <w:t> </w:t>
      </w:r>
      <w:r>
        <w:rPr>
          <w:spacing w:val="-51"/>
        </w:rPr>
      </w:r>
      <w:r>
        <w:rPr/>
        <w:t>并已取得了</w:t>
      </w:r>
      <w:r>
        <w:rPr>
          <w:spacing w:val="-61"/>
        </w:rPr>
        <w:t> </w:t>
      </w:r>
      <w:r>
        <w:rPr>
          <w:rFonts w:ascii="宋体" w:hAnsi="宋体" w:cs="宋体" w:eastAsia="宋体" w:hint="default"/>
        </w:rPr>
        <w:t>Hello Kitty</w:t>
      </w:r>
      <w:r>
        <w:rPr/>
        <w:t>、 </w:t>
      </w:r>
      <w:r>
        <w:rPr>
          <w:rFonts w:ascii="宋体" w:hAnsi="宋体" w:cs="宋体" w:eastAsia="宋体" w:hint="default"/>
        </w:rPr>
        <w:t>My Melody</w:t>
      </w:r>
      <w:r>
        <w:rPr/>
        <w:t>、</w:t>
      </w:r>
      <w:r>
        <w:rPr>
          <w:rFonts w:ascii="宋体" w:hAnsi="宋体" w:cs="宋体" w:eastAsia="宋体" w:hint="default"/>
        </w:rPr>
        <w:t>Badbadtz-Maru</w:t>
      </w:r>
      <w:r>
        <w:rPr>
          <w:rFonts w:ascii="宋体" w:hAnsi="宋体" w:cs="宋体" w:eastAsia="宋体" w:hint="default"/>
          <w:spacing w:val="-60"/>
        </w:rPr>
        <w:t> </w:t>
      </w:r>
      <w:r>
        <w:rPr/>
        <w:t>等的装饰灯品牌专营权。</w:t>
      </w:r>
    </w:p>
    <w:p>
      <w:pPr>
        <w:spacing w:line="240" w:lineRule="auto" w:before="10"/>
        <w:rPr>
          <w:rFonts w:ascii="宋体" w:hAnsi="宋体" w:cs="宋体" w:eastAsia="宋体" w:hint="default"/>
          <w:sz w:val="23"/>
          <w:szCs w:val="23"/>
        </w:rPr>
      </w:pPr>
    </w:p>
    <w:p>
      <w:pPr>
        <w:pStyle w:val="BodyText"/>
        <w:spacing w:line="237" w:lineRule="auto"/>
        <w:ind w:left="238" w:right="241"/>
        <w:jc w:val="both"/>
      </w:pPr>
      <w:r>
        <w:rPr/>
        <w:t>在光电工程领域，报告期内，公司承接了在国家体育场•鸟巢举行的 </w:t>
      </w:r>
      <w:r>
        <w:rPr>
          <w:rFonts w:ascii="宋体" w:hAnsi="宋体" w:cs="宋体" w:eastAsia="宋体" w:hint="default"/>
        </w:rPr>
        <w:t>2015</w:t>
      </w:r>
      <w:r>
        <w:rPr>
          <w:rFonts w:ascii="宋体" w:hAnsi="宋体" w:cs="宋体" w:eastAsia="宋体" w:hint="default"/>
          <w:spacing w:val="-39"/>
        </w:rPr>
        <w:t> </w:t>
      </w:r>
      <w:r>
        <w:rPr/>
        <w:t>年北京国际田 联世界田径锦标赛，为赛场提供了</w:t>
      </w:r>
      <w:r>
        <w:rPr>
          <w:spacing w:val="-41"/>
        </w:rPr>
        <w:t> </w:t>
      </w:r>
      <w:r>
        <w:rPr>
          <w:rFonts w:ascii="宋体" w:hAnsi="宋体" w:cs="宋体" w:eastAsia="宋体" w:hint="default"/>
        </w:rPr>
        <w:t>LED</w:t>
      </w:r>
      <w:r>
        <w:rPr>
          <w:rFonts w:ascii="宋体" w:hAnsi="宋体" w:cs="宋体" w:eastAsia="宋体" w:hint="default"/>
          <w:spacing w:val="-41"/>
        </w:rPr>
        <w:t> </w:t>
      </w:r>
      <w:r>
        <w:rPr/>
        <w:t>户外节能屏系列解决方案，四块巨型</w:t>
      </w:r>
      <w:r>
        <w:rPr>
          <w:spacing w:val="-40"/>
        </w:rPr>
        <w:t> </w:t>
      </w:r>
      <w:r>
        <w:rPr>
          <w:rFonts w:ascii="宋体" w:hAnsi="宋体" w:cs="宋体" w:eastAsia="宋体" w:hint="default"/>
        </w:rPr>
        <w:t>LED</w:t>
      </w:r>
      <w:r>
        <w:rPr>
          <w:rFonts w:ascii="宋体" w:hAnsi="宋体" w:cs="宋体" w:eastAsia="宋体" w:hint="default"/>
          <w:spacing w:val="-41"/>
        </w:rPr>
        <w:t> </w:t>
      </w:r>
      <w:r>
        <w:rPr/>
        <w:t>大屏分 布在鸟巢看台四周，主要用于计时记分显示及赛况转播。公司还相继服务江苏大剧院泛</w:t>
      </w:r>
      <w:r>
        <w:rPr>
          <w:spacing w:val="-51"/>
        </w:rPr>
        <w:t> </w:t>
      </w:r>
      <w:r>
        <w:rPr>
          <w:spacing w:val="-51"/>
        </w:rPr>
      </w:r>
      <w:r>
        <w:rPr/>
        <w:t>光照明工程、重庆大剧院夜景照明工程及浙江杭州钱江新城核心区主题灯光二期亮灯工</w:t>
      </w:r>
      <w:r>
        <w:rPr>
          <w:spacing w:val="-51"/>
        </w:rPr>
        <w:t> </w:t>
      </w:r>
      <w:r>
        <w:rPr>
          <w:spacing w:val="-51"/>
        </w:rPr>
      </w:r>
      <w:r>
        <w:rPr/>
        <w:t>程等多个城市标志性建筑景观照明工程。此外，由公司参建的新疆库尔勒市天鹅河景观</w:t>
      </w:r>
      <w:r>
        <w:rPr>
          <w:spacing w:val="-51"/>
        </w:rPr>
        <w:t> </w:t>
      </w:r>
      <w:r>
        <w:rPr>
          <w:spacing w:val="-51"/>
        </w:rPr>
      </w:r>
      <w:r>
        <w:rPr/>
        <w:t>工程获得由中国市政工程协会组织评选、代表国内市政工程行业的最高荣誉的“全国市</w:t>
      </w:r>
      <w:r>
        <w:rPr>
          <w:spacing w:val="-51"/>
        </w:rPr>
        <w:t> </w:t>
      </w:r>
      <w:r>
        <w:rPr>
          <w:spacing w:val="-51"/>
        </w:rPr>
      </w:r>
      <w:r>
        <w:rPr/>
        <w:t>政金杯示范工程”，该工程亦获得“新疆市政金杯示范工程”奖。</w:t>
      </w:r>
    </w:p>
    <w:p>
      <w:pPr>
        <w:spacing w:line="240" w:lineRule="auto" w:before="7"/>
        <w:rPr>
          <w:rFonts w:ascii="宋体" w:hAnsi="宋体" w:cs="宋体" w:eastAsia="宋体" w:hint="default"/>
          <w:sz w:val="23"/>
          <w:szCs w:val="23"/>
        </w:rPr>
      </w:pPr>
    </w:p>
    <w:p>
      <w:pPr>
        <w:pStyle w:val="Heading3"/>
        <w:tabs>
          <w:tab w:pos="1078" w:val="left" w:leader="none"/>
        </w:tabs>
        <w:spacing w:line="240" w:lineRule="auto"/>
        <w:ind w:right="110"/>
        <w:jc w:val="left"/>
        <w:rPr>
          <w:b w:val="0"/>
          <w:bCs w:val="0"/>
        </w:rPr>
      </w:pPr>
      <w:r>
        <w:rPr>
          <w:rFonts w:ascii="宋体" w:hAnsi="宋体" w:cs="宋体" w:eastAsia="宋体" w:hint="default"/>
        </w:rPr>
        <w:t>D.</w:t>
        <w:tab/>
      </w:r>
      <w:r>
        <w:rPr/>
        <w:t>水务</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left="238" w:right="240"/>
        <w:jc w:val="both"/>
      </w:pPr>
      <w:r>
        <w:rPr>
          <w:rFonts w:ascii="宋体" w:hAnsi="宋体" w:cs="宋体" w:eastAsia="宋体" w:hint="default"/>
        </w:rPr>
        <w:t>2015</w:t>
      </w:r>
      <w:r>
        <w:rPr>
          <w:rFonts w:ascii="宋体" w:hAnsi="宋体" w:cs="宋体" w:eastAsia="宋体" w:hint="default"/>
          <w:spacing w:val="-39"/>
        </w:rPr>
        <w:t> </w:t>
      </w:r>
      <w:r>
        <w:rPr/>
        <w:t>年，公司充分把握《水污染防治行动计划》</w:t>
      </w:r>
      <w:r>
        <w:rPr>
          <w:rFonts w:ascii="宋体" w:hAnsi="宋体" w:cs="宋体" w:eastAsia="宋体" w:hint="default"/>
        </w:rPr>
        <w:t>(</w:t>
      </w:r>
      <w:r>
        <w:rPr/>
        <w:t>水十条</w:t>
      </w:r>
      <w:r>
        <w:rPr>
          <w:rFonts w:ascii="宋体" w:hAnsi="宋体" w:cs="宋体" w:eastAsia="宋体" w:hint="default"/>
        </w:rPr>
        <w:t>)</w:t>
      </w:r>
      <w:r>
        <w:rPr/>
        <w:t>等一系列国家政策支持下，为 水务市场带来的广阔的发展空间，充分发挥龙江环保、淮安同方、惠州同方自身所在的</w:t>
      </w:r>
      <w:r>
        <w:rPr>
          <w:spacing w:val="-50"/>
        </w:rPr>
        <w:t> </w:t>
      </w:r>
      <w:r>
        <w:rPr>
          <w:spacing w:val="-50"/>
        </w:rPr>
      </w:r>
      <w:r>
        <w:rPr/>
        <w:t>区域优势，进一步做大做强涵盖污水处理、自来水供应的城市水务特许经营市场。截至</w:t>
      </w:r>
      <w:r>
        <w:rPr>
          <w:spacing w:val="-51"/>
        </w:rPr>
        <w:t> </w:t>
      </w:r>
      <w:r>
        <w:rPr>
          <w:spacing w:val="-51"/>
        </w:rPr>
      </w:r>
      <w:r>
        <w:rPr/>
        <w:t>本报告期末，公司已实现污水处理规模</w:t>
      </w:r>
      <w:r>
        <w:rPr>
          <w:spacing w:val="-69"/>
        </w:rPr>
        <w:t> </w:t>
      </w:r>
      <w:r>
        <w:rPr>
          <w:rFonts w:ascii="宋体" w:hAnsi="宋体" w:cs="宋体" w:eastAsia="宋体" w:hint="default"/>
        </w:rPr>
        <w:t>303.5</w:t>
      </w:r>
      <w:r>
        <w:rPr>
          <w:rFonts w:ascii="宋体" w:hAnsi="宋体" w:cs="宋体" w:eastAsia="宋体" w:hint="default"/>
          <w:spacing w:val="-69"/>
        </w:rPr>
        <w:t> </w:t>
      </w:r>
      <w:r>
        <w:rPr/>
        <w:t>万吨</w:t>
      </w:r>
      <w:r>
        <w:rPr>
          <w:rFonts w:ascii="宋体" w:hAnsi="宋体" w:cs="宋体" w:eastAsia="宋体" w:hint="default"/>
        </w:rPr>
        <w:t>/</w:t>
      </w:r>
      <w:r>
        <w:rPr/>
        <w:t>日、自来水供水规模</w:t>
      </w:r>
      <w:r>
        <w:rPr>
          <w:spacing w:val="-69"/>
        </w:rPr>
        <w:t> </w:t>
      </w:r>
      <w:r>
        <w:rPr>
          <w:rFonts w:ascii="宋体" w:hAnsi="宋体" w:cs="宋体" w:eastAsia="宋体" w:hint="default"/>
        </w:rPr>
        <w:t>80</w:t>
      </w:r>
      <w:r>
        <w:rPr>
          <w:rFonts w:ascii="宋体" w:hAnsi="宋体" w:cs="宋体" w:eastAsia="宋体" w:hint="default"/>
          <w:spacing w:val="-69"/>
        </w:rPr>
        <w:t> </w:t>
      </w:r>
      <w:r>
        <w:rPr/>
        <w:t>万吨</w:t>
      </w:r>
      <w:r>
        <w:rPr>
          <w:rFonts w:ascii="宋体" w:hAnsi="宋体" w:cs="宋体" w:eastAsia="宋体" w:hint="default"/>
        </w:rPr>
        <w:t>/</w:t>
      </w:r>
      <w:r>
        <w:rPr/>
        <w:t>日、污</w:t>
      </w:r>
    </w:p>
    <w:p>
      <w:pPr>
        <w:pStyle w:val="BodyText"/>
        <w:spacing w:line="311" w:lineRule="exact"/>
        <w:ind w:left="238" w:right="0"/>
        <w:jc w:val="both"/>
      </w:pPr>
      <w:r>
        <w:rPr/>
        <w:t>泥处理规模</w:t>
      </w:r>
      <w:r>
        <w:rPr>
          <w:spacing w:val="-68"/>
        </w:rPr>
        <w:t> </w:t>
      </w:r>
      <w:r>
        <w:rPr>
          <w:rFonts w:ascii="宋体" w:hAnsi="宋体" w:cs="宋体" w:eastAsia="宋体" w:hint="default"/>
        </w:rPr>
        <w:t>1080</w:t>
      </w:r>
      <w:r>
        <w:rPr>
          <w:rFonts w:ascii="宋体" w:hAnsi="宋体" w:cs="宋体" w:eastAsia="宋体" w:hint="default"/>
          <w:spacing w:val="-68"/>
        </w:rPr>
        <w:t> </w:t>
      </w:r>
      <w:r>
        <w:rPr/>
        <w:t>吨</w:t>
      </w:r>
      <w:r>
        <w:rPr>
          <w:rFonts w:ascii="宋体" w:hAnsi="宋体" w:cs="宋体" w:eastAsia="宋体" w:hint="default"/>
        </w:rPr>
        <w:t>/</w:t>
      </w:r>
      <w:r>
        <w:rPr>
          <w:spacing w:val="2"/>
        </w:rPr>
        <w:t>日</w:t>
      </w:r>
      <w:r>
        <w:rPr>
          <w:spacing w:val="-120"/>
        </w:rPr>
        <w:t>。</w:t>
      </w:r>
      <w:r>
        <w:rPr/>
        <w:t>其中</w:t>
      </w:r>
      <w:r>
        <w:rPr>
          <w:spacing w:val="-120"/>
        </w:rPr>
        <w:t>，</w:t>
      </w:r>
      <w:r>
        <w:rPr/>
        <w:t>公司在黑龙江省业务已遍及省内</w:t>
      </w:r>
      <w:r>
        <w:rPr>
          <w:spacing w:val="-66"/>
        </w:rPr>
        <w:t> </w:t>
      </w:r>
      <w:r>
        <w:rPr>
          <w:rFonts w:ascii="宋体" w:hAnsi="宋体" w:cs="宋体" w:eastAsia="宋体" w:hint="default"/>
        </w:rPr>
        <w:t>7</w:t>
      </w:r>
      <w:r>
        <w:rPr>
          <w:rFonts w:ascii="宋体" w:hAnsi="宋体" w:cs="宋体" w:eastAsia="宋体" w:hint="default"/>
          <w:spacing w:val="-68"/>
        </w:rPr>
        <w:t> </w:t>
      </w:r>
      <w:r>
        <w:rPr/>
        <w:t>个</w:t>
      </w:r>
      <w:r>
        <w:rPr>
          <w:spacing w:val="2"/>
        </w:rPr>
        <w:t>地</w:t>
      </w:r>
      <w:r>
        <w:rPr/>
        <w:t>市</w:t>
      </w:r>
      <w:r>
        <w:rPr>
          <w:spacing w:val="-67"/>
        </w:rPr>
        <w:t> </w:t>
      </w:r>
      <w:r>
        <w:rPr>
          <w:rFonts w:ascii="宋体" w:hAnsi="宋体" w:cs="宋体" w:eastAsia="宋体" w:hint="default"/>
        </w:rPr>
        <w:t>14</w:t>
      </w:r>
      <w:r>
        <w:rPr>
          <w:rFonts w:ascii="宋体" w:hAnsi="宋体" w:cs="宋体" w:eastAsia="宋体" w:hint="default"/>
          <w:spacing w:val="-68"/>
        </w:rPr>
        <w:t> </w:t>
      </w:r>
      <w:r>
        <w:rPr/>
        <w:t>个县</w:t>
      </w:r>
      <w:r>
        <w:rPr>
          <w:rFonts w:ascii="宋体" w:hAnsi="宋体" w:cs="宋体" w:eastAsia="宋体" w:hint="default"/>
        </w:rPr>
        <w:t>(</w:t>
      </w:r>
      <w:r>
        <w:rPr/>
        <w:t>区</w:t>
      </w:r>
      <w:r>
        <w:rPr>
          <w:rFonts w:ascii="宋体" w:hAnsi="宋体" w:cs="宋体" w:eastAsia="宋体" w:hint="default"/>
        </w:rPr>
        <w:t>)</w:t>
      </w:r>
      <w:r>
        <w:rPr/>
        <w:t>市，</w:t>
      </w:r>
    </w:p>
    <w:p>
      <w:pPr>
        <w:pStyle w:val="BodyText"/>
        <w:spacing w:line="237" w:lineRule="auto" w:before="1"/>
        <w:ind w:left="238" w:right="240"/>
        <w:jc w:val="both"/>
      </w:pPr>
      <w:r>
        <w:rPr/>
        <w:t>拥有污水项目</w:t>
      </w:r>
      <w:r>
        <w:rPr>
          <w:spacing w:val="-60"/>
        </w:rPr>
        <w:t> </w:t>
      </w:r>
      <w:r>
        <w:rPr>
          <w:rFonts w:ascii="宋体" w:hAnsi="宋体" w:cs="宋体" w:eastAsia="宋体" w:hint="default"/>
        </w:rPr>
        <w:t>28</w:t>
      </w:r>
      <w:r>
        <w:rPr>
          <w:rFonts w:ascii="宋体" w:hAnsi="宋体" w:cs="宋体" w:eastAsia="宋体" w:hint="default"/>
          <w:spacing w:val="-59"/>
        </w:rPr>
        <w:t> </w:t>
      </w:r>
      <w:r>
        <w:rPr>
          <w:spacing w:val="-12"/>
        </w:rPr>
        <w:t>项、供水项目</w:t>
      </w:r>
      <w:r>
        <w:rPr>
          <w:spacing w:val="-59"/>
        </w:rPr>
        <w:t> </w:t>
      </w:r>
      <w:r>
        <w:rPr>
          <w:rFonts w:ascii="宋体" w:hAnsi="宋体" w:cs="宋体" w:eastAsia="宋体" w:hint="default"/>
        </w:rPr>
        <w:t>3</w:t>
      </w:r>
      <w:r>
        <w:rPr>
          <w:rFonts w:ascii="宋体" w:hAnsi="宋体" w:cs="宋体" w:eastAsia="宋体" w:hint="default"/>
          <w:spacing w:val="-59"/>
        </w:rPr>
        <w:t> </w:t>
      </w:r>
      <w:r>
        <w:rPr>
          <w:spacing w:val="-12"/>
        </w:rPr>
        <w:t>项、污泥项目</w:t>
      </w:r>
      <w:r>
        <w:rPr>
          <w:spacing w:val="-59"/>
        </w:rPr>
        <w:t> </w:t>
      </w:r>
      <w:r>
        <w:rPr>
          <w:rFonts w:ascii="宋体" w:hAnsi="宋体" w:cs="宋体" w:eastAsia="宋体" w:hint="default"/>
        </w:rPr>
        <w:t>6</w:t>
      </w:r>
      <w:r>
        <w:rPr>
          <w:rFonts w:ascii="宋体" w:hAnsi="宋体" w:cs="宋体" w:eastAsia="宋体" w:hint="default"/>
          <w:spacing w:val="-59"/>
        </w:rPr>
        <w:t> </w:t>
      </w:r>
      <w:r>
        <w:rPr>
          <w:spacing w:val="-5"/>
        </w:rPr>
        <w:t>项，占据黑龙江省城市污水处理市场</w:t>
      </w:r>
      <w:r>
        <w:rPr>
          <w:spacing w:val="-59"/>
        </w:rPr>
        <w:t> </w:t>
      </w:r>
      <w:r>
        <w:rPr>
          <w:rFonts w:ascii="宋体" w:hAnsi="宋体" w:cs="宋体" w:eastAsia="宋体" w:hint="default"/>
        </w:rPr>
        <w:t>60% </w:t>
      </w:r>
      <w:r>
        <w:rPr/>
        <w:t>份额、污泥处理业务</w:t>
      </w:r>
      <w:r>
        <w:rPr>
          <w:spacing w:val="-79"/>
        </w:rPr>
        <w:t> </w:t>
      </w:r>
      <w:r>
        <w:rPr>
          <w:rFonts w:ascii="宋体" w:hAnsi="宋体" w:cs="宋体" w:eastAsia="宋体" w:hint="default"/>
        </w:rPr>
        <w:t>90%</w:t>
      </w:r>
      <w:r>
        <w:rPr/>
        <w:t>份额，担负全省</w:t>
      </w:r>
      <w:r>
        <w:rPr>
          <w:spacing w:val="-79"/>
        </w:rPr>
        <w:t> </w:t>
      </w:r>
      <w:r>
        <w:rPr>
          <w:rFonts w:ascii="宋体" w:hAnsi="宋体" w:cs="宋体" w:eastAsia="宋体" w:hint="default"/>
        </w:rPr>
        <w:t>70%</w:t>
      </w:r>
      <w:r>
        <w:rPr/>
        <w:t>的污水减排任务。报告期内，公司还先后与 呼兰供排水集团签订呼兰老城区第二污水处理厂项目前期合作框架协议，与双鸭山市污</w:t>
      </w:r>
      <w:r>
        <w:rPr>
          <w:spacing w:val="-50"/>
        </w:rPr>
        <w:t> </w:t>
      </w:r>
      <w:r>
        <w:rPr>
          <w:spacing w:val="-50"/>
        </w:rPr>
      </w:r>
      <w:r>
        <w:rPr/>
        <w:t>水厂正式签订一期</w:t>
      </w:r>
      <w:r>
        <w:rPr>
          <w:spacing w:val="-61"/>
        </w:rPr>
        <w:t> </w:t>
      </w:r>
      <w:r>
        <w:rPr>
          <w:rFonts w:ascii="宋体" w:hAnsi="宋体" w:cs="宋体" w:eastAsia="宋体" w:hint="default"/>
        </w:rPr>
        <w:t>TOT</w:t>
      </w:r>
      <w:r>
        <w:rPr/>
        <w:t>、污水厂二期</w:t>
      </w:r>
      <w:r>
        <w:rPr>
          <w:spacing w:val="-60"/>
        </w:rPr>
        <w:t> </w:t>
      </w:r>
      <w:r>
        <w:rPr>
          <w:rFonts w:ascii="宋体" w:hAnsi="宋体" w:cs="宋体" w:eastAsia="宋体" w:hint="default"/>
        </w:rPr>
        <w:t>BOT</w:t>
      </w:r>
      <w:r>
        <w:rPr>
          <w:rFonts w:ascii="宋体" w:hAnsi="宋体" w:cs="宋体" w:eastAsia="宋体" w:hint="default"/>
          <w:spacing w:val="-60"/>
        </w:rPr>
        <w:t> </w:t>
      </w:r>
      <w:r>
        <w:rPr/>
        <w:t>项目特许经营协议。</w:t>
      </w:r>
    </w:p>
    <w:p>
      <w:pPr>
        <w:spacing w:line="240" w:lineRule="auto" w:before="7"/>
        <w:rPr>
          <w:rFonts w:ascii="宋体" w:hAnsi="宋体" w:cs="宋体" w:eastAsia="宋体" w:hint="default"/>
          <w:sz w:val="23"/>
          <w:szCs w:val="23"/>
        </w:rPr>
      </w:pPr>
    </w:p>
    <w:p>
      <w:pPr>
        <w:pStyle w:val="Heading3"/>
        <w:spacing w:line="240" w:lineRule="auto"/>
        <w:ind w:right="110"/>
        <w:jc w:val="left"/>
        <w:rPr>
          <w:b w:val="0"/>
          <w:bCs w:val="0"/>
        </w:rPr>
      </w:pPr>
      <w:r>
        <w:rPr>
          <w:rFonts w:ascii="宋体" w:hAnsi="宋体" w:cs="宋体" w:eastAsia="宋体" w:hint="default"/>
        </w:rPr>
        <w:t>(2)</w:t>
      </w:r>
      <w:r>
        <w:rPr/>
        <w:t>订单分析</w:t>
      </w:r>
      <w:r>
        <w:rPr>
          <w:b w:val="0"/>
          <w:bCs w:val="0"/>
        </w:rPr>
      </w:r>
    </w:p>
    <w:p>
      <w:pPr>
        <w:spacing w:line="240" w:lineRule="auto" w:before="12"/>
        <w:rPr>
          <w:rFonts w:ascii="宋体" w:hAnsi="宋体" w:cs="宋体" w:eastAsia="宋体" w:hint="default"/>
          <w:b/>
          <w:bCs/>
          <w:sz w:val="23"/>
          <w:szCs w:val="23"/>
        </w:rPr>
      </w:pPr>
    </w:p>
    <w:p>
      <w:pPr>
        <w:pStyle w:val="BodyText"/>
        <w:spacing w:line="237" w:lineRule="auto"/>
        <w:ind w:left="238" w:right="241"/>
        <w:jc w:val="both"/>
      </w:pPr>
      <w:r>
        <w:rPr>
          <w:spacing w:val="-2"/>
        </w:rPr>
        <w:t>本报告期内，公司新签合同</w:t>
      </w:r>
      <w:r>
        <w:rPr>
          <w:rFonts w:ascii="宋体" w:hAnsi="宋体" w:cs="宋体" w:eastAsia="宋体" w:hint="default"/>
          <w:spacing w:val="-2"/>
        </w:rPr>
        <w:t>/</w:t>
      </w:r>
      <w:r>
        <w:rPr>
          <w:spacing w:val="-2"/>
        </w:rPr>
        <w:t>订单总金额约</w:t>
      </w:r>
      <w:r>
        <w:rPr>
          <w:spacing w:val="-58"/>
        </w:rPr>
        <w:t> </w:t>
      </w:r>
      <w:r>
        <w:rPr>
          <w:rFonts w:ascii="宋体" w:hAnsi="宋体" w:cs="宋体" w:eastAsia="宋体" w:hint="default"/>
        </w:rPr>
        <w:t>312.63</w:t>
      </w:r>
      <w:r>
        <w:rPr>
          <w:rFonts w:ascii="宋体" w:hAnsi="宋体" w:cs="宋体" w:eastAsia="宋体" w:hint="default"/>
          <w:spacing w:val="-58"/>
        </w:rPr>
        <w:t> </w:t>
      </w:r>
      <w:r>
        <w:rPr>
          <w:spacing w:val="-28"/>
        </w:rPr>
        <w:t>亿元，，较</w:t>
      </w:r>
      <w:r>
        <w:rPr>
          <w:spacing w:val="-58"/>
        </w:rPr>
        <w:t> </w:t>
      </w:r>
      <w:r>
        <w:rPr>
          <w:rFonts w:ascii="宋体" w:hAnsi="宋体" w:cs="宋体" w:eastAsia="宋体" w:hint="default"/>
        </w:rPr>
        <w:t>2014</w:t>
      </w:r>
      <w:r>
        <w:rPr>
          <w:rFonts w:ascii="宋体" w:hAnsi="宋体" w:cs="宋体" w:eastAsia="宋体" w:hint="default"/>
          <w:spacing w:val="-58"/>
        </w:rPr>
        <w:t> </w:t>
      </w:r>
      <w:r>
        <w:rPr/>
        <w:t>年度的</w:t>
      </w:r>
      <w:r>
        <w:rPr>
          <w:spacing w:val="-58"/>
        </w:rPr>
        <w:t> </w:t>
      </w:r>
      <w:r>
        <w:rPr>
          <w:rFonts w:ascii="宋体" w:hAnsi="宋体" w:cs="宋体" w:eastAsia="宋体" w:hint="default"/>
        </w:rPr>
        <w:t>296.55</w:t>
      </w:r>
      <w:r>
        <w:rPr>
          <w:rFonts w:ascii="宋体" w:hAnsi="宋体" w:cs="宋体" w:eastAsia="宋体" w:hint="default"/>
          <w:spacing w:val="-58"/>
        </w:rPr>
        <w:t> </w:t>
      </w:r>
      <w:r>
        <w:rPr/>
        <w:t>亿元相 比增长了</w:t>
      </w:r>
      <w:r>
        <w:rPr>
          <w:spacing w:val="-54"/>
        </w:rPr>
        <w:t> </w:t>
      </w:r>
      <w:r>
        <w:rPr>
          <w:rFonts w:ascii="宋体" w:hAnsi="宋体" w:cs="宋体" w:eastAsia="宋体" w:hint="default"/>
          <w:spacing w:val="-3"/>
        </w:rPr>
        <w:t>5.42%</w:t>
      </w:r>
      <w:r>
        <w:rPr>
          <w:spacing w:val="-3"/>
        </w:rPr>
        <w:t>，有效保障了公司营业收入的稳步增长。尤其随着公司在各行业市场核心</w:t>
      </w:r>
      <w:r>
        <w:rPr/>
        <w:t> 竞争力和品牌影响力的不断提升，行业“排头兵”和“国家队”的效应凸显，重大合同</w:t>
      </w:r>
      <w:r>
        <w:rPr>
          <w:spacing w:val="-51"/>
        </w:rPr>
        <w:t> </w:t>
      </w:r>
      <w:r>
        <w:rPr>
          <w:spacing w:val="-51"/>
        </w:rPr>
      </w:r>
      <w:r>
        <w:rPr/>
        <w:t>承接金额较上一年度相比获得了较大的增长。截至本报告期末，签约金额超过</w:t>
      </w:r>
      <w:r>
        <w:rPr>
          <w:spacing w:val="-78"/>
        </w:rPr>
        <w:t> </w:t>
      </w:r>
      <w:r>
        <w:rPr>
          <w:rFonts w:ascii="宋体" w:hAnsi="宋体" w:cs="宋体" w:eastAsia="宋体" w:hint="default"/>
        </w:rPr>
        <w:t>5000</w:t>
      </w:r>
      <w:r>
        <w:rPr>
          <w:rFonts w:ascii="宋体" w:hAnsi="宋体" w:cs="宋体" w:eastAsia="宋体" w:hint="default"/>
          <w:spacing w:val="-78"/>
        </w:rPr>
        <w:t> </w:t>
      </w:r>
      <w:r>
        <w:rPr/>
        <w:t>万元 的重大合同</w:t>
      </w:r>
      <w:r>
        <w:rPr>
          <w:rFonts w:ascii="宋体" w:hAnsi="宋体" w:cs="宋体" w:eastAsia="宋体" w:hint="default"/>
        </w:rPr>
        <w:t>/</w:t>
      </w:r>
      <w:r>
        <w:rPr/>
        <w:t>订单情况如下：</w:t>
      </w:r>
    </w:p>
    <w:p>
      <w:pPr>
        <w:spacing w:line="240" w:lineRule="auto" w:before="12"/>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3370"/>
        <w:gridCol w:w="1841"/>
        <w:gridCol w:w="1853"/>
        <w:gridCol w:w="2355"/>
      </w:tblGrid>
      <w:tr>
        <w:trPr>
          <w:trHeight w:val="296" w:hRule="exact"/>
        </w:trPr>
        <w:tc>
          <w:tcPr>
            <w:tcW w:w="3370"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left="614" w:right="0"/>
              <w:jc w:val="left"/>
              <w:rPr>
                <w:rFonts w:ascii="宋体" w:hAnsi="宋体" w:cs="宋体" w:eastAsia="宋体" w:hint="default"/>
                <w:sz w:val="21"/>
                <w:szCs w:val="21"/>
              </w:rPr>
            </w:pPr>
            <w:r>
              <w:rPr>
                <w:rFonts w:ascii="宋体" w:hAnsi="宋体" w:cs="宋体" w:eastAsia="宋体" w:hint="default"/>
                <w:b/>
                <w:bCs/>
                <w:sz w:val="21"/>
                <w:szCs w:val="21"/>
              </w:rPr>
              <w:t>合同类型</w:t>
            </w:r>
            <w:r>
              <w:rPr>
                <w:rFonts w:ascii="宋体" w:hAnsi="宋体" w:cs="宋体" w:eastAsia="宋体" w:hint="default"/>
                <w:b/>
                <w:bCs/>
                <w:sz w:val="21"/>
                <w:szCs w:val="21"/>
              </w:rPr>
              <w:t>(</w:t>
            </w:r>
            <w:r>
              <w:rPr>
                <w:rFonts w:ascii="宋体" w:hAnsi="宋体" w:cs="宋体" w:eastAsia="宋体" w:hint="default"/>
                <w:b/>
                <w:bCs/>
                <w:sz w:val="21"/>
                <w:szCs w:val="21"/>
              </w:rPr>
              <w:t>单位：亿元</w:t>
            </w:r>
            <w:r>
              <w:rPr>
                <w:rFonts w:ascii="宋体" w:hAnsi="宋体" w:cs="宋体" w:eastAsia="宋体" w:hint="default"/>
                <w:b/>
                <w:bCs/>
                <w:sz w:val="21"/>
                <w:szCs w:val="21"/>
              </w:rPr>
              <w:t>)</w:t>
            </w:r>
            <w:r>
              <w:rPr>
                <w:rFonts w:ascii="宋体" w:hAnsi="宋体" w:cs="宋体" w:eastAsia="宋体" w:hint="default"/>
                <w:sz w:val="21"/>
                <w:szCs w:val="21"/>
              </w:rPr>
            </w:r>
          </w:p>
        </w:tc>
        <w:tc>
          <w:tcPr>
            <w:tcW w:w="1841"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463" w:right="0"/>
              <w:jc w:val="left"/>
              <w:rPr>
                <w:rFonts w:ascii="宋体" w:hAnsi="宋体" w:cs="宋体" w:eastAsia="宋体" w:hint="default"/>
                <w:sz w:val="21"/>
                <w:szCs w:val="21"/>
              </w:rPr>
            </w:pPr>
            <w:r>
              <w:rPr>
                <w:rFonts w:ascii="宋体" w:hAnsi="宋体" w:cs="宋体" w:eastAsia="宋体" w:hint="default"/>
                <w:b/>
                <w:bCs/>
                <w:sz w:val="21"/>
                <w:szCs w:val="21"/>
              </w:rPr>
              <w:t>2015</w:t>
            </w:r>
            <w:r>
              <w:rPr>
                <w:rFonts w:ascii="宋体" w:hAnsi="宋体" w:cs="宋体" w:eastAsia="宋体" w:hint="default"/>
                <w:b/>
                <w:bCs/>
                <w:spacing w:val="-55"/>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853"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470" w:right="0"/>
              <w:jc w:val="left"/>
              <w:rPr>
                <w:rFonts w:ascii="宋体" w:hAnsi="宋体" w:cs="宋体" w:eastAsia="宋体" w:hint="default"/>
                <w:sz w:val="21"/>
                <w:szCs w:val="21"/>
              </w:rPr>
            </w:pPr>
            <w:r>
              <w:rPr>
                <w:rFonts w:ascii="宋体" w:hAnsi="宋体" w:cs="宋体" w:eastAsia="宋体" w:hint="default"/>
                <w:b/>
                <w:bCs/>
                <w:sz w:val="21"/>
                <w:szCs w:val="21"/>
              </w:rPr>
              <w:t>2014</w:t>
            </w:r>
            <w:r>
              <w:rPr>
                <w:rFonts w:ascii="宋体" w:hAnsi="宋体" w:cs="宋体" w:eastAsia="宋体" w:hint="default"/>
                <w:b/>
                <w:bCs/>
                <w:spacing w:val="-55"/>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2355"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left="5" w:right="0"/>
              <w:jc w:val="center"/>
              <w:rPr>
                <w:rFonts w:ascii="宋体" w:hAnsi="宋体" w:cs="宋体" w:eastAsia="宋体" w:hint="default"/>
                <w:sz w:val="21"/>
                <w:szCs w:val="21"/>
              </w:rPr>
            </w:pPr>
            <w:r>
              <w:rPr>
                <w:rFonts w:ascii="宋体" w:hAnsi="宋体" w:cs="宋体" w:eastAsia="宋体" w:hint="default"/>
                <w:b/>
                <w:bCs/>
                <w:sz w:val="21"/>
                <w:szCs w:val="21"/>
              </w:rPr>
              <w:t>增幅</w:t>
            </w:r>
            <w:r>
              <w:rPr>
                <w:rFonts w:ascii="宋体" w:hAnsi="宋体" w:cs="宋体" w:eastAsia="宋体" w:hint="default"/>
                <w:sz w:val="21"/>
                <w:szCs w:val="21"/>
              </w:rPr>
            </w:r>
          </w:p>
        </w:tc>
      </w:tr>
      <w:tr>
        <w:trPr>
          <w:trHeight w:val="288" w:hRule="exact"/>
        </w:trPr>
        <w:tc>
          <w:tcPr>
            <w:tcW w:w="3370"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合同金额超过</w:t>
            </w:r>
            <w:r>
              <w:rPr>
                <w:rFonts w:ascii="宋体" w:hAnsi="宋体" w:cs="宋体" w:eastAsia="宋体" w:hint="default"/>
                <w:spacing w:val="-52"/>
                <w:sz w:val="21"/>
                <w:szCs w:val="21"/>
              </w:rPr>
              <w:t> </w:t>
            </w:r>
            <w:r>
              <w:rPr>
                <w:rFonts w:ascii="宋体" w:hAnsi="宋体" w:cs="宋体" w:eastAsia="宋体" w:hint="default"/>
                <w:sz w:val="21"/>
                <w:szCs w:val="21"/>
              </w:rPr>
              <w:t>5000</w:t>
            </w:r>
            <w:r>
              <w:rPr>
                <w:rFonts w:ascii="宋体" w:hAnsi="宋体" w:cs="宋体" w:eastAsia="宋体" w:hint="default"/>
                <w:spacing w:val="-54"/>
                <w:sz w:val="21"/>
                <w:szCs w:val="21"/>
              </w:rPr>
              <w:t> </w:t>
            </w:r>
            <w:r>
              <w:rPr>
                <w:rFonts w:ascii="宋体" w:hAnsi="宋体" w:cs="宋体" w:eastAsia="宋体" w:hint="default"/>
                <w:sz w:val="21"/>
                <w:szCs w:val="21"/>
              </w:rPr>
              <w:t>万元</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Times New Roman" w:hAnsi="Times New Roman" w:cs="Times New Roman" w:eastAsia="Times New Roman" w:hint="default"/>
                <w:sz w:val="20"/>
                <w:szCs w:val="20"/>
              </w:rPr>
            </w:pPr>
            <w:r>
              <w:rPr>
                <w:rFonts w:ascii="Times New Roman"/>
                <w:sz w:val="20"/>
              </w:rPr>
              <w:t>87.66</w:t>
            </w:r>
          </w:p>
        </w:tc>
        <w:tc>
          <w:tcPr>
            <w:tcW w:w="18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Times New Roman" w:hAnsi="Times New Roman" w:cs="Times New Roman" w:eastAsia="Times New Roman" w:hint="default"/>
                <w:sz w:val="20"/>
                <w:szCs w:val="20"/>
              </w:rPr>
            </w:pPr>
            <w:r>
              <w:rPr>
                <w:rFonts w:ascii="Times New Roman"/>
                <w:sz w:val="20"/>
              </w:rPr>
              <w:t>42.74</w:t>
            </w:r>
          </w:p>
        </w:tc>
        <w:tc>
          <w:tcPr>
            <w:tcW w:w="235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2"/>
              <w:jc w:val="right"/>
              <w:rPr>
                <w:rFonts w:ascii="Times New Roman" w:hAnsi="Times New Roman" w:cs="Times New Roman" w:eastAsia="Times New Roman" w:hint="default"/>
                <w:sz w:val="20"/>
                <w:szCs w:val="20"/>
              </w:rPr>
            </w:pPr>
            <w:r>
              <w:rPr>
                <w:rFonts w:ascii="Times New Roman"/>
                <w:w w:val="95"/>
                <w:sz w:val="20"/>
              </w:rPr>
              <w:t>105.10%</w:t>
            </w:r>
            <w:r>
              <w:rPr>
                <w:rFonts w:ascii="Times New Roman"/>
                <w:sz w:val="20"/>
              </w:rPr>
            </w:r>
          </w:p>
        </w:tc>
      </w:tr>
      <w:tr>
        <w:trPr>
          <w:trHeight w:val="293" w:hRule="exact"/>
        </w:trPr>
        <w:tc>
          <w:tcPr>
            <w:tcW w:w="3370"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合同金额超过</w:t>
            </w:r>
            <w:r>
              <w:rPr>
                <w:rFonts w:ascii="宋体" w:hAnsi="宋体" w:cs="宋体" w:eastAsia="宋体" w:hint="default"/>
                <w:spacing w:val="-52"/>
                <w:sz w:val="21"/>
                <w:szCs w:val="21"/>
              </w:rPr>
              <w:t> </w:t>
            </w:r>
            <w:r>
              <w:rPr>
                <w:rFonts w:ascii="宋体" w:hAnsi="宋体" w:cs="宋体" w:eastAsia="宋体" w:hint="default"/>
                <w:sz w:val="21"/>
                <w:szCs w:val="21"/>
              </w:rPr>
              <w:t>10000</w:t>
            </w:r>
            <w:r>
              <w:rPr>
                <w:rFonts w:ascii="宋体" w:hAnsi="宋体" w:cs="宋体" w:eastAsia="宋体" w:hint="default"/>
                <w:spacing w:val="-54"/>
                <w:sz w:val="21"/>
                <w:szCs w:val="21"/>
              </w:rPr>
              <w:t> </w:t>
            </w:r>
            <w:r>
              <w:rPr>
                <w:rFonts w:ascii="宋体" w:hAnsi="宋体" w:cs="宋体" w:eastAsia="宋体" w:hint="default"/>
                <w:sz w:val="21"/>
                <w:szCs w:val="21"/>
              </w:rPr>
              <w:t>万元</w:t>
            </w:r>
          </w:p>
        </w:tc>
        <w:tc>
          <w:tcPr>
            <w:tcW w:w="184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5"/>
              <w:ind w:right="98"/>
              <w:jc w:val="right"/>
              <w:rPr>
                <w:rFonts w:ascii="Times New Roman" w:hAnsi="Times New Roman" w:cs="Times New Roman" w:eastAsia="Times New Roman" w:hint="default"/>
                <w:sz w:val="20"/>
                <w:szCs w:val="20"/>
              </w:rPr>
            </w:pPr>
            <w:r>
              <w:rPr>
                <w:rFonts w:ascii="Times New Roman"/>
                <w:sz w:val="20"/>
              </w:rPr>
              <w:t>61.74</w:t>
            </w:r>
          </w:p>
        </w:tc>
        <w:tc>
          <w:tcPr>
            <w:tcW w:w="185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5"/>
              <w:ind w:right="98"/>
              <w:jc w:val="right"/>
              <w:rPr>
                <w:rFonts w:ascii="Times New Roman" w:hAnsi="Times New Roman" w:cs="Times New Roman" w:eastAsia="Times New Roman" w:hint="default"/>
                <w:sz w:val="20"/>
                <w:szCs w:val="20"/>
              </w:rPr>
            </w:pPr>
            <w:r>
              <w:rPr>
                <w:rFonts w:ascii="Times New Roman"/>
                <w:sz w:val="20"/>
              </w:rPr>
              <w:t>25.32</w:t>
            </w:r>
          </w:p>
        </w:tc>
        <w:tc>
          <w:tcPr>
            <w:tcW w:w="235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5"/>
              <w:ind w:right="92"/>
              <w:jc w:val="right"/>
              <w:rPr>
                <w:rFonts w:ascii="Times New Roman" w:hAnsi="Times New Roman" w:cs="Times New Roman" w:eastAsia="Times New Roman" w:hint="default"/>
                <w:sz w:val="20"/>
                <w:szCs w:val="20"/>
              </w:rPr>
            </w:pPr>
            <w:r>
              <w:rPr>
                <w:rFonts w:ascii="Times New Roman"/>
                <w:w w:val="95"/>
                <w:sz w:val="20"/>
              </w:rPr>
              <w:t>143.82%</w:t>
            </w:r>
            <w:r>
              <w:rPr>
                <w:rFonts w:ascii="Times New Roman"/>
                <w:sz w:val="20"/>
              </w:rPr>
            </w:r>
          </w:p>
        </w:tc>
      </w:tr>
    </w:tbl>
    <w:p>
      <w:pPr>
        <w:spacing w:after="0" w:line="240" w:lineRule="auto"/>
        <w:jc w:val="right"/>
        <w:rPr>
          <w:rFonts w:ascii="Times New Roman" w:hAnsi="Times New Roman" w:cs="Times New Roman" w:eastAsia="Times New Roman" w:hint="default"/>
          <w:sz w:val="20"/>
          <w:szCs w:val="20"/>
        </w:rPr>
        <w:sectPr>
          <w:pgSz w:w="11910" w:h="16840"/>
          <w:pgMar w:header="628" w:footer="760" w:top="1020" w:bottom="960" w:left="1180" w:right="10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3"/>
        <w:spacing w:line="240" w:lineRule="auto" w:before="157"/>
        <w:ind w:right="110"/>
        <w:jc w:val="left"/>
        <w:rPr>
          <w:b w:val="0"/>
          <w:bCs w:val="0"/>
        </w:rPr>
      </w:pPr>
      <w:r>
        <w:rPr>
          <w:rFonts w:ascii="宋体" w:hAnsi="宋体" w:cs="宋体" w:eastAsia="宋体" w:hint="default"/>
        </w:rPr>
        <w:t>(3)</w:t>
      </w:r>
      <w:r>
        <w:rPr/>
        <w:t>成本分析表</w:t>
      </w:r>
      <w:r>
        <w:rPr>
          <w:b w:val="0"/>
          <w:bCs w:val="0"/>
        </w:rPr>
      </w:r>
    </w:p>
    <w:p>
      <w:pPr>
        <w:spacing w:line="240" w:lineRule="auto" w:before="10"/>
        <w:rPr>
          <w:rFonts w:ascii="宋体" w:hAnsi="宋体" w:cs="宋体" w:eastAsia="宋体" w:hint="default"/>
          <w:b/>
          <w:bCs/>
          <w:sz w:val="26"/>
          <w:szCs w:val="26"/>
        </w:rPr>
      </w:pPr>
    </w:p>
    <w:tbl>
      <w:tblPr>
        <w:tblW w:w="0" w:type="auto"/>
        <w:jc w:val="left"/>
        <w:tblInd w:w="116" w:type="dxa"/>
        <w:tblLayout w:type="fixed"/>
        <w:tblCellMar>
          <w:top w:w="0" w:type="dxa"/>
          <w:left w:w="0" w:type="dxa"/>
          <w:bottom w:w="0" w:type="dxa"/>
          <w:right w:w="0" w:type="dxa"/>
        </w:tblCellMar>
        <w:tblLook w:val="01E0"/>
      </w:tblPr>
      <w:tblGrid>
        <w:gridCol w:w="2509"/>
        <w:gridCol w:w="1457"/>
        <w:gridCol w:w="1515"/>
        <w:gridCol w:w="1514"/>
        <w:gridCol w:w="1198"/>
        <w:gridCol w:w="1226"/>
      </w:tblGrid>
      <w:tr>
        <w:trPr>
          <w:trHeight w:val="344" w:hRule="exact"/>
        </w:trPr>
        <w:tc>
          <w:tcPr>
            <w:tcW w:w="2509" w:type="dxa"/>
            <w:tcBorders>
              <w:top w:val="single" w:sz="12" w:space="0" w:color="000000"/>
              <w:left w:val="single" w:sz="12" w:space="0" w:color="000000"/>
              <w:bottom w:val="nil" w:sz="6" w:space="0" w:color="auto"/>
              <w:right w:val="single" w:sz="6" w:space="0" w:color="000000"/>
            </w:tcBorders>
          </w:tcPr>
          <w:p>
            <w:pPr>
              <w:pStyle w:val="TableParagraph"/>
              <w:spacing w:line="230" w:lineRule="exact"/>
              <w:ind w:right="3"/>
              <w:jc w:val="center"/>
              <w:rPr>
                <w:rFonts w:ascii="宋体" w:hAnsi="宋体" w:cs="宋体" w:eastAsia="宋体" w:hint="default"/>
                <w:sz w:val="20"/>
                <w:szCs w:val="20"/>
              </w:rPr>
            </w:pPr>
            <w:r>
              <w:rPr>
                <w:rFonts w:ascii="宋体" w:hAnsi="宋体" w:cs="宋体" w:eastAsia="宋体" w:hint="default"/>
                <w:b/>
                <w:bCs/>
                <w:sz w:val="20"/>
                <w:szCs w:val="20"/>
              </w:rPr>
              <w:t>产业板块</w:t>
            </w:r>
            <w:r>
              <w:rPr>
                <w:rFonts w:ascii="宋体" w:hAnsi="宋体" w:cs="宋体" w:eastAsia="宋体" w:hint="default"/>
                <w:sz w:val="20"/>
                <w:szCs w:val="20"/>
              </w:rPr>
            </w:r>
          </w:p>
        </w:tc>
        <w:tc>
          <w:tcPr>
            <w:tcW w:w="1457" w:type="dxa"/>
            <w:vMerge w:val="restart"/>
            <w:tcBorders>
              <w:top w:val="single" w:sz="12" w:space="0" w:color="000000"/>
              <w:left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left="117" w:right="0"/>
              <w:jc w:val="left"/>
              <w:rPr>
                <w:rFonts w:ascii="宋体" w:hAnsi="宋体" w:cs="宋体" w:eastAsia="宋体" w:hint="default"/>
                <w:sz w:val="20"/>
                <w:szCs w:val="20"/>
              </w:rPr>
            </w:pPr>
            <w:r>
              <w:rPr>
                <w:rFonts w:ascii="宋体" w:hAnsi="宋体" w:cs="宋体" w:eastAsia="宋体" w:hint="default"/>
                <w:b/>
                <w:bCs/>
                <w:sz w:val="20"/>
                <w:szCs w:val="20"/>
              </w:rPr>
              <w:t>主营业务成本</w:t>
            </w:r>
            <w:r>
              <w:rPr>
                <w:rFonts w:ascii="宋体" w:hAnsi="宋体" w:cs="宋体" w:eastAsia="宋体" w:hint="default"/>
                <w:sz w:val="20"/>
                <w:szCs w:val="20"/>
              </w:rPr>
            </w:r>
          </w:p>
        </w:tc>
        <w:tc>
          <w:tcPr>
            <w:tcW w:w="1515" w:type="dxa"/>
            <w:vMerge w:val="restart"/>
            <w:tcBorders>
              <w:top w:val="single" w:sz="12" w:space="0" w:color="000000"/>
              <w:left w:val="single" w:sz="6" w:space="0" w:color="000000"/>
              <w:right w:val="single" w:sz="6" w:space="0" w:color="000000"/>
            </w:tcBorders>
          </w:tcPr>
          <w:p>
            <w:pPr>
              <w:pStyle w:val="TableParagraph"/>
              <w:spacing w:line="260" w:lineRule="exact" w:before="123"/>
              <w:ind w:left="549" w:right="148" w:hanging="404"/>
              <w:jc w:val="left"/>
              <w:rPr>
                <w:rFonts w:ascii="宋体" w:hAnsi="宋体" w:cs="宋体" w:eastAsia="宋体" w:hint="default"/>
                <w:sz w:val="20"/>
                <w:szCs w:val="20"/>
              </w:rPr>
            </w:pPr>
            <w:r>
              <w:rPr>
                <w:rFonts w:ascii="宋体" w:hAnsi="宋体" w:cs="宋体" w:eastAsia="宋体" w:hint="default"/>
                <w:b/>
                <w:bCs/>
                <w:sz w:val="20"/>
                <w:szCs w:val="20"/>
              </w:rPr>
              <w:t>本期占总成本</w:t>
            </w:r>
            <w:r>
              <w:rPr>
                <w:rFonts w:ascii="宋体" w:hAnsi="宋体" w:cs="宋体" w:eastAsia="宋体" w:hint="default"/>
                <w:b/>
                <w:bCs/>
                <w:w w:val="99"/>
                <w:sz w:val="20"/>
                <w:szCs w:val="20"/>
              </w:rPr>
              <w:t> </w:t>
            </w:r>
            <w:r>
              <w:rPr>
                <w:rFonts w:ascii="宋体" w:hAnsi="宋体" w:cs="宋体" w:eastAsia="宋体" w:hint="default"/>
                <w:b/>
                <w:bCs/>
                <w:sz w:val="20"/>
                <w:szCs w:val="20"/>
              </w:rPr>
              <w:t>比例</w:t>
            </w:r>
            <w:r>
              <w:rPr>
                <w:rFonts w:ascii="宋体" w:hAnsi="宋体" w:cs="宋体" w:eastAsia="宋体" w:hint="default"/>
                <w:sz w:val="20"/>
                <w:szCs w:val="20"/>
              </w:rPr>
            </w:r>
          </w:p>
        </w:tc>
        <w:tc>
          <w:tcPr>
            <w:tcW w:w="1514" w:type="dxa"/>
            <w:vMerge w:val="restart"/>
            <w:tcBorders>
              <w:top w:val="single" w:sz="12" w:space="0" w:color="000000"/>
              <w:left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left="146" w:right="0"/>
              <w:jc w:val="left"/>
              <w:rPr>
                <w:rFonts w:ascii="宋体" w:hAnsi="宋体" w:cs="宋体" w:eastAsia="宋体" w:hint="default"/>
                <w:sz w:val="20"/>
                <w:szCs w:val="20"/>
              </w:rPr>
            </w:pPr>
            <w:r>
              <w:rPr>
                <w:rFonts w:ascii="宋体" w:hAnsi="宋体" w:cs="宋体" w:eastAsia="宋体" w:hint="default"/>
                <w:b/>
                <w:bCs/>
                <w:sz w:val="20"/>
                <w:szCs w:val="20"/>
              </w:rPr>
              <w:t>上年同期金额</w:t>
            </w:r>
            <w:r>
              <w:rPr>
                <w:rFonts w:ascii="宋体" w:hAnsi="宋体" w:cs="宋体" w:eastAsia="宋体" w:hint="default"/>
                <w:sz w:val="20"/>
                <w:szCs w:val="20"/>
              </w:rPr>
            </w:r>
          </w:p>
        </w:tc>
        <w:tc>
          <w:tcPr>
            <w:tcW w:w="1198" w:type="dxa"/>
            <w:vMerge w:val="restart"/>
            <w:tcBorders>
              <w:top w:val="single" w:sz="12" w:space="0" w:color="000000"/>
              <w:left w:val="single" w:sz="6" w:space="0" w:color="000000"/>
              <w:right w:val="single" w:sz="6" w:space="0" w:color="000000"/>
            </w:tcBorders>
          </w:tcPr>
          <w:p>
            <w:pPr>
              <w:pStyle w:val="TableParagraph"/>
              <w:spacing w:line="228" w:lineRule="exact"/>
              <w:ind w:left="189" w:right="0"/>
              <w:jc w:val="left"/>
              <w:rPr>
                <w:rFonts w:ascii="宋体" w:hAnsi="宋体" w:cs="宋体" w:eastAsia="宋体" w:hint="default"/>
                <w:sz w:val="20"/>
                <w:szCs w:val="20"/>
              </w:rPr>
            </w:pPr>
            <w:r>
              <w:rPr>
                <w:rFonts w:ascii="宋体" w:hAnsi="宋体" w:cs="宋体" w:eastAsia="宋体" w:hint="default"/>
                <w:b/>
                <w:bCs/>
                <w:sz w:val="20"/>
                <w:szCs w:val="20"/>
              </w:rPr>
              <w:t>上年同期</w:t>
            </w:r>
            <w:r>
              <w:rPr>
                <w:rFonts w:ascii="宋体" w:hAnsi="宋体" w:cs="宋体" w:eastAsia="宋体" w:hint="default"/>
                <w:sz w:val="20"/>
                <w:szCs w:val="20"/>
              </w:rPr>
            </w:r>
          </w:p>
          <w:p>
            <w:pPr>
              <w:pStyle w:val="TableParagraph"/>
              <w:spacing w:line="260" w:lineRule="exact" w:before="24"/>
              <w:ind w:left="391" w:right="185" w:hanging="202"/>
              <w:jc w:val="left"/>
              <w:rPr>
                <w:rFonts w:ascii="宋体" w:hAnsi="宋体" w:cs="宋体" w:eastAsia="宋体" w:hint="default"/>
                <w:sz w:val="20"/>
                <w:szCs w:val="20"/>
              </w:rPr>
            </w:pPr>
            <w:r>
              <w:rPr>
                <w:rFonts w:ascii="宋体" w:hAnsi="宋体" w:cs="宋体" w:eastAsia="宋体" w:hint="default"/>
                <w:b/>
                <w:bCs/>
                <w:sz w:val="20"/>
                <w:szCs w:val="20"/>
              </w:rPr>
              <w:t>占总成本</w:t>
            </w:r>
            <w:r>
              <w:rPr>
                <w:rFonts w:ascii="宋体" w:hAnsi="宋体" w:cs="宋体" w:eastAsia="宋体" w:hint="default"/>
                <w:b/>
                <w:bCs/>
                <w:spacing w:val="2"/>
                <w:w w:val="99"/>
                <w:sz w:val="20"/>
                <w:szCs w:val="20"/>
              </w:rPr>
              <w:t> </w:t>
            </w:r>
            <w:r>
              <w:rPr>
                <w:rFonts w:ascii="宋体" w:hAnsi="宋体" w:cs="宋体" w:eastAsia="宋体" w:hint="default"/>
                <w:b/>
                <w:bCs/>
                <w:sz w:val="20"/>
                <w:szCs w:val="20"/>
              </w:rPr>
              <w:t>比例</w:t>
            </w:r>
            <w:r>
              <w:rPr>
                <w:rFonts w:ascii="宋体" w:hAnsi="宋体" w:cs="宋体" w:eastAsia="宋体" w:hint="default"/>
                <w:sz w:val="20"/>
                <w:szCs w:val="20"/>
              </w:rPr>
            </w:r>
          </w:p>
        </w:tc>
        <w:tc>
          <w:tcPr>
            <w:tcW w:w="1226" w:type="dxa"/>
            <w:vMerge w:val="restart"/>
            <w:tcBorders>
              <w:top w:val="single" w:sz="12" w:space="0" w:color="000000"/>
              <w:left w:val="single" w:sz="6" w:space="0" w:color="000000"/>
              <w:right w:val="single" w:sz="12"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b/>
                <w:bCs/>
                <w:sz w:val="20"/>
                <w:szCs w:val="20"/>
              </w:rPr>
              <w:t>本期金额较</w:t>
            </w:r>
            <w:r>
              <w:rPr>
                <w:rFonts w:ascii="宋体" w:hAnsi="宋体" w:cs="宋体" w:eastAsia="宋体" w:hint="default"/>
                <w:sz w:val="20"/>
                <w:szCs w:val="20"/>
              </w:rPr>
            </w:r>
          </w:p>
          <w:p>
            <w:pPr>
              <w:pStyle w:val="TableParagraph"/>
              <w:spacing w:line="260" w:lineRule="exact" w:before="24"/>
              <w:ind w:left="304" w:right="97" w:hanging="202"/>
              <w:jc w:val="left"/>
              <w:rPr>
                <w:rFonts w:ascii="宋体" w:hAnsi="宋体" w:cs="宋体" w:eastAsia="宋体" w:hint="default"/>
                <w:sz w:val="20"/>
                <w:szCs w:val="20"/>
              </w:rPr>
            </w:pPr>
            <w:r>
              <w:rPr>
                <w:rFonts w:ascii="宋体" w:hAnsi="宋体" w:cs="宋体" w:eastAsia="宋体" w:hint="default"/>
                <w:b/>
                <w:bCs/>
                <w:sz w:val="20"/>
                <w:szCs w:val="20"/>
              </w:rPr>
              <w:t>上年同期变</w:t>
            </w:r>
            <w:r>
              <w:rPr>
                <w:rFonts w:ascii="宋体" w:hAnsi="宋体" w:cs="宋体" w:eastAsia="宋体" w:hint="default"/>
                <w:b/>
                <w:bCs/>
                <w:w w:val="99"/>
                <w:sz w:val="20"/>
                <w:szCs w:val="20"/>
              </w:rPr>
              <w:t> </w:t>
            </w:r>
            <w:r>
              <w:rPr>
                <w:rFonts w:ascii="宋体" w:hAnsi="宋体" w:cs="宋体" w:eastAsia="宋体" w:hint="default"/>
                <w:b/>
                <w:bCs/>
                <w:spacing w:val="2"/>
                <w:sz w:val="20"/>
                <w:szCs w:val="20"/>
              </w:rPr>
              <w:t>动比例</w:t>
            </w:r>
            <w:r>
              <w:rPr>
                <w:rFonts w:ascii="宋体" w:hAnsi="宋体" w:cs="宋体" w:eastAsia="宋体" w:hint="default"/>
                <w:sz w:val="20"/>
                <w:szCs w:val="20"/>
              </w:rPr>
            </w:r>
          </w:p>
        </w:tc>
      </w:tr>
      <w:tr>
        <w:trPr>
          <w:trHeight w:val="458" w:hRule="exact"/>
        </w:trPr>
        <w:tc>
          <w:tcPr>
            <w:tcW w:w="2509" w:type="dxa"/>
            <w:tcBorders>
              <w:top w:val="nil" w:sz="6" w:space="0" w:color="auto"/>
              <w:left w:val="single" w:sz="12" w:space="0" w:color="000000"/>
              <w:bottom w:val="single" w:sz="6" w:space="0" w:color="000000"/>
              <w:right w:val="single" w:sz="6" w:space="0" w:color="000000"/>
            </w:tcBorders>
          </w:tcPr>
          <w:p>
            <w:pPr>
              <w:pStyle w:val="TableParagraph"/>
              <w:spacing w:line="240" w:lineRule="auto" w:before="37"/>
              <w:ind w:left="669"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单位：万元</w:t>
            </w:r>
            <w:r>
              <w:rPr>
                <w:rFonts w:ascii="Times New Roman" w:hAnsi="Times New Roman" w:cs="Times New Roman" w:eastAsia="Times New Roman" w:hint="default"/>
                <w:b/>
                <w:bCs/>
                <w:sz w:val="20"/>
                <w:szCs w:val="20"/>
              </w:rPr>
              <w:t>)</w:t>
            </w:r>
            <w:r>
              <w:rPr>
                <w:rFonts w:ascii="Times New Roman" w:hAnsi="Times New Roman" w:cs="Times New Roman" w:eastAsia="Times New Roman" w:hint="default"/>
                <w:sz w:val="20"/>
                <w:szCs w:val="20"/>
              </w:rPr>
            </w:r>
          </w:p>
        </w:tc>
        <w:tc>
          <w:tcPr>
            <w:tcW w:w="1457" w:type="dxa"/>
            <w:vMerge/>
            <w:tcBorders>
              <w:left w:val="single" w:sz="6" w:space="0" w:color="000000"/>
              <w:bottom w:val="single" w:sz="6" w:space="0" w:color="000000"/>
              <w:right w:val="single" w:sz="6" w:space="0" w:color="000000"/>
            </w:tcBorders>
          </w:tcPr>
          <w:p>
            <w:pPr/>
          </w:p>
        </w:tc>
        <w:tc>
          <w:tcPr>
            <w:tcW w:w="1515" w:type="dxa"/>
            <w:vMerge/>
            <w:tcBorders>
              <w:left w:val="single" w:sz="6" w:space="0" w:color="000000"/>
              <w:bottom w:val="single" w:sz="6" w:space="0" w:color="000000"/>
              <w:right w:val="single" w:sz="6" w:space="0" w:color="000000"/>
            </w:tcBorders>
          </w:tcPr>
          <w:p>
            <w:pPr/>
          </w:p>
        </w:tc>
        <w:tc>
          <w:tcPr>
            <w:tcW w:w="1514" w:type="dxa"/>
            <w:vMerge/>
            <w:tcBorders>
              <w:left w:val="single" w:sz="6" w:space="0" w:color="000000"/>
              <w:bottom w:val="single" w:sz="6" w:space="0" w:color="000000"/>
              <w:right w:val="single" w:sz="6" w:space="0" w:color="000000"/>
            </w:tcBorders>
          </w:tcPr>
          <w:p>
            <w:pPr/>
          </w:p>
        </w:tc>
        <w:tc>
          <w:tcPr>
            <w:tcW w:w="1198" w:type="dxa"/>
            <w:vMerge/>
            <w:tcBorders>
              <w:left w:val="single" w:sz="6" w:space="0" w:color="000000"/>
              <w:bottom w:val="single" w:sz="6" w:space="0" w:color="000000"/>
              <w:right w:val="single" w:sz="6" w:space="0" w:color="000000"/>
            </w:tcBorders>
          </w:tcPr>
          <w:p>
            <w:pPr/>
          </w:p>
        </w:tc>
        <w:tc>
          <w:tcPr>
            <w:tcW w:w="1226" w:type="dxa"/>
            <w:vMerge/>
            <w:tcBorders>
              <w:left w:val="single" w:sz="6" w:space="0" w:color="000000"/>
              <w:bottom w:val="single" w:sz="6" w:space="0" w:color="000000"/>
              <w:right w:val="single" w:sz="12" w:space="0" w:color="000000"/>
            </w:tcBorders>
          </w:tcPr>
          <w:p>
            <w:pPr/>
          </w:p>
        </w:tc>
      </w:tr>
      <w:tr>
        <w:trPr>
          <w:trHeight w:val="283" w:hRule="exact"/>
        </w:trPr>
        <w:tc>
          <w:tcPr>
            <w:tcW w:w="2509"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互联网服务与终端</w:t>
            </w:r>
          </w:p>
        </w:tc>
        <w:tc>
          <w:tcPr>
            <w:tcW w:w="14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20"/>
                <w:szCs w:val="20"/>
              </w:rPr>
            </w:pPr>
            <w:r>
              <w:rPr>
                <w:rFonts w:ascii="Times New Roman"/>
                <w:w w:val="95"/>
                <w:sz w:val="20"/>
              </w:rPr>
              <w:t>1,348,055.75</w:t>
            </w:r>
            <w:r>
              <w:rPr>
                <w:rFonts w:ascii="Times New Roman"/>
                <w:sz w:val="20"/>
              </w:rPr>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59.10%</w:t>
            </w:r>
          </w:p>
        </w:tc>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20"/>
                <w:szCs w:val="20"/>
              </w:rPr>
            </w:pPr>
            <w:r>
              <w:rPr>
                <w:rFonts w:ascii="Times New Roman"/>
                <w:w w:val="95"/>
                <w:sz w:val="20"/>
              </w:rPr>
              <w:t>1,176,251.32</w:t>
            </w:r>
            <w:r>
              <w:rPr>
                <w:rFonts w:ascii="Times New Roman"/>
                <w:sz w:val="20"/>
              </w:rPr>
            </w:r>
          </w:p>
        </w:tc>
        <w:tc>
          <w:tcPr>
            <w:tcW w:w="11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56.75%</w:t>
            </w:r>
          </w:p>
        </w:tc>
        <w:tc>
          <w:tcPr>
            <w:tcW w:w="122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0"/>
                <w:szCs w:val="20"/>
              </w:rPr>
            </w:pPr>
            <w:r>
              <w:rPr>
                <w:rFonts w:ascii="Times New Roman"/>
                <w:sz w:val="20"/>
              </w:rPr>
              <w:t>14.61%</w:t>
            </w:r>
          </w:p>
        </w:tc>
      </w:tr>
      <w:tr>
        <w:trPr>
          <w:trHeight w:val="286" w:hRule="exact"/>
        </w:trPr>
        <w:tc>
          <w:tcPr>
            <w:tcW w:w="2509" w:type="dxa"/>
            <w:tcBorders>
              <w:top w:val="single" w:sz="6" w:space="0" w:color="000000"/>
              <w:left w:val="single" w:sz="12" w:space="0" w:color="000000"/>
              <w:bottom w:val="single" w:sz="6" w:space="0" w:color="000000"/>
              <w:right w:val="single" w:sz="6" w:space="0" w:color="000000"/>
            </w:tcBorders>
          </w:tcPr>
          <w:p>
            <w:pPr>
              <w:pStyle w:val="TableParagraph"/>
              <w:spacing w:line="237" w:lineRule="exact"/>
              <w:ind w:left="93" w:right="0"/>
              <w:jc w:val="left"/>
              <w:rPr>
                <w:rFonts w:ascii="宋体" w:hAnsi="宋体" w:cs="宋体" w:eastAsia="宋体" w:hint="default"/>
                <w:sz w:val="20"/>
                <w:szCs w:val="20"/>
              </w:rPr>
            </w:pPr>
            <w:r>
              <w:rPr>
                <w:rFonts w:ascii="宋体" w:hAnsi="宋体" w:cs="宋体" w:eastAsia="宋体" w:hint="default"/>
                <w:sz w:val="20"/>
                <w:szCs w:val="20"/>
              </w:rPr>
              <w:t>智慧城市</w:t>
            </w:r>
          </w:p>
        </w:tc>
        <w:tc>
          <w:tcPr>
            <w:tcW w:w="14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1"/>
              <w:jc w:val="right"/>
              <w:rPr>
                <w:rFonts w:ascii="Times New Roman" w:hAnsi="Times New Roman" w:cs="Times New Roman" w:eastAsia="Times New Roman" w:hint="default"/>
                <w:sz w:val="20"/>
                <w:szCs w:val="20"/>
              </w:rPr>
            </w:pPr>
            <w:r>
              <w:rPr>
                <w:rFonts w:ascii="Times New Roman"/>
                <w:w w:val="95"/>
                <w:sz w:val="20"/>
              </w:rPr>
              <w:t>284,093.54</w:t>
            </w:r>
            <w:r>
              <w:rPr>
                <w:rFonts w:ascii="Times New Roman"/>
                <w:sz w:val="20"/>
              </w:rPr>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12.45%</w:t>
            </w:r>
          </w:p>
        </w:tc>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1"/>
              <w:jc w:val="right"/>
              <w:rPr>
                <w:rFonts w:ascii="Times New Roman" w:hAnsi="Times New Roman" w:cs="Times New Roman" w:eastAsia="Times New Roman" w:hint="default"/>
                <w:sz w:val="20"/>
                <w:szCs w:val="20"/>
              </w:rPr>
            </w:pPr>
            <w:r>
              <w:rPr>
                <w:rFonts w:ascii="Times New Roman"/>
                <w:w w:val="95"/>
                <w:sz w:val="20"/>
              </w:rPr>
              <w:t>274,671.94</w:t>
            </w:r>
            <w:r>
              <w:rPr>
                <w:rFonts w:ascii="Times New Roman"/>
                <w:sz w:val="20"/>
              </w:rPr>
            </w:r>
          </w:p>
        </w:tc>
        <w:tc>
          <w:tcPr>
            <w:tcW w:w="11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13.25%</w:t>
            </w:r>
          </w:p>
        </w:tc>
        <w:tc>
          <w:tcPr>
            <w:tcW w:w="122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89"/>
              <w:jc w:val="right"/>
              <w:rPr>
                <w:rFonts w:ascii="Times New Roman" w:hAnsi="Times New Roman" w:cs="Times New Roman" w:eastAsia="Times New Roman" w:hint="default"/>
                <w:sz w:val="20"/>
                <w:szCs w:val="20"/>
              </w:rPr>
            </w:pPr>
            <w:r>
              <w:rPr>
                <w:rFonts w:ascii="Times New Roman"/>
                <w:sz w:val="20"/>
              </w:rPr>
              <w:t>3.43%</w:t>
            </w:r>
          </w:p>
        </w:tc>
      </w:tr>
      <w:tr>
        <w:trPr>
          <w:trHeight w:val="286" w:hRule="exact"/>
        </w:trPr>
        <w:tc>
          <w:tcPr>
            <w:tcW w:w="2509"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公共安全</w:t>
            </w:r>
          </w:p>
        </w:tc>
        <w:tc>
          <w:tcPr>
            <w:tcW w:w="14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1"/>
              <w:jc w:val="right"/>
              <w:rPr>
                <w:rFonts w:ascii="Times New Roman" w:hAnsi="Times New Roman" w:cs="Times New Roman" w:eastAsia="Times New Roman" w:hint="default"/>
                <w:sz w:val="20"/>
                <w:szCs w:val="20"/>
              </w:rPr>
            </w:pPr>
            <w:r>
              <w:rPr>
                <w:rFonts w:ascii="Times New Roman"/>
                <w:w w:val="95"/>
                <w:sz w:val="20"/>
              </w:rPr>
              <w:t>335,435.09</w:t>
            </w:r>
            <w:r>
              <w:rPr>
                <w:rFonts w:ascii="Times New Roman"/>
                <w:sz w:val="20"/>
              </w:rPr>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14.71%</w:t>
            </w:r>
          </w:p>
        </w:tc>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1"/>
              <w:jc w:val="right"/>
              <w:rPr>
                <w:rFonts w:ascii="Times New Roman" w:hAnsi="Times New Roman" w:cs="Times New Roman" w:eastAsia="Times New Roman" w:hint="default"/>
                <w:sz w:val="20"/>
                <w:szCs w:val="20"/>
              </w:rPr>
            </w:pPr>
            <w:r>
              <w:rPr>
                <w:rFonts w:ascii="Times New Roman"/>
                <w:w w:val="95"/>
                <w:sz w:val="20"/>
              </w:rPr>
              <w:t>318,738.50</w:t>
            </w:r>
            <w:r>
              <w:rPr>
                <w:rFonts w:ascii="Times New Roman"/>
                <w:sz w:val="20"/>
              </w:rPr>
            </w:r>
          </w:p>
        </w:tc>
        <w:tc>
          <w:tcPr>
            <w:tcW w:w="11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15.38%</w:t>
            </w:r>
          </w:p>
        </w:tc>
        <w:tc>
          <w:tcPr>
            <w:tcW w:w="122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89"/>
              <w:jc w:val="right"/>
              <w:rPr>
                <w:rFonts w:ascii="Times New Roman" w:hAnsi="Times New Roman" w:cs="Times New Roman" w:eastAsia="Times New Roman" w:hint="default"/>
                <w:sz w:val="20"/>
                <w:szCs w:val="20"/>
              </w:rPr>
            </w:pPr>
            <w:r>
              <w:rPr>
                <w:rFonts w:ascii="Times New Roman"/>
                <w:sz w:val="20"/>
              </w:rPr>
              <w:t>5.24%</w:t>
            </w:r>
          </w:p>
        </w:tc>
      </w:tr>
      <w:tr>
        <w:trPr>
          <w:trHeight w:val="286" w:hRule="exact"/>
        </w:trPr>
        <w:tc>
          <w:tcPr>
            <w:tcW w:w="2509"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节能环保</w:t>
            </w:r>
          </w:p>
        </w:tc>
        <w:tc>
          <w:tcPr>
            <w:tcW w:w="14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1"/>
              <w:jc w:val="right"/>
              <w:rPr>
                <w:rFonts w:ascii="Times New Roman" w:hAnsi="Times New Roman" w:cs="Times New Roman" w:eastAsia="Times New Roman" w:hint="default"/>
                <w:sz w:val="20"/>
                <w:szCs w:val="20"/>
              </w:rPr>
            </w:pPr>
            <w:r>
              <w:rPr>
                <w:rFonts w:ascii="Times New Roman"/>
                <w:w w:val="95"/>
                <w:sz w:val="20"/>
              </w:rPr>
              <w:t>340,941.40</w:t>
            </w:r>
            <w:r>
              <w:rPr>
                <w:rFonts w:ascii="Times New Roman"/>
                <w:sz w:val="20"/>
              </w:rPr>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14.95%</w:t>
            </w:r>
          </w:p>
        </w:tc>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1"/>
              <w:jc w:val="right"/>
              <w:rPr>
                <w:rFonts w:ascii="Times New Roman" w:hAnsi="Times New Roman" w:cs="Times New Roman" w:eastAsia="Times New Roman" w:hint="default"/>
                <w:sz w:val="20"/>
                <w:szCs w:val="20"/>
              </w:rPr>
            </w:pPr>
            <w:r>
              <w:rPr>
                <w:rFonts w:ascii="Times New Roman"/>
                <w:w w:val="95"/>
                <w:sz w:val="20"/>
              </w:rPr>
              <w:t>326,574.36</w:t>
            </w:r>
            <w:r>
              <w:rPr>
                <w:rFonts w:ascii="Times New Roman"/>
                <w:sz w:val="20"/>
              </w:rPr>
            </w:r>
          </w:p>
        </w:tc>
        <w:tc>
          <w:tcPr>
            <w:tcW w:w="11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15.76%</w:t>
            </w:r>
          </w:p>
        </w:tc>
        <w:tc>
          <w:tcPr>
            <w:tcW w:w="122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0"/>
                <w:szCs w:val="20"/>
              </w:rPr>
            </w:pPr>
            <w:r>
              <w:rPr>
                <w:rFonts w:ascii="Times New Roman"/>
                <w:sz w:val="20"/>
              </w:rPr>
              <w:t>4.40%</w:t>
            </w:r>
          </w:p>
        </w:tc>
      </w:tr>
      <w:tr>
        <w:trPr>
          <w:trHeight w:val="283" w:hRule="exact"/>
        </w:trPr>
        <w:tc>
          <w:tcPr>
            <w:tcW w:w="2509"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科技园区</w:t>
            </w:r>
          </w:p>
        </w:tc>
        <w:tc>
          <w:tcPr>
            <w:tcW w:w="14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20"/>
                <w:szCs w:val="20"/>
              </w:rPr>
            </w:pPr>
            <w:r>
              <w:rPr>
                <w:rFonts w:ascii="Times New Roman"/>
                <w:w w:val="95"/>
                <w:sz w:val="20"/>
              </w:rPr>
              <w:t>8,527.23</w:t>
            </w:r>
            <w:r>
              <w:rPr>
                <w:rFonts w:ascii="Times New Roman"/>
                <w:sz w:val="20"/>
              </w:rPr>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0.37%</w:t>
            </w:r>
          </w:p>
        </w:tc>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20"/>
                <w:szCs w:val="20"/>
              </w:rPr>
            </w:pPr>
            <w:r>
              <w:rPr>
                <w:rFonts w:ascii="Times New Roman"/>
                <w:w w:val="95"/>
                <w:sz w:val="20"/>
              </w:rPr>
              <w:t>7,861.19</w:t>
            </w:r>
            <w:r>
              <w:rPr>
                <w:rFonts w:ascii="Times New Roman"/>
                <w:sz w:val="20"/>
              </w:rPr>
            </w:r>
          </w:p>
        </w:tc>
        <w:tc>
          <w:tcPr>
            <w:tcW w:w="11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0.38%</w:t>
            </w:r>
          </w:p>
        </w:tc>
        <w:tc>
          <w:tcPr>
            <w:tcW w:w="122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0"/>
                <w:szCs w:val="20"/>
              </w:rPr>
            </w:pPr>
            <w:r>
              <w:rPr>
                <w:rFonts w:ascii="Times New Roman"/>
                <w:sz w:val="20"/>
              </w:rPr>
              <w:t>8.47%</w:t>
            </w:r>
          </w:p>
        </w:tc>
      </w:tr>
      <w:tr>
        <w:trPr>
          <w:trHeight w:val="286" w:hRule="exact"/>
        </w:trPr>
        <w:tc>
          <w:tcPr>
            <w:tcW w:w="2509"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right="8"/>
              <w:jc w:val="center"/>
              <w:rPr>
                <w:rFonts w:ascii="宋体" w:hAnsi="宋体" w:cs="宋体" w:eastAsia="宋体" w:hint="default"/>
                <w:sz w:val="20"/>
                <w:szCs w:val="20"/>
              </w:rPr>
            </w:pPr>
            <w:r>
              <w:rPr>
                <w:rFonts w:ascii="宋体" w:hAnsi="宋体" w:cs="宋体" w:eastAsia="宋体" w:hint="default"/>
                <w:sz w:val="20"/>
                <w:szCs w:val="20"/>
              </w:rPr>
              <w:t>小计</w:t>
            </w:r>
          </w:p>
        </w:tc>
        <w:tc>
          <w:tcPr>
            <w:tcW w:w="14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0"/>
                <w:szCs w:val="20"/>
              </w:rPr>
            </w:pPr>
            <w:r>
              <w:rPr>
                <w:rFonts w:ascii="Times New Roman"/>
                <w:w w:val="95"/>
                <w:sz w:val="20"/>
              </w:rPr>
              <w:t>2,317,053.01</w:t>
            </w:r>
            <w:r>
              <w:rPr>
                <w:rFonts w:ascii="Times New Roman"/>
                <w:sz w:val="20"/>
              </w:rPr>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0"/>
                <w:szCs w:val="20"/>
              </w:rPr>
            </w:pPr>
            <w:r>
              <w:rPr>
                <w:rFonts w:ascii="Times New Roman"/>
                <w:w w:val="99"/>
                <w:sz w:val="20"/>
              </w:rPr>
              <w:t>-</w:t>
            </w:r>
            <w:r>
              <w:rPr>
                <w:rFonts w:ascii="Times New Roman"/>
                <w:sz w:val="20"/>
              </w:rPr>
            </w:r>
          </w:p>
        </w:tc>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0"/>
                <w:szCs w:val="20"/>
              </w:rPr>
            </w:pPr>
            <w:r>
              <w:rPr>
                <w:rFonts w:ascii="Times New Roman"/>
                <w:w w:val="95"/>
                <w:sz w:val="20"/>
              </w:rPr>
              <w:t>2,104,097.31</w:t>
            </w:r>
            <w:r>
              <w:rPr>
                <w:rFonts w:ascii="Times New Roman"/>
                <w:sz w:val="20"/>
              </w:rPr>
            </w:r>
          </w:p>
        </w:tc>
        <w:tc>
          <w:tcPr>
            <w:tcW w:w="11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0"/>
                <w:szCs w:val="20"/>
              </w:rPr>
            </w:pPr>
            <w:r>
              <w:rPr>
                <w:rFonts w:ascii="Times New Roman"/>
                <w:w w:val="99"/>
                <w:sz w:val="20"/>
              </w:rPr>
              <w:t>-</w:t>
            </w:r>
            <w:r>
              <w:rPr>
                <w:rFonts w:ascii="Times New Roman"/>
                <w:sz w:val="20"/>
              </w:rPr>
            </w:r>
          </w:p>
        </w:tc>
        <w:tc>
          <w:tcPr>
            <w:tcW w:w="122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2"/>
              <w:jc w:val="right"/>
              <w:rPr>
                <w:rFonts w:ascii="Times New Roman" w:hAnsi="Times New Roman" w:cs="Times New Roman" w:eastAsia="Times New Roman" w:hint="default"/>
                <w:sz w:val="20"/>
                <w:szCs w:val="20"/>
              </w:rPr>
            </w:pPr>
            <w:r>
              <w:rPr>
                <w:rFonts w:ascii="Times New Roman"/>
                <w:w w:val="99"/>
                <w:sz w:val="20"/>
              </w:rPr>
              <w:t>-</w:t>
            </w:r>
            <w:r>
              <w:rPr>
                <w:rFonts w:ascii="Times New Roman"/>
                <w:sz w:val="20"/>
              </w:rPr>
            </w:r>
          </w:p>
        </w:tc>
      </w:tr>
      <w:tr>
        <w:trPr>
          <w:trHeight w:val="286" w:hRule="exact"/>
        </w:trPr>
        <w:tc>
          <w:tcPr>
            <w:tcW w:w="2509"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减：业务板块间抵销</w:t>
            </w:r>
          </w:p>
        </w:tc>
        <w:tc>
          <w:tcPr>
            <w:tcW w:w="14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1"/>
              <w:jc w:val="right"/>
              <w:rPr>
                <w:rFonts w:ascii="Times New Roman" w:hAnsi="Times New Roman" w:cs="Times New Roman" w:eastAsia="Times New Roman" w:hint="default"/>
                <w:sz w:val="20"/>
                <w:szCs w:val="20"/>
              </w:rPr>
            </w:pPr>
            <w:r>
              <w:rPr>
                <w:rFonts w:ascii="Times New Roman"/>
                <w:w w:val="95"/>
                <w:sz w:val="20"/>
              </w:rPr>
              <w:t>-35,992.42</w:t>
            </w:r>
            <w:r>
              <w:rPr>
                <w:rFonts w:ascii="Times New Roman"/>
                <w:sz w:val="20"/>
              </w:rPr>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0"/>
                <w:szCs w:val="20"/>
              </w:rPr>
            </w:pPr>
            <w:r>
              <w:rPr>
                <w:rFonts w:ascii="Times New Roman"/>
                <w:w w:val="99"/>
                <w:sz w:val="20"/>
              </w:rPr>
              <w:t>-</w:t>
            </w:r>
            <w:r>
              <w:rPr>
                <w:rFonts w:ascii="Times New Roman"/>
                <w:sz w:val="20"/>
              </w:rPr>
            </w:r>
          </w:p>
        </w:tc>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1"/>
              <w:jc w:val="right"/>
              <w:rPr>
                <w:rFonts w:ascii="Times New Roman" w:hAnsi="Times New Roman" w:cs="Times New Roman" w:eastAsia="Times New Roman" w:hint="default"/>
                <w:sz w:val="20"/>
                <w:szCs w:val="20"/>
              </w:rPr>
            </w:pPr>
            <w:r>
              <w:rPr>
                <w:rFonts w:ascii="Times New Roman"/>
                <w:w w:val="95"/>
                <w:sz w:val="20"/>
              </w:rPr>
              <w:t>-31,340.29</w:t>
            </w:r>
            <w:r>
              <w:rPr>
                <w:rFonts w:ascii="Times New Roman"/>
                <w:sz w:val="20"/>
              </w:rPr>
            </w:r>
          </w:p>
        </w:tc>
        <w:tc>
          <w:tcPr>
            <w:tcW w:w="11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0"/>
                <w:szCs w:val="20"/>
              </w:rPr>
            </w:pPr>
            <w:r>
              <w:rPr>
                <w:rFonts w:ascii="Times New Roman"/>
                <w:w w:val="99"/>
                <w:sz w:val="20"/>
              </w:rPr>
              <w:t>-</w:t>
            </w:r>
            <w:r>
              <w:rPr>
                <w:rFonts w:ascii="Times New Roman"/>
                <w:sz w:val="20"/>
              </w:rPr>
            </w:r>
          </w:p>
        </w:tc>
        <w:tc>
          <w:tcPr>
            <w:tcW w:w="122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2"/>
              <w:jc w:val="right"/>
              <w:rPr>
                <w:rFonts w:ascii="Times New Roman" w:hAnsi="Times New Roman" w:cs="Times New Roman" w:eastAsia="Times New Roman" w:hint="default"/>
                <w:sz w:val="20"/>
                <w:szCs w:val="20"/>
              </w:rPr>
            </w:pPr>
            <w:r>
              <w:rPr>
                <w:rFonts w:ascii="Times New Roman"/>
                <w:w w:val="99"/>
                <w:sz w:val="20"/>
              </w:rPr>
              <w:t>-</w:t>
            </w:r>
            <w:r>
              <w:rPr>
                <w:rFonts w:ascii="Times New Roman"/>
                <w:sz w:val="20"/>
              </w:rPr>
            </w:r>
          </w:p>
        </w:tc>
      </w:tr>
      <w:tr>
        <w:trPr>
          <w:trHeight w:val="290" w:hRule="exact"/>
        </w:trPr>
        <w:tc>
          <w:tcPr>
            <w:tcW w:w="2509" w:type="dxa"/>
            <w:tcBorders>
              <w:top w:val="single" w:sz="6" w:space="0" w:color="000000"/>
              <w:left w:val="single" w:sz="12" w:space="0" w:color="000000"/>
              <w:bottom w:val="single" w:sz="12" w:space="0" w:color="000000"/>
              <w:right w:val="single" w:sz="6" w:space="0" w:color="000000"/>
            </w:tcBorders>
          </w:tcPr>
          <w:p>
            <w:pPr>
              <w:pStyle w:val="TableParagraph"/>
              <w:spacing w:line="235" w:lineRule="exact"/>
              <w:ind w:right="3"/>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4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7"/>
              <w:ind w:right="99"/>
              <w:jc w:val="right"/>
              <w:rPr>
                <w:rFonts w:ascii="Times New Roman" w:hAnsi="Times New Roman" w:cs="Times New Roman" w:eastAsia="Times New Roman" w:hint="default"/>
                <w:sz w:val="20"/>
                <w:szCs w:val="20"/>
              </w:rPr>
            </w:pPr>
            <w:r>
              <w:rPr>
                <w:rFonts w:ascii="Times New Roman"/>
                <w:b/>
                <w:w w:val="95"/>
                <w:sz w:val="20"/>
              </w:rPr>
              <w:t>2,281,060.59</w:t>
            </w:r>
            <w:r>
              <w:rPr>
                <w:rFonts w:ascii="Times New Roman"/>
                <w:sz w:val="20"/>
              </w:rPr>
            </w:r>
          </w:p>
        </w:tc>
        <w:tc>
          <w:tcPr>
            <w:tcW w:w="151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20"/>
                <w:szCs w:val="20"/>
              </w:rPr>
            </w:pPr>
            <w:r>
              <w:rPr>
                <w:rFonts w:ascii="Times New Roman"/>
                <w:w w:val="95"/>
                <w:sz w:val="20"/>
              </w:rPr>
              <w:t>100.00%</w:t>
            </w:r>
            <w:r>
              <w:rPr>
                <w:rFonts w:ascii="Times New Roman"/>
                <w:sz w:val="20"/>
              </w:rPr>
            </w:r>
          </w:p>
        </w:tc>
        <w:tc>
          <w:tcPr>
            <w:tcW w:w="15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7"/>
              <w:ind w:right="99"/>
              <w:jc w:val="right"/>
              <w:rPr>
                <w:rFonts w:ascii="Times New Roman" w:hAnsi="Times New Roman" w:cs="Times New Roman" w:eastAsia="Times New Roman" w:hint="default"/>
                <w:sz w:val="20"/>
                <w:szCs w:val="20"/>
              </w:rPr>
            </w:pPr>
            <w:r>
              <w:rPr>
                <w:rFonts w:ascii="Times New Roman"/>
                <w:b/>
                <w:w w:val="95"/>
                <w:sz w:val="20"/>
              </w:rPr>
              <w:t>2,072,757.02</w:t>
            </w:r>
            <w:r>
              <w:rPr>
                <w:rFonts w:ascii="Times New Roman"/>
                <w:sz w:val="20"/>
              </w:rPr>
            </w:r>
          </w:p>
        </w:tc>
        <w:tc>
          <w:tcPr>
            <w:tcW w:w="11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20"/>
                <w:szCs w:val="20"/>
              </w:rPr>
            </w:pPr>
            <w:r>
              <w:rPr>
                <w:rFonts w:ascii="Times New Roman"/>
                <w:w w:val="95"/>
                <w:sz w:val="20"/>
              </w:rPr>
              <w:t>100.00%</w:t>
            </w:r>
            <w:r>
              <w:rPr>
                <w:rFonts w:ascii="Times New Roman"/>
                <w:sz w:val="20"/>
              </w:rPr>
            </w:r>
          </w:p>
        </w:tc>
        <w:tc>
          <w:tcPr>
            <w:tcW w:w="122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0"/>
                <w:szCs w:val="20"/>
              </w:rPr>
            </w:pPr>
            <w:r>
              <w:rPr>
                <w:rFonts w:ascii="Times New Roman"/>
                <w:sz w:val="20"/>
              </w:rPr>
              <w:t>10.05%</w:t>
            </w:r>
          </w:p>
        </w:tc>
      </w:tr>
    </w:tbl>
    <w:p>
      <w:pPr>
        <w:spacing w:line="240" w:lineRule="auto" w:before="13"/>
        <w:rPr>
          <w:rFonts w:ascii="宋体" w:hAnsi="宋体" w:cs="宋体" w:eastAsia="宋体" w:hint="default"/>
          <w:b/>
          <w:bCs/>
          <w:sz w:val="18"/>
          <w:szCs w:val="18"/>
        </w:rPr>
      </w:pPr>
    </w:p>
    <w:p>
      <w:pPr>
        <w:pStyle w:val="BodyText"/>
        <w:spacing w:line="310" w:lineRule="exact" w:before="58"/>
        <w:ind w:left="238" w:right="110"/>
        <w:jc w:val="left"/>
      </w:pPr>
      <w:r>
        <w:rPr/>
        <w:t>本年度，由于公司各产业板块主营业务收入均有所增长，因此其主营业务成本也保持了</w:t>
      </w:r>
      <w:r>
        <w:rPr>
          <w:spacing w:val="-51"/>
        </w:rPr>
        <w:t> </w:t>
      </w:r>
      <w:r>
        <w:rPr>
          <w:spacing w:val="-51"/>
        </w:rPr>
      </w:r>
      <w:r>
        <w:rPr/>
        <w:t>一定的增长。</w:t>
      </w:r>
    </w:p>
    <w:p>
      <w:pPr>
        <w:spacing w:line="240" w:lineRule="auto" w:before="7"/>
        <w:rPr>
          <w:rFonts w:ascii="宋体" w:hAnsi="宋体" w:cs="宋体" w:eastAsia="宋体" w:hint="default"/>
          <w:sz w:val="21"/>
          <w:szCs w:val="21"/>
        </w:rPr>
      </w:pPr>
    </w:p>
    <w:p>
      <w:pPr>
        <w:pStyle w:val="Heading3"/>
        <w:spacing w:line="240" w:lineRule="auto"/>
        <w:ind w:right="110"/>
        <w:jc w:val="left"/>
        <w:rPr>
          <w:b w:val="0"/>
          <w:bCs w:val="0"/>
        </w:rPr>
      </w:pPr>
      <w:r>
        <w:rPr>
          <w:rFonts w:ascii="宋体" w:hAnsi="宋体" w:cs="宋体" w:eastAsia="宋体" w:hint="default"/>
        </w:rPr>
        <w:t>2</w:t>
      </w:r>
      <w:r>
        <w:rPr/>
        <w:t>、费用</w:t>
      </w:r>
      <w:r>
        <w:rPr>
          <w:b w:val="0"/>
          <w:bCs w:val="0"/>
        </w:rPr>
      </w:r>
    </w:p>
    <w:p>
      <w:pPr>
        <w:spacing w:line="240" w:lineRule="auto" w:before="8"/>
        <w:rPr>
          <w:rFonts w:ascii="宋体" w:hAnsi="宋体" w:cs="宋体" w:eastAsia="宋体" w:hint="default"/>
          <w:b/>
          <w:bCs/>
          <w:sz w:val="26"/>
          <w:szCs w:val="26"/>
        </w:rPr>
      </w:pPr>
    </w:p>
    <w:tbl>
      <w:tblPr>
        <w:tblW w:w="0" w:type="auto"/>
        <w:jc w:val="left"/>
        <w:tblInd w:w="116" w:type="dxa"/>
        <w:tblLayout w:type="fixed"/>
        <w:tblCellMar>
          <w:top w:w="0" w:type="dxa"/>
          <w:left w:w="0" w:type="dxa"/>
          <w:bottom w:w="0" w:type="dxa"/>
          <w:right w:w="0" w:type="dxa"/>
        </w:tblCellMar>
        <w:tblLook w:val="01E0"/>
      </w:tblPr>
      <w:tblGrid>
        <w:gridCol w:w="1234"/>
        <w:gridCol w:w="1834"/>
        <w:gridCol w:w="2261"/>
        <w:gridCol w:w="1836"/>
        <w:gridCol w:w="2254"/>
      </w:tblGrid>
      <w:tr>
        <w:trPr>
          <w:trHeight w:val="322" w:hRule="exact"/>
        </w:trPr>
        <w:tc>
          <w:tcPr>
            <w:tcW w:w="1234" w:type="dxa"/>
            <w:tcBorders>
              <w:top w:val="single" w:sz="12" w:space="0" w:color="000000"/>
              <w:left w:val="single" w:sz="12" w:space="0" w:color="000000"/>
              <w:bottom w:val="single" w:sz="6" w:space="0" w:color="000000"/>
              <w:right w:val="single" w:sz="6" w:space="0" w:color="000000"/>
            </w:tcBorders>
          </w:tcPr>
          <w:p>
            <w:pPr>
              <w:pStyle w:val="TableParagraph"/>
              <w:spacing w:line="251" w:lineRule="exact"/>
              <w:ind w:left="400" w:right="0"/>
              <w:jc w:val="left"/>
              <w:rPr>
                <w:rFonts w:ascii="宋体" w:hAnsi="宋体" w:cs="宋体" w:eastAsia="宋体" w:hint="default"/>
                <w:sz w:val="20"/>
                <w:szCs w:val="20"/>
              </w:rPr>
            </w:pPr>
            <w:r>
              <w:rPr>
                <w:rFonts w:ascii="宋体" w:hAnsi="宋体" w:cs="宋体" w:eastAsia="宋体" w:hint="default"/>
                <w:b/>
                <w:bCs/>
                <w:sz w:val="20"/>
                <w:szCs w:val="20"/>
              </w:rPr>
              <w:t>科目</w:t>
            </w:r>
            <w:r>
              <w:rPr>
                <w:rFonts w:ascii="宋体" w:hAnsi="宋体" w:cs="宋体" w:eastAsia="宋体" w:hint="default"/>
                <w:sz w:val="20"/>
                <w:szCs w:val="20"/>
              </w:rPr>
            </w:r>
          </w:p>
        </w:tc>
        <w:tc>
          <w:tcPr>
            <w:tcW w:w="1834" w:type="dxa"/>
            <w:tcBorders>
              <w:top w:val="single" w:sz="12" w:space="0" w:color="000000"/>
              <w:left w:val="single" w:sz="6" w:space="0" w:color="000000"/>
              <w:bottom w:val="single" w:sz="6" w:space="0" w:color="000000"/>
              <w:right w:val="single" w:sz="6" w:space="0" w:color="000000"/>
            </w:tcBorders>
          </w:tcPr>
          <w:p>
            <w:pPr>
              <w:pStyle w:val="TableParagraph"/>
              <w:spacing w:line="251" w:lineRule="exact"/>
              <w:ind w:right="0"/>
              <w:jc w:val="center"/>
              <w:rPr>
                <w:rFonts w:ascii="宋体" w:hAnsi="宋体" w:cs="宋体" w:eastAsia="宋体" w:hint="default"/>
                <w:sz w:val="20"/>
                <w:szCs w:val="20"/>
              </w:rPr>
            </w:pPr>
            <w:r>
              <w:rPr>
                <w:rFonts w:ascii="宋体" w:hAnsi="宋体" w:cs="宋体" w:eastAsia="宋体" w:hint="default"/>
                <w:b/>
                <w:bCs/>
                <w:spacing w:val="2"/>
                <w:sz w:val="20"/>
                <w:szCs w:val="20"/>
              </w:rPr>
              <w:t>本年数</w:t>
            </w:r>
            <w:r>
              <w:rPr>
                <w:rFonts w:ascii="宋体" w:hAnsi="宋体" w:cs="宋体" w:eastAsia="宋体" w:hint="default"/>
                <w:sz w:val="20"/>
                <w:szCs w:val="20"/>
              </w:rPr>
            </w:r>
          </w:p>
        </w:tc>
        <w:tc>
          <w:tcPr>
            <w:tcW w:w="2261" w:type="dxa"/>
            <w:tcBorders>
              <w:top w:val="single" w:sz="12" w:space="0" w:color="000000"/>
              <w:left w:val="single" w:sz="6" w:space="0" w:color="000000"/>
              <w:bottom w:val="single" w:sz="6" w:space="0" w:color="000000"/>
              <w:right w:val="single" w:sz="6" w:space="0" w:color="000000"/>
            </w:tcBorders>
          </w:tcPr>
          <w:p>
            <w:pPr>
              <w:pStyle w:val="TableParagraph"/>
              <w:spacing w:line="251" w:lineRule="exact"/>
              <w:ind w:left="218" w:right="0"/>
              <w:jc w:val="left"/>
              <w:rPr>
                <w:rFonts w:ascii="宋体" w:hAnsi="宋体" w:cs="宋体" w:eastAsia="宋体" w:hint="default"/>
                <w:sz w:val="20"/>
                <w:szCs w:val="20"/>
              </w:rPr>
            </w:pPr>
            <w:r>
              <w:rPr>
                <w:rFonts w:ascii="宋体" w:hAnsi="宋体" w:cs="宋体" w:eastAsia="宋体" w:hint="default"/>
                <w:b/>
                <w:bCs/>
                <w:sz w:val="20"/>
                <w:szCs w:val="20"/>
              </w:rPr>
              <w:t>本年占营业收入比重</w:t>
            </w:r>
            <w:r>
              <w:rPr>
                <w:rFonts w:ascii="宋体" w:hAnsi="宋体" w:cs="宋体" w:eastAsia="宋体" w:hint="default"/>
                <w:sz w:val="20"/>
                <w:szCs w:val="20"/>
              </w:rPr>
            </w:r>
          </w:p>
        </w:tc>
        <w:tc>
          <w:tcPr>
            <w:tcW w:w="1836" w:type="dxa"/>
            <w:tcBorders>
              <w:top w:val="single" w:sz="12" w:space="0" w:color="000000"/>
              <w:left w:val="single" w:sz="6" w:space="0" w:color="000000"/>
              <w:bottom w:val="single" w:sz="6" w:space="0" w:color="000000"/>
              <w:right w:val="single" w:sz="6" w:space="0" w:color="000000"/>
            </w:tcBorders>
          </w:tcPr>
          <w:p>
            <w:pPr>
              <w:pStyle w:val="TableParagraph"/>
              <w:spacing w:line="251" w:lineRule="exact"/>
              <w:ind w:left="407" w:right="0"/>
              <w:jc w:val="left"/>
              <w:rPr>
                <w:rFonts w:ascii="宋体" w:hAnsi="宋体" w:cs="宋体" w:eastAsia="宋体" w:hint="default"/>
                <w:sz w:val="20"/>
                <w:szCs w:val="20"/>
              </w:rPr>
            </w:pPr>
            <w:r>
              <w:rPr>
                <w:rFonts w:ascii="宋体" w:hAnsi="宋体" w:cs="宋体" w:eastAsia="宋体" w:hint="default"/>
                <w:b/>
                <w:bCs/>
                <w:sz w:val="20"/>
                <w:szCs w:val="20"/>
              </w:rPr>
              <w:t>上年同期数</w:t>
            </w:r>
            <w:r>
              <w:rPr>
                <w:rFonts w:ascii="宋体" w:hAnsi="宋体" w:cs="宋体" w:eastAsia="宋体" w:hint="default"/>
                <w:sz w:val="20"/>
                <w:szCs w:val="20"/>
              </w:rPr>
            </w:r>
          </w:p>
        </w:tc>
        <w:tc>
          <w:tcPr>
            <w:tcW w:w="2254" w:type="dxa"/>
            <w:tcBorders>
              <w:top w:val="single" w:sz="12" w:space="0" w:color="000000"/>
              <w:left w:val="single" w:sz="6" w:space="0" w:color="000000"/>
              <w:bottom w:val="single" w:sz="6" w:space="0" w:color="000000"/>
              <w:right w:val="single" w:sz="12" w:space="0" w:color="000000"/>
            </w:tcBorders>
          </w:tcPr>
          <w:p>
            <w:pPr>
              <w:pStyle w:val="TableParagraph"/>
              <w:spacing w:line="251" w:lineRule="exact"/>
              <w:ind w:left="215" w:right="0"/>
              <w:jc w:val="left"/>
              <w:rPr>
                <w:rFonts w:ascii="宋体" w:hAnsi="宋体" w:cs="宋体" w:eastAsia="宋体" w:hint="default"/>
                <w:sz w:val="20"/>
                <w:szCs w:val="20"/>
              </w:rPr>
            </w:pPr>
            <w:r>
              <w:rPr>
                <w:rFonts w:ascii="宋体" w:hAnsi="宋体" w:cs="宋体" w:eastAsia="宋体" w:hint="default"/>
                <w:b/>
                <w:bCs/>
                <w:sz w:val="20"/>
                <w:szCs w:val="20"/>
              </w:rPr>
              <w:t>上年占营业收入比重</w:t>
            </w:r>
            <w:r>
              <w:rPr>
                <w:rFonts w:ascii="宋体" w:hAnsi="宋体" w:cs="宋体" w:eastAsia="宋体" w:hint="default"/>
                <w:sz w:val="20"/>
                <w:szCs w:val="20"/>
              </w:rPr>
            </w:r>
          </w:p>
        </w:tc>
      </w:tr>
      <w:tr>
        <w:trPr>
          <w:trHeight w:val="286" w:hRule="exact"/>
        </w:trPr>
        <w:tc>
          <w:tcPr>
            <w:tcW w:w="1234" w:type="dxa"/>
            <w:tcBorders>
              <w:top w:val="single" w:sz="6" w:space="0" w:color="000000"/>
              <w:left w:val="single" w:sz="12" w:space="0" w:color="000000"/>
              <w:bottom w:val="single" w:sz="6" w:space="0" w:color="000000"/>
              <w:right w:val="single" w:sz="6" w:space="0" w:color="000000"/>
            </w:tcBorders>
          </w:tcPr>
          <w:p>
            <w:pPr>
              <w:pStyle w:val="TableParagraph"/>
              <w:spacing w:line="237" w:lineRule="exact"/>
              <w:ind w:left="93" w:right="0"/>
              <w:jc w:val="left"/>
              <w:rPr>
                <w:rFonts w:ascii="宋体" w:hAnsi="宋体" w:cs="宋体" w:eastAsia="宋体" w:hint="default"/>
                <w:sz w:val="20"/>
                <w:szCs w:val="20"/>
              </w:rPr>
            </w:pPr>
            <w:r>
              <w:rPr>
                <w:rFonts w:ascii="宋体" w:hAnsi="宋体" w:cs="宋体" w:eastAsia="宋体" w:hint="default"/>
                <w:sz w:val="20"/>
                <w:szCs w:val="20"/>
              </w:rPr>
              <w:t>销售费用</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spacing w:val="-1"/>
                <w:sz w:val="20"/>
              </w:rPr>
              <w:t>1,964,452,807.79</w:t>
            </w:r>
          </w:p>
        </w:tc>
        <w:tc>
          <w:tcPr>
            <w:tcW w:w="22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6.91%</w:t>
            </w:r>
          </w:p>
        </w:tc>
        <w:tc>
          <w:tcPr>
            <w:tcW w:w="1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spacing w:val="-1"/>
                <w:sz w:val="20"/>
              </w:rPr>
              <w:t>1,702,955,135.50</w:t>
            </w:r>
          </w:p>
        </w:tc>
        <w:tc>
          <w:tcPr>
            <w:tcW w:w="225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89"/>
              <w:jc w:val="right"/>
              <w:rPr>
                <w:rFonts w:ascii="Times New Roman" w:hAnsi="Times New Roman" w:cs="Times New Roman" w:eastAsia="Times New Roman" w:hint="default"/>
                <w:sz w:val="20"/>
                <w:szCs w:val="20"/>
              </w:rPr>
            </w:pPr>
            <w:r>
              <w:rPr>
                <w:rFonts w:ascii="Times New Roman"/>
                <w:sz w:val="20"/>
              </w:rPr>
              <w:t>6.55%</w:t>
            </w:r>
          </w:p>
        </w:tc>
      </w:tr>
      <w:tr>
        <w:trPr>
          <w:trHeight w:val="286" w:hRule="exact"/>
        </w:trPr>
        <w:tc>
          <w:tcPr>
            <w:tcW w:w="1234"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spacing w:val="-1"/>
                <w:sz w:val="20"/>
              </w:rPr>
              <w:t>2,428,925,970.20</w:t>
            </w:r>
          </w:p>
        </w:tc>
        <w:tc>
          <w:tcPr>
            <w:tcW w:w="22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8.54%</w:t>
            </w:r>
          </w:p>
        </w:tc>
        <w:tc>
          <w:tcPr>
            <w:tcW w:w="1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spacing w:val="-1"/>
                <w:sz w:val="20"/>
              </w:rPr>
              <w:t>1,819,071,593.99</w:t>
            </w:r>
          </w:p>
        </w:tc>
        <w:tc>
          <w:tcPr>
            <w:tcW w:w="225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89"/>
              <w:jc w:val="right"/>
              <w:rPr>
                <w:rFonts w:ascii="Times New Roman" w:hAnsi="Times New Roman" w:cs="Times New Roman" w:eastAsia="Times New Roman" w:hint="default"/>
                <w:sz w:val="20"/>
                <w:szCs w:val="20"/>
              </w:rPr>
            </w:pPr>
            <w:r>
              <w:rPr>
                <w:rFonts w:ascii="Times New Roman"/>
                <w:sz w:val="20"/>
              </w:rPr>
              <w:t>7.00%</w:t>
            </w:r>
          </w:p>
        </w:tc>
      </w:tr>
      <w:tr>
        <w:trPr>
          <w:trHeight w:val="283" w:hRule="exact"/>
        </w:trPr>
        <w:tc>
          <w:tcPr>
            <w:tcW w:w="1234"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w w:val="95"/>
                <w:sz w:val="20"/>
              </w:rPr>
              <w:t>960,733,804.39</w:t>
            </w:r>
            <w:r>
              <w:rPr>
                <w:rFonts w:ascii="Times New Roman"/>
                <w:sz w:val="20"/>
              </w:rPr>
            </w:r>
          </w:p>
        </w:tc>
        <w:tc>
          <w:tcPr>
            <w:tcW w:w="22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3.38%</w:t>
            </w:r>
          </w:p>
        </w:tc>
        <w:tc>
          <w:tcPr>
            <w:tcW w:w="1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spacing w:val="-1"/>
                <w:sz w:val="20"/>
              </w:rPr>
              <w:t>1,133,948,001.75</w:t>
            </w:r>
          </w:p>
        </w:tc>
        <w:tc>
          <w:tcPr>
            <w:tcW w:w="225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0"/>
                <w:szCs w:val="20"/>
              </w:rPr>
            </w:pPr>
            <w:r>
              <w:rPr>
                <w:rFonts w:ascii="Times New Roman"/>
                <w:sz w:val="20"/>
              </w:rPr>
              <w:t>4.36%</w:t>
            </w:r>
          </w:p>
        </w:tc>
      </w:tr>
      <w:tr>
        <w:trPr>
          <w:trHeight w:val="293" w:hRule="exact"/>
        </w:trPr>
        <w:tc>
          <w:tcPr>
            <w:tcW w:w="1234" w:type="dxa"/>
            <w:tcBorders>
              <w:top w:val="single" w:sz="6" w:space="0" w:color="000000"/>
              <w:left w:val="single" w:sz="12" w:space="0" w:color="000000"/>
              <w:bottom w:val="single" w:sz="12" w:space="0" w:color="000000"/>
              <w:right w:val="single" w:sz="6" w:space="0" w:color="000000"/>
            </w:tcBorders>
          </w:tcPr>
          <w:p>
            <w:pPr>
              <w:pStyle w:val="TableParagraph"/>
              <w:spacing w:line="237" w:lineRule="exact"/>
              <w:ind w:left="93"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8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spacing w:val="-1"/>
                <w:sz w:val="20"/>
              </w:rPr>
              <w:t>5,354,112,582.38</w:t>
            </w:r>
          </w:p>
        </w:tc>
        <w:tc>
          <w:tcPr>
            <w:tcW w:w="226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18.82%</w:t>
            </w:r>
          </w:p>
        </w:tc>
        <w:tc>
          <w:tcPr>
            <w:tcW w:w="18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spacing w:val="-1"/>
                <w:sz w:val="20"/>
              </w:rPr>
              <w:t>4,655,974,731.24</w:t>
            </w:r>
          </w:p>
        </w:tc>
        <w:tc>
          <w:tcPr>
            <w:tcW w:w="225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5"/>
              <w:ind w:right="89"/>
              <w:jc w:val="right"/>
              <w:rPr>
                <w:rFonts w:ascii="Times New Roman" w:hAnsi="Times New Roman" w:cs="Times New Roman" w:eastAsia="Times New Roman" w:hint="default"/>
                <w:sz w:val="20"/>
                <w:szCs w:val="20"/>
              </w:rPr>
            </w:pPr>
            <w:r>
              <w:rPr>
                <w:rFonts w:ascii="Times New Roman"/>
                <w:sz w:val="20"/>
              </w:rPr>
              <w:t>17.91%</w:t>
            </w:r>
          </w:p>
        </w:tc>
      </w:tr>
    </w:tbl>
    <w:p>
      <w:pPr>
        <w:spacing w:line="240" w:lineRule="auto" w:before="10"/>
        <w:rPr>
          <w:rFonts w:ascii="宋体" w:hAnsi="宋体" w:cs="宋体" w:eastAsia="宋体" w:hint="default"/>
          <w:b/>
          <w:bCs/>
          <w:sz w:val="18"/>
          <w:szCs w:val="18"/>
        </w:rPr>
      </w:pPr>
    </w:p>
    <w:p>
      <w:pPr>
        <w:pStyle w:val="BodyText"/>
        <w:spacing w:line="237" w:lineRule="auto" w:before="28"/>
        <w:ind w:left="238" w:right="241"/>
        <w:jc w:val="both"/>
      </w:pPr>
      <w:r>
        <w:rPr/>
        <w:t>公司本年度销售费用为</w:t>
      </w:r>
      <w:r>
        <w:rPr>
          <w:spacing w:val="-53"/>
        </w:rPr>
        <w:t> </w:t>
      </w:r>
      <w:r>
        <w:rPr>
          <w:rFonts w:ascii="宋体" w:hAnsi="宋体" w:cs="宋体" w:eastAsia="宋体" w:hint="default"/>
        </w:rPr>
        <w:t>19.64</w:t>
      </w:r>
      <w:r>
        <w:rPr>
          <w:rFonts w:ascii="宋体" w:hAnsi="宋体" w:cs="宋体" w:eastAsia="宋体" w:hint="default"/>
          <w:spacing w:val="-53"/>
        </w:rPr>
        <w:t> </w:t>
      </w:r>
      <w:r>
        <w:rPr/>
        <w:t>亿元，较上年增长</w:t>
      </w:r>
      <w:r>
        <w:rPr>
          <w:spacing w:val="-53"/>
        </w:rPr>
        <w:t> </w:t>
      </w:r>
      <w:r>
        <w:rPr>
          <w:rFonts w:ascii="宋体" w:hAnsi="宋体" w:cs="宋体" w:eastAsia="宋体" w:hint="default"/>
        </w:rPr>
        <w:t>15.36%</w:t>
      </w:r>
      <w:r>
        <w:rPr/>
        <w:t>，略高于营业收入增幅，除收入 规模扩大拉动销售费用相应增长外，导致销售费用变动的原因还包括：一方面，公司所</w:t>
      </w:r>
      <w:r>
        <w:rPr>
          <w:spacing w:val="-51"/>
        </w:rPr>
        <w:t> </w:t>
      </w:r>
      <w:r>
        <w:rPr>
          <w:spacing w:val="-51"/>
        </w:rPr>
      </w:r>
      <w:r>
        <w:rPr/>
        <w:t>属计算机、多媒体、安防等产业板块的海外业务稳步增长，导致销售拓展、物流仓储及</w:t>
      </w:r>
      <w:r>
        <w:rPr>
          <w:spacing w:val="-51"/>
        </w:rPr>
        <w:t> </w:t>
      </w:r>
      <w:r>
        <w:rPr>
          <w:spacing w:val="-51"/>
        </w:rPr>
      </w:r>
      <w:r>
        <w:rPr/>
        <w:t>品牌使用费等相应增加；另一方面，全社会用工成本和物价水平的持续上涨，也导致各</w:t>
      </w:r>
      <w:r>
        <w:rPr>
          <w:spacing w:val="-51"/>
        </w:rPr>
        <w:t> </w:t>
      </w:r>
      <w:r>
        <w:rPr>
          <w:spacing w:val="-51"/>
        </w:rPr>
      </w:r>
      <w:r>
        <w:rPr/>
        <w:t>产业销售部门的工资性开支及获取各类外包服务的支出相应提高；此外，公司本年全年</w:t>
      </w:r>
      <w:r>
        <w:rPr>
          <w:spacing w:val="-51"/>
        </w:rPr>
        <w:t> </w:t>
      </w:r>
      <w:r>
        <w:rPr>
          <w:spacing w:val="-51"/>
        </w:rPr>
      </w:r>
      <w:r>
        <w:rPr/>
        <w:t>合并同方友友，而上年仅合并其</w:t>
      </w:r>
      <w:r>
        <w:rPr>
          <w:spacing w:val="-60"/>
        </w:rPr>
        <w:t> </w:t>
      </w:r>
      <w:r>
        <w:rPr>
          <w:rFonts w:ascii="宋体" w:hAnsi="宋体" w:cs="宋体" w:eastAsia="宋体" w:hint="default"/>
        </w:rPr>
        <w:t>8-12</w:t>
      </w:r>
      <w:r>
        <w:rPr>
          <w:rFonts w:ascii="宋体" w:hAnsi="宋体" w:cs="宋体" w:eastAsia="宋体" w:hint="default"/>
          <w:spacing w:val="-60"/>
        </w:rPr>
        <w:t> </w:t>
      </w:r>
      <w:r>
        <w:rPr/>
        <w:t>月份损益，也令销售费用同比增长。</w:t>
      </w:r>
    </w:p>
    <w:p>
      <w:pPr>
        <w:spacing w:line="240" w:lineRule="auto" w:before="10"/>
        <w:rPr>
          <w:rFonts w:ascii="宋体" w:hAnsi="宋体" w:cs="宋体" w:eastAsia="宋体" w:hint="default"/>
          <w:sz w:val="23"/>
          <w:szCs w:val="23"/>
        </w:rPr>
      </w:pPr>
    </w:p>
    <w:p>
      <w:pPr>
        <w:pStyle w:val="BodyText"/>
        <w:spacing w:line="237" w:lineRule="auto"/>
        <w:ind w:left="238" w:right="241"/>
        <w:jc w:val="both"/>
      </w:pPr>
      <w:r>
        <w:rPr/>
        <w:t>公司本年度管理费用为</w:t>
      </w:r>
      <w:r>
        <w:rPr>
          <w:spacing w:val="-53"/>
        </w:rPr>
        <w:t> </w:t>
      </w:r>
      <w:r>
        <w:rPr>
          <w:rFonts w:ascii="宋体" w:hAnsi="宋体" w:cs="宋体" w:eastAsia="宋体" w:hint="default"/>
        </w:rPr>
        <w:t>24.29</w:t>
      </w:r>
      <w:r>
        <w:rPr>
          <w:rFonts w:ascii="宋体" w:hAnsi="宋体" w:cs="宋体" w:eastAsia="宋体" w:hint="default"/>
          <w:spacing w:val="-53"/>
        </w:rPr>
        <w:t> </w:t>
      </w:r>
      <w:r>
        <w:rPr/>
        <w:t>亿元，较上年增长</w:t>
      </w:r>
      <w:r>
        <w:rPr>
          <w:spacing w:val="-53"/>
        </w:rPr>
        <w:t> </w:t>
      </w:r>
      <w:r>
        <w:rPr>
          <w:rFonts w:ascii="宋体" w:hAnsi="宋体" w:cs="宋体" w:eastAsia="宋体" w:hint="default"/>
        </w:rPr>
        <w:t>33.53%</w:t>
      </w:r>
      <w:r>
        <w:rPr/>
        <w:t>，主要原因包括：一方面，公司 所属芯片、安防、节能、计算机、多媒体（海外）等产业板块的技术研发、专利授权和</w:t>
      </w:r>
      <w:r>
        <w:rPr>
          <w:spacing w:val="-51"/>
        </w:rPr>
        <w:t> </w:t>
      </w:r>
      <w:r>
        <w:rPr>
          <w:spacing w:val="-51"/>
        </w:rPr>
      </w:r>
      <w:r>
        <w:rPr/>
        <w:t>运营管理等费用性开支有所增加；另一方面，全社会用工成本和物价水平的上涨，也导</w:t>
      </w:r>
      <w:r>
        <w:rPr>
          <w:spacing w:val="-51"/>
        </w:rPr>
        <w:t> </w:t>
      </w:r>
      <w:r>
        <w:rPr>
          <w:spacing w:val="-51"/>
        </w:rPr>
      </w:r>
      <w:r>
        <w:rPr/>
        <w:t>致各单位的工资性开支及获取各类外包服务的支出相应提高；此外，公司本年全年合并</w:t>
      </w:r>
      <w:r>
        <w:rPr>
          <w:spacing w:val="-51"/>
        </w:rPr>
        <w:t> </w:t>
      </w:r>
      <w:r>
        <w:rPr>
          <w:spacing w:val="-51"/>
        </w:rPr>
      </w:r>
      <w:r>
        <w:rPr/>
        <w:t>同方友友，而上年仅合并其</w:t>
      </w:r>
      <w:r>
        <w:rPr>
          <w:spacing w:val="-60"/>
        </w:rPr>
        <w:t> </w:t>
      </w:r>
      <w:r>
        <w:rPr>
          <w:rFonts w:ascii="宋体" w:hAnsi="宋体" w:cs="宋体" w:eastAsia="宋体" w:hint="default"/>
        </w:rPr>
        <w:t>8-12</w:t>
      </w:r>
      <w:r>
        <w:rPr>
          <w:rFonts w:ascii="宋体" w:hAnsi="宋体" w:cs="宋体" w:eastAsia="宋体" w:hint="default"/>
          <w:spacing w:val="-60"/>
        </w:rPr>
        <w:t> </w:t>
      </w:r>
      <w:r>
        <w:rPr/>
        <w:t>月份损益，也令管理费用同比增长。</w:t>
      </w:r>
    </w:p>
    <w:p>
      <w:pPr>
        <w:spacing w:line="240" w:lineRule="auto" w:before="11"/>
        <w:rPr>
          <w:rFonts w:ascii="宋体" w:hAnsi="宋体" w:cs="宋体" w:eastAsia="宋体" w:hint="default"/>
          <w:sz w:val="25"/>
          <w:szCs w:val="25"/>
        </w:rPr>
      </w:pPr>
    </w:p>
    <w:p>
      <w:pPr>
        <w:pStyle w:val="BodyText"/>
        <w:spacing w:line="312" w:lineRule="exact"/>
        <w:ind w:left="238" w:right="244"/>
        <w:jc w:val="both"/>
      </w:pPr>
      <w:r>
        <w:rPr/>
        <w:t>公司本年度财务费用为</w:t>
      </w:r>
      <w:r>
        <w:rPr>
          <w:spacing w:val="-59"/>
        </w:rPr>
        <w:t> </w:t>
      </w:r>
      <w:r>
        <w:rPr>
          <w:rFonts w:ascii="宋体" w:hAnsi="宋体" w:cs="宋体" w:eastAsia="宋体" w:hint="default"/>
        </w:rPr>
        <w:t>9.61</w:t>
      </w:r>
      <w:r>
        <w:rPr>
          <w:rFonts w:ascii="宋体" w:hAnsi="宋体" w:cs="宋体" w:eastAsia="宋体" w:hint="default"/>
          <w:spacing w:val="-59"/>
        </w:rPr>
        <w:t> </w:t>
      </w:r>
      <w:r>
        <w:rPr>
          <w:spacing w:val="-7"/>
        </w:rPr>
        <w:t>亿元，较上年下降</w:t>
      </w:r>
      <w:r>
        <w:rPr>
          <w:spacing w:val="-59"/>
        </w:rPr>
        <w:t> </w:t>
      </w:r>
      <w:r>
        <w:rPr>
          <w:rFonts w:ascii="宋体" w:hAnsi="宋体" w:cs="宋体" w:eastAsia="宋体" w:hint="default"/>
          <w:spacing w:val="-4"/>
        </w:rPr>
        <w:t>15.28%</w:t>
      </w:r>
      <w:r>
        <w:rPr>
          <w:spacing w:val="-4"/>
        </w:rPr>
        <w:t>，主要得益于本年</w:t>
      </w:r>
      <w:r>
        <w:rPr>
          <w:spacing w:val="-59"/>
        </w:rPr>
        <w:t> </w:t>
      </w:r>
      <w:r>
        <w:rPr>
          <w:rFonts w:ascii="宋体" w:hAnsi="宋体" w:cs="宋体" w:eastAsia="宋体" w:hint="default"/>
        </w:rPr>
        <w:t>2</w:t>
      </w:r>
      <w:r>
        <w:rPr>
          <w:rFonts w:ascii="宋体" w:hAnsi="宋体" w:cs="宋体" w:eastAsia="宋体" w:hint="default"/>
          <w:spacing w:val="-59"/>
        </w:rPr>
        <w:t> </w:t>
      </w:r>
      <w:r>
        <w:rPr/>
        <w:t>月份完成非公 开发行新股并以募集资金归还负息债务。</w:t>
      </w:r>
    </w:p>
    <w:p>
      <w:pPr>
        <w:spacing w:line="240" w:lineRule="auto" w:before="4"/>
        <w:rPr>
          <w:rFonts w:ascii="宋体" w:hAnsi="宋体" w:cs="宋体" w:eastAsia="宋体" w:hint="default"/>
          <w:sz w:val="21"/>
          <w:szCs w:val="21"/>
        </w:rPr>
      </w:pPr>
    </w:p>
    <w:p>
      <w:pPr>
        <w:pStyle w:val="Heading3"/>
        <w:spacing w:line="477" w:lineRule="auto"/>
        <w:ind w:left="238" w:right="7379" w:firstLine="256"/>
        <w:jc w:val="left"/>
        <w:rPr>
          <w:b w:val="0"/>
          <w:bCs w:val="0"/>
        </w:rPr>
      </w:pPr>
      <w:r>
        <w:rPr>
          <w:rFonts w:ascii="宋体" w:hAnsi="宋体" w:cs="宋体" w:eastAsia="宋体" w:hint="default"/>
        </w:rPr>
        <w:t>3</w:t>
      </w:r>
      <w:r>
        <w:rPr/>
        <w:t>、研发支出</w:t>
      </w:r>
      <w:r>
        <w:rPr>
          <w:w w:val="99"/>
        </w:rPr>
        <w:t> </w:t>
      </w:r>
      <w:r>
        <w:rPr>
          <w:rFonts w:ascii="宋体" w:hAnsi="宋体" w:cs="宋体" w:eastAsia="宋体" w:hint="default"/>
        </w:rPr>
        <w:t>(1)</w:t>
      </w:r>
      <w:r>
        <w:rPr/>
        <w:t>研发支出情况表</w:t>
      </w:r>
      <w:r>
        <w:rPr>
          <w:b w:val="0"/>
          <w:bCs w:val="0"/>
        </w:rPr>
      </w:r>
    </w:p>
    <w:p>
      <w:pPr>
        <w:spacing w:after="0" w:line="477" w:lineRule="auto"/>
        <w:jc w:val="left"/>
        <w:sectPr>
          <w:pgSz w:w="11910" w:h="16840"/>
          <w:pgMar w:header="628" w:footer="760" w:top="1020" w:bottom="960" w:left="1180" w:right="104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tbl>
      <w:tblPr>
        <w:tblW w:w="0" w:type="auto"/>
        <w:jc w:val="left"/>
        <w:tblInd w:w="116" w:type="dxa"/>
        <w:tblLayout w:type="fixed"/>
        <w:tblCellMar>
          <w:top w:w="0" w:type="dxa"/>
          <w:left w:w="0" w:type="dxa"/>
          <w:bottom w:w="0" w:type="dxa"/>
          <w:right w:w="0" w:type="dxa"/>
        </w:tblCellMar>
        <w:tblLook w:val="01E0"/>
      </w:tblPr>
      <w:tblGrid>
        <w:gridCol w:w="3795"/>
        <w:gridCol w:w="1702"/>
        <w:gridCol w:w="1702"/>
        <w:gridCol w:w="2221"/>
      </w:tblGrid>
      <w:tr>
        <w:trPr>
          <w:trHeight w:val="425" w:hRule="exact"/>
        </w:trPr>
        <w:tc>
          <w:tcPr>
            <w:tcW w:w="3795" w:type="dxa"/>
            <w:tcBorders>
              <w:top w:val="single" w:sz="12" w:space="0" w:color="000000"/>
              <w:left w:val="single" w:sz="12" w:space="0" w:color="000000"/>
              <w:bottom w:val="single" w:sz="6" w:space="0" w:color="000000"/>
              <w:right w:val="single" w:sz="6" w:space="0" w:color="000000"/>
            </w:tcBorders>
          </w:tcPr>
          <w:p>
            <w:pPr>
              <w:pStyle w:val="TableParagraph"/>
              <w:spacing w:line="243" w:lineRule="exact"/>
              <w:ind w:left="1144"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z w:val="21"/>
                <w:szCs w:val="21"/>
              </w:rPr>
              <w:t>(</w:t>
            </w:r>
            <w:r>
              <w:rPr>
                <w:rFonts w:ascii="宋体" w:hAnsi="宋体" w:cs="宋体" w:eastAsia="宋体" w:hint="default"/>
                <w:b/>
                <w:bCs/>
                <w:sz w:val="21"/>
                <w:szCs w:val="21"/>
              </w:rPr>
              <w:t>单位：元</w:t>
            </w:r>
            <w:r>
              <w:rPr>
                <w:rFonts w:ascii="宋体" w:hAnsi="宋体" w:cs="宋体" w:eastAsia="宋体" w:hint="default"/>
                <w:b/>
                <w:bCs/>
                <w:sz w:val="21"/>
                <w:szCs w:val="21"/>
              </w:rPr>
              <w:t>)</w:t>
            </w:r>
            <w:r>
              <w:rPr>
                <w:rFonts w:ascii="宋体" w:hAnsi="宋体" w:cs="宋体" w:eastAsia="宋体" w:hint="default"/>
                <w:sz w:val="21"/>
                <w:szCs w:val="21"/>
              </w:rPr>
            </w:r>
          </w:p>
        </w:tc>
        <w:tc>
          <w:tcPr>
            <w:tcW w:w="1702" w:type="dxa"/>
            <w:tcBorders>
              <w:top w:val="single" w:sz="12" w:space="0" w:color="000000"/>
              <w:left w:val="single" w:sz="6" w:space="0" w:color="000000"/>
              <w:bottom w:val="single" w:sz="6" w:space="0" w:color="000000"/>
              <w:right w:val="single" w:sz="6" w:space="0" w:color="000000"/>
            </w:tcBorders>
          </w:tcPr>
          <w:p>
            <w:pPr>
              <w:pStyle w:val="TableParagraph"/>
              <w:spacing w:line="243" w:lineRule="exact"/>
              <w:ind w:left="393" w:right="0"/>
              <w:jc w:val="left"/>
              <w:rPr>
                <w:rFonts w:ascii="宋体" w:hAnsi="宋体" w:cs="宋体" w:eastAsia="宋体" w:hint="default"/>
                <w:sz w:val="21"/>
                <w:szCs w:val="21"/>
              </w:rPr>
            </w:pPr>
            <w:r>
              <w:rPr>
                <w:rFonts w:ascii="宋体" w:hAnsi="宋体" w:cs="宋体" w:eastAsia="宋体" w:hint="default"/>
                <w:b/>
                <w:bCs/>
                <w:sz w:val="21"/>
                <w:szCs w:val="21"/>
              </w:rPr>
              <w:t>2015</w:t>
            </w:r>
            <w:r>
              <w:rPr>
                <w:rFonts w:ascii="宋体" w:hAnsi="宋体" w:cs="宋体" w:eastAsia="宋体" w:hint="default"/>
                <w:b/>
                <w:bCs/>
                <w:spacing w:val="-55"/>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702" w:type="dxa"/>
            <w:tcBorders>
              <w:top w:val="single" w:sz="12" w:space="0" w:color="000000"/>
              <w:left w:val="single" w:sz="6" w:space="0" w:color="000000"/>
              <w:bottom w:val="single" w:sz="6" w:space="0" w:color="000000"/>
              <w:right w:val="single" w:sz="6" w:space="0" w:color="000000"/>
            </w:tcBorders>
          </w:tcPr>
          <w:p>
            <w:pPr>
              <w:pStyle w:val="TableParagraph"/>
              <w:spacing w:line="243" w:lineRule="exact"/>
              <w:ind w:left="391" w:right="0"/>
              <w:jc w:val="left"/>
              <w:rPr>
                <w:rFonts w:ascii="宋体" w:hAnsi="宋体" w:cs="宋体" w:eastAsia="宋体" w:hint="default"/>
                <w:sz w:val="21"/>
                <w:szCs w:val="21"/>
              </w:rPr>
            </w:pPr>
            <w:r>
              <w:rPr>
                <w:rFonts w:ascii="宋体" w:hAnsi="宋体" w:cs="宋体" w:eastAsia="宋体" w:hint="default"/>
                <w:b/>
                <w:bCs/>
                <w:sz w:val="21"/>
                <w:szCs w:val="21"/>
              </w:rPr>
              <w:t>2014</w:t>
            </w:r>
            <w:r>
              <w:rPr>
                <w:rFonts w:ascii="宋体" w:hAnsi="宋体" w:cs="宋体" w:eastAsia="宋体" w:hint="default"/>
                <w:b/>
                <w:bCs/>
                <w:spacing w:val="-55"/>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2221" w:type="dxa"/>
            <w:tcBorders>
              <w:top w:val="single" w:sz="12" w:space="0" w:color="000000"/>
              <w:left w:val="single" w:sz="6" w:space="0" w:color="000000"/>
              <w:bottom w:val="single" w:sz="6" w:space="0" w:color="000000"/>
              <w:right w:val="single" w:sz="12" w:space="0" w:color="000000"/>
            </w:tcBorders>
          </w:tcPr>
          <w:p>
            <w:pPr>
              <w:pStyle w:val="TableParagraph"/>
              <w:spacing w:line="243" w:lineRule="exact"/>
              <w:ind w:right="142"/>
              <w:jc w:val="right"/>
              <w:rPr>
                <w:rFonts w:ascii="宋体" w:hAnsi="宋体" w:cs="宋体" w:eastAsia="宋体" w:hint="default"/>
                <w:sz w:val="21"/>
                <w:szCs w:val="21"/>
              </w:rPr>
            </w:pPr>
            <w:r>
              <w:rPr>
                <w:rFonts w:ascii="宋体" w:hAnsi="宋体" w:cs="宋体" w:eastAsia="宋体" w:hint="default"/>
                <w:b/>
                <w:bCs/>
                <w:sz w:val="21"/>
                <w:szCs w:val="21"/>
              </w:rPr>
              <w:t>本期与上期同比增幅</w:t>
            </w:r>
            <w:r>
              <w:rPr>
                <w:rFonts w:ascii="宋体" w:hAnsi="宋体" w:cs="宋体" w:eastAsia="宋体" w:hint="default"/>
                <w:sz w:val="21"/>
                <w:szCs w:val="21"/>
              </w:rPr>
            </w:r>
          </w:p>
        </w:tc>
      </w:tr>
      <w:tr>
        <w:trPr>
          <w:trHeight w:val="286" w:hRule="exact"/>
        </w:trPr>
        <w:tc>
          <w:tcPr>
            <w:tcW w:w="3795"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本期费用化研发支出</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w w:val="95"/>
                <w:sz w:val="20"/>
              </w:rPr>
              <w:t>651,163,843.21</w:t>
            </w:r>
            <w:r>
              <w:rPr>
                <w:rFonts w:ascii="Times New Roman"/>
                <w:sz w:val="20"/>
              </w:rPr>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w w:val="95"/>
                <w:sz w:val="20"/>
              </w:rPr>
              <w:t>396,522,996.63</w:t>
            </w:r>
            <w:r>
              <w:rPr>
                <w:rFonts w:ascii="Times New Roman"/>
                <w:sz w:val="20"/>
              </w:rPr>
            </w:r>
          </w:p>
        </w:tc>
        <w:tc>
          <w:tcPr>
            <w:tcW w:w="22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89"/>
              <w:jc w:val="right"/>
              <w:rPr>
                <w:rFonts w:ascii="Times New Roman" w:hAnsi="Times New Roman" w:cs="Times New Roman" w:eastAsia="Times New Roman" w:hint="default"/>
                <w:sz w:val="20"/>
                <w:szCs w:val="20"/>
              </w:rPr>
            </w:pPr>
            <w:r>
              <w:rPr>
                <w:rFonts w:ascii="Times New Roman"/>
                <w:sz w:val="20"/>
              </w:rPr>
              <w:t>64.22%</w:t>
            </w:r>
          </w:p>
        </w:tc>
      </w:tr>
      <w:tr>
        <w:trPr>
          <w:trHeight w:val="288" w:hRule="exact"/>
        </w:trPr>
        <w:tc>
          <w:tcPr>
            <w:tcW w:w="3795"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本期资本化研发支出</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spacing w:val="-1"/>
                <w:sz w:val="20"/>
              </w:rPr>
              <w:t>1,023,163,810.51</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w w:val="95"/>
                <w:sz w:val="20"/>
              </w:rPr>
              <w:t>893,075,534.37</w:t>
            </w:r>
            <w:r>
              <w:rPr>
                <w:rFonts w:ascii="Times New Roman"/>
                <w:sz w:val="20"/>
              </w:rPr>
            </w:r>
          </w:p>
        </w:tc>
        <w:tc>
          <w:tcPr>
            <w:tcW w:w="22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89"/>
              <w:jc w:val="right"/>
              <w:rPr>
                <w:rFonts w:ascii="Times New Roman" w:hAnsi="Times New Roman" w:cs="Times New Roman" w:eastAsia="Times New Roman" w:hint="default"/>
                <w:sz w:val="20"/>
                <w:szCs w:val="20"/>
              </w:rPr>
            </w:pPr>
            <w:r>
              <w:rPr>
                <w:rFonts w:ascii="Times New Roman"/>
                <w:sz w:val="20"/>
              </w:rPr>
              <w:t>14.57%</w:t>
            </w:r>
          </w:p>
        </w:tc>
      </w:tr>
      <w:tr>
        <w:trPr>
          <w:trHeight w:val="288" w:hRule="exact"/>
        </w:trPr>
        <w:tc>
          <w:tcPr>
            <w:tcW w:w="3795"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研发支出合计</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spacing w:val="-1"/>
                <w:sz w:val="20"/>
              </w:rPr>
              <w:t>1,674,327,653.72</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spacing w:val="-1"/>
                <w:sz w:val="20"/>
              </w:rPr>
              <w:t>1,289,598,531.00</w:t>
            </w:r>
          </w:p>
        </w:tc>
        <w:tc>
          <w:tcPr>
            <w:tcW w:w="22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89"/>
              <w:jc w:val="right"/>
              <w:rPr>
                <w:rFonts w:ascii="Times New Roman" w:hAnsi="Times New Roman" w:cs="Times New Roman" w:eastAsia="Times New Roman" w:hint="default"/>
                <w:sz w:val="20"/>
                <w:szCs w:val="20"/>
              </w:rPr>
            </w:pPr>
            <w:r>
              <w:rPr>
                <w:rFonts w:ascii="Times New Roman"/>
                <w:sz w:val="20"/>
              </w:rPr>
              <w:t>29.83%</w:t>
            </w:r>
          </w:p>
        </w:tc>
      </w:tr>
      <w:tr>
        <w:trPr>
          <w:trHeight w:val="288" w:hRule="exact"/>
        </w:trPr>
        <w:tc>
          <w:tcPr>
            <w:tcW w:w="3795"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研发支出总额占营业收入比例</w:t>
            </w:r>
            <w:r>
              <w:rPr>
                <w:rFonts w:ascii="宋体" w:hAnsi="宋体" w:cs="宋体" w:eastAsia="宋体" w:hint="default"/>
                <w:sz w:val="21"/>
                <w:szCs w:val="21"/>
              </w:rPr>
              <w:t>(%)</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6"/>
              <w:jc w:val="right"/>
              <w:rPr>
                <w:rFonts w:ascii="Times New Roman" w:hAnsi="Times New Roman" w:cs="Times New Roman" w:eastAsia="Times New Roman" w:hint="default"/>
                <w:sz w:val="20"/>
                <w:szCs w:val="20"/>
              </w:rPr>
            </w:pPr>
            <w:r>
              <w:rPr>
                <w:rFonts w:ascii="Times New Roman"/>
                <w:sz w:val="20"/>
              </w:rPr>
              <w:t>5.89%</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0"/>
                <w:szCs w:val="20"/>
              </w:rPr>
            </w:pPr>
            <w:r>
              <w:rPr>
                <w:rFonts w:ascii="Times New Roman"/>
                <w:sz w:val="20"/>
              </w:rPr>
              <w:t>4.96%</w:t>
            </w:r>
          </w:p>
        </w:tc>
        <w:tc>
          <w:tcPr>
            <w:tcW w:w="2221"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hAnsi="宋体" w:cs="宋体" w:eastAsia="宋体" w:hint="default"/>
                <w:sz w:val="21"/>
                <w:szCs w:val="21"/>
              </w:rPr>
              <w:t>增长了</w:t>
            </w:r>
            <w:r>
              <w:rPr>
                <w:rFonts w:ascii="宋体" w:hAnsi="宋体" w:cs="宋体" w:eastAsia="宋体" w:hint="default"/>
                <w:spacing w:val="-53"/>
                <w:sz w:val="21"/>
                <w:szCs w:val="21"/>
              </w:rPr>
              <w:t> </w:t>
            </w:r>
            <w:r>
              <w:rPr>
                <w:rFonts w:ascii="宋体" w:hAnsi="宋体" w:cs="宋体" w:eastAsia="宋体" w:hint="default"/>
                <w:sz w:val="21"/>
                <w:szCs w:val="21"/>
              </w:rPr>
              <w:t>0.93</w:t>
            </w:r>
            <w:r>
              <w:rPr>
                <w:rFonts w:ascii="宋体" w:hAnsi="宋体" w:cs="宋体" w:eastAsia="宋体" w:hint="default"/>
                <w:spacing w:val="-54"/>
                <w:sz w:val="21"/>
                <w:szCs w:val="21"/>
              </w:rPr>
              <w:t> </w:t>
            </w:r>
            <w:r>
              <w:rPr>
                <w:rFonts w:ascii="宋体" w:hAnsi="宋体" w:cs="宋体" w:eastAsia="宋体" w:hint="default"/>
                <w:sz w:val="21"/>
                <w:szCs w:val="21"/>
              </w:rPr>
              <w:t>个百分点</w:t>
            </w:r>
          </w:p>
        </w:tc>
      </w:tr>
      <w:tr>
        <w:trPr>
          <w:trHeight w:val="286" w:hRule="exact"/>
        </w:trPr>
        <w:tc>
          <w:tcPr>
            <w:tcW w:w="3795"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公司研发人员的数量</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Times New Roman" w:hAnsi="Times New Roman" w:cs="Times New Roman" w:eastAsia="Times New Roman" w:hint="default"/>
                <w:sz w:val="20"/>
                <w:szCs w:val="20"/>
              </w:rPr>
            </w:pPr>
            <w:r>
              <w:rPr>
                <w:rFonts w:ascii="Times New Roman"/>
                <w:sz w:val="20"/>
              </w:rPr>
              <w:t>1,914</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Times New Roman" w:hAnsi="Times New Roman" w:cs="Times New Roman" w:eastAsia="Times New Roman" w:hint="default"/>
                <w:sz w:val="20"/>
                <w:szCs w:val="20"/>
              </w:rPr>
            </w:pPr>
            <w:r>
              <w:rPr>
                <w:rFonts w:ascii="Times New Roman"/>
                <w:sz w:val="20"/>
              </w:rPr>
              <w:t>1,609</w:t>
            </w:r>
          </w:p>
        </w:tc>
        <w:tc>
          <w:tcPr>
            <w:tcW w:w="22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89"/>
              <w:jc w:val="right"/>
              <w:rPr>
                <w:rFonts w:ascii="Times New Roman" w:hAnsi="Times New Roman" w:cs="Times New Roman" w:eastAsia="Times New Roman" w:hint="default"/>
                <w:sz w:val="20"/>
                <w:szCs w:val="20"/>
              </w:rPr>
            </w:pPr>
            <w:r>
              <w:rPr>
                <w:rFonts w:ascii="Times New Roman"/>
                <w:sz w:val="20"/>
              </w:rPr>
              <w:t>18.96%</w:t>
            </w:r>
          </w:p>
        </w:tc>
      </w:tr>
      <w:tr>
        <w:trPr>
          <w:trHeight w:val="288" w:hRule="exact"/>
        </w:trPr>
        <w:tc>
          <w:tcPr>
            <w:tcW w:w="3795"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研发人员数量占公司总人数的比例</w:t>
            </w:r>
            <w:r>
              <w:rPr>
                <w:rFonts w:ascii="宋体" w:hAnsi="宋体" w:cs="宋体" w:eastAsia="宋体" w:hint="default"/>
                <w:sz w:val="21"/>
                <w:szCs w:val="21"/>
              </w:rPr>
              <w:t>(%)</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Times New Roman" w:hAnsi="Times New Roman" w:cs="Times New Roman" w:eastAsia="Times New Roman" w:hint="default"/>
                <w:sz w:val="20"/>
                <w:szCs w:val="20"/>
              </w:rPr>
            </w:pPr>
            <w:r>
              <w:rPr>
                <w:rFonts w:ascii="Times New Roman"/>
                <w:sz w:val="20"/>
              </w:rPr>
              <w:t>9.95</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20"/>
                <w:szCs w:val="20"/>
              </w:rPr>
            </w:pPr>
            <w:r>
              <w:rPr>
                <w:rFonts w:ascii="Times New Roman"/>
                <w:sz w:val="20"/>
              </w:rPr>
              <w:t>8.18</w:t>
            </w:r>
          </w:p>
        </w:tc>
        <w:tc>
          <w:tcPr>
            <w:tcW w:w="2221"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hAnsi="宋体" w:cs="宋体" w:eastAsia="宋体" w:hint="default"/>
                <w:sz w:val="21"/>
                <w:szCs w:val="21"/>
              </w:rPr>
              <w:t>增长了</w:t>
            </w:r>
            <w:r>
              <w:rPr>
                <w:rFonts w:ascii="宋体" w:hAnsi="宋体" w:cs="宋体" w:eastAsia="宋体" w:hint="default"/>
                <w:spacing w:val="-53"/>
                <w:sz w:val="21"/>
                <w:szCs w:val="21"/>
              </w:rPr>
              <w:t> </w:t>
            </w:r>
            <w:r>
              <w:rPr>
                <w:rFonts w:ascii="宋体" w:hAnsi="宋体" w:cs="宋体" w:eastAsia="宋体" w:hint="default"/>
                <w:sz w:val="21"/>
                <w:szCs w:val="21"/>
              </w:rPr>
              <w:t>1.77</w:t>
            </w:r>
            <w:r>
              <w:rPr>
                <w:rFonts w:ascii="宋体" w:hAnsi="宋体" w:cs="宋体" w:eastAsia="宋体" w:hint="default"/>
                <w:spacing w:val="-54"/>
                <w:sz w:val="21"/>
                <w:szCs w:val="21"/>
              </w:rPr>
              <w:t> </w:t>
            </w:r>
            <w:r>
              <w:rPr>
                <w:rFonts w:ascii="宋体" w:hAnsi="宋体" w:cs="宋体" w:eastAsia="宋体" w:hint="default"/>
                <w:sz w:val="21"/>
                <w:szCs w:val="21"/>
              </w:rPr>
              <w:t>个百分点</w:t>
            </w:r>
          </w:p>
        </w:tc>
      </w:tr>
      <w:tr>
        <w:trPr>
          <w:trHeight w:val="293" w:hRule="exact"/>
        </w:trPr>
        <w:tc>
          <w:tcPr>
            <w:tcW w:w="3795"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研发投入资本化的比重</w:t>
            </w:r>
            <w:r>
              <w:rPr>
                <w:rFonts w:ascii="宋体" w:hAnsi="宋体" w:cs="宋体" w:eastAsia="宋体" w:hint="default"/>
                <w:sz w:val="21"/>
                <w:szCs w:val="21"/>
              </w:rPr>
              <w:t>(%)</w:t>
            </w:r>
          </w:p>
        </w:tc>
        <w:tc>
          <w:tcPr>
            <w:tcW w:w="17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5"/>
              <w:ind w:right="98"/>
              <w:jc w:val="right"/>
              <w:rPr>
                <w:rFonts w:ascii="Times New Roman" w:hAnsi="Times New Roman" w:cs="Times New Roman" w:eastAsia="Times New Roman" w:hint="default"/>
                <w:sz w:val="20"/>
                <w:szCs w:val="20"/>
              </w:rPr>
            </w:pPr>
            <w:r>
              <w:rPr>
                <w:rFonts w:ascii="Times New Roman"/>
                <w:spacing w:val="-1"/>
                <w:w w:val="95"/>
                <w:sz w:val="20"/>
              </w:rPr>
              <w:t>61.11%</w:t>
            </w:r>
            <w:r>
              <w:rPr>
                <w:rFonts w:ascii="Times New Roman"/>
                <w:spacing w:val="-1"/>
                <w:sz w:val="20"/>
              </w:rPr>
            </w:r>
          </w:p>
        </w:tc>
        <w:tc>
          <w:tcPr>
            <w:tcW w:w="17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0"/>
                <w:szCs w:val="20"/>
              </w:rPr>
            </w:pPr>
            <w:r>
              <w:rPr>
                <w:rFonts w:ascii="Times New Roman"/>
                <w:sz w:val="20"/>
              </w:rPr>
              <w:t>69.25%</w:t>
            </w:r>
          </w:p>
        </w:tc>
        <w:tc>
          <w:tcPr>
            <w:tcW w:w="2221"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hAnsi="宋体" w:cs="宋体" w:eastAsia="宋体" w:hint="default"/>
                <w:sz w:val="21"/>
                <w:szCs w:val="21"/>
              </w:rPr>
              <w:t>减少了</w:t>
            </w:r>
            <w:r>
              <w:rPr>
                <w:rFonts w:ascii="宋体" w:hAnsi="宋体" w:cs="宋体" w:eastAsia="宋体" w:hint="default"/>
                <w:spacing w:val="-53"/>
                <w:sz w:val="21"/>
                <w:szCs w:val="21"/>
              </w:rPr>
              <w:t> </w:t>
            </w:r>
            <w:r>
              <w:rPr>
                <w:rFonts w:ascii="宋体" w:hAnsi="宋体" w:cs="宋体" w:eastAsia="宋体" w:hint="default"/>
                <w:sz w:val="21"/>
                <w:szCs w:val="21"/>
              </w:rPr>
              <w:t>8.14</w:t>
            </w:r>
            <w:r>
              <w:rPr>
                <w:rFonts w:ascii="宋体" w:hAnsi="宋体" w:cs="宋体" w:eastAsia="宋体" w:hint="default"/>
                <w:spacing w:val="-54"/>
                <w:sz w:val="21"/>
                <w:szCs w:val="21"/>
              </w:rPr>
              <w:t> </w:t>
            </w:r>
            <w:r>
              <w:rPr>
                <w:rFonts w:ascii="宋体" w:hAnsi="宋体" w:cs="宋体" w:eastAsia="宋体" w:hint="default"/>
                <w:sz w:val="21"/>
                <w:szCs w:val="21"/>
              </w:rPr>
              <w:t>个百分点</w:t>
            </w:r>
          </w:p>
        </w:tc>
      </w:tr>
    </w:tbl>
    <w:p>
      <w:pPr>
        <w:spacing w:line="240" w:lineRule="auto" w:before="0"/>
        <w:rPr>
          <w:rFonts w:ascii="宋体" w:hAnsi="宋体" w:cs="宋体" w:eastAsia="宋体" w:hint="default"/>
          <w:b/>
          <w:bCs/>
          <w:sz w:val="19"/>
          <w:szCs w:val="19"/>
        </w:rPr>
      </w:pPr>
    </w:p>
    <w:p>
      <w:pPr>
        <w:pStyle w:val="Heading3"/>
        <w:spacing w:line="240" w:lineRule="auto" w:before="26"/>
        <w:ind w:left="238" w:right="0"/>
        <w:jc w:val="both"/>
        <w:rPr>
          <w:b w:val="0"/>
          <w:bCs w:val="0"/>
        </w:rPr>
      </w:pPr>
      <w:r>
        <w:rPr>
          <w:rFonts w:ascii="宋体" w:hAnsi="宋体" w:cs="宋体" w:eastAsia="宋体" w:hint="default"/>
        </w:rPr>
        <w:t>(2)</w:t>
      </w:r>
      <w:r>
        <w:rPr/>
        <w:t>情况说明</w:t>
      </w:r>
      <w:r>
        <w:rPr>
          <w:b w:val="0"/>
          <w:bCs w:val="0"/>
        </w:rPr>
      </w:r>
    </w:p>
    <w:p>
      <w:pPr>
        <w:spacing w:line="240" w:lineRule="auto" w:before="11"/>
        <w:rPr>
          <w:rFonts w:ascii="宋体" w:hAnsi="宋体" w:cs="宋体" w:eastAsia="宋体" w:hint="default"/>
          <w:b/>
          <w:bCs/>
          <w:sz w:val="25"/>
          <w:szCs w:val="25"/>
        </w:rPr>
      </w:pPr>
    </w:p>
    <w:p>
      <w:pPr>
        <w:pStyle w:val="BodyText"/>
        <w:spacing w:line="312" w:lineRule="exact"/>
        <w:ind w:left="238" w:right="241"/>
        <w:jc w:val="both"/>
      </w:pPr>
      <w:r>
        <w:rPr/>
        <w:t>公司本期研发支出较上年同期增长</w:t>
      </w:r>
      <w:r>
        <w:rPr>
          <w:spacing w:val="-53"/>
        </w:rPr>
        <w:t> </w:t>
      </w:r>
      <w:r>
        <w:rPr>
          <w:rFonts w:ascii="宋体" w:hAnsi="宋体" w:cs="宋体" w:eastAsia="宋体" w:hint="default"/>
        </w:rPr>
        <w:t>29.83%</w:t>
      </w:r>
      <w:r>
        <w:rPr/>
        <w:t>，主要系公司</w:t>
      </w:r>
      <w:r>
        <w:rPr>
          <w:spacing w:val="-53"/>
        </w:rPr>
        <w:t> </w:t>
      </w:r>
      <w:r>
        <w:rPr>
          <w:rFonts w:ascii="宋体" w:hAnsi="宋体" w:cs="宋体" w:eastAsia="宋体" w:hint="default"/>
        </w:rPr>
        <w:t>LED</w:t>
      </w:r>
      <w:r>
        <w:rPr>
          <w:rFonts w:ascii="宋体" w:hAnsi="宋体" w:cs="宋体" w:eastAsia="宋体" w:hint="default"/>
          <w:spacing w:val="-53"/>
        </w:rPr>
        <w:t> </w:t>
      </w:r>
      <w:r>
        <w:rPr/>
        <w:t>芯片、半导体芯片、知识网 络、安防系统、智慧城市等产业单元的新技术、新产品、新工艺研发投入进一步加大所</w:t>
      </w:r>
      <w:r>
        <w:rPr>
          <w:spacing w:val="-51"/>
        </w:rPr>
        <w:t> </w:t>
      </w:r>
      <w:r>
        <w:rPr>
          <w:spacing w:val="-51"/>
        </w:rPr>
      </w:r>
      <w:r>
        <w:rPr/>
        <w:t>致。</w:t>
      </w:r>
    </w:p>
    <w:p>
      <w:pPr>
        <w:spacing w:line="240" w:lineRule="auto" w:before="4"/>
        <w:rPr>
          <w:rFonts w:ascii="宋体" w:hAnsi="宋体" w:cs="宋体" w:eastAsia="宋体" w:hint="default"/>
          <w:sz w:val="21"/>
          <w:szCs w:val="21"/>
        </w:rPr>
      </w:pPr>
    </w:p>
    <w:p>
      <w:pPr>
        <w:pStyle w:val="Heading3"/>
        <w:spacing w:line="240" w:lineRule="auto"/>
        <w:ind w:right="110"/>
        <w:jc w:val="left"/>
        <w:rPr>
          <w:b w:val="0"/>
          <w:bCs w:val="0"/>
        </w:rPr>
      </w:pPr>
      <w:r>
        <w:rPr>
          <w:rFonts w:ascii="宋体" w:hAnsi="宋体" w:cs="宋体" w:eastAsia="宋体" w:hint="default"/>
        </w:rPr>
        <w:t>4</w:t>
      </w:r>
      <w:r>
        <w:rPr/>
        <w:t>、现金流</w:t>
      </w:r>
      <w:r>
        <w:rPr>
          <w:b w:val="0"/>
          <w:bCs w:val="0"/>
        </w:rPr>
      </w:r>
    </w:p>
    <w:p>
      <w:pPr>
        <w:spacing w:line="240" w:lineRule="auto" w:before="8"/>
        <w:rPr>
          <w:rFonts w:ascii="宋体" w:hAnsi="宋体" w:cs="宋体" w:eastAsia="宋体" w:hint="default"/>
          <w:b/>
          <w:bCs/>
          <w:sz w:val="26"/>
          <w:szCs w:val="26"/>
        </w:rPr>
      </w:pPr>
    </w:p>
    <w:tbl>
      <w:tblPr>
        <w:tblW w:w="0" w:type="auto"/>
        <w:jc w:val="left"/>
        <w:tblInd w:w="116" w:type="dxa"/>
        <w:tblLayout w:type="fixed"/>
        <w:tblCellMar>
          <w:top w:w="0" w:type="dxa"/>
          <w:left w:w="0" w:type="dxa"/>
          <w:bottom w:w="0" w:type="dxa"/>
          <w:right w:w="0" w:type="dxa"/>
        </w:tblCellMar>
        <w:tblLook w:val="01E0"/>
      </w:tblPr>
      <w:tblGrid>
        <w:gridCol w:w="4095"/>
        <w:gridCol w:w="1834"/>
        <w:gridCol w:w="1736"/>
        <w:gridCol w:w="1754"/>
      </w:tblGrid>
      <w:tr>
        <w:trPr>
          <w:trHeight w:val="338" w:hRule="exact"/>
        </w:trPr>
        <w:tc>
          <w:tcPr>
            <w:tcW w:w="4095" w:type="dxa"/>
            <w:tcBorders>
              <w:top w:val="single" w:sz="12" w:space="0" w:color="000000"/>
              <w:left w:val="single" w:sz="12" w:space="0" w:color="000000"/>
              <w:bottom w:val="single" w:sz="6" w:space="0" w:color="000000"/>
              <w:right w:val="single" w:sz="6" w:space="0" w:color="000000"/>
            </w:tcBorders>
          </w:tcPr>
          <w:p>
            <w:pPr>
              <w:pStyle w:val="TableParagraph"/>
              <w:spacing w:line="243" w:lineRule="exact"/>
              <w:ind w:right="5"/>
              <w:jc w:val="center"/>
              <w:rPr>
                <w:rFonts w:ascii="宋体" w:hAnsi="宋体" w:cs="宋体" w:eastAsia="宋体" w:hint="default"/>
                <w:sz w:val="21"/>
                <w:szCs w:val="21"/>
              </w:rPr>
            </w:pPr>
            <w:r>
              <w:rPr>
                <w:rFonts w:ascii="宋体" w:hAnsi="宋体" w:cs="宋体" w:eastAsia="宋体" w:hint="default"/>
                <w:b/>
                <w:bCs/>
                <w:sz w:val="21"/>
                <w:szCs w:val="21"/>
              </w:rPr>
              <w:t>主要财务指标</w:t>
            </w:r>
            <w:r>
              <w:rPr>
                <w:rFonts w:ascii="宋体" w:hAnsi="宋体" w:cs="宋体" w:eastAsia="宋体" w:hint="default"/>
                <w:sz w:val="21"/>
                <w:szCs w:val="21"/>
              </w:rPr>
            </w:r>
          </w:p>
        </w:tc>
        <w:tc>
          <w:tcPr>
            <w:tcW w:w="1834" w:type="dxa"/>
            <w:tcBorders>
              <w:top w:val="single" w:sz="12" w:space="0" w:color="000000"/>
              <w:left w:val="single" w:sz="6" w:space="0" w:color="000000"/>
              <w:bottom w:val="single" w:sz="6" w:space="0" w:color="000000"/>
              <w:right w:val="single" w:sz="6" w:space="0" w:color="000000"/>
            </w:tcBorders>
          </w:tcPr>
          <w:p>
            <w:pPr>
              <w:pStyle w:val="TableParagraph"/>
              <w:spacing w:line="265" w:lineRule="exact"/>
              <w:ind w:left="566" w:right="0"/>
              <w:jc w:val="left"/>
              <w:rPr>
                <w:rFonts w:ascii="宋体" w:hAnsi="宋体" w:cs="宋体" w:eastAsia="宋体" w:hint="default"/>
                <w:sz w:val="21"/>
                <w:szCs w:val="21"/>
              </w:rPr>
            </w:pPr>
            <w:r>
              <w:rPr>
                <w:rFonts w:ascii="宋体" w:hAnsi="宋体" w:cs="宋体" w:eastAsia="宋体" w:hint="default"/>
                <w:b/>
                <w:bCs/>
                <w:sz w:val="21"/>
                <w:szCs w:val="21"/>
              </w:rPr>
              <w:t>2015</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736" w:type="dxa"/>
            <w:tcBorders>
              <w:top w:val="single" w:sz="12" w:space="0" w:color="000000"/>
              <w:left w:val="single" w:sz="6" w:space="0" w:color="000000"/>
              <w:bottom w:val="single" w:sz="6" w:space="0" w:color="000000"/>
              <w:right w:val="single" w:sz="6" w:space="0" w:color="000000"/>
            </w:tcBorders>
          </w:tcPr>
          <w:p>
            <w:pPr>
              <w:pStyle w:val="TableParagraph"/>
              <w:spacing w:line="265" w:lineRule="exact"/>
              <w:ind w:left="515" w:right="0"/>
              <w:jc w:val="left"/>
              <w:rPr>
                <w:rFonts w:ascii="宋体" w:hAnsi="宋体" w:cs="宋体" w:eastAsia="宋体" w:hint="default"/>
                <w:sz w:val="21"/>
                <w:szCs w:val="21"/>
              </w:rPr>
            </w:pPr>
            <w:r>
              <w:rPr>
                <w:rFonts w:ascii="宋体" w:hAnsi="宋体" w:cs="宋体" w:eastAsia="宋体" w:hint="default"/>
                <w:b/>
                <w:bCs/>
                <w:sz w:val="21"/>
                <w:szCs w:val="21"/>
              </w:rPr>
              <w:t>2014</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754" w:type="dxa"/>
            <w:tcBorders>
              <w:top w:val="single" w:sz="12" w:space="0" w:color="000000"/>
              <w:left w:val="single" w:sz="6" w:space="0" w:color="000000"/>
              <w:bottom w:val="single" w:sz="6" w:space="0" w:color="000000"/>
              <w:right w:val="single" w:sz="12" w:space="0" w:color="000000"/>
            </w:tcBorders>
          </w:tcPr>
          <w:p>
            <w:pPr>
              <w:pStyle w:val="TableParagraph"/>
              <w:spacing w:line="265" w:lineRule="exact"/>
              <w:ind w:left="446" w:right="0"/>
              <w:jc w:val="left"/>
              <w:rPr>
                <w:rFonts w:ascii="宋体" w:hAnsi="宋体" w:cs="宋体" w:eastAsia="宋体" w:hint="default"/>
                <w:sz w:val="21"/>
                <w:szCs w:val="21"/>
              </w:rPr>
            </w:pPr>
            <w:r>
              <w:rPr>
                <w:rFonts w:ascii="宋体" w:hAnsi="宋体" w:cs="宋体" w:eastAsia="宋体" w:hint="default"/>
                <w:b/>
                <w:bCs/>
                <w:sz w:val="21"/>
                <w:szCs w:val="21"/>
              </w:rPr>
              <w:t>变动金额</w:t>
            </w:r>
            <w:r>
              <w:rPr>
                <w:rFonts w:ascii="宋体" w:hAnsi="宋体" w:cs="宋体" w:eastAsia="宋体" w:hint="default"/>
                <w:sz w:val="21"/>
                <w:szCs w:val="21"/>
              </w:rPr>
            </w:r>
          </w:p>
        </w:tc>
      </w:tr>
      <w:tr>
        <w:trPr>
          <w:trHeight w:val="314" w:hRule="exact"/>
        </w:trPr>
        <w:tc>
          <w:tcPr>
            <w:tcW w:w="4095" w:type="dxa"/>
            <w:tcBorders>
              <w:top w:val="single" w:sz="6" w:space="0" w:color="000000"/>
              <w:left w:val="single" w:sz="12" w:space="0" w:color="000000"/>
              <w:bottom w:val="single" w:sz="6" w:space="0" w:color="000000"/>
              <w:right w:val="single" w:sz="6" w:space="0" w:color="000000"/>
            </w:tcBorders>
          </w:tcPr>
          <w:p>
            <w:pPr>
              <w:pStyle w:val="TableParagraph"/>
              <w:spacing w:line="257" w:lineRule="exact"/>
              <w:ind w:left="9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经营性现金流净额</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right="100"/>
              <w:jc w:val="right"/>
              <w:rPr>
                <w:rFonts w:ascii="Times New Roman" w:hAnsi="Times New Roman" w:cs="Times New Roman" w:eastAsia="Times New Roman" w:hint="default"/>
                <w:sz w:val="20"/>
                <w:szCs w:val="20"/>
              </w:rPr>
            </w:pPr>
            <w:r>
              <w:rPr>
                <w:rFonts w:ascii="Times New Roman"/>
                <w:spacing w:val="-1"/>
                <w:sz w:val="20"/>
              </w:rPr>
              <w:t>2,500,765,008.32</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right="102"/>
              <w:jc w:val="right"/>
              <w:rPr>
                <w:rFonts w:ascii="Times New Roman" w:hAnsi="Times New Roman" w:cs="Times New Roman" w:eastAsia="Times New Roman" w:hint="default"/>
                <w:sz w:val="20"/>
                <w:szCs w:val="20"/>
              </w:rPr>
            </w:pPr>
            <w:r>
              <w:rPr>
                <w:rFonts w:ascii="Times New Roman"/>
                <w:w w:val="95"/>
                <w:sz w:val="20"/>
              </w:rPr>
              <w:t>856,103,304.69</w:t>
            </w:r>
            <w:r>
              <w:rPr>
                <w:rFonts w:ascii="Times New Roman"/>
                <w:sz w:val="20"/>
              </w:rPr>
            </w:r>
          </w:p>
        </w:tc>
        <w:tc>
          <w:tcPr>
            <w:tcW w:w="175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9"/>
              <w:ind w:right="95"/>
              <w:jc w:val="right"/>
              <w:rPr>
                <w:rFonts w:ascii="Times New Roman" w:hAnsi="Times New Roman" w:cs="Times New Roman" w:eastAsia="Times New Roman" w:hint="default"/>
                <w:sz w:val="20"/>
                <w:szCs w:val="20"/>
              </w:rPr>
            </w:pPr>
            <w:r>
              <w:rPr>
                <w:rFonts w:ascii="Times New Roman"/>
                <w:spacing w:val="-1"/>
                <w:sz w:val="20"/>
              </w:rPr>
              <w:t>1,644,661,703.63</w:t>
            </w:r>
          </w:p>
        </w:tc>
      </w:tr>
      <w:tr>
        <w:trPr>
          <w:trHeight w:val="317" w:hRule="exact"/>
        </w:trPr>
        <w:tc>
          <w:tcPr>
            <w:tcW w:w="4095"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9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投资性现金流净额</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right="100"/>
              <w:jc w:val="right"/>
              <w:rPr>
                <w:rFonts w:ascii="Times New Roman" w:hAnsi="Times New Roman" w:cs="Times New Roman" w:eastAsia="Times New Roman" w:hint="default"/>
                <w:sz w:val="20"/>
                <w:szCs w:val="20"/>
              </w:rPr>
            </w:pPr>
            <w:r>
              <w:rPr>
                <w:rFonts w:ascii="Times New Roman"/>
                <w:spacing w:val="-1"/>
                <w:sz w:val="20"/>
              </w:rPr>
              <w:t>1,555,817,677.59</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right="103"/>
              <w:jc w:val="right"/>
              <w:rPr>
                <w:rFonts w:ascii="Times New Roman" w:hAnsi="Times New Roman" w:cs="Times New Roman" w:eastAsia="Times New Roman" w:hint="default"/>
                <w:sz w:val="20"/>
                <w:szCs w:val="20"/>
              </w:rPr>
            </w:pPr>
            <w:r>
              <w:rPr>
                <w:rFonts w:ascii="Times New Roman"/>
                <w:w w:val="95"/>
                <w:sz w:val="20"/>
              </w:rPr>
              <w:t>-2,027,170,017.38</w:t>
            </w:r>
            <w:r>
              <w:rPr>
                <w:rFonts w:ascii="Times New Roman"/>
                <w:sz w:val="20"/>
              </w:rPr>
            </w:r>
          </w:p>
        </w:tc>
        <w:tc>
          <w:tcPr>
            <w:tcW w:w="175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9"/>
              <w:ind w:right="95"/>
              <w:jc w:val="right"/>
              <w:rPr>
                <w:rFonts w:ascii="Times New Roman" w:hAnsi="Times New Roman" w:cs="Times New Roman" w:eastAsia="Times New Roman" w:hint="default"/>
                <w:sz w:val="20"/>
                <w:szCs w:val="20"/>
              </w:rPr>
            </w:pPr>
            <w:r>
              <w:rPr>
                <w:rFonts w:ascii="Times New Roman"/>
                <w:spacing w:val="-1"/>
                <w:sz w:val="20"/>
              </w:rPr>
              <w:t>3,582,987,694.97</w:t>
            </w:r>
          </w:p>
        </w:tc>
      </w:tr>
      <w:tr>
        <w:trPr>
          <w:trHeight w:val="314" w:hRule="exact"/>
        </w:trPr>
        <w:tc>
          <w:tcPr>
            <w:tcW w:w="4095"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筹资性现金流净额</w:t>
            </w:r>
            <w:r>
              <w:rPr>
                <w:rFonts w:ascii="宋体" w:hAnsi="宋体" w:cs="宋体" w:eastAsia="宋体" w:hint="default"/>
                <w:sz w:val="21"/>
                <w:szCs w:val="21"/>
              </w:rPr>
              <w:t>(</w:t>
            </w:r>
            <w:r>
              <w:rPr>
                <w:rFonts w:ascii="宋体" w:hAnsi="宋体" w:cs="宋体" w:eastAsia="宋体" w:hint="default"/>
                <w:sz w:val="21"/>
                <w:szCs w:val="21"/>
              </w:rPr>
              <w:t>元</w:t>
            </w:r>
            <w:r>
              <w:rPr>
                <w:rFonts w:ascii="宋体" w:hAnsi="宋体" w:cs="宋体" w:eastAsia="宋体" w:hint="default"/>
                <w:sz w:val="21"/>
                <w:szCs w:val="21"/>
              </w:rPr>
              <w:t>)</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100"/>
              <w:jc w:val="right"/>
              <w:rPr>
                <w:rFonts w:ascii="Times New Roman" w:hAnsi="Times New Roman" w:cs="Times New Roman" w:eastAsia="Times New Roman" w:hint="default"/>
                <w:sz w:val="20"/>
                <w:szCs w:val="20"/>
              </w:rPr>
            </w:pPr>
            <w:r>
              <w:rPr>
                <w:rFonts w:ascii="Times New Roman"/>
                <w:w w:val="95"/>
                <w:sz w:val="20"/>
              </w:rPr>
              <w:t>-664,061,535.26</w:t>
            </w:r>
            <w:r>
              <w:rPr>
                <w:rFonts w:ascii="Times New Roman"/>
                <w:sz w:val="20"/>
              </w:rPr>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102"/>
              <w:jc w:val="right"/>
              <w:rPr>
                <w:rFonts w:ascii="Times New Roman" w:hAnsi="Times New Roman" w:cs="Times New Roman" w:eastAsia="Times New Roman" w:hint="default"/>
                <w:sz w:val="20"/>
                <w:szCs w:val="20"/>
              </w:rPr>
            </w:pPr>
            <w:r>
              <w:rPr>
                <w:rFonts w:ascii="Times New Roman"/>
                <w:spacing w:val="-1"/>
                <w:sz w:val="20"/>
              </w:rPr>
              <w:t>2,063,745,733.45</w:t>
            </w:r>
          </w:p>
        </w:tc>
        <w:tc>
          <w:tcPr>
            <w:tcW w:w="175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7"/>
              <w:ind w:right="95"/>
              <w:jc w:val="right"/>
              <w:rPr>
                <w:rFonts w:ascii="Times New Roman" w:hAnsi="Times New Roman" w:cs="Times New Roman" w:eastAsia="Times New Roman" w:hint="default"/>
                <w:sz w:val="20"/>
                <w:szCs w:val="20"/>
              </w:rPr>
            </w:pPr>
            <w:r>
              <w:rPr>
                <w:rFonts w:ascii="Times New Roman"/>
                <w:w w:val="95"/>
                <w:sz w:val="20"/>
              </w:rPr>
              <w:t>-2,727,807,268.71</w:t>
            </w:r>
            <w:r>
              <w:rPr>
                <w:rFonts w:ascii="Times New Roman"/>
                <w:sz w:val="20"/>
              </w:rPr>
            </w:r>
          </w:p>
        </w:tc>
      </w:tr>
      <w:tr>
        <w:trPr>
          <w:trHeight w:val="314" w:hRule="exact"/>
        </w:trPr>
        <w:tc>
          <w:tcPr>
            <w:tcW w:w="4095" w:type="dxa"/>
            <w:tcBorders>
              <w:top w:val="single" w:sz="6" w:space="0" w:color="000000"/>
              <w:left w:val="single" w:sz="12" w:space="0" w:color="000000"/>
              <w:bottom w:val="single" w:sz="6" w:space="0" w:color="000000"/>
              <w:right w:val="single" w:sz="6" w:space="0" w:color="000000"/>
            </w:tcBorders>
          </w:tcPr>
          <w:p>
            <w:pPr>
              <w:pStyle w:val="TableParagraph"/>
              <w:spacing w:line="257" w:lineRule="exact"/>
              <w:ind w:left="9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其中：长短期借款净增加额</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p>
        </w:tc>
        <w:tc>
          <w:tcPr>
            <w:tcW w:w="1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right="100"/>
              <w:jc w:val="right"/>
              <w:rPr>
                <w:rFonts w:ascii="Times New Roman" w:hAnsi="Times New Roman" w:cs="Times New Roman" w:eastAsia="Times New Roman" w:hint="default"/>
                <w:sz w:val="20"/>
                <w:szCs w:val="20"/>
              </w:rPr>
            </w:pPr>
            <w:r>
              <w:rPr>
                <w:rFonts w:ascii="Times New Roman"/>
                <w:w w:val="95"/>
                <w:sz w:val="20"/>
              </w:rPr>
              <w:t>-3,315,904,500.95</w:t>
            </w:r>
            <w:r>
              <w:rPr>
                <w:rFonts w:ascii="Times New Roman"/>
                <w:sz w:val="20"/>
              </w:rPr>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right="102"/>
              <w:jc w:val="right"/>
              <w:rPr>
                <w:rFonts w:ascii="Times New Roman" w:hAnsi="Times New Roman" w:cs="Times New Roman" w:eastAsia="Times New Roman" w:hint="default"/>
                <w:sz w:val="20"/>
                <w:szCs w:val="20"/>
              </w:rPr>
            </w:pPr>
            <w:r>
              <w:rPr>
                <w:rFonts w:ascii="Times New Roman"/>
                <w:spacing w:val="-1"/>
                <w:sz w:val="20"/>
              </w:rPr>
              <w:t>3,332,735,795.35</w:t>
            </w:r>
          </w:p>
        </w:tc>
        <w:tc>
          <w:tcPr>
            <w:tcW w:w="175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9"/>
              <w:ind w:right="95"/>
              <w:jc w:val="right"/>
              <w:rPr>
                <w:rFonts w:ascii="Times New Roman" w:hAnsi="Times New Roman" w:cs="Times New Roman" w:eastAsia="Times New Roman" w:hint="default"/>
                <w:sz w:val="20"/>
                <w:szCs w:val="20"/>
              </w:rPr>
            </w:pPr>
            <w:r>
              <w:rPr>
                <w:rFonts w:ascii="Times New Roman"/>
                <w:w w:val="95"/>
                <w:sz w:val="20"/>
              </w:rPr>
              <w:t>-6,648,640,296.30</w:t>
            </w:r>
            <w:r>
              <w:rPr>
                <w:rFonts w:ascii="Times New Roman"/>
                <w:sz w:val="20"/>
              </w:rPr>
            </w:r>
          </w:p>
        </w:tc>
      </w:tr>
      <w:tr>
        <w:trPr>
          <w:trHeight w:val="322" w:hRule="exact"/>
        </w:trPr>
        <w:tc>
          <w:tcPr>
            <w:tcW w:w="4095"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经营性现金流净额与流动负债比</w:t>
            </w:r>
          </w:p>
        </w:tc>
        <w:tc>
          <w:tcPr>
            <w:tcW w:w="18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9"/>
              <w:ind w:right="98"/>
              <w:jc w:val="right"/>
              <w:rPr>
                <w:rFonts w:ascii="Times New Roman" w:hAnsi="Times New Roman" w:cs="Times New Roman" w:eastAsia="Times New Roman" w:hint="default"/>
                <w:sz w:val="20"/>
                <w:szCs w:val="20"/>
              </w:rPr>
            </w:pPr>
            <w:r>
              <w:rPr>
                <w:rFonts w:ascii="Times New Roman"/>
                <w:sz w:val="20"/>
              </w:rPr>
              <w:t>0.09</w:t>
            </w:r>
          </w:p>
        </w:tc>
        <w:tc>
          <w:tcPr>
            <w:tcW w:w="17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9"/>
              <w:ind w:right="101"/>
              <w:jc w:val="right"/>
              <w:rPr>
                <w:rFonts w:ascii="Times New Roman" w:hAnsi="Times New Roman" w:cs="Times New Roman" w:eastAsia="Times New Roman" w:hint="default"/>
                <w:sz w:val="20"/>
                <w:szCs w:val="20"/>
              </w:rPr>
            </w:pPr>
            <w:r>
              <w:rPr>
                <w:rFonts w:ascii="Times New Roman"/>
                <w:sz w:val="20"/>
              </w:rPr>
              <w:t>0.03</w:t>
            </w:r>
          </w:p>
        </w:tc>
        <w:tc>
          <w:tcPr>
            <w:tcW w:w="175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9"/>
              <w:ind w:right="93"/>
              <w:jc w:val="right"/>
              <w:rPr>
                <w:rFonts w:ascii="Times New Roman" w:hAnsi="Times New Roman" w:cs="Times New Roman" w:eastAsia="Times New Roman" w:hint="default"/>
                <w:sz w:val="20"/>
                <w:szCs w:val="20"/>
              </w:rPr>
            </w:pPr>
            <w:r>
              <w:rPr>
                <w:rFonts w:ascii="Times New Roman"/>
                <w:sz w:val="20"/>
              </w:rPr>
              <w:t>0.06</w:t>
            </w:r>
          </w:p>
        </w:tc>
      </w:tr>
    </w:tbl>
    <w:p>
      <w:pPr>
        <w:spacing w:line="240" w:lineRule="auto" w:before="13"/>
        <w:rPr>
          <w:rFonts w:ascii="宋体" w:hAnsi="宋体" w:cs="宋体" w:eastAsia="宋体" w:hint="default"/>
          <w:b/>
          <w:bCs/>
          <w:sz w:val="18"/>
          <w:szCs w:val="18"/>
        </w:rPr>
      </w:pPr>
    </w:p>
    <w:p>
      <w:pPr>
        <w:pStyle w:val="BodyText"/>
        <w:spacing w:line="240" w:lineRule="auto" w:before="26"/>
        <w:ind w:left="238" w:right="0"/>
        <w:jc w:val="both"/>
      </w:pPr>
      <w:r>
        <w:rPr/>
        <w:t>其中：</w:t>
      </w:r>
    </w:p>
    <w:p>
      <w:pPr>
        <w:spacing w:line="240" w:lineRule="auto" w:before="9"/>
        <w:rPr>
          <w:rFonts w:ascii="宋体" w:hAnsi="宋体" w:cs="宋体" w:eastAsia="宋体" w:hint="default"/>
          <w:sz w:val="23"/>
          <w:szCs w:val="23"/>
        </w:rPr>
      </w:pPr>
    </w:p>
    <w:p>
      <w:pPr>
        <w:pStyle w:val="BodyText"/>
        <w:spacing w:line="237" w:lineRule="auto"/>
        <w:ind w:left="238" w:right="241"/>
        <w:jc w:val="both"/>
      </w:pPr>
      <w:r>
        <w:rPr/>
        <w:t>经营性现金流方面，公司本年努力兼顾保持并拓展市场份额与强化信用和流动性风险监</w:t>
      </w:r>
      <w:r>
        <w:rPr>
          <w:spacing w:val="-51"/>
        </w:rPr>
        <w:t> </w:t>
      </w:r>
      <w:r>
        <w:rPr>
          <w:spacing w:val="-51"/>
        </w:rPr>
      </w:r>
      <w:r>
        <w:rPr/>
        <w:t>控两方面诉求，在合理运用赊销政策与赊购信用的同时，强化现金收支管理，确保营运</w:t>
      </w:r>
      <w:r>
        <w:rPr>
          <w:spacing w:val="-51"/>
        </w:rPr>
        <w:t> </w:t>
      </w:r>
      <w:r>
        <w:rPr>
          <w:spacing w:val="-51"/>
        </w:rPr>
      </w:r>
      <w:r>
        <w:rPr/>
        <w:t>资金安全，收到了良好效果。此外，公司安防、节能、知网网络等产业单元年末集中收</w:t>
      </w:r>
      <w:r>
        <w:rPr>
          <w:spacing w:val="-51"/>
        </w:rPr>
        <w:t> </w:t>
      </w:r>
      <w:r>
        <w:rPr>
          <w:spacing w:val="-51"/>
        </w:rPr>
      </w:r>
      <w:r>
        <w:rPr/>
        <w:t>到较多产品、服务及工程项目预付款，也令全年经营性净现金流入明显增加。</w:t>
      </w:r>
    </w:p>
    <w:p>
      <w:pPr>
        <w:spacing w:line="240" w:lineRule="auto" w:before="10"/>
        <w:rPr>
          <w:rFonts w:ascii="宋体" w:hAnsi="宋体" w:cs="宋体" w:eastAsia="宋体" w:hint="default"/>
          <w:sz w:val="23"/>
          <w:szCs w:val="23"/>
        </w:rPr>
      </w:pPr>
    </w:p>
    <w:p>
      <w:pPr>
        <w:pStyle w:val="BodyText"/>
        <w:spacing w:line="237" w:lineRule="auto"/>
        <w:ind w:left="238" w:right="240"/>
        <w:jc w:val="both"/>
      </w:pPr>
      <w:r>
        <w:rPr/>
        <w:t>投资性现金流方面，公司本年收到紫光集团下属公司预付的同方国芯控制性权益股权转</w:t>
      </w:r>
      <w:r>
        <w:rPr>
          <w:spacing w:val="-51"/>
        </w:rPr>
        <w:t> </w:t>
      </w:r>
      <w:r>
        <w:rPr>
          <w:spacing w:val="-51"/>
        </w:rPr>
      </w:r>
      <w:r>
        <w:rPr/>
        <w:t>让款，以现金方式出让通过控股子公司同方泰德间接持有的</w:t>
      </w:r>
      <w:r>
        <w:rPr>
          <w:spacing w:val="-60"/>
        </w:rPr>
        <w:t> </w:t>
      </w:r>
      <w:r>
        <w:rPr>
          <w:rFonts w:ascii="宋体" w:hAnsi="宋体" w:cs="宋体" w:eastAsia="宋体" w:hint="default"/>
        </w:rPr>
        <w:t>Distech</w:t>
      </w:r>
      <w:r>
        <w:rPr>
          <w:rFonts w:ascii="宋体" w:hAnsi="宋体" w:cs="宋体" w:eastAsia="宋体" w:hint="default"/>
          <w:spacing w:val="-39"/>
        </w:rPr>
        <w:t> </w:t>
      </w:r>
      <w:r>
        <w:rPr>
          <w:rFonts w:ascii="宋体" w:hAnsi="宋体" w:cs="宋体" w:eastAsia="宋体" w:hint="default"/>
        </w:rPr>
        <w:t>Controls</w:t>
      </w:r>
      <w:r>
        <w:rPr>
          <w:rFonts w:ascii="宋体" w:hAnsi="宋体" w:cs="宋体" w:eastAsia="宋体" w:hint="default"/>
          <w:spacing w:val="-60"/>
        </w:rPr>
        <w:t> </w:t>
      </w:r>
      <w:r>
        <w:rPr/>
        <w:t>和直接持 有的同方鼎欣控制性权益，并适时通过二级市场减持了部分东方明珠等上市公司股票，</w:t>
      </w:r>
      <w:r>
        <w:rPr>
          <w:spacing w:val="-49"/>
        </w:rPr>
        <w:t> </w:t>
      </w:r>
      <w:r>
        <w:rPr>
          <w:spacing w:val="-49"/>
        </w:rPr>
      </w:r>
      <w:r>
        <w:rPr/>
        <w:t>取得了较高的权益性资产变现收入；而上年的投资性现金流向，则是以收购真明丽控制</w:t>
      </w:r>
      <w:r>
        <w:rPr>
          <w:spacing w:val="-51"/>
        </w:rPr>
        <w:t> </w:t>
      </w:r>
      <w:r>
        <w:rPr>
          <w:spacing w:val="-51"/>
        </w:rPr>
      </w:r>
      <w:r>
        <w:rPr/>
        <w:t>性权益和海康人寿合营权益等重大投资举措为主的大额净流出。</w:t>
      </w:r>
    </w:p>
    <w:p>
      <w:pPr>
        <w:spacing w:line="240" w:lineRule="auto" w:before="12"/>
        <w:rPr>
          <w:rFonts w:ascii="宋体" w:hAnsi="宋体" w:cs="宋体" w:eastAsia="宋体" w:hint="default"/>
          <w:sz w:val="23"/>
          <w:szCs w:val="23"/>
        </w:rPr>
      </w:pPr>
    </w:p>
    <w:p>
      <w:pPr>
        <w:pStyle w:val="BodyText"/>
        <w:spacing w:line="237" w:lineRule="auto"/>
        <w:ind w:left="238" w:right="241"/>
        <w:jc w:val="both"/>
      </w:pPr>
      <w:r>
        <w:rPr/>
        <w:t>筹资性现金流方面，公司本年在以非公开发行股份募集资金归还负息债务、补充流动资</w:t>
      </w:r>
      <w:r>
        <w:rPr>
          <w:spacing w:val="-51"/>
        </w:rPr>
        <w:t> </w:t>
      </w:r>
      <w:r>
        <w:rPr>
          <w:spacing w:val="-51"/>
        </w:rPr>
      </w:r>
      <w:r>
        <w:rPr/>
        <w:t>金的基础上，进一步使用上述投资性现金净收入和经营性现金盈余偿还负息债务，令筹</w:t>
      </w:r>
      <w:r>
        <w:rPr>
          <w:spacing w:val="-51"/>
        </w:rPr>
        <w:t> </w:t>
      </w:r>
      <w:r>
        <w:rPr>
          <w:spacing w:val="-51"/>
        </w:rPr>
      </w:r>
      <w:r>
        <w:rPr/>
        <w:t>资活动体现为现金净流出。</w:t>
      </w:r>
    </w:p>
    <w:p>
      <w:pPr>
        <w:spacing w:after="0" w:line="237" w:lineRule="auto"/>
        <w:jc w:val="both"/>
        <w:sectPr>
          <w:pgSz w:w="11910" w:h="16840"/>
          <w:pgMar w:header="628" w:footer="760" w:top="1020" w:bottom="960" w:left="1180" w:right="104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p>
      <w:pPr>
        <w:pStyle w:val="Heading3"/>
        <w:spacing w:line="475" w:lineRule="auto" w:before="26"/>
        <w:ind w:left="238" w:right="4971" w:firstLine="379"/>
        <w:jc w:val="left"/>
        <w:rPr>
          <w:rFonts w:ascii="宋体" w:hAnsi="宋体" w:cs="宋体" w:eastAsia="宋体" w:hint="default"/>
          <w:b w:val="0"/>
          <w:bCs w:val="0"/>
        </w:rPr>
      </w:pPr>
      <w:r>
        <w:rPr>
          <w:rFonts w:ascii="宋体" w:hAnsi="宋体" w:cs="宋体" w:eastAsia="宋体" w:hint="default"/>
        </w:rPr>
        <w:t>(</w:t>
      </w:r>
      <w:r>
        <w:rPr/>
        <w:t>二</w:t>
      </w:r>
      <w:r>
        <w:rPr>
          <w:rFonts w:ascii="宋体" w:hAnsi="宋体" w:cs="宋体" w:eastAsia="宋体" w:hint="default"/>
        </w:rPr>
        <w:t>)</w:t>
      </w:r>
      <w:r>
        <w:rPr/>
        <w:t>非主营业务导致利润重大变化的说明</w:t>
      </w:r>
      <w:r>
        <w:rPr>
          <w:w w:val="99"/>
        </w:rPr>
        <w:t> </w:t>
      </w:r>
      <w:r>
        <w:rPr>
          <w:rFonts w:ascii="宋体" w:hAnsi="宋体" w:cs="宋体" w:eastAsia="宋体" w:hint="default"/>
          <w:b w:val="0"/>
          <w:bCs w:val="0"/>
        </w:rPr>
        <w:t>不适用。</w:t>
      </w:r>
    </w:p>
    <w:p>
      <w:pPr>
        <w:pStyle w:val="Heading3"/>
        <w:spacing w:line="240" w:lineRule="auto" w:before="74"/>
        <w:ind w:left="618" w:right="4971"/>
        <w:jc w:val="left"/>
        <w:rPr>
          <w:b w:val="0"/>
          <w:bCs w:val="0"/>
        </w:rPr>
      </w:pPr>
      <w:r>
        <w:rPr>
          <w:rFonts w:ascii="宋体" w:hAnsi="宋体" w:cs="宋体" w:eastAsia="宋体" w:hint="default"/>
        </w:rPr>
        <w:t>(</w:t>
      </w:r>
      <w:r>
        <w:rPr/>
        <w:t>三</w:t>
      </w:r>
      <w:r>
        <w:rPr>
          <w:rFonts w:ascii="宋体" w:hAnsi="宋体" w:cs="宋体" w:eastAsia="宋体" w:hint="default"/>
        </w:rPr>
        <w:t>)</w:t>
      </w:r>
      <w:r>
        <w:rPr/>
        <w:t>资产负债情况分析</w:t>
      </w:r>
      <w:r>
        <w:rPr>
          <w:b w:val="0"/>
          <w:bCs w:val="0"/>
        </w:rPr>
      </w:r>
    </w:p>
    <w:p>
      <w:pPr>
        <w:spacing w:line="240" w:lineRule="auto" w:before="8"/>
        <w:rPr>
          <w:rFonts w:ascii="宋体" w:hAnsi="宋体" w:cs="宋体" w:eastAsia="宋体" w:hint="default"/>
          <w:b/>
          <w:bCs/>
          <w:sz w:val="26"/>
          <w:szCs w:val="26"/>
        </w:rPr>
      </w:pPr>
    </w:p>
    <w:tbl>
      <w:tblPr>
        <w:tblW w:w="0" w:type="auto"/>
        <w:jc w:val="left"/>
        <w:tblInd w:w="116" w:type="dxa"/>
        <w:tblLayout w:type="fixed"/>
        <w:tblCellMar>
          <w:top w:w="0" w:type="dxa"/>
          <w:left w:w="0" w:type="dxa"/>
          <w:bottom w:w="0" w:type="dxa"/>
          <w:right w:w="0" w:type="dxa"/>
        </w:tblCellMar>
        <w:tblLook w:val="01E0"/>
      </w:tblPr>
      <w:tblGrid>
        <w:gridCol w:w="2417"/>
        <w:gridCol w:w="1717"/>
        <w:gridCol w:w="996"/>
        <w:gridCol w:w="1716"/>
        <w:gridCol w:w="961"/>
        <w:gridCol w:w="1867"/>
      </w:tblGrid>
      <w:tr>
        <w:trPr>
          <w:trHeight w:val="486" w:hRule="exact"/>
        </w:trPr>
        <w:tc>
          <w:tcPr>
            <w:tcW w:w="2417" w:type="dxa"/>
            <w:tcBorders>
              <w:top w:val="single" w:sz="12" w:space="0" w:color="000000"/>
              <w:left w:val="single" w:sz="12" w:space="0" w:color="000000"/>
              <w:bottom w:val="nil" w:sz="6" w:space="0" w:color="auto"/>
              <w:right w:val="single" w:sz="6" w:space="0" w:color="000000"/>
            </w:tcBorders>
          </w:tcPr>
          <w:p>
            <w:pPr>
              <w:pStyle w:val="TableParagraph"/>
              <w:spacing w:line="244" w:lineRule="exact"/>
              <w:ind w:right="2"/>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717" w:type="dxa"/>
            <w:vMerge w:val="restart"/>
            <w:tcBorders>
              <w:top w:val="single" w:sz="12"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left="346" w:right="0"/>
              <w:jc w:val="left"/>
              <w:rPr>
                <w:rFonts w:ascii="宋体" w:hAnsi="宋体" w:cs="宋体" w:eastAsia="宋体" w:hint="default"/>
                <w:sz w:val="20"/>
                <w:szCs w:val="20"/>
              </w:rPr>
            </w:pPr>
            <w:r>
              <w:rPr>
                <w:rFonts w:ascii="宋体" w:hAnsi="宋体" w:cs="宋体" w:eastAsia="宋体" w:hint="default"/>
                <w:b/>
                <w:bCs/>
                <w:sz w:val="20"/>
                <w:szCs w:val="20"/>
              </w:rPr>
              <w:t>本期期末数</w:t>
            </w:r>
            <w:r>
              <w:rPr>
                <w:rFonts w:ascii="宋体" w:hAnsi="宋体" w:cs="宋体" w:eastAsia="宋体" w:hint="default"/>
                <w:sz w:val="20"/>
                <w:szCs w:val="20"/>
              </w:rPr>
            </w:r>
          </w:p>
        </w:tc>
        <w:tc>
          <w:tcPr>
            <w:tcW w:w="996" w:type="dxa"/>
            <w:vMerge w:val="restart"/>
            <w:tcBorders>
              <w:top w:val="single" w:sz="12" w:space="0" w:color="000000"/>
              <w:left w:val="single" w:sz="6" w:space="0" w:color="000000"/>
              <w:right w:val="single" w:sz="6" w:space="0" w:color="000000"/>
            </w:tcBorders>
          </w:tcPr>
          <w:p>
            <w:pPr>
              <w:pStyle w:val="TableParagraph"/>
              <w:spacing w:line="228" w:lineRule="exact"/>
              <w:ind w:left="189" w:right="0"/>
              <w:jc w:val="both"/>
              <w:rPr>
                <w:rFonts w:ascii="宋体" w:hAnsi="宋体" w:cs="宋体" w:eastAsia="宋体" w:hint="default"/>
                <w:sz w:val="20"/>
                <w:szCs w:val="20"/>
              </w:rPr>
            </w:pPr>
            <w:r>
              <w:rPr>
                <w:rFonts w:ascii="宋体" w:hAnsi="宋体" w:cs="宋体" w:eastAsia="宋体" w:hint="default"/>
                <w:b/>
                <w:bCs/>
                <w:spacing w:val="2"/>
                <w:sz w:val="20"/>
                <w:szCs w:val="20"/>
              </w:rPr>
              <w:t>本期期</w:t>
            </w:r>
            <w:r>
              <w:rPr>
                <w:rFonts w:ascii="宋体" w:hAnsi="宋体" w:cs="宋体" w:eastAsia="宋体" w:hint="default"/>
                <w:sz w:val="20"/>
                <w:szCs w:val="20"/>
              </w:rPr>
            </w:r>
          </w:p>
          <w:p>
            <w:pPr>
              <w:pStyle w:val="TableParagraph"/>
              <w:spacing w:line="237" w:lineRule="auto" w:before="1"/>
              <w:ind w:left="189" w:right="185"/>
              <w:jc w:val="both"/>
              <w:rPr>
                <w:rFonts w:ascii="宋体" w:hAnsi="宋体" w:cs="宋体" w:eastAsia="宋体" w:hint="default"/>
                <w:sz w:val="20"/>
                <w:szCs w:val="20"/>
              </w:rPr>
            </w:pPr>
            <w:r>
              <w:rPr>
                <w:rFonts w:ascii="宋体" w:hAnsi="宋体" w:cs="宋体" w:eastAsia="宋体" w:hint="default"/>
                <w:b/>
                <w:bCs/>
                <w:spacing w:val="2"/>
                <w:sz w:val="20"/>
                <w:szCs w:val="20"/>
              </w:rPr>
              <w:t>末数占</w:t>
            </w:r>
            <w:r>
              <w:rPr>
                <w:rFonts w:ascii="宋体" w:hAnsi="宋体" w:cs="宋体" w:eastAsia="宋体" w:hint="default"/>
                <w:b/>
                <w:bCs/>
                <w:spacing w:val="2"/>
                <w:w w:val="99"/>
                <w:sz w:val="20"/>
                <w:szCs w:val="20"/>
              </w:rPr>
              <w:t> </w:t>
            </w:r>
            <w:r>
              <w:rPr>
                <w:rFonts w:ascii="宋体" w:hAnsi="宋体" w:cs="宋体" w:eastAsia="宋体" w:hint="default"/>
                <w:b/>
                <w:bCs/>
                <w:spacing w:val="2"/>
                <w:sz w:val="20"/>
                <w:szCs w:val="20"/>
              </w:rPr>
              <w:t>总资产</w:t>
            </w:r>
            <w:r>
              <w:rPr>
                <w:rFonts w:ascii="宋体" w:hAnsi="宋体" w:cs="宋体" w:eastAsia="宋体" w:hint="default"/>
                <w:b/>
                <w:bCs/>
                <w:spacing w:val="2"/>
                <w:w w:val="99"/>
                <w:sz w:val="20"/>
                <w:szCs w:val="20"/>
              </w:rPr>
              <w:t> </w:t>
            </w:r>
            <w:r>
              <w:rPr>
                <w:rFonts w:ascii="宋体" w:hAnsi="宋体" w:cs="宋体" w:eastAsia="宋体" w:hint="default"/>
                <w:b/>
                <w:bCs/>
                <w:spacing w:val="2"/>
                <w:sz w:val="20"/>
                <w:szCs w:val="20"/>
              </w:rPr>
              <w:t>的比例</w:t>
            </w:r>
            <w:r>
              <w:rPr>
                <w:rFonts w:ascii="宋体" w:hAnsi="宋体" w:cs="宋体" w:eastAsia="宋体" w:hint="default"/>
                <w:sz w:val="20"/>
                <w:szCs w:val="20"/>
              </w:rPr>
            </w:r>
          </w:p>
          <w:p>
            <w:pPr>
              <w:pStyle w:val="TableParagraph"/>
              <w:spacing w:line="259" w:lineRule="exact"/>
              <w:ind w:left="239" w:right="0"/>
              <w:jc w:val="both"/>
              <w:rPr>
                <w:rFonts w:ascii="宋体" w:hAnsi="宋体" w:cs="宋体" w:eastAsia="宋体" w:hint="default"/>
                <w:sz w:val="20"/>
                <w:szCs w:val="20"/>
              </w:rPr>
            </w:pPr>
            <w:r>
              <w:rPr>
                <w:rFonts w:ascii="宋体" w:hAnsi="宋体" w:cs="宋体" w:eastAsia="宋体" w:hint="default"/>
                <w:b/>
                <w:bCs/>
                <w:sz w:val="20"/>
                <w:szCs w:val="20"/>
              </w:rPr>
              <w:t>（</w:t>
            </w:r>
            <w:r>
              <w:rPr>
                <w:rFonts w:ascii="宋体" w:hAnsi="宋体" w:cs="宋体" w:eastAsia="宋体" w:hint="default"/>
                <w:b/>
                <w:bCs/>
                <w:sz w:val="20"/>
                <w:szCs w:val="20"/>
              </w:rPr>
              <w:t>%</w:t>
            </w:r>
            <w:r>
              <w:rPr>
                <w:rFonts w:ascii="宋体" w:hAnsi="宋体" w:cs="宋体" w:eastAsia="宋体" w:hint="default"/>
                <w:b/>
                <w:bCs/>
                <w:sz w:val="20"/>
                <w:szCs w:val="20"/>
              </w:rPr>
              <w:t>）</w:t>
            </w:r>
            <w:r>
              <w:rPr>
                <w:rFonts w:ascii="宋体" w:hAnsi="宋体" w:cs="宋体" w:eastAsia="宋体" w:hint="default"/>
                <w:sz w:val="20"/>
                <w:szCs w:val="20"/>
              </w:rPr>
            </w:r>
          </w:p>
        </w:tc>
        <w:tc>
          <w:tcPr>
            <w:tcW w:w="1716" w:type="dxa"/>
            <w:vMerge w:val="restart"/>
            <w:tcBorders>
              <w:top w:val="single" w:sz="12"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left="347" w:right="0"/>
              <w:jc w:val="left"/>
              <w:rPr>
                <w:rFonts w:ascii="宋体" w:hAnsi="宋体" w:cs="宋体" w:eastAsia="宋体" w:hint="default"/>
                <w:sz w:val="20"/>
                <w:szCs w:val="20"/>
              </w:rPr>
            </w:pPr>
            <w:r>
              <w:rPr>
                <w:rFonts w:ascii="宋体" w:hAnsi="宋体" w:cs="宋体" w:eastAsia="宋体" w:hint="default"/>
                <w:b/>
                <w:bCs/>
                <w:sz w:val="20"/>
                <w:szCs w:val="20"/>
              </w:rPr>
              <w:t>上期期末数</w:t>
            </w:r>
            <w:r>
              <w:rPr>
                <w:rFonts w:ascii="宋体" w:hAnsi="宋体" w:cs="宋体" w:eastAsia="宋体" w:hint="default"/>
                <w:sz w:val="20"/>
                <w:szCs w:val="20"/>
              </w:rPr>
            </w:r>
          </w:p>
        </w:tc>
        <w:tc>
          <w:tcPr>
            <w:tcW w:w="961" w:type="dxa"/>
            <w:vMerge w:val="restart"/>
            <w:tcBorders>
              <w:top w:val="single" w:sz="12" w:space="0" w:color="000000"/>
              <w:left w:val="single" w:sz="6" w:space="0" w:color="000000"/>
              <w:right w:val="single" w:sz="6" w:space="0" w:color="000000"/>
            </w:tcBorders>
          </w:tcPr>
          <w:p>
            <w:pPr>
              <w:pStyle w:val="TableParagraph"/>
              <w:spacing w:line="228" w:lineRule="exact"/>
              <w:ind w:left="170" w:right="0"/>
              <w:jc w:val="both"/>
              <w:rPr>
                <w:rFonts w:ascii="宋体" w:hAnsi="宋体" w:cs="宋体" w:eastAsia="宋体" w:hint="default"/>
                <w:sz w:val="20"/>
                <w:szCs w:val="20"/>
              </w:rPr>
            </w:pPr>
            <w:r>
              <w:rPr>
                <w:rFonts w:ascii="宋体" w:hAnsi="宋体" w:cs="宋体" w:eastAsia="宋体" w:hint="default"/>
                <w:b/>
                <w:bCs/>
                <w:spacing w:val="2"/>
                <w:sz w:val="20"/>
                <w:szCs w:val="20"/>
              </w:rPr>
              <w:t>上期期</w:t>
            </w:r>
            <w:r>
              <w:rPr>
                <w:rFonts w:ascii="宋体" w:hAnsi="宋体" w:cs="宋体" w:eastAsia="宋体" w:hint="default"/>
                <w:sz w:val="20"/>
                <w:szCs w:val="20"/>
              </w:rPr>
            </w:r>
          </w:p>
          <w:p>
            <w:pPr>
              <w:pStyle w:val="TableParagraph"/>
              <w:spacing w:line="237" w:lineRule="auto" w:before="1"/>
              <w:ind w:left="170" w:right="170"/>
              <w:jc w:val="both"/>
              <w:rPr>
                <w:rFonts w:ascii="宋体" w:hAnsi="宋体" w:cs="宋体" w:eastAsia="宋体" w:hint="default"/>
                <w:sz w:val="20"/>
                <w:szCs w:val="20"/>
              </w:rPr>
            </w:pPr>
            <w:r>
              <w:rPr>
                <w:rFonts w:ascii="宋体" w:hAnsi="宋体" w:cs="宋体" w:eastAsia="宋体" w:hint="default"/>
                <w:b/>
                <w:bCs/>
                <w:spacing w:val="2"/>
                <w:sz w:val="20"/>
                <w:szCs w:val="20"/>
              </w:rPr>
              <w:t>末数占</w:t>
            </w:r>
            <w:r>
              <w:rPr>
                <w:rFonts w:ascii="宋体" w:hAnsi="宋体" w:cs="宋体" w:eastAsia="宋体" w:hint="default"/>
                <w:b/>
                <w:bCs/>
                <w:spacing w:val="2"/>
                <w:w w:val="99"/>
                <w:sz w:val="20"/>
                <w:szCs w:val="20"/>
              </w:rPr>
              <w:t> </w:t>
            </w:r>
            <w:r>
              <w:rPr>
                <w:rFonts w:ascii="宋体" w:hAnsi="宋体" w:cs="宋体" w:eastAsia="宋体" w:hint="default"/>
                <w:b/>
                <w:bCs/>
                <w:spacing w:val="2"/>
                <w:sz w:val="20"/>
                <w:szCs w:val="20"/>
              </w:rPr>
              <w:t>总资产</w:t>
            </w:r>
            <w:r>
              <w:rPr>
                <w:rFonts w:ascii="宋体" w:hAnsi="宋体" w:cs="宋体" w:eastAsia="宋体" w:hint="default"/>
                <w:b/>
                <w:bCs/>
                <w:spacing w:val="2"/>
                <w:w w:val="99"/>
                <w:sz w:val="20"/>
                <w:szCs w:val="20"/>
              </w:rPr>
              <w:t> </w:t>
            </w:r>
            <w:r>
              <w:rPr>
                <w:rFonts w:ascii="宋体" w:hAnsi="宋体" w:cs="宋体" w:eastAsia="宋体" w:hint="default"/>
                <w:b/>
                <w:bCs/>
                <w:spacing w:val="2"/>
                <w:sz w:val="20"/>
                <w:szCs w:val="20"/>
              </w:rPr>
              <w:t>的比例</w:t>
            </w:r>
            <w:r>
              <w:rPr>
                <w:rFonts w:ascii="宋体" w:hAnsi="宋体" w:cs="宋体" w:eastAsia="宋体" w:hint="default"/>
                <w:sz w:val="20"/>
                <w:szCs w:val="20"/>
              </w:rPr>
            </w:r>
          </w:p>
          <w:p>
            <w:pPr>
              <w:pStyle w:val="TableParagraph"/>
              <w:spacing w:line="259" w:lineRule="exact"/>
              <w:ind w:left="220" w:right="0"/>
              <w:jc w:val="both"/>
              <w:rPr>
                <w:rFonts w:ascii="宋体" w:hAnsi="宋体" w:cs="宋体" w:eastAsia="宋体" w:hint="default"/>
                <w:sz w:val="20"/>
                <w:szCs w:val="20"/>
              </w:rPr>
            </w:pPr>
            <w:r>
              <w:rPr>
                <w:rFonts w:ascii="宋体" w:hAnsi="宋体" w:cs="宋体" w:eastAsia="宋体" w:hint="default"/>
                <w:b/>
                <w:bCs/>
                <w:sz w:val="20"/>
                <w:szCs w:val="20"/>
              </w:rPr>
              <w:t>（</w:t>
            </w:r>
            <w:r>
              <w:rPr>
                <w:rFonts w:ascii="宋体" w:hAnsi="宋体" w:cs="宋体" w:eastAsia="宋体" w:hint="default"/>
                <w:b/>
                <w:bCs/>
                <w:sz w:val="20"/>
                <w:szCs w:val="20"/>
              </w:rPr>
              <w:t>%</w:t>
            </w:r>
            <w:r>
              <w:rPr>
                <w:rFonts w:ascii="宋体" w:hAnsi="宋体" w:cs="宋体" w:eastAsia="宋体" w:hint="default"/>
                <w:b/>
                <w:bCs/>
                <w:sz w:val="20"/>
                <w:szCs w:val="20"/>
              </w:rPr>
              <w:t>）</w:t>
            </w:r>
            <w:r>
              <w:rPr>
                <w:rFonts w:ascii="宋体" w:hAnsi="宋体" w:cs="宋体" w:eastAsia="宋体" w:hint="default"/>
                <w:sz w:val="20"/>
                <w:szCs w:val="20"/>
              </w:rPr>
            </w:r>
          </w:p>
        </w:tc>
        <w:tc>
          <w:tcPr>
            <w:tcW w:w="1867" w:type="dxa"/>
            <w:vMerge w:val="restart"/>
            <w:tcBorders>
              <w:top w:val="single" w:sz="12" w:space="0" w:color="000000"/>
              <w:left w:val="single" w:sz="6" w:space="0" w:color="000000"/>
              <w:right w:val="single" w:sz="12"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left="122" w:right="116"/>
              <w:jc w:val="center"/>
              <w:rPr>
                <w:rFonts w:ascii="宋体" w:hAnsi="宋体" w:cs="宋体" w:eastAsia="宋体" w:hint="default"/>
                <w:sz w:val="20"/>
                <w:szCs w:val="20"/>
              </w:rPr>
            </w:pPr>
            <w:r>
              <w:rPr>
                <w:rFonts w:ascii="宋体" w:hAnsi="宋体" w:cs="宋体" w:eastAsia="宋体" w:hint="default"/>
                <w:b/>
                <w:bCs/>
                <w:sz w:val="20"/>
                <w:szCs w:val="20"/>
              </w:rPr>
              <w:t>本期期末金额较上</w:t>
            </w:r>
            <w:r>
              <w:rPr>
                <w:rFonts w:ascii="宋体" w:hAnsi="宋体" w:cs="宋体" w:eastAsia="宋体" w:hint="default"/>
                <w:b/>
                <w:bCs/>
                <w:w w:val="99"/>
                <w:sz w:val="20"/>
                <w:szCs w:val="20"/>
              </w:rPr>
              <w:t> </w:t>
            </w:r>
            <w:r>
              <w:rPr>
                <w:rFonts w:ascii="宋体" w:hAnsi="宋体" w:cs="宋体" w:eastAsia="宋体" w:hint="default"/>
                <w:b/>
                <w:bCs/>
                <w:sz w:val="20"/>
                <w:szCs w:val="20"/>
              </w:rPr>
              <w:t>期期末变动比例</w:t>
            </w:r>
            <w:r>
              <w:rPr>
                <w:rFonts w:ascii="宋体" w:hAnsi="宋体" w:cs="宋体" w:eastAsia="宋体" w:hint="default"/>
                <w:sz w:val="20"/>
                <w:szCs w:val="20"/>
              </w:rPr>
            </w:r>
          </w:p>
          <w:p>
            <w:pPr>
              <w:pStyle w:val="TableParagraph"/>
              <w:spacing w:line="259" w:lineRule="exact"/>
              <w:ind w:left="4" w:right="0"/>
              <w:jc w:val="center"/>
              <w:rPr>
                <w:rFonts w:ascii="宋体" w:hAnsi="宋体" w:cs="宋体" w:eastAsia="宋体" w:hint="default"/>
                <w:sz w:val="20"/>
                <w:szCs w:val="20"/>
              </w:rPr>
            </w:pPr>
            <w:r>
              <w:rPr>
                <w:rFonts w:ascii="宋体" w:hAnsi="宋体" w:cs="宋体" w:eastAsia="宋体" w:hint="default"/>
                <w:b/>
                <w:bCs/>
                <w:sz w:val="20"/>
                <w:szCs w:val="20"/>
              </w:rPr>
              <w:t>（</w:t>
            </w:r>
            <w:r>
              <w:rPr>
                <w:rFonts w:ascii="宋体" w:hAnsi="宋体" w:cs="宋体" w:eastAsia="宋体" w:hint="default"/>
                <w:b/>
                <w:bCs/>
                <w:sz w:val="20"/>
                <w:szCs w:val="20"/>
              </w:rPr>
              <w:t>%</w:t>
            </w:r>
            <w:r>
              <w:rPr>
                <w:rFonts w:ascii="宋体" w:hAnsi="宋体" w:cs="宋体" w:eastAsia="宋体" w:hint="default"/>
                <w:b/>
                <w:bCs/>
                <w:sz w:val="20"/>
                <w:szCs w:val="20"/>
              </w:rPr>
              <w:t>）</w:t>
            </w:r>
            <w:r>
              <w:rPr>
                <w:rFonts w:ascii="宋体" w:hAnsi="宋体" w:cs="宋体" w:eastAsia="宋体" w:hint="default"/>
                <w:sz w:val="20"/>
                <w:szCs w:val="20"/>
              </w:rPr>
            </w:r>
          </w:p>
        </w:tc>
      </w:tr>
      <w:tr>
        <w:trPr>
          <w:trHeight w:val="834" w:hRule="exact"/>
        </w:trPr>
        <w:tc>
          <w:tcPr>
            <w:tcW w:w="2417" w:type="dxa"/>
            <w:tcBorders>
              <w:top w:val="nil" w:sz="6" w:space="0" w:color="auto"/>
              <w:left w:val="single" w:sz="12" w:space="0" w:color="000000"/>
              <w:bottom w:val="single" w:sz="6" w:space="0" w:color="000000"/>
              <w:right w:val="single" w:sz="6" w:space="0" w:color="000000"/>
            </w:tcBorders>
          </w:tcPr>
          <w:p>
            <w:pPr>
              <w:pStyle w:val="TableParagraph"/>
              <w:spacing w:line="240" w:lineRule="auto" w:before="165"/>
              <w:ind w:left="590" w:right="0"/>
              <w:jc w:val="left"/>
              <w:rPr>
                <w:rFonts w:ascii="宋体" w:hAnsi="宋体" w:cs="宋体" w:eastAsia="宋体" w:hint="default"/>
                <w:sz w:val="20"/>
                <w:szCs w:val="20"/>
              </w:rPr>
            </w:pPr>
            <w:r>
              <w:rPr>
                <w:rFonts w:ascii="宋体" w:hAnsi="宋体" w:cs="宋体" w:eastAsia="宋体" w:hint="default"/>
                <w:b/>
                <w:bCs/>
                <w:sz w:val="20"/>
                <w:szCs w:val="20"/>
              </w:rPr>
              <w:t>（单位：元）</w:t>
            </w:r>
            <w:r>
              <w:rPr>
                <w:rFonts w:ascii="宋体" w:hAnsi="宋体" w:cs="宋体" w:eastAsia="宋体" w:hint="default"/>
                <w:sz w:val="20"/>
                <w:szCs w:val="20"/>
              </w:rPr>
            </w:r>
          </w:p>
        </w:tc>
        <w:tc>
          <w:tcPr>
            <w:tcW w:w="1717" w:type="dxa"/>
            <w:vMerge/>
            <w:tcBorders>
              <w:left w:val="single" w:sz="6" w:space="0" w:color="000000"/>
              <w:bottom w:val="single" w:sz="6" w:space="0" w:color="000000"/>
              <w:right w:val="single" w:sz="6" w:space="0" w:color="000000"/>
            </w:tcBorders>
          </w:tcPr>
          <w:p>
            <w:pPr/>
          </w:p>
        </w:tc>
        <w:tc>
          <w:tcPr>
            <w:tcW w:w="996" w:type="dxa"/>
            <w:vMerge/>
            <w:tcBorders>
              <w:left w:val="single" w:sz="6" w:space="0" w:color="000000"/>
              <w:bottom w:val="single" w:sz="6" w:space="0" w:color="000000"/>
              <w:right w:val="single" w:sz="6" w:space="0" w:color="000000"/>
            </w:tcBorders>
          </w:tcPr>
          <w:p>
            <w:pPr/>
          </w:p>
        </w:tc>
        <w:tc>
          <w:tcPr>
            <w:tcW w:w="1716" w:type="dxa"/>
            <w:vMerge/>
            <w:tcBorders>
              <w:left w:val="single" w:sz="6" w:space="0" w:color="000000"/>
              <w:bottom w:val="single" w:sz="6" w:space="0" w:color="000000"/>
              <w:right w:val="single" w:sz="6" w:space="0" w:color="000000"/>
            </w:tcBorders>
          </w:tcPr>
          <w:p>
            <w:pPr/>
          </w:p>
        </w:tc>
        <w:tc>
          <w:tcPr>
            <w:tcW w:w="961" w:type="dxa"/>
            <w:vMerge/>
            <w:tcBorders>
              <w:left w:val="single" w:sz="6" w:space="0" w:color="000000"/>
              <w:bottom w:val="single" w:sz="6" w:space="0" w:color="000000"/>
              <w:right w:val="single" w:sz="6" w:space="0" w:color="000000"/>
            </w:tcBorders>
          </w:tcPr>
          <w:p>
            <w:pPr/>
          </w:p>
        </w:tc>
        <w:tc>
          <w:tcPr>
            <w:tcW w:w="1867" w:type="dxa"/>
            <w:vMerge/>
            <w:tcBorders>
              <w:left w:val="single" w:sz="6" w:space="0" w:color="000000"/>
              <w:bottom w:val="single" w:sz="6" w:space="0" w:color="000000"/>
              <w:right w:val="single" w:sz="12" w:space="0" w:color="000000"/>
            </w:tcBorders>
          </w:tcPr>
          <w:p>
            <w:pPr/>
          </w:p>
        </w:tc>
      </w:tr>
      <w:tr>
        <w:trPr>
          <w:trHeight w:val="283" w:hRule="exact"/>
        </w:trPr>
        <w:tc>
          <w:tcPr>
            <w:tcW w:w="2417"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资产总计</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20"/>
                <w:szCs w:val="20"/>
              </w:rPr>
            </w:pPr>
            <w:r>
              <w:rPr>
                <w:rFonts w:ascii="Times New Roman"/>
                <w:w w:val="95"/>
                <w:sz w:val="20"/>
              </w:rPr>
              <w:t>56,860,835,872.59</w:t>
            </w:r>
            <w:r>
              <w:rPr>
                <w:rFonts w:ascii="Times New Roman"/>
                <w:sz w:val="20"/>
              </w:rPr>
            </w:r>
          </w:p>
        </w:tc>
        <w:tc>
          <w:tcPr>
            <w:tcW w:w="9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61" w:right="0"/>
              <w:jc w:val="center"/>
              <w:rPr>
                <w:rFonts w:ascii="Times New Roman" w:hAnsi="Times New Roman" w:cs="Times New Roman" w:eastAsia="Times New Roman" w:hint="default"/>
                <w:sz w:val="20"/>
                <w:szCs w:val="20"/>
              </w:rPr>
            </w:pPr>
            <w:r>
              <w:rPr>
                <w:rFonts w:ascii="Times New Roman"/>
                <w:sz w:val="20"/>
              </w:rPr>
              <w:t>100.00%</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20"/>
                <w:szCs w:val="20"/>
              </w:rPr>
            </w:pPr>
            <w:r>
              <w:rPr>
                <w:rFonts w:ascii="Times New Roman"/>
                <w:w w:val="95"/>
                <w:sz w:val="20"/>
              </w:rPr>
              <w:t>49,725,008,905.96</w:t>
            </w:r>
            <w:r>
              <w:rPr>
                <w:rFonts w:ascii="Times New Roman"/>
                <w:sz w:val="20"/>
              </w:rPr>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20"/>
                <w:szCs w:val="20"/>
              </w:rPr>
            </w:pPr>
            <w:r>
              <w:rPr>
                <w:rFonts w:ascii="Times New Roman"/>
                <w:w w:val="95"/>
                <w:sz w:val="20"/>
              </w:rPr>
              <w:t>100.00%</w:t>
            </w:r>
            <w:r>
              <w:rPr>
                <w:rFonts w:ascii="Times New Roman"/>
                <w:sz w:val="20"/>
              </w:rPr>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0"/>
                <w:szCs w:val="20"/>
              </w:rPr>
            </w:pPr>
            <w:r>
              <w:rPr>
                <w:rFonts w:ascii="Times New Roman"/>
                <w:sz w:val="20"/>
              </w:rPr>
              <w:t>14.35%</w:t>
            </w:r>
          </w:p>
        </w:tc>
      </w:tr>
      <w:tr>
        <w:trPr>
          <w:trHeight w:val="286" w:hRule="exact"/>
        </w:trPr>
        <w:tc>
          <w:tcPr>
            <w:tcW w:w="2417" w:type="dxa"/>
            <w:tcBorders>
              <w:top w:val="single" w:sz="6" w:space="0" w:color="000000"/>
              <w:left w:val="single" w:sz="12" w:space="0" w:color="000000"/>
              <w:bottom w:val="single" w:sz="6" w:space="0" w:color="000000"/>
              <w:right w:val="single" w:sz="6" w:space="0" w:color="000000"/>
            </w:tcBorders>
          </w:tcPr>
          <w:p>
            <w:pPr>
              <w:pStyle w:val="TableParagraph"/>
              <w:spacing w:line="237" w:lineRule="exact"/>
              <w:ind w:left="93" w:right="0"/>
              <w:jc w:val="left"/>
              <w:rPr>
                <w:rFonts w:ascii="宋体" w:hAnsi="宋体" w:cs="宋体" w:eastAsia="宋体" w:hint="default"/>
                <w:sz w:val="20"/>
                <w:szCs w:val="20"/>
              </w:rPr>
            </w:pPr>
            <w:r>
              <w:rPr>
                <w:rFonts w:ascii="宋体" w:hAnsi="宋体" w:cs="宋体" w:eastAsia="宋体" w:hint="default"/>
                <w:sz w:val="20"/>
                <w:szCs w:val="20"/>
              </w:rPr>
              <w:t>货币资金</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spacing w:val="-1"/>
                <w:sz w:val="20"/>
              </w:rPr>
              <w:t>9,859,562,531.60</w:t>
            </w:r>
          </w:p>
        </w:tc>
        <w:tc>
          <w:tcPr>
            <w:tcW w:w="9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65" w:right="0"/>
              <w:jc w:val="center"/>
              <w:rPr>
                <w:rFonts w:ascii="Times New Roman" w:hAnsi="Times New Roman" w:cs="Times New Roman" w:eastAsia="Times New Roman" w:hint="default"/>
                <w:sz w:val="20"/>
                <w:szCs w:val="20"/>
              </w:rPr>
            </w:pPr>
            <w:r>
              <w:rPr>
                <w:rFonts w:ascii="Times New Roman"/>
                <w:sz w:val="20"/>
              </w:rPr>
              <w:t>17.34%</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spacing w:val="-1"/>
                <w:sz w:val="20"/>
              </w:rPr>
              <w:t>6,468,361,807.09</w:t>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13.01%</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89"/>
              <w:jc w:val="right"/>
              <w:rPr>
                <w:rFonts w:ascii="Times New Roman" w:hAnsi="Times New Roman" w:cs="Times New Roman" w:eastAsia="Times New Roman" w:hint="default"/>
                <w:sz w:val="20"/>
                <w:szCs w:val="20"/>
              </w:rPr>
            </w:pPr>
            <w:r>
              <w:rPr>
                <w:rFonts w:ascii="Times New Roman"/>
                <w:sz w:val="20"/>
              </w:rPr>
              <w:t>52.43%</w:t>
            </w:r>
          </w:p>
        </w:tc>
      </w:tr>
      <w:tr>
        <w:trPr>
          <w:trHeight w:val="286" w:hRule="exact"/>
        </w:trPr>
        <w:tc>
          <w:tcPr>
            <w:tcW w:w="2417" w:type="dxa"/>
            <w:tcBorders>
              <w:top w:val="single" w:sz="6" w:space="0" w:color="000000"/>
              <w:left w:val="single" w:sz="12" w:space="0" w:color="000000"/>
              <w:bottom w:val="single" w:sz="6" w:space="0" w:color="000000"/>
              <w:right w:val="single" w:sz="6" w:space="0" w:color="000000"/>
            </w:tcBorders>
          </w:tcPr>
          <w:p>
            <w:pPr>
              <w:pStyle w:val="TableParagraph"/>
              <w:spacing w:line="237" w:lineRule="exact"/>
              <w:ind w:left="93" w:right="0"/>
              <w:jc w:val="left"/>
              <w:rPr>
                <w:rFonts w:ascii="宋体" w:hAnsi="宋体" w:cs="宋体" w:eastAsia="宋体" w:hint="default"/>
                <w:sz w:val="20"/>
                <w:szCs w:val="20"/>
              </w:rPr>
            </w:pPr>
            <w:r>
              <w:rPr>
                <w:rFonts w:ascii="宋体" w:hAnsi="宋体" w:cs="宋体" w:eastAsia="宋体" w:hint="default"/>
                <w:sz w:val="20"/>
                <w:szCs w:val="20"/>
              </w:rPr>
              <w:t>应收股利</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w w:val="95"/>
                <w:sz w:val="20"/>
              </w:rPr>
              <w:t>107,977,090.91</w:t>
            </w:r>
            <w:r>
              <w:rPr>
                <w:rFonts w:ascii="Times New Roman"/>
                <w:sz w:val="20"/>
              </w:rPr>
            </w:r>
          </w:p>
        </w:tc>
        <w:tc>
          <w:tcPr>
            <w:tcW w:w="9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265" w:right="0"/>
              <w:jc w:val="center"/>
              <w:rPr>
                <w:rFonts w:ascii="Times New Roman" w:hAnsi="Times New Roman" w:cs="Times New Roman" w:eastAsia="Times New Roman" w:hint="default"/>
                <w:sz w:val="20"/>
                <w:szCs w:val="20"/>
              </w:rPr>
            </w:pPr>
            <w:r>
              <w:rPr>
                <w:rFonts w:ascii="Times New Roman"/>
                <w:sz w:val="20"/>
              </w:rPr>
              <w:t>0.19%</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1"/>
              <w:jc w:val="right"/>
              <w:rPr>
                <w:rFonts w:ascii="Times New Roman" w:hAnsi="Times New Roman" w:cs="Times New Roman" w:eastAsia="Times New Roman" w:hint="default"/>
                <w:sz w:val="20"/>
                <w:szCs w:val="20"/>
              </w:rPr>
            </w:pPr>
            <w:r>
              <w:rPr>
                <w:rFonts w:ascii="Times New Roman"/>
                <w:w w:val="95"/>
                <w:sz w:val="20"/>
              </w:rPr>
              <w:t>13,461,958.59</w:t>
            </w:r>
            <w:r>
              <w:rPr>
                <w:rFonts w:ascii="Times New Roman"/>
                <w:sz w:val="20"/>
              </w:rPr>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0.03%</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2"/>
              <w:jc w:val="right"/>
              <w:rPr>
                <w:rFonts w:ascii="Times New Roman" w:hAnsi="Times New Roman" w:cs="Times New Roman" w:eastAsia="Times New Roman" w:hint="default"/>
                <w:sz w:val="20"/>
                <w:szCs w:val="20"/>
              </w:rPr>
            </w:pPr>
            <w:r>
              <w:rPr>
                <w:rFonts w:ascii="Times New Roman"/>
                <w:w w:val="95"/>
                <w:sz w:val="20"/>
              </w:rPr>
              <w:t>702.09%</w:t>
            </w:r>
            <w:r>
              <w:rPr>
                <w:rFonts w:ascii="Times New Roman"/>
                <w:sz w:val="20"/>
              </w:rPr>
            </w:r>
          </w:p>
        </w:tc>
      </w:tr>
      <w:tr>
        <w:trPr>
          <w:trHeight w:val="286" w:hRule="exact"/>
        </w:trPr>
        <w:tc>
          <w:tcPr>
            <w:tcW w:w="2417"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递延所得税资产</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w w:val="95"/>
                <w:sz w:val="20"/>
              </w:rPr>
              <w:t>227,650,030.13</w:t>
            </w:r>
            <w:r>
              <w:rPr>
                <w:rFonts w:ascii="Times New Roman"/>
                <w:sz w:val="20"/>
              </w:rPr>
            </w:r>
          </w:p>
        </w:tc>
        <w:tc>
          <w:tcPr>
            <w:tcW w:w="9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265" w:right="0"/>
              <w:jc w:val="center"/>
              <w:rPr>
                <w:rFonts w:ascii="Times New Roman" w:hAnsi="Times New Roman" w:cs="Times New Roman" w:eastAsia="Times New Roman" w:hint="default"/>
                <w:sz w:val="20"/>
                <w:szCs w:val="20"/>
              </w:rPr>
            </w:pPr>
            <w:r>
              <w:rPr>
                <w:rFonts w:ascii="Times New Roman"/>
                <w:sz w:val="20"/>
              </w:rPr>
              <w:t>0.40%</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w w:val="95"/>
                <w:sz w:val="20"/>
              </w:rPr>
              <w:t>174,738,951.14</w:t>
            </w:r>
            <w:r>
              <w:rPr>
                <w:rFonts w:ascii="Times New Roman"/>
                <w:sz w:val="20"/>
              </w:rPr>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0.35%</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89"/>
              <w:jc w:val="right"/>
              <w:rPr>
                <w:rFonts w:ascii="Times New Roman" w:hAnsi="Times New Roman" w:cs="Times New Roman" w:eastAsia="Times New Roman" w:hint="default"/>
                <w:sz w:val="20"/>
                <w:szCs w:val="20"/>
              </w:rPr>
            </w:pPr>
            <w:r>
              <w:rPr>
                <w:rFonts w:ascii="Times New Roman"/>
                <w:sz w:val="20"/>
              </w:rPr>
              <w:t>30.28%</w:t>
            </w:r>
          </w:p>
        </w:tc>
      </w:tr>
      <w:tr>
        <w:trPr>
          <w:trHeight w:val="283" w:hRule="exact"/>
        </w:trPr>
        <w:tc>
          <w:tcPr>
            <w:tcW w:w="2417"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其他非流动资产</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w w:val="95"/>
                <w:sz w:val="20"/>
              </w:rPr>
              <w:t>448,197,303.66</w:t>
            </w:r>
            <w:r>
              <w:rPr>
                <w:rFonts w:ascii="Times New Roman"/>
                <w:sz w:val="20"/>
              </w:rPr>
            </w:r>
          </w:p>
        </w:tc>
        <w:tc>
          <w:tcPr>
            <w:tcW w:w="9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265" w:right="0"/>
              <w:jc w:val="center"/>
              <w:rPr>
                <w:rFonts w:ascii="Times New Roman" w:hAnsi="Times New Roman" w:cs="Times New Roman" w:eastAsia="Times New Roman" w:hint="default"/>
                <w:sz w:val="20"/>
                <w:szCs w:val="20"/>
              </w:rPr>
            </w:pPr>
            <w:r>
              <w:rPr>
                <w:rFonts w:ascii="Times New Roman"/>
                <w:sz w:val="20"/>
              </w:rPr>
              <w:t>0.79%</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w w:val="95"/>
                <w:sz w:val="20"/>
              </w:rPr>
              <w:t>105,500,000.00</w:t>
            </w:r>
            <w:r>
              <w:rPr>
                <w:rFonts w:ascii="Times New Roman"/>
                <w:sz w:val="20"/>
              </w:rPr>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0.21%</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20"/>
                <w:szCs w:val="20"/>
              </w:rPr>
            </w:pPr>
            <w:r>
              <w:rPr>
                <w:rFonts w:ascii="Times New Roman"/>
                <w:w w:val="95"/>
                <w:sz w:val="20"/>
              </w:rPr>
              <w:t>324.83%</w:t>
            </w:r>
            <w:r>
              <w:rPr>
                <w:rFonts w:ascii="Times New Roman"/>
                <w:sz w:val="20"/>
              </w:rPr>
            </w:r>
          </w:p>
        </w:tc>
      </w:tr>
      <w:tr>
        <w:trPr>
          <w:trHeight w:val="286" w:hRule="exact"/>
        </w:trPr>
        <w:tc>
          <w:tcPr>
            <w:tcW w:w="2417" w:type="dxa"/>
            <w:tcBorders>
              <w:top w:val="single" w:sz="6" w:space="0" w:color="000000"/>
              <w:left w:val="single" w:sz="12" w:space="0" w:color="000000"/>
              <w:bottom w:val="single" w:sz="6" w:space="0" w:color="000000"/>
              <w:right w:val="single" w:sz="6" w:space="0" w:color="000000"/>
            </w:tcBorders>
          </w:tcPr>
          <w:p>
            <w:pPr>
              <w:pStyle w:val="TableParagraph"/>
              <w:spacing w:line="237" w:lineRule="exact"/>
              <w:ind w:left="93" w:right="0"/>
              <w:jc w:val="left"/>
              <w:rPr>
                <w:rFonts w:ascii="宋体" w:hAnsi="宋体" w:cs="宋体" w:eastAsia="宋体" w:hint="default"/>
                <w:sz w:val="20"/>
                <w:szCs w:val="20"/>
              </w:rPr>
            </w:pPr>
            <w:r>
              <w:rPr>
                <w:rFonts w:ascii="宋体" w:hAnsi="宋体" w:cs="宋体" w:eastAsia="宋体" w:hint="default"/>
                <w:sz w:val="20"/>
                <w:szCs w:val="20"/>
              </w:rPr>
              <w:t>应付票据</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w w:val="95"/>
                <w:sz w:val="20"/>
              </w:rPr>
              <w:t>707,564,087.82</w:t>
            </w:r>
            <w:r>
              <w:rPr>
                <w:rFonts w:ascii="Times New Roman"/>
                <w:sz w:val="20"/>
              </w:rPr>
            </w:r>
          </w:p>
        </w:tc>
        <w:tc>
          <w:tcPr>
            <w:tcW w:w="9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265" w:right="0"/>
              <w:jc w:val="center"/>
              <w:rPr>
                <w:rFonts w:ascii="Times New Roman" w:hAnsi="Times New Roman" w:cs="Times New Roman" w:eastAsia="Times New Roman" w:hint="default"/>
                <w:sz w:val="20"/>
                <w:szCs w:val="20"/>
              </w:rPr>
            </w:pPr>
            <w:r>
              <w:rPr>
                <w:rFonts w:ascii="Times New Roman"/>
                <w:sz w:val="20"/>
              </w:rPr>
              <w:t>1.24%</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spacing w:val="-1"/>
                <w:sz w:val="20"/>
              </w:rPr>
              <w:t>1,034,851,536.61</w:t>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2.08%</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2"/>
              <w:jc w:val="right"/>
              <w:rPr>
                <w:rFonts w:ascii="Times New Roman" w:hAnsi="Times New Roman" w:cs="Times New Roman" w:eastAsia="Times New Roman" w:hint="default"/>
                <w:sz w:val="20"/>
                <w:szCs w:val="20"/>
              </w:rPr>
            </w:pPr>
            <w:r>
              <w:rPr>
                <w:rFonts w:ascii="Times New Roman"/>
                <w:w w:val="95"/>
                <w:sz w:val="20"/>
              </w:rPr>
              <w:t>-31.63%</w:t>
            </w:r>
            <w:r>
              <w:rPr>
                <w:rFonts w:ascii="Times New Roman"/>
                <w:sz w:val="20"/>
              </w:rPr>
            </w:r>
          </w:p>
        </w:tc>
      </w:tr>
      <w:tr>
        <w:trPr>
          <w:trHeight w:val="286" w:hRule="exact"/>
        </w:trPr>
        <w:tc>
          <w:tcPr>
            <w:tcW w:w="2417" w:type="dxa"/>
            <w:tcBorders>
              <w:top w:val="single" w:sz="6" w:space="0" w:color="000000"/>
              <w:left w:val="single" w:sz="12" w:space="0" w:color="000000"/>
              <w:bottom w:val="single" w:sz="6" w:space="0" w:color="000000"/>
              <w:right w:val="single" w:sz="6" w:space="0" w:color="000000"/>
            </w:tcBorders>
          </w:tcPr>
          <w:p>
            <w:pPr>
              <w:pStyle w:val="TableParagraph"/>
              <w:spacing w:line="237" w:lineRule="exact"/>
              <w:ind w:left="93" w:right="0"/>
              <w:jc w:val="left"/>
              <w:rPr>
                <w:rFonts w:ascii="宋体" w:hAnsi="宋体" w:cs="宋体" w:eastAsia="宋体" w:hint="default"/>
                <w:sz w:val="20"/>
                <w:szCs w:val="20"/>
              </w:rPr>
            </w:pPr>
            <w:r>
              <w:rPr>
                <w:rFonts w:ascii="宋体" w:hAnsi="宋体" w:cs="宋体" w:eastAsia="宋体" w:hint="default"/>
                <w:sz w:val="20"/>
                <w:szCs w:val="20"/>
              </w:rPr>
              <w:t>预收款项</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spacing w:val="-1"/>
                <w:sz w:val="20"/>
              </w:rPr>
              <w:t>4,603,960,489.78</w:t>
            </w:r>
          </w:p>
        </w:tc>
        <w:tc>
          <w:tcPr>
            <w:tcW w:w="9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265" w:right="0"/>
              <w:jc w:val="center"/>
              <w:rPr>
                <w:rFonts w:ascii="Times New Roman" w:hAnsi="Times New Roman" w:cs="Times New Roman" w:eastAsia="Times New Roman" w:hint="default"/>
                <w:sz w:val="20"/>
                <w:szCs w:val="20"/>
              </w:rPr>
            </w:pPr>
            <w:r>
              <w:rPr>
                <w:rFonts w:ascii="Times New Roman"/>
                <w:sz w:val="20"/>
              </w:rPr>
              <w:t>8.10%</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spacing w:val="-1"/>
                <w:sz w:val="20"/>
              </w:rPr>
              <w:t>2,281,174,220.89</w:t>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4.59%</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2"/>
              <w:jc w:val="right"/>
              <w:rPr>
                <w:rFonts w:ascii="Times New Roman" w:hAnsi="Times New Roman" w:cs="Times New Roman" w:eastAsia="Times New Roman" w:hint="default"/>
                <w:sz w:val="20"/>
                <w:szCs w:val="20"/>
              </w:rPr>
            </w:pPr>
            <w:r>
              <w:rPr>
                <w:rFonts w:ascii="Times New Roman"/>
                <w:w w:val="95"/>
                <w:sz w:val="20"/>
              </w:rPr>
              <w:t>101.82%</w:t>
            </w:r>
            <w:r>
              <w:rPr>
                <w:rFonts w:ascii="Times New Roman"/>
                <w:sz w:val="20"/>
              </w:rPr>
            </w:r>
          </w:p>
        </w:tc>
      </w:tr>
      <w:tr>
        <w:trPr>
          <w:trHeight w:val="286" w:hRule="exact"/>
        </w:trPr>
        <w:tc>
          <w:tcPr>
            <w:tcW w:w="2417"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应交税费</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w w:val="95"/>
                <w:sz w:val="20"/>
              </w:rPr>
              <w:t>187,129,298.62</w:t>
            </w:r>
            <w:r>
              <w:rPr>
                <w:rFonts w:ascii="Times New Roman"/>
                <w:sz w:val="20"/>
              </w:rPr>
            </w:r>
          </w:p>
        </w:tc>
        <w:tc>
          <w:tcPr>
            <w:tcW w:w="9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265" w:right="0"/>
              <w:jc w:val="center"/>
              <w:rPr>
                <w:rFonts w:ascii="Times New Roman" w:hAnsi="Times New Roman" w:cs="Times New Roman" w:eastAsia="Times New Roman" w:hint="default"/>
                <w:sz w:val="20"/>
                <w:szCs w:val="20"/>
              </w:rPr>
            </w:pPr>
            <w:r>
              <w:rPr>
                <w:rFonts w:ascii="Times New Roman"/>
                <w:sz w:val="20"/>
              </w:rPr>
              <w:t>0.33%</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0"/>
                <w:szCs w:val="20"/>
              </w:rPr>
            </w:pPr>
            <w:r>
              <w:rPr>
                <w:rFonts w:ascii="Times New Roman"/>
                <w:w w:val="95"/>
                <w:sz w:val="20"/>
              </w:rPr>
              <w:t>-165,440,927.24</w:t>
            </w:r>
            <w:r>
              <w:rPr>
                <w:rFonts w:ascii="Times New Roman"/>
                <w:sz w:val="20"/>
              </w:rPr>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0"/>
                <w:szCs w:val="20"/>
              </w:rPr>
            </w:pPr>
            <w:r>
              <w:rPr>
                <w:rFonts w:ascii="Times New Roman"/>
                <w:w w:val="95"/>
                <w:sz w:val="20"/>
              </w:rPr>
              <w:t>-0.33%</w:t>
            </w:r>
            <w:r>
              <w:rPr>
                <w:rFonts w:ascii="Times New Roman"/>
                <w:sz w:val="20"/>
              </w:rPr>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35" w:lineRule="exact"/>
              <w:ind w:right="95"/>
              <w:jc w:val="right"/>
              <w:rPr>
                <w:rFonts w:ascii="宋体" w:hAnsi="宋体" w:cs="宋体" w:eastAsia="宋体" w:hint="default"/>
                <w:sz w:val="20"/>
                <w:szCs w:val="20"/>
              </w:rPr>
            </w:pPr>
            <w:r>
              <w:rPr>
                <w:rFonts w:ascii="宋体" w:hAnsi="宋体" w:cs="宋体" w:eastAsia="宋体" w:hint="default"/>
                <w:w w:val="95"/>
                <w:sz w:val="20"/>
                <w:szCs w:val="20"/>
              </w:rPr>
              <w:t>不适用</w:t>
            </w:r>
            <w:r>
              <w:rPr>
                <w:rFonts w:ascii="宋体" w:hAnsi="宋体" w:cs="宋体" w:eastAsia="宋体" w:hint="default"/>
                <w:sz w:val="20"/>
                <w:szCs w:val="20"/>
              </w:rPr>
            </w:r>
          </w:p>
        </w:tc>
      </w:tr>
      <w:tr>
        <w:trPr>
          <w:trHeight w:val="283" w:hRule="exact"/>
        </w:trPr>
        <w:tc>
          <w:tcPr>
            <w:tcW w:w="2417" w:type="dxa"/>
            <w:tcBorders>
              <w:top w:val="single" w:sz="6" w:space="0" w:color="000000"/>
              <w:left w:val="single" w:sz="12" w:space="0" w:color="000000"/>
              <w:bottom w:val="single" w:sz="6"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一年内到期的非流动负债</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spacing w:val="-1"/>
                <w:sz w:val="20"/>
              </w:rPr>
              <w:t>1,154,589,981.72</w:t>
            </w:r>
          </w:p>
        </w:tc>
        <w:tc>
          <w:tcPr>
            <w:tcW w:w="9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265" w:right="0"/>
              <w:jc w:val="center"/>
              <w:rPr>
                <w:rFonts w:ascii="Times New Roman" w:hAnsi="Times New Roman" w:cs="Times New Roman" w:eastAsia="Times New Roman" w:hint="default"/>
                <w:sz w:val="20"/>
                <w:szCs w:val="20"/>
              </w:rPr>
            </w:pPr>
            <w:r>
              <w:rPr>
                <w:rFonts w:ascii="Times New Roman"/>
                <w:sz w:val="20"/>
              </w:rPr>
              <w:t>2.03%</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spacing w:val="-1"/>
                <w:sz w:val="20"/>
              </w:rPr>
              <w:t>1,874,981,561.48</w:t>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sz w:val="20"/>
              </w:rPr>
              <w:t>3.77%</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20"/>
                <w:szCs w:val="20"/>
              </w:rPr>
            </w:pPr>
            <w:r>
              <w:rPr>
                <w:rFonts w:ascii="Times New Roman"/>
                <w:w w:val="95"/>
                <w:sz w:val="20"/>
              </w:rPr>
              <w:t>-38.42%</w:t>
            </w:r>
            <w:r>
              <w:rPr>
                <w:rFonts w:ascii="Times New Roman"/>
                <w:sz w:val="20"/>
              </w:rPr>
            </w:r>
          </w:p>
        </w:tc>
      </w:tr>
      <w:tr>
        <w:trPr>
          <w:trHeight w:val="286" w:hRule="exact"/>
        </w:trPr>
        <w:tc>
          <w:tcPr>
            <w:tcW w:w="2417" w:type="dxa"/>
            <w:tcBorders>
              <w:top w:val="single" w:sz="6" w:space="0" w:color="000000"/>
              <w:left w:val="single" w:sz="12" w:space="0" w:color="000000"/>
              <w:bottom w:val="single" w:sz="6" w:space="0" w:color="000000"/>
              <w:right w:val="single" w:sz="6" w:space="0" w:color="000000"/>
            </w:tcBorders>
          </w:tcPr>
          <w:p>
            <w:pPr>
              <w:pStyle w:val="TableParagraph"/>
              <w:spacing w:line="237" w:lineRule="exact"/>
              <w:ind w:left="93" w:right="0"/>
              <w:jc w:val="left"/>
              <w:rPr>
                <w:rFonts w:ascii="宋体" w:hAnsi="宋体" w:cs="宋体" w:eastAsia="宋体" w:hint="default"/>
                <w:sz w:val="20"/>
                <w:szCs w:val="20"/>
              </w:rPr>
            </w:pPr>
            <w:r>
              <w:rPr>
                <w:rFonts w:ascii="宋体" w:hAnsi="宋体" w:cs="宋体" w:eastAsia="宋体" w:hint="default"/>
                <w:sz w:val="20"/>
                <w:szCs w:val="20"/>
              </w:rPr>
              <w:t>其他流动负债</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spacing w:val="-1"/>
                <w:sz w:val="20"/>
              </w:rPr>
              <w:t>2,019,407,123.29</w:t>
            </w:r>
          </w:p>
        </w:tc>
        <w:tc>
          <w:tcPr>
            <w:tcW w:w="9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265" w:right="0"/>
              <w:jc w:val="center"/>
              <w:rPr>
                <w:rFonts w:ascii="Times New Roman" w:hAnsi="Times New Roman" w:cs="Times New Roman" w:eastAsia="Times New Roman" w:hint="default"/>
                <w:sz w:val="20"/>
                <w:szCs w:val="20"/>
              </w:rPr>
            </w:pPr>
            <w:r>
              <w:rPr>
                <w:rFonts w:ascii="Times New Roman"/>
                <w:sz w:val="20"/>
              </w:rPr>
              <w:t>3.55%</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spacing w:val="-1"/>
                <w:sz w:val="20"/>
              </w:rPr>
              <w:t>1,003,164,383.56</w:t>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2.02%</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2"/>
              <w:jc w:val="right"/>
              <w:rPr>
                <w:rFonts w:ascii="Times New Roman" w:hAnsi="Times New Roman" w:cs="Times New Roman" w:eastAsia="Times New Roman" w:hint="default"/>
                <w:sz w:val="20"/>
                <w:szCs w:val="20"/>
              </w:rPr>
            </w:pPr>
            <w:r>
              <w:rPr>
                <w:rFonts w:ascii="Times New Roman"/>
                <w:w w:val="95"/>
                <w:sz w:val="20"/>
              </w:rPr>
              <w:t>101.30%</w:t>
            </w:r>
            <w:r>
              <w:rPr>
                <w:rFonts w:ascii="Times New Roman"/>
                <w:sz w:val="20"/>
              </w:rPr>
            </w:r>
          </w:p>
        </w:tc>
      </w:tr>
      <w:tr>
        <w:trPr>
          <w:trHeight w:val="286" w:hRule="exact"/>
        </w:trPr>
        <w:tc>
          <w:tcPr>
            <w:tcW w:w="2417" w:type="dxa"/>
            <w:tcBorders>
              <w:top w:val="single" w:sz="6" w:space="0" w:color="000000"/>
              <w:left w:val="single" w:sz="12" w:space="0" w:color="000000"/>
              <w:bottom w:val="single" w:sz="6" w:space="0" w:color="000000"/>
              <w:right w:val="single" w:sz="6" w:space="0" w:color="000000"/>
            </w:tcBorders>
          </w:tcPr>
          <w:p>
            <w:pPr>
              <w:pStyle w:val="TableParagraph"/>
              <w:spacing w:line="237" w:lineRule="exact"/>
              <w:ind w:left="93" w:right="0"/>
              <w:jc w:val="left"/>
              <w:rPr>
                <w:rFonts w:ascii="宋体" w:hAnsi="宋体" w:cs="宋体" w:eastAsia="宋体" w:hint="default"/>
                <w:sz w:val="20"/>
                <w:szCs w:val="20"/>
              </w:rPr>
            </w:pPr>
            <w:r>
              <w:rPr>
                <w:rFonts w:ascii="宋体" w:hAnsi="宋体" w:cs="宋体" w:eastAsia="宋体" w:hint="default"/>
                <w:sz w:val="20"/>
                <w:szCs w:val="20"/>
              </w:rPr>
              <w:t>其他非流动负债</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3"/>
              <w:jc w:val="right"/>
              <w:rPr>
                <w:rFonts w:ascii="Times New Roman" w:hAnsi="Times New Roman" w:cs="Times New Roman" w:eastAsia="Times New Roman" w:hint="default"/>
                <w:sz w:val="20"/>
                <w:szCs w:val="20"/>
              </w:rPr>
            </w:pPr>
            <w:r>
              <w:rPr>
                <w:rFonts w:ascii="Times New Roman"/>
                <w:sz w:val="20"/>
              </w:rPr>
              <w:t>0.00</w:t>
            </w:r>
          </w:p>
        </w:tc>
        <w:tc>
          <w:tcPr>
            <w:tcW w:w="9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265" w:right="0"/>
              <w:jc w:val="center"/>
              <w:rPr>
                <w:rFonts w:ascii="Times New Roman" w:hAnsi="Times New Roman" w:cs="Times New Roman" w:eastAsia="Times New Roman" w:hint="default"/>
                <w:sz w:val="20"/>
                <w:szCs w:val="20"/>
              </w:rPr>
            </w:pPr>
            <w:r>
              <w:rPr>
                <w:rFonts w:ascii="Times New Roman"/>
                <w:sz w:val="20"/>
              </w:rPr>
              <w:t>0.00%</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w w:val="95"/>
                <w:sz w:val="20"/>
              </w:rPr>
              <w:t>207,510,517.19</w:t>
            </w:r>
            <w:r>
              <w:rPr>
                <w:rFonts w:ascii="Times New Roman"/>
                <w:sz w:val="20"/>
              </w:rPr>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0.42%</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0"/>
              <w:jc w:val="right"/>
              <w:rPr>
                <w:rFonts w:ascii="Times New Roman" w:hAnsi="Times New Roman" w:cs="Times New Roman" w:eastAsia="Times New Roman" w:hint="default"/>
                <w:sz w:val="20"/>
                <w:szCs w:val="20"/>
              </w:rPr>
            </w:pPr>
            <w:r>
              <w:rPr>
                <w:rFonts w:ascii="Times New Roman"/>
                <w:w w:val="95"/>
                <w:sz w:val="20"/>
              </w:rPr>
              <w:t>-100.00%</w:t>
            </w:r>
            <w:r>
              <w:rPr>
                <w:rFonts w:ascii="Times New Roman"/>
                <w:sz w:val="20"/>
              </w:rPr>
            </w:r>
          </w:p>
        </w:tc>
      </w:tr>
      <w:tr>
        <w:trPr>
          <w:trHeight w:val="291" w:hRule="exact"/>
        </w:trPr>
        <w:tc>
          <w:tcPr>
            <w:tcW w:w="2417" w:type="dxa"/>
            <w:tcBorders>
              <w:top w:val="single" w:sz="6" w:space="0" w:color="000000"/>
              <w:left w:val="single" w:sz="12" w:space="0" w:color="000000"/>
              <w:bottom w:val="single" w:sz="12" w:space="0" w:color="000000"/>
              <w:right w:val="single" w:sz="6" w:space="0" w:color="000000"/>
            </w:tcBorders>
          </w:tcPr>
          <w:p>
            <w:pPr>
              <w:pStyle w:val="TableParagraph"/>
              <w:spacing w:line="235" w:lineRule="exact"/>
              <w:ind w:left="93" w:right="0"/>
              <w:jc w:val="left"/>
              <w:rPr>
                <w:rFonts w:ascii="宋体" w:hAnsi="宋体" w:cs="宋体" w:eastAsia="宋体" w:hint="default"/>
                <w:sz w:val="20"/>
                <w:szCs w:val="20"/>
              </w:rPr>
            </w:pPr>
            <w:r>
              <w:rPr>
                <w:rFonts w:ascii="宋体" w:hAnsi="宋体" w:cs="宋体" w:eastAsia="宋体" w:hint="default"/>
                <w:sz w:val="20"/>
                <w:szCs w:val="20"/>
              </w:rPr>
              <w:t>资产负债率</w:t>
            </w:r>
          </w:p>
        </w:tc>
        <w:tc>
          <w:tcPr>
            <w:tcW w:w="171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0"/>
                <w:szCs w:val="20"/>
              </w:rPr>
            </w:pPr>
            <w:r>
              <w:rPr>
                <w:rFonts w:ascii="Times New Roman"/>
                <w:sz w:val="20"/>
              </w:rPr>
              <w:t>60.16%</w:t>
            </w:r>
          </w:p>
        </w:tc>
        <w:tc>
          <w:tcPr>
            <w:tcW w:w="996" w:type="dxa"/>
            <w:tcBorders>
              <w:top w:val="single" w:sz="6" w:space="0" w:color="000000"/>
              <w:left w:val="single" w:sz="6" w:space="0" w:color="000000"/>
              <w:bottom w:val="single" w:sz="12" w:space="0" w:color="000000"/>
              <w:right w:val="single" w:sz="6" w:space="0" w:color="000000"/>
            </w:tcBorders>
          </w:tcPr>
          <w:p>
            <w:pPr/>
          </w:p>
        </w:tc>
        <w:tc>
          <w:tcPr>
            <w:tcW w:w="17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sz w:val="20"/>
              </w:rPr>
              <w:t>69.10%</w:t>
            </w:r>
          </w:p>
        </w:tc>
        <w:tc>
          <w:tcPr>
            <w:tcW w:w="961" w:type="dxa"/>
            <w:tcBorders>
              <w:top w:val="single" w:sz="6" w:space="0" w:color="000000"/>
              <w:left w:val="single" w:sz="6" w:space="0" w:color="000000"/>
              <w:bottom w:val="single" w:sz="12" w:space="0" w:color="000000"/>
              <w:right w:val="single" w:sz="6" w:space="0" w:color="000000"/>
            </w:tcBorders>
          </w:tcPr>
          <w:p>
            <w:pPr/>
          </w:p>
        </w:tc>
        <w:tc>
          <w:tcPr>
            <w:tcW w:w="1867" w:type="dxa"/>
            <w:tcBorders>
              <w:top w:val="single" w:sz="6" w:space="0" w:color="000000"/>
              <w:left w:val="single" w:sz="6" w:space="0" w:color="000000"/>
              <w:bottom w:val="single" w:sz="12" w:space="0" w:color="000000"/>
              <w:right w:val="single" w:sz="12" w:space="0" w:color="000000"/>
            </w:tcBorders>
          </w:tcPr>
          <w:p>
            <w:pPr>
              <w:pStyle w:val="TableParagraph"/>
              <w:spacing w:line="250" w:lineRule="exact"/>
              <w:ind w:right="95"/>
              <w:jc w:val="right"/>
              <w:rPr>
                <w:rFonts w:ascii="宋体" w:hAnsi="宋体" w:cs="宋体" w:eastAsia="宋体" w:hint="default"/>
                <w:sz w:val="20"/>
                <w:szCs w:val="20"/>
              </w:rPr>
            </w:pPr>
            <w:r>
              <w:rPr>
                <w:rFonts w:ascii="宋体" w:hAnsi="宋体" w:cs="宋体" w:eastAsia="宋体" w:hint="default"/>
                <w:sz w:val="20"/>
                <w:szCs w:val="20"/>
              </w:rPr>
              <w:t>降低</w:t>
            </w:r>
            <w:r>
              <w:rPr>
                <w:rFonts w:ascii="宋体" w:hAnsi="宋体" w:cs="宋体" w:eastAsia="宋体" w:hint="default"/>
                <w:spacing w:val="-53"/>
                <w:sz w:val="20"/>
                <w:szCs w:val="20"/>
              </w:rPr>
              <w:t> </w:t>
            </w:r>
            <w:r>
              <w:rPr>
                <w:rFonts w:ascii="Times New Roman" w:hAnsi="Times New Roman" w:cs="Times New Roman" w:eastAsia="Times New Roman" w:hint="default"/>
                <w:sz w:val="20"/>
                <w:szCs w:val="20"/>
              </w:rPr>
              <w:t>8.94</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个百分点</w:t>
            </w:r>
          </w:p>
        </w:tc>
      </w:tr>
    </w:tbl>
    <w:p>
      <w:pPr>
        <w:spacing w:line="240" w:lineRule="auto" w:before="0"/>
        <w:rPr>
          <w:rFonts w:ascii="宋体" w:hAnsi="宋体" w:cs="宋体" w:eastAsia="宋体" w:hint="default"/>
          <w:b/>
          <w:bCs/>
          <w:sz w:val="16"/>
          <w:szCs w:val="16"/>
        </w:rPr>
      </w:pPr>
    </w:p>
    <w:p>
      <w:pPr>
        <w:pStyle w:val="BodyText"/>
        <w:spacing w:line="240" w:lineRule="auto" w:before="26"/>
        <w:ind w:left="238" w:right="4971"/>
        <w:jc w:val="left"/>
      </w:pPr>
      <w:r>
        <w:rPr/>
        <w:t>其中：</w:t>
      </w:r>
    </w:p>
    <w:p>
      <w:pPr>
        <w:spacing w:line="240" w:lineRule="auto" w:before="11"/>
        <w:rPr>
          <w:rFonts w:ascii="宋体" w:hAnsi="宋体" w:cs="宋体" w:eastAsia="宋体" w:hint="default"/>
          <w:sz w:val="25"/>
          <w:szCs w:val="25"/>
        </w:rPr>
      </w:pPr>
    </w:p>
    <w:p>
      <w:pPr>
        <w:pStyle w:val="BodyText"/>
        <w:spacing w:line="312" w:lineRule="exact"/>
        <w:ind w:left="658" w:right="489" w:hanging="420"/>
        <w:jc w:val="left"/>
      </w:pPr>
      <w:r>
        <w:rPr>
          <w:rFonts w:ascii="宋体" w:hAnsi="宋体" w:cs="宋体" w:eastAsia="宋体" w:hint="default"/>
        </w:rPr>
        <w:t>(1)</w:t>
      </w:r>
      <w:r>
        <w:rPr>
          <w:rFonts w:ascii="宋体" w:hAnsi="宋体" w:cs="宋体" w:eastAsia="宋体" w:hint="default"/>
          <w:spacing w:val="-50"/>
        </w:rPr>
        <w:t> </w:t>
      </w:r>
      <w:r>
        <w:rPr>
          <w:spacing w:val="-3"/>
        </w:rPr>
        <w:t>货币资金较期初增幅较大，主要是公司本年末经营性现金盈余和全年度投资性现金净</w:t>
      </w:r>
      <w:r>
        <w:rPr/>
        <w:t> 收入明显增加所致。</w:t>
      </w:r>
    </w:p>
    <w:p>
      <w:pPr>
        <w:pStyle w:val="BodyText"/>
        <w:spacing w:line="280" w:lineRule="exact"/>
        <w:ind w:left="238" w:right="0"/>
        <w:jc w:val="left"/>
      </w:pPr>
      <w:r>
        <w:rPr>
          <w:rFonts w:ascii="宋体" w:hAnsi="宋体" w:cs="宋体" w:eastAsia="宋体" w:hint="default"/>
        </w:rPr>
        <w:t>(2)</w:t>
      </w:r>
      <w:r>
        <w:rPr>
          <w:rFonts w:ascii="宋体" w:hAnsi="宋体" w:cs="宋体" w:eastAsia="宋体" w:hint="default"/>
          <w:spacing w:val="-60"/>
        </w:rPr>
        <w:t> </w:t>
      </w:r>
      <w:r>
        <w:rPr/>
        <w:t>应收股利余额增加较多</w:t>
      </w:r>
      <w:r>
        <w:rPr>
          <w:spacing w:val="-99"/>
        </w:rPr>
        <w:t>，</w:t>
      </w:r>
      <w:r>
        <w:rPr/>
        <w:t>主要是公司参股公司同方投资有限公司与同方鼎欣科技股份</w:t>
      </w:r>
    </w:p>
    <w:p>
      <w:pPr>
        <w:pStyle w:val="BodyText"/>
        <w:spacing w:line="312" w:lineRule="exact"/>
        <w:ind w:left="658" w:right="489"/>
        <w:jc w:val="left"/>
      </w:pPr>
      <w:r>
        <w:rPr/>
        <w:t>有限公司本年宣告派发现金股利但尚未支付所致。</w:t>
      </w:r>
    </w:p>
    <w:p>
      <w:pPr>
        <w:pStyle w:val="BodyText"/>
        <w:spacing w:line="312" w:lineRule="exact" w:before="29"/>
        <w:ind w:left="658" w:right="489" w:hanging="420"/>
        <w:jc w:val="left"/>
      </w:pPr>
      <w:r>
        <w:rPr>
          <w:rFonts w:ascii="宋体" w:hAnsi="宋体" w:cs="宋体" w:eastAsia="宋体" w:hint="default"/>
        </w:rPr>
        <w:t>(3)</w:t>
      </w:r>
      <w:r>
        <w:rPr>
          <w:rFonts w:ascii="宋体" w:hAnsi="宋体" w:cs="宋体" w:eastAsia="宋体" w:hint="default"/>
          <w:spacing w:val="-50"/>
        </w:rPr>
        <w:t> </w:t>
      </w:r>
      <w:r>
        <w:rPr>
          <w:spacing w:val="-3"/>
        </w:rPr>
        <w:t>递延所得税资产变动较大，主要是本年公司所得税口径可抵扣暂时性差异带来的未来</w:t>
      </w:r>
      <w:r>
        <w:rPr/>
        <w:t> 可抵税资源增加所致。</w:t>
      </w:r>
    </w:p>
    <w:p>
      <w:pPr>
        <w:pStyle w:val="BodyText"/>
        <w:spacing w:line="280" w:lineRule="exact"/>
        <w:ind w:left="238" w:right="0"/>
        <w:jc w:val="left"/>
      </w:pPr>
      <w:r>
        <w:rPr>
          <w:rFonts w:ascii="宋体" w:hAnsi="宋体" w:cs="宋体" w:eastAsia="宋体" w:hint="default"/>
        </w:rPr>
        <w:t>(4)</w:t>
      </w:r>
      <w:r>
        <w:rPr>
          <w:rFonts w:ascii="宋体" w:hAnsi="宋体" w:cs="宋体" w:eastAsia="宋体" w:hint="default"/>
          <w:spacing w:val="-60"/>
        </w:rPr>
        <w:t> </w:t>
      </w:r>
      <w:r>
        <w:rPr/>
        <w:t>其他非流动资产变动较大</w:t>
      </w:r>
      <w:r>
        <w:rPr>
          <w:spacing w:val="-99"/>
        </w:rPr>
        <w:t>，</w:t>
      </w:r>
      <w:r>
        <w:rPr/>
        <w:t>主要是本年公司下属子公司继续认购中石化混合所有制改</w:t>
      </w:r>
    </w:p>
    <w:p>
      <w:pPr>
        <w:pStyle w:val="BodyText"/>
        <w:spacing w:line="312" w:lineRule="exact"/>
        <w:ind w:left="658" w:right="489"/>
        <w:jc w:val="left"/>
      </w:pPr>
      <w:r>
        <w:rPr/>
        <w:t>革资产管理计划及认缴科技产业创业投资基金出资所致。</w:t>
      </w:r>
    </w:p>
    <w:p>
      <w:pPr>
        <w:pStyle w:val="BodyText"/>
        <w:spacing w:line="310" w:lineRule="exact" w:before="31"/>
        <w:ind w:left="658" w:right="489" w:hanging="420"/>
        <w:jc w:val="left"/>
      </w:pPr>
      <w:r>
        <w:rPr>
          <w:rFonts w:ascii="宋体" w:hAnsi="宋体" w:cs="宋体" w:eastAsia="宋体" w:hint="default"/>
        </w:rPr>
        <w:t>(5)</w:t>
      </w:r>
      <w:r>
        <w:rPr>
          <w:rFonts w:ascii="宋体" w:hAnsi="宋体" w:cs="宋体" w:eastAsia="宋体" w:hint="default"/>
          <w:spacing w:val="-50"/>
        </w:rPr>
        <w:t> </w:t>
      </w:r>
      <w:r>
        <w:rPr>
          <w:spacing w:val="-3"/>
        </w:rPr>
        <w:t>应付票据变动较大，主要是截至本年末公司下属各产业单位的银行承兑汇票净偿付大</w:t>
      </w:r>
      <w:r>
        <w:rPr/>
        <w:t> 于净开具所致。</w:t>
      </w:r>
    </w:p>
    <w:p>
      <w:pPr>
        <w:pStyle w:val="BodyText"/>
        <w:spacing w:line="312" w:lineRule="exact"/>
        <w:ind w:left="658" w:right="490" w:hanging="420"/>
        <w:jc w:val="left"/>
      </w:pPr>
      <w:r>
        <w:rPr>
          <w:rFonts w:ascii="宋体" w:hAnsi="宋体" w:cs="宋体" w:eastAsia="宋体" w:hint="default"/>
        </w:rPr>
        <w:t>(6)</w:t>
      </w:r>
      <w:r>
        <w:rPr>
          <w:rFonts w:ascii="宋体" w:hAnsi="宋体" w:cs="宋体" w:eastAsia="宋体" w:hint="default"/>
          <w:spacing w:val="-51"/>
        </w:rPr>
        <w:t> </w:t>
      </w:r>
      <w:r>
        <w:rPr>
          <w:spacing w:val="-3"/>
        </w:rPr>
        <w:t>预收账款变动较大，主要是公司安防、节能、知网网络等产业单元年末集中收到较多</w:t>
      </w:r>
      <w:r>
        <w:rPr/>
        <w:t> 产品、服务及工程项目预付款所致。</w:t>
      </w:r>
    </w:p>
    <w:p>
      <w:pPr>
        <w:pStyle w:val="BodyText"/>
        <w:spacing w:line="280" w:lineRule="exact"/>
        <w:ind w:left="238" w:right="0"/>
        <w:jc w:val="left"/>
      </w:pPr>
      <w:r>
        <w:rPr>
          <w:rFonts w:ascii="宋体" w:hAnsi="宋体" w:cs="宋体" w:eastAsia="宋体" w:hint="default"/>
        </w:rPr>
        <w:t>(7)</w:t>
      </w:r>
      <w:r>
        <w:rPr>
          <w:rFonts w:ascii="宋体" w:hAnsi="宋体" w:cs="宋体" w:eastAsia="宋体" w:hint="default"/>
          <w:spacing w:val="-60"/>
        </w:rPr>
        <w:t> </w:t>
      </w:r>
      <w:r>
        <w:rPr/>
        <w:t>应交税费变动较大</w:t>
      </w:r>
      <w:r>
        <w:rPr>
          <w:spacing w:val="-99"/>
        </w:rPr>
        <w:t>，</w:t>
      </w:r>
      <w:r>
        <w:rPr/>
        <w:t>主要是本年内部分产业单位实际缴纳上年底计提的企业所得税和</w:t>
      </w:r>
    </w:p>
    <w:p>
      <w:pPr>
        <w:pStyle w:val="BodyText"/>
        <w:spacing w:line="312" w:lineRule="exact"/>
        <w:ind w:left="658" w:right="4971"/>
        <w:jc w:val="left"/>
      </w:pPr>
      <w:r>
        <w:rPr/>
        <w:t>流转税所致。</w:t>
      </w:r>
    </w:p>
    <w:p>
      <w:pPr>
        <w:pStyle w:val="BodyText"/>
        <w:spacing w:line="310" w:lineRule="exact" w:before="31"/>
        <w:ind w:left="658" w:right="489" w:hanging="420"/>
        <w:jc w:val="left"/>
      </w:pPr>
      <w:r>
        <w:rPr>
          <w:rFonts w:ascii="宋体" w:hAnsi="宋体" w:cs="宋体" w:eastAsia="宋体" w:hint="default"/>
        </w:rPr>
        <w:t>(8)</w:t>
      </w:r>
      <w:r>
        <w:rPr>
          <w:rFonts w:ascii="宋体" w:hAnsi="宋体" w:cs="宋体" w:eastAsia="宋体" w:hint="default"/>
          <w:spacing w:val="-50"/>
        </w:rPr>
        <w:t> </w:t>
      </w:r>
      <w:r>
        <w:rPr>
          <w:spacing w:val="-3"/>
        </w:rPr>
        <w:t>一年内到期的非流动负债变动较大，主要是本年内公司兑付到期中期票据和下属子公</w:t>
      </w:r>
      <w:r>
        <w:rPr/>
        <w:t> 司偿还到期长期借款本息所致。</w:t>
      </w:r>
    </w:p>
    <w:p>
      <w:pPr>
        <w:pStyle w:val="BodyText"/>
        <w:tabs>
          <w:tab w:pos="1078" w:val="left" w:leader="none"/>
        </w:tabs>
        <w:spacing w:line="312" w:lineRule="exact"/>
        <w:ind w:left="238" w:right="502"/>
        <w:jc w:val="left"/>
        <w:rPr>
          <w:rFonts w:ascii="宋体" w:hAnsi="宋体" w:cs="宋体" w:eastAsia="宋体" w:hint="default"/>
        </w:rPr>
      </w:pPr>
      <w:r>
        <w:rPr>
          <w:rFonts w:ascii="宋体" w:hAnsi="宋体" w:cs="宋体" w:eastAsia="宋体" w:hint="default"/>
        </w:rPr>
        <w:t>(9)</w:t>
      </w:r>
      <w:r>
        <w:rPr>
          <w:rFonts w:ascii="宋体" w:hAnsi="宋体" w:cs="宋体" w:eastAsia="宋体" w:hint="default"/>
          <w:spacing w:val="-60"/>
        </w:rPr>
        <w:t> </w:t>
      </w:r>
      <w:r>
        <w:rPr/>
        <w:t>其他流动负债变动较大，系截至本年末公司超短期融资券发行存续金额净增所致。 </w:t>
      </w:r>
      <w:r>
        <w:rPr>
          <w:rFonts w:ascii="宋体" w:hAnsi="宋体" w:cs="宋体" w:eastAsia="宋体" w:hint="default"/>
        </w:rPr>
        <w:t>(10)</w:t>
        <w:tab/>
      </w:r>
      <w:r>
        <w:rPr>
          <w:spacing w:val="5"/>
        </w:rPr>
        <w:t>其他非流动负债变动较大，系公司下属子公司同方泰德出售其子公司</w:t>
      </w:r>
      <w:r>
        <w:rPr>
          <w:spacing w:val="27"/>
        </w:rPr>
        <w:t> </w:t>
      </w:r>
      <w:r>
        <w:rPr>
          <w:rFonts w:ascii="宋体" w:hAnsi="宋体" w:cs="宋体" w:eastAsia="宋体" w:hint="default"/>
        </w:rPr>
        <w:t>Distech</w:t>
      </w:r>
    </w:p>
    <w:p>
      <w:pPr>
        <w:pStyle w:val="BodyText"/>
        <w:spacing w:line="281" w:lineRule="exact"/>
        <w:ind w:left="658" w:right="489"/>
        <w:jc w:val="left"/>
      </w:pPr>
      <w:r>
        <w:rPr>
          <w:rFonts w:ascii="宋体" w:hAnsi="宋体" w:cs="宋体" w:eastAsia="宋体" w:hint="default"/>
        </w:rPr>
        <w:t>Controls</w:t>
      </w:r>
      <w:r>
        <w:rPr>
          <w:rFonts w:ascii="宋体" w:hAnsi="宋体" w:cs="宋体" w:eastAsia="宋体" w:hint="default"/>
          <w:spacing w:val="-61"/>
        </w:rPr>
        <w:t> </w:t>
      </w:r>
      <w:r>
        <w:rPr/>
        <w:t>控制性权益导致终止确认其金融负债筹资所致。</w:t>
      </w:r>
    </w:p>
    <w:p>
      <w:pPr>
        <w:spacing w:after="0" w:line="281" w:lineRule="exact"/>
        <w:jc w:val="left"/>
        <w:sectPr>
          <w:pgSz w:w="11910" w:h="16840"/>
          <w:pgMar w:header="628" w:footer="760" w:top="1020" w:bottom="960" w:left="1180" w:right="7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3"/>
        <w:spacing w:line="240" w:lineRule="auto" w:before="157"/>
        <w:ind w:left="618" w:right="288"/>
        <w:jc w:val="left"/>
        <w:rPr>
          <w:b w:val="0"/>
          <w:bCs w:val="0"/>
        </w:rPr>
      </w:pPr>
      <w:r>
        <w:rPr>
          <w:rFonts w:ascii="宋体" w:hAnsi="宋体" w:cs="宋体" w:eastAsia="宋体" w:hint="default"/>
        </w:rPr>
        <w:t>(</w:t>
      </w:r>
      <w:r>
        <w:rPr/>
        <w:t>四</w:t>
      </w:r>
      <w:r>
        <w:rPr>
          <w:rFonts w:ascii="宋体" w:hAnsi="宋体" w:cs="宋体" w:eastAsia="宋体" w:hint="default"/>
        </w:rPr>
        <w:t>)</w:t>
      </w:r>
      <w:r>
        <w:rPr/>
        <w:t>行业性经营性信息分析</w:t>
      </w:r>
      <w:r>
        <w:rPr>
          <w:b w:val="0"/>
          <w:bCs w:val="0"/>
        </w:rPr>
      </w:r>
    </w:p>
    <w:p>
      <w:pPr>
        <w:spacing w:line="240" w:lineRule="auto" w:before="0"/>
        <w:rPr>
          <w:rFonts w:ascii="宋体" w:hAnsi="宋体" w:cs="宋体" w:eastAsia="宋体" w:hint="default"/>
          <w:b/>
          <w:bCs/>
          <w:sz w:val="26"/>
          <w:szCs w:val="26"/>
        </w:rPr>
      </w:pPr>
    </w:p>
    <w:p>
      <w:pPr>
        <w:pStyle w:val="BodyText"/>
        <w:tabs>
          <w:tab w:pos="8721" w:val="left" w:leader="none"/>
        </w:tabs>
        <w:spacing w:line="312" w:lineRule="exact"/>
        <w:ind w:left="238" w:right="222"/>
        <w:jc w:val="left"/>
      </w:pPr>
      <w:r>
        <w:rPr/>
        <w:t>关于公司行业性经营性信息分析情况，请参见本章</w:t>
      </w:r>
      <w:r>
        <w:rPr>
          <w:spacing w:val="-40"/>
        </w:rPr>
        <w:t> </w:t>
      </w:r>
      <w:r>
        <w:rPr/>
        <w:t>二、报告期内主要经营情况</w:t>
        <w:tab/>
      </w:r>
      <w:r>
        <w:rPr>
          <w:rFonts w:ascii="宋体" w:hAnsi="宋体" w:cs="宋体" w:eastAsia="宋体" w:hint="default"/>
        </w:rPr>
        <w:t>(</w:t>
      </w:r>
      <w:r>
        <w:rPr/>
        <w:t>一</w:t>
      </w:r>
      <w:r>
        <w:rPr>
          <w:rFonts w:ascii="宋体" w:hAnsi="宋体" w:cs="宋体" w:eastAsia="宋体" w:hint="default"/>
        </w:rPr>
        <w:t>)</w:t>
      </w:r>
      <w:r>
        <w:rPr/>
        <w:t>主 营业务分析部分。</w:t>
      </w:r>
    </w:p>
    <w:p>
      <w:pPr>
        <w:spacing w:line="240" w:lineRule="auto" w:before="4"/>
        <w:rPr>
          <w:rFonts w:ascii="宋体" w:hAnsi="宋体" w:cs="宋体" w:eastAsia="宋体" w:hint="default"/>
          <w:sz w:val="21"/>
          <w:szCs w:val="21"/>
        </w:rPr>
      </w:pPr>
    </w:p>
    <w:p>
      <w:pPr>
        <w:pStyle w:val="Heading3"/>
        <w:spacing w:line="475" w:lineRule="auto"/>
        <w:ind w:right="6380"/>
        <w:jc w:val="left"/>
        <w:rPr>
          <w:b w:val="0"/>
          <w:bCs w:val="0"/>
        </w:rPr>
      </w:pPr>
      <w:r>
        <w:rPr>
          <w:rFonts w:ascii="宋体" w:hAnsi="宋体" w:cs="宋体" w:eastAsia="宋体" w:hint="default"/>
        </w:rPr>
        <w:t>(</w:t>
      </w:r>
      <w:r>
        <w:rPr/>
        <w:t>五</w:t>
      </w:r>
      <w:r>
        <w:rPr>
          <w:rFonts w:ascii="宋体" w:hAnsi="宋体" w:cs="宋体" w:eastAsia="宋体" w:hint="default"/>
        </w:rPr>
        <w:t>)</w:t>
      </w:r>
      <w:r>
        <w:rPr/>
        <w:t>投资状况分析</w:t>
      </w:r>
      <w:r>
        <w:rPr>
          <w:w w:val="99"/>
        </w:rPr>
        <w:t> </w:t>
      </w:r>
      <w:r>
        <w:rPr>
          <w:rFonts w:ascii="宋体" w:hAnsi="宋体" w:cs="宋体" w:eastAsia="宋体" w:hint="default"/>
        </w:rPr>
        <w:t>1</w:t>
      </w:r>
      <w:r>
        <w:rPr/>
        <w:t>、对外股权投资总体分析</w:t>
      </w:r>
      <w:r>
        <w:rPr>
          <w:b w:val="0"/>
          <w:bCs w:val="0"/>
        </w:rPr>
      </w:r>
    </w:p>
    <w:p>
      <w:pPr>
        <w:spacing w:line="240" w:lineRule="auto" w:before="10"/>
        <w:rPr>
          <w:rFonts w:ascii="宋体" w:hAnsi="宋体" w:cs="宋体" w:eastAsia="宋体" w:hint="default"/>
          <w:b/>
          <w:bCs/>
          <w:sz w:val="8"/>
          <w:szCs w:val="8"/>
        </w:rPr>
      </w:pPr>
    </w:p>
    <w:tbl>
      <w:tblPr>
        <w:tblW w:w="0" w:type="auto"/>
        <w:jc w:val="left"/>
        <w:tblInd w:w="116" w:type="dxa"/>
        <w:tblLayout w:type="fixed"/>
        <w:tblCellMar>
          <w:top w:w="0" w:type="dxa"/>
          <w:left w:w="0" w:type="dxa"/>
          <w:bottom w:w="0" w:type="dxa"/>
          <w:right w:w="0" w:type="dxa"/>
        </w:tblCellMar>
        <w:tblLook w:val="01E0"/>
      </w:tblPr>
      <w:tblGrid>
        <w:gridCol w:w="2660"/>
        <w:gridCol w:w="2412"/>
        <w:gridCol w:w="2122"/>
        <w:gridCol w:w="2125"/>
      </w:tblGrid>
      <w:tr>
        <w:trPr>
          <w:trHeight w:val="356" w:hRule="exact"/>
        </w:trPr>
        <w:tc>
          <w:tcPr>
            <w:tcW w:w="2660"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left="575" w:right="0"/>
              <w:jc w:val="left"/>
              <w:rPr>
                <w:rFonts w:ascii="宋体" w:hAnsi="宋体" w:cs="宋体" w:eastAsia="宋体" w:hint="default"/>
                <w:sz w:val="21"/>
                <w:szCs w:val="21"/>
              </w:rPr>
            </w:pPr>
            <w:r>
              <w:rPr>
                <w:rFonts w:ascii="宋体" w:hAnsi="宋体" w:cs="宋体" w:eastAsia="宋体" w:hint="default"/>
                <w:b/>
                <w:bCs/>
                <w:sz w:val="21"/>
                <w:szCs w:val="21"/>
              </w:rPr>
              <w:t>报告期内投资额</w:t>
            </w:r>
            <w:r>
              <w:rPr>
                <w:rFonts w:ascii="宋体" w:hAnsi="宋体" w:cs="宋体" w:eastAsia="宋体" w:hint="default"/>
                <w:sz w:val="21"/>
                <w:szCs w:val="21"/>
              </w:rPr>
            </w:r>
          </w:p>
        </w:tc>
        <w:tc>
          <w:tcPr>
            <w:tcW w:w="2412"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352" w:right="0"/>
              <w:jc w:val="left"/>
              <w:rPr>
                <w:rFonts w:ascii="宋体" w:hAnsi="宋体" w:cs="宋体" w:eastAsia="宋体" w:hint="default"/>
                <w:sz w:val="21"/>
                <w:szCs w:val="21"/>
              </w:rPr>
            </w:pPr>
            <w:r>
              <w:rPr>
                <w:rFonts w:ascii="宋体" w:hAnsi="宋体" w:cs="宋体" w:eastAsia="宋体" w:hint="default"/>
                <w:b/>
                <w:bCs/>
                <w:sz w:val="21"/>
                <w:szCs w:val="21"/>
              </w:rPr>
              <w:t>投资额增减变动数</w:t>
            </w:r>
            <w:r>
              <w:rPr>
                <w:rFonts w:ascii="宋体" w:hAnsi="宋体" w:cs="宋体" w:eastAsia="宋体" w:hint="default"/>
                <w:sz w:val="21"/>
                <w:szCs w:val="21"/>
              </w:rPr>
            </w:r>
          </w:p>
        </w:tc>
        <w:tc>
          <w:tcPr>
            <w:tcW w:w="2122"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b/>
                <w:bCs/>
                <w:sz w:val="21"/>
                <w:szCs w:val="21"/>
              </w:rPr>
              <w:t>上年同期投资额</w:t>
            </w:r>
            <w:r>
              <w:rPr>
                <w:rFonts w:ascii="宋体" w:hAnsi="宋体" w:cs="宋体" w:eastAsia="宋体" w:hint="default"/>
                <w:sz w:val="21"/>
                <w:szCs w:val="21"/>
              </w:rPr>
            </w:r>
          </w:p>
        </w:tc>
        <w:tc>
          <w:tcPr>
            <w:tcW w:w="2125"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left="158" w:right="0"/>
              <w:jc w:val="left"/>
              <w:rPr>
                <w:rFonts w:ascii="宋体" w:hAnsi="宋体" w:cs="宋体" w:eastAsia="宋体" w:hint="default"/>
                <w:sz w:val="21"/>
                <w:szCs w:val="21"/>
              </w:rPr>
            </w:pPr>
            <w:r>
              <w:rPr>
                <w:rFonts w:ascii="宋体" w:hAnsi="宋体" w:cs="宋体" w:eastAsia="宋体" w:hint="default"/>
                <w:b/>
                <w:bCs/>
                <w:sz w:val="21"/>
                <w:szCs w:val="21"/>
              </w:rPr>
              <w:t>投资额增减幅度</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322" w:hRule="exact"/>
        </w:trPr>
        <w:tc>
          <w:tcPr>
            <w:tcW w:w="266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9"/>
              <w:ind w:left="1286" w:right="0"/>
              <w:jc w:val="left"/>
              <w:rPr>
                <w:rFonts w:ascii="Times New Roman" w:hAnsi="Times New Roman" w:cs="Times New Roman" w:eastAsia="Times New Roman" w:hint="default"/>
                <w:sz w:val="20"/>
                <w:szCs w:val="20"/>
              </w:rPr>
            </w:pPr>
            <w:r>
              <w:rPr>
                <w:rFonts w:ascii="Times New Roman"/>
                <w:sz w:val="20"/>
              </w:rPr>
              <w:t>265,336,193.40</w:t>
            </w:r>
          </w:p>
        </w:tc>
        <w:tc>
          <w:tcPr>
            <w:tcW w:w="241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9"/>
              <w:ind w:left="828" w:right="0"/>
              <w:jc w:val="left"/>
              <w:rPr>
                <w:rFonts w:ascii="Times New Roman" w:hAnsi="Times New Roman" w:cs="Times New Roman" w:eastAsia="Times New Roman" w:hint="default"/>
                <w:sz w:val="20"/>
                <w:szCs w:val="20"/>
              </w:rPr>
            </w:pPr>
            <w:r>
              <w:rPr>
                <w:rFonts w:ascii="Times New Roman"/>
                <w:sz w:val="20"/>
              </w:rPr>
              <w:t>-1,070,623,806.60</w:t>
            </w:r>
          </w:p>
        </w:tc>
        <w:tc>
          <w:tcPr>
            <w:tcW w:w="212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9"/>
              <w:ind w:left="604" w:right="0"/>
              <w:jc w:val="left"/>
              <w:rPr>
                <w:rFonts w:ascii="Times New Roman" w:hAnsi="Times New Roman" w:cs="Times New Roman" w:eastAsia="Times New Roman" w:hint="default"/>
                <w:sz w:val="20"/>
                <w:szCs w:val="20"/>
              </w:rPr>
            </w:pPr>
            <w:r>
              <w:rPr>
                <w:rFonts w:ascii="Times New Roman"/>
                <w:sz w:val="20"/>
              </w:rPr>
              <w:t>1,335,960,000.00</w:t>
            </w:r>
          </w:p>
        </w:tc>
        <w:tc>
          <w:tcPr>
            <w:tcW w:w="212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9"/>
              <w:ind w:left="1325" w:right="0"/>
              <w:jc w:val="left"/>
              <w:rPr>
                <w:rFonts w:ascii="Times New Roman" w:hAnsi="Times New Roman" w:cs="Times New Roman" w:eastAsia="Times New Roman" w:hint="default"/>
                <w:sz w:val="20"/>
                <w:szCs w:val="20"/>
              </w:rPr>
            </w:pPr>
            <w:r>
              <w:rPr>
                <w:rFonts w:ascii="Times New Roman"/>
                <w:sz w:val="20"/>
              </w:rPr>
              <w:t>-80.14%</w:t>
            </w:r>
          </w:p>
        </w:tc>
      </w:tr>
    </w:tbl>
    <w:p>
      <w:pPr>
        <w:spacing w:line="243" w:lineRule="exact" w:before="0"/>
        <w:ind w:left="238" w:right="288" w:firstLine="0"/>
        <w:jc w:val="left"/>
        <w:rPr>
          <w:rFonts w:ascii="宋体" w:hAnsi="宋体" w:cs="宋体" w:eastAsia="宋体" w:hint="default"/>
          <w:sz w:val="21"/>
          <w:szCs w:val="21"/>
        </w:rPr>
      </w:pPr>
      <w:r>
        <w:rPr>
          <w:rFonts w:ascii="宋体" w:hAnsi="宋体" w:cs="宋体" w:eastAsia="宋体" w:hint="default"/>
          <w:sz w:val="21"/>
          <w:szCs w:val="21"/>
        </w:rPr>
        <w:t>注：投资额系公司在报告期内或上年同期发生的对外投资增加额</w:t>
      </w:r>
    </w:p>
    <w:p>
      <w:pPr>
        <w:spacing w:line="624" w:lineRule="exact" w:before="83"/>
        <w:ind w:left="718" w:right="288" w:hanging="224"/>
        <w:jc w:val="left"/>
        <w:rPr>
          <w:rFonts w:ascii="宋体" w:hAnsi="宋体" w:cs="宋体" w:eastAsia="宋体" w:hint="default"/>
          <w:sz w:val="24"/>
          <w:szCs w:val="24"/>
        </w:rPr>
      </w:pPr>
      <w:r>
        <w:rPr>
          <w:rFonts w:ascii="宋体" w:hAnsi="宋体" w:cs="宋体" w:eastAsia="宋体" w:hint="default"/>
          <w:b/>
          <w:bCs/>
          <w:sz w:val="24"/>
          <w:szCs w:val="24"/>
        </w:rPr>
        <w:t>(1)</w:t>
      </w:r>
      <w:r>
        <w:rPr>
          <w:rFonts w:ascii="宋体" w:hAnsi="宋体" w:cs="宋体" w:eastAsia="宋体" w:hint="default"/>
          <w:b/>
          <w:bCs/>
          <w:sz w:val="24"/>
          <w:szCs w:val="24"/>
        </w:rPr>
        <w:t>重大的股权投资</w:t>
      </w:r>
      <w:r>
        <w:rPr>
          <w:rFonts w:ascii="宋体" w:hAnsi="宋体" w:cs="宋体" w:eastAsia="宋体" w:hint="default"/>
          <w:b/>
          <w:bCs/>
          <w:w w:val="99"/>
          <w:sz w:val="24"/>
          <w:szCs w:val="24"/>
        </w:rPr>
        <w:t> </w:t>
      </w:r>
      <w:r>
        <w:rPr>
          <w:rFonts w:ascii="宋体" w:hAnsi="宋体" w:cs="宋体" w:eastAsia="宋体" w:hint="default"/>
          <w:sz w:val="24"/>
          <w:szCs w:val="24"/>
        </w:rPr>
        <w:t>报告期内，公司未实施重大股权投资。截止报告期末，公司持有的一级控参股子公</w:t>
      </w:r>
    </w:p>
    <w:p>
      <w:pPr>
        <w:pStyle w:val="BodyText"/>
        <w:spacing w:line="219" w:lineRule="exact"/>
        <w:ind w:left="238" w:right="288"/>
        <w:jc w:val="left"/>
      </w:pPr>
      <w:r>
        <w:rPr/>
        <w:t>司基本情况及变动情况如下：</w:t>
      </w:r>
    </w:p>
    <w:p>
      <w:pPr>
        <w:spacing w:line="240" w:lineRule="auto" w:before="10"/>
        <w:rPr>
          <w:rFonts w:ascii="宋体" w:hAnsi="宋体" w:cs="宋体" w:eastAsia="宋体" w:hint="default"/>
          <w:sz w:val="26"/>
          <w:szCs w:val="26"/>
        </w:rPr>
      </w:pPr>
    </w:p>
    <w:tbl>
      <w:tblPr>
        <w:tblW w:w="0" w:type="auto"/>
        <w:jc w:val="left"/>
        <w:tblInd w:w="130" w:type="dxa"/>
        <w:tblLayout w:type="fixed"/>
        <w:tblCellMar>
          <w:top w:w="0" w:type="dxa"/>
          <w:left w:w="0" w:type="dxa"/>
          <w:bottom w:w="0" w:type="dxa"/>
          <w:right w:w="0" w:type="dxa"/>
        </w:tblCellMar>
        <w:tblLook w:val="01E0"/>
      </w:tblPr>
      <w:tblGrid>
        <w:gridCol w:w="557"/>
        <w:gridCol w:w="2161"/>
        <w:gridCol w:w="691"/>
        <w:gridCol w:w="929"/>
        <w:gridCol w:w="720"/>
        <w:gridCol w:w="2340"/>
        <w:gridCol w:w="1081"/>
        <w:gridCol w:w="912"/>
      </w:tblGrid>
      <w:tr>
        <w:trPr>
          <w:trHeight w:val="742" w:hRule="exact"/>
        </w:trPr>
        <w:tc>
          <w:tcPr>
            <w:tcW w:w="557" w:type="dxa"/>
            <w:tcBorders>
              <w:top w:val="single" w:sz="12" w:space="0" w:color="000000"/>
              <w:left w:val="single" w:sz="12" w:space="0" w:color="000000"/>
              <w:bottom w:val="single" w:sz="6" w:space="0" w:color="000000"/>
              <w:right w:val="single" w:sz="6" w:space="0" w:color="000000"/>
            </w:tcBorders>
          </w:tcPr>
          <w:p>
            <w:pPr>
              <w:pStyle w:val="TableParagraph"/>
              <w:spacing w:line="244" w:lineRule="auto" w:before="97"/>
              <w:ind w:left="172" w:right="180"/>
              <w:jc w:val="left"/>
              <w:rPr>
                <w:rFonts w:ascii="宋体" w:hAnsi="宋体" w:cs="宋体" w:eastAsia="宋体" w:hint="default"/>
                <w:sz w:val="18"/>
                <w:szCs w:val="18"/>
              </w:rPr>
            </w:pPr>
            <w:r>
              <w:rPr>
                <w:rFonts w:ascii="宋体" w:hAnsi="宋体" w:cs="宋体" w:eastAsia="宋体" w:hint="default"/>
                <w:b/>
                <w:bCs/>
                <w:sz w:val="18"/>
                <w:szCs w:val="18"/>
              </w:rPr>
              <w:t>序</w:t>
            </w:r>
            <w:r>
              <w:rPr>
                <w:rFonts w:ascii="宋体" w:hAnsi="宋体" w:cs="宋体" w:eastAsia="宋体" w:hint="default"/>
                <w:b/>
                <w:bCs/>
                <w:w w:val="99"/>
                <w:sz w:val="18"/>
                <w:szCs w:val="18"/>
              </w:rPr>
              <w:t> </w:t>
            </w:r>
            <w:r>
              <w:rPr>
                <w:rFonts w:ascii="宋体" w:hAnsi="宋体" w:cs="宋体" w:eastAsia="宋体" w:hint="default"/>
                <w:b/>
                <w:bCs/>
                <w:sz w:val="18"/>
                <w:szCs w:val="18"/>
              </w:rPr>
              <w:t>号</w:t>
            </w:r>
            <w:r>
              <w:rPr>
                <w:rFonts w:ascii="宋体" w:hAnsi="宋体" w:cs="宋体" w:eastAsia="宋体" w:hint="default"/>
                <w:sz w:val="18"/>
                <w:szCs w:val="18"/>
              </w:rPr>
            </w:r>
          </w:p>
        </w:tc>
        <w:tc>
          <w:tcPr>
            <w:tcW w:w="216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710" w:right="0"/>
              <w:jc w:val="left"/>
              <w:rPr>
                <w:rFonts w:ascii="宋体" w:hAnsi="宋体" w:cs="宋体" w:eastAsia="宋体" w:hint="default"/>
                <w:sz w:val="18"/>
                <w:szCs w:val="18"/>
              </w:rPr>
            </w:pPr>
            <w:r>
              <w:rPr>
                <w:rFonts w:ascii="宋体" w:hAnsi="宋体" w:cs="宋体" w:eastAsia="宋体" w:hint="default"/>
                <w:b/>
                <w:bCs/>
                <w:sz w:val="18"/>
                <w:szCs w:val="18"/>
              </w:rPr>
              <w:t>企业名称</w:t>
            </w:r>
            <w:r>
              <w:rPr>
                <w:rFonts w:ascii="宋体" w:hAnsi="宋体" w:cs="宋体" w:eastAsia="宋体" w:hint="default"/>
                <w:sz w:val="18"/>
                <w:szCs w:val="18"/>
              </w:rPr>
            </w:r>
          </w:p>
        </w:tc>
        <w:tc>
          <w:tcPr>
            <w:tcW w:w="691" w:type="dxa"/>
            <w:tcBorders>
              <w:top w:val="single" w:sz="12" w:space="0" w:color="000000"/>
              <w:left w:val="single" w:sz="6" w:space="0" w:color="000000"/>
              <w:bottom w:val="single" w:sz="6" w:space="0" w:color="000000"/>
              <w:right w:val="single" w:sz="6" w:space="0" w:color="000000"/>
            </w:tcBorders>
          </w:tcPr>
          <w:p>
            <w:pPr>
              <w:pStyle w:val="TableParagraph"/>
              <w:spacing w:line="244" w:lineRule="auto" w:before="97"/>
              <w:ind w:left="155" w:right="155"/>
              <w:jc w:val="left"/>
              <w:rPr>
                <w:rFonts w:ascii="宋体" w:hAnsi="宋体" w:cs="宋体" w:eastAsia="宋体" w:hint="default"/>
                <w:sz w:val="18"/>
                <w:szCs w:val="18"/>
              </w:rPr>
            </w:pPr>
            <w:r>
              <w:rPr>
                <w:rFonts w:ascii="宋体" w:hAnsi="宋体" w:cs="宋体" w:eastAsia="宋体" w:hint="default"/>
                <w:b/>
                <w:bCs/>
                <w:sz w:val="18"/>
                <w:szCs w:val="18"/>
              </w:rPr>
              <w:t>成立</w:t>
            </w:r>
            <w:r>
              <w:rPr>
                <w:rFonts w:ascii="宋体" w:hAnsi="宋体" w:cs="宋体" w:eastAsia="宋体" w:hint="default"/>
                <w:b/>
                <w:bCs/>
                <w:spacing w:val="-89"/>
                <w:sz w:val="18"/>
                <w:szCs w:val="18"/>
              </w:rPr>
              <w:t> </w:t>
            </w:r>
            <w:r>
              <w:rPr>
                <w:rFonts w:ascii="宋体" w:hAnsi="宋体" w:cs="宋体" w:eastAsia="宋体" w:hint="default"/>
                <w:b/>
                <w:bCs/>
                <w:sz w:val="18"/>
                <w:szCs w:val="18"/>
              </w:rPr>
              <w:t>日期</w:t>
            </w:r>
            <w:r>
              <w:rPr>
                <w:rFonts w:ascii="宋体" w:hAnsi="宋体" w:cs="宋体" w:eastAsia="宋体" w:hint="default"/>
                <w:sz w:val="18"/>
                <w:szCs w:val="18"/>
              </w:rPr>
            </w:r>
          </w:p>
        </w:tc>
        <w:tc>
          <w:tcPr>
            <w:tcW w:w="929" w:type="dxa"/>
            <w:tcBorders>
              <w:top w:val="single" w:sz="12" w:space="0" w:color="000000"/>
              <w:left w:val="single" w:sz="6" w:space="0" w:color="000000"/>
              <w:bottom w:val="single" w:sz="6" w:space="0" w:color="000000"/>
              <w:right w:val="single" w:sz="6" w:space="0" w:color="000000"/>
            </w:tcBorders>
          </w:tcPr>
          <w:p>
            <w:pPr>
              <w:pStyle w:val="TableParagraph"/>
              <w:spacing w:line="244" w:lineRule="auto" w:before="97"/>
              <w:ind w:left="273" w:right="185" w:hanging="89"/>
              <w:jc w:val="left"/>
              <w:rPr>
                <w:rFonts w:ascii="宋体" w:hAnsi="宋体" w:cs="宋体" w:eastAsia="宋体" w:hint="default"/>
                <w:sz w:val="18"/>
                <w:szCs w:val="18"/>
              </w:rPr>
            </w:pPr>
            <w:r>
              <w:rPr>
                <w:rFonts w:ascii="宋体" w:hAnsi="宋体" w:cs="宋体" w:eastAsia="宋体" w:hint="default"/>
                <w:b/>
                <w:bCs/>
                <w:sz w:val="18"/>
                <w:szCs w:val="18"/>
              </w:rPr>
              <w:t>法定代</w:t>
            </w:r>
            <w:r>
              <w:rPr>
                <w:rFonts w:ascii="宋体" w:hAnsi="宋体" w:cs="宋体" w:eastAsia="宋体" w:hint="default"/>
                <w:b/>
                <w:bCs/>
                <w:w w:val="99"/>
                <w:sz w:val="18"/>
                <w:szCs w:val="18"/>
              </w:rPr>
              <w:t> </w:t>
            </w:r>
            <w:r>
              <w:rPr>
                <w:rFonts w:ascii="宋体" w:hAnsi="宋体" w:cs="宋体" w:eastAsia="宋体" w:hint="default"/>
                <w:b/>
                <w:bCs/>
                <w:sz w:val="18"/>
                <w:szCs w:val="18"/>
              </w:rPr>
              <w:t>表人</w:t>
            </w:r>
            <w:r>
              <w:rPr>
                <w:rFonts w:ascii="宋体" w:hAnsi="宋体" w:cs="宋体" w:eastAsia="宋体" w:hint="default"/>
                <w:sz w:val="18"/>
                <w:szCs w:val="18"/>
              </w:rPr>
            </w:r>
          </w:p>
        </w:tc>
        <w:tc>
          <w:tcPr>
            <w:tcW w:w="720" w:type="dxa"/>
            <w:tcBorders>
              <w:top w:val="single" w:sz="12" w:space="0" w:color="000000"/>
              <w:left w:val="single" w:sz="6" w:space="0" w:color="000000"/>
              <w:bottom w:val="single" w:sz="6" w:space="0" w:color="000000"/>
              <w:right w:val="single" w:sz="6" w:space="0" w:color="000000"/>
            </w:tcBorders>
          </w:tcPr>
          <w:p>
            <w:pPr>
              <w:pStyle w:val="TableParagraph"/>
              <w:spacing w:line="244" w:lineRule="auto" w:before="97"/>
              <w:ind w:left="167" w:right="171"/>
              <w:jc w:val="left"/>
              <w:rPr>
                <w:rFonts w:ascii="宋体" w:hAnsi="宋体" w:cs="宋体" w:eastAsia="宋体" w:hint="default"/>
                <w:sz w:val="18"/>
                <w:szCs w:val="18"/>
              </w:rPr>
            </w:pPr>
            <w:r>
              <w:rPr>
                <w:rFonts w:ascii="宋体" w:hAnsi="宋体" w:cs="宋体" w:eastAsia="宋体" w:hint="default"/>
                <w:b/>
                <w:bCs/>
                <w:sz w:val="18"/>
                <w:szCs w:val="18"/>
              </w:rPr>
              <w:t>注册</w:t>
            </w:r>
            <w:r>
              <w:rPr>
                <w:rFonts w:ascii="宋体" w:hAnsi="宋体" w:cs="宋体" w:eastAsia="宋体" w:hint="default"/>
                <w:b/>
                <w:bCs/>
                <w:spacing w:val="-89"/>
                <w:sz w:val="18"/>
                <w:szCs w:val="18"/>
              </w:rPr>
              <w:t> </w:t>
            </w:r>
            <w:r>
              <w:rPr>
                <w:rFonts w:ascii="宋体" w:hAnsi="宋体" w:cs="宋体" w:eastAsia="宋体" w:hint="default"/>
                <w:b/>
                <w:bCs/>
                <w:sz w:val="18"/>
                <w:szCs w:val="18"/>
              </w:rPr>
              <w:t>地址</w:t>
            </w:r>
            <w:r>
              <w:rPr>
                <w:rFonts w:ascii="宋体" w:hAnsi="宋体" w:cs="宋体" w:eastAsia="宋体" w:hint="default"/>
                <w:sz w:val="18"/>
                <w:szCs w:val="18"/>
              </w:rPr>
            </w:r>
          </w:p>
        </w:tc>
        <w:tc>
          <w:tcPr>
            <w:tcW w:w="234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b/>
                <w:bCs/>
                <w:sz w:val="18"/>
                <w:szCs w:val="18"/>
              </w:rPr>
              <w:t>主营业务</w:t>
            </w:r>
            <w:r>
              <w:rPr>
                <w:rFonts w:ascii="宋体" w:hAnsi="宋体" w:cs="宋体" w:eastAsia="宋体" w:hint="default"/>
                <w:sz w:val="18"/>
                <w:szCs w:val="18"/>
              </w:rPr>
            </w:r>
          </w:p>
        </w:tc>
        <w:tc>
          <w:tcPr>
            <w:tcW w:w="1081" w:type="dxa"/>
            <w:tcBorders>
              <w:top w:val="single" w:sz="12" w:space="0" w:color="000000"/>
              <w:left w:val="single" w:sz="6" w:space="0" w:color="000000"/>
              <w:bottom w:val="single" w:sz="6" w:space="0" w:color="000000"/>
              <w:right w:val="single" w:sz="6" w:space="0" w:color="000000"/>
            </w:tcBorders>
          </w:tcPr>
          <w:p>
            <w:pPr>
              <w:pStyle w:val="TableParagraph"/>
              <w:spacing w:line="213" w:lineRule="exact"/>
              <w:ind w:left="122" w:right="0" w:firstLine="46"/>
              <w:jc w:val="left"/>
              <w:rPr>
                <w:rFonts w:ascii="宋体" w:hAnsi="宋体" w:cs="宋体" w:eastAsia="宋体" w:hint="default"/>
                <w:sz w:val="18"/>
                <w:szCs w:val="18"/>
              </w:rPr>
            </w:pPr>
            <w:r>
              <w:rPr>
                <w:rFonts w:ascii="宋体" w:hAnsi="宋体" w:cs="宋体" w:eastAsia="宋体" w:hint="default"/>
                <w:b/>
                <w:bCs/>
                <w:sz w:val="18"/>
                <w:szCs w:val="18"/>
              </w:rPr>
              <w:t>注册资本</w:t>
            </w:r>
            <w:r>
              <w:rPr>
                <w:rFonts w:ascii="宋体" w:hAnsi="宋体" w:cs="宋体" w:eastAsia="宋体" w:hint="default"/>
                <w:sz w:val="18"/>
                <w:szCs w:val="18"/>
              </w:rPr>
            </w:r>
          </w:p>
          <w:p>
            <w:pPr>
              <w:pStyle w:val="TableParagraph"/>
              <w:spacing w:line="244" w:lineRule="auto" w:before="4"/>
              <w:ind w:left="348" w:right="127" w:hanging="227"/>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万元</w:t>
            </w:r>
            <w:r>
              <w:rPr>
                <w:rFonts w:ascii="宋体" w:hAnsi="宋体" w:cs="宋体" w:eastAsia="宋体" w:hint="default"/>
                <w:b/>
                <w:bCs/>
                <w:sz w:val="18"/>
                <w:szCs w:val="18"/>
              </w:rPr>
              <w:t>)/</w:t>
            </w:r>
            <w:r>
              <w:rPr>
                <w:rFonts w:ascii="宋体" w:hAnsi="宋体" w:cs="宋体" w:eastAsia="宋体" w:hint="default"/>
                <w:b/>
                <w:bCs/>
                <w:sz w:val="18"/>
                <w:szCs w:val="18"/>
              </w:rPr>
              <w:t>总</w:t>
            </w:r>
            <w:r>
              <w:rPr>
                <w:rFonts w:ascii="宋体" w:hAnsi="宋体" w:cs="宋体" w:eastAsia="宋体" w:hint="default"/>
                <w:b/>
                <w:bCs/>
                <w:w w:val="99"/>
                <w:sz w:val="18"/>
                <w:szCs w:val="18"/>
              </w:rPr>
              <w:t> </w:t>
            </w:r>
            <w:r>
              <w:rPr>
                <w:rFonts w:ascii="宋体" w:hAnsi="宋体" w:cs="宋体" w:eastAsia="宋体" w:hint="default"/>
                <w:b/>
                <w:bCs/>
                <w:sz w:val="18"/>
                <w:szCs w:val="18"/>
              </w:rPr>
              <w:t>股本</w:t>
            </w:r>
            <w:r>
              <w:rPr>
                <w:rFonts w:ascii="宋体" w:hAnsi="宋体" w:cs="宋体" w:eastAsia="宋体" w:hint="default"/>
                <w:sz w:val="18"/>
                <w:szCs w:val="18"/>
              </w:rPr>
            </w:r>
          </w:p>
        </w:tc>
        <w:tc>
          <w:tcPr>
            <w:tcW w:w="912" w:type="dxa"/>
            <w:tcBorders>
              <w:top w:val="single" w:sz="12" w:space="0" w:color="000000"/>
              <w:left w:val="single" w:sz="6" w:space="0" w:color="000000"/>
              <w:bottom w:val="single" w:sz="6" w:space="0" w:color="000000"/>
              <w:right w:val="single" w:sz="12" w:space="0" w:color="000000"/>
            </w:tcBorders>
          </w:tcPr>
          <w:p>
            <w:pPr>
              <w:pStyle w:val="TableParagraph"/>
              <w:spacing w:line="244" w:lineRule="auto" w:before="97"/>
              <w:ind w:left="263" w:right="259"/>
              <w:jc w:val="left"/>
              <w:rPr>
                <w:rFonts w:ascii="宋体" w:hAnsi="宋体" w:cs="宋体" w:eastAsia="宋体" w:hint="default"/>
                <w:sz w:val="18"/>
                <w:szCs w:val="18"/>
              </w:rPr>
            </w:pPr>
            <w:r>
              <w:rPr>
                <w:rFonts w:ascii="宋体" w:hAnsi="宋体" w:cs="宋体" w:eastAsia="宋体" w:hint="default"/>
                <w:b/>
                <w:bCs/>
                <w:sz w:val="18"/>
                <w:szCs w:val="18"/>
              </w:rPr>
              <w:t>持股</w:t>
            </w:r>
            <w:r>
              <w:rPr>
                <w:rFonts w:ascii="宋体" w:hAnsi="宋体" w:cs="宋体" w:eastAsia="宋体" w:hint="default"/>
                <w:b/>
                <w:bCs/>
                <w:spacing w:val="-89"/>
                <w:sz w:val="18"/>
                <w:szCs w:val="18"/>
              </w:rPr>
              <w:t> </w:t>
            </w:r>
            <w:r>
              <w:rPr>
                <w:rFonts w:ascii="宋体" w:hAnsi="宋体" w:cs="宋体" w:eastAsia="宋体" w:hint="default"/>
                <w:b/>
                <w:bCs/>
                <w:sz w:val="18"/>
                <w:szCs w:val="18"/>
              </w:rPr>
              <w:t>比例</w:t>
            </w:r>
            <w:r>
              <w:rPr>
                <w:rFonts w:ascii="宋体" w:hAnsi="宋体" w:cs="宋体" w:eastAsia="宋体" w:hint="default"/>
                <w:sz w:val="18"/>
                <w:szCs w:val="18"/>
              </w:rPr>
            </w:r>
          </w:p>
        </w:tc>
      </w:tr>
      <w:tr>
        <w:trPr>
          <w:trHeight w:val="73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18" w:right="0"/>
              <w:jc w:val="left"/>
              <w:rPr>
                <w:rFonts w:ascii="宋体" w:hAnsi="宋体" w:cs="宋体" w:eastAsia="宋体" w:hint="default"/>
                <w:sz w:val="18"/>
                <w:szCs w:val="18"/>
              </w:rPr>
            </w:pPr>
            <w:r>
              <w:rPr>
                <w:rFonts w:ascii="宋体"/>
                <w:sz w:val="18"/>
              </w:rPr>
              <w:t>1</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97"/>
              <w:ind w:left="100" w:right="243"/>
              <w:jc w:val="left"/>
              <w:rPr>
                <w:rFonts w:ascii="宋体" w:hAnsi="宋体" w:cs="宋体" w:eastAsia="宋体" w:hint="default"/>
                <w:sz w:val="18"/>
                <w:szCs w:val="18"/>
              </w:rPr>
            </w:pPr>
            <w:r>
              <w:rPr>
                <w:rFonts w:ascii="宋体" w:hAnsi="宋体" w:cs="宋体" w:eastAsia="宋体" w:hint="default"/>
                <w:sz w:val="18"/>
                <w:szCs w:val="18"/>
              </w:rPr>
              <w:t>泰豪科技股份有限公司 </w:t>
            </w:r>
            <w:r>
              <w:rPr>
                <w:rFonts w:ascii="宋体" w:hAnsi="宋体" w:cs="宋体" w:eastAsia="宋体" w:hint="default"/>
                <w:sz w:val="18"/>
                <w:szCs w:val="18"/>
              </w:rPr>
              <w:t>(</w:t>
            </w:r>
            <w:r>
              <w:rPr>
                <w:rFonts w:ascii="宋体" w:hAnsi="宋体" w:cs="宋体" w:eastAsia="宋体" w:hint="default"/>
                <w:sz w:val="18"/>
                <w:szCs w:val="18"/>
              </w:rPr>
              <w:t>股票代码：</w:t>
            </w:r>
            <w:r>
              <w:rPr>
                <w:rFonts w:ascii="宋体" w:hAnsi="宋体" w:cs="宋体" w:eastAsia="宋体" w:hint="default"/>
                <w:sz w:val="18"/>
                <w:szCs w:val="18"/>
              </w:rPr>
              <w:t>600590)</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34" w:right="0"/>
              <w:jc w:val="left"/>
              <w:rPr>
                <w:rFonts w:ascii="宋体" w:hAnsi="宋体" w:cs="宋体" w:eastAsia="宋体" w:hint="default"/>
                <w:sz w:val="18"/>
                <w:szCs w:val="18"/>
              </w:rPr>
            </w:pPr>
            <w:r>
              <w:rPr>
                <w:rFonts w:ascii="宋体" w:hAnsi="宋体" w:cs="宋体" w:eastAsia="宋体" w:hint="default"/>
                <w:sz w:val="18"/>
                <w:szCs w:val="18"/>
              </w:rPr>
              <w:t>96</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杨 </w:t>
            </w:r>
            <w:r>
              <w:rPr>
                <w:rFonts w:ascii="宋体" w:hAnsi="宋体" w:cs="宋体" w:eastAsia="宋体" w:hint="default"/>
                <w:spacing w:val="2"/>
                <w:sz w:val="18"/>
                <w:szCs w:val="18"/>
              </w:rPr>
              <w:t> </w:t>
            </w:r>
            <w:r>
              <w:rPr>
                <w:rFonts w:ascii="宋体" w:hAnsi="宋体" w:cs="宋体" w:eastAsia="宋体" w:hint="default"/>
                <w:sz w:val="18"/>
                <w:szCs w:val="18"/>
              </w:rPr>
              <w:t>剑</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97"/>
              <w:ind w:left="170" w:right="173"/>
              <w:jc w:val="left"/>
              <w:rPr>
                <w:rFonts w:ascii="宋体" w:hAnsi="宋体" w:cs="宋体" w:eastAsia="宋体" w:hint="default"/>
                <w:sz w:val="18"/>
                <w:szCs w:val="18"/>
              </w:rPr>
            </w:pPr>
            <w:r>
              <w:rPr>
                <w:rFonts w:ascii="宋体" w:hAnsi="宋体" w:cs="宋体" w:eastAsia="宋体" w:hint="default"/>
                <w:sz w:val="18"/>
                <w:szCs w:val="18"/>
              </w:rPr>
              <w:t>江西 南昌</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8" w:right="0"/>
              <w:jc w:val="left"/>
              <w:rPr>
                <w:rFonts w:ascii="宋体" w:hAnsi="宋体" w:cs="宋体" w:eastAsia="宋体" w:hint="default"/>
                <w:sz w:val="18"/>
                <w:szCs w:val="18"/>
              </w:rPr>
            </w:pPr>
            <w:r>
              <w:rPr>
                <w:rFonts w:ascii="宋体" w:hAnsi="宋体" w:cs="宋体" w:eastAsia="宋体" w:hint="default"/>
                <w:spacing w:val="-3"/>
                <w:sz w:val="18"/>
                <w:szCs w:val="18"/>
              </w:rPr>
              <w:t>计算机及软件产品、空调机</w:t>
            </w:r>
          </w:p>
          <w:p>
            <w:pPr>
              <w:pStyle w:val="TableParagraph"/>
              <w:spacing w:line="244" w:lineRule="auto" w:before="4"/>
              <w:ind w:left="98" w:right="101"/>
              <w:jc w:val="left"/>
              <w:rPr>
                <w:rFonts w:ascii="宋体" w:hAnsi="宋体" w:cs="宋体" w:eastAsia="宋体" w:hint="default"/>
                <w:sz w:val="18"/>
                <w:szCs w:val="18"/>
              </w:rPr>
            </w:pPr>
            <w:r>
              <w:rPr>
                <w:rFonts w:ascii="宋体" w:hAnsi="宋体" w:cs="宋体" w:eastAsia="宋体" w:hint="default"/>
                <w:spacing w:val="-4"/>
                <w:sz w:val="18"/>
                <w:szCs w:val="18"/>
              </w:rPr>
              <w:t>组、发电机组、输变电配套</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设备等。</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51" w:right="0"/>
              <w:jc w:val="left"/>
              <w:rPr>
                <w:rFonts w:ascii="宋体" w:hAnsi="宋体" w:cs="宋体" w:eastAsia="宋体" w:hint="default"/>
                <w:sz w:val="18"/>
                <w:szCs w:val="18"/>
              </w:rPr>
            </w:pPr>
            <w:r>
              <w:rPr>
                <w:rFonts w:ascii="宋体"/>
                <w:sz w:val="18"/>
              </w:rPr>
              <w:t>61,964.51</w:t>
            </w:r>
          </w:p>
          <w:p>
            <w:pPr>
              <w:pStyle w:val="TableParagraph"/>
              <w:spacing w:line="240" w:lineRule="auto" w:before="4"/>
              <w:ind w:left="602" w:right="0"/>
              <w:jc w:val="left"/>
              <w:rPr>
                <w:rFonts w:ascii="宋体" w:hAnsi="宋体" w:cs="宋体" w:eastAsia="宋体" w:hint="default"/>
                <w:sz w:val="18"/>
                <w:szCs w:val="18"/>
              </w:rPr>
            </w:pPr>
            <w:r>
              <w:rPr>
                <w:rFonts w:ascii="宋体" w:hAnsi="宋体" w:cs="宋体" w:eastAsia="宋体" w:hint="default"/>
                <w:sz w:val="18"/>
                <w:szCs w:val="18"/>
              </w:rPr>
              <w:t>万股</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2"/>
              <w:jc w:val="right"/>
              <w:rPr>
                <w:rFonts w:ascii="宋体" w:hAnsi="宋体" w:cs="宋体" w:eastAsia="宋体" w:hint="default"/>
                <w:sz w:val="18"/>
                <w:szCs w:val="18"/>
              </w:rPr>
            </w:pPr>
            <w:r>
              <w:rPr>
                <w:rFonts w:ascii="宋体"/>
                <w:sz w:val="18"/>
              </w:rPr>
              <w:t>16.69%</w:t>
            </w:r>
          </w:p>
        </w:tc>
      </w:tr>
      <w:tr>
        <w:trPr>
          <w:trHeight w:val="497"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left="218" w:right="0"/>
              <w:jc w:val="left"/>
              <w:rPr>
                <w:rFonts w:ascii="宋体" w:hAnsi="宋体" w:cs="宋体" w:eastAsia="宋体" w:hint="default"/>
                <w:sz w:val="18"/>
                <w:szCs w:val="18"/>
              </w:rPr>
            </w:pPr>
            <w:r>
              <w:rPr>
                <w:rFonts w:ascii="宋体"/>
                <w:sz w:val="18"/>
              </w:rPr>
              <w:t>2</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00" w:right="0"/>
              <w:jc w:val="left"/>
              <w:rPr>
                <w:rFonts w:ascii="宋体" w:hAnsi="宋体" w:cs="宋体" w:eastAsia="宋体" w:hint="default"/>
                <w:sz w:val="18"/>
                <w:szCs w:val="18"/>
              </w:rPr>
            </w:pPr>
            <w:r>
              <w:rPr>
                <w:rFonts w:ascii="宋体" w:hAnsi="宋体" w:cs="宋体" w:eastAsia="宋体" w:hint="default"/>
                <w:sz w:val="18"/>
                <w:szCs w:val="18"/>
              </w:rPr>
              <w:t>同方威视技术股份有限</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34" w:right="0"/>
              <w:jc w:val="left"/>
              <w:rPr>
                <w:rFonts w:ascii="宋体" w:hAnsi="宋体" w:cs="宋体" w:eastAsia="宋体" w:hint="default"/>
                <w:sz w:val="18"/>
                <w:szCs w:val="18"/>
              </w:rPr>
            </w:pPr>
            <w:r>
              <w:rPr>
                <w:rFonts w:ascii="宋体" w:hAnsi="宋体" w:cs="宋体" w:eastAsia="宋体" w:hint="default"/>
                <w:sz w:val="18"/>
                <w:szCs w:val="18"/>
              </w:rPr>
              <w:t>00</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34"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3"/>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2"/>
              <w:jc w:val="center"/>
              <w:rPr>
                <w:rFonts w:ascii="宋体" w:hAnsi="宋体" w:cs="宋体" w:eastAsia="宋体" w:hint="default"/>
                <w:sz w:val="18"/>
                <w:szCs w:val="18"/>
              </w:rPr>
            </w:pPr>
            <w:r>
              <w:rPr>
                <w:rFonts w:ascii="宋体" w:hAnsi="宋体" w:cs="宋体" w:eastAsia="宋体" w:hint="default"/>
                <w:sz w:val="18"/>
                <w:szCs w:val="18"/>
              </w:rPr>
              <w:t>陈志强</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98" w:right="0"/>
              <w:jc w:val="left"/>
              <w:rPr>
                <w:rFonts w:ascii="宋体" w:hAnsi="宋体" w:cs="宋体" w:eastAsia="宋体" w:hint="default"/>
                <w:sz w:val="18"/>
                <w:szCs w:val="18"/>
              </w:rPr>
            </w:pPr>
            <w:r>
              <w:rPr>
                <w:rFonts w:ascii="宋体" w:hAnsi="宋体" w:cs="宋体" w:eastAsia="宋体" w:hint="default"/>
                <w:sz w:val="18"/>
                <w:szCs w:val="18"/>
              </w:rPr>
              <w:t>基于辐射成像技术的安全</w:t>
            </w:r>
          </w:p>
          <w:p>
            <w:pPr>
              <w:pStyle w:val="TableParagraph"/>
              <w:spacing w:line="240" w:lineRule="auto" w:before="4"/>
              <w:ind w:left="98" w:right="0"/>
              <w:jc w:val="left"/>
              <w:rPr>
                <w:rFonts w:ascii="宋体" w:hAnsi="宋体" w:cs="宋体" w:eastAsia="宋体" w:hint="default"/>
                <w:sz w:val="18"/>
                <w:szCs w:val="18"/>
              </w:rPr>
            </w:pPr>
            <w:r>
              <w:rPr>
                <w:rFonts w:ascii="宋体" w:hAnsi="宋体" w:cs="宋体" w:eastAsia="宋体" w:hint="default"/>
                <w:sz w:val="18"/>
                <w:szCs w:val="18"/>
              </w:rPr>
              <w:t>检查产品和应用系统</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00"/>
              <w:jc w:val="right"/>
              <w:rPr>
                <w:rFonts w:ascii="宋体" w:hAnsi="宋体" w:cs="宋体" w:eastAsia="宋体" w:hint="default"/>
                <w:sz w:val="18"/>
                <w:szCs w:val="18"/>
              </w:rPr>
            </w:pPr>
            <w:r>
              <w:rPr>
                <w:rFonts w:ascii="宋体"/>
                <w:spacing w:val="-1"/>
                <w:sz w:val="18"/>
              </w:rPr>
              <w:t>16,500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right="93"/>
              <w:jc w:val="right"/>
              <w:rPr>
                <w:rFonts w:ascii="宋体" w:hAnsi="宋体" w:cs="宋体" w:eastAsia="宋体" w:hint="default"/>
                <w:sz w:val="18"/>
                <w:szCs w:val="18"/>
              </w:rPr>
            </w:pPr>
            <w:r>
              <w:rPr>
                <w:rFonts w:ascii="宋体"/>
                <w:spacing w:val="-1"/>
                <w:sz w:val="18"/>
              </w:rPr>
              <w:t>69.09%</w:t>
            </w:r>
          </w:p>
        </w:tc>
      </w:tr>
      <w:tr>
        <w:trPr>
          <w:trHeight w:val="49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218" w:right="0"/>
              <w:jc w:val="left"/>
              <w:rPr>
                <w:rFonts w:ascii="宋体" w:hAnsi="宋体" w:cs="宋体" w:eastAsia="宋体" w:hint="default"/>
                <w:sz w:val="18"/>
                <w:szCs w:val="18"/>
              </w:rPr>
            </w:pPr>
            <w:r>
              <w:rPr>
                <w:rFonts w:ascii="宋体"/>
                <w:sz w:val="18"/>
              </w:rPr>
              <w:t>3</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宋体" w:hAnsi="宋体" w:cs="宋体" w:eastAsia="宋体" w:hint="default"/>
                <w:sz w:val="18"/>
                <w:szCs w:val="18"/>
              </w:rPr>
              <w:t>同方知网数字出版技术</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股份有限公司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99</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7</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
              <w:jc w:val="center"/>
              <w:rPr>
                <w:rFonts w:ascii="宋体" w:hAnsi="宋体" w:cs="宋体" w:eastAsia="宋体" w:hint="default"/>
                <w:sz w:val="18"/>
                <w:szCs w:val="18"/>
              </w:rPr>
            </w:pPr>
            <w:r>
              <w:rPr>
                <w:rFonts w:ascii="宋体" w:hAnsi="宋体" w:cs="宋体" w:eastAsia="宋体" w:hint="default"/>
                <w:sz w:val="18"/>
                <w:szCs w:val="18"/>
              </w:rPr>
              <w:t>王明亮</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8" w:right="0"/>
              <w:jc w:val="left"/>
              <w:rPr>
                <w:rFonts w:ascii="宋体" w:hAnsi="宋体" w:cs="宋体" w:eastAsia="宋体" w:hint="default"/>
                <w:sz w:val="18"/>
                <w:szCs w:val="18"/>
              </w:rPr>
            </w:pPr>
            <w:r>
              <w:rPr>
                <w:rFonts w:ascii="宋体" w:hAnsi="宋体" w:cs="宋体" w:eastAsia="宋体" w:hint="default"/>
                <w:spacing w:val="-3"/>
                <w:sz w:val="18"/>
                <w:szCs w:val="18"/>
              </w:rPr>
              <w:t>知识资源数据库的开发、研</w:t>
            </w:r>
          </w:p>
          <w:p>
            <w:pPr>
              <w:pStyle w:val="TableParagraph"/>
              <w:spacing w:line="240" w:lineRule="auto" w:before="4"/>
              <w:ind w:left="98" w:right="0"/>
              <w:jc w:val="left"/>
              <w:rPr>
                <w:rFonts w:ascii="宋体" w:hAnsi="宋体" w:cs="宋体" w:eastAsia="宋体" w:hint="default"/>
                <w:sz w:val="18"/>
                <w:szCs w:val="18"/>
              </w:rPr>
            </w:pPr>
            <w:r>
              <w:rPr>
                <w:rFonts w:ascii="宋体" w:hAnsi="宋体" w:cs="宋体" w:eastAsia="宋体" w:hint="default"/>
                <w:sz w:val="18"/>
                <w:szCs w:val="18"/>
              </w:rPr>
              <w:t>制</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100"/>
              <w:jc w:val="right"/>
              <w:rPr>
                <w:rFonts w:ascii="宋体" w:hAnsi="宋体" w:cs="宋体" w:eastAsia="宋体" w:hint="default"/>
                <w:sz w:val="18"/>
                <w:szCs w:val="18"/>
              </w:rPr>
            </w:pPr>
            <w:r>
              <w:rPr>
                <w:rFonts w:ascii="宋体"/>
                <w:sz w:val="18"/>
              </w:rPr>
              <w:t>8,000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3"/>
              <w:jc w:val="right"/>
              <w:rPr>
                <w:rFonts w:ascii="宋体" w:hAnsi="宋体" w:cs="宋体" w:eastAsia="宋体" w:hint="default"/>
                <w:sz w:val="18"/>
                <w:szCs w:val="18"/>
              </w:rPr>
            </w:pPr>
            <w:r>
              <w:rPr>
                <w:rFonts w:ascii="宋体"/>
                <w:spacing w:val="-1"/>
                <w:sz w:val="18"/>
              </w:rPr>
              <w:t>98.98%</w:t>
            </w:r>
          </w:p>
        </w:tc>
      </w:tr>
      <w:tr>
        <w:trPr>
          <w:trHeight w:val="73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18" w:right="0"/>
              <w:jc w:val="left"/>
              <w:rPr>
                <w:rFonts w:ascii="宋体" w:hAnsi="宋体" w:cs="宋体" w:eastAsia="宋体" w:hint="default"/>
                <w:sz w:val="18"/>
                <w:szCs w:val="18"/>
              </w:rPr>
            </w:pPr>
            <w:r>
              <w:rPr>
                <w:rFonts w:ascii="宋体"/>
                <w:sz w:val="18"/>
              </w:rPr>
              <w:t>4</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同方人工环境有限公司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34" w:right="0"/>
              <w:jc w:val="left"/>
              <w:rPr>
                <w:rFonts w:ascii="宋体" w:hAnsi="宋体" w:cs="宋体" w:eastAsia="宋体" w:hint="default"/>
                <w:sz w:val="18"/>
                <w:szCs w:val="18"/>
              </w:rPr>
            </w:pPr>
            <w:r>
              <w:rPr>
                <w:rFonts w:ascii="宋体" w:hAnsi="宋体" w:cs="宋体" w:eastAsia="宋体" w:hint="default"/>
                <w:sz w:val="18"/>
                <w:szCs w:val="18"/>
              </w:rPr>
              <w:t>00</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34" w:right="0"/>
              <w:jc w:val="left"/>
              <w:rPr>
                <w:rFonts w:ascii="宋体" w:hAnsi="宋体" w:cs="宋体" w:eastAsia="宋体" w:hint="default"/>
                <w:sz w:val="18"/>
                <w:szCs w:val="18"/>
              </w:rPr>
            </w:pPr>
            <w:r>
              <w:rPr>
                <w:rFonts w:ascii="宋体" w:hAnsi="宋体" w:cs="宋体" w:eastAsia="宋体" w:hint="default"/>
                <w:sz w:val="18"/>
                <w:szCs w:val="18"/>
              </w:rPr>
              <w:t>11</w:t>
            </w:r>
            <w:r>
              <w:rPr>
                <w:rFonts w:ascii="宋体" w:hAnsi="宋体" w:cs="宋体" w:eastAsia="宋体" w:hint="default"/>
                <w:spacing w:val="-43"/>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范 </w:t>
            </w:r>
            <w:r>
              <w:rPr>
                <w:rFonts w:ascii="宋体" w:hAnsi="宋体" w:cs="宋体" w:eastAsia="宋体" w:hint="default"/>
                <w:spacing w:val="2"/>
                <w:sz w:val="18"/>
                <w:szCs w:val="18"/>
              </w:rPr>
              <w:t> </w:t>
            </w:r>
            <w:r>
              <w:rPr>
                <w:rFonts w:ascii="宋体" w:hAnsi="宋体" w:cs="宋体" w:eastAsia="宋体" w:hint="default"/>
                <w:sz w:val="18"/>
                <w:szCs w:val="18"/>
              </w:rPr>
              <w:t>新</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97"/>
              <w:ind w:left="170" w:right="173"/>
              <w:jc w:val="left"/>
              <w:rPr>
                <w:rFonts w:ascii="宋体" w:hAnsi="宋体" w:cs="宋体" w:eastAsia="宋体" w:hint="default"/>
                <w:sz w:val="18"/>
                <w:szCs w:val="18"/>
              </w:rPr>
            </w:pPr>
            <w:r>
              <w:rPr>
                <w:rFonts w:ascii="宋体" w:hAnsi="宋体" w:cs="宋体" w:eastAsia="宋体" w:hint="default"/>
                <w:sz w:val="18"/>
                <w:szCs w:val="18"/>
              </w:rPr>
              <w:t>北京 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8" w:right="0"/>
              <w:jc w:val="left"/>
              <w:rPr>
                <w:rFonts w:ascii="宋体" w:hAnsi="宋体" w:cs="宋体" w:eastAsia="宋体" w:hint="default"/>
                <w:sz w:val="18"/>
                <w:szCs w:val="18"/>
              </w:rPr>
            </w:pPr>
            <w:r>
              <w:rPr>
                <w:rFonts w:ascii="宋体" w:hAnsi="宋体" w:cs="宋体" w:eastAsia="宋体" w:hint="default"/>
                <w:sz w:val="18"/>
                <w:szCs w:val="18"/>
              </w:rPr>
              <w:t>基于热泵技术的节能产品</w:t>
            </w:r>
          </w:p>
          <w:p>
            <w:pPr>
              <w:pStyle w:val="TableParagraph"/>
              <w:spacing w:line="244" w:lineRule="auto" w:before="4"/>
              <w:ind w:left="98" w:right="245"/>
              <w:jc w:val="left"/>
              <w:rPr>
                <w:rFonts w:ascii="宋体" w:hAnsi="宋体" w:cs="宋体" w:eastAsia="宋体" w:hint="default"/>
                <w:sz w:val="18"/>
                <w:szCs w:val="18"/>
              </w:rPr>
            </w:pPr>
            <w:r>
              <w:rPr>
                <w:rFonts w:ascii="宋体" w:hAnsi="宋体" w:cs="宋体" w:eastAsia="宋体" w:hint="default"/>
                <w:sz w:val="18"/>
                <w:szCs w:val="18"/>
              </w:rPr>
              <w:t>生产和低品位热能转换利 用系统的集成</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0"/>
              <w:jc w:val="right"/>
              <w:rPr>
                <w:rFonts w:ascii="宋体" w:hAnsi="宋体" w:cs="宋体" w:eastAsia="宋体" w:hint="default"/>
                <w:sz w:val="18"/>
                <w:szCs w:val="18"/>
              </w:rPr>
            </w:pPr>
            <w:r>
              <w:rPr>
                <w:rFonts w:ascii="宋体"/>
                <w:spacing w:val="-1"/>
                <w:sz w:val="18"/>
              </w:rPr>
              <w:t>35,358</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3"/>
              <w:jc w:val="right"/>
              <w:rPr>
                <w:rFonts w:ascii="宋体" w:hAnsi="宋体" w:cs="宋体" w:eastAsia="宋体" w:hint="default"/>
                <w:sz w:val="18"/>
                <w:szCs w:val="18"/>
              </w:rPr>
            </w:pPr>
            <w:r>
              <w:rPr>
                <w:rFonts w:ascii="宋体"/>
                <w:spacing w:val="-1"/>
                <w:sz w:val="18"/>
              </w:rPr>
              <w:t>97.00%</w:t>
            </w:r>
          </w:p>
        </w:tc>
      </w:tr>
      <w:tr>
        <w:trPr>
          <w:trHeight w:val="49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218" w:right="0"/>
              <w:jc w:val="left"/>
              <w:rPr>
                <w:rFonts w:ascii="宋体" w:hAnsi="宋体" w:cs="宋体" w:eastAsia="宋体" w:hint="default"/>
                <w:sz w:val="18"/>
                <w:szCs w:val="18"/>
              </w:rPr>
            </w:pPr>
            <w:r>
              <w:rPr>
                <w:rFonts w:ascii="宋体"/>
                <w:sz w:val="18"/>
              </w:rPr>
              <w:t>5</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00" w:right="0"/>
              <w:jc w:val="left"/>
              <w:rPr>
                <w:rFonts w:ascii="宋体" w:hAnsi="宋体" w:cs="宋体" w:eastAsia="宋体" w:hint="default"/>
                <w:sz w:val="18"/>
                <w:szCs w:val="18"/>
              </w:rPr>
            </w:pPr>
            <w:r>
              <w:rPr>
                <w:rFonts w:ascii="宋体" w:hAnsi="宋体" w:cs="宋体" w:eastAsia="宋体" w:hint="default"/>
                <w:sz w:val="18"/>
                <w:szCs w:val="18"/>
              </w:rPr>
              <w:t>同方工业有限公司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06</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
              <w:jc w:val="center"/>
              <w:rPr>
                <w:rFonts w:ascii="宋体" w:hAnsi="宋体" w:cs="宋体" w:eastAsia="宋体" w:hint="default"/>
                <w:sz w:val="18"/>
                <w:szCs w:val="18"/>
              </w:rPr>
            </w:pPr>
            <w:r>
              <w:rPr>
                <w:rFonts w:ascii="宋体" w:hAnsi="宋体" w:cs="宋体" w:eastAsia="宋体" w:hint="default"/>
                <w:sz w:val="18"/>
                <w:szCs w:val="18"/>
              </w:rPr>
              <w:t>李吉生</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98" w:right="0"/>
              <w:jc w:val="left"/>
              <w:rPr>
                <w:rFonts w:ascii="宋体" w:hAnsi="宋体" w:cs="宋体" w:eastAsia="宋体" w:hint="default"/>
                <w:sz w:val="18"/>
                <w:szCs w:val="18"/>
              </w:rPr>
            </w:pPr>
            <w:r>
              <w:rPr>
                <w:rFonts w:ascii="宋体" w:hAnsi="宋体" w:cs="宋体" w:eastAsia="宋体" w:hint="default"/>
                <w:sz w:val="18"/>
                <w:szCs w:val="18"/>
              </w:rPr>
              <w:t>通信设备、电子产品</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100"/>
              <w:jc w:val="right"/>
              <w:rPr>
                <w:rFonts w:ascii="宋体" w:hAnsi="宋体" w:cs="宋体" w:eastAsia="宋体" w:hint="default"/>
                <w:sz w:val="18"/>
                <w:szCs w:val="18"/>
              </w:rPr>
            </w:pPr>
            <w:r>
              <w:rPr>
                <w:rFonts w:ascii="宋体"/>
                <w:spacing w:val="-1"/>
                <w:sz w:val="18"/>
              </w:rPr>
              <w:t>40,000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3"/>
              <w:jc w:val="right"/>
              <w:rPr>
                <w:rFonts w:ascii="宋体" w:hAnsi="宋体" w:cs="宋体" w:eastAsia="宋体" w:hint="default"/>
                <w:sz w:val="18"/>
                <w:szCs w:val="18"/>
              </w:rPr>
            </w:pPr>
            <w:r>
              <w:rPr>
                <w:rFonts w:ascii="宋体"/>
                <w:sz w:val="18"/>
              </w:rPr>
              <w:t>100.00%</w:t>
            </w:r>
          </w:p>
        </w:tc>
      </w:tr>
      <w:tr>
        <w:trPr>
          <w:trHeight w:val="497"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0"/>
              <w:ind w:left="218" w:right="0"/>
              <w:jc w:val="left"/>
              <w:rPr>
                <w:rFonts w:ascii="宋体" w:hAnsi="宋体" w:cs="宋体" w:eastAsia="宋体" w:hint="default"/>
                <w:sz w:val="18"/>
                <w:szCs w:val="18"/>
              </w:rPr>
            </w:pPr>
            <w:r>
              <w:rPr>
                <w:rFonts w:ascii="宋体"/>
                <w:sz w:val="18"/>
              </w:rPr>
              <w:t>6</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100" w:right="0"/>
              <w:jc w:val="left"/>
              <w:rPr>
                <w:rFonts w:ascii="宋体" w:hAnsi="宋体" w:cs="宋体" w:eastAsia="宋体" w:hint="default"/>
                <w:sz w:val="18"/>
                <w:szCs w:val="18"/>
              </w:rPr>
            </w:pPr>
            <w:r>
              <w:rPr>
                <w:rFonts w:ascii="宋体" w:hAnsi="宋体" w:cs="宋体" w:eastAsia="宋体" w:hint="default"/>
                <w:sz w:val="18"/>
                <w:szCs w:val="18"/>
              </w:rPr>
              <w:t>沈阳同方多媒体科技有</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134" w:right="0"/>
              <w:jc w:val="left"/>
              <w:rPr>
                <w:rFonts w:ascii="宋体" w:hAnsi="宋体" w:cs="宋体" w:eastAsia="宋体" w:hint="default"/>
                <w:sz w:val="18"/>
                <w:szCs w:val="18"/>
              </w:rPr>
            </w:pPr>
            <w:r>
              <w:rPr>
                <w:rFonts w:ascii="宋体" w:hAnsi="宋体" w:cs="宋体" w:eastAsia="宋体" w:hint="default"/>
                <w:sz w:val="18"/>
                <w:szCs w:val="18"/>
              </w:rPr>
              <w:t>04</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34"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3"/>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2"/>
              <w:jc w:val="center"/>
              <w:rPr>
                <w:rFonts w:ascii="宋体" w:hAnsi="宋体" w:cs="宋体" w:eastAsia="宋体" w:hint="default"/>
                <w:sz w:val="18"/>
                <w:szCs w:val="18"/>
              </w:rPr>
            </w:pPr>
            <w:r>
              <w:rPr>
                <w:rFonts w:ascii="宋体" w:hAnsi="宋体" w:cs="宋体" w:eastAsia="宋体" w:hint="default"/>
                <w:sz w:val="18"/>
                <w:szCs w:val="18"/>
              </w:rPr>
              <w:t>陆致成</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170" w:right="0"/>
              <w:jc w:val="left"/>
              <w:rPr>
                <w:rFonts w:ascii="宋体" w:hAnsi="宋体" w:cs="宋体" w:eastAsia="宋体" w:hint="default"/>
                <w:sz w:val="18"/>
                <w:szCs w:val="18"/>
              </w:rPr>
            </w:pPr>
            <w:r>
              <w:rPr>
                <w:rFonts w:ascii="宋体" w:hAnsi="宋体" w:cs="宋体" w:eastAsia="宋体" w:hint="default"/>
                <w:sz w:val="18"/>
                <w:szCs w:val="18"/>
              </w:rPr>
              <w:t>辽宁</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沈阳</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98" w:right="0"/>
              <w:jc w:val="left"/>
              <w:rPr>
                <w:rFonts w:ascii="宋体" w:hAnsi="宋体" w:cs="宋体" w:eastAsia="宋体" w:hint="default"/>
                <w:sz w:val="18"/>
                <w:szCs w:val="18"/>
              </w:rPr>
            </w:pPr>
            <w:r>
              <w:rPr>
                <w:rFonts w:ascii="宋体" w:hAnsi="宋体" w:cs="宋体" w:eastAsia="宋体" w:hint="default"/>
                <w:sz w:val="18"/>
                <w:szCs w:val="18"/>
              </w:rPr>
              <w:t>数字平板电视机生产</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00"/>
              <w:jc w:val="right"/>
              <w:rPr>
                <w:rFonts w:ascii="宋体" w:hAnsi="宋体" w:cs="宋体" w:eastAsia="宋体" w:hint="default"/>
                <w:sz w:val="18"/>
                <w:szCs w:val="18"/>
              </w:rPr>
            </w:pPr>
            <w:r>
              <w:rPr>
                <w:rFonts w:ascii="宋体"/>
                <w:spacing w:val="-1"/>
                <w:sz w:val="18"/>
              </w:rPr>
              <w:t>31,800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0"/>
              <w:ind w:right="93"/>
              <w:jc w:val="right"/>
              <w:rPr>
                <w:rFonts w:ascii="宋体" w:hAnsi="宋体" w:cs="宋体" w:eastAsia="宋体" w:hint="default"/>
                <w:sz w:val="18"/>
                <w:szCs w:val="18"/>
              </w:rPr>
            </w:pPr>
            <w:r>
              <w:rPr>
                <w:rFonts w:ascii="宋体"/>
                <w:sz w:val="18"/>
              </w:rPr>
              <w:t>100.00%</w:t>
            </w:r>
          </w:p>
        </w:tc>
      </w:tr>
      <w:tr>
        <w:trPr>
          <w:trHeight w:val="523"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1"/>
              <w:ind w:left="218" w:right="0"/>
              <w:jc w:val="left"/>
              <w:rPr>
                <w:rFonts w:ascii="宋体" w:hAnsi="宋体" w:cs="宋体" w:eastAsia="宋体" w:hint="default"/>
                <w:sz w:val="18"/>
                <w:szCs w:val="18"/>
              </w:rPr>
            </w:pPr>
            <w:r>
              <w:rPr>
                <w:rFonts w:ascii="宋体"/>
                <w:sz w:val="18"/>
              </w:rPr>
              <w:t>7</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ind w:left="100" w:right="243"/>
              <w:jc w:val="left"/>
              <w:rPr>
                <w:rFonts w:ascii="宋体" w:hAnsi="宋体" w:cs="宋体" w:eastAsia="宋体" w:hint="default"/>
                <w:sz w:val="18"/>
                <w:szCs w:val="18"/>
              </w:rPr>
            </w:pPr>
            <w:r>
              <w:rPr>
                <w:rFonts w:ascii="宋体" w:hAnsi="宋体" w:cs="宋体" w:eastAsia="宋体" w:hint="default"/>
                <w:sz w:val="18"/>
                <w:szCs w:val="18"/>
              </w:rPr>
              <w:t>北京同方凌讯科技有限 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left="134" w:right="0"/>
              <w:jc w:val="left"/>
              <w:rPr>
                <w:rFonts w:ascii="宋体" w:hAnsi="宋体" w:cs="宋体" w:eastAsia="宋体" w:hint="default"/>
                <w:sz w:val="18"/>
                <w:szCs w:val="18"/>
              </w:rPr>
            </w:pPr>
            <w:r>
              <w:rPr>
                <w:rFonts w:ascii="宋体" w:hAnsi="宋体" w:cs="宋体" w:eastAsia="宋体" w:hint="default"/>
                <w:sz w:val="18"/>
                <w:szCs w:val="18"/>
              </w:rPr>
              <w:t>01</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8</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1"/>
              <w:ind w:right="2"/>
              <w:jc w:val="center"/>
              <w:rPr>
                <w:rFonts w:ascii="宋体" w:hAnsi="宋体" w:cs="宋体" w:eastAsia="宋体" w:hint="default"/>
                <w:sz w:val="18"/>
                <w:szCs w:val="18"/>
              </w:rPr>
            </w:pPr>
            <w:r>
              <w:rPr>
                <w:rFonts w:ascii="宋体" w:hAnsi="宋体" w:cs="宋体" w:eastAsia="宋体" w:hint="default"/>
                <w:sz w:val="18"/>
                <w:szCs w:val="18"/>
              </w:rPr>
              <w:t>陆致成</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ind w:left="170" w:right="173"/>
              <w:jc w:val="left"/>
              <w:rPr>
                <w:rFonts w:ascii="宋体" w:hAnsi="宋体" w:cs="宋体" w:eastAsia="宋体" w:hint="default"/>
                <w:sz w:val="18"/>
                <w:szCs w:val="18"/>
              </w:rPr>
            </w:pPr>
            <w:r>
              <w:rPr>
                <w:rFonts w:ascii="宋体" w:hAnsi="宋体" w:cs="宋体" w:eastAsia="宋体" w:hint="default"/>
                <w:sz w:val="18"/>
                <w:szCs w:val="18"/>
              </w:rPr>
              <w:t>北京 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ind w:left="98" w:right="245"/>
              <w:jc w:val="left"/>
              <w:rPr>
                <w:rFonts w:ascii="宋体" w:hAnsi="宋体" w:cs="宋体" w:eastAsia="宋体" w:hint="default"/>
                <w:sz w:val="18"/>
                <w:szCs w:val="18"/>
              </w:rPr>
            </w:pPr>
            <w:r>
              <w:rPr>
                <w:rFonts w:ascii="宋体" w:hAnsi="宋体" w:cs="宋体" w:eastAsia="宋体" w:hint="default"/>
                <w:sz w:val="18"/>
                <w:szCs w:val="18"/>
              </w:rPr>
              <w:t>数字电视信号地面无线传 输系统建设与运营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1"/>
              <w:ind w:right="100"/>
              <w:jc w:val="right"/>
              <w:rPr>
                <w:rFonts w:ascii="宋体" w:hAnsi="宋体" w:cs="宋体" w:eastAsia="宋体" w:hint="default"/>
                <w:sz w:val="18"/>
                <w:szCs w:val="18"/>
              </w:rPr>
            </w:pPr>
            <w:r>
              <w:rPr>
                <w:rFonts w:ascii="宋体"/>
                <w:spacing w:val="-1"/>
                <w:sz w:val="18"/>
              </w:rPr>
              <w:t>25,000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1"/>
              <w:ind w:right="93"/>
              <w:jc w:val="right"/>
              <w:rPr>
                <w:rFonts w:ascii="宋体" w:hAnsi="宋体" w:cs="宋体" w:eastAsia="宋体" w:hint="default"/>
                <w:sz w:val="18"/>
                <w:szCs w:val="18"/>
              </w:rPr>
            </w:pPr>
            <w:r>
              <w:rPr>
                <w:rFonts w:ascii="宋体"/>
                <w:spacing w:val="-1"/>
                <w:sz w:val="18"/>
              </w:rPr>
              <w:t>98.80%</w:t>
            </w:r>
          </w:p>
        </w:tc>
      </w:tr>
      <w:tr>
        <w:trPr>
          <w:trHeight w:val="49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218" w:right="0"/>
              <w:jc w:val="left"/>
              <w:rPr>
                <w:rFonts w:ascii="宋体" w:hAnsi="宋体" w:cs="宋体" w:eastAsia="宋体" w:hint="default"/>
                <w:sz w:val="18"/>
                <w:szCs w:val="18"/>
              </w:rPr>
            </w:pPr>
            <w:r>
              <w:rPr>
                <w:rFonts w:ascii="宋体"/>
                <w:sz w:val="18"/>
              </w:rPr>
              <w:t>8</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宋体" w:hAnsi="宋体" w:cs="宋体" w:eastAsia="宋体" w:hint="default"/>
                <w:sz w:val="18"/>
                <w:szCs w:val="18"/>
              </w:rPr>
              <w:t>山东同方鲁颖电子有限</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00</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0"/>
              <w:jc w:val="center"/>
              <w:rPr>
                <w:rFonts w:ascii="宋体" w:hAnsi="宋体" w:cs="宋体" w:eastAsia="宋体" w:hint="default"/>
                <w:sz w:val="18"/>
                <w:szCs w:val="18"/>
              </w:rPr>
            </w:pPr>
            <w:r>
              <w:rPr>
                <w:rFonts w:ascii="宋体" w:hAnsi="宋体" w:cs="宋体" w:eastAsia="宋体" w:hint="default"/>
                <w:sz w:val="18"/>
                <w:szCs w:val="18"/>
              </w:rPr>
              <w:t>高 </w:t>
            </w:r>
            <w:r>
              <w:rPr>
                <w:rFonts w:ascii="宋体" w:hAnsi="宋体" w:cs="宋体" w:eastAsia="宋体" w:hint="default"/>
                <w:spacing w:val="2"/>
                <w:sz w:val="18"/>
                <w:szCs w:val="18"/>
              </w:rPr>
              <w:t> </w:t>
            </w:r>
            <w:r>
              <w:rPr>
                <w:rFonts w:ascii="宋体" w:hAnsi="宋体" w:cs="宋体" w:eastAsia="宋体" w:hint="default"/>
                <w:sz w:val="18"/>
                <w:szCs w:val="18"/>
              </w:rPr>
              <w:t>志</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山东</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沂南</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8" w:right="0"/>
              <w:jc w:val="left"/>
              <w:rPr>
                <w:rFonts w:ascii="宋体" w:hAnsi="宋体" w:cs="宋体" w:eastAsia="宋体" w:hint="default"/>
                <w:sz w:val="18"/>
                <w:szCs w:val="18"/>
              </w:rPr>
            </w:pPr>
            <w:r>
              <w:rPr>
                <w:rFonts w:ascii="宋体" w:hAnsi="宋体" w:cs="宋体" w:eastAsia="宋体" w:hint="default"/>
                <w:spacing w:val="-3"/>
                <w:sz w:val="18"/>
                <w:szCs w:val="18"/>
              </w:rPr>
              <w:t>中高压瓷介电容器、片式电</w:t>
            </w:r>
          </w:p>
          <w:p>
            <w:pPr>
              <w:pStyle w:val="TableParagraph"/>
              <w:spacing w:line="240" w:lineRule="auto" w:before="4"/>
              <w:ind w:left="98" w:right="0"/>
              <w:jc w:val="left"/>
              <w:rPr>
                <w:rFonts w:ascii="宋体" w:hAnsi="宋体" w:cs="宋体" w:eastAsia="宋体" w:hint="default"/>
                <w:sz w:val="18"/>
                <w:szCs w:val="18"/>
              </w:rPr>
            </w:pPr>
            <w:r>
              <w:rPr>
                <w:rFonts w:ascii="宋体" w:hAnsi="宋体" w:cs="宋体" w:eastAsia="宋体" w:hint="default"/>
                <w:sz w:val="18"/>
                <w:szCs w:val="18"/>
              </w:rPr>
              <w:t>子元器件生产</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100"/>
              <w:jc w:val="right"/>
              <w:rPr>
                <w:rFonts w:ascii="宋体" w:hAnsi="宋体" w:cs="宋体" w:eastAsia="宋体" w:hint="default"/>
                <w:sz w:val="18"/>
                <w:szCs w:val="18"/>
              </w:rPr>
            </w:pPr>
            <w:r>
              <w:rPr>
                <w:rFonts w:ascii="宋体"/>
                <w:sz w:val="18"/>
              </w:rPr>
              <w:t>8,000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3"/>
              <w:jc w:val="right"/>
              <w:rPr>
                <w:rFonts w:ascii="宋体" w:hAnsi="宋体" w:cs="宋体" w:eastAsia="宋体" w:hint="default"/>
                <w:sz w:val="18"/>
                <w:szCs w:val="18"/>
              </w:rPr>
            </w:pPr>
            <w:r>
              <w:rPr>
                <w:rFonts w:ascii="宋体"/>
                <w:spacing w:val="-1"/>
                <w:sz w:val="18"/>
              </w:rPr>
              <w:t>83.07%</w:t>
            </w:r>
          </w:p>
        </w:tc>
      </w:tr>
      <w:tr>
        <w:trPr>
          <w:trHeight w:val="49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218" w:right="0"/>
              <w:jc w:val="left"/>
              <w:rPr>
                <w:rFonts w:ascii="宋体" w:hAnsi="宋体" w:cs="宋体" w:eastAsia="宋体" w:hint="default"/>
                <w:sz w:val="18"/>
                <w:szCs w:val="18"/>
              </w:rPr>
            </w:pPr>
            <w:r>
              <w:rPr>
                <w:rFonts w:ascii="宋体"/>
                <w:sz w:val="18"/>
              </w:rPr>
              <w:t>9</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北京同方软件股份有限</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00</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6</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0"/>
              <w:jc w:val="center"/>
              <w:rPr>
                <w:rFonts w:ascii="宋体" w:hAnsi="宋体" w:cs="宋体" w:eastAsia="宋体" w:hint="default"/>
                <w:sz w:val="18"/>
                <w:szCs w:val="18"/>
              </w:rPr>
            </w:pPr>
            <w:r>
              <w:rPr>
                <w:rFonts w:ascii="宋体" w:hAnsi="宋体" w:cs="宋体" w:eastAsia="宋体" w:hint="default"/>
                <w:sz w:val="18"/>
                <w:szCs w:val="18"/>
              </w:rPr>
              <w:t>周 </w:t>
            </w:r>
            <w:r>
              <w:rPr>
                <w:rFonts w:ascii="宋体" w:hAnsi="宋体" w:cs="宋体" w:eastAsia="宋体" w:hint="default"/>
                <w:spacing w:val="2"/>
                <w:sz w:val="18"/>
                <w:szCs w:val="18"/>
              </w:rPr>
              <w:t> </w:t>
            </w:r>
            <w:r>
              <w:rPr>
                <w:rFonts w:ascii="宋体" w:hAnsi="宋体" w:cs="宋体" w:eastAsia="宋体" w:hint="default"/>
                <w:sz w:val="18"/>
                <w:szCs w:val="18"/>
              </w:rPr>
              <w:t>侠</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8" w:right="0"/>
              <w:jc w:val="left"/>
              <w:rPr>
                <w:rFonts w:ascii="宋体" w:hAnsi="宋体" w:cs="宋体" w:eastAsia="宋体" w:hint="default"/>
                <w:sz w:val="18"/>
                <w:szCs w:val="18"/>
              </w:rPr>
            </w:pPr>
            <w:r>
              <w:rPr>
                <w:rFonts w:ascii="宋体" w:hAnsi="宋体" w:cs="宋体" w:eastAsia="宋体" w:hint="default"/>
                <w:sz w:val="18"/>
                <w:szCs w:val="18"/>
              </w:rPr>
              <w:t>计算机应用软件和软件开</w:t>
            </w:r>
          </w:p>
          <w:p>
            <w:pPr>
              <w:pStyle w:val="TableParagraph"/>
              <w:spacing w:line="240" w:lineRule="auto" w:before="4"/>
              <w:ind w:left="98" w:right="0"/>
              <w:jc w:val="left"/>
              <w:rPr>
                <w:rFonts w:ascii="宋体" w:hAnsi="宋体" w:cs="宋体" w:eastAsia="宋体" w:hint="default"/>
                <w:sz w:val="18"/>
                <w:szCs w:val="18"/>
              </w:rPr>
            </w:pPr>
            <w:r>
              <w:rPr>
                <w:rFonts w:ascii="宋体" w:hAnsi="宋体" w:cs="宋体" w:eastAsia="宋体" w:hint="default"/>
                <w:sz w:val="18"/>
                <w:szCs w:val="18"/>
              </w:rPr>
              <w:t>发平台的开发</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100"/>
              <w:jc w:val="right"/>
              <w:rPr>
                <w:rFonts w:ascii="宋体" w:hAnsi="宋体" w:cs="宋体" w:eastAsia="宋体" w:hint="default"/>
                <w:sz w:val="18"/>
                <w:szCs w:val="18"/>
              </w:rPr>
            </w:pPr>
            <w:r>
              <w:rPr>
                <w:rFonts w:ascii="宋体"/>
                <w:sz w:val="18"/>
              </w:rPr>
              <w:t>4,100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2"/>
              <w:jc w:val="right"/>
              <w:rPr>
                <w:rFonts w:ascii="宋体" w:hAnsi="宋体" w:cs="宋体" w:eastAsia="宋体" w:hint="default"/>
                <w:sz w:val="18"/>
                <w:szCs w:val="18"/>
              </w:rPr>
            </w:pPr>
            <w:r>
              <w:rPr>
                <w:rFonts w:ascii="宋体"/>
                <w:sz w:val="18"/>
              </w:rPr>
              <w:t>90.24%</w:t>
            </w:r>
          </w:p>
        </w:tc>
      </w:tr>
      <w:tr>
        <w:trPr>
          <w:trHeight w:val="97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172" w:right="0"/>
              <w:jc w:val="left"/>
              <w:rPr>
                <w:rFonts w:ascii="宋体" w:hAnsi="宋体" w:cs="宋体" w:eastAsia="宋体" w:hint="default"/>
                <w:sz w:val="18"/>
                <w:szCs w:val="18"/>
              </w:rPr>
            </w:pPr>
            <w:r>
              <w:rPr>
                <w:rFonts w:ascii="宋体"/>
                <w:sz w:val="18"/>
              </w:rPr>
              <w:t>10</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宋体"/>
                <w:sz w:val="18"/>
              </w:rPr>
              <w:t>Technovator</w:t>
            </w:r>
          </w:p>
          <w:p>
            <w:pPr>
              <w:pStyle w:val="TableParagraph"/>
              <w:spacing w:line="244" w:lineRule="auto" w:before="4"/>
              <w:ind w:left="100" w:right="422"/>
              <w:jc w:val="left"/>
              <w:rPr>
                <w:rFonts w:ascii="宋体" w:hAnsi="宋体" w:cs="宋体" w:eastAsia="宋体" w:hint="default"/>
                <w:sz w:val="18"/>
                <w:szCs w:val="18"/>
              </w:rPr>
            </w:pPr>
            <w:r>
              <w:rPr>
                <w:rFonts w:ascii="宋体" w:hAnsi="宋体" w:cs="宋体" w:eastAsia="宋体" w:hint="default"/>
                <w:sz w:val="18"/>
                <w:szCs w:val="18"/>
              </w:rPr>
              <w:t>International Limited(</w:t>
            </w:r>
            <w:r>
              <w:rPr>
                <w:rFonts w:ascii="宋体" w:hAnsi="宋体" w:cs="宋体" w:eastAsia="宋体" w:hint="default"/>
                <w:sz w:val="18"/>
                <w:szCs w:val="18"/>
              </w:rPr>
              <w:t>股票代码： </w:t>
            </w:r>
            <w:r>
              <w:rPr>
                <w:rFonts w:ascii="宋体" w:hAnsi="宋体" w:cs="宋体" w:eastAsia="宋体" w:hint="default"/>
                <w:sz w:val="18"/>
                <w:szCs w:val="18"/>
              </w:rPr>
              <w:t>HK1206)</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05</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赵晓波</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4" w:lineRule="auto"/>
              <w:ind w:left="259" w:right="173" w:hanging="89"/>
              <w:jc w:val="left"/>
              <w:rPr>
                <w:rFonts w:ascii="宋体" w:hAnsi="宋体" w:cs="宋体" w:eastAsia="宋体" w:hint="default"/>
                <w:sz w:val="18"/>
                <w:szCs w:val="18"/>
              </w:rPr>
            </w:pPr>
            <w:r>
              <w:rPr>
                <w:rFonts w:ascii="宋体" w:hAnsi="宋体" w:cs="宋体" w:eastAsia="宋体" w:hint="default"/>
                <w:sz w:val="18"/>
                <w:szCs w:val="18"/>
              </w:rPr>
              <w:t>新加 坡</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4" w:lineRule="auto"/>
              <w:ind w:left="98" w:right="245"/>
              <w:jc w:val="left"/>
              <w:rPr>
                <w:rFonts w:ascii="宋体" w:hAnsi="宋体" w:cs="宋体" w:eastAsia="宋体" w:hint="default"/>
                <w:sz w:val="18"/>
                <w:szCs w:val="18"/>
              </w:rPr>
            </w:pPr>
            <w:r>
              <w:rPr>
                <w:rFonts w:ascii="宋体" w:hAnsi="宋体" w:cs="宋体" w:eastAsia="宋体" w:hint="default"/>
                <w:sz w:val="18"/>
                <w:szCs w:val="18"/>
              </w:rPr>
              <w:t>楼宇自动控制及安防产品 的研发、生产和销售</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51" w:right="0"/>
              <w:jc w:val="left"/>
              <w:rPr>
                <w:rFonts w:ascii="宋体" w:hAnsi="宋体" w:cs="宋体" w:eastAsia="宋体" w:hint="default"/>
                <w:sz w:val="18"/>
                <w:szCs w:val="18"/>
              </w:rPr>
            </w:pPr>
            <w:r>
              <w:rPr>
                <w:rFonts w:ascii="宋体"/>
                <w:sz w:val="18"/>
              </w:rPr>
              <w:t>79,527.22</w:t>
            </w:r>
          </w:p>
          <w:p>
            <w:pPr>
              <w:pStyle w:val="TableParagraph"/>
              <w:spacing w:line="240" w:lineRule="auto" w:before="4"/>
              <w:ind w:left="602" w:right="0"/>
              <w:jc w:val="left"/>
              <w:rPr>
                <w:rFonts w:ascii="宋体" w:hAnsi="宋体" w:cs="宋体" w:eastAsia="宋体" w:hint="default"/>
                <w:sz w:val="18"/>
                <w:szCs w:val="18"/>
              </w:rPr>
            </w:pPr>
            <w:r>
              <w:rPr>
                <w:rFonts w:ascii="宋体" w:hAnsi="宋体" w:cs="宋体" w:eastAsia="宋体" w:hint="default"/>
                <w:sz w:val="18"/>
                <w:szCs w:val="18"/>
              </w:rPr>
              <w:t>万股</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right="92"/>
              <w:jc w:val="right"/>
              <w:rPr>
                <w:rFonts w:ascii="宋体" w:hAnsi="宋体" w:cs="宋体" w:eastAsia="宋体" w:hint="default"/>
                <w:sz w:val="18"/>
                <w:szCs w:val="18"/>
              </w:rPr>
            </w:pPr>
            <w:r>
              <w:rPr>
                <w:rFonts w:ascii="宋体"/>
                <w:spacing w:val="-1"/>
                <w:sz w:val="18"/>
              </w:rPr>
              <w:t>11.57%</w:t>
            </w:r>
          </w:p>
        </w:tc>
      </w:tr>
      <w:tr>
        <w:trPr>
          <w:trHeight w:val="497"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left="172" w:right="0"/>
              <w:jc w:val="left"/>
              <w:rPr>
                <w:rFonts w:ascii="宋体" w:hAnsi="宋体" w:cs="宋体" w:eastAsia="宋体" w:hint="default"/>
                <w:sz w:val="18"/>
                <w:szCs w:val="18"/>
              </w:rPr>
            </w:pPr>
            <w:r>
              <w:rPr>
                <w:rFonts w:ascii="宋体"/>
                <w:sz w:val="18"/>
              </w:rPr>
              <w:t>11</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100" w:right="0"/>
              <w:jc w:val="left"/>
              <w:rPr>
                <w:rFonts w:ascii="宋体" w:hAnsi="宋体" w:cs="宋体" w:eastAsia="宋体" w:hint="default"/>
                <w:sz w:val="18"/>
                <w:szCs w:val="18"/>
              </w:rPr>
            </w:pPr>
            <w:r>
              <w:rPr>
                <w:rFonts w:ascii="宋体" w:hAnsi="宋体" w:cs="宋体" w:eastAsia="宋体" w:hint="default"/>
                <w:sz w:val="18"/>
                <w:szCs w:val="18"/>
              </w:rPr>
              <w:t>同方锐安科技有限公司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98" w:right="0"/>
              <w:jc w:val="left"/>
              <w:rPr>
                <w:rFonts w:ascii="宋体" w:hAnsi="宋体" w:cs="宋体" w:eastAsia="宋体" w:hint="default"/>
                <w:sz w:val="18"/>
                <w:szCs w:val="18"/>
              </w:rPr>
            </w:pPr>
            <w:r>
              <w:rPr>
                <w:rFonts w:ascii="宋体" w:hAnsi="宋体" w:cs="宋体" w:eastAsia="宋体" w:hint="default"/>
                <w:sz w:val="18"/>
                <w:szCs w:val="18"/>
              </w:rPr>
              <w:t>06</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5"/>
              <w:ind w:left="98" w:right="0"/>
              <w:jc w:val="left"/>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pacing w:val="-43"/>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hAnsi="宋体" w:cs="宋体" w:eastAsia="宋体" w:hint="default"/>
                <w:sz w:val="18"/>
                <w:szCs w:val="18"/>
              </w:rPr>
              <w:t>周 </w:t>
            </w:r>
            <w:r>
              <w:rPr>
                <w:rFonts w:ascii="宋体" w:hAnsi="宋体" w:cs="宋体" w:eastAsia="宋体" w:hint="default"/>
                <w:spacing w:val="2"/>
                <w:sz w:val="18"/>
                <w:szCs w:val="18"/>
              </w:rPr>
              <w:t> </w:t>
            </w:r>
            <w:r>
              <w:rPr>
                <w:rFonts w:ascii="宋体" w:hAnsi="宋体" w:cs="宋体" w:eastAsia="宋体" w:hint="default"/>
                <w:sz w:val="18"/>
                <w:szCs w:val="18"/>
              </w:rPr>
              <w:t>侠</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before="5"/>
              <w:ind w:left="170" w:right="0"/>
              <w:jc w:val="left"/>
              <w:rPr>
                <w:rFonts w:ascii="宋体" w:hAnsi="宋体" w:cs="宋体" w:eastAsia="宋体" w:hint="default"/>
                <w:sz w:val="18"/>
                <w:szCs w:val="18"/>
              </w:rPr>
            </w:pPr>
            <w:r>
              <w:rPr>
                <w:rFonts w:ascii="宋体" w:hAnsi="宋体" w:cs="宋体" w:eastAsia="宋体" w:hint="default"/>
                <w:sz w:val="18"/>
                <w:szCs w:val="18"/>
              </w:rPr>
              <w:t>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98" w:right="0"/>
              <w:jc w:val="left"/>
              <w:rPr>
                <w:rFonts w:ascii="宋体" w:hAnsi="宋体" w:cs="宋体" w:eastAsia="宋体" w:hint="default"/>
                <w:sz w:val="18"/>
                <w:szCs w:val="18"/>
              </w:rPr>
            </w:pPr>
            <w:r>
              <w:rPr>
                <w:rFonts w:ascii="宋体" w:hAnsi="宋体" w:cs="宋体" w:eastAsia="宋体" w:hint="default"/>
                <w:sz w:val="18"/>
                <w:szCs w:val="18"/>
              </w:rPr>
              <w:t>RFID</w:t>
            </w:r>
            <w:r>
              <w:rPr>
                <w:rFonts w:ascii="宋体" w:hAnsi="宋体" w:cs="宋体" w:eastAsia="宋体" w:hint="default"/>
                <w:spacing w:val="-43"/>
                <w:sz w:val="18"/>
                <w:szCs w:val="18"/>
              </w:rPr>
              <w:t> </w:t>
            </w:r>
            <w:r>
              <w:rPr>
                <w:rFonts w:ascii="宋体" w:hAnsi="宋体" w:cs="宋体" w:eastAsia="宋体" w:hint="default"/>
                <w:sz w:val="18"/>
                <w:szCs w:val="18"/>
              </w:rPr>
              <w:t>产品研发、销售</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00"/>
              <w:jc w:val="right"/>
              <w:rPr>
                <w:rFonts w:ascii="宋体" w:hAnsi="宋体" w:cs="宋体" w:eastAsia="宋体" w:hint="default"/>
                <w:sz w:val="18"/>
                <w:szCs w:val="18"/>
              </w:rPr>
            </w:pPr>
            <w:r>
              <w:rPr>
                <w:rFonts w:ascii="宋体"/>
                <w:sz w:val="18"/>
              </w:rPr>
              <w:t>7,058</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right="93"/>
              <w:jc w:val="right"/>
              <w:rPr>
                <w:rFonts w:ascii="宋体" w:hAnsi="宋体" w:cs="宋体" w:eastAsia="宋体" w:hint="default"/>
                <w:sz w:val="18"/>
                <w:szCs w:val="18"/>
              </w:rPr>
            </w:pPr>
            <w:r>
              <w:rPr>
                <w:rFonts w:ascii="宋体"/>
                <w:spacing w:val="-1"/>
                <w:sz w:val="18"/>
              </w:rPr>
              <w:t>85.00%</w:t>
            </w:r>
          </w:p>
        </w:tc>
      </w:tr>
      <w:tr>
        <w:trPr>
          <w:trHeight w:val="502" w:hRule="exact"/>
        </w:trPr>
        <w:tc>
          <w:tcPr>
            <w:tcW w:w="55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7"/>
              <w:ind w:left="172" w:right="0"/>
              <w:jc w:val="left"/>
              <w:rPr>
                <w:rFonts w:ascii="宋体" w:hAnsi="宋体" w:cs="宋体" w:eastAsia="宋体" w:hint="default"/>
                <w:sz w:val="18"/>
                <w:szCs w:val="18"/>
              </w:rPr>
            </w:pPr>
            <w:r>
              <w:rPr>
                <w:rFonts w:ascii="宋体"/>
                <w:sz w:val="18"/>
              </w:rPr>
              <w:t>12</w:t>
            </w:r>
          </w:p>
        </w:tc>
        <w:tc>
          <w:tcPr>
            <w:tcW w:w="2161" w:type="dxa"/>
            <w:tcBorders>
              <w:top w:val="single" w:sz="6" w:space="0" w:color="000000"/>
              <w:left w:val="single" w:sz="6" w:space="0" w:color="000000"/>
              <w:bottom w:val="single" w:sz="12"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北京亚仕同方科技有限</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91" w:type="dxa"/>
            <w:tcBorders>
              <w:top w:val="single" w:sz="6" w:space="0" w:color="000000"/>
              <w:left w:val="single" w:sz="6" w:space="0" w:color="000000"/>
              <w:bottom w:val="single" w:sz="12"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05</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7"/>
              <w:ind w:right="0"/>
              <w:jc w:val="center"/>
              <w:rPr>
                <w:rFonts w:ascii="宋体" w:hAnsi="宋体" w:cs="宋体" w:eastAsia="宋体" w:hint="default"/>
                <w:sz w:val="18"/>
                <w:szCs w:val="18"/>
              </w:rPr>
            </w:pPr>
            <w:r>
              <w:rPr>
                <w:rFonts w:ascii="宋体" w:hAnsi="宋体" w:cs="宋体" w:eastAsia="宋体" w:hint="default"/>
                <w:sz w:val="18"/>
                <w:szCs w:val="18"/>
              </w:rPr>
              <w:t>潘 </w:t>
            </w:r>
            <w:r>
              <w:rPr>
                <w:rFonts w:ascii="宋体" w:hAnsi="宋体" w:cs="宋体" w:eastAsia="宋体" w:hint="default"/>
                <w:spacing w:val="2"/>
                <w:sz w:val="18"/>
                <w:szCs w:val="18"/>
              </w:rPr>
              <w:t> </w:t>
            </w:r>
            <w:r>
              <w:rPr>
                <w:rFonts w:ascii="宋体" w:hAnsi="宋体" w:cs="宋体" w:eastAsia="宋体" w:hint="default"/>
                <w:sz w:val="18"/>
                <w:szCs w:val="18"/>
              </w:rPr>
              <w:t>晋</w:t>
            </w:r>
          </w:p>
        </w:tc>
        <w:tc>
          <w:tcPr>
            <w:tcW w:w="720" w:type="dxa"/>
            <w:tcBorders>
              <w:top w:val="single" w:sz="6" w:space="0" w:color="000000"/>
              <w:left w:val="single" w:sz="6" w:space="0" w:color="000000"/>
              <w:bottom w:val="single" w:sz="12"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海淀</w:t>
            </w:r>
          </w:p>
        </w:tc>
        <w:tc>
          <w:tcPr>
            <w:tcW w:w="2340" w:type="dxa"/>
            <w:tcBorders>
              <w:top w:val="single" w:sz="6" w:space="0" w:color="000000"/>
              <w:left w:val="single" w:sz="6" w:space="0" w:color="000000"/>
              <w:bottom w:val="single" w:sz="12" w:space="0" w:color="000000"/>
              <w:right w:val="single" w:sz="6" w:space="0" w:color="000000"/>
            </w:tcBorders>
          </w:tcPr>
          <w:p>
            <w:pPr>
              <w:pStyle w:val="TableParagraph"/>
              <w:spacing w:line="213" w:lineRule="exact"/>
              <w:ind w:left="98" w:right="0"/>
              <w:jc w:val="left"/>
              <w:rPr>
                <w:rFonts w:ascii="宋体" w:hAnsi="宋体" w:cs="宋体" w:eastAsia="宋体" w:hint="default"/>
                <w:sz w:val="18"/>
                <w:szCs w:val="18"/>
              </w:rPr>
            </w:pPr>
            <w:r>
              <w:rPr>
                <w:rFonts w:ascii="宋体" w:hAnsi="宋体" w:cs="宋体" w:eastAsia="宋体" w:hint="default"/>
                <w:sz w:val="18"/>
                <w:szCs w:val="18"/>
              </w:rPr>
              <w:t>非接触式纸质电子票卡的</w:t>
            </w:r>
          </w:p>
          <w:p>
            <w:pPr>
              <w:pStyle w:val="TableParagraph"/>
              <w:spacing w:line="240" w:lineRule="auto" w:before="4"/>
              <w:ind w:left="98" w:right="0"/>
              <w:jc w:val="left"/>
              <w:rPr>
                <w:rFonts w:ascii="宋体" w:hAnsi="宋体" w:cs="宋体" w:eastAsia="宋体" w:hint="default"/>
                <w:sz w:val="18"/>
                <w:szCs w:val="18"/>
              </w:rPr>
            </w:pPr>
            <w:r>
              <w:rPr>
                <w:rFonts w:ascii="宋体" w:hAnsi="宋体" w:cs="宋体" w:eastAsia="宋体" w:hint="default"/>
                <w:sz w:val="18"/>
                <w:szCs w:val="18"/>
              </w:rPr>
              <w:t>生产销售</w:t>
            </w:r>
          </w:p>
        </w:tc>
        <w:tc>
          <w:tcPr>
            <w:tcW w:w="1081" w:type="dxa"/>
            <w:tcBorders>
              <w:top w:val="single" w:sz="6" w:space="0" w:color="000000"/>
              <w:left w:val="single" w:sz="6" w:space="0" w:color="000000"/>
              <w:bottom w:val="single" w:sz="12" w:space="0" w:color="000000"/>
              <w:right w:val="single" w:sz="6" w:space="0" w:color="000000"/>
            </w:tcBorders>
          </w:tcPr>
          <w:p>
            <w:pPr>
              <w:pStyle w:val="TableParagraph"/>
              <w:spacing w:line="213" w:lineRule="exact"/>
              <w:ind w:left="367" w:right="0"/>
              <w:jc w:val="center"/>
              <w:rPr>
                <w:rFonts w:ascii="宋体" w:hAnsi="宋体" w:cs="宋体" w:eastAsia="宋体" w:hint="default"/>
                <w:sz w:val="18"/>
                <w:szCs w:val="18"/>
              </w:rPr>
            </w:pPr>
            <w:r>
              <w:rPr>
                <w:rFonts w:ascii="宋体" w:hAnsi="宋体" w:cs="宋体" w:eastAsia="宋体" w:hint="default"/>
                <w:sz w:val="18"/>
                <w:szCs w:val="18"/>
              </w:rPr>
              <w:t>300</w:t>
            </w:r>
            <w:r>
              <w:rPr>
                <w:rFonts w:ascii="宋体" w:hAnsi="宋体" w:cs="宋体" w:eastAsia="宋体" w:hint="default"/>
                <w:spacing w:val="-45"/>
                <w:sz w:val="18"/>
                <w:szCs w:val="18"/>
              </w:rPr>
              <w:t> </w:t>
            </w:r>
            <w:r>
              <w:rPr>
                <w:rFonts w:ascii="宋体" w:hAnsi="宋体" w:cs="宋体" w:eastAsia="宋体" w:hint="default"/>
                <w:sz w:val="18"/>
                <w:szCs w:val="18"/>
              </w:rPr>
              <w:t>万</w:t>
            </w:r>
          </w:p>
          <w:p>
            <w:pPr>
              <w:pStyle w:val="TableParagraph"/>
              <w:spacing w:line="240" w:lineRule="auto" w:before="4"/>
              <w:ind w:left="499" w:right="0"/>
              <w:jc w:val="center"/>
              <w:rPr>
                <w:rFonts w:ascii="宋体" w:hAnsi="宋体" w:cs="宋体" w:eastAsia="宋体" w:hint="default"/>
                <w:sz w:val="18"/>
                <w:szCs w:val="18"/>
              </w:rPr>
            </w:pPr>
            <w:r>
              <w:rPr>
                <w:rFonts w:ascii="宋体" w:hAnsi="宋体" w:cs="宋体" w:eastAsia="宋体" w:hint="default"/>
                <w:sz w:val="18"/>
                <w:szCs w:val="18"/>
              </w:rPr>
              <w:t>欧元</w:t>
            </w:r>
          </w:p>
        </w:tc>
        <w:tc>
          <w:tcPr>
            <w:tcW w:w="91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7"/>
              <w:ind w:right="93"/>
              <w:jc w:val="right"/>
              <w:rPr>
                <w:rFonts w:ascii="宋体" w:hAnsi="宋体" w:cs="宋体" w:eastAsia="宋体" w:hint="default"/>
                <w:sz w:val="18"/>
                <w:szCs w:val="18"/>
              </w:rPr>
            </w:pPr>
            <w:r>
              <w:rPr>
                <w:rFonts w:ascii="宋体"/>
                <w:spacing w:val="-1"/>
                <w:sz w:val="18"/>
              </w:rPr>
              <w:t>49.99%</w:t>
            </w:r>
          </w:p>
        </w:tc>
      </w:tr>
    </w:tbl>
    <w:p>
      <w:pPr>
        <w:spacing w:after="0" w:line="240" w:lineRule="auto"/>
        <w:jc w:val="right"/>
        <w:rPr>
          <w:rFonts w:ascii="宋体" w:hAnsi="宋体" w:cs="宋体" w:eastAsia="宋体" w:hint="default"/>
          <w:sz w:val="18"/>
          <w:szCs w:val="18"/>
        </w:rPr>
        <w:sectPr>
          <w:pgSz w:w="11910" w:h="16840"/>
          <w:pgMar w:header="628" w:footer="760" w:top="1020" w:bottom="960" w:left="1180" w:right="10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3"/>
          <w:szCs w:val="13"/>
        </w:rPr>
      </w:pPr>
    </w:p>
    <w:tbl>
      <w:tblPr>
        <w:tblW w:w="0" w:type="auto"/>
        <w:jc w:val="left"/>
        <w:tblInd w:w="110" w:type="dxa"/>
        <w:tblLayout w:type="fixed"/>
        <w:tblCellMar>
          <w:top w:w="0" w:type="dxa"/>
          <w:left w:w="0" w:type="dxa"/>
          <w:bottom w:w="0" w:type="dxa"/>
          <w:right w:w="0" w:type="dxa"/>
        </w:tblCellMar>
        <w:tblLook w:val="01E0"/>
      </w:tblPr>
      <w:tblGrid>
        <w:gridCol w:w="557"/>
        <w:gridCol w:w="2161"/>
        <w:gridCol w:w="691"/>
        <w:gridCol w:w="929"/>
        <w:gridCol w:w="720"/>
        <w:gridCol w:w="2340"/>
        <w:gridCol w:w="1081"/>
        <w:gridCol w:w="912"/>
      </w:tblGrid>
      <w:tr>
        <w:trPr>
          <w:trHeight w:val="742" w:hRule="exact"/>
        </w:trPr>
        <w:tc>
          <w:tcPr>
            <w:tcW w:w="557" w:type="dxa"/>
            <w:tcBorders>
              <w:top w:val="single" w:sz="12" w:space="0" w:color="000000"/>
              <w:left w:val="single" w:sz="12" w:space="0" w:color="000000"/>
              <w:bottom w:val="single" w:sz="6" w:space="0" w:color="000000"/>
              <w:right w:val="single" w:sz="6" w:space="0" w:color="000000"/>
            </w:tcBorders>
          </w:tcPr>
          <w:p>
            <w:pPr>
              <w:pStyle w:val="TableParagraph"/>
              <w:spacing w:line="244" w:lineRule="auto" w:before="97"/>
              <w:ind w:left="172" w:right="180"/>
              <w:jc w:val="left"/>
              <w:rPr>
                <w:rFonts w:ascii="宋体" w:hAnsi="宋体" w:cs="宋体" w:eastAsia="宋体" w:hint="default"/>
                <w:sz w:val="18"/>
                <w:szCs w:val="18"/>
              </w:rPr>
            </w:pPr>
            <w:r>
              <w:rPr>
                <w:rFonts w:ascii="宋体" w:hAnsi="宋体" w:cs="宋体" w:eastAsia="宋体" w:hint="default"/>
                <w:b/>
                <w:bCs/>
                <w:sz w:val="18"/>
                <w:szCs w:val="18"/>
              </w:rPr>
              <w:t>序</w:t>
            </w:r>
            <w:r>
              <w:rPr>
                <w:rFonts w:ascii="宋体" w:hAnsi="宋体" w:cs="宋体" w:eastAsia="宋体" w:hint="default"/>
                <w:b/>
                <w:bCs/>
                <w:w w:val="99"/>
                <w:sz w:val="18"/>
                <w:szCs w:val="18"/>
              </w:rPr>
              <w:t> </w:t>
            </w:r>
            <w:r>
              <w:rPr>
                <w:rFonts w:ascii="宋体" w:hAnsi="宋体" w:cs="宋体" w:eastAsia="宋体" w:hint="default"/>
                <w:b/>
                <w:bCs/>
                <w:sz w:val="18"/>
                <w:szCs w:val="18"/>
              </w:rPr>
              <w:t>号</w:t>
            </w:r>
            <w:r>
              <w:rPr>
                <w:rFonts w:ascii="宋体" w:hAnsi="宋体" w:cs="宋体" w:eastAsia="宋体" w:hint="default"/>
                <w:sz w:val="18"/>
                <w:szCs w:val="18"/>
              </w:rPr>
            </w:r>
          </w:p>
        </w:tc>
        <w:tc>
          <w:tcPr>
            <w:tcW w:w="216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710" w:right="0"/>
              <w:jc w:val="left"/>
              <w:rPr>
                <w:rFonts w:ascii="宋体" w:hAnsi="宋体" w:cs="宋体" w:eastAsia="宋体" w:hint="default"/>
                <w:sz w:val="18"/>
                <w:szCs w:val="18"/>
              </w:rPr>
            </w:pPr>
            <w:r>
              <w:rPr>
                <w:rFonts w:ascii="宋体" w:hAnsi="宋体" w:cs="宋体" w:eastAsia="宋体" w:hint="default"/>
                <w:b/>
                <w:bCs/>
                <w:sz w:val="18"/>
                <w:szCs w:val="18"/>
              </w:rPr>
              <w:t>企业名称</w:t>
            </w:r>
            <w:r>
              <w:rPr>
                <w:rFonts w:ascii="宋体" w:hAnsi="宋体" w:cs="宋体" w:eastAsia="宋体" w:hint="default"/>
                <w:sz w:val="18"/>
                <w:szCs w:val="18"/>
              </w:rPr>
            </w:r>
          </w:p>
        </w:tc>
        <w:tc>
          <w:tcPr>
            <w:tcW w:w="691" w:type="dxa"/>
            <w:tcBorders>
              <w:top w:val="single" w:sz="12" w:space="0" w:color="000000"/>
              <w:left w:val="single" w:sz="6" w:space="0" w:color="000000"/>
              <w:bottom w:val="single" w:sz="6" w:space="0" w:color="000000"/>
              <w:right w:val="single" w:sz="6" w:space="0" w:color="000000"/>
            </w:tcBorders>
          </w:tcPr>
          <w:p>
            <w:pPr>
              <w:pStyle w:val="TableParagraph"/>
              <w:spacing w:line="244" w:lineRule="auto" w:before="97"/>
              <w:ind w:left="155" w:right="155"/>
              <w:jc w:val="left"/>
              <w:rPr>
                <w:rFonts w:ascii="宋体" w:hAnsi="宋体" w:cs="宋体" w:eastAsia="宋体" w:hint="default"/>
                <w:sz w:val="18"/>
                <w:szCs w:val="18"/>
              </w:rPr>
            </w:pPr>
            <w:r>
              <w:rPr>
                <w:rFonts w:ascii="宋体" w:hAnsi="宋体" w:cs="宋体" w:eastAsia="宋体" w:hint="default"/>
                <w:b/>
                <w:bCs/>
                <w:sz w:val="18"/>
                <w:szCs w:val="18"/>
              </w:rPr>
              <w:t>成立</w:t>
            </w:r>
            <w:r>
              <w:rPr>
                <w:rFonts w:ascii="宋体" w:hAnsi="宋体" w:cs="宋体" w:eastAsia="宋体" w:hint="default"/>
                <w:b/>
                <w:bCs/>
                <w:spacing w:val="-89"/>
                <w:sz w:val="18"/>
                <w:szCs w:val="18"/>
              </w:rPr>
              <w:t> </w:t>
            </w:r>
            <w:r>
              <w:rPr>
                <w:rFonts w:ascii="宋体" w:hAnsi="宋体" w:cs="宋体" w:eastAsia="宋体" w:hint="default"/>
                <w:b/>
                <w:bCs/>
                <w:sz w:val="18"/>
                <w:szCs w:val="18"/>
              </w:rPr>
              <w:t>日期</w:t>
            </w:r>
            <w:r>
              <w:rPr>
                <w:rFonts w:ascii="宋体" w:hAnsi="宋体" w:cs="宋体" w:eastAsia="宋体" w:hint="default"/>
                <w:sz w:val="18"/>
                <w:szCs w:val="18"/>
              </w:rPr>
            </w:r>
          </w:p>
        </w:tc>
        <w:tc>
          <w:tcPr>
            <w:tcW w:w="929" w:type="dxa"/>
            <w:tcBorders>
              <w:top w:val="single" w:sz="12" w:space="0" w:color="000000"/>
              <w:left w:val="single" w:sz="6" w:space="0" w:color="000000"/>
              <w:bottom w:val="single" w:sz="6" w:space="0" w:color="000000"/>
              <w:right w:val="single" w:sz="6" w:space="0" w:color="000000"/>
            </w:tcBorders>
          </w:tcPr>
          <w:p>
            <w:pPr>
              <w:pStyle w:val="TableParagraph"/>
              <w:spacing w:line="244" w:lineRule="auto" w:before="97"/>
              <w:ind w:left="273" w:right="185" w:hanging="89"/>
              <w:jc w:val="left"/>
              <w:rPr>
                <w:rFonts w:ascii="宋体" w:hAnsi="宋体" w:cs="宋体" w:eastAsia="宋体" w:hint="default"/>
                <w:sz w:val="18"/>
                <w:szCs w:val="18"/>
              </w:rPr>
            </w:pPr>
            <w:r>
              <w:rPr>
                <w:rFonts w:ascii="宋体" w:hAnsi="宋体" w:cs="宋体" w:eastAsia="宋体" w:hint="default"/>
                <w:b/>
                <w:bCs/>
                <w:sz w:val="18"/>
                <w:szCs w:val="18"/>
              </w:rPr>
              <w:t>法定代</w:t>
            </w:r>
            <w:r>
              <w:rPr>
                <w:rFonts w:ascii="宋体" w:hAnsi="宋体" w:cs="宋体" w:eastAsia="宋体" w:hint="default"/>
                <w:b/>
                <w:bCs/>
                <w:w w:val="99"/>
                <w:sz w:val="18"/>
                <w:szCs w:val="18"/>
              </w:rPr>
              <w:t> </w:t>
            </w:r>
            <w:r>
              <w:rPr>
                <w:rFonts w:ascii="宋体" w:hAnsi="宋体" w:cs="宋体" w:eastAsia="宋体" w:hint="default"/>
                <w:b/>
                <w:bCs/>
                <w:sz w:val="18"/>
                <w:szCs w:val="18"/>
              </w:rPr>
              <w:t>表人</w:t>
            </w:r>
            <w:r>
              <w:rPr>
                <w:rFonts w:ascii="宋体" w:hAnsi="宋体" w:cs="宋体" w:eastAsia="宋体" w:hint="default"/>
                <w:sz w:val="18"/>
                <w:szCs w:val="18"/>
              </w:rPr>
            </w:r>
          </w:p>
        </w:tc>
        <w:tc>
          <w:tcPr>
            <w:tcW w:w="720" w:type="dxa"/>
            <w:tcBorders>
              <w:top w:val="single" w:sz="12" w:space="0" w:color="000000"/>
              <w:left w:val="single" w:sz="6" w:space="0" w:color="000000"/>
              <w:bottom w:val="single" w:sz="6" w:space="0" w:color="000000"/>
              <w:right w:val="single" w:sz="6" w:space="0" w:color="000000"/>
            </w:tcBorders>
          </w:tcPr>
          <w:p>
            <w:pPr>
              <w:pStyle w:val="TableParagraph"/>
              <w:spacing w:line="244" w:lineRule="auto" w:before="97"/>
              <w:ind w:left="167" w:right="171"/>
              <w:jc w:val="left"/>
              <w:rPr>
                <w:rFonts w:ascii="宋体" w:hAnsi="宋体" w:cs="宋体" w:eastAsia="宋体" w:hint="default"/>
                <w:sz w:val="18"/>
                <w:szCs w:val="18"/>
              </w:rPr>
            </w:pPr>
            <w:r>
              <w:rPr>
                <w:rFonts w:ascii="宋体" w:hAnsi="宋体" w:cs="宋体" w:eastAsia="宋体" w:hint="default"/>
                <w:b/>
                <w:bCs/>
                <w:sz w:val="18"/>
                <w:szCs w:val="18"/>
              </w:rPr>
              <w:t>注册</w:t>
            </w:r>
            <w:r>
              <w:rPr>
                <w:rFonts w:ascii="宋体" w:hAnsi="宋体" w:cs="宋体" w:eastAsia="宋体" w:hint="default"/>
                <w:b/>
                <w:bCs/>
                <w:spacing w:val="-89"/>
                <w:sz w:val="18"/>
                <w:szCs w:val="18"/>
              </w:rPr>
              <w:t> </w:t>
            </w:r>
            <w:r>
              <w:rPr>
                <w:rFonts w:ascii="宋体" w:hAnsi="宋体" w:cs="宋体" w:eastAsia="宋体" w:hint="default"/>
                <w:b/>
                <w:bCs/>
                <w:sz w:val="18"/>
                <w:szCs w:val="18"/>
              </w:rPr>
              <w:t>地址</w:t>
            </w:r>
            <w:r>
              <w:rPr>
                <w:rFonts w:ascii="宋体" w:hAnsi="宋体" w:cs="宋体" w:eastAsia="宋体" w:hint="default"/>
                <w:sz w:val="18"/>
                <w:szCs w:val="18"/>
              </w:rPr>
            </w:r>
          </w:p>
        </w:tc>
        <w:tc>
          <w:tcPr>
            <w:tcW w:w="234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b/>
                <w:bCs/>
                <w:sz w:val="18"/>
                <w:szCs w:val="18"/>
              </w:rPr>
              <w:t>主营业务</w:t>
            </w:r>
            <w:r>
              <w:rPr>
                <w:rFonts w:ascii="宋体" w:hAnsi="宋体" w:cs="宋体" w:eastAsia="宋体" w:hint="default"/>
                <w:sz w:val="18"/>
                <w:szCs w:val="18"/>
              </w:rPr>
            </w:r>
          </w:p>
        </w:tc>
        <w:tc>
          <w:tcPr>
            <w:tcW w:w="1081" w:type="dxa"/>
            <w:tcBorders>
              <w:top w:val="single" w:sz="12" w:space="0" w:color="000000"/>
              <w:left w:val="single" w:sz="6" w:space="0" w:color="000000"/>
              <w:bottom w:val="single" w:sz="6" w:space="0" w:color="000000"/>
              <w:right w:val="single" w:sz="6" w:space="0" w:color="000000"/>
            </w:tcBorders>
          </w:tcPr>
          <w:p>
            <w:pPr>
              <w:pStyle w:val="TableParagraph"/>
              <w:spacing w:line="213" w:lineRule="exact"/>
              <w:ind w:left="122" w:right="0" w:firstLine="46"/>
              <w:jc w:val="left"/>
              <w:rPr>
                <w:rFonts w:ascii="宋体" w:hAnsi="宋体" w:cs="宋体" w:eastAsia="宋体" w:hint="default"/>
                <w:sz w:val="18"/>
                <w:szCs w:val="18"/>
              </w:rPr>
            </w:pPr>
            <w:r>
              <w:rPr>
                <w:rFonts w:ascii="宋体" w:hAnsi="宋体" w:cs="宋体" w:eastAsia="宋体" w:hint="default"/>
                <w:b/>
                <w:bCs/>
                <w:sz w:val="18"/>
                <w:szCs w:val="18"/>
              </w:rPr>
              <w:t>注册资本</w:t>
            </w:r>
            <w:r>
              <w:rPr>
                <w:rFonts w:ascii="宋体" w:hAnsi="宋体" w:cs="宋体" w:eastAsia="宋体" w:hint="default"/>
                <w:sz w:val="18"/>
                <w:szCs w:val="18"/>
              </w:rPr>
            </w:r>
          </w:p>
          <w:p>
            <w:pPr>
              <w:pStyle w:val="TableParagraph"/>
              <w:spacing w:line="244" w:lineRule="auto" w:before="4"/>
              <w:ind w:left="348" w:right="127" w:hanging="227"/>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万元</w:t>
            </w:r>
            <w:r>
              <w:rPr>
                <w:rFonts w:ascii="宋体" w:hAnsi="宋体" w:cs="宋体" w:eastAsia="宋体" w:hint="default"/>
                <w:b/>
                <w:bCs/>
                <w:sz w:val="18"/>
                <w:szCs w:val="18"/>
              </w:rPr>
              <w:t>)/</w:t>
            </w:r>
            <w:r>
              <w:rPr>
                <w:rFonts w:ascii="宋体" w:hAnsi="宋体" w:cs="宋体" w:eastAsia="宋体" w:hint="default"/>
                <w:b/>
                <w:bCs/>
                <w:sz w:val="18"/>
                <w:szCs w:val="18"/>
              </w:rPr>
              <w:t>总</w:t>
            </w:r>
            <w:r>
              <w:rPr>
                <w:rFonts w:ascii="宋体" w:hAnsi="宋体" w:cs="宋体" w:eastAsia="宋体" w:hint="default"/>
                <w:b/>
                <w:bCs/>
                <w:w w:val="99"/>
                <w:sz w:val="18"/>
                <w:szCs w:val="18"/>
              </w:rPr>
              <w:t> </w:t>
            </w:r>
            <w:r>
              <w:rPr>
                <w:rFonts w:ascii="宋体" w:hAnsi="宋体" w:cs="宋体" w:eastAsia="宋体" w:hint="default"/>
                <w:b/>
                <w:bCs/>
                <w:sz w:val="18"/>
                <w:szCs w:val="18"/>
              </w:rPr>
              <w:t>股本</w:t>
            </w:r>
            <w:r>
              <w:rPr>
                <w:rFonts w:ascii="宋体" w:hAnsi="宋体" w:cs="宋体" w:eastAsia="宋体" w:hint="default"/>
                <w:sz w:val="18"/>
                <w:szCs w:val="18"/>
              </w:rPr>
            </w:r>
          </w:p>
        </w:tc>
        <w:tc>
          <w:tcPr>
            <w:tcW w:w="912" w:type="dxa"/>
            <w:tcBorders>
              <w:top w:val="single" w:sz="12" w:space="0" w:color="000000"/>
              <w:left w:val="single" w:sz="6" w:space="0" w:color="000000"/>
              <w:bottom w:val="single" w:sz="6" w:space="0" w:color="000000"/>
              <w:right w:val="single" w:sz="12" w:space="0" w:color="000000"/>
            </w:tcBorders>
          </w:tcPr>
          <w:p>
            <w:pPr>
              <w:pStyle w:val="TableParagraph"/>
              <w:spacing w:line="244" w:lineRule="auto" w:before="97"/>
              <w:ind w:left="263" w:right="259"/>
              <w:jc w:val="left"/>
              <w:rPr>
                <w:rFonts w:ascii="宋体" w:hAnsi="宋体" w:cs="宋体" w:eastAsia="宋体" w:hint="default"/>
                <w:sz w:val="18"/>
                <w:szCs w:val="18"/>
              </w:rPr>
            </w:pPr>
            <w:r>
              <w:rPr>
                <w:rFonts w:ascii="宋体" w:hAnsi="宋体" w:cs="宋体" w:eastAsia="宋体" w:hint="default"/>
                <w:b/>
                <w:bCs/>
                <w:sz w:val="18"/>
                <w:szCs w:val="18"/>
              </w:rPr>
              <w:t>持股</w:t>
            </w:r>
            <w:r>
              <w:rPr>
                <w:rFonts w:ascii="宋体" w:hAnsi="宋体" w:cs="宋体" w:eastAsia="宋体" w:hint="default"/>
                <w:b/>
                <w:bCs/>
                <w:spacing w:val="-89"/>
                <w:sz w:val="18"/>
                <w:szCs w:val="18"/>
              </w:rPr>
              <w:t> </w:t>
            </w:r>
            <w:r>
              <w:rPr>
                <w:rFonts w:ascii="宋体" w:hAnsi="宋体" w:cs="宋体" w:eastAsia="宋体" w:hint="default"/>
                <w:b/>
                <w:bCs/>
                <w:sz w:val="18"/>
                <w:szCs w:val="18"/>
              </w:rPr>
              <w:t>比例</w:t>
            </w:r>
            <w:r>
              <w:rPr>
                <w:rFonts w:ascii="宋体" w:hAnsi="宋体" w:cs="宋体" w:eastAsia="宋体" w:hint="default"/>
                <w:sz w:val="18"/>
                <w:szCs w:val="18"/>
              </w:rPr>
            </w:r>
          </w:p>
        </w:tc>
      </w:tr>
      <w:tr>
        <w:trPr>
          <w:trHeight w:val="542"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3"/>
              <w:ind w:left="172" w:right="0"/>
              <w:jc w:val="left"/>
              <w:rPr>
                <w:rFonts w:ascii="宋体" w:hAnsi="宋体" w:cs="宋体" w:eastAsia="宋体" w:hint="default"/>
                <w:sz w:val="18"/>
                <w:szCs w:val="18"/>
              </w:rPr>
            </w:pPr>
            <w:r>
              <w:rPr>
                <w:rFonts w:ascii="宋体"/>
                <w:sz w:val="18"/>
              </w:rPr>
              <w:t>13</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3"/>
              <w:ind w:left="100" w:right="242"/>
              <w:jc w:val="left"/>
              <w:rPr>
                <w:rFonts w:ascii="宋体" w:hAnsi="宋体" w:cs="宋体" w:eastAsia="宋体" w:hint="default"/>
                <w:sz w:val="18"/>
                <w:szCs w:val="18"/>
              </w:rPr>
            </w:pPr>
            <w:r>
              <w:rPr>
                <w:rFonts w:ascii="宋体" w:hAnsi="宋体" w:cs="宋体" w:eastAsia="宋体" w:hint="default"/>
                <w:sz w:val="18"/>
                <w:szCs w:val="18"/>
              </w:rPr>
              <w:t>同方健康科技</w:t>
            </w:r>
            <w:r>
              <w:rPr>
                <w:rFonts w:ascii="宋体" w:hAnsi="宋体" w:cs="宋体" w:eastAsia="宋体" w:hint="default"/>
                <w:sz w:val="18"/>
                <w:szCs w:val="18"/>
              </w:rPr>
              <w:t>(</w:t>
            </w:r>
            <w:r>
              <w:rPr>
                <w:rFonts w:ascii="宋体" w:hAnsi="宋体" w:cs="宋体" w:eastAsia="宋体" w:hint="default"/>
                <w:sz w:val="18"/>
                <w:szCs w:val="18"/>
              </w:rPr>
              <w:t>北京</w:t>
            </w:r>
            <w:r>
              <w:rPr>
                <w:rFonts w:ascii="宋体" w:hAnsi="宋体" w:cs="宋体" w:eastAsia="宋体" w:hint="default"/>
                <w:sz w:val="18"/>
                <w:szCs w:val="18"/>
              </w:rPr>
              <w:t>)</w:t>
            </w:r>
            <w:r>
              <w:rPr>
                <w:rFonts w:ascii="宋体" w:hAnsi="宋体" w:cs="宋体" w:eastAsia="宋体" w:hint="default"/>
                <w:sz w:val="18"/>
                <w:szCs w:val="18"/>
              </w:rPr>
              <w:t>有 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34" w:right="0"/>
              <w:jc w:val="left"/>
              <w:rPr>
                <w:rFonts w:ascii="宋体" w:hAnsi="宋体" w:cs="宋体" w:eastAsia="宋体" w:hint="default"/>
                <w:sz w:val="18"/>
                <w:szCs w:val="18"/>
              </w:rPr>
            </w:pPr>
            <w:r>
              <w:rPr>
                <w:rFonts w:ascii="宋体" w:hAnsi="宋体" w:cs="宋体" w:eastAsia="宋体" w:hint="default"/>
                <w:sz w:val="18"/>
                <w:szCs w:val="18"/>
              </w:rPr>
              <w:t>02</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right="0"/>
              <w:jc w:val="center"/>
              <w:rPr>
                <w:rFonts w:ascii="宋体" w:hAnsi="宋体" w:cs="宋体" w:eastAsia="宋体" w:hint="default"/>
                <w:sz w:val="18"/>
                <w:szCs w:val="18"/>
              </w:rPr>
            </w:pPr>
            <w:r>
              <w:rPr>
                <w:rFonts w:ascii="宋体" w:hAnsi="宋体" w:cs="宋体" w:eastAsia="宋体" w:hint="default"/>
                <w:sz w:val="18"/>
                <w:szCs w:val="18"/>
              </w:rPr>
              <w:t>范 </w:t>
            </w:r>
            <w:r>
              <w:rPr>
                <w:rFonts w:ascii="宋体" w:hAnsi="宋体" w:cs="宋体" w:eastAsia="宋体" w:hint="default"/>
                <w:spacing w:val="2"/>
                <w:sz w:val="18"/>
                <w:szCs w:val="18"/>
              </w:rPr>
              <w:t> </w:t>
            </w:r>
            <w:r>
              <w:rPr>
                <w:rFonts w:ascii="宋体" w:hAnsi="宋体" w:cs="宋体" w:eastAsia="宋体" w:hint="default"/>
                <w:sz w:val="18"/>
                <w:szCs w:val="18"/>
              </w:rPr>
              <w:t>新</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3"/>
              <w:ind w:left="170" w:right="173"/>
              <w:jc w:val="left"/>
              <w:rPr>
                <w:rFonts w:ascii="宋体" w:hAnsi="宋体" w:cs="宋体" w:eastAsia="宋体" w:hint="default"/>
                <w:sz w:val="18"/>
                <w:szCs w:val="18"/>
              </w:rPr>
            </w:pPr>
            <w:r>
              <w:rPr>
                <w:rFonts w:ascii="宋体" w:hAnsi="宋体" w:cs="宋体" w:eastAsia="宋体" w:hint="default"/>
                <w:sz w:val="18"/>
                <w:szCs w:val="18"/>
              </w:rPr>
              <w:t>北京 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3"/>
              <w:ind w:left="98" w:right="245"/>
              <w:jc w:val="left"/>
              <w:rPr>
                <w:rFonts w:ascii="宋体" w:hAnsi="宋体" w:cs="宋体" w:eastAsia="宋体" w:hint="default"/>
                <w:sz w:val="18"/>
                <w:szCs w:val="18"/>
              </w:rPr>
            </w:pPr>
            <w:r>
              <w:rPr>
                <w:rFonts w:ascii="宋体" w:hAnsi="宋体" w:cs="宋体" w:eastAsia="宋体" w:hint="default"/>
                <w:sz w:val="18"/>
                <w:szCs w:val="18"/>
              </w:rPr>
              <w:t>人体体质检查分析产品开 发生产销售</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right="100"/>
              <w:jc w:val="right"/>
              <w:rPr>
                <w:rFonts w:ascii="宋体" w:hAnsi="宋体" w:cs="宋体" w:eastAsia="宋体" w:hint="default"/>
                <w:sz w:val="18"/>
                <w:szCs w:val="18"/>
              </w:rPr>
            </w:pPr>
            <w:r>
              <w:rPr>
                <w:rFonts w:ascii="宋体"/>
                <w:sz w:val="18"/>
              </w:rPr>
              <w:t>5,180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3"/>
              <w:ind w:right="92"/>
              <w:jc w:val="right"/>
              <w:rPr>
                <w:rFonts w:ascii="宋体" w:hAnsi="宋体" w:cs="宋体" w:eastAsia="宋体" w:hint="default"/>
                <w:sz w:val="18"/>
                <w:szCs w:val="18"/>
              </w:rPr>
            </w:pPr>
            <w:r>
              <w:rPr>
                <w:rFonts w:ascii="宋体"/>
                <w:sz w:val="18"/>
              </w:rPr>
              <w:t>33.78%</w:t>
            </w:r>
          </w:p>
        </w:tc>
      </w:tr>
      <w:tr>
        <w:trPr>
          <w:trHeight w:val="497"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left="172" w:right="0"/>
              <w:jc w:val="left"/>
              <w:rPr>
                <w:rFonts w:ascii="宋体" w:hAnsi="宋体" w:cs="宋体" w:eastAsia="宋体" w:hint="default"/>
                <w:sz w:val="18"/>
                <w:szCs w:val="18"/>
              </w:rPr>
            </w:pPr>
            <w:r>
              <w:rPr>
                <w:rFonts w:ascii="宋体"/>
                <w:sz w:val="18"/>
              </w:rPr>
              <w:t>14</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00" w:right="0"/>
              <w:jc w:val="left"/>
              <w:rPr>
                <w:rFonts w:ascii="宋体" w:hAnsi="宋体" w:cs="宋体" w:eastAsia="宋体" w:hint="default"/>
                <w:sz w:val="18"/>
                <w:szCs w:val="18"/>
              </w:rPr>
            </w:pPr>
            <w:r>
              <w:rPr>
                <w:rFonts w:ascii="宋体" w:hAnsi="宋体" w:cs="宋体" w:eastAsia="宋体" w:hint="default"/>
                <w:sz w:val="18"/>
                <w:szCs w:val="18"/>
              </w:rPr>
              <w:t>云南云电同方科技有限</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34" w:right="0"/>
              <w:jc w:val="left"/>
              <w:rPr>
                <w:rFonts w:ascii="宋体" w:hAnsi="宋体" w:cs="宋体" w:eastAsia="宋体" w:hint="default"/>
                <w:sz w:val="18"/>
                <w:szCs w:val="18"/>
              </w:rPr>
            </w:pPr>
            <w:r>
              <w:rPr>
                <w:rFonts w:ascii="宋体" w:hAnsi="宋体" w:cs="宋体" w:eastAsia="宋体" w:hint="default"/>
                <w:sz w:val="18"/>
                <w:szCs w:val="18"/>
              </w:rPr>
              <w:t>02</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6</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2"/>
              <w:jc w:val="center"/>
              <w:rPr>
                <w:rFonts w:ascii="宋体" w:hAnsi="宋体" w:cs="宋体" w:eastAsia="宋体" w:hint="default"/>
                <w:sz w:val="18"/>
                <w:szCs w:val="18"/>
              </w:rPr>
            </w:pPr>
            <w:r>
              <w:rPr>
                <w:rFonts w:ascii="宋体" w:hAnsi="宋体" w:cs="宋体" w:eastAsia="宋体" w:hint="default"/>
                <w:sz w:val="18"/>
                <w:szCs w:val="18"/>
              </w:rPr>
              <w:t>唐跃云</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70" w:right="0"/>
              <w:jc w:val="left"/>
              <w:rPr>
                <w:rFonts w:ascii="宋体" w:hAnsi="宋体" w:cs="宋体" w:eastAsia="宋体" w:hint="default"/>
                <w:sz w:val="18"/>
                <w:szCs w:val="18"/>
              </w:rPr>
            </w:pPr>
            <w:r>
              <w:rPr>
                <w:rFonts w:ascii="宋体" w:hAnsi="宋体" w:cs="宋体" w:eastAsia="宋体" w:hint="default"/>
                <w:sz w:val="18"/>
                <w:szCs w:val="18"/>
              </w:rPr>
              <w:t>云南</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昆明</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98" w:right="0"/>
              <w:jc w:val="left"/>
              <w:rPr>
                <w:rFonts w:ascii="宋体" w:hAnsi="宋体" w:cs="宋体" w:eastAsia="宋体" w:hint="default"/>
                <w:sz w:val="18"/>
                <w:szCs w:val="18"/>
              </w:rPr>
            </w:pPr>
            <w:r>
              <w:rPr>
                <w:rFonts w:ascii="宋体" w:hAnsi="宋体" w:cs="宋体" w:eastAsia="宋体" w:hint="default"/>
                <w:sz w:val="18"/>
                <w:szCs w:val="18"/>
              </w:rPr>
              <w:t>电力自动控制系统开发</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00"/>
              <w:jc w:val="right"/>
              <w:rPr>
                <w:rFonts w:ascii="宋体" w:hAnsi="宋体" w:cs="宋体" w:eastAsia="宋体" w:hint="default"/>
                <w:sz w:val="18"/>
                <w:szCs w:val="18"/>
              </w:rPr>
            </w:pPr>
            <w:r>
              <w:rPr>
                <w:rFonts w:ascii="宋体"/>
                <w:sz w:val="18"/>
              </w:rPr>
              <w:t>2,400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right="93"/>
              <w:jc w:val="right"/>
              <w:rPr>
                <w:rFonts w:ascii="宋体" w:hAnsi="宋体" w:cs="宋体" w:eastAsia="宋体" w:hint="default"/>
                <w:sz w:val="18"/>
                <w:szCs w:val="18"/>
              </w:rPr>
            </w:pPr>
            <w:r>
              <w:rPr>
                <w:rFonts w:ascii="宋体"/>
                <w:spacing w:val="-1"/>
                <w:sz w:val="18"/>
              </w:rPr>
              <w:t>37.50%</w:t>
            </w:r>
          </w:p>
        </w:tc>
      </w:tr>
      <w:tr>
        <w:trPr>
          <w:trHeight w:val="49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172" w:right="0"/>
              <w:jc w:val="left"/>
              <w:rPr>
                <w:rFonts w:ascii="宋体" w:hAnsi="宋体" w:cs="宋体" w:eastAsia="宋体" w:hint="default"/>
                <w:sz w:val="18"/>
                <w:szCs w:val="18"/>
              </w:rPr>
            </w:pPr>
            <w:r>
              <w:rPr>
                <w:rFonts w:ascii="宋体"/>
                <w:sz w:val="18"/>
              </w:rPr>
              <w:t>15</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北京同方电子商务有限</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05</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0"/>
              <w:jc w:val="center"/>
              <w:rPr>
                <w:rFonts w:ascii="宋体" w:hAnsi="宋体" w:cs="宋体" w:eastAsia="宋体" w:hint="default"/>
                <w:sz w:val="18"/>
                <w:szCs w:val="18"/>
              </w:rPr>
            </w:pPr>
            <w:r>
              <w:rPr>
                <w:rFonts w:ascii="宋体" w:hAnsi="宋体" w:cs="宋体" w:eastAsia="宋体" w:hint="default"/>
                <w:sz w:val="18"/>
                <w:szCs w:val="18"/>
              </w:rPr>
              <w:t>高 </w:t>
            </w:r>
            <w:r>
              <w:rPr>
                <w:rFonts w:ascii="宋体" w:hAnsi="宋体" w:cs="宋体" w:eastAsia="宋体" w:hint="default"/>
                <w:spacing w:val="2"/>
                <w:sz w:val="18"/>
                <w:szCs w:val="18"/>
              </w:rPr>
              <w:t> </w:t>
            </w:r>
            <w:r>
              <w:rPr>
                <w:rFonts w:ascii="宋体" w:hAnsi="宋体" w:cs="宋体" w:eastAsia="宋体" w:hint="default"/>
                <w:sz w:val="18"/>
                <w:szCs w:val="18"/>
              </w:rPr>
              <w:t>志</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98" w:right="0"/>
              <w:jc w:val="left"/>
              <w:rPr>
                <w:rFonts w:ascii="宋体" w:hAnsi="宋体" w:cs="宋体" w:eastAsia="宋体" w:hint="default"/>
                <w:sz w:val="18"/>
                <w:szCs w:val="18"/>
              </w:rPr>
            </w:pPr>
            <w:r>
              <w:rPr>
                <w:rFonts w:ascii="宋体" w:hAnsi="宋体" w:cs="宋体" w:eastAsia="宋体" w:hint="default"/>
                <w:sz w:val="18"/>
                <w:szCs w:val="18"/>
              </w:rPr>
              <w:t>电子商务领域产业投资</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100"/>
              <w:jc w:val="right"/>
              <w:rPr>
                <w:rFonts w:ascii="宋体" w:hAnsi="宋体" w:cs="宋体" w:eastAsia="宋体" w:hint="default"/>
                <w:sz w:val="18"/>
                <w:szCs w:val="18"/>
              </w:rPr>
            </w:pPr>
            <w:r>
              <w:rPr>
                <w:rFonts w:ascii="宋体"/>
                <w:spacing w:val="-1"/>
                <w:sz w:val="18"/>
              </w:rPr>
              <w:t>13,500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3"/>
              <w:jc w:val="right"/>
              <w:rPr>
                <w:rFonts w:ascii="宋体" w:hAnsi="宋体" w:cs="宋体" w:eastAsia="宋体" w:hint="default"/>
                <w:sz w:val="18"/>
                <w:szCs w:val="18"/>
              </w:rPr>
            </w:pPr>
            <w:r>
              <w:rPr>
                <w:rFonts w:ascii="宋体"/>
                <w:spacing w:val="-1"/>
                <w:sz w:val="18"/>
              </w:rPr>
              <w:t>16.00%</w:t>
            </w:r>
          </w:p>
        </w:tc>
      </w:tr>
      <w:tr>
        <w:trPr>
          <w:trHeight w:val="73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72" w:right="0"/>
              <w:jc w:val="left"/>
              <w:rPr>
                <w:rFonts w:ascii="宋体" w:hAnsi="宋体" w:cs="宋体" w:eastAsia="宋体" w:hint="default"/>
                <w:sz w:val="18"/>
                <w:szCs w:val="18"/>
              </w:rPr>
            </w:pPr>
            <w:r>
              <w:rPr>
                <w:rFonts w:ascii="宋体"/>
                <w:sz w:val="18"/>
              </w:rPr>
              <w:t>16</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同方环境股份有限公司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34" w:right="0"/>
              <w:jc w:val="left"/>
              <w:rPr>
                <w:rFonts w:ascii="宋体" w:hAnsi="宋体" w:cs="宋体" w:eastAsia="宋体" w:hint="default"/>
                <w:sz w:val="18"/>
                <w:szCs w:val="18"/>
              </w:rPr>
            </w:pPr>
            <w:r>
              <w:rPr>
                <w:rFonts w:ascii="宋体" w:hAnsi="宋体" w:cs="宋体" w:eastAsia="宋体" w:hint="default"/>
                <w:sz w:val="18"/>
                <w:szCs w:val="18"/>
              </w:rPr>
              <w:t>03</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林荣强</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97"/>
              <w:ind w:left="170" w:right="173"/>
              <w:jc w:val="left"/>
              <w:rPr>
                <w:rFonts w:ascii="宋体" w:hAnsi="宋体" w:cs="宋体" w:eastAsia="宋体" w:hint="default"/>
                <w:sz w:val="18"/>
                <w:szCs w:val="18"/>
              </w:rPr>
            </w:pPr>
            <w:r>
              <w:rPr>
                <w:rFonts w:ascii="宋体" w:hAnsi="宋体" w:cs="宋体" w:eastAsia="宋体" w:hint="default"/>
                <w:sz w:val="18"/>
                <w:szCs w:val="18"/>
              </w:rPr>
              <w:t>北京 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8" w:right="0"/>
              <w:jc w:val="left"/>
              <w:rPr>
                <w:rFonts w:ascii="宋体" w:hAnsi="宋体" w:cs="宋体" w:eastAsia="宋体" w:hint="default"/>
                <w:sz w:val="18"/>
                <w:szCs w:val="18"/>
              </w:rPr>
            </w:pPr>
            <w:r>
              <w:rPr>
                <w:rFonts w:ascii="宋体" w:hAnsi="宋体" w:cs="宋体" w:eastAsia="宋体" w:hint="default"/>
                <w:spacing w:val="-4"/>
                <w:sz w:val="18"/>
                <w:szCs w:val="18"/>
              </w:rPr>
              <w:t>脱硫、脱销、城市生活垃圾</w:t>
            </w:r>
          </w:p>
          <w:p>
            <w:pPr>
              <w:pStyle w:val="TableParagraph"/>
              <w:spacing w:line="244" w:lineRule="auto" w:before="4"/>
              <w:ind w:left="98" w:right="245"/>
              <w:jc w:val="left"/>
              <w:rPr>
                <w:rFonts w:ascii="宋体" w:hAnsi="宋体" w:cs="宋体" w:eastAsia="宋体" w:hint="default"/>
                <w:sz w:val="18"/>
                <w:szCs w:val="18"/>
              </w:rPr>
            </w:pPr>
            <w:r>
              <w:rPr>
                <w:rFonts w:ascii="宋体" w:hAnsi="宋体" w:cs="宋体" w:eastAsia="宋体" w:hint="default"/>
                <w:sz w:val="18"/>
                <w:szCs w:val="18"/>
              </w:rPr>
              <w:t>及危险废弃物无害化处理 等环保产品和工程承揽</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宋体" w:hAnsi="宋体" w:cs="宋体" w:eastAsia="宋体" w:hint="default"/>
                <w:sz w:val="18"/>
                <w:szCs w:val="18"/>
              </w:rPr>
            </w:pPr>
            <w:r>
              <w:rPr>
                <w:rFonts w:ascii="宋体"/>
                <w:spacing w:val="-1"/>
                <w:sz w:val="18"/>
              </w:rPr>
              <w:t>17,792</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93"/>
              <w:jc w:val="right"/>
              <w:rPr>
                <w:rFonts w:ascii="宋体" w:hAnsi="宋体" w:cs="宋体" w:eastAsia="宋体" w:hint="default"/>
                <w:sz w:val="18"/>
                <w:szCs w:val="18"/>
              </w:rPr>
            </w:pPr>
            <w:r>
              <w:rPr>
                <w:rFonts w:ascii="宋体"/>
                <w:spacing w:val="-1"/>
                <w:sz w:val="18"/>
              </w:rPr>
              <w:t>31.50%</w:t>
            </w:r>
          </w:p>
        </w:tc>
      </w:tr>
      <w:tr>
        <w:trPr>
          <w:trHeight w:val="495"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172" w:right="0"/>
              <w:jc w:val="left"/>
              <w:rPr>
                <w:rFonts w:ascii="宋体" w:hAnsi="宋体" w:cs="宋体" w:eastAsia="宋体" w:hint="default"/>
                <w:sz w:val="18"/>
                <w:szCs w:val="18"/>
              </w:rPr>
            </w:pPr>
            <w:r>
              <w:rPr>
                <w:rFonts w:ascii="宋体"/>
                <w:sz w:val="18"/>
              </w:rPr>
              <w:t>17</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00" w:right="0"/>
              <w:jc w:val="left"/>
              <w:rPr>
                <w:rFonts w:ascii="宋体" w:hAnsi="宋体" w:cs="宋体" w:eastAsia="宋体" w:hint="default"/>
                <w:sz w:val="18"/>
                <w:szCs w:val="18"/>
              </w:rPr>
            </w:pPr>
            <w:r>
              <w:rPr>
                <w:rFonts w:ascii="宋体" w:hAnsi="宋体" w:cs="宋体" w:eastAsia="宋体" w:hint="default"/>
                <w:sz w:val="18"/>
                <w:szCs w:val="18"/>
              </w:rPr>
              <w:t>清芯光电有限公司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05</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34"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3"/>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
              <w:jc w:val="center"/>
              <w:rPr>
                <w:rFonts w:ascii="宋体" w:hAnsi="宋体" w:cs="宋体" w:eastAsia="宋体" w:hint="default"/>
                <w:sz w:val="18"/>
                <w:szCs w:val="18"/>
              </w:rPr>
            </w:pPr>
            <w:r>
              <w:rPr>
                <w:rFonts w:ascii="宋体" w:hAnsi="宋体" w:cs="宋体" w:eastAsia="宋体" w:hint="default"/>
                <w:sz w:val="18"/>
                <w:szCs w:val="18"/>
              </w:rPr>
              <w:t>郑燕康</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河北</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廊坊</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8" w:right="0"/>
              <w:jc w:val="left"/>
              <w:rPr>
                <w:rFonts w:ascii="宋体" w:hAnsi="宋体" w:cs="宋体" w:eastAsia="宋体" w:hint="default"/>
                <w:sz w:val="18"/>
                <w:szCs w:val="18"/>
              </w:rPr>
            </w:pPr>
            <w:r>
              <w:rPr>
                <w:rFonts w:ascii="宋体" w:hAnsi="宋体" w:cs="宋体" w:eastAsia="宋体" w:hint="default"/>
                <w:spacing w:val="-3"/>
                <w:sz w:val="18"/>
                <w:szCs w:val="18"/>
              </w:rPr>
              <w:t>发光二级管外延片、芯片生</w:t>
            </w:r>
          </w:p>
          <w:p>
            <w:pPr>
              <w:pStyle w:val="TableParagraph"/>
              <w:spacing w:line="240" w:lineRule="auto" w:before="4"/>
              <w:ind w:left="98" w:right="0"/>
              <w:jc w:val="left"/>
              <w:rPr>
                <w:rFonts w:ascii="宋体" w:hAnsi="宋体" w:cs="宋体" w:eastAsia="宋体" w:hint="default"/>
                <w:sz w:val="18"/>
                <w:szCs w:val="18"/>
              </w:rPr>
            </w:pPr>
            <w:r>
              <w:rPr>
                <w:rFonts w:ascii="宋体" w:hAnsi="宋体" w:cs="宋体" w:eastAsia="宋体" w:hint="default"/>
                <w:sz w:val="18"/>
                <w:szCs w:val="18"/>
              </w:rPr>
              <w:t>产</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88" w:right="0"/>
              <w:jc w:val="left"/>
              <w:rPr>
                <w:rFonts w:ascii="宋体" w:hAnsi="宋体" w:cs="宋体" w:eastAsia="宋体" w:hint="default"/>
                <w:sz w:val="18"/>
                <w:szCs w:val="18"/>
              </w:rPr>
            </w:pPr>
            <w:r>
              <w:rPr>
                <w:rFonts w:ascii="宋体" w:hAnsi="宋体" w:cs="宋体" w:eastAsia="宋体" w:hint="default"/>
                <w:sz w:val="18"/>
                <w:szCs w:val="18"/>
              </w:rPr>
              <w:t>1,000</w:t>
            </w:r>
            <w:r>
              <w:rPr>
                <w:rFonts w:ascii="宋体" w:hAnsi="宋体" w:cs="宋体" w:eastAsia="宋体" w:hint="default"/>
                <w:spacing w:val="-45"/>
                <w:sz w:val="18"/>
                <w:szCs w:val="18"/>
              </w:rPr>
              <w:t> </w:t>
            </w:r>
            <w:r>
              <w:rPr>
                <w:rFonts w:ascii="宋体" w:hAnsi="宋体" w:cs="宋体" w:eastAsia="宋体" w:hint="default"/>
                <w:sz w:val="18"/>
                <w:szCs w:val="18"/>
              </w:rPr>
              <w:t>万</w:t>
            </w:r>
          </w:p>
          <w:p>
            <w:pPr>
              <w:pStyle w:val="TableParagraph"/>
              <w:spacing w:line="240" w:lineRule="auto" w:before="4"/>
              <w:ind w:left="60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3"/>
              <w:jc w:val="right"/>
              <w:rPr>
                <w:rFonts w:ascii="宋体" w:hAnsi="宋体" w:cs="宋体" w:eastAsia="宋体" w:hint="default"/>
                <w:sz w:val="18"/>
                <w:szCs w:val="18"/>
              </w:rPr>
            </w:pPr>
            <w:r>
              <w:rPr>
                <w:rFonts w:ascii="宋体"/>
                <w:spacing w:val="-1"/>
                <w:sz w:val="18"/>
              </w:rPr>
              <w:t>55.00%</w:t>
            </w:r>
          </w:p>
        </w:tc>
      </w:tr>
      <w:tr>
        <w:trPr>
          <w:trHeight w:val="497"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left="172" w:right="0"/>
              <w:jc w:val="left"/>
              <w:rPr>
                <w:rFonts w:ascii="宋体" w:hAnsi="宋体" w:cs="宋体" w:eastAsia="宋体" w:hint="default"/>
                <w:sz w:val="18"/>
                <w:szCs w:val="18"/>
              </w:rPr>
            </w:pPr>
            <w:r>
              <w:rPr>
                <w:rFonts w:ascii="宋体"/>
                <w:sz w:val="18"/>
              </w:rPr>
              <w:t>18</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100" w:right="0"/>
              <w:jc w:val="left"/>
              <w:rPr>
                <w:rFonts w:ascii="宋体" w:hAnsi="宋体" w:cs="宋体" w:eastAsia="宋体" w:hint="default"/>
                <w:sz w:val="18"/>
                <w:szCs w:val="18"/>
              </w:rPr>
            </w:pPr>
            <w:r>
              <w:rPr>
                <w:rFonts w:ascii="宋体" w:hAnsi="宋体" w:cs="宋体" w:eastAsia="宋体" w:hint="default"/>
                <w:sz w:val="18"/>
                <w:szCs w:val="18"/>
              </w:rPr>
              <w:t>同方科技园有限公司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34" w:right="0"/>
              <w:jc w:val="left"/>
              <w:rPr>
                <w:rFonts w:ascii="宋体" w:hAnsi="宋体" w:cs="宋体" w:eastAsia="宋体" w:hint="default"/>
                <w:sz w:val="18"/>
                <w:szCs w:val="18"/>
              </w:rPr>
            </w:pPr>
            <w:r>
              <w:rPr>
                <w:rFonts w:ascii="宋体" w:hAnsi="宋体" w:cs="宋体" w:eastAsia="宋体" w:hint="default"/>
                <w:sz w:val="18"/>
                <w:szCs w:val="18"/>
              </w:rPr>
              <w:t>99</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34" w:right="0"/>
              <w:jc w:val="left"/>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pacing w:val="-43"/>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hAnsi="宋体" w:cs="宋体" w:eastAsia="宋体" w:hint="default"/>
                <w:sz w:val="18"/>
                <w:szCs w:val="18"/>
              </w:rPr>
              <w:t>范 </w:t>
            </w:r>
            <w:r>
              <w:rPr>
                <w:rFonts w:ascii="宋体" w:hAnsi="宋体" w:cs="宋体" w:eastAsia="宋体" w:hint="default"/>
                <w:spacing w:val="2"/>
                <w:sz w:val="18"/>
                <w:szCs w:val="18"/>
              </w:rPr>
              <w:t> </w:t>
            </w:r>
            <w:r>
              <w:rPr>
                <w:rFonts w:ascii="宋体" w:hAnsi="宋体" w:cs="宋体" w:eastAsia="宋体" w:hint="default"/>
                <w:sz w:val="18"/>
                <w:szCs w:val="18"/>
              </w:rPr>
              <w:t>新</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98" w:right="0"/>
              <w:jc w:val="left"/>
              <w:rPr>
                <w:rFonts w:ascii="宋体" w:hAnsi="宋体" w:cs="宋体" w:eastAsia="宋体" w:hint="default"/>
                <w:sz w:val="18"/>
                <w:szCs w:val="18"/>
              </w:rPr>
            </w:pPr>
            <w:r>
              <w:rPr>
                <w:rFonts w:ascii="宋体" w:hAnsi="宋体" w:cs="宋体" w:eastAsia="宋体" w:hint="default"/>
                <w:sz w:val="18"/>
                <w:szCs w:val="18"/>
              </w:rPr>
              <w:t>自用办公楼、科技园开发</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00"/>
              <w:jc w:val="right"/>
              <w:rPr>
                <w:rFonts w:ascii="宋体" w:hAnsi="宋体" w:cs="宋体" w:eastAsia="宋体" w:hint="default"/>
                <w:sz w:val="18"/>
                <w:szCs w:val="18"/>
              </w:rPr>
            </w:pPr>
            <w:r>
              <w:rPr>
                <w:rFonts w:ascii="宋体"/>
                <w:sz w:val="18"/>
              </w:rPr>
              <w:t>5,000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right="93"/>
              <w:jc w:val="right"/>
              <w:rPr>
                <w:rFonts w:ascii="宋体" w:hAnsi="宋体" w:cs="宋体" w:eastAsia="宋体" w:hint="default"/>
                <w:sz w:val="18"/>
                <w:szCs w:val="18"/>
              </w:rPr>
            </w:pPr>
            <w:r>
              <w:rPr>
                <w:rFonts w:ascii="宋体"/>
                <w:sz w:val="18"/>
              </w:rPr>
              <w:t>100.00%</w:t>
            </w:r>
          </w:p>
        </w:tc>
      </w:tr>
      <w:tr>
        <w:trPr>
          <w:trHeight w:val="49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172" w:right="0"/>
              <w:jc w:val="left"/>
              <w:rPr>
                <w:rFonts w:ascii="宋体" w:hAnsi="宋体" w:cs="宋体" w:eastAsia="宋体" w:hint="default"/>
                <w:sz w:val="18"/>
                <w:szCs w:val="18"/>
              </w:rPr>
            </w:pPr>
            <w:r>
              <w:rPr>
                <w:rFonts w:ascii="宋体"/>
                <w:sz w:val="18"/>
              </w:rPr>
              <w:t>19</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00" w:right="0"/>
              <w:jc w:val="left"/>
              <w:rPr>
                <w:rFonts w:ascii="宋体" w:hAnsi="宋体" w:cs="宋体" w:eastAsia="宋体" w:hint="default"/>
                <w:sz w:val="18"/>
                <w:szCs w:val="18"/>
              </w:rPr>
            </w:pPr>
            <w:r>
              <w:rPr>
                <w:rFonts w:ascii="宋体" w:hAnsi="宋体" w:cs="宋体" w:eastAsia="宋体" w:hint="default"/>
                <w:sz w:val="18"/>
                <w:szCs w:val="18"/>
              </w:rPr>
              <w:t>同方计算机有限公司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04</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
              <w:jc w:val="center"/>
              <w:rPr>
                <w:rFonts w:ascii="宋体" w:hAnsi="宋体" w:cs="宋体" w:eastAsia="宋体" w:hint="default"/>
                <w:sz w:val="18"/>
                <w:szCs w:val="18"/>
              </w:rPr>
            </w:pPr>
            <w:r>
              <w:rPr>
                <w:rFonts w:ascii="宋体" w:hAnsi="宋体" w:cs="宋体" w:eastAsia="宋体" w:hint="default"/>
                <w:sz w:val="18"/>
                <w:szCs w:val="18"/>
              </w:rPr>
              <w:t>李健航</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江苏</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无锡</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8" w:right="0"/>
              <w:jc w:val="left"/>
              <w:rPr>
                <w:rFonts w:ascii="宋体" w:hAnsi="宋体" w:cs="宋体" w:eastAsia="宋体" w:hint="default"/>
                <w:sz w:val="18"/>
                <w:szCs w:val="18"/>
              </w:rPr>
            </w:pPr>
            <w:r>
              <w:rPr>
                <w:rFonts w:ascii="宋体" w:hAnsi="宋体" w:cs="宋体" w:eastAsia="宋体" w:hint="default"/>
                <w:spacing w:val="-4"/>
                <w:sz w:val="18"/>
                <w:szCs w:val="18"/>
              </w:rPr>
              <w:t>计算机设备研制、开发、生</w:t>
            </w:r>
          </w:p>
          <w:p>
            <w:pPr>
              <w:pStyle w:val="TableParagraph"/>
              <w:spacing w:line="240" w:lineRule="auto" w:before="4"/>
              <w:ind w:left="98" w:right="0"/>
              <w:jc w:val="left"/>
              <w:rPr>
                <w:rFonts w:ascii="宋体" w:hAnsi="宋体" w:cs="宋体" w:eastAsia="宋体" w:hint="default"/>
                <w:sz w:val="18"/>
                <w:szCs w:val="18"/>
              </w:rPr>
            </w:pPr>
            <w:r>
              <w:rPr>
                <w:rFonts w:ascii="宋体" w:hAnsi="宋体" w:cs="宋体" w:eastAsia="宋体" w:hint="default"/>
                <w:sz w:val="18"/>
                <w:szCs w:val="18"/>
              </w:rPr>
              <w:t>产、销售</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100"/>
              <w:jc w:val="right"/>
              <w:rPr>
                <w:rFonts w:ascii="宋体" w:hAnsi="宋体" w:cs="宋体" w:eastAsia="宋体" w:hint="default"/>
                <w:sz w:val="18"/>
                <w:szCs w:val="18"/>
              </w:rPr>
            </w:pPr>
            <w:r>
              <w:rPr>
                <w:rFonts w:ascii="宋体"/>
                <w:spacing w:val="-1"/>
                <w:sz w:val="18"/>
              </w:rPr>
              <w:t>60,000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3"/>
              <w:jc w:val="right"/>
              <w:rPr>
                <w:rFonts w:ascii="宋体" w:hAnsi="宋体" w:cs="宋体" w:eastAsia="宋体" w:hint="default"/>
                <w:sz w:val="18"/>
                <w:szCs w:val="18"/>
              </w:rPr>
            </w:pPr>
            <w:r>
              <w:rPr>
                <w:rFonts w:ascii="宋体"/>
                <w:sz w:val="18"/>
              </w:rPr>
              <w:t>100.00%</w:t>
            </w:r>
          </w:p>
        </w:tc>
      </w:tr>
      <w:tr>
        <w:trPr>
          <w:trHeight w:val="49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172" w:right="0"/>
              <w:jc w:val="left"/>
              <w:rPr>
                <w:rFonts w:ascii="宋体" w:hAnsi="宋体" w:cs="宋体" w:eastAsia="宋体" w:hint="default"/>
                <w:sz w:val="18"/>
                <w:szCs w:val="18"/>
              </w:rPr>
            </w:pPr>
            <w:r>
              <w:rPr>
                <w:rFonts w:ascii="宋体"/>
                <w:sz w:val="18"/>
              </w:rPr>
              <w:t>20</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宋体"/>
                <w:sz w:val="18"/>
              </w:rPr>
              <w:t>Resuccess</w:t>
            </w:r>
            <w:r>
              <w:rPr>
                <w:rFonts w:ascii="宋体"/>
                <w:spacing w:val="-7"/>
                <w:sz w:val="18"/>
              </w:rPr>
              <w:t> </w:t>
            </w:r>
            <w:r>
              <w:rPr>
                <w:rFonts w:ascii="宋体"/>
                <w:sz w:val="18"/>
              </w:rPr>
              <w:t>Investments</w:t>
            </w:r>
          </w:p>
          <w:p>
            <w:pPr>
              <w:pStyle w:val="TableParagraph"/>
              <w:spacing w:line="240" w:lineRule="auto" w:before="4"/>
              <w:ind w:left="100" w:right="0"/>
              <w:jc w:val="left"/>
              <w:rPr>
                <w:rFonts w:ascii="宋体" w:hAnsi="宋体" w:cs="宋体" w:eastAsia="宋体" w:hint="default"/>
                <w:sz w:val="18"/>
                <w:szCs w:val="18"/>
              </w:rPr>
            </w:pPr>
            <w:r>
              <w:rPr>
                <w:rFonts w:ascii="宋体"/>
                <w:sz w:val="18"/>
              </w:rPr>
              <w:t>Limited</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04</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0"/>
              <w:jc w:val="center"/>
              <w:rPr>
                <w:rFonts w:ascii="宋体" w:hAnsi="宋体" w:cs="宋体" w:eastAsia="宋体" w:hint="default"/>
                <w:sz w:val="18"/>
                <w:szCs w:val="18"/>
              </w:rPr>
            </w:pPr>
            <w:r>
              <w:rPr>
                <w:rFonts w:ascii="宋体" w:hAnsi="宋体" w:cs="宋体" w:eastAsia="宋体" w:hint="default"/>
                <w:sz w:val="18"/>
                <w:szCs w:val="18"/>
              </w:rPr>
              <w:t>范 </w:t>
            </w:r>
            <w:r>
              <w:rPr>
                <w:rFonts w:ascii="宋体" w:hAnsi="宋体" w:cs="宋体" w:eastAsia="宋体" w:hint="default"/>
                <w:spacing w:val="2"/>
                <w:sz w:val="18"/>
                <w:szCs w:val="18"/>
              </w:rPr>
              <w:t> </w:t>
            </w:r>
            <w:r>
              <w:rPr>
                <w:rFonts w:ascii="宋体" w:hAnsi="宋体" w:cs="宋体" w:eastAsia="宋体" w:hint="default"/>
                <w:sz w:val="18"/>
                <w:szCs w:val="18"/>
              </w:rPr>
              <w:t>新</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英属</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维京</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98" w:right="0"/>
              <w:jc w:val="left"/>
              <w:rPr>
                <w:rFonts w:ascii="宋体" w:hAnsi="宋体" w:cs="宋体" w:eastAsia="宋体" w:hint="default"/>
                <w:sz w:val="18"/>
                <w:szCs w:val="18"/>
              </w:rPr>
            </w:pPr>
            <w:r>
              <w:rPr>
                <w:rFonts w:ascii="宋体" w:hAnsi="宋体" w:cs="宋体" w:eastAsia="宋体" w:hint="default"/>
                <w:sz w:val="18"/>
                <w:szCs w:val="18"/>
              </w:rPr>
              <w:t>项目投资</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88" w:right="0"/>
              <w:jc w:val="left"/>
              <w:rPr>
                <w:rFonts w:ascii="宋体" w:hAnsi="宋体" w:cs="宋体" w:eastAsia="宋体" w:hint="default"/>
                <w:sz w:val="18"/>
                <w:szCs w:val="18"/>
              </w:rPr>
            </w:pPr>
            <w:r>
              <w:rPr>
                <w:rFonts w:ascii="宋体" w:hAnsi="宋体" w:cs="宋体" w:eastAsia="宋体" w:hint="default"/>
                <w:sz w:val="18"/>
                <w:szCs w:val="18"/>
              </w:rPr>
              <w:t>2,000</w:t>
            </w:r>
            <w:r>
              <w:rPr>
                <w:rFonts w:ascii="宋体" w:hAnsi="宋体" w:cs="宋体" w:eastAsia="宋体" w:hint="default"/>
                <w:spacing w:val="-45"/>
                <w:sz w:val="18"/>
                <w:szCs w:val="18"/>
              </w:rPr>
              <w:t> </w:t>
            </w:r>
            <w:r>
              <w:rPr>
                <w:rFonts w:ascii="宋体" w:hAnsi="宋体" w:cs="宋体" w:eastAsia="宋体" w:hint="default"/>
                <w:sz w:val="18"/>
                <w:szCs w:val="18"/>
              </w:rPr>
              <w:t>万</w:t>
            </w:r>
          </w:p>
          <w:p>
            <w:pPr>
              <w:pStyle w:val="TableParagraph"/>
              <w:spacing w:line="240" w:lineRule="auto" w:before="4"/>
              <w:ind w:left="60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3"/>
              <w:jc w:val="right"/>
              <w:rPr>
                <w:rFonts w:ascii="宋体" w:hAnsi="宋体" w:cs="宋体" w:eastAsia="宋体" w:hint="default"/>
                <w:sz w:val="18"/>
                <w:szCs w:val="18"/>
              </w:rPr>
            </w:pPr>
            <w:r>
              <w:rPr>
                <w:rFonts w:ascii="宋体"/>
                <w:sz w:val="18"/>
              </w:rPr>
              <w:t>100.00%</w:t>
            </w:r>
          </w:p>
        </w:tc>
      </w:tr>
      <w:tr>
        <w:trPr>
          <w:trHeight w:val="518"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9"/>
              <w:ind w:left="172" w:right="0"/>
              <w:jc w:val="left"/>
              <w:rPr>
                <w:rFonts w:ascii="宋体" w:hAnsi="宋体" w:cs="宋体" w:eastAsia="宋体" w:hint="default"/>
                <w:sz w:val="18"/>
                <w:szCs w:val="18"/>
              </w:rPr>
            </w:pPr>
            <w:r>
              <w:rPr>
                <w:rFonts w:ascii="宋体"/>
                <w:sz w:val="18"/>
              </w:rPr>
              <w:t>21</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ind w:left="100" w:right="243"/>
              <w:jc w:val="left"/>
              <w:rPr>
                <w:rFonts w:ascii="宋体" w:hAnsi="宋体" w:cs="宋体" w:eastAsia="宋体" w:hint="default"/>
                <w:sz w:val="18"/>
                <w:szCs w:val="18"/>
              </w:rPr>
            </w:pPr>
            <w:r>
              <w:rPr>
                <w:rFonts w:ascii="宋体" w:hAnsi="宋体" w:cs="宋体" w:eastAsia="宋体" w:hint="default"/>
                <w:sz w:val="18"/>
                <w:szCs w:val="18"/>
              </w:rPr>
              <w:t>北京同方创新投资有限 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34" w:right="0"/>
              <w:jc w:val="left"/>
              <w:rPr>
                <w:rFonts w:ascii="宋体" w:hAnsi="宋体" w:cs="宋体" w:eastAsia="宋体" w:hint="default"/>
                <w:sz w:val="18"/>
                <w:szCs w:val="18"/>
              </w:rPr>
            </w:pPr>
            <w:r>
              <w:rPr>
                <w:rFonts w:ascii="宋体" w:hAnsi="宋体" w:cs="宋体" w:eastAsia="宋体" w:hint="default"/>
                <w:sz w:val="18"/>
                <w:szCs w:val="18"/>
              </w:rPr>
              <w:t>99</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范 </w:t>
            </w:r>
            <w:r>
              <w:rPr>
                <w:rFonts w:ascii="宋体" w:hAnsi="宋体" w:cs="宋体" w:eastAsia="宋体" w:hint="default"/>
                <w:spacing w:val="2"/>
                <w:sz w:val="18"/>
                <w:szCs w:val="18"/>
              </w:rPr>
              <w:t> </w:t>
            </w:r>
            <w:r>
              <w:rPr>
                <w:rFonts w:ascii="宋体" w:hAnsi="宋体" w:cs="宋体" w:eastAsia="宋体" w:hint="default"/>
                <w:sz w:val="18"/>
                <w:szCs w:val="18"/>
              </w:rPr>
              <w:t>新</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ind w:left="170" w:right="173"/>
              <w:jc w:val="left"/>
              <w:rPr>
                <w:rFonts w:ascii="宋体" w:hAnsi="宋体" w:cs="宋体" w:eastAsia="宋体" w:hint="default"/>
                <w:sz w:val="18"/>
                <w:szCs w:val="18"/>
              </w:rPr>
            </w:pPr>
            <w:r>
              <w:rPr>
                <w:rFonts w:ascii="宋体" w:hAnsi="宋体" w:cs="宋体" w:eastAsia="宋体" w:hint="default"/>
                <w:sz w:val="18"/>
                <w:szCs w:val="18"/>
              </w:rPr>
              <w:t>北京 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98" w:right="0"/>
              <w:jc w:val="left"/>
              <w:rPr>
                <w:rFonts w:ascii="宋体" w:hAnsi="宋体" w:cs="宋体" w:eastAsia="宋体" w:hint="default"/>
                <w:sz w:val="18"/>
                <w:szCs w:val="18"/>
              </w:rPr>
            </w:pPr>
            <w:r>
              <w:rPr>
                <w:rFonts w:ascii="宋体" w:hAnsi="宋体" w:cs="宋体" w:eastAsia="宋体" w:hint="default"/>
                <w:sz w:val="18"/>
                <w:szCs w:val="18"/>
              </w:rPr>
              <w:t>高新技术项目投资</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right="100"/>
              <w:jc w:val="right"/>
              <w:rPr>
                <w:rFonts w:ascii="宋体" w:hAnsi="宋体" w:cs="宋体" w:eastAsia="宋体" w:hint="default"/>
                <w:sz w:val="18"/>
                <w:szCs w:val="18"/>
              </w:rPr>
            </w:pPr>
            <w:r>
              <w:rPr>
                <w:rFonts w:ascii="宋体"/>
                <w:spacing w:val="-1"/>
                <w:sz w:val="18"/>
              </w:rPr>
              <w:t>18,000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9"/>
              <w:ind w:right="93"/>
              <w:jc w:val="right"/>
              <w:rPr>
                <w:rFonts w:ascii="宋体" w:hAnsi="宋体" w:cs="宋体" w:eastAsia="宋体" w:hint="default"/>
                <w:sz w:val="18"/>
                <w:szCs w:val="18"/>
              </w:rPr>
            </w:pPr>
            <w:r>
              <w:rPr>
                <w:rFonts w:ascii="宋体"/>
                <w:sz w:val="18"/>
              </w:rPr>
              <w:t>100.00%</w:t>
            </w:r>
          </w:p>
        </w:tc>
      </w:tr>
      <w:tr>
        <w:trPr>
          <w:trHeight w:val="497"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left="172" w:right="0"/>
              <w:jc w:val="left"/>
              <w:rPr>
                <w:rFonts w:ascii="宋体" w:hAnsi="宋体" w:cs="宋体" w:eastAsia="宋体" w:hint="default"/>
                <w:sz w:val="18"/>
                <w:szCs w:val="18"/>
              </w:rPr>
            </w:pPr>
            <w:r>
              <w:rPr>
                <w:rFonts w:ascii="宋体"/>
                <w:sz w:val="18"/>
              </w:rPr>
              <w:t>22</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100" w:right="0"/>
              <w:jc w:val="left"/>
              <w:rPr>
                <w:rFonts w:ascii="宋体" w:hAnsi="宋体" w:cs="宋体" w:eastAsia="宋体" w:hint="default"/>
                <w:sz w:val="18"/>
                <w:szCs w:val="18"/>
              </w:rPr>
            </w:pPr>
            <w:r>
              <w:rPr>
                <w:rFonts w:ascii="宋体" w:hAnsi="宋体" w:cs="宋体" w:eastAsia="宋体" w:hint="default"/>
                <w:sz w:val="18"/>
                <w:szCs w:val="18"/>
              </w:rPr>
              <w:t>嘉融投资有限公司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34" w:right="0"/>
              <w:jc w:val="left"/>
              <w:rPr>
                <w:rFonts w:ascii="宋体" w:hAnsi="宋体" w:cs="宋体" w:eastAsia="宋体" w:hint="default"/>
                <w:sz w:val="18"/>
                <w:szCs w:val="18"/>
              </w:rPr>
            </w:pPr>
            <w:r>
              <w:rPr>
                <w:rFonts w:ascii="宋体" w:hAnsi="宋体" w:cs="宋体" w:eastAsia="宋体" w:hint="default"/>
                <w:sz w:val="18"/>
                <w:szCs w:val="18"/>
              </w:rPr>
              <w:t>02</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2"/>
              <w:jc w:val="center"/>
              <w:rPr>
                <w:rFonts w:ascii="宋体" w:hAnsi="宋体" w:cs="宋体" w:eastAsia="宋体" w:hint="default"/>
                <w:sz w:val="18"/>
                <w:szCs w:val="18"/>
              </w:rPr>
            </w:pPr>
            <w:r>
              <w:rPr>
                <w:rFonts w:ascii="宋体" w:hAnsi="宋体" w:cs="宋体" w:eastAsia="宋体" w:hint="default"/>
                <w:sz w:val="18"/>
                <w:szCs w:val="18"/>
              </w:rPr>
              <w:t>周立业</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70" w:right="0"/>
              <w:jc w:val="left"/>
              <w:rPr>
                <w:rFonts w:ascii="宋体" w:hAnsi="宋体" w:cs="宋体" w:eastAsia="宋体" w:hint="default"/>
                <w:sz w:val="18"/>
                <w:szCs w:val="18"/>
              </w:rPr>
            </w:pPr>
            <w:r>
              <w:rPr>
                <w:rFonts w:ascii="宋体" w:hAnsi="宋体" w:cs="宋体" w:eastAsia="宋体" w:hint="default"/>
                <w:sz w:val="18"/>
                <w:szCs w:val="18"/>
              </w:rPr>
              <w:t>上海</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浦东</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98" w:right="0"/>
              <w:jc w:val="left"/>
              <w:rPr>
                <w:rFonts w:ascii="宋体" w:hAnsi="宋体" w:cs="宋体" w:eastAsia="宋体" w:hint="default"/>
                <w:sz w:val="18"/>
                <w:szCs w:val="18"/>
              </w:rPr>
            </w:pPr>
            <w:r>
              <w:rPr>
                <w:rFonts w:ascii="宋体" w:hAnsi="宋体" w:cs="宋体" w:eastAsia="宋体" w:hint="default"/>
                <w:sz w:val="18"/>
                <w:szCs w:val="18"/>
              </w:rPr>
              <w:t>实业投资、创业投资</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00"/>
              <w:jc w:val="right"/>
              <w:rPr>
                <w:rFonts w:ascii="宋体" w:hAnsi="宋体" w:cs="宋体" w:eastAsia="宋体" w:hint="default"/>
                <w:sz w:val="18"/>
                <w:szCs w:val="18"/>
              </w:rPr>
            </w:pPr>
            <w:r>
              <w:rPr>
                <w:rFonts w:ascii="宋体"/>
                <w:sz w:val="18"/>
              </w:rPr>
              <w:t>54000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right="92"/>
              <w:jc w:val="right"/>
              <w:rPr>
                <w:rFonts w:ascii="宋体" w:hAnsi="宋体" w:cs="宋体" w:eastAsia="宋体" w:hint="default"/>
                <w:sz w:val="18"/>
                <w:szCs w:val="18"/>
              </w:rPr>
            </w:pPr>
            <w:r>
              <w:rPr>
                <w:rFonts w:ascii="宋体"/>
                <w:spacing w:val="-1"/>
                <w:sz w:val="18"/>
              </w:rPr>
              <w:t>50.00%</w:t>
            </w:r>
          </w:p>
        </w:tc>
      </w:tr>
      <w:tr>
        <w:trPr>
          <w:trHeight w:val="495"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172" w:right="0"/>
              <w:jc w:val="left"/>
              <w:rPr>
                <w:rFonts w:ascii="宋体" w:hAnsi="宋体" w:cs="宋体" w:eastAsia="宋体" w:hint="default"/>
                <w:sz w:val="18"/>
                <w:szCs w:val="18"/>
              </w:rPr>
            </w:pPr>
            <w:r>
              <w:rPr>
                <w:rFonts w:ascii="宋体"/>
                <w:sz w:val="18"/>
              </w:rPr>
              <w:t>23</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00" w:right="0"/>
              <w:jc w:val="left"/>
              <w:rPr>
                <w:rFonts w:ascii="宋体" w:hAnsi="宋体" w:cs="宋体" w:eastAsia="宋体" w:hint="default"/>
                <w:sz w:val="18"/>
                <w:szCs w:val="18"/>
              </w:rPr>
            </w:pPr>
            <w:r>
              <w:rPr>
                <w:rFonts w:ascii="宋体" w:hAnsi="宋体" w:cs="宋体" w:eastAsia="宋体" w:hint="default"/>
                <w:sz w:val="18"/>
                <w:szCs w:val="18"/>
              </w:rPr>
              <w:t>同方投资有限公司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04</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5"/>
              <w:ind w:left="180" w:right="0"/>
              <w:jc w:val="left"/>
              <w:rPr>
                <w:rFonts w:ascii="宋体" w:hAnsi="宋体" w:cs="宋体" w:eastAsia="宋体" w:hint="default"/>
                <w:sz w:val="18"/>
                <w:szCs w:val="18"/>
              </w:rPr>
            </w:pPr>
            <w:r>
              <w:rPr>
                <w:rFonts w:ascii="宋体" w:hAnsi="宋体" w:cs="宋体" w:eastAsia="宋体" w:hint="default"/>
                <w:sz w:val="18"/>
                <w:szCs w:val="18"/>
              </w:rPr>
              <w:t>6</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
              <w:jc w:val="center"/>
              <w:rPr>
                <w:rFonts w:ascii="宋体" w:hAnsi="宋体" w:cs="宋体" w:eastAsia="宋体" w:hint="default"/>
                <w:sz w:val="18"/>
                <w:szCs w:val="18"/>
              </w:rPr>
            </w:pPr>
            <w:r>
              <w:rPr>
                <w:rFonts w:ascii="宋体" w:hAnsi="宋体" w:cs="宋体" w:eastAsia="宋体" w:hint="default"/>
                <w:sz w:val="18"/>
                <w:szCs w:val="18"/>
              </w:rPr>
              <w:t>周立业</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山东</w:t>
            </w:r>
          </w:p>
          <w:p>
            <w:pPr>
              <w:pStyle w:val="TableParagraph"/>
              <w:spacing w:line="240" w:lineRule="auto" w:before="5"/>
              <w:ind w:left="170" w:right="0"/>
              <w:jc w:val="left"/>
              <w:rPr>
                <w:rFonts w:ascii="宋体" w:hAnsi="宋体" w:cs="宋体" w:eastAsia="宋体" w:hint="default"/>
                <w:sz w:val="18"/>
                <w:szCs w:val="18"/>
              </w:rPr>
            </w:pPr>
            <w:r>
              <w:rPr>
                <w:rFonts w:ascii="宋体" w:hAnsi="宋体" w:cs="宋体" w:eastAsia="宋体" w:hint="default"/>
                <w:sz w:val="18"/>
                <w:szCs w:val="18"/>
              </w:rPr>
              <w:t>潍坊</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98" w:right="0"/>
              <w:jc w:val="left"/>
              <w:rPr>
                <w:rFonts w:ascii="宋体" w:hAnsi="宋体" w:cs="宋体" w:eastAsia="宋体" w:hint="default"/>
                <w:sz w:val="18"/>
                <w:szCs w:val="18"/>
              </w:rPr>
            </w:pPr>
            <w:r>
              <w:rPr>
                <w:rFonts w:ascii="宋体" w:hAnsi="宋体" w:cs="宋体" w:eastAsia="宋体" w:hint="default"/>
                <w:sz w:val="18"/>
                <w:szCs w:val="18"/>
              </w:rPr>
              <w:t>项目投资</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100"/>
              <w:jc w:val="right"/>
              <w:rPr>
                <w:rFonts w:ascii="宋体" w:hAnsi="宋体" w:cs="宋体" w:eastAsia="宋体" w:hint="default"/>
                <w:sz w:val="18"/>
                <w:szCs w:val="18"/>
              </w:rPr>
            </w:pPr>
            <w:r>
              <w:rPr>
                <w:rFonts w:ascii="宋体"/>
                <w:spacing w:val="-1"/>
                <w:sz w:val="18"/>
              </w:rPr>
              <w:t>55,000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3"/>
              <w:jc w:val="right"/>
              <w:rPr>
                <w:rFonts w:ascii="宋体" w:hAnsi="宋体" w:cs="宋体" w:eastAsia="宋体" w:hint="default"/>
                <w:sz w:val="18"/>
                <w:szCs w:val="18"/>
              </w:rPr>
            </w:pPr>
            <w:r>
              <w:rPr>
                <w:rFonts w:ascii="宋体"/>
                <w:spacing w:val="-1"/>
                <w:sz w:val="18"/>
              </w:rPr>
              <w:t>36.36%</w:t>
            </w:r>
          </w:p>
        </w:tc>
      </w:tr>
      <w:tr>
        <w:trPr>
          <w:trHeight w:val="49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172" w:right="0"/>
              <w:jc w:val="left"/>
              <w:rPr>
                <w:rFonts w:ascii="宋体" w:hAnsi="宋体" w:cs="宋体" w:eastAsia="宋体" w:hint="default"/>
                <w:sz w:val="18"/>
                <w:szCs w:val="18"/>
              </w:rPr>
            </w:pPr>
            <w:r>
              <w:rPr>
                <w:rFonts w:ascii="宋体"/>
                <w:sz w:val="18"/>
              </w:rPr>
              <w:t>24</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宋体" w:hAnsi="宋体" w:cs="宋体" w:eastAsia="宋体" w:hint="default"/>
                <w:sz w:val="18"/>
                <w:szCs w:val="18"/>
              </w:rPr>
              <w:t>吉林同方科贸有限责任</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99</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34"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3"/>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
              <w:jc w:val="center"/>
              <w:rPr>
                <w:rFonts w:ascii="宋体" w:hAnsi="宋体" w:cs="宋体" w:eastAsia="宋体" w:hint="default"/>
                <w:sz w:val="18"/>
                <w:szCs w:val="18"/>
              </w:rPr>
            </w:pPr>
            <w:r>
              <w:rPr>
                <w:rFonts w:ascii="宋体" w:hAnsi="宋体" w:cs="宋体" w:eastAsia="宋体" w:hint="default"/>
                <w:sz w:val="18"/>
                <w:szCs w:val="18"/>
              </w:rPr>
              <w:t>李吉生</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吉林</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长春</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8" w:right="0"/>
              <w:jc w:val="left"/>
              <w:rPr>
                <w:rFonts w:ascii="宋体" w:hAnsi="宋体" w:cs="宋体" w:eastAsia="宋体" w:hint="default"/>
                <w:sz w:val="18"/>
                <w:szCs w:val="18"/>
              </w:rPr>
            </w:pPr>
            <w:r>
              <w:rPr>
                <w:rFonts w:ascii="宋体" w:hAnsi="宋体" w:cs="宋体" w:eastAsia="宋体" w:hint="default"/>
                <w:spacing w:val="-3"/>
                <w:sz w:val="18"/>
                <w:szCs w:val="18"/>
              </w:rPr>
              <w:t>计算机及信息产品、机电设</w:t>
            </w:r>
          </w:p>
          <w:p>
            <w:pPr>
              <w:pStyle w:val="TableParagraph"/>
              <w:spacing w:line="240" w:lineRule="auto" w:before="4"/>
              <w:ind w:left="98" w:right="0"/>
              <w:jc w:val="left"/>
              <w:rPr>
                <w:rFonts w:ascii="宋体" w:hAnsi="宋体" w:cs="宋体" w:eastAsia="宋体" w:hint="default"/>
                <w:sz w:val="18"/>
                <w:szCs w:val="18"/>
              </w:rPr>
            </w:pPr>
            <w:r>
              <w:rPr>
                <w:rFonts w:ascii="宋体" w:hAnsi="宋体" w:cs="宋体" w:eastAsia="宋体" w:hint="default"/>
                <w:sz w:val="18"/>
                <w:szCs w:val="18"/>
              </w:rPr>
              <w:t>备销售</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8"/>
              <w:jc w:val="right"/>
              <w:rPr>
                <w:rFonts w:ascii="宋体" w:hAnsi="宋体" w:cs="宋体" w:eastAsia="宋体" w:hint="default"/>
                <w:sz w:val="18"/>
                <w:szCs w:val="18"/>
              </w:rPr>
            </w:pPr>
            <w:r>
              <w:rPr>
                <w:rFonts w:ascii="宋体"/>
                <w:sz w:val="18"/>
              </w:rPr>
              <w:t>800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3"/>
              <w:jc w:val="right"/>
              <w:rPr>
                <w:rFonts w:ascii="宋体" w:hAnsi="宋体" w:cs="宋体" w:eastAsia="宋体" w:hint="default"/>
                <w:sz w:val="18"/>
                <w:szCs w:val="18"/>
              </w:rPr>
            </w:pPr>
            <w:r>
              <w:rPr>
                <w:rFonts w:ascii="宋体"/>
                <w:spacing w:val="-1"/>
                <w:sz w:val="18"/>
              </w:rPr>
              <w:t>20.00%</w:t>
            </w:r>
          </w:p>
        </w:tc>
      </w:tr>
      <w:tr>
        <w:trPr>
          <w:trHeight w:val="49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172" w:right="0"/>
              <w:jc w:val="left"/>
              <w:rPr>
                <w:rFonts w:ascii="宋体" w:hAnsi="宋体" w:cs="宋体" w:eastAsia="宋体" w:hint="default"/>
                <w:sz w:val="18"/>
                <w:szCs w:val="18"/>
              </w:rPr>
            </w:pPr>
            <w:r>
              <w:rPr>
                <w:rFonts w:ascii="宋体"/>
                <w:sz w:val="18"/>
              </w:rPr>
              <w:t>25</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00" w:right="0"/>
              <w:jc w:val="left"/>
              <w:rPr>
                <w:rFonts w:ascii="宋体" w:hAnsi="宋体" w:cs="宋体" w:eastAsia="宋体" w:hint="default"/>
                <w:sz w:val="18"/>
                <w:szCs w:val="18"/>
              </w:rPr>
            </w:pPr>
            <w:r>
              <w:rPr>
                <w:rFonts w:ascii="宋体"/>
                <w:sz w:val="18"/>
              </w:rPr>
              <w:t>THTF</w:t>
            </w:r>
            <w:r>
              <w:rPr>
                <w:rFonts w:ascii="宋体"/>
                <w:spacing w:val="-3"/>
                <w:sz w:val="18"/>
              </w:rPr>
              <w:t> </w:t>
            </w:r>
            <w:r>
              <w:rPr>
                <w:rFonts w:ascii="宋体"/>
                <w:sz w:val="18"/>
              </w:rPr>
              <w:t>USA,INC.</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01</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8</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
              <w:jc w:val="center"/>
              <w:rPr>
                <w:rFonts w:ascii="宋体" w:hAnsi="宋体" w:cs="宋体" w:eastAsia="宋体" w:hint="default"/>
                <w:sz w:val="18"/>
                <w:szCs w:val="18"/>
              </w:rPr>
            </w:pPr>
            <w:r>
              <w:rPr>
                <w:rFonts w:ascii="宋体" w:hAnsi="宋体" w:cs="宋体" w:eastAsia="宋体" w:hint="default"/>
                <w:sz w:val="18"/>
                <w:szCs w:val="18"/>
              </w:rPr>
              <w:t>陆致成</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美国</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加州</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98" w:right="0"/>
              <w:jc w:val="left"/>
              <w:rPr>
                <w:rFonts w:ascii="宋体" w:hAnsi="宋体" w:cs="宋体" w:eastAsia="宋体" w:hint="default"/>
                <w:sz w:val="18"/>
                <w:szCs w:val="18"/>
              </w:rPr>
            </w:pPr>
            <w:r>
              <w:rPr>
                <w:rFonts w:ascii="宋体" w:hAnsi="宋体" w:cs="宋体" w:eastAsia="宋体" w:hint="default"/>
                <w:sz w:val="18"/>
                <w:szCs w:val="18"/>
              </w:rPr>
              <w:t>技术研发，产品开发</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367" w:right="0"/>
              <w:jc w:val="center"/>
              <w:rPr>
                <w:rFonts w:ascii="宋体" w:hAnsi="宋体" w:cs="宋体" w:eastAsia="宋体" w:hint="default"/>
                <w:sz w:val="18"/>
                <w:szCs w:val="18"/>
              </w:rPr>
            </w:pPr>
            <w:r>
              <w:rPr>
                <w:rFonts w:ascii="宋体" w:hAnsi="宋体" w:cs="宋体" w:eastAsia="宋体" w:hint="default"/>
                <w:sz w:val="18"/>
                <w:szCs w:val="18"/>
              </w:rPr>
              <w:t>249</w:t>
            </w:r>
            <w:r>
              <w:rPr>
                <w:rFonts w:ascii="宋体" w:hAnsi="宋体" w:cs="宋体" w:eastAsia="宋体" w:hint="default"/>
                <w:spacing w:val="-45"/>
                <w:sz w:val="18"/>
                <w:szCs w:val="18"/>
              </w:rPr>
              <w:t> </w:t>
            </w:r>
            <w:r>
              <w:rPr>
                <w:rFonts w:ascii="宋体" w:hAnsi="宋体" w:cs="宋体" w:eastAsia="宋体" w:hint="default"/>
                <w:sz w:val="18"/>
                <w:szCs w:val="18"/>
              </w:rPr>
              <w:t>万</w:t>
            </w:r>
          </w:p>
          <w:p>
            <w:pPr>
              <w:pStyle w:val="TableParagraph"/>
              <w:spacing w:line="240" w:lineRule="auto" w:before="4"/>
              <w:ind w:left="499" w:right="0"/>
              <w:jc w:val="center"/>
              <w:rPr>
                <w:rFonts w:ascii="宋体" w:hAnsi="宋体" w:cs="宋体" w:eastAsia="宋体" w:hint="default"/>
                <w:sz w:val="18"/>
                <w:szCs w:val="18"/>
              </w:rPr>
            </w:pPr>
            <w:r>
              <w:rPr>
                <w:rFonts w:ascii="宋体" w:hAnsi="宋体" w:cs="宋体" w:eastAsia="宋体" w:hint="default"/>
                <w:sz w:val="18"/>
                <w:szCs w:val="18"/>
              </w:rPr>
              <w:t>美元</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3"/>
              <w:jc w:val="right"/>
              <w:rPr>
                <w:rFonts w:ascii="宋体" w:hAnsi="宋体" w:cs="宋体" w:eastAsia="宋体" w:hint="default"/>
                <w:sz w:val="18"/>
                <w:szCs w:val="18"/>
              </w:rPr>
            </w:pPr>
            <w:r>
              <w:rPr>
                <w:rFonts w:ascii="宋体"/>
                <w:sz w:val="18"/>
              </w:rPr>
              <w:t>100.00%</w:t>
            </w:r>
          </w:p>
        </w:tc>
      </w:tr>
      <w:tr>
        <w:trPr>
          <w:trHeight w:val="526"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3"/>
              <w:ind w:left="172" w:right="0"/>
              <w:jc w:val="left"/>
              <w:rPr>
                <w:rFonts w:ascii="宋体" w:hAnsi="宋体" w:cs="宋体" w:eastAsia="宋体" w:hint="default"/>
                <w:sz w:val="18"/>
                <w:szCs w:val="18"/>
              </w:rPr>
            </w:pPr>
            <w:r>
              <w:rPr>
                <w:rFonts w:ascii="宋体"/>
                <w:sz w:val="18"/>
              </w:rPr>
              <w:t>26</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ind w:left="100" w:right="243"/>
              <w:jc w:val="left"/>
              <w:rPr>
                <w:rFonts w:ascii="宋体" w:hAnsi="宋体" w:cs="宋体" w:eastAsia="宋体" w:hint="default"/>
                <w:sz w:val="18"/>
                <w:szCs w:val="18"/>
              </w:rPr>
            </w:pPr>
            <w:r>
              <w:rPr>
                <w:rFonts w:ascii="宋体" w:hAnsi="宋体" w:cs="宋体" w:eastAsia="宋体" w:hint="default"/>
                <w:sz w:val="18"/>
                <w:szCs w:val="18"/>
              </w:rPr>
              <w:t>龙江环保集团股份有限 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ind w:left="134" w:right="0"/>
              <w:jc w:val="left"/>
              <w:rPr>
                <w:rFonts w:ascii="宋体" w:hAnsi="宋体" w:cs="宋体" w:eastAsia="宋体" w:hint="default"/>
                <w:sz w:val="18"/>
                <w:szCs w:val="18"/>
              </w:rPr>
            </w:pPr>
            <w:r>
              <w:rPr>
                <w:rFonts w:ascii="宋体" w:hAnsi="宋体" w:cs="宋体" w:eastAsia="宋体" w:hint="default"/>
                <w:sz w:val="18"/>
                <w:szCs w:val="18"/>
              </w:rPr>
              <w:t>04</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right="2"/>
              <w:jc w:val="center"/>
              <w:rPr>
                <w:rFonts w:ascii="宋体" w:hAnsi="宋体" w:cs="宋体" w:eastAsia="宋体" w:hint="default"/>
                <w:sz w:val="18"/>
                <w:szCs w:val="18"/>
              </w:rPr>
            </w:pPr>
            <w:r>
              <w:rPr>
                <w:rFonts w:ascii="宋体" w:hAnsi="宋体" w:cs="宋体" w:eastAsia="宋体" w:hint="default"/>
                <w:sz w:val="18"/>
                <w:szCs w:val="18"/>
              </w:rPr>
              <w:t>陆致成</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ind w:left="259" w:right="173" w:hanging="89"/>
              <w:jc w:val="left"/>
              <w:rPr>
                <w:rFonts w:ascii="宋体" w:hAnsi="宋体" w:cs="宋体" w:eastAsia="宋体" w:hint="default"/>
                <w:sz w:val="18"/>
                <w:szCs w:val="18"/>
              </w:rPr>
            </w:pPr>
            <w:r>
              <w:rPr>
                <w:rFonts w:ascii="宋体" w:hAnsi="宋体" w:cs="宋体" w:eastAsia="宋体" w:hint="default"/>
                <w:sz w:val="18"/>
                <w:szCs w:val="18"/>
              </w:rPr>
              <w:t>哈尔 滨</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98" w:right="0"/>
              <w:jc w:val="left"/>
              <w:rPr>
                <w:rFonts w:ascii="宋体" w:hAnsi="宋体" w:cs="宋体" w:eastAsia="宋体" w:hint="default"/>
                <w:sz w:val="18"/>
                <w:szCs w:val="18"/>
              </w:rPr>
            </w:pPr>
            <w:r>
              <w:rPr>
                <w:rFonts w:ascii="宋体" w:hAnsi="宋体" w:cs="宋体" w:eastAsia="宋体" w:hint="default"/>
                <w:sz w:val="18"/>
                <w:szCs w:val="18"/>
              </w:rPr>
              <w:t>水务投资、水厂建设运营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right="100"/>
              <w:jc w:val="right"/>
              <w:rPr>
                <w:rFonts w:ascii="宋体" w:hAnsi="宋体" w:cs="宋体" w:eastAsia="宋体" w:hint="default"/>
                <w:sz w:val="18"/>
                <w:szCs w:val="18"/>
              </w:rPr>
            </w:pPr>
            <w:r>
              <w:rPr>
                <w:rFonts w:ascii="宋体"/>
                <w:spacing w:val="-1"/>
                <w:sz w:val="18"/>
              </w:rPr>
              <w:t>32,000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3"/>
              <w:ind w:right="92"/>
              <w:jc w:val="right"/>
              <w:rPr>
                <w:rFonts w:ascii="宋体" w:hAnsi="宋体" w:cs="宋体" w:eastAsia="宋体" w:hint="default"/>
                <w:sz w:val="18"/>
                <w:szCs w:val="18"/>
              </w:rPr>
            </w:pPr>
            <w:r>
              <w:rPr>
                <w:rFonts w:ascii="宋体"/>
                <w:sz w:val="18"/>
              </w:rPr>
              <w:t>30.78%</w:t>
            </w:r>
          </w:p>
        </w:tc>
      </w:tr>
      <w:tr>
        <w:trPr>
          <w:trHeight w:val="526"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3"/>
              <w:ind w:left="172" w:right="0"/>
              <w:jc w:val="left"/>
              <w:rPr>
                <w:rFonts w:ascii="宋体" w:hAnsi="宋体" w:cs="宋体" w:eastAsia="宋体" w:hint="default"/>
                <w:sz w:val="18"/>
                <w:szCs w:val="18"/>
              </w:rPr>
            </w:pPr>
            <w:r>
              <w:rPr>
                <w:rFonts w:ascii="宋体"/>
                <w:sz w:val="18"/>
              </w:rPr>
              <w:t>27</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ind w:left="100" w:right="243"/>
              <w:jc w:val="left"/>
              <w:rPr>
                <w:rFonts w:ascii="宋体" w:hAnsi="宋体" w:cs="宋体" w:eastAsia="宋体" w:hint="default"/>
                <w:sz w:val="18"/>
                <w:szCs w:val="18"/>
              </w:rPr>
            </w:pPr>
            <w:r>
              <w:rPr>
                <w:rFonts w:ascii="宋体" w:hAnsi="宋体" w:cs="宋体" w:eastAsia="宋体" w:hint="default"/>
                <w:sz w:val="18"/>
                <w:szCs w:val="18"/>
              </w:rPr>
              <w:t>北京市同方教育培训学 校</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ind w:left="134" w:right="0"/>
              <w:jc w:val="left"/>
              <w:rPr>
                <w:rFonts w:ascii="宋体" w:hAnsi="宋体" w:cs="宋体" w:eastAsia="宋体" w:hint="default"/>
                <w:sz w:val="18"/>
                <w:szCs w:val="18"/>
              </w:rPr>
            </w:pPr>
            <w:r>
              <w:rPr>
                <w:rFonts w:ascii="宋体" w:hAnsi="宋体" w:cs="宋体" w:eastAsia="宋体" w:hint="default"/>
                <w:sz w:val="18"/>
                <w:szCs w:val="18"/>
              </w:rPr>
              <w:t>02</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right="2"/>
              <w:jc w:val="center"/>
              <w:rPr>
                <w:rFonts w:ascii="宋体" w:hAnsi="宋体" w:cs="宋体" w:eastAsia="宋体" w:hint="default"/>
                <w:sz w:val="18"/>
                <w:szCs w:val="18"/>
              </w:rPr>
            </w:pPr>
            <w:r>
              <w:rPr>
                <w:rFonts w:ascii="宋体" w:hAnsi="宋体" w:cs="宋体" w:eastAsia="宋体" w:hint="default"/>
                <w:sz w:val="18"/>
                <w:szCs w:val="18"/>
              </w:rPr>
              <w:t>陆致成</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ind w:left="170" w:right="173"/>
              <w:jc w:val="left"/>
              <w:rPr>
                <w:rFonts w:ascii="宋体" w:hAnsi="宋体" w:cs="宋体" w:eastAsia="宋体" w:hint="default"/>
                <w:sz w:val="18"/>
                <w:szCs w:val="18"/>
              </w:rPr>
            </w:pPr>
            <w:r>
              <w:rPr>
                <w:rFonts w:ascii="宋体" w:hAnsi="宋体" w:cs="宋体" w:eastAsia="宋体" w:hint="default"/>
                <w:sz w:val="18"/>
                <w:szCs w:val="18"/>
              </w:rPr>
              <w:t>北京 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98" w:right="0"/>
              <w:jc w:val="left"/>
              <w:rPr>
                <w:rFonts w:ascii="宋体" w:hAnsi="宋体" w:cs="宋体" w:eastAsia="宋体" w:hint="default"/>
                <w:sz w:val="18"/>
                <w:szCs w:val="18"/>
              </w:rPr>
            </w:pPr>
            <w:r>
              <w:rPr>
                <w:rFonts w:ascii="宋体" w:hAnsi="宋体" w:cs="宋体" w:eastAsia="宋体" w:hint="default"/>
                <w:sz w:val="18"/>
                <w:szCs w:val="18"/>
              </w:rPr>
              <w:t>开办各类面授培训</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right="98"/>
              <w:jc w:val="right"/>
              <w:rPr>
                <w:rFonts w:ascii="宋体" w:hAnsi="宋体" w:cs="宋体" w:eastAsia="宋体" w:hint="default"/>
                <w:sz w:val="18"/>
                <w:szCs w:val="18"/>
              </w:rPr>
            </w:pPr>
            <w:r>
              <w:rPr>
                <w:rFonts w:ascii="宋体"/>
                <w:sz w:val="18"/>
              </w:rPr>
              <w:t>100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3"/>
              <w:ind w:right="93"/>
              <w:jc w:val="right"/>
              <w:rPr>
                <w:rFonts w:ascii="宋体" w:hAnsi="宋体" w:cs="宋体" w:eastAsia="宋体" w:hint="default"/>
                <w:sz w:val="18"/>
                <w:szCs w:val="18"/>
              </w:rPr>
            </w:pPr>
            <w:r>
              <w:rPr>
                <w:rFonts w:ascii="宋体"/>
                <w:sz w:val="18"/>
              </w:rPr>
              <w:t>100.00%</w:t>
            </w:r>
          </w:p>
        </w:tc>
      </w:tr>
      <w:tr>
        <w:trPr>
          <w:trHeight w:val="49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172" w:right="0"/>
              <w:jc w:val="left"/>
              <w:rPr>
                <w:rFonts w:ascii="宋体" w:hAnsi="宋体" w:cs="宋体" w:eastAsia="宋体" w:hint="default"/>
                <w:sz w:val="18"/>
                <w:szCs w:val="18"/>
              </w:rPr>
            </w:pPr>
            <w:r>
              <w:rPr>
                <w:rFonts w:ascii="宋体"/>
                <w:sz w:val="18"/>
              </w:rPr>
              <w:t>28</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北京同方物业管理有限</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02</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
              <w:jc w:val="center"/>
              <w:rPr>
                <w:rFonts w:ascii="宋体" w:hAnsi="宋体" w:cs="宋体" w:eastAsia="宋体" w:hint="default"/>
                <w:sz w:val="18"/>
                <w:szCs w:val="18"/>
              </w:rPr>
            </w:pPr>
            <w:r>
              <w:rPr>
                <w:rFonts w:ascii="宋体" w:hAnsi="宋体" w:cs="宋体" w:eastAsia="宋体" w:hint="default"/>
                <w:sz w:val="18"/>
                <w:szCs w:val="18"/>
              </w:rPr>
              <w:t>陈兆祥</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98" w:right="0"/>
              <w:jc w:val="left"/>
              <w:rPr>
                <w:rFonts w:ascii="宋体" w:hAnsi="宋体" w:cs="宋体" w:eastAsia="宋体" w:hint="default"/>
                <w:sz w:val="18"/>
                <w:szCs w:val="18"/>
              </w:rPr>
            </w:pPr>
            <w:r>
              <w:rPr>
                <w:rFonts w:ascii="宋体" w:hAnsi="宋体" w:cs="宋体" w:eastAsia="宋体" w:hint="default"/>
                <w:sz w:val="18"/>
                <w:szCs w:val="18"/>
              </w:rPr>
              <w:t>自用办公楼物业管理</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8"/>
              <w:jc w:val="right"/>
              <w:rPr>
                <w:rFonts w:ascii="宋体" w:hAnsi="宋体" w:cs="宋体" w:eastAsia="宋体" w:hint="default"/>
                <w:sz w:val="18"/>
                <w:szCs w:val="18"/>
              </w:rPr>
            </w:pPr>
            <w:r>
              <w:rPr>
                <w:rFonts w:ascii="宋体"/>
                <w:sz w:val="18"/>
              </w:rPr>
              <w:t>950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3"/>
              <w:jc w:val="right"/>
              <w:rPr>
                <w:rFonts w:ascii="宋体" w:hAnsi="宋体" w:cs="宋体" w:eastAsia="宋体" w:hint="default"/>
                <w:sz w:val="18"/>
                <w:szCs w:val="18"/>
              </w:rPr>
            </w:pPr>
            <w:r>
              <w:rPr>
                <w:rFonts w:ascii="宋体"/>
                <w:sz w:val="18"/>
              </w:rPr>
              <w:t>100.00%</w:t>
            </w:r>
          </w:p>
        </w:tc>
      </w:tr>
      <w:tr>
        <w:trPr>
          <w:trHeight w:val="49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172" w:right="0"/>
              <w:jc w:val="left"/>
              <w:rPr>
                <w:rFonts w:ascii="宋体" w:hAnsi="宋体" w:cs="宋体" w:eastAsia="宋体" w:hint="default"/>
                <w:sz w:val="18"/>
                <w:szCs w:val="18"/>
              </w:rPr>
            </w:pPr>
            <w:r>
              <w:rPr>
                <w:rFonts w:ascii="宋体"/>
                <w:sz w:val="18"/>
              </w:rPr>
              <w:t>29</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00" w:right="0"/>
              <w:jc w:val="left"/>
              <w:rPr>
                <w:rFonts w:ascii="宋体" w:hAnsi="宋体" w:cs="宋体" w:eastAsia="宋体" w:hint="default"/>
                <w:sz w:val="18"/>
                <w:szCs w:val="18"/>
              </w:rPr>
            </w:pPr>
            <w:r>
              <w:rPr>
                <w:rFonts w:ascii="宋体" w:hAnsi="宋体" w:cs="宋体" w:eastAsia="宋体" w:hint="default"/>
                <w:sz w:val="18"/>
                <w:szCs w:val="18"/>
              </w:rPr>
              <w:t>东方欢旅科技有限公司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04</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34"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3"/>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
              <w:jc w:val="center"/>
              <w:rPr>
                <w:rFonts w:ascii="宋体" w:hAnsi="宋体" w:cs="宋体" w:eastAsia="宋体" w:hint="default"/>
                <w:sz w:val="18"/>
                <w:szCs w:val="18"/>
              </w:rPr>
            </w:pPr>
            <w:r>
              <w:rPr>
                <w:rFonts w:ascii="宋体" w:hAnsi="宋体" w:cs="宋体" w:eastAsia="宋体" w:hint="default"/>
                <w:sz w:val="18"/>
                <w:szCs w:val="18"/>
              </w:rPr>
              <w:t>周洪峰</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8" w:right="0"/>
              <w:jc w:val="left"/>
              <w:rPr>
                <w:rFonts w:ascii="宋体" w:hAnsi="宋体" w:cs="宋体" w:eastAsia="宋体" w:hint="default"/>
                <w:sz w:val="18"/>
                <w:szCs w:val="18"/>
              </w:rPr>
            </w:pPr>
            <w:r>
              <w:rPr>
                <w:rFonts w:ascii="宋体" w:hAnsi="宋体" w:cs="宋体" w:eastAsia="宋体" w:hint="default"/>
                <w:spacing w:val="-3"/>
                <w:sz w:val="18"/>
                <w:szCs w:val="18"/>
              </w:rPr>
              <w:t>互联网接入服务业务；互联</w:t>
            </w:r>
          </w:p>
          <w:p>
            <w:pPr>
              <w:pStyle w:val="TableParagraph"/>
              <w:spacing w:line="240" w:lineRule="auto" w:before="4"/>
              <w:ind w:left="98" w:right="0"/>
              <w:jc w:val="left"/>
              <w:rPr>
                <w:rFonts w:ascii="宋体" w:hAnsi="宋体" w:cs="宋体" w:eastAsia="宋体" w:hint="default"/>
                <w:sz w:val="18"/>
                <w:szCs w:val="18"/>
              </w:rPr>
            </w:pPr>
            <w:r>
              <w:rPr>
                <w:rFonts w:ascii="宋体" w:hAnsi="宋体" w:cs="宋体" w:eastAsia="宋体" w:hint="default"/>
                <w:sz w:val="18"/>
                <w:szCs w:val="18"/>
              </w:rPr>
              <w:t>网信息服务业务</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8"/>
              <w:jc w:val="right"/>
              <w:rPr>
                <w:rFonts w:ascii="宋体" w:hAnsi="宋体" w:cs="宋体" w:eastAsia="宋体" w:hint="default"/>
                <w:sz w:val="18"/>
                <w:szCs w:val="18"/>
              </w:rPr>
            </w:pPr>
            <w:r>
              <w:rPr>
                <w:rFonts w:ascii="宋体"/>
                <w:sz w:val="18"/>
              </w:rPr>
              <w:t>7,380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2"/>
              <w:jc w:val="right"/>
              <w:rPr>
                <w:rFonts w:ascii="宋体" w:hAnsi="宋体" w:cs="宋体" w:eastAsia="宋体" w:hint="default"/>
                <w:sz w:val="18"/>
                <w:szCs w:val="18"/>
              </w:rPr>
            </w:pPr>
            <w:r>
              <w:rPr>
                <w:rFonts w:ascii="宋体"/>
                <w:sz w:val="18"/>
              </w:rPr>
              <w:t>5.10%</w:t>
            </w:r>
          </w:p>
        </w:tc>
      </w:tr>
      <w:tr>
        <w:trPr>
          <w:trHeight w:val="497"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0"/>
              <w:ind w:left="172" w:right="0"/>
              <w:jc w:val="left"/>
              <w:rPr>
                <w:rFonts w:ascii="宋体" w:hAnsi="宋体" w:cs="宋体" w:eastAsia="宋体" w:hint="default"/>
                <w:sz w:val="18"/>
                <w:szCs w:val="18"/>
              </w:rPr>
            </w:pPr>
            <w:r>
              <w:rPr>
                <w:rFonts w:ascii="宋体"/>
                <w:sz w:val="18"/>
              </w:rPr>
              <w:t>30</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北京中录同方文化传播</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134" w:right="0"/>
              <w:jc w:val="left"/>
              <w:rPr>
                <w:rFonts w:ascii="宋体" w:hAnsi="宋体" w:cs="宋体" w:eastAsia="宋体" w:hint="default"/>
                <w:sz w:val="18"/>
                <w:szCs w:val="18"/>
              </w:rPr>
            </w:pPr>
            <w:r>
              <w:rPr>
                <w:rFonts w:ascii="宋体" w:hAnsi="宋体" w:cs="宋体" w:eastAsia="宋体" w:hint="default"/>
                <w:sz w:val="18"/>
                <w:szCs w:val="18"/>
              </w:rPr>
              <w:t>00</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2"/>
              <w:jc w:val="center"/>
              <w:rPr>
                <w:rFonts w:ascii="宋体" w:hAnsi="宋体" w:cs="宋体" w:eastAsia="宋体" w:hint="default"/>
                <w:sz w:val="18"/>
                <w:szCs w:val="18"/>
              </w:rPr>
            </w:pPr>
            <w:r>
              <w:rPr>
                <w:rFonts w:ascii="宋体" w:hAnsi="宋体" w:cs="宋体" w:eastAsia="宋体" w:hint="default"/>
                <w:sz w:val="18"/>
                <w:szCs w:val="18"/>
              </w:rPr>
              <w:t>丁晓聪</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昌平</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98" w:right="0"/>
              <w:jc w:val="left"/>
              <w:rPr>
                <w:rFonts w:ascii="宋体" w:hAnsi="宋体" w:cs="宋体" w:eastAsia="宋体" w:hint="default"/>
                <w:sz w:val="18"/>
                <w:szCs w:val="18"/>
              </w:rPr>
            </w:pPr>
            <w:r>
              <w:rPr>
                <w:rFonts w:ascii="宋体" w:hAnsi="宋体" w:cs="宋体" w:eastAsia="宋体" w:hint="default"/>
                <w:sz w:val="18"/>
                <w:szCs w:val="18"/>
              </w:rPr>
              <w:t>数字影音光盘复制</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00"/>
              <w:jc w:val="right"/>
              <w:rPr>
                <w:rFonts w:ascii="宋体" w:hAnsi="宋体" w:cs="宋体" w:eastAsia="宋体" w:hint="default"/>
                <w:sz w:val="18"/>
                <w:szCs w:val="18"/>
              </w:rPr>
            </w:pPr>
            <w:r>
              <w:rPr>
                <w:rFonts w:ascii="宋体"/>
                <w:sz w:val="18"/>
              </w:rPr>
              <w:t>5,000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0"/>
              <w:ind w:right="93"/>
              <w:jc w:val="right"/>
              <w:rPr>
                <w:rFonts w:ascii="宋体" w:hAnsi="宋体" w:cs="宋体" w:eastAsia="宋体" w:hint="default"/>
                <w:sz w:val="18"/>
                <w:szCs w:val="18"/>
              </w:rPr>
            </w:pPr>
            <w:r>
              <w:rPr>
                <w:rFonts w:ascii="宋体"/>
                <w:spacing w:val="-1"/>
                <w:sz w:val="18"/>
              </w:rPr>
              <w:t>50.00%</w:t>
            </w:r>
          </w:p>
        </w:tc>
      </w:tr>
      <w:tr>
        <w:trPr>
          <w:trHeight w:val="49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172" w:right="0"/>
              <w:jc w:val="left"/>
              <w:rPr>
                <w:rFonts w:ascii="宋体" w:hAnsi="宋体" w:cs="宋体" w:eastAsia="宋体" w:hint="default"/>
                <w:sz w:val="18"/>
                <w:szCs w:val="18"/>
              </w:rPr>
            </w:pPr>
            <w:r>
              <w:rPr>
                <w:rFonts w:ascii="宋体"/>
                <w:sz w:val="18"/>
              </w:rPr>
              <w:t>31</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00" w:right="0"/>
              <w:jc w:val="left"/>
              <w:rPr>
                <w:rFonts w:ascii="宋体" w:hAnsi="宋体" w:cs="宋体" w:eastAsia="宋体" w:hint="default"/>
                <w:sz w:val="18"/>
                <w:szCs w:val="18"/>
              </w:rPr>
            </w:pPr>
            <w:r>
              <w:rPr>
                <w:rFonts w:ascii="宋体"/>
                <w:sz w:val="18"/>
              </w:rPr>
              <w:t>Legend Silicon</w:t>
            </w:r>
            <w:r>
              <w:rPr>
                <w:rFonts w:ascii="宋体"/>
                <w:spacing w:val="-8"/>
                <w:sz w:val="18"/>
              </w:rPr>
              <w:t> </w:t>
            </w:r>
            <w:r>
              <w:rPr>
                <w:rFonts w:ascii="宋体"/>
                <w:sz w:val="18"/>
              </w:rPr>
              <w:t>Corp.</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03</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6</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
              <w:jc w:val="center"/>
              <w:rPr>
                <w:rFonts w:ascii="宋体" w:hAnsi="宋体" w:cs="宋体" w:eastAsia="宋体" w:hint="default"/>
                <w:sz w:val="18"/>
                <w:szCs w:val="18"/>
              </w:rPr>
            </w:pPr>
            <w:r>
              <w:rPr>
                <w:rFonts w:ascii="宋体" w:hAnsi="宋体" w:cs="宋体" w:eastAsia="宋体" w:hint="default"/>
                <w:sz w:val="18"/>
                <w:szCs w:val="18"/>
              </w:rPr>
              <w:t>张征宇</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美国</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加州</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98" w:right="0"/>
              <w:jc w:val="left"/>
              <w:rPr>
                <w:rFonts w:ascii="宋体" w:hAnsi="宋体" w:cs="宋体" w:eastAsia="宋体" w:hint="default"/>
                <w:sz w:val="18"/>
                <w:szCs w:val="18"/>
              </w:rPr>
            </w:pPr>
            <w:r>
              <w:rPr>
                <w:rFonts w:ascii="宋体" w:hAnsi="宋体" w:cs="宋体" w:eastAsia="宋体" w:hint="default"/>
                <w:sz w:val="18"/>
                <w:szCs w:val="18"/>
              </w:rPr>
              <w:t>芯片研发设计</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97" w:right="0"/>
              <w:jc w:val="left"/>
              <w:rPr>
                <w:rFonts w:ascii="宋体" w:hAnsi="宋体" w:cs="宋体" w:eastAsia="宋体" w:hint="default"/>
                <w:sz w:val="18"/>
                <w:szCs w:val="18"/>
              </w:rPr>
            </w:pPr>
            <w:r>
              <w:rPr>
                <w:rFonts w:ascii="宋体" w:hAnsi="宋体" w:cs="宋体" w:eastAsia="宋体" w:hint="default"/>
                <w:sz w:val="18"/>
                <w:szCs w:val="18"/>
              </w:rPr>
              <w:t>39,170</w:t>
            </w:r>
            <w:r>
              <w:rPr>
                <w:rFonts w:ascii="宋体" w:hAnsi="宋体" w:cs="宋体" w:eastAsia="宋体" w:hint="default"/>
                <w:spacing w:val="-44"/>
                <w:sz w:val="18"/>
                <w:szCs w:val="18"/>
              </w:rPr>
              <w:t> </w:t>
            </w:r>
            <w:r>
              <w:rPr>
                <w:rFonts w:ascii="宋体" w:hAnsi="宋体" w:cs="宋体" w:eastAsia="宋体" w:hint="default"/>
                <w:sz w:val="18"/>
                <w:szCs w:val="18"/>
              </w:rPr>
              <w:t>万</w:t>
            </w:r>
          </w:p>
          <w:p>
            <w:pPr>
              <w:pStyle w:val="TableParagraph"/>
              <w:spacing w:line="240" w:lineRule="auto" w:before="4"/>
              <w:ind w:left="60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3"/>
              <w:jc w:val="right"/>
              <w:rPr>
                <w:rFonts w:ascii="宋体" w:hAnsi="宋体" w:cs="宋体" w:eastAsia="宋体" w:hint="default"/>
                <w:sz w:val="18"/>
                <w:szCs w:val="18"/>
              </w:rPr>
            </w:pPr>
            <w:r>
              <w:rPr>
                <w:rFonts w:ascii="宋体"/>
                <w:sz w:val="18"/>
              </w:rPr>
              <w:t>3.56%</w:t>
            </w:r>
          </w:p>
        </w:tc>
      </w:tr>
      <w:tr>
        <w:trPr>
          <w:trHeight w:val="581"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0"/>
              <w:ind w:left="172" w:right="0"/>
              <w:jc w:val="left"/>
              <w:rPr>
                <w:rFonts w:ascii="宋体" w:hAnsi="宋体" w:cs="宋体" w:eastAsia="宋体" w:hint="default"/>
                <w:sz w:val="18"/>
                <w:szCs w:val="18"/>
              </w:rPr>
            </w:pPr>
            <w:r>
              <w:rPr>
                <w:rFonts w:ascii="宋体"/>
                <w:sz w:val="18"/>
              </w:rPr>
              <w:t>32</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20"/>
              <w:ind w:left="100" w:right="243"/>
              <w:jc w:val="left"/>
              <w:rPr>
                <w:rFonts w:ascii="宋体" w:hAnsi="宋体" w:cs="宋体" w:eastAsia="宋体" w:hint="default"/>
                <w:sz w:val="18"/>
                <w:szCs w:val="18"/>
              </w:rPr>
            </w:pPr>
            <w:r>
              <w:rPr>
                <w:rFonts w:ascii="宋体" w:hAnsi="宋体" w:cs="宋体" w:eastAsia="宋体" w:hint="default"/>
                <w:sz w:val="18"/>
                <w:szCs w:val="18"/>
              </w:rPr>
              <w:t>同方鼎欣信息技术有限 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34" w:right="0"/>
              <w:jc w:val="left"/>
              <w:rPr>
                <w:rFonts w:ascii="宋体" w:hAnsi="宋体" w:cs="宋体" w:eastAsia="宋体" w:hint="default"/>
                <w:sz w:val="18"/>
                <w:szCs w:val="18"/>
              </w:rPr>
            </w:pPr>
            <w:r>
              <w:rPr>
                <w:rFonts w:ascii="宋体" w:hAnsi="宋体" w:cs="宋体" w:eastAsia="宋体" w:hint="default"/>
                <w:sz w:val="18"/>
                <w:szCs w:val="18"/>
              </w:rPr>
              <w:t>94</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8</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right="2"/>
              <w:jc w:val="center"/>
              <w:rPr>
                <w:rFonts w:ascii="宋体" w:hAnsi="宋体" w:cs="宋体" w:eastAsia="宋体" w:hint="default"/>
                <w:sz w:val="18"/>
                <w:szCs w:val="18"/>
              </w:rPr>
            </w:pPr>
            <w:r>
              <w:rPr>
                <w:rFonts w:ascii="宋体" w:hAnsi="宋体" w:cs="宋体" w:eastAsia="宋体" w:hint="default"/>
                <w:sz w:val="18"/>
                <w:szCs w:val="18"/>
              </w:rPr>
              <w:t>隋迎秋</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20"/>
              <w:ind w:left="170" w:right="173"/>
              <w:jc w:val="left"/>
              <w:rPr>
                <w:rFonts w:ascii="宋体" w:hAnsi="宋体" w:cs="宋体" w:eastAsia="宋体" w:hint="default"/>
                <w:sz w:val="18"/>
                <w:szCs w:val="18"/>
              </w:rPr>
            </w:pPr>
            <w:r>
              <w:rPr>
                <w:rFonts w:ascii="宋体" w:hAnsi="宋体" w:cs="宋体" w:eastAsia="宋体" w:hint="default"/>
                <w:sz w:val="18"/>
                <w:szCs w:val="18"/>
              </w:rPr>
              <w:t>北京 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left="98" w:right="0"/>
              <w:jc w:val="left"/>
              <w:rPr>
                <w:rFonts w:ascii="宋体" w:hAnsi="宋体" w:cs="宋体" w:eastAsia="宋体" w:hint="default"/>
                <w:sz w:val="18"/>
                <w:szCs w:val="18"/>
              </w:rPr>
            </w:pPr>
            <w:r>
              <w:rPr>
                <w:rFonts w:ascii="宋体" w:hAnsi="宋体" w:cs="宋体" w:eastAsia="宋体" w:hint="default"/>
                <w:sz w:val="18"/>
                <w:szCs w:val="18"/>
              </w:rPr>
              <w:t>软件开发，软件外包服务</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right="100"/>
              <w:jc w:val="right"/>
              <w:rPr>
                <w:rFonts w:ascii="宋体" w:hAnsi="宋体" w:cs="宋体" w:eastAsia="宋体" w:hint="default"/>
                <w:sz w:val="18"/>
                <w:szCs w:val="18"/>
              </w:rPr>
            </w:pPr>
            <w:r>
              <w:rPr>
                <w:rFonts w:ascii="宋体"/>
                <w:sz w:val="18"/>
              </w:rPr>
              <w:t>6,250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0"/>
              <w:ind w:right="93"/>
              <w:jc w:val="right"/>
              <w:rPr>
                <w:rFonts w:ascii="宋体" w:hAnsi="宋体" w:cs="宋体" w:eastAsia="宋体" w:hint="default"/>
                <w:sz w:val="18"/>
                <w:szCs w:val="18"/>
              </w:rPr>
            </w:pPr>
            <w:r>
              <w:rPr>
                <w:rFonts w:ascii="宋体"/>
                <w:spacing w:val="-1"/>
                <w:sz w:val="18"/>
              </w:rPr>
              <w:t>20.00%</w:t>
            </w:r>
          </w:p>
        </w:tc>
      </w:tr>
      <w:tr>
        <w:trPr>
          <w:trHeight w:val="49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172" w:right="0"/>
              <w:jc w:val="left"/>
              <w:rPr>
                <w:rFonts w:ascii="宋体" w:hAnsi="宋体" w:cs="宋体" w:eastAsia="宋体" w:hint="default"/>
                <w:sz w:val="18"/>
                <w:szCs w:val="18"/>
              </w:rPr>
            </w:pPr>
            <w:r>
              <w:rPr>
                <w:rFonts w:ascii="宋体"/>
                <w:sz w:val="18"/>
              </w:rPr>
              <w:t>33</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北京首开亿信置业股份</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99</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34"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3"/>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0"/>
              <w:jc w:val="center"/>
              <w:rPr>
                <w:rFonts w:ascii="宋体" w:hAnsi="宋体" w:cs="宋体" w:eastAsia="宋体" w:hint="default"/>
                <w:sz w:val="18"/>
                <w:szCs w:val="18"/>
              </w:rPr>
            </w:pPr>
            <w:r>
              <w:rPr>
                <w:rFonts w:ascii="宋体" w:hAnsi="宋体" w:cs="宋体" w:eastAsia="宋体" w:hint="default"/>
                <w:sz w:val="18"/>
                <w:szCs w:val="18"/>
              </w:rPr>
              <w:t>陈 </w:t>
            </w:r>
            <w:r>
              <w:rPr>
                <w:rFonts w:ascii="宋体" w:hAnsi="宋体" w:cs="宋体" w:eastAsia="宋体" w:hint="default"/>
                <w:spacing w:val="2"/>
                <w:sz w:val="18"/>
                <w:szCs w:val="18"/>
              </w:rPr>
              <w:t> </w:t>
            </w:r>
            <w:r>
              <w:rPr>
                <w:rFonts w:ascii="宋体" w:hAnsi="宋体" w:cs="宋体" w:eastAsia="宋体" w:hint="default"/>
                <w:sz w:val="18"/>
                <w:szCs w:val="18"/>
              </w:rPr>
              <w:t>刚</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西城</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98" w:right="0"/>
              <w:jc w:val="left"/>
              <w:rPr>
                <w:rFonts w:ascii="宋体" w:hAnsi="宋体" w:cs="宋体" w:eastAsia="宋体" w:hint="default"/>
                <w:sz w:val="18"/>
                <w:szCs w:val="18"/>
              </w:rPr>
            </w:pPr>
            <w:r>
              <w:rPr>
                <w:rFonts w:ascii="宋体" w:hAnsi="宋体" w:cs="宋体" w:eastAsia="宋体" w:hint="default"/>
                <w:sz w:val="18"/>
                <w:szCs w:val="18"/>
              </w:rPr>
              <w:t>房地产经营开发</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100"/>
              <w:jc w:val="right"/>
              <w:rPr>
                <w:rFonts w:ascii="宋体" w:hAnsi="宋体" w:cs="宋体" w:eastAsia="宋体" w:hint="default"/>
                <w:sz w:val="18"/>
                <w:szCs w:val="18"/>
              </w:rPr>
            </w:pPr>
            <w:r>
              <w:rPr>
                <w:rFonts w:ascii="宋体"/>
                <w:spacing w:val="-1"/>
                <w:sz w:val="18"/>
              </w:rPr>
              <w:t>32,000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3"/>
              <w:jc w:val="right"/>
              <w:rPr>
                <w:rFonts w:ascii="宋体" w:hAnsi="宋体" w:cs="宋体" w:eastAsia="宋体" w:hint="default"/>
                <w:sz w:val="18"/>
                <w:szCs w:val="18"/>
              </w:rPr>
            </w:pPr>
            <w:r>
              <w:rPr>
                <w:rFonts w:ascii="宋体"/>
                <w:sz w:val="18"/>
              </w:rPr>
              <w:t>0.31%</w:t>
            </w:r>
          </w:p>
        </w:tc>
      </w:tr>
      <w:tr>
        <w:trPr>
          <w:trHeight w:val="497"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left="172" w:right="0"/>
              <w:jc w:val="left"/>
              <w:rPr>
                <w:rFonts w:ascii="宋体" w:hAnsi="宋体" w:cs="宋体" w:eastAsia="宋体" w:hint="default"/>
                <w:sz w:val="18"/>
                <w:szCs w:val="18"/>
              </w:rPr>
            </w:pPr>
            <w:r>
              <w:rPr>
                <w:rFonts w:ascii="宋体"/>
                <w:sz w:val="18"/>
              </w:rPr>
              <w:t>34</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北京同方吉兆科技有限</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34" w:right="0"/>
              <w:jc w:val="left"/>
              <w:rPr>
                <w:rFonts w:ascii="宋体" w:hAnsi="宋体" w:cs="宋体" w:eastAsia="宋体" w:hint="default"/>
                <w:sz w:val="18"/>
                <w:szCs w:val="18"/>
              </w:rPr>
            </w:pPr>
            <w:r>
              <w:rPr>
                <w:rFonts w:ascii="宋体" w:hAnsi="宋体" w:cs="宋体" w:eastAsia="宋体" w:hint="default"/>
                <w:sz w:val="18"/>
                <w:szCs w:val="18"/>
              </w:rPr>
              <w:t>93</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hAnsi="宋体" w:cs="宋体" w:eastAsia="宋体" w:hint="default"/>
                <w:sz w:val="18"/>
                <w:szCs w:val="18"/>
              </w:rPr>
              <w:t>周 </w:t>
            </w:r>
            <w:r>
              <w:rPr>
                <w:rFonts w:ascii="宋体" w:hAnsi="宋体" w:cs="宋体" w:eastAsia="宋体" w:hint="default"/>
                <w:spacing w:val="2"/>
                <w:sz w:val="18"/>
                <w:szCs w:val="18"/>
              </w:rPr>
              <w:t> </w:t>
            </w:r>
            <w:r>
              <w:rPr>
                <w:rFonts w:ascii="宋体" w:hAnsi="宋体" w:cs="宋体" w:eastAsia="宋体" w:hint="default"/>
                <w:sz w:val="18"/>
                <w:szCs w:val="18"/>
              </w:rPr>
              <w:t>侠</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98" w:right="0"/>
              <w:jc w:val="left"/>
              <w:rPr>
                <w:rFonts w:ascii="宋体" w:hAnsi="宋体" w:cs="宋体" w:eastAsia="宋体" w:hint="default"/>
                <w:sz w:val="18"/>
                <w:szCs w:val="18"/>
              </w:rPr>
            </w:pPr>
            <w:r>
              <w:rPr>
                <w:rFonts w:ascii="宋体" w:hAnsi="宋体" w:cs="宋体" w:eastAsia="宋体" w:hint="default"/>
                <w:spacing w:val="-3"/>
                <w:sz w:val="18"/>
                <w:szCs w:val="18"/>
              </w:rPr>
              <w:t>数字电视发射机、调频广播</w:t>
            </w:r>
          </w:p>
          <w:p>
            <w:pPr>
              <w:pStyle w:val="TableParagraph"/>
              <w:spacing w:line="240" w:lineRule="auto" w:before="4"/>
              <w:ind w:left="98" w:right="0"/>
              <w:jc w:val="left"/>
              <w:rPr>
                <w:rFonts w:ascii="宋体" w:hAnsi="宋体" w:cs="宋体" w:eastAsia="宋体" w:hint="default"/>
                <w:sz w:val="18"/>
                <w:szCs w:val="18"/>
              </w:rPr>
            </w:pPr>
            <w:r>
              <w:rPr>
                <w:rFonts w:ascii="宋体" w:hAnsi="宋体" w:cs="宋体" w:eastAsia="宋体" w:hint="default"/>
                <w:sz w:val="18"/>
                <w:szCs w:val="18"/>
              </w:rPr>
              <w:t>发射机、机顶盒研发生产</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00"/>
              <w:jc w:val="right"/>
              <w:rPr>
                <w:rFonts w:ascii="宋体" w:hAnsi="宋体" w:cs="宋体" w:eastAsia="宋体" w:hint="default"/>
                <w:sz w:val="18"/>
                <w:szCs w:val="18"/>
              </w:rPr>
            </w:pPr>
            <w:r>
              <w:rPr>
                <w:rFonts w:ascii="宋体"/>
                <w:spacing w:val="-1"/>
                <w:sz w:val="18"/>
              </w:rPr>
              <w:t>12,000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right="93"/>
              <w:jc w:val="right"/>
              <w:rPr>
                <w:rFonts w:ascii="宋体" w:hAnsi="宋体" w:cs="宋体" w:eastAsia="宋体" w:hint="default"/>
                <w:sz w:val="18"/>
                <w:szCs w:val="18"/>
              </w:rPr>
            </w:pPr>
            <w:r>
              <w:rPr>
                <w:rFonts w:ascii="宋体"/>
                <w:spacing w:val="-1"/>
                <w:sz w:val="18"/>
              </w:rPr>
              <w:t>91.52%</w:t>
            </w:r>
          </w:p>
        </w:tc>
      </w:tr>
      <w:tr>
        <w:trPr>
          <w:trHeight w:val="49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172" w:right="0"/>
              <w:jc w:val="left"/>
              <w:rPr>
                <w:rFonts w:ascii="宋体" w:hAnsi="宋体" w:cs="宋体" w:eastAsia="宋体" w:hint="default"/>
                <w:sz w:val="18"/>
                <w:szCs w:val="18"/>
              </w:rPr>
            </w:pPr>
            <w:r>
              <w:rPr>
                <w:rFonts w:ascii="宋体"/>
                <w:sz w:val="18"/>
              </w:rPr>
              <w:t>35</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宋体"/>
                <w:sz w:val="18"/>
              </w:rPr>
              <w:t>TongFang Asia</w:t>
            </w:r>
            <w:r>
              <w:rPr>
                <w:rFonts w:ascii="宋体"/>
                <w:spacing w:val="-7"/>
                <w:sz w:val="18"/>
              </w:rPr>
              <w:t> </w:t>
            </w:r>
            <w:r>
              <w:rPr>
                <w:rFonts w:ascii="宋体"/>
                <w:sz w:val="18"/>
              </w:rPr>
              <w:t>Pacific</w:t>
            </w:r>
          </w:p>
          <w:p>
            <w:pPr>
              <w:pStyle w:val="TableParagraph"/>
              <w:spacing w:line="240" w:lineRule="auto" w:before="4"/>
              <w:ind w:left="100" w:right="0"/>
              <w:jc w:val="left"/>
              <w:rPr>
                <w:rFonts w:ascii="宋体" w:hAnsi="宋体" w:cs="宋体" w:eastAsia="宋体" w:hint="default"/>
                <w:sz w:val="18"/>
                <w:szCs w:val="18"/>
              </w:rPr>
            </w:pPr>
            <w:r>
              <w:rPr>
                <w:rFonts w:ascii="宋体"/>
                <w:sz w:val="18"/>
              </w:rPr>
              <w:t>(R&amp;D Center) Pte.</w:t>
            </w:r>
            <w:r>
              <w:rPr>
                <w:rFonts w:ascii="宋体"/>
                <w:spacing w:val="-45"/>
                <w:sz w:val="18"/>
              </w:rPr>
              <w:t> </w:t>
            </w:r>
            <w:r>
              <w:rPr>
                <w:rFonts w:ascii="宋体"/>
                <w:sz w:val="18"/>
              </w:rPr>
              <w:t>Ltd.</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34" w:right="0"/>
              <w:jc w:val="left"/>
              <w:rPr>
                <w:rFonts w:ascii="宋体" w:hAnsi="宋体" w:cs="宋体" w:eastAsia="宋体" w:hint="default"/>
                <w:sz w:val="18"/>
                <w:szCs w:val="18"/>
              </w:rPr>
            </w:pPr>
            <w:r>
              <w:rPr>
                <w:rFonts w:ascii="宋体" w:hAnsi="宋体" w:cs="宋体" w:eastAsia="宋体" w:hint="default"/>
                <w:sz w:val="18"/>
                <w:szCs w:val="18"/>
              </w:rPr>
              <w:t>08</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
              <w:jc w:val="center"/>
              <w:rPr>
                <w:rFonts w:ascii="宋体" w:hAnsi="宋体" w:cs="宋体" w:eastAsia="宋体" w:hint="default"/>
                <w:sz w:val="18"/>
                <w:szCs w:val="18"/>
              </w:rPr>
            </w:pPr>
            <w:r>
              <w:rPr>
                <w:rFonts w:ascii="宋体" w:hAnsi="宋体" w:cs="宋体" w:eastAsia="宋体" w:hint="default"/>
                <w:sz w:val="18"/>
                <w:szCs w:val="18"/>
              </w:rPr>
              <w:t>陆致成</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right="3"/>
              <w:jc w:val="center"/>
              <w:rPr>
                <w:rFonts w:ascii="宋体" w:hAnsi="宋体" w:cs="宋体" w:eastAsia="宋体" w:hint="default"/>
                <w:sz w:val="18"/>
                <w:szCs w:val="18"/>
              </w:rPr>
            </w:pPr>
            <w:r>
              <w:rPr>
                <w:rFonts w:ascii="宋体" w:hAnsi="宋体" w:cs="宋体" w:eastAsia="宋体" w:hint="default"/>
                <w:sz w:val="18"/>
                <w:szCs w:val="18"/>
              </w:rPr>
              <w:t>新加</w:t>
            </w:r>
          </w:p>
          <w:p>
            <w:pPr>
              <w:pStyle w:val="TableParagraph"/>
              <w:spacing w:line="240" w:lineRule="auto" w:before="4"/>
              <w:ind w:right="5"/>
              <w:jc w:val="center"/>
              <w:rPr>
                <w:rFonts w:ascii="宋体" w:hAnsi="宋体" w:cs="宋体" w:eastAsia="宋体" w:hint="default"/>
                <w:sz w:val="18"/>
                <w:szCs w:val="18"/>
              </w:rPr>
            </w:pPr>
            <w:r>
              <w:rPr>
                <w:rFonts w:ascii="宋体" w:hAnsi="宋体" w:cs="宋体" w:eastAsia="宋体" w:hint="default"/>
                <w:sz w:val="18"/>
                <w:szCs w:val="18"/>
              </w:rPr>
              <w:t>坡</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98" w:right="0"/>
              <w:jc w:val="left"/>
              <w:rPr>
                <w:rFonts w:ascii="宋体" w:hAnsi="宋体" w:cs="宋体" w:eastAsia="宋体" w:hint="default"/>
                <w:sz w:val="18"/>
                <w:szCs w:val="18"/>
              </w:rPr>
            </w:pPr>
            <w:r>
              <w:rPr>
                <w:rFonts w:ascii="宋体" w:hAnsi="宋体" w:cs="宋体" w:eastAsia="宋体" w:hint="default"/>
                <w:sz w:val="18"/>
                <w:szCs w:val="18"/>
              </w:rPr>
              <w:t>新技术研发</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367" w:right="0"/>
              <w:jc w:val="center"/>
              <w:rPr>
                <w:rFonts w:ascii="宋体" w:hAnsi="宋体" w:cs="宋体" w:eastAsia="宋体" w:hint="default"/>
                <w:sz w:val="18"/>
                <w:szCs w:val="18"/>
              </w:rPr>
            </w:pPr>
            <w:r>
              <w:rPr>
                <w:rFonts w:ascii="宋体" w:hAnsi="宋体" w:cs="宋体" w:eastAsia="宋体" w:hint="default"/>
                <w:sz w:val="18"/>
                <w:szCs w:val="18"/>
              </w:rPr>
              <w:t>300</w:t>
            </w:r>
            <w:r>
              <w:rPr>
                <w:rFonts w:ascii="宋体" w:hAnsi="宋体" w:cs="宋体" w:eastAsia="宋体" w:hint="default"/>
                <w:spacing w:val="-45"/>
                <w:sz w:val="18"/>
                <w:szCs w:val="18"/>
              </w:rPr>
              <w:t> </w:t>
            </w:r>
            <w:r>
              <w:rPr>
                <w:rFonts w:ascii="宋体" w:hAnsi="宋体" w:cs="宋体" w:eastAsia="宋体" w:hint="default"/>
                <w:sz w:val="18"/>
                <w:szCs w:val="18"/>
              </w:rPr>
              <w:t>万</w:t>
            </w:r>
          </w:p>
          <w:p>
            <w:pPr>
              <w:pStyle w:val="TableParagraph"/>
              <w:spacing w:line="240" w:lineRule="auto" w:before="4"/>
              <w:ind w:left="499" w:right="0"/>
              <w:jc w:val="center"/>
              <w:rPr>
                <w:rFonts w:ascii="宋体" w:hAnsi="宋体" w:cs="宋体" w:eastAsia="宋体" w:hint="default"/>
                <w:sz w:val="18"/>
                <w:szCs w:val="18"/>
              </w:rPr>
            </w:pPr>
            <w:r>
              <w:rPr>
                <w:rFonts w:ascii="宋体" w:hAnsi="宋体" w:cs="宋体" w:eastAsia="宋体" w:hint="default"/>
                <w:sz w:val="18"/>
                <w:szCs w:val="18"/>
              </w:rPr>
              <w:t>美元</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3"/>
              <w:jc w:val="right"/>
              <w:rPr>
                <w:rFonts w:ascii="宋体" w:hAnsi="宋体" w:cs="宋体" w:eastAsia="宋体" w:hint="default"/>
                <w:sz w:val="18"/>
                <w:szCs w:val="18"/>
              </w:rPr>
            </w:pPr>
            <w:r>
              <w:rPr>
                <w:rFonts w:ascii="宋体"/>
                <w:sz w:val="18"/>
              </w:rPr>
              <w:t>100.00%</w:t>
            </w:r>
          </w:p>
        </w:tc>
      </w:tr>
      <w:tr>
        <w:trPr>
          <w:trHeight w:val="509"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4"/>
              <w:ind w:left="172" w:right="0"/>
              <w:jc w:val="left"/>
              <w:rPr>
                <w:rFonts w:ascii="宋体" w:hAnsi="宋体" w:cs="宋体" w:eastAsia="宋体" w:hint="default"/>
                <w:sz w:val="18"/>
                <w:szCs w:val="18"/>
              </w:rPr>
            </w:pPr>
            <w:r>
              <w:rPr>
                <w:rFonts w:ascii="宋体"/>
                <w:sz w:val="18"/>
              </w:rPr>
              <w:t>36</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100" w:right="243"/>
              <w:jc w:val="left"/>
              <w:rPr>
                <w:rFonts w:ascii="宋体" w:hAnsi="宋体" w:cs="宋体" w:eastAsia="宋体" w:hint="default"/>
                <w:sz w:val="18"/>
                <w:szCs w:val="18"/>
              </w:rPr>
            </w:pPr>
            <w:r>
              <w:rPr>
                <w:rFonts w:ascii="宋体" w:hAnsi="宋体" w:cs="宋体" w:eastAsia="宋体" w:hint="default"/>
                <w:sz w:val="18"/>
                <w:szCs w:val="18"/>
              </w:rPr>
              <w:t>沈阳同方科技园有限公 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34" w:right="0"/>
              <w:jc w:val="left"/>
              <w:rPr>
                <w:rFonts w:ascii="宋体" w:hAnsi="宋体" w:cs="宋体" w:eastAsia="宋体" w:hint="default"/>
                <w:sz w:val="18"/>
                <w:szCs w:val="18"/>
              </w:rPr>
            </w:pPr>
            <w:r>
              <w:rPr>
                <w:rFonts w:ascii="宋体" w:hAnsi="宋体" w:cs="宋体" w:eastAsia="宋体" w:hint="default"/>
                <w:sz w:val="18"/>
                <w:szCs w:val="18"/>
              </w:rPr>
              <w:t>06</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5"/>
              <w:ind w:left="134" w:right="0"/>
              <w:jc w:val="left"/>
              <w:rPr>
                <w:rFonts w:ascii="宋体" w:hAnsi="宋体" w:cs="宋体" w:eastAsia="宋体" w:hint="default"/>
                <w:sz w:val="18"/>
                <w:szCs w:val="18"/>
              </w:rPr>
            </w:pPr>
            <w:r>
              <w:rPr>
                <w:rFonts w:ascii="宋体" w:hAnsi="宋体" w:cs="宋体" w:eastAsia="宋体" w:hint="default"/>
                <w:sz w:val="18"/>
                <w:szCs w:val="18"/>
              </w:rPr>
              <w:t>11</w:t>
            </w:r>
            <w:r>
              <w:rPr>
                <w:rFonts w:ascii="宋体" w:hAnsi="宋体" w:cs="宋体" w:eastAsia="宋体" w:hint="default"/>
                <w:spacing w:val="-43"/>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hAnsi="宋体" w:cs="宋体" w:eastAsia="宋体" w:hint="default"/>
                <w:sz w:val="18"/>
                <w:szCs w:val="18"/>
              </w:rPr>
              <w:t>范 </w:t>
            </w:r>
            <w:r>
              <w:rPr>
                <w:rFonts w:ascii="宋体" w:hAnsi="宋体" w:cs="宋体" w:eastAsia="宋体" w:hint="default"/>
                <w:spacing w:val="2"/>
                <w:sz w:val="18"/>
                <w:szCs w:val="18"/>
              </w:rPr>
              <w:t> </w:t>
            </w:r>
            <w:r>
              <w:rPr>
                <w:rFonts w:ascii="宋体" w:hAnsi="宋体" w:cs="宋体" w:eastAsia="宋体" w:hint="default"/>
                <w:sz w:val="18"/>
                <w:szCs w:val="18"/>
              </w:rPr>
              <w:t>新</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170" w:right="173"/>
              <w:jc w:val="left"/>
              <w:rPr>
                <w:rFonts w:ascii="宋体" w:hAnsi="宋体" w:cs="宋体" w:eastAsia="宋体" w:hint="default"/>
                <w:sz w:val="18"/>
                <w:szCs w:val="18"/>
              </w:rPr>
            </w:pPr>
            <w:r>
              <w:rPr>
                <w:rFonts w:ascii="宋体" w:hAnsi="宋体" w:cs="宋体" w:eastAsia="宋体" w:hint="default"/>
                <w:sz w:val="18"/>
                <w:szCs w:val="18"/>
              </w:rPr>
              <w:t>辽宁 沈阳</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98" w:right="245"/>
              <w:jc w:val="left"/>
              <w:rPr>
                <w:rFonts w:ascii="宋体" w:hAnsi="宋体" w:cs="宋体" w:eastAsia="宋体" w:hint="default"/>
                <w:sz w:val="18"/>
                <w:szCs w:val="18"/>
              </w:rPr>
            </w:pPr>
            <w:r>
              <w:rPr>
                <w:rFonts w:ascii="宋体" w:hAnsi="宋体" w:cs="宋体" w:eastAsia="宋体" w:hint="default"/>
                <w:sz w:val="18"/>
                <w:szCs w:val="18"/>
              </w:rPr>
              <w:t>科技园区及配套设施开发 管理</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right="100"/>
              <w:jc w:val="right"/>
              <w:rPr>
                <w:rFonts w:ascii="宋体" w:hAnsi="宋体" w:cs="宋体" w:eastAsia="宋体" w:hint="default"/>
                <w:sz w:val="18"/>
                <w:szCs w:val="18"/>
              </w:rPr>
            </w:pPr>
            <w:r>
              <w:rPr>
                <w:rFonts w:ascii="宋体"/>
                <w:spacing w:val="-1"/>
                <w:sz w:val="18"/>
              </w:rPr>
              <w:t>16,000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4"/>
              <w:ind w:right="93"/>
              <w:jc w:val="right"/>
              <w:rPr>
                <w:rFonts w:ascii="宋体" w:hAnsi="宋体" w:cs="宋体" w:eastAsia="宋体" w:hint="default"/>
                <w:sz w:val="18"/>
                <w:szCs w:val="18"/>
              </w:rPr>
            </w:pPr>
            <w:r>
              <w:rPr>
                <w:rFonts w:ascii="宋体"/>
                <w:sz w:val="18"/>
              </w:rPr>
              <w:t>100.00%</w:t>
            </w:r>
          </w:p>
        </w:tc>
      </w:tr>
      <w:tr>
        <w:trPr>
          <w:trHeight w:val="518" w:hRule="exact"/>
        </w:trPr>
        <w:tc>
          <w:tcPr>
            <w:tcW w:w="55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06"/>
              <w:ind w:left="172" w:right="0"/>
              <w:jc w:val="left"/>
              <w:rPr>
                <w:rFonts w:ascii="宋体" w:hAnsi="宋体" w:cs="宋体" w:eastAsia="宋体" w:hint="default"/>
                <w:sz w:val="18"/>
                <w:szCs w:val="18"/>
              </w:rPr>
            </w:pPr>
            <w:r>
              <w:rPr>
                <w:rFonts w:ascii="宋体"/>
                <w:sz w:val="18"/>
              </w:rPr>
              <w:t>37</w:t>
            </w:r>
          </w:p>
        </w:tc>
        <w:tc>
          <w:tcPr>
            <w:tcW w:w="216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6"/>
              <w:ind w:left="100" w:right="0"/>
              <w:jc w:val="left"/>
              <w:rPr>
                <w:rFonts w:ascii="宋体" w:hAnsi="宋体" w:cs="宋体" w:eastAsia="宋体" w:hint="default"/>
                <w:sz w:val="18"/>
                <w:szCs w:val="18"/>
              </w:rPr>
            </w:pPr>
            <w:r>
              <w:rPr>
                <w:rFonts w:ascii="宋体" w:hAnsi="宋体" w:cs="宋体" w:eastAsia="宋体" w:hint="default"/>
                <w:sz w:val="18"/>
                <w:szCs w:val="18"/>
              </w:rPr>
              <w:t>淮安同方水务有限公司</w:t>
            </w:r>
          </w:p>
        </w:tc>
        <w:tc>
          <w:tcPr>
            <w:tcW w:w="691" w:type="dxa"/>
            <w:tcBorders>
              <w:top w:val="single" w:sz="6" w:space="0" w:color="000000"/>
              <w:left w:val="single" w:sz="6" w:space="0" w:color="000000"/>
              <w:bottom w:val="single" w:sz="12" w:space="0" w:color="000000"/>
              <w:right w:val="single" w:sz="6" w:space="0" w:color="000000"/>
            </w:tcBorders>
          </w:tcPr>
          <w:p>
            <w:pPr>
              <w:pStyle w:val="TableParagraph"/>
              <w:spacing w:line="222" w:lineRule="exact"/>
              <w:ind w:left="134" w:right="0"/>
              <w:jc w:val="left"/>
              <w:rPr>
                <w:rFonts w:ascii="宋体" w:hAnsi="宋体" w:cs="宋体" w:eastAsia="宋体" w:hint="default"/>
                <w:sz w:val="18"/>
                <w:szCs w:val="18"/>
              </w:rPr>
            </w:pPr>
            <w:r>
              <w:rPr>
                <w:rFonts w:ascii="宋体" w:hAnsi="宋体" w:cs="宋体" w:eastAsia="宋体" w:hint="default"/>
                <w:sz w:val="18"/>
                <w:szCs w:val="18"/>
              </w:rPr>
              <w:t>04</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34"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3"/>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6"/>
              <w:ind w:right="0"/>
              <w:jc w:val="center"/>
              <w:rPr>
                <w:rFonts w:ascii="宋体" w:hAnsi="宋体" w:cs="宋体" w:eastAsia="宋体" w:hint="default"/>
                <w:sz w:val="18"/>
                <w:szCs w:val="18"/>
              </w:rPr>
            </w:pPr>
            <w:r>
              <w:rPr>
                <w:rFonts w:ascii="宋体" w:hAnsi="宋体" w:cs="宋体" w:eastAsia="宋体" w:hint="default"/>
                <w:sz w:val="18"/>
                <w:szCs w:val="18"/>
              </w:rPr>
              <w:t>范 </w:t>
            </w:r>
            <w:r>
              <w:rPr>
                <w:rFonts w:ascii="宋体" w:hAnsi="宋体" w:cs="宋体" w:eastAsia="宋体" w:hint="default"/>
                <w:spacing w:val="2"/>
                <w:sz w:val="18"/>
                <w:szCs w:val="18"/>
              </w:rPr>
              <w:t> </w:t>
            </w:r>
            <w:r>
              <w:rPr>
                <w:rFonts w:ascii="宋体" w:hAnsi="宋体" w:cs="宋体" w:eastAsia="宋体" w:hint="default"/>
                <w:sz w:val="18"/>
                <w:szCs w:val="18"/>
              </w:rPr>
              <w:t>新</w:t>
            </w:r>
          </w:p>
        </w:tc>
        <w:tc>
          <w:tcPr>
            <w:tcW w:w="720" w:type="dxa"/>
            <w:tcBorders>
              <w:top w:val="single" w:sz="6" w:space="0" w:color="000000"/>
              <w:left w:val="single" w:sz="6" w:space="0" w:color="000000"/>
              <w:bottom w:val="single" w:sz="12" w:space="0" w:color="000000"/>
              <w:right w:val="single" w:sz="6" w:space="0" w:color="000000"/>
            </w:tcBorders>
          </w:tcPr>
          <w:p>
            <w:pPr>
              <w:pStyle w:val="TableParagraph"/>
              <w:spacing w:line="240" w:lineRule="exact" w:before="4"/>
              <w:ind w:left="170" w:right="173"/>
              <w:jc w:val="left"/>
              <w:rPr>
                <w:rFonts w:ascii="宋体" w:hAnsi="宋体" w:cs="宋体" w:eastAsia="宋体" w:hint="default"/>
                <w:sz w:val="18"/>
                <w:szCs w:val="18"/>
              </w:rPr>
            </w:pPr>
            <w:r>
              <w:rPr>
                <w:rFonts w:ascii="宋体" w:hAnsi="宋体" w:cs="宋体" w:eastAsia="宋体" w:hint="default"/>
                <w:sz w:val="18"/>
                <w:szCs w:val="18"/>
              </w:rPr>
              <w:t>江苏 淮安</w:t>
            </w:r>
          </w:p>
        </w:tc>
        <w:tc>
          <w:tcPr>
            <w:tcW w:w="23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6"/>
              <w:ind w:left="98" w:right="0"/>
              <w:jc w:val="left"/>
              <w:rPr>
                <w:rFonts w:ascii="宋体" w:hAnsi="宋体" w:cs="宋体" w:eastAsia="宋体" w:hint="default"/>
                <w:sz w:val="18"/>
                <w:szCs w:val="18"/>
              </w:rPr>
            </w:pPr>
            <w:r>
              <w:rPr>
                <w:rFonts w:ascii="宋体" w:hAnsi="宋体" w:cs="宋体" w:eastAsia="宋体" w:hint="default"/>
                <w:sz w:val="18"/>
                <w:szCs w:val="18"/>
              </w:rPr>
              <w:t>水务投资、水厂建设运营</w:t>
            </w:r>
          </w:p>
        </w:tc>
        <w:tc>
          <w:tcPr>
            <w:tcW w:w="108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6"/>
              <w:ind w:right="100"/>
              <w:jc w:val="right"/>
              <w:rPr>
                <w:rFonts w:ascii="宋体" w:hAnsi="宋体" w:cs="宋体" w:eastAsia="宋体" w:hint="default"/>
                <w:sz w:val="18"/>
                <w:szCs w:val="18"/>
              </w:rPr>
            </w:pPr>
            <w:r>
              <w:rPr>
                <w:rFonts w:ascii="宋体"/>
                <w:spacing w:val="-1"/>
                <w:sz w:val="18"/>
              </w:rPr>
              <w:t>11,000</w:t>
            </w:r>
          </w:p>
        </w:tc>
        <w:tc>
          <w:tcPr>
            <w:tcW w:w="91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06"/>
              <w:ind w:right="93"/>
              <w:jc w:val="right"/>
              <w:rPr>
                <w:rFonts w:ascii="宋体" w:hAnsi="宋体" w:cs="宋体" w:eastAsia="宋体" w:hint="default"/>
                <w:sz w:val="18"/>
                <w:szCs w:val="18"/>
              </w:rPr>
            </w:pPr>
            <w:r>
              <w:rPr>
                <w:rFonts w:ascii="宋体"/>
                <w:spacing w:val="-1"/>
                <w:sz w:val="18"/>
              </w:rPr>
              <w:t>49.55%</w:t>
            </w:r>
          </w:p>
        </w:tc>
      </w:tr>
    </w:tbl>
    <w:p>
      <w:pPr>
        <w:spacing w:after="0" w:line="240" w:lineRule="auto"/>
        <w:jc w:val="right"/>
        <w:rPr>
          <w:rFonts w:ascii="宋体" w:hAnsi="宋体" w:cs="宋体" w:eastAsia="宋体" w:hint="default"/>
          <w:sz w:val="18"/>
          <w:szCs w:val="18"/>
        </w:rPr>
        <w:sectPr>
          <w:headerReference w:type="default" r:id="rId16"/>
          <w:pgSz w:w="11910" w:h="16840"/>
          <w:pgMar w:header="628" w:footer="760" w:top="1080" w:bottom="960" w:left="1200" w:right="10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8"/>
          <w:szCs w:val="18"/>
        </w:rPr>
      </w:pPr>
    </w:p>
    <w:tbl>
      <w:tblPr>
        <w:tblW w:w="0" w:type="auto"/>
        <w:jc w:val="left"/>
        <w:tblInd w:w="110" w:type="dxa"/>
        <w:tblLayout w:type="fixed"/>
        <w:tblCellMar>
          <w:top w:w="0" w:type="dxa"/>
          <w:left w:w="0" w:type="dxa"/>
          <w:bottom w:w="0" w:type="dxa"/>
          <w:right w:w="0" w:type="dxa"/>
        </w:tblCellMar>
        <w:tblLook w:val="01E0"/>
      </w:tblPr>
      <w:tblGrid>
        <w:gridCol w:w="557"/>
        <w:gridCol w:w="2161"/>
        <w:gridCol w:w="691"/>
        <w:gridCol w:w="929"/>
        <w:gridCol w:w="720"/>
        <w:gridCol w:w="2340"/>
        <w:gridCol w:w="1081"/>
        <w:gridCol w:w="912"/>
      </w:tblGrid>
      <w:tr>
        <w:trPr>
          <w:trHeight w:val="742" w:hRule="exact"/>
        </w:trPr>
        <w:tc>
          <w:tcPr>
            <w:tcW w:w="557" w:type="dxa"/>
            <w:tcBorders>
              <w:top w:val="single" w:sz="12" w:space="0" w:color="000000"/>
              <w:left w:val="single" w:sz="12" w:space="0" w:color="000000"/>
              <w:bottom w:val="single" w:sz="6" w:space="0" w:color="000000"/>
              <w:right w:val="single" w:sz="6" w:space="0" w:color="000000"/>
            </w:tcBorders>
          </w:tcPr>
          <w:p>
            <w:pPr>
              <w:pStyle w:val="TableParagraph"/>
              <w:spacing w:line="244" w:lineRule="auto" w:before="97"/>
              <w:ind w:left="172" w:right="180"/>
              <w:jc w:val="left"/>
              <w:rPr>
                <w:rFonts w:ascii="宋体" w:hAnsi="宋体" w:cs="宋体" w:eastAsia="宋体" w:hint="default"/>
                <w:sz w:val="18"/>
                <w:szCs w:val="18"/>
              </w:rPr>
            </w:pPr>
            <w:r>
              <w:rPr>
                <w:rFonts w:ascii="宋体" w:hAnsi="宋体" w:cs="宋体" w:eastAsia="宋体" w:hint="default"/>
                <w:b/>
                <w:bCs/>
                <w:sz w:val="18"/>
                <w:szCs w:val="18"/>
              </w:rPr>
              <w:t>序</w:t>
            </w:r>
            <w:r>
              <w:rPr>
                <w:rFonts w:ascii="宋体" w:hAnsi="宋体" w:cs="宋体" w:eastAsia="宋体" w:hint="default"/>
                <w:b/>
                <w:bCs/>
                <w:w w:val="99"/>
                <w:sz w:val="18"/>
                <w:szCs w:val="18"/>
              </w:rPr>
              <w:t> </w:t>
            </w:r>
            <w:r>
              <w:rPr>
                <w:rFonts w:ascii="宋体" w:hAnsi="宋体" w:cs="宋体" w:eastAsia="宋体" w:hint="default"/>
                <w:b/>
                <w:bCs/>
                <w:sz w:val="18"/>
                <w:szCs w:val="18"/>
              </w:rPr>
              <w:t>号</w:t>
            </w:r>
            <w:r>
              <w:rPr>
                <w:rFonts w:ascii="宋体" w:hAnsi="宋体" w:cs="宋体" w:eastAsia="宋体" w:hint="default"/>
                <w:sz w:val="18"/>
                <w:szCs w:val="18"/>
              </w:rPr>
            </w:r>
          </w:p>
        </w:tc>
        <w:tc>
          <w:tcPr>
            <w:tcW w:w="216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710" w:right="0"/>
              <w:jc w:val="left"/>
              <w:rPr>
                <w:rFonts w:ascii="宋体" w:hAnsi="宋体" w:cs="宋体" w:eastAsia="宋体" w:hint="default"/>
                <w:sz w:val="18"/>
                <w:szCs w:val="18"/>
              </w:rPr>
            </w:pPr>
            <w:r>
              <w:rPr>
                <w:rFonts w:ascii="宋体" w:hAnsi="宋体" w:cs="宋体" w:eastAsia="宋体" w:hint="default"/>
                <w:b/>
                <w:bCs/>
                <w:sz w:val="18"/>
                <w:szCs w:val="18"/>
              </w:rPr>
              <w:t>企业名称</w:t>
            </w:r>
            <w:r>
              <w:rPr>
                <w:rFonts w:ascii="宋体" w:hAnsi="宋体" w:cs="宋体" w:eastAsia="宋体" w:hint="default"/>
                <w:sz w:val="18"/>
                <w:szCs w:val="18"/>
              </w:rPr>
            </w:r>
          </w:p>
        </w:tc>
        <w:tc>
          <w:tcPr>
            <w:tcW w:w="691" w:type="dxa"/>
            <w:tcBorders>
              <w:top w:val="single" w:sz="12" w:space="0" w:color="000000"/>
              <w:left w:val="single" w:sz="6" w:space="0" w:color="000000"/>
              <w:bottom w:val="single" w:sz="6" w:space="0" w:color="000000"/>
              <w:right w:val="single" w:sz="6" w:space="0" w:color="000000"/>
            </w:tcBorders>
          </w:tcPr>
          <w:p>
            <w:pPr>
              <w:pStyle w:val="TableParagraph"/>
              <w:spacing w:line="244" w:lineRule="auto" w:before="97"/>
              <w:ind w:left="155" w:right="155"/>
              <w:jc w:val="left"/>
              <w:rPr>
                <w:rFonts w:ascii="宋体" w:hAnsi="宋体" w:cs="宋体" w:eastAsia="宋体" w:hint="default"/>
                <w:sz w:val="18"/>
                <w:szCs w:val="18"/>
              </w:rPr>
            </w:pPr>
            <w:r>
              <w:rPr>
                <w:rFonts w:ascii="宋体" w:hAnsi="宋体" w:cs="宋体" w:eastAsia="宋体" w:hint="default"/>
                <w:b/>
                <w:bCs/>
                <w:sz w:val="18"/>
                <w:szCs w:val="18"/>
              </w:rPr>
              <w:t>成立</w:t>
            </w:r>
            <w:r>
              <w:rPr>
                <w:rFonts w:ascii="宋体" w:hAnsi="宋体" w:cs="宋体" w:eastAsia="宋体" w:hint="default"/>
                <w:b/>
                <w:bCs/>
                <w:spacing w:val="-89"/>
                <w:sz w:val="18"/>
                <w:szCs w:val="18"/>
              </w:rPr>
              <w:t> </w:t>
            </w:r>
            <w:r>
              <w:rPr>
                <w:rFonts w:ascii="宋体" w:hAnsi="宋体" w:cs="宋体" w:eastAsia="宋体" w:hint="default"/>
                <w:b/>
                <w:bCs/>
                <w:sz w:val="18"/>
                <w:szCs w:val="18"/>
              </w:rPr>
              <w:t>日期</w:t>
            </w:r>
            <w:r>
              <w:rPr>
                <w:rFonts w:ascii="宋体" w:hAnsi="宋体" w:cs="宋体" w:eastAsia="宋体" w:hint="default"/>
                <w:sz w:val="18"/>
                <w:szCs w:val="18"/>
              </w:rPr>
            </w:r>
          </w:p>
        </w:tc>
        <w:tc>
          <w:tcPr>
            <w:tcW w:w="929" w:type="dxa"/>
            <w:tcBorders>
              <w:top w:val="single" w:sz="12" w:space="0" w:color="000000"/>
              <w:left w:val="single" w:sz="6" w:space="0" w:color="000000"/>
              <w:bottom w:val="single" w:sz="6" w:space="0" w:color="000000"/>
              <w:right w:val="single" w:sz="6" w:space="0" w:color="000000"/>
            </w:tcBorders>
          </w:tcPr>
          <w:p>
            <w:pPr>
              <w:pStyle w:val="TableParagraph"/>
              <w:spacing w:line="244" w:lineRule="auto" w:before="97"/>
              <w:ind w:left="273" w:right="185" w:hanging="89"/>
              <w:jc w:val="left"/>
              <w:rPr>
                <w:rFonts w:ascii="宋体" w:hAnsi="宋体" w:cs="宋体" w:eastAsia="宋体" w:hint="default"/>
                <w:sz w:val="18"/>
                <w:szCs w:val="18"/>
              </w:rPr>
            </w:pPr>
            <w:r>
              <w:rPr>
                <w:rFonts w:ascii="宋体" w:hAnsi="宋体" w:cs="宋体" w:eastAsia="宋体" w:hint="default"/>
                <w:b/>
                <w:bCs/>
                <w:sz w:val="18"/>
                <w:szCs w:val="18"/>
              </w:rPr>
              <w:t>法定代</w:t>
            </w:r>
            <w:r>
              <w:rPr>
                <w:rFonts w:ascii="宋体" w:hAnsi="宋体" w:cs="宋体" w:eastAsia="宋体" w:hint="default"/>
                <w:b/>
                <w:bCs/>
                <w:w w:val="99"/>
                <w:sz w:val="18"/>
                <w:szCs w:val="18"/>
              </w:rPr>
              <w:t> </w:t>
            </w:r>
            <w:r>
              <w:rPr>
                <w:rFonts w:ascii="宋体" w:hAnsi="宋体" w:cs="宋体" w:eastAsia="宋体" w:hint="default"/>
                <w:b/>
                <w:bCs/>
                <w:sz w:val="18"/>
                <w:szCs w:val="18"/>
              </w:rPr>
              <w:t>表人</w:t>
            </w:r>
            <w:r>
              <w:rPr>
                <w:rFonts w:ascii="宋体" w:hAnsi="宋体" w:cs="宋体" w:eastAsia="宋体" w:hint="default"/>
                <w:sz w:val="18"/>
                <w:szCs w:val="18"/>
              </w:rPr>
            </w:r>
          </w:p>
        </w:tc>
        <w:tc>
          <w:tcPr>
            <w:tcW w:w="720" w:type="dxa"/>
            <w:tcBorders>
              <w:top w:val="single" w:sz="12" w:space="0" w:color="000000"/>
              <w:left w:val="single" w:sz="6" w:space="0" w:color="000000"/>
              <w:bottom w:val="single" w:sz="6" w:space="0" w:color="000000"/>
              <w:right w:val="single" w:sz="6" w:space="0" w:color="000000"/>
            </w:tcBorders>
          </w:tcPr>
          <w:p>
            <w:pPr>
              <w:pStyle w:val="TableParagraph"/>
              <w:spacing w:line="244" w:lineRule="auto" w:before="97"/>
              <w:ind w:left="167" w:right="171"/>
              <w:jc w:val="left"/>
              <w:rPr>
                <w:rFonts w:ascii="宋体" w:hAnsi="宋体" w:cs="宋体" w:eastAsia="宋体" w:hint="default"/>
                <w:sz w:val="18"/>
                <w:szCs w:val="18"/>
              </w:rPr>
            </w:pPr>
            <w:r>
              <w:rPr>
                <w:rFonts w:ascii="宋体" w:hAnsi="宋体" w:cs="宋体" w:eastAsia="宋体" w:hint="default"/>
                <w:b/>
                <w:bCs/>
                <w:sz w:val="18"/>
                <w:szCs w:val="18"/>
              </w:rPr>
              <w:t>注册</w:t>
            </w:r>
            <w:r>
              <w:rPr>
                <w:rFonts w:ascii="宋体" w:hAnsi="宋体" w:cs="宋体" w:eastAsia="宋体" w:hint="default"/>
                <w:b/>
                <w:bCs/>
                <w:spacing w:val="-89"/>
                <w:sz w:val="18"/>
                <w:szCs w:val="18"/>
              </w:rPr>
              <w:t> </w:t>
            </w:r>
            <w:r>
              <w:rPr>
                <w:rFonts w:ascii="宋体" w:hAnsi="宋体" w:cs="宋体" w:eastAsia="宋体" w:hint="default"/>
                <w:b/>
                <w:bCs/>
                <w:sz w:val="18"/>
                <w:szCs w:val="18"/>
              </w:rPr>
              <w:t>地址</w:t>
            </w:r>
            <w:r>
              <w:rPr>
                <w:rFonts w:ascii="宋体" w:hAnsi="宋体" w:cs="宋体" w:eastAsia="宋体" w:hint="default"/>
                <w:sz w:val="18"/>
                <w:szCs w:val="18"/>
              </w:rPr>
            </w:r>
          </w:p>
        </w:tc>
        <w:tc>
          <w:tcPr>
            <w:tcW w:w="234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b/>
                <w:bCs/>
                <w:sz w:val="18"/>
                <w:szCs w:val="18"/>
              </w:rPr>
              <w:t>主营业务</w:t>
            </w:r>
            <w:r>
              <w:rPr>
                <w:rFonts w:ascii="宋体" w:hAnsi="宋体" w:cs="宋体" w:eastAsia="宋体" w:hint="default"/>
                <w:sz w:val="18"/>
                <w:szCs w:val="18"/>
              </w:rPr>
            </w:r>
          </w:p>
        </w:tc>
        <w:tc>
          <w:tcPr>
            <w:tcW w:w="1081" w:type="dxa"/>
            <w:tcBorders>
              <w:top w:val="single" w:sz="12" w:space="0" w:color="000000"/>
              <w:left w:val="single" w:sz="6" w:space="0" w:color="000000"/>
              <w:bottom w:val="single" w:sz="6" w:space="0" w:color="000000"/>
              <w:right w:val="single" w:sz="6" w:space="0" w:color="000000"/>
            </w:tcBorders>
          </w:tcPr>
          <w:p>
            <w:pPr>
              <w:pStyle w:val="TableParagraph"/>
              <w:spacing w:line="213" w:lineRule="exact"/>
              <w:ind w:left="122" w:right="0" w:firstLine="46"/>
              <w:jc w:val="left"/>
              <w:rPr>
                <w:rFonts w:ascii="宋体" w:hAnsi="宋体" w:cs="宋体" w:eastAsia="宋体" w:hint="default"/>
                <w:sz w:val="18"/>
                <w:szCs w:val="18"/>
              </w:rPr>
            </w:pPr>
            <w:r>
              <w:rPr>
                <w:rFonts w:ascii="宋体" w:hAnsi="宋体" w:cs="宋体" w:eastAsia="宋体" w:hint="default"/>
                <w:b/>
                <w:bCs/>
                <w:sz w:val="18"/>
                <w:szCs w:val="18"/>
              </w:rPr>
              <w:t>注册资本</w:t>
            </w:r>
            <w:r>
              <w:rPr>
                <w:rFonts w:ascii="宋体" w:hAnsi="宋体" w:cs="宋体" w:eastAsia="宋体" w:hint="default"/>
                <w:sz w:val="18"/>
                <w:szCs w:val="18"/>
              </w:rPr>
            </w:r>
          </w:p>
          <w:p>
            <w:pPr>
              <w:pStyle w:val="TableParagraph"/>
              <w:spacing w:line="244" w:lineRule="auto" w:before="4"/>
              <w:ind w:left="348" w:right="127" w:hanging="227"/>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万元</w:t>
            </w:r>
            <w:r>
              <w:rPr>
                <w:rFonts w:ascii="宋体" w:hAnsi="宋体" w:cs="宋体" w:eastAsia="宋体" w:hint="default"/>
                <w:b/>
                <w:bCs/>
                <w:sz w:val="18"/>
                <w:szCs w:val="18"/>
              </w:rPr>
              <w:t>)/</w:t>
            </w:r>
            <w:r>
              <w:rPr>
                <w:rFonts w:ascii="宋体" w:hAnsi="宋体" w:cs="宋体" w:eastAsia="宋体" w:hint="default"/>
                <w:b/>
                <w:bCs/>
                <w:sz w:val="18"/>
                <w:szCs w:val="18"/>
              </w:rPr>
              <w:t>总</w:t>
            </w:r>
            <w:r>
              <w:rPr>
                <w:rFonts w:ascii="宋体" w:hAnsi="宋体" w:cs="宋体" w:eastAsia="宋体" w:hint="default"/>
                <w:b/>
                <w:bCs/>
                <w:w w:val="99"/>
                <w:sz w:val="18"/>
                <w:szCs w:val="18"/>
              </w:rPr>
              <w:t> </w:t>
            </w:r>
            <w:r>
              <w:rPr>
                <w:rFonts w:ascii="宋体" w:hAnsi="宋体" w:cs="宋体" w:eastAsia="宋体" w:hint="default"/>
                <w:b/>
                <w:bCs/>
                <w:sz w:val="18"/>
                <w:szCs w:val="18"/>
              </w:rPr>
              <w:t>股本</w:t>
            </w:r>
            <w:r>
              <w:rPr>
                <w:rFonts w:ascii="宋体" w:hAnsi="宋体" w:cs="宋体" w:eastAsia="宋体" w:hint="default"/>
                <w:sz w:val="18"/>
                <w:szCs w:val="18"/>
              </w:rPr>
            </w:r>
          </w:p>
        </w:tc>
        <w:tc>
          <w:tcPr>
            <w:tcW w:w="912" w:type="dxa"/>
            <w:tcBorders>
              <w:top w:val="single" w:sz="12" w:space="0" w:color="000000"/>
              <w:left w:val="single" w:sz="6" w:space="0" w:color="000000"/>
              <w:bottom w:val="single" w:sz="6" w:space="0" w:color="000000"/>
              <w:right w:val="single" w:sz="12" w:space="0" w:color="000000"/>
            </w:tcBorders>
          </w:tcPr>
          <w:p>
            <w:pPr>
              <w:pStyle w:val="TableParagraph"/>
              <w:spacing w:line="244" w:lineRule="auto" w:before="97"/>
              <w:ind w:left="263" w:right="259"/>
              <w:jc w:val="left"/>
              <w:rPr>
                <w:rFonts w:ascii="宋体" w:hAnsi="宋体" w:cs="宋体" w:eastAsia="宋体" w:hint="default"/>
                <w:sz w:val="18"/>
                <w:szCs w:val="18"/>
              </w:rPr>
            </w:pPr>
            <w:r>
              <w:rPr>
                <w:rFonts w:ascii="宋体" w:hAnsi="宋体" w:cs="宋体" w:eastAsia="宋体" w:hint="default"/>
                <w:b/>
                <w:bCs/>
                <w:sz w:val="18"/>
                <w:szCs w:val="18"/>
              </w:rPr>
              <w:t>持股</w:t>
            </w:r>
            <w:r>
              <w:rPr>
                <w:rFonts w:ascii="宋体" w:hAnsi="宋体" w:cs="宋体" w:eastAsia="宋体" w:hint="default"/>
                <w:b/>
                <w:bCs/>
                <w:spacing w:val="-89"/>
                <w:sz w:val="18"/>
                <w:szCs w:val="18"/>
              </w:rPr>
              <w:t> </w:t>
            </w:r>
            <w:r>
              <w:rPr>
                <w:rFonts w:ascii="宋体" w:hAnsi="宋体" w:cs="宋体" w:eastAsia="宋体" w:hint="default"/>
                <w:b/>
                <w:bCs/>
                <w:sz w:val="18"/>
                <w:szCs w:val="18"/>
              </w:rPr>
              <w:t>比例</w:t>
            </w:r>
            <w:r>
              <w:rPr>
                <w:rFonts w:ascii="宋体" w:hAnsi="宋体" w:cs="宋体" w:eastAsia="宋体" w:hint="default"/>
                <w:sz w:val="18"/>
                <w:szCs w:val="18"/>
              </w:rPr>
            </w:r>
          </w:p>
        </w:tc>
      </w:tr>
      <w:tr>
        <w:trPr>
          <w:trHeight w:val="511"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6"/>
              <w:ind w:left="172" w:right="0"/>
              <w:jc w:val="left"/>
              <w:rPr>
                <w:rFonts w:ascii="宋体" w:hAnsi="宋体" w:cs="宋体" w:eastAsia="宋体" w:hint="default"/>
                <w:sz w:val="18"/>
                <w:szCs w:val="18"/>
              </w:rPr>
            </w:pPr>
            <w:r>
              <w:rPr>
                <w:rFonts w:ascii="宋体"/>
                <w:sz w:val="18"/>
              </w:rPr>
              <w:t>38</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4"/>
              <w:ind w:left="100" w:right="243"/>
              <w:jc w:val="left"/>
              <w:rPr>
                <w:rFonts w:ascii="宋体" w:hAnsi="宋体" w:cs="宋体" w:eastAsia="宋体" w:hint="default"/>
                <w:sz w:val="18"/>
                <w:szCs w:val="18"/>
              </w:rPr>
            </w:pPr>
            <w:r>
              <w:rPr>
                <w:rFonts w:ascii="宋体" w:hAnsi="宋体" w:cs="宋体" w:eastAsia="宋体" w:hint="default"/>
                <w:sz w:val="18"/>
                <w:szCs w:val="18"/>
              </w:rPr>
              <w:t>惠州市同方水务有限公 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134" w:right="0"/>
              <w:jc w:val="left"/>
              <w:rPr>
                <w:rFonts w:ascii="宋体" w:hAnsi="宋体" w:cs="宋体" w:eastAsia="宋体" w:hint="default"/>
                <w:sz w:val="18"/>
                <w:szCs w:val="18"/>
              </w:rPr>
            </w:pPr>
            <w:r>
              <w:rPr>
                <w:rFonts w:ascii="宋体" w:hAnsi="宋体" w:cs="宋体" w:eastAsia="宋体" w:hint="default"/>
                <w:sz w:val="18"/>
                <w:szCs w:val="18"/>
              </w:rPr>
              <w:t>05</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7</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84" w:right="0"/>
              <w:jc w:val="left"/>
              <w:rPr>
                <w:rFonts w:ascii="宋体" w:hAnsi="宋体" w:cs="宋体" w:eastAsia="宋体" w:hint="default"/>
                <w:sz w:val="18"/>
                <w:szCs w:val="18"/>
              </w:rPr>
            </w:pPr>
            <w:r>
              <w:rPr>
                <w:rFonts w:ascii="宋体" w:hAnsi="宋体" w:cs="宋体" w:eastAsia="宋体" w:hint="default"/>
                <w:sz w:val="18"/>
                <w:szCs w:val="18"/>
              </w:rPr>
              <w:t>范 </w:t>
            </w:r>
            <w:r>
              <w:rPr>
                <w:rFonts w:ascii="宋体" w:hAnsi="宋体" w:cs="宋体" w:eastAsia="宋体" w:hint="default"/>
                <w:spacing w:val="2"/>
                <w:sz w:val="18"/>
                <w:szCs w:val="18"/>
              </w:rPr>
              <w:t> </w:t>
            </w:r>
            <w:r>
              <w:rPr>
                <w:rFonts w:ascii="宋体" w:hAnsi="宋体" w:cs="宋体" w:eastAsia="宋体" w:hint="default"/>
                <w:sz w:val="18"/>
                <w:szCs w:val="18"/>
              </w:rPr>
              <w:t>新</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4"/>
              <w:ind w:left="170" w:right="173"/>
              <w:jc w:val="left"/>
              <w:rPr>
                <w:rFonts w:ascii="宋体" w:hAnsi="宋体" w:cs="宋体" w:eastAsia="宋体" w:hint="default"/>
                <w:sz w:val="18"/>
                <w:szCs w:val="18"/>
              </w:rPr>
            </w:pPr>
            <w:r>
              <w:rPr>
                <w:rFonts w:ascii="宋体" w:hAnsi="宋体" w:cs="宋体" w:eastAsia="宋体" w:hint="default"/>
                <w:sz w:val="18"/>
                <w:szCs w:val="18"/>
              </w:rPr>
              <w:t>广东 惠州</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98" w:right="0"/>
              <w:jc w:val="left"/>
              <w:rPr>
                <w:rFonts w:ascii="宋体" w:hAnsi="宋体" w:cs="宋体" w:eastAsia="宋体" w:hint="default"/>
                <w:sz w:val="18"/>
                <w:szCs w:val="18"/>
              </w:rPr>
            </w:pPr>
            <w:r>
              <w:rPr>
                <w:rFonts w:ascii="宋体" w:hAnsi="宋体" w:cs="宋体" w:eastAsia="宋体" w:hint="default"/>
                <w:sz w:val="18"/>
                <w:szCs w:val="18"/>
              </w:rPr>
              <w:t>水务投资、水厂建设运营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100"/>
              <w:jc w:val="right"/>
              <w:rPr>
                <w:rFonts w:ascii="宋体" w:hAnsi="宋体" w:cs="宋体" w:eastAsia="宋体" w:hint="default"/>
                <w:sz w:val="18"/>
                <w:szCs w:val="18"/>
              </w:rPr>
            </w:pPr>
            <w:r>
              <w:rPr>
                <w:rFonts w:ascii="宋体"/>
                <w:sz w:val="18"/>
              </w:rPr>
              <w:t>3,600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6"/>
              <w:ind w:right="93"/>
              <w:jc w:val="right"/>
              <w:rPr>
                <w:rFonts w:ascii="宋体" w:hAnsi="宋体" w:cs="宋体" w:eastAsia="宋体" w:hint="default"/>
                <w:sz w:val="18"/>
                <w:szCs w:val="18"/>
              </w:rPr>
            </w:pPr>
            <w:r>
              <w:rPr>
                <w:rFonts w:ascii="宋体"/>
                <w:sz w:val="18"/>
              </w:rPr>
              <w:t>100.00%</w:t>
            </w:r>
          </w:p>
        </w:tc>
      </w:tr>
      <w:tr>
        <w:trPr>
          <w:trHeight w:val="509"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4"/>
              <w:ind w:left="172" w:right="0"/>
              <w:jc w:val="left"/>
              <w:rPr>
                <w:rFonts w:ascii="宋体" w:hAnsi="宋体" w:cs="宋体" w:eastAsia="宋体" w:hint="default"/>
                <w:sz w:val="18"/>
                <w:szCs w:val="18"/>
              </w:rPr>
            </w:pPr>
            <w:r>
              <w:rPr>
                <w:rFonts w:ascii="宋体"/>
                <w:sz w:val="18"/>
              </w:rPr>
              <w:t>39</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100" w:right="243"/>
              <w:jc w:val="left"/>
              <w:rPr>
                <w:rFonts w:ascii="宋体" w:hAnsi="宋体" w:cs="宋体" w:eastAsia="宋体" w:hint="default"/>
                <w:sz w:val="18"/>
                <w:szCs w:val="18"/>
              </w:rPr>
            </w:pPr>
            <w:r>
              <w:rPr>
                <w:rFonts w:ascii="宋体" w:hAnsi="宋体" w:cs="宋体" w:eastAsia="宋体" w:hint="default"/>
                <w:sz w:val="18"/>
                <w:szCs w:val="18"/>
              </w:rPr>
              <w:t>北京同方光盘股份有限 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34" w:right="0"/>
              <w:jc w:val="left"/>
              <w:rPr>
                <w:rFonts w:ascii="宋体" w:hAnsi="宋体" w:cs="宋体" w:eastAsia="宋体" w:hint="default"/>
                <w:sz w:val="18"/>
                <w:szCs w:val="18"/>
              </w:rPr>
            </w:pPr>
            <w:r>
              <w:rPr>
                <w:rFonts w:ascii="宋体" w:hAnsi="宋体" w:cs="宋体" w:eastAsia="宋体" w:hint="default"/>
                <w:sz w:val="18"/>
                <w:szCs w:val="18"/>
              </w:rPr>
              <w:t>09</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7</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left="184" w:right="0"/>
              <w:jc w:val="left"/>
              <w:rPr>
                <w:rFonts w:ascii="宋体" w:hAnsi="宋体" w:cs="宋体" w:eastAsia="宋体" w:hint="default"/>
                <w:sz w:val="18"/>
                <w:szCs w:val="18"/>
              </w:rPr>
            </w:pPr>
            <w:r>
              <w:rPr>
                <w:rFonts w:ascii="宋体" w:hAnsi="宋体" w:cs="宋体" w:eastAsia="宋体" w:hint="default"/>
                <w:sz w:val="18"/>
                <w:szCs w:val="18"/>
              </w:rPr>
              <w:t>高 </w:t>
            </w:r>
            <w:r>
              <w:rPr>
                <w:rFonts w:ascii="宋体" w:hAnsi="宋体" w:cs="宋体" w:eastAsia="宋体" w:hint="default"/>
                <w:spacing w:val="2"/>
                <w:sz w:val="18"/>
                <w:szCs w:val="18"/>
              </w:rPr>
              <w:t> </w:t>
            </w:r>
            <w:r>
              <w:rPr>
                <w:rFonts w:ascii="宋体" w:hAnsi="宋体" w:cs="宋体" w:eastAsia="宋体" w:hint="default"/>
                <w:sz w:val="18"/>
                <w:szCs w:val="18"/>
              </w:rPr>
              <w:t>志</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170" w:right="173"/>
              <w:jc w:val="left"/>
              <w:rPr>
                <w:rFonts w:ascii="宋体" w:hAnsi="宋体" w:cs="宋体" w:eastAsia="宋体" w:hint="default"/>
                <w:sz w:val="18"/>
                <w:szCs w:val="18"/>
              </w:rPr>
            </w:pPr>
            <w:r>
              <w:rPr>
                <w:rFonts w:ascii="宋体" w:hAnsi="宋体" w:cs="宋体" w:eastAsia="宋体" w:hint="default"/>
                <w:sz w:val="18"/>
                <w:szCs w:val="18"/>
              </w:rPr>
              <w:t>北京 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98" w:right="101"/>
              <w:jc w:val="left"/>
              <w:rPr>
                <w:rFonts w:ascii="宋体" w:hAnsi="宋体" w:cs="宋体" w:eastAsia="宋体" w:hint="default"/>
                <w:sz w:val="18"/>
                <w:szCs w:val="18"/>
              </w:rPr>
            </w:pPr>
            <w:r>
              <w:rPr>
                <w:rFonts w:ascii="宋体" w:hAnsi="宋体" w:cs="宋体" w:eastAsia="宋体" w:hint="default"/>
                <w:spacing w:val="-3"/>
                <w:sz w:val="18"/>
                <w:szCs w:val="18"/>
              </w:rPr>
              <w:t>光存储技术研发，光盘存储</w:t>
            </w:r>
            <w:r>
              <w:rPr>
                <w:rFonts w:ascii="宋体" w:hAnsi="宋体" w:cs="宋体" w:eastAsia="宋体" w:hint="default"/>
                <w:sz w:val="18"/>
                <w:szCs w:val="18"/>
              </w:rPr>
              <w:t> 设备开发生产</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right="100"/>
              <w:jc w:val="right"/>
              <w:rPr>
                <w:rFonts w:ascii="宋体" w:hAnsi="宋体" w:cs="宋体" w:eastAsia="宋体" w:hint="default"/>
                <w:sz w:val="18"/>
                <w:szCs w:val="18"/>
              </w:rPr>
            </w:pPr>
            <w:r>
              <w:rPr>
                <w:rFonts w:ascii="宋体"/>
                <w:sz w:val="18"/>
              </w:rPr>
              <w:t>4,000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4"/>
              <w:ind w:right="92"/>
              <w:jc w:val="right"/>
              <w:rPr>
                <w:rFonts w:ascii="宋体" w:hAnsi="宋体" w:cs="宋体" w:eastAsia="宋体" w:hint="default"/>
                <w:sz w:val="18"/>
                <w:szCs w:val="18"/>
              </w:rPr>
            </w:pPr>
            <w:r>
              <w:rPr>
                <w:rFonts w:ascii="宋体"/>
                <w:spacing w:val="-1"/>
                <w:sz w:val="18"/>
              </w:rPr>
              <w:t>44.54%</w:t>
            </w:r>
          </w:p>
        </w:tc>
      </w:tr>
      <w:tr>
        <w:trPr>
          <w:trHeight w:val="511"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6"/>
              <w:ind w:left="172" w:right="0"/>
              <w:jc w:val="left"/>
              <w:rPr>
                <w:rFonts w:ascii="宋体" w:hAnsi="宋体" w:cs="宋体" w:eastAsia="宋体" w:hint="default"/>
                <w:sz w:val="18"/>
                <w:szCs w:val="18"/>
              </w:rPr>
            </w:pPr>
            <w:r>
              <w:rPr>
                <w:rFonts w:ascii="宋体"/>
                <w:sz w:val="18"/>
              </w:rPr>
              <w:t>40</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4"/>
              <w:ind w:left="100" w:right="243"/>
              <w:jc w:val="left"/>
              <w:rPr>
                <w:rFonts w:ascii="宋体" w:hAnsi="宋体" w:cs="宋体" w:eastAsia="宋体" w:hint="default"/>
                <w:sz w:val="18"/>
                <w:szCs w:val="18"/>
              </w:rPr>
            </w:pPr>
            <w:r>
              <w:rPr>
                <w:rFonts w:ascii="宋体" w:hAnsi="宋体" w:cs="宋体" w:eastAsia="宋体" w:hint="default"/>
                <w:sz w:val="18"/>
                <w:szCs w:val="18"/>
              </w:rPr>
              <w:t>同方泰豪动漫产业投资 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134" w:right="0"/>
              <w:jc w:val="left"/>
              <w:rPr>
                <w:rFonts w:ascii="宋体" w:hAnsi="宋体" w:cs="宋体" w:eastAsia="宋体" w:hint="default"/>
                <w:sz w:val="18"/>
                <w:szCs w:val="18"/>
              </w:rPr>
            </w:pPr>
            <w:r>
              <w:rPr>
                <w:rFonts w:ascii="宋体" w:hAnsi="宋体" w:cs="宋体" w:eastAsia="宋体" w:hint="default"/>
                <w:sz w:val="18"/>
                <w:szCs w:val="18"/>
              </w:rPr>
              <w:t>09</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7</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84" w:right="0"/>
              <w:jc w:val="left"/>
              <w:rPr>
                <w:rFonts w:ascii="宋体" w:hAnsi="宋体" w:cs="宋体" w:eastAsia="宋体" w:hint="default"/>
                <w:sz w:val="18"/>
                <w:szCs w:val="18"/>
              </w:rPr>
            </w:pPr>
            <w:r>
              <w:rPr>
                <w:rFonts w:ascii="宋体" w:hAnsi="宋体" w:cs="宋体" w:eastAsia="宋体" w:hint="default"/>
                <w:sz w:val="18"/>
                <w:szCs w:val="18"/>
              </w:rPr>
              <w:t>李 </w:t>
            </w:r>
            <w:r>
              <w:rPr>
                <w:rFonts w:ascii="宋体" w:hAnsi="宋体" w:cs="宋体" w:eastAsia="宋体" w:hint="default"/>
                <w:spacing w:val="2"/>
                <w:sz w:val="18"/>
                <w:szCs w:val="18"/>
              </w:rPr>
              <w:t> </w:t>
            </w:r>
            <w:r>
              <w:rPr>
                <w:rFonts w:ascii="宋体" w:hAnsi="宋体" w:cs="宋体" w:eastAsia="宋体" w:hint="default"/>
                <w:sz w:val="18"/>
                <w:szCs w:val="18"/>
              </w:rPr>
              <w:t>华</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4"/>
              <w:ind w:left="170" w:right="173"/>
              <w:jc w:val="left"/>
              <w:rPr>
                <w:rFonts w:ascii="宋体" w:hAnsi="宋体" w:cs="宋体" w:eastAsia="宋体" w:hint="default"/>
                <w:sz w:val="18"/>
                <w:szCs w:val="18"/>
              </w:rPr>
            </w:pPr>
            <w:r>
              <w:rPr>
                <w:rFonts w:ascii="宋体" w:hAnsi="宋体" w:cs="宋体" w:eastAsia="宋体" w:hint="default"/>
                <w:sz w:val="18"/>
                <w:szCs w:val="18"/>
              </w:rPr>
              <w:t>江西 南昌</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4"/>
              <w:ind w:left="98" w:right="101"/>
              <w:jc w:val="left"/>
              <w:rPr>
                <w:rFonts w:ascii="宋体" w:hAnsi="宋体" w:cs="宋体" w:eastAsia="宋体" w:hint="default"/>
                <w:sz w:val="18"/>
                <w:szCs w:val="18"/>
              </w:rPr>
            </w:pPr>
            <w:r>
              <w:rPr>
                <w:rFonts w:ascii="宋体" w:hAnsi="宋体" w:cs="宋体" w:eastAsia="宋体" w:hint="default"/>
                <w:spacing w:val="-3"/>
                <w:sz w:val="18"/>
                <w:szCs w:val="18"/>
              </w:rPr>
              <w:t>动漫产业投资，园区开发管</w:t>
            </w:r>
            <w:r>
              <w:rPr>
                <w:rFonts w:ascii="宋体" w:hAnsi="宋体" w:cs="宋体" w:eastAsia="宋体" w:hint="default"/>
                <w:sz w:val="18"/>
                <w:szCs w:val="18"/>
              </w:rPr>
              <w:t> 理</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100"/>
              <w:jc w:val="right"/>
              <w:rPr>
                <w:rFonts w:ascii="宋体" w:hAnsi="宋体" w:cs="宋体" w:eastAsia="宋体" w:hint="default"/>
                <w:sz w:val="18"/>
                <w:szCs w:val="18"/>
              </w:rPr>
            </w:pPr>
            <w:r>
              <w:rPr>
                <w:rFonts w:ascii="宋体"/>
                <w:spacing w:val="-1"/>
                <w:sz w:val="18"/>
              </w:rPr>
              <w:t>40,000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6"/>
              <w:ind w:right="93"/>
              <w:jc w:val="right"/>
              <w:rPr>
                <w:rFonts w:ascii="宋体" w:hAnsi="宋体" w:cs="宋体" w:eastAsia="宋体" w:hint="default"/>
                <w:sz w:val="18"/>
                <w:szCs w:val="18"/>
              </w:rPr>
            </w:pPr>
            <w:r>
              <w:rPr>
                <w:rFonts w:ascii="宋体"/>
                <w:spacing w:val="-1"/>
                <w:sz w:val="18"/>
              </w:rPr>
              <w:t>40.00%</w:t>
            </w:r>
          </w:p>
        </w:tc>
      </w:tr>
      <w:tr>
        <w:trPr>
          <w:trHeight w:val="509"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4"/>
              <w:ind w:left="172" w:right="0"/>
              <w:jc w:val="left"/>
              <w:rPr>
                <w:rFonts w:ascii="宋体" w:hAnsi="宋体" w:cs="宋体" w:eastAsia="宋体" w:hint="default"/>
                <w:sz w:val="18"/>
                <w:szCs w:val="18"/>
              </w:rPr>
            </w:pPr>
            <w:r>
              <w:rPr>
                <w:rFonts w:ascii="宋体"/>
                <w:sz w:val="18"/>
              </w:rPr>
              <w:t>41</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100" w:right="243"/>
              <w:jc w:val="left"/>
              <w:rPr>
                <w:rFonts w:ascii="宋体" w:hAnsi="宋体" w:cs="宋体" w:eastAsia="宋体" w:hint="default"/>
                <w:sz w:val="18"/>
                <w:szCs w:val="18"/>
              </w:rPr>
            </w:pPr>
            <w:r>
              <w:rPr>
                <w:rFonts w:ascii="宋体" w:hAnsi="宋体" w:cs="宋体" w:eastAsia="宋体" w:hint="default"/>
                <w:sz w:val="18"/>
                <w:szCs w:val="18"/>
              </w:rPr>
              <w:t>重庆同方合志科技有限 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34" w:right="0"/>
              <w:jc w:val="left"/>
              <w:rPr>
                <w:rFonts w:ascii="宋体" w:hAnsi="宋体" w:cs="宋体" w:eastAsia="宋体" w:hint="default"/>
                <w:sz w:val="18"/>
                <w:szCs w:val="18"/>
              </w:rPr>
            </w:pPr>
            <w:r>
              <w:rPr>
                <w:rFonts w:ascii="宋体" w:hAnsi="宋体" w:cs="宋体" w:eastAsia="宋体" w:hint="default"/>
                <w:sz w:val="18"/>
                <w:szCs w:val="18"/>
              </w:rPr>
              <w:t>09</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34"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3"/>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left="184" w:right="0"/>
              <w:jc w:val="left"/>
              <w:rPr>
                <w:rFonts w:ascii="宋体" w:hAnsi="宋体" w:cs="宋体" w:eastAsia="宋体" w:hint="default"/>
                <w:sz w:val="18"/>
                <w:szCs w:val="18"/>
              </w:rPr>
            </w:pPr>
            <w:r>
              <w:rPr>
                <w:rFonts w:ascii="宋体" w:hAnsi="宋体" w:cs="宋体" w:eastAsia="宋体" w:hint="default"/>
                <w:sz w:val="18"/>
                <w:szCs w:val="18"/>
              </w:rPr>
              <w:t>陆致成</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right="3"/>
              <w:jc w:val="center"/>
              <w:rPr>
                <w:rFonts w:ascii="宋体" w:hAnsi="宋体" w:cs="宋体" w:eastAsia="宋体" w:hint="default"/>
                <w:sz w:val="18"/>
                <w:szCs w:val="18"/>
              </w:rPr>
            </w:pPr>
            <w:r>
              <w:rPr>
                <w:rFonts w:ascii="宋体" w:hAnsi="宋体" w:cs="宋体" w:eastAsia="宋体" w:hint="default"/>
                <w:sz w:val="18"/>
                <w:szCs w:val="18"/>
              </w:rPr>
              <w:t>重庆</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left="98" w:right="0"/>
              <w:jc w:val="left"/>
              <w:rPr>
                <w:rFonts w:ascii="宋体" w:hAnsi="宋体" w:cs="宋体" w:eastAsia="宋体" w:hint="default"/>
                <w:sz w:val="18"/>
                <w:szCs w:val="18"/>
              </w:rPr>
            </w:pPr>
            <w:r>
              <w:rPr>
                <w:rFonts w:ascii="宋体" w:hAnsi="宋体" w:cs="宋体" w:eastAsia="宋体" w:hint="default"/>
                <w:sz w:val="18"/>
                <w:szCs w:val="18"/>
              </w:rPr>
              <w:t>物联网领域专业运营服务</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right="100"/>
              <w:jc w:val="right"/>
              <w:rPr>
                <w:rFonts w:ascii="宋体" w:hAnsi="宋体" w:cs="宋体" w:eastAsia="宋体" w:hint="default"/>
                <w:sz w:val="18"/>
                <w:szCs w:val="18"/>
              </w:rPr>
            </w:pPr>
            <w:r>
              <w:rPr>
                <w:rFonts w:ascii="宋体"/>
                <w:sz w:val="18"/>
              </w:rPr>
              <w:t>2,000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4"/>
              <w:ind w:right="93"/>
              <w:jc w:val="right"/>
              <w:rPr>
                <w:rFonts w:ascii="宋体" w:hAnsi="宋体" w:cs="宋体" w:eastAsia="宋体" w:hint="default"/>
                <w:sz w:val="18"/>
                <w:szCs w:val="18"/>
              </w:rPr>
            </w:pPr>
            <w:r>
              <w:rPr>
                <w:rFonts w:ascii="宋体"/>
                <w:spacing w:val="-1"/>
                <w:sz w:val="18"/>
              </w:rPr>
              <w:t>40.00%</w:t>
            </w:r>
          </w:p>
        </w:tc>
      </w:tr>
      <w:tr>
        <w:trPr>
          <w:trHeight w:val="512"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6"/>
              <w:ind w:left="172" w:right="0"/>
              <w:jc w:val="left"/>
              <w:rPr>
                <w:rFonts w:ascii="宋体" w:hAnsi="宋体" w:cs="宋体" w:eastAsia="宋体" w:hint="default"/>
                <w:sz w:val="18"/>
                <w:szCs w:val="18"/>
              </w:rPr>
            </w:pPr>
            <w:r>
              <w:rPr>
                <w:rFonts w:ascii="宋体"/>
                <w:sz w:val="18"/>
              </w:rPr>
              <w:t>42</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4"/>
              <w:ind w:left="100" w:right="243"/>
              <w:jc w:val="left"/>
              <w:rPr>
                <w:rFonts w:ascii="宋体" w:hAnsi="宋体" w:cs="宋体" w:eastAsia="宋体" w:hint="default"/>
                <w:sz w:val="18"/>
                <w:szCs w:val="18"/>
              </w:rPr>
            </w:pPr>
            <w:r>
              <w:rPr>
                <w:rFonts w:ascii="宋体" w:hAnsi="宋体" w:cs="宋体" w:eastAsia="宋体" w:hint="default"/>
                <w:sz w:val="18"/>
                <w:szCs w:val="18"/>
              </w:rPr>
              <w:t>北京辰安科技股份有限 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134" w:right="0"/>
              <w:jc w:val="left"/>
              <w:rPr>
                <w:rFonts w:ascii="宋体" w:hAnsi="宋体" w:cs="宋体" w:eastAsia="宋体" w:hint="default"/>
                <w:sz w:val="18"/>
                <w:szCs w:val="18"/>
              </w:rPr>
            </w:pPr>
            <w:r>
              <w:rPr>
                <w:rFonts w:ascii="宋体" w:hAnsi="宋体" w:cs="宋体" w:eastAsia="宋体" w:hint="default"/>
                <w:sz w:val="18"/>
                <w:szCs w:val="18"/>
              </w:rPr>
              <w:t>05</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5"/>
              <w:ind w:left="134" w:right="0"/>
              <w:jc w:val="left"/>
              <w:rPr>
                <w:rFonts w:ascii="宋体" w:hAnsi="宋体" w:cs="宋体" w:eastAsia="宋体" w:hint="default"/>
                <w:sz w:val="18"/>
                <w:szCs w:val="18"/>
              </w:rPr>
            </w:pPr>
            <w:r>
              <w:rPr>
                <w:rFonts w:ascii="宋体" w:hAnsi="宋体" w:cs="宋体" w:eastAsia="宋体" w:hint="default"/>
                <w:sz w:val="18"/>
                <w:szCs w:val="18"/>
              </w:rPr>
              <w:t>11</w:t>
            </w:r>
            <w:r>
              <w:rPr>
                <w:rFonts w:ascii="宋体" w:hAnsi="宋体" w:cs="宋体" w:eastAsia="宋体" w:hint="default"/>
                <w:spacing w:val="-43"/>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84" w:right="0"/>
              <w:jc w:val="left"/>
              <w:rPr>
                <w:rFonts w:ascii="宋体" w:hAnsi="宋体" w:cs="宋体" w:eastAsia="宋体" w:hint="default"/>
                <w:sz w:val="18"/>
                <w:szCs w:val="18"/>
              </w:rPr>
            </w:pPr>
            <w:r>
              <w:rPr>
                <w:rFonts w:ascii="宋体" w:hAnsi="宋体" w:cs="宋体" w:eastAsia="宋体" w:hint="default"/>
                <w:sz w:val="18"/>
                <w:szCs w:val="18"/>
              </w:rPr>
              <w:t>王 </w:t>
            </w:r>
            <w:r>
              <w:rPr>
                <w:rFonts w:ascii="宋体" w:hAnsi="宋体" w:cs="宋体" w:eastAsia="宋体" w:hint="default"/>
                <w:spacing w:val="2"/>
                <w:sz w:val="18"/>
                <w:szCs w:val="18"/>
              </w:rPr>
              <w:t> </w:t>
            </w:r>
            <w:r>
              <w:rPr>
                <w:rFonts w:ascii="宋体" w:hAnsi="宋体" w:cs="宋体" w:eastAsia="宋体" w:hint="default"/>
                <w:sz w:val="18"/>
                <w:szCs w:val="18"/>
              </w:rPr>
              <w:t>忠</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4"/>
              <w:ind w:left="170" w:right="173"/>
              <w:jc w:val="left"/>
              <w:rPr>
                <w:rFonts w:ascii="宋体" w:hAnsi="宋体" w:cs="宋体" w:eastAsia="宋体" w:hint="default"/>
                <w:sz w:val="18"/>
                <w:szCs w:val="18"/>
              </w:rPr>
            </w:pPr>
            <w:r>
              <w:rPr>
                <w:rFonts w:ascii="宋体" w:hAnsi="宋体" w:cs="宋体" w:eastAsia="宋体" w:hint="default"/>
                <w:sz w:val="18"/>
                <w:szCs w:val="18"/>
              </w:rPr>
              <w:t>北京 海淀</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98" w:right="0"/>
              <w:jc w:val="left"/>
              <w:rPr>
                <w:rFonts w:ascii="宋体" w:hAnsi="宋体" w:cs="宋体" w:eastAsia="宋体" w:hint="default"/>
                <w:sz w:val="18"/>
                <w:szCs w:val="18"/>
              </w:rPr>
            </w:pPr>
            <w:r>
              <w:rPr>
                <w:rFonts w:ascii="宋体" w:hAnsi="宋体" w:cs="宋体" w:eastAsia="宋体" w:hint="default"/>
                <w:sz w:val="18"/>
                <w:szCs w:val="18"/>
              </w:rPr>
              <w:t>信息系统集成</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100"/>
              <w:jc w:val="right"/>
              <w:rPr>
                <w:rFonts w:ascii="宋体" w:hAnsi="宋体" w:cs="宋体" w:eastAsia="宋体" w:hint="default"/>
                <w:sz w:val="18"/>
                <w:szCs w:val="18"/>
              </w:rPr>
            </w:pPr>
            <w:r>
              <w:rPr>
                <w:rFonts w:ascii="宋体"/>
                <w:sz w:val="18"/>
              </w:rPr>
              <w:t>6,000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6"/>
              <w:ind w:right="93"/>
              <w:jc w:val="right"/>
              <w:rPr>
                <w:rFonts w:ascii="宋体" w:hAnsi="宋体" w:cs="宋体" w:eastAsia="宋体" w:hint="default"/>
                <w:sz w:val="18"/>
                <w:szCs w:val="18"/>
              </w:rPr>
            </w:pPr>
            <w:r>
              <w:rPr>
                <w:rFonts w:ascii="宋体"/>
                <w:spacing w:val="-1"/>
                <w:sz w:val="18"/>
              </w:rPr>
              <w:t>11.25%</w:t>
            </w:r>
          </w:p>
        </w:tc>
      </w:tr>
      <w:tr>
        <w:trPr>
          <w:trHeight w:val="509"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4"/>
              <w:ind w:left="172" w:right="0"/>
              <w:jc w:val="left"/>
              <w:rPr>
                <w:rFonts w:ascii="宋体" w:hAnsi="宋体" w:cs="宋体" w:eastAsia="宋体" w:hint="default"/>
                <w:sz w:val="18"/>
                <w:szCs w:val="18"/>
              </w:rPr>
            </w:pPr>
            <w:r>
              <w:rPr>
                <w:rFonts w:ascii="宋体"/>
                <w:sz w:val="18"/>
              </w:rPr>
              <w:t>43</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100" w:right="243"/>
              <w:jc w:val="left"/>
              <w:rPr>
                <w:rFonts w:ascii="宋体" w:hAnsi="宋体" w:cs="宋体" w:eastAsia="宋体" w:hint="default"/>
                <w:sz w:val="18"/>
                <w:szCs w:val="18"/>
              </w:rPr>
            </w:pPr>
            <w:r>
              <w:rPr>
                <w:rFonts w:ascii="宋体" w:hAnsi="宋体" w:cs="宋体" w:eastAsia="宋体" w:hint="default"/>
                <w:sz w:val="18"/>
                <w:szCs w:val="18"/>
              </w:rPr>
              <w:t>深圳市同方多媒体科技 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34" w:right="0"/>
              <w:jc w:val="left"/>
              <w:rPr>
                <w:rFonts w:ascii="宋体" w:hAnsi="宋体" w:cs="宋体" w:eastAsia="宋体" w:hint="default"/>
                <w:sz w:val="18"/>
                <w:szCs w:val="18"/>
              </w:rPr>
            </w:pPr>
            <w:r>
              <w:rPr>
                <w:rFonts w:ascii="宋体" w:hAnsi="宋体" w:cs="宋体" w:eastAsia="宋体" w:hint="default"/>
                <w:sz w:val="18"/>
                <w:szCs w:val="18"/>
              </w:rPr>
              <w:t>06</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left="184" w:right="0"/>
              <w:jc w:val="left"/>
              <w:rPr>
                <w:rFonts w:ascii="宋体" w:hAnsi="宋体" w:cs="宋体" w:eastAsia="宋体" w:hint="default"/>
                <w:sz w:val="18"/>
                <w:szCs w:val="18"/>
              </w:rPr>
            </w:pPr>
            <w:r>
              <w:rPr>
                <w:rFonts w:ascii="宋体" w:hAnsi="宋体" w:cs="宋体" w:eastAsia="宋体" w:hint="default"/>
                <w:sz w:val="18"/>
                <w:szCs w:val="18"/>
              </w:rPr>
              <w:t>陆致成</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170" w:right="173"/>
              <w:jc w:val="left"/>
              <w:rPr>
                <w:rFonts w:ascii="宋体" w:hAnsi="宋体" w:cs="宋体" w:eastAsia="宋体" w:hint="default"/>
                <w:sz w:val="18"/>
                <w:szCs w:val="18"/>
              </w:rPr>
            </w:pPr>
            <w:r>
              <w:rPr>
                <w:rFonts w:ascii="宋体" w:hAnsi="宋体" w:cs="宋体" w:eastAsia="宋体" w:hint="default"/>
                <w:sz w:val="18"/>
                <w:szCs w:val="18"/>
              </w:rPr>
              <w:t>广东 深圳</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98" w:right="245"/>
              <w:jc w:val="left"/>
              <w:rPr>
                <w:rFonts w:ascii="宋体" w:hAnsi="宋体" w:cs="宋体" w:eastAsia="宋体" w:hint="default"/>
                <w:sz w:val="18"/>
                <w:szCs w:val="18"/>
              </w:rPr>
            </w:pPr>
            <w:r>
              <w:rPr>
                <w:rFonts w:ascii="宋体" w:hAnsi="宋体" w:cs="宋体" w:eastAsia="宋体" w:hint="default"/>
                <w:sz w:val="18"/>
                <w:szCs w:val="18"/>
              </w:rPr>
              <w:t>多媒体数字音视频技术及 产品开发、销售</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right="100"/>
              <w:jc w:val="right"/>
              <w:rPr>
                <w:rFonts w:ascii="宋体" w:hAnsi="宋体" w:cs="宋体" w:eastAsia="宋体" w:hint="default"/>
                <w:sz w:val="18"/>
                <w:szCs w:val="18"/>
              </w:rPr>
            </w:pPr>
            <w:r>
              <w:rPr>
                <w:rFonts w:ascii="宋体"/>
                <w:spacing w:val="-1"/>
                <w:sz w:val="18"/>
              </w:rPr>
              <w:t>30,000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4"/>
              <w:ind w:right="93"/>
              <w:jc w:val="right"/>
              <w:rPr>
                <w:rFonts w:ascii="宋体" w:hAnsi="宋体" w:cs="宋体" w:eastAsia="宋体" w:hint="default"/>
                <w:sz w:val="18"/>
                <w:szCs w:val="18"/>
              </w:rPr>
            </w:pPr>
            <w:r>
              <w:rPr>
                <w:rFonts w:ascii="宋体"/>
                <w:sz w:val="18"/>
              </w:rPr>
              <w:t>100.00%</w:t>
            </w:r>
          </w:p>
        </w:tc>
      </w:tr>
      <w:tr>
        <w:trPr>
          <w:trHeight w:val="511"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6"/>
              <w:ind w:left="172" w:right="0"/>
              <w:jc w:val="left"/>
              <w:rPr>
                <w:rFonts w:ascii="宋体" w:hAnsi="宋体" w:cs="宋体" w:eastAsia="宋体" w:hint="default"/>
                <w:sz w:val="18"/>
                <w:szCs w:val="18"/>
              </w:rPr>
            </w:pPr>
            <w:r>
              <w:rPr>
                <w:rFonts w:ascii="宋体"/>
                <w:sz w:val="18"/>
              </w:rPr>
              <w:t>44</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5"/>
              <w:ind w:left="100" w:right="242"/>
              <w:jc w:val="left"/>
              <w:rPr>
                <w:rFonts w:ascii="宋体" w:hAnsi="宋体" w:cs="宋体" w:eastAsia="宋体" w:hint="default"/>
                <w:sz w:val="18"/>
                <w:szCs w:val="18"/>
              </w:rPr>
            </w:pPr>
            <w:r>
              <w:rPr>
                <w:rFonts w:ascii="宋体" w:hAnsi="宋体" w:cs="宋体" w:eastAsia="宋体" w:hint="default"/>
                <w:sz w:val="18"/>
                <w:szCs w:val="18"/>
              </w:rPr>
              <w:t>同方光电</w:t>
            </w:r>
            <w:r>
              <w:rPr>
                <w:rFonts w:ascii="宋体" w:hAnsi="宋体" w:cs="宋体" w:eastAsia="宋体" w:hint="default"/>
                <w:sz w:val="18"/>
                <w:szCs w:val="18"/>
              </w:rPr>
              <w:t>(</w:t>
            </w:r>
            <w:r>
              <w:rPr>
                <w:rFonts w:ascii="宋体" w:hAnsi="宋体" w:cs="宋体" w:eastAsia="宋体" w:hint="default"/>
                <w:sz w:val="18"/>
                <w:szCs w:val="18"/>
              </w:rPr>
              <w:t>香港</w:t>
            </w:r>
            <w:r>
              <w:rPr>
                <w:rFonts w:ascii="宋体" w:hAnsi="宋体" w:cs="宋体" w:eastAsia="宋体" w:hint="default"/>
                <w:sz w:val="18"/>
                <w:szCs w:val="18"/>
              </w:rPr>
              <w:t>)</w:t>
            </w:r>
            <w:r>
              <w:rPr>
                <w:rFonts w:ascii="宋体" w:hAnsi="宋体" w:cs="宋体" w:eastAsia="宋体" w:hint="default"/>
                <w:sz w:val="18"/>
                <w:szCs w:val="18"/>
              </w:rPr>
              <w:t>有限公 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134" w:right="0"/>
              <w:jc w:val="left"/>
              <w:rPr>
                <w:rFonts w:ascii="宋体" w:hAnsi="宋体" w:cs="宋体" w:eastAsia="宋体" w:hint="default"/>
                <w:sz w:val="18"/>
                <w:szCs w:val="18"/>
              </w:rPr>
            </w:pPr>
            <w:r>
              <w:rPr>
                <w:rFonts w:ascii="宋体" w:hAnsi="宋体" w:cs="宋体" w:eastAsia="宋体" w:hint="default"/>
                <w:sz w:val="18"/>
                <w:szCs w:val="18"/>
              </w:rPr>
              <w:t>09</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84" w:right="0"/>
              <w:jc w:val="left"/>
              <w:rPr>
                <w:rFonts w:ascii="宋体" w:hAnsi="宋体" w:cs="宋体" w:eastAsia="宋体" w:hint="default"/>
                <w:sz w:val="18"/>
                <w:szCs w:val="18"/>
              </w:rPr>
            </w:pPr>
            <w:r>
              <w:rPr>
                <w:rFonts w:ascii="宋体" w:hAnsi="宋体" w:cs="宋体" w:eastAsia="宋体" w:hint="default"/>
                <w:sz w:val="18"/>
                <w:szCs w:val="18"/>
              </w:rPr>
              <w:t>范 </w:t>
            </w:r>
            <w:r>
              <w:rPr>
                <w:rFonts w:ascii="宋体" w:hAnsi="宋体" w:cs="宋体" w:eastAsia="宋体" w:hint="default"/>
                <w:spacing w:val="2"/>
                <w:sz w:val="18"/>
                <w:szCs w:val="18"/>
              </w:rPr>
              <w:t> </w:t>
            </w:r>
            <w:r>
              <w:rPr>
                <w:rFonts w:ascii="宋体" w:hAnsi="宋体" w:cs="宋体" w:eastAsia="宋体" w:hint="default"/>
                <w:sz w:val="18"/>
                <w:szCs w:val="18"/>
              </w:rPr>
              <w:t>新</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3"/>
              <w:jc w:val="center"/>
              <w:rPr>
                <w:rFonts w:ascii="宋体" w:hAnsi="宋体" w:cs="宋体" w:eastAsia="宋体" w:hint="default"/>
                <w:sz w:val="18"/>
                <w:szCs w:val="18"/>
              </w:rPr>
            </w:pPr>
            <w:r>
              <w:rPr>
                <w:rFonts w:ascii="宋体" w:hAnsi="宋体" w:cs="宋体" w:eastAsia="宋体" w:hint="default"/>
                <w:sz w:val="18"/>
                <w:szCs w:val="18"/>
              </w:rPr>
              <w:t>香港</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98" w:right="0"/>
              <w:jc w:val="left"/>
              <w:rPr>
                <w:rFonts w:ascii="宋体" w:hAnsi="宋体" w:cs="宋体" w:eastAsia="宋体" w:hint="default"/>
                <w:sz w:val="18"/>
                <w:szCs w:val="18"/>
              </w:rPr>
            </w:pPr>
            <w:r>
              <w:rPr>
                <w:rFonts w:ascii="宋体" w:hAnsi="宋体" w:cs="宋体" w:eastAsia="宋体" w:hint="default"/>
                <w:sz w:val="18"/>
                <w:szCs w:val="18"/>
              </w:rPr>
              <w:t>LED</w:t>
            </w:r>
            <w:r>
              <w:rPr>
                <w:rFonts w:ascii="宋体" w:hAnsi="宋体" w:cs="宋体" w:eastAsia="宋体" w:hint="default"/>
                <w:spacing w:val="-45"/>
                <w:sz w:val="18"/>
                <w:szCs w:val="18"/>
              </w:rPr>
              <w:t> </w:t>
            </w:r>
            <w:r>
              <w:rPr>
                <w:rFonts w:ascii="宋体" w:hAnsi="宋体" w:cs="宋体" w:eastAsia="宋体" w:hint="default"/>
                <w:sz w:val="18"/>
                <w:szCs w:val="18"/>
              </w:rPr>
              <w:t>背光模组的开发和销售</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377" w:right="0"/>
              <w:jc w:val="left"/>
              <w:rPr>
                <w:rFonts w:ascii="宋体" w:hAnsi="宋体" w:cs="宋体" w:eastAsia="宋体" w:hint="default"/>
                <w:sz w:val="18"/>
                <w:szCs w:val="18"/>
              </w:rPr>
            </w:pPr>
            <w:r>
              <w:rPr>
                <w:rFonts w:ascii="宋体" w:hAnsi="宋体" w:cs="宋体" w:eastAsia="宋体" w:hint="default"/>
                <w:sz w:val="18"/>
                <w:szCs w:val="18"/>
              </w:rPr>
              <w:t>2000</w:t>
            </w:r>
            <w:r>
              <w:rPr>
                <w:rFonts w:ascii="宋体" w:hAnsi="宋体" w:cs="宋体" w:eastAsia="宋体" w:hint="default"/>
                <w:spacing w:val="-43"/>
                <w:sz w:val="18"/>
                <w:szCs w:val="18"/>
              </w:rPr>
              <w:t> </w:t>
            </w:r>
            <w:r>
              <w:rPr>
                <w:rFonts w:ascii="宋体" w:hAnsi="宋体" w:cs="宋体" w:eastAsia="宋体" w:hint="default"/>
                <w:sz w:val="18"/>
                <w:szCs w:val="18"/>
              </w:rPr>
              <w:t>万</w:t>
            </w:r>
          </w:p>
          <w:p>
            <w:pPr>
              <w:pStyle w:val="TableParagraph"/>
              <w:spacing w:line="240" w:lineRule="auto" w:before="4"/>
              <w:ind w:left="60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6"/>
              <w:ind w:right="93"/>
              <w:jc w:val="right"/>
              <w:rPr>
                <w:rFonts w:ascii="宋体" w:hAnsi="宋体" w:cs="宋体" w:eastAsia="宋体" w:hint="default"/>
                <w:sz w:val="18"/>
                <w:szCs w:val="18"/>
              </w:rPr>
            </w:pPr>
            <w:r>
              <w:rPr>
                <w:rFonts w:ascii="宋体"/>
                <w:spacing w:val="-1"/>
                <w:sz w:val="18"/>
              </w:rPr>
              <w:t>45.00%</w:t>
            </w:r>
          </w:p>
        </w:tc>
      </w:tr>
      <w:tr>
        <w:trPr>
          <w:trHeight w:val="509"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4"/>
              <w:ind w:left="172" w:right="0"/>
              <w:jc w:val="left"/>
              <w:rPr>
                <w:rFonts w:ascii="宋体" w:hAnsi="宋体" w:cs="宋体" w:eastAsia="宋体" w:hint="default"/>
                <w:sz w:val="18"/>
                <w:szCs w:val="18"/>
              </w:rPr>
            </w:pPr>
            <w:r>
              <w:rPr>
                <w:rFonts w:ascii="宋体"/>
                <w:sz w:val="18"/>
              </w:rPr>
              <w:t>45</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100" w:right="243"/>
              <w:jc w:val="left"/>
              <w:rPr>
                <w:rFonts w:ascii="宋体" w:hAnsi="宋体" w:cs="宋体" w:eastAsia="宋体" w:hint="default"/>
                <w:sz w:val="18"/>
                <w:szCs w:val="18"/>
              </w:rPr>
            </w:pPr>
            <w:r>
              <w:rPr>
                <w:rFonts w:ascii="宋体" w:hAnsi="宋体" w:cs="宋体" w:eastAsia="宋体" w:hint="default"/>
                <w:sz w:val="18"/>
                <w:szCs w:val="18"/>
              </w:rPr>
              <w:t>南通同方半导体有限公 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34" w:right="0"/>
              <w:jc w:val="left"/>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6</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left="184" w:right="0"/>
              <w:jc w:val="left"/>
              <w:rPr>
                <w:rFonts w:ascii="宋体" w:hAnsi="宋体" w:cs="宋体" w:eastAsia="宋体" w:hint="default"/>
                <w:sz w:val="18"/>
                <w:szCs w:val="18"/>
              </w:rPr>
            </w:pPr>
            <w:r>
              <w:rPr>
                <w:rFonts w:ascii="宋体" w:hAnsi="宋体" w:cs="宋体" w:eastAsia="宋体" w:hint="default"/>
                <w:sz w:val="18"/>
                <w:szCs w:val="18"/>
              </w:rPr>
              <w:t>范 </w:t>
            </w:r>
            <w:r>
              <w:rPr>
                <w:rFonts w:ascii="宋体" w:hAnsi="宋体" w:cs="宋体" w:eastAsia="宋体" w:hint="default"/>
                <w:spacing w:val="2"/>
                <w:sz w:val="18"/>
                <w:szCs w:val="18"/>
              </w:rPr>
              <w:t> </w:t>
            </w:r>
            <w:r>
              <w:rPr>
                <w:rFonts w:ascii="宋体" w:hAnsi="宋体" w:cs="宋体" w:eastAsia="宋体" w:hint="default"/>
                <w:sz w:val="18"/>
                <w:szCs w:val="18"/>
              </w:rPr>
              <w:t>新</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170" w:right="173"/>
              <w:jc w:val="left"/>
              <w:rPr>
                <w:rFonts w:ascii="宋体" w:hAnsi="宋体" w:cs="宋体" w:eastAsia="宋体" w:hint="default"/>
                <w:sz w:val="18"/>
                <w:szCs w:val="18"/>
              </w:rPr>
            </w:pPr>
            <w:r>
              <w:rPr>
                <w:rFonts w:ascii="宋体" w:hAnsi="宋体" w:cs="宋体" w:eastAsia="宋体" w:hint="default"/>
                <w:sz w:val="18"/>
                <w:szCs w:val="18"/>
              </w:rPr>
              <w:t>江苏 南通</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98" w:right="65"/>
              <w:jc w:val="left"/>
              <w:rPr>
                <w:rFonts w:ascii="宋体" w:hAnsi="宋体" w:cs="宋体" w:eastAsia="宋体" w:hint="default"/>
                <w:sz w:val="18"/>
                <w:szCs w:val="18"/>
              </w:rPr>
            </w:pPr>
            <w:r>
              <w:rPr>
                <w:rFonts w:ascii="宋体" w:hAnsi="宋体" w:cs="宋体" w:eastAsia="宋体" w:hint="default"/>
                <w:sz w:val="18"/>
                <w:szCs w:val="18"/>
              </w:rPr>
              <w:t>高亮度发光二极管外延片、 芯片的生产和销售</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right="100"/>
              <w:jc w:val="right"/>
              <w:rPr>
                <w:rFonts w:ascii="宋体" w:hAnsi="宋体" w:cs="宋体" w:eastAsia="宋体" w:hint="default"/>
                <w:sz w:val="18"/>
                <w:szCs w:val="18"/>
              </w:rPr>
            </w:pPr>
            <w:r>
              <w:rPr>
                <w:rFonts w:ascii="宋体"/>
                <w:spacing w:val="-1"/>
                <w:sz w:val="18"/>
              </w:rPr>
              <w:t>81,400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4"/>
              <w:ind w:right="93"/>
              <w:jc w:val="right"/>
              <w:rPr>
                <w:rFonts w:ascii="宋体" w:hAnsi="宋体" w:cs="宋体" w:eastAsia="宋体" w:hint="default"/>
                <w:sz w:val="18"/>
                <w:szCs w:val="18"/>
              </w:rPr>
            </w:pPr>
            <w:r>
              <w:rPr>
                <w:rFonts w:ascii="宋体"/>
                <w:sz w:val="18"/>
              </w:rPr>
              <w:t>100.00%</w:t>
            </w:r>
          </w:p>
        </w:tc>
      </w:tr>
      <w:tr>
        <w:trPr>
          <w:trHeight w:val="511"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6"/>
              <w:ind w:left="172" w:right="0"/>
              <w:jc w:val="left"/>
              <w:rPr>
                <w:rFonts w:ascii="宋体" w:hAnsi="宋体" w:cs="宋体" w:eastAsia="宋体" w:hint="default"/>
                <w:sz w:val="18"/>
                <w:szCs w:val="18"/>
              </w:rPr>
            </w:pPr>
            <w:r>
              <w:rPr>
                <w:rFonts w:ascii="宋体"/>
                <w:sz w:val="18"/>
              </w:rPr>
              <w:t>46</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4"/>
              <w:ind w:left="100" w:right="243"/>
              <w:jc w:val="left"/>
              <w:rPr>
                <w:rFonts w:ascii="宋体" w:hAnsi="宋体" w:cs="宋体" w:eastAsia="宋体" w:hint="default"/>
                <w:sz w:val="18"/>
                <w:szCs w:val="18"/>
              </w:rPr>
            </w:pPr>
            <w:r>
              <w:rPr>
                <w:rFonts w:ascii="宋体" w:hAnsi="宋体" w:cs="宋体" w:eastAsia="宋体" w:hint="default"/>
                <w:sz w:val="18"/>
                <w:szCs w:val="18"/>
              </w:rPr>
              <w:t>南通同方科技园有限公 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134" w:right="0"/>
              <w:jc w:val="left"/>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6</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84" w:right="0"/>
              <w:jc w:val="left"/>
              <w:rPr>
                <w:rFonts w:ascii="宋体" w:hAnsi="宋体" w:cs="宋体" w:eastAsia="宋体" w:hint="default"/>
                <w:sz w:val="18"/>
                <w:szCs w:val="18"/>
              </w:rPr>
            </w:pPr>
            <w:r>
              <w:rPr>
                <w:rFonts w:ascii="宋体" w:hAnsi="宋体" w:cs="宋体" w:eastAsia="宋体" w:hint="default"/>
                <w:sz w:val="18"/>
                <w:szCs w:val="18"/>
              </w:rPr>
              <w:t>范 </w:t>
            </w:r>
            <w:r>
              <w:rPr>
                <w:rFonts w:ascii="宋体" w:hAnsi="宋体" w:cs="宋体" w:eastAsia="宋体" w:hint="default"/>
                <w:spacing w:val="2"/>
                <w:sz w:val="18"/>
                <w:szCs w:val="18"/>
              </w:rPr>
              <w:t> </w:t>
            </w:r>
            <w:r>
              <w:rPr>
                <w:rFonts w:ascii="宋体" w:hAnsi="宋体" w:cs="宋体" w:eastAsia="宋体" w:hint="default"/>
                <w:sz w:val="18"/>
                <w:szCs w:val="18"/>
              </w:rPr>
              <w:t>新</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4"/>
              <w:ind w:left="170" w:right="173"/>
              <w:jc w:val="left"/>
              <w:rPr>
                <w:rFonts w:ascii="宋体" w:hAnsi="宋体" w:cs="宋体" w:eastAsia="宋体" w:hint="default"/>
                <w:sz w:val="18"/>
                <w:szCs w:val="18"/>
              </w:rPr>
            </w:pPr>
            <w:r>
              <w:rPr>
                <w:rFonts w:ascii="宋体" w:hAnsi="宋体" w:cs="宋体" w:eastAsia="宋体" w:hint="default"/>
                <w:sz w:val="18"/>
                <w:szCs w:val="18"/>
              </w:rPr>
              <w:t>江苏 南通</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4"/>
              <w:ind w:left="98" w:right="245"/>
              <w:jc w:val="left"/>
              <w:rPr>
                <w:rFonts w:ascii="宋体" w:hAnsi="宋体" w:cs="宋体" w:eastAsia="宋体" w:hint="default"/>
                <w:sz w:val="18"/>
                <w:szCs w:val="18"/>
              </w:rPr>
            </w:pPr>
            <w:r>
              <w:rPr>
                <w:rFonts w:ascii="宋体" w:hAnsi="宋体" w:cs="宋体" w:eastAsia="宋体" w:hint="default"/>
                <w:sz w:val="18"/>
                <w:szCs w:val="18"/>
              </w:rPr>
              <w:t>科技园区及配套设施开发 管理</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100"/>
              <w:jc w:val="right"/>
              <w:rPr>
                <w:rFonts w:ascii="宋体" w:hAnsi="宋体" w:cs="宋体" w:eastAsia="宋体" w:hint="default"/>
                <w:sz w:val="18"/>
                <w:szCs w:val="18"/>
              </w:rPr>
            </w:pPr>
            <w:r>
              <w:rPr>
                <w:rFonts w:ascii="宋体"/>
                <w:spacing w:val="-1"/>
                <w:sz w:val="18"/>
              </w:rPr>
              <w:t>20,000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6"/>
              <w:ind w:right="93"/>
              <w:jc w:val="right"/>
              <w:rPr>
                <w:rFonts w:ascii="宋体" w:hAnsi="宋体" w:cs="宋体" w:eastAsia="宋体" w:hint="default"/>
                <w:sz w:val="18"/>
                <w:szCs w:val="18"/>
              </w:rPr>
            </w:pPr>
            <w:r>
              <w:rPr>
                <w:rFonts w:ascii="宋体"/>
                <w:sz w:val="18"/>
              </w:rPr>
              <w:t>100.00%</w:t>
            </w:r>
          </w:p>
        </w:tc>
      </w:tr>
      <w:tr>
        <w:trPr>
          <w:trHeight w:val="509"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4"/>
              <w:ind w:left="172" w:right="0"/>
              <w:jc w:val="left"/>
              <w:rPr>
                <w:rFonts w:ascii="宋体" w:hAnsi="宋体" w:cs="宋体" w:eastAsia="宋体" w:hint="default"/>
                <w:sz w:val="18"/>
                <w:szCs w:val="18"/>
              </w:rPr>
            </w:pPr>
            <w:r>
              <w:rPr>
                <w:rFonts w:ascii="宋体"/>
                <w:sz w:val="18"/>
              </w:rPr>
              <w:t>47</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100" w:right="98"/>
              <w:jc w:val="left"/>
              <w:rPr>
                <w:rFonts w:ascii="宋体" w:hAnsi="宋体" w:cs="宋体" w:eastAsia="宋体" w:hint="default"/>
                <w:sz w:val="18"/>
                <w:szCs w:val="18"/>
              </w:rPr>
            </w:pPr>
            <w:r>
              <w:rPr>
                <w:rFonts w:ascii="宋体" w:hAnsi="宋体" w:cs="宋体" w:eastAsia="宋体" w:hint="default"/>
                <w:sz w:val="18"/>
                <w:szCs w:val="18"/>
              </w:rPr>
              <w:t>同方国芯电子股份有限 </w:t>
            </w:r>
            <w:r>
              <w:rPr>
                <w:rFonts w:ascii="宋体" w:hAnsi="宋体" w:cs="宋体" w:eastAsia="宋体" w:hint="default"/>
                <w:spacing w:val="-3"/>
                <w:sz w:val="18"/>
                <w:szCs w:val="18"/>
              </w:rPr>
              <w:t>公司</w:t>
            </w:r>
            <w:r>
              <w:rPr>
                <w:rFonts w:ascii="宋体" w:hAnsi="宋体" w:cs="宋体" w:eastAsia="宋体" w:hint="default"/>
                <w:spacing w:val="-3"/>
                <w:sz w:val="18"/>
                <w:szCs w:val="18"/>
              </w:rPr>
              <w:t>(</w:t>
            </w:r>
            <w:r>
              <w:rPr>
                <w:rFonts w:ascii="宋体" w:hAnsi="宋体" w:cs="宋体" w:eastAsia="宋体" w:hint="default"/>
                <w:spacing w:val="-3"/>
                <w:sz w:val="18"/>
                <w:szCs w:val="18"/>
              </w:rPr>
              <w:t>股票代码：</w:t>
            </w:r>
            <w:r>
              <w:rPr>
                <w:rFonts w:ascii="宋体" w:hAnsi="宋体" w:cs="宋体" w:eastAsia="宋体" w:hint="default"/>
                <w:spacing w:val="-3"/>
                <w:sz w:val="18"/>
                <w:szCs w:val="18"/>
              </w:rPr>
              <w:t>002049)</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34" w:right="0"/>
              <w:jc w:val="left"/>
              <w:rPr>
                <w:rFonts w:ascii="宋体" w:hAnsi="宋体" w:cs="宋体" w:eastAsia="宋体" w:hint="default"/>
                <w:sz w:val="18"/>
                <w:szCs w:val="18"/>
              </w:rPr>
            </w:pPr>
            <w:r>
              <w:rPr>
                <w:rFonts w:ascii="宋体" w:hAnsi="宋体" w:cs="宋体" w:eastAsia="宋体" w:hint="default"/>
                <w:sz w:val="18"/>
                <w:szCs w:val="18"/>
              </w:rPr>
              <w:t>01</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left="184" w:right="0"/>
              <w:jc w:val="left"/>
              <w:rPr>
                <w:rFonts w:ascii="宋体" w:hAnsi="宋体" w:cs="宋体" w:eastAsia="宋体" w:hint="default"/>
                <w:sz w:val="18"/>
                <w:szCs w:val="18"/>
              </w:rPr>
            </w:pPr>
            <w:r>
              <w:rPr>
                <w:rFonts w:ascii="宋体" w:hAnsi="宋体" w:cs="宋体" w:eastAsia="宋体" w:hint="default"/>
                <w:sz w:val="18"/>
                <w:szCs w:val="18"/>
              </w:rPr>
              <w:t>赵伟国</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170" w:right="173"/>
              <w:jc w:val="left"/>
              <w:rPr>
                <w:rFonts w:ascii="宋体" w:hAnsi="宋体" w:cs="宋体" w:eastAsia="宋体" w:hint="default"/>
                <w:sz w:val="18"/>
                <w:szCs w:val="18"/>
              </w:rPr>
            </w:pPr>
            <w:r>
              <w:rPr>
                <w:rFonts w:ascii="宋体" w:hAnsi="宋体" w:cs="宋体" w:eastAsia="宋体" w:hint="default"/>
                <w:sz w:val="18"/>
                <w:szCs w:val="18"/>
              </w:rPr>
              <w:t>河北 唐山</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98" w:right="101"/>
              <w:jc w:val="left"/>
              <w:rPr>
                <w:rFonts w:ascii="宋体" w:hAnsi="宋体" w:cs="宋体" w:eastAsia="宋体" w:hint="default"/>
                <w:sz w:val="18"/>
                <w:szCs w:val="18"/>
              </w:rPr>
            </w:pPr>
            <w:r>
              <w:rPr>
                <w:rFonts w:ascii="宋体" w:hAnsi="宋体" w:cs="宋体" w:eastAsia="宋体" w:hint="default"/>
                <w:spacing w:val="-3"/>
                <w:sz w:val="18"/>
                <w:szCs w:val="18"/>
              </w:rPr>
              <w:t>集成电路、压电石英晶体元</w:t>
            </w:r>
            <w:r>
              <w:rPr>
                <w:rFonts w:ascii="宋体" w:hAnsi="宋体" w:cs="宋体" w:eastAsia="宋体" w:hint="default"/>
                <w:sz w:val="18"/>
                <w:szCs w:val="18"/>
              </w:rPr>
              <w:t> 器件的开发、生产和销售</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right="100"/>
              <w:jc w:val="right"/>
              <w:rPr>
                <w:rFonts w:ascii="宋体" w:hAnsi="宋体" w:cs="宋体" w:eastAsia="宋体" w:hint="default"/>
                <w:sz w:val="18"/>
                <w:szCs w:val="18"/>
              </w:rPr>
            </w:pPr>
            <w:r>
              <w:rPr>
                <w:rFonts w:ascii="宋体"/>
                <w:spacing w:val="-1"/>
                <w:sz w:val="18"/>
              </w:rPr>
              <w:t>60,681.80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4"/>
              <w:ind w:right="92"/>
              <w:jc w:val="right"/>
              <w:rPr>
                <w:rFonts w:ascii="宋体" w:hAnsi="宋体" w:cs="宋体" w:eastAsia="宋体" w:hint="default"/>
                <w:sz w:val="18"/>
                <w:szCs w:val="18"/>
              </w:rPr>
            </w:pPr>
            <w:r>
              <w:rPr>
                <w:rFonts w:ascii="宋体"/>
                <w:sz w:val="18"/>
              </w:rPr>
              <w:t>41.38%</w:t>
            </w:r>
          </w:p>
        </w:tc>
      </w:tr>
      <w:tr>
        <w:trPr>
          <w:trHeight w:val="511"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6"/>
              <w:ind w:left="172" w:right="0"/>
              <w:jc w:val="left"/>
              <w:rPr>
                <w:rFonts w:ascii="宋体" w:hAnsi="宋体" w:cs="宋体" w:eastAsia="宋体" w:hint="default"/>
                <w:sz w:val="18"/>
                <w:szCs w:val="18"/>
              </w:rPr>
            </w:pPr>
            <w:r>
              <w:rPr>
                <w:rFonts w:ascii="宋体"/>
                <w:sz w:val="18"/>
              </w:rPr>
              <w:t>48</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0" w:right="0"/>
              <w:jc w:val="left"/>
              <w:rPr>
                <w:rFonts w:ascii="宋体" w:hAnsi="宋体" w:cs="宋体" w:eastAsia="宋体" w:hint="default"/>
                <w:sz w:val="18"/>
                <w:szCs w:val="18"/>
              </w:rPr>
            </w:pPr>
            <w:r>
              <w:rPr>
                <w:rFonts w:ascii="宋体" w:hAnsi="宋体" w:cs="宋体" w:eastAsia="宋体" w:hint="default"/>
                <w:sz w:val="18"/>
                <w:szCs w:val="18"/>
              </w:rPr>
              <w:t>同方国际有限公司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134" w:right="0"/>
              <w:jc w:val="left"/>
              <w:rPr>
                <w:rFonts w:ascii="宋体" w:hAnsi="宋体" w:cs="宋体" w:eastAsia="宋体" w:hint="default"/>
                <w:sz w:val="18"/>
                <w:szCs w:val="18"/>
              </w:rPr>
            </w:pPr>
            <w:r>
              <w:rPr>
                <w:rFonts w:ascii="宋体" w:hAnsi="宋体" w:cs="宋体" w:eastAsia="宋体" w:hint="default"/>
                <w:sz w:val="18"/>
                <w:szCs w:val="18"/>
              </w:rPr>
              <w:t>08</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84" w:right="0"/>
              <w:jc w:val="left"/>
              <w:rPr>
                <w:rFonts w:ascii="宋体" w:hAnsi="宋体" w:cs="宋体" w:eastAsia="宋体" w:hint="default"/>
                <w:sz w:val="18"/>
                <w:szCs w:val="18"/>
              </w:rPr>
            </w:pPr>
            <w:r>
              <w:rPr>
                <w:rFonts w:ascii="宋体" w:hAnsi="宋体" w:cs="宋体" w:eastAsia="宋体" w:hint="default"/>
                <w:sz w:val="18"/>
                <w:szCs w:val="18"/>
              </w:rPr>
              <w:t>范 </w:t>
            </w:r>
            <w:r>
              <w:rPr>
                <w:rFonts w:ascii="宋体" w:hAnsi="宋体" w:cs="宋体" w:eastAsia="宋体" w:hint="default"/>
                <w:spacing w:val="2"/>
                <w:sz w:val="18"/>
                <w:szCs w:val="18"/>
              </w:rPr>
              <w:t> </w:t>
            </w:r>
            <w:r>
              <w:rPr>
                <w:rFonts w:ascii="宋体" w:hAnsi="宋体" w:cs="宋体" w:eastAsia="宋体" w:hint="default"/>
                <w:sz w:val="18"/>
                <w:szCs w:val="18"/>
              </w:rPr>
              <w:t>新</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3"/>
              <w:jc w:val="center"/>
              <w:rPr>
                <w:rFonts w:ascii="宋体" w:hAnsi="宋体" w:cs="宋体" w:eastAsia="宋体" w:hint="default"/>
                <w:sz w:val="18"/>
                <w:szCs w:val="18"/>
              </w:rPr>
            </w:pPr>
            <w:r>
              <w:rPr>
                <w:rFonts w:ascii="宋体" w:hAnsi="宋体" w:cs="宋体" w:eastAsia="宋体" w:hint="default"/>
                <w:sz w:val="18"/>
                <w:szCs w:val="18"/>
              </w:rPr>
              <w:t>香港</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98" w:right="0"/>
              <w:jc w:val="left"/>
              <w:rPr>
                <w:rFonts w:ascii="宋体" w:hAnsi="宋体" w:cs="宋体" w:eastAsia="宋体" w:hint="default"/>
                <w:sz w:val="18"/>
                <w:szCs w:val="18"/>
              </w:rPr>
            </w:pPr>
            <w:r>
              <w:rPr>
                <w:rFonts w:ascii="宋体" w:hAnsi="宋体" w:cs="宋体" w:eastAsia="宋体" w:hint="default"/>
                <w:sz w:val="18"/>
                <w:szCs w:val="18"/>
              </w:rPr>
              <w:t>多媒体产品的销售</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288" w:right="0"/>
              <w:jc w:val="left"/>
              <w:rPr>
                <w:rFonts w:ascii="宋体" w:hAnsi="宋体" w:cs="宋体" w:eastAsia="宋体" w:hint="default"/>
                <w:sz w:val="18"/>
                <w:szCs w:val="18"/>
              </w:rPr>
            </w:pPr>
            <w:r>
              <w:rPr>
                <w:rFonts w:ascii="宋体" w:hAnsi="宋体" w:cs="宋体" w:eastAsia="宋体" w:hint="default"/>
                <w:sz w:val="18"/>
                <w:szCs w:val="18"/>
              </w:rPr>
              <w:t>1,000</w:t>
            </w:r>
            <w:r>
              <w:rPr>
                <w:rFonts w:ascii="宋体" w:hAnsi="宋体" w:cs="宋体" w:eastAsia="宋体" w:hint="default"/>
                <w:spacing w:val="-45"/>
                <w:sz w:val="18"/>
                <w:szCs w:val="18"/>
              </w:rPr>
              <w:t> </w:t>
            </w:r>
            <w:r>
              <w:rPr>
                <w:rFonts w:ascii="宋体" w:hAnsi="宋体" w:cs="宋体" w:eastAsia="宋体" w:hint="default"/>
                <w:sz w:val="18"/>
                <w:szCs w:val="18"/>
              </w:rPr>
              <w:t>万</w:t>
            </w:r>
          </w:p>
          <w:p>
            <w:pPr>
              <w:pStyle w:val="TableParagraph"/>
              <w:spacing w:line="240" w:lineRule="auto" w:before="4"/>
              <w:ind w:left="60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6"/>
              <w:ind w:right="93"/>
              <w:jc w:val="right"/>
              <w:rPr>
                <w:rFonts w:ascii="宋体" w:hAnsi="宋体" w:cs="宋体" w:eastAsia="宋体" w:hint="default"/>
                <w:sz w:val="18"/>
                <w:szCs w:val="18"/>
              </w:rPr>
            </w:pPr>
            <w:r>
              <w:rPr>
                <w:rFonts w:ascii="宋体"/>
                <w:sz w:val="18"/>
              </w:rPr>
              <w:t>100.00%</w:t>
            </w:r>
          </w:p>
        </w:tc>
      </w:tr>
      <w:tr>
        <w:trPr>
          <w:trHeight w:val="509"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4"/>
              <w:ind w:left="172" w:right="0"/>
              <w:jc w:val="left"/>
              <w:rPr>
                <w:rFonts w:ascii="宋体" w:hAnsi="宋体" w:cs="宋体" w:eastAsia="宋体" w:hint="default"/>
                <w:sz w:val="18"/>
                <w:szCs w:val="18"/>
              </w:rPr>
            </w:pPr>
            <w:r>
              <w:rPr>
                <w:rFonts w:ascii="宋体"/>
                <w:sz w:val="18"/>
              </w:rPr>
              <w:t>49</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3"/>
              <w:ind w:left="100" w:right="243"/>
              <w:jc w:val="left"/>
              <w:rPr>
                <w:rFonts w:ascii="宋体" w:hAnsi="宋体" w:cs="宋体" w:eastAsia="宋体" w:hint="default"/>
                <w:sz w:val="18"/>
                <w:szCs w:val="18"/>
              </w:rPr>
            </w:pPr>
            <w:r>
              <w:rPr>
                <w:rFonts w:ascii="宋体" w:hAnsi="宋体" w:cs="宋体" w:eastAsia="宋体" w:hint="default"/>
                <w:sz w:val="18"/>
                <w:szCs w:val="18"/>
              </w:rPr>
              <w:t>同方国际信息技术有限 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34" w:right="0"/>
              <w:jc w:val="left"/>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34"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3"/>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left="230" w:right="0"/>
              <w:jc w:val="left"/>
              <w:rPr>
                <w:rFonts w:ascii="宋体" w:hAnsi="宋体" w:cs="宋体" w:eastAsia="宋体" w:hint="default"/>
                <w:sz w:val="18"/>
                <w:szCs w:val="18"/>
              </w:rPr>
            </w:pPr>
            <w:r>
              <w:rPr>
                <w:rFonts w:ascii="宋体" w:hAnsi="宋体" w:cs="宋体" w:eastAsia="宋体" w:hint="default"/>
                <w:sz w:val="18"/>
                <w:szCs w:val="18"/>
              </w:rPr>
              <w:t>秦建斌</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right="3"/>
              <w:jc w:val="center"/>
              <w:rPr>
                <w:rFonts w:ascii="宋体" w:hAnsi="宋体" w:cs="宋体" w:eastAsia="宋体" w:hint="default"/>
                <w:sz w:val="18"/>
                <w:szCs w:val="18"/>
              </w:rPr>
            </w:pPr>
            <w:r>
              <w:rPr>
                <w:rFonts w:ascii="宋体" w:hAnsi="宋体" w:cs="宋体" w:eastAsia="宋体" w:hint="default"/>
                <w:sz w:val="18"/>
                <w:szCs w:val="18"/>
              </w:rPr>
              <w:t>香港</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4"/>
              <w:ind w:left="98" w:right="0"/>
              <w:jc w:val="left"/>
              <w:rPr>
                <w:rFonts w:ascii="宋体" w:hAnsi="宋体" w:cs="宋体" w:eastAsia="宋体" w:hint="default"/>
                <w:sz w:val="18"/>
                <w:szCs w:val="18"/>
              </w:rPr>
            </w:pPr>
            <w:r>
              <w:rPr>
                <w:rFonts w:ascii="宋体" w:hAnsi="宋体" w:cs="宋体" w:eastAsia="宋体" w:hint="default"/>
                <w:sz w:val="18"/>
                <w:szCs w:val="18"/>
              </w:rPr>
              <w:t>计算机产品的销售</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367" w:right="0"/>
              <w:jc w:val="center"/>
              <w:rPr>
                <w:rFonts w:ascii="宋体" w:hAnsi="宋体" w:cs="宋体" w:eastAsia="宋体" w:hint="default"/>
                <w:sz w:val="18"/>
                <w:szCs w:val="18"/>
              </w:rPr>
            </w:pPr>
            <w:r>
              <w:rPr>
                <w:rFonts w:ascii="宋体" w:hAnsi="宋体" w:cs="宋体" w:eastAsia="宋体" w:hint="default"/>
                <w:sz w:val="18"/>
                <w:szCs w:val="18"/>
              </w:rPr>
              <w:t>800</w:t>
            </w:r>
            <w:r>
              <w:rPr>
                <w:rFonts w:ascii="宋体" w:hAnsi="宋体" w:cs="宋体" w:eastAsia="宋体" w:hint="default"/>
                <w:spacing w:val="-45"/>
                <w:sz w:val="18"/>
                <w:szCs w:val="18"/>
              </w:rPr>
              <w:t> </w:t>
            </w:r>
            <w:r>
              <w:rPr>
                <w:rFonts w:ascii="宋体" w:hAnsi="宋体" w:cs="宋体" w:eastAsia="宋体" w:hint="default"/>
                <w:sz w:val="18"/>
                <w:szCs w:val="18"/>
              </w:rPr>
              <w:t>万</w:t>
            </w:r>
          </w:p>
          <w:p>
            <w:pPr>
              <w:pStyle w:val="TableParagraph"/>
              <w:spacing w:line="240" w:lineRule="auto" w:before="4"/>
              <w:ind w:left="499" w:right="0"/>
              <w:jc w:val="center"/>
              <w:rPr>
                <w:rFonts w:ascii="宋体" w:hAnsi="宋体" w:cs="宋体" w:eastAsia="宋体" w:hint="default"/>
                <w:sz w:val="18"/>
                <w:szCs w:val="18"/>
              </w:rPr>
            </w:pPr>
            <w:r>
              <w:rPr>
                <w:rFonts w:ascii="宋体" w:hAnsi="宋体" w:cs="宋体" w:eastAsia="宋体" w:hint="default"/>
                <w:sz w:val="18"/>
                <w:szCs w:val="18"/>
              </w:rPr>
              <w:t>美元</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4"/>
              <w:ind w:right="93"/>
              <w:jc w:val="right"/>
              <w:rPr>
                <w:rFonts w:ascii="宋体" w:hAnsi="宋体" w:cs="宋体" w:eastAsia="宋体" w:hint="default"/>
                <w:sz w:val="18"/>
                <w:szCs w:val="18"/>
              </w:rPr>
            </w:pPr>
            <w:r>
              <w:rPr>
                <w:rFonts w:ascii="宋体"/>
                <w:sz w:val="18"/>
              </w:rPr>
              <w:t>100.00%</w:t>
            </w:r>
          </w:p>
        </w:tc>
      </w:tr>
      <w:tr>
        <w:trPr>
          <w:trHeight w:val="511"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6"/>
              <w:ind w:left="172" w:right="0"/>
              <w:jc w:val="left"/>
              <w:rPr>
                <w:rFonts w:ascii="宋体" w:hAnsi="宋体" w:cs="宋体" w:eastAsia="宋体" w:hint="default"/>
                <w:sz w:val="18"/>
                <w:szCs w:val="18"/>
              </w:rPr>
            </w:pPr>
            <w:r>
              <w:rPr>
                <w:rFonts w:ascii="宋体"/>
                <w:sz w:val="18"/>
              </w:rPr>
              <w:t>50</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5"/>
              <w:ind w:left="100" w:right="243"/>
              <w:jc w:val="left"/>
              <w:rPr>
                <w:rFonts w:ascii="宋体" w:hAnsi="宋体" w:cs="宋体" w:eastAsia="宋体" w:hint="default"/>
                <w:sz w:val="18"/>
                <w:szCs w:val="18"/>
              </w:rPr>
            </w:pPr>
            <w:r>
              <w:rPr>
                <w:rFonts w:ascii="宋体" w:hAnsi="宋体" w:cs="宋体" w:eastAsia="宋体" w:hint="default"/>
                <w:sz w:val="18"/>
                <w:szCs w:val="18"/>
              </w:rPr>
              <w:t>北京壹人壹本信息科技 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22" w:lineRule="exact"/>
              <w:ind w:left="134" w:right="0"/>
              <w:jc w:val="left"/>
              <w:rPr>
                <w:rFonts w:ascii="宋体" w:hAnsi="宋体" w:cs="宋体" w:eastAsia="宋体" w:hint="default"/>
                <w:sz w:val="18"/>
                <w:szCs w:val="18"/>
              </w:rPr>
            </w:pPr>
            <w:r>
              <w:rPr>
                <w:rFonts w:ascii="宋体" w:hAnsi="宋体" w:cs="宋体" w:eastAsia="宋体" w:hint="default"/>
                <w:sz w:val="18"/>
                <w:szCs w:val="18"/>
              </w:rPr>
              <w:t>09</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180" w:right="0"/>
              <w:jc w:val="left"/>
              <w:rPr>
                <w:rFonts w:ascii="宋体" w:hAnsi="宋体" w:cs="宋体" w:eastAsia="宋体" w:hint="default"/>
                <w:sz w:val="18"/>
                <w:szCs w:val="18"/>
              </w:rPr>
            </w:pPr>
            <w:r>
              <w:rPr>
                <w:rFonts w:ascii="宋体" w:hAnsi="宋体" w:cs="宋体" w:eastAsia="宋体" w:hint="default"/>
                <w:sz w:val="18"/>
                <w:szCs w:val="18"/>
              </w:rPr>
              <w:t>7</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84" w:right="0"/>
              <w:jc w:val="left"/>
              <w:rPr>
                <w:rFonts w:ascii="宋体" w:hAnsi="宋体" w:cs="宋体" w:eastAsia="宋体" w:hint="default"/>
                <w:sz w:val="18"/>
                <w:szCs w:val="18"/>
              </w:rPr>
            </w:pPr>
            <w:r>
              <w:rPr>
                <w:rFonts w:ascii="宋体" w:hAnsi="宋体" w:cs="宋体" w:eastAsia="宋体" w:hint="default"/>
                <w:sz w:val="18"/>
                <w:szCs w:val="18"/>
              </w:rPr>
              <w:t>范 </w:t>
            </w:r>
            <w:r>
              <w:rPr>
                <w:rFonts w:ascii="宋体" w:hAnsi="宋体" w:cs="宋体" w:eastAsia="宋体" w:hint="default"/>
                <w:spacing w:val="2"/>
                <w:sz w:val="18"/>
                <w:szCs w:val="18"/>
              </w:rPr>
              <w:t> </w:t>
            </w:r>
            <w:r>
              <w:rPr>
                <w:rFonts w:ascii="宋体" w:hAnsi="宋体" w:cs="宋体" w:eastAsia="宋体" w:hint="default"/>
                <w:sz w:val="18"/>
                <w:szCs w:val="18"/>
              </w:rPr>
              <w:t>新</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5"/>
              <w:ind w:left="170" w:right="173"/>
              <w:jc w:val="left"/>
              <w:rPr>
                <w:rFonts w:ascii="宋体" w:hAnsi="宋体" w:cs="宋体" w:eastAsia="宋体" w:hint="default"/>
                <w:sz w:val="18"/>
                <w:szCs w:val="18"/>
              </w:rPr>
            </w:pPr>
            <w:r>
              <w:rPr>
                <w:rFonts w:ascii="宋体" w:hAnsi="宋体" w:cs="宋体" w:eastAsia="宋体" w:hint="default"/>
                <w:sz w:val="18"/>
                <w:szCs w:val="18"/>
              </w:rPr>
              <w:t>北京 通州</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98" w:right="0"/>
              <w:jc w:val="left"/>
              <w:rPr>
                <w:rFonts w:ascii="宋体" w:hAnsi="宋体" w:cs="宋体" w:eastAsia="宋体" w:hint="default"/>
                <w:sz w:val="18"/>
                <w:szCs w:val="18"/>
              </w:rPr>
            </w:pPr>
            <w:r>
              <w:rPr>
                <w:rFonts w:ascii="宋体" w:hAnsi="宋体" w:cs="宋体" w:eastAsia="宋体" w:hint="default"/>
                <w:spacing w:val="-3"/>
                <w:sz w:val="18"/>
                <w:szCs w:val="18"/>
              </w:rPr>
              <w:t>平板电脑产品的研发、销售</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100"/>
              <w:jc w:val="right"/>
              <w:rPr>
                <w:rFonts w:ascii="宋体" w:hAnsi="宋体" w:cs="宋体" w:eastAsia="宋体" w:hint="default"/>
                <w:sz w:val="18"/>
                <w:szCs w:val="18"/>
              </w:rPr>
            </w:pPr>
            <w:r>
              <w:rPr>
                <w:rFonts w:ascii="宋体"/>
                <w:spacing w:val="-1"/>
                <w:sz w:val="18"/>
              </w:rPr>
              <w:t>10,000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6"/>
              <w:ind w:right="93"/>
              <w:jc w:val="right"/>
              <w:rPr>
                <w:rFonts w:ascii="宋体" w:hAnsi="宋体" w:cs="宋体" w:eastAsia="宋体" w:hint="default"/>
                <w:sz w:val="18"/>
                <w:szCs w:val="18"/>
              </w:rPr>
            </w:pPr>
            <w:r>
              <w:rPr>
                <w:rFonts w:ascii="宋体"/>
                <w:sz w:val="18"/>
              </w:rPr>
              <w:t>100.00%</w:t>
            </w:r>
          </w:p>
        </w:tc>
      </w:tr>
      <w:tr>
        <w:trPr>
          <w:trHeight w:val="73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72" w:right="0"/>
              <w:jc w:val="left"/>
              <w:rPr>
                <w:rFonts w:ascii="宋体" w:hAnsi="宋体" w:cs="宋体" w:eastAsia="宋体" w:hint="default"/>
                <w:sz w:val="18"/>
                <w:szCs w:val="18"/>
              </w:rPr>
            </w:pPr>
            <w:r>
              <w:rPr>
                <w:rFonts w:ascii="宋体"/>
                <w:sz w:val="18"/>
              </w:rPr>
              <w:t>51</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97"/>
              <w:ind w:left="100" w:right="243"/>
              <w:jc w:val="left"/>
              <w:rPr>
                <w:rFonts w:ascii="宋体" w:hAnsi="宋体" w:cs="宋体" w:eastAsia="宋体" w:hint="default"/>
                <w:sz w:val="18"/>
                <w:szCs w:val="18"/>
              </w:rPr>
            </w:pPr>
            <w:r>
              <w:rPr>
                <w:rFonts w:ascii="宋体" w:hAnsi="宋体" w:cs="宋体" w:eastAsia="宋体" w:hint="default"/>
                <w:sz w:val="18"/>
                <w:szCs w:val="18"/>
              </w:rPr>
              <w:t>同方全球人寿保险有限 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98" w:right="0"/>
              <w:jc w:val="left"/>
              <w:rPr>
                <w:rFonts w:ascii="宋体" w:hAnsi="宋体" w:cs="宋体" w:eastAsia="宋体" w:hint="default"/>
                <w:sz w:val="18"/>
                <w:szCs w:val="18"/>
              </w:rPr>
            </w:pPr>
            <w:r>
              <w:rPr>
                <w:rFonts w:ascii="宋体" w:hAnsi="宋体" w:cs="宋体" w:eastAsia="宋体" w:hint="default"/>
                <w:sz w:val="18"/>
                <w:szCs w:val="18"/>
              </w:rPr>
              <w:t>03</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98"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84" w:right="0"/>
              <w:jc w:val="left"/>
              <w:rPr>
                <w:rFonts w:ascii="宋体" w:hAnsi="宋体" w:cs="宋体" w:eastAsia="宋体" w:hint="default"/>
                <w:sz w:val="18"/>
                <w:szCs w:val="18"/>
              </w:rPr>
            </w:pPr>
            <w:r>
              <w:rPr>
                <w:rFonts w:ascii="宋体" w:hAnsi="宋体" w:cs="宋体" w:eastAsia="宋体" w:hint="default"/>
                <w:sz w:val="18"/>
                <w:szCs w:val="18"/>
              </w:rPr>
              <w:t>王 </w:t>
            </w:r>
            <w:r>
              <w:rPr>
                <w:rFonts w:ascii="宋体" w:hAnsi="宋体" w:cs="宋体" w:eastAsia="宋体" w:hint="default"/>
                <w:spacing w:val="2"/>
                <w:sz w:val="18"/>
                <w:szCs w:val="18"/>
              </w:rPr>
              <w:t> </w:t>
            </w:r>
            <w:r>
              <w:rPr>
                <w:rFonts w:ascii="宋体" w:hAnsi="宋体" w:cs="宋体" w:eastAsia="宋体" w:hint="default"/>
                <w:sz w:val="18"/>
                <w:szCs w:val="18"/>
              </w:rPr>
              <w:t>林</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97"/>
              <w:ind w:left="170" w:right="173"/>
              <w:jc w:val="left"/>
              <w:rPr>
                <w:rFonts w:ascii="宋体" w:hAnsi="宋体" w:cs="宋体" w:eastAsia="宋体" w:hint="default"/>
                <w:sz w:val="18"/>
                <w:szCs w:val="18"/>
              </w:rPr>
            </w:pPr>
            <w:r>
              <w:rPr>
                <w:rFonts w:ascii="宋体" w:hAnsi="宋体" w:cs="宋体" w:eastAsia="宋体" w:hint="default"/>
                <w:sz w:val="18"/>
                <w:szCs w:val="18"/>
              </w:rPr>
              <w:t>上海 浦东</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8" w:right="0"/>
              <w:jc w:val="left"/>
              <w:rPr>
                <w:rFonts w:ascii="宋体" w:hAnsi="宋体" w:cs="宋体" w:eastAsia="宋体" w:hint="default"/>
                <w:sz w:val="18"/>
                <w:szCs w:val="18"/>
              </w:rPr>
            </w:pPr>
            <w:r>
              <w:rPr>
                <w:rFonts w:ascii="宋体" w:hAnsi="宋体" w:cs="宋体" w:eastAsia="宋体" w:hint="default"/>
                <w:spacing w:val="-3"/>
                <w:sz w:val="18"/>
                <w:szCs w:val="18"/>
              </w:rPr>
              <w:t>人寿保险、健康保险和意外</w:t>
            </w:r>
          </w:p>
          <w:p>
            <w:pPr>
              <w:pStyle w:val="TableParagraph"/>
              <w:spacing w:line="244" w:lineRule="auto" w:before="4"/>
              <w:ind w:left="98" w:right="101"/>
              <w:jc w:val="left"/>
              <w:rPr>
                <w:rFonts w:ascii="宋体" w:hAnsi="宋体" w:cs="宋体" w:eastAsia="宋体" w:hint="default"/>
                <w:sz w:val="18"/>
                <w:szCs w:val="18"/>
              </w:rPr>
            </w:pPr>
            <w:r>
              <w:rPr>
                <w:rFonts w:ascii="宋体" w:hAnsi="宋体" w:cs="宋体" w:eastAsia="宋体" w:hint="default"/>
                <w:spacing w:val="-3"/>
                <w:sz w:val="18"/>
                <w:szCs w:val="18"/>
              </w:rPr>
              <w:t>伤害保险等保险业务，及再</w:t>
            </w:r>
            <w:r>
              <w:rPr>
                <w:rFonts w:ascii="宋体" w:hAnsi="宋体" w:cs="宋体" w:eastAsia="宋体" w:hint="default"/>
                <w:sz w:val="18"/>
                <w:szCs w:val="18"/>
              </w:rPr>
              <w:t> 保险业务</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宋体" w:hAnsi="宋体" w:cs="宋体" w:eastAsia="宋体" w:hint="default"/>
                <w:sz w:val="18"/>
                <w:szCs w:val="18"/>
              </w:rPr>
            </w:pPr>
            <w:r>
              <w:rPr>
                <w:rFonts w:ascii="宋体"/>
                <w:sz w:val="18"/>
              </w:rPr>
              <w:t>210,000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93"/>
              <w:jc w:val="right"/>
              <w:rPr>
                <w:rFonts w:ascii="宋体" w:hAnsi="宋体" w:cs="宋体" w:eastAsia="宋体" w:hint="default"/>
                <w:sz w:val="18"/>
                <w:szCs w:val="18"/>
              </w:rPr>
            </w:pPr>
            <w:r>
              <w:rPr>
                <w:rFonts w:ascii="宋体"/>
                <w:spacing w:val="-1"/>
                <w:sz w:val="18"/>
              </w:rPr>
              <w:t>50.00%</w:t>
            </w:r>
          </w:p>
        </w:tc>
      </w:tr>
      <w:tr>
        <w:trPr>
          <w:trHeight w:val="494" w:hRule="exact"/>
        </w:trPr>
        <w:tc>
          <w:tcPr>
            <w:tcW w:w="5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left="172" w:right="0"/>
              <w:jc w:val="left"/>
              <w:rPr>
                <w:rFonts w:ascii="宋体" w:hAnsi="宋体" w:cs="宋体" w:eastAsia="宋体" w:hint="default"/>
                <w:sz w:val="18"/>
                <w:szCs w:val="18"/>
              </w:rPr>
            </w:pPr>
            <w:r>
              <w:rPr>
                <w:rFonts w:ascii="宋体"/>
                <w:sz w:val="18"/>
              </w:rPr>
              <w:t>52</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00" w:right="0"/>
              <w:jc w:val="left"/>
              <w:rPr>
                <w:rFonts w:ascii="宋体" w:hAnsi="宋体" w:cs="宋体" w:eastAsia="宋体" w:hint="default"/>
                <w:sz w:val="18"/>
                <w:szCs w:val="18"/>
              </w:rPr>
            </w:pPr>
            <w:r>
              <w:rPr>
                <w:rFonts w:ascii="宋体" w:hAnsi="宋体" w:cs="宋体" w:eastAsia="宋体" w:hint="default"/>
                <w:sz w:val="18"/>
                <w:szCs w:val="18"/>
              </w:rPr>
              <w:t>同方江新造船有限公司</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8" w:right="0"/>
              <w:jc w:val="left"/>
              <w:rPr>
                <w:rFonts w:ascii="宋体" w:hAnsi="宋体" w:cs="宋体" w:eastAsia="宋体" w:hint="default"/>
                <w:sz w:val="18"/>
                <w:szCs w:val="18"/>
              </w:rPr>
            </w:pPr>
            <w:r>
              <w:rPr>
                <w:rFonts w:ascii="宋体" w:hAnsi="宋体" w:cs="宋体" w:eastAsia="宋体" w:hint="default"/>
                <w:sz w:val="18"/>
                <w:szCs w:val="18"/>
              </w:rPr>
              <w:t>05</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98"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84" w:right="0"/>
              <w:jc w:val="left"/>
              <w:rPr>
                <w:rFonts w:ascii="宋体" w:hAnsi="宋体" w:cs="宋体" w:eastAsia="宋体" w:hint="default"/>
                <w:sz w:val="18"/>
                <w:szCs w:val="18"/>
              </w:rPr>
            </w:pPr>
            <w:r>
              <w:rPr>
                <w:rFonts w:ascii="宋体" w:hAnsi="宋体" w:cs="宋体" w:eastAsia="宋体" w:hint="default"/>
                <w:sz w:val="18"/>
                <w:szCs w:val="18"/>
              </w:rPr>
              <w:t>李吉生</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70" w:right="0"/>
              <w:jc w:val="left"/>
              <w:rPr>
                <w:rFonts w:ascii="宋体" w:hAnsi="宋体" w:cs="宋体" w:eastAsia="宋体" w:hint="default"/>
                <w:sz w:val="18"/>
                <w:szCs w:val="18"/>
              </w:rPr>
            </w:pPr>
            <w:r>
              <w:rPr>
                <w:rFonts w:ascii="宋体" w:hAnsi="宋体" w:cs="宋体" w:eastAsia="宋体" w:hint="default"/>
                <w:sz w:val="18"/>
                <w:szCs w:val="18"/>
              </w:rPr>
              <w:t>江西</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湖口</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8" w:right="0"/>
              <w:jc w:val="left"/>
              <w:rPr>
                <w:rFonts w:ascii="宋体" w:hAnsi="宋体" w:cs="宋体" w:eastAsia="宋体" w:hint="default"/>
                <w:sz w:val="18"/>
                <w:szCs w:val="18"/>
              </w:rPr>
            </w:pPr>
            <w:r>
              <w:rPr>
                <w:rFonts w:ascii="宋体" w:hAnsi="宋体" w:cs="宋体" w:eastAsia="宋体" w:hint="default"/>
                <w:spacing w:val="-4"/>
                <w:sz w:val="18"/>
                <w:szCs w:val="18"/>
              </w:rPr>
              <w:t>船舶制造、销售、修理；钢</w:t>
            </w:r>
          </w:p>
          <w:p>
            <w:pPr>
              <w:pStyle w:val="TableParagraph"/>
              <w:spacing w:line="240" w:lineRule="auto" w:before="4"/>
              <w:ind w:left="98" w:right="0"/>
              <w:jc w:val="left"/>
              <w:rPr>
                <w:rFonts w:ascii="宋体" w:hAnsi="宋体" w:cs="宋体" w:eastAsia="宋体" w:hint="default"/>
                <w:sz w:val="18"/>
                <w:szCs w:val="18"/>
              </w:rPr>
            </w:pPr>
            <w:r>
              <w:rPr>
                <w:rFonts w:ascii="宋体" w:hAnsi="宋体" w:cs="宋体" w:eastAsia="宋体" w:hint="default"/>
                <w:sz w:val="18"/>
                <w:szCs w:val="18"/>
              </w:rPr>
              <w:t>结构制造</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100"/>
              <w:jc w:val="right"/>
              <w:rPr>
                <w:rFonts w:ascii="宋体" w:hAnsi="宋体" w:cs="宋体" w:eastAsia="宋体" w:hint="default"/>
                <w:sz w:val="18"/>
                <w:szCs w:val="18"/>
              </w:rPr>
            </w:pPr>
            <w:r>
              <w:rPr>
                <w:rFonts w:ascii="宋体"/>
                <w:spacing w:val="-1"/>
                <w:sz w:val="18"/>
              </w:rPr>
              <w:t>53,500</w:t>
            </w:r>
          </w:p>
        </w:tc>
        <w:tc>
          <w:tcPr>
            <w:tcW w:w="91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right="93"/>
              <w:jc w:val="right"/>
              <w:rPr>
                <w:rFonts w:ascii="宋体" w:hAnsi="宋体" w:cs="宋体" w:eastAsia="宋体" w:hint="default"/>
                <w:sz w:val="18"/>
                <w:szCs w:val="18"/>
              </w:rPr>
            </w:pPr>
            <w:r>
              <w:rPr>
                <w:rFonts w:ascii="宋体"/>
                <w:spacing w:val="-1"/>
                <w:sz w:val="18"/>
              </w:rPr>
              <w:t>62.62%</w:t>
            </w:r>
          </w:p>
        </w:tc>
      </w:tr>
      <w:tr>
        <w:trPr>
          <w:trHeight w:val="504" w:hRule="exact"/>
        </w:trPr>
        <w:tc>
          <w:tcPr>
            <w:tcW w:w="55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9"/>
              <w:ind w:left="172" w:right="0"/>
              <w:jc w:val="left"/>
              <w:rPr>
                <w:rFonts w:ascii="宋体" w:hAnsi="宋体" w:cs="宋体" w:eastAsia="宋体" w:hint="default"/>
                <w:sz w:val="18"/>
                <w:szCs w:val="18"/>
              </w:rPr>
            </w:pPr>
            <w:r>
              <w:rPr>
                <w:rFonts w:ascii="宋体"/>
                <w:sz w:val="18"/>
              </w:rPr>
              <w:t>53</w:t>
            </w:r>
          </w:p>
        </w:tc>
        <w:tc>
          <w:tcPr>
            <w:tcW w:w="2161" w:type="dxa"/>
            <w:tcBorders>
              <w:top w:val="single" w:sz="6" w:space="0" w:color="000000"/>
              <w:left w:val="single" w:sz="6" w:space="0" w:color="000000"/>
              <w:bottom w:val="single" w:sz="12" w:space="0" w:color="000000"/>
              <w:right w:val="single" w:sz="6" w:space="0" w:color="000000"/>
            </w:tcBorders>
          </w:tcPr>
          <w:p>
            <w:pPr>
              <w:pStyle w:val="TableParagraph"/>
              <w:spacing w:line="215"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北京同方电子支付科技</w:t>
            </w:r>
          </w:p>
          <w:p>
            <w:pPr>
              <w:pStyle w:val="TableParagraph"/>
              <w:spacing w:line="240" w:lineRule="auto" w:before="4"/>
              <w:ind w:left="100"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691" w:type="dxa"/>
            <w:tcBorders>
              <w:top w:val="single" w:sz="6" w:space="0" w:color="000000"/>
              <w:left w:val="single" w:sz="6" w:space="0" w:color="000000"/>
              <w:bottom w:val="single" w:sz="12" w:space="0" w:color="000000"/>
              <w:right w:val="single" w:sz="6" w:space="0" w:color="000000"/>
            </w:tcBorders>
          </w:tcPr>
          <w:p>
            <w:pPr>
              <w:pStyle w:val="TableParagraph"/>
              <w:spacing w:line="215" w:lineRule="exact"/>
              <w:ind w:left="98" w:right="0"/>
              <w:jc w:val="left"/>
              <w:rPr>
                <w:rFonts w:ascii="宋体" w:hAnsi="宋体" w:cs="宋体" w:eastAsia="宋体" w:hint="default"/>
                <w:sz w:val="18"/>
                <w:szCs w:val="18"/>
              </w:rPr>
            </w:pPr>
            <w:r>
              <w:rPr>
                <w:rFonts w:ascii="宋体" w:hAnsi="宋体" w:cs="宋体" w:eastAsia="宋体" w:hint="default"/>
                <w:sz w:val="18"/>
                <w:szCs w:val="18"/>
              </w:rPr>
              <w:t>15</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40" w:lineRule="auto" w:before="4"/>
              <w:ind w:left="98" w:right="0"/>
              <w:jc w:val="left"/>
              <w:rPr>
                <w:rFonts w:ascii="宋体" w:hAnsi="宋体" w:cs="宋体" w:eastAsia="宋体" w:hint="default"/>
                <w:sz w:val="18"/>
                <w:szCs w:val="18"/>
              </w:rPr>
            </w:pPr>
            <w:r>
              <w:rPr>
                <w:rFonts w:ascii="宋体" w:hAnsi="宋体" w:cs="宋体" w:eastAsia="宋体" w:hint="default"/>
                <w:sz w:val="18"/>
                <w:szCs w:val="18"/>
              </w:rPr>
              <w:t>8</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92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9"/>
              <w:ind w:left="184" w:right="0"/>
              <w:jc w:val="left"/>
              <w:rPr>
                <w:rFonts w:ascii="宋体" w:hAnsi="宋体" w:cs="宋体" w:eastAsia="宋体" w:hint="default"/>
                <w:sz w:val="18"/>
                <w:szCs w:val="18"/>
              </w:rPr>
            </w:pPr>
            <w:r>
              <w:rPr>
                <w:rFonts w:ascii="宋体" w:hAnsi="宋体" w:cs="宋体" w:eastAsia="宋体" w:hint="default"/>
                <w:sz w:val="18"/>
                <w:szCs w:val="18"/>
              </w:rPr>
              <w:t>陆致成</w:t>
            </w:r>
          </w:p>
        </w:tc>
        <w:tc>
          <w:tcPr>
            <w:tcW w:w="720" w:type="dxa"/>
            <w:tcBorders>
              <w:top w:val="single" w:sz="6" w:space="0" w:color="000000"/>
              <w:left w:val="single" w:sz="6" w:space="0" w:color="000000"/>
              <w:bottom w:val="single" w:sz="12" w:space="0" w:color="000000"/>
              <w:right w:val="single" w:sz="6" w:space="0" w:color="000000"/>
            </w:tcBorders>
          </w:tcPr>
          <w:p>
            <w:pPr>
              <w:pStyle w:val="TableParagraph"/>
              <w:spacing w:line="215"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before="4"/>
              <w:ind w:left="170" w:right="0"/>
              <w:jc w:val="left"/>
              <w:rPr>
                <w:rFonts w:ascii="宋体" w:hAnsi="宋体" w:cs="宋体" w:eastAsia="宋体" w:hint="default"/>
                <w:sz w:val="18"/>
                <w:szCs w:val="18"/>
              </w:rPr>
            </w:pPr>
            <w:r>
              <w:rPr>
                <w:rFonts w:ascii="宋体" w:hAnsi="宋体" w:cs="宋体" w:eastAsia="宋体" w:hint="default"/>
                <w:sz w:val="18"/>
                <w:szCs w:val="18"/>
              </w:rPr>
              <w:t>海淀</w:t>
            </w:r>
          </w:p>
        </w:tc>
        <w:tc>
          <w:tcPr>
            <w:tcW w:w="23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9"/>
              <w:ind w:left="98" w:right="0"/>
              <w:jc w:val="left"/>
              <w:rPr>
                <w:rFonts w:ascii="宋体" w:hAnsi="宋体" w:cs="宋体" w:eastAsia="宋体" w:hint="default"/>
                <w:sz w:val="18"/>
                <w:szCs w:val="18"/>
              </w:rPr>
            </w:pPr>
            <w:r>
              <w:rPr>
                <w:rFonts w:ascii="宋体" w:hAnsi="宋体" w:cs="宋体" w:eastAsia="宋体" w:hint="default"/>
                <w:sz w:val="18"/>
                <w:szCs w:val="18"/>
              </w:rPr>
              <w:t>电信业务、应用软件服务</w:t>
            </w:r>
          </w:p>
        </w:tc>
        <w:tc>
          <w:tcPr>
            <w:tcW w:w="108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9"/>
              <w:ind w:right="100"/>
              <w:jc w:val="right"/>
              <w:rPr>
                <w:rFonts w:ascii="宋体" w:hAnsi="宋体" w:cs="宋体" w:eastAsia="宋体" w:hint="default"/>
                <w:sz w:val="18"/>
                <w:szCs w:val="18"/>
              </w:rPr>
            </w:pPr>
            <w:r>
              <w:rPr>
                <w:rFonts w:ascii="宋体"/>
                <w:spacing w:val="-1"/>
                <w:sz w:val="18"/>
              </w:rPr>
              <w:t>10,000</w:t>
            </w:r>
          </w:p>
        </w:tc>
        <w:tc>
          <w:tcPr>
            <w:tcW w:w="91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9"/>
              <w:ind w:right="93"/>
              <w:jc w:val="right"/>
              <w:rPr>
                <w:rFonts w:ascii="宋体" w:hAnsi="宋体" w:cs="宋体" w:eastAsia="宋体" w:hint="default"/>
                <w:sz w:val="18"/>
                <w:szCs w:val="18"/>
              </w:rPr>
            </w:pPr>
            <w:r>
              <w:rPr>
                <w:rFonts w:ascii="宋体"/>
                <w:sz w:val="18"/>
              </w:rPr>
              <w:t>100.00%</w:t>
            </w:r>
          </w:p>
        </w:tc>
      </w:tr>
    </w:tbl>
    <w:p>
      <w:pPr>
        <w:spacing w:line="240" w:lineRule="auto" w:before="4"/>
        <w:rPr>
          <w:rFonts w:ascii="Times New Roman" w:hAnsi="Times New Roman" w:cs="Times New Roman" w:eastAsia="Times New Roman" w:hint="default"/>
          <w:sz w:val="21"/>
          <w:szCs w:val="21"/>
        </w:rPr>
      </w:pPr>
    </w:p>
    <w:p>
      <w:pPr>
        <w:pStyle w:val="BodyText"/>
        <w:spacing w:line="240" w:lineRule="auto" w:before="26"/>
        <w:ind w:left="218" w:right="0"/>
        <w:jc w:val="left"/>
      </w:pPr>
      <w:r>
        <w:rPr>
          <w:rFonts w:ascii="宋体" w:hAnsi="宋体" w:cs="宋体" w:eastAsia="宋体" w:hint="default"/>
        </w:rPr>
        <w:t>2015</w:t>
      </w:r>
      <w:r>
        <w:rPr>
          <w:rFonts w:ascii="宋体" w:hAnsi="宋体" w:cs="宋体" w:eastAsia="宋体" w:hint="default"/>
          <w:spacing w:val="-60"/>
        </w:rPr>
        <w:t> </w:t>
      </w:r>
      <w:r>
        <w:rPr/>
        <w:t>年公司控股、参股子公司相关信息变动情况如下：</w:t>
      </w:r>
    </w:p>
    <w:p>
      <w:pPr>
        <w:spacing w:line="240" w:lineRule="auto" w:before="7"/>
        <w:rPr>
          <w:rFonts w:ascii="宋体" w:hAnsi="宋体" w:cs="宋体" w:eastAsia="宋体" w:hint="default"/>
          <w:sz w:val="23"/>
          <w:szCs w:val="23"/>
        </w:rPr>
      </w:pPr>
    </w:p>
    <w:p>
      <w:pPr>
        <w:pStyle w:val="BodyText"/>
        <w:spacing w:line="313" w:lineRule="exact"/>
        <w:ind w:left="218" w:right="0"/>
        <w:jc w:val="left"/>
      </w:pPr>
      <w:r>
        <w:rPr>
          <w:rFonts w:ascii="宋体" w:hAnsi="宋体" w:cs="宋体" w:eastAsia="宋体" w:hint="default"/>
        </w:rPr>
        <w:t>2015</w:t>
      </w:r>
      <w:r>
        <w:rPr>
          <w:rFonts w:ascii="宋体" w:hAnsi="宋体" w:cs="宋体" w:eastAsia="宋体" w:hint="default"/>
          <w:spacing w:val="-60"/>
        </w:rPr>
        <w:t> </w:t>
      </w:r>
      <w:r>
        <w:rPr/>
        <w:t>年</w:t>
      </w:r>
      <w:r>
        <w:rPr>
          <w:spacing w:val="-61"/>
        </w:rPr>
        <w:t> </w:t>
      </w:r>
      <w:r>
        <w:rPr>
          <w:rFonts w:ascii="宋体" w:hAnsi="宋体" w:cs="宋体" w:eastAsia="宋体" w:hint="default"/>
        </w:rPr>
        <w:t>7</w:t>
      </w:r>
      <w:r>
        <w:rPr>
          <w:rFonts w:ascii="宋体" w:hAnsi="宋体" w:cs="宋体" w:eastAsia="宋体" w:hint="default"/>
          <w:spacing w:val="-60"/>
        </w:rPr>
        <w:t> </w:t>
      </w:r>
      <w:r>
        <w:rPr/>
        <w:t>月，泰豪科技股份有限公司实施了非公开发行股票方案，本次非公开发行股票</w:t>
      </w:r>
    </w:p>
    <w:p>
      <w:pPr>
        <w:pStyle w:val="BodyText"/>
        <w:spacing w:line="310" w:lineRule="exact" w:before="31"/>
        <w:ind w:left="218" w:right="349"/>
        <w:jc w:val="left"/>
      </w:pPr>
      <w:r>
        <w:rPr/>
        <w:t>共发行发</w:t>
      </w:r>
      <w:r>
        <w:rPr>
          <w:spacing w:val="-61"/>
        </w:rPr>
        <w:t> </w:t>
      </w:r>
      <w:r>
        <w:rPr>
          <w:rFonts w:ascii="宋体" w:hAnsi="宋体" w:cs="宋体" w:eastAsia="宋体" w:hint="default"/>
        </w:rPr>
        <w:t>113,319,360 </w:t>
      </w:r>
      <w:r>
        <w:rPr/>
        <w:t>股，发行完成后，泰豪科技股份总数增至</w:t>
      </w:r>
      <w:r>
        <w:rPr>
          <w:spacing w:val="-60"/>
        </w:rPr>
        <w:t> </w:t>
      </w:r>
      <w:r>
        <w:rPr>
          <w:rFonts w:ascii="宋体" w:hAnsi="宋体" w:cs="宋体" w:eastAsia="宋体" w:hint="default"/>
        </w:rPr>
        <w:t>61,964.51</w:t>
      </w:r>
      <w:r>
        <w:rPr>
          <w:rFonts w:ascii="宋体" w:hAnsi="宋体" w:cs="宋体" w:eastAsia="宋体" w:hint="default"/>
          <w:spacing w:val="-60"/>
        </w:rPr>
        <w:t> </w:t>
      </w:r>
      <w:r>
        <w:rPr/>
        <w:t>万股，公司 对其的持股比例由</w:t>
      </w:r>
      <w:r>
        <w:rPr>
          <w:spacing w:val="-61"/>
        </w:rPr>
        <w:t> </w:t>
      </w:r>
      <w:r>
        <w:rPr>
          <w:rFonts w:ascii="宋体" w:hAnsi="宋体" w:cs="宋体" w:eastAsia="宋体" w:hint="default"/>
        </w:rPr>
        <w:t>20.43%</w:t>
      </w:r>
      <w:r>
        <w:rPr/>
        <w:t>降至</w:t>
      </w:r>
      <w:r>
        <w:rPr>
          <w:spacing w:val="-60"/>
        </w:rPr>
        <w:t> </w:t>
      </w:r>
      <w:r>
        <w:rPr>
          <w:rFonts w:ascii="宋体" w:hAnsi="宋体" w:cs="宋体" w:eastAsia="宋体" w:hint="default"/>
        </w:rPr>
        <w:t>16.69%</w:t>
      </w:r>
      <w:r>
        <w:rPr/>
        <w:t>，并由第一大股东变为第二大股东。</w:t>
      </w:r>
    </w:p>
    <w:p>
      <w:pPr>
        <w:spacing w:line="240" w:lineRule="auto" w:before="7"/>
        <w:rPr>
          <w:rFonts w:ascii="宋体" w:hAnsi="宋体" w:cs="宋体" w:eastAsia="宋体" w:hint="default"/>
          <w:sz w:val="21"/>
          <w:szCs w:val="21"/>
        </w:rPr>
      </w:pPr>
    </w:p>
    <w:p>
      <w:pPr>
        <w:pStyle w:val="BodyText"/>
        <w:spacing w:line="313" w:lineRule="exact"/>
        <w:ind w:left="218" w:right="0"/>
        <w:jc w:val="left"/>
      </w:pPr>
      <w:r>
        <w:rPr>
          <w:rFonts w:ascii="宋体" w:hAnsi="宋体" w:cs="宋体" w:eastAsia="宋体" w:hint="default"/>
        </w:rPr>
        <w:t>2015</w:t>
      </w:r>
      <w:r>
        <w:rPr>
          <w:rFonts w:ascii="宋体" w:hAnsi="宋体" w:cs="宋体" w:eastAsia="宋体" w:hint="default"/>
          <w:spacing w:val="-52"/>
        </w:rPr>
        <w:t> </w:t>
      </w:r>
      <w:r>
        <w:rPr>
          <w:spacing w:val="-4"/>
        </w:rPr>
        <w:t>年度，同方泰德实施了股份配售及期权行权，截止</w:t>
      </w:r>
      <w:r>
        <w:rPr>
          <w:spacing w:val="-52"/>
        </w:rPr>
        <w:t> </w:t>
      </w:r>
      <w:r>
        <w:rPr>
          <w:rFonts w:ascii="宋体" w:hAnsi="宋体" w:cs="宋体" w:eastAsia="宋体" w:hint="default"/>
        </w:rPr>
        <w:t>2015</w:t>
      </w:r>
      <w:r>
        <w:rPr>
          <w:rFonts w:ascii="宋体" w:hAnsi="宋体" w:cs="宋体" w:eastAsia="宋体" w:hint="default"/>
          <w:spacing w:val="-52"/>
        </w:rPr>
        <w:t> </w:t>
      </w:r>
      <w:r>
        <w:rPr>
          <w:spacing w:val="-3"/>
        </w:rPr>
        <w:t>年末，同方泰德总股本变更</w:t>
      </w:r>
    </w:p>
    <w:p>
      <w:pPr>
        <w:pStyle w:val="BodyText"/>
        <w:spacing w:line="313" w:lineRule="exact"/>
        <w:ind w:left="218" w:right="0"/>
        <w:jc w:val="left"/>
      </w:pPr>
      <w:r>
        <w:rPr/>
        <w:t>为</w:t>
      </w:r>
      <w:r>
        <w:rPr>
          <w:spacing w:val="-60"/>
        </w:rPr>
        <w:t> </w:t>
      </w:r>
      <w:r>
        <w:rPr>
          <w:rFonts w:ascii="宋体" w:hAnsi="宋体" w:cs="宋体" w:eastAsia="宋体" w:hint="default"/>
        </w:rPr>
        <w:t>795,272,189</w:t>
      </w:r>
      <w:r>
        <w:rPr>
          <w:rFonts w:ascii="宋体" w:hAnsi="宋体" w:cs="宋体" w:eastAsia="宋体" w:hint="default"/>
          <w:spacing w:val="-61"/>
        </w:rPr>
        <w:t> </w:t>
      </w:r>
      <w:r>
        <w:rPr/>
        <w:t>股，公司持有同方泰德</w:t>
      </w:r>
      <w:r>
        <w:rPr>
          <w:spacing w:val="-60"/>
        </w:rPr>
        <w:t> </w:t>
      </w:r>
      <w:r>
        <w:rPr>
          <w:rFonts w:ascii="宋体" w:hAnsi="宋体" w:cs="宋体" w:eastAsia="宋体" w:hint="default"/>
        </w:rPr>
        <w:t>92,000,000</w:t>
      </w:r>
      <w:r>
        <w:rPr>
          <w:rFonts w:ascii="宋体" w:hAnsi="宋体" w:cs="宋体" w:eastAsia="宋体" w:hint="default"/>
          <w:spacing w:val="-60"/>
        </w:rPr>
        <w:t> </w:t>
      </w:r>
      <w:r>
        <w:rPr/>
        <w:t>股不变，持股比例变更为</w:t>
      </w:r>
      <w:r>
        <w:rPr>
          <w:spacing w:val="-60"/>
        </w:rPr>
        <w:t> </w:t>
      </w:r>
      <w:r>
        <w:rPr>
          <w:rFonts w:ascii="宋体" w:hAnsi="宋体" w:cs="宋体" w:eastAsia="宋体" w:hint="default"/>
        </w:rPr>
        <w:t>11.57%</w:t>
      </w:r>
      <w:r>
        <w:rPr/>
        <w:t>。</w:t>
      </w:r>
    </w:p>
    <w:p>
      <w:pPr>
        <w:spacing w:line="240" w:lineRule="auto" w:before="7"/>
        <w:rPr>
          <w:rFonts w:ascii="宋体" w:hAnsi="宋体" w:cs="宋体" w:eastAsia="宋体" w:hint="default"/>
          <w:sz w:val="23"/>
          <w:szCs w:val="23"/>
        </w:rPr>
      </w:pPr>
    </w:p>
    <w:p>
      <w:pPr>
        <w:pStyle w:val="BodyText"/>
        <w:spacing w:line="313" w:lineRule="exact"/>
        <w:ind w:left="218" w:right="0"/>
        <w:jc w:val="left"/>
      </w:pPr>
      <w:r>
        <w:rPr>
          <w:rFonts w:ascii="宋体" w:hAnsi="宋体" w:cs="宋体" w:eastAsia="宋体" w:hint="default"/>
        </w:rPr>
        <w:t>2015</w:t>
      </w:r>
      <w:r>
        <w:rPr>
          <w:rFonts w:ascii="宋体" w:hAnsi="宋体" w:cs="宋体" w:eastAsia="宋体" w:hint="default"/>
          <w:spacing w:val="-60"/>
        </w:rPr>
        <w:t> </w:t>
      </w:r>
      <w:r>
        <w:rPr/>
        <w:t>年</w:t>
      </w:r>
      <w:r>
        <w:rPr>
          <w:spacing w:val="-61"/>
        </w:rPr>
        <w:t> </w:t>
      </w:r>
      <w:r>
        <w:rPr>
          <w:rFonts w:ascii="宋体" w:hAnsi="宋体" w:cs="宋体" w:eastAsia="宋体" w:hint="default"/>
        </w:rPr>
        <w:t>11</w:t>
      </w:r>
      <w:r>
        <w:rPr>
          <w:rFonts w:ascii="宋体" w:hAnsi="宋体" w:cs="宋体" w:eastAsia="宋体" w:hint="default"/>
          <w:spacing w:val="-60"/>
        </w:rPr>
        <w:t> </w:t>
      </w:r>
      <w:r>
        <w:rPr/>
        <w:t>月</w:t>
      </w:r>
      <w:r>
        <w:rPr>
          <w:spacing w:val="-113"/>
        </w:rPr>
        <w:t>，</w:t>
      </w:r>
      <w:r>
        <w:rPr/>
        <w:t>公司下属北京同方易豪科技有限公司名称变更</w:t>
      </w:r>
      <w:r>
        <w:rPr>
          <w:spacing w:val="-113"/>
        </w:rPr>
        <w:t>为</w:t>
      </w:r>
      <w:r>
        <w:rPr/>
        <w:t>“东方欢旅科技有限公司</w:t>
      </w:r>
      <w:r>
        <w:rPr>
          <w:spacing w:val="-113"/>
        </w:rPr>
        <w:t>”</w:t>
      </w:r>
      <w:r>
        <w:rPr/>
        <w:t>，</w:t>
      </w:r>
    </w:p>
    <w:p>
      <w:pPr>
        <w:pStyle w:val="BodyText"/>
        <w:spacing w:line="310" w:lineRule="exact" w:before="31"/>
        <w:ind w:left="218" w:right="408"/>
        <w:jc w:val="left"/>
      </w:pPr>
      <w:r>
        <w:rPr/>
        <w:t>并增加注册资本</w:t>
      </w:r>
      <w:r>
        <w:rPr>
          <w:spacing w:val="-61"/>
        </w:rPr>
        <w:t> </w:t>
      </w:r>
      <w:r>
        <w:rPr>
          <w:rFonts w:ascii="宋体" w:hAnsi="宋体" w:cs="宋体" w:eastAsia="宋体" w:hint="default"/>
        </w:rPr>
        <w:t>500</w:t>
      </w:r>
      <w:r>
        <w:rPr>
          <w:rFonts w:ascii="宋体" w:hAnsi="宋体" w:cs="宋体" w:eastAsia="宋体" w:hint="default"/>
          <w:spacing w:val="-60"/>
        </w:rPr>
        <w:t> </w:t>
      </w:r>
      <w:r>
        <w:rPr/>
        <w:t>万元，增资后，其注册资本由</w:t>
      </w:r>
      <w:r>
        <w:rPr>
          <w:spacing w:val="-59"/>
        </w:rPr>
        <w:t> </w:t>
      </w:r>
      <w:r>
        <w:rPr>
          <w:rFonts w:ascii="宋体" w:hAnsi="宋体" w:cs="宋体" w:eastAsia="宋体" w:hint="default"/>
        </w:rPr>
        <w:t>6880</w:t>
      </w:r>
      <w:r>
        <w:rPr>
          <w:rFonts w:ascii="宋体" w:hAnsi="宋体" w:cs="宋体" w:eastAsia="宋体" w:hint="default"/>
          <w:spacing w:val="-60"/>
        </w:rPr>
        <w:t> </w:t>
      </w:r>
      <w:r>
        <w:rPr/>
        <w:t>万元增至</w:t>
      </w:r>
      <w:r>
        <w:rPr>
          <w:spacing w:val="-60"/>
        </w:rPr>
        <w:t> </w:t>
      </w:r>
      <w:r>
        <w:rPr>
          <w:rFonts w:ascii="宋体" w:hAnsi="宋体" w:cs="宋体" w:eastAsia="宋体" w:hint="default"/>
        </w:rPr>
        <w:t>7380</w:t>
      </w:r>
      <w:r>
        <w:rPr>
          <w:rFonts w:ascii="宋体" w:hAnsi="宋体" w:cs="宋体" w:eastAsia="宋体" w:hint="default"/>
          <w:spacing w:val="-60"/>
        </w:rPr>
        <w:t> </w:t>
      </w:r>
      <w:r>
        <w:rPr/>
        <w:t>万元。公司对其 出资额不变，持股比例由</w:t>
      </w:r>
      <w:r>
        <w:rPr>
          <w:spacing w:val="-60"/>
        </w:rPr>
        <w:t> </w:t>
      </w:r>
      <w:r>
        <w:rPr>
          <w:rFonts w:ascii="宋体" w:hAnsi="宋体" w:cs="宋体" w:eastAsia="宋体" w:hint="default"/>
        </w:rPr>
        <w:t>10%</w:t>
      </w:r>
      <w:r>
        <w:rPr/>
        <w:t>变为</w:t>
      </w:r>
      <w:r>
        <w:rPr>
          <w:spacing w:val="-60"/>
        </w:rPr>
        <w:t> </w:t>
      </w:r>
      <w:r>
        <w:rPr>
          <w:rFonts w:ascii="宋体" w:hAnsi="宋体" w:cs="宋体" w:eastAsia="宋体" w:hint="default"/>
        </w:rPr>
        <w:t>5.1%</w:t>
      </w:r>
      <w:r>
        <w:rPr/>
        <w:t>。</w:t>
      </w:r>
    </w:p>
    <w:p>
      <w:pPr>
        <w:spacing w:after="0" w:line="310" w:lineRule="exact"/>
        <w:jc w:val="left"/>
        <w:sectPr>
          <w:pgSz w:w="11910" w:h="16840"/>
          <w:pgMar w:header="628" w:footer="760" w:top="1020" w:bottom="960" w:left="1200" w:right="9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312" w:lineRule="exact" w:before="26"/>
        <w:ind w:left="238" w:right="250"/>
        <w:jc w:val="left"/>
      </w:pPr>
      <w:r>
        <w:rPr>
          <w:rFonts w:ascii="宋体" w:hAnsi="宋体" w:cs="宋体" w:eastAsia="宋体" w:hint="default"/>
        </w:rPr>
        <w:t>2015</w:t>
      </w:r>
      <w:r>
        <w:rPr>
          <w:rFonts w:ascii="宋体" w:hAnsi="宋体" w:cs="宋体" w:eastAsia="宋体" w:hint="default"/>
          <w:spacing w:val="-60"/>
        </w:rPr>
        <w:t> </w:t>
      </w:r>
      <w:r>
        <w:rPr/>
        <w:t>年</w:t>
      </w:r>
      <w:r>
        <w:rPr>
          <w:spacing w:val="-61"/>
        </w:rPr>
        <w:t> </w:t>
      </w:r>
      <w:r>
        <w:rPr>
          <w:rFonts w:ascii="宋体" w:hAnsi="宋体" w:cs="宋体" w:eastAsia="宋体" w:hint="default"/>
        </w:rPr>
        <w:t>7</w:t>
      </w:r>
      <w:r>
        <w:rPr>
          <w:rFonts w:ascii="宋体" w:hAnsi="宋体" w:cs="宋体" w:eastAsia="宋体" w:hint="default"/>
          <w:spacing w:val="-60"/>
        </w:rPr>
        <w:t> </w:t>
      </w:r>
      <w:r>
        <w:rPr/>
        <w:t>月</w:t>
      </w:r>
      <w:r>
        <w:rPr>
          <w:spacing w:val="-99"/>
        </w:rPr>
        <w:t>，</w:t>
      </w:r>
      <w:r>
        <w:rPr/>
        <w:t>公司出资</w:t>
      </w:r>
      <w:r>
        <w:rPr>
          <w:spacing w:val="-60"/>
        </w:rPr>
        <w:t> </w:t>
      </w:r>
      <w:r>
        <w:rPr>
          <w:rFonts w:ascii="宋体" w:hAnsi="宋体" w:cs="宋体" w:eastAsia="宋体" w:hint="default"/>
        </w:rPr>
        <w:t>8000</w:t>
      </w:r>
      <w:r>
        <w:rPr>
          <w:rFonts w:ascii="宋体" w:hAnsi="宋体" w:cs="宋体" w:eastAsia="宋体" w:hint="default"/>
          <w:spacing w:val="-60"/>
        </w:rPr>
        <w:t> </w:t>
      </w:r>
      <w:r>
        <w:rPr/>
        <w:t>万元与泰豪集团有限公司同比例对同方泰豪动漫产业投资有</w:t>
      </w:r>
    </w:p>
    <w:p>
      <w:pPr>
        <w:pStyle w:val="BodyText"/>
        <w:spacing w:line="312" w:lineRule="exact" w:before="28"/>
        <w:ind w:left="238" w:right="448"/>
        <w:jc w:val="left"/>
      </w:pPr>
      <w:r>
        <w:rPr/>
        <w:t>限公司增资，增资完成后，泰豪动漫注册资本由</w:t>
      </w:r>
      <w:r>
        <w:rPr>
          <w:spacing w:val="-60"/>
        </w:rPr>
        <w:t> </w:t>
      </w:r>
      <w:r>
        <w:rPr>
          <w:rFonts w:ascii="宋体" w:hAnsi="宋体" w:cs="宋体" w:eastAsia="宋体" w:hint="default"/>
        </w:rPr>
        <w:t>20000</w:t>
      </w:r>
      <w:r>
        <w:rPr>
          <w:rFonts w:ascii="宋体" w:hAnsi="宋体" w:cs="宋体" w:eastAsia="宋体" w:hint="default"/>
          <w:spacing w:val="-60"/>
        </w:rPr>
        <w:t> </w:t>
      </w:r>
      <w:r>
        <w:rPr/>
        <w:t>万元增至</w:t>
      </w:r>
      <w:r>
        <w:rPr>
          <w:spacing w:val="-60"/>
        </w:rPr>
        <w:t> </w:t>
      </w:r>
      <w:r>
        <w:rPr>
          <w:rFonts w:ascii="宋体" w:hAnsi="宋体" w:cs="宋体" w:eastAsia="宋体" w:hint="default"/>
        </w:rPr>
        <w:t>40000</w:t>
      </w:r>
      <w:r>
        <w:rPr>
          <w:rFonts w:ascii="宋体" w:hAnsi="宋体" w:cs="宋体" w:eastAsia="宋体" w:hint="default"/>
          <w:spacing w:val="-60"/>
        </w:rPr>
        <w:t> </w:t>
      </w:r>
      <w:r>
        <w:rPr/>
        <w:t>万元，公司对其 </w:t>
      </w:r>
      <w:r>
        <w:rPr>
          <w:rFonts w:ascii="宋体" w:hAnsi="宋体" w:cs="宋体" w:eastAsia="宋体" w:hint="default"/>
        </w:rPr>
        <w:t>40%</w:t>
      </w:r>
      <w:r>
        <w:rPr/>
        <w:t>的持股比例保持不变。</w:t>
      </w:r>
    </w:p>
    <w:p>
      <w:pPr>
        <w:spacing w:line="240" w:lineRule="auto" w:before="6"/>
        <w:rPr>
          <w:rFonts w:ascii="宋体" w:hAnsi="宋体" w:cs="宋体" w:eastAsia="宋体" w:hint="default"/>
          <w:sz w:val="21"/>
          <w:szCs w:val="21"/>
        </w:rPr>
      </w:pPr>
    </w:p>
    <w:p>
      <w:pPr>
        <w:pStyle w:val="BodyText"/>
        <w:spacing w:line="312" w:lineRule="exact"/>
        <w:ind w:left="238" w:right="250"/>
        <w:jc w:val="left"/>
      </w:pPr>
      <w:r>
        <w:rPr>
          <w:rFonts w:ascii="宋体" w:hAnsi="宋体" w:cs="宋体" w:eastAsia="宋体" w:hint="default"/>
        </w:rPr>
        <w:t>2015</w:t>
      </w:r>
      <w:r>
        <w:rPr>
          <w:rFonts w:ascii="宋体" w:hAnsi="宋体" w:cs="宋体" w:eastAsia="宋体" w:hint="default"/>
          <w:spacing w:val="-60"/>
        </w:rPr>
        <w:t> </w:t>
      </w:r>
      <w:r>
        <w:rPr/>
        <w:t>年</w:t>
      </w:r>
      <w:r>
        <w:rPr>
          <w:spacing w:val="-61"/>
        </w:rPr>
        <w:t> </w:t>
      </w:r>
      <w:r>
        <w:rPr>
          <w:rFonts w:ascii="宋体" w:hAnsi="宋体" w:cs="宋体" w:eastAsia="宋体" w:hint="default"/>
        </w:rPr>
        <w:t>5</w:t>
      </w:r>
      <w:r>
        <w:rPr>
          <w:rFonts w:ascii="宋体" w:hAnsi="宋体" w:cs="宋体" w:eastAsia="宋体" w:hint="default"/>
          <w:spacing w:val="-60"/>
        </w:rPr>
        <w:t> </w:t>
      </w:r>
      <w:r>
        <w:rPr/>
        <w:t>月，公司出资</w:t>
      </w:r>
      <w:r>
        <w:rPr>
          <w:spacing w:val="-60"/>
        </w:rPr>
        <w:t> </w:t>
      </w:r>
      <w:r>
        <w:rPr>
          <w:rFonts w:ascii="宋体" w:hAnsi="宋体" w:cs="宋体" w:eastAsia="宋体" w:hint="default"/>
        </w:rPr>
        <w:t>1.5</w:t>
      </w:r>
      <w:r>
        <w:rPr>
          <w:rFonts w:ascii="宋体" w:hAnsi="宋体" w:cs="宋体" w:eastAsia="宋体" w:hint="default"/>
          <w:spacing w:val="-60"/>
        </w:rPr>
        <w:t> </w:t>
      </w:r>
      <w:r>
        <w:rPr/>
        <w:t>亿元与</w:t>
      </w:r>
      <w:r>
        <w:rPr>
          <w:spacing w:val="-60"/>
        </w:rPr>
        <w:t> </w:t>
      </w:r>
      <w:r>
        <w:rPr>
          <w:rFonts w:ascii="宋体" w:hAnsi="宋体" w:cs="宋体" w:eastAsia="宋体" w:hint="default"/>
        </w:rPr>
        <w:t>AEGON</w:t>
      </w:r>
      <w:r>
        <w:rPr>
          <w:rFonts w:ascii="宋体" w:hAnsi="宋体" w:cs="宋体" w:eastAsia="宋体" w:hint="default"/>
          <w:spacing w:val="-60"/>
        </w:rPr>
        <w:t> </w:t>
      </w:r>
      <w:r>
        <w:rPr/>
        <w:t>保险国际有限公司同比例对海康人寿保险有限</w:t>
      </w:r>
    </w:p>
    <w:p>
      <w:pPr>
        <w:pStyle w:val="BodyText"/>
        <w:spacing w:line="312" w:lineRule="exact" w:before="28"/>
        <w:ind w:left="238" w:right="372"/>
        <w:jc w:val="left"/>
      </w:pPr>
      <w:r>
        <w:rPr>
          <w:spacing w:val="-4"/>
        </w:rPr>
        <w:t>公司增资，增资完成后，海康人寿注册资本由</w:t>
      </w:r>
      <w:r>
        <w:rPr>
          <w:spacing w:val="-58"/>
        </w:rPr>
        <w:t> </w:t>
      </w:r>
      <w:r>
        <w:rPr>
          <w:rFonts w:ascii="宋体" w:hAnsi="宋体" w:cs="宋体" w:eastAsia="宋体" w:hint="default"/>
        </w:rPr>
        <w:t>18</w:t>
      </w:r>
      <w:r>
        <w:rPr>
          <w:rFonts w:ascii="宋体" w:hAnsi="宋体" w:cs="宋体" w:eastAsia="宋体" w:hint="default"/>
          <w:spacing w:val="-58"/>
        </w:rPr>
        <w:t> </w:t>
      </w:r>
      <w:r>
        <w:rPr/>
        <w:t>亿元增至</w:t>
      </w:r>
      <w:r>
        <w:rPr>
          <w:spacing w:val="-58"/>
        </w:rPr>
        <w:t> </w:t>
      </w:r>
      <w:r>
        <w:rPr>
          <w:rFonts w:ascii="宋体" w:hAnsi="宋体" w:cs="宋体" w:eastAsia="宋体" w:hint="default"/>
        </w:rPr>
        <w:t>21</w:t>
      </w:r>
      <w:r>
        <w:rPr>
          <w:rFonts w:ascii="宋体" w:hAnsi="宋体" w:cs="宋体" w:eastAsia="宋体" w:hint="default"/>
          <w:spacing w:val="-58"/>
        </w:rPr>
        <w:t> </w:t>
      </w:r>
      <w:r>
        <w:rPr>
          <w:spacing w:val="-5"/>
        </w:rPr>
        <w:t>亿元，公司对其</w:t>
      </w:r>
      <w:r>
        <w:rPr>
          <w:spacing w:val="-58"/>
        </w:rPr>
        <w:t> </w:t>
      </w:r>
      <w:r>
        <w:rPr>
          <w:rFonts w:ascii="宋体" w:hAnsi="宋体" w:cs="宋体" w:eastAsia="宋体" w:hint="default"/>
        </w:rPr>
        <w:t>50%</w:t>
      </w:r>
      <w:r>
        <w:rPr/>
        <w:t>的持股 </w:t>
      </w:r>
      <w:r>
        <w:rPr>
          <w:spacing w:val="-11"/>
        </w:rPr>
        <w:t>比例保持不变。</w:t>
      </w:r>
      <w:r>
        <w:rPr>
          <w:rFonts w:ascii="宋体" w:hAnsi="宋体" w:cs="宋体" w:eastAsia="宋体" w:hint="default"/>
          <w:spacing w:val="-11"/>
        </w:rPr>
        <w:t>2015</w:t>
      </w:r>
      <w:r>
        <w:rPr>
          <w:rFonts w:ascii="宋体" w:hAnsi="宋体" w:cs="宋体" w:eastAsia="宋体" w:hint="default"/>
          <w:spacing w:val="-57"/>
        </w:rPr>
        <w:t> </w:t>
      </w:r>
      <w:r>
        <w:rPr/>
        <w:t>年</w:t>
      </w:r>
      <w:r>
        <w:rPr>
          <w:spacing w:val="-57"/>
        </w:rPr>
        <w:t> </w:t>
      </w:r>
      <w:r>
        <w:rPr>
          <w:rFonts w:ascii="宋体" w:hAnsi="宋体" w:cs="宋体" w:eastAsia="宋体" w:hint="default"/>
        </w:rPr>
        <w:t>6</w:t>
      </w:r>
      <w:r>
        <w:rPr>
          <w:rFonts w:ascii="宋体" w:hAnsi="宋体" w:cs="宋体" w:eastAsia="宋体" w:hint="default"/>
          <w:spacing w:val="-57"/>
        </w:rPr>
        <w:t> </w:t>
      </w:r>
      <w:r>
        <w:rPr>
          <w:spacing w:val="-4"/>
        </w:rPr>
        <w:t>月，海康人寿保险有限公司更名为同方全球人寿保险有限公司。</w:t>
      </w:r>
    </w:p>
    <w:p>
      <w:pPr>
        <w:spacing w:line="240" w:lineRule="auto" w:before="4"/>
        <w:rPr>
          <w:rFonts w:ascii="宋体" w:hAnsi="宋体" w:cs="宋体" w:eastAsia="宋体" w:hint="default"/>
          <w:sz w:val="21"/>
          <w:szCs w:val="21"/>
        </w:rPr>
      </w:pPr>
    </w:p>
    <w:p>
      <w:pPr>
        <w:pStyle w:val="BodyText"/>
        <w:spacing w:line="313" w:lineRule="exact"/>
        <w:ind w:left="238" w:right="250"/>
        <w:jc w:val="left"/>
      </w:pPr>
      <w:r>
        <w:rPr>
          <w:rFonts w:ascii="宋体" w:hAnsi="宋体" w:cs="宋体" w:eastAsia="宋体" w:hint="default"/>
        </w:rPr>
        <w:t>2014</w:t>
      </w:r>
      <w:r>
        <w:rPr>
          <w:rFonts w:ascii="宋体" w:hAnsi="宋体" w:cs="宋体" w:eastAsia="宋体" w:hint="default"/>
          <w:spacing w:val="-60"/>
        </w:rPr>
        <w:t> </w:t>
      </w:r>
      <w:r>
        <w:rPr/>
        <w:t>年</w:t>
      </w:r>
      <w:r>
        <w:rPr>
          <w:spacing w:val="-61"/>
        </w:rPr>
        <w:t> </w:t>
      </w:r>
      <w:r>
        <w:rPr>
          <w:rFonts w:ascii="宋体" w:hAnsi="宋体" w:cs="宋体" w:eastAsia="宋体" w:hint="default"/>
        </w:rPr>
        <w:t>10</w:t>
      </w:r>
      <w:r>
        <w:rPr>
          <w:rFonts w:ascii="宋体" w:hAnsi="宋体" w:cs="宋体" w:eastAsia="宋体" w:hint="default"/>
          <w:spacing w:val="-60"/>
        </w:rPr>
        <w:t> </w:t>
      </w:r>
      <w:r>
        <w:rPr/>
        <w:t>月，公司以债权方式向下属同方江新造船有限公司增资</w:t>
      </w:r>
      <w:r>
        <w:rPr>
          <w:spacing w:val="-59"/>
        </w:rPr>
        <w:t> </w:t>
      </w:r>
      <w:r>
        <w:rPr>
          <w:rFonts w:ascii="宋体" w:hAnsi="宋体" w:cs="宋体" w:eastAsia="宋体" w:hint="default"/>
        </w:rPr>
        <w:t>3.35</w:t>
      </w:r>
      <w:r>
        <w:rPr>
          <w:rFonts w:ascii="宋体" w:hAnsi="宋体" w:cs="宋体" w:eastAsia="宋体" w:hint="default"/>
          <w:spacing w:val="-60"/>
        </w:rPr>
        <w:t> </w:t>
      </w:r>
      <w:r>
        <w:rPr/>
        <w:t>亿元，增资完成</w:t>
      </w:r>
    </w:p>
    <w:p>
      <w:pPr>
        <w:pStyle w:val="BodyText"/>
        <w:spacing w:line="240" w:lineRule="auto"/>
        <w:ind w:left="238" w:right="372"/>
        <w:jc w:val="left"/>
      </w:pPr>
      <w:r>
        <w:rPr>
          <w:spacing w:val="-4"/>
        </w:rPr>
        <w:t>后，江新造船注册资本由</w:t>
      </w:r>
      <w:r>
        <w:rPr>
          <w:spacing w:val="-56"/>
        </w:rPr>
        <w:t> </w:t>
      </w:r>
      <w:r>
        <w:rPr>
          <w:rFonts w:ascii="宋体" w:hAnsi="宋体" w:cs="宋体" w:eastAsia="宋体" w:hint="default"/>
        </w:rPr>
        <w:t>2</w:t>
      </w:r>
      <w:r>
        <w:rPr>
          <w:rFonts w:ascii="宋体" w:hAnsi="宋体" w:cs="宋体" w:eastAsia="宋体" w:hint="default"/>
          <w:spacing w:val="-56"/>
        </w:rPr>
        <w:t> </w:t>
      </w:r>
      <w:r>
        <w:rPr/>
        <w:t>亿元增至</w:t>
      </w:r>
      <w:r>
        <w:rPr>
          <w:spacing w:val="-56"/>
        </w:rPr>
        <w:t> </w:t>
      </w:r>
      <w:r>
        <w:rPr>
          <w:rFonts w:ascii="宋体" w:hAnsi="宋体" w:cs="宋体" w:eastAsia="宋体" w:hint="default"/>
        </w:rPr>
        <w:t>5.35</w:t>
      </w:r>
      <w:r>
        <w:rPr>
          <w:rFonts w:ascii="宋体" w:hAnsi="宋体" w:cs="宋体" w:eastAsia="宋体" w:hint="default"/>
          <w:spacing w:val="-56"/>
        </w:rPr>
        <w:t> </w:t>
      </w:r>
      <w:r>
        <w:rPr>
          <w:spacing w:val="-3"/>
        </w:rPr>
        <w:t>亿元，公司对其持股比例为</w:t>
      </w:r>
      <w:r>
        <w:rPr>
          <w:spacing w:val="-56"/>
        </w:rPr>
        <w:t> </w:t>
      </w:r>
      <w:r>
        <w:rPr>
          <w:rFonts w:ascii="宋体" w:hAnsi="宋体" w:cs="宋体" w:eastAsia="宋体" w:hint="default"/>
          <w:spacing w:val="-4"/>
        </w:rPr>
        <w:t>62.62%</w:t>
      </w:r>
      <w:r>
        <w:rPr>
          <w:spacing w:val="-4"/>
        </w:rPr>
        <w:t>，公司下属</w:t>
      </w:r>
      <w:r>
        <w:rPr/>
        <w:t> 全资子公司同方工业有限公司对其持股</w:t>
      </w:r>
      <w:r>
        <w:rPr>
          <w:spacing w:val="-60"/>
        </w:rPr>
        <w:t> </w:t>
      </w:r>
      <w:r>
        <w:rPr>
          <w:rFonts w:ascii="宋体" w:hAnsi="宋体" w:cs="宋体" w:eastAsia="宋体" w:hint="default"/>
        </w:rPr>
        <w:t>37.38%</w:t>
      </w:r>
      <w:r>
        <w:rPr/>
        <w:t>。</w:t>
      </w:r>
    </w:p>
    <w:p>
      <w:pPr>
        <w:spacing w:line="240" w:lineRule="auto" w:before="11"/>
        <w:rPr>
          <w:rFonts w:ascii="宋体" w:hAnsi="宋体" w:cs="宋体" w:eastAsia="宋体" w:hint="default"/>
          <w:sz w:val="25"/>
          <w:szCs w:val="25"/>
        </w:rPr>
      </w:pPr>
    </w:p>
    <w:p>
      <w:pPr>
        <w:pStyle w:val="BodyText"/>
        <w:spacing w:line="312" w:lineRule="exact"/>
        <w:ind w:left="238" w:right="372"/>
        <w:jc w:val="left"/>
      </w:pPr>
      <w:r>
        <w:rPr>
          <w:rFonts w:ascii="宋体" w:hAnsi="宋体" w:cs="宋体" w:eastAsia="宋体" w:hint="default"/>
        </w:rPr>
        <w:t>2015</w:t>
      </w:r>
      <w:r>
        <w:rPr>
          <w:rFonts w:ascii="宋体" w:hAnsi="宋体" w:cs="宋体" w:eastAsia="宋体" w:hint="default"/>
          <w:spacing w:val="-57"/>
        </w:rPr>
        <w:t> </w:t>
      </w:r>
      <w:r>
        <w:rPr/>
        <w:t>年</w:t>
      </w:r>
      <w:r>
        <w:rPr>
          <w:spacing w:val="-57"/>
        </w:rPr>
        <w:t> </w:t>
      </w:r>
      <w:r>
        <w:rPr>
          <w:rFonts w:ascii="宋体" w:hAnsi="宋体" w:cs="宋体" w:eastAsia="宋体" w:hint="default"/>
        </w:rPr>
        <w:t>8</w:t>
      </w:r>
      <w:r>
        <w:rPr>
          <w:rFonts w:ascii="宋体" w:hAnsi="宋体" w:cs="宋体" w:eastAsia="宋体" w:hint="default"/>
          <w:spacing w:val="-57"/>
        </w:rPr>
        <w:t> </w:t>
      </w:r>
      <w:r>
        <w:rPr/>
        <w:t>月，公司出资</w:t>
      </w:r>
      <w:r>
        <w:rPr>
          <w:spacing w:val="-56"/>
        </w:rPr>
        <w:t> </w:t>
      </w:r>
      <w:r>
        <w:rPr>
          <w:rFonts w:ascii="宋体" w:hAnsi="宋体" w:cs="宋体" w:eastAsia="宋体" w:hint="default"/>
        </w:rPr>
        <w:t>1</w:t>
      </w:r>
      <w:r>
        <w:rPr>
          <w:rFonts w:ascii="宋体" w:hAnsi="宋体" w:cs="宋体" w:eastAsia="宋体" w:hint="default"/>
          <w:spacing w:val="-57"/>
        </w:rPr>
        <w:t> </w:t>
      </w:r>
      <w:r>
        <w:rPr/>
        <w:t>亿元设立了下属全资子公司北京同方电子支付科技有限公司， 该公司主要从事电信业务、应用软件开发等。</w:t>
      </w:r>
    </w:p>
    <w:p>
      <w:pPr>
        <w:spacing w:line="240" w:lineRule="auto" w:before="4"/>
        <w:rPr>
          <w:rFonts w:ascii="宋体" w:hAnsi="宋体" w:cs="宋体" w:eastAsia="宋体" w:hint="default"/>
          <w:sz w:val="21"/>
          <w:szCs w:val="21"/>
        </w:rPr>
      </w:pPr>
    </w:p>
    <w:p>
      <w:pPr>
        <w:spacing w:line="475" w:lineRule="auto" w:before="0"/>
        <w:ind w:left="238" w:right="7022" w:firstLine="256"/>
        <w:jc w:val="left"/>
        <w:rPr>
          <w:rFonts w:ascii="宋体" w:hAnsi="宋体" w:cs="宋体" w:eastAsia="宋体" w:hint="default"/>
          <w:sz w:val="24"/>
          <w:szCs w:val="24"/>
        </w:rPr>
      </w:pPr>
      <w:r>
        <w:rPr>
          <w:rFonts w:ascii="宋体" w:hAnsi="宋体" w:cs="宋体" w:eastAsia="宋体" w:hint="default"/>
          <w:b/>
          <w:bCs/>
          <w:sz w:val="24"/>
          <w:szCs w:val="24"/>
        </w:rPr>
        <w:t>(2)</w:t>
      </w:r>
      <w:r>
        <w:rPr>
          <w:rFonts w:ascii="宋体" w:hAnsi="宋体" w:cs="宋体" w:eastAsia="宋体" w:hint="default"/>
          <w:b/>
          <w:bCs/>
          <w:sz w:val="24"/>
          <w:szCs w:val="24"/>
        </w:rPr>
        <w:t>重大的非股权投资</w:t>
      </w:r>
      <w:r>
        <w:rPr>
          <w:rFonts w:ascii="宋体" w:hAnsi="宋体" w:cs="宋体" w:eastAsia="宋体" w:hint="default"/>
          <w:b/>
          <w:bCs/>
          <w:w w:val="99"/>
          <w:sz w:val="24"/>
          <w:szCs w:val="24"/>
        </w:rPr>
        <w:t> </w:t>
      </w:r>
      <w:r>
        <w:rPr>
          <w:rFonts w:ascii="宋体" w:hAnsi="宋体" w:cs="宋体" w:eastAsia="宋体" w:hint="default"/>
          <w:sz w:val="24"/>
          <w:szCs w:val="24"/>
        </w:rPr>
        <w:t>不适用。</w:t>
      </w:r>
    </w:p>
    <w:p>
      <w:pPr>
        <w:spacing w:line="475" w:lineRule="auto" w:before="74"/>
        <w:ind w:left="238" w:right="4288" w:firstLine="256"/>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以公允价值计量的金融资产</w:t>
      </w:r>
      <w:r>
        <w:rPr>
          <w:rFonts w:ascii="宋体" w:hAnsi="宋体" w:cs="宋体" w:eastAsia="宋体" w:hint="default"/>
          <w:b/>
          <w:bCs/>
          <w:w w:val="99"/>
          <w:sz w:val="24"/>
          <w:szCs w:val="24"/>
        </w:rPr>
        <w:t> </w:t>
      </w:r>
      <w:r>
        <w:rPr>
          <w:rFonts w:ascii="宋体" w:hAnsi="宋体" w:cs="宋体" w:eastAsia="宋体" w:hint="default"/>
          <w:sz w:val="24"/>
          <w:szCs w:val="24"/>
        </w:rPr>
        <w:t>报告期内，以公允价值计量的金融资产情况如下：</w:t>
      </w:r>
    </w:p>
    <w:p>
      <w:pPr>
        <w:spacing w:line="240" w:lineRule="auto" w:before="10"/>
        <w:rPr>
          <w:rFonts w:ascii="宋体" w:hAnsi="宋体" w:cs="宋体" w:eastAsia="宋体" w:hint="default"/>
          <w:sz w:val="8"/>
          <w:szCs w:val="8"/>
        </w:rPr>
      </w:pPr>
    </w:p>
    <w:tbl>
      <w:tblPr>
        <w:tblW w:w="0" w:type="auto"/>
        <w:jc w:val="left"/>
        <w:tblInd w:w="116" w:type="dxa"/>
        <w:tblLayout w:type="fixed"/>
        <w:tblCellMar>
          <w:top w:w="0" w:type="dxa"/>
          <w:left w:w="0" w:type="dxa"/>
          <w:bottom w:w="0" w:type="dxa"/>
          <w:right w:w="0" w:type="dxa"/>
        </w:tblCellMar>
        <w:tblLook w:val="01E0"/>
      </w:tblPr>
      <w:tblGrid>
        <w:gridCol w:w="2429"/>
        <w:gridCol w:w="1616"/>
        <w:gridCol w:w="1616"/>
        <w:gridCol w:w="1534"/>
        <w:gridCol w:w="2225"/>
      </w:tblGrid>
      <w:tr>
        <w:trPr>
          <w:trHeight w:val="281" w:hRule="exact"/>
        </w:trPr>
        <w:tc>
          <w:tcPr>
            <w:tcW w:w="2429" w:type="dxa"/>
            <w:tcBorders>
              <w:top w:val="single" w:sz="12" w:space="0" w:color="000000"/>
              <w:left w:val="single" w:sz="12" w:space="0" w:color="000000"/>
              <w:bottom w:val="single" w:sz="6" w:space="0" w:color="000000"/>
              <w:right w:val="single" w:sz="6" w:space="0" w:color="000000"/>
            </w:tcBorders>
          </w:tcPr>
          <w:p>
            <w:pPr>
              <w:pStyle w:val="TableParagraph"/>
              <w:spacing w:line="230" w:lineRule="exact"/>
              <w:ind w:left="796" w:right="0"/>
              <w:jc w:val="left"/>
              <w:rPr>
                <w:rFonts w:ascii="宋体" w:hAnsi="宋体" w:cs="宋体" w:eastAsia="宋体" w:hint="default"/>
                <w:sz w:val="20"/>
                <w:szCs w:val="20"/>
              </w:rPr>
            </w:pPr>
            <w:r>
              <w:rPr>
                <w:rFonts w:ascii="宋体" w:hAnsi="宋体" w:cs="宋体" w:eastAsia="宋体" w:hint="default"/>
                <w:b/>
                <w:bCs/>
                <w:sz w:val="20"/>
                <w:szCs w:val="20"/>
              </w:rPr>
              <w:t>项目名称</w:t>
            </w:r>
            <w:r>
              <w:rPr>
                <w:rFonts w:ascii="宋体" w:hAnsi="宋体" w:cs="宋体" w:eastAsia="宋体" w:hint="default"/>
                <w:sz w:val="20"/>
                <w:szCs w:val="20"/>
              </w:rPr>
            </w:r>
          </w:p>
        </w:tc>
        <w:tc>
          <w:tcPr>
            <w:tcW w:w="1616" w:type="dxa"/>
            <w:tcBorders>
              <w:top w:val="single" w:sz="12" w:space="0" w:color="000000"/>
              <w:left w:val="single" w:sz="6" w:space="0" w:color="000000"/>
              <w:bottom w:val="single" w:sz="6" w:space="0" w:color="000000"/>
              <w:right w:val="single" w:sz="6" w:space="0" w:color="000000"/>
            </w:tcBorders>
          </w:tcPr>
          <w:p>
            <w:pPr>
              <w:pStyle w:val="TableParagraph"/>
              <w:spacing w:line="230" w:lineRule="exact"/>
              <w:ind w:left="399" w:right="0"/>
              <w:jc w:val="left"/>
              <w:rPr>
                <w:rFonts w:ascii="宋体" w:hAnsi="宋体" w:cs="宋体" w:eastAsia="宋体" w:hint="default"/>
                <w:sz w:val="20"/>
                <w:szCs w:val="20"/>
              </w:rPr>
            </w:pPr>
            <w:r>
              <w:rPr>
                <w:rFonts w:ascii="宋体" w:hAnsi="宋体" w:cs="宋体" w:eastAsia="宋体" w:hint="default"/>
                <w:b/>
                <w:bCs/>
                <w:sz w:val="20"/>
                <w:szCs w:val="20"/>
              </w:rPr>
              <w:t>期初余额</w:t>
            </w:r>
            <w:r>
              <w:rPr>
                <w:rFonts w:ascii="宋体" w:hAnsi="宋体" w:cs="宋体" w:eastAsia="宋体" w:hint="default"/>
                <w:sz w:val="20"/>
                <w:szCs w:val="20"/>
              </w:rPr>
            </w:r>
          </w:p>
        </w:tc>
        <w:tc>
          <w:tcPr>
            <w:tcW w:w="1616" w:type="dxa"/>
            <w:tcBorders>
              <w:top w:val="single" w:sz="12" w:space="0" w:color="000000"/>
              <w:left w:val="single" w:sz="6" w:space="0" w:color="000000"/>
              <w:bottom w:val="single" w:sz="6" w:space="0" w:color="000000"/>
              <w:right w:val="single" w:sz="6" w:space="0" w:color="000000"/>
            </w:tcBorders>
          </w:tcPr>
          <w:p>
            <w:pPr>
              <w:pStyle w:val="TableParagraph"/>
              <w:spacing w:line="230" w:lineRule="exact"/>
              <w:ind w:left="398" w:right="0"/>
              <w:jc w:val="left"/>
              <w:rPr>
                <w:rFonts w:ascii="宋体" w:hAnsi="宋体" w:cs="宋体" w:eastAsia="宋体" w:hint="default"/>
                <w:sz w:val="20"/>
                <w:szCs w:val="20"/>
              </w:rPr>
            </w:pPr>
            <w:r>
              <w:rPr>
                <w:rFonts w:ascii="宋体" w:hAnsi="宋体" w:cs="宋体" w:eastAsia="宋体" w:hint="default"/>
                <w:b/>
                <w:bCs/>
                <w:sz w:val="20"/>
                <w:szCs w:val="20"/>
              </w:rPr>
              <w:t>期末余额</w:t>
            </w:r>
            <w:r>
              <w:rPr>
                <w:rFonts w:ascii="宋体" w:hAnsi="宋体" w:cs="宋体" w:eastAsia="宋体" w:hint="default"/>
                <w:sz w:val="20"/>
                <w:szCs w:val="20"/>
              </w:rPr>
            </w:r>
          </w:p>
        </w:tc>
        <w:tc>
          <w:tcPr>
            <w:tcW w:w="1534" w:type="dxa"/>
            <w:tcBorders>
              <w:top w:val="single" w:sz="12" w:space="0" w:color="000000"/>
              <w:left w:val="single" w:sz="6" w:space="0" w:color="000000"/>
              <w:bottom w:val="single" w:sz="6" w:space="0" w:color="000000"/>
              <w:right w:val="single" w:sz="6" w:space="0" w:color="000000"/>
            </w:tcBorders>
          </w:tcPr>
          <w:p>
            <w:pPr>
              <w:pStyle w:val="TableParagraph"/>
              <w:spacing w:line="230" w:lineRule="exact"/>
              <w:ind w:left="2" w:right="0"/>
              <w:jc w:val="center"/>
              <w:rPr>
                <w:rFonts w:ascii="宋体" w:hAnsi="宋体" w:cs="宋体" w:eastAsia="宋体" w:hint="default"/>
                <w:sz w:val="20"/>
                <w:szCs w:val="20"/>
              </w:rPr>
            </w:pPr>
            <w:r>
              <w:rPr>
                <w:rFonts w:ascii="宋体" w:hAnsi="宋体" w:cs="宋体" w:eastAsia="宋体" w:hint="default"/>
                <w:b/>
                <w:bCs/>
                <w:sz w:val="20"/>
                <w:szCs w:val="20"/>
              </w:rPr>
              <w:t>当期变动</w:t>
            </w:r>
            <w:r>
              <w:rPr>
                <w:rFonts w:ascii="宋体" w:hAnsi="宋体" w:cs="宋体" w:eastAsia="宋体" w:hint="default"/>
                <w:sz w:val="20"/>
                <w:szCs w:val="20"/>
              </w:rPr>
            </w:r>
          </w:p>
        </w:tc>
        <w:tc>
          <w:tcPr>
            <w:tcW w:w="2225" w:type="dxa"/>
            <w:tcBorders>
              <w:top w:val="single" w:sz="12" w:space="0" w:color="000000"/>
              <w:left w:val="single" w:sz="6" w:space="0" w:color="000000"/>
              <w:bottom w:val="single" w:sz="6" w:space="0" w:color="000000"/>
              <w:right w:val="single" w:sz="12" w:space="0" w:color="000000"/>
            </w:tcBorders>
          </w:tcPr>
          <w:p>
            <w:pPr>
              <w:pStyle w:val="TableParagraph"/>
              <w:spacing w:line="230" w:lineRule="exact"/>
              <w:ind w:right="93"/>
              <w:jc w:val="right"/>
              <w:rPr>
                <w:rFonts w:ascii="宋体" w:hAnsi="宋体" w:cs="宋体" w:eastAsia="宋体" w:hint="default"/>
                <w:sz w:val="20"/>
                <w:szCs w:val="20"/>
              </w:rPr>
            </w:pPr>
            <w:r>
              <w:rPr>
                <w:rFonts w:ascii="宋体" w:hAnsi="宋体" w:cs="宋体" w:eastAsia="宋体" w:hint="default"/>
                <w:b/>
                <w:bCs/>
                <w:w w:val="95"/>
                <w:sz w:val="20"/>
                <w:szCs w:val="20"/>
              </w:rPr>
              <w:t>对当期利润的影响金额</w:t>
            </w:r>
            <w:r>
              <w:rPr>
                <w:rFonts w:ascii="宋体" w:hAnsi="宋体" w:cs="宋体" w:eastAsia="宋体" w:hint="default"/>
                <w:sz w:val="20"/>
                <w:szCs w:val="20"/>
              </w:rPr>
            </w:r>
          </w:p>
        </w:tc>
      </w:tr>
      <w:tr>
        <w:trPr>
          <w:trHeight w:val="535" w:hRule="exact"/>
        </w:trPr>
        <w:tc>
          <w:tcPr>
            <w:tcW w:w="2429" w:type="dxa"/>
            <w:tcBorders>
              <w:top w:val="single" w:sz="6" w:space="0" w:color="000000"/>
              <w:left w:val="single" w:sz="12" w:space="0" w:color="000000"/>
              <w:bottom w:val="single" w:sz="6" w:space="0" w:color="000000"/>
              <w:right w:val="single" w:sz="6" w:space="0" w:color="000000"/>
            </w:tcBorders>
          </w:tcPr>
          <w:p>
            <w:pPr>
              <w:pStyle w:val="TableParagraph"/>
              <w:spacing w:line="228" w:lineRule="exact"/>
              <w:ind w:left="93" w:right="0"/>
              <w:jc w:val="left"/>
              <w:rPr>
                <w:rFonts w:ascii="宋体" w:hAnsi="宋体" w:cs="宋体" w:eastAsia="宋体" w:hint="default"/>
                <w:sz w:val="20"/>
                <w:szCs w:val="20"/>
              </w:rPr>
            </w:pPr>
            <w:r>
              <w:rPr>
                <w:rFonts w:ascii="宋体" w:hAnsi="宋体" w:cs="宋体" w:eastAsia="宋体" w:hint="default"/>
                <w:sz w:val="20"/>
                <w:szCs w:val="20"/>
              </w:rPr>
              <w:t>以公允价值计量且其变动</w:t>
            </w:r>
          </w:p>
          <w:p>
            <w:pPr>
              <w:pStyle w:val="TableParagraph"/>
              <w:spacing w:line="260" w:lineRule="exact"/>
              <w:ind w:left="93" w:right="0"/>
              <w:jc w:val="left"/>
              <w:rPr>
                <w:rFonts w:ascii="宋体" w:hAnsi="宋体" w:cs="宋体" w:eastAsia="宋体" w:hint="default"/>
                <w:sz w:val="20"/>
                <w:szCs w:val="20"/>
              </w:rPr>
            </w:pPr>
            <w:r>
              <w:rPr>
                <w:rFonts w:ascii="宋体" w:hAnsi="宋体" w:cs="宋体" w:eastAsia="宋体" w:hint="default"/>
                <w:sz w:val="20"/>
                <w:szCs w:val="20"/>
              </w:rPr>
              <w:t>计入当期损益的金融资产</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9"/>
              <w:ind w:right="99"/>
              <w:jc w:val="right"/>
              <w:rPr>
                <w:rFonts w:ascii="Times New Roman" w:hAnsi="Times New Roman" w:cs="Times New Roman" w:eastAsia="Times New Roman" w:hint="default"/>
                <w:sz w:val="20"/>
                <w:szCs w:val="20"/>
              </w:rPr>
            </w:pPr>
            <w:r>
              <w:rPr>
                <w:rFonts w:ascii="Times New Roman"/>
                <w:spacing w:val="-1"/>
                <w:sz w:val="20"/>
              </w:rPr>
              <w:t>1,491,222,598.08</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9"/>
              <w:ind w:right="100"/>
              <w:jc w:val="right"/>
              <w:rPr>
                <w:rFonts w:ascii="Times New Roman" w:hAnsi="Times New Roman" w:cs="Times New Roman" w:eastAsia="Times New Roman" w:hint="default"/>
                <w:sz w:val="20"/>
                <w:szCs w:val="20"/>
              </w:rPr>
            </w:pPr>
            <w:r>
              <w:rPr>
                <w:rFonts w:ascii="Times New Roman"/>
                <w:spacing w:val="-1"/>
                <w:sz w:val="20"/>
              </w:rPr>
              <w:t>1,233,687,014.15</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9"/>
              <w:ind w:right="1"/>
              <w:jc w:val="center"/>
              <w:rPr>
                <w:rFonts w:ascii="Times New Roman" w:hAnsi="Times New Roman" w:cs="Times New Roman" w:eastAsia="Times New Roman" w:hint="default"/>
                <w:sz w:val="20"/>
                <w:szCs w:val="20"/>
              </w:rPr>
            </w:pPr>
            <w:r>
              <w:rPr>
                <w:rFonts w:ascii="Times New Roman"/>
                <w:sz w:val="20"/>
              </w:rPr>
              <w:t>-257,535,583.93</w:t>
            </w:r>
          </w:p>
        </w:tc>
        <w:tc>
          <w:tcPr>
            <w:tcW w:w="222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9"/>
              <w:ind w:right="94"/>
              <w:jc w:val="right"/>
              <w:rPr>
                <w:rFonts w:ascii="Times New Roman" w:hAnsi="Times New Roman" w:cs="Times New Roman" w:eastAsia="Times New Roman" w:hint="default"/>
                <w:sz w:val="20"/>
                <w:szCs w:val="20"/>
              </w:rPr>
            </w:pPr>
            <w:r>
              <w:rPr>
                <w:rFonts w:ascii="Times New Roman"/>
                <w:w w:val="95"/>
                <w:sz w:val="20"/>
              </w:rPr>
              <w:t>360,586,659.95</w:t>
            </w:r>
            <w:r>
              <w:rPr>
                <w:rFonts w:ascii="Times New Roman"/>
                <w:sz w:val="20"/>
              </w:rPr>
            </w:r>
          </w:p>
        </w:tc>
      </w:tr>
      <w:tr>
        <w:trPr>
          <w:trHeight w:val="278" w:hRule="exact"/>
        </w:trPr>
        <w:tc>
          <w:tcPr>
            <w:tcW w:w="2429" w:type="dxa"/>
            <w:tcBorders>
              <w:top w:val="single" w:sz="6" w:space="0" w:color="000000"/>
              <w:left w:val="single" w:sz="12" w:space="0" w:color="000000"/>
              <w:bottom w:val="single" w:sz="12"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sz w:val="20"/>
                <w:szCs w:val="20"/>
              </w:rPr>
              <w:t>可供出售金融资产</w:t>
            </w:r>
          </w:p>
        </w:tc>
        <w:tc>
          <w:tcPr>
            <w:tcW w:w="16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
              <w:ind w:right="101"/>
              <w:jc w:val="right"/>
              <w:rPr>
                <w:rFonts w:ascii="Times New Roman" w:hAnsi="Times New Roman" w:cs="Times New Roman" w:eastAsia="Times New Roman" w:hint="default"/>
                <w:sz w:val="20"/>
                <w:szCs w:val="20"/>
              </w:rPr>
            </w:pPr>
            <w:r>
              <w:rPr>
                <w:rFonts w:ascii="Times New Roman"/>
                <w:w w:val="95"/>
                <w:sz w:val="20"/>
              </w:rPr>
              <w:t>93,106,629.58</w:t>
            </w:r>
            <w:r>
              <w:rPr>
                <w:rFonts w:ascii="Times New Roman"/>
                <w:sz w:val="20"/>
              </w:rPr>
            </w:r>
          </w:p>
        </w:tc>
        <w:tc>
          <w:tcPr>
            <w:tcW w:w="16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
              <w:ind w:right="102"/>
              <w:jc w:val="right"/>
              <w:rPr>
                <w:rFonts w:ascii="Times New Roman" w:hAnsi="Times New Roman" w:cs="Times New Roman" w:eastAsia="Times New Roman" w:hint="default"/>
                <w:sz w:val="20"/>
                <w:szCs w:val="20"/>
              </w:rPr>
            </w:pPr>
            <w:r>
              <w:rPr>
                <w:rFonts w:ascii="Times New Roman"/>
                <w:w w:val="95"/>
                <w:sz w:val="20"/>
              </w:rPr>
              <w:t>76,326,004.13</w:t>
            </w:r>
            <w:r>
              <w:rPr>
                <w:rFonts w:ascii="Times New Roman"/>
                <w:sz w:val="20"/>
              </w:rPr>
            </w:r>
          </w:p>
        </w:tc>
        <w:tc>
          <w:tcPr>
            <w:tcW w:w="15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
              <w:ind w:left="95" w:right="0"/>
              <w:jc w:val="center"/>
              <w:rPr>
                <w:rFonts w:ascii="Times New Roman" w:hAnsi="Times New Roman" w:cs="Times New Roman" w:eastAsia="Times New Roman" w:hint="default"/>
                <w:sz w:val="20"/>
                <w:szCs w:val="20"/>
              </w:rPr>
            </w:pPr>
            <w:r>
              <w:rPr>
                <w:rFonts w:ascii="Times New Roman"/>
                <w:sz w:val="20"/>
              </w:rPr>
              <w:t>-16,780,625.45</w:t>
            </w:r>
          </w:p>
        </w:tc>
        <w:tc>
          <w:tcPr>
            <w:tcW w:w="222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205,853.00</w:t>
            </w:r>
            <w:r>
              <w:rPr>
                <w:rFonts w:ascii="Times New Roman"/>
                <w:sz w:val="20"/>
              </w:rPr>
            </w:r>
          </w:p>
        </w:tc>
      </w:tr>
    </w:tbl>
    <w:p>
      <w:pPr>
        <w:spacing w:line="240" w:lineRule="auto" w:before="13"/>
        <w:rPr>
          <w:rFonts w:ascii="宋体" w:hAnsi="宋体" w:cs="宋体" w:eastAsia="宋体" w:hint="default"/>
          <w:sz w:val="18"/>
          <w:szCs w:val="18"/>
        </w:rPr>
      </w:pPr>
    </w:p>
    <w:p>
      <w:pPr>
        <w:pStyle w:val="BodyText"/>
        <w:spacing w:line="237" w:lineRule="auto" w:before="28"/>
        <w:ind w:left="238" w:right="381"/>
        <w:jc w:val="both"/>
      </w:pPr>
      <w:r>
        <w:rPr/>
        <w:t>其中，以公允价值计量且变动计入当期损益的金融资产主要为公司持有的东方明珠、润</w:t>
      </w:r>
      <w:r>
        <w:rPr>
          <w:spacing w:val="-51"/>
        </w:rPr>
        <w:t> </w:t>
      </w:r>
      <w:r>
        <w:rPr>
          <w:spacing w:val="-51"/>
        </w:rPr>
      </w:r>
      <w:r>
        <w:rPr/>
        <w:t>邦股份、五龙电动车、重庆银行等上市公司股票和华夏大盘等证券投资基金份额；可供</w:t>
      </w:r>
      <w:r>
        <w:rPr>
          <w:spacing w:val="-51"/>
        </w:rPr>
        <w:t> </w:t>
      </w:r>
      <w:r>
        <w:rPr>
          <w:spacing w:val="-51"/>
        </w:rPr>
      </w:r>
      <w:r>
        <w:rPr/>
        <w:t>出售的金融资产主要为公司直接持有的北京银行和下属子公司同方国芯持有的华虹半导</w:t>
      </w:r>
      <w:r>
        <w:rPr>
          <w:spacing w:val="-51"/>
        </w:rPr>
        <w:t> </w:t>
      </w:r>
      <w:r>
        <w:rPr>
          <w:spacing w:val="-51"/>
        </w:rPr>
      </w:r>
      <w:r>
        <w:rPr/>
        <w:t>体等上市公司股票。</w:t>
      </w:r>
    </w:p>
    <w:p>
      <w:pPr>
        <w:spacing w:line="240" w:lineRule="auto" w:before="7"/>
        <w:rPr>
          <w:rFonts w:ascii="宋体" w:hAnsi="宋体" w:cs="宋体" w:eastAsia="宋体" w:hint="default"/>
          <w:sz w:val="23"/>
          <w:szCs w:val="23"/>
        </w:rPr>
      </w:pPr>
    </w:p>
    <w:p>
      <w:pPr>
        <w:pStyle w:val="BodyText"/>
        <w:spacing w:line="240" w:lineRule="auto"/>
        <w:ind w:left="238" w:right="0"/>
        <w:jc w:val="both"/>
      </w:pPr>
      <w:r>
        <w:rPr/>
        <w:t>其中，报告期内的证券投资情况如下：</w:t>
      </w:r>
    </w:p>
    <w:p>
      <w:pPr>
        <w:spacing w:line="240" w:lineRule="auto" w:before="10"/>
        <w:rPr>
          <w:rFonts w:ascii="宋体" w:hAnsi="宋体" w:cs="宋体" w:eastAsia="宋体" w:hint="default"/>
          <w:sz w:val="26"/>
          <w:szCs w:val="26"/>
        </w:rPr>
      </w:pPr>
    </w:p>
    <w:tbl>
      <w:tblPr>
        <w:tblW w:w="0" w:type="auto"/>
        <w:jc w:val="left"/>
        <w:tblInd w:w="116" w:type="dxa"/>
        <w:tblLayout w:type="fixed"/>
        <w:tblCellMar>
          <w:top w:w="0" w:type="dxa"/>
          <w:left w:w="0" w:type="dxa"/>
          <w:bottom w:w="0" w:type="dxa"/>
          <w:right w:w="0" w:type="dxa"/>
        </w:tblCellMar>
        <w:tblLook w:val="01E0"/>
      </w:tblPr>
      <w:tblGrid>
        <w:gridCol w:w="396"/>
        <w:gridCol w:w="576"/>
        <w:gridCol w:w="926"/>
        <w:gridCol w:w="1297"/>
        <w:gridCol w:w="1342"/>
        <w:gridCol w:w="1251"/>
        <w:gridCol w:w="1476"/>
        <w:gridCol w:w="893"/>
        <w:gridCol w:w="1399"/>
      </w:tblGrid>
      <w:tr>
        <w:trPr>
          <w:trHeight w:val="955" w:hRule="exact"/>
        </w:trPr>
        <w:tc>
          <w:tcPr>
            <w:tcW w:w="396" w:type="dxa"/>
            <w:tcBorders>
              <w:top w:val="single" w:sz="12"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w w:val="99"/>
                <w:sz w:val="18"/>
                <w:szCs w:val="18"/>
              </w:rPr>
              <w:t>序</w:t>
            </w:r>
            <w:r>
              <w:rPr>
                <w:rFonts w:ascii="宋体" w:hAnsi="宋体" w:cs="宋体" w:eastAsia="宋体" w:hint="default"/>
                <w:sz w:val="18"/>
                <w:szCs w:val="18"/>
              </w:rPr>
            </w: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b/>
                <w:bCs/>
                <w:w w:val="99"/>
                <w:sz w:val="18"/>
                <w:szCs w:val="18"/>
              </w:rPr>
              <w:t>号</w:t>
            </w:r>
            <w:r>
              <w:rPr>
                <w:rFonts w:ascii="宋体" w:hAnsi="宋体" w:cs="宋体" w:eastAsia="宋体" w:hint="default"/>
                <w:sz w:val="18"/>
                <w:szCs w:val="18"/>
              </w:rPr>
            </w:r>
          </w:p>
        </w:tc>
        <w:tc>
          <w:tcPr>
            <w:tcW w:w="576" w:type="dxa"/>
            <w:tcBorders>
              <w:top w:val="single" w:sz="12" w:space="0" w:color="000000"/>
              <w:left w:val="single" w:sz="6" w:space="0" w:color="000000"/>
              <w:bottom w:val="single" w:sz="6" w:space="0" w:color="000000"/>
              <w:right w:val="single" w:sz="6" w:space="0" w:color="00000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b/>
                <w:bCs/>
                <w:w w:val="99"/>
                <w:sz w:val="18"/>
                <w:szCs w:val="18"/>
              </w:rPr>
              <w:t>证</w:t>
            </w:r>
            <w:r>
              <w:rPr>
                <w:rFonts w:ascii="宋体" w:hAnsi="宋体" w:cs="宋体" w:eastAsia="宋体" w:hint="default"/>
                <w:sz w:val="18"/>
                <w:szCs w:val="18"/>
              </w:rPr>
            </w:r>
          </w:p>
          <w:p>
            <w:pPr>
              <w:pStyle w:val="TableParagraph"/>
              <w:spacing w:line="232" w:lineRule="exact" w:before="24"/>
              <w:ind w:left="100" w:right="278"/>
              <w:jc w:val="both"/>
              <w:rPr>
                <w:rFonts w:ascii="宋体" w:hAnsi="宋体" w:cs="宋体" w:eastAsia="宋体" w:hint="default"/>
                <w:sz w:val="18"/>
                <w:szCs w:val="18"/>
              </w:rPr>
            </w:pPr>
            <w:r>
              <w:rPr>
                <w:rFonts w:ascii="宋体" w:hAnsi="宋体" w:cs="宋体" w:eastAsia="宋体" w:hint="default"/>
                <w:b/>
                <w:bCs/>
                <w:sz w:val="18"/>
                <w:szCs w:val="18"/>
              </w:rPr>
              <w:t>券</w:t>
            </w:r>
            <w:r>
              <w:rPr>
                <w:rFonts w:ascii="宋体" w:hAnsi="宋体" w:cs="宋体" w:eastAsia="宋体" w:hint="default"/>
                <w:b/>
                <w:bCs/>
                <w:w w:val="99"/>
                <w:sz w:val="18"/>
                <w:szCs w:val="18"/>
              </w:rPr>
              <w:t> </w:t>
            </w:r>
            <w:r>
              <w:rPr>
                <w:rFonts w:ascii="宋体" w:hAnsi="宋体" w:cs="宋体" w:eastAsia="宋体" w:hint="default"/>
                <w:b/>
                <w:bCs/>
                <w:sz w:val="18"/>
                <w:szCs w:val="18"/>
              </w:rPr>
              <w:t>品</w:t>
            </w:r>
            <w:r>
              <w:rPr>
                <w:rFonts w:ascii="宋体" w:hAnsi="宋体" w:cs="宋体" w:eastAsia="宋体" w:hint="default"/>
                <w:b/>
                <w:bCs/>
                <w:w w:val="99"/>
                <w:sz w:val="18"/>
                <w:szCs w:val="18"/>
              </w:rPr>
              <w:t> </w:t>
            </w:r>
            <w:r>
              <w:rPr>
                <w:rFonts w:ascii="宋体" w:hAnsi="宋体" w:cs="宋体" w:eastAsia="宋体" w:hint="default"/>
                <w:b/>
                <w:bCs/>
                <w:sz w:val="18"/>
                <w:szCs w:val="18"/>
              </w:rPr>
              <w:t>种</w:t>
            </w:r>
            <w:r>
              <w:rPr>
                <w:rFonts w:ascii="宋体" w:hAnsi="宋体" w:cs="宋体" w:eastAsia="宋体" w:hint="default"/>
                <w:sz w:val="18"/>
                <w:szCs w:val="18"/>
              </w:rPr>
            </w:r>
          </w:p>
        </w:tc>
        <w:tc>
          <w:tcPr>
            <w:tcW w:w="926" w:type="dxa"/>
            <w:tcBorders>
              <w:top w:val="single" w:sz="12"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b/>
                <w:bCs/>
                <w:sz w:val="18"/>
                <w:szCs w:val="18"/>
              </w:rPr>
              <w:t>证券代</w:t>
            </w:r>
            <w:r>
              <w:rPr>
                <w:rFonts w:ascii="宋体" w:hAnsi="宋体" w:cs="宋体" w:eastAsia="宋体" w:hint="default"/>
                <w:sz w:val="18"/>
                <w:szCs w:val="18"/>
              </w:rPr>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b/>
                <w:bCs/>
                <w:w w:val="99"/>
                <w:sz w:val="18"/>
                <w:szCs w:val="18"/>
              </w:rPr>
              <w:t>码</w:t>
            </w:r>
            <w:r>
              <w:rPr>
                <w:rFonts w:ascii="宋体" w:hAnsi="宋体" w:cs="宋体" w:eastAsia="宋体" w:hint="default"/>
                <w:sz w:val="18"/>
                <w:szCs w:val="18"/>
              </w:rPr>
            </w:r>
          </w:p>
        </w:tc>
        <w:tc>
          <w:tcPr>
            <w:tcW w:w="1297" w:type="dxa"/>
            <w:tcBorders>
              <w:top w:val="single" w:sz="12" w:space="0" w:color="000000"/>
              <w:left w:val="single" w:sz="6" w:space="0" w:color="000000"/>
              <w:bottom w:val="single" w:sz="6" w:space="0" w:color="000000"/>
              <w:right w:val="single" w:sz="6" w:space="0" w:color="000000"/>
            </w:tcBorders>
          </w:tcPr>
          <w:p>
            <w:pPr>
              <w:pStyle w:val="TableParagraph"/>
              <w:spacing w:line="205" w:lineRule="exact"/>
              <w:ind w:left="278" w:right="0"/>
              <w:jc w:val="left"/>
              <w:rPr>
                <w:rFonts w:ascii="宋体" w:hAnsi="宋体" w:cs="宋体" w:eastAsia="宋体" w:hint="default"/>
                <w:sz w:val="18"/>
                <w:szCs w:val="18"/>
              </w:rPr>
            </w:pPr>
            <w:r>
              <w:rPr>
                <w:rFonts w:ascii="宋体" w:hAnsi="宋体" w:cs="宋体" w:eastAsia="宋体" w:hint="default"/>
                <w:b/>
                <w:bCs/>
                <w:sz w:val="18"/>
                <w:szCs w:val="18"/>
              </w:rPr>
              <w:t>证券简称</w:t>
            </w:r>
            <w:r>
              <w:rPr>
                <w:rFonts w:ascii="宋体" w:hAnsi="宋体" w:cs="宋体" w:eastAsia="宋体" w:hint="default"/>
                <w:sz w:val="18"/>
                <w:szCs w:val="18"/>
              </w:rPr>
            </w:r>
          </w:p>
        </w:tc>
        <w:tc>
          <w:tcPr>
            <w:tcW w:w="1342" w:type="dxa"/>
            <w:tcBorders>
              <w:top w:val="single" w:sz="12" w:space="0" w:color="000000"/>
              <w:left w:val="single" w:sz="6" w:space="0" w:color="000000"/>
              <w:bottom w:val="single" w:sz="6" w:space="0" w:color="000000"/>
              <w:right w:val="single" w:sz="6"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b/>
                <w:bCs/>
                <w:sz w:val="18"/>
                <w:szCs w:val="18"/>
              </w:rPr>
              <w:t>最初投资金额</w:t>
            </w:r>
            <w:r>
              <w:rPr>
                <w:rFonts w:ascii="宋体" w:hAnsi="宋体" w:cs="宋体" w:eastAsia="宋体" w:hint="default"/>
                <w:sz w:val="18"/>
                <w:szCs w:val="18"/>
              </w:rPr>
            </w: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元</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251" w:type="dxa"/>
            <w:tcBorders>
              <w:top w:val="single" w:sz="12" w:space="0" w:color="000000"/>
              <w:left w:val="single" w:sz="6" w:space="0" w:color="000000"/>
              <w:bottom w:val="single" w:sz="6" w:space="0" w:color="000000"/>
              <w:right w:val="single" w:sz="6" w:space="0" w:color="000000"/>
            </w:tcBorders>
          </w:tcPr>
          <w:p>
            <w:pPr>
              <w:pStyle w:val="TableParagraph"/>
              <w:spacing w:line="219" w:lineRule="exact"/>
              <w:ind w:right="103"/>
              <w:jc w:val="right"/>
              <w:rPr>
                <w:rFonts w:ascii="Times New Roman" w:hAnsi="Times New Roman" w:cs="Times New Roman" w:eastAsia="Times New Roman" w:hint="default"/>
                <w:sz w:val="18"/>
                <w:szCs w:val="18"/>
              </w:rPr>
            </w:pPr>
            <w:r>
              <w:rPr>
                <w:rFonts w:ascii="宋体" w:hAnsi="宋体" w:cs="宋体" w:eastAsia="宋体" w:hint="default"/>
                <w:b/>
                <w:bCs/>
                <w:sz w:val="18"/>
                <w:szCs w:val="18"/>
              </w:rPr>
              <w:t>持有数量</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股</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476" w:type="dxa"/>
            <w:tcBorders>
              <w:top w:val="single" w:sz="12" w:space="0" w:color="000000"/>
              <w:left w:val="single" w:sz="6" w:space="0" w:color="000000"/>
              <w:bottom w:val="single" w:sz="6" w:space="0" w:color="000000"/>
              <w:right w:val="single" w:sz="6"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b/>
                <w:bCs/>
                <w:sz w:val="18"/>
                <w:szCs w:val="18"/>
              </w:rPr>
              <w:t>期末账面价值</w:t>
            </w:r>
            <w:r>
              <w:rPr>
                <w:rFonts w:ascii="宋体" w:hAnsi="宋体" w:cs="宋体" w:eastAsia="宋体" w:hint="default"/>
                <w:sz w:val="18"/>
                <w:szCs w:val="18"/>
              </w:rPr>
            </w: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元</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893" w:type="dxa"/>
            <w:tcBorders>
              <w:top w:val="single" w:sz="12" w:space="0" w:color="000000"/>
              <w:left w:val="single" w:sz="6" w:space="0" w:color="000000"/>
              <w:bottom w:val="single" w:sz="6" w:space="0" w:color="000000"/>
              <w:right w:val="single" w:sz="6" w:space="0" w:color="000000"/>
            </w:tcBorders>
          </w:tcPr>
          <w:p>
            <w:pPr>
              <w:pStyle w:val="TableParagraph"/>
              <w:spacing w:line="205" w:lineRule="exact"/>
              <w:ind w:left="165" w:right="0"/>
              <w:jc w:val="both"/>
              <w:rPr>
                <w:rFonts w:ascii="宋体" w:hAnsi="宋体" w:cs="宋体" w:eastAsia="宋体" w:hint="default"/>
                <w:sz w:val="18"/>
                <w:szCs w:val="18"/>
              </w:rPr>
            </w:pPr>
            <w:r>
              <w:rPr>
                <w:rFonts w:ascii="宋体" w:hAnsi="宋体" w:cs="宋体" w:eastAsia="宋体" w:hint="default"/>
                <w:b/>
                <w:bCs/>
                <w:sz w:val="18"/>
                <w:szCs w:val="18"/>
              </w:rPr>
              <w:t>占期末</w:t>
            </w:r>
            <w:r>
              <w:rPr>
                <w:rFonts w:ascii="宋体" w:hAnsi="宋体" w:cs="宋体" w:eastAsia="宋体" w:hint="default"/>
                <w:sz w:val="18"/>
                <w:szCs w:val="18"/>
              </w:rPr>
            </w:r>
          </w:p>
          <w:p>
            <w:pPr>
              <w:pStyle w:val="TableParagraph"/>
              <w:spacing w:line="232" w:lineRule="exact" w:before="24"/>
              <w:ind w:left="165" w:right="169"/>
              <w:jc w:val="both"/>
              <w:rPr>
                <w:rFonts w:ascii="Times New Roman" w:hAnsi="Times New Roman" w:cs="Times New Roman" w:eastAsia="Times New Roman" w:hint="default"/>
                <w:sz w:val="18"/>
                <w:szCs w:val="18"/>
              </w:rPr>
            </w:pPr>
            <w:r>
              <w:rPr>
                <w:rFonts w:ascii="宋体" w:hAnsi="宋体" w:cs="宋体" w:eastAsia="宋体" w:hint="default"/>
                <w:b/>
                <w:bCs/>
                <w:sz w:val="18"/>
                <w:szCs w:val="18"/>
              </w:rPr>
              <w:t>证券总</w:t>
            </w:r>
            <w:r>
              <w:rPr>
                <w:rFonts w:ascii="宋体" w:hAnsi="宋体" w:cs="宋体" w:eastAsia="宋体" w:hint="default"/>
                <w:b/>
                <w:bCs/>
                <w:w w:val="99"/>
                <w:sz w:val="18"/>
                <w:szCs w:val="18"/>
              </w:rPr>
              <w:t> </w:t>
            </w:r>
            <w:r>
              <w:rPr>
                <w:rFonts w:ascii="宋体" w:hAnsi="宋体" w:cs="宋体" w:eastAsia="宋体" w:hint="default"/>
                <w:b/>
                <w:bCs/>
                <w:sz w:val="18"/>
                <w:szCs w:val="18"/>
              </w:rPr>
              <w:t>投资比</w:t>
            </w:r>
            <w:r>
              <w:rPr>
                <w:rFonts w:ascii="宋体" w:hAnsi="宋体" w:cs="宋体" w:eastAsia="宋体" w:hint="default"/>
                <w:b/>
                <w:bCs/>
                <w:w w:val="99"/>
                <w:sz w:val="18"/>
                <w:szCs w:val="18"/>
              </w:rPr>
              <w:t> </w:t>
            </w:r>
            <w:r>
              <w:rPr>
                <w:rFonts w:ascii="宋体" w:hAnsi="宋体" w:cs="宋体" w:eastAsia="宋体" w:hint="default"/>
                <w:b/>
                <w:bCs/>
                <w:sz w:val="18"/>
                <w:szCs w:val="18"/>
              </w:rPr>
              <w:t>例</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399" w:type="dxa"/>
            <w:tcBorders>
              <w:top w:val="single" w:sz="12" w:space="0" w:color="000000"/>
              <w:left w:val="single" w:sz="6" w:space="0" w:color="000000"/>
              <w:bottom w:val="single" w:sz="6" w:space="0" w:color="000000"/>
              <w:right w:val="single" w:sz="12" w:space="0" w:color="000000"/>
            </w:tcBorders>
          </w:tcPr>
          <w:p>
            <w:pPr>
              <w:pStyle w:val="TableParagraph"/>
              <w:spacing w:line="205" w:lineRule="exact"/>
              <w:ind w:left="4" w:right="0"/>
              <w:jc w:val="center"/>
              <w:rPr>
                <w:rFonts w:ascii="宋体" w:hAnsi="宋体" w:cs="宋体" w:eastAsia="宋体" w:hint="default"/>
                <w:sz w:val="18"/>
                <w:szCs w:val="18"/>
              </w:rPr>
            </w:pPr>
            <w:r>
              <w:rPr>
                <w:rFonts w:ascii="宋体" w:hAnsi="宋体" w:cs="宋体" w:eastAsia="宋体" w:hint="default"/>
                <w:b/>
                <w:bCs/>
                <w:sz w:val="18"/>
                <w:szCs w:val="18"/>
              </w:rPr>
              <w:t>报告期损益</w:t>
            </w:r>
            <w:r>
              <w:rPr>
                <w:rFonts w:ascii="宋体" w:hAnsi="宋体" w:cs="宋体" w:eastAsia="宋体" w:hint="default"/>
                <w:sz w:val="18"/>
                <w:szCs w:val="18"/>
              </w:rPr>
            </w: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元</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r>
      <w:tr>
        <w:trPr>
          <w:trHeight w:val="257" w:hRule="exact"/>
        </w:trPr>
        <w:tc>
          <w:tcPr>
            <w:tcW w:w="39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right="8"/>
              <w:jc w:val="center"/>
              <w:rPr>
                <w:rFonts w:ascii="Times New Roman" w:hAnsi="Times New Roman" w:cs="Times New Roman" w:eastAsia="Times New Roman" w:hint="default"/>
                <w:sz w:val="18"/>
                <w:szCs w:val="18"/>
              </w:rPr>
            </w:pPr>
            <w:r>
              <w:rPr>
                <w:rFonts w:ascii="Times New Roman"/>
                <w:b/>
                <w:sz w:val="18"/>
              </w:rPr>
              <w:t>1</w:t>
            </w:r>
            <w:r>
              <w:rPr>
                <w:rFonts w:ascii="Times New Roman"/>
                <w:sz w:val="18"/>
              </w:rPr>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股票</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Times New Roman" w:hAnsi="Times New Roman" w:cs="Times New Roman" w:eastAsia="Times New Roman" w:hint="default"/>
                <w:sz w:val="18"/>
                <w:szCs w:val="18"/>
              </w:rPr>
            </w:pPr>
            <w:r>
              <w:rPr>
                <w:rFonts w:ascii="Times New Roman"/>
                <w:sz w:val="18"/>
              </w:rPr>
              <w:t>600637</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东方明珠</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spacing w:val="-1"/>
                <w:sz w:val="18"/>
              </w:rPr>
              <w:t>109,910,205.45</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spacing w:val="-1"/>
                <w:sz w:val="18"/>
              </w:rPr>
              <w:t>23,959,342.00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spacing w:val="-1"/>
                <w:sz w:val="18"/>
              </w:rPr>
              <w:t>907,819,468.38</w:t>
            </w:r>
          </w:p>
        </w:tc>
        <w:tc>
          <w:tcPr>
            <w:tcW w:w="8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sz w:val="18"/>
              </w:rPr>
              <w:t>74.49%</w:t>
            </w:r>
          </w:p>
        </w:tc>
        <w:tc>
          <w:tcPr>
            <w:tcW w:w="13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1"/>
              <w:jc w:val="right"/>
              <w:rPr>
                <w:rFonts w:ascii="Times New Roman" w:hAnsi="Times New Roman" w:cs="Times New Roman" w:eastAsia="Times New Roman" w:hint="default"/>
                <w:sz w:val="18"/>
                <w:szCs w:val="18"/>
              </w:rPr>
            </w:pPr>
            <w:r>
              <w:rPr>
                <w:rFonts w:ascii="Times New Roman"/>
                <w:spacing w:val="-1"/>
                <w:sz w:val="18"/>
              </w:rPr>
              <w:t>-252,457,232.95</w:t>
            </w:r>
          </w:p>
        </w:tc>
      </w:tr>
      <w:tr>
        <w:trPr>
          <w:trHeight w:val="254" w:hRule="exact"/>
        </w:trPr>
        <w:tc>
          <w:tcPr>
            <w:tcW w:w="39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8"/>
              <w:jc w:val="center"/>
              <w:rPr>
                <w:rFonts w:ascii="Times New Roman" w:hAnsi="Times New Roman" w:cs="Times New Roman" w:eastAsia="Times New Roman" w:hint="default"/>
                <w:sz w:val="18"/>
                <w:szCs w:val="18"/>
              </w:rPr>
            </w:pPr>
            <w:r>
              <w:rPr>
                <w:rFonts w:ascii="Times New Roman"/>
                <w:b/>
                <w:sz w:val="18"/>
              </w:rPr>
              <w:t>2</w:t>
            </w:r>
            <w:r>
              <w:rPr>
                <w:rFonts w:ascii="Times New Roman"/>
                <w:sz w:val="18"/>
              </w:rPr>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0"/>
              <w:jc w:val="center"/>
              <w:rPr>
                <w:rFonts w:ascii="宋体" w:hAnsi="宋体" w:cs="宋体" w:eastAsia="宋体" w:hint="default"/>
                <w:sz w:val="18"/>
                <w:szCs w:val="18"/>
              </w:rPr>
            </w:pPr>
            <w:r>
              <w:rPr>
                <w:rFonts w:ascii="宋体" w:hAnsi="宋体" w:cs="宋体" w:eastAsia="宋体" w:hint="default"/>
                <w:sz w:val="18"/>
                <w:szCs w:val="18"/>
              </w:rPr>
              <w:t>股票</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00" w:right="0"/>
              <w:jc w:val="left"/>
              <w:rPr>
                <w:rFonts w:ascii="Times New Roman" w:hAnsi="Times New Roman" w:cs="Times New Roman" w:eastAsia="Times New Roman" w:hint="default"/>
                <w:sz w:val="18"/>
                <w:szCs w:val="18"/>
              </w:rPr>
            </w:pPr>
            <w:r>
              <w:rPr>
                <w:rFonts w:ascii="Times New Roman"/>
                <w:sz w:val="18"/>
              </w:rPr>
              <w:t>002483</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润邦股份</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42,000,000.00</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spacing w:val="-1"/>
                <w:sz w:val="18"/>
              </w:rPr>
              <w:t>11,643,400.00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134,248,402.00</w:t>
            </w:r>
          </w:p>
        </w:tc>
        <w:tc>
          <w:tcPr>
            <w:tcW w:w="8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z w:val="18"/>
              </w:rPr>
              <w:t>11.02%</w:t>
            </w:r>
          </w:p>
        </w:tc>
        <w:tc>
          <w:tcPr>
            <w:tcW w:w="13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18"/>
                <w:szCs w:val="18"/>
              </w:rPr>
            </w:pPr>
            <w:r>
              <w:rPr>
                <w:rFonts w:ascii="Times New Roman"/>
                <w:spacing w:val="-1"/>
                <w:sz w:val="18"/>
              </w:rPr>
              <w:t>2,561,548.00</w:t>
            </w:r>
          </w:p>
        </w:tc>
      </w:tr>
      <w:tr>
        <w:trPr>
          <w:trHeight w:val="254" w:hRule="exact"/>
        </w:trPr>
        <w:tc>
          <w:tcPr>
            <w:tcW w:w="39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8"/>
              <w:jc w:val="center"/>
              <w:rPr>
                <w:rFonts w:ascii="Times New Roman" w:hAnsi="Times New Roman" w:cs="Times New Roman" w:eastAsia="Times New Roman" w:hint="default"/>
                <w:sz w:val="18"/>
                <w:szCs w:val="18"/>
              </w:rPr>
            </w:pPr>
            <w:r>
              <w:rPr>
                <w:rFonts w:ascii="Times New Roman"/>
                <w:b/>
                <w:sz w:val="18"/>
              </w:rPr>
              <w:t>3</w:t>
            </w:r>
            <w:r>
              <w:rPr>
                <w:rFonts w:ascii="Times New Roman"/>
                <w:sz w:val="18"/>
              </w:rPr>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基金</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02" w:lineRule="exact"/>
              <w:ind w:left="100" w:right="0"/>
              <w:jc w:val="left"/>
              <w:rPr>
                <w:rFonts w:ascii="Times New Roman" w:hAnsi="Times New Roman" w:cs="Times New Roman" w:eastAsia="Times New Roman" w:hint="default"/>
                <w:sz w:val="18"/>
                <w:szCs w:val="18"/>
              </w:rPr>
            </w:pPr>
            <w:r>
              <w:rPr>
                <w:rFonts w:ascii="Times New Roman"/>
                <w:sz w:val="18"/>
              </w:rPr>
              <w:t>160305</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华夏大盘</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10,885,036.31</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spacing w:val="-1"/>
                <w:sz w:val="18"/>
              </w:rPr>
              <w:t>8,927,162.45</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102,948,037.37</w:t>
            </w:r>
          </w:p>
        </w:tc>
        <w:tc>
          <w:tcPr>
            <w:tcW w:w="8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z w:val="18"/>
              </w:rPr>
              <w:t>8.45%</w:t>
            </w:r>
          </w:p>
        </w:tc>
        <w:tc>
          <w:tcPr>
            <w:tcW w:w="13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4"/>
              <w:jc w:val="right"/>
              <w:rPr>
                <w:rFonts w:ascii="Times New Roman" w:hAnsi="Times New Roman" w:cs="Times New Roman" w:eastAsia="Times New Roman" w:hint="default"/>
                <w:sz w:val="18"/>
                <w:szCs w:val="18"/>
              </w:rPr>
            </w:pPr>
            <w:r>
              <w:rPr>
                <w:rFonts w:ascii="Times New Roman"/>
                <w:spacing w:val="-1"/>
                <w:sz w:val="18"/>
              </w:rPr>
              <w:t>22,630,992.69</w:t>
            </w:r>
          </w:p>
        </w:tc>
      </w:tr>
      <w:tr>
        <w:trPr>
          <w:trHeight w:val="254" w:hRule="exact"/>
        </w:trPr>
        <w:tc>
          <w:tcPr>
            <w:tcW w:w="39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8"/>
              <w:jc w:val="center"/>
              <w:rPr>
                <w:rFonts w:ascii="Times New Roman" w:hAnsi="Times New Roman" w:cs="Times New Roman" w:eastAsia="Times New Roman" w:hint="default"/>
                <w:sz w:val="18"/>
                <w:szCs w:val="18"/>
              </w:rPr>
            </w:pPr>
            <w:r>
              <w:rPr>
                <w:rFonts w:ascii="Times New Roman"/>
                <w:b/>
                <w:sz w:val="18"/>
              </w:rPr>
              <w:t>4</w:t>
            </w:r>
            <w:r>
              <w:rPr>
                <w:rFonts w:ascii="Times New Roman"/>
                <w:sz w:val="18"/>
              </w:rPr>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港股</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00" w:right="0"/>
              <w:jc w:val="left"/>
              <w:rPr>
                <w:rFonts w:ascii="Times New Roman" w:hAnsi="Times New Roman" w:cs="Times New Roman" w:eastAsia="Times New Roman" w:hint="default"/>
                <w:sz w:val="18"/>
                <w:szCs w:val="18"/>
              </w:rPr>
            </w:pPr>
            <w:r>
              <w:rPr>
                <w:rFonts w:ascii="Times New Roman"/>
                <w:sz w:val="18"/>
              </w:rPr>
              <w:t>HK00729</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五龙电动车</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27,419,200.38</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spacing w:val="-1"/>
                <w:sz w:val="18"/>
              </w:rPr>
              <w:t>66,300,000.00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26,661,510.72</w:t>
            </w:r>
          </w:p>
        </w:tc>
        <w:tc>
          <w:tcPr>
            <w:tcW w:w="8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z w:val="18"/>
              </w:rPr>
              <w:t>2.19%</w:t>
            </w:r>
          </w:p>
        </w:tc>
        <w:tc>
          <w:tcPr>
            <w:tcW w:w="13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18"/>
                <w:szCs w:val="18"/>
              </w:rPr>
            </w:pPr>
            <w:r>
              <w:rPr>
                <w:rFonts w:ascii="Times New Roman"/>
                <w:spacing w:val="-1"/>
                <w:sz w:val="18"/>
              </w:rPr>
              <w:t>-7,702,788.57</w:t>
            </w:r>
          </w:p>
        </w:tc>
      </w:tr>
      <w:tr>
        <w:trPr>
          <w:trHeight w:val="257" w:hRule="exact"/>
        </w:trPr>
        <w:tc>
          <w:tcPr>
            <w:tcW w:w="39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right="8"/>
              <w:jc w:val="center"/>
              <w:rPr>
                <w:rFonts w:ascii="Times New Roman" w:hAnsi="Times New Roman" w:cs="Times New Roman" w:eastAsia="Times New Roman" w:hint="default"/>
                <w:sz w:val="18"/>
                <w:szCs w:val="18"/>
              </w:rPr>
            </w:pPr>
            <w:r>
              <w:rPr>
                <w:rFonts w:ascii="Times New Roman"/>
                <w:b/>
                <w:sz w:val="18"/>
              </w:rPr>
              <w:t>5</w:t>
            </w:r>
            <w:r>
              <w:rPr>
                <w:rFonts w:ascii="Times New Roman"/>
                <w:sz w:val="18"/>
              </w:rPr>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0"/>
              <w:jc w:val="center"/>
              <w:rPr>
                <w:rFonts w:ascii="宋体" w:hAnsi="宋体" w:cs="宋体" w:eastAsia="宋体" w:hint="default"/>
                <w:sz w:val="18"/>
                <w:szCs w:val="18"/>
              </w:rPr>
            </w:pPr>
            <w:r>
              <w:rPr>
                <w:rFonts w:ascii="宋体" w:hAnsi="宋体" w:cs="宋体" w:eastAsia="宋体" w:hint="default"/>
                <w:sz w:val="18"/>
                <w:szCs w:val="18"/>
              </w:rPr>
              <w:t>基金</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Times New Roman" w:hAnsi="Times New Roman" w:cs="Times New Roman" w:eastAsia="Times New Roman" w:hint="default"/>
                <w:sz w:val="18"/>
                <w:szCs w:val="18"/>
              </w:rPr>
            </w:pPr>
            <w:r>
              <w:rPr>
                <w:rFonts w:ascii="Times New Roman"/>
                <w:sz w:val="18"/>
              </w:rPr>
              <w:t>900016</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line="211" w:lineRule="exact"/>
              <w:ind w:left="100" w:right="0"/>
              <w:jc w:val="left"/>
              <w:rPr>
                <w:rFonts w:ascii="宋体" w:hAnsi="宋体" w:cs="宋体" w:eastAsia="宋体" w:hint="default"/>
                <w:sz w:val="18"/>
                <w:szCs w:val="18"/>
              </w:rPr>
            </w:pPr>
            <w:r>
              <w:rPr>
                <w:rFonts w:ascii="宋体" w:hAnsi="宋体" w:cs="宋体" w:eastAsia="宋体" w:hint="default"/>
                <w:sz w:val="18"/>
                <w:szCs w:val="18"/>
              </w:rPr>
              <w:t>中信现金增值</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spacing w:val="-1"/>
                <w:sz w:val="18"/>
              </w:rPr>
              <w:t>9,578,152.97</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spacing w:val="-1"/>
                <w:sz w:val="18"/>
              </w:rPr>
              <w:t>9,521,000.00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spacing w:val="-1"/>
                <w:sz w:val="18"/>
              </w:rPr>
              <w:t>9,521,000.00</w:t>
            </w:r>
          </w:p>
        </w:tc>
        <w:tc>
          <w:tcPr>
            <w:tcW w:w="8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z w:val="18"/>
              </w:rPr>
              <w:t>0.78%</w:t>
            </w:r>
          </w:p>
        </w:tc>
        <w:tc>
          <w:tcPr>
            <w:tcW w:w="13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1"/>
              <w:jc w:val="right"/>
              <w:rPr>
                <w:rFonts w:ascii="Times New Roman" w:hAnsi="Times New Roman" w:cs="Times New Roman" w:eastAsia="Times New Roman" w:hint="default"/>
                <w:sz w:val="18"/>
                <w:szCs w:val="18"/>
              </w:rPr>
            </w:pPr>
            <w:r>
              <w:rPr>
                <w:rFonts w:ascii="Times New Roman"/>
                <w:spacing w:val="-1"/>
                <w:sz w:val="18"/>
              </w:rPr>
              <w:t>126,338.41</w:t>
            </w:r>
          </w:p>
        </w:tc>
      </w:tr>
      <w:tr>
        <w:trPr>
          <w:trHeight w:val="254" w:hRule="exact"/>
        </w:trPr>
        <w:tc>
          <w:tcPr>
            <w:tcW w:w="39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8"/>
              <w:jc w:val="center"/>
              <w:rPr>
                <w:rFonts w:ascii="Times New Roman" w:hAnsi="Times New Roman" w:cs="Times New Roman" w:eastAsia="Times New Roman" w:hint="default"/>
                <w:sz w:val="18"/>
                <w:szCs w:val="18"/>
              </w:rPr>
            </w:pPr>
            <w:r>
              <w:rPr>
                <w:rFonts w:ascii="Times New Roman"/>
                <w:b/>
                <w:sz w:val="18"/>
              </w:rPr>
              <w:t>6</w:t>
            </w:r>
            <w:r>
              <w:rPr>
                <w:rFonts w:ascii="Times New Roman"/>
                <w:sz w:val="18"/>
              </w:rPr>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0"/>
              <w:jc w:val="center"/>
              <w:rPr>
                <w:rFonts w:ascii="宋体" w:hAnsi="宋体" w:cs="宋体" w:eastAsia="宋体" w:hint="default"/>
                <w:sz w:val="18"/>
                <w:szCs w:val="18"/>
              </w:rPr>
            </w:pPr>
            <w:r>
              <w:rPr>
                <w:rFonts w:ascii="宋体" w:hAnsi="宋体" w:cs="宋体" w:eastAsia="宋体" w:hint="default"/>
                <w:sz w:val="18"/>
                <w:szCs w:val="18"/>
              </w:rPr>
              <w:t>港股</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00" w:right="0"/>
              <w:jc w:val="left"/>
              <w:rPr>
                <w:rFonts w:ascii="Times New Roman" w:hAnsi="Times New Roman" w:cs="Times New Roman" w:eastAsia="Times New Roman" w:hint="default"/>
                <w:sz w:val="18"/>
                <w:szCs w:val="18"/>
              </w:rPr>
            </w:pPr>
            <w:r>
              <w:rPr>
                <w:rFonts w:ascii="Times New Roman"/>
                <w:sz w:val="18"/>
              </w:rPr>
              <w:t>HK1963</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重庆银行</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4,783,250.62</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spacing w:val="-1"/>
                <w:sz w:val="18"/>
              </w:rPr>
              <w:t>1,002,000.00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6,211,191.19</w:t>
            </w:r>
          </w:p>
        </w:tc>
        <w:tc>
          <w:tcPr>
            <w:tcW w:w="8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z w:val="18"/>
              </w:rPr>
              <w:t>0.51%</w:t>
            </w:r>
          </w:p>
        </w:tc>
        <w:tc>
          <w:tcPr>
            <w:tcW w:w="13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18"/>
                <w:szCs w:val="18"/>
              </w:rPr>
            </w:pPr>
            <w:r>
              <w:rPr>
                <w:rFonts w:ascii="Times New Roman"/>
                <w:spacing w:val="-1"/>
                <w:sz w:val="18"/>
              </w:rPr>
              <w:t>1,916,147.37</w:t>
            </w:r>
          </w:p>
        </w:tc>
      </w:tr>
      <w:tr>
        <w:trPr>
          <w:trHeight w:val="262" w:hRule="exact"/>
        </w:trPr>
        <w:tc>
          <w:tcPr>
            <w:tcW w:w="39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8"/>
              <w:jc w:val="center"/>
              <w:rPr>
                <w:rFonts w:ascii="Times New Roman" w:hAnsi="Times New Roman" w:cs="Times New Roman" w:eastAsia="Times New Roman" w:hint="default"/>
                <w:sz w:val="18"/>
                <w:szCs w:val="18"/>
              </w:rPr>
            </w:pPr>
            <w:r>
              <w:rPr>
                <w:rFonts w:ascii="Times New Roman"/>
                <w:b/>
                <w:sz w:val="18"/>
              </w:rPr>
              <w:t>7</w:t>
            </w:r>
            <w:r>
              <w:rPr>
                <w:rFonts w:ascii="Times New Roman"/>
                <w:sz w:val="18"/>
              </w:rPr>
            </w:r>
          </w:p>
        </w:tc>
        <w:tc>
          <w:tcPr>
            <w:tcW w:w="576" w:type="dxa"/>
            <w:tcBorders>
              <w:top w:val="single" w:sz="6" w:space="0" w:color="000000"/>
              <w:left w:val="single" w:sz="6" w:space="0" w:color="000000"/>
              <w:bottom w:val="single" w:sz="12" w:space="0" w:color="000000"/>
              <w:right w:val="single" w:sz="6"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股票</w:t>
            </w:r>
          </w:p>
        </w:tc>
        <w:tc>
          <w:tcPr>
            <w:tcW w:w="92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left="100" w:right="0"/>
              <w:jc w:val="left"/>
              <w:rPr>
                <w:rFonts w:ascii="Times New Roman" w:hAnsi="Times New Roman" w:cs="Times New Roman" w:eastAsia="Times New Roman" w:hint="default"/>
                <w:sz w:val="18"/>
                <w:szCs w:val="18"/>
              </w:rPr>
            </w:pPr>
            <w:r>
              <w:rPr>
                <w:rFonts w:ascii="Times New Roman"/>
                <w:sz w:val="18"/>
              </w:rPr>
              <w:t>000078</w:t>
            </w:r>
          </w:p>
        </w:tc>
        <w:tc>
          <w:tcPr>
            <w:tcW w:w="1297" w:type="dxa"/>
            <w:tcBorders>
              <w:top w:val="single" w:sz="6" w:space="0" w:color="000000"/>
              <w:left w:val="single" w:sz="6" w:space="0" w:color="000000"/>
              <w:bottom w:val="single" w:sz="12" w:space="0" w:color="000000"/>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海王生物</w:t>
            </w:r>
          </w:p>
        </w:tc>
        <w:tc>
          <w:tcPr>
            <w:tcW w:w="13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1,284,253.99</w:t>
            </w:r>
          </w:p>
        </w:tc>
        <w:tc>
          <w:tcPr>
            <w:tcW w:w="125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200,000.00</w:t>
            </w:r>
          </w:p>
        </w:tc>
        <w:tc>
          <w:tcPr>
            <w:tcW w:w="14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4,792,000.00</w:t>
            </w:r>
          </w:p>
        </w:tc>
        <w:tc>
          <w:tcPr>
            <w:tcW w:w="89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z w:val="18"/>
              </w:rPr>
              <w:t>0.39%</w:t>
            </w:r>
          </w:p>
        </w:tc>
        <w:tc>
          <w:tcPr>
            <w:tcW w:w="139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18"/>
                <w:szCs w:val="18"/>
              </w:rPr>
            </w:pPr>
            <w:r>
              <w:rPr>
                <w:rFonts w:ascii="Times New Roman"/>
                <w:spacing w:val="-1"/>
                <w:sz w:val="18"/>
              </w:rPr>
              <w:t>2,838,000.00</w:t>
            </w:r>
          </w:p>
        </w:tc>
      </w:tr>
    </w:tbl>
    <w:p>
      <w:pPr>
        <w:spacing w:after="0" w:line="240" w:lineRule="auto"/>
        <w:jc w:val="right"/>
        <w:rPr>
          <w:rFonts w:ascii="Times New Roman" w:hAnsi="Times New Roman" w:cs="Times New Roman" w:eastAsia="Times New Roman" w:hint="default"/>
          <w:sz w:val="18"/>
          <w:szCs w:val="18"/>
        </w:rPr>
        <w:sectPr>
          <w:pgSz w:w="11910" w:h="16840"/>
          <w:pgMar w:header="628" w:footer="760" w:top="1080" w:bottom="960" w:left="1180" w:right="90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tbl>
      <w:tblPr>
        <w:tblW w:w="0" w:type="auto"/>
        <w:jc w:val="left"/>
        <w:tblInd w:w="116" w:type="dxa"/>
        <w:tblLayout w:type="fixed"/>
        <w:tblCellMar>
          <w:top w:w="0" w:type="dxa"/>
          <w:left w:w="0" w:type="dxa"/>
          <w:bottom w:w="0" w:type="dxa"/>
          <w:right w:w="0" w:type="dxa"/>
        </w:tblCellMar>
        <w:tblLook w:val="01E0"/>
      </w:tblPr>
      <w:tblGrid>
        <w:gridCol w:w="396"/>
        <w:gridCol w:w="576"/>
        <w:gridCol w:w="926"/>
        <w:gridCol w:w="1297"/>
        <w:gridCol w:w="1342"/>
        <w:gridCol w:w="1251"/>
        <w:gridCol w:w="1476"/>
        <w:gridCol w:w="893"/>
        <w:gridCol w:w="1399"/>
      </w:tblGrid>
      <w:tr>
        <w:trPr>
          <w:trHeight w:val="262" w:hRule="exact"/>
        </w:trPr>
        <w:tc>
          <w:tcPr>
            <w:tcW w:w="39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8"/>
              <w:jc w:val="center"/>
              <w:rPr>
                <w:rFonts w:ascii="Times New Roman" w:hAnsi="Times New Roman" w:cs="Times New Roman" w:eastAsia="Times New Roman" w:hint="default"/>
                <w:sz w:val="18"/>
                <w:szCs w:val="18"/>
              </w:rPr>
            </w:pPr>
            <w:r>
              <w:rPr>
                <w:rFonts w:ascii="Times New Roman"/>
                <w:b/>
                <w:sz w:val="18"/>
              </w:rPr>
              <w:t>8</w:t>
            </w:r>
            <w:r>
              <w:rPr>
                <w:rFonts w:ascii="Times New Roman"/>
                <w:sz w:val="18"/>
              </w:rPr>
            </w:r>
          </w:p>
        </w:tc>
        <w:tc>
          <w:tcPr>
            <w:tcW w:w="576" w:type="dxa"/>
            <w:tcBorders>
              <w:top w:val="single" w:sz="12" w:space="0" w:color="000000"/>
              <w:left w:val="single" w:sz="6" w:space="0" w:color="000000"/>
              <w:bottom w:val="single" w:sz="6" w:space="0" w:color="000000"/>
              <w:right w:val="single" w:sz="6"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股票</w:t>
            </w:r>
          </w:p>
        </w:tc>
        <w:tc>
          <w:tcPr>
            <w:tcW w:w="92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
              <w:ind w:left="100" w:right="0"/>
              <w:jc w:val="left"/>
              <w:rPr>
                <w:rFonts w:ascii="Times New Roman" w:hAnsi="Times New Roman" w:cs="Times New Roman" w:eastAsia="Times New Roman" w:hint="default"/>
                <w:sz w:val="18"/>
                <w:szCs w:val="18"/>
              </w:rPr>
            </w:pPr>
            <w:r>
              <w:rPr>
                <w:rFonts w:ascii="Times New Roman"/>
                <w:sz w:val="18"/>
              </w:rPr>
              <w:t>002024</w:t>
            </w:r>
          </w:p>
        </w:tc>
        <w:tc>
          <w:tcPr>
            <w:tcW w:w="1297" w:type="dxa"/>
            <w:tcBorders>
              <w:top w:val="single" w:sz="12" w:space="0" w:color="000000"/>
              <w:left w:val="single" w:sz="6" w:space="0" w:color="000000"/>
              <w:bottom w:val="single" w:sz="6" w:space="0" w:color="000000"/>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苏宁云商</w:t>
            </w:r>
          </w:p>
        </w:tc>
        <w:tc>
          <w:tcPr>
            <w:tcW w:w="134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4,399,022.88</w:t>
            </w:r>
          </w:p>
        </w:tc>
        <w:tc>
          <w:tcPr>
            <w:tcW w:w="125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340,000.00</w:t>
            </w:r>
          </w:p>
        </w:tc>
        <w:tc>
          <w:tcPr>
            <w:tcW w:w="14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4,573,000.00</w:t>
            </w:r>
          </w:p>
        </w:tc>
        <w:tc>
          <w:tcPr>
            <w:tcW w:w="89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z w:val="18"/>
              </w:rPr>
              <w:t>0.38%</w:t>
            </w:r>
          </w:p>
        </w:tc>
        <w:tc>
          <w:tcPr>
            <w:tcW w:w="139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18"/>
                <w:szCs w:val="18"/>
              </w:rPr>
            </w:pPr>
            <w:r>
              <w:rPr>
                <w:rFonts w:ascii="Times New Roman"/>
                <w:spacing w:val="-1"/>
                <w:sz w:val="18"/>
              </w:rPr>
              <w:t>1,408,447.60</w:t>
            </w:r>
          </w:p>
        </w:tc>
      </w:tr>
      <w:tr>
        <w:trPr>
          <w:trHeight w:val="257" w:hRule="exact"/>
        </w:trPr>
        <w:tc>
          <w:tcPr>
            <w:tcW w:w="39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right="8"/>
              <w:jc w:val="center"/>
              <w:rPr>
                <w:rFonts w:ascii="Times New Roman" w:hAnsi="Times New Roman" w:cs="Times New Roman" w:eastAsia="Times New Roman" w:hint="default"/>
                <w:sz w:val="18"/>
                <w:szCs w:val="18"/>
              </w:rPr>
            </w:pPr>
            <w:r>
              <w:rPr>
                <w:rFonts w:ascii="Times New Roman"/>
                <w:b/>
                <w:sz w:val="18"/>
              </w:rPr>
              <w:t>9</w:t>
            </w:r>
            <w:r>
              <w:rPr>
                <w:rFonts w:ascii="Times New Roman"/>
                <w:sz w:val="18"/>
              </w:rPr>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股票</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00" w:right="0"/>
              <w:jc w:val="left"/>
              <w:rPr>
                <w:rFonts w:ascii="Times New Roman" w:hAnsi="Times New Roman" w:cs="Times New Roman" w:eastAsia="Times New Roman" w:hint="default"/>
                <w:sz w:val="18"/>
                <w:szCs w:val="18"/>
              </w:rPr>
            </w:pPr>
            <w:r>
              <w:rPr>
                <w:rFonts w:ascii="Times New Roman"/>
                <w:sz w:val="18"/>
              </w:rPr>
              <w:t>600104</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上海汽车</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2,059,011.64</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195,000.00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4,137,900.00</w:t>
            </w:r>
          </w:p>
        </w:tc>
        <w:tc>
          <w:tcPr>
            <w:tcW w:w="8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z w:val="18"/>
              </w:rPr>
              <w:t>0.34%</w:t>
            </w:r>
          </w:p>
        </w:tc>
        <w:tc>
          <w:tcPr>
            <w:tcW w:w="13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18"/>
                <w:szCs w:val="18"/>
              </w:rPr>
            </w:pPr>
            <w:r>
              <w:rPr>
                <w:rFonts w:ascii="Times New Roman"/>
                <w:spacing w:val="-1"/>
                <w:sz w:val="18"/>
              </w:rPr>
              <w:t>204,750.00</w:t>
            </w:r>
          </w:p>
        </w:tc>
      </w:tr>
      <w:tr>
        <w:trPr>
          <w:trHeight w:val="254" w:hRule="exact"/>
        </w:trPr>
        <w:tc>
          <w:tcPr>
            <w:tcW w:w="39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b/>
                <w:sz w:val="18"/>
              </w:rPr>
              <w:t>10</w:t>
            </w:r>
            <w:r>
              <w:rPr>
                <w:rFonts w:ascii="Times New Roman"/>
                <w:sz w:val="18"/>
              </w:rPr>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0"/>
              <w:jc w:val="center"/>
              <w:rPr>
                <w:rFonts w:ascii="宋体" w:hAnsi="宋体" w:cs="宋体" w:eastAsia="宋体" w:hint="default"/>
                <w:sz w:val="18"/>
                <w:szCs w:val="18"/>
              </w:rPr>
            </w:pPr>
            <w:r>
              <w:rPr>
                <w:rFonts w:ascii="宋体" w:hAnsi="宋体" w:cs="宋体" w:eastAsia="宋体" w:hint="default"/>
                <w:sz w:val="18"/>
                <w:szCs w:val="18"/>
              </w:rPr>
              <w:t>股票</w:t>
            </w:r>
          </w:p>
        </w:tc>
        <w:tc>
          <w:tcPr>
            <w:tcW w:w="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00" w:right="0"/>
              <w:jc w:val="left"/>
              <w:rPr>
                <w:rFonts w:ascii="Times New Roman" w:hAnsi="Times New Roman" w:cs="Times New Roman" w:eastAsia="Times New Roman" w:hint="default"/>
                <w:sz w:val="18"/>
                <w:szCs w:val="18"/>
              </w:rPr>
            </w:pPr>
            <w:r>
              <w:rPr>
                <w:rFonts w:ascii="Times New Roman"/>
                <w:sz w:val="18"/>
              </w:rPr>
              <w:t>000951</w:t>
            </w:r>
          </w:p>
        </w:tc>
        <w:tc>
          <w:tcPr>
            <w:tcW w:w="1297"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中国重汽</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4,275,130.06</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218,500.00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3,954,850.00</w:t>
            </w:r>
          </w:p>
        </w:tc>
        <w:tc>
          <w:tcPr>
            <w:tcW w:w="8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z w:val="18"/>
              </w:rPr>
              <w:t>0.32%</w:t>
            </w:r>
          </w:p>
        </w:tc>
        <w:tc>
          <w:tcPr>
            <w:tcW w:w="13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18"/>
                <w:szCs w:val="18"/>
              </w:rPr>
            </w:pPr>
            <w:r>
              <w:rPr>
                <w:rFonts w:ascii="Times New Roman"/>
                <w:spacing w:val="-1"/>
                <w:sz w:val="18"/>
              </w:rPr>
              <w:t>-412,059.00</w:t>
            </w:r>
          </w:p>
        </w:tc>
      </w:tr>
      <w:tr>
        <w:trPr>
          <w:trHeight w:val="254" w:hRule="exact"/>
        </w:trPr>
        <w:tc>
          <w:tcPr>
            <w:tcW w:w="3195" w:type="dxa"/>
            <w:gridSpan w:val="4"/>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期末持有的其他证券投资</w:t>
            </w:r>
            <w:r>
              <w:rPr>
                <w:rFonts w:ascii="宋体" w:hAnsi="宋体" w:cs="宋体" w:eastAsia="宋体" w:hint="default"/>
                <w:sz w:val="18"/>
                <w:szCs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17,476,060.81</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13,819,654.49</w:t>
            </w:r>
          </w:p>
        </w:tc>
        <w:tc>
          <w:tcPr>
            <w:tcW w:w="8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z w:val="18"/>
              </w:rPr>
              <w:t>1.13%</w:t>
            </w:r>
          </w:p>
        </w:tc>
        <w:tc>
          <w:tcPr>
            <w:tcW w:w="13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18"/>
                <w:szCs w:val="18"/>
              </w:rPr>
            </w:pPr>
            <w:r>
              <w:rPr>
                <w:rFonts w:ascii="Times New Roman"/>
                <w:spacing w:val="-1"/>
                <w:sz w:val="18"/>
              </w:rPr>
              <w:t>4,470,251.18</w:t>
            </w:r>
          </w:p>
        </w:tc>
      </w:tr>
      <w:tr>
        <w:trPr>
          <w:trHeight w:val="254" w:hRule="exact"/>
        </w:trPr>
        <w:tc>
          <w:tcPr>
            <w:tcW w:w="3195" w:type="dxa"/>
            <w:gridSpan w:val="4"/>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报告期已出售证券投资损益</w:t>
            </w:r>
            <w:r>
              <w:rPr>
                <w:rFonts w:ascii="宋体" w:hAnsi="宋体" w:cs="宋体" w:eastAsia="宋体" w:hint="default"/>
                <w:sz w:val="18"/>
                <w:szCs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28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28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18"/>
                <w:szCs w:val="18"/>
              </w:rPr>
            </w:pPr>
            <w:r>
              <w:rPr>
                <w:rFonts w:ascii="Times New Roman"/>
                <w:spacing w:val="-1"/>
                <w:sz w:val="18"/>
              </w:rPr>
              <w:t>585,002,265.22</w:t>
            </w:r>
          </w:p>
        </w:tc>
      </w:tr>
      <w:tr>
        <w:trPr>
          <w:trHeight w:val="262" w:hRule="exact"/>
        </w:trPr>
        <w:tc>
          <w:tcPr>
            <w:tcW w:w="3195" w:type="dxa"/>
            <w:gridSpan w:val="4"/>
            <w:tcBorders>
              <w:top w:val="single" w:sz="6" w:space="0" w:color="000000"/>
              <w:left w:val="single" w:sz="12" w:space="0" w:color="000000"/>
              <w:bottom w:val="single" w:sz="12" w:space="0" w:color="000000"/>
              <w:right w:val="single" w:sz="6" w:space="0" w:color="000000"/>
            </w:tcBorders>
          </w:tcPr>
          <w:p>
            <w:pPr>
              <w:pStyle w:val="TableParagraph"/>
              <w:spacing w:line="208" w:lineRule="exact"/>
              <w:ind w:right="3"/>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right="98"/>
              <w:jc w:val="right"/>
              <w:rPr>
                <w:rFonts w:ascii="Times New Roman" w:hAnsi="Times New Roman" w:cs="Times New Roman" w:eastAsia="Times New Roman" w:hint="default"/>
                <w:sz w:val="18"/>
                <w:szCs w:val="18"/>
              </w:rPr>
            </w:pPr>
            <w:r>
              <w:rPr>
                <w:rFonts w:ascii="Times New Roman"/>
                <w:b/>
                <w:spacing w:val="-1"/>
                <w:sz w:val="18"/>
              </w:rPr>
              <w:t>234,069,325.11</w:t>
            </w:r>
            <w:r>
              <w:rPr>
                <w:rFonts w:ascii="Times New Roman"/>
                <w:spacing w:val="-1"/>
                <w:sz w:val="18"/>
              </w:rPr>
            </w:r>
          </w:p>
        </w:tc>
        <w:tc>
          <w:tcPr>
            <w:tcW w:w="125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right="98"/>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c>
          <w:tcPr>
            <w:tcW w:w="14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right="99"/>
              <w:jc w:val="right"/>
              <w:rPr>
                <w:rFonts w:ascii="Times New Roman" w:hAnsi="Times New Roman" w:cs="Times New Roman" w:eastAsia="Times New Roman" w:hint="default"/>
                <w:sz w:val="18"/>
                <w:szCs w:val="18"/>
              </w:rPr>
            </w:pPr>
            <w:r>
              <w:rPr>
                <w:rFonts w:ascii="Times New Roman"/>
                <w:b/>
                <w:spacing w:val="-1"/>
                <w:sz w:val="18"/>
              </w:rPr>
              <w:t>1,218,687,014.15</w:t>
            </w:r>
            <w:r>
              <w:rPr>
                <w:rFonts w:ascii="Times New Roman"/>
                <w:spacing w:val="-1"/>
                <w:sz w:val="18"/>
              </w:rPr>
            </w:r>
          </w:p>
        </w:tc>
        <w:tc>
          <w:tcPr>
            <w:tcW w:w="89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right="100"/>
              <w:jc w:val="right"/>
              <w:rPr>
                <w:rFonts w:ascii="Times New Roman" w:hAnsi="Times New Roman" w:cs="Times New Roman" w:eastAsia="Times New Roman" w:hint="default"/>
                <w:sz w:val="18"/>
                <w:szCs w:val="18"/>
              </w:rPr>
            </w:pPr>
            <w:r>
              <w:rPr>
                <w:rFonts w:ascii="Times New Roman"/>
                <w:b/>
                <w:spacing w:val="-1"/>
                <w:sz w:val="18"/>
              </w:rPr>
              <w:t>100.00%</w:t>
            </w:r>
            <w:r>
              <w:rPr>
                <w:rFonts w:ascii="Times New Roman"/>
                <w:spacing w:val="-1"/>
                <w:sz w:val="18"/>
              </w:rPr>
            </w:r>
          </w:p>
        </w:tc>
        <w:tc>
          <w:tcPr>
            <w:tcW w:w="139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
              <w:ind w:right="91"/>
              <w:jc w:val="right"/>
              <w:rPr>
                <w:rFonts w:ascii="Times New Roman" w:hAnsi="Times New Roman" w:cs="Times New Roman" w:eastAsia="Times New Roman" w:hint="default"/>
                <w:sz w:val="18"/>
                <w:szCs w:val="18"/>
              </w:rPr>
            </w:pPr>
            <w:r>
              <w:rPr>
                <w:rFonts w:ascii="Times New Roman"/>
                <w:b/>
                <w:spacing w:val="-1"/>
                <w:sz w:val="18"/>
              </w:rPr>
              <w:t>360,586,659.95</w:t>
            </w:r>
            <w:r>
              <w:rPr>
                <w:rFonts w:ascii="Times New Roman"/>
                <w:spacing w:val="-1"/>
                <w:sz w:val="18"/>
              </w:rPr>
            </w:r>
          </w:p>
        </w:tc>
      </w:tr>
    </w:tbl>
    <w:p>
      <w:pPr>
        <w:spacing w:line="240" w:lineRule="auto" w:before="13"/>
        <w:rPr>
          <w:rFonts w:ascii="宋体" w:hAnsi="宋体" w:cs="宋体" w:eastAsia="宋体" w:hint="default"/>
          <w:sz w:val="18"/>
          <w:szCs w:val="18"/>
        </w:rPr>
      </w:pPr>
    </w:p>
    <w:p>
      <w:pPr>
        <w:pStyle w:val="Heading3"/>
        <w:spacing w:line="240" w:lineRule="auto" w:before="26"/>
        <w:ind w:right="250"/>
        <w:jc w:val="left"/>
        <w:rPr>
          <w:b w:val="0"/>
          <w:bCs w:val="0"/>
        </w:rPr>
      </w:pPr>
      <w:r>
        <w:rPr>
          <w:rFonts w:ascii="宋体" w:hAnsi="宋体" w:cs="宋体" w:eastAsia="宋体" w:hint="default"/>
        </w:rPr>
        <w:t>(</w:t>
      </w:r>
      <w:r>
        <w:rPr/>
        <w:t>六</w:t>
      </w:r>
      <w:r>
        <w:rPr>
          <w:rFonts w:ascii="宋体" w:hAnsi="宋体" w:cs="宋体" w:eastAsia="宋体" w:hint="default"/>
        </w:rPr>
        <w:t>)</w:t>
      </w:r>
      <w:r>
        <w:rPr/>
        <w:t>重大资产和股权出售</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left="238" w:right="383"/>
        <w:jc w:val="both"/>
        <w:rPr>
          <w:rFonts w:ascii="宋体" w:hAnsi="宋体" w:cs="宋体" w:eastAsia="宋体" w:hint="default"/>
        </w:rPr>
      </w:pPr>
      <w:r>
        <w:rPr>
          <w:rFonts w:ascii="宋体" w:hAnsi="宋体" w:cs="宋体" w:eastAsia="宋体" w:hint="default"/>
        </w:rPr>
        <w:t>2015</w:t>
      </w:r>
      <w:r>
        <w:rPr>
          <w:rFonts w:ascii="宋体" w:hAnsi="宋体" w:cs="宋体" w:eastAsia="宋体" w:hint="default"/>
          <w:spacing w:val="-55"/>
        </w:rPr>
        <w:t> </w:t>
      </w:r>
      <w:r>
        <w:rPr/>
        <w:t>年</w:t>
      </w:r>
      <w:r>
        <w:rPr>
          <w:spacing w:val="-57"/>
        </w:rPr>
        <w:t> </w:t>
      </w:r>
      <w:r>
        <w:rPr>
          <w:rFonts w:ascii="宋体" w:hAnsi="宋体" w:cs="宋体" w:eastAsia="宋体" w:hint="default"/>
        </w:rPr>
        <w:t>11</w:t>
      </w:r>
      <w:r>
        <w:rPr>
          <w:rFonts w:ascii="宋体" w:hAnsi="宋体" w:cs="宋体" w:eastAsia="宋体" w:hint="default"/>
          <w:spacing w:val="-55"/>
        </w:rPr>
        <w:t> </w:t>
      </w:r>
      <w:r>
        <w:rPr/>
        <w:t>月</w:t>
      </w:r>
      <w:r>
        <w:rPr>
          <w:spacing w:val="-55"/>
        </w:rPr>
        <w:t> </w:t>
      </w:r>
      <w:r>
        <w:rPr>
          <w:rFonts w:ascii="宋体" w:hAnsi="宋体" w:cs="宋体" w:eastAsia="宋体" w:hint="default"/>
        </w:rPr>
        <w:t>2</w:t>
      </w:r>
      <w:r>
        <w:rPr>
          <w:rFonts w:ascii="宋体" w:hAnsi="宋体" w:cs="宋体" w:eastAsia="宋体" w:hint="default"/>
          <w:spacing w:val="-55"/>
        </w:rPr>
        <w:t> </w:t>
      </w:r>
      <w:r>
        <w:rPr>
          <w:spacing w:val="-4"/>
        </w:rPr>
        <w:t>日，公司召开第六届董事会第二十六次会议，审议通过了《关于向紫光春</w:t>
      </w:r>
      <w:r>
        <w:rPr/>
        <w:t> 华转让同方国芯</w:t>
      </w:r>
      <w:r>
        <w:rPr>
          <w:spacing w:val="-39"/>
        </w:rPr>
        <w:t> </w:t>
      </w:r>
      <w:r>
        <w:rPr>
          <w:rFonts w:ascii="宋体" w:hAnsi="宋体" w:cs="宋体" w:eastAsia="宋体" w:hint="default"/>
          <w:spacing w:val="-7"/>
        </w:rPr>
        <w:t>36.39%</w:t>
      </w:r>
      <w:r>
        <w:rPr>
          <w:spacing w:val="-7"/>
        </w:rPr>
        <w:t>股权的关联交易暨预计新增日常关联交易的议案》，拟将公司持有</w:t>
      </w:r>
      <w:r>
        <w:rPr>
          <w:spacing w:val="-117"/>
        </w:rPr>
        <w:t> </w:t>
      </w:r>
      <w:r>
        <w:rPr>
          <w:spacing w:val="-117"/>
        </w:rPr>
      </w:r>
      <w:r>
        <w:rPr/>
        <w:t>的同方国芯</w:t>
      </w:r>
      <w:r>
        <w:rPr>
          <w:spacing w:val="-39"/>
        </w:rPr>
        <w:t> </w:t>
      </w:r>
      <w:r>
        <w:rPr>
          <w:rFonts w:ascii="宋体" w:hAnsi="宋体" w:cs="宋体" w:eastAsia="宋体" w:hint="default"/>
        </w:rPr>
        <w:t>36.39%</w:t>
      </w:r>
      <w:r>
        <w:rPr/>
        <w:t>的股权转让给西藏紫光春华投资有限公司，本次转让完成后，公司对 同方国芯的持股比例由 </w:t>
      </w:r>
      <w:r>
        <w:rPr>
          <w:rFonts w:ascii="宋体" w:hAnsi="宋体" w:cs="宋体" w:eastAsia="宋体" w:hint="default"/>
        </w:rPr>
        <w:t>41.38%</w:t>
      </w:r>
      <w:r>
        <w:rPr/>
        <w:t>降至</w:t>
      </w:r>
      <w:r>
        <w:rPr>
          <w:spacing w:val="-39"/>
        </w:rPr>
        <w:t> </w:t>
      </w:r>
      <w:r>
        <w:rPr>
          <w:rFonts w:ascii="宋体" w:hAnsi="宋体" w:cs="宋体" w:eastAsia="宋体" w:hint="default"/>
        </w:rPr>
        <w:t>4.99%</w:t>
      </w:r>
      <w:r>
        <w:rPr/>
        <w:t>，公司不再将其纳入合并范围。本次交易标的 为公司持有的同方国芯的 </w:t>
      </w:r>
      <w:r>
        <w:rPr>
          <w:rFonts w:ascii="宋体" w:hAnsi="宋体" w:cs="宋体" w:eastAsia="宋体" w:hint="default"/>
        </w:rPr>
        <w:t>220,835,000</w:t>
      </w:r>
      <w:r>
        <w:rPr>
          <w:rFonts w:ascii="宋体" w:hAnsi="宋体" w:cs="宋体" w:eastAsia="宋体" w:hint="default"/>
          <w:spacing w:val="71"/>
        </w:rPr>
        <w:t> </w:t>
      </w:r>
      <w:r>
        <w:rPr/>
        <w:t>股股票，定价方式为按照同方国芯停牌前</w:t>
      </w:r>
      <w:r>
        <w:rPr>
          <w:rFonts w:ascii="宋体" w:hAnsi="宋体" w:cs="宋体" w:eastAsia="宋体" w:hint="default"/>
        </w:rPr>
        <w:t>(2015</w:t>
      </w:r>
    </w:p>
    <w:p>
      <w:pPr>
        <w:pStyle w:val="BodyText"/>
        <w:spacing w:line="310" w:lineRule="exact"/>
        <w:ind w:left="238" w:right="0"/>
        <w:jc w:val="both"/>
      </w:pPr>
      <w:r>
        <w:rPr/>
        <w:t>年</w:t>
      </w:r>
      <w:r>
        <w:rPr>
          <w:spacing w:val="-58"/>
        </w:rPr>
        <w:t> </w:t>
      </w:r>
      <w:r>
        <w:rPr>
          <w:rFonts w:ascii="宋体" w:hAnsi="宋体" w:cs="宋体" w:eastAsia="宋体" w:hint="default"/>
        </w:rPr>
        <w:t>10</w:t>
      </w:r>
      <w:r>
        <w:rPr>
          <w:rFonts w:ascii="宋体" w:hAnsi="宋体" w:cs="宋体" w:eastAsia="宋体" w:hint="default"/>
          <w:spacing w:val="-58"/>
        </w:rPr>
        <w:t> </w:t>
      </w:r>
      <w:r>
        <w:rPr/>
        <w:t>月</w:t>
      </w:r>
      <w:r>
        <w:rPr>
          <w:spacing w:val="-58"/>
        </w:rPr>
        <w:t> </w:t>
      </w:r>
      <w:r>
        <w:rPr>
          <w:rFonts w:ascii="宋体" w:hAnsi="宋体" w:cs="宋体" w:eastAsia="宋体" w:hint="default"/>
        </w:rPr>
        <w:t>12</w:t>
      </w:r>
      <w:r>
        <w:rPr>
          <w:rFonts w:ascii="宋体" w:hAnsi="宋体" w:cs="宋体" w:eastAsia="宋体" w:hint="default"/>
          <w:spacing w:val="-58"/>
        </w:rPr>
        <w:t> </w:t>
      </w:r>
      <w:r>
        <w:rPr/>
        <w:t>日</w:t>
      </w:r>
      <w:r>
        <w:rPr>
          <w:rFonts w:ascii="宋体" w:hAnsi="宋体" w:cs="宋体" w:eastAsia="宋体" w:hint="default"/>
        </w:rPr>
        <w:t>)30</w:t>
      </w:r>
      <w:r>
        <w:rPr>
          <w:rFonts w:ascii="宋体" w:hAnsi="宋体" w:cs="宋体" w:eastAsia="宋体" w:hint="default"/>
          <w:spacing w:val="-58"/>
        </w:rPr>
        <w:t> </w:t>
      </w:r>
      <w:r>
        <w:rPr/>
        <w:t>个交易日均价</w:t>
      </w:r>
      <w:r>
        <w:rPr>
          <w:spacing w:val="-57"/>
        </w:rPr>
        <w:t> </w:t>
      </w:r>
      <w:r>
        <w:rPr>
          <w:rFonts w:ascii="宋体" w:hAnsi="宋体" w:cs="宋体" w:eastAsia="宋体" w:hint="default"/>
        </w:rPr>
        <w:t>31.75</w:t>
      </w:r>
      <w:r>
        <w:rPr>
          <w:rFonts w:ascii="宋体" w:hAnsi="宋体" w:cs="宋体" w:eastAsia="宋体" w:hint="default"/>
          <w:spacing w:val="-58"/>
        </w:rPr>
        <w:t> </w:t>
      </w:r>
      <w:r>
        <w:rPr/>
        <w:t>元</w:t>
      </w:r>
      <w:r>
        <w:rPr>
          <w:rFonts w:ascii="宋体" w:hAnsi="宋体" w:cs="宋体" w:eastAsia="宋体" w:hint="default"/>
        </w:rPr>
        <w:t>/</w:t>
      </w:r>
      <w:r>
        <w:rPr/>
        <w:t>股确定，交易金额约为</w:t>
      </w:r>
      <w:r>
        <w:rPr>
          <w:spacing w:val="-58"/>
        </w:rPr>
        <w:t> </w:t>
      </w:r>
      <w:r>
        <w:rPr>
          <w:rFonts w:ascii="宋体" w:hAnsi="宋体" w:cs="宋体" w:eastAsia="宋体" w:hint="default"/>
        </w:rPr>
        <w:t>70.12</w:t>
      </w:r>
      <w:r>
        <w:rPr>
          <w:rFonts w:ascii="宋体" w:hAnsi="宋体" w:cs="宋体" w:eastAsia="宋体" w:hint="default"/>
          <w:spacing w:val="-57"/>
        </w:rPr>
        <w:t> </w:t>
      </w:r>
      <w:r>
        <w:rPr/>
        <w:t>亿元。公司已于</w:t>
      </w:r>
    </w:p>
    <w:p>
      <w:pPr>
        <w:pStyle w:val="BodyText"/>
        <w:spacing w:line="312" w:lineRule="exact" w:before="28"/>
        <w:ind w:left="238" w:right="384"/>
        <w:jc w:val="both"/>
      </w:pPr>
      <w:r>
        <w:rPr>
          <w:rFonts w:ascii="宋体" w:hAnsi="宋体" w:cs="宋体" w:eastAsia="宋体" w:hint="default"/>
        </w:rPr>
        <w:t>2015</w:t>
      </w:r>
      <w:r>
        <w:rPr>
          <w:rFonts w:ascii="宋体" w:hAnsi="宋体" w:cs="宋体" w:eastAsia="宋体" w:hint="default"/>
          <w:spacing w:val="-58"/>
        </w:rPr>
        <w:t> </w:t>
      </w:r>
      <w:r>
        <w:rPr/>
        <w:t>年</w:t>
      </w:r>
      <w:r>
        <w:rPr>
          <w:spacing w:val="-59"/>
        </w:rPr>
        <w:t> </w:t>
      </w:r>
      <w:r>
        <w:rPr>
          <w:rFonts w:ascii="宋体" w:hAnsi="宋体" w:cs="宋体" w:eastAsia="宋体" w:hint="default"/>
        </w:rPr>
        <w:t>11</w:t>
      </w:r>
      <w:r>
        <w:rPr>
          <w:rFonts w:ascii="宋体" w:hAnsi="宋体" w:cs="宋体" w:eastAsia="宋体" w:hint="default"/>
          <w:spacing w:val="-58"/>
        </w:rPr>
        <w:t> </w:t>
      </w:r>
      <w:r>
        <w:rPr/>
        <w:t>月</w:t>
      </w:r>
      <w:r>
        <w:rPr>
          <w:spacing w:val="-58"/>
        </w:rPr>
        <w:t> </w:t>
      </w:r>
      <w:r>
        <w:rPr>
          <w:rFonts w:ascii="宋体" w:hAnsi="宋体" w:cs="宋体" w:eastAsia="宋体" w:hint="default"/>
        </w:rPr>
        <w:t>2</w:t>
      </w:r>
      <w:r>
        <w:rPr>
          <w:rFonts w:ascii="宋体" w:hAnsi="宋体" w:cs="宋体" w:eastAsia="宋体" w:hint="default"/>
          <w:spacing w:val="-58"/>
        </w:rPr>
        <w:t> </w:t>
      </w:r>
      <w:r>
        <w:rPr>
          <w:spacing w:val="-9"/>
        </w:rPr>
        <w:t>日与紫光春华签署了《股份转让协议》，上述议案也已经公司</w:t>
      </w:r>
      <w:r>
        <w:rPr>
          <w:spacing w:val="-56"/>
        </w:rPr>
        <w:t> </w:t>
      </w:r>
      <w:r>
        <w:rPr>
          <w:rFonts w:ascii="宋体" w:hAnsi="宋体" w:cs="宋体" w:eastAsia="宋体" w:hint="default"/>
        </w:rPr>
        <w:t>2015</w:t>
      </w:r>
      <w:r>
        <w:rPr>
          <w:rFonts w:ascii="宋体" w:hAnsi="宋体" w:cs="宋体" w:eastAsia="宋体" w:hint="default"/>
          <w:spacing w:val="-58"/>
        </w:rPr>
        <w:t> </w:t>
      </w:r>
      <w:r>
        <w:rPr/>
        <w:t>年第三 次临时股东大会审议通过。</w:t>
      </w:r>
    </w:p>
    <w:p>
      <w:pPr>
        <w:spacing w:line="240" w:lineRule="auto" w:before="9"/>
        <w:rPr>
          <w:rFonts w:ascii="宋体" w:hAnsi="宋体" w:cs="宋体" w:eastAsia="宋体" w:hint="default"/>
          <w:sz w:val="23"/>
          <w:szCs w:val="23"/>
        </w:rPr>
      </w:pPr>
    </w:p>
    <w:p>
      <w:pPr>
        <w:pStyle w:val="BodyText"/>
        <w:spacing w:line="312" w:lineRule="exact"/>
        <w:ind w:left="238" w:right="250"/>
        <w:jc w:val="left"/>
      </w:pPr>
      <w:r>
        <w:rPr/>
        <w:t>截至本报告披露日，上述股份转让事宜已经获得财政部审核批准、商务部反垄断审查和</w:t>
      </w:r>
      <w:r>
        <w:rPr>
          <w:spacing w:val="-51"/>
        </w:rPr>
        <w:t> </w:t>
      </w:r>
      <w:r>
        <w:rPr>
          <w:spacing w:val="-51"/>
        </w:rPr>
      </w:r>
      <w:r>
        <w:rPr>
          <w:spacing w:val="-6"/>
        </w:rPr>
        <w:t>证监会要约收购豁免核准。公司与紫光春华已于</w:t>
      </w:r>
      <w:r>
        <w:rPr>
          <w:spacing w:val="-73"/>
        </w:rPr>
        <w:t> </w:t>
      </w:r>
      <w:r>
        <w:rPr>
          <w:rFonts w:ascii="宋体" w:hAnsi="宋体" w:cs="宋体" w:eastAsia="宋体" w:hint="default"/>
        </w:rPr>
        <w:t>2016</w:t>
      </w:r>
      <w:r>
        <w:rPr>
          <w:rFonts w:ascii="宋体" w:hAnsi="宋体" w:cs="宋体" w:eastAsia="宋体" w:hint="default"/>
          <w:spacing w:val="-74"/>
        </w:rPr>
        <w:t> </w:t>
      </w:r>
      <w:r>
        <w:rPr/>
        <w:t>年</w:t>
      </w:r>
      <w:r>
        <w:rPr>
          <w:spacing w:val="-74"/>
        </w:rPr>
        <w:t> </w:t>
      </w:r>
      <w:r>
        <w:rPr>
          <w:rFonts w:ascii="宋体" w:hAnsi="宋体" w:cs="宋体" w:eastAsia="宋体" w:hint="default"/>
        </w:rPr>
        <w:t>4</w:t>
      </w:r>
      <w:r>
        <w:rPr>
          <w:rFonts w:ascii="宋体" w:hAnsi="宋体" w:cs="宋体" w:eastAsia="宋体" w:hint="default"/>
          <w:spacing w:val="-74"/>
        </w:rPr>
        <w:t> </w:t>
      </w:r>
      <w:r>
        <w:rPr/>
        <w:t>月</w:t>
      </w:r>
      <w:r>
        <w:rPr>
          <w:spacing w:val="-74"/>
        </w:rPr>
        <w:t> </w:t>
      </w:r>
      <w:r>
        <w:rPr>
          <w:rFonts w:ascii="宋体" w:hAnsi="宋体" w:cs="宋体" w:eastAsia="宋体" w:hint="default"/>
        </w:rPr>
        <w:t>7</w:t>
      </w:r>
      <w:r>
        <w:rPr>
          <w:rFonts w:ascii="宋体" w:hAnsi="宋体" w:cs="宋体" w:eastAsia="宋体" w:hint="default"/>
          <w:spacing w:val="-74"/>
        </w:rPr>
        <w:t> </w:t>
      </w:r>
      <w:r>
        <w:rPr/>
        <w:t>日办理完成同方国芯</w:t>
      </w:r>
      <w:r>
        <w:rPr>
          <w:spacing w:val="-73"/>
        </w:rPr>
        <w:t> </w:t>
      </w:r>
      <w:r>
        <w:rPr>
          <w:rFonts w:ascii="宋体" w:hAnsi="宋体" w:cs="宋体" w:eastAsia="宋体" w:hint="default"/>
        </w:rPr>
        <w:t>36.39% </w:t>
      </w:r>
      <w:r>
        <w:rPr/>
        <w:t>股权的过户手续。</w:t>
      </w:r>
    </w:p>
    <w:p>
      <w:pPr>
        <w:spacing w:line="240" w:lineRule="auto" w:before="4"/>
        <w:rPr>
          <w:rFonts w:ascii="宋体" w:hAnsi="宋体" w:cs="宋体" w:eastAsia="宋体" w:hint="default"/>
          <w:sz w:val="21"/>
          <w:szCs w:val="21"/>
        </w:rPr>
      </w:pPr>
    </w:p>
    <w:p>
      <w:pPr>
        <w:pStyle w:val="BodyText"/>
        <w:spacing w:line="313" w:lineRule="exact"/>
        <w:ind w:left="238" w:right="0"/>
        <w:jc w:val="both"/>
        <w:rPr>
          <w:rFonts w:ascii="宋体" w:hAnsi="宋体" w:cs="宋体" w:eastAsia="宋体" w:hint="default"/>
        </w:rPr>
      </w:pPr>
      <w:r>
        <w:rPr/>
        <w:t>关于本次交易的相关信息，投资者也可参阅公司于</w:t>
      </w:r>
      <w:r>
        <w:rPr>
          <w:spacing w:val="-40"/>
        </w:rPr>
        <w:t> </w:t>
      </w:r>
      <w:r>
        <w:rPr>
          <w:rFonts w:ascii="宋体" w:hAnsi="宋体" w:cs="宋体" w:eastAsia="宋体" w:hint="default"/>
        </w:rPr>
        <w:t>2015</w:t>
      </w:r>
      <w:r>
        <w:rPr>
          <w:rFonts w:ascii="宋体" w:hAnsi="宋体" w:cs="宋体" w:eastAsia="宋体" w:hint="default"/>
          <w:spacing w:val="-41"/>
        </w:rPr>
        <w:t> </w:t>
      </w:r>
      <w:r>
        <w:rPr/>
        <w:t>年</w:t>
      </w:r>
      <w:r>
        <w:rPr>
          <w:spacing w:val="-41"/>
        </w:rPr>
        <w:t> </w:t>
      </w:r>
      <w:r>
        <w:rPr>
          <w:rFonts w:ascii="宋体" w:hAnsi="宋体" w:cs="宋体" w:eastAsia="宋体" w:hint="default"/>
        </w:rPr>
        <w:t>11</w:t>
      </w:r>
      <w:r>
        <w:rPr>
          <w:rFonts w:ascii="宋体" w:hAnsi="宋体" w:cs="宋体" w:eastAsia="宋体" w:hint="default"/>
          <w:spacing w:val="-41"/>
        </w:rPr>
        <w:t> </w:t>
      </w:r>
      <w:r>
        <w:rPr/>
        <w:t>月</w:t>
      </w:r>
      <w:r>
        <w:rPr>
          <w:spacing w:val="-41"/>
        </w:rPr>
        <w:t> </w:t>
      </w:r>
      <w:r>
        <w:rPr>
          <w:rFonts w:ascii="宋体" w:hAnsi="宋体" w:cs="宋体" w:eastAsia="宋体" w:hint="default"/>
        </w:rPr>
        <w:t>3</w:t>
      </w:r>
      <w:r>
        <w:rPr>
          <w:rFonts w:ascii="宋体" w:hAnsi="宋体" w:cs="宋体" w:eastAsia="宋体" w:hint="default"/>
          <w:spacing w:val="-39"/>
        </w:rPr>
        <w:t> </w:t>
      </w:r>
      <w:r>
        <w:rPr/>
        <w:t>日、</w:t>
      </w:r>
      <w:r>
        <w:rPr>
          <w:rFonts w:ascii="宋体" w:hAnsi="宋体" w:cs="宋体" w:eastAsia="宋体" w:hint="default"/>
        </w:rPr>
        <w:t>2015</w:t>
      </w:r>
      <w:r>
        <w:rPr>
          <w:rFonts w:ascii="宋体" w:hAnsi="宋体" w:cs="宋体" w:eastAsia="宋体" w:hint="default"/>
          <w:spacing w:val="-41"/>
        </w:rPr>
        <w:t> </w:t>
      </w:r>
      <w:r>
        <w:rPr/>
        <w:t>年</w:t>
      </w:r>
      <w:r>
        <w:rPr>
          <w:spacing w:val="-41"/>
        </w:rPr>
        <w:t> </w:t>
      </w:r>
      <w:r>
        <w:rPr>
          <w:rFonts w:ascii="宋体" w:hAnsi="宋体" w:cs="宋体" w:eastAsia="宋体" w:hint="default"/>
        </w:rPr>
        <w:t>11</w:t>
      </w:r>
      <w:r>
        <w:rPr>
          <w:rFonts w:ascii="宋体" w:hAnsi="宋体" w:cs="宋体" w:eastAsia="宋体" w:hint="default"/>
          <w:spacing w:val="-39"/>
        </w:rPr>
        <w:t> </w:t>
      </w:r>
      <w:r>
        <w:rPr/>
        <w:t>月</w:t>
      </w:r>
      <w:r>
        <w:rPr>
          <w:spacing w:val="-41"/>
        </w:rPr>
        <w:t> </w:t>
      </w:r>
      <w:r>
        <w:rPr>
          <w:rFonts w:ascii="宋体" w:hAnsi="宋体" w:cs="宋体" w:eastAsia="宋体" w:hint="default"/>
        </w:rPr>
        <w:t>4</w:t>
      </w:r>
    </w:p>
    <w:p>
      <w:pPr>
        <w:pStyle w:val="BodyText"/>
        <w:spacing w:line="310" w:lineRule="exact" w:before="31"/>
        <w:ind w:left="238" w:right="384"/>
        <w:jc w:val="both"/>
      </w:pPr>
      <w:r>
        <w:rPr/>
        <w:t>日</w:t>
      </w:r>
      <w:r>
        <w:rPr>
          <w:spacing w:val="-10"/>
        </w:rPr>
        <w:t>、</w:t>
      </w:r>
      <w:r>
        <w:rPr>
          <w:rFonts w:ascii="宋体" w:hAnsi="宋体" w:cs="宋体" w:eastAsia="宋体" w:hint="default"/>
        </w:rPr>
        <w:t>2015</w:t>
      </w:r>
      <w:r>
        <w:rPr>
          <w:rFonts w:ascii="宋体" w:hAnsi="宋体" w:cs="宋体" w:eastAsia="宋体" w:hint="default"/>
          <w:spacing w:val="-61"/>
        </w:rPr>
        <w:t> </w:t>
      </w:r>
      <w:r>
        <w:rPr/>
        <w:t>年</w:t>
      </w:r>
      <w:r>
        <w:rPr>
          <w:spacing w:val="-60"/>
        </w:rPr>
        <w:t> </w:t>
      </w:r>
      <w:r>
        <w:rPr>
          <w:rFonts w:ascii="宋体" w:hAnsi="宋体" w:cs="宋体" w:eastAsia="宋体" w:hint="default"/>
        </w:rPr>
        <w:t>11</w:t>
      </w:r>
      <w:r>
        <w:rPr>
          <w:rFonts w:ascii="宋体" w:hAnsi="宋体" w:cs="宋体" w:eastAsia="宋体" w:hint="default"/>
          <w:spacing w:val="-60"/>
        </w:rPr>
        <w:t> </w:t>
      </w:r>
      <w:r>
        <w:rPr/>
        <w:t>月</w:t>
      </w:r>
      <w:r>
        <w:rPr>
          <w:spacing w:val="-60"/>
        </w:rPr>
        <w:t> </w:t>
      </w:r>
      <w:r>
        <w:rPr>
          <w:rFonts w:ascii="宋体" w:hAnsi="宋体" w:cs="宋体" w:eastAsia="宋体" w:hint="default"/>
        </w:rPr>
        <w:t>19</w:t>
      </w:r>
      <w:r>
        <w:rPr>
          <w:rFonts w:ascii="宋体" w:hAnsi="宋体" w:cs="宋体" w:eastAsia="宋体" w:hint="default"/>
          <w:spacing w:val="-60"/>
        </w:rPr>
        <w:t> </w:t>
      </w:r>
      <w:r>
        <w:rPr/>
        <w:t>日</w:t>
      </w:r>
      <w:r>
        <w:rPr>
          <w:spacing w:val="-9"/>
        </w:rPr>
        <w:t>、</w:t>
      </w:r>
      <w:r>
        <w:rPr>
          <w:rFonts w:ascii="宋体" w:hAnsi="宋体" w:cs="宋体" w:eastAsia="宋体" w:hint="default"/>
        </w:rPr>
        <w:t>2016</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26</w:t>
      </w:r>
      <w:r>
        <w:rPr>
          <w:rFonts w:ascii="宋体" w:hAnsi="宋体" w:cs="宋体" w:eastAsia="宋体" w:hint="default"/>
          <w:spacing w:val="-60"/>
        </w:rPr>
        <w:t> </w:t>
      </w:r>
      <w:r>
        <w:rPr/>
        <w:t>日和</w:t>
      </w:r>
      <w:r>
        <w:rPr>
          <w:spacing w:val="-60"/>
        </w:rPr>
        <w:t> </w:t>
      </w:r>
      <w:r>
        <w:rPr>
          <w:rFonts w:ascii="宋体" w:hAnsi="宋体" w:cs="宋体" w:eastAsia="宋体" w:hint="default"/>
        </w:rPr>
        <w:t>2016</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9</w:t>
      </w:r>
      <w:r>
        <w:rPr>
          <w:rFonts w:ascii="宋体" w:hAnsi="宋体" w:cs="宋体" w:eastAsia="宋体" w:hint="default"/>
          <w:spacing w:val="-60"/>
        </w:rPr>
        <w:t> </w:t>
      </w:r>
      <w:r>
        <w:rPr/>
        <w:t>日</w:t>
      </w:r>
      <w:r>
        <w:rPr>
          <w:spacing w:val="-10"/>
        </w:rPr>
        <w:t>在</w:t>
      </w:r>
      <w:r>
        <w:rPr/>
        <w:t>《中国证券报</w:t>
      </w:r>
      <w:r>
        <w:rPr>
          <w:spacing w:val="-120"/>
        </w:rPr>
        <w:t>》</w:t>
      </w:r>
      <w:r>
        <w:rPr>
          <w:spacing w:val="-130"/>
        </w:rPr>
        <w:t>、</w:t>
      </w:r>
      <w:r>
        <w:rPr/>
        <w:t>《上海</w:t>
      </w:r>
      <w:r>
        <w:rPr/>
        <w:t> 证券报</w:t>
      </w:r>
      <w:r>
        <w:rPr>
          <w:spacing w:val="-120"/>
        </w:rPr>
        <w:t>》、</w:t>
      </w:r>
      <w:r>
        <w:rPr/>
        <w:t>《证券时报》和上海证券交易所网站</w:t>
      </w:r>
      <w:r>
        <w:rPr>
          <w:rFonts w:ascii="宋体" w:hAnsi="宋体" w:cs="宋体" w:eastAsia="宋体" w:hint="default"/>
        </w:rPr>
        <w:t>(www.sse.com.cn)</w:t>
      </w:r>
      <w:r>
        <w:rPr/>
        <w:t>上披露的相关公告。</w:t>
      </w:r>
    </w:p>
    <w:p>
      <w:pPr>
        <w:spacing w:line="240" w:lineRule="auto" w:before="7"/>
        <w:rPr>
          <w:rFonts w:ascii="宋体" w:hAnsi="宋体" w:cs="宋体" w:eastAsia="宋体" w:hint="default"/>
          <w:sz w:val="21"/>
          <w:szCs w:val="21"/>
        </w:rPr>
      </w:pPr>
    </w:p>
    <w:p>
      <w:pPr>
        <w:pStyle w:val="Heading3"/>
        <w:spacing w:line="240" w:lineRule="auto"/>
        <w:ind w:right="250"/>
        <w:jc w:val="left"/>
        <w:rPr>
          <w:b w:val="0"/>
          <w:bCs w:val="0"/>
        </w:rPr>
      </w:pPr>
      <w:r>
        <w:rPr>
          <w:rFonts w:ascii="宋体" w:hAnsi="宋体" w:cs="宋体" w:eastAsia="宋体" w:hint="default"/>
        </w:rPr>
        <w:t>(</w:t>
      </w:r>
      <w:r>
        <w:rPr/>
        <w:t>七</w:t>
      </w:r>
      <w:r>
        <w:rPr>
          <w:rFonts w:ascii="宋体" w:hAnsi="宋体" w:cs="宋体" w:eastAsia="宋体" w:hint="default"/>
        </w:rPr>
        <w:t>)</w:t>
      </w:r>
      <w:r>
        <w:rPr/>
        <w:t>主要控参股公司分析</w:t>
      </w:r>
      <w:r>
        <w:rPr>
          <w:b w:val="0"/>
          <w:bCs w:val="0"/>
        </w:rPr>
      </w:r>
    </w:p>
    <w:p>
      <w:pPr>
        <w:spacing w:line="240" w:lineRule="auto" w:before="1"/>
        <w:rPr>
          <w:rFonts w:ascii="宋体" w:hAnsi="宋体" w:cs="宋体" w:eastAsia="宋体" w:hint="default"/>
          <w:b/>
          <w:bCs/>
          <w:sz w:val="28"/>
          <w:szCs w:val="28"/>
        </w:rPr>
      </w:pPr>
    </w:p>
    <w:p>
      <w:pPr>
        <w:pStyle w:val="Heading3"/>
        <w:spacing w:line="240" w:lineRule="auto"/>
        <w:ind w:left="238" w:right="0"/>
        <w:jc w:val="both"/>
        <w:rPr>
          <w:b w:val="0"/>
          <w:bCs w:val="0"/>
        </w:rPr>
      </w:pPr>
      <w:r>
        <w:rPr>
          <w:rFonts w:ascii="Calibri" w:hAnsi="Calibri" w:cs="Calibri" w:eastAsia="Calibri" w:hint="default"/>
        </w:rPr>
        <w:t>1</w:t>
      </w:r>
      <w:r>
        <w:rPr/>
        <w:t>、同方威视技术股份有限公司</w:t>
      </w:r>
      <w:r>
        <w:rPr>
          <w:b w:val="0"/>
          <w:bCs w:val="0"/>
        </w:rPr>
      </w:r>
    </w:p>
    <w:p>
      <w:pPr>
        <w:spacing w:line="240" w:lineRule="auto" w:before="2"/>
        <w:rPr>
          <w:rFonts w:ascii="宋体" w:hAnsi="宋体" w:cs="宋体" w:eastAsia="宋体" w:hint="default"/>
          <w:b/>
          <w:bCs/>
          <w:sz w:val="26"/>
          <w:szCs w:val="26"/>
        </w:rPr>
      </w:pPr>
    </w:p>
    <w:p>
      <w:pPr>
        <w:pStyle w:val="BodyText"/>
        <w:spacing w:line="237" w:lineRule="auto"/>
        <w:ind w:left="238" w:right="380"/>
        <w:jc w:val="both"/>
      </w:pPr>
      <w:r>
        <w:rPr/>
        <w:t>同方威视技术股份有限公司</w:t>
      </w:r>
      <w:r>
        <w:rPr>
          <w:rFonts w:ascii="宋体" w:hAnsi="宋体" w:cs="宋体" w:eastAsia="宋体" w:hint="default"/>
        </w:rPr>
        <w:t>(</w:t>
      </w:r>
      <w:r>
        <w:rPr/>
        <w:t>以下简称“同方威视”</w:t>
      </w:r>
      <w:r>
        <w:rPr>
          <w:rFonts w:ascii="宋体" w:hAnsi="宋体" w:cs="宋体" w:eastAsia="宋体" w:hint="default"/>
        </w:rPr>
        <w:t>)</w:t>
      </w:r>
      <w:r>
        <w:rPr/>
        <w:t>成立于</w:t>
      </w:r>
      <w:r>
        <w:rPr>
          <w:spacing w:val="-64"/>
        </w:rPr>
        <w:t> </w:t>
      </w:r>
      <w:r>
        <w:rPr>
          <w:rFonts w:ascii="宋体" w:hAnsi="宋体" w:cs="宋体" w:eastAsia="宋体" w:hint="default"/>
        </w:rPr>
        <w:t>2000</w:t>
      </w:r>
      <w:r>
        <w:rPr>
          <w:rFonts w:ascii="宋体" w:hAnsi="宋体" w:cs="宋体" w:eastAsia="宋体" w:hint="default"/>
          <w:spacing w:val="-64"/>
        </w:rPr>
        <w:t> </w:t>
      </w:r>
      <w:r>
        <w:rPr/>
        <w:t>年</w:t>
      </w:r>
      <w:r>
        <w:rPr>
          <w:spacing w:val="-64"/>
        </w:rPr>
        <w:t> </w:t>
      </w:r>
      <w:r>
        <w:rPr>
          <w:rFonts w:ascii="宋体" w:hAnsi="宋体" w:cs="宋体" w:eastAsia="宋体" w:hint="default"/>
        </w:rPr>
        <w:t>12</w:t>
      </w:r>
      <w:r>
        <w:rPr>
          <w:rFonts w:ascii="宋体" w:hAnsi="宋体" w:cs="宋体" w:eastAsia="宋体" w:hint="default"/>
          <w:spacing w:val="-64"/>
        </w:rPr>
        <w:t> </w:t>
      </w:r>
      <w:r>
        <w:rPr/>
        <w:t>月</w:t>
      </w:r>
      <w:r>
        <w:rPr>
          <w:spacing w:val="-64"/>
        </w:rPr>
        <w:t> </w:t>
      </w:r>
      <w:r>
        <w:rPr>
          <w:rFonts w:ascii="宋体" w:hAnsi="宋体" w:cs="宋体" w:eastAsia="宋体" w:hint="default"/>
        </w:rPr>
        <w:t>19</w:t>
      </w:r>
      <w:r>
        <w:rPr>
          <w:rFonts w:ascii="宋体" w:hAnsi="宋体" w:cs="宋体" w:eastAsia="宋体" w:hint="default"/>
          <w:spacing w:val="-64"/>
        </w:rPr>
        <w:t> </w:t>
      </w:r>
      <w:r>
        <w:rPr>
          <w:spacing w:val="-3"/>
        </w:rPr>
        <w:t>日，注册资</w:t>
      </w:r>
      <w:r>
        <w:rPr/>
        <w:t> 本</w:t>
      </w:r>
      <w:r>
        <w:rPr>
          <w:spacing w:val="-53"/>
        </w:rPr>
        <w:t> </w:t>
      </w:r>
      <w:r>
        <w:rPr>
          <w:rFonts w:ascii="宋体" w:hAnsi="宋体" w:cs="宋体" w:eastAsia="宋体" w:hint="default"/>
        </w:rPr>
        <w:t>16,500</w:t>
      </w:r>
      <w:r>
        <w:rPr>
          <w:rFonts w:ascii="宋体" w:hAnsi="宋体" w:cs="宋体" w:eastAsia="宋体" w:hint="default"/>
          <w:spacing w:val="-53"/>
        </w:rPr>
        <w:t> </w:t>
      </w:r>
      <w:r>
        <w:rPr/>
        <w:t>万元，公司持股</w:t>
      </w:r>
      <w:r>
        <w:rPr>
          <w:spacing w:val="-53"/>
        </w:rPr>
        <w:t> </w:t>
      </w:r>
      <w:r>
        <w:rPr>
          <w:rFonts w:ascii="宋体" w:hAnsi="宋体" w:cs="宋体" w:eastAsia="宋体" w:hint="default"/>
        </w:rPr>
        <w:t>69.09%</w:t>
      </w:r>
      <w:r>
        <w:rPr/>
        <w:t>。同方威视主要生产和销售直线加速器的集装箱</w:t>
      </w:r>
      <w:r>
        <w:rPr>
          <w:rFonts w:ascii="宋体" w:hAnsi="宋体" w:cs="宋体" w:eastAsia="宋体" w:hint="default"/>
        </w:rPr>
        <w:t>/</w:t>
      </w:r>
      <w:r>
        <w:rPr/>
        <w:t>车辆 检查系统、集装货物</w:t>
      </w:r>
      <w:r>
        <w:rPr>
          <w:rFonts w:ascii="宋体" w:hAnsi="宋体" w:cs="宋体" w:eastAsia="宋体" w:hint="default"/>
        </w:rPr>
        <w:t>/</w:t>
      </w:r>
      <w:r>
        <w:rPr/>
        <w:t>车辆检查系统、放射性物质监测系统、</w:t>
      </w:r>
      <w:r>
        <w:rPr>
          <w:rFonts w:ascii="宋体" w:hAnsi="宋体" w:cs="宋体" w:eastAsia="宋体" w:hint="default"/>
        </w:rPr>
        <w:t>X</w:t>
      </w:r>
      <w:r>
        <w:rPr>
          <w:rFonts w:ascii="宋体" w:hAnsi="宋体" w:cs="宋体" w:eastAsia="宋体" w:hint="default"/>
          <w:spacing w:val="-39"/>
        </w:rPr>
        <w:t> </w:t>
      </w:r>
      <w:r>
        <w:rPr/>
        <w:t>射线检查系统、邮件电子 </w:t>
      </w:r>
      <w:r>
        <w:rPr>
          <w:spacing w:val="-5"/>
        </w:rPr>
        <w:t>束灭菌安全系统、铁路车辆检查系统、工业无损检测系统、小型物品检查机等系列产品。</w:t>
      </w:r>
    </w:p>
    <w:p>
      <w:pPr>
        <w:spacing w:line="240" w:lineRule="auto" w:before="10"/>
        <w:rPr>
          <w:rFonts w:ascii="宋体" w:hAnsi="宋体" w:cs="宋体" w:eastAsia="宋体" w:hint="default"/>
          <w:sz w:val="23"/>
          <w:szCs w:val="23"/>
        </w:rPr>
      </w:pPr>
    </w:p>
    <w:p>
      <w:pPr>
        <w:pStyle w:val="BodyText"/>
        <w:spacing w:line="237" w:lineRule="auto"/>
        <w:ind w:left="238" w:right="380"/>
        <w:jc w:val="both"/>
      </w:pPr>
      <w:r>
        <w:rPr>
          <w:rFonts w:ascii="宋体" w:hAnsi="宋体" w:cs="宋体" w:eastAsia="宋体" w:hint="default"/>
        </w:rPr>
        <w:t>2015</w:t>
      </w:r>
      <w:r>
        <w:rPr>
          <w:rFonts w:ascii="宋体" w:hAnsi="宋体" w:cs="宋体" w:eastAsia="宋体" w:hint="default"/>
          <w:spacing w:val="-39"/>
        </w:rPr>
        <w:t> </w:t>
      </w:r>
      <w:r>
        <w:rPr/>
        <w:t>年，同方威视充分把握行业发展机遇，不断完善产业布局，形成了产品线的广泛覆 盖。截止报告期末，同方威视已拥有包括大型产品、安检</w:t>
      </w:r>
      <w:r>
        <w:rPr>
          <w:spacing w:val="-79"/>
        </w:rPr>
        <w:t> </w:t>
      </w:r>
      <w:r>
        <w:rPr>
          <w:rFonts w:ascii="宋体" w:hAnsi="宋体" w:cs="宋体" w:eastAsia="宋体" w:hint="default"/>
        </w:rPr>
        <w:t>CT</w:t>
      </w:r>
      <w:r>
        <w:rPr>
          <w:rFonts w:ascii="宋体" w:hAnsi="宋体" w:cs="宋体" w:eastAsia="宋体" w:hint="default"/>
          <w:spacing w:val="-79"/>
        </w:rPr>
        <w:t> </w:t>
      </w:r>
      <w:r>
        <w:rPr/>
        <w:t>产品、智能产品以及人体安 检产品在内的</w:t>
      </w:r>
      <w:r>
        <w:rPr>
          <w:spacing w:val="-79"/>
        </w:rPr>
        <w:t> </w:t>
      </w:r>
      <w:r>
        <w:rPr>
          <w:rFonts w:ascii="宋体" w:hAnsi="宋体" w:cs="宋体" w:eastAsia="宋体" w:hint="default"/>
        </w:rPr>
        <w:t>18</w:t>
      </w:r>
      <w:r>
        <w:rPr>
          <w:rFonts w:ascii="宋体" w:hAnsi="宋体" w:cs="宋体" w:eastAsia="宋体" w:hint="default"/>
          <w:spacing w:val="-79"/>
        </w:rPr>
        <w:t> </w:t>
      </w:r>
      <w:r>
        <w:rPr/>
        <w:t>条产品线。随着各个新兴战略板块动能的逐步释放，同方威视对传统大 型业务的依赖程度逐步减小，收入结构得到进一步优化。报告期内，同方威视安检</w:t>
      </w:r>
      <w:r>
        <w:rPr>
          <w:spacing w:val="-78"/>
        </w:rPr>
        <w:t> </w:t>
      </w:r>
      <w:r>
        <w:rPr>
          <w:rFonts w:ascii="宋体" w:hAnsi="宋体" w:cs="宋体" w:eastAsia="宋体" w:hint="default"/>
        </w:rPr>
        <w:t>CT</w:t>
      </w:r>
      <w:r>
        <w:rPr>
          <w:rFonts w:ascii="宋体" w:hAnsi="宋体" w:cs="宋体" w:eastAsia="宋体" w:hint="default"/>
          <w:spacing w:val="-78"/>
        </w:rPr>
        <w:t> </w:t>
      </w:r>
      <w:r>
        <w:rPr/>
        <w:t>产 品实现重大突破，除进入中国海关“非侵入式安检设备的装备现代化项目”获得大量采</w:t>
      </w:r>
      <w:r>
        <w:rPr>
          <w:spacing w:val="-51"/>
        </w:rPr>
        <w:t> </w:t>
      </w:r>
      <w:r>
        <w:rPr>
          <w:spacing w:val="-51"/>
        </w:rPr>
      </w:r>
      <w:r>
        <w:rPr>
          <w:spacing w:val="-1"/>
        </w:rPr>
        <w:t>购外，还分别与荷兰海关签订“4+2”框架协议，并中标捷克机场，成功进入欧洲民航领</w:t>
      </w:r>
      <w:r>
        <w:rPr/>
        <w:t> 域。在实现快速发展的同时，同方威视不断进行新技术、新产品的创新研发，保持核心</w:t>
      </w:r>
      <w:r>
        <w:rPr>
          <w:spacing w:val="-50"/>
        </w:rPr>
        <w:t> </w:t>
      </w:r>
      <w:r>
        <w:rPr>
          <w:spacing w:val="-50"/>
        </w:rPr>
      </w:r>
      <w:r>
        <w:rPr>
          <w:spacing w:val="-6"/>
        </w:rPr>
        <w:t>技术的领先优势，为持续发展注入新的驱动力。报告期内，同方威视完成</w:t>
      </w:r>
      <w:r>
        <w:rPr>
          <w:spacing w:val="-34"/>
        </w:rPr>
        <w:t> </w:t>
      </w:r>
      <w:r>
        <w:rPr>
          <w:rFonts w:ascii="宋体" w:hAnsi="宋体" w:cs="宋体" w:eastAsia="宋体" w:hint="default"/>
          <w:spacing w:val="-5"/>
        </w:rPr>
        <w:t>XT2100</w:t>
      </w:r>
      <w:r>
        <w:rPr>
          <w:spacing w:val="-5"/>
        </w:rPr>
        <w:t>、</w:t>
      </w:r>
      <w:r>
        <w:rPr>
          <w:rFonts w:ascii="宋体" w:hAnsi="宋体" w:cs="宋体" w:eastAsia="宋体" w:hint="default"/>
          <w:spacing w:val="-5"/>
        </w:rPr>
        <w:t>2100HS</w:t>
      </w:r>
      <w:r>
        <w:rPr>
          <w:rFonts w:ascii="宋体" w:hAnsi="宋体" w:cs="宋体" w:eastAsia="宋体" w:hint="default"/>
          <w:spacing w:val="-114"/>
        </w:rPr>
        <w:t> </w:t>
      </w:r>
      <w:r>
        <w:rPr>
          <w:rFonts w:ascii="宋体" w:hAnsi="宋体" w:cs="宋体" w:eastAsia="宋体" w:hint="default"/>
        </w:rPr>
        <w:t>CT</w:t>
      </w:r>
      <w:r>
        <w:rPr>
          <w:rFonts w:ascii="宋体" w:hAnsi="宋体" w:cs="宋体" w:eastAsia="宋体" w:hint="default"/>
          <w:spacing w:val="-38"/>
        </w:rPr>
        <w:t> </w:t>
      </w:r>
      <w:r>
        <w:rPr/>
        <w:t>型行李安全检查系统产品样机等新产品的研制，并获得欧盟民航认证。公司的技术创</w:t>
      </w:r>
    </w:p>
    <w:p>
      <w:pPr>
        <w:spacing w:after="0" w:line="237" w:lineRule="auto"/>
        <w:jc w:val="both"/>
        <w:sectPr>
          <w:pgSz w:w="11910" w:h="16840"/>
          <w:pgMar w:header="628" w:footer="760" w:top="1080" w:bottom="960" w:left="1180" w:right="90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312" w:lineRule="exact" w:before="26"/>
        <w:ind w:right="187"/>
        <w:jc w:val="left"/>
        <w:rPr>
          <w:rFonts w:ascii="宋体" w:hAnsi="宋体" w:cs="宋体" w:eastAsia="宋体" w:hint="default"/>
        </w:rPr>
      </w:pPr>
      <w:r>
        <w:rPr/>
        <w:t>新和知识产权保护工作取得长足进展，截至 </w:t>
      </w:r>
      <w:r>
        <w:rPr>
          <w:rFonts w:ascii="宋体" w:hAnsi="宋体" w:cs="宋体" w:eastAsia="宋体" w:hint="default"/>
        </w:rPr>
        <w:t>2015 </w:t>
      </w:r>
      <w:r>
        <w:rPr/>
        <w:t>年底，同方威视共申请国内专利</w:t>
      </w:r>
      <w:r>
        <w:rPr>
          <w:spacing w:val="-36"/>
        </w:rPr>
        <w:t> </w:t>
      </w:r>
      <w:r>
        <w:rPr>
          <w:rFonts w:ascii="宋体" w:hAnsi="宋体" w:cs="宋体" w:eastAsia="宋体" w:hint="default"/>
        </w:rPr>
        <w:t>1523</w:t>
      </w:r>
    </w:p>
    <w:p>
      <w:pPr>
        <w:pStyle w:val="BodyText"/>
        <w:spacing w:line="477" w:lineRule="auto"/>
        <w:ind w:right="2549"/>
        <w:jc w:val="left"/>
      </w:pPr>
      <w:r>
        <w:rPr/>
        <w:t>件，获授权</w:t>
      </w:r>
      <w:r>
        <w:rPr>
          <w:spacing w:val="-61"/>
        </w:rPr>
        <w:t> </w:t>
      </w:r>
      <w:r>
        <w:rPr>
          <w:rFonts w:ascii="宋体" w:hAnsi="宋体" w:cs="宋体" w:eastAsia="宋体" w:hint="default"/>
        </w:rPr>
        <w:t>940</w:t>
      </w:r>
      <w:r>
        <w:rPr>
          <w:rFonts w:ascii="宋体" w:hAnsi="宋体" w:cs="宋体" w:eastAsia="宋体" w:hint="default"/>
          <w:spacing w:val="-60"/>
        </w:rPr>
        <w:t> </w:t>
      </w:r>
      <w:r>
        <w:rPr/>
        <w:t>件。共申请国外专利</w:t>
      </w:r>
      <w:r>
        <w:rPr>
          <w:spacing w:val="-60"/>
        </w:rPr>
        <w:t> </w:t>
      </w:r>
      <w:r>
        <w:rPr>
          <w:rFonts w:ascii="宋体" w:hAnsi="宋体" w:cs="宋体" w:eastAsia="宋体" w:hint="default"/>
        </w:rPr>
        <w:t>1212</w:t>
      </w:r>
      <w:r>
        <w:rPr>
          <w:rFonts w:ascii="宋体" w:hAnsi="宋体" w:cs="宋体" w:eastAsia="宋体" w:hint="default"/>
          <w:spacing w:val="-60"/>
        </w:rPr>
        <w:t> </w:t>
      </w:r>
      <w:r>
        <w:rPr/>
        <w:t>件，其中</w:t>
      </w:r>
      <w:r>
        <w:rPr>
          <w:spacing w:val="-60"/>
        </w:rPr>
        <w:t> </w:t>
      </w:r>
      <w:r>
        <w:rPr>
          <w:rFonts w:ascii="宋体" w:hAnsi="宋体" w:cs="宋体" w:eastAsia="宋体" w:hint="default"/>
        </w:rPr>
        <w:t>550</w:t>
      </w:r>
      <w:r>
        <w:rPr>
          <w:rFonts w:ascii="宋体" w:hAnsi="宋体" w:cs="宋体" w:eastAsia="宋体" w:hint="default"/>
          <w:spacing w:val="-60"/>
        </w:rPr>
        <w:t> </w:t>
      </w:r>
      <w:r>
        <w:rPr/>
        <w:t>件获授权。 同方威视近三年主要财务数据：</w:t>
      </w:r>
    </w:p>
    <w:p>
      <w:pPr>
        <w:spacing w:line="240" w:lineRule="auto" w:before="6"/>
        <w:rPr>
          <w:rFonts w:ascii="宋体" w:hAnsi="宋体" w:cs="宋体" w:eastAsia="宋体" w:hint="default"/>
          <w:sz w:val="8"/>
          <w:szCs w:val="8"/>
        </w:rPr>
      </w:pPr>
    </w:p>
    <w:tbl>
      <w:tblPr>
        <w:tblW w:w="0" w:type="auto"/>
        <w:jc w:val="left"/>
        <w:tblInd w:w="130" w:type="dxa"/>
        <w:tblLayout w:type="fixed"/>
        <w:tblCellMar>
          <w:top w:w="0" w:type="dxa"/>
          <w:left w:w="0" w:type="dxa"/>
          <w:bottom w:w="0" w:type="dxa"/>
          <w:right w:w="0" w:type="dxa"/>
        </w:tblCellMar>
        <w:tblLook w:val="01E0"/>
      </w:tblPr>
      <w:tblGrid>
        <w:gridCol w:w="2086"/>
        <w:gridCol w:w="1733"/>
        <w:gridCol w:w="859"/>
        <w:gridCol w:w="3383"/>
        <w:gridCol w:w="1454"/>
      </w:tblGrid>
      <w:tr>
        <w:trPr>
          <w:trHeight w:val="338" w:hRule="exact"/>
        </w:trPr>
        <w:tc>
          <w:tcPr>
            <w:tcW w:w="2086" w:type="dxa"/>
            <w:tcBorders>
              <w:top w:val="single" w:sz="12" w:space="0" w:color="000000"/>
              <w:left w:val="single" w:sz="12" w:space="0" w:color="000000"/>
              <w:bottom w:val="single" w:sz="6" w:space="0" w:color="000000"/>
              <w:right w:val="single" w:sz="6" w:space="0" w:color="000000"/>
            </w:tcBorders>
          </w:tcPr>
          <w:p>
            <w:pPr>
              <w:pStyle w:val="TableParagraph"/>
              <w:spacing w:line="265" w:lineRule="exact"/>
              <w:ind w:right="2"/>
              <w:jc w:val="center"/>
              <w:rPr>
                <w:rFonts w:ascii="宋体" w:hAnsi="宋体" w:cs="宋体" w:eastAsia="宋体" w:hint="default"/>
                <w:sz w:val="21"/>
                <w:szCs w:val="21"/>
              </w:rPr>
            </w:pPr>
            <w:r>
              <w:rPr>
                <w:rFonts w:ascii="宋体" w:hAnsi="宋体" w:cs="宋体" w:eastAsia="宋体" w:hint="default"/>
                <w:b/>
                <w:bCs/>
                <w:sz w:val="21"/>
                <w:szCs w:val="21"/>
              </w:rPr>
              <w:t>年度</w:t>
            </w:r>
            <w:r>
              <w:rPr>
                <w:rFonts w:ascii="宋体" w:hAnsi="宋体" w:cs="宋体" w:eastAsia="宋体" w:hint="default"/>
                <w:b/>
                <w:bCs/>
                <w:sz w:val="21"/>
                <w:szCs w:val="21"/>
              </w:rPr>
              <w:t>(</w:t>
            </w:r>
            <w:r>
              <w:rPr>
                <w:rFonts w:ascii="宋体" w:hAnsi="宋体" w:cs="宋体" w:eastAsia="宋体" w:hint="default"/>
                <w:b/>
                <w:bCs/>
                <w:sz w:val="21"/>
                <w:szCs w:val="21"/>
              </w:rPr>
              <w:t>单位：万元</w:t>
            </w:r>
            <w:r>
              <w:rPr>
                <w:rFonts w:ascii="宋体" w:hAnsi="宋体" w:cs="宋体" w:eastAsia="宋体" w:hint="default"/>
                <w:b/>
                <w:bCs/>
                <w:sz w:val="21"/>
                <w:szCs w:val="21"/>
              </w:rPr>
              <w:t>)</w:t>
            </w:r>
            <w:r>
              <w:rPr>
                <w:rFonts w:ascii="宋体" w:hAnsi="宋体" w:cs="宋体" w:eastAsia="宋体" w:hint="default"/>
                <w:sz w:val="21"/>
                <w:szCs w:val="21"/>
              </w:rPr>
            </w:r>
          </w:p>
        </w:tc>
        <w:tc>
          <w:tcPr>
            <w:tcW w:w="1733" w:type="dxa"/>
            <w:tcBorders>
              <w:top w:val="single" w:sz="12" w:space="0" w:color="000000"/>
              <w:left w:val="single" w:sz="6" w:space="0" w:color="000000"/>
              <w:bottom w:val="single" w:sz="6" w:space="0" w:color="000000"/>
              <w:right w:val="single" w:sz="6" w:space="0" w:color="000000"/>
            </w:tcBorders>
          </w:tcPr>
          <w:p>
            <w:pPr>
              <w:pStyle w:val="TableParagraph"/>
              <w:spacing w:line="265" w:lineRule="exact"/>
              <w:ind w:left="225" w:right="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c>
        <w:tc>
          <w:tcPr>
            <w:tcW w:w="859" w:type="dxa"/>
            <w:tcBorders>
              <w:top w:val="single" w:sz="12" w:space="0" w:color="000000"/>
              <w:left w:val="single" w:sz="6" w:space="0" w:color="000000"/>
              <w:bottom w:val="single" w:sz="6" w:space="0" w:color="000000"/>
              <w:right w:val="single" w:sz="6" w:space="0" w:color="000000"/>
            </w:tcBorders>
          </w:tcPr>
          <w:p>
            <w:pPr>
              <w:pStyle w:val="TableParagraph"/>
              <w:spacing w:line="265" w:lineRule="exact"/>
              <w:ind w:right="103"/>
              <w:jc w:val="right"/>
              <w:rPr>
                <w:rFonts w:ascii="宋体" w:hAnsi="宋体" w:cs="宋体" w:eastAsia="宋体" w:hint="default"/>
                <w:sz w:val="21"/>
                <w:szCs w:val="21"/>
              </w:rPr>
            </w:pPr>
            <w:r>
              <w:rPr>
                <w:rFonts w:ascii="宋体" w:hAnsi="宋体" w:cs="宋体" w:eastAsia="宋体" w:hint="default"/>
                <w:b/>
                <w:bCs/>
                <w:sz w:val="21"/>
                <w:szCs w:val="21"/>
              </w:rPr>
              <w:t>毛利率</w:t>
            </w:r>
            <w:r>
              <w:rPr>
                <w:rFonts w:ascii="宋体" w:hAnsi="宋体" w:cs="宋体" w:eastAsia="宋体" w:hint="default"/>
                <w:sz w:val="21"/>
                <w:szCs w:val="21"/>
              </w:rPr>
            </w:r>
          </w:p>
        </w:tc>
        <w:tc>
          <w:tcPr>
            <w:tcW w:w="3383" w:type="dxa"/>
            <w:tcBorders>
              <w:top w:val="single" w:sz="12" w:space="0" w:color="000000"/>
              <w:left w:val="single" w:sz="6" w:space="0" w:color="000000"/>
              <w:bottom w:val="single" w:sz="6" w:space="0" w:color="000000"/>
              <w:right w:val="single" w:sz="6" w:space="0" w:color="000000"/>
            </w:tcBorders>
          </w:tcPr>
          <w:p>
            <w:pPr>
              <w:pStyle w:val="TableParagraph"/>
              <w:spacing w:line="265" w:lineRule="exact"/>
              <w:ind w:left="206" w:right="0"/>
              <w:jc w:val="left"/>
              <w:rPr>
                <w:rFonts w:ascii="宋体" w:hAnsi="宋体" w:cs="宋体" w:eastAsia="宋体" w:hint="default"/>
                <w:sz w:val="21"/>
                <w:szCs w:val="21"/>
              </w:rPr>
            </w:pPr>
            <w:r>
              <w:rPr>
                <w:rFonts w:ascii="宋体" w:hAnsi="宋体" w:cs="宋体" w:eastAsia="宋体" w:hint="default"/>
                <w:b/>
                <w:bCs/>
                <w:sz w:val="21"/>
                <w:szCs w:val="21"/>
              </w:rPr>
              <w:t>归属于母公司股东的期末净资产</w:t>
            </w:r>
            <w:r>
              <w:rPr>
                <w:rFonts w:ascii="宋体" w:hAnsi="宋体" w:cs="宋体" w:eastAsia="宋体" w:hint="default"/>
                <w:sz w:val="21"/>
                <w:szCs w:val="21"/>
              </w:rPr>
            </w:r>
          </w:p>
        </w:tc>
        <w:tc>
          <w:tcPr>
            <w:tcW w:w="1454" w:type="dxa"/>
            <w:tcBorders>
              <w:top w:val="single" w:sz="12" w:space="0" w:color="000000"/>
              <w:left w:val="single" w:sz="6" w:space="0" w:color="000000"/>
              <w:bottom w:val="single" w:sz="6" w:space="0" w:color="000000"/>
              <w:right w:val="single" w:sz="12" w:space="0" w:color="000000"/>
            </w:tcBorders>
          </w:tcPr>
          <w:p>
            <w:pPr>
              <w:pStyle w:val="TableParagraph"/>
              <w:spacing w:line="265" w:lineRule="exact"/>
              <w:ind w:left="403" w:right="0"/>
              <w:jc w:val="left"/>
              <w:rPr>
                <w:rFonts w:ascii="宋体" w:hAnsi="宋体" w:cs="宋体" w:eastAsia="宋体" w:hint="default"/>
                <w:sz w:val="21"/>
                <w:szCs w:val="21"/>
              </w:rPr>
            </w:pPr>
            <w:r>
              <w:rPr>
                <w:rFonts w:ascii="宋体" w:hAnsi="宋体" w:cs="宋体" w:eastAsia="宋体" w:hint="default"/>
                <w:b/>
                <w:bCs/>
                <w:sz w:val="21"/>
                <w:szCs w:val="21"/>
              </w:rPr>
              <w:t>总资产</w:t>
            </w:r>
            <w:r>
              <w:rPr>
                <w:rFonts w:ascii="宋体" w:hAnsi="宋体" w:cs="宋体" w:eastAsia="宋体" w:hint="default"/>
                <w:sz w:val="21"/>
                <w:szCs w:val="21"/>
              </w:rPr>
            </w:r>
          </w:p>
        </w:tc>
      </w:tr>
      <w:tr>
        <w:trPr>
          <w:trHeight w:val="329" w:hRule="exact"/>
        </w:trPr>
        <w:tc>
          <w:tcPr>
            <w:tcW w:w="2086" w:type="dxa"/>
            <w:tcBorders>
              <w:top w:val="single" w:sz="6" w:space="0" w:color="000000"/>
              <w:left w:val="single" w:sz="12" w:space="0" w:color="000000"/>
              <w:bottom w:val="single" w:sz="6" w:space="0" w:color="000000"/>
              <w:right w:val="single" w:sz="6" w:space="0" w:color="000000"/>
            </w:tcBorders>
          </w:tcPr>
          <w:p>
            <w:pPr>
              <w:pStyle w:val="TableParagraph"/>
              <w:spacing w:line="262" w:lineRule="exact"/>
              <w:ind w:right="7"/>
              <w:jc w:val="center"/>
              <w:rPr>
                <w:rFonts w:ascii="宋体" w:hAnsi="宋体" w:cs="宋体" w:eastAsia="宋体" w:hint="default"/>
                <w:sz w:val="21"/>
                <w:szCs w:val="21"/>
              </w:rPr>
            </w:pPr>
            <w:r>
              <w:rPr>
                <w:rFonts w:ascii="宋体"/>
                <w:b/>
                <w:sz w:val="21"/>
              </w:rPr>
              <w:t>2015</w:t>
            </w:r>
            <w:r>
              <w:rPr>
                <w:rFonts w:ascii="宋体"/>
                <w:sz w:val="21"/>
              </w:rPr>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349,199.07</w:t>
            </w:r>
          </w:p>
        </w:tc>
        <w:tc>
          <w:tcPr>
            <w:tcW w:w="859"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37.22%</w:t>
            </w:r>
          </w:p>
        </w:tc>
        <w:tc>
          <w:tcPr>
            <w:tcW w:w="3383"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150,917.47</w:t>
            </w:r>
          </w:p>
        </w:tc>
        <w:tc>
          <w:tcPr>
            <w:tcW w:w="1454" w:type="dxa"/>
            <w:tcBorders>
              <w:top w:val="single" w:sz="6" w:space="0" w:color="000000"/>
              <w:left w:val="single" w:sz="6" w:space="0" w:color="000000"/>
              <w:bottom w:val="single" w:sz="6" w:space="0" w:color="000000"/>
              <w:right w:val="single" w:sz="12" w:space="0" w:color="000000"/>
            </w:tcBorders>
          </w:tcPr>
          <w:p>
            <w:pPr>
              <w:pStyle w:val="TableParagraph"/>
              <w:spacing w:line="262" w:lineRule="exact"/>
              <w:ind w:right="89"/>
              <w:jc w:val="right"/>
              <w:rPr>
                <w:rFonts w:ascii="宋体" w:hAnsi="宋体" w:cs="宋体" w:eastAsia="宋体" w:hint="default"/>
                <w:sz w:val="21"/>
                <w:szCs w:val="21"/>
              </w:rPr>
            </w:pPr>
            <w:r>
              <w:rPr>
                <w:rFonts w:ascii="宋体"/>
                <w:spacing w:val="-1"/>
                <w:sz w:val="21"/>
              </w:rPr>
              <w:t>763,892.28</w:t>
            </w:r>
          </w:p>
        </w:tc>
      </w:tr>
      <w:tr>
        <w:trPr>
          <w:trHeight w:val="331" w:hRule="exact"/>
        </w:trPr>
        <w:tc>
          <w:tcPr>
            <w:tcW w:w="2086" w:type="dxa"/>
            <w:tcBorders>
              <w:top w:val="single" w:sz="6" w:space="0" w:color="000000"/>
              <w:left w:val="single" w:sz="12" w:space="0" w:color="000000"/>
              <w:bottom w:val="single" w:sz="6" w:space="0" w:color="000000"/>
              <w:right w:val="single" w:sz="6" w:space="0" w:color="000000"/>
            </w:tcBorders>
          </w:tcPr>
          <w:p>
            <w:pPr>
              <w:pStyle w:val="TableParagraph"/>
              <w:spacing w:line="265" w:lineRule="exact"/>
              <w:ind w:right="7"/>
              <w:jc w:val="center"/>
              <w:rPr>
                <w:rFonts w:ascii="宋体" w:hAnsi="宋体" w:cs="宋体" w:eastAsia="宋体" w:hint="default"/>
                <w:sz w:val="21"/>
                <w:szCs w:val="21"/>
              </w:rPr>
            </w:pPr>
            <w:r>
              <w:rPr>
                <w:rFonts w:ascii="宋体"/>
                <w:b/>
                <w:sz w:val="21"/>
              </w:rPr>
              <w:t>2014</w:t>
            </w:r>
            <w:r>
              <w:rPr>
                <w:rFonts w:ascii="宋体"/>
                <w:sz w:val="21"/>
              </w:rPr>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65" w:lineRule="exact"/>
              <w:ind w:right="96"/>
              <w:jc w:val="right"/>
              <w:rPr>
                <w:rFonts w:ascii="宋体" w:hAnsi="宋体" w:cs="宋体" w:eastAsia="宋体" w:hint="default"/>
                <w:sz w:val="21"/>
                <w:szCs w:val="21"/>
              </w:rPr>
            </w:pPr>
            <w:r>
              <w:rPr>
                <w:rFonts w:ascii="宋体"/>
                <w:spacing w:val="-1"/>
                <w:sz w:val="21"/>
              </w:rPr>
              <w:t>317,721.39</w:t>
            </w:r>
          </w:p>
        </w:tc>
        <w:tc>
          <w:tcPr>
            <w:tcW w:w="859" w:type="dxa"/>
            <w:tcBorders>
              <w:top w:val="single" w:sz="6" w:space="0" w:color="000000"/>
              <w:left w:val="single" w:sz="6" w:space="0" w:color="000000"/>
              <w:bottom w:val="single" w:sz="6" w:space="0" w:color="000000"/>
              <w:right w:val="single" w:sz="6" w:space="0" w:color="000000"/>
            </w:tcBorders>
          </w:tcPr>
          <w:p>
            <w:pPr>
              <w:pStyle w:val="TableParagraph"/>
              <w:spacing w:line="265" w:lineRule="exact"/>
              <w:ind w:right="96"/>
              <w:jc w:val="right"/>
              <w:rPr>
                <w:rFonts w:ascii="宋体" w:hAnsi="宋体" w:cs="宋体" w:eastAsia="宋体" w:hint="default"/>
                <w:sz w:val="21"/>
                <w:szCs w:val="21"/>
              </w:rPr>
            </w:pPr>
            <w:r>
              <w:rPr>
                <w:rFonts w:ascii="宋体"/>
                <w:sz w:val="21"/>
              </w:rPr>
              <w:t>33.28%</w:t>
            </w:r>
          </w:p>
        </w:tc>
        <w:tc>
          <w:tcPr>
            <w:tcW w:w="3383" w:type="dxa"/>
            <w:tcBorders>
              <w:top w:val="single" w:sz="6" w:space="0" w:color="000000"/>
              <w:left w:val="single" w:sz="6" w:space="0" w:color="000000"/>
              <w:bottom w:val="single" w:sz="6" w:space="0" w:color="000000"/>
              <w:right w:val="single" w:sz="6" w:space="0" w:color="000000"/>
            </w:tcBorders>
          </w:tcPr>
          <w:p>
            <w:pPr>
              <w:pStyle w:val="TableParagraph"/>
              <w:spacing w:line="265" w:lineRule="exact"/>
              <w:ind w:right="98"/>
              <w:jc w:val="right"/>
              <w:rPr>
                <w:rFonts w:ascii="宋体" w:hAnsi="宋体" w:cs="宋体" w:eastAsia="宋体" w:hint="default"/>
                <w:sz w:val="21"/>
                <w:szCs w:val="21"/>
              </w:rPr>
            </w:pPr>
            <w:r>
              <w:rPr>
                <w:rFonts w:ascii="宋体"/>
                <w:spacing w:val="-1"/>
                <w:sz w:val="21"/>
              </w:rPr>
              <w:t>119,269.67</w:t>
            </w:r>
          </w:p>
        </w:tc>
        <w:tc>
          <w:tcPr>
            <w:tcW w:w="1454" w:type="dxa"/>
            <w:tcBorders>
              <w:top w:val="single" w:sz="6" w:space="0" w:color="000000"/>
              <w:left w:val="single" w:sz="6" w:space="0" w:color="000000"/>
              <w:bottom w:val="single" w:sz="6" w:space="0" w:color="000000"/>
              <w:right w:val="single" w:sz="12" w:space="0" w:color="000000"/>
            </w:tcBorders>
          </w:tcPr>
          <w:p>
            <w:pPr>
              <w:pStyle w:val="TableParagraph"/>
              <w:spacing w:line="265" w:lineRule="exact"/>
              <w:ind w:right="89"/>
              <w:jc w:val="right"/>
              <w:rPr>
                <w:rFonts w:ascii="宋体" w:hAnsi="宋体" w:cs="宋体" w:eastAsia="宋体" w:hint="default"/>
                <w:sz w:val="21"/>
                <w:szCs w:val="21"/>
              </w:rPr>
            </w:pPr>
            <w:r>
              <w:rPr>
                <w:rFonts w:ascii="宋体"/>
                <w:spacing w:val="-1"/>
                <w:sz w:val="21"/>
              </w:rPr>
              <w:t>449,748.52</w:t>
            </w:r>
          </w:p>
        </w:tc>
      </w:tr>
      <w:tr>
        <w:trPr>
          <w:trHeight w:val="322" w:hRule="exact"/>
        </w:trPr>
        <w:tc>
          <w:tcPr>
            <w:tcW w:w="2086" w:type="dxa"/>
            <w:tcBorders>
              <w:top w:val="single" w:sz="6" w:space="0" w:color="000000"/>
              <w:left w:val="single" w:sz="12" w:space="0" w:color="000000"/>
              <w:bottom w:val="single" w:sz="12" w:space="0" w:color="000000"/>
              <w:right w:val="single" w:sz="6" w:space="0" w:color="000000"/>
            </w:tcBorders>
          </w:tcPr>
          <w:p>
            <w:pPr>
              <w:pStyle w:val="TableParagraph"/>
              <w:spacing w:line="255" w:lineRule="exact"/>
              <w:ind w:right="7"/>
              <w:jc w:val="center"/>
              <w:rPr>
                <w:rFonts w:ascii="宋体" w:hAnsi="宋体" w:cs="宋体" w:eastAsia="宋体" w:hint="default"/>
                <w:sz w:val="21"/>
                <w:szCs w:val="21"/>
              </w:rPr>
            </w:pPr>
            <w:r>
              <w:rPr>
                <w:rFonts w:ascii="宋体"/>
                <w:b/>
                <w:sz w:val="21"/>
              </w:rPr>
              <w:t>2013</w:t>
            </w:r>
            <w:r>
              <w:rPr>
                <w:rFonts w:ascii="宋体"/>
                <w:sz w:val="21"/>
              </w:rPr>
            </w:r>
          </w:p>
        </w:tc>
        <w:tc>
          <w:tcPr>
            <w:tcW w:w="1733" w:type="dxa"/>
            <w:tcBorders>
              <w:top w:val="single" w:sz="6" w:space="0" w:color="000000"/>
              <w:left w:val="single" w:sz="6" w:space="0" w:color="000000"/>
              <w:bottom w:val="single" w:sz="12" w:space="0" w:color="000000"/>
              <w:right w:val="single" w:sz="6" w:space="0" w:color="000000"/>
            </w:tcBorders>
          </w:tcPr>
          <w:p>
            <w:pPr>
              <w:pStyle w:val="TableParagraph"/>
              <w:spacing w:line="255" w:lineRule="exact"/>
              <w:ind w:right="96"/>
              <w:jc w:val="right"/>
              <w:rPr>
                <w:rFonts w:ascii="宋体" w:hAnsi="宋体" w:cs="宋体" w:eastAsia="宋体" w:hint="default"/>
                <w:sz w:val="21"/>
                <w:szCs w:val="21"/>
              </w:rPr>
            </w:pPr>
            <w:r>
              <w:rPr>
                <w:rFonts w:ascii="宋体"/>
                <w:spacing w:val="-1"/>
                <w:sz w:val="21"/>
              </w:rPr>
              <w:t>279,017.93</w:t>
            </w:r>
          </w:p>
        </w:tc>
        <w:tc>
          <w:tcPr>
            <w:tcW w:w="859" w:type="dxa"/>
            <w:tcBorders>
              <w:top w:val="single" w:sz="6" w:space="0" w:color="000000"/>
              <w:left w:val="single" w:sz="6" w:space="0" w:color="000000"/>
              <w:bottom w:val="single" w:sz="12" w:space="0" w:color="000000"/>
              <w:right w:val="single" w:sz="6" w:space="0" w:color="000000"/>
            </w:tcBorders>
          </w:tcPr>
          <w:p>
            <w:pPr>
              <w:pStyle w:val="TableParagraph"/>
              <w:spacing w:line="255" w:lineRule="exact"/>
              <w:ind w:right="96"/>
              <w:jc w:val="right"/>
              <w:rPr>
                <w:rFonts w:ascii="宋体" w:hAnsi="宋体" w:cs="宋体" w:eastAsia="宋体" w:hint="default"/>
                <w:sz w:val="21"/>
                <w:szCs w:val="21"/>
              </w:rPr>
            </w:pPr>
            <w:r>
              <w:rPr>
                <w:rFonts w:ascii="宋体"/>
                <w:sz w:val="21"/>
              </w:rPr>
              <w:t>35.48%</w:t>
            </w:r>
          </w:p>
        </w:tc>
        <w:tc>
          <w:tcPr>
            <w:tcW w:w="3383" w:type="dxa"/>
            <w:tcBorders>
              <w:top w:val="single" w:sz="6" w:space="0" w:color="000000"/>
              <w:left w:val="single" w:sz="6" w:space="0" w:color="000000"/>
              <w:bottom w:val="single" w:sz="12" w:space="0" w:color="000000"/>
              <w:right w:val="single" w:sz="6" w:space="0" w:color="000000"/>
            </w:tcBorders>
          </w:tcPr>
          <w:p>
            <w:pPr>
              <w:pStyle w:val="TableParagraph"/>
              <w:spacing w:line="255" w:lineRule="exact"/>
              <w:ind w:right="101"/>
              <w:jc w:val="right"/>
              <w:rPr>
                <w:rFonts w:ascii="宋体" w:hAnsi="宋体" w:cs="宋体" w:eastAsia="宋体" w:hint="default"/>
                <w:sz w:val="21"/>
                <w:szCs w:val="21"/>
              </w:rPr>
            </w:pPr>
            <w:r>
              <w:rPr>
                <w:rFonts w:ascii="宋体"/>
                <w:spacing w:val="-1"/>
                <w:sz w:val="21"/>
              </w:rPr>
              <w:t>96,697.47</w:t>
            </w:r>
          </w:p>
        </w:tc>
        <w:tc>
          <w:tcPr>
            <w:tcW w:w="1454" w:type="dxa"/>
            <w:tcBorders>
              <w:top w:val="single" w:sz="6" w:space="0" w:color="000000"/>
              <w:left w:val="single" w:sz="6" w:space="0" w:color="000000"/>
              <w:bottom w:val="single" w:sz="12" w:space="0" w:color="000000"/>
              <w:right w:val="single" w:sz="12" w:space="0" w:color="000000"/>
            </w:tcBorders>
          </w:tcPr>
          <w:p>
            <w:pPr>
              <w:pStyle w:val="TableParagraph"/>
              <w:spacing w:line="255" w:lineRule="exact"/>
              <w:ind w:right="89"/>
              <w:jc w:val="right"/>
              <w:rPr>
                <w:rFonts w:ascii="宋体" w:hAnsi="宋体" w:cs="宋体" w:eastAsia="宋体" w:hint="default"/>
                <w:sz w:val="21"/>
                <w:szCs w:val="21"/>
              </w:rPr>
            </w:pPr>
            <w:r>
              <w:rPr>
                <w:rFonts w:ascii="宋体"/>
                <w:spacing w:val="-1"/>
                <w:sz w:val="21"/>
              </w:rPr>
              <w:t>436,159.37</w:t>
            </w:r>
          </w:p>
        </w:tc>
      </w:tr>
    </w:tbl>
    <w:p>
      <w:pPr>
        <w:spacing w:line="240" w:lineRule="auto" w:before="5"/>
        <w:rPr>
          <w:rFonts w:ascii="宋体" w:hAnsi="宋体" w:cs="宋体" w:eastAsia="宋体" w:hint="default"/>
          <w:sz w:val="23"/>
          <w:szCs w:val="23"/>
        </w:rPr>
      </w:pPr>
    </w:p>
    <w:p>
      <w:pPr>
        <w:pStyle w:val="Heading3"/>
        <w:spacing w:line="240" w:lineRule="auto" w:before="26"/>
        <w:ind w:left="158" w:right="0"/>
        <w:jc w:val="both"/>
        <w:rPr>
          <w:rFonts w:ascii="Calibri" w:hAnsi="Calibri" w:cs="Calibri" w:eastAsia="Calibri" w:hint="default"/>
          <w:b w:val="0"/>
          <w:bCs w:val="0"/>
        </w:rPr>
      </w:pPr>
      <w:r>
        <w:rPr>
          <w:rFonts w:ascii="Calibri" w:hAnsi="Calibri" w:cs="Calibri" w:eastAsia="Calibri" w:hint="default"/>
        </w:rPr>
        <w:t>2</w:t>
      </w:r>
      <w:r>
        <w:rPr/>
        <w:t>、同方国芯电子股份有限公司</w:t>
      </w:r>
      <w:r>
        <w:rPr>
          <w:rFonts w:ascii="Calibri" w:hAnsi="Calibri" w:cs="Calibri" w:eastAsia="Calibri" w:hint="default"/>
        </w:rPr>
        <w:t>(</w:t>
      </w:r>
      <w:r>
        <w:rPr/>
        <w:t>股票简称：同方国芯，股票代码：</w:t>
      </w:r>
      <w:r>
        <w:rPr>
          <w:rFonts w:ascii="Calibri" w:hAnsi="Calibri" w:cs="Calibri" w:eastAsia="Calibri" w:hint="default"/>
        </w:rPr>
        <w:t>002049)</w:t>
      </w:r>
      <w:r>
        <w:rPr>
          <w:rFonts w:ascii="Calibri" w:hAnsi="Calibri" w:cs="Calibri" w:eastAsia="Calibri" w:hint="default"/>
          <w:b w:val="0"/>
          <w:bCs w:val="0"/>
        </w:rPr>
      </w:r>
    </w:p>
    <w:p>
      <w:pPr>
        <w:spacing w:line="240" w:lineRule="auto" w:before="0"/>
        <w:rPr>
          <w:rFonts w:ascii="Calibri" w:hAnsi="Calibri" w:cs="Calibri" w:eastAsia="Calibri" w:hint="default"/>
          <w:b/>
          <w:bCs/>
          <w:sz w:val="28"/>
          <w:szCs w:val="28"/>
        </w:rPr>
      </w:pPr>
    </w:p>
    <w:p>
      <w:pPr>
        <w:pStyle w:val="BodyText"/>
        <w:spacing w:line="237" w:lineRule="auto"/>
        <w:ind w:right="442"/>
        <w:jc w:val="both"/>
      </w:pPr>
      <w:r>
        <w:rPr>
          <w:spacing w:val="-1"/>
        </w:rPr>
        <w:t>同方国芯电子股份有限公司</w:t>
      </w:r>
      <w:r>
        <w:rPr>
          <w:rFonts w:ascii="宋体" w:hAnsi="宋体" w:cs="宋体" w:eastAsia="宋体" w:hint="default"/>
          <w:spacing w:val="-1"/>
        </w:rPr>
        <w:t>(</w:t>
      </w:r>
      <w:r>
        <w:rPr>
          <w:spacing w:val="-1"/>
        </w:rPr>
        <w:t>原名：唐山晶源裕丰电子股份有限公司，以下简称为“同方</w:t>
      </w:r>
      <w:r>
        <w:rPr>
          <w:spacing w:val="-117"/>
        </w:rPr>
        <w:t> </w:t>
      </w:r>
      <w:r>
        <w:rPr>
          <w:spacing w:val="-117"/>
        </w:rPr>
      </w:r>
      <w:r>
        <w:rPr>
          <w:spacing w:val="-4"/>
        </w:rPr>
        <w:t>国芯”</w:t>
      </w:r>
      <w:r>
        <w:rPr>
          <w:rFonts w:ascii="宋体" w:hAnsi="宋体" w:cs="宋体" w:eastAsia="宋体" w:hint="default"/>
          <w:spacing w:val="-4"/>
        </w:rPr>
        <w:t>)</w:t>
      </w:r>
      <w:r>
        <w:rPr>
          <w:spacing w:val="-4"/>
        </w:rPr>
        <w:t>是从事压电石英晶体元器件的开发、生产和销售；集成电路芯片设计与销售；</w:t>
      </w:r>
      <w:r>
        <w:rPr>
          <w:rFonts w:ascii="宋体" w:hAnsi="宋体" w:cs="宋体" w:eastAsia="宋体" w:hint="default"/>
          <w:spacing w:val="-4"/>
        </w:rPr>
        <w:t>LED</w:t>
      </w:r>
      <w:r>
        <w:rPr>
          <w:rFonts w:ascii="宋体" w:hAnsi="宋体" w:cs="宋体" w:eastAsia="宋体" w:hint="default"/>
          <w:spacing w:val="-115"/>
        </w:rPr>
        <w:t> </w:t>
      </w:r>
      <w:r>
        <w:rPr>
          <w:rFonts w:ascii="宋体" w:hAnsi="宋体" w:cs="宋体" w:eastAsia="宋体" w:hint="default"/>
          <w:spacing w:val="-115"/>
        </w:rPr>
      </w:r>
      <w:r>
        <w:rPr>
          <w:spacing w:val="-3"/>
        </w:rPr>
        <w:t>蓝宝石衬底材料生产和销售的高新技术企业。公司成立于</w:t>
      </w:r>
      <w:r>
        <w:rPr>
          <w:spacing w:val="-55"/>
        </w:rPr>
        <w:t> </w:t>
      </w:r>
      <w:r>
        <w:rPr>
          <w:rFonts w:ascii="宋体" w:hAnsi="宋体" w:cs="宋体" w:eastAsia="宋体" w:hint="default"/>
        </w:rPr>
        <w:t>1990</w:t>
      </w:r>
      <w:r>
        <w:rPr>
          <w:rFonts w:ascii="宋体" w:hAnsi="宋体" w:cs="宋体" w:eastAsia="宋体" w:hint="default"/>
          <w:spacing w:val="-55"/>
        </w:rPr>
        <w:t> </w:t>
      </w:r>
      <w:r>
        <w:rPr>
          <w:spacing w:val="-9"/>
        </w:rPr>
        <w:t>年，</w:t>
      </w:r>
      <w:r>
        <w:rPr>
          <w:rFonts w:ascii="宋体" w:hAnsi="宋体" w:cs="宋体" w:eastAsia="宋体" w:hint="default"/>
          <w:spacing w:val="-9"/>
        </w:rPr>
        <w:t>2005</w:t>
      </w:r>
      <w:r>
        <w:rPr>
          <w:rFonts w:ascii="宋体" w:hAnsi="宋体" w:cs="宋体" w:eastAsia="宋体" w:hint="default"/>
          <w:spacing w:val="-55"/>
        </w:rPr>
        <w:t> </w:t>
      </w:r>
      <w:r>
        <w:rPr/>
        <w:t>年</w:t>
      </w:r>
      <w:r>
        <w:rPr>
          <w:spacing w:val="-55"/>
        </w:rPr>
        <w:t> </w:t>
      </w:r>
      <w:r>
        <w:rPr>
          <w:rFonts w:ascii="宋体" w:hAnsi="宋体" w:cs="宋体" w:eastAsia="宋体" w:hint="default"/>
        </w:rPr>
        <w:t>6</w:t>
      </w:r>
      <w:r>
        <w:rPr>
          <w:rFonts w:ascii="宋体" w:hAnsi="宋体" w:cs="宋体" w:eastAsia="宋体" w:hint="default"/>
          <w:spacing w:val="-55"/>
        </w:rPr>
        <w:t> </w:t>
      </w:r>
      <w:r>
        <w:rPr/>
        <w:t>月在深圳证 券交易所上市</w:t>
      </w:r>
      <w:r>
        <w:rPr>
          <w:rFonts w:ascii="宋体" w:hAnsi="宋体" w:cs="宋体" w:eastAsia="宋体" w:hint="default"/>
        </w:rPr>
        <w:t>,</w:t>
      </w:r>
      <w:r>
        <w:rPr/>
        <w:t>注册资本</w:t>
      </w:r>
      <w:r>
        <w:rPr>
          <w:spacing w:val="-61"/>
        </w:rPr>
        <w:t> </w:t>
      </w:r>
      <w:r>
        <w:rPr>
          <w:rFonts w:ascii="宋体" w:hAnsi="宋体" w:cs="宋体" w:eastAsia="宋体" w:hint="default"/>
        </w:rPr>
        <w:t>60,681.80</w:t>
      </w:r>
      <w:r>
        <w:rPr>
          <w:rFonts w:ascii="宋体" w:hAnsi="宋体" w:cs="宋体" w:eastAsia="宋体" w:hint="default"/>
          <w:spacing w:val="-61"/>
        </w:rPr>
        <w:t> </w:t>
      </w:r>
      <w:r>
        <w:rPr/>
        <w:t>万元，截止本报告期末，公司持股</w:t>
      </w:r>
      <w:r>
        <w:rPr>
          <w:spacing w:val="-61"/>
        </w:rPr>
        <w:t> </w:t>
      </w:r>
      <w:r>
        <w:rPr>
          <w:rFonts w:ascii="宋体" w:hAnsi="宋体" w:cs="宋体" w:eastAsia="宋体" w:hint="default"/>
        </w:rPr>
        <w:t>41.38%</w:t>
      </w:r>
      <w:r>
        <w:rPr/>
        <w:t>。</w:t>
      </w:r>
    </w:p>
    <w:p>
      <w:pPr>
        <w:spacing w:line="240" w:lineRule="auto" w:before="10"/>
        <w:rPr>
          <w:rFonts w:ascii="宋体" w:hAnsi="宋体" w:cs="宋体" w:eastAsia="宋体" w:hint="default"/>
          <w:sz w:val="23"/>
          <w:szCs w:val="23"/>
        </w:rPr>
      </w:pPr>
    </w:p>
    <w:p>
      <w:pPr>
        <w:pStyle w:val="BodyText"/>
        <w:spacing w:line="237" w:lineRule="auto"/>
        <w:ind w:right="441"/>
        <w:jc w:val="both"/>
      </w:pPr>
      <w:r>
        <w:rPr>
          <w:rFonts w:ascii="宋体" w:hAnsi="宋体" w:cs="宋体" w:eastAsia="宋体" w:hint="default"/>
        </w:rPr>
        <w:t>2015</w:t>
      </w:r>
      <w:r>
        <w:rPr>
          <w:rFonts w:ascii="宋体" w:hAnsi="宋体" w:cs="宋体" w:eastAsia="宋体" w:hint="default"/>
          <w:spacing w:val="-47"/>
        </w:rPr>
        <w:t> </w:t>
      </w:r>
      <w:r>
        <w:rPr/>
        <w:t>年</w:t>
      </w:r>
      <w:r>
        <w:rPr>
          <w:spacing w:val="-47"/>
        </w:rPr>
        <w:t> </w:t>
      </w:r>
      <w:r>
        <w:rPr>
          <w:rFonts w:ascii="宋体" w:hAnsi="宋体" w:cs="宋体" w:eastAsia="宋体" w:hint="default"/>
        </w:rPr>
        <w:t>11</w:t>
      </w:r>
      <w:r>
        <w:rPr>
          <w:rFonts w:ascii="宋体" w:hAnsi="宋体" w:cs="宋体" w:eastAsia="宋体" w:hint="default"/>
          <w:spacing w:val="-47"/>
        </w:rPr>
        <w:t> </w:t>
      </w:r>
      <w:r>
        <w:rPr/>
        <w:t>月</w:t>
      </w:r>
      <w:r>
        <w:rPr>
          <w:spacing w:val="-49"/>
        </w:rPr>
        <w:t> </w:t>
      </w:r>
      <w:r>
        <w:rPr>
          <w:rFonts w:ascii="宋体" w:hAnsi="宋体" w:cs="宋体" w:eastAsia="宋体" w:hint="default"/>
        </w:rPr>
        <w:t>2</w:t>
      </w:r>
      <w:r>
        <w:rPr>
          <w:rFonts w:ascii="宋体" w:hAnsi="宋体" w:cs="宋体" w:eastAsia="宋体" w:hint="default"/>
          <w:spacing w:val="-47"/>
        </w:rPr>
        <w:t> </w:t>
      </w:r>
      <w:r>
        <w:rPr/>
        <w:t>日，公司签署协议，将持有的同方国芯</w:t>
      </w:r>
      <w:r>
        <w:rPr>
          <w:spacing w:val="-46"/>
        </w:rPr>
        <w:t> </w:t>
      </w:r>
      <w:r>
        <w:rPr>
          <w:rFonts w:ascii="宋体" w:hAnsi="宋体" w:cs="宋体" w:eastAsia="宋体" w:hint="default"/>
        </w:rPr>
        <w:t>36.39%</w:t>
      </w:r>
      <w:r>
        <w:rPr/>
        <w:t>的股权转让给西藏紫光春 华投资有限公司，本次转让完成后，公司对同方国芯的持股比例由 </w:t>
      </w:r>
      <w:r>
        <w:rPr>
          <w:rFonts w:ascii="宋体" w:hAnsi="宋体" w:cs="宋体" w:eastAsia="宋体" w:hint="default"/>
        </w:rPr>
        <w:t>41.38%</w:t>
      </w:r>
      <w:r>
        <w:rPr/>
        <w:t>降至</w:t>
      </w:r>
      <w:r>
        <w:rPr>
          <w:spacing w:val="-39"/>
        </w:rPr>
        <w:t> </w:t>
      </w:r>
      <w:r>
        <w:rPr>
          <w:rFonts w:ascii="宋体" w:hAnsi="宋体" w:cs="宋体" w:eastAsia="宋体" w:hint="default"/>
        </w:rPr>
        <w:t>4.99%</w:t>
      </w:r>
      <w:r>
        <w:rPr/>
        <w:t>， 公司不再将其纳入合并范围。截至本报告披露日，上述股份转让事宜已经获得财政部审</w:t>
      </w:r>
      <w:r>
        <w:rPr>
          <w:spacing w:val="-51"/>
        </w:rPr>
        <w:t> </w:t>
      </w:r>
      <w:r>
        <w:rPr>
          <w:spacing w:val="-51"/>
        </w:rPr>
      </w:r>
      <w:r>
        <w:rPr/>
        <w:t>核批准、商务部反垄断审查和证监会要约收购豁免核准。公司与紫光春华已于</w:t>
      </w:r>
      <w:r>
        <w:rPr>
          <w:spacing w:val="-52"/>
        </w:rPr>
        <w:t> </w:t>
      </w:r>
      <w:r>
        <w:rPr>
          <w:rFonts w:ascii="宋体" w:hAnsi="宋体" w:cs="宋体" w:eastAsia="宋体" w:hint="default"/>
        </w:rPr>
        <w:t>2016</w:t>
      </w:r>
      <w:r>
        <w:rPr>
          <w:rFonts w:ascii="宋体" w:hAnsi="宋体" w:cs="宋体" w:eastAsia="宋体" w:hint="default"/>
          <w:spacing w:val="-53"/>
        </w:rPr>
        <w:t> </w:t>
      </w:r>
      <w:r>
        <w:rPr/>
        <w:t>年</w:t>
      </w:r>
      <w:r>
        <w:rPr>
          <w:spacing w:val="-53"/>
        </w:rPr>
        <w:t> </w:t>
      </w:r>
      <w:r>
        <w:rPr>
          <w:rFonts w:ascii="宋体" w:hAnsi="宋体" w:cs="宋体" w:eastAsia="宋体" w:hint="default"/>
        </w:rPr>
        <w:t>4 </w:t>
      </w:r>
      <w:r>
        <w:rPr/>
        <w:t>月</w:t>
      </w:r>
      <w:r>
        <w:rPr>
          <w:spacing w:val="-60"/>
        </w:rPr>
        <w:t> </w:t>
      </w:r>
      <w:r>
        <w:rPr>
          <w:rFonts w:ascii="宋体" w:hAnsi="宋体" w:cs="宋体" w:eastAsia="宋体" w:hint="default"/>
        </w:rPr>
        <w:t>7</w:t>
      </w:r>
      <w:r>
        <w:rPr>
          <w:rFonts w:ascii="宋体" w:hAnsi="宋体" w:cs="宋体" w:eastAsia="宋体" w:hint="default"/>
          <w:spacing w:val="-60"/>
        </w:rPr>
        <w:t> </w:t>
      </w:r>
      <w:r>
        <w:rPr/>
        <w:t>日办理完成同方国芯</w:t>
      </w:r>
      <w:r>
        <w:rPr>
          <w:spacing w:val="-60"/>
        </w:rPr>
        <w:t> </w:t>
      </w:r>
      <w:r>
        <w:rPr>
          <w:rFonts w:ascii="宋体" w:hAnsi="宋体" w:cs="宋体" w:eastAsia="宋体" w:hint="default"/>
        </w:rPr>
        <w:t>36.39%</w:t>
      </w:r>
      <w:r>
        <w:rPr/>
        <w:t>股权的过户手续。</w:t>
      </w:r>
    </w:p>
    <w:p>
      <w:pPr>
        <w:spacing w:line="240" w:lineRule="auto" w:before="11"/>
        <w:rPr>
          <w:rFonts w:ascii="宋体" w:hAnsi="宋体" w:cs="宋体" w:eastAsia="宋体" w:hint="default"/>
          <w:sz w:val="24"/>
          <w:szCs w:val="24"/>
        </w:rPr>
      </w:pPr>
    </w:p>
    <w:p>
      <w:pPr>
        <w:pStyle w:val="BodyText"/>
        <w:spacing w:line="225" w:lineRule="auto"/>
        <w:ind w:right="441"/>
        <w:jc w:val="both"/>
      </w:pPr>
      <w:r>
        <w:rPr/>
        <w:t>报告期内，同方国芯进一步完善现有业务布局，在重点业务领域形成优势市场地位。同</w:t>
      </w:r>
      <w:r>
        <w:rPr>
          <w:spacing w:val="-51"/>
        </w:rPr>
        <w:t> </w:t>
      </w:r>
      <w:r>
        <w:rPr>
          <w:spacing w:val="-51"/>
        </w:rPr>
      </w:r>
      <w:r>
        <w:rPr/>
        <w:t>时围绕公司核心技术，加强技术创新和新产品开发，提高产品市场竞争力，以服务和价</w:t>
      </w:r>
      <w:r>
        <w:rPr>
          <w:spacing w:val="-52"/>
        </w:rPr>
        <w:t> </w:t>
      </w:r>
      <w:r>
        <w:rPr>
          <w:spacing w:val="-52"/>
        </w:rPr>
      </w:r>
      <w:r>
        <w:rPr>
          <w:spacing w:val="-16"/>
        </w:rPr>
        <w:t>值满足客户需求。报告期内，公司</w:t>
      </w:r>
      <w:r>
        <w:rPr>
          <w:spacing w:val="-57"/>
        </w:rPr>
        <w:t> </w:t>
      </w:r>
      <w:r>
        <w:rPr>
          <w:rFonts w:ascii="Calibri" w:hAnsi="Calibri" w:cs="Calibri" w:eastAsia="Calibri" w:hint="default"/>
          <w:spacing w:val="-1"/>
        </w:rPr>
        <w:t>THD86</w:t>
      </w:r>
      <w:r>
        <w:rPr>
          <w:rFonts w:ascii="Calibri" w:hAnsi="Calibri" w:cs="Calibri" w:eastAsia="Calibri" w:hint="default"/>
          <w:spacing w:val="10"/>
        </w:rPr>
        <w:t> </w:t>
      </w:r>
      <w:r>
        <w:rPr>
          <w:spacing w:val="-10"/>
        </w:rPr>
        <w:t>系列产品在“国家金卡工程</w:t>
      </w:r>
      <w:r>
        <w:rPr>
          <w:spacing w:val="-57"/>
        </w:rPr>
        <w:t> </w:t>
      </w:r>
      <w:r>
        <w:rPr>
          <w:rFonts w:ascii="Calibri" w:hAnsi="Calibri" w:cs="Calibri" w:eastAsia="Calibri" w:hint="default"/>
        </w:rPr>
        <w:t>2015</w:t>
      </w:r>
      <w:r>
        <w:rPr>
          <w:rFonts w:ascii="Calibri" w:hAnsi="Calibri" w:cs="Calibri" w:eastAsia="Calibri" w:hint="default"/>
          <w:spacing w:val="10"/>
        </w:rPr>
        <w:t> </w:t>
      </w:r>
      <w:r>
        <w:rPr/>
        <w:t>年度金蚂蚁奖” 的评选中荣获“信息安全奖”，更具竞争力的新一代</w:t>
      </w:r>
      <w:r>
        <w:rPr>
          <w:spacing w:val="-50"/>
        </w:rPr>
        <w:t> </w:t>
      </w:r>
      <w:r>
        <w:rPr>
          <w:rFonts w:ascii="Calibri" w:hAnsi="Calibri" w:cs="Calibri" w:eastAsia="Calibri" w:hint="default"/>
        </w:rPr>
        <w:t>THD88</w:t>
      </w:r>
      <w:r>
        <w:rPr>
          <w:rFonts w:ascii="Calibri" w:hAnsi="Calibri" w:cs="Calibri" w:eastAsia="Calibri" w:hint="default"/>
          <w:spacing w:val="17"/>
        </w:rPr>
        <w:t> </w:t>
      </w:r>
      <w:r>
        <w:rPr/>
        <w:t>芯片已经完成产品开发，并 取得了银联卡芯片产品安全认证证书，国际安全认证测试正在进行中。此外，由公司自</w:t>
      </w:r>
      <w:r>
        <w:rPr>
          <w:spacing w:val="-51"/>
        </w:rPr>
        <w:t> </w:t>
      </w:r>
      <w:r>
        <w:rPr>
          <w:spacing w:val="-51"/>
        </w:rPr>
      </w:r>
      <w:r>
        <w:rPr/>
        <w:t>主研发的</w:t>
      </w:r>
      <w:r>
        <w:rPr>
          <w:spacing w:val="-61"/>
        </w:rPr>
        <w:t> </w:t>
      </w:r>
      <w:r>
        <w:rPr>
          <w:rFonts w:ascii="Calibri" w:hAnsi="Calibri" w:cs="Calibri" w:eastAsia="Calibri" w:hint="default"/>
        </w:rPr>
        <w:t>Java COS</w:t>
      </w:r>
      <w:r>
        <w:rPr>
          <w:rFonts w:ascii="Calibri" w:hAnsi="Calibri" w:cs="Calibri" w:eastAsia="Calibri" w:hint="default"/>
          <w:spacing w:val="6"/>
        </w:rPr>
        <w:t> </w:t>
      </w:r>
      <w:r>
        <w:rPr/>
        <w:t>平台</w:t>
      </w:r>
      <w:r>
        <w:rPr>
          <w:spacing w:val="-60"/>
        </w:rPr>
        <w:t> </w:t>
      </w:r>
      <w:r>
        <w:rPr>
          <w:rFonts w:ascii="Calibri" w:hAnsi="Calibri" w:cs="Calibri" w:eastAsia="Calibri" w:hint="default"/>
        </w:rPr>
        <w:t>TMCOS</w:t>
      </w:r>
      <w:r>
        <w:rPr>
          <w:rFonts w:ascii="Calibri" w:hAnsi="Calibri" w:cs="Calibri" w:eastAsia="Calibri" w:hint="default"/>
          <w:spacing w:val="6"/>
        </w:rPr>
        <w:t> </w:t>
      </w:r>
      <w:r>
        <w:rPr>
          <w:spacing w:val="-3"/>
        </w:rPr>
        <w:t>获得了由银联标识产品企业资质认证办公室颁发的《银联</w:t>
      </w:r>
      <w:r>
        <w:rPr/>
        <w:t> 卡芯片产品安全认证证书》，标志着公司已经具备提供金融</w:t>
      </w:r>
      <w:r>
        <w:rPr>
          <w:spacing w:val="-53"/>
        </w:rPr>
        <w:t> </w:t>
      </w:r>
      <w:r>
        <w:rPr>
          <w:rFonts w:ascii="Calibri" w:hAnsi="Calibri" w:cs="Calibri" w:eastAsia="Calibri" w:hint="default"/>
        </w:rPr>
        <w:t>IC</w:t>
      </w:r>
      <w:r>
        <w:rPr>
          <w:rFonts w:ascii="Calibri" w:hAnsi="Calibri" w:cs="Calibri" w:eastAsia="Calibri" w:hint="default"/>
          <w:spacing w:val="11"/>
        </w:rPr>
        <w:t> </w:t>
      </w:r>
      <w:r>
        <w:rPr/>
        <w:t>卡全套解决方案的能力， 可以更好的服务于各银行和卡商。</w:t>
      </w:r>
    </w:p>
    <w:p>
      <w:pPr>
        <w:spacing w:line="240" w:lineRule="auto" w:before="11"/>
        <w:rPr>
          <w:rFonts w:ascii="宋体" w:hAnsi="宋体" w:cs="宋体" w:eastAsia="宋体" w:hint="default"/>
          <w:sz w:val="23"/>
          <w:szCs w:val="23"/>
        </w:rPr>
      </w:pPr>
    </w:p>
    <w:p>
      <w:pPr>
        <w:pStyle w:val="BodyText"/>
        <w:spacing w:line="240" w:lineRule="auto"/>
        <w:ind w:right="0"/>
        <w:jc w:val="both"/>
      </w:pPr>
      <w:r>
        <w:rPr/>
        <w:t>同方国芯近三年主要财务数据：</w:t>
      </w:r>
    </w:p>
    <w:p>
      <w:pPr>
        <w:spacing w:line="240" w:lineRule="auto" w:before="8"/>
        <w:rPr>
          <w:rFonts w:ascii="宋体" w:hAnsi="宋体" w:cs="宋体" w:eastAsia="宋体" w:hint="default"/>
          <w:sz w:val="26"/>
          <w:szCs w:val="26"/>
        </w:rPr>
      </w:pPr>
    </w:p>
    <w:tbl>
      <w:tblPr>
        <w:tblW w:w="0" w:type="auto"/>
        <w:jc w:val="left"/>
        <w:tblInd w:w="130" w:type="dxa"/>
        <w:tblLayout w:type="fixed"/>
        <w:tblCellMar>
          <w:top w:w="0" w:type="dxa"/>
          <w:left w:w="0" w:type="dxa"/>
          <w:bottom w:w="0" w:type="dxa"/>
          <w:right w:w="0" w:type="dxa"/>
        </w:tblCellMar>
        <w:tblLook w:val="01E0"/>
      </w:tblPr>
      <w:tblGrid>
        <w:gridCol w:w="2100"/>
        <w:gridCol w:w="1601"/>
        <w:gridCol w:w="1277"/>
        <w:gridCol w:w="3260"/>
        <w:gridCol w:w="1265"/>
      </w:tblGrid>
      <w:tr>
        <w:trPr>
          <w:trHeight w:val="338" w:hRule="exact"/>
        </w:trPr>
        <w:tc>
          <w:tcPr>
            <w:tcW w:w="2100" w:type="dxa"/>
            <w:tcBorders>
              <w:top w:val="single" w:sz="12" w:space="0" w:color="000000"/>
              <w:left w:val="single" w:sz="12" w:space="0" w:color="000000"/>
              <w:bottom w:val="single" w:sz="6" w:space="0" w:color="000000"/>
              <w:right w:val="single" w:sz="6" w:space="0" w:color="000000"/>
            </w:tcBorders>
          </w:tcPr>
          <w:p>
            <w:pPr>
              <w:pStyle w:val="TableParagraph"/>
              <w:spacing w:line="262" w:lineRule="exact"/>
              <w:ind w:right="2"/>
              <w:jc w:val="center"/>
              <w:rPr>
                <w:rFonts w:ascii="宋体" w:hAnsi="宋体" w:cs="宋体" w:eastAsia="宋体" w:hint="default"/>
                <w:sz w:val="21"/>
                <w:szCs w:val="21"/>
              </w:rPr>
            </w:pPr>
            <w:r>
              <w:rPr>
                <w:rFonts w:ascii="宋体" w:hAnsi="宋体" w:cs="宋体" w:eastAsia="宋体" w:hint="default"/>
                <w:b/>
                <w:bCs/>
                <w:sz w:val="21"/>
                <w:szCs w:val="21"/>
              </w:rPr>
              <w:t>年度</w:t>
            </w:r>
            <w:r>
              <w:rPr>
                <w:rFonts w:ascii="宋体" w:hAnsi="宋体" w:cs="宋体" w:eastAsia="宋体" w:hint="default"/>
                <w:b/>
                <w:bCs/>
                <w:sz w:val="21"/>
                <w:szCs w:val="21"/>
              </w:rPr>
              <w:t>(</w:t>
            </w:r>
            <w:r>
              <w:rPr>
                <w:rFonts w:ascii="宋体" w:hAnsi="宋体" w:cs="宋体" w:eastAsia="宋体" w:hint="default"/>
                <w:b/>
                <w:bCs/>
                <w:sz w:val="21"/>
                <w:szCs w:val="21"/>
              </w:rPr>
              <w:t>单位：万元</w:t>
            </w:r>
            <w:r>
              <w:rPr>
                <w:rFonts w:ascii="宋体" w:hAnsi="宋体" w:cs="宋体" w:eastAsia="宋体" w:hint="default"/>
                <w:b/>
                <w:bCs/>
                <w:sz w:val="21"/>
                <w:szCs w:val="21"/>
              </w:rPr>
              <w:t>)</w:t>
            </w:r>
            <w:r>
              <w:rPr>
                <w:rFonts w:ascii="宋体" w:hAnsi="宋体" w:cs="宋体" w:eastAsia="宋体" w:hint="default"/>
                <w:sz w:val="21"/>
                <w:szCs w:val="21"/>
              </w:rPr>
            </w:r>
          </w:p>
        </w:tc>
        <w:tc>
          <w:tcPr>
            <w:tcW w:w="1601" w:type="dxa"/>
            <w:tcBorders>
              <w:top w:val="single" w:sz="12" w:space="0" w:color="000000"/>
              <w:left w:val="single" w:sz="6" w:space="0" w:color="000000"/>
              <w:bottom w:val="single" w:sz="6" w:space="0" w:color="000000"/>
              <w:right w:val="single" w:sz="6" w:space="0" w:color="000000"/>
            </w:tcBorders>
          </w:tcPr>
          <w:p>
            <w:pPr>
              <w:pStyle w:val="TableParagraph"/>
              <w:spacing w:line="262" w:lineRule="exact"/>
              <w:ind w:right="158"/>
              <w:jc w:val="righ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c>
        <w:tc>
          <w:tcPr>
            <w:tcW w:w="1277" w:type="dxa"/>
            <w:tcBorders>
              <w:top w:val="single" w:sz="12" w:space="0" w:color="000000"/>
              <w:left w:val="single" w:sz="6" w:space="0" w:color="000000"/>
              <w:bottom w:val="single" w:sz="6" w:space="0" w:color="000000"/>
              <w:right w:val="single" w:sz="6" w:space="0" w:color="000000"/>
            </w:tcBorders>
          </w:tcPr>
          <w:p>
            <w:pPr>
              <w:pStyle w:val="TableParagraph"/>
              <w:spacing w:line="262" w:lineRule="exact"/>
              <w:ind w:left="314" w:right="0"/>
              <w:jc w:val="left"/>
              <w:rPr>
                <w:rFonts w:ascii="宋体" w:hAnsi="宋体" w:cs="宋体" w:eastAsia="宋体" w:hint="default"/>
                <w:sz w:val="21"/>
                <w:szCs w:val="21"/>
              </w:rPr>
            </w:pPr>
            <w:r>
              <w:rPr>
                <w:rFonts w:ascii="宋体" w:hAnsi="宋体" w:cs="宋体" w:eastAsia="宋体" w:hint="default"/>
                <w:b/>
                <w:bCs/>
                <w:sz w:val="21"/>
                <w:szCs w:val="21"/>
              </w:rPr>
              <w:t>毛利率</w:t>
            </w:r>
            <w:r>
              <w:rPr>
                <w:rFonts w:ascii="宋体" w:hAnsi="宋体" w:cs="宋体" w:eastAsia="宋体" w:hint="default"/>
                <w:sz w:val="21"/>
                <w:szCs w:val="21"/>
              </w:rPr>
            </w:r>
          </w:p>
        </w:tc>
        <w:tc>
          <w:tcPr>
            <w:tcW w:w="3260" w:type="dxa"/>
            <w:tcBorders>
              <w:top w:val="single" w:sz="12" w:space="0" w:color="000000"/>
              <w:left w:val="single" w:sz="6" w:space="0" w:color="000000"/>
              <w:bottom w:val="single" w:sz="6" w:space="0" w:color="000000"/>
              <w:right w:val="single" w:sz="6" w:space="0" w:color="000000"/>
            </w:tcBorders>
          </w:tcPr>
          <w:p>
            <w:pPr>
              <w:pStyle w:val="TableParagraph"/>
              <w:spacing w:line="262" w:lineRule="exact"/>
              <w:ind w:right="147"/>
              <w:jc w:val="right"/>
              <w:rPr>
                <w:rFonts w:ascii="宋体" w:hAnsi="宋体" w:cs="宋体" w:eastAsia="宋体" w:hint="default"/>
                <w:sz w:val="21"/>
                <w:szCs w:val="21"/>
              </w:rPr>
            </w:pPr>
            <w:r>
              <w:rPr>
                <w:rFonts w:ascii="宋体" w:hAnsi="宋体" w:cs="宋体" w:eastAsia="宋体" w:hint="default"/>
                <w:b/>
                <w:bCs/>
                <w:spacing w:val="-1"/>
                <w:sz w:val="21"/>
                <w:szCs w:val="21"/>
              </w:rPr>
              <w:t>归属于母公司股东的期末净资产</w:t>
            </w:r>
            <w:r>
              <w:rPr>
                <w:rFonts w:ascii="宋体" w:hAnsi="宋体" w:cs="宋体" w:eastAsia="宋体" w:hint="default"/>
                <w:spacing w:val="-1"/>
                <w:sz w:val="21"/>
                <w:szCs w:val="21"/>
              </w:rPr>
            </w:r>
          </w:p>
        </w:tc>
        <w:tc>
          <w:tcPr>
            <w:tcW w:w="1265" w:type="dxa"/>
            <w:tcBorders>
              <w:top w:val="single" w:sz="12" w:space="0" w:color="000000"/>
              <w:left w:val="single" w:sz="6" w:space="0" w:color="000000"/>
              <w:bottom w:val="single" w:sz="6" w:space="0" w:color="000000"/>
              <w:right w:val="single" w:sz="12" w:space="0" w:color="000000"/>
            </w:tcBorders>
          </w:tcPr>
          <w:p>
            <w:pPr>
              <w:pStyle w:val="TableParagraph"/>
              <w:spacing w:line="262" w:lineRule="exact"/>
              <w:ind w:left="9" w:right="0"/>
              <w:jc w:val="center"/>
              <w:rPr>
                <w:rFonts w:ascii="宋体" w:hAnsi="宋体" w:cs="宋体" w:eastAsia="宋体" w:hint="default"/>
                <w:sz w:val="21"/>
                <w:szCs w:val="21"/>
              </w:rPr>
            </w:pPr>
            <w:r>
              <w:rPr>
                <w:rFonts w:ascii="宋体" w:hAnsi="宋体" w:cs="宋体" w:eastAsia="宋体" w:hint="default"/>
                <w:b/>
                <w:bCs/>
                <w:sz w:val="21"/>
                <w:szCs w:val="21"/>
              </w:rPr>
              <w:t>总资产</w:t>
            </w:r>
            <w:r>
              <w:rPr>
                <w:rFonts w:ascii="宋体" w:hAnsi="宋体" w:cs="宋体" w:eastAsia="宋体" w:hint="default"/>
                <w:sz w:val="21"/>
                <w:szCs w:val="21"/>
              </w:rPr>
            </w:r>
          </w:p>
        </w:tc>
      </w:tr>
      <w:tr>
        <w:trPr>
          <w:trHeight w:val="329" w:hRule="exact"/>
        </w:trPr>
        <w:tc>
          <w:tcPr>
            <w:tcW w:w="2100" w:type="dxa"/>
            <w:tcBorders>
              <w:top w:val="single" w:sz="6" w:space="0" w:color="000000"/>
              <w:left w:val="single" w:sz="12" w:space="0" w:color="000000"/>
              <w:bottom w:val="single" w:sz="6" w:space="0" w:color="000000"/>
              <w:right w:val="single" w:sz="6" w:space="0" w:color="000000"/>
            </w:tcBorders>
          </w:tcPr>
          <w:p>
            <w:pPr>
              <w:pStyle w:val="TableParagraph"/>
              <w:spacing w:line="262" w:lineRule="exact"/>
              <w:ind w:right="7"/>
              <w:jc w:val="center"/>
              <w:rPr>
                <w:rFonts w:ascii="宋体" w:hAnsi="宋体" w:cs="宋体" w:eastAsia="宋体" w:hint="default"/>
                <w:sz w:val="21"/>
                <w:szCs w:val="21"/>
              </w:rPr>
            </w:pPr>
            <w:r>
              <w:rPr>
                <w:rFonts w:ascii="宋体"/>
                <w:b/>
                <w:sz w:val="21"/>
              </w:rPr>
              <w:t>2015</w:t>
            </w:r>
            <w:r>
              <w:rPr>
                <w:rFonts w:ascii="宋体"/>
                <w:sz w:val="21"/>
              </w:rPr>
            </w:r>
          </w:p>
        </w:tc>
        <w:tc>
          <w:tcPr>
            <w:tcW w:w="1601"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124,612.67</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41.12%</w:t>
            </w:r>
          </w:p>
        </w:tc>
        <w:tc>
          <w:tcPr>
            <w:tcW w:w="3260"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289,061.87</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62" w:lineRule="exact"/>
              <w:ind w:left="12" w:right="0"/>
              <w:jc w:val="center"/>
              <w:rPr>
                <w:rFonts w:ascii="宋体" w:hAnsi="宋体" w:cs="宋体" w:eastAsia="宋体" w:hint="default"/>
                <w:sz w:val="21"/>
                <w:szCs w:val="21"/>
              </w:rPr>
            </w:pPr>
            <w:r>
              <w:rPr>
                <w:rFonts w:ascii="宋体"/>
                <w:sz w:val="21"/>
              </w:rPr>
              <w:t>414,198.05</w:t>
            </w:r>
          </w:p>
        </w:tc>
      </w:tr>
      <w:tr>
        <w:trPr>
          <w:trHeight w:val="331" w:hRule="exact"/>
        </w:trPr>
        <w:tc>
          <w:tcPr>
            <w:tcW w:w="2100" w:type="dxa"/>
            <w:tcBorders>
              <w:top w:val="single" w:sz="6" w:space="0" w:color="000000"/>
              <w:left w:val="single" w:sz="12" w:space="0" w:color="000000"/>
              <w:bottom w:val="single" w:sz="6" w:space="0" w:color="000000"/>
              <w:right w:val="single" w:sz="6" w:space="0" w:color="000000"/>
            </w:tcBorders>
          </w:tcPr>
          <w:p>
            <w:pPr>
              <w:pStyle w:val="TableParagraph"/>
              <w:spacing w:line="262" w:lineRule="exact"/>
              <w:ind w:right="7"/>
              <w:jc w:val="center"/>
              <w:rPr>
                <w:rFonts w:ascii="宋体" w:hAnsi="宋体" w:cs="宋体" w:eastAsia="宋体" w:hint="default"/>
                <w:sz w:val="21"/>
                <w:szCs w:val="21"/>
              </w:rPr>
            </w:pPr>
            <w:r>
              <w:rPr>
                <w:rFonts w:ascii="宋体"/>
                <w:b/>
                <w:sz w:val="21"/>
              </w:rPr>
              <w:t>2014</w:t>
            </w:r>
            <w:r>
              <w:rPr>
                <w:rFonts w:ascii="宋体"/>
                <w:sz w:val="21"/>
              </w:rPr>
            </w:r>
          </w:p>
        </w:tc>
        <w:tc>
          <w:tcPr>
            <w:tcW w:w="1601"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108,304.04</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39.20%</w:t>
            </w:r>
          </w:p>
        </w:tc>
        <w:tc>
          <w:tcPr>
            <w:tcW w:w="3260"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261,639.66</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62" w:lineRule="exact"/>
              <w:ind w:left="12" w:right="0"/>
              <w:jc w:val="center"/>
              <w:rPr>
                <w:rFonts w:ascii="宋体" w:hAnsi="宋体" w:cs="宋体" w:eastAsia="宋体" w:hint="default"/>
                <w:sz w:val="21"/>
                <w:szCs w:val="21"/>
              </w:rPr>
            </w:pPr>
            <w:r>
              <w:rPr>
                <w:rFonts w:ascii="宋体"/>
                <w:sz w:val="21"/>
              </w:rPr>
              <w:t>348,998.66</w:t>
            </w:r>
          </w:p>
        </w:tc>
      </w:tr>
      <w:tr>
        <w:trPr>
          <w:trHeight w:val="319" w:hRule="exact"/>
        </w:trPr>
        <w:tc>
          <w:tcPr>
            <w:tcW w:w="2100" w:type="dxa"/>
            <w:tcBorders>
              <w:top w:val="single" w:sz="6" w:space="0" w:color="000000"/>
              <w:left w:val="single" w:sz="12" w:space="0" w:color="000000"/>
              <w:bottom w:val="single" w:sz="12" w:space="0" w:color="000000"/>
              <w:right w:val="single" w:sz="6" w:space="0" w:color="000000"/>
            </w:tcBorders>
          </w:tcPr>
          <w:p>
            <w:pPr>
              <w:pStyle w:val="TableParagraph"/>
              <w:spacing w:line="255" w:lineRule="exact"/>
              <w:ind w:right="7"/>
              <w:jc w:val="center"/>
              <w:rPr>
                <w:rFonts w:ascii="宋体" w:hAnsi="宋体" w:cs="宋体" w:eastAsia="宋体" w:hint="default"/>
                <w:sz w:val="21"/>
                <w:szCs w:val="21"/>
              </w:rPr>
            </w:pPr>
            <w:r>
              <w:rPr>
                <w:rFonts w:ascii="宋体"/>
                <w:b/>
                <w:sz w:val="21"/>
              </w:rPr>
              <w:t>2013</w:t>
            </w:r>
            <w:r>
              <w:rPr>
                <w:rFonts w:ascii="宋体"/>
                <w:sz w:val="21"/>
              </w:rPr>
            </w:r>
          </w:p>
        </w:tc>
        <w:tc>
          <w:tcPr>
            <w:tcW w:w="1601" w:type="dxa"/>
            <w:tcBorders>
              <w:top w:val="single" w:sz="6" w:space="0" w:color="000000"/>
              <w:left w:val="single" w:sz="6" w:space="0" w:color="000000"/>
              <w:bottom w:val="single" w:sz="12" w:space="0" w:color="000000"/>
              <w:right w:val="single" w:sz="6" w:space="0" w:color="000000"/>
            </w:tcBorders>
          </w:tcPr>
          <w:p>
            <w:pPr>
              <w:pStyle w:val="TableParagraph"/>
              <w:spacing w:line="255" w:lineRule="exact"/>
              <w:ind w:right="98"/>
              <w:jc w:val="right"/>
              <w:rPr>
                <w:rFonts w:ascii="宋体" w:hAnsi="宋体" w:cs="宋体" w:eastAsia="宋体" w:hint="default"/>
                <w:sz w:val="21"/>
                <w:szCs w:val="21"/>
              </w:rPr>
            </w:pPr>
            <w:r>
              <w:rPr>
                <w:rFonts w:ascii="宋体"/>
                <w:spacing w:val="-1"/>
                <w:sz w:val="21"/>
              </w:rPr>
              <w:t>91,669.98</w:t>
            </w:r>
          </w:p>
        </w:tc>
        <w:tc>
          <w:tcPr>
            <w:tcW w:w="1277" w:type="dxa"/>
            <w:tcBorders>
              <w:top w:val="single" w:sz="6" w:space="0" w:color="000000"/>
              <w:left w:val="single" w:sz="6" w:space="0" w:color="000000"/>
              <w:bottom w:val="single" w:sz="12" w:space="0" w:color="000000"/>
              <w:right w:val="single" w:sz="6" w:space="0" w:color="000000"/>
            </w:tcBorders>
          </w:tcPr>
          <w:p>
            <w:pPr>
              <w:pStyle w:val="TableParagraph"/>
              <w:spacing w:line="255" w:lineRule="exact"/>
              <w:ind w:right="96"/>
              <w:jc w:val="right"/>
              <w:rPr>
                <w:rFonts w:ascii="宋体" w:hAnsi="宋体" w:cs="宋体" w:eastAsia="宋体" w:hint="default"/>
                <w:sz w:val="21"/>
                <w:szCs w:val="21"/>
              </w:rPr>
            </w:pPr>
            <w:r>
              <w:rPr>
                <w:rFonts w:ascii="宋体"/>
                <w:sz w:val="21"/>
              </w:rPr>
              <w:t>33.95%</w:t>
            </w:r>
          </w:p>
        </w:tc>
        <w:tc>
          <w:tcPr>
            <w:tcW w:w="3260" w:type="dxa"/>
            <w:tcBorders>
              <w:top w:val="single" w:sz="6" w:space="0" w:color="000000"/>
              <w:left w:val="single" w:sz="6" w:space="0" w:color="000000"/>
              <w:bottom w:val="single" w:sz="12" w:space="0" w:color="000000"/>
              <w:right w:val="single" w:sz="6" w:space="0" w:color="000000"/>
            </w:tcBorders>
          </w:tcPr>
          <w:p>
            <w:pPr>
              <w:pStyle w:val="TableParagraph"/>
              <w:spacing w:line="255" w:lineRule="exact"/>
              <w:ind w:right="99"/>
              <w:jc w:val="right"/>
              <w:rPr>
                <w:rFonts w:ascii="宋体" w:hAnsi="宋体" w:cs="宋体" w:eastAsia="宋体" w:hint="default"/>
                <w:sz w:val="21"/>
                <w:szCs w:val="21"/>
              </w:rPr>
            </w:pPr>
            <w:r>
              <w:rPr>
                <w:rFonts w:ascii="宋体"/>
                <w:spacing w:val="-1"/>
                <w:sz w:val="21"/>
              </w:rPr>
              <w:t>235,177.19</w:t>
            </w:r>
          </w:p>
        </w:tc>
        <w:tc>
          <w:tcPr>
            <w:tcW w:w="1265" w:type="dxa"/>
            <w:tcBorders>
              <w:top w:val="single" w:sz="6" w:space="0" w:color="000000"/>
              <w:left w:val="single" w:sz="6" w:space="0" w:color="000000"/>
              <w:bottom w:val="single" w:sz="12" w:space="0" w:color="000000"/>
              <w:right w:val="single" w:sz="12" w:space="0" w:color="000000"/>
            </w:tcBorders>
          </w:tcPr>
          <w:p>
            <w:pPr>
              <w:pStyle w:val="TableParagraph"/>
              <w:spacing w:line="255" w:lineRule="exact"/>
              <w:ind w:left="12" w:right="0"/>
              <w:jc w:val="center"/>
              <w:rPr>
                <w:rFonts w:ascii="宋体" w:hAnsi="宋体" w:cs="宋体" w:eastAsia="宋体" w:hint="default"/>
                <w:sz w:val="21"/>
                <w:szCs w:val="21"/>
              </w:rPr>
            </w:pPr>
            <w:r>
              <w:rPr>
                <w:rFonts w:ascii="宋体"/>
                <w:sz w:val="21"/>
              </w:rPr>
              <w:t>307,801.31</w:t>
            </w:r>
          </w:p>
        </w:tc>
      </w:tr>
    </w:tbl>
    <w:p>
      <w:pPr>
        <w:spacing w:line="240" w:lineRule="auto" w:before="7"/>
        <w:rPr>
          <w:rFonts w:ascii="宋体" w:hAnsi="宋体" w:cs="宋体" w:eastAsia="宋体" w:hint="default"/>
          <w:sz w:val="23"/>
          <w:szCs w:val="23"/>
        </w:rPr>
      </w:pPr>
    </w:p>
    <w:p>
      <w:pPr>
        <w:pStyle w:val="Heading3"/>
        <w:spacing w:line="240" w:lineRule="auto" w:before="26"/>
        <w:ind w:left="158" w:right="187"/>
        <w:jc w:val="left"/>
        <w:rPr>
          <w:b w:val="0"/>
          <w:bCs w:val="0"/>
        </w:rPr>
      </w:pPr>
      <w:r>
        <w:rPr>
          <w:rFonts w:ascii="Calibri" w:hAnsi="Calibri" w:cs="Calibri" w:eastAsia="Calibri" w:hint="default"/>
        </w:rPr>
        <w:t>3</w:t>
      </w:r>
      <w:r>
        <w:rPr/>
        <w:t>、同方工业有限公司</w:t>
      </w:r>
      <w:r>
        <w:rPr>
          <w:b w:val="0"/>
          <w:bCs w:val="0"/>
        </w:rPr>
      </w:r>
    </w:p>
    <w:p>
      <w:pPr>
        <w:spacing w:after="0" w:line="240" w:lineRule="auto"/>
        <w:jc w:val="left"/>
        <w:sectPr>
          <w:pgSz w:w="11910" w:h="16840"/>
          <w:pgMar w:header="628" w:footer="760" w:top="1080" w:bottom="960" w:left="1260" w:right="84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BodyText"/>
        <w:spacing w:line="237" w:lineRule="auto" w:before="28"/>
        <w:ind w:right="310"/>
        <w:jc w:val="left"/>
      </w:pPr>
      <w:r>
        <w:rPr/>
        <w:t>同方工业有限公司</w:t>
      </w:r>
      <w:r>
        <w:rPr>
          <w:rFonts w:ascii="宋体" w:hAnsi="宋体" w:cs="宋体" w:eastAsia="宋体" w:hint="default"/>
        </w:rPr>
        <w:t>(</w:t>
      </w:r>
      <w:r>
        <w:rPr/>
        <w:t>以下简称“同方工业”</w:t>
      </w:r>
      <w:r>
        <w:rPr>
          <w:rFonts w:ascii="宋体" w:hAnsi="宋体" w:cs="宋体" w:eastAsia="宋体" w:hint="default"/>
        </w:rPr>
        <w:t>)</w:t>
      </w:r>
      <w:r>
        <w:rPr/>
        <w:t>成立于</w:t>
      </w:r>
      <w:r>
        <w:rPr>
          <w:spacing w:val="-63"/>
        </w:rPr>
        <w:t> </w:t>
      </w:r>
      <w:r>
        <w:rPr>
          <w:rFonts w:ascii="宋体" w:hAnsi="宋体" w:cs="宋体" w:eastAsia="宋体" w:hint="default"/>
        </w:rPr>
        <w:t>2006</w:t>
      </w:r>
      <w:r>
        <w:rPr>
          <w:rFonts w:ascii="宋体" w:hAnsi="宋体" w:cs="宋体" w:eastAsia="宋体" w:hint="default"/>
          <w:spacing w:val="-63"/>
        </w:rPr>
        <w:t> </w:t>
      </w:r>
      <w:r>
        <w:rPr/>
        <w:t>年</w:t>
      </w:r>
      <w:r>
        <w:rPr>
          <w:spacing w:val="-63"/>
        </w:rPr>
        <w:t> </w:t>
      </w:r>
      <w:r>
        <w:rPr>
          <w:rFonts w:ascii="宋体" w:hAnsi="宋体" w:cs="宋体" w:eastAsia="宋体" w:hint="default"/>
        </w:rPr>
        <w:t>9</w:t>
      </w:r>
      <w:r>
        <w:rPr>
          <w:rFonts w:ascii="宋体" w:hAnsi="宋体" w:cs="宋体" w:eastAsia="宋体" w:hint="default"/>
          <w:spacing w:val="-63"/>
        </w:rPr>
        <w:t> </w:t>
      </w:r>
      <w:r>
        <w:rPr/>
        <w:t>月，注册资本为</w:t>
      </w:r>
      <w:r>
        <w:rPr>
          <w:spacing w:val="-63"/>
        </w:rPr>
        <w:t> </w:t>
      </w:r>
      <w:r>
        <w:rPr>
          <w:rFonts w:ascii="宋体" w:hAnsi="宋体" w:cs="宋体" w:eastAsia="宋体" w:hint="default"/>
        </w:rPr>
        <w:t>4</w:t>
      </w:r>
      <w:r>
        <w:rPr>
          <w:rFonts w:ascii="宋体" w:hAnsi="宋体" w:cs="宋体" w:eastAsia="宋体" w:hint="default"/>
          <w:spacing w:val="-63"/>
        </w:rPr>
        <w:t> </w:t>
      </w:r>
      <w:r>
        <w:rPr>
          <w:spacing w:val="-3"/>
        </w:rPr>
        <w:t>亿元，公</w:t>
      </w:r>
      <w:r>
        <w:rPr/>
        <w:t> 司持股</w:t>
      </w:r>
      <w:r>
        <w:rPr>
          <w:spacing w:val="-45"/>
        </w:rPr>
        <w:t> </w:t>
      </w:r>
      <w:r>
        <w:rPr>
          <w:rFonts w:ascii="宋体" w:hAnsi="宋体" w:cs="宋体" w:eastAsia="宋体" w:hint="default"/>
          <w:spacing w:val="-3"/>
        </w:rPr>
        <w:t>100%</w:t>
      </w:r>
      <w:r>
        <w:rPr>
          <w:spacing w:val="-3"/>
        </w:rPr>
        <w:t>。同方工业公司目前主要投资了全资子公司同方电子科技有限公司</w:t>
      </w:r>
      <w:r>
        <w:rPr>
          <w:rFonts w:ascii="宋体" w:hAnsi="宋体" w:cs="宋体" w:eastAsia="宋体" w:hint="default"/>
          <w:spacing w:val="-3"/>
        </w:rPr>
        <w:t>(</w:t>
      </w:r>
      <w:r>
        <w:rPr>
          <w:spacing w:val="-3"/>
        </w:rPr>
        <w:t>原名称为：</w:t>
      </w:r>
      <w:r>
        <w:rPr>
          <w:spacing w:val="-118"/>
        </w:rPr>
        <w:t> </w:t>
      </w:r>
      <w:r>
        <w:rPr/>
        <w:t>江西无线电厂</w:t>
      </w:r>
      <w:r>
        <w:rPr>
          <w:rFonts w:ascii="宋体" w:hAnsi="宋体" w:cs="宋体" w:eastAsia="宋体" w:hint="default"/>
        </w:rPr>
        <w:t>)</w:t>
      </w:r>
      <w:r>
        <w:rPr/>
        <w:t>、九江同方江新造船有限公司、南京同方北斗科技有限公司等。其中，同</w:t>
      </w:r>
    </w:p>
    <w:p>
      <w:pPr>
        <w:pStyle w:val="BodyText"/>
        <w:spacing w:line="237" w:lineRule="auto" w:before="1"/>
        <w:ind w:right="561"/>
        <w:jc w:val="both"/>
      </w:pPr>
      <w:r>
        <w:rPr/>
        <w:t>方电子科技有限公司主要从事军用民用通讯设备、电子产品的制造；江新造船公司主要</w:t>
      </w:r>
      <w:r>
        <w:rPr>
          <w:spacing w:val="-51"/>
        </w:rPr>
        <w:t> </w:t>
      </w:r>
      <w:r>
        <w:rPr>
          <w:spacing w:val="-51"/>
        </w:rPr>
      </w:r>
      <w:r>
        <w:rPr>
          <w:spacing w:val="-1"/>
        </w:rPr>
        <w:t>从事军民用船舶的制造；南京同方北斗科技有限公司主要从事基于北斗一号卫星的军</w:t>
      </w:r>
      <w:r>
        <w:rPr>
          <w:rFonts w:ascii="宋体" w:hAnsi="宋体" w:cs="宋体" w:eastAsia="宋体" w:hint="default"/>
          <w:spacing w:val="-1"/>
        </w:rPr>
        <w:t>/</w:t>
      </w:r>
      <w:r>
        <w:rPr>
          <w:spacing w:val="-1"/>
        </w:rPr>
        <w:t>民</w:t>
      </w:r>
      <w:r>
        <w:rPr/>
        <w:t> 用通信、导航业务。</w:t>
      </w:r>
    </w:p>
    <w:p>
      <w:pPr>
        <w:spacing w:line="240" w:lineRule="auto" w:before="12"/>
        <w:rPr>
          <w:rFonts w:ascii="宋体" w:hAnsi="宋体" w:cs="宋体" w:eastAsia="宋体" w:hint="default"/>
          <w:sz w:val="23"/>
          <w:szCs w:val="23"/>
        </w:rPr>
      </w:pPr>
    </w:p>
    <w:p>
      <w:pPr>
        <w:pStyle w:val="BodyText"/>
        <w:spacing w:line="237" w:lineRule="auto"/>
        <w:ind w:right="560"/>
        <w:jc w:val="both"/>
      </w:pPr>
      <w:r>
        <w:rPr>
          <w:rFonts w:ascii="宋体" w:hAnsi="宋体" w:cs="宋体" w:eastAsia="宋体" w:hint="default"/>
        </w:rPr>
        <w:t>2015</w:t>
      </w:r>
      <w:r>
        <w:rPr>
          <w:rFonts w:ascii="宋体" w:hAnsi="宋体" w:cs="宋体" w:eastAsia="宋体" w:hint="default"/>
          <w:spacing w:val="-39"/>
        </w:rPr>
        <w:t> </w:t>
      </w:r>
      <w:r>
        <w:rPr/>
        <w:t>年，是同方工业六三规划的最后一年，公司以突破传统经营理念、整合内外发展资 </w:t>
      </w:r>
      <w:r>
        <w:rPr>
          <w:spacing w:val="2"/>
        </w:rPr>
        <w:t>源为指导思想，加快条件建设，逐步形成了以指控装备技术保障、系统集成和军民用船</w:t>
      </w:r>
      <w:r>
        <w:rPr>
          <w:spacing w:val="2"/>
        </w:rPr>
        <w:t> </w:t>
      </w:r>
      <w:r>
        <w:rPr/>
        <w:t>舶制造为核心的三大主干产业。其中在技术保障产业，同方工业作为唯一的指控装备军</w:t>
      </w:r>
      <w:r>
        <w:rPr>
          <w:spacing w:val="-53"/>
        </w:rPr>
        <w:t> </w:t>
      </w:r>
      <w:r>
        <w:rPr>
          <w:spacing w:val="-53"/>
        </w:rPr>
      </w:r>
      <w:r>
        <w:rPr/>
        <w:t>民一体化技术保障承保单位，业务范围涵盖为全军部队提供装备修理、器材供应、伴随</w:t>
      </w:r>
      <w:r>
        <w:rPr>
          <w:spacing w:val="-51"/>
        </w:rPr>
        <w:t> </w:t>
      </w:r>
      <w:r>
        <w:rPr>
          <w:spacing w:val="-51"/>
        </w:rPr>
      </w:r>
      <w:r>
        <w:rPr>
          <w:spacing w:val="-5"/>
        </w:rPr>
        <w:t>保障等服务，搭建了“保障基地</w:t>
      </w:r>
      <w:r>
        <w:rPr>
          <w:rFonts w:ascii="宋体" w:hAnsi="宋体" w:cs="宋体" w:eastAsia="宋体" w:hint="default"/>
          <w:spacing w:val="-5"/>
        </w:rPr>
        <w:t>-</w:t>
      </w:r>
      <w:r>
        <w:rPr>
          <w:spacing w:val="-5"/>
        </w:rPr>
        <w:t>保障中心</w:t>
      </w:r>
      <w:r>
        <w:rPr>
          <w:rFonts w:ascii="宋体" w:hAnsi="宋体" w:cs="宋体" w:eastAsia="宋体" w:hint="default"/>
          <w:spacing w:val="-5"/>
        </w:rPr>
        <w:t>-</w:t>
      </w:r>
      <w:r>
        <w:rPr>
          <w:spacing w:val="-5"/>
        </w:rPr>
        <w:t>保障站”三级区域化、专业化服务保障网络。</w:t>
      </w:r>
      <w:r>
        <w:rPr>
          <w:spacing w:val="-81"/>
        </w:rPr>
        <w:t> </w:t>
      </w:r>
      <w:r>
        <w:rPr>
          <w:spacing w:val="-81"/>
        </w:rPr>
      </w:r>
      <w:r>
        <w:rPr/>
        <w:t>系统集成产业是面向传统军用客户和地方民用客户，提供软硬件集成解决方案的全方位</w:t>
      </w:r>
      <w:r>
        <w:rPr>
          <w:spacing w:val="-51"/>
        </w:rPr>
        <w:t> </w:t>
      </w:r>
      <w:r>
        <w:rPr>
          <w:spacing w:val="-51"/>
        </w:rPr>
      </w:r>
      <w:r>
        <w:rPr/>
        <w:t>的专业</w:t>
      </w:r>
      <w:r>
        <w:rPr>
          <w:spacing w:val="-61"/>
        </w:rPr>
        <w:t> </w:t>
      </w:r>
      <w:r>
        <w:rPr>
          <w:rFonts w:ascii="宋体" w:hAnsi="宋体" w:cs="宋体" w:eastAsia="宋体" w:hint="default"/>
        </w:rPr>
        <w:t>IT</w:t>
      </w:r>
      <w:r>
        <w:rPr>
          <w:rFonts w:ascii="宋体" w:hAnsi="宋体" w:cs="宋体" w:eastAsia="宋体" w:hint="default"/>
          <w:spacing w:val="-60"/>
        </w:rPr>
        <w:t> </w:t>
      </w:r>
      <w:r>
        <w:rPr/>
        <w:t>服务。</w:t>
      </w:r>
    </w:p>
    <w:p>
      <w:pPr>
        <w:spacing w:line="240" w:lineRule="auto" w:before="7"/>
        <w:rPr>
          <w:rFonts w:ascii="宋体" w:hAnsi="宋体" w:cs="宋体" w:eastAsia="宋体" w:hint="default"/>
          <w:sz w:val="23"/>
          <w:szCs w:val="23"/>
        </w:rPr>
      </w:pPr>
    </w:p>
    <w:p>
      <w:pPr>
        <w:pStyle w:val="BodyText"/>
        <w:spacing w:line="240" w:lineRule="auto"/>
        <w:ind w:right="0"/>
        <w:jc w:val="both"/>
      </w:pPr>
      <w:r>
        <w:rPr/>
        <w:t>同方工业近三年主要财务数据：</w:t>
      </w:r>
    </w:p>
    <w:p>
      <w:pPr>
        <w:spacing w:line="240" w:lineRule="auto" w:before="8"/>
        <w:rPr>
          <w:rFonts w:ascii="宋体" w:hAnsi="宋体" w:cs="宋体" w:eastAsia="宋体" w:hint="default"/>
          <w:sz w:val="26"/>
          <w:szCs w:val="26"/>
        </w:rPr>
      </w:pPr>
    </w:p>
    <w:tbl>
      <w:tblPr>
        <w:tblW w:w="0" w:type="auto"/>
        <w:jc w:val="left"/>
        <w:tblInd w:w="130" w:type="dxa"/>
        <w:tblLayout w:type="fixed"/>
        <w:tblCellMar>
          <w:top w:w="0" w:type="dxa"/>
          <w:left w:w="0" w:type="dxa"/>
          <w:bottom w:w="0" w:type="dxa"/>
          <w:right w:w="0" w:type="dxa"/>
        </w:tblCellMar>
        <w:tblLook w:val="01E0"/>
      </w:tblPr>
      <w:tblGrid>
        <w:gridCol w:w="2100"/>
        <w:gridCol w:w="1743"/>
        <w:gridCol w:w="1268"/>
        <w:gridCol w:w="3260"/>
        <w:gridCol w:w="1265"/>
      </w:tblGrid>
      <w:tr>
        <w:trPr>
          <w:trHeight w:val="338" w:hRule="exact"/>
        </w:trPr>
        <w:tc>
          <w:tcPr>
            <w:tcW w:w="2100" w:type="dxa"/>
            <w:tcBorders>
              <w:top w:val="single" w:sz="12" w:space="0" w:color="000000"/>
              <w:left w:val="single" w:sz="12" w:space="0" w:color="000000"/>
              <w:bottom w:val="single" w:sz="6" w:space="0" w:color="000000"/>
              <w:right w:val="single" w:sz="6" w:space="0" w:color="000000"/>
            </w:tcBorders>
          </w:tcPr>
          <w:p>
            <w:pPr>
              <w:pStyle w:val="TableParagraph"/>
              <w:spacing w:line="265" w:lineRule="exact"/>
              <w:ind w:right="2"/>
              <w:jc w:val="center"/>
              <w:rPr>
                <w:rFonts w:ascii="宋体" w:hAnsi="宋体" w:cs="宋体" w:eastAsia="宋体" w:hint="default"/>
                <w:sz w:val="21"/>
                <w:szCs w:val="21"/>
              </w:rPr>
            </w:pPr>
            <w:r>
              <w:rPr>
                <w:rFonts w:ascii="宋体" w:hAnsi="宋体" w:cs="宋体" w:eastAsia="宋体" w:hint="default"/>
                <w:b/>
                <w:bCs/>
                <w:sz w:val="21"/>
                <w:szCs w:val="21"/>
              </w:rPr>
              <w:t>年度</w:t>
            </w:r>
            <w:r>
              <w:rPr>
                <w:rFonts w:ascii="宋体" w:hAnsi="宋体" w:cs="宋体" w:eastAsia="宋体" w:hint="default"/>
                <w:b/>
                <w:bCs/>
                <w:sz w:val="21"/>
                <w:szCs w:val="21"/>
              </w:rPr>
              <w:t>(</w:t>
            </w:r>
            <w:r>
              <w:rPr>
                <w:rFonts w:ascii="宋体" w:hAnsi="宋体" w:cs="宋体" w:eastAsia="宋体" w:hint="default"/>
                <w:b/>
                <w:bCs/>
                <w:sz w:val="21"/>
                <w:szCs w:val="21"/>
              </w:rPr>
              <w:t>单位：万元</w:t>
            </w:r>
            <w:r>
              <w:rPr>
                <w:rFonts w:ascii="宋体" w:hAnsi="宋体" w:cs="宋体" w:eastAsia="宋体" w:hint="default"/>
                <w:b/>
                <w:bCs/>
                <w:sz w:val="21"/>
                <w:szCs w:val="21"/>
              </w:rPr>
              <w:t>)</w:t>
            </w:r>
            <w:r>
              <w:rPr>
                <w:rFonts w:ascii="宋体" w:hAnsi="宋体" w:cs="宋体" w:eastAsia="宋体" w:hint="default"/>
                <w:sz w:val="21"/>
                <w:szCs w:val="21"/>
              </w:rPr>
            </w:r>
          </w:p>
        </w:tc>
        <w:tc>
          <w:tcPr>
            <w:tcW w:w="1743" w:type="dxa"/>
            <w:tcBorders>
              <w:top w:val="single" w:sz="12" w:space="0" w:color="000000"/>
              <w:left w:val="single" w:sz="6" w:space="0" w:color="000000"/>
              <w:bottom w:val="single" w:sz="6" w:space="0" w:color="000000"/>
              <w:right w:val="single" w:sz="6" w:space="0" w:color="000000"/>
            </w:tcBorders>
          </w:tcPr>
          <w:p>
            <w:pPr>
              <w:pStyle w:val="TableParagraph"/>
              <w:spacing w:line="265" w:lineRule="exact"/>
              <w:ind w:left="230" w:right="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c>
        <w:tc>
          <w:tcPr>
            <w:tcW w:w="1268" w:type="dxa"/>
            <w:tcBorders>
              <w:top w:val="single" w:sz="12" w:space="0" w:color="000000"/>
              <w:left w:val="single" w:sz="6" w:space="0" w:color="000000"/>
              <w:bottom w:val="single" w:sz="6" w:space="0" w:color="000000"/>
              <w:right w:val="single" w:sz="6" w:space="0" w:color="000000"/>
            </w:tcBorders>
          </w:tcPr>
          <w:p>
            <w:pPr>
              <w:pStyle w:val="TableParagraph"/>
              <w:spacing w:line="265" w:lineRule="exact"/>
              <w:ind w:left="309" w:right="0"/>
              <w:jc w:val="left"/>
              <w:rPr>
                <w:rFonts w:ascii="宋体" w:hAnsi="宋体" w:cs="宋体" w:eastAsia="宋体" w:hint="default"/>
                <w:sz w:val="21"/>
                <w:szCs w:val="21"/>
              </w:rPr>
            </w:pPr>
            <w:r>
              <w:rPr>
                <w:rFonts w:ascii="宋体" w:hAnsi="宋体" w:cs="宋体" w:eastAsia="宋体" w:hint="default"/>
                <w:b/>
                <w:bCs/>
                <w:sz w:val="21"/>
                <w:szCs w:val="21"/>
              </w:rPr>
              <w:t>毛利率</w:t>
            </w:r>
            <w:r>
              <w:rPr>
                <w:rFonts w:ascii="宋体" w:hAnsi="宋体" w:cs="宋体" w:eastAsia="宋体" w:hint="default"/>
                <w:sz w:val="21"/>
                <w:szCs w:val="21"/>
              </w:rPr>
            </w:r>
          </w:p>
        </w:tc>
        <w:tc>
          <w:tcPr>
            <w:tcW w:w="3260" w:type="dxa"/>
            <w:tcBorders>
              <w:top w:val="single" w:sz="12" w:space="0" w:color="000000"/>
              <w:left w:val="single" w:sz="6" w:space="0" w:color="000000"/>
              <w:bottom w:val="single" w:sz="6" w:space="0" w:color="000000"/>
              <w:right w:val="single" w:sz="6" w:space="0" w:color="000000"/>
            </w:tcBorders>
          </w:tcPr>
          <w:p>
            <w:pPr>
              <w:pStyle w:val="TableParagraph"/>
              <w:spacing w:line="265" w:lineRule="exact"/>
              <w:ind w:right="147"/>
              <w:jc w:val="right"/>
              <w:rPr>
                <w:rFonts w:ascii="宋体" w:hAnsi="宋体" w:cs="宋体" w:eastAsia="宋体" w:hint="default"/>
                <w:sz w:val="21"/>
                <w:szCs w:val="21"/>
              </w:rPr>
            </w:pPr>
            <w:r>
              <w:rPr>
                <w:rFonts w:ascii="宋体" w:hAnsi="宋体" w:cs="宋体" w:eastAsia="宋体" w:hint="default"/>
                <w:b/>
                <w:bCs/>
                <w:spacing w:val="-1"/>
                <w:sz w:val="21"/>
                <w:szCs w:val="21"/>
              </w:rPr>
              <w:t>归属于母公司股东的期末净资产</w:t>
            </w:r>
            <w:r>
              <w:rPr>
                <w:rFonts w:ascii="宋体" w:hAnsi="宋体" w:cs="宋体" w:eastAsia="宋体" w:hint="default"/>
                <w:spacing w:val="-1"/>
                <w:sz w:val="21"/>
                <w:szCs w:val="21"/>
              </w:rPr>
            </w:r>
          </w:p>
        </w:tc>
        <w:tc>
          <w:tcPr>
            <w:tcW w:w="1265" w:type="dxa"/>
            <w:tcBorders>
              <w:top w:val="single" w:sz="12" w:space="0" w:color="000000"/>
              <w:left w:val="single" w:sz="6" w:space="0" w:color="000000"/>
              <w:bottom w:val="single" w:sz="6" w:space="0" w:color="000000"/>
              <w:right w:val="single" w:sz="12" w:space="0" w:color="000000"/>
            </w:tcBorders>
          </w:tcPr>
          <w:p>
            <w:pPr>
              <w:pStyle w:val="TableParagraph"/>
              <w:spacing w:line="265" w:lineRule="exact"/>
              <w:ind w:left="9" w:right="0"/>
              <w:jc w:val="center"/>
              <w:rPr>
                <w:rFonts w:ascii="宋体" w:hAnsi="宋体" w:cs="宋体" w:eastAsia="宋体" w:hint="default"/>
                <w:sz w:val="21"/>
                <w:szCs w:val="21"/>
              </w:rPr>
            </w:pPr>
            <w:r>
              <w:rPr>
                <w:rFonts w:ascii="宋体" w:hAnsi="宋体" w:cs="宋体" w:eastAsia="宋体" w:hint="default"/>
                <w:b/>
                <w:bCs/>
                <w:sz w:val="21"/>
                <w:szCs w:val="21"/>
              </w:rPr>
              <w:t>总资产</w:t>
            </w:r>
            <w:r>
              <w:rPr>
                <w:rFonts w:ascii="宋体" w:hAnsi="宋体" w:cs="宋体" w:eastAsia="宋体" w:hint="default"/>
                <w:sz w:val="21"/>
                <w:szCs w:val="21"/>
              </w:rPr>
            </w:r>
          </w:p>
        </w:tc>
      </w:tr>
      <w:tr>
        <w:trPr>
          <w:trHeight w:val="331" w:hRule="exact"/>
        </w:trPr>
        <w:tc>
          <w:tcPr>
            <w:tcW w:w="2100" w:type="dxa"/>
            <w:tcBorders>
              <w:top w:val="single" w:sz="6" w:space="0" w:color="000000"/>
              <w:left w:val="single" w:sz="12" w:space="0" w:color="000000"/>
              <w:bottom w:val="single" w:sz="6" w:space="0" w:color="000000"/>
              <w:right w:val="single" w:sz="6" w:space="0" w:color="000000"/>
            </w:tcBorders>
          </w:tcPr>
          <w:p>
            <w:pPr>
              <w:pStyle w:val="TableParagraph"/>
              <w:spacing w:line="262" w:lineRule="exact"/>
              <w:ind w:right="7"/>
              <w:jc w:val="center"/>
              <w:rPr>
                <w:rFonts w:ascii="宋体" w:hAnsi="宋体" w:cs="宋体" w:eastAsia="宋体" w:hint="default"/>
                <w:sz w:val="21"/>
                <w:szCs w:val="21"/>
              </w:rPr>
            </w:pPr>
            <w:r>
              <w:rPr>
                <w:rFonts w:ascii="宋体"/>
                <w:b/>
                <w:sz w:val="21"/>
              </w:rPr>
              <w:t>2015</w:t>
            </w:r>
            <w:r>
              <w:rPr>
                <w:rFonts w:ascii="宋体"/>
                <w:sz w:val="21"/>
              </w:rPr>
            </w:r>
          </w:p>
        </w:tc>
        <w:tc>
          <w:tcPr>
            <w:tcW w:w="1743"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143,566.36</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18.85%</w:t>
            </w:r>
          </w:p>
        </w:tc>
        <w:tc>
          <w:tcPr>
            <w:tcW w:w="3260"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88,242.79</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62" w:lineRule="exact"/>
              <w:ind w:left="12" w:right="0"/>
              <w:jc w:val="center"/>
              <w:rPr>
                <w:rFonts w:ascii="宋体" w:hAnsi="宋体" w:cs="宋体" w:eastAsia="宋体" w:hint="default"/>
                <w:sz w:val="21"/>
                <w:szCs w:val="21"/>
              </w:rPr>
            </w:pPr>
            <w:r>
              <w:rPr>
                <w:rFonts w:ascii="宋体"/>
                <w:sz w:val="21"/>
              </w:rPr>
              <w:t>208,373.08</w:t>
            </w:r>
          </w:p>
        </w:tc>
      </w:tr>
      <w:tr>
        <w:trPr>
          <w:trHeight w:val="329" w:hRule="exact"/>
        </w:trPr>
        <w:tc>
          <w:tcPr>
            <w:tcW w:w="2100" w:type="dxa"/>
            <w:tcBorders>
              <w:top w:val="single" w:sz="6" w:space="0" w:color="000000"/>
              <w:left w:val="single" w:sz="12" w:space="0" w:color="000000"/>
              <w:bottom w:val="single" w:sz="6" w:space="0" w:color="000000"/>
              <w:right w:val="single" w:sz="6" w:space="0" w:color="000000"/>
            </w:tcBorders>
          </w:tcPr>
          <w:p>
            <w:pPr>
              <w:pStyle w:val="TableParagraph"/>
              <w:spacing w:line="262" w:lineRule="exact"/>
              <w:ind w:right="7"/>
              <w:jc w:val="center"/>
              <w:rPr>
                <w:rFonts w:ascii="宋体" w:hAnsi="宋体" w:cs="宋体" w:eastAsia="宋体" w:hint="default"/>
                <w:sz w:val="21"/>
                <w:szCs w:val="21"/>
              </w:rPr>
            </w:pPr>
            <w:r>
              <w:rPr>
                <w:rFonts w:ascii="宋体"/>
                <w:b/>
                <w:sz w:val="21"/>
              </w:rPr>
              <w:t>2014</w:t>
            </w:r>
            <w:r>
              <w:rPr>
                <w:rFonts w:ascii="宋体"/>
                <w:sz w:val="21"/>
              </w:rPr>
            </w:r>
          </w:p>
        </w:tc>
        <w:tc>
          <w:tcPr>
            <w:tcW w:w="1743"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134,795.33</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21.14%</w:t>
            </w:r>
          </w:p>
        </w:tc>
        <w:tc>
          <w:tcPr>
            <w:tcW w:w="3260"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84,794.89</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62" w:lineRule="exact"/>
              <w:ind w:left="12" w:right="0"/>
              <w:jc w:val="center"/>
              <w:rPr>
                <w:rFonts w:ascii="宋体" w:hAnsi="宋体" w:cs="宋体" w:eastAsia="宋体" w:hint="default"/>
                <w:sz w:val="21"/>
                <w:szCs w:val="21"/>
              </w:rPr>
            </w:pPr>
            <w:r>
              <w:rPr>
                <w:rFonts w:ascii="宋体"/>
                <w:sz w:val="21"/>
              </w:rPr>
              <w:t>198,102.81</w:t>
            </w:r>
          </w:p>
        </w:tc>
      </w:tr>
      <w:tr>
        <w:trPr>
          <w:trHeight w:val="322" w:hRule="exact"/>
        </w:trPr>
        <w:tc>
          <w:tcPr>
            <w:tcW w:w="2100" w:type="dxa"/>
            <w:tcBorders>
              <w:top w:val="single" w:sz="6" w:space="0" w:color="000000"/>
              <w:left w:val="single" w:sz="12" w:space="0" w:color="000000"/>
              <w:bottom w:val="single" w:sz="12" w:space="0" w:color="000000"/>
              <w:right w:val="single" w:sz="6" w:space="0" w:color="000000"/>
            </w:tcBorders>
          </w:tcPr>
          <w:p>
            <w:pPr>
              <w:pStyle w:val="TableParagraph"/>
              <w:spacing w:line="256" w:lineRule="exact"/>
              <w:ind w:right="7"/>
              <w:jc w:val="center"/>
              <w:rPr>
                <w:rFonts w:ascii="宋体" w:hAnsi="宋体" w:cs="宋体" w:eastAsia="宋体" w:hint="default"/>
                <w:sz w:val="21"/>
                <w:szCs w:val="21"/>
              </w:rPr>
            </w:pPr>
            <w:r>
              <w:rPr>
                <w:rFonts w:ascii="宋体"/>
                <w:b/>
                <w:sz w:val="21"/>
              </w:rPr>
              <w:t>2013</w:t>
            </w:r>
            <w:r>
              <w:rPr>
                <w:rFonts w:ascii="宋体"/>
                <w:sz w:val="21"/>
              </w:rPr>
            </w:r>
          </w:p>
        </w:tc>
        <w:tc>
          <w:tcPr>
            <w:tcW w:w="1743" w:type="dxa"/>
            <w:tcBorders>
              <w:top w:val="single" w:sz="6" w:space="0" w:color="000000"/>
              <w:left w:val="single" w:sz="6" w:space="0" w:color="000000"/>
              <w:bottom w:val="single" w:sz="12" w:space="0" w:color="000000"/>
              <w:right w:val="single" w:sz="6" w:space="0" w:color="000000"/>
            </w:tcBorders>
          </w:tcPr>
          <w:p>
            <w:pPr>
              <w:pStyle w:val="TableParagraph"/>
              <w:spacing w:line="256" w:lineRule="exact"/>
              <w:ind w:right="96"/>
              <w:jc w:val="right"/>
              <w:rPr>
                <w:rFonts w:ascii="宋体" w:hAnsi="宋体" w:cs="宋体" w:eastAsia="宋体" w:hint="default"/>
                <w:sz w:val="21"/>
                <w:szCs w:val="21"/>
              </w:rPr>
            </w:pPr>
            <w:r>
              <w:rPr>
                <w:rFonts w:ascii="宋体"/>
                <w:spacing w:val="-1"/>
                <w:sz w:val="21"/>
              </w:rPr>
              <w:t>109,534.14</w:t>
            </w:r>
          </w:p>
        </w:tc>
        <w:tc>
          <w:tcPr>
            <w:tcW w:w="1268" w:type="dxa"/>
            <w:tcBorders>
              <w:top w:val="single" w:sz="6" w:space="0" w:color="000000"/>
              <w:left w:val="single" w:sz="6" w:space="0" w:color="000000"/>
              <w:bottom w:val="single" w:sz="12" w:space="0" w:color="000000"/>
              <w:right w:val="single" w:sz="6" w:space="0" w:color="000000"/>
            </w:tcBorders>
          </w:tcPr>
          <w:p>
            <w:pPr>
              <w:pStyle w:val="TableParagraph"/>
              <w:spacing w:line="256" w:lineRule="exact"/>
              <w:ind w:right="96"/>
              <w:jc w:val="right"/>
              <w:rPr>
                <w:rFonts w:ascii="宋体" w:hAnsi="宋体" w:cs="宋体" w:eastAsia="宋体" w:hint="default"/>
                <w:sz w:val="21"/>
                <w:szCs w:val="21"/>
              </w:rPr>
            </w:pPr>
            <w:r>
              <w:rPr>
                <w:rFonts w:ascii="宋体"/>
                <w:sz w:val="21"/>
              </w:rPr>
              <w:t>22.44%</w:t>
            </w:r>
          </w:p>
        </w:tc>
        <w:tc>
          <w:tcPr>
            <w:tcW w:w="3260" w:type="dxa"/>
            <w:tcBorders>
              <w:top w:val="single" w:sz="6" w:space="0" w:color="000000"/>
              <w:left w:val="single" w:sz="6" w:space="0" w:color="000000"/>
              <w:bottom w:val="single" w:sz="12" w:space="0" w:color="000000"/>
              <w:right w:val="single" w:sz="6" w:space="0" w:color="000000"/>
            </w:tcBorders>
          </w:tcPr>
          <w:p>
            <w:pPr>
              <w:pStyle w:val="TableParagraph"/>
              <w:spacing w:line="256" w:lineRule="exact"/>
              <w:ind w:right="101"/>
              <w:jc w:val="right"/>
              <w:rPr>
                <w:rFonts w:ascii="宋体" w:hAnsi="宋体" w:cs="宋体" w:eastAsia="宋体" w:hint="default"/>
                <w:sz w:val="21"/>
                <w:szCs w:val="21"/>
              </w:rPr>
            </w:pPr>
            <w:r>
              <w:rPr>
                <w:rFonts w:ascii="宋体"/>
                <w:spacing w:val="-1"/>
                <w:sz w:val="21"/>
              </w:rPr>
              <w:t>61,919.48</w:t>
            </w:r>
          </w:p>
        </w:tc>
        <w:tc>
          <w:tcPr>
            <w:tcW w:w="1265" w:type="dxa"/>
            <w:tcBorders>
              <w:top w:val="single" w:sz="6" w:space="0" w:color="000000"/>
              <w:left w:val="single" w:sz="6" w:space="0" w:color="000000"/>
              <w:bottom w:val="single" w:sz="12" w:space="0" w:color="000000"/>
              <w:right w:val="single" w:sz="12" w:space="0" w:color="000000"/>
            </w:tcBorders>
          </w:tcPr>
          <w:p>
            <w:pPr>
              <w:pStyle w:val="TableParagraph"/>
              <w:spacing w:line="256" w:lineRule="exact"/>
              <w:ind w:left="12" w:right="0"/>
              <w:jc w:val="center"/>
              <w:rPr>
                <w:rFonts w:ascii="宋体" w:hAnsi="宋体" w:cs="宋体" w:eastAsia="宋体" w:hint="default"/>
                <w:sz w:val="21"/>
                <w:szCs w:val="21"/>
              </w:rPr>
            </w:pPr>
            <w:r>
              <w:rPr>
                <w:rFonts w:ascii="宋体"/>
                <w:sz w:val="21"/>
              </w:rPr>
              <w:t>160,802.79</w:t>
            </w:r>
          </w:p>
        </w:tc>
      </w:tr>
    </w:tbl>
    <w:p>
      <w:pPr>
        <w:spacing w:line="240" w:lineRule="auto" w:before="7"/>
        <w:rPr>
          <w:rFonts w:ascii="宋体" w:hAnsi="宋体" w:cs="宋体" w:eastAsia="宋体" w:hint="default"/>
          <w:sz w:val="23"/>
          <w:szCs w:val="23"/>
        </w:rPr>
      </w:pPr>
    </w:p>
    <w:p>
      <w:pPr>
        <w:pStyle w:val="Heading3"/>
        <w:spacing w:line="240" w:lineRule="auto" w:before="26"/>
        <w:ind w:left="158" w:right="0"/>
        <w:jc w:val="both"/>
        <w:rPr>
          <w:b w:val="0"/>
          <w:bCs w:val="0"/>
        </w:rPr>
      </w:pPr>
      <w:r>
        <w:rPr>
          <w:rFonts w:ascii="Calibri" w:hAnsi="Calibri" w:cs="Calibri" w:eastAsia="Calibri" w:hint="default"/>
        </w:rPr>
        <w:t>4</w:t>
      </w:r>
      <w:r>
        <w:rPr/>
        <w:t>、同方知网</w:t>
      </w:r>
      <w:r>
        <w:rPr>
          <w:rFonts w:ascii="Calibri" w:hAnsi="Calibri" w:cs="Calibri" w:eastAsia="Calibri" w:hint="default"/>
        </w:rPr>
        <w:t>(</w:t>
      </w:r>
      <w:r>
        <w:rPr/>
        <w:t>北京</w:t>
      </w:r>
      <w:r>
        <w:rPr>
          <w:rFonts w:ascii="Calibri" w:hAnsi="Calibri" w:cs="Calibri" w:eastAsia="Calibri" w:hint="default"/>
        </w:rPr>
        <w:t>)</w:t>
      </w:r>
      <w:r>
        <w:rPr/>
        <w:t>技术有限公司</w:t>
      </w:r>
      <w:r>
        <w:rPr>
          <w:b w:val="0"/>
          <w:bCs w:val="0"/>
        </w:rPr>
      </w:r>
    </w:p>
    <w:p>
      <w:pPr>
        <w:spacing w:line="240" w:lineRule="auto" w:before="12"/>
        <w:rPr>
          <w:rFonts w:ascii="宋体" w:hAnsi="宋体" w:cs="宋体" w:eastAsia="宋体" w:hint="default"/>
          <w:b/>
          <w:bCs/>
          <w:sz w:val="25"/>
          <w:szCs w:val="25"/>
        </w:rPr>
      </w:pPr>
    </w:p>
    <w:p>
      <w:pPr>
        <w:pStyle w:val="BodyText"/>
        <w:spacing w:line="237" w:lineRule="auto"/>
        <w:ind w:right="558"/>
        <w:jc w:val="both"/>
      </w:pPr>
      <w:r>
        <w:rPr/>
        <w:t>同方知网</w:t>
      </w:r>
      <w:r>
        <w:rPr>
          <w:rFonts w:ascii="宋体" w:hAnsi="宋体" w:cs="宋体" w:eastAsia="宋体" w:hint="default"/>
        </w:rPr>
        <w:t>(</w:t>
      </w:r>
      <w:r>
        <w:rPr/>
        <w:t>北京</w:t>
      </w:r>
      <w:r>
        <w:rPr>
          <w:rFonts w:ascii="宋体" w:hAnsi="宋体" w:cs="宋体" w:eastAsia="宋体" w:hint="default"/>
        </w:rPr>
        <w:t>)</w:t>
      </w:r>
      <w:r>
        <w:rPr/>
        <w:t>技术有限公司</w:t>
      </w:r>
      <w:r>
        <w:rPr>
          <w:rFonts w:ascii="宋体" w:hAnsi="宋体" w:cs="宋体" w:eastAsia="宋体" w:hint="default"/>
        </w:rPr>
        <w:t>(</w:t>
      </w:r>
      <w:r>
        <w:rPr/>
        <w:t>以下简称“同方知网”</w:t>
      </w:r>
      <w:r>
        <w:rPr>
          <w:rFonts w:ascii="宋体" w:hAnsi="宋体" w:cs="宋体" w:eastAsia="宋体" w:hint="default"/>
        </w:rPr>
        <w:t>)</w:t>
      </w:r>
      <w:r>
        <w:rPr/>
        <w:t>注册资本 </w:t>
      </w:r>
      <w:r>
        <w:rPr>
          <w:rFonts w:ascii="宋体" w:hAnsi="宋体" w:cs="宋体" w:eastAsia="宋体" w:hint="default"/>
        </w:rPr>
        <w:t>100</w:t>
      </w:r>
      <w:r>
        <w:rPr>
          <w:rFonts w:ascii="宋体" w:hAnsi="宋体" w:cs="宋体" w:eastAsia="宋体" w:hint="default"/>
          <w:spacing w:val="-41"/>
        </w:rPr>
        <w:t> </w:t>
      </w:r>
      <w:r>
        <w:rPr/>
        <w:t>万美元，公司合并 </w:t>
      </w:r>
      <w:r>
        <w:rPr>
          <w:spacing w:val="7"/>
        </w:rPr>
        <w:t>持股 </w:t>
      </w:r>
      <w:r>
        <w:rPr>
          <w:rFonts w:ascii="宋体" w:hAnsi="宋体" w:cs="宋体" w:eastAsia="宋体" w:hint="default"/>
          <w:spacing w:val="12"/>
        </w:rPr>
        <w:t>100%</w:t>
      </w:r>
      <w:r>
        <w:rPr>
          <w:spacing w:val="12"/>
        </w:rPr>
        <w:t>，系公司为推动互联网业务的国际化进程，通过海外投资平台</w:t>
      </w:r>
      <w:r>
        <w:rPr>
          <w:spacing w:val="39"/>
        </w:rPr>
        <w:t> </w:t>
      </w:r>
      <w:r>
        <w:rPr>
          <w:rFonts w:ascii="宋体" w:hAnsi="宋体" w:cs="宋体" w:eastAsia="宋体" w:hint="default"/>
        </w:rPr>
        <w:t>Resuccess Investments</w:t>
      </w:r>
      <w:r>
        <w:rPr>
          <w:rFonts w:ascii="宋体" w:hAnsi="宋体" w:cs="宋体" w:eastAsia="宋体" w:hint="default"/>
          <w:spacing w:val="-79"/>
        </w:rPr>
        <w:t> </w:t>
      </w:r>
      <w:r>
        <w:rPr>
          <w:rFonts w:ascii="宋体" w:hAnsi="宋体" w:cs="宋体" w:eastAsia="宋体" w:hint="default"/>
        </w:rPr>
        <w:t>Limited</w:t>
      </w:r>
      <w:r>
        <w:rPr>
          <w:rFonts w:ascii="宋体" w:hAnsi="宋体" w:cs="宋体" w:eastAsia="宋体" w:hint="default"/>
          <w:spacing w:val="-78"/>
        </w:rPr>
        <w:t> </w:t>
      </w:r>
      <w:r>
        <w:rPr/>
        <w:t>设立的面向全球市场的互联网技术开发公司，同方知网主要从事互 联网出版与服务业务，目前已经形成了“中国知网”</w:t>
      </w:r>
      <w:r>
        <w:rPr>
          <w:rFonts w:ascii="宋体" w:hAnsi="宋体" w:cs="宋体" w:eastAsia="宋体" w:hint="default"/>
        </w:rPr>
        <w:t>(CNKI)</w:t>
      </w:r>
      <w:r>
        <w:rPr/>
        <w:t>门户网站，为用户提供《中</w:t>
      </w:r>
      <w:r>
        <w:rPr>
          <w:spacing w:val="-48"/>
        </w:rPr>
        <w:t> </w:t>
      </w:r>
      <w:r>
        <w:rPr/>
        <w:t>国知识资源总库》、《中国学术期刊数据库》、《中国博硕士论文数据库》、《中国年</w:t>
      </w:r>
      <w:r>
        <w:rPr>
          <w:spacing w:val="-51"/>
        </w:rPr>
        <w:t> </w:t>
      </w:r>
      <w:r>
        <w:rPr>
          <w:spacing w:val="-51"/>
        </w:rPr>
      </w:r>
      <w:r>
        <w:rPr/>
        <w:t>鉴全文数据库》、《中国工具书网络出版总库》等一系列产品，以及知识资源互联网搜</w:t>
      </w:r>
      <w:r>
        <w:rPr>
          <w:spacing w:val="-51"/>
        </w:rPr>
        <w:t> </w:t>
      </w:r>
      <w:r>
        <w:rPr>
          <w:spacing w:val="-51"/>
        </w:rPr>
      </w:r>
      <w:r>
        <w:rPr/>
        <w:t>索、共享和网络出版服务。</w:t>
      </w:r>
    </w:p>
    <w:p>
      <w:pPr>
        <w:spacing w:line="240" w:lineRule="auto" w:before="12"/>
        <w:rPr>
          <w:rFonts w:ascii="宋体" w:hAnsi="宋体" w:cs="宋体" w:eastAsia="宋体" w:hint="default"/>
          <w:sz w:val="23"/>
          <w:szCs w:val="23"/>
        </w:rPr>
      </w:pPr>
    </w:p>
    <w:p>
      <w:pPr>
        <w:pStyle w:val="BodyText"/>
        <w:spacing w:line="237" w:lineRule="auto"/>
        <w:ind w:right="560"/>
        <w:jc w:val="both"/>
      </w:pPr>
      <w:r>
        <w:rPr>
          <w:rFonts w:ascii="宋体" w:hAnsi="宋体" w:cs="宋体" w:eastAsia="宋体" w:hint="default"/>
        </w:rPr>
        <w:t>2015</w:t>
      </w:r>
      <w:r>
        <w:rPr>
          <w:rFonts w:ascii="宋体" w:hAnsi="宋体" w:cs="宋体" w:eastAsia="宋体" w:hint="default"/>
          <w:spacing w:val="-82"/>
        </w:rPr>
        <w:t> </w:t>
      </w:r>
      <w:r>
        <w:rPr/>
        <w:t>年，同方知网把握国家实施创新驱动发展战略对行业转型升级的推动，</w:t>
      </w:r>
      <w:r>
        <w:rPr>
          <w:spacing w:val="-75"/>
        </w:rPr>
        <w:t> </w:t>
      </w:r>
      <w:r>
        <w:rPr/>
        <w:t>以知识型总</w:t>
      </w:r>
      <w:r>
        <w:rPr/>
        <w:t> 库各类资源的原创数字出版和整合数字出版为模式，在文献型总库的基础上，逐步构建</w:t>
      </w:r>
      <w:r>
        <w:rPr>
          <w:spacing w:val="-47"/>
        </w:rPr>
        <w:t> </w:t>
      </w:r>
      <w:r>
        <w:rPr>
          <w:spacing w:val="-47"/>
        </w:rPr>
      </w:r>
      <w:r>
        <w:rPr/>
        <w:t>并完善新一代知识网络型资源总库及原创数字出版生产编辑出版传播系统。截至</w:t>
      </w:r>
      <w:r>
        <w:rPr>
          <w:spacing w:val="-78"/>
        </w:rPr>
        <w:t> </w:t>
      </w:r>
      <w:r>
        <w:rPr>
          <w:rFonts w:ascii="宋体" w:hAnsi="宋体" w:cs="宋体" w:eastAsia="宋体" w:hint="default"/>
        </w:rPr>
        <w:t>2015</w:t>
      </w:r>
      <w:r>
        <w:rPr>
          <w:rFonts w:ascii="宋体" w:hAnsi="宋体" w:cs="宋体" w:eastAsia="宋体" w:hint="default"/>
          <w:spacing w:val="-78"/>
        </w:rPr>
        <w:t> </w:t>
      </w:r>
      <w:r>
        <w:rPr/>
        <w:t>年 底，</w:t>
      </w:r>
      <w:r>
        <w:rPr>
          <w:rFonts w:ascii="宋体" w:hAnsi="宋体" w:cs="宋体" w:eastAsia="宋体" w:hint="default"/>
        </w:rPr>
        <w:t>CNKI Scholar(</w:t>
      </w:r>
      <w:r>
        <w:rPr/>
        <w:t>学术搜索平台</w:t>
      </w:r>
      <w:r>
        <w:rPr>
          <w:rFonts w:ascii="宋体" w:hAnsi="宋体" w:cs="宋体" w:eastAsia="宋体" w:hint="default"/>
        </w:rPr>
        <w:t>)</w:t>
      </w:r>
      <w:r>
        <w:rPr/>
        <w:t>已与 </w:t>
      </w:r>
      <w:r>
        <w:rPr>
          <w:rFonts w:ascii="宋体" w:hAnsi="宋体" w:cs="宋体" w:eastAsia="宋体" w:hint="default"/>
        </w:rPr>
        <w:t>300</w:t>
      </w:r>
      <w:r>
        <w:rPr>
          <w:rFonts w:ascii="宋体" w:hAnsi="宋体" w:cs="宋体" w:eastAsia="宋体" w:hint="default"/>
          <w:spacing w:val="-41"/>
        </w:rPr>
        <w:t> </w:t>
      </w:r>
      <w:r>
        <w:rPr/>
        <w:t>多家国际出版社进行了版权合作，整合出版 了数百个重要的数据库，共有</w:t>
      </w:r>
      <w:r>
        <w:rPr>
          <w:spacing w:val="-70"/>
        </w:rPr>
        <w:t> </w:t>
      </w:r>
      <w:r>
        <w:rPr>
          <w:rFonts w:ascii="宋体" w:hAnsi="宋体" w:cs="宋体" w:eastAsia="宋体" w:hint="default"/>
        </w:rPr>
        <w:t>3</w:t>
      </w:r>
      <w:r>
        <w:rPr>
          <w:rFonts w:ascii="宋体" w:hAnsi="宋体" w:cs="宋体" w:eastAsia="宋体" w:hint="default"/>
          <w:spacing w:val="-70"/>
        </w:rPr>
        <w:t> </w:t>
      </w:r>
      <w:r>
        <w:rPr/>
        <w:t>亿多篇中外文文献，为两万多机构用户的</w:t>
      </w:r>
      <w:r>
        <w:rPr>
          <w:spacing w:val="-70"/>
        </w:rPr>
        <w:t> </w:t>
      </w:r>
      <w:r>
        <w:rPr>
          <w:rFonts w:ascii="宋体" w:hAnsi="宋体" w:cs="宋体" w:eastAsia="宋体" w:hint="default"/>
        </w:rPr>
        <w:t>2000</w:t>
      </w:r>
      <w:r>
        <w:rPr>
          <w:rFonts w:ascii="宋体" w:hAnsi="宋体" w:cs="宋体" w:eastAsia="宋体" w:hint="default"/>
          <w:spacing w:val="-70"/>
        </w:rPr>
        <w:t> </w:t>
      </w:r>
      <w:r>
        <w:rPr/>
        <w:t>多万个人</w:t>
      </w:r>
    </w:p>
    <w:p>
      <w:pPr>
        <w:pStyle w:val="BodyText"/>
        <w:spacing w:line="237" w:lineRule="auto" w:before="1"/>
        <w:ind w:right="560"/>
        <w:jc w:val="both"/>
      </w:pPr>
      <w:r>
        <w:rPr/>
        <w:t>用户提供了免费的学术资源检索服务，日均检索量达</w:t>
      </w:r>
      <w:r>
        <w:rPr>
          <w:spacing w:val="-77"/>
        </w:rPr>
        <w:t> </w:t>
      </w:r>
      <w:r>
        <w:rPr>
          <w:rFonts w:ascii="宋体" w:hAnsi="宋体" w:cs="宋体" w:eastAsia="宋体" w:hint="default"/>
        </w:rPr>
        <w:t>1000</w:t>
      </w:r>
      <w:r>
        <w:rPr>
          <w:rFonts w:ascii="宋体" w:hAnsi="宋体" w:cs="宋体" w:eastAsia="宋体" w:hint="default"/>
          <w:spacing w:val="-77"/>
        </w:rPr>
        <w:t> </w:t>
      </w:r>
      <w:r>
        <w:rPr/>
        <w:t>多万次。此外，同方知网还积 极开展全文合作，在中国大陆独家代理了世界领先的学术文献服务专业公司 </w:t>
      </w:r>
      <w:r>
        <w:rPr>
          <w:rFonts w:ascii="宋体" w:hAnsi="宋体" w:cs="宋体" w:eastAsia="宋体" w:hint="default"/>
        </w:rPr>
        <w:t>EBSCO</w:t>
      </w:r>
      <w:r>
        <w:rPr>
          <w:rFonts w:ascii="宋体" w:hAnsi="宋体" w:cs="宋体" w:eastAsia="宋体" w:hint="default"/>
          <w:spacing w:val="-38"/>
        </w:rPr>
        <w:t> </w:t>
      </w:r>
      <w:r>
        <w:rPr/>
        <w:t>的近 </w:t>
      </w:r>
      <w:r>
        <w:rPr>
          <w:rFonts w:ascii="宋体" w:hAnsi="宋体" w:cs="宋体" w:eastAsia="宋体" w:hint="default"/>
        </w:rPr>
        <w:t>30</w:t>
      </w:r>
      <w:r>
        <w:rPr>
          <w:rFonts w:ascii="宋体" w:hAnsi="宋体" w:cs="宋体" w:eastAsia="宋体" w:hint="default"/>
          <w:spacing w:val="-39"/>
        </w:rPr>
        <w:t> </w:t>
      </w:r>
      <w:r>
        <w:rPr/>
        <w:t>个数据库。不仅为国内的研究机构与读者提供学术文献搜索服务，而且向各行各业的 知识服务纵深拓展，充分服务于“万众创新、大众创业”。</w:t>
      </w:r>
    </w:p>
    <w:p>
      <w:pPr>
        <w:spacing w:line="240" w:lineRule="auto" w:before="7"/>
        <w:rPr>
          <w:rFonts w:ascii="宋体" w:hAnsi="宋体" w:cs="宋体" w:eastAsia="宋体" w:hint="default"/>
          <w:sz w:val="23"/>
          <w:szCs w:val="23"/>
        </w:rPr>
      </w:pPr>
    </w:p>
    <w:p>
      <w:pPr>
        <w:pStyle w:val="BodyText"/>
        <w:spacing w:line="240" w:lineRule="auto"/>
        <w:ind w:right="0"/>
        <w:jc w:val="both"/>
      </w:pPr>
      <w:r>
        <w:rPr/>
        <w:t>同方知网近三年主要财务数据：</w:t>
      </w:r>
    </w:p>
    <w:p>
      <w:pPr>
        <w:spacing w:after="0" w:line="240" w:lineRule="auto"/>
        <w:jc w:val="both"/>
        <w:sectPr>
          <w:pgSz w:w="11910" w:h="16840"/>
          <w:pgMar w:header="628" w:footer="760" w:top="1080" w:bottom="960" w:left="1260" w:right="7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0"/>
          <w:szCs w:val="10"/>
        </w:rPr>
      </w:pPr>
    </w:p>
    <w:tbl>
      <w:tblPr>
        <w:tblW w:w="0" w:type="auto"/>
        <w:jc w:val="left"/>
        <w:tblInd w:w="130" w:type="dxa"/>
        <w:tblLayout w:type="fixed"/>
        <w:tblCellMar>
          <w:top w:w="0" w:type="dxa"/>
          <w:left w:w="0" w:type="dxa"/>
          <w:bottom w:w="0" w:type="dxa"/>
          <w:right w:w="0" w:type="dxa"/>
        </w:tblCellMar>
        <w:tblLook w:val="01E0"/>
      </w:tblPr>
      <w:tblGrid>
        <w:gridCol w:w="2100"/>
        <w:gridCol w:w="1743"/>
        <w:gridCol w:w="1136"/>
        <w:gridCol w:w="3260"/>
        <w:gridCol w:w="1265"/>
      </w:tblGrid>
      <w:tr>
        <w:trPr>
          <w:trHeight w:val="338" w:hRule="exact"/>
        </w:trPr>
        <w:tc>
          <w:tcPr>
            <w:tcW w:w="2100" w:type="dxa"/>
            <w:tcBorders>
              <w:top w:val="single" w:sz="12" w:space="0" w:color="000000"/>
              <w:left w:val="single" w:sz="12" w:space="0" w:color="000000"/>
              <w:bottom w:val="single" w:sz="6" w:space="0" w:color="000000"/>
              <w:right w:val="single" w:sz="6" w:space="0" w:color="000000"/>
            </w:tcBorders>
          </w:tcPr>
          <w:p>
            <w:pPr>
              <w:pStyle w:val="TableParagraph"/>
              <w:spacing w:line="265" w:lineRule="exact"/>
              <w:ind w:right="2"/>
              <w:jc w:val="center"/>
              <w:rPr>
                <w:rFonts w:ascii="宋体" w:hAnsi="宋体" w:cs="宋体" w:eastAsia="宋体" w:hint="default"/>
                <w:sz w:val="21"/>
                <w:szCs w:val="21"/>
              </w:rPr>
            </w:pPr>
            <w:r>
              <w:rPr>
                <w:rFonts w:ascii="宋体" w:hAnsi="宋体" w:cs="宋体" w:eastAsia="宋体" w:hint="default"/>
                <w:b/>
                <w:bCs/>
                <w:sz w:val="21"/>
                <w:szCs w:val="21"/>
              </w:rPr>
              <w:t>年度</w:t>
            </w:r>
            <w:r>
              <w:rPr>
                <w:rFonts w:ascii="宋体" w:hAnsi="宋体" w:cs="宋体" w:eastAsia="宋体" w:hint="default"/>
                <w:b/>
                <w:bCs/>
                <w:sz w:val="21"/>
                <w:szCs w:val="21"/>
              </w:rPr>
              <w:t>(</w:t>
            </w:r>
            <w:r>
              <w:rPr>
                <w:rFonts w:ascii="宋体" w:hAnsi="宋体" w:cs="宋体" w:eastAsia="宋体" w:hint="default"/>
                <w:b/>
                <w:bCs/>
                <w:sz w:val="21"/>
                <w:szCs w:val="21"/>
              </w:rPr>
              <w:t>单位：万元</w:t>
            </w:r>
            <w:r>
              <w:rPr>
                <w:rFonts w:ascii="宋体" w:hAnsi="宋体" w:cs="宋体" w:eastAsia="宋体" w:hint="default"/>
                <w:b/>
                <w:bCs/>
                <w:sz w:val="21"/>
                <w:szCs w:val="21"/>
              </w:rPr>
              <w:t>)</w:t>
            </w:r>
            <w:r>
              <w:rPr>
                <w:rFonts w:ascii="宋体" w:hAnsi="宋体" w:cs="宋体" w:eastAsia="宋体" w:hint="default"/>
                <w:sz w:val="21"/>
                <w:szCs w:val="21"/>
              </w:rPr>
            </w:r>
          </w:p>
        </w:tc>
        <w:tc>
          <w:tcPr>
            <w:tcW w:w="1743" w:type="dxa"/>
            <w:tcBorders>
              <w:top w:val="single" w:sz="12" w:space="0" w:color="000000"/>
              <w:left w:val="single" w:sz="6" w:space="0" w:color="000000"/>
              <w:bottom w:val="single" w:sz="6" w:space="0" w:color="000000"/>
              <w:right w:val="single" w:sz="6" w:space="0" w:color="000000"/>
            </w:tcBorders>
          </w:tcPr>
          <w:p>
            <w:pPr>
              <w:pStyle w:val="TableParagraph"/>
              <w:spacing w:line="265" w:lineRule="exact"/>
              <w:ind w:left="230" w:right="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c>
        <w:tc>
          <w:tcPr>
            <w:tcW w:w="1136" w:type="dxa"/>
            <w:tcBorders>
              <w:top w:val="single" w:sz="12" w:space="0" w:color="000000"/>
              <w:left w:val="single" w:sz="6" w:space="0" w:color="000000"/>
              <w:bottom w:val="single" w:sz="6" w:space="0" w:color="000000"/>
              <w:right w:val="single" w:sz="6" w:space="0" w:color="000000"/>
            </w:tcBorders>
          </w:tcPr>
          <w:p>
            <w:pPr>
              <w:pStyle w:val="TableParagraph"/>
              <w:spacing w:line="265" w:lineRule="exact"/>
              <w:ind w:left="242" w:right="0"/>
              <w:jc w:val="left"/>
              <w:rPr>
                <w:rFonts w:ascii="宋体" w:hAnsi="宋体" w:cs="宋体" w:eastAsia="宋体" w:hint="default"/>
                <w:sz w:val="21"/>
                <w:szCs w:val="21"/>
              </w:rPr>
            </w:pPr>
            <w:r>
              <w:rPr>
                <w:rFonts w:ascii="宋体" w:hAnsi="宋体" w:cs="宋体" w:eastAsia="宋体" w:hint="default"/>
                <w:b/>
                <w:bCs/>
                <w:sz w:val="21"/>
                <w:szCs w:val="21"/>
              </w:rPr>
              <w:t>毛利率</w:t>
            </w:r>
            <w:r>
              <w:rPr>
                <w:rFonts w:ascii="宋体" w:hAnsi="宋体" w:cs="宋体" w:eastAsia="宋体" w:hint="default"/>
                <w:sz w:val="21"/>
                <w:szCs w:val="21"/>
              </w:rPr>
            </w:r>
          </w:p>
        </w:tc>
        <w:tc>
          <w:tcPr>
            <w:tcW w:w="3260" w:type="dxa"/>
            <w:tcBorders>
              <w:top w:val="single" w:sz="12" w:space="0" w:color="000000"/>
              <w:left w:val="single" w:sz="6" w:space="0" w:color="000000"/>
              <w:bottom w:val="single" w:sz="6" w:space="0" w:color="000000"/>
              <w:right w:val="single" w:sz="6" w:space="0" w:color="000000"/>
            </w:tcBorders>
          </w:tcPr>
          <w:p>
            <w:pPr>
              <w:pStyle w:val="TableParagraph"/>
              <w:spacing w:line="265" w:lineRule="exact"/>
              <w:ind w:right="147"/>
              <w:jc w:val="right"/>
              <w:rPr>
                <w:rFonts w:ascii="宋体" w:hAnsi="宋体" w:cs="宋体" w:eastAsia="宋体" w:hint="default"/>
                <w:sz w:val="21"/>
                <w:szCs w:val="21"/>
              </w:rPr>
            </w:pPr>
            <w:r>
              <w:rPr>
                <w:rFonts w:ascii="宋体" w:hAnsi="宋体" w:cs="宋体" w:eastAsia="宋体" w:hint="default"/>
                <w:b/>
                <w:bCs/>
                <w:spacing w:val="-1"/>
                <w:sz w:val="21"/>
                <w:szCs w:val="21"/>
              </w:rPr>
              <w:t>归属于母公司股东的期末净资产</w:t>
            </w:r>
            <w:r>
              <w:rPr>
                <w:rFonts w:ascii="宋体" w:hAnsi="宋体" w:cs="宋体" w:eastAsia="宋体" w:hint="default"/>
                <w:spacing w:val="-1"/>
                <w:sz w:val="21"/>
                <w:szCs w:val="21"/>
              </w:rPr>
            </w:r>
          </w:p>
        </w:tc>
        <w:tc>
          <w:tcPr>
            <w:tcW w:w="1265" w:type="dxa"/>
            <w:tcBorders>
              <w:top w:val="single" w:sz="12" w:space="0" w:color="000000"/>
              <w:left w:val="single" w:sz="6" w:space="0" w:color="000000"/>
              <w:bottom w:val="single" w:sz="6" w:space="0" w:color="000000"/>
              <w:right w:val="single" w:sz="12" w:space="0" w:color="000000"/>
            </w:tcBorders>
          </w:tcPr>
          <w:p>
            <w:pPr>
              <w:pStyle w:val="TableParagraph"/>
              <w:spacing w:line="265" w:lineRule="exact"/>
              <w:ind w:left="9" w:right="0"/>
              <w:jc w:val="center"/>
              <w:rPr>
                <w:rFonts w:ascii="宋体" w:hAnsi="宋体" w:cs="宋体" w:eastAsia="宋体" w:hint="default"/>
                <w:sz w:val="21"/>
                <w:szCs w:val="21"/>
              </w:rPr>
            </w:pPr>
            <w:r>
              <w:rPr>
                <w:rFonts w:ascii="宋体" w:hAnsi="宋体" w:cs="宋体" w:eastAsia="宋体" w:hint="default"/>
                <w:b/>
                <w:bCs/>
                <w:sz w:val="21"/>
                <w:szCs w:val="21"/>
              </w:rPr>
              <w:t>总资产</w:t>
            </w:r>
            <w:r>
              <w:rPr>
                <w:rFonts w:ascii="宋体" w:hAnsi="宋体" w:cs="宋体" w:eastAsia="宋体" w:hint="default"/>
                <w:sz w:val="21"/>
                <w:szCs w:val="21"/>
              </w:rPr>
            </w:r>
          </w:p>
        </w:tc>
      </w:tr>
      <w:tr>
        <w:trPr>
          <w:trHeight w:val="331" w:hRule="exact"/>
        </w:trPr>
        <w:tc>
          <w:tcPr>
            <w:tcW w:w="2100" w:type="dxa"/>
            <w:tcBorders>
              <w:top w:val="single" w:sz="6" w:space="0" w:color="000000"/>
              <w:left w:val="single" w:sz="12" w:space="0" w:color="000000"/>
              <w:bottom w:val="single" w:sz="6" w:space="0" w:color="000000"/>
              <w:right w:val="single" w:sz="6" w:space="0" w:color="000000"/>
            </w:tcBorders>
          </w:tcPr>
          <w:p>
            <w:pPr>
              <w:pStyle w:val="TableParagraph"/>
              <w:spacing w:line="262" w:lineRule="exact"/>
              <w:ind w:right="7"/>
              <w:jc w:val="center"/>
              <w:rPr>
                <w:rFonts w:ascii="宋体" w:hAnsi="宋体" w:cs="宋体" w:eastAsia="宋体" w:hint="default"/>
                <w:sz w:val="21"/>
                <w:szCs w:val="21"/>
              </w:rPr>
            </w:pPr>
            <w:r>
              <w:rPr>
                <w:rFonts w:ascii="宋体"/>
                <w:b/>
                <w:sz w:val="21"/>
              </w:rPr>
              <w:t>2015</w:t>
            </w:r>
            <w:r>
              <w:rPr>
                <w:rFonts w:ascii="宋体"/>
                <w:sz w:val="21"/>
              </w:rPr>
            </w:r>
          </w:p>
        </w:tc>
        <w:tc>
          <w:tcPr>
            <w:tcW w:w="1743"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73,425.73</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9"/>
              <w:jc w:val="right"/>
              <w:rPr>
                <w:rFonts w:ascii="宋体" w:hAnsi="宋体" w:cs="宋体" w:eastAsia="宋体" w:hint="default"/>
                <w:sz w:val="21"/>
                <w:szCs w:val="21"/>
              </w:rPr>
            </w:pPr>
            <w:r>
              <w:rPr>
                <w:rFonts w:ascii="宋体"/>
                <w:sz w:val="21"/>
              </w:rPr>
              <w:t>64.66%</w:t>
            </w:r>
          </w:p>
        </w:tc>
        <w:tc>
          <w:tcPr>
            <w:tcW w:w="3260"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103,833.91</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62" w:lineRule="exact"/>
              <w:ind w:left="12" w:right="0"/>
              <w:jc w:val="center"/>
              <w:rPr>
                <w:rFonts w:ascii="宋体" w:hAnsi="宋体" w:cs="宋体" w:eastAsia="宋体" w:hint="default"/>
                <w:sz w:val="21"/>
                <w:szCs w:val="21"/>
              </w:rPr>
            </w:pPr>
            <w:r>
              <w:rPr>
                <w:rFonts w:ascii="宋体"/>
                <w:sz w:val="21"/>
              </w:rPr>
              <w:t>152,414.76</w:t>
            </w:r>
          </w:p>
        </w:tc>
      </w:tr>
      <w:tr>
        <w:trPr>
          <w:trHeight w:val="329" w:hRule="exact"/>
        </w:trPr>
        <w:tc>
          <w:tcPr>
            <w:tcW w:w="2100" w:type="dxa"/>
            <w:tcBorders>
              <w:top w:val="single" w:sz="6" w:space="0" w:color="000000"/>
              <w:left w:val="single" w:sz="12" w:space="0" w:color="000000"/>
              <w:bottom w:val="single" w:sz="6" w:space="0" w:color="000000"/>
              <w:right w:val="single" w:sz="6" w:space="0" w:color="000000"/>
            </w:tcBorders>
          </w:tcPr>
          <w:p>
            <w:pPr>
              <w:pStyle w:val="TableParagraph"/>
              <w:spacing w:line="262" w:lineRule="exact"/>
              <w:ind w:right="7"/>
              <w:jc w:val="center"/>
              <w:rPr>
                <w:rFonts w:ascii="宋体" w:hAnsi="宋体" w:cs="宋体" w:eastAsia="宋体" w:hint="default"/>
                <w:sz w:val="21"/>
                <w:szCs w:val="21"/>
              </w:rPr>
            </w:pPr>
            <w:r>
              <w:rPr>
                <w:rFonts w:ascii="宋体"/>
                <w:b/>
                <w:sz w:val="21"/>
              </w:rPr>
              <w:t>2014</w:t>
            </w:r>
            <w:r>
              <w:rPr>
                <w:rFonts w:ascii="宋体"/>
                <w:sz w:val="21"/>
              </w:rPr>
            </w:r>
          </w:p>
        </w:tc>
        <w:tc>
          <w:tcPr>
            <w:tcW w:w="1743"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64,831.70</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9"/>
              <w:jc w:val="right"/>
              <w:rPr>
                <w:rFonts w:ascii="宋体" w:hAnsi="宋体" w:cs="宋体" w:eastAsia="宋体" w:hint="default"/>
                <w:sz w:val="21"/>
                <w:szCs w:val="21"/>
              </w:rPr>
            </w:pPr>
            <w:r>
              <w:rPr>
                <w:rFonts w:ascii="宋体"/>
                <w:sz w:val="21"/>
              </w:rPr>
              <w:t>65.74%</w:t>
            </w:r>
          </w:p>
        </w:tc>
        <w:tc>
          <w:tcPr>
            <w:tcW w:w="3260"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88,719.71</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62" w:lineRule="exact"/>
              <w:ind w:left="12" w:right="0"/>
              <w:jc w:val="center"/>
              <w:rPr>
                <w:rFonts w:ascii="宋体" w:hAnsi="宋体" w:cs="宋体" w:eastAsia="宋体" w:hint="default"/>
                <w:sz w:val="21"/>
                <w:szCs w:val="21"/>
              </w:rPr>
            </w:pPr>
            <w:r>
              <w:rPr>
                <w:rFonts w:ascii="宋体"/>
                <w:sz w:val="21"/>
              </w:rPr>
              <w:t>125,941.29</w:t>
            </w:r>
          </w:p>
        </w:tc>
      </w:tr>
      <w:tr>
        <w:trPr>
          <w:trHeight w:val="336" w:hRule="exact"/>
        </w:trPr>
        <w:tc>
          <w:tcPr>
            <w:tcW w:w="2100" w:type="dxa"/>
            <w:tcBorders>
              <w:top w:val="single" w:sz="6" w:space="0" w:color="000000"/>
              <w:left w:val="single" w:sz="12" w:space="0" w:color="000000"/>
              <w:bottom w:val="single" w:sz="12" w:space="0" w:color="000000"/>
              <w:right w:val="single" w:sz="6" w:space="0" w:color="000000"/>
            </w:tcBorders>
          </w:tcPr>
          <w:p>
            <w:pPr>
              <w:pStyle w:val="TableParagraph"/>
              <w:spacing w:line="262" w:lineRule="exact"/>
              <w:ind w:right="7"/>
              <w:jc w:val="center"/>
              <w:rPr>
                <w:rFonts w:ascii="宋体" w:hAnsi="宋体" w:cs="宋体" w:eastAsia="宋体" w:hint="default"/>
                <w:sz w:val="21"/>
                <w:szCs w:val="21"/>
              </w:rPr>
            </w:pPr>
            <w:r>
              <w:rPr>
                <w:rFonts w:ascii="宋体"/>
                <w:b/>
                <w:sz w:val="21"/>
              </w:rPr>
              <w:t>2013</w:t>
            </w:r>
            <w:r>
              <w:rPr>
                <w:rFonts w:ascii="宋体"/>
                <w:sz w:val="21"/>
              </w:rPr>
            </w:r>
          </w:p>
        </w:tc>
        <w:tc>
          <w:tcPr>
            <w:tcW w:w="1743" w:type="dxa"/>
            <w:tcBorders>
              <w:top w:val="single" w:sz="6" w:space="0" w:color="000000"/>
              <w:left w:val="single" w:sz="6" w:space="0" w:color="000000"/>
              <w:bottom w:val="single" w:sz="12" w:space="0" w:color="000000"/>
              <w:right w:val="single" w:sz="6"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57,582.85</w:t>
            </w:r>
          </w:p>
        </w:tc>
        <w:tc>
          <w:tcPr>
            <w:tcW w:w="1136" w:type="dxa"/>
            <w:tcBorders>
              <w:top w:val="single" w:sz="6" w:space="0" w:color="000000"/>
              <w:left w:val="single" w:sz="6" w:space="0" w:color="000000"/>
              <w:bottom w:val="single" w:sz="12" w:space="0" w:color="000000"/>
              <w:right w:val="single" w:sz="6" w:space="0" w:color="000000"/>
            </w:tcBorders>
          </w:tcPr>
          <w:p>
            <w:pPr>
              <w:pStyle w:val="TableParagraph"/>
              <w:spacing w:line="262" w:lineRule="exact"/>
              <w:ind w:right="99"/>
              <w:jc w:val="right"/>
              <w:rPr>
                <w:rFonts w:ascii="宋体" w:hAnsi="宋体" w:cs="宋体" w:eastAsia="宋体" w:hint="default"/>
                <w:sz w:val="21"/>
                <w:szCs w:val="21"/>
              </w:rPr>
            </w:pPr>
            <w:r>
              <w:rPr>
                <w:rFonts w:ascii="宋体"/>
                <w:sz w:val="21"/>
              </w:rPr>
              <w:t>70.99%</w:t>
            </w:r>
          </w:p>
        </w:tc>
        <w:tc>
          <w:tcPr>
            <w:tcW w:w="3260" w:type="dxa"/>
            <w:tcBorders>
              <w:top w:val="single" w:sz="6" w:space="0" w:color="000000"/>
              <w:left w:val="single" w:sz="6" w:space="0" w:color="000000"/>
              <w:bottom w:val="single" w:sz="12" w:space="0" w:color="000000"/>
              <w:right w:val="single" w:sz="6"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75,990.80</w:t>
            </w:r>
          </w:p>
        </w:tc>
        <w:tc>
          <w:tcPr>
            <w:tcW w:w="1265" w:type="dxa"/>
            <w:tcBorders>
              <w:top w:val="single" w:sz="6" w:space="0" w:color="000000"/>
              <w:left w:val="single" w:sz="6" w:space="0" w:color="000000"/>
              <w:bottom w:val="single" w:sz="12" w:space="0" w:color="000000"/>
              <w:right w:val="single" w:sz="12" w:space="0" w:color="000000"/>
            </w:tcBorders>
          </w:tcPr>
          <w:p>
            <w:pPr>
              <w:pStyle w:val="TableParagraph"/>
              <w:spacing w:line="262" w:lineRule="exact"/>
              <w:ind w:left="12" w:right="0"/>
              <w:jc w:val="center"/>
              <w:rPr>
                <w:rFonts w:ascii="宋体" w:hAnsi="宋体" w:cs="宋体" w:eastAsia="宋体" w:hint="default"/>
                <w:sz w:val="21"/>
                <w:szCs w:val="21"/>
              </w:rPr>
            </w:pPr>
            <w:r>
              <w:rPr>
                <w:rFonts w:ascii="宋体"/>
                <w:sz w:val="21"/>
              </w:rPr>
              <w:t>104,795.11</w:t>
            </w:r>
          </w:p>
        </w:tc>
      </w:tr>
    </w:tbl>
    <w:p>
      <w:pPr>
        <w:spacing w:line="240" w:lineRule="auto" w:before="7"/>
        <w:rPr>
          <w:rFonts w:ascii="宋体" w:hAnsi="宋体" w:cs="宋体" w:eastAsia="宋体" w:hint="default"/>
          <w:sz w:val="23"/>
          <w:szCs w:val="23"/>
        </w:rPr>
      </w:pPr>
    </w:p>
    <w:p>
      <w:pPr>
        <w:pStyle w:val="Heading3"/>
        <w:spacing w:line="240" w:lineRule="auto" w:before="26"/>
        <w:ind w:left="158" w:right="0"/>
        <w:jc w:val="both"/>
        <w:rPr>
          <w:rFonts w:ascii="Calibri" w:hAnsi="Calibri" w:cs="Calibri" w:eastAsia="Calibri" w:hint="default"/>
          <w:b w:val="0"/>
          <w:bCs w:val="0"/>
        </w:rPr>
      </w:pPr>
      <w:r>
        <w:rPr>
          <w:rFonts w:ascii="Calibri" w:hAnsi="Calibri" w:cs="Calibri" w:eastAsia="Calibri" w:hint="default"/>
        </w:rPr>
        <w:t>5</w:t>
      </w:r>
      <w:r>
        <w:rPr/>
        <w:t>、 </w:t>
      </w:r>
      <w:r>
        <w:rPr>
          <w:rFonts w:ascii="Calibri" w:hAnsi="Calibri" w:cs="Calibri" w:eastAsia="Calibri" w:hint="default"/>
        </w:rPr>
        <w:t>Neo-Neon Holdings Limited (</w:t>
      </w:r>
      <w:r>
        <w:rPr/>
        <w:t>股票简称：同方友友，股票代码：</w:t>
      </w:r>
      <w:r>
        <w:rPr>
          <w:rFonts w:ascii="Calibri" w:hAnsi="Calibri" w:cs="Calibri" w:eastAsia="Calibri" w:hint="default"/>
        </w:rPr>
        <w:t>HK</w:t>
      </w:r>
      <w:r>
        <w:rPr>
          <w:rFonts w:ascii="Calibri" w:hAnsi="Calibri" w:cs="Calibri" w:eastAsia="Calibri" w:hint="default"/>
          <w:spacing w:val="-16"/>
        </w:rPr>
        <w:t> </w:t>
      </w:r>
      <w:r>
        <w:rPr>
          <w:rFonts w:ascii="Calibri" w:hAnsi="Calibri" w:cs="Calibri" w:eastAsia="Calibri" w:hint="default"/>
        </w:rPr>
        <w:t>1868)</w:t>
      </w:r>
      <w:r>
        <w:rPr>
          <w:rFonts w:ascii="Calibri" w:hAnsi="Calibri" w:cs="Calibri" w:eastAsia="Calibri" w:hint="default"/>
          <w:b w:val="0"/>
          <w:bCs w:val="0"/>
        </w:rPr>
      </w:r>
    </w:p>
    <w:p>
      <w:pPr>
        <w:spacing w:line="240" w:lineRule="auto" w:before="10"/>
        <w:rPr>
          <w:rFonts w:ascii="Calibri" w:hAnsi="Calibri" w:cs="Calibri" w:eastAsia="Calibri" w:hint="default"/>
          <w:b/>
          <w:bCs/>
          <w:sz w:val="27"/>
          <w:szCs w:val="27"/>
        </w:rPr>
      </w:pPr>
    </w:p>
    <w:p>
      <w:pPr>
        <w:pStyle w:val="BodyText"/>
        <w:spacing w:line="237" w:lineRule="auto"/>
        <w:ind w:right="423"/>
        <w:jc w:val="both"/>
      </w:pPr>
      <w:r>
        <w:rPr>
          <w:rFonts w:ascii="宋体" w:hAnsi="宋体" w:cs="宋体" w:eastAsia="宋体" w:hint="default"/>
        </w:rPr>
        <w:t>Neo-Neon</w:t>
      </w:r>
      <w:r>
        <w:rPr>
          <w:rFonts w:ascii="宋体" w:hAnsi="宋体" w:cs="宋体" w:eastAsia="宋体" w:hint="default"/>
          <w:spacing w:val="31"/>
        </w:rPr>
        <w:t> </w:t>
      </w:r>
      <w:r>
        <w:rPr>
          <w:rFonts w:ascii="宋体" w:hAnsi="宋体" w:cs="宋体" w:eastAsia="宋体" w:hint="default"/>
        </w:rPr>
        <w:t>Holdings</w:t>
      </w:r>
      <w:r>
        <w:rPr>
          <w:rFonts w:ascii="宋体" w:hAnsi="宋体" w:cs="宋体" w:eastAsia="宋体" w:hint="default"/>
          <w:spacing w:val="31"/>
        </w:rPr>
        <w:t> </w:t>
      </w:r>
      <w:r>
        <w:rPr>
          <w:rFonts w:ascii="宋体" w:hAnsi="宋体" w:cs="宋体" w:eastAsia="宋体" w:hint="default"/>
        </w:rPr>
        <w:t>Limited(</w:t>
      </w:r>
      <w:r>
        <w:rPr/>
        <w:t>中文名称“同方友友控股有限公司”，原中文名称“真明</w:t>
      </w:r>
      <w:r>
        <w:rPr>
          <w:spacing w:val="-116"/>
        </w:rPr>
        <w:t> </w:t>
      </w:r>
      <w:r>
        <w:rPr>
          <w:spacing w:val="-116"/>
        </w:rPr>
      </w:r>
      <w:r>
        <w:rPr/>
        <w:t>丽控股有限公司”，以下简称“同方友友”</w:t>
      </w:r>
      <w:r>
        <w:rPr>
          <w:rFonts w:ascii="宋体" w:hAnsi="宋体" w:cs="宋体" w:eastAsia="宋体" w:hint="default"/>
        </w:rPr>
        <w:t>)</w:t>
      </w:r>
      <w:r>
        <w:rPr/>
        <w:t>成立于</w:t>
      </w:r>
      <w:r>
        <w:rPr>
          <w:spacing w:val="-41"/>
        </w:rPr>
        <w:t> </w:t>
      </w:r>
      <w:r>
        <w:rPr>
          <w:rFonts w:ascii="宋体" w:hAnsi="宋体" w:cs="宋体" w:eastAsia="宋体" w:hint="default"/>
        </w:rPr>
        <w:t>2006</w:t>
      </w:r>
      <w:r>
        <w:rPr>
          <w:rFonts w:ascii="宋体" w:hAnsi="宋体" w:cs="宋体" w:eastAsia="宋体" w:hint="default"/>
          <w:spacing w:val="-41"/>
        </w:rPr>
        <w:t> </w:t>
      </w:r>
      <w:r>
        <w:rPr/>
        <w:t>年</w:t>
      </w:r>
      <w:r>
        <w:rPr>
          <w:spacing w:val="-39"/>
        </w:rPr>
        <w:t> </w:t>
      </w:r>
      <w:r>
        <w:rPr>
          <w:rFonts w:ascii="宋体" w:hAnsi="宋体" w:cs="宋体" w:eastAsia="宋体" w:hint="default"/>
        </w:rPr>
        <w:t>8</w:t>
      </w:r>
      <w:r>
        <w:rPr>
          <w:rFonts w:ascii="宋体" w:hAnsi="宋体" w:cs="宋体" w:eastAsia="宋体" w:hint="default"/>
          <w:spacing w:val="-41"/>
        </w:rPr>
        <w:t> </w:t>
      </w:r>
      <w:r>
        <w:rPr/>
        <w:t>月，截至本报告期末，总 股本为</w:t>
      </w:r>
      <w:r>
        <w:rPr>
          <w:spacing w:val="-53"/>
        </w:rPr>
        <w:t> </w:t>
      </w:r>
      <w:r>
        <w:rPr>
          <w:rFonts w:ascii="宋体" w:hAnsi="宋体" w:cs="宋体" w:eastAsia="宋体" w:hint="default"/>
        </w:rPr>
        <w:t>1,939,319,694</w:t>
      </w:r>
      <w:r>
        <w:rPr>
          <w:rFonts w:ascii="宋体" w:hAnsi="宋体" w:cs="宋体" w:eastAsia="宋体" w:hint="default"/>
          <w:spacing w:val="-53"/>
        </w:rPr>
        <w:t> </w:t>
      </w:r>
      <w:r>
        <w:rPr/>
        <w:t>股，公司通过下属全资子公司持股</w:t>
      </w:r>
      <w:r>
        <w:rPr>
          <w:spacing w:val="-53"/>
        </w:rPr>
        <w:t> </w:t>
      </w:r>
      <w:r>
        <w:rPr>
          <w:rFonts w:ascii="宋体" w:hAnsi="宋体" w:cs="宋体" w:eastAsia="宋体" w:hint="default"/>
        </w:rPr>
        <w:t>51.75%</w:t>
      </w:r>
      <w:r>
        <w:rPr/>
        <w:t>，为其控股股东。同方 友友主要从事制造及分销产品</w:t>
      </w:r>
      <w:r>
        <w:rPr>
          <w:spacing w:val="-55"/>
        </w:rPr>
        <w:t> </w:t>
      </w:r>
      <w:r>
        <w:rPr>
          <w:rFonts w:ascii="宋体" w:hAnsi="宋体" w:cs="宋体" w:eastAsia="宋体" w:hint="default"/>
        </w:rPr>
        <w:t>LED</w:t>
      </w:r>
      <w:r>
        <w:rPr>
          <w:rFonts w:ascii="宋体" w:hAnsi="宋体" w:cs="宋体" w:eastAsia="宋体" w:hint="default"/>
          <w:spacing w:val="-55"/>
        </w:rPr>
        <w:t> </w:t>
      </w:r>
      <w:r>
        <w:rPr>
          <w:spacing w:val="-6"/>
        </w:rPr>
        <w:t>装饰照明产品、</w:t>
      </w:r>
      <w:r>
        <w:rPr>
          <w:rFonts w:ascii="宋体" w:hAnsi="宋体" w:cs="宋体" w:eastAsia="宋体" w:hint="default"/>
          <w:spacing w:val="-6"/>
        </w:rPr>
        <w:t>LED</w:t>
      </w:r>
      <w:r>
        <w:rPr>
          <w:rFonts w:ascii="宋体" w:hAnsi="宋体" w:cs="宋体" w:eastAsia="宋体" w:hint="default"/>
          <w:spacing w:val="-55"/>
        </w:rPr>
        <w:t> </w:t>
      </w:r>
      <w:r>
        <w:rPr>
          <w:spacing w:val="-4"/>
        </w:rPr>
        <w:t>一般照明灯具产品、白炽装饰灯具</w:t>
      </w:r>
      <w:r>
        <w:rPr/>
        <w:t> 及舞台照明产品、及分销明产品配件。</w:t>
      </w:r>
    </w:p>
    <w:p>
      <w:pPr>
        <w:spacing w:line="240" w:lineRule="auto" w:before="10"/>
        <w:rPr>
          <w:rFonts w:ascii="宋体" w:hAnsi="宋体" w:cs="宋体" w:eastAsia="宋体" w:hint="default"/>
          <w:sz w:val="23"/>
          <w:szCs w:val="23"/>
        </w:rPr>
      </w:pPr>
    </w:p>
    <w:p>
      <w:pPr>
        <w:pStyle w:val="BodyText"/>
        <w:spacing w:line="237" w:lineRule="auto"/>
        <w:ind w:right="424"/>
        <w:jc w:val="both"/>
      </w:pPr>
      <w:r>
        <w:rPr>
          <w:rFonts w:ascii="宋体" w:hAnsi="宋体" w:cs="宋体" w:eastAsia="宋体" w:hint="default"/>
        </w:rPr>
        <w:t>2015</w:t>
      </w:r>
      <w:r>
        <w:rPr>
          <w:rFonts w:ascii="宋体" w:hAnsi="宋体" w:cs="宋体" w:eastAsia="宋体" w:hint="default"/>
          <w:spacing w:val="-39"/>
        </w:rPr>
        <w:t> </w:t>
      </w:r>
      <w:r>
        <w:rPr/>
        <w:t>年，同方友友在优化管理流程，加强经营风险控制的同时，以装饰灯产品、照明产 </w:t>
      </w:r>
      <w:r>
        <w:rPr>
          <w:spacing w:val="-5"/>
        </w:rPr>
        <w:t>品为核心，积极实施差异化新产品策略，实现了企业的扭亏为盈。其中，在装饰灯市场，</w:t>
      </w:r>
      <w:r>
        <w:rPr>
          <w:spacing w:val="-86"/>
        </w:rPr>
        <w:t> </w:t>
      </w:r>
      <w:r>
        <w:rPr>
          <w:spacing w:val="-86"/>
        </w:rPr>
      </w:r>
      <w:r>
        <w:rPr>
          <w:spacing w:val="-5"/>
        </w:rPr>
        <w:t>同方友友通过与主流的时尚品牌合作，开拓 </w:t>
      </w:r>
      <w:r>
        <w:rPr>
          <w:rFonts w:ascii="宋体" w:hAnsi="宋体" w:cs="宋体" w:eastAsia="宋体" w:hint="default"/>
        </w:rPr>
        <w:t>LED</w:t>
      </w:r>
      <w:r>
        <w:rPr>
          <w:rFonts w:ascii="宋体" w:hAnsi="宋体" w:cs="宋体" w:eastAsia="宋体" w:hint="default"/>
          <w:spacing w:val="-92"/>
        </w:rPr>
        <w:t> </w:t>
      </w:r>
      <w:r>
        <w:rPr>
          <w:spacing w:val="-5"/>
        </w:rPr>
        <w:t>礼品和纪念品市场，充分利用创意设计，</w:t>
      </w:r>
      <w:r>
        <w:rPr/>
        <w:t> 增加产品附加值。在照明产品领域，则依托同方股份，充分发挥“清华同方”品牌号召</w:t>
      </w:r>
      <w:r>
        <w:rPr>
          <w:spacing w:val="-53"/>
        </w:rPr>
        <w:t> </w:t>
      </w:r>
      <w:r>
        <w:rPr>
          <w:spacing w:val="-53"/>
        </w:rPr>
      </w:r>
      <w:r>
        <w:rPr/>
        <w:t>力，重点发力工程照明</w:t>
      </w:r>
      <w:r>
        <w:rPr>
          <w:rFonts w:ascii="宋体" w:hAnsi="宋体" w:cs="宋体" w:eastAsia="宋体" w:hint="default"/>
        </w:rPr>
        <w:t>/</w:t>
      </w:r>
      <w:r>
        <w:rPr/>
        <w:t>行业照明市场，打造照明旗舰品牌。</w:t>
      </w:r>
    </w:p>
    <w:p>
      <w:pPr>
        <w:spacing w:line="240" w:lineRule="auto" w:before="10"/>
        <w:rPr>
          <w:rFonts w:ascii="宋体" w:hAnsi="宋体" w:cs="宋体" w:eastAsia="宋体" w:hint="default"/>
          <w:sz w:val="23"/>
          <w:szCs w:val="23"/>
        </w:rPr>
      </w:pPr>
    </w:p>
    <w:p>
      <w:pPr>
        <w:pStyle w:val="BodyText"/>
        <w:spacing w:line="240" w:lineRule="auto"/>
        <w:ind w:right="0"/>
        <w:jc w:val="both"/>
      </w:pPr>
      <w:r>
        <w:rPr/>
        <w:t>同方友友近两年主要财务数据：</w:t>
      </w:r>
    </w:p>
    <w:p>
      <w:pPr>
        <w:spacing w:line="240" w:lineRule="auto" w:before="8"/>
        <w:rPr>
          <w:rFonts w:ascii="宋体" w:hAnsi="宋体" w:cs="宋体" w:eastAsia="宋体" w:hint="default"/>
          <w:sz w:val="26"/>
          <w:szCs w:val="26"/>
        </w:rPr>
      </w:pPr>
    </w:p>
    <w:tbl>
      <w:tblPr>
        <w:tblW w:w="0" w:type="auto"/>
        <w:jc w:val="left"/>
        <w:tblInd w:w="130" w:type="dxa"/>
        <w:tblLayout w:type="fixed"/>
        <w:tblCellMar>
          <w:top w:w="0" w:type="dxa"/>
          <w:left w:w="0" w:type="dxa"/>
          <w:bottom w:w="0" w:type="dxa"/>
          <w:right w:w="0" w:type="dxa"/>
        </w:tblCellMar>
        <w:tblLook w:val="01E0"/>
      </w:tblPr>
      <w:tblGrid>
        <w:gridCol w:w="2100"/>
        <w:gridCol w:w="1743"/>
        <w:gridCol w:w="1136"/>
        <w:gridCol w:w="3260"/>
        <w:gridCol w:w="1265"/>
      </w:tblGrid>
      <w:tr>
        <w:trPr>
          <w:trHeight w:val="338" w:hRule="exact"/>
        </w:trPr>
        <w:tc>
          <w:tcPr>
            <w:tcW w:w="2100" w:type="dxa"/>
            <w:tcBorders>
              <w:top w:val="single" w:sz="12" w:space="0" w:color="000000"/>
              <w:left w:val="single" w:sz="12" w:space="0" w:color="000000"/>
              <w:bottom w:val="single" w:sz="6" w:space="0" w:color="000000"/>
              <w:right w:val="single" w:sz="6" w:space="0" w:color="000000"/>
            </w:tcBorders>
          </w:tcPr>
          <w:p>
            <w:pPr>
              <w:pStyle w:val="TableParagraph"/>
              <w:spacing w:line="262" w:lineRule="exact"/>
              <w:ind w:right="2"/>
              <w:jc w:val="center"/>
              <w:rPr>
                <w:rFonts w:ascii="宋体" w:hAnsi="宋体" w:cs="宋体" w:eastAsia="宋体" w:hint="default"/>
                <w:sz w:val="21"/>
                <w:szCs w:val="21"/>
              </w:rPr>
            </w:pPr>
            <w:r>
              <w:rPr>
                <w:rFonts w:ascii="宋体" w:hAnsi="宋体" w:cs="宋体" w:eastAsia="宋体" w:hint="default"/>
                <w:b/>
                <w:bCs/>
                <w:sz w:val="21"/>
                <w:szCs w:val="21"/>
              </w:rPr>
              <w:t>年度</w:t>
            </w:r>
            <w:r>
              <w:rPr>
                <w:rFonts w:ascii="宋体" w:hAnsi="宋体" w:cs="宋体" w:eastAsia="宋体" w:hint="default"/>
                <w:b/>
                <w:bCs/>
                <w:sz w:val="21"/>
                <w:szCs w:val="21"/>
              </w:rPr>
              <w:t>(</w:t>
            </w:r>
            <w:r>
              <w:rPr>
                <w:rFonts w:ascii="宋体" w:hAnsi="宋体" w:cs="宋体" w:eastAsia="宋体" w:hint="default"/>
                <w:b/>
                <w:bCs/>
                <w:sz w:val="21"/>
                <w:szCs w:val="21"/>
              </w:rPr>
              <w:t>单位：万元</w:t>
            </w:r>
            <w:r>
              <w:rPr>
                <w:rFonts w:ascii="宋体" w:hAnsi="宋体" w:cs="宋体" w:eastAsia="宋体" w:hint="default"/>
                <w:b/>
                <w:bCs/>
                <w:sz w:val="21"/>
                <w:szCs w:val="21"/>
              </w:rPr>
              <w:t>)</w:t>
            </w:r>
            <w:r>
              <w:rPr>
                <w:rFonts w:ascii="宋体" w:hAnsi="宋体" w:cs="宋体" w:eastAsia="宋体" w:hint="default"/>
                <w:sz w:val="21"/>
                <w:szCs w:val="21"/>
              </w:rPr>
            </w:r>
          </w:p>
        </w:tc>
        <w:tc>
          <w:tcPr>
            <w:tcW w:w="1743" w:type="dxa"/>
            <w:tcBorders>
              <w:top w:val="single" w:sz="12" w:space="0" w:color="000000"/>
              <w:left w:val="single" w:sz="6" w:space="0" w:color="000000"/>
              <w:bottom w:val="single" w:sz="6" w:space="0" w:color="000000"/>
              <w:right w:val="single" w:sz="6" w:space="0" w:color="000000"/>
            </w:tcBorders>
          </w:tcPr>
          <w:p>
            <w:pPr>
              <w:pStyle w:val="TableParagraph"/>
              <w:spacing w:line="262" w:lineRule="exact"/>
              <w:ind w:left="230" w:right="0"/>
              <w:jc w:val="lef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c>
        <w:tc>
          <w:tcPr>
            <w:tcW w:w="1136" w:type="dxa"/>
            <w:tcBorders>
              <w:top w:val="single" w:sz="12" w:space="0" w:color="000000"/>
              <w:left w:val="single" w:sz="6" w:space="0" w:color="000000"/>
              <w:bottom w:val="single" w:sz="6" w:space="0" w:color="000000"/>
              <w:right w:val="single" w:sz="6" w:space="0" w:color="000000"/>
            </w:tcBorders>
          </w:tcPr>
          <w:p>
            <w:pPr>
              <w:pStyle w:val="TableParagraph"/>
              <w:spacing w:line="262" w:lineRule="exact"/>
              <w:ind w:left="242" w:right="0"/>
              <w:jc w:val="left"/>
              <w:rPr>
                <w:rFonts w:ascii="宋体" w:hAnsi="宋体" w:cs="宋体" w:eastAsia="宋体" w:hint="default"/>
                <w:sz w:val="21"/>
                <w:szCs w:val="21"/>
              </w:rPr>
            </w:pPr>
            <w:r>
              <w:rPr>
                <w:rFonts w:ascii="宋体" w:hAnsi="宋体" w:cs="宋体" w:eastAsia="宋体" w:hint="default"/>
                <w:b/>
                <w:bCs/>
                <w:sz w:val="21"/>
                <w:szCs w:val="21"/>
              </w:rPr>
              <w:t>毛利率</w:t>
            </w:r>
            <w:r>
              <w:rPr>
                <w:rFonts w:ascii="宋体" w:hAnsi="宋体" w:cs="宋体" w:eastAsia="宋体" w:hint="default"/>
                <w:sz w:val="21"/>
                <w:szCs w:val="21"/>
              </w:rPr>
            </w:r>
          </w:p>
        </w:tc>
        <w:tc>
          <w:tcPr>
            <w:tcW w:w="3260" w:type="dxa"/>
            <w:tcBorders>
              <w:top w:val="single" w:sz="12" w:space="0" w:color="000000"/>
              <w:left w:val="single" w:sz="6" w:space="0" w:color="000000"/>
              <w:bottom w:val="single" w:sz="6" w:space="0" w:color="000000"/>
              <w:right w:val="single" w:sz="6" w:space="0" w:color="000000"/>
            </w:tcBorders>
          </w:tcPr>
          <w:p>
            <w:pPr>
              <w:pStyle w:val="TableParagraph"/>
              <w:spacing w:line="262" w:lineRule="exact"/>
              <w:ind w:right="147"/>
              <w:jc w:val="right"/>
              <w:rPr>
                <w:rFonts w:ascii="宋体" w:hAnsi="宋体" w:cs="宋体" w:eastAsia="宋体" w:hint="default"/>
                <w:sz w:val="21"/>
                <w:szCs w:val="21"/>
              </w:rPr>
            </w:pPr>
            <w:r>
              <w:rPr>
                <w:rFonts w:ascii="宋体" w:hAnsi="宋体" w:cs="宋体" w:eastAsia="宋体" w:hint="default"/>
                <w:b/>
                <w:bCs/>
                <w:spacing w:val="-1"/>
                <w:sz w:val="21"/>
                <w:szCs w:val="21"/>
              </w:rPr>
              <w:t>归属于母公司股东的期末净资产</w:t>
            </w:r>
            <w:r>
              <w:rPr>
                <w:rFonts w:ascii="宋体" w:hAnsi="宋体" w:cs="宋体" w:eastAsia="宋体" w:hint="default"/>
                <w:spacing w:val="-1"/>
                <w:sz w:val="21"/>
                <w:szCs w:val="21"/>
              </w:rPr>
            </w:r>
          </w:p>
        </w:tc>
        <w:tc>
          <w:tcPr>
            <w:tcW w:w="1265" w:type="dxa"/>
            <w:tcBorders>
              <w:top w:val="single" w:sz="12" w:space="0" w:color="000000"/>
              <w:left w:val="single" w:sz="6" w:space="0" w:color="000000"/>
              <w:bottom w:val="single" w:sz="6" w:space="0" w:color="000000"/>
              <w:right w:val="single" w:sz="12" w:space="0" w:color="000000"/>
            </w:tcBorders>
          </w:tcPr>
          <w:p>
            <w:pPr>
              <w:pStyle w:val="TableParagraph"/>
              <w:spacing w:line="262" w:lineRule="exact"/>
              <w:ind w:left="9" w:right="0"/>
              <w:jc w:val="center"/>
              <w:rPr>
                <w:rFonts w:ascii="宋体" w:hAnsi="宋体" w:cs="宋体" w:eastAsia="宋体" w:hint="default"/>
                <w:sz w:val="21"/>
                <w:szCs w:val="21"/>
              </w:rPr>
            </w:pPr>
            <w:r>
              <w:rPr>
                <w:rFonts w:ascii="宋体" w:hAnsi="宋体" w:cs="宋体" w:eastAsia="宋体" w:hint="default"/>
                <w:b/>
                <w:bCs/>
                <w:sz w:val="21"/>
                <w:szCs w:val="21"/>
              </w:rPr>
              <w:t>总资产</w:t>
            </w:r>
            <w:r>
              <w:rPr>
                <w:rFonts w:ascii="宋体" w:hAnsi="宋体" w:cs="宋体" w:eastAsia="宋体" w:hint="default"/>
                <w:sz w:val="21"/>
                <w:szCs w:val="21"/>
              </w:rPr>
            </w:r>
          </w:p>
        </w:tc>
      </w:tr>
      <w:tr>
        <w:trPr>
          <w:trHeight w:val="329" w:hRule="exact"/>
        </w:trPr>
        <w:tc>
          <w:tcPr>
            <w:tcW w:w="2100" w:type="dxa"/>
            <w:tcBorders>
              <w:top w:val="single" w:sz="6" w:space="0" w:color="000000"/>
              <w:left w:val="single" w:sz="12" w:space="0" w:color="000000"/>
              <w:bottom w:val="single" w:sz="6" w:space="0" w:color="000000"/>
              <w:right w:val="single" w:sz="6" w:space="0" w:color="000000"/>
            </w:tcBorders>
          </w:tcPr>
          <w:p>
            <w:pPr>
              <w:pStyle w:val="TableParagraph"/>
              <w:spacing w:line="262" w:lineRule="exact"/>
              <w:ind w:right="7"/>
              <w:jc w:val="center"/>
              <w:rPr>
                <w:rFonts w:ascii="宋体" w:hAnsi="宋体" w:cs="宋体" w:eastAsia="宋体" w:hint="default"/>
                <w:sz w:val="21"/>
                <w:szCs w:val="21"/>
              </w:rPr>
            </w:pPr>
            <w:r>
              <w:rPr>
                <w:rFonts w:ascii="宋体"/>
                <w:b/>
                <w:sz w:val="21"/>
              </w:rPr>
              <w:t>2015</w:t>
            </w:r>
            <w:r>
              <w:rPr>
                <w:rFonts w:ascii="宋体"/>
                <w:sz w:val="21"/>
              </w:rPr>
            </w:r>
          </w:p>
        </w:tc>
        <w:tc>
          <w:tcPr>
            <w:tcW w:w="1743"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59,952.10</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9"/>
              <w:jc w:val="right"/>
              <w:rPr>
                <w:rFonts w:ascii="宋体" w:hAnsi="宋体" w:cs="宋体" w:eastAsia="宋体" w:hint="default"/>
                <w:sz w:val="21"/>
                <w:szCs w:val="21"/>
              </w:rPr>
            </w:pPr>
            <w:r>
              <w:rPr>
                <w:rFonts w:ascii="宋体"/>
                <w:sz w:val="21"/>
              </w:rPr>
              <w:t>28.04%</w:t>
            </w:r>
          </w:p>
        </w:tc>
        <w:tc>
          <w:tcPr>
            <w:tcW w:w="3260"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116,261.00</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62" w:lineRule="exact"/>
              <w:ind w:left="12" w:right="0"/>
              <w:jc w:val="center"/>
              <w:rPr>
                <w:rFonts w:ascii="宋体" w:hAnsi="宋体" w:cs="宋体" w:eastAsia="宋体" w:hint="default"/>
                <w:sz w:val="21"/>
                <w:szCs w:val="21"/>
              </w:rPr>
            </w:pPr>
            <w:r>
              <w:rPr>
                <w:rFonts w:ascii="宋体"/>
                <w:sz w:val="21"/>
              </w:rPr>
              <w:t>139,057.73</w:t>
            </w:r>
          </w:p>
        </w:tc>
      </w:tr>
      <w:tr>
        <w:trPr>
          <w:trHeight w:val="336" w:hRule="exact"/>
        </w:trPr>
        <w:tc>
          <w:tcPr>
            <w:tcW w:w="2100" w:type="dxa"/>
            <w:tcBorders>
              <w:top w:val="single" w:sz="6" w:space="0" w:color="000000"/>
              <w:left w:val="single" w:sz="12" w:space="0" w:color="000000"/>
              <w:bottom w:val="single" w:sz="12" w:space="0" w:color="000000"/>
              <w:right w:val="single" w:sz="6" w:space="0" w:color="000000"/>
            </w:tcBorders>
          </w:tcPr>
          <w:p>
            <w:pPr>
              <w:pStyle w:val="TableParagraph"/>
              <w:spacing w:line="262" w:lineRule="exact"/>
              <w:ind w:right="7"/>
              <w:jc w:val="center"/>
              <w:rPr>
                <w:rFonts w:ascii="宋体" w:hAnsi="宋体" w:cs="宋体" w:eastAsia="宋体" w:hint="default"/>
                <w:sz w:val="21"/>
                <w:szCs w:val="21"/>
              </w:rPr>
            </w:pPr>
            <w:r>
              <w:rPr>
                <w:rFonts w:ascii="宋体"/>
                <w:b/>
                <w:sz w:val="21"/>
              </w:rPr>
              <w:t>2014</w:t>
            </w:r>
            <w:r>
              <w:rPr>
                <w:rFonts w:ascii="宋体"/>
                <w:sz w:val="21"/>
              </w:rPr>
            </w:r>
          </w:p>
        </w:tc>
        <w:tc>
          <w:tcPr>
            <w:tcW w:w="1743" w:type="dxa"/>
            <w:tcBorders>
              <w:top w:val="single" w:sz="6" w:space="0" w:color="000000"/>
              <w:left w:val="single" w:sz="6" w:space="0" w:color="000000"/>
              <w:bottom w:val="single" w:sz="12" w:space="0" w:color="000000"/>
              <w:right w:val="single" w:sz="6"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30,239.14</w:t>
            </w:r>
          </w:p>
        </w:tc>
        <w:tc>
          <w:tcPr>
            <w:tcW w:w="1136" w:type="dxa"/>
            <w:tcBorders>
              <w:top w:val="single" w:sz="6" w:space="0" w:color="000000"/>
              <w:left w:val="single" w:sz="6" w:space="0" w:color="000000"/>
              <w:bottom w:val="single" w:sz="12" w:space="0" w:color="000000"/>
              <w:right w:val="single" w:sz="6" w:space="0" w:color="000000"/>
            </w:tcBorders>
          </w:tcPr>
          <w:p>
            <w:pPr>
              <w:pStyle w:val="TableParagraph"/>
              <w:spacing w:line="262" w:lineRule="exact"/>
              <w:ind w:right="99"/>
              <w:jc w:val="right"/>
              <w:rPr>
                <w:rFonts w:ascii="宋体" w:hAnsi="宋体" w:cs="宋体" w:eastAsia="宋体" w:hint="default"/>
                <w:sz w:val="21"/>
                <w:szCs w:val="21"/>
              </w:rPr>
            </w:pPr>
            <w:r>
              <w:rPr>
                <w:rFonts w:ascii="宋体"/>
                <w:sz w:val="21"/>
              </w:rPr>
              <w:t>29.01%</w:t>
            </w:r>
          </w:p>
        </w:tc>
        <w:tc>
          <w:tcPr>
            <w:tcW w:w="3260" w:type="dxa"/>
            <w:tcBorders>
              <w:top w:val="single" w:sz="6" w:space="0" w:color="000000"/>
              <w:left w:val="single" w:sz="6" w:space="0" w:color="000000"/>
              <w:bottom w:val="single" w:sz="12" w:space="0" w:color="000000"/>
              <w:right w:val="single" w:sz="6"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113,391.80</w:t>
            </w:r>
          </w:p>
        </w:tc>
        <w:tc>
          <w:tcPr>
            <w:tcW w:w="1265" w:type="dxa"/>
            <w:tcBorders>
              <w:top w:val="single" w:sz="6" w:space="0" w:color="000000"/>
              <w:left w:val="single" w:sz="6" w:space="0" w:color="000000"/>
              <w:bottom w:val="single" w:sz="12" w:space="0" w:color="000000"/>
              <w:right w:val="single" w:sz="12" w:space="0" w:color="000000"/>
            </w:tcBorders>
          </w:tcPr>
          <w:p>
            <w:pPr>
              <w:pStyle w:val="TableParagraph"/>
              <w:spacing w:line="262" w:lineRule="exact"/>
              <w:ind w:left="12" w:right="0"/>
              <w:jc w:val="center"/>
              <w:rPr>
                <w:rFonts w:ascii="宋体" w:hAnsi="宋体" w:cs="宋体" w:eastAsia="宋体" w:hint="default"/>
                <w:sz w:val="21"/>
                <w:szCs w:val="21"/>
              </w:rPr>
            </w:pPr>
            <w:r>
              <w:rPr>
                <w:rFonts w:ascii="宋体"/>
                <w:sz w:val="21"/>
              </w:rPr>
              <w:t>142,999.18</w:t>
            </w:r>
          </w:p>
        </w:tc>
      </w:tr>
    </w:tbl>
    <w:p>
      <w:pPr>
        <w:spacing w:line="243" w:lineRule="exact" w:before="0"/>
        <w:ind w:left="158" w:right="0" w:firstLine="0"/>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z w:val="21"/>
          <w:szCs w:val="21"/>
        </w:rPr>
        <w:t>2014</w:t>
      </w:r>
      <w:r>
        <w:rPr>
          <w:rFonts w:ascii="宋体" w:hAnsi="宋体" w:cs="宋体" w:eastAsia="宋体"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1"/>
          <w:sz w:val="21"/>
          <w:szCs w:val="21"/>
        </w:rPr>
        <w:t> </w:t>
      </w:r>
      <w:r>
        <w:rPr>
          <w:rFonts w:ascii="宋体" w:hAnsi="宋体" w:cs="宋体" w:eastAsia="宋体" w:hint="default"/>
          <w:sz w:val="21"/>
          <w:szCs w:val="21"/>
        </w:rPr>
        <w:t>8</w:t>
      </w:r>
      <w:r>
        <w:rPr>
          <w:rFonts w:ascii="宋体" w:hAnsi="宋体" w:cs="宋体" w:eastAsia="宋体"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1"/>
          <w:sz w:val="21"/>
          <w:szCs w:val="21"/>
        </w:rPr>
        <w:t> </w:t>
      </w:r>
      <w:r>
        <w:rPr>
          <w:rFonts w:ascii="宋体" w:hAnsi="宋体" w:cs="宋体" w:eastAsia="宋体" w:hint="default"/>
          <w:sz w:val="21"/>
          <w:szCs w:val="21"/>
        </w:rPr>
        <w:t>25</w:t>
      </w:r>
      <w:r>
        <w:rPr>
          <w:rFonts w:ascii="宋体" w:hAnsi="宋体" w:cs="宋体" w:eastAsia="宋体" w:hint="default"/>
          <w:spacing w:val="-1"/>
          <w:sz w:val="21"/>
          <w:szCs w:val="21"/>
        </w:rPr>
        <w:t> </w:t>
      </w:r>
      <w:r>
        <w:rPr>
          <w:rFonts w:ascii="宋体" w:hAnsi="宋体" w:cs="宋体" w:eastAsia="宋体" w:hint="default"/>
          <w:sz w:val="21"/>
          <w:szCs w:val="21"/>
        </w:rPr>
        <w:t>日至 </w:t>
      </w:r>
      <w:r>
        <w:rPr>
          <w:rFonts w:ascii="宋体" w:hAnsi="宋体" w:cs="宋体" w:eastAsia="宋体" w:hint="default"/>
          <w:sz w:val="21"/>
          <w:szCs w:val="21"/>
        </w:rPr>
        <w:t>2014</w:t>
      </w:r>
      <w:r>
        <w:rPr>
          <w:rFonts w:ascii="宋体" w:hAnsi="宋体" w:cs="宋体" w:eastAsia="宋体"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3"/>
          <w:sz w:val="21"/>
          <w:szCs w:val="21"/>
        </w:rPr>
        <w:t> </w:t>
      </w:r>
      <w:r>
        <w:rPr>
          <w:rFonts w:ascii="宋体" w:hAnsi="宋体" w:cs="宋体" w:eastAsia="宋体" w:hint="default"/>
          <w:sz w:val="21"/>
          <w:szCs w:val="21"/>
        </w:rPr>
        <w:t>9</w:t>
      </w:r>
      <w:r>
        <w:rPr>
          <w:rFonts w:ascii="宋体" w:hAnsi="宋体" w:cs="宋体" w:eastAsia="宋体"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1"/>
          <w:sz w:val="21"/>
          <w:szCs w:val="21"/>
        </w:rPr>
        <w:t> </w:t>
      </w:r>
      <w:r>
        <w:rPr>
          <w:rFonts w:ascii="宋体" w:hAnsi="宋体" w:cs="宋体" w:eastAsia="宋体" w:hint="default"/>
          <w:sz w:val="21"/>
          <w:szCs w:val="21"/>
        </w:rPr>
        <w:t>22</w:t>
      </w:r>
      <w:r>
        <w:rPr>
          <w:rFonts w:ascii="宋体" w:hAnsi="宋体" w:cs="宋体" w:eastAsia="宋体" w:hint="default"/>
          <w:spacing w:val="-3"/>
          <w:sz w:val="21"/>
          <w:szCs w:val="21"/>
        </w:rPr>
        <w:t> </w:t>
      </w:r>
      <w:r>
        <w:rPr>
          <w:rFonts w:ascii="宋体" w:hAnsi="宋体" w:cs="宋体" w:eastAsia="宋体" w:hint="default"/>
          <w:sz w:val="21"/>
          <w:szCs w:val="21"/>
        </w:rPr>
        <w:t>日，公司下属全资子公司</w:t>
      </w:r>
      <w:r>
        <w:rPr>
          <w:rFonts w:ascii="宋体" w:hAnsi="宋体" w:cs="宋体" w:eastAsia="宋体" w:hint="default"/>
          <w:spacing w:val="-53"/>
          <w:sz w:val="21"/>
          <w:szCs w:val="21"/>
        </w:rPr>
        <w:t> </w:t>
      </w:r>
      <w:r>
        <w:rPr>
          <w:rFonts w:ascii="宋体" w:hAnsi="宋体" w:cs="宋体" w:eastAsia="宋体" w:hint="default"/>
          <w:sz w:val="21"/>
          <w:szCs w:val="21"/>
        </w:rPr>
        <w:t>THTF</w:t>
      </w:r>
      <w:r>
        <w:rPr>
          <w:rFonts w:ascii="宋体" w:hAnsi="宋体" w:cs="宋体" w:eastAsia="宋体" w:hint="default"/>
          <w:spacing w:val="-3"/>
          <w:sz w:val="21"/>
          <w:szCs w:val="21"/>
        </w:rPr>
        <w:t> </w:t>
      </w:r>
      <w:r>
        <w:rPr>
          <w:rFonts w:ascii="宋体" w:hAnsi="宋体" w:cs="宋体" w:eastAsia="宋体" w:hint="default"/>
          <w:sz w:val="21"/>
          <w:szCs w:val="21"/>
        </w:rPr>
        <w:t>ES</w:t>
      </w:r>
      <w:r>
        <w:rPr>
          <w:rFonts w:ascii="宋体" w:hAnsi="宋体" w:cs="宋体" w:eastAsia="宋体" w:hint="default"/>
          <w:spacing w:val="-53"/>
          <w:sz w:val="21"/>
          <w:szCs w:val="21"/>
        </w:rPr>
        <w:t> </w:t>
      </w:r>
      <w:r>
        <w:rPr>
          <w:rFonts w:ascii="宋体" w:hAnsi="宋体" w:cs="宋体" w:eastAsia="宋体" w:hint="default"/>
          <w:sz w:val="21"/>
          <w:szCs w:val="21"/>
        </w:rPr>
        <w:t>通过全面要约收购</w:t>
      </w:r>
    </w:p>
    <w:p>
      <w:pPr>
        <w:spacing w:line="272" w:lineRule="exact" w:before="27"/>
        <w:ind w:left="158" w:right="419" w:firstLine="0"/>
        <w:jc w:val="both"/>
        <w:rPr>
          <w:rFonts w:ascii="宋体" w:hAnsi="宋体" w:cs="宋体" w:eastAsia="宋体" w:hint="default"/>
          <w:sz w:val="21"/>
          <w:szCs w:val="21"/>
        </w:rPr>
      </w:pPr>
      <w:r>
        <w:rPr>
          <w:rFonts w:ascii="宋体" w:hAnsi="宋体" w:cs="宋体" w:eastAsia="宋体" w:hint="default"/>
          <w:sz w:val="21"/>
          <w:szCs w:val="21"/>
        </w:rPr>
        <w:t>方式共收购真明丽股票 </w:t>
      </w:r>
      <w:r>
        <w:rPr>
          <w:rFonts w:ascii="宋体" w:hAnsi="宋体" w:cs="宋体" w:eastAsia="宋体" w:hint="default"/>
          <w:sz w:val="21"/>
          <w:szCs w:val="21"/>
        </w:rPr>
        <w:t>692,690</w:t>
      </w:r>
      <w:r>
        <w:rPr>
          <w:rFonts w:ascii="宋体" w:hAnsi="宋体" w:cs="宋体" w:eastAsia="宋体" w:hint="default"/>
          <w:spacing w:val="-2"/>
          <w:sz w:val="21"/>
          <w:szCs w:val="21"/>
        </w:rPr>
        <w:t> </w:t>
      </w:r>
      <w:r>
        <w:rPr>
          <w:rFonts w:ascii="宋体" w:hAnsi="宋体" w:cs="宋体" w:eastAsia="宋体" w:hint="default"/>
          <w:sz w:val="21"/>
          <w:szCs w:val="21"/>
        </w:rPr>
        <w:t>股，占其总股本的</w:t>
      </w:r>
      <w:r>
        <w:rPr>
          <w:rFonts w:ascii="宋体" w:hAnsi="宋体" w:cs="宋体" w:eastAsia="宋体" w:hint="default"/>
          <w:spacing w:val="-5"/>
          <w:sz w:val="21"/>
          <w:szCs w:val="21"/>
        </w:rPr>
        <w:t> </w:t>
      </w:r>
      <w:r>
        <w:rPr>
          <w:rFonts w:ascii="宋体" w:hAnsi="宋体" w:cs="宋体" w:eastAsia="宋体" w:hint="default"/>
          <w:sz w:val="21"/>
          <w:szCs w:val="21"/>
        </w:rPr>
        <w:t>51.60%</w:t>
      </w:r>
      <w:r>
        <w:rPr>
          <w:rFonts w:ascii="宋体" w:hAnsi="宋体" w:cs="宋体" w:eastAsia="宋体" w:hint="default"/>
          <w:sz w:val="21"/>
          <w:szCs w:val="21"/>
        </w:rPr>
        <w:t>。</w:t>
      </w:r>
      <w:r>
        <w:rPr>
          <w:rFonts w:ascii="宋体" w:hAnsi="宋体" w:cs="宋体" w:eastAsia="宋体" w:hint="default"/>
          <w:sz w:val="21"/>
          <w:szCs w:val="21"/>
        </w:rPr>
        <w:t>2016</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20</w:t>
      </w:r>
      <w:r>
        <w:rPr>
          <w:rFonts w:ascii="宋体" w:hAnsi="宋体" w:cs="宋体" w:eastAsia="宋体" w:hint="default"/>
          <w:spacing w:val="-55"/>
          <w:sz w:val="21"/>
          <w:szCs w:val="21"/>
        </w:rPr>
        <w:t> </w:t>
      </w:r>
      <w:r>
        <w:rPr>
          <w:rFonts w:ascii="宋体" w:hAnsi="宋体" w:cs="宋体" w:eastAsia="宋体" w:hint="default"/>
          <w:sz w:val="21"/>
          <w:szCs w:val="21"/>
        </w:rPr>
        <w:t>日，</w:t>
      </w:r>
      <w:r>
        <w:rPr>
          <w:rFonts w:ascii="宋体" w:hAnsi="宋体" w:cs="宋体" w:eastAsia="宋体" w:hint="default"/>
          <w:sz w:val="21"/>
          <w:szCs w:val="21"/>
        </w:rPr>
        <w:t>THTF ES</w:t>
      </w:r>
      <w:r>
        <w:rPr>
          <w:rFonts w:ascii="宋体" w:hAnsi="宋体" w:cs="宋体" w:eastAsia="宋体" w:hint="default"/>
          <w:spacing w:val="-53"/>
          <w:sz w:val="21"/>
          <w:szCs w:val="21"/>
        </w:rPr>
        <w:t> </w:t>
      </w:r>
      <w:r>
        <w:rPr>
          <w:rFonts w:ascii="宋体" w:hAnsi="宋体" w:cs="宋体" w:eastAsia="宋体" w:hint="default"/>
          <w:sz w:val="21"/>
          <w:szCs w:val="21"/>
        </w:rPr>
        <w:t>以每股股</w:t>
      </w:r>
      <w:r>
        <w:rPr>
          <w:rFonts w:ascii="宋体" w:hAnsi="宋体" w:cs="宋体" w:eastAsia="宋体" w:hint="default"/>
          <w:w w:val="100"/>
          <w:sz w:val="21"/>
          <w:szCs w:val="21"/>
        </w:rPr>
        <w:t> </w:t>
      </w:r>
      <w:r>
        <w:rPr>
          <w:rFonts w:ascii="宋体" w:hAnsi="宋体" w:cs="宋体" w:eastAsia="宋体" w:hint="default"/>
          <w:sz w:val="21"/>
          <w:szCs w:val="21"/>
        </w:rPr>
        <w:t>份</w:t>
      </w:r>
      <w:r>
        <w:rPr>
          <w:rFonts w:ascii="宋体" w:hAnsi="宋体" w:cs="宋体" w:eastAsia="宋体" w:hint="default"/>
          <w:spacing w:val="-49"/>
          <w:sz w:val="21"/>
          <w:szCs w:val="21"/>
        </w:rPr>
        <w:t> </w:t>
      </w:r>
      <w:r>
        <w:rPr>
          <w:rFonts w:ascii="宋体" w:hAnsi="宋体" w:cs="宋体" w:eastAsia="宋体" w:hint="default"/>
          <w:sz w:val="21"/>
          <w:szCs w:val="21"/>
        </w:rPr>
        <w:t>1.18</w:t>
      </w:r>
      <w:r>
        <w:rPr>
          <w:rFonts w:ascii="宋体" w:hAnsi="宋体" w:cs="宋体" w:eastAsia="宋体" w:hint="default"/>
          <w:spacing w:val="-49"/>
          <w:sz w:val="21"/>
          <w:szCs w:val="21"/>
        </w:rPr>
        <w:t> </w:t>
      </w:r>
      <w:r>
        <w:rPr>
          <w:rFonts w:ascii="宋体" w:hAnsi="宋体" w:cs="宋体" w:eastAsia="宋体" w:hint="default"/>
          <w:sz w:val="21"/>
          <w:szCs w:val="21"/>
        </w:rPr>
        <w:t>港元收购同方友友</w:t>
      </w:r>
      <w:r>
        <w:rPr>
          <w:rFonts w:ascii="宋体" w:hAnsi="宋体" w:cs="宋体" w:eastAsia="宋体" w:hint="default"/>
          <w:spacing w:val="-48"/>
          <w:sz w:val="21"/>
          <w:szCs w:val="21"/>
        </w:rPr>
        <w:t> </w:t>
      </w:r>
      <w:r>
        <w:rPr>
          <w:rFonts w:ascii="宋体" w:hAnsi="宋体" w:cs="宋体" w:eastAsia="宋体" w:hint="default"/>
          <w:sz w:val="21"/>
          <w:szCs w:val="21"/>
        </w:rPr>
        <w:t>347,668,000</w:t>
      </w:r>
      <w:r>
        <w:rPr>
          <w:rFonts w:ascii="宋体" w:hAnsi="宋体" w:cs="宋体" w:eastAsia="宋体" w:hint="default"/>
          <w:spacing w:val="-52"/>
          <w:sz w:val="21"/>
          <w:szCs w:val="21"/>
        </w:rPr>
        <w:t> </w:t>
      </w:r>
      <w:r>
        <w:rPr>
          <w:rFonts w:ascii="宋体" w:hAnsi="宋体" w:cs="宋体" w:eastAsia="宋体" w:hint="default"/>
          <w:spacing w:val="-6"/>
          <w:sz w:val="21"/>
          <w:szCs w:val="21"/>
        </w:rPr>
        <w:t>股股份，所持股权增加至约</w:t>
      </w:r>
      <w:r>
        <w:rPr>
          <w:rFonts w:ascii="宋体" w:hAnsi="宋体" w:cs="宋体" w:eastAsia="宋体" w:hint="default"/>
          <w:spacing w:val="-49"/>
          <w:sz w:val="21"/>
          <w:szCs w:val="21"/>
        </w:rPr>
        <w:t> </w:t>
      </w:r>
      <w:r>
        <w:rPr>
          <w:rFonts w:ascii="宋体" w:hAnsi="宋体" w:cs="宋体" w:eastAsia="宋体" w:hint="default"/>
          <w:spacing w:val="-6"/>
          <w:sz w:val="21"/>
          <w:szCs w:val="21"/>
        </w:rPr>
        <w:t>69.68%</w:t>
      </w:r>
      <w:r>
        <w:rPr>
          <w:rFonts w:ascii="宋体" w:hAnsi="宋体" w:cs="宋体" w:eastAsia="宋体" w:hint="default"/>
          <w:spacing w:val="-6"/>
          <w:sz w:val="21"/>
          <w:szCs w:val="21"/>
        </w:rPr>
        <w:t>。公司自</w:t>
      </w:r>
      <w:r>
        <w:rPr>
          <w:rFonts w:ascii="宋体" w:hAnsi="宋体" w:cs="宋体" w:eastAsia="宋体" w:hint="default"/>
          <w:spacing w:val="-48"/>
          <w:sz w:val="21"/>
          <w:szCs w:val="21"/>
        </w:rPr>
        <w:t> </w:t>
      </w:r>
      <w:r>
        <w:rPr>
          <w:rFonts w:ascii="宋体" w:hAnsi="宋体" w:cs="宋体" w:eastAsia="宋体" w:hint="default"/>
          <w:sz w:val="21"/>
          <w:szCs w:val="21"/>
        </w:rPr>
        <w:t>2015</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月起将</w:t>
      </w:r>
    </w:p>
    <w:p>
      <w:pPr>
        <w:spacing w:line="249" w:lineRule="exact" w:before="0"/>
        <w:ind w:left="158" w:right="0" w:firstLine="0"/>
        <w:jc w:val="both"/>
        <w:rPr>
          <w:rFonts w:ascii="宋体" w:hAnsi="宋体" w:cs="宋体" w:eastAsia="宋体" w:hint="default"/>
          <w:sz w:val="21"/>
          <w:szCs w:val="21"/>
        </w:rPr>
      </w:pPr>
      <w:r>
        <w:rPr>
          <w:rFonts w:ascii="宋体" w:hAnsi="宋体" w:cs="宋体" w:eastAsia="宋体" w:hint="default"/>
          <w:sz w:val="21"/>
          <w:szCs w:val="21"/>
        </w:rPr>
        <w:t>同方友友纳入合并范围，因此</w:t>
      </w:r>
      <w:r>
        <w:rPr>
          <w:rFonts w:ascii="宋体" w:hAnsi="宋体" w:cs="宋体" w:eastAsia="宋体" w:hint="default"/>
          <w:spacing w:val="-55"/>
          <w:sz w:val="21"/>
          <w:szCs w:val="21"/>
        </w:rPr>
        <w:t> </w:t>
      </w:r>
      <w:r>
        <w:rPr>
          <w:rFonts w:ascii="宋体" w:hAnsi="宋体" w:cs="宋体" w:eastAsia="宋体" w:hint="default"/>
          <w:sz w:val="21"/>
          <w:szCs w:val="21"/>
        </w:rPr>
        <w:t>2014</w:t>
      </w:r>
      <w:r>
        <w:rPr>
          <w:rFonts w:ascii="宋体" w:hAnsi="宋体" w:cs="宋体" w:eastAsia="宋体" w:hint="default"/>
          <w:spacing w:val="-57"/>
          <w:sz w:val="21"/>
          <w:szCs w:val="21"/>
        </w:rPr>
        <w:t> </w:t>
      </w:r>
      <w:r>
        <w:rPr>
          <w:rFonts w:ascii="宋体" w:hAnsi="宋体" w:cs="宋体" w:eastAsia="宋体" w:hint="default"/>
          <w:sz w:val="21"/>
          <w:szCs w:val="21"/>
        </w:rPr>
        <w:t>年的主营业务收入为同方友友</w:t>
      </w:r>
      <w:r>
        <w:rPr>
          <w:rFonts w:ascii="宋体" w:hAnsi="宋体" w:cs="宋体" w:eastAsia="宋体" w:hint="default"/>
          <w:spacing w:val="-55"/>
          <w:sz w:val="21"/>
          <w:szCs w:val="21"/>
        </w:rPr>
        <w:t> </w:t>
      </w:r>
      <w:r>
        <w:rPr>
          <w:rFonts w:ascii="宋体" w:hAnsi="宋体" w:cs="宋体" w:eastAsia="宋体" w:hint="default"/>
          <w:sz w:val="21"/>
          <w:szCs w:val="21"/>
        </w:rPr>
        <w:t>2015</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8-12</w:t>
      </w:r>
      <w:r>
        <w:rPr>
          <w:rFonts w:ascii="宋体" w:hAnsi="宋体" w:cs="宋体" w:eastAsia="宋体" w:hint="default"/>
          <w:spacing w:val="-55"/>
          <w:sz w:val="21"/>
          <w:szCs w:val="21"/>
        </w:rPr>
        <w:t> </w:t>
      </w:r>
      <w:r>
        <w:rPr>
          <w:rFonts w:ascii="宋体" w:hAnsi="宋体" w:cs="宋体" w:eastAsia="宋体" w:hint="default"/>
          <w:sz w:val="21"/>
          <w:szCs w:val="21"/>
        </w:rPr>
        <w:t>月的主营业务收入。</w:t>
      </w:r>
    </w:p>
    <w:p>
      <w:pPr>
        <w:spacing w:line="240" w:lineRule="auto" w:before="9"/>
        <w:rPr>
          <w:rFonts w:ascii="宋体" w:hAnsi="宋体" w:cs="宋体" w:eastAsia="宋体" w:hint="default"/>
          <w:sz w:val="27"/>
          <w:szCs w:val="27"/>
        </w:rPr>
      </w:pPr>
    </w:p>
    <w:p>
      <w:pPr>
        <w:pStyle w:val="Heading3"/>
        <w:spacing w:line="240" w:lineRule="auto"/>
        <w:ind w:left="158" w:right="0"/>
        <w:jc w:val="both"/>
        <w:rPr>
          <w:rFonts w:ascii="Calibri" w:hAnsi="Calibri" w:cs="Calibri" w:eastAsia="Calibri" w:hint="default"/>
          <w:b w:val="0"/>
          <w:bCs w:val="0"/>
        </w:rPr>
      </w:pPr>
      <w:r>
        <w:rPr>
          <w:rFonts w:ascii="Calibri" w:hAnsi="Calibri" w:cs="Calibri" w:eastAsia="Calibri" w:hint="default"/>
          <w:spacing w:val="-3"/>
        </w:rPr>
        <w:t>6</w:t>
      </w:r>
      <w:r>
        <w:rPr>
          <w:spacing w:val="-3"/>
        </w:rPr>
        <w:t>、</w:t>
      </w:r>
      <w:r>
        <w:rPr>
          <w:rFonts w:ascii="Calibri" w:hAnsi="Calibri" w:cs="Calibri" w:eastAsia="Calibri" w:hint="default"/>
          <w:spacing w:val="-3"/>
        </w:rPr>
        <w:t>Technovator </w:t>
      </w:r>
      <w:r>
        <w:rPr>
          <w:rFonts w:ascii="Calibri" w:hAnsi="Calibri" w:cs="Calibri" w:eastAsia="Calibri" w:hint="default"/>
        </w:rPr>
        <w:t>International Limited(</w:t>
      </w:r>
      <w:r>
        <w:rPr/>
        <w:t>股票简称：同方泰德，股票代码：</w:t>
      </w:r>
      <w:r>
        <w:rPr>
          <w:rFonts w:ascii="Calibri" w:hAnsi="Calibri" w:cs="Calibri" w:eastAsia="Calibri" w:hint="default"/>
        </w:rPr>
        <w:t>HK</w:t>
      </w:r>
      <w:r>
        <w:rPr>
          <w:rFonts w:ascii="Calibri" w:hAnsi="Calibri" w:cs="Calibri" w:eastAsia="Calibri" w:hint="default"/>
          <w:spacing w:val="-11"/>
        </w:rPr>
        <w:t> </w:t>
      </w:r>
      <w:r>
        <w:rPr>
          <w:rFonts w:ascii="Calibri" w:hAnsi="Calibri" w:cs="Calibri" w:eastAsia="Calibri" w:hint="default"/>
        </w:rPr>
        <w:t>1206)</w:t>
      </w:r>
      <w:r>
        <w:rPr>
          <w:rFonts w:ascii="Calibri" w:hAnsi="Calibri" w:cs="Calibri" w:eastAsia="Calibri" w:hint="default"/>
          <w:b w:val="0"/>
          <w:bCs w:val="0"/>
        </w:rPr>
      </w:r>
    </w:p>
    <w:p>
      <w:pPr>
        <w:spacing w:line="240" w:lineRule="auto" w:before="10"/>
        <w:rPr>
          <w:rFonts w:ascii="Calibri" w:hAnsi="Calibri" w:cs="Calibri" w:eastAsia="Calibri" w:hint="default"/>
          <w:b/>
          <w:bCs/>
          <w:sz w:val="27"/>
          <w:szCs w:val="27"/>
        </w:rPr>
      </w:pPr>
    </w:p>
    <w:p>
      <w:pPr>
        <w:pStyle w:val="BodyText"/>
        <w:spacing w:line="237" w:lineRule="auto"/>
        <w:ind w:right="405"/>
        <w:jc w:val="both"/>
      </w:pPr>
      <w:r>
        <w:rPr>
          <w:rFonts w:ascii="宋体" w:hAnsi="宋体" w:cs="宋体" w:eastAsia="宋体" w:hint="default"/>
        </w:rPr>
        <w:t>Technovator International</w:t>
      </w:r>
      <w:r>
        <w:rPr>
          <w:rFonts w:ascii="宋体" w:hAnsi="宋体" w:cs="宋体" w:eastAsia="宋体" w:hint="default"/>
          <w:spacing w:val="11"/>
        </w:rPr>
        <w:t> </w:t>
      </w:r>
      <w:r>
        <w:rPr>
          <w:rFonts w:ascii="宋体" w:hAnsi="宋体" w:cs="宋体" w:eastAsia="宋体" w:hint="default"/>
          <w:spacing w:val="2"/>
        </w:rPr>
        <w:t>Limited(</w:t>
      </w:r>
      <w:r>
        <w:rPr>
          <w:spacing w:val="2"/>
        </w:rPr>
        <w:t>中文名称“同方泰德国际科技有限公司”，原中</w:t>
      </w:r>
      <w:r>
        <w:rPr/>
        <w:t> </w:t>
      </w:r>
      <w:r>
        <w:rPr>
          <w:spacing w:val="-7"/>
        </w:rPr>
        <w:t>文名称“科诺威德国际有限公司”，以下简称“同方泰德”</w:t>
      </w:r>
      <w:r>
        <w:rPr>
          <w:rFonts w:ascii="宋体" w:hAnsi="宋体" w:cs="宋体" w:eastAsia="宋体" w:hint="default"/>
          <w:spacing w:val="-7"/>
        </w:rPr>
        <w:t>)</w:t>
      </w:r>
      <w:r>
        <w:rPr>
          <w:spacing w:val="-7"/>
        </w:rPr>
        <w:t>成立于</w:t>
      </w:r>
      <w:r>
        <w:rPr>
          <w:spacing w:val="-55"/>
        </w:rPr>
        <w:t> </w:t>
      </w:r>
      <w:r>
        <w:rPr>
          <w:rFonts w:ascii="宋体" w:hAnsi="宋体" w:cs="宋体" w:eastAsia="宋体" w:hint="default"/>
        </w:rPr>
        <w:t>2005</w:t>
      </w:r>
      <w:r>
        <w:rPr>
          <w:rFonts w:ascii="宋体" w:hAnsi="宋体" w:cs="宋体" w:eastAsia="宋体" w:hint="default"/>
          <w:spacing w:val="-55"/>
        </w:rPr>
        <w:t> </w:t>
      </w:r>
      <w:r>
        <w:rPr/>
        <w:t>年</w:t>
      </w:r>
      <w:r>
        <w:rPr>
          <w:spacing w:val="-55"/>
        </w:rPr>
        <w:t> </w:t>
      </w:r>
      <w:r>
        <w:rPr>
          <w:rFonts w:ascii="宋体" w:hAnsi="宋体" w:cs="宋体" w:eastAsia="宋体" w:hint="default"/>
        </w:rPr>
        <w:t>5</w:t>
      </w:r>
      <w:r>
        <w:rPr>
          <w:rFonts w:ascii="宋体" w:hAnsi="宋体" w:cs="宋体" w:eastAsia="宋体" w:hint="default"/>
          <w:spacing w:val="-55"/>
        </w:rPr>
        <w:t> </w:t>
      </w:r>
      <w:r>
        <w:rPr>
          <w:spacing w:val="-12"/>
        </w:rPr>
        <w:t>月，于</w:t>
      </w:r>
      <w:r>
        <w:rPr>
          <w:spacing w:val="-55"/>
        </w:rPr>
        <w:t> </w:t>
      </w:r>
      <w:r>
        <w:rPr>
          <w:rFonts w:ascii="宋体" w:hAnsi="宋体" w:cs="宋体" w:eastAsia="宋体" w:hint="default"/>
        </w:rPr>
        <w:t>2011</w:t>
      </w:r>
      <w:r>
        <w:rPr>
          <w:rFonts w:ascii="宋体" w:hAnsi="宋体" w:cs="宋体" w:eastAsia="宋体" w:hint="default"/>
          <w:spacing w:val="-118"/>
        </w:rPr>
        <w:t> </w:t>
      </w:r>
      <w:r>
        <w:rPr/>
        <w:t>年 </w:t>
      </w:r>
      <w:r>
        <w:rPr>
          <w:rFonts w:ascii="宋体" w:hAnsi="宋体" w:cs="宋体" w:eastAsia="宋体" w:hint="default"/>
        </w:rPr>
        <w:t>10 </w:t>
      </w:r>
      <w:r>
        <w:rPr/>
        <w:t>月 </w:t>
      </w:r>
      <w:r>
        <w:rPr>
          <w:rFonts w:ascii="宋体" w:hAnsi="宋体" w:cs="宋体" w:eastAsia="宋体" w:hint="default"/>
        </w:rPr>
        <w:t>27</w:t>
      </w:r>
      <w:r>
        <w:rPr>
          <w:rFonts w:ascii="宋体" w:hAnsi="宋体" w:cs="宋体" w:eastAsia="宋体" w:hint="default"/>
          <w:spacing w:val="77"/>
        </w:rPr>
        <w:t> </w:t>
      </w:r>
      <w:r>
        <w:rPr>
          <w:spacing w:val="16"/>
        </w:rPr>
        <w:t>日在香港联交所主板上市交易。截至本报告期末，同方泰德总股本为 </w:t>
      </w:r>
      <w:r>
        <w:rPr>
          <w:rFonts w:ascii="宋体" w:hAnsi="宋体" w:cs="宋体" w:eastAsia="宋体" w:hint="default"/>
        </w:rPr>
        <w:t>795,272,189 </w:t>
      </w:r>
      <w:r>
        <w:rPr/>
        <w:t>股，公司合计持股</w:t>
      </w:r>
      <w:r>
        <w:rPr>
          <w:spacing w:val="-39"/>
        </w:rPr>
        <w:t> </w:t>
      </w:r>
      <w:r>
        <w:rPr>
          <w:rFonts w:ascii="宋体" w:hAnsi="宋体" w:cs="宋体" w:eastAsia="宋体" w:hint="default"/>
        </w:rPr>
        <w:t>33.72%</w:t>
      </w:r>
      <w:r>
        <w:rPr/>
        <w:t>，为其第一大股东。同方泰德主要从事楼宇自动 化系统、能源管理系统、安控系统、消防系统产品的开发、制造和销售，并提供全方位</w:t>
      </w:r>
      <w:r>
        <w:rPr>
          <w:spacing w:val="-51"/>
        </w:rPr>
        <w:t> </w:t>
      </w:r>
      <w:r>
        <w:rPr>
          <w:spacing w:val="-51"/>
        </w:rPr>
      </w:r>
      <w:r>
        <w:rPr/>
        <w:t>解决方案和服务。</w:t>
      </w:r>
    </w:p>
    <w:p>
      <w:pPr>
        <w:spacing w:line="240" w:lineRule="auto" w:before="10"/>
        <w:rPr>
          <w:rFonts w:ascii="宋体" w:hAnsi="宋体" w:cs="宋体" w:eastAsia="宋体" w:hint="default"/>
          <w:sz w:val="23"/>
          <w:szCs w:val="23"/>
        </w:rPr>
      </w:pPr>
    </w:p>
    <w:p>
      <w:pPr>
        <w:pStyle w:val="BodyText"/>
        <w:spacing w:line="237" w:lineRule="auto"/>
        <w:ind w:right="421"/>
        <w:jc w:val="both"/>
      </w:pPr>
      <w:r>
        <w:rPr>
          <w:rFonts w:ascii="宋体" w:hAnsi="宋体" w:cs="宋体" w:eastAsia="宋体" w:hint="default"/>
        </w:rPr>
        <w:t>2015</w:t>
      </w:r>
      <w:r>
        <w:rPr>
          <w:rFonts w:ascii="宋体" w:hAnsi="宋体" w:cs="宋体" w:eastAsia="宋体" w:hint="default"/>
          <w:spacing w:val="-39"/>
        </w:rPr>
        <w:t> </w:t>
      </w:r>
      <w:r>
        <w:rPr/>
        <w:t>年，作为领先的城市节能综合一体化服务供应商，同方泰德的城市节能业务已经形 成了围绕城市基础设施展开的，包括建筑节能、轨道交通节能、热网节能、工业节能在</w:t>
      </w:r>
      <w:r>
        <w:rPr>
          <w:spacing w:val="-51"/>
        </w:rPr>
        <w:t> </w:t>
      </w:r>
      <w:r>
        <w:rPr>
          <w:spacing w:val="-51"/>
        </w:rPr>
      </w:r>
      <w:r>
        <w:rPr>
          <w:spacing w:val="2"/>
        </w:rPr>
        <w:t>内的四大业务领域。公司自主研发的 </w:t>
      </w:r>
      <w:r>
        <w:rPr>
          <w:rFonts w:ascii="宋体" w:hAnsi="宋体" w:cs="宋体" w:eastAsia="宋体" w:hint="default"/>
        </w:rPr>
        <w:t>Techcon E-Cloud </w:t>
      </w:r>
      <w:r>
        <w:rPr/>
        <w:t>城市节能云平台、</w:t>
      </w:r>
      <w:r>
        <w:rPr>
          <w:rFonts w:ascii="宋体" w:hAnsi="宋体" w:cs="宋体" w:eastAsia="宋体" w:hint="default"/>
        </w:rPr>
        <w:t>Techcon</w:t>
      </w:r>
      <w:r>
        <w:rPr>
          <w:rFonts w:ascii="宋体" w:hAnsi="宋体" w:cs="宋体" w:eastAsia="宋体" w:hint="default"/>
          <w:spacing w:val="38"/>
        </w:rPr>
        <w:t> </w:t>
      </w:r>
      <w:r>
        <w:rPr>
          <w:rFonts w:ascii="宋体" w:hAnsi="宋体" w:cs="宋体" w:eastAsia="宋体" w:hint="default"/>
        </w:rPr>
        <w:t>EEC</w:t>
      </w:r>
      <w:r>
        <w:rPr>
          <w:rFonts w:ascii="宋体" w:hAnsi="宋体" w:cs="宋体" w:eastAsia="宋体" w:hint="default"/>
        </w:rPr>
        <w:t> </w:t>
      </w:r>
      <w:r>
        <w:rPr/>
        <w:t>节能专家控制系统及</w:t>
      </w:r>
      <w:r>
        <w:rPr>
          <w:spacing w:val="-61"/>
        </w:rPr>
        <w:t> </w:t>
      </w:r>
      <w:r>
        <w:rPr>
          <w:rFonts w:ascii="宋体" w:hAnsi="宋体" w:cs="宋体" w:eastAsia="宋体" w:hint="default"/>
        </w:rPr>
        <w:t>Techcon</w:t>
      </w:r>
      <w:r>
        <w:rPr>
          <w:rFonts w:ascii="宋体" w:hAnsi="宋体" w:cs="宋体" w:eastAsia="宋体" w:hint="default"/>
          <w:spacing w:val="-39"/>
        </w:rPr>
        <w:t> </w:t>
      </w:r>
      <w:r>
        <w:rPr>
          <w:rFonts w:ascii="宋体" w:hAnsi="宋体" w:cs="宋体" w:eastAsia="宋体" w:hint="default"/>
        </w:rPr>
        <w:t>EMS</w:t>
      </w:r>
      <w:r>
        <w:rPr>
          <w:rFonts w:ascii="宋体" w:hAnsi="宋体" w:cs="宋体" w:eastAsia="宋体" w:hint="default"/>
          <w:spacing w:val="-60"/>
        </w:rPr>
        <w:t> </w:t>
      </w:r>
      <w:r>
        <w:rPr/>
        <w:t>能源管理系统等产品，已成功应用于国内</w:t>
      </w:r>
      <w:r>
        <w:rPr>
          <w:spacing w:val="-60"/>
        </w:rPr>
        <w:t> </w:t>
      </w:r>
      <w:r>
        <w:rPr>
          <w:rFonts w:ascii="宋体" w:hAnsi="宋体" w:cs="宋体" w:eastAsia="宋体" w:hint="default"/>
        </w:rPr>
        <w:t>20</w:t>
      </w:r>
      <w:r>
        <w:rPr>
          <w:rFonts w:ascii="宋体" w:hAnsi="宋体" w:cs="宋体" w:eastAsia="宋体" w:hint="default"/>
          <w:spacing w:val="-60"/>
        </w:rPr>
        <w:t> </w:t>
      </w:r>
      <w:r>
        <w:rPr/>
        <w:t>多个省市</w:t>
      </w:r>
    </w:p>
    <w:p>
      <w:pPr>
        <w:spacing w:after="0" w:line="237" w:lineRule="auto"/>
        <w:jc w:val="both"/>
        <w:sectPr>
          <w:pgSz w:w="11910" w:h="16840"/>
          <w:pgMar w:header="628" w:footer="760" w:top="1080" w:bottom="960" w:left="1260" w:right="8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237" w:lineRule="auto" w:before="28"/>
        <w:ind w:right="187"/>
        <w:jc w:val="left"/>
      </w:pPr>
      <w:r>
        <w:rPr/>
        <w:t>和地区的数百栋地标性建筑，为其提供了完善的能源管理和节能服务，获得业主单位的</w:t>
      </w:r>
      <w:r>
        <w:rPr>
          <w:spacing w:val="-51"/>
        </w:rPr>
        <w:t> </w:t>
      </w:r>
      <w:r>
        <w:rPr>
          <w:spacing w:val="-51"/>
        </w:rPr>
      </w:r>
      <w:r>
        <w:rPr/>
        <w:t>好评和行业内专家学者的一致认可。报告期内，在“</w:t>
      </w:r>
      <w:r>
        <w:rPr>
          <w:rFonts w:ascii="宋体" w:hAnsi="宋体" w:cs="宋体" w:eastAsia="宋体" w:hint="default"/>
        </w:rPr>
        <w:t>2015</w:t>
      </w:r>
      <w:r>
        <w:rPr>
          <w:rFonts w:ascii="宋体" w:hAnsi="宋体" w:cs="宋体" w:eastAsia="宋体" w:hint="default"/>
          <w:spacing w:val="-39"/>
        </w:rPr>
        <w:t> </w:t>
      </w:r>
      <w:r>
        <w:rPr/>
        <w:t>节能服务产业年度峰会”上， 同方泰德被授予“十二五节能服务产业突出贡献企业”、“2015</w:t>
      </w:r>
      <w:r>
        <w:rPr>
          <w:spacing w:val="-39"/>
        </w:rPr>
        <w:t> </w:t>
      </w:r>
      <w:r>
        <w:rPr/>
        <w:t>节能服务产业品牌企业”</w:t>
      </w:r>
      <w:r>
        <w:rPr/>
        <w:t> 双称号。</w:t>
      </w:r>
    </w:p>
    <w:p>
      <w:pPr>
        <w:spacing w:line="240" w:lineRule="auto" w:before="7"/>
        <w:rPr>
          <w:rFonts w:ascii="宋体" w:hAnsi="宋体" w:cs="宋体" w:eastAsia="宋体" w:hint="default"/>
          <w:sz w:val="23"/>
          <w:szCs w:val="23"/>
        </w:rPr>
      </w:pPr>
    </w:p>
    <w:p>
      <w:pPr>
        <w:pStyle w:val="BodyText"/>
        <w:spacing w:line="240" w:lineRule="auto"/>
        <w:ind w:right="187"/>
        <w:jc w:val="left"/>
      </w:pPr>
      <w:r>
        <w:rPr/>
        <w:t>同方泰德近三年主要财务数据：</w:t>
      </w:r>
    </w:p>
    <w:p>
      <w:pPr>
        <w:spacing w:line="240" w:lineRule="auto" w:before="10"/>
        <w:rPr>
          <w:rFonts w:ascii="宋体" w:hAnsi="宋体" w:cs="宋体" w:eastAsia="宋体" w:hint="default"/>
          <w:sz w:val="26"/>
          <w:szCs w:val="26"/>
        </w:rPr>
      </w:pPr>
    </w:p>
    <w:tbl>
      <w:tblPr>
        <w:tblW w:w="0" w:type="auto"/>
        <w:jc w:val="left"/>
        <w:tblInd w:w="130" w:type="dxa"/>
        <w:tblLayout w:type="fixed"/>
        <w:tblCellMar>
          <w:top w:w="0" w:type="dxa"/>
          <w:left w:w="0" w:type="dxa"/>
          <w:bottom w:w="0" w:type="dxa"/>
          <w:right w:w="0" w:type="dxa"/>
        </w:tblCellMar>
        <w:tblLook w:val="01E0"/>
      </w:tblPr>
      <w:tblGrid>
        <w:gridCol w:w="2090"/>
        <w:gridCol w:w="1597"/>
        <w:gridCol w:w="1130"/>
        <w:gridCol w:w="3246"/>
        <w:gridCol w:w="1452"/>
      </w:tblGrid>
      <w:tr>
        <w:trPr>
          <w:trHeight w:val="336" w:hRule="exact"/>
        </w:trPr>
        <w:tc>
          <w:tcPr>
            <w:tcW w:w="2090" w:type="dxa"/>
            <w:tcBorders>
              <w:top w:val="single" w:sz="12" w:space="0" w:color="000000"/>
              <w:left w:val="single" w:sz="12" w:space="0" w:color="000000"/>
              <w:bottom w:val="single" w:sz="6" w:space="0" w:color="000000"/>
              <w:right w:val="single" w:sz="6" w:space="0" w:color="000000"/>
            </w:tcBorders>
          </w:tcPr>
          <w:p>
            <w:pPr>
              <w:pStyle w:val="TableParagraph"/>
              <w:spacing w:line="262" w:lineRule="exact"/>
              <w:ind w:right="2"/>
              <w:jc w:val="center"/>
              <w:rPr>
                <w:rFonts w:ascii="宋体" w:hAnsi="宋体" w:cs="宋体" w:eastAsia="宋体" w:hint="default"/>
                <w:sz w:val="21"/>
                <w:szCs w:val="21"/>
              </w:rPr>
            </w:pPr>
            <w:r>
              <w:rPr>
                <w:rFonts w:ascii="宋体" w:hAnsi="宋体" w:cs="宋体" w:eastAsia="宋体" w:hint="default"/>
                <w:b/>
                <w:bCs/>
                <w:sz w:val="21"/>
                <w:szCs w:val="21"/>
              </w:rPr>
              <w:t>年度</w:t>
            </w:r>
            <w:r>
              <w:rPr>
                <w:rFonts w:ascii="宋体" w:hAnsi="宋体" w:cs="宋体" w:eastAsia="宋体" w:hint="default"/>
                <w:b/>
                <w:bCs/>
                <w:sz w:val="21"/>
                <w:szCs w:val="21"/>
              </w:rPr>
              <w:t>(</w:t>
            </w:r>
            <w:r>
              <w:rPr>
                <w:rFonts w:ascii="宋体" w:hAnsi="宋体" w:cs="宋体" w:eastAsia="宋体" w:hint="default"/>
                <w:b/>
                <w:bCs/>
                <w:sz w:val="21"/>
                <w:szCs w:val="21"/>
              </w:rPr>
              <w:t>单位：万元</w:t>
            </w:r>
            <w:r>
              <w:rPr>
                <w:rFonts w:ascii="宋体" w:hAnsi="宋体" w:cs="宋体" w:eastAsia="宋体" w:hint="default"/>
                <w:b/>
                <w:bCs/>
                <w:sz w:val="21"/>
                <w:szCs w:val="21"/>
              </w:rPr>
              <w:t>)</w:t>
            </w:r>
            <w:r>
              <w:rPr>
                <w:rFonts w:ascii="宋体" w:hAnsi="宋体" w:cs="宋体" w:eastAsia="宋体" w:hint="default"/>
                <w:sz w:val="21"/>
                <w:szCs w:val="21"/>
              </w:rPr>
            </w:r>
          </w:p>
        </w:tc>
        <w:tc>
          <w:tcPr>
            <w:tcW w:w="1597" w:type="dxa"/>
            <w:tcBorders>
              <w:top w:val="single" w:sz="12" w:space="0" w:color="000000"/>
              <w:left w:val="single" w:sz="6" w:space="0" w:color="000000"/>
              <w:bottom w:val="single" w:sz="6" w:space="0" w:color="000000"/>
              <w:right w:val="single" w:sz="6" w:space="0" w:color="000000"/>
            </w:tcBorders>
          </w:tcPr>
          <w:p>
            <w:pPr>
              <w:pStyle w:val="TableParagraph"/>
              <w:spacing w:line="262" w:lineRule="exact"/>
              <w:ind w:right="154"/>
              <w:jc w:val="righ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c>
        <w:tc>
          <w:tcPr>
            <w:tcW w:w="1130" w:type="dxa"/>
            <w:tcBorders>
              <w:top w:val="single" w:sz="12" w:space="0" w:color="000000"/>
              <w:left w:val="single" w:sz="6" w:space="0" w:color="000000"/>
              <w:bottom w:val="single" w:sz="6" w:space="0" w:color="000000"/>
              <w:right w:val="single" w:sz="6" w:space="0" w:color="000000"/>
            </w:tcBorders>
          </w:tcPr>
          <w:p>
            <w:pPr>
              <w:pStyle w:val="TableParagraph"/>
              <w:spacing w:line="262" w:lineRule="exact"/>
              <w:ind w:left="240" w:right="0"/>
              <w:jc w:val="left"/>
              <w:rPr>
                <w:rFonts w:ascii="宋体" w:hAnsi="宋体" w:cs="宋体" w:eastAsia="宋体" w:hint="default"/>
                <w:sz w:val="21"/>
                <w:szCs w:val="21"/>
              </w:rPr>
            </w:pPr>
            <w:r>
              <w:rPr>
                <w:rFonts w:ascii="宋体" w:hAnsi="宋体" w:cs="宋体" w:eastAsia="宋体" w:hint="default"/>
                <w:b/>
                <w:bCs/>
                <w:sz w:val="21"/>
                <w:szCs w:val="21"/>
              </w:rPr>
              <w:t>毛利率</w:t>
            </w:r>
            <w:r>
              <w:rPr>
                <w:rFonts w:ascii="宋体" w:hAnsi="宋体" w:cs="宋体" w:eastAsia="宋体" w:hint="default"/>
                <w:sz w:val="21"/>
                <w:szCs w:val="21"/>
              </w:rPr>
            </w:r>
          </w:p>
        </w:tc>
        <w:tc>
          <w:tcPr>
            <w:tcW w:w="3246" w:type="dxa"/>
            <w:tcBorders>
              <w:top w:val="single" w:sz="12" w:space="0" w:color="000000"/>
              <w:left w:val="single" w:sz="6" w:space="0" w:color="000000"/>
              <w:bottom w:val="single" w:sz="6" w:space="0" w:color="000000"/>
              <w:right w:val="single" w:sz="6" w:space="0" w:color="000000"/>
            </w:tcBorders>
          </w:tcPr>
          <w:p>
            <w:pPr>
              <w:pStyle w:val="TableParagraph"/>
              <w:spacing w:line="262" w:lineRule="exact"/>
              <w:ind w:right="137"/>
              <w:jc w:val="right"/>
              <w:rPr>
                <w:rFonts w:ascii="宋体" w:hAnsi="宋体" w:cs="宋体" w:eastAsia="宋体" w:hint="default"/>
                <w:sz w:val="21"/>
                <w:szCs w:val="21"/>
              </w:rPr>
            </w:pPr>
            <w:r>
              <w:rPr>
                <w:rFonts w:ascii="宋体" w:hAnsi="宋体" w:cs="宋体" w:eastAsia="宋体" w:hint="default"/>
                <w:b/>
                <w:bCs/>
                <w:spacing w:val="-1"/>
                <w:sz w:val="21"/>
                <w:szCs w:val="21"/>
              </w:rPr>
              <w:t>归属于母公司股东的期末净资产</w:t>
            </w:r>
            <w:r>
              <w:rPr>
                <w:rFonts w:ascii="宋体" w:hAnsi="宋体" w:cs="宋体" w:eastAsia="宋体" w:hint="default"/>
                <w:spacing w:val="-1"/>
                <w:sz w:val="21"/>
                <w:szCs w:val="21"/>
              </w:rPr>
            </w:r>
          </w:p>
        </w:tc>
        <w:tc>
          <w:tcPr>
            <w:tcW w:w="1452" w:type="dxa"/>
            <w:tcBorders>
              <w:top w:val="single" w:sz="12" w:space="0" w:color="000000"/>
              <w:left w:val="single" w:sz="6" w:space="0" w:color="000000"/>
              <w:bottom w:val="single" w:sz="6" w:space="0" w:color="000000"/>
              <w:right w:val="single" w:sz="12" w:space="0" w:color="000000"/>
            </w:tcBorders>
          </w:tcPr>
          <w:p>
            <w:pPr>
              <w:pStyle w:val="TableParagraph"/>
              <w:spacing w:line="262" w:lineRule="exact"/>
              <w:ind w:left="400" w:right="0"/>
              <w:jc w:val="left"/>
              <w:rPr>
                <w:rFonts w:ascii="宋体" w:hAnsi="宋体" w:cs="宋体" w:eastAsia="宋体" w:hint="default"/>
                <w:sz w:val="21"/>
                <w:szCs w:val="21"/>
              </w:rPr>
            </w:pPr>
            <w:r>
              <w:rPr>
                <w:rFonts w:ascii="宋体" w:hAnsi="宋体" w:cs="宋体" w:eastAsia="宋体" w:hint="default"/>
                <w:b/>
                <w:bCs/>
                <w:sz w:val="21"/>
                <w:szCs w:val="21"/>
              </w:rPr>
              <w:t>总资产</w:t>
            </w:r>
            <w:r>
              <w:rPr>
                <w:rFonts w:ascii="宋体" w:hAnsi="宋体" w:cs="宋体" w:eastAsia="宋体" w:hint="default"/>
                <w:sz w:val="21"/>
                <w:szCs w:val="21"/>
              </w:rPr>
            </w:r>
          </w:p>
        </w:tc>
      </w:tr>
      <w:tr>
        <w:trPr>
          <w:trHeight w:val="331" w:hRule="exact"/>
        </w:trPr>
        <w:tc>
          <w:tcPr>
            <w:tcW w:w="2090" w:type="dxa"/>
            <w:tcBorders>
              <w:top w:val="single" w:sz="6" w:space="0" w:color="000000"/>
              <w:left w:val="single" w:sz="12" w:space="0" w:color="000000"/>
              <w:bottom w:val="single" w:sz="6" w:space="0" w:color="000000"/>
              <w:right w:val="single" w:sz="6" w:space="0" w:color="000000"/>
            </w:tcBorders>
          </w:tcPr>
          <w:p>
            <w:pPr>
              <w:pStyle w:val="TableParagraph"/>
              <w:spacing w:line="262" w:lineRule="exact"/>
              <w:ind w:right="2"/>
              <w:jc w:val="center"/>
              <w:rPr>
                <w:rFonts w:ascii="宋体" w:hAnsi="宋体" w:cs="宋体" w:eastAsia="宋体" w:hint="default"/>
                <w:sz w:val="21"/>
                <w:szCs w:val="21"/>
              </w:rPr>
            </w:pPr>
            <w:r>
              <w:rPr>
                <w:rFonts w:ascii="宋体"/>
                <w:b/>
                <w:sz w:val="21"/>
              </w:rPr>
              <w:t>2015</w:t>
            </w:r>
            <w:r>
              <w:rPr>
                <w:rFonts w:ascii="宋体"/>
                <w:sz w:val="21"/>
              </w:rPr>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160,347.74</w:t>
            </w:r>
          </w:p>
        </w:tc>
        <w:tc>
          <w:tcPr>
            <w:tcW w:w="1130"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29.71%</w:t>
            </w:r>
          </w:p>
        </w:tc>
        <w:tc>
          <w:tcPr>
            <w:tcW w:w="3246"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4"/>
              <w:jc w:val="right"/>
              <w:rPr>
                <w:rFonts w:ascii="宋体" w:hAnsi="宋体" w:cs="宋体" w:eastAsia="宋体" w:hint="default"/>
                <w:sz w:val="21"/>
                <w:szCs w:val="21"/>
              </w:rPr>
            </w:pPr>
            <w:r>
              <w:rPr>
                <w:rFonts w:ascii="宋体"/>
                <w:spacing w:val="-1"/>
                <w:sz w:val="21"/>
              </w:rPr>
              <w:t>199,802.31</w:t>
            </w:r>
          </w:p>
        </w:tc>
        <w:tc>
          <w:tcPr>
            <w:tcW w:w="1452" w:type="dxa"/>
            <w:tcBorders>
              <w:top w:val="single" w:sz="6" w:space="0" w:color="000000"/>
              <w:left w:val="single" w:sz="6" w:space="0" w:color="000000"/>
              <w:bottom w:val="single" w:sz="6" w:space="0" w:color="000000"/>
              <w:right w:val="single" w:sz="12" w:space="0" w:color="000000"/>
            </w:tcBorders>
          </w:tcPr>
          <w:p>
            <w:pPr>
              <w:pStyle w:val="TableParagraph"/>
              <w:spacing w:line="262" w:lineRule="exact"/>
              <w:ind w:right="91"/>
              <w:jc w:val="right"/>
              <w:rPr>
                <w:rFonts w:ascii="宋体" w:hAnsi="宋体" w:cs="宋体" w:eastAsia="宋体" w:hint="default"/>
                <w:sz w:val="21"/>
                <w:szCs w:val="21"/>
              </w:rPr>
            </w:pPr>
            <w:r>
              <w:rPr>
                <w:rFonts w:ascii="宋体"/>
                <w:spacing w:val="-1"/>
                <w:sz w:val="21"/>
              </w:rPr>
              <w:t>401,951.28</w:t>
            </w:r>
          </w:p>
        </w:tc>
      </w:tr>
      <w:tr>
        <w:trPr>
          <w:trHeight w:val="329" w:hRule="exact"/>
        </w:trPr>
        <w:tc>
          <w:tcPr>
            <w:tcW w:w="2090" w:type="dxa"/>
            <w:tcBorders>
              <w:top w:val="single" w:sz="6" w:space="0" w:color="000000"/>
              <w:left w:val="single" w:sz="12" w:space="0" w:color="000000"/>
              <w:bottom w:val="single" w:sz="6" w:space="0" w:color="000000"/>
              <w:right w:val="single" w:sz="6" w:space="0" w:color="000000"/>
            </w:tcBorders>
          </w:tcPr>
          <w:p>
            <w:pPr>
              <w:pStyle w:val="TableParagraph"/>
              <w:spacing w:line="262" w:lineRule="exact"/>
              <w:ind w:right="2"/>
              <w:jc w:val="center"/>
              <w:rPr>
                <w:rFonts w:ascii="宋体" w:hAnsi="宋体" w:cs="宋体" w:eastAsia="宋体" w:hint="default"/>
                <w:sz w:val="21"/>
                <w:szCs w:val="21"/>
              </w:rPr>
            </w:pPr>
            <w:r>
              <w:rPr>
                <w:rFonts w:ascii="宋体"/>
                <w:b/>
                <w:sz w:val="21"/>
              </w:rPr>
              <w:t>2014</w:t>
            </w:r>
            <w:r>
              <w:rPr>
                <w:rFonts w:ascii="宋体"/>
                <w:sz w:val="21"/>
              </w:rPr>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131,060.26</w:t>
            </w:r>
          </w:p>
        </w:tc>
        <w:tc>
          <w:tcPr>
            <w:tcW w:w="1130"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34.64%</w:t>
            </w:r>
          </w:p>
        </w:tc>
        <w:tc>
          <w:tcPr>
            <w:tcW w:w="3246"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5"/>
              <w:jc w:val="right"/>
              <w:rPr>
                <w:rFonts w:ascii="宋体" w:hAnsi="宋体" w:cs="宋体" w:eastAsia="宋体" w:hint="default"/>
                <w:sz w:val="21"/>
                <w:szCs w:val="21"/>
              </w:rPr>
            </w:pPr>
            <w:r>
              <w:rPr>
                <w:rFonts w:ascii="宋体"/>
                <w:spacing w:val="-1"/>
                <w:sz w:val="21"/>
              </w:rPr>
              <w:t>79,001.17</w:t>
            </w:r>
          </w:p>
        </w:tc>
        <w:tc>
          <w:tcPr>
            <w:tcW w:w="1452" w:type="dxa"/>
            <w:tcBorders>
              <w:top w:val="single" w:sz="6" w:space="0" w:color="000000"/>
              <w:left w:val="single" w:sz="6" w:space="0" w:color="000000"/>
              <w:bottom w:val="single" w:sz="6" w:space="0" w:color="000000"/>
              <w:right w:val="single" w:sz="12" w:space="0" w:color="000000"/>
            </w:tcBorders>
          </w:tcPr>
          <w:p>
            <w:pPr>
              <w:pStyle w:val="TableParagraph"/>
              <w:spacing w:line="262" w:lineRule="exact"/>
              <w:ind w:right="91"/>
              <w:jc w:val="right"/>
              <w:rPr>
                <w:rFonts w:ascii="宋体" w:hAnsi="宋体" w:cs="宋体" w:eastAsia="宋体" w:hint="default"/>
                <w:sz w:val="21"/>
                <w:szCs w:val="21"/>
              </w:rPr>
            </w:pPr>
            <w:r>
              <w:rPr>
                <w:rFonts w:ascii="宋体"/>
                <w:spacing w:val="-1"/>
                <w:sz w:val="21"/>
              </w:rPr>
              <w:t>227,851.45</w:t>
            </w:r>
          </w:p>
        </w:tc>
      </w:tr>
      <w:tr>
        <w:trPr>
          <w:trHeight w:val="322" w:hRule="exact"/>
        </w:trPr>
        <w:tc>
          <w:tcPr>
            <w:tcW w:w="2090" w:type="dxa"/>
            <w:tcBorders>
              <w:top w:val="single" w:sz="6" w:space="0" w:color="000000"/>
              <w:left w:val="single" w:sz="12" w:space="0" w:color="000000"/>
              <w:bottom w:val="single" w:sz="12" w:space="0" w:color="000000"/>
              <w:right w:val="single" w:sz="6" w:space="0" w:color="000000"/>
            </w:tcBorders>
          </w:tcPr>
          <w:p>
            <w:pPr>
              <w:pStyle w:val="TableParagraph"/>
              <w:spacing w:line="255" w:lineRule="exact"/>
              <w:ind w:right="2"/>
              <w:jc w:val="center"/>
              <w:rPr>
                <w:rFonts w:ascii="宋体" w:hAnsi="宋体" w:cs="宋体" w:eastAsia="宋体" w:hint="default"/>
                <w:sz w:val="21"/>
                <w:szCs w:val="21"/>
              </w:rPr>
            </w:pPr>
            <w:r>
              <w:rPr>
                <w:rFonts w:ascii="宋体"/>
                <w:b/>
                <w:sz w:val="21"/>
              </w:rPr>
              <w:t>2013</w:t>
            </w:r>
            <w:r>
              <w:rPr>
                <w:rFonts w:ascii="宋体"/>
                <w:sz w:val="21"/>
              </w:rPr>
            </w:r>
          </w:p>
        </w:tc>
        <w:tc>
          <w:tcPr>
            <w:tcW w:w="1597" w:type="dxa"/>
            <w:tcBorders>
              <w:top w:val="single" w:sz="6" w:space="0" w:color="000000"/>
              <w:left w:val="single" w:sz="6" w:space="0" w:color="000000"/>
              <w:bottom w:val="single" w:sz="12" w:space="0" w:color="000000"/>
              <w:right w:val="single" w:sz="6" w:space="0" w:color="000000"/>
            </w:tcBorders>
          </w:tcPr>
          <w:p>
            <w:pPr>
              <w:pStyle w:val="TableParagraph"/>
              <w:spacing w:line="255" w:lineRule="exact"/>
              <w:ind w:right="98"/>
              <w:jc w:val="right"/>
              <w:rPr>
                <w:rFonts w:ascii="宋体" w:hAnsi="宋体" w:cs="宋体" w:eastAsia="宋体" w:hint="default"/>
                <w:sz w:val="21"/>
                <w:szCs w:val="21"/>
              </w:rPr>
            </w:pPr>
            <w:r>
              <w:rPr>
                <w:rFonts w:ascii="宋体"/>
                <w:spacing w:val="-1"/>
                <w:sz w:val="21"/>
              </w:rPr>
              <w:t>92,407.60</w:t>
            </w:r>
          </w:p>
        </w:tc>
        <w:tc>
          <w:tcPr>
            <w:tcW w:w="1130" w:type="dxa"/>
            <w:tcBorders>
              <w:top w:val="single" w:sz="6" w:space="0" w:color="000000"/>
              <w:left w:val="single" w:sz="6" w:space="0" w:color="000000"/>
              <w:bottom w:val="single" w:sz="12" w:space="0" w:color="000000"/>
              <w:right w:val="single" w:sz="6" w:space="0" w:color="000000"/>
            </w:tcBorders>
          </w:tcPr>
          <w:p>
            <w:pPr>
              <w:pStyle w:val="TableParagraph"/>
              <w:spacing w:line="255" w:lineRule="exact"/>
              <w:ind w:right="96"/>
              <w:jc w:val="right"/>
              <w:rPr>
                <w:rFonts w:ascii="宋体" w:hAnsi="宋体" w:cs="宋体" w:eastAsia="宋体" w:hint="default"/>
                <w:sz w:val="21"/>
                <w:szCs w:val="21"/>
              </w:rPr>
            </w:pPr>
            <w:r>
              <w:rPr>
                <w:rFonts w:ascii="宋体"/>
                <w:sz w:val="21"/>
              </w:rPr>
              <w:t>36.85%</w:t>
            </w:r>
          </w:p>
        </w:tc>
        <w:tc>
          <w:tcPr>
            <w:tcW w:w="3246" w:type="dxa"/>
            <w:tcBorders>
              <w:top w:val="single" w:sz="6" w:space="0" w:color="000000"/>
              <w:left w:val="single" w:sz="6" w:space="0" w:color="000000"/>
              <w:bottom w:val="single" w:sz="12" w:space="0" w:color="000000"/>
              <w:right w:val="single" w:sz="6" w:space="0" w:color="000000"/>
            </w:tcBorders>
          </w:tcPr>
          <w:p>
            <w:pPr>
              <w:pStyle w:val="TableParagraph"/>
              <w:spacing w:line="255" w:lineRule="exact"/>
              <w:ind w:right="96"/>
              <w:jc w:val="right"/>
              <w:rPr>
                <w:rFonts w:ascii="宋体" w:hAnsi="宋体" w:cs="宋体" w:eastAsia="宋体" w:hint="default"/>
                <w:sz w:val="21"/>
                <w:szCs w:val="21"/>
              </w:rPr>
            </w:pPr>
            <w:r>
              <w:rPr>
                <w:rFonts w:ascii="宋体"/>
                <w:spacing w:val="-1"/>
                <w:sz w:val="21"/>
              </w:rPr>
              <w:t>57,424.61</w:t>
            </w:r>
          </w:p>
        </w:tc>
        <w:tc>
          <w:tcPr>
            <w:tcW w:w="1452" w:type="dxa"/>
            <w:tcBorders>
              <w:top w:val="single" w:sz="6" w:space="0" w:color="000000"/>
              <w:left w:val="single" w:sz="6" w:space="0" w:color="000000"/>
              <w:bottom w:val="single" w:sz="12" w:space="0" w:color="000000"/>
              <w:right w:val="single" w:sz="12" w:space="0" w:color="000000"/>
            </w:tcBorders>
          </w:tcPr>
          <w:p>
            <w:pPr>
              <w:pStyle w:val="TableParagraph"/>
              <w:spacing w:line="255" w:lineRule="exact"/>
              <w:ind w:right="91"/>
              <w:jc w:val="right"/>
              <w:rPr>
                <w:rFonts w:ascii="宋体" w:hAnsi="宋体" w:cs="宋体" w:eastAsia="宋体" w:hint="default"/>
                <w:sz w:val="21"/>
                <w:szCs w:val="21"/>
              </w:rPr>
            </w:pPr>
            <w:r>
              <w:rPr>
                <w:rFonts w:ascii="宋体"/>
                <w:spacing w:val="-1"/>
                <w:sz w:val="21"/>
              </w:rPr>
              <w:t>128,871.96</w:t>
            </w:r>
          </w:p>
        </w:tc>
      </w:tr>
    </w:tbl>
    <w:p>
      <w:pPr>
        <w:spacing w:line="240" w:lineRule="auto" w:before="7"/>
        <w:rPr>
          <w:rFonts w:ascii="宋体" w:hAnsi="宋体" w:cs="宋体" w:eastAsia="宋体" w:hint="default"/>
          <w:sz w:val="23"/>
          <w:szCs w:val="23"/>
        </w:rPr>
      </w:pPr>
    </w:p>
    <w:p>
      <w:pPr>
        <w:pStyle w:val="Heading3"/>
        <w:spacing w:line="240" w:lineRule="auto" w:before="26"/>
        <w:ind w:left="158" w:right="187"/>
        <w:jc w:val="left"/>
        <w:rPr>
          <w:b w:val="0"/>
          <w:bCs w:val="0"/>
        </w:rPr>
      </w:pPr>
      <w:r>
        <w:rPr>
          <w:rFonts w:ascii="Calibri" w:hAnsi="Calibri" w:cs="Calibri" w:eastAsia="Calibri" w:hint="default"/>
        </w:rPr>
        <w:t>7</w:t>
      </w:r>
      <w:r>
        <w:rPr/>
        <w:t>、北京壹人壹本信息科技有限公司</w:t>
      </w:r>
      <w:r>
        <w:rPr>
          <w:b w:val="0"/>
          <w:bCs w:val="0"/>
        </w:rPr>
      </w:r>
    </w:p>
    <w:p>
      <w:pPr>
        <w:spacing w:line="240" w:lineRule="auto" w:before="10"/>
        <w:rPr>
          <w:rFonts w:ascii="宋体" w:hAnsi="宋体" w:cs="宋体" w:eastAsia="宋体" w:hint="default"/>
          <w:b/>
          <w:bCs/>
          <w:sz w:val="25"/>
          <w:szCs w:val="25"/>
        </w:rPr>
      </w:pPr>
    </w:p>
    <w:p>
      <w:pPr>
        <w:pStyle w:val="BodyText"/>
        <w:spacing w:line="313" w:lineRule="exact"/>
        <w:ind w:right="187"/>
        <w:jc w:val="left"/>
      </w:pPr>
      <w:r>
        <w:rPr/>
        <w:t>北京壹人壹本信息科技有限公司</w:t>
      </w:r>
      <w:r>
        <w:rPr>
          <w:rFonts w:ascii="宋体" w:hAnsi="宋体" w:cs="宋体" w:eastAsia="宋体" w:hint="default"/>
        </w:rPr>
        <w:t>(</w:t>
      </w:r>
      <w:r>
        <w:rPr/>
        <w:t>以下简称” 壹人壹本”</w:t>
      </w:r>
      <w:r>
        <w:rPr>
          <w:rFonts w:ascii="宋体" w:hAnsi="宋体" w:cs="宋体" w:eastAsia="宋体" w:hint="default"/>
        </w:rPr>
        <w:t>)</w:t>
      </w:r>
      <w:r>
        <w:rPr/>
        <w:t>成立于</w:t>
      </w:r>
      <w:r>
        <w:rPr>
          <w:spacing w:val="-70"/>
        </w:rPr>
        <w:t> </w:t>
      </w:r>
      <w:r>
        <w:rPr>
          <w:rFonts w:ascii="宋体" w:hAnsi="宋体" w:cs="宋体" w:eastAsia="宋体" w:hint="default"/>
        </w:rPr>
        <w:t>2009</w:t>
      </w:r>
      <w:r>
        <w:rPr>
          <w:rFonts w:ascii="宋体" w:hAnsi="宋体" w:cs="宋体" w:eastAsia="宋体" w:hint="default"/>
          <w:spacing w:val="-70"/>
        </w:rPr>
        <w:t> </w:t>
      </w:r>
      <w:r>
        <w:rPr/>
        <w:t>年</w:t>
      </w:r>
      <w:r>
        <w:rPr>
          <w:spacing w:val="-69"/>
        </w:rPr>
        <w:t> </w:t>
      </w:r>
      <w:r>
        <w:rPr>
          <w:rFonts w:ascii="宋体" w:hAnsi="宋体" w:cs="宋体" w:eastAsia="宋体" w:hint="default"/>
        </w:rPr>
        <w:t>7</w:t>
      </w:r>
      <w:r>
        <w:rPr>
          <w:rFonts w:ascii="宋体" w:hAnsi="宋体" w:cs="宋体" w:eastAsia="宋体" w:hint="default"/>
          <w:spacing w:val="-70"/>
        </w:rPr>
        <w:t> </w:t>
      </w:r>
      <w:r>
        <w:rPr/>
        <w:t>月</w:t>
      </w:r>
      <w:r>
        <w:rPr>
          <w:rFonts w:ascii="宋体" w:hAnsi="宋体" w:cs="宋体" w:eastAsia="宋体" w:hint="default"/>
        </w:rPr>
        <w:t>,</w:t>
      </w:r>
      <w:r>
        <w:rPr/>
        <w:t>注册资本</w:t>
      </w:r>
    </w:p>
    <w:p>
      <w:pPr>
        <w:pStyle w:val="BodyText"/>
        <w:spacing w:line="313" w:lineRule="exact"/>
        <w:ind w:right="187"/>
        <w:jc w:val="left"/>
      </w:pPr>
      <w:r>
        <w:rPr/>
        <w:t>为</w:t>
      </w:r>
      <w:r>
        <w:rPr>
          <w:spacing w:val="-60"/>
        </w:rPr>
        <w:t> </w:t>
      </w:r>
      <w:r>
        <w:rPr>
          <w:rFonts w:ascii="宋体" w:hAnsi="宋体" w:cs="宋体" w:eastAsia="宋体" w:hint="default"/>
        </w:rPr>
        <w:t>10,000</w:t>
      </w:r>
      <w:r>
        <w:rPr>
          <w:rFonts w:ascii="宋体" w:hAnsi="宋体" w:cs="宋体" w:eastAsia="宋体" w:hint="default"/>
          <w:spacing w:val="-61"/>
        </w:rPr>
        <w:t> </w:t>
      </w:r>
      <w:r>
        <w:rPr/>
        <w:t>万元，系公司全资子公司，主要从事平板电脑的研发、销售。</w:t>
      </w:r>
    </w:p>
    <w:p>
      <w:pPr>
        <w:spacing w:line="240" w:lineRule="auto" w:before="7"/>
        <w:rPr>
          <w:rFonts w:ascii="宋体" w:hAnsi="宋体" w:cs="宋体" w:eastAsia="宋体" w:hint="default"/>
          <w:sz w:val="23"/>
          <w:szCs w:val="23"/>
        </w:rPr>
      </w:pPr>
    </w:p>
    <w:p>
      <w:pPr>
        <w:pStyle w:val="BodyText"/>
        <w:spacing w:line="313" w:lineRule="exact"/>
        <w:ind w:right="187"/>
        <w:jc w:val="left"/>
      </w:pPr>
      <w:r>
        <w:rPr>
          <w:rFonts w:ascii="宋体" w:hAnsi="宋体" w:cs="宋体" w:eastAsia="宋体" w:hint="default"/>
        </w:rPr>
        <w:t>2015</w:t>
      </w:r>
      <w:r>
        <w:rPr>
          <w:rFonts w:ascii="宋体" w:hAnsi="宋体" w:cs="宋体" w:eastAsia="宋体" w:hint="default"/>
          <w:spacing w:val="-60"/>
        </w:rPr>
        <w:t> </w:t>
      </w:r>
      <w:r>
        <w:rPr/>
        <w:t>年，壹人壹本把握移动互联迅猛发展的行业机遇，以自身包括原笔迹手写技术在内</w:t>
      </w:r>
    </w:p>
    <w:p>
      <w:pPr>
        <w:pStyle w:val="BodyText"/>
        <w:spacing w:line="237" w:lineRule="auto" w:before="1"/>
        <w:ind w:right="187"/>
        <w:jc w:val="left"/>
      </w:pPr>
      <w:r>
        <w:rPr/>
        <w:t>的</w:t>
      </w:r>
      <w:r>
        <w:rPr>
          <w:spacing w:val="-60"/>
        </w:rPr>
        <w:t> </w:t>
      </w:r>
      <w:r>
        <w:rPr>
          <w:rFonts w:ascii="宋体" w:hAnsi="宋体" w:cs="宋体" w:eastAsia="宋体" w:hint="default"/>
        </w:rPr>
        <w:t>185</w:t>
      </w:r>
      <w:r>
        <w:rPr>
          <w:rFonts w:ascii="宋体" w:hAnsi="宋体" w:cs="宋体" w:eastAsia="宋体" w:hint="default"/>
          <w:spacing w:val="-61"/>
        </w:rPr>
        <w:t> </w:t>
      </w:r>
      <w:r>
        <w:rPr/>
        <w:t>项国内和国际专利为核心竞争力，持续拓展商务平板、智能手机及行业应用三大 产品线的市场应用，在移动政务、军工、金融、教育、医疗以及家装行业等多个相关领 域展开“互联网</w:t>
      </w:r>
      <w:r>
        <w:rPr>
          <w:rFonts w:ascii="宋体" w:hAnsi="宋体" w:cs="宋体" w:eastAsia="宋体" w:hint="default"/>
        </w:rPr>
        <w:t>+</w:t>
      </w:r>
      <w:r>
        <w:rPr/>
        <w:t>”战略的实施，为中国本土政商用户安全移动办公保驾护航。此外，壹 </w:t>
      </w:r>
      <w:r>
        <w:rPr>
          <w:spacing w:val="-2"/>
        </w:rPr>
        <w:t>人壹本通过拥有完整的知识产权制度，自觉运用知识产权制度保护企业的自主创新成果，</w:t>
      </w:r>
      <w:r>
        <w:rPr>
          <w:spacing w:val="-82"/>
        </w:rPr>
        <w:t> </w:t>
      </w:r>
      <w:r>
        <w:rPr>
          <w:spacing w:val="-82"/>
        </w:rPr>
      </w:r>
      <w:r>
        <w:rPr/>
        <w:t>专利申请量逐年提高，使得企业市场竞争力不断增强。</w:t>
      </w:r>
      <w:r>
        <w:rPr>
          <w:spacing w:val="-44"/>
        </w:rPr>
        <w:t> </w:t>
      </w:r>
      <w:r>
        <w:rPr>
          <w:rFonts w:ascii="宋体" w:hAnsi="宋体" w:cs="宋体" w:eastAsia="宋体" w:hint="default"/>
        </w:rPr>
        <w:t>2015</w:t>
      </w:r>
      <w:r>
        <w:rPr>
          <w:rFonts w:ascii="宋体" w:hAnsi="宋体" w:cs="宋体" w:eastAsia="宋体" w:hint="default"/>
          <w:spacing w:val="-67"/>
        </w:rPr>
        <w:t> </w:t>
      </w:r>
      <w:r>
        <w:rPr>
          <w:spacing w:val="-3"/>
        </w:rPr>
        <w:t>年，壹人壹本入选国家知识</w:t>
      </w:r>
      <w:r>
        <w:rPr/>
        <w:t> 产权局发布的“国家知识产权优势企业”名单。</w:t>
      </w:r>
    </w:p>
    <w:p>
      <w:pPr>
        <w:spacing w:line="240" w:lineRule="auto" w:before="9"/>
        <w:rPr>
          <w:rFonts w:ascii="宋体" w:hAnsi="宋体" w:cs="宋体" w:eastAsia="宋体" w:hint="default"/>
          <w:sz w:val="23"/>
          <w:szCs w:val="23"/>
        </w:rPr>
      </w:pPr>
    </w:p>
    <w:p>
      <w:pPr>
        <w:pStyle w:val="BodyText"/>
        <w:spacing w:line="240" w:lineRule="auto"/>
        <w:ind w:right="187"/>
        <w:jc w:val="left"/>
      </w:pPr>
      <w:r>
        <w:rPr/>
        <w:t>壹人壹本近三年主要财务数据：</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0"/>
          <w:szCs w:val="10"/>
        </w:rPr>
      </w:pPr>
    </w:p>
    <w:tbl>
      <w:tblPr>
        <w:tblW w:w="0" w:type="auto"/>
        <w:jc w:val="left"/>
        <w:tblInd w:w="130" w:type="dxa"/>
        <w:tblLayout w:type="fixed"/>
        <w:tblCellMar>
          <w:top w:w="0" w:type="dxa"/>
          <w:left w:w="0" w:type="dxa"/>
          <w:bottom w:w="0" w:type="dxa"/>
          <w:right w:w="0" w:type="dxa"/>
        </w:tblCellMar>
        <w:tblLook w:val="01E0"/>
      </w:tblPr>
      <w:tblGrid>
        <w:gridCol w:w="2100"/>
        <w:gridCol w:w="1601"/>
        <w:gridCol w:w="1133"/>
        <w:gridCol w:w="3263"/>
        <w:gridCol w:w="1159"/>
      </w:tblGrid>
      <w:tr>
        <w:trPr>
          <w:trHeight w:val="338" w:hRule="exact"/>
        </w:trPr>
        <w:tc>
          <w:tcPr>
            <w:tcW w:w="2100" w:type="dxa"/>
            <w:tcBorders>
              <w:top w:val="single" w:sz="12" w:space="0" w:color="000000"/>
              <w:left w:val="single" w:sz="12" w:space="0" w:color="000000"/>
              <w:bottom w:val="single" w:sz="6" w:space="0" w:color="000000"/>
              <w:right w:val="single" w:sz="6" w:space="0" w:color="000000"/>
            </w:tcBorders>
          </w:tcPr>
          <w:p>
            <w:pPr>
              <w:pStyle w:val="TableParagraph"/>
              <w:spacing w:line="262" w:lineRule="exact"/>
              <w:ind w:right="2"/>
              <w:jc w:val="center"/>
              <w:rPr>
                <w:rFonts w:ascii="宋体" w:hAnsi="宋体" w:cs="宋体" w:eastAsia="宋体" w:hint="default"/>
                <w:sz w:val="21"/>
                <w:szCs w:val="21"/>
              </w:rPr>
            </w:pPr>
            <w:r>
              <w:rPr>
                <w:rFonts w:ascii="宋体" w:hAnsi="宋体" w:cs="宋体" w:eastAsia="宋体" w:hint="default"/>
                <w:b/>
                <w:bCs/>
                <w:sz w:val="21"/>
                <w:szCs w:val="21"/>
              </w:rPr>
              <w:t>年度</w:t>
            </w:r>
            <w:r>
              <w:rPr>
                <w:rFonts w:ascii="宋体" w:hAnsi="宋体" w:cs="宋体" w:eastAsia="宋体" w:hint="default"/>
                <w:b/>
                <w:bCs/>
                <w:sz w:val="21"/>
                <w:szCs w:val="21"/>
              </w:rPr>
              <w:t>(</w:t>
            </w:r>
            <w:r>
              <w:rPr>
                <w:rFonts w:ascii="宋体" w:hAnsi="宋体" w:cs="宋体" w:eastAsia="宋体" w:hint="default"/>
                <w:b/>
                <w:bCs/>
                <w:sz w:val="21"/>
                <w:szCs w:val="21"/>
              </w:rPr>
              <w:t>单位：万元</w:t>
            </w:r>
            <w:r>
              <w:rPr>
                <w:rFonts w:ascii="宋体" w:hAnsi="宋体" w:cs="宋体" w:eastAsia="宋体" w:hint="default"/>
                <w:b/>
                <w:bCs/>
                <w:sz w:val="21"/>
                <w:szCs w:val="21"/>
              </w:rPr>
              <w:t>)</w:t>
            </w:r>
            <w:r>
              <w:rPr>
                <w:rFonts w:ascii="宋体" w:hAnsi="宋体" w:cs="宋体" w:eastAsia="宋体" w:hint="default"/>
                <w:sz w:val="21"/>
                <w:szCs w:val="21"/>
              </w:rPr>
            </w:r>
          </w:p>
        </w:tc>
        <w:tc>
          <w:tcPr>
            <w:tcW w:w="1601" w:type="dxa"/>
            <w:tcBorders>
              <w:top w:val="single" w:sz="12" w:space="0" w:color="000000"/>
              <w:left w:val="single" w:sz="6" w:space="0" w:color="000000"/>
              <w:bottom w:val="single" w:sz="6" w:space="0" w:color="000000"/>
              <w:right w:val="single" w:sz="6" w:space="0" w:color="000000"/>
            </w:tcBorders>
          </w:tcPr>
          <w:p>
            <w:pPr>
              <w:pStyle w:val="TableParagraph"/>
              <w:spacing w:line="262" w:lineRule="exact"/>
              <w:ind w:right="158"/>
              <w:jc w:val="righ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c>
        <w:tc>
          <w:tcPr>
            <w:tcW w:w="1133" w:type="dxa"/>
            <w:tcBorders>
              <w:top w:val="single" w:sz="12" w:space="0" w:color="000000"/>
              <w:left w:val="single" w:sz="6" w:space="0" w:color="000000"/>
              <w:bottom w:val="single" w:sz="6" w:space="0" w:color="000000"/>
              <w:right w:val="single" w:sz="6" w:space="0" w:color="000000"/>
            </w:tcBorders>
          </w:tcPr>
          <w:p>
            <w:pPr>
              <w:pStyle w:val="TableParagraph"/>
              <w:spacing w:line="262" w:lineRule="exact"/>
              <w:ind w:left="242" w:right="0"/>
              <w:jc w:val="left"/>
              <w:rPr>
                <w:rFonts w:ascii="宋体" w:hAnsi="宋体" w:cs="宋体" w:eastAsia="宋体" w:hint="default"/>
                <w:sz w:val="21"/>
                <w:szCs w:val="21"/>
              </w:rPr>
            </w:pPr>
            <w:r>
              <w:rPr>
                <w:rFonts w:ascii="宋体" w:hAnsi="宋体" w:cs="宋体" w:eastAsia="宋体" w:hint="default"/>
                <w:b/>
                <w:bCs/>
                <w:sz w:val="21"/>
                <w:szCs w:val="21"/>
              </w:rPr>
              <w:t>毛利率</w:t>
            </w:r>
            <w:r>
              <w:rPr>
                <w:rFonts w:ascii="宋体" w:hAnsi="宋体" w:cs="宋体" w:eastAsia="宋体" w:hint="default"/>
                <w:sz w:val="21"/>
                <w:szCs w:val="21"/>
              </w:rPr>
            </w:r>
          </w:p>
        </w:tc>
        <w:tc>
          <w:tcPr>
            <w:tcW w:w="3263" w:type="dxa"/>
            <w:tcBorders>
              <w:top w:val="single" w:sz="12" w:space="0" w:color="000000"/>
              <w:left w:val="single" w:sz="6" w:space="0" w:color="000000"/>
              <w:bottom w:val="single" w:sz="6" w:space="0" w:color="000000"/>
              <w:right w:val="single" w:sz="6" w:space="0" w:color="000000"/>
            </w:tcBorders>
          </w:tcPr>
          <w:p>
            <w:pPr>
              <w:pStyle w:val="TableParagraph"/>
              <w:spacing w:line="262" w:lineRule="exact"/>
              <w:ind w:right="147"/>
              <w:jc w:val="right"/>
              <w:rPr>
                <w:rFonts w:ascii="宋体" w:hAnsi="宋体" w:cs="宋体" w:eastAsia="宋体" w:hint="default"/>
                <w:sz w:val="21"/>
                <w:szCs w:val="21"/>
              </w:rPr>
            </w:pPr>
            <w:r>
              <w:rPr>
                <w:rFonts w:ascii="宋体" w:hAnsi="宋体" w:cs="宋体" w:eastAsia="宋体" w:hint="default"/>
                <w:b/>
                <w:bCs/>
                <w:spacing w:val="-1"/>
                <w:sz w:val="21"/>
                <w:szCs w:val="21"/>
              </w:rPr>
              <w:t>归属于母公司股东的期末净资产</w:t>
            </w:r>
            <w:r>
              <w:rPr>
                <w:rFonts w:ascii="宋体" w:hAnsi="宋体" w:cs="宋体" w:eastAsia="宋体" w:hint="default"/>
                <w:spacing w:val="-1"/>
                <w:sz w:val="21"/>
                <w:szCs w:val="21"/>
              </w:rPr>
            </w:r>
          </w:p>
        </w:tc>
        <w:tc>
          <w:tcPr>
            <w:tcW w:w="1159" w:type="dxa"/>
            <w:tcBorders>
              <w:top w:val="single" w:sz="12" w:space="0" w:color="000000"/>
              <w:left w:val="single" w:sz="6" w:space="0" w:color="000000"/>
              <w:bottom w:val="single" w:sz="6" w:space="0" w:color="000000"/>
              <w:right w:val="single" w:sz="12" w:space="0" w:color="000000"/>
            </w:tcBorders>
          </w:tcPr>
          <w:p>
            <w:pPr>
              <w:pStyle w:val="TableParagraph"/>
              <w:spacing w:line="262" w:lineRule="exact"/>
              <w:ind w:left="9" w:right="0"/>
              <w:jc w:val="center"/>
              <w:rPr>
                <w:rFonts w:ascii="宋体" w:hAnsi="宋体" w:cs="宋体" w:eastAsia="宋体" w:hint="default"/>
                <w:sz w:val="21"/>
                <w:szCs w:val="21"/>
              </w:rPr>
            </w:pPr>
            <w:r>
              <w:rPr>
                <w:rFonts w:ascii="宋体" w:hAnsi="宋体" w:cs="宋体" w:eastAsia="宋体" w:hint="default"/>
                <w:b/>
                <w:bCs/>
                <w:sz w:val="21"/>
                <w:szCs w:val="21"/>
              </w:rPr>
              <w:t>总资产</w:t>
            </w:r>
            <w:r>
              <w:rPr>
                <w:rFonts w:ascii="宋体" w:hAnsi="宋体" w:cs="宋体" w:eastAsia="宋体" w:hint="default"/>
                <w:sz w:val="21"/>
                <w:szCs w:val="21"/>
              </w:rPr>
            </w:r>
          </w:p>
        </w:tc>
      </w:tr>
      <w:tr>
        <w:trPr>
          <w:trHeight w:val="329" w:hRule="exact"/>
        </w:trPr>
        <w:tc>
          <w:tcPr>
            <w:tcW w:w="2100" w:type="dxa"/>
            <w:tcBorders>
              <w:top w:val="single" w:sz="6" w:space="0" w:color="000000"/>
              <w:left w:val="single" w:sz="12" w:space="0" w:color="000000"/>
              <w:bottom w:val="single" w:sz="6" w:space="0" w:color="000000"/>
              <w:right w:val="single" w:sz="6" w:space="0" w:color="000000"/>
            </w:tcBorders>
          </w:tcPr>
          <w:p>
            <w:pPr>
              <w:pStyle w:val="TableParagraph"/>
              <w:spacing w:line="262" w:lineRule="exact"/>
              <w:ind w:right="7"/>
              <w:jc w:val="center"/>
              <w:rPr>
                <w:rFonts w:ascii="宋体" w:hAnsi="宋体" w:cs="宋体" w:eastAsia="宋体" w:hint="default"/>
                <w:sz w:val="21"/>
                <w:szCs w:val="21"/>
              </w:rPr>
            </w:pPr>
            <w:r>
              <w:rPr>
                <w:rFonts w:ascii="宋体"/>
                <w:b/>
                <w:sz w:val="21"/>
              </w:rPr>
              <w:t>2015</w:t>
            </w:r>
            <w:r>
              <w:rPr>
                <w:rFonts w:ascii="宋体"/>
                <w:sz w:val="21"/>
              </w:rPr>
            </w:r>
          </w:p>
        </w:tc>
        <w:tc>
          <w:tcPr>
            <w:tcW w:w="1601"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54,678.88</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46.90%</w:t>
            </w:r>
          </w:p>
        </w:tc>
        <w:tc>
          <w:tcPr>
            <w:tcW w:w="3263"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101"/>
              <w:jc w:val="right"/>
              <w:rPr>
                <w:rFonts w:ascii="宋体" w:hAnsi="宋体" w:cs="宋体" w:eastAsia="宋体" w:hint="default"/>
                <w:sz w:val="21"/>
                <w:szCs w:val="21"/>
              </w:rPr>
            </w:pPr>
            <w:r>
              <w:rPr>
                <w:rFonts w:ascii="宋体"/>
                <w:spacing w:val="-1"/>
                <w:sz w:val="21"/>
              </w:rPr>
              <w:t>67,126.15</w:t>
            </w:r>
          </w:p>
        </w:tc>
        <w:tc>
          <w:tcPr>
            <w:tcW w:w="1159" w:type="dxa"/>
            <w:tcBorders>
              <w:top w:val="single" w:sz="6" w:space="0" w:color="000000"/>
              <w:left w:val="single" w:sz="6" w:space="0" w:color="000000"/>
              <w:bottom w:val="single" w:sz="6" w:space="0" w:color="000000"/>
              <w:right w:val="single" w:sz="12" w:space="0" w:color="000000"/>
            </w:tcBorders>
          </w:tcPr>
          <w:p>
            <w:pPr>
              <w:pStyle w:val="TableParagraph"/>
              <w:spacing w:line="262" w:lineRule="exact"/>
              <w:ind w:left="12" w:right="0"/>
              <w:jc w:val="center"/>
              <w:rPr>
                <w:rFonts w:ascii="宋体" w:hAnsi="宋体" w:cs="宋体" w:eastAsia="宋体" w:hint="default"/>
                <w:sz w:val="21"/>
                <w:szCs w:val="21"/>
              </w:rPr>
            </w:pPr>
            <w:r>
              <w:rPr>
                <w:rFonts w:ascii="宋体"/>
                <w:sz w:val="21"/>
              </w:rPr>
              <w:t>76,034.23</w:t>
            </w:r>
          </w:p>
        </w:tc>
      </w:tr>
      <w:tr>
        <w:trPr>
          <w:trHeight w:val="332" w:hRule="exact"/>
        </w:trPr>
        <w:tc>
          <w:tcPr>
            <w:tcW w:w="2100" w:type="dxa"/>
            <w:tcBorders>
              <w:top w:val="single" w:sz="6" w:space="0" w:color="000000"/>
              <w:left w:val="single" w:sz="12" w:space="0" w:color="000000"/>
              <w:bottom w:val="single" w:sz="6" w:space="0" w:color="000000"/>
              <w:right w:val="single" w:sz="6" w:space="0" w:color="000000"/>
            </w:tcBorders>
          </w:tcPr>
          <w:p>
            <w:pPr>
              <w:pStyle w:val="TableParagraph"/>
              <w:spacing w:line="263" w:lineRule="exact"/>
              <w:ind w:right="7"/>
              <w:jc w:val="center"/>
              <w:rPr>
                <w:rFonts w:ascii="宋体" w:hAnsi="宋体" w:cs="宋体" w:eastAsia="宋体" w:hint="default"/>
                <w:sz w:val="21"/>
                <w:szCs w:val="21"/>
              </w:rPr>
            </w:pPr>
            <w:r>
              <w:rPr>
                <w:rFonts w:ascii="宋体"/>
                <w:b/>
                <w:sz w:val="21"/>
              </w:rPr>
              <w:t>2014</w:t>
            </w:r>
            <w:r>
              <w:rPr>
                <w:rFonts w:ascii="宋体"/>
                <w:sz w:val="21"/>
              </w:rPr>
            </w:r>
          </w:p>
        </w:tc>
        <w:tc>
          <w:tcPr>
            <w:tcW w:w="1601" w:type="dxa"/>
            <w:tcBorders>
              <w:top w:val="single" w:sz="6" w:space="0" w:color="000000"/>
              <w:left w:val="single" w:sz="6" w:space="0" w:color="000000"/>
              <w:bottom w:val="single" w:sz="6" w:space="0" w:color="000000"/>
              <w:right w:val="single" w:sz="6" w:space="0" w:color="000000"/>
            </w:tcBorders>
          </w:tcPr>
          <w:p>
            <w:pPr>
              <w:pStyle w:val="TableParagraph"/>
              <w:spacing w:line="263" w:lineRule="exact"/>
              <w:ind w:right="96"/>
              <w:jc w:val="right"/>
              <w:rPr>
                <w:rFonts w:ascii="宋体" w:hAnsi="宋体" w:cs="宋体" w:eastAsia="宋体" w:hint="default"/>
                <w:sz w:val="21"/>
                <w:szCs w:val="21"/>
              </w:rPr>
            </w:pPr>
            <w:r>
              <w:rPr>
                <w:rFonts w:ascii="宋体"/>
                <w:spacing w:val="-1"/>
                <w:sz w:val="21"/>
              </w:rPr>
              <w:t>50,041.35</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63" w:lineRule="exact"/>
              <w:ind w:right="96"/>
              <w:jc w:val="right"/>
              <w:rPr>
                <w:rFonts w:ascii="宋体" w:hAnsi="宋体" w:cs="宋体" w:eastAsia="宋体" w:hint="default"/>
                <w:sz w:val="21"/>
                <w:szCs w:val="21"/>
              </w:rPr>
            </w:pPr>
            <w:r>
              <w:rPr>
                <w:rFonts w:ascii="宋体"/>
                <w:sz w:val="21"/>
              </w:rPr>
              <w:t>47.57%</w:t>
            </w:r>
          </w:p>
        </w:tc>
        <w:tc>
          <w:tcPr>
            <w:tcW w:w="3263" w:type="dxa"/>
            <w:tcBorders>
              <w:top w:val="single" w:sz="6" w:space="0" w:color="000000"/>
              <w:left w:val="single" w:sz="6" w:space="0" w:color="000000"/>
              <w:bottom w:val="single" w:sz="6" w:space="0" w:color="000000"/>
              <w:right w:val="single" w:sz="6" w:space="0" w:color="000000"/>
            </w:tcBorders>
          </w:tcPr>
          <w:p>
            <w:pPr>
              <w:pStyle w:val="TableParagraph"/>
              <w:spacing w:line="263" w:lineRule="exact"/>
              <w:ind w:right="98"/>
              <w:jc w:val="right"/>
              <w:rPr>
                <w:rFonts w:ascii="宋体" w:hAnsi="宋体" w:cs="宋体" w:eastAsia="宋体" w:hint="default"/>
                <w:sz w:val="21"/>
                <w:szCs w:val="21"/>
              </w:rPr>
            </w:pPr>
            <w:r>
              <w:rPr>
                <w:rFonts w:ascii="宋体"/>
                <w:spacing w:val="-1"/>
                <w:sz w:val="21"/>
              </w:rPr>
              <w:t>51,959.21</w:t>
            </w:r>
          </w:p>
        </w:tc>
        <w:tc>
          <w:tcPr>
            <w:tcW w:w="1159" w:type="dxa"/>
            <w:tcBorders>
              <w:top w:val="single" w:sz="6" w:space="0" w:color="000000"/>
              <w:left w:val="single" w:sz="6" w:space="0" w:color="000000"/>
              <w:bottom w:val="single" w:sz="6" w:space="0" w:color="000000"/>
              <w:right w:val="single" w:sz="12" w:space="0" w:color="000000"/>
            </w:tcBorders>
          </w:tcPr>
          <w:p>
            <w:pPr>
              <w:pStyle w:val="TableParagraph"/>
              <w:spacing w:line="263" w:lineRule="exact"/>
              <w:ind w:left="12" w:right="0"/>
              <w:jc w:val="center"/>
              <w:rPr>
                <w:rFonts w:ascii="宋体" w:hAnsi="宋体" w:cs="宋体" w:eastAsia="宋体" w:hint="default"/>
                <w:sz w:val="21"/>
                <w:szCs w:val="21"/>
              </w:rPr>
            </w:pPr>
            <w:r>
              <w:rPr>
                <w:rFonts w:ascii="宋体"/>
                <w:sz w:val="21"/>
              </w:rPr>
              <w:t>60,880.31</w:t>
            </w:r>
          </w:p>
        </w:tc>
      </w:tr>
      <w:tr>
        <w:trPr>
          <w:trHeight w:val="319" w:hRule="exact"/>
        </w:trPr>
        <w:tc>
          <w:tcPr>
            <w:tcW w:w="2100" w:type="dxa"/>
            <w:tcBorders>
              <w:top w:val="single" w:sz="6" w:space="0" w:color="000000"/>
              <w:left w:val="single" w:sz="12" w:space="0" w:color="000000"/>
              <w:bottom w:val="single" w:sz="12" w:space="0" w:color="000000"/>
              <w:right w:val="single" w:sz="6" w:space="0" w:color="000000"/>
            </w:tcBorders>
          </w:tcPr>
          <w:p>
            <w:pPr>
              <w:pStyle w:val="TableParagraph"/>
              <w:spacing w:line="255" w:lineRule="exact"/>
              <w:ind w:right="7"/>
              <w:jc w:val="center"/>
              <w:rPr>
                <w:rFonts w:ascii="宋体" w:hAnsi="宋体" w:cs="宋体" w:eastAsia="宋体" w:hint="default"/>
                <w:sz w:val="21"/>
                <w:szCs w:val="21"/>
              </w:rPr>
            </w:pPr>
            <w:r>
              <w:rPr>
                <w:rFonts w:ascii="宋体"/>
                <w:b/>
                <w:sz w:val="21"/>
              </w:rPr>
              <w:t>2013</w:t>
            </w:r>
            <w:r>
              <w:rPr>
                <w:rFonts w:ascii="宋体"/>
                <w:sz w:val="21"/>
              </w:rPr>
            </w:r>
          </w:p>
        </w:tc>
        <w:tc>
          <w:tcPr>
            <w:tcW w:w="1601" w:type="dxa"/>
            <w:tcBorders>
              <w:top w:val="single" w:sz="6" w:space="0" w:color="000000"/>
              <w:left w:val="single" w:sz="6" w:space="0" w:color="000000"/>
              <w:bottom w:val="single" w:sz="12" w:space="0" w:color="000000"/>
              <w:right w:val="single" w:sz="6" w:space="0" w:color="000000"/>
            </w:tcBorders>
          </w:tcPr>
          <w:p>
            <w:pPr>
              <w:pStyle w:val="TableParagraph"/>
              <w:spacing w:line="255" w:lineRule="exact"/>
              <w:ind w:right="98"/>
              <w:jc w:val="right"/>
              <w:rPr>
                <w:rFonts w:ascii="宋体" w:hAnsi="宋体" w:cs="宋体" w:eastAsia="宋体" w:hint="default"/>
                <w:sz w:val="21"/>
                <w:szCs w:val="21"/>
              </w:rPr>
            </w:pPr>
            <w:r>
              <w:rPr>
                <w:rFonts w:ascii="宋体"/>
                <w:spacing w:val="-1"/>
                <w:sz w:val="21"/>
              </w:rPr>
              <w:t>25,086.01</w:t>
            </w:r>
          </w:p>
        </w:tc>
        <w:tc>
          <w:tcPr>
            <w:tcW w:w="1133" w:type="dxa"/>
            <w:tcBorders>
              <w:top w:val="single" w:sz="6" w:space="0" w:color="000000"/>
              <w:left w:val="single" w:sz="6" w:space="0" w:color="000000"/>
              <w:bottom w:val="single" w:sz="12" w:space="0" w:color="000000"/>
              <w:right w:val="single" w:sz="6" w:space="0" w:color="000000"/>
            </w:tcBorders>
          </w:tcPr>
          <w:p>
            <w:pPr>
              <w:pStyle w:val="TableParagraph"/>
              <w:spacing w:line="255" w:lineRule="exact"/>
              <w:ind w:right="96"/>
              <w:jc w:val="right"/>
              <w:rPr>
                <w:rFonts w:ascii="宋体" w:hAnsi="宋体" w:cs="宋体" w:eastAsia="宋体" w:hint="default"/>
                <w:sz w:val="21"/>
                <w:szCs w:val="21"/>
              </w:rPr>
            </w:pPr>
            <w:r>
              <w:rPr>
                <w:rFonts w:ascii="宋体"/>
                <w:sz w:val="21"/>
              </w:rPr>
              <w:t>50.04%</w:t>
            </w:r>
          </w:p>
        </w:tc>
        <w:tc>
          <w:tcPr>
            <w:tcW w:w="3263" w:type="dxa"/>
            <w:tcBorders>
              <w:top w:val="single" w:sz="6" w:space="0" w:color="000000"/>
              <w:left w:val="single" w:sz="6" w:space="0" w:color="000000"/>
              <w:bottom w:val="single" w:sz="12" w:space="0" w:color="000000"/>
              <w:right w:val="single" w:sz="6" w:space="0" w:color="000000"/>
            </w:tcBorders>
          </w:tcPr>
          <w:p>
            <w:pPr>
              <w:pStyle w:val="TableParagraph"/>
              <w:spacing w:line="255" w:lineRule="exact"/>
              <w:ind w:right="101"/>
              <w:jc w:val="right"/>
              <w:rPr>
                <w:rFonts w:ascii="宋体" w:hAnsi="宋体" w:cs="宋体" w:eastAsia="宋体" w:hint="default"/>
                <w:sz w:val="21"/>
                <w:szCs w:val="21"/>
              </w:rPr>
            </w:pPr>
            <w:r>
              <w:rPr>
                <w:rFonts w:ascii="宋体"/>
                <w:spacing w:val="-1"/>
                <w:sz w:val="21"/>
              </w:rPr>
              <w:t>38,491.25</w:t>
            </w:r>
          </w:p>
        </w:tc>
        <w:tc>
          <w:tcPr>
            <w:tcW w:w="1159" w:type="dxa"/>
            <w:tcBorders>
              <w:top w:val="single" w:sz="6" w:space="0" w:color="000000"/>
              <w:left w:val="single" w:sz="6" w:space="0" w:color="000000"/>
              <w:bottom w:val="single" w:sz="12" w:space="0" w:color="000000"/>
              <w:right w:val="single" w:sz="12" w:space="0" w:color="000000"/>
            </w:tcBorders>
          </w:tcPr>
          <w:p>
            <w:pPr>
              <w:pStyle w:val="TableParagraph"/>
              <w:spacing w:line="255" w:lineRule="exact"/>
              <w:ind w:left="12" w:right="0"/>
              <w:jc w:val="center"/>
              <w:rPr>
                <w:rFonts w:ascii="宋体" w:hAnsi="宋体" w:cs="宋体" w:eastAsia="宋体" w:hint="default"/>
                <w:sz w:val="21"/>
                <w:szCs w:val="21"/>
              </w:rPr>
            </w:pPr>
            <w:r>
              <w:rPr>
                <w:rFonts w:ascii="宋体"/>
                <w:sz w:val="21"/>
              </w:rPr>
              <w:t>44,742.53</w:t>
            </w:r>
          </w:p>
        </w:tc>
      </w:tr>
    </w:tbl>
    <w:p>
      <w:pPr>
        <w:spacing w:line="240" w:lineRule="auto" w:before="7"/>
        <w:rPr>
          <w:rFonts w:ascii="宋体" w:hAnsi="宋体" w:cs="宋体" w:eastAsia="宋体" w:hint="default"/>
          <w:sz w:val="23"/>
          <w:szCs w:val="23"/>
        </w:rPr>
      </w:pPr>
    </w:p>
    <w:p>
      <w:pPr>
        <w:pStyle w:val="Heading3"/>
        <w:spacing w:line="240" w:lineRule="auto" w:before="26"/>
        <w:ind w:left="158" w:right="0"/>
        <w:jc w:val="both"/>
        <w:rPr>
          <w:b w:val="0"/>
          <w:bCs w:val="0"/>
        </w:rPr>
      </w:pPr>
      <w:r>
        <w:rPr>
          <w:rFonts w:ascii="Calibri" w:hAnsi="Calibri" w:cs="Calibri" w:eastAsia="Calibri" w:hint="default"/>
        </w:rPr>
        <w:t>8</w:t>
      </w:r>
      <w:r>
        <w:rPr/>
        <w:t>、龙江环保集团股份有限公司</w:t>
      </w:r>
      <w:r>
        <w:rPr>
          <w:b w:val="0"/>
          <w:bCs w:val="0"/>
        </w:rPr>
      </w:r>
    </w:p>
    <w:p>
      <w:pPr>
        <w:spacing w:line="240" w:lineRule="auto" w:before="10"/>
        <w:rPr>
          <w:rFonts w:ascii="宋体" w:hAnsi="宋体" w:cs="宋体" w:eastAsia="宋体" w:hint="default"/>
          <w:b/>
          <w:bCs/>
          <w:sz w:val="25"/>
          <w:szCs w:val="25"/>
        </w:rPr>
      </w:pPr>
    </w:p>
    <w:p>
      <w:pPr>
        <w:pStyle w:val="BodyText"/>
        <w:spacing w:line="313" w:lineRule="exact"/>
        <w:ind w:right="0"/>
        <w:jc w:val="both"/>
      </w:pPr>
      <w:r>
        <w:rPr>
          <w:spacing w:val="4"/>
        </w:rPr>
        <w:t>龙江环保集团股份有限公司</w:t>
      </w:r>
      <w:r>
        <w:rPr>
          <w:rFonts w:ascii="宋体" w:hAnsi="宋体" w:cs="宋体" w:eastAsia="宋体" w:hint="default"/>
          <w:spacing w:val="4"/>
        </w:rPr>
        <w:t>(</w:t>
      </w:r>
      <w:r>
        <w:rPr>
          <w:spacing w:val="4"/>
        </w:rPr>
        <w:t>以下简称”龙江环保” </w:t>
      </w:r>
      <w:r>
        <w:rPr>
          <w:rFonts w:ascii="宋体" w:hAnsi="宋体" w:cs="宋体" w:eastAsia="宋体" w:hint="default"/>
          <w:spacing w:val="3"/>
        </w:rPr>
        <w:t>)</w:t>
      </w:r>
      <w:r>
        <w:rPr>
          <w:spacing w:val="3"/>
        </w:rPr>
        <w:t>成立于 </w:t>
      </w:r>
      <w:r>
        <w:rPr>
          <w:rFonts w:ascii="宋体" w:hAnsi="宋体" w:cs="宋体" w:eastAsia="宋体" w:hint="default"/>
        </w:rPr>
        <w:t>2004 </w:t>
      </w:r>
      <w:r>
        <w:rPr/>
        <w:t>年 </w:t>
      </w:r>
      <w:r>
        <w:rPr>
          <w:rFonts w:ascii="宋体" w:hAnsi="宋体" w:cs="宋体" w:eastAsia="宋体" w:hint="default"/>
        </w:rPr>
        <w:t>5</w:t>
      </w:r>
      <w:r>
        <w:rPr>
          <w:rFonts w:ascii="宋体" w:hAnsi="宋体" w:cs="宋体" w:eastAsia="宋体" w:hint="default"/>
          <w:spacing w:val="47"/>
        </w:rPr>
        <w:t> </w:t>
      </w:r>
      <w:r>
        <w:rPr>
          <w:spacing w:val="3"/>
        </w:rPr>
        <w:t>月</w:t>
      </w:r>
      <w:r>
        <w:rPr>
          <w:rFonts w:ascii="宋体" w:hAnsi="宋体" w:cs="宋体" w:eastAsia="宋体" w:hint="default"/>
          <w:spacing w:val="3"/>
        </w:rPr>
        <w:t>,</w:t>
      </w:r>
      <w:r>
        <w:rPr>
          <w:spacing w:val="3"/>
        </w:rPr>
        <w:t>注册资本</w:t>
      </w:r>
    </w:p>
    <w:p>
      <w:pPr>
        <w:pStyle w:val="BodyText"/>
        <w:spacing w:line="237" w:lineRule="auto" w:before="1"/>
        <w:ind w:right="443"/>
        <w:jc w:val="both"/>
      </w:pPr>
      <w:r>
        <w:rPr>
          <w:rFonts w:ascii="宋体" w:hAnsi="宋体" w:cs="宋体" w:eastAsia="宋体" w:hint="default"/>
        </w:rPr>
        <w:t>32,000</w:t>
      </w:r>
      <w:r>
        <w:rPr>
          <w:rFonts w:ascii="宋体" w:hAnsi="宋体" w:cs="宋体" w:eastAsia="宋体" w:hint="default"/>
          <w:spacing w:val="-59"/>
        </w:rPr>
        <w:t> </w:t>
      </w:r>
      <w:r>
        <w:rPr/>
        <w:t>万元</w:t>
      </w:r>
      <w:r>
        <w:rPr>
          <w:rFonts w:ascii="宋体" w:hAnsi="宋体" w:cs="宋体" w:eastAsia="宋体" w:hint="default"/>
        </w:rPr>
        <w:t>,</w:t>
      </w:r>
      <w:r>
        <w:rPr/>
        <w:t>公司持股</w:t>
      </w:r>
      <w:r>
        <w:rPr>
          <w:spacing w:val="-58"/>
        </w:rPr>
        <w:t> </w:t>
      </w:r>
      <w:r>
        <w:rPr>
          <w:rFonts w:ascii="宋体" w:hAnsi="宋体" w:cs="宋体" w:eastAsia="宋体" w:hint="default"/>
          <w:spacing w:val="-5"/>
        </w:rPr>
        <w:t>30.7813%</w:t>
      </w:r>
      <w:r>
        <w:rPr>
          <w:spacing w:val="-5"/>
        </w:rPr>
        <w:t>，为其单一最大股东。龙江环保业务范围涵盖污水处理、</w:t>
      </w:r>
      <w:r>
        <w:rPr/>
        <w:t> </w:t>
      </w:r>
      <w:r>
        <w:rPr>
          <w:spacing w:val="-5"/>
        </w:rPr>
        <w:t>污泥处置、城镇供水、中水循环利用、再生资源开发利用等水务及环保领域，是集投资、</w:t>
      </w:r>
      <w:r>
        <w:rPr>
          <w:spacing w:val="-85"/>
        </w:rPr>
        <w:t> </w:t>
      </w:r>
      <w:r>
        <w:rPr>
          <w:spacing w:val="-85"/>
        </w:rPr>
      </w:r>
      <w:r>
        <w:rPr/>
        <w:t>建设和运营一体化的大型专业化环保集团</w:t>
      </w:r>
      <w:r>
        <w:rPr>
          <w:rFonts w:ascii="宋体" w:hAnsi="宋体" w:cs="宋体" w:eastAsia="宋体" w:hint="default"/>
        </w:rPr>
        <w:t>,</w:t>
      </w:r>
      <w:r>
        <w:rPr/>
        <w:t>营运方式包括</w:t>
      </w:r>
      <w:r>
        <w:rPr>
          <w:spacing w:val="-78"/>
        </w:rPr>
        <w:t> </w:t>
      </w:r>
      <w:r>
        <w:rPr>
          <w:rFonts w:ascii="宋体" w:hAnsi="宋体" w:cs="宋体" w:eastAsia="宋体" w:hint="default"/>
          <w:spacing w:val="-22"/>
        </w:rPr>
        <w:t>BOT</w:t>
      </w:r>
      <w:r>
        <w:rPr>
          <w:spacing w:val="-22"/>
        </w:rPr>
        <w:t>、</w:t>
      </w:r>
      <w:r>
        <w:rPr>
          <w:rFonts w:ascii="宋体" w:hAnsi="宋体" w:cs="宋体" w:eastAsia="宋体" w:hint="default"/>
          <w:spacing w:val="-22"/>
        </w:rPr>
        <w:t>TOT</w:t>
      </w:r>
      <w:r>
        <w:rPr>
          <w:spacing w:val="-22"/>
        </w:rPr>
        <w:t>、</w:t>
      </w:r>
      <w:r>
        <w:rPr>
          <w:rFonts w:ascii="宋体" w:hAnsi="宋体" w:cs="宋体" w:eastAsia="宋体" w:hint="default"/>
          <w:spacing w:val="-22"/>
        </w:rPr>
        <w:t>PPP</w:t>
      </w:r>
      <w:r>
        <w:rPr>
          <w:rFonts w:ascii="宋体" w:hAnsi="宋体" w:cs="宋体" w:eastAsia="宋体" w:hint="default"/>
          <w:spacing w:val="-79"/>
        </w:rPr>
        <w:t> </w:t>
      </w:r>
      <w:r>
        <w:rPr/>
        <w:t>等特许运营模式。</w:t>
      </w:r>
    </w:p>
    <w:p>
      <w:pPr>
        <w:spacing w:line="240" w:lineRule="auto" w:before="3"/>
        <w:rPr>
          <w:rFonts w:ascii="宋体" w:hAnsi="宋体" w:cs="宋体" w:eastAsia="宋体" w:hint="default"/>
          <w:sz w:val="26"/>
          <w:szCs w:val="26"/>
        </w:rPr>
      </w:pPr>
    </w:p>
    <w:p>
      <w:pPr>
        <w:pStyle w:val="BodyText"/>
        <w:spacing w:line="310" w:lineRule="exact"/>
        <w:ind w:right="441"/>
        <w:jc w:val="both"/>
      </w:pPr>
      <w:r>
        <w:rPr>
          <w:rFonts w:ascii="宋体" w:hAnsi="宋体" w:cs="宋体" w:eastAsia="宋体" w:hint="default"/>
        </w:rPr>
        <w:t>2015</w:t>
      </w:r>
      <w:r>
        <w:rPr>
          <w:rFonts w:ascii="宋体" w:hAnsi="宋体" w:cs="宋体" w:eastAsia="宋体" w:hint="default"/>
          <w:spacing w:val="-39"/>
        </w:rPr>
        <w:t> </w:t>
      </w:r>
      <w:r>
        <w:rPr/>
        <w:t>年，龙江环保凭借先进运营理念，在继续实施挖潜增效，在强化管理降低成本，大 力推行精细化管理、区域化运营模式的同时，加大委托运营业务开展，以轻资产、名品</w:t>
      </w:r>
    </w:p>
    <w:p>
      <w:pPr>
        <w:spacing w:after="0" w:line="310" w:lineRule="exact"/>
        <w:jc w:val="both"/>
        <w:sectPr>
          <w:pgSz w:w="11910" w:h="16840"/>
          <w:pgMar w:header="628" w:footer="760" w:top="1080" w:bottom="960" w:left="1260" w:right="8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310" w:lineRule="exact" w:before="58"/>
        <w:ind w:right="187"/>
        <w:jc w:val="left"/>
      </w:pPr>
      <w:r>
        <w:rPr/>
        <w:t>牌扩大市场份额，稳固了黑龙江省污水行业市场占有率第一的位置，在处理规模、资产</w:t>
      </w:r>
      <w:r>
        <w:rPr>
          <w:spacing w:val="-51"/>
        </w:rPr>
        <w:t> </w:t>
      </w:r>
      <w:r>
        <w:rPr>
          <w:spacing w:val="-51"/>
        </w:rPr>
      </w:r>
      <w:r>
        <w:rPr/>
        <w:t>总量已跃居国内水务运营企业前列。</w:t>
      </w:r>
    </w:p>
    <w:p>
      <w:pPr>
        <w:spacing w:line="240" w:lineRule="auto" w:before="7"/>
        <w:rPr>
          <w:rFonts w:ascii="宋体" w:hAnsi="宋体" w:cs="宋体" w:eastAsia="宋体" w:hint="default"/>
          <w:sz w:val="21"/>
          <w:szCs w:val="21"/>
        </w:rPr>
      </w:pPr>
    </w:p>
    <w:p>
      <w:pPr>
        <w:pStyle w:val="BodyText"/>
        <w:spacing w:line="240" w:lineRule="auto"/>
        <w:ind w:right="187"/>
        <w:jc w:val="left"/>
      </w:pPr>
      <w:r>
        <w:rPr/>
        <w:t>龙江环保近三年主要财务数据：</w:t>
      </w:r>
    </w:p>
    <w:p>
      <w:pPr>
        <w:spacing w:line="240" w:lineRule="auto" w:before="8"/>
        <w:rPr>
          <w:rFonts w:ascii="宋体" w:hAnsi="宋体" w:cs="宋体" w:eastAsia="宋体" w:hint="default"/>
          <w:sz w:val="26"/>
          <w:szCs w:val="26"/>
        </w:rPr>
      </w:pPr>
    </w:p>
    <w:tbl>
      <w:tblPr>
        <w:tblW w:w="0" w:type="auto"/>
        <w:jc w:val="left"/>
        <w:tblInd w:w="130" w:type="dxa"/>
        <w:tblLayout w:type="fixed"/>
        <w:tblCellMar>
          <w:top w:w="0" w:type="dxa"/>
          <w:left w:w="0" w:type="dxa"/>
          <w:bottom w:w="0" w:type="dxa"/>
          <w:right w:w="0" w:type="dxa"/>
        </w:tblCellMar>
        <w:tblLook w:val="01E0"/>
      </w:tblPr>
      <w:tblGrid>
        <w:gridCol w:w="2090"/>
        <w:gridCol w:w="1597"/>
        <w:gridCol w:w="1130"/>
        <w:gridCol w:w="3246"/>
        <w:gridCol w:w="1452"/>
      </w:tblGrid>
      <w:tr>
        <w:trPr>
          <w:trHeight w:val="338" w:hRule="exact"/>
        </w:trPr>
        <w:tc>
          <w:tcPr>
            <w:tcW w:w="2090" w:type="dxa"/>
            <w:tcBorders>
              <w:top w:val="single" w:sz="12" w:space="0" w:color="000000"/>
              <w:left w:val="single" w:sz="12" w:space="0" w:color="000000"/>
              <w:bottom w:val="single" w:sz="6" w:space="0" w:color="000000"/>
              <w:right w:val="single" w:sz="6" w:space="0" w:color="000000"/>
            </w:tcBorders>
          </w:tcPr>
          <w:p>
            <w:pPr>
              <w:pStyle w:val="TableParagraph"/>
              <w:spacing w:line="265" w:lineRule="exact"/>
              <w:ind w:right="2"/>
              <w:jc w:val="center"/>
              <w:rPr>
                <w:rFonts w:ascii="宋体" w:hAnsi="宋体" w:cs="宋体" w:eastAsia="宋体" w:hint="default"/>
                <w:sz w:val="21"/>
                <w:szCs w:val="21"/>
              </w:rPr>
            </w:pPr>
            <w:r>
              <w:rPr>
                <w:rFonts w:ascii="宋体" w:hAnsi="宋体" w:cs="宋体" w:eastAsia="宋体" w:hint="default"/>
                <w:b/>
                <w:bCs/>
                <w:sz w:val="21"/>
                <w:szCs w:val="21"/>
              </w:rPr>
              <w:t>年度</w:t>
            </w:r>
            <w:r>
              <w:rPr>
                <w:rFonts w:ascii="宋体" w:hAnsi="宋体" w:cs="宋体" w:eastAsia="宋体" w:hint="default"/>
                <w:b/>
                <w:bCs/>
                <w:sz w:val="21"/>
                <w:szCs w:val="21"/>
              </w:rPr>
              <w:t>(</w:t>
            </w:r>
            <w:r>
              <w:rPr>
                <w:rFonts w:ascii="宋体" w:hAnsi="宋体" w:cs="宋体" w:eastAsia="宋体" w:hint="default"/>
                <w:b/>
                <w:bCs/>
                <w:sz w:val="21"/>
                <w:szCs w:val="21"/>
              </w:rPr>
              <w:t>单位：万元</w:t>
            </w:r>
            <w:r>
              <w:rPr>
                <w:rFonts w:ascii="宋体" w:hAnsi="宋体" w:cs="宋体" w:eastAsia="宋体" w:hint="default"/>
                <w:b/>
                <w:bCs/>
                <w:sz w:val="21"/>
                <w:szCs w:val="21"/>
              </w:rPr>
              <w:t>)</w:t>
            </w:r>
            <w:r>
              <w:rPr>
                <w:rFonts w:ascii="宋体" w:hAnsi="宋体" w:cs="宋体" w:eastAsia="宋体" w:hint="default"/>
                <w:sz w:val="21"/>
                <w:szCs w:val="21"/>
              </w:rPr>
            </w:r>
          </w:p>
        </w:tc>
        <w:tc>
          <w:tcPr>
            <w:tcW w:w="1597" w:type="dxa"/>
            <w:tcBorders>
              <w:top w:val="single" w:sz="12" w:space="0" w:color="000000"/>
              <w:left w:val="single" w:sz="6" w:space="0" w:color="000000"/>
              <w:bottom w:val="single" w:sz="6" w:space="0" w:color="000000"/>
              <w:right w:val="single" w:sz="6" w:space="0" w:color="000000"/>
            </w:tcBorders>
          </w:tcPr>
          <w:p>
            <w:pPr>
              <w:pStyle w:val="TableParagraph"/>
              <w:spacing w:line="265" w:lineRule="exact"/>
              <w:ind w:right="154"/>
              <w:jc w:val="right"/>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tc>
        <w:tc>
          <w:tcPr>
            <w:tcW w:w="1130" w:type="dxa"/>
            <w:tcBorders>
              <w:top w:val="single" w:sz="12" w:space="0" w:color="000000"/>
              <w:left w:val="single" w:sz="6" w:space="0" w:color="000000"/>
              <w:bottom w:val="single" w:sz="6" w:space="0" w:color="000000"/>
              <w:right w:val="single" w:sz="6" w:space="0" w:color="000000"/>
            </w:tcBorders>
          </w:tcPr>
          <w:p>
            <w:pPr>
              <w:pStyle w:val="TableParagraph"/>
              <w:spacing w:line="265" w:lineRule="exact"/>
              <w:ind w:left="240" w:right="0"/>
              <w:jc w:val="left"/>
              <w:rPr>
                <w:rFonts w:ascii="宋体" w:hAnsi="宋体" w:cs="宋体" w:eastAsia="宋体" w:hint="default"/>
                <w:sz w:val="21"/>
                <w:szCs w:val="21"/>
              </w:rPr>
            </w:pPr>
            <w:r>
              <w:rPr>
                <w:rFonts w:ascii="宋体" w:hAnsi="宋体" w:cs="宋体" w:eastAsia="宋体" w:hint="default"/>
                <w:b/>
                <w:bCs/>
                <w:sz w:val="21"/>
                <w:szCs w:val="21"/>
              </w:rPr>
              <w:t>毛利率</w:t>
            </w:r>
            <w:r>
              <w:rPr>
                <w:rFonts w:ascii="宋体" w:hAnsi="宋体" w:cs="宋体" w:eastAsia="宋体" w:hint="default"/>
                <w:sz w:val="21"/>
                <w:szCs w:val="21"/>
              </w:rPr>
            </w:r>
          </w:p>
        </w:tc>
        <w:tc>
          <w:tcPr>
            <w:tcW w:w="3246" w:type="dxa"/>
            <w:tcBorders>
              <w:top w:val="single" w:sz="12" w:space="0" w:color="000000"/>
              <w:left w:val="single" w:sz="6" w:space="0" w:color="000000"/>
              <w:bottom w:val="single" w:sz="6" w:space="0" w:color="000000"/>
              <w:right w:val="single" w:sz="6" w:space="0" w:color="000000"/>
            </w:tcBorders>
          </w:tcPr>
          <w:p>
            <w:pPr>
              <w:pStyle w:val="TableParagraph"/>
              <w:spacing w:line="265" w:lineRule="exact"/>
              <w:ind w:right="137"/>
              <w:jc w:val="right"/>
              <w:rPr>
                <w:rFonts w:ascii="宋体" w:hAnsi="宋体" w:cs="宋体" w:eastAsia="宋体" w:hint="default"/>
                <w:sz w:val="21"/>
                <w:szCs w:val="21"/>
              </w:rPr>
            </w:pPr>
            <w:r>
              <w:rPr>
                <w:rFonts w:ascii="宋体" w:hAnsi="宋体" w:cs="宋体" w:eastAsia="宋体" w:hint="default"/>
                <w:b/>
                <w:bCs/>
                <w:spacing w:val="-1"/>
                <w:sz w:val="21"/>
                <w:szCs w:val="21"/>
              </w:rPr>
              <w:t>归属于母公司股东的期末净资产</w:t>
            </w:r>
            <w:r>
              <w:rPr>
                <w:rFonts w:ascii="宋体" w:hAnsi="宋体" w:cs="宋体" w:eastAsia="宋体" w:hint="default"/>
                <w:spacing w:val="-1"/>
                <w:sz w:val="21"/>
                <w:szCs w:val="21"/>
              </w:rPr>
            </w:r>
          </w:p>
        </w:tc>
        <w:tc>
          <w:tcPr>
            <w:tcW w:w="1452" w:type="dxa"/>
            <w:tcBorders>
              <w:top w:val="single" w:sz="12" w:space="0" w:color="000000"/>
              <w:left w:val="single" w:sz="6" w:space="0" w:color="000000"/>
              <w:bottom w:val="single" w:sz="6" w:space="0" w:color="000000"/>
              <w:right w:val="single" w:sz="12" w:space="0" w:color="000000"/>
            </w:tcBorders>
          </w:tcPr>
          <w:p>
            <w:pPr>
              <w:pStyle w:val="TableParagraph"/>
              <w:spacing w:line="265" w:lineRule="exact"/>
              <w:ind w:left="400" w:right="0"/>
              <w:jc w:val="left"/>
              <w:rPr>
                <w:rFonts w:ascii="宋体" w:hAnsi="宋体" w:cs="宋体" w:eastAsia="宋体" w:hint="default"/>
                <w:sz w:val="21"/>
                <w:szCs w:val="21"/>
              </w:rPr>
            </w:pPr>
            <w:r>
              <w:rPr>
                <w:rFonts w:ascii="宋体" w:hAnsi="宋体" w:cs="宋体" w:eastAsia="宋体" w:hint="default"/>
                <w:b/>
                <w:bCs/>
                <w:sz w:val="21"/>
                <w:szCs w:val="21"/>
              </w:rPr>
              <w:t>总资产</w:t>
            </w:r>
            <w:r>
              <w:rPr>
                <w:rFonts w:ascii="宋体" w:hAnsi="宋体" w:cs="宋体" w:eastAsia="宋体" w:hint="default"/>
                <w:sz w:val="21"/>
                <w:szCs w:val="21"/>
              </w:rPr>
            </w:r>
          </w:p>
        </w:tc>
      </w:tr>
      <w:tr>
        <w:trPr>
          <w:trHeight w:val="329" w:hRule="exact"/>
        </w:trPr>
        <w:tc>
          <w:tcPr>
            <w:tcW w:w="2090" w:type="dxa"/>
            <w:tcBorders>
              <w:top w:val="single" w:sz="6" w:space="0" w:color="000000"/>
              <w:left w:val="single" w:sz="12" w:space="0" w:color="000000"/>
              <w:bottom w:val="single" w:sz="6" w:space="0" w:color="000000"/>
              <w:right w:val="single" w:sz="6" w:space="0" w:color="000000"/>
            </w:tcBorders>
          </w:tcPr>
          <w:p>
            <w:pPr>
              <w:pStyle w:val="TableParagraph"/>
              <w:spacing w:line="262" w:lineRule="exact"/>
              <w:ind w:right="2"/>
              <w:jc w:val="center"/>
              <w:rPr>
                <w:rFonts w:ascii="宋体" w:hAnsi="宋体" w:cs="宋体" w:eastAsia="宋体" w:hint="default"/>
                <w:sz w:val="21"/>
                <w:szCs w:val="21"/>
              </w:rPr>
            </w:pPr>
            <w:r>
              <w:rPr>
                <w:rFonts w:ascii="宋体"/>
                <w:b/>
                <w:sz w:val="21"/>
              </w:rPr>
              <w:t>2015</w:t>
            </w:r>
            <w:r>
              <w:rPr>
                <w:rFonts w:ascii="宋体"/>
                <w:sz w:val="21"/>
              </w:rPr>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71,927.30</w:t>
            </w:r>
          </w:p>
        </w:tc>
        <w:tc>
          <w:tcPr>
            <w:tcW w:w="1130"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44.57%</w:t>
            </w:r>
          </w:p>
        </w:tc>
        <w:tc>
          <w:tcPr>
            <w:tcW w:w="3246"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91,656.06</w:t>
            </w:r>
          </w:p>
        </w:tc>
        <w:tc>
          <w:tcPr>
            <w:tcW w:w="1452" w:type="dxa"/>
            <w:tcBorders>
              <w:top w:val="single" w:sz="6" w:space="0" w:color="000000"/>
              <w:left w:val="single" w:sz="6" w:space="0" w:color="000000"/>
              <w:bottom w:val="single" w:sz="6" w:space="0" w:color="000000"/>
              <w:right w:val="single" w:sz="12" w:space="0" w:color="000000"/>
            </w:tcBorders>
          </w:tcPr>
          <w:p>
            <w:pPr>
              <w:pStyle w:val="TableParagraph"/>
              <w:spacing w:line="262" w:lineRule="exact"/>
              <w:ind w:right="91"/>
              <w:jc w:val="right"/>
              <w:rPr>
                <w:rFonts w:ascii="宋体" w:hAnsi="宋体" w:cs="宋体" w:eastAsia="宋体" w:hint="default"/>
                <w:sz w:val="21"/>
                <w:szCs w:val="21"/>
              </w:rPr>
            </w:pPr>
            <w:r>
              <w:rPr>
                <w:rFonts w:ascii="宋体"/>
                <w:spacing w:val="-1"/>
                <w:sz w:val="21"/>
              </w:rPr>
              <w:t>517,481.03</w:t>
            </w:r>
          </w:p>
        </w:tc>
      </w:tr>
      <w:tr>
        <w:trPr>
          <w:trHeight w:val="317" w:hRule="exact"/>
        </w:trPr>
        <w:tc>
          <w:tcPr>
            <w:tcW w:w="2090" w:type="dxa"/>
            <w:tcBorders>
              <w:top w:val="single" w:sz="6" w:space="0" w:color="000000"/>
              <w:left w:val="single" w:sz="12" w:space="0" w:color="000000"/>
              <w:bottom w:val="single" w:sz="6" w:space="0" w:color="000000"/>
              <w:right w:val="single" w:sz="6" w:space="0" w:color="000000"/>
            </w:tcBorders>
          </w:tcPr>
          <w:p>
            <w:pPr>
              <w:pStyle w:val="TableParagraph"/>
              <w:spacing w:line="255" w:lineRule="exact"/>
              <w:ind w:right="2"/>
              <w:jc w:val="center"/>
              <w:rPr>
                <w:rFonts w:ascii="宋体" w:hAnsi="宋体" w:cs="宋体" w:eastAsia="宋体" w:hint="default"/>
                <w:sz w:val="21"/>
                <w:szCs w:val="21"/>
              </w:rPr>
            </w:pPr>
            <w:r>
              <w:rPr>
                <w:rFonts w:ascii="宋体"/>
                <w:b/>
                <w:sz w:val="21"/>
              </w:rPr>
              <w:t>2014</w:t>
            </w:r>
            <w:r>
              <w:rPr>
                <w:rFonts w:ascii="宋体"/>
                <w:sz w:val="21"/>
              </w:rPr>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55" w:lineRule="exact"/>
              <w:ind w:right="96"/>
              <w:jc w:val="right"/>
              <w:rPr>
                <w:rFonts w:ascii="宋体" w:hAnsi="宋体" w:cs="宋体" w:eastAsia="宋体" w:hint="default"/>
                <w:sz w:val="21"/>
                <w:szCs w:val="21"/>
              </w:rPr>
            </w:pPr>
            <w:r>
              <w:rPr>
                <w:rFonts w:ascii="宋体"/>
                <w:spacing w:val="-1"/>
                <w:sz w:val="21"/>
              </w:rPr>
              <w:t>63,588.04</w:t>
            </w:r>
          </w:p>
        </w:tc>
        <w:tc>
          <w:tcPr>
            <w:tcW w:w="1130" w:type="dxa"/>
            <w:tcBorders>
              <w:top w:val="single" w:sz="6" w:space="0" w:color="000000"/>
              <w:left w:val="single" w:sz="6" w:space="0" w:color="000000"/>
              <w:bottom w:val="single" w:sz="6" w:space="0" w:color="000000"/>
              <w:right w:val="single" w:sz="6" w:space="0" w:color="000000"/>
            </w:tcBorders>
          </w:tcPr>
          <w:p>
            <w:pPr>
              <w:pStyle w:val="TableParagraph"/>
              <w:spacing w:line="255" w:lineRule="exact"/>
              <w:ind w:right="96"/>
              <w:jc w:val="right"/>
              <w:rPr>
                <w:rFonts w:ascii="宋体" w:hAnsi="宋体" w:cs="宋体" w:eastAsia="宋体" w:hint="default"/>
                <w:sz w:val="21"/>
                <w:szCs w:val="21"/>
              </w:rPr>
            </w:pPr>
            <w:r>
              <w:rPr>
                <w:rFonts w:ascii="宋体"/>
                <w:sz w:val="21"/>
              </w:rPr>
              <w:t>47.50%</w:t>
            </w:r>
          </w:p>
        </w:tc>
        <w:tc>
          <w:tcPr>
            <w:tcW w:w="3246" w:type="dxa"/>
            <w:tcBorders>
              <w:top w:val="single" w:sz="6" w:space="0" w:color="000000"/>
              <w:left w:val="single" w:sz="6" w:space="0" w:color="000000"/>
              <w:bottom w:val="single" w:sz="6" w:space="0" w:color="000000"/>
              <w:right w:val="single" w:sz="6" w:space="0" w:color="000000"/>
            </w:tcBorders>
          </w:tcPr>
          <w:p>
            <w:pPr>
              <w:pStyle w:val="TableParagraph"/>
              <w:spacing w:line="255" w:lineRule="exact"/>
              <w:ind w:right="95"/>
              <w:jc w:val="right"/>
              <w:rPr>
                <w:rFonts w:ascii="宋体" w:hAnsi="宋体" w:cs="宋体" w:eastAsia="宋体" w:hint="default"/>
                <w:sz w:val="21"/>
                <w:szCs w:val="21"/>
              </w:rPr>
            </w:pPr>
            <w:r>
              <w:rPr>
                <w:rFonts w:ascii="宋体"/>
                <w:spacing w:val="-1"/>
                <w:sz w:val="21"/>
              </w:rPr>
              <w:t>84,411.09</w:t>
            </w:r>
          </w:p>
        </w:tc>
        <w:tc>
          <w:tcPr>
            <w:tcW w:w="1452" w:type="dxa"/>
            <w:tcBorders>
              <w:top w:val="single" w:sz="6" w:space="0" w:color="000000"/>
              <w:left w:val="single" w:sz="6" w:space="0" w:color="000000"/>
              <w:bottom w:val="single" w:sz="6" w:space="0" w:color="000000"/>
              <w:right w:val="single" w:sz="12" w:space="0" w:color="000000"/>
            </w:tcBorders>
          </w:tcPr>
          <w:p>
            <w:pPr>
              <w:pStyle w:val="TableParagraph"/>
              <w:spacing w:line="255" w:lineRule="exact"/>
              <w:ind w:right="91"/>
              <w:jc w:val="right"/>
              <w:rPr>
                <w:rFonts w:ascii="宋体" w:hAnsi="宋体" w:cs="宋体" w:eastAsia="宋体" w:hint="default"/>
                <w:sz w:val="21"/>
                <w:szCs w:val="21"/>
              </w:rPr>
            </w:pPr>
            <w:r>
              <w:rPr>
                <w:rFonts w:ascii="宋体"/>
                <w:spacing w:val="-1"/>
                <w:sz w:val="21"/>
              </w:rPr>
              <w:t>453,964.82</w:t>
            </w:r>
          </w:p>
        </w:tc>
      </w:tr>
      <w:tr>
        <w:trPr>
          <w:trHeight w:val="319" w:hRule="exact"/>
        </w:trPr>
        <w:tc>
          <w:tcPr>
            <w:tcW w:w="2090" w:type="dxa"/>
            <w:tcBorders>
              <w:top w:val="single" w:sz="6" w:space="0" w:color="000000"/>
              <w:left w:val="single" w:sz="12" w:space="0" w:color="000000"/>
              <w:bottom w:val="single" w:sz="12" w:space="0" w:color="000000"/>
              <w:right w:val="single" w:sz="6" w:space="0" w:color="000000"/>
            </w:tcBorders>
          </w:tcPr>
          <w:p>
            <w:pPr>
              <w:pStyle w:val="TableParagraph"/>
              <w:spacing w:line="255" w:lineRule="exact"/>
              <w:ind w:right="2"/>
              <w:jc w:val="center"/>
              <w:rPr>
                <w:rFonts w:ascii="宋体" w:hAnsi="宋体" w:cs="宋体" w:eastAsia="宋体" w:hint="default"/>
                <w:sz w:val="21"/>
                <w:szCs w:val="21"/>
              </w:rPr>
            </w:pPr>
            <w:r>
              <w:rPr>
                <w:rFonts w:ascii="宋体"/>
                <w:b/>
                <w:sz w:val="21"/>
              </w:rPr>
              <w:t>2013</w:t>
            </w:r>
            <w:r>
              <w:rPr>
                <w:rFonts w:ascii="宋体"/>
                <w:sz w:val="21"/>
              </w:rPr>
            </w:r>
          </w:p>
        </w:tc>
        <w:tc>
          <w:tcPr>
            <w:tcW w:w="1597" w:type="dxa"/>
            <w:tcBorders>
              <w:top w:val="single" w:sz="6" w:space="0" w:color="000000"/>
              <w:left w:val="single" w:sz="6" w:space="0" w:color="000000"/>
              <w:bottom w:val="single" w:sz="12" w:space="0" w:color="000000"/>
              <w:right w:val="single" w:sz="6" w:space="0" w:color="000000"/>
            </w:tcBorders>
          </w:tcPr>
          <w:p>
            <w:pPr>
              <w:pStyle w:val="TableParagraph"/>
              <w:spacing w:line="255" w:lineRule="exact"/>
              <w:ind w:right="98"/>
              <w:jc w:val="right"/>
              <w:rPr>
                <w:rFonts w:ascii="宋体" w:hAnsi="宋体" w:cs="宋体" w:eastAsia="宋体" w:hint="default"/>
                <w:sz w:val="21"/>
                <w:szCs w:val="21"/>
              </w:rPr>
            </w:pPr>
            <w:r>
              <w:rPr>
                <w:rFonts w:ascii="宋体"/>
                <w:spacing w:val="-1"/>
                <w:sz w:val="21"/>
              </w:rPr>
              <w:t>60,149.31</w:t>
            </w:r>
          </w:p>
        </w:tc>
        <w:tc>
          <w:tcPr>
            <w:tcW w:w="1130" w:type="dxa"/>
            <w:tcBorders>
              <w:top w:val="single" w:sz="6" w:space="0" w:color="000000"/>
              <w:left w:val="single" w:sz="6" w:space="0" w:color="000000"/>
              <w:bottom w:val="single" w:sz="12" w:space="0" w:color="000000"/>
              <w:right w:val="single" w:sz="6" w:space="0" w:color="000000"/>
            </w:tcBorders>
          </w:tcPr>
          <w:p>
            <w:pPr>
              <w:pStyle w:val="TableParagraph"/>
              <w:spacing w:line="255" w:lineRule="exact"/>
              <w:ind w:right="96"/>
              <w:jc w:val="right"/>
              <w:rPr>
                <w:rFonts w:ascii="宋体" w:hAnsi="宋体" w:cs="宋体" w:eastAsia="宋体" w:hint="default"/>
                <w:sz w:val="21"/>
                <w:szCs w:val="21"/>
              </w:rPr>
            </w:pPr>
            <w:r>
              <w:rPr>
                <w:rFonts w:ascii="宋体"/>
                <w:sz w:val="21"/>
              </w:rPr>
              <w:t>47.91%</w:t>
            </w:r>
          </w:p>
        </w:tc>
        <w:tc>
          <w:tcPr>
            <w:tcW w:w="3246" w:type="dxa"/>
            <w:tcBorders>
              <w:top w:val="single" w:sz="6" w:space="0" w:color="000000"/>
              <w:left w:val="single" w:sz="6" w:space="0" w:color="000000"/>
              <w:bottom w:val="single" w:sz="12" w:space="0" w:color="000000"/>
              <w:right w:val="single" w:sz="6" w:space="0" w:color="000000"/>
            </w:tcBorders>
          </w:tcPr>
          <w:p>
            <w:pPr>
              <w:pStyle w:val="TableParagraph"/>
              <w:spacing w:line="255" w:lineRule="exact"/>
              <w:ind w:right="96"/>
              <w:jc w:val="right"/>
              <w:rPr>
                <w:rFonts w:ascii="宋体" w:hAnsi="宋体" w:cs="宋体" w:eastAsia="宋体" w:hint="default"/>
                <w:sz w:val="21"/>
                <w:szCs w:val="21"/>
              </w:rPr>
            </w:pPr>
            <w:r>
              <w:rPr>
                <w:rFonts w:ascii="宋体"/>
                <w:spacing w:val="-1"/>
                <w:sz w:val="21"/>
              </w:rPr>
              <w:t>77,098.29</w:t>
            </w:r>
          </w:p>
        </w:tc>
        <w:tc>
          <w:tcPr>
            <w:tcW w:w="1452" w:type="dxa"/>
            <w:tcBorders>
              <w:top w:val="single" w:sz="6" w:space="0" w:color="000000"/>
              <w:left w:val="single" w:sz="6" w:space="0" w:color="000000"/>
              <w:bottom w:val="single" w:sz="12" w:space="0" w:color="000000"/>
              <w:right w:val="single" w:sz="12" w:space="0" w:color="000000"/>
            </w:tcBorders>
          </w:tcPr>
          <w:p>
            <w:pPr>
              <w:pStyle w:val="TableParagraph"/>
              <w:spacing w:line="255" w:lineRule="exact"/>
              <w:ind w:right="91"/>
              <w:jc w:val="right"/>
              <w:rPr>
                <w:rFonts w:ascii="宋体" w:hAnsi="宋体" w:cs="宋体" w:eastAsia="宋体" w:hint="default"/>
                <w:sz w:val="21"/>
                <w:szCs w:val="21"/>
              </w:rPr>
            </w:pPr>
            <w:r>
              <w:rPr>
                <w:rFonts w:ascii="宋体"/>
                <w:spacing w:val="-1"/>
                <w:sz w:val="21"/>
              </w:rPr>
              <w:t>416,755.44</w:t>
            </w:r>
          </w:p>
        </w:tc>
      </w:tr>
    </w:tbl>
    <w:p>
      <w:pPr>
        <w:spacing w:line="240" w:lineRule="auto" w:before="3"/>
        <w:rPr>
          <w:rFonts w:ascii="宋体" w:hAnsi="宋体" w:cs="宋体" w:eastAsia="宋体" w:hint="default"/>
          <w:sz w:val="16"/>
          <w:szCs w:val="16"/>
        </w:rPr>
      </w:pPr>
    </w:p>
    <w:p>
      <w:pPr>
        <w:pStyle w:val="Heading3"/>
        <w:spacing w:line="477" w:lineRule="auto" w:before="26"/>
        <w:ind w:left="158" w:right="5757" w:firstLine="256"/>
        <w:jc w:val="left"/>
        <w:rPr>
          <w:rFonts w:ascii="宋体" w:hAnsi="宋体" w:cs="宋体" w:eastAsia="宋体" w:hint="default"/>
          <w:b w:val="0"/>
          <w:bCs w:val="0"/>
        </w:rPr>
      </w:pPr>
      <w:r>
        <w:rPr>
          <w:rFonts w:ascii="宋体" w:hAnsi="宋体" w:cs="宋体" w:eastAsia="宋体" w:hint="default"/>
        </w:rPr>
        <w:t>(</w:t>
      </w:r>
      <w:r>
        <w:rPr/>
        <w:t>八</w:t>
      </w:r>
      <w:r>
        <w:rPr>
          <w:rFonts w:ascii="宋体" w:hAnsi="宋体" w:cs="宋体" w:eastAsia="宋体" w:hint="default"/>
        </w:rPr>
        <w:t>)</w:t>
      </w:r>
      <w:r>
        <w:rPr/>
        <w:t>公司控制的特殊目的主体情况</w:t>
      </w:r>
      <w:r>
        <w:rPr>
          <w:w w:val="99"/>
        </w:rPr>
        <w:t> </w:t>
      </w:r>
      <w:r>
        <w:rPr>
          <w:rFonts w:ascii="宋体" w:hAnsi="宋体" w:cs="宋体" w:eastAsia="宋体" w:hint="default"/>
          <w:b w:val="0"/>
          <w:bCs w:val="0"/>
        </w:rPr>
        <w:t>不适用。</w:t>
      </w:r>
    </w:p>
    <w:p>
      <w:pPr>
        <w:spacing w:line="240" w:lineRule="auto" w:before="3"/>
        <w:rPr>
          <w:rFonts w:ascii="宋体" w:hAnsi="宋体" w:cs="宋体" w:eastAsia="宋体" w:hint="default"/>
          <w:sz w:val="23"/>
          <w:szCs w:val="23"/>
        </w:rPr>
      </w:pPr>
    </w:p>
    <w:p>
      <w:pPr>
        <w:pStyle w:val="Heading2"/>
        <w:spacing w:line="240" w:lineRule="auto"/>
        <w:ind w:left="158" w:right="0"/>
        <w:jc w:val="both"/>
      </w:pPr>
      <w:r>
        <w:rPr/>
        <w:t>三、公司关于公司未来发展的讨论与分析</w:t>
      </w:r>
    </w:p>
    <w:p>
      <w:pPr>
        <w:spacing w:line="240" w:lineRule="auto" w:before="8"/>
        <w:rPr>
          <w:rFonts w:ascii="黑体" w:hAnsi="黑体" w:cs="黑体" w:eastAsia="黑体" w:hint="default"/>
          <w:sz w:val="28"/>
          <w:szCs w:val="28"/>
        </w:rPr>
      </w:pPr>
    </w:p>
    <w:p>
      <w:pPr>
        <w:pStyle w:val="Heading3"/>
        <w:spacing w:line="240" w:lineRule="auto"/>
        <w:ind w:left="415" w:right="187"/>
        <w:jc w:val="left"/>
        <w:rPr>
          <w:b w:val="0"/>
          <w:bCs w:val="0"/>
        </w:rPr>
      </w:pPr>
      <w:r>
        <w:rPr>
          <w:rFonts w:ascii="宋体" w:hAnsi="宋体" w:cs="宋体" w:eastAsia="宋体" w:hint="default"/>
        </w:rPr>
        <w:t>(</w:t>
      </w:r>
      <w:r>
        <w:rPr/>
        <w:t>一</w:t>
      </w:r>
      <w:r>
        <w:rPr>
          <w:rFonts w:ascii="宋体" w:hAnsi="宋体" w:cs="宋体" w:eastAsia="宋体" w:hint="default"/>
        </w:rPr>
        <w:t>)</w:t>
      </w:r>
      <w:r>
        <w:rPr/>
        <w:t>行业竞争格局和发展趋势</w:t>
      </w:r>
      <w:r>
        <w:rPr>
          <w:b w:val="0"/>
          <w:bCs w:val="0"/>
        </w:rPr>
      </w:r>
    </w:p>
    <w:p>
      <w:pPr>
        <w:spacing w:line="240" w:lineRule="auto" w:before="12"/>
        <w:rPr>
          <w:rFonts w:ascii="宋体" w:hAnsi="宋体" w:cs="宋体" w:eastAsia="宋体" w:hint="default"/>
          <w:b/>
          <w:bCs/>
          <w:sz w:val="23"/>
          <w:szCs w:val="23"/>
        </w:rPr>
      </w:pPr>
    </w:p>
    <w:p>
      <w:pPr>
        <w:pStyle w:val="BodyText"/>
        <w:spacing w:line="237" w:lineRule="auto"/>
        <w:ind w:right="441"/>
        <w:jc w:val="both"/>
      </w:pPr>
      <w:r>
        <w:rPr>
          <w:rFonts w:ascii="宋体" w:hAnsi="宋体" w:cs="宋体" w:eastAsia="宋体" w:hint="default"/>
        </w:rPr>
        <w:t>2016</w:t>
      </w:r>
      <w:r>
        <w:rPr>
          <w:rFonts w:ascii="宋体" w:hAnsi="宋体" w:cs="宋体" w:eastAsia="宋体" w:hint="default"/>
          <w:spacing w:val="-39"/>
        </w:rPr>
        <w:t> </w:t>
      </w:r>
      <w:r>
        <w:rPr/>
        <w:t>年作为十三五的开局之年，也是全面建成小康社会决胜阶段的开局之年，我国经济 站在了新征程的起点。然而，过去一段时间，新常态下的中国经济正面临着众多挑战：</w:t>
      </w:r>
      <w:r>
        <w:rPr>
          <w:spacing w:val="-51"/>
        </w:rPr>
        <w:t> </w:t>
      </w:r>
      <w:r>
        <w:rPr>
          <w:spacing w:val="-51"/>
        </w:rPr>
      </w:r>
      <w:r>
        <w:rPr/>
        <w:t>经济增速下行，改革步入深水区，全球经济复苏缓慢，地缘政治动荡等等，当前的经济</w:t>
      </w:r>
      <w:r>
        <w:rPr>
          <w:spacing w:val="-51"/>
        </w:rPr>
        <w:t> </w:t>
      </w:r>
      <w:r>
        <w:rPr>
          <w:spacing w:val="-51"/>
        </w:rPr>
      </w:r>
      <w:r>
        <w:rPr/>
        <w:t>数据已经处于过去五年以来的低谷。为此，我国政府提出了在稳定经济增长的基础上，</w:t>
      </w:r>
      <w:r>
        <w:rPr>
          <w:spacing w:val="-51"/>
        </w:rPr>
        <w:t> </w:t>
      </w:r>
      <w:r>
        <w:rPr>
          <w:spacing w:val="-51"/>
        </w:rPr>
      </w:r>
      <w:r>
        <w:rPr/>
        <w:t>进行全面经济改革，提升传统比较优势，挖掘经济增长新动能，提高要素配置水平，共</w:t>
      </w:r>
      <w:r>
        <w:rPr>
          <w:spacing w:val="-51"/>
        </w:rPr>
        <w:t> </w:t>
      </w:r>
      <w:r>
        <w:rPr>
          <w:spacing w:val="-51"/>
        </w:rPr>
      </w:r>
      <w:r>
        <w:rPr/>
        <w:t>克时艰，实现新一年国内生产总值</w:t>
      </w:r>
      <w:r>
        <w:rPr>
          <w:spacing w:val="-60"/>
        </w:rPr>
        <w:t> </w:t>
      </w:r>
      <w:r>
        <w:rPr>
          <w:rFonts w:ascii="宋体" w:hAnsi="宋体" w:cs="宋体" w:eastAsia="宋体" w:hint="default"/>
        </w:rPr>
        <w:t>6.5~7%</w:t>
      </w:r>
      <w:r>
        <w:rPr/>
        <w:t>的经济发展目标。</w:t>
      </w:r>
    </w:p>
    <w:p>
      <w:pPr>
        <w:spacing w:line="240" w:lineRule="auto" w:before="10"/>
        <w:rPr>
          <w:rFonts w:ascii="宋体" w:hAnsi="宋体" w:cs="宋体" w:eastAsia="宋体" w:hint="default"/>
          <w:sz w:val="23"/>
          <w:szCs w:val="23"/>
        </w:rPr>
      </w:pPr>
    </w:p>
    <w:p>
      <w:pPr>
        <w:pStyle w:val="BodyText"/>
        <w:spacing w:line="237" w:lineRule="auto"/>
        <w:ind w:right="441"/>
        <w:jc w:val="both"/>
      </w:pPr>
      <w:r>
        <w:rPr>
          <w:spacing w:val="-5"/>
        </w:rPr>
        <w:t>根据《十三五规划纲要》，在十三五期间，我国将加快推进产业结构优化升级，实现先进</w:t>
      </w:r>
      <w:r>
        <w:rPr>
          <w:spacing w:val="-84"/>
        </w:rPr>
        <w:t> </w:t>
      </w:r>
      <w:r>
        <w:rPr>
          <w:spacing w:val="-84"/>
        </w:rPr>
      </w:r>
      <w:r>
        <w:rPr/>
        <w:t>制造业、现代服务业、战略性新兴产业比重的大幅提升，深入实施创新驱动发展战略，</w:t>
      </w:r>
      <w:r>
        <w:rPr>
          <w:spacing w:val="-51"/>
        </w:rPr>
        <w:t> </w:t>
      </w:r>
      <w:r>
        <w:rPr>
          <w:spacing w:val="-51"/>
        </w:rPr>
      </w:r>
      <w:r>
        <w:rPr/>
        <w:t>培育壮大一批有国际竞争力的创新型领军企业，促进大数据、云计算、物联网的广泛应</w:t>
      </w:r>
      <w:r>
        <w:rPr>
          <w:spacing w:val="-51"/>
        </w:rPr>
        <w:t> </w:t>
      </w:r>
      <w:r>
        <w:rPr>
          <w:spacing w:val="-51"/>
        </w:rPr>
      </w:r>
      <w:r>
        <w:rPr/>
        <w:t>用，深入推进以人为核心的新型城镇化，推动形成绿色生产生活方式，加快改善生态环</w:t>
      </w:r>
      <w:r>
        <w:rPr>
          <w:spacing w:val="-51"/>
        </w:rPr>
        <w:t> </w:t>
      </w:r>
      <w:r>
        <w:rPr>
          <w:spacing w:val="-51"/>
        </w:rPr>
      </w:r>
      <w:r>
        <w:rPr/>
        <w:t>境。为此，公司所处的信息产业和节能环保产业均将迎来发展机遇。</w:t>
      </w:r>
    </w:p>
    <w:p>
      <w:pPr>
        <w:spacing w:line="240" w:lineRule="auto" w:before="7"/>
        <w:rPr>
          <w:rFonts w:ascii="宋体" w:hAnsi="宋体" w:cs="宋体" w:eastAsia="宋体" w:hint="default"/>
          <w:sz w:val="23"/>
          <w:szCs w:val="23"/>
        </w:rPr>
      </w:pPr>
    </w:p>
    <w:p>
      <w:pPr>
        <w:pStyle w:val="Heading3"/>
        <w:spacing w:line="240" w:lineRule="auto"/>
        <w:ind w:left="415" w:right="187"/>
        <w:jc w:val="left"/>
        <w:rPr>
          <w:b w:val="0"/>
          <w:bCs w:val="0"/>
        </w:rPr>
      </w:pPr>
      <w:r>
        <w:rPr>
          <w:rFonts w:ascii="宋体" w:hAnsi="宋体" w:cs="宋体" w:eastAsia="宋体" w:hint="default"/>
        </w:rPr>
        <w:t>1</w:t>
      </w:r>
      <w:r>
        <w:rPr/>
        <w:t>、从公司所处的信息产业来看</w:t>
      </w:r>
      <w:r>
        <w:rPr>
          <w:b w:val="0"/>
          <w:bCs w:val="0"/>
        </w:rPr>
      </w:r>
    </w:p>
    <w:p>
      <w:pPr>
        <w:spacing w:line="240" w:lineRule="auto" w:before="12"/>
        <w:rPr>
          <w:rFonts w:ascii="宋体" w:hAnsi="宋体" w:cs="宋体" w:eastAsia="宋体" w:hint="default"/>
          <w:b/>
          <w:bCs/>
          <w:sz w:val="23"/>
          <w:szCs w:val="23"/>
        </w:rPr>
      </w:pPr>
    </w:p>
    <w:p>
      <w:pPr>
        <w:pStyle w:val="BodyText"/>
        <w:spacing w:line="237" w:lineRule="auto"/>
        <w:ind w:right="441"/>
        <w:jc w:val="both"/>
      </w:pPr>
      <w:r>
        <w:rPr/>
        <w:t>当前我国依然处于经济发展的战略机遇期，新经济常态受全球经济形势和国内转变经济</w:t>
      </w:r>
      <w:r>
        <w:rPr>
          <w:spacing w:val="-51"/>
        </w:rPr>
        <w:t> </w:t>
      </w:r>
      <w:r>
        <w:rPr>
          <w:spacing w:val="-51"/>
        </w:rPr>
      </w:r>
      <w:r>
        <w:rPr/>
        <w:t>增长方式双重因素的叠加影响，在以转型升级为基调的产业结构调整中，信息产业在国</w:t>
      </w:r>
      <w:r>
        <w:rPr>
          <w:spacing w:val="-51"/>
        </w:rPr>
        <w:t> </w:t>
      </w:r>
      <w:r>
        <w:rPr>
          <w:spacing w:val="-51"/>
        </w:rPr>
      </w:r>
      <w:r>
        <w:rPr>
          <w:spacing w:val="-5"/>
        </w:rPr>
        <w:t>家经济体系中的战略地位被空前提升。当前，电子信息产业已经作为国民经济的战略性、</w:t>
      </w:r>
      <w:r>
        <w:rPr>
          <w:spacing w:val="-85"/>
        </w:rPr>
        <w:t> </w:t>
      </w:r>
      <w:r>
        <w:rPr>
          <w:spacing w:val="-85"/>
        </w:rPr>
      </w:r>
      <w:r>
        <w:rPr/>
        <w:t>基础性和先导性支柱产业，成为我国制造业转型升级的重要支撑力量。</w:t>
      </w:r>
      <w:r>
        <w:rPr>
          <w:rFonts w:ascii="宋体" w:hAnsi="宋体" w:cs="宋体" w:eastAsia="宋体" w:hint="default"/>
        </w:rPr>
        <w:t>2015</w:t>
      </w:r>
      <w:r>
        <w:rPr>
          <w:rFonts w:ascii="宋体" w:hAnsi="宋体" w:cs="宋体" w:eastAsia="宋体" w:hint="default"/>
          <w:spacing w:val="-38"/>
        </w:rPr>
        <w:t> </w:t>
      </w:r>
      <w:r>
        <w:rPr/>
        <w:t>年电子信息 </w:t>
      </w:r>
      <w:r>
        <w:rPr>
          <w:spacing w:val="-4"/>
        </w:rPr>
        <w:t>产业统计公报统计显示，</w:t>
      </w:r>
      <w:r>
        <w:rPr>
          <w:rFonts w:ascii="宋体" w:hAnsi="宋体" w:cs="宋体" w:eastAsia="宋体" w:hint="default"/>
          <w:spacing w:val="-4"/>
        </w:rPr>
        <w:t>2015</w:t>
      </w:r>
      <w:r>
        <w:rPr>
          <w:rFonts w:ascii="宋体" w:hAnsi="宋体" w:cs="宋体" w:eastAsia="宋体" w:hint="default"/>
          <w:spacing w:val="-56"/>
        </w:rPr>
        <w:t> </w:t>
      </w:r>
      <w:r>
        <w:rPr/>
        <w:t>年全年电子信息制造业实现主营业务收入</w:t>
      </w:r>
      <w:r>
        <w:rPr>
          <w:spacing w:val="-55"/>
        </w:rPr>
        <w:t> </w:t>
      </w:r>
      <w:r>
        <w:rPr>
          <w:rFonts w:ascii="宋体" w:hAnsi="宋体" w:cs="宋体" w:eastAsia="宋体" w:hint="default"/>
        </w:rPr>
        <w:t>11.1</w:t>
      </w:r>
      <w:r>
        <w:rPr>
          <w:rFonts w:ascii="宋体" w:hAnsi="宋体" w:cs="宋体" w:eastAsia="宋体" w:hint="default"/>
          <w:spacing w:val="-56"/>
        </w:rPr>
        <w:t> </w:t>
      </w:r>
      <w:r>
        <w:rPr>
          <w:spacing w:val="-11"/>
        </w:rPr>
        <w:t>万亿元。软</w:t>
      </w:r>
      <w:r>
        <w:rPr/>
        <w:t> 件和信息技术服务业实现软件业务收入</w:t>
      </w:r>
      <w:r>
        <w:rPr>
          <w:spacing w:val="-57"/>
        </w:rPr>
        <w:t> </w:t>
      </w:r>
      <w:r>
        <w:rPr>
          <w:rFonts w:ascii="宋体" w:hAnsi="宋体" w:cs="宋体" w:eastAsia="宋体" w:hint="default"/>
        </w:rPr>
        <w:t>4.3</w:t>
      </w:r>
      <w:r>
        <w:rPr>
          <w:rFonts w:ascii="宋体" w:hAnsi="宋体" w:cs="宋体" w:eastAsia="宋体" w:hint="default"/>
          <w:spacing w:val="-57"/>
        </w:rPr>
        <w:t> </w:t>
      </w:r>
      <w:r>
        <w:rPr>
          <w:spacing w:val="-7"/>
        </w:rPr>
        <w:t>万亿元，同比增长</w:t>
      </w:r>
      <w:r>
        <w:rPr>
          <w:spacing w:val="-57"/>
        </w:rPr>
        <w:t> </w:t>
      </w:r>
      <w:r>
        <w:rPr>
          <w:rFonts w:ascii="宋体" w:hAnsi="宋体" w:cs="宋体" w:eastAsia="宋体" w:hint="default"/>
          <w:spacing w:val="-4"/>
        </w:rPr>
        <w:t>16.6%</w:t>
      </w:r>
      <w:r>
        <w:rPr>
          <w:spacing w:val="-4"/>
        </w:rPr>
        <w:t>。规模以上电子信息</w:t>
      </w:r>
      <w:r>
        <w:rPr/>
        <w:t> 制造业增加值增长 </w:t>
      </w:r>
      <w:r>
        <w:rPr>
          <w:rFonts w:ascii="宋体" w:hAnsi="宋体" w:cs="宋体" w:eastAsia="宋体" w:hint="default"/>
        </w:rPr>
        <w:t>10.5%</w:t>
      </w:r>
      <w:r>
        <w:rPr/>
        <w:t>，高于同期工业平均水平</w:t>
      </w:r>
      <w:r>
        <w:rPr>
          <w:rFonts w:ascii="宋体" w:hAnsi="宋体" w:cs="宋体" w:eastAsia="宋体" w:hint="default"/>
        </w:rPr>
        <w:t>(6.1%)4.4</w:t>
      </w:r>
      <w:r>
        <w:rPr>
          <w:rFonts w:ascii="宋体" w:hAnsi="宋体" w:cs="宋体" w:eastAsia="宋体" w:hint="default"/>
          <w:spacing w:val="-40"/>
        </w:rPr>
        <w:t> </w:t>
      </w:r>
      <w:r>
        <w:rPr>
          <w:spacing w:val="-10"/>
        </w:rPr>
        <w:t>个百分点。“十二五”期间</w:t>
      </w:r>
      <w:r>
        <w:rPr/>
        <w:t> 我国信息技术产业市场规模年均增长超过</w:t>
      </w:r>
      <w:r>
        <w:rPr>
          <w:spacing w:val="-55"/>
        </w:rPr>
        <w:t> </w:t>
      </w:r>
      <w:r>
        <w:rPr>
          <w:rFonts w:ascii="宋体" w:hAnsi="宋体" w:cs="宋体" w:eastAsia="宋体" w:hint="default"/>
        </w:rPr>
        <w:t>20%</w:t>
      </w:r>
      <w:r>
        <w:rPr/>
        <w:t>，到</w:t>
      </w:r>
      <w:r>
        <w:rPr>
          <w:spacing w:val="-55"/>
        </w:rPr>
        <w:t> </w:t>
      </w:r>
      <w:r>
        <w:rPr>
          <w:rFonts w:ascii="宋体" w:hAnsi="宋体" w:cs="宋体" w:eastAsia="宋体" w:hint="default"/>
        </w:rPr>
        <w:t>2015</w:t>
      </w:r>
      <w:r>
        <w:rPr>
          <w:rFonts w:ascii="宋体" w:hAnsi="宋体" w:cs="宋体" w:eastAsia="宋体" w:hint="default"/>
          <w:spacing w:val="-56"/>
        </w:rPr>
        <w:t> </w:t>
      </w:r>
      <w:r>
        <w:rPr/>
        <w:t>年末突破</w:t>
      </w:r>
      <w:r>
        <w:rPr>
          <w:spacing w:val="-56"/>
        </w:rPr>
        <w:t> </w:t>
      </w:r>
      <w:r>
        <w:rPr>
          <w:rFonts w:ascii="宋体" w:hAnsi="宋体" w:cs="宋体" w:eastAsia="宋体" w:hint="default"/>
        </w:rPr>
        <w:t>5</w:t>
      </w:r>
      <w:r>
        <w:rPr>
          <w:rFonts w:ascii="宋体" w:hAnsi="宋体" w:cs="宋体" w:eastAsia="宋体" w:hint="default"/>
          <w:spacing w:val="-58"/>
        </w:rPr>
        <w:t> </w:t>
      </w:r>
      <w:r>
        <w:rPr/>
        <w:t>万亿元。而据业内专 家和机构预测，由于我国市场规模巨大，加之国内信息产业竞争力不断加强，到“十三</w:t>
      </w:r>
    </w:p>
    <w:p>
      <w:pPr>
        <w:spacing w:after="0" w:line="237" w:lineRule="auto"/>
        <w:jc w:val="both"/>
        <w:sectPr>
          <w:pgSz w:w="11910" w:h="16840"/>
          <w:pgMar w:header="628" w:footer="760" w:top="1080" w:bottom="960" w:left="1260" w:right="8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312" w:lineRule="exact" w:before="26"/>
        <w:ind w:right="0"/>
        <w:jc w:val="both"/>
      </w:pPr>
      <w:r>
        <w:rPr/>
        <w:t>五”末，我国信息产业全行业市场规模有望在</w:t>
      </w:r>
      <w:r>
        <w:rPr>
          <w:spacing w:val="-41"/>
        </w:rPr>
        <w:t> </w:t>
      </w:r>
      <w:r>
        <w:rPr>
          <w:rFonts w:ascii="宋体" w:hAnsi="宋体" w:cs="宋体" w:eastAsia="宋体" w:hint="default"/>
        </w:rPr>
        <w:t>2015</w:t>
      </w:r>
      <w:r>
        <w:rPr>
          <w:rFonts w:ascii="宋体" w:hAnsi="宋体" w:cs="宋体" w:eastAsia="宋体" w:hint="default"/>
          <w:spacing w:val="-41"/>
        </w:rPr>
        <w:t> </w:t>
      </w:r>
      <w:r>
        <w:rPr/>
        <w:t>年的基础上实现翻番，即到</w:t>
      </w:r>
      <w:r>
        <w:rPr>
          <w:spacing w:val="-40"/>
        </w:rPr>
        <w:t> </w:t>
      </w:r>
      <w:r>
        <w:rPr>
          <w:rFonts w:ascii="宋体" w:hAnsi="宋体" w:cs="宋体" w:eastAsia="宋体" w:hint="default"/>
        </w:rPr>
        <w:t>2020</w:t>
      </w:r>
      <w:r>
        <w:rPr>
          <w:rFonts w:ascii="宋体" w:hAnsi="宋体" w:cs="宋体" w:eastAsia="宋体" w:hint="default"/>
          <w:spacing w:val="-41"/>
        </w:rPr>
        <w:t> </w:t>
      </w:r>
      <w:r>
        <w:rPr/>
        <w:t>年</w:t>
      </w:r>
    </w:p>
    <w:p>
      <w:pPr>
        <w:pStyle w:val="BodyText"/>
        <w:spacing w:line="312" w:lineRule="exact"/>
        <w:ind w:right="0"/>
        <w:jc w:val="both"/>
      </w:pPr>
      <w:r>
        <w:rPr/>
        <w:t>突破</w:t>
      </w:r>
      <w:r>
        <w:rPr>
          <w:spacing w:val="-60"/>
        </w:rPr>
        <w:t> </w:t>
      </w:r>
      <w:r>
        <w:rPr>
          <w:rFonts w:ascii="宋体" w:hAnsi="宋体" w:cs="宋体" w:eastAsia="宋体" w:hint="default"/>
        </w:rPr>
        <w:t>10</w:t>
      </w:r>
      <w:r>
        <w:rPr>
          <w:rFonts w:ascii="宋体" w:hAnsi="宋体" w:cs="宋体" w:eastAsia="宋体" w:hint="default"/>
          <w:spacing w:val="-61"/>
        </w:rPr>
        <w:t> </w:t>
      </w:r>
      <w:r>
        <w:rPr/>
        <w:t>万亿元大关。</w:t>
      </w:r>
    </w:p>
    <w:p>
      <w:pPr>
        <w:spacing w:line="240" w:lineRule="auto" w:before="12"/>
        <w:rPr>
          <w:rFonts w:ascii="宋体" w:hAnsi="宋体" w:cs="宋体" w:eastAsia="宋体" w:hint="default"/>
          <w:sz w:val="23"/>
          <w:szCs w:val="23"/>
        </w:rPr>
      </w:pPr>
    </w:p>
    <w:p>
      <w:pPr>
        <w:pStyle w:val="BodyText"/>
        <w:spacing w:line="237" w:lineRule="auto"/>
        <w:ind w:right="141"/>
        <w:jc w:val="both"/>
      </w:pPr>
      <w:r>
        <w:rPr>
          <w:spacing w:val="-5"/>
        </w:rPr>
        <w:t>因此，“十三五”期间我国信息产业市场前景依旧美好，集成电路、信息通信设备、操作</w:t>
      </w:r>
      <w:r>
        <w:rPr>
          <w:spacing w:val="-85"/>
        </w:rPr>
        <w:t> </w:t>
      </w:r>
      <w:r>
        <w:rPr>
          <w:spacing w:val="-85"/>
        </w:rPr>
      </w:r>
      <w:r>
        <w:rPr/>
        <w:t>系统、工程软件、智能制造核心信息软硬件将是这一时期的发展重点，单个细分市场的</w:t>
      </w:r>
      <w:r>
        <w:rPr>
          <w:spacing w:val="-51"/>
        </w:rPr>
        <w:t> </w:t>
      </w:r>
      <w:r>
        <w:rPr>
          <w:spacing w:val="-51"/>
        </w:rPr>
      </w:r>
      <w:r>
        <w:rPr/>
        <w:t>市场规模均在千亿级别，</w:t>
      </w:r>
      <w:r>
        <w:rPr>
          <w:rFonts w:ascii="宋体" w:hAnsi="宋体" w:cs="宋体" w:eastAsia="宋体" w:hint="default"/>
        </w:rPr>
        <w:t>5G</w:t>
      </w:r>
      <w:r>
        <w:rPr/>
        <w:t>、量子通信、物联网等新兴技术也将逐渐开始大规模商用，</w:t>
      </w:r>
      <w:r>
        <w:rPr>
          <w:spacing w:val="-53"/>
        </w:rPr>
        <w:t> </w:t>
      </w:r>
      <w:r>
        <w:rPr>
          <w:spacing w:val="-53"/>
        </w:rPr>
      </w:r>
      <w:r>
        <w:rPr/>
        <w:t>并进入产业化阶段。随着“十三五”规划中众多产业推进措施的落地，信息产业未来将</w:t>
      </w:r>
      <w:r>
        <w:rPr>
          <w:spacing w:val="-51"/>
        </w:rPr>
        <w:t> </w:t>
      </w:r>
      <w:r>
        <w:rPr>
          <w:spacing w:val="-51"/>
        </w:rPr>
      </w:r>
      <w:r>
        <w:rPr/>
        <w:t>进一步加速发展，产业机遇也将随之开启。</w:t>
      </w:r>
    </w:p>
    <w:p>
      <w:pPr>
        <w:spacing w:line="240" w:lineRule="auto" w:before="7"/>
        <w:rPr>
          <w:rFonts w:ascii="宋体" w:hAnsi="宋体" w:cs="宋体" w:eastAsia="宋体" w:hint="default"/>
          <w:sz w:val="23"/>
          <w:szCs w:val="23"/>
        </w:rPr>
      </w:pPr>
    </w:p>
    <w:p>
      <w:pPr>
        <w:pStyle w:val="Heading3"/>
        <w:tabs>
          <w:tab w:pos="998" w:val="left" w:leader="none"/>
        </w:tabs>
        <w:spacing w:line="240" w:lineRule="auto"/>
        <w:ind w:left="415" w:right="0"/>
        <w:jc w:val="left"/>
        <w:rPr>
          <w:b w:val="0"/>
          <w:bCs w:val="0"/>
        </w:rPr>
      </w:pPr>
      <w:r>
        <w:rPr>
          <w:rFonts w:ascii="宋体" w:hAnsi="宋体" w:cs="宋体" w:eastAsia="宋体" w:hint="default"/>
        </w:rPr>
        <w:t>2</w:t>
      </w:r>
      <w:r>
        <w:rPr/>
        <w:t>、</w:t>
        <w:tab/>
        <w:t>从公司所处的节能环保产业来看</w:t>
      </w:r>
      <w:r>
        <w:rPr>
          <w:b w:val="0"/>
          <w:bCs w:val="0"/>
        </w:rPr>
      </w:r>
    </w:p>
    <w:p>
      <w:pPr>
        <w:spacing w:line="240" w:lineRule="auto" w:before="10"/>
        <w:rPr>
          <w:rFonts w:ascii="宋体" w:hAnsi="宋体" w:cs="宋体" w:eastAsia="宋体" w:hint="default"/>
          <w:b/>
          <w:bCs/>
          <w:sz w:val="23"/>
          <w:szCs w:val="23"/>
        </w:rPr>
      </w:pPr>
    </w:p>
    <w:p>
      <w:pPr>
        <w:pStyle w:val="BodyText"/>
        <w:spacing w:line="237" w:lineRule="auto"/>
        <w:ind w:right="137"/>
        <w:jc w:val="both"/>
      </w:pPr>
      <w:r>
        <w:rPr>
          <w:spacing w:val="-1"/>
        </w:rPr>
        <w:t>近四年来，受国家加快推动生态文明建设、多个循环经济领域示范试点创建实施</w:t>
      </w:r>
      <w:r>
        <w:rPr>
          <w:rFonts w:ascii="宋体" w:hAnsi="宋体" w:cs="宋体" w:eastAsia="宋体" w:hint="default"/>
          <w:spacing w:val="-1"/>
        </w:rPr>
        <w:t>(</w:t>
      </w:r>
      <w:r>
        <w:rPr>
          <w:spacing w:val="-1"/>
        </w:rPr>
        <w:t>节能减</w:t>
      </w:r>
      <w:r>
        <w:rPr/>
        <w:t> </w:t>
      </w:r>
      <w:r>
        <w:rPr>
          <w:spacing w:val="-2"/>
        </w:rPr>
        <w:t>排综合示范城市、“城市矿产”示范基地、园区循环化改造示范试点、海绵城市等</w:t>
      </w:r>
      <w:r>
        <w:rPr>
          <w:rFonts w:ascii="宋体" w:hAnsi="宋体" w:cs="宋体" w:eastAsia="宋体" w:hint="default"/>
          <w:spacing w:val="-2"/>
        </w:rPr>
        <w:t>)</w:t>
      </w:r>
      <w:r>
        <w:rPr>
          <w:spacing w:val="-2"/>
        </w:rPr>
        <w:t>、社</w:t>
      </w:r>
      <w:r>
        <w:rPr>
          <w:spacing w:val="-90"/>
        </w:rPr>
        <w:t> </w:t>
      </w:r>
      <w:r>
        <w:rPr/>
        <w:t>会公众节能环保意识提高等多因素推动，中国节能环保产业快速增长，根据赛迪顾问的</w:t>
      </w:r>
      <w:r>
        <w:rPr>
          <w:spacing w:val="-51"/>
        </w:rPr>
        <w:t> </w:t>
      </w:r>
      <w:r>
        <w:rPr>
          <w:spacing w:val="-51"/>
        </w:rPr>
      </w:r>
      <w:r>
        <w:rPr/>
        <w:t>报告，我国节能环保产业总产值从</w:t>
      </w:r>
      <w:r>
        <w:rPr>
          <w:spacing w:val="-41"/>
        </w:rPr>
        <w:t> </w:t>
      </w:r>
      <w:r>
        <w:rPr>
          <w:rFonts w:ascii="宋体" w:hAnsi="宋体" w:cs="宋体" w:eastAsia="宋体" w:hint="default"/>
        </w:rPr>
        <w:t>2012</w:t>
      </w:r>
      <w:r>
        <w:rPr>
          <w:rFonts w:ascii="宋体" w:hAnsi="宋体" w:cs="宋体" w:eastAsia="宋体" w:hint="default"/>
          <w:spacing w:val="-41"/>
        </w:rPr>
        <w:t> </w:t>
      </w:r>
      <w:r>
        <w:rPr/>
        <w:t>年的</w:t>
      </w:r>
      <w:r>
        <w:rPr>
          <w:spacing w:val="-39"/>
        </w:rPr>
        <w:t> </w:t>
      </w:r>
      <w:r>
        <w:rPr>
          <w:rFonts w:ascii="宋体" w:hAnsi="宋体" w:cs="宋体" w:eastAsia="宋体" w:hint="default"/>
        </w:rPr>
        <w:t>29,908.7</w:t>
      </w:r>
      <w:r>
        <w:rPr>
          <w:rFonts w:ascii="宋体" w:hAnsi="宋体" w:cs="宋体" w:eastAsia="宋体" w:hint="default"/>
          <w:spacing w:val="-41"/>
        </w:rPr>
        <w:t> </w:t>
      </w:r>
      <w:r>
        <w:rPr/>
        <w:t>亿元增加到</w:t>
      </w:r>
      <w:r>
        <w:rPr>
          <w:spacing w:val="-41"/>
        </w:rPr>
        <w:t> </w:t>
      </w:r>
      <w:r>
        <w:rPr>
          <w:rFonts w:ascii="宋体" w:hAnsi="宋体" w:cs="宋体" w:eastAsia="宋体" w:hint="default"/>
        </w:rPr>
        <w:t>2015</w:t>
      </w:r>
      <w:r>
        <w:rPr>
          <w:rFonts w:ascii="宋体" w:hAnsi="宋体" w:cs="宋体" w:eastAsia="宋体" w:hint="default"/>
          <w:spacing w:val="-40"/>
        </w:rPr>
        <w:t> </w:t>
      </w:r>
      <w:r>
        <w:rPr/>
        <w:t>年的</w:t>
      </w:r>
      <w:r>
        <w:rPr>
          <w:spacing w:val="-41"/>
        </w:rPr>
        <w:t> </w:t>
      </w:r>
      <w:r>
        <w:rPr>
          <w:rFonts w:ascii="宋体" w:hAnsi="宋体" w:cs="宋体" w:eastAsia="宋体" w:hint="default"/>
        </w:rPr>
        <w:t>45,531.7 </w:t>
      </w:r>
      <w:r>
        <w:rPr/>
        <w:t>亿元，与上年相比增长</w:t>
      </w:r>
      <w:r>
        <w:rPr>
          <w:spacing w:val="-66"/>
        </w:rPr>
        <w:t> </w:t>
      </w:r>
      <w:r>
        <w:rPr>
          <w:rFonts w:ascii="宋体" w:hAnsi="宋体" w:cs="宋体" w:eastAsia="宋体" w:hint="default"/>
          <w:spacing w:val="-3"/>
        </w:rPr>
        <w:t>16.4%</w:t>
      </w:r>
      <w:r>
        <w:rPr>
          <w:spacing w:val="-3"/>
        </w:rPr>
        <w:t>。细分领域中，节能产业、环保产业增速迅猛，年增长率均</w:t>
      </w:r>
      <w:r>
        <w:rPr/>
        <w:t> 超过了</w:t>
      </w:r>
      <w:r>
        <w:rPr>
          <w:spacing w:val="-61"/>
        </w:rPr>
        <w:t> </w:t>
      </w:r>
      <w:r>
        <w:rPr>
          <w:rFonts w:ascii="宋体" w:hAnsi="宋体" w:cs="宋体" w:eastAsia="宋体" w:hint="default"/>
        </w:rPr>
        <w:t>20%</w:t>
      </w:r>
      <w:r>
        <w:rPr/>
        <w:t>。</w:t>
      </w:r>
    </w:p>
    <w:p>
      <w:pPr>
        <w:spacing w:line="240" w:lineRule="auto" w:before="10"/>
        <w:rPr>
          <w:rFonts w:ascii="宋体" w:hAnsi="宋体" w:cs="宋体" w:eastAsia="宋体" w:hint="default"/>
          <w:sz w:val="23"/>
          <w:szCs w:val="23"/>
        </w:rPr>
      </w:pPr>
    </w:p>
    <w:p>
      <w:pPr>
        <w:pStyle w:val="BodyText"/>
        <w:spacing w:line="237" w:lineRule="auto"/>
        <w:ind w:right="141"/>
        <w:jc w:val="both"/>
      </w:pPr>
      <w:r>
        <w:rPr>
          <w:rFonts w:ascii="宋体" w:hAnsi="宋体" w:cs="宋体" w:eastAsia="宋体" w:hint="default"/>
        </w:rPr>
        <w:t>2016</w:t>
      </w:r>
      <w:r>
        <w:rPr>
          <w:rFonts w:ascii="宋体" w:hAnsi="宋体" w:cs="宋体" w:eastAsia="宋体" w:hint="default"/>
          <w:spacing w:val="-55"/>
        </w:rPr>
        <w:t> </w:t>
      </w:r>
      <w:r>
        <w:rPr>
          <w:spacing w:val="-6"/>
        </w:rPr>
        <w:t>年，在政府工作报告中指出，要大力发展节能环保产业，扩大绿色环保标准覆盖面。</w:t>
      </w:r>
      <w:r>
        <w:rPr/>
        <w:t> 尤其指出，要支持推广节能环保先进技术装备，广泛开展合同能源管理和环境污染第三</w:t>
      </w:r>
      <w:r>
        <w:rPr>
          <w:spacing w:val="-51"/>
        </w:rPr>
        <w:t> </w:t>
      </w:r>
      <w:r>
        <w:rPr>
          <w:spacing w:val="-51"/>
        </w:rPr>
      </w:r>
      <w:r>
        <w:rPr>
          <w:spacing w:val="-5"/>
        </w:rPr>
        <w:t>方治理，加大建筑节能改造力度，加快传统制造业绿色改造。开展全民节能，节水行动，</w:t>
      </w:r>
      <w:r>
        <w:rPr>
          <w:spacing w:val="-86"/>
        </w:rPr>
        <w:t> </w:t>
      </w:r>
      <w:r>
        <w:rPr>
          <w:spacing w:val="-86"/>
        </w:rPr>
      </w:r>
      <w:r>
        <w:rPr/>
        <w:t>推进垃圾分类处理，健全再生资源回收利用网络，把节能环保产业培育成我国发展的一</w:t>
      </w:r>
      <w:r>
        <w:rPr>
          <w:spacing w:val="-51"/>
        </w:rPr>
        <w:t> </w:t>
      </w:r>
      <w:r>
        <w:rPr>
          <w:spacing w:val="-51"/>
        </w:rPr>
      </w:r>
      <w:r>
        <w:rPr>
          <w:spacing w:val="-5"/>
        </w:rPr>
        <w:t>大支柱产业。因此，节能环保产业已从国家战略性新兴产业上升到国民经济新的支柱体。</w:t>
      </w:r>
      <w:r>
        <w:rPr>
          <w:spacing w:val="-85"/>
        </w:rPr>
        <w:t> </w:t>
      </w:r>
      <w:r>
        <w:rPr>
          <w:spacing w:val="-85"/>
        </w:rPr>
      </w:r>
      <w:r>
        <w:rPr/>
        <w:t>考虑到“十三五”期间我国生态文明建设将向纵深推进，未来三年，我国节能环保产业</w:t>
      </w:r>
      <w:r>
        <w:rPr>
          <w:spacing w:val="-51"/>
        </w:rPr>
        <w:t> </w:t>
      </w:r>
      <w:r>
        <w:rPr>
          <w:spacing w:val="-51"/>
        </w:rPr>
      </w:r>
      <w:r>
        <w:rPr/>
        <w:t>投资将会增大，节能环保产业仍将保持高速发展。赛迪顾问预计</w:t>
      </w:r>
      <w:r>
        <w:rPr>
          <w:spacing w:val="-80"/>
        </w:rPr>
        <w:t> </w:t>
      </w:r>
      <w:r>
        <w:rPr>
          <w:rFonts w:ascii="宋体" w:hAnsi="宋体" w:cs="宋体" w:eastAsia="宋体" w:hint="default"/>
        </w:rPr>
        <w:t>2016</w:t>
      </w:r>
      <w:r>
        <w:rPr/>
        <w:t>—</w:t>
      </w:r>
      <w:r>
        <w:rPr>
          <w:rFonts w:ascii="宋体" w:hAnsi="宋体" w:cs="宋体" w:eastAsia="宋体" w:hint="default"/>
        </w:rPr>
        <w:t>2018</w:t>
      </w:r>
      <w:r>
        <w:rPr>
          <w:rFonts w:ascii="宋体" w:hAnsi="宋体" w:cs="宋体" w:eastAsia="宋体" w:hint="default"/>
          <w:spacing w:val="-80"/>
        </w:rPr>
        <w:t> </w:t>
      </w:r>
      <w:r>
        <w:rPr/>
        <w:t>年我国节能</w:t>
      </w:r>
    </w:p>
    <w:p>
      <w:pPr>
        <w:pStyle w:val="BodyText"/>
        <w:spacing w:line="312" w:lineRule="exact" w:before="29"/>
        <w:ind w:right="142"/>
        <w:jc w:val="both"/>
      </w:pPr>
      <w:r>
        <w:rPr/>
        <w:t>环保产业将保持 </w:t>
      </w:r>
      <w:r>
        <w:rPr>
          <w:rFonts w:ascii="宋体" w:hAnsi="宋体" w:cs="宋体" w:eastAsia="宋体" w:hint="default"/>
        </w:rPr>
        <w:t>18%</w:t>
      </w:r>
      <w:r>
        <w:rPr/>
        <w:t>左右的增速，到 </w:t>
      </w:r>
      <w:r>
        <w:rPr>
          <w:rFonts w:ascii="宋体" w:hAnsi="宋体" w:cs="宋体" w:eastAsia="宋体" w:hint="default"/>
        </w:rPr>
        <w:t>2018 </w:t>
      </w:r>
      <w:r>
        <w:rPr/>
        <w:t>年，节能环保产业产值规模将达到</w:t>
      </w:r>
      <w:r>
        <w:rPr>
          <w:spacing w:val="-38"/>
        </w:rPr>
        <w:t> </w:t>
      </w:r>
      <w:r>
        <w:rPr>
          <w:rFonts w:ascii="宋体" w:hAnsi="宋体" w:cs="宋体" w:eastAsia="宋体" w:hint="default"/>
        </w:rPr>
        <w:t>74,799.2 </w:t>
      </w:r>
      <w:r>
        <w:rPr/>
        <w:t>亿元。</w:t>
      </w:r>
    </w:p>
    <w:p>
      <w:pPr>
        <w:spacing w:line="240" w:lineRule="auto" w:before="4"/>
        <w:rPr>
          <w:rFonts w:ascii="宋体" w:hAnsi="宋体" w:cs="宋体" w:eastAsia="宋体" w:hint="default"/>
          <w:sz w:val="21"/>
          <w:szCs w:val="21"/>
        </w:rPr>
      </w:pPr>
    </w:p>
    <w:p>
      <w:pPr>
        <w:pStyle w:val="Heading3"/>
        <w:spacing w:line="240" w:lineRule="auto"/>
        <w:ind w:left="415" w:right="0"/>
        <w:jc w:val="left"/>
        <w:rPr>
          <w:b w:val="0"/>
          <w:bCs w:val="0"/>
        </w:rPr>
      </w:pPr>
      <w:r>
        <w:rPr>
          <w:rFonts w:ascii="宋体" w:hAnsi="宋体" w:cs="宋体" w:eastAsia="宋体" w:hint="default"/>
        </w:rPr>
        <w:t>(</w:t>
      </w:r>
      <w:r>
        <w:rPr/>
        <w:t>二</w:t>
      </w:r>
      <w:r>
        <w:rPr>
          <w:rFonts w:ascii="宋体" w:hAnsi="宋体" w:cs="宋体" w:eastAsia="宋体" w:hint="default"/>
        </w:rPr>
        <w:t>)</w:t>
      </w:r>
      <w:r>
        <w:rPr/>
        <w:t>公司发展战略</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right="141"/>
        <w:jc w:val="both"/>
      </w:pPr>
      <w:r>
        <w:rPr/>
        <w:t>公司始终坚持“技术＋资本”的发展战略，探索科技成果产业化的可持续发展之路，并</w:t>
      </w:r>
      <w:r>
        <w:rPr>
          <w:spacing w:val="-51"/>
        </w:rPr>
        <w:t> </w:t>
      </w:r>
      <w:r>
        <w:rPr>
          <w:spacing w:val="-51"/>
        </w:rPr>
      </w:r>
      <w:r>
        <w:rPr/>
        <w:t>坚持“以科技为依托，培育核心企业；以投资为纽带，形成产业集群，以资本为平台，</w:t>
      </w:r>
      <w:r>
        <w:rPr>
          <w:spacing w:val="-51"/>
        </w:rPr>
        <w:t> </w:t>
      </w:r>
      <w:r>
        <w:rPr>
          <w:spacing w:val="-51"/>
        </w:rPr>
      </w:r>
      <w:r>
        <w:rPr/>
        <w:t>提升企业价值”的产业发展模式，以核心科技为基础，孵化培育科技产业，通过对内部</w:t>
      </w:r>
      <w:r>
        <w:rPr>
          <w:spacing w:val="-51"/>
        </w:rPr>
        <w:t> </w:t>
      </w:r>
      <w:r>
        <w:rPr>
          <w:spacing w:val="-51"/>
        </w:rPr>
      </w:r>
      <w:r>
        <w:rPr/>
        <w:t>和外部的持续投资，沿产业链建设产业集群，借助资本平台，推动产业上市，使产业获</w:t>
      </w:r>
      <w:r>
        <w:rPr>
          <w:spacing w:val="-51"/>
        </w:rPr>
        <w:t> </w:t>
      </w:r>
      <w:r>
        <w:rPr>
          <w:spacing w:val="-51"/>
        </w:rPr>
      </w:r>
      <w:r>
        <w:rPr/>
        <w:t>得更大发展，实现资本价值的最大化。</w:t>
      </w:r>
    </w:p>
    <w:p>
      <w:pPr>
        <w:spacing w:line="240" w:lineRule="auto" w:before="9"/>
        <w:rPr>
          <w:rFonts w:ascii="宋体" w:hAnsi="宋体" w:cs="宋体" w:eastAsia="宋体" w:hint="default"/>
          <w:sz w:val="23"/>
          <w:szCs w:val="23"/>
        </w:rPr>
      </w:pPr>
    </w:p>
    <w:p>
      <w:pPr>
        <w:pStyle w:val="Heading3"/>
        <w:spacing w:line="240" w:lineRule="auto"/>
        <w:ind w:left="415" w:right="0"/>
        <w:jc w:val="left"/>
        <w:rPr>
          <w:b w:val="0"/>
          <w:bCs w:val="0"/>
        </w:rPr>
      </w:pPr>
      <w:r>
        <w:rPr>
          <w:rFonts w:ascii="宋体" w:hAnsi="宋体" w:cs="宋体" w:eastAsia="宋体" w:hint="default"/>
        </w:rPr>
        <w:t>(</w:t>
      </w:r>
      <w:r>
        <w:rPr/>
        <w:t>三</w:t>
      </w:r>
      <w:r>
        <w:rPr>
          <w:rFonts w:ascii="宋体" w:hAnsi="宋体" w:cs="宋体" w:eastAsia="宋体" w:hint="default"/>
        </w:rPr>
        <w:t>)</w:t>
      </w:r>
      <w:r>
        <w:rPr/>
        <w:t>经营计划</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right="140"/>
        <w:jc w:val="both"/>
      </w:pPr>
      <w:r>
        <w:rPr/>
        <w:t>公司在</w:t>
      </w:r>
      <w:r>
        <w:rPr>
          <w:spacing w:val="-56"/>
        </w:rPr>
        <w:t> </w:t>
      </w:r>
      <w:r>
        <w:rPr>
          <w:rFonts w:ascii="宋体" w:hAnsi="宋体" w:cs="宋体" w:eastAsia="宋体" w:hint="default"/>
        </w:rPr>
        <w:t>2016</w:t>
      </w:r>
      <w:r>
        <w:rPr>
          <w:rFonts w:ascii="宋体" w:hAnsi="宋体" w:cs="宋体" w:eastAsia="宋体" w:hint="default"/>
          <w:spacing w:val="-56"/>
        </w:rPr>
        <w:t> </w:t>
      </w:r>
      <w:r>
        <w:rPr/>
        <w:t>年总体经营目标确定为：在</w:t>
      </w:r>
      <w:r>
        <w:rPr>
          <w:spacing w:val="-55"/>
        </w:rPr>
        <w:t> </w:t>
      </w:r>
      <w:r>
        <w:rPr>
          <w:rFonts w:ascii="宋体" w:hAnsi="宋体" w:cs="宋体" w:eastAsia="宋体" w:hint="default"/>
        </w:rPr>
        <w:t>2015</w:t>
      </w:r>
      <w:r>
        <w:rPr>
          <w:rFonts w:ascii="宋体" w:hAnsi="宋体" w:cs="宋体" w:eastAsia="宋体" w:hint="default"/>
          <w:spacing w:val="-56"/>
        </w:rPr>
        <w:t> </w:t>
      </w:r>
      <w:r>
        <w:rPr/>
        <w:t>年销售收入基础上，保持</w:t>
      </w:r>
      <w:r>
        <w:rPr>
          <w:spacing w:val="-55"/>
        </w:rPr>
        <w:t> </w:t>
      </w:r>
      <w:r>
        <w:rPr>
          <w:rFonts w:ascii="宋体" w:hAnsi="宋体" w:cs="宋体" w:eastAsia="宋体" w:hint="default"/>
        </w:rPr>
        <w:t>3%</w:t>
      </w:r>
      <w:r>
        <w:rPr/>
        <w:t>左右的增长， 合理控制费用与成本，力争维持或提高毛利率水平，在各产业板块中巩固已有的优势地</w:t>
      </w:r>
      <w:r>
        <w:rPr>
          <w:spacing w:val="-51"/>
        </w:rPr>
        <w:t> </w:t>
      </w:r>
      <w:r>
        <w:rPr>
          <w:spacing w:val="-51"/>
        </w:rPr>
      </w:r>
      <w:r>
        <w:rPr/>
        <w:t>位，进一步提升市场份额。</w:t>
      </w:r>
    </w:p>
    <w:p>
      <w:pPr>
        <w:spacing w:line="240" w:lineRule="auto" w:before="10"/>
        <w:rPr>
          <w:rFonts w:ascii="宋体" w:hAnsi="宋体" w:cs="宋体" w:eastAsia="宋体" w:hint="default"/>
          <w:sz w:val="23"/>
          <w:szCs w:val="23"/>
        </w:rPr>
      </w:pPr>
    </w:p>
    <w:p>
      <w:pPr>
        <w:pStyle w:val="BodyText"/>
        <w:spacing w:line="240" w:lineRule="auto"/>
        <w:ind w:right="0"/>
        <w:jc w:val="both"/>
      </w:pPr>
      <w:r>
        <w:rPr>
          <w:rFonts w:ascii="宋体" w:hAnsi="宋体" w:cs="宋体" w:eastAsia="宋体" w:hint="default"/>
        </w:rPr>
        <w:t>2016</w:t>
      </w:r>
      <w:r>
        <w:rPr>
          <w:rFonts w:ascii="宋体" w:hAnsi="宋体" w:cs="宋体" w:eastAsia="宋体" w:hint="default"/>
          <w:spacing w:val="-60"/>
        </w:rPr>
        <w:t> </w:t>
      </w:r>
      <w:r>
        <w:rPr/>
        <w:t>年，将是公司稳中有进、变革与开拓的一年。</w:t>
      </w:r>
    </w:p>
    <w:p>
      <w:pPr>
        <w:spacing w:after="0" w:line="240" w:lineRule="auto"/>
        <w:jc w:val="both"/>
        <w:sectPr>
          <w:pgSz w:w="11910" w:h="16840"/>
          <w:pgMar w:header="628" w:footer="760" w:top="1080" w:bottom="960" w:left="1260" w:right="11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237" w:lineRule="auto" w:before="28"/>
        <w:ind w:right="141"/>
        <w:jc w:val="both"/>
      </w:pPr>
      <w:r>
        <w:rPr/>
        <w:t>一方面，公司将进一步调整发展战略，按照“产业为本、金融为用”的发展思路，打造</w:t>
      </w:r>
      <w:r>
        <w:rPr>
          <w:spacing w:val="-51"/>
        </w:rPr>
        <w:t> </w:t>
      </w:r>
      <w:r>
        <w:rPr>
          <w:spacing w:val="-51"/>
        </w:rPr>
      </w:r>
      <w:r>
        <w:rPr/>
        <w:t>科技产业平台、创新孵化平台和金融资本平台，实现产业与创新孵化和金融资本的不断</w:t>
      </w:r>
      <w:r>
        <w:rPr>
          <w:spacing w:val="-51"/>
        </w:rPr>
        <w:t> </w:t>
      </w:r>
      <w:r>
        <w:rPr>
          <w:spacing w:val="-51"/>
        </w:rPr>
      </w:r>
      <w:r>
        <w:rPr/>
        <w:t>融合，加强与清华大学相关学科院系的技术交流与互动，通过技术引进、合作开发等方</w:t>
      </w:r>
      <w:r>
        <w:rPr>
          <w:spacing w:val="-51"/>
        </w:rPr>
        <w:t> </w:t>
      </w:r>
      <w:r>
        <w:rPr>
          <w:spacing w:val="-51"/>
        </w:rPr>
      </w:r>
      <w:r>
        <w:rPr/>
        <w:t>式，围绕公司现有核心产业培育创新。</w:t>
      </w:r>
    </w:p>
    <w:p>
      <w:pPr>
        <w:spacing w:line="240" w:lineRule="auto" w:before="11"/>
        <w:rPr>
          <w:rFonts w:ascii="宋体" w:hAnsi="宋体" w:cs="宋体" w:eastAsia="宋体" w:hint="default"/>
          <w:sz w:val="25"/>
          <w:szCs w:val="25"/>
        </w:rPr>
      </w:pPr>
    </w:p>
    <w:p>
      <w:pPr>
        <w:pStyle w:val="BodyText"/>
        <w:spacing w:line="312" w:lineRule="exact"/>
        <w:ind w:right="140"/>
        <w:jc w:val="both"/>
      </w:pPr>
      <w:r>
        <w:rPr>
          <w:spacing w:val="-5"/>
        </w:rPr>
        <w:t>另一方面，公司将推行紧凑化、节约型的经营策略，优化调整组织架构，梳理内控流程，</w:t>
      </w:r>
      <w:r>
        <w:rPr>
          <w:spacing w:val="-86"/>
        </w:rPr>
        <w:t> </w:t>
      </w:r>
      <w:r>
        <w:rPr>
          <w:spacing w:val="-86"/>
        </w:rPr>
      </w:r>
      <w:r>
        <w:rPr/>
        <w:t>完善风险控制机制，提高资源配置效率，探索实施更加市场化的管理机制，为公司可持</w:t>
      </w:r>
      <w:r>
        <w:rPr>
          <w:spacing w:val="-47"/>
        </w:rPr>
        <w:t> </w:t>
      </w:r>
      <w:r>
        <w:rPr>
          <w:spacing w:val="-47"/>
        </w:rPr>
      </w:r>
      <w:r>
        <w:rPr/>
        <w:t>续健康发展奠定基础。</w:t>
      </w:r>
    </w:p>
    <w:p>
      <w:pPr>
        <w:spacing w:line="240" w:lineRule="auto" w:before="4"/>
        <w:rPr>
          <w:rFonts w:ascii="宋体" w:hAnsi="宋体" w:cs="宋体" w:eastAsia="宋体" w:hint="default"/>
          <w:sz w:val="21"/>
          <w:szCs w:val="21"/>
        </w:rPr>
      </w:pPr>
    </w:p>
    <w:p>
      <w:pPr>
        <w:pStyle w:val="BodyText"/>
        <w:spacing w:line="240" w:lineRule="auto"/>
        <w:ind w:right="0"/>
        <w:jc w:val="both"/>
      </w:pPr>
      <w:r>
        <w:rPr>
          <w:rFonts w:ascii="宋体" w:hAnsi="宋体" w:cs="宋体" w:eastAsia="宋体" w:hint="default"/>
        </w:rPr>
        <w:t>2016</w:t>
      </w:r>
      <w:r>
        <w:rPr>
          <w:rFonts w:ascii="宋体" w:hAnsi="宋体" w:cs="宋体" w:eastAsia="宋体" w:hint="default"/>
          <w:spacing w:val="-60"/>
        </w:rPr>
        <w:t> </w:t>
      </w:r>
      <w:r>
        <w:rPr/>
        <w:t>年，在公司业务经营上，公司还将在以下几个方面加大投入，着力推进：</w:t>
      </w:r>
    </w:p>
    <w:p>
      <w:pPr>
        <w:spacing w:line="240" w:lineRule="auto" w:before="7"/>
        <w:rPr>
          <w:rFonts w:ascii="宋体" w:hAnsi="宋体" w:cs="宋体" w:eastAsia="宋体" w:hint="default"/>
          <w:sz w:val="23"/>
          <w:szCs w:val="23"/>
        </w:rPr>
      </w:pPr>
    </w:p>
    <w:p>
      <w:pPr>
        <w:pStyle w:val="Heading3"/>
        <w:spacing w:line="240" w:lineRule="auto"/>
        <w:ind w:left="415" w:right="0"/>
        <w:jc w:val="left"/>
        <w:rPr>
          <w:b w:val="0"/>
          <w:bCs w:val="0"/>
        </w:rPr>
      </w:pPr>
      <w:r>
        <w:rPr>
          <w:rFonts w:ascii="宋体" w:hAnsi="宋体" w:cs="宋体" w:eastAsia="宋体" w:hint="default"/>
        </w:rPr>
        <w:t>1</w:t>
      </w:r>
      <w:r>
        <w:rPr/>
        <w:t>、统筹业务资源，打造从规划设计到建设运营的智慧城市产业</w:t>
      </w:r>
      <w:r>
        <w:rPr>
          <w:b w:val="0"/>
          <w:bCs w:val="0"/>
        </w:rPr>
      </w:r>
    </w:p>
    <w:p>
      <w:pPr>
        <w:spacing w:line="240" w:lineRule="auto" w:before="12"/>
        <w:rPr>
          <w:rFonts w:ascii="宋体" w:hAnsi="宋体" w:cs="宋体" w:eastAsia="宋体" w:hint="default"/>
          <w:b/>
          <w:bCs/>
          <w:sz w:val="23"/>
          <w:szCs w:val="23"/>
        </w:rPr>
      </w:pPr>
    </w:p>
    <w:p>
      <w:pPr>
        <w:pStyle w:val="BodyText"/>
        <w:spacing w:line="237" w:lineRule="auto"/>
        <w:ind w:right="140"/>
        <w:jc w:val="both"/>
      </w:pPr>
      <w:r>
        <w:rPr>
          <w:spacing w:val="-5"/>
        </w:rPr>
        <w:t>目前，我国正处于城镇化加速发展的时期，为解决城市发展难题，实现城市可持续发展，</w:t>
      </w:r>
      <w:r>
        <w:rPr>
          <w:spacing w:val="-84"/>
        </w:rPr>
        <w:t> </w:t>
      </w:r>
      <w:r>
        <w:rPr>
          <w:spacing w:val="-84"/>
        </w:rPr>
      </w:r>
      <w:r>
        <w:rPr/>
        <w:t>建设智慧城市已成为当今世界城市发展不可逆转的历史潮流。</w:t>
      </w:r>
      <w:r>
        <w:rPr>
          <w:rFonts w:ascii="宋体" w:hAnsi="宋体" w:cs="宋体" w:eastAsia="宋体" w:hint="default"/>
        </w:rPr>
        <w:t>2014</w:t>
      </w:r>
      <w:r>
        <w:rPr>
          <w:rFonts w:ascii="宋体" w:hAnsi="宋体" w:cs="宋体" w:eastAsia="宋体" w:hint="default"/>
          <w:spacing w:val="-53"/>
        </w:rPr>
        <w:t> </w:t>
      </w:r>
      <w:r>
        <w:rPr/>
        <w:t>年</w:t>
      </w:r>
      <w:r>
        <w:rPr>
          <w:spacing w:val="-53"/>
        </w:rPr>
        <w:t> </w:t>
      </w:r>
      <w:r>
        <w:rPr>
          <w:rFonts w:ascii="宋体" w:hAnsi="宋体" w:cs="宋体" w:eastAsia="宋体" w:hint="default"/>
        </w:rPr>
        <w:t>3</w:t>
      </w:r>
      <w:r>
        <w:rPr>
          <w:rFonts w:ascii="宋体" w:hAnsi="宋体" w:cs="宋体" w:eastAsia="宋体" w:hint="default"/>
          <w:spacing w:val="-53"/>
        </w:rPr>
        <w:t> </w:t>
      </w:r>
      <w:r>
        <w:rPr/>
        <w:t>月中共中央、国 务院发布《国家新型城镇化规划</w:t>
      </w:r>
      <w:r>
        <w:rPr>
          <w:rFonts w:ascii="宋体" w:hAnsi="宋体" w:cs="宋体" w:eastAsia="宋体" w:hint="default"/>
        </w:rPr>
        <w:t>(2014</w:t>
      </w:r>
      <w:r>
        <w:rPr/>
        <w:t>—</w:t>
      </w:r>
      <w:r>
        <w:rPr>
          <w:rFonts w:ascii="宋体" w:hAnsi="宋体" w:cs="宋体" w:eastAsia="宋体" w:hint="default"/>
        </w:rPr>
        <w:t>2020</w:t>
      </w:r>
      <w:r>
        <w:rPr>
          <w:rFonts w:ascii="宋体" w:hAnsi="宋体" w:cs="宋体" w:eastAsia="宋体" w:hint="default"/>
          <w:spacing w:val="-39"/>
        </w:rPr>
        <w:t> </w:t>
      </w:r>
      <w:r>
        <w:rPr>
          <w:spacing w:val="-12"/>
        </w:rPr>
        <w:t>年</w:t>
      </w:r>
      <w:r>
        <w:rPr>
          <w:rFonts w:ascii="宋体" w:hAnsi="宋体" w:cs="宋体" w:eastAsia="宋体" w:hint="default"/>
          <w:spacing w:val="-12"/>
        </w:rPr>
        <w:t>)</w:t>
      </w:r>
      <w:r>
        <w:rPr>
          <w:spacing w:val="-12"/>
        </w:rPr>
        <w:t>》，明确“推进智慧城市建设”，第一次</w:t>
      </w:r>
      <w:r>
        <w:rPr/>
        <w:t> </w:t>
      </w:r>
      <w:r>
        <w:rPr>
          <w:spacing w:val="-4"/>
        </w:rPr>
        <w:t>将智慧城市纳入国家级战略规划。根据规划，到 </w:t>
      </w:r>
      <w:r>
        <w:rPr>
          <w:rFonts w:ascii="宋体" w:hAnsi="宋体" w:cs="宋体" w:eastAsia="宋体" w:hint="default"/>
        </w:rPr>
        <w:t>2020</w:t>
      </w:r>
      <w:r>
        <w:rPr>
          <w:rFonts w:ascii="宋体" w:hAnsi="宋体" w:cs="宋体" w:eastAsia="宋体" w:hint="default"/>
          <w:spacing w:val="-29"/>
        </w:rPr>
        <w:t> </w:t>
      </w:r>
      <w:r>
        <w:rPr>
          <w:spacing w:val="-3"/>
        </w:rPr>
        <w:t>年，我国将建成一批特色鲜明的智</w:t>
      </w:r>
      <w:r>
        <w:rPr/>
        <w:t> 慧城市，聚集和辐射带动作用大幅增强，综合竞争优势明显提高，在保障和改善民生服</w:t>
      </w:r>
      <w:r>
        <w:rPr>
          <w:spacing w:val="-51"/>
        </w:rPr>
        <w:t> </w:t>
      </w:r>
      <w:r>
        <w:rPr>
          <w:spacing w:val="-51"/>
        </w:rPr>
      </w:r>
      <w:r>
        <w:rPr/>
        <w:t>务、创新社会管理、维护网络安全等方面取得显着成效。目前，在智慧城市领域，公司</w:t>
      </w:r>
      <w:r>
        <w:rPr>
          <w:spacing w:val="-51"/>
        </w:rPr>
        <w:t> </w:t>
      </w:r>
      <w:r>
        <w:rPr>
          <w:spacing w:val="-51"/>
        </w:rPr>
      </w:r>
      <w:r>
        <w:rPr>
          <w:spacing w:val="-4"/>
        </w:rPr>
        <w:t>已经培育了智能建筑、轨道交通智能化、城市热网、城市运行体征监控等众多产业。</w:t>
      </w:r>
      <w:r>
        <w:rPr>
          <w:rFonts w:ascii="宋体" w:hAnsi="宋体" w:cs="宋体" w:eastAsia="宋体" w:hint="default"/>
          <w:spacing w:val="-4"/>
        </w:rPr>
        <w:t>2016</w:t>
      </w:r>
      <w:r>
        <w:rPr>
          <w:rFonts w:ascii="宋体" w:hAnsi="宋体" w:cs="宋体" w:eastAsia="宋体" w:hint="default"/>
          <w:spacing w:val="-115"/>
        </w:rPr>
        <w:t> </w:t>
      </w:r>
      <w:r>
        <w:rPr>
          <w:rFonts w:ascii="宋体" w:hAnsi="宋体" w:cs="宋体" w:eastAsia="宋体" w:hint="default"/>
          <w:spacing w:val="-115"/>
        </w:rPr>
      </w:r>
      <w:r>
        <w:rPr/>
        <w:t>年，公司将进一步整合产业资源，并通过推进并购清华人居设计研究院、建立业务协同</w:t>
      </w:r>
      <w:r>
        <w:rPr>
          <w:spacing w:val="-51"/>
        </w:rPr>
        <w:t> </w:t>
      </w:r>
      <w:r>
        <w:rPr>
          <w:spacing w:val="-51"/>
        </w:rPr>
      </w:r>
      <w:r>
        <w:rPr/>
        <w:t>体系、搭建产业资源平台等方式，打造从城市规划设计到建设运营的全方位智慧城市产</w:t>
      </w:r>
      <w:r>
        <w:rPr>
          <w:spacing w:val="-51"/>
        </w:rPr>
        <w:t> </w:t>
      </w:r>
      <w:r>
        <w:rPr>
          <w:spacing w:val="-51"/>
        </w:rPr>
      </w:r>
      <w:r>
        <w:rPr/>
        <w:t>业链。</w:t>
      </w:r>
    </w:p>
    <w:p>
      <w:pPr>
        <w:spacing w:line="240" w:lineRule="auto" w:before="7"/>
        <w:rPr>
          <w:rFonts w:ascii="宋体" w:hAnsi="宋体" w:cs="宋体" w:eastAsia="宋体" w:hint="default"/>
          <w:sz w:val="23"/>
          <w:szCs w:val="23"/>
        </w:rPr>
      </w:pPr>
    </w:p>
    <w:p>
      <w:pPr>
        <w:pStyle w:val="Heading3"/>
        <w:spacing w:line="240" w:lineRule="auto"/>
        <w:ind w:left="415" w:right="0"/>
        <w:jc w:val="left"/>
        <w:rPr>
          <w:b w:val="0"/>
          <w:bCs w:val="0"/>
        </w:rPr>
      </w:pPr>
      <w:r>
        <w:rPr>
          <w:rFonts w:ascii="宋体" w:hAnsi="宋体" w:cs="宋体" w:eastAsia="宋体" w:hint="default"/>
        </w:rPr>
        <w:t>2</w:t>
      </w:r>
      <w:r>
        <w:rPr/>
        <w:t>、把握大数据建设产业机遇，加大对物联网产业投入</w:t>
      </w:r>
      <w:r>
        <w:rPr>
          <w:b w:val="0"/>
          <w:bCs w:val="0"/>
        </w:rPr>
      </w:r>
    </w:p>
    <w:p>
      <w:pPr>
        <w:spacing w:line="240" w:lineRule="auto" w:before="12"/>
        <w:rPr>
          <w:rFonts w:ascii="宋体" w:hAnsi="宋体" w:cs="宋体" w:eastAsia="宋体" w:hint="default"/>
          <w:b/>
          <w:bCs/>
          <w:sz w:val="23"/>
          <w:szCs w:val="23"/>
        </w:rPr>
      </w:pPr>
    </w:p>
    <w:p>
      <w:pPr>
        <w:pStyle w:val="BodyText"/>
        <w:spacing w:line="237" w:lineRule="auto"/>
        <w:ind w:right="141"/>
        <w:jc w:val="both"/>
      </w:pPr>
      <w:r>
        <w:rPr/>
        <w:t>刚刚发布的“十三五”规划纲要草案提出，要实施国家大数据战略，把大数据作为基础</w:t>
      </w:r>
      <w:r>
        <w:rPr>
          <w:spacing w:val="-51"/>
        </w:rPr>
        <w:t> </w:t>
      </w:r>
      <w:r>
        <w:rPr>
          <w:spacing w:val="-51"/>
        </w:rPr>
      </w:r>
      <w:r>
        <w:rPr/>
        <w:t>性战略资源，全面实施促进大数据发展行动，加快推动数据资源共享开放和开发应用，</w:t>
      </w:r>
      <w:r>
        <w:rPr>
          <w:spacing w:val="-51"/>
        </w:rPr>
        <w:t> </w:t>
      </w:r>
      <w:r>
        <w:rPr>
          <w:spacing w:val="-51"/>
        </w:rPr>
      </w:r>
      <w:r>
        <w:rPr>
          <w:spacing w:val="-5"/>
        </w:rPr>
        <w:t>助力产业转型升级和社会治理创新。加快政府数据开放共享，促进大数据产业健康发展。</w:t>
      </w:r>
      <w:r>
        <w:rPr>
          <w:spacing w:val="-85"/>
        </w:rPr>
        <w:t> </w:t>
      </w:r>
      <w:r>
        <w:rPr>
          <w:spacing w:val="-85"/>
        </w:rPr>
      </w:r>
      <w:r>
        <w:rPr/>
        <w:t>目前，公司一直通过建设城市级、领域级、行业级大数据智慧中心，为政府和行业提供</w:t>
      </w:r>
      <w:r>
        <w:rPr>
          <w:spacing w:val="-51"/>
        </w:rPr>
        <w:t> </w:t>
      </w:r>
      <w:r>
        <w:rPr>
          <w:spacing w:val="-51"/>
        </w:rPr>
      </w:r>
      <w:r>
        <w:rPr/>
        <w:t>智慧应用系统解决方案、系统集成及产品技术服务。</w:t>
      </w:r>
      <w:r>
        <w:rPr>
          <w:rFonts w:ascii="宋体" w:hAnsi="宋体" w:cs="宋体" w:eastAsia="宋体" w:hint="default"/>
        </w:rPr>
        <w:t>2016</w:t>
      </w:r>
      <w:r>
        <w:rPr>
          <w:rFonts w:ascii="宋体" w:hAnsi="宋体" w:cs="宋体" w:eastAsia="宋体" w:hint="default"/>
          <w:spacing w:val="-39"/>
        </w:rPr>
        <w:t> </w:t>
      </w:r>
      <w:r>
        <w:rPr/>
        <w:t>年，公司将把握各级政府数据 资源共享和社会治理创新带来的产业机遇，通过实施上下游产业并购、加大技术开发投</w:t>
      </w:r>
      <w:r>
        <w:rPr>
          <w:spacing w:val="-51"/>
        </w:rPr>
        <w:t> </w:t>
      </w:r>
      <w:r>
        <w:rPr>
          <w:spacing w:val="-51"/>
        </w:rPr>
      </w:r>
      <w:r>
        <w:rPr/>
        <w:t>入、实施技术引进和共同开发等举措，在业务模式、技术架构平台建设、市场开拓等方</w:t>
      </w:r>
      <w:r>
        <w:rPr>
          <w:spacing w:val="-52"/>
        </w:rPr>
        <w:t> </w:t>
      </w:r>
      <w:r>
        <w:rPr>
          <w:spacing w:val="-52"/>
        </w:rPr>
      </w:r>
      <w:r>
        <w:rPr>
          <w:spacing w:val="-5"/>
        </w:rPr>
        <w:t>面不断创新，综合运用云计算、互联网、物联网、移动网、大数据分析、可视化等技术，</w:t>
      </w:r>
      <w:r>
        <w:rPr>
          <w:spacing w:val="-87"/>
        </w:rPr>
        <w:t> </w:t>
      </w:r>
      <w:r>
        <w:rPr>
          <w:spacing w:val="-87"/>
        </w:rPr>
      </w:r>
      <w:r>
        <w:rPr/>
        <w:t>扩大市场份额，持续提升核心竞争力。</w:t>
      </w:r>
    </w:p>
    <w:p>
      <w:pPr>
        <w:spacing w:line="240" w:lineRule="auto" w:before="9"/>
        <w:rPr>
          <w:rFonts w:ascii="宋体" w:hAnsi="宋体" w:cs="宋体" w:eastAsia="宋体" w:hint="default"/>
          <w:sz w:val="23"/>
          <w:szCs w:val="23"/>
        </w:rPr>
      </w:pPr>
    </w:p>
    <w:p>
      <w:pPr>
        <w:pStyle w:val="Heading3"/>
        <w:tabs>
          <w:tab w:pos="998" w:val="left" w:leader="none"/>
        </w:tabs>
        <w:spacing w:line="240" w:lineRule="auto"/>
        <w:ind w:left="415" w:right="0"/>
        <w:jc w:val="left"/>
        <w:rPr>
          <w:b w:val="0"/>
          <w:bCs w:val="0"/>
        </w:rPr>
      </w:pPr>
      <w:r>
        <w:rPr>
          <w:rFonts w:ascii="宋体" w:hAnsi="宋体" w:cs="宋体" w:eastAsia="宋体" w:hint="default"/>
        </w:rPr>
        <w:t>3</w:t>
      </w:r>
      <w:r>
        <w:rPr/>
        <w:t>、</w:t>
        <w:tab/>
        <w:t>持续技术创新，带动“大安全”产业发展</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right="141"/>
        <w:jc w:val="both"/>
      </w:pPr>
      <w:r>
        <w:rPr/>
        <w:t>近年来，随着全球政治格局的复杂化和局部地区反恐局势的不断恶化，世界各地对于安</w:t>
      </w:r>
      <w:r>
        <w:rPr>
          <w:spacing w:val="-51"/>
        </w:rPr>
        <w:t> </w:t>
      </w:r>
      <w:r>
        <w:rPr>
          <w:spacing w:val="-51"/>
        </w:rPr>
      </w:r>
      <w:r>
        <w:rPr/>
        <w:t>防需求不断加大，同时，随着我国政府打造“一带一路”的对外战略，也为公司具有自</w:t>
      </w:r>
      <w:r>
        <w:rPr>
          <w:spacing w:val="-51"/>
        </w:rPr>
        <w:t> </w:t>
      </w:r>
      <w:r>
        <w:rPr>
          <w:spacing w:val="-51"/>
        </w:rPr>
      </w:r>
      <w:r>
        <w:rPr/>
        <w:t>主竞争力的安防产品带来了对外投资和市场拓展的机遇。</w:t>
      </w:r>
      <w:r>
        <w:rPr>
          <w:rFonts w:ascii="宋体" w:hAnsi="宋体" w:cs="宋体" w:eastAsia="宋体" w:hint="default"/>
        </w:rPr>
        <w:t>2016</w:t>
      </w:r>
      <w:r>
        <w:rPr>
          <w:rFonts w:ascii="宋体" w:hAnsi="宋体" w:cs="宋体" w:eastAsia="宋体" w:hint="default"/>
          <w:spacing w:val="-39"/>
        </w:rPr>
        <w:t> </w:t>
      </w:r>
      <w:r>
        <w:rPr/>
        <w:t>年，公司在“大安全”产 业领域，将依托清华大学的基础研究和学术资源，持续实施技术创新，打造适应性更强</w:t>
      </w:r>
      <w:r>
        <w:rPr>
          <w:spacing w:val="-51"/>
        </w:rPr>
        <w:t> </w:t>
      </w:r>
      <w:r>
        <w:rPr>
          <w:spacing w:val="-51"/>
        </w:rPr>
      </w:r>
      <w:r>
        <w:rPr/>
        <w:t>的核心技术平台，搭建差异化、针对性的全球业务平台，并进一步探索全球运营的本地</w:t>
      </w:r>
      <w:r>
        <w:rPr>
          <w:spacing w:val="-53"/>
        </w:rPr>
        <w:t> </w:t>
      </w:r>
      <w:r>
        <w:rPr>
          <w:spacing w:val="-53"/>
        </w:rPr>
      </w:r>
      <w:r>
        <w:rPr/>
        <w:t>化模式。未来，公司还将筹划建设金融、资本支持平台，以通过资本工具的运用，收购</w:t>
      </w:r>
    </w:p>
    <w:p>
      <w:pPr>
        <w:spacing w:after="0" w:line="237" w:lineRule="auto"/>
        <w:jc w:val="both"/>
        <w:sectPr>
          <w:pgSz w:w="11910" w:h="16840"/>
          <w:pgMar w:header="628" w:footer="760" w:top="1080" w:bottom="960" w:left="1260" w:right="11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spacing w:line="475" w:lineRule="auto" w:before="26"/>
        <w:ind w:left="415" w:right="3649" w:hanging="257"/>
        <w:jc w:val="left"/>
        <w:rPr>
          <w:rFonts w:ascii="宋体" w:hAnsi="宋体" w:cs="宋体" w:eastAsia="宋体" w:hint="default"/>
          <w:sz w:val="24"/>
          <w:szCs w:val="24"/>
        </w:rPr>
      </w:pPr>
      <w:r>
        <w:rPr>
          <w:rFonts w:ascii="宋体" w:hAnsi="宋体" w:cs="宋体" w:eastAsia="宋体" w:hint="default"/>
          <w:sz w:val="24"/>
          <w:szCs w:val="24"/>
        </w:rPr>
        <w:t>新技术、快速切入市场，实现跨越式发展。 </w:t>
      </w:r>
      <w:r>
        <w:rPr>
          <w:rFonts w:ascii="宋体" w:hAnsi="宋体" w:cs="宋体" w:eastAsia="宋体" w:hint="default"/>
          <w:b/>
          <w:bCs/>
          <w:sz w:val="24"/>
          <w:szCs w:val="24"/>
        </w:rPr>
        <w:t>4</w:t>
      </w:r>
      <w:r>
        <w:rPr>
          <w:rFonts w:ascii="宋体" w:hAnsi="宋体" w:cs="宋体" w:eastAsia="宋体" w:hint="default"/>
          <w:b/>
          <w:bCs/>
          <w:sz w:val="24"/>
          <w:szCs w:val="24"/>
        </w:rPr>
        <w:t>、推动新兴业务模式落地，扩大节能环保市场份额</w:t>
      </w:r>
      <w:r>
        <w:rPr>
          <w:rFonts w:ascii="宋体" w:hAnsi="宋体" w:cs="宋体" w:eastAsia="宋体" w:hint="default"/>
          <w:sz w:val="24"/>
          <w:szCs w:val="24"/>
        </w:rPr>
      </w:r>
    </w:p>
    <w:p>
      <w:pPr>
        <w:pStyle w:val="BodyText"/>
        <w:spacing w:line="237" w:lineRule="auto" w:before="77"/>
        <w:ind w:right="140"/>
        <w:jc w:val="both"/>
      </w:pPr>
      <w:r>
        <w:rPr/>
        <w:t>“十二五”期间我国在环境保护上不断努力，环境质量和污染排放控制更为严格和精细</w:t>
      </w:r>
      <w:r>
        <w:rPr>
          <w:spacing w:val="-51"/>
        </w:rPr>
        <w:t> </w:t>
      </w:r>
      <w:r>
        <w:rPr>
          <w:spacing w:val="-51"/>
        </w:rPr>
      </w:r>
      <w:r>
        <w:rPr>
          <w:spacing w:val="-16"/>
        </w:rPr>
        <w:t>化，相关的政策支持和投资力度不断加大。在“十二五”期间，我国节能环保产业以</w:t>
      </w:r>
      <w:r>
        <w:rPr>
          <w:spacing w:val="-49"/>
        </w:rPr>
        <w:t> </w:t>
      </w:r>
      <w:r>
        <w:rPr>
          <w:rFonts w:ascii="宋体" w:hAnsi="宋体" w:cs="宋体" w:eastAsia="宋体" w:hint="default"/>
        </w:rPr>
        <w:t>15%~20% </w:t>
      </w:r>
      <w:r>
        <w:rPr/>
        <w:t>的速度增长，预计“十三五”期间，随着相关政策的推动，节能环保产业市场规模和投</w:t>
      </w:r>
      <w:r>
        <w:rPr>
          <w:spacing w:val="-51"/>
        </w:rPr>
        <w:t> </w:t>
      </w:r>
      <w:r>
        <w:rPr>
          <w:spacing w:val="-51"/>
        </w:rPr>
      </w:r>
      <w:r>
        <w:rPr/>
        <w:t>资金额将进一步保持高速增长。在政策支持的同时，未来的节能环保产业还将引入配套</w:t>
      </w:r>
      <w:r>
        <w:rPr>
          <w:spacing w:val="-50"/>
        </w:rPr>
        <w:t> </w:t>
      </w:r>
      <w:r>
        <w:rPr>
          <w:spacing w:val="-50"/>
        </w:rPr>
      </w:r>
      <w:r>
        <w:rPr/>
        <w:t>的市场化机制，吸引多元化的资金进入，以</w:t>
      </w:r>
      <w:r>
        <w:rPr>
          <w:spacing w:val="-77"/>
        </w:rPr>
        <w:t> </w:t>
      </w:r>
      <w:r>
        <w:rPr>
          <w:rFonts w:ascii="宋体" w:hAnsi="宋体" w:cs="宋体" w:eastAsia="宋体" w:hint="default"/>
        </w:rPr>
        <w:t>PPP</w:t>
      </w:r>
      <w:r>
        <w:rPr/>
        <w:t>、</w:t>
      </w:r>
      <w:r>
        <w:rPr>
          <w:rFonts w:ascii="宋体" w:hAnsi="宋体" w:cs="宋体" w:eastAsia="宋体" w:hint="default"/>
        </w:rPr>
        <w:t>EMC</w:t>
      </w:r>
      <w:r>
        <w:rPr>
          <w:rFonts w:ascii="宋体" w:hAnsi="宋体" w:cs="宋体" w:eastAsia="宋体" w:hint="default"/>
          <w:spacing w:val="-77"/>
        </w:rPr>
        <w:t> </w:t>
      </w:r>
      <w:r>
        <w:rPr/>
        <w:t>等新兴业务模式为代表的经营模式 会得以进一步的推广和实施。为此，公司在节能环保产业方面，将立足建筑节能、工业</w:t>
      </w:r>
      <w:r>
        <w:rPr>
          <w:spacing w:val="-51"/>
        </w:rPr>
        <w:t> </w:t>
      </w:r>
      <w:r>
        <w:rPr>
          <w:spacing w:val="-51"/>
        </w:rPr>
      </w:r>
      <w:r>
        <w:rPr>
          <w:spacing w:val="-2"/>
        </w:rPr>
        <w:t>节能、水处理、大气污染处理等领域，同时进一步把握在“互联网</w:t>
      </w:r>
      <w:r>
        <w:rPr>
          <w:rFonts w:ascii="宋体" w:hAnsi="宋体" w:cs="宋体" w:eastAsia="宋体" w:hint="default"/>
          <w:spacing w:val="-2"/>
        </w:rPr>
        <w:t>+</w:t>
      </w:r>
      <w:r>
        <w:rPr>
          <w:spacing w:val="-2"/>
        </w:rPr>
        <w:t>”、大数据背景下节</w:t>
      </w:r>
      <w:r>
        <w:rPr>
          <w:spacing w:val="-92"/>
        </w:rPr>
        <w:t> </w:t>
      </w:r>
      <w:r>
        <w:rPr>
          <w:spacing w:val="-92"/>
        </w:rPr>
      </w:r>
      <w:r>
        <w:rPr/>
        <w:t>能环保产业新的业务需求，依托公司在智慧城市、大数据方面的技术和业务资源，发挥</w:t>
      </w:r>
      <w:r>
        <w:rPr>
          <w:spacing w:val="-51"/>
        </w:rPr>
        <w:t> </w:t>
      </w:r>
      <w:r>
        <w:rPr>
          <w:spacing w:val="-51"/>
        </w:rPr>
      </w:r>
      <w:r>
        <w:rPr/>
        <w:t>综合优势，扩大市场份额。</w:t>
      </w:r>
    </w:p>
    <w:p>
      <w:pPr>
        <w:spacing w:line="240" w:lineRule="auto" w:before="7"/>
        <w:rPr>
          <w:rFonts w:ascii="宋体" w:hAnsi="宋体" w:cs="宋体" w:eastAsia="宋体" w:hint="default"/>
          <w:sz w:val="23"/>
          <w:szCs w:val="23"/>
        </w:rPr>
      </w:pPr>
    </w:p>
    <w:p>
      <w:pPr>
        <w:pStyle w:val="Heading3"/>
        <w:spacing w:line="477" w:lineRule="auto"/>
        <w:ind w:left="415" w:right="6780" w:firstLine="122"/>
        <w:jc w:val="left"/>
        <w:rPr>
          <w:b w:val="0"/>
          <w:bCs w:val="0"/>
        </w:rPr>
      </w:pPr>
      <w:r>
        <w:rPr>
          <w:rFonts w:ascii="宋体" w:hAnsi="宋体" w:cs="宋体" w:eastAsia="宋体" w:hint="default"/>
        </w:rPr>
        <w:t>(</w:t>
      </w:r>
      <w:r>
        <w:rPr/>
        <w:t>四</w:t>
      </w:r>
      <w:r>
        <w:rPr>
          <w:rFonts w:ascii="宋体" w:hAnsi="宋体" w:cs="宋体" w:eastAsia="宋体" w:hint="default"/>
        </w:rPr>
        <w:t>)</w:t>
      </w:r>
      <w:r>
        <w:rPr/>
        <w:t>可能面对的风险</w:t>
      </w:r>
      <w:r>
        <w:rPr>
          <w:w w:val="99"/>
        </w:rPr>
        <w:t> </w:t>
      </w:r>
      <w:r>
        <w:rPr>
          <w:rFonts w:ascii="宋体" w:hAnsi="宋体" w:cs="宋体" w:eastAsia="宋体" w:hint="default"/>
        </w:rPr>
        <w:t>1</w:t>
      </w:r>
      <w:r>
        <w:rPr/>
        <w:t>、业务经营风险</w:t>
      </w:r>
      <w:r>
        <w:rPr>
          <w:b w:val="0"/>
          <w:bCs w:val="0"/>
        </w:rPr>
      </w:r>
    </w:p>
    <w:p>
      <w:pPr>
        <w:pStyle w:val="BodyText"/>
        <w:spacing w:line="240" w:lineRule="auto" w:before="70"/>
        <w:ind w:right="0"/>
        <w:jc w:val="both"/>
      </w:pPr>
      <w:r>
        <w:rPr>
          <w:rFonts w:ascii="宋体" w:hAnsi="宋体" w:cs="宋体" w:eastAsia="宋体" w:hint="default"/>
        </w:rPr>
        <w:t>(1)</w:t>
      </w:r>
      <w:r>
        <w:rPr/>
        <w:t>经济周期性波动风险</w:t>
      </w:r>
    </w:p>
    <w:p>
      <w:pPr>
        <w:spacing w:line="240" w:lineRule="auto" w:before="12"/>
        <w:rPr>
          <w:rFonts w:ascii="宋体" w:hAnsi="宋体" w:cs="宋体" w:eastAsia="宋体" w:hint="default"/>
          <w:sz w:val="23"/>
          <w:szCs w:val="23"/>
        </w:rPr>
      </w:pPr>
    </w:p>
    <w:p>
      <w:pPr>
        <w:pStyle w:val="BodyText"/>
        <w:spacing w:line="237" w:lineRule="auto"/>
        <w:ind w:right="225"/>
        <w:jc w:val="both"/>
      </w:pPr>
      <w:r>
        <w:rPr/>
        <w:t>公司业务涉及移动互联、智慧城市、国土安全和节能环保等相关行业，直接受到国民经 济运行状况的影响。近年来，随着我国经济发展速度逐步放缓，经济下行压力增大，存 在居民消费意愿下降和政府、企业投资开支缩减的可能。经济发展的周期性特征决定公 司部分所处行业的市场需求也会具有相关的周期性，因此宏观经济周期的变化会影响公 司的经营业绩。</w:t>
      </w:r>
    </w:p>
    <w:p>
      <w:pPr>
        <w:spacing w:line="240" w:lineRule="auto" w:before="9"/>
        <w:rPr>
          <w:rFonts w:ascii="宋体" w:hAnsi="宋体" w:cs="宋体" w:eastAsia="宋体" w:hint="default"/>
          <w:sz w:val="23"/>
          <w:szCs w:val="23"/>
        </w:rPr>
      </w:pPr>
    </w:p>
    <w:p>
      <w:pPr>
        <w:pStyle w:val="BodyText"/>
        <w:spacing w:line="240" w:lineRule="auto"/>
        <w:ind w:right="0"/>
        <w:jc w:val="both"/>
      </w:pPr>
      <w:r>
        <w:rPr>
          <w:rFonts w:ascii="宋体" w:hAnsi="宋体" w:cs="宋体" w:eastAsia="宋体" w:hint="default"/>
        </w:rPr>
        <w:t>(2)</w:t>
      </w:r>
      <w:r>
        <w:rPr/>
        <w:t>市场竞争风险</w:t>
      </w:r>
    </w:p>
    <w:p>
      <w:pPr>
        <w:spacing w:line="240" w:lineRule="auto" w:before="9"/>
        <w:rPr>
          <w:rFonts w:ascii="宋体" w:hAnsi="宋体" w:cs="宋体" w:eastAsia="宋体" w:hint="default"/>
          <w:sz w:val="23"/>
          <w:szCs w:val="23"/>
        </w:rPr>
      </w:pPr>
    </w:p>
    <w:p>
      <w:pPr>
        <w:pStyle w:val="BodyText"/>
        <w:spacing w:line="237" w:lineRule="auto"/>
        <w:ind w:right="141"/>
        <w:jc w:val="both"/>
      </w:pPr>
      <w:r>
        <w:rPr/>
        <w:t>虽然公司众多产业和业务市场份额处于领先地位，但多媒体硬件终端产品等部分业务属</w:t>
      </w:r>
      <w:r>
        <w:rPr>
          <w:spacing w:val="-51"/>
        </w:rPr>
        <w:t> </w:t>
      </w:r>
      <w:r>
        <w:rPr>
          <w:spacing w:val="-51"/>
        </w:rPr>
      </w:r>
      <w:r>
        <w:rPr/>
        <w:t>于市场激烈竞争的行业，相关业务毛利水平受市场竞争因素影响有呈下降趋势。为此，</w:t>
      </w:r>
      <w:r>
        <w:rPr>
          <w:spacing w:val="-51"/>
        </w:rPr>
        <w:t> </w:t>
      </w:r>
      <w:r>
        <w:rPr>
          <w:spacing w:val="-51"/>
        </w:rPr>
      </w:r>
      <w:r>
        <w:rPr>
          <w:spacing w:val="-5"/>
        </w:rPr>
        <w:t>公司通过实施差异化的市场策略，一方面推动自主可控产品的销售，另一方面进一步“走</w:t>
      </w:r>
      <w:r>
        <w:rPr>
          <w:spacing w:val="-85"/>
        </w:rPr>
        <w:t> </w:t>
      </w:r>
      <w:r>
        <w:rPr>
          <w:spacing w:val="-85"/>
        </w:rPr>
      </w:r>
      <w:r>
        <w:rPr/>
        <w:t>出去”扩大国际市场份额，由此实现了较为稳定的毛利率水平。近三年来，主营业务毛</w:t>
      </w:r>
      <w:r>
        <w:rPr>
          <w:spacing w:val="-52"/>
        </w:rPr>
        <w:t> </w:t>
      </w:r>
      <w:r>
        <w:rPr>
          <w:spacing w:val="-52"/>
        </w:rPr>
      </w:r>
      <w:r>
        <w:rPr/>
        <w:t>利率分别为</w:t>
      </w:r>
      <w:r>
        <w:rPr>
          <w:spacing w:val="-79"/>
        </w:rPr>
        <w:t> </w:t>
      </w:r>
      <w:r>
        <w:rPr>
          <w:rFonts w:ascii="宋体" w:hAnsi="宋体" w:cs="宋体" w:eastAsia="宋体" w:hint="default"/>
        </w:rPr>
        <w:t>18.41%</w:t>
      </w:r>
      <w:r>
        <w:rPr/>
        <w:t>、</w:t>
      </w:r>
      <w:r>
        <w:rPr>
          <w:rFonts w:ascii="宋体" w:hAnsi="宋体" w:cs="宋体" w:eastAsia="宋体" w:hint="default"/>
        </w:rPr>
        <w:t>19.53%</w:t>
      </w:r>
      <w:r>
        <w:rPr/>
        <w:t>和</w:t>
      </w:r>
      <w:r>
        <w:rPr>
          <w:spacing w:val="-79"/>
        </w:rPr>
        <w:t> </w:t>
      </w:r>
      <w:r>
        <w:rPr>
          <w:rFonts w:ascii="宋体" w:hAnsi="宋体" w:cs="宋体" w:eastAsia="宋体" w:hint="default"/>
        </w:rPr>
        <w:t>19.20%</w:t>
      </w:r>
      <w:r>
        <w:rPr/>
        <w:t>。然而，能否继续把握市场需求导向，保持技术开 发速度和产品化进程，不断推出具有竞争力的产品和服务，同时在市场、经营等生产要</w:t>
      </w:r>
      <w:r>
        <w:rPr>
          <w:spacing w:val="-51"/>
        </w:rPr>
        <w:t> </w:t>
      </w:r>
      <w:r>
        <w:rPr>
          <w:spacing w:val="-51"/>
        </w:rPr>
      </w:r>
      <w:r>
        <w:rPr/>
        <w:t>素管理方式上实现与国内国际竞争对手具有同等竞争力的经营机制，将对公司业务产生</w:t>
      </w:r>
      <w:r>
        <w:rPr>
          <w:spacing w:val="-51"/>
        </w:rPr>
        <w:t> </w:t>
      </w:r>
      <w:r>
        <w:rPr>
          <w:spacing w:val="-51"/>
        </w:rPr>
      </w:r>
      <w:r>
        <w:rPr/>
        <w:t>影响。</w:t>
      </w:r>
    </w:p>
    <w:p>
      <w:pPr>
        <w:spacing w:line="240" w:lineRule="auto" w:before="7"/>
        <w:rPr>
          <w:rFonts w:ascii="宋体" w:hAnsi="宋体" w:cs="宋体" w:eastAsia="宋体" w:hint="default"/>
          <w:sz w:val="23"/>
          <w:szCs w:val="23"/>
        </w:rPr>
      </w:pPr>
    </w:p>
    <w:p>
      <w:pPr>
        <w:pStyle w:val="BodyText"/>
        <w:spacing w:line="240" w:lineRule="auto"/>
        <w:ind w:right="0"/>
        <w:jc w:val="both"/>
      </w:pPr>
      <w:r>
        <w:rPr>
          <w:rFonts w:ascii="宋体" w:hAnsi="宋体" w:cs="宋体" w:eastAsia="宋体" w:hint="default"/>
        </w:rPr>
        <w:t>(3)</w:t>
      </w:r>
      <w:r>
        <w:rPr/>
        <w:t>产品生命周期快速变化的风险</w:t>
      </w:r>
    </w:p>
    <w:p>
      <w:pPr>
        <w:spacing w:line="240" w:lineRule="auto" w:before="12"/>
        <w:rPr>
          <w:rFonts w:ascii="宋体" w:hAnsi="宋体" w:cs="宋体" w:eastAsia="宋体" w:hint="default"/>
          <w:sz w:val="23"/>
          <w:szCs w:val="23"/>
        </w:rPr>
      </w:pPr>
    </w:p>
    <w:p>
      <w:pPr>
        <w:pStyle w:val="BodyText"/>
        <w:spacing w:line="237" w:lineRule="auto"/>
        <w:ind w:right="225"/>
        <w:jc w:val="both"/>
      </w:pPr>
      <w:r>
        <w:rPr/>
        <w:t>公司一直坚持以自主技术为核心，在技术上拥有较强的优势，但是从科技成果产业化到 确立明显的市场优势需要有一个被市场认同和接受的过程，此过程的期限长短也将形成 新技术产品的市场风险。同时，高新技术发展日新月异，产品更新快，技术与产品由导 入期至衰退期的时间也相对缩减。因此公司产品的生命周期对公司的经营活动有较大影 响。尽管公司保持研发的高投入，但产品生命周期快速变化的特征要求公司必须具备快</w:t>
      </w:r>
    </w:p>
    <w:p>
      <w:pPr>
        <w:spacing w:after="0" w:line="237" w:lineRule="auto"/>
        <w:jc w:val="both"/>
        <w:sectPr>
          <w:pgSz w:w="11910" w:h="16840"/>
          <w:pgMar w:header="628" w:footer="760" w:top="1080" w:bottom="960" w:left="1260" w:right="11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310" w:lineRule="exact" w:before="58"/>
        <w:ind w:left="238" w:right="325"/>
        <w:jc w:val="both"/>
      </w:pPr>
      <w:r>
        <w:rPr/>
        <w:t>速运营、快速反应的能力，若不能通过一系列经营管理措施保持创新能力，将影响公司 经营业绩的稳定增长。</w:t>
      </w:r>
    </w:p>
    <w:p>
      <w:pPr>
        <w:spacing w:line="240" w:lineRule="auto" w:before="7"/>
        <w:rPr>
          <w:rFonts w:ascii="宋体" w:hAnsi="宋体" w:cs="宋体" w:eastAsia="宋体" w:hint="default"/>
          <w:sz w:val="21"/>
          <w:szCs w:val="21"/>
        </w:rPr>
      </w:pPr>
    </w:p>
    <w:p>
      <w:pPr>
        <w:pStyle w:val="BodyText"/>
        <w:spacing w:line="240" w:lineRule="auto"/>
        <w:ind w:left="238" w:right="0"/>
        <w:jc w:val="both"/>
      </w:pPr>
      <w:r>
        <w:rPr>
          <w:rFonts w:ascii="宋体" w:hAnsi="宋体" w:cs="宋体" w:eastAsia="宋体" w:hint="default"/>
        </w:rPr>
        <w:t>(4)</w:t>
      </w:r>
      <w:r>
        <w:rPr/>
        <w:t>海外业务风险</w:t>
      </w:r>
    </w:p>
    <w:p>
      <w:pPr>
        <w:spacing w:line="240" w:lineRule="auto" w:before="9"/>
        <w:rPr>
          <w:rFonts w:ascii="宋体" w:hAnsi="宋体" w:cs="宋体" w:eastAsia="宋体" w:hint="default"/>
          <w:sz w:val="23"/>
          <w:szCs w:val="23"/>
        </w:rPr>
      </w:pPr>
    </w:p>
    <w:p>
      <w:pPr>
        <w:pStyle w:val="BodyText"/>
        <w:spacing w:line="237" w:lineRule="auto"/>
        <w:ind w:left="238" w:right="325"/>
        <w:jc w:val="both"/>
      </w:pPr>
      <w:r>
        <w:rPr/>
        <w:t>公司现在存在包括计算机产品、多媒体产品、互联网服务、智慧城市、安防系统等众多 海外业务，并在香港、美国、澳大利亚、波兰、新加坡等众多国家和地区设立了海外分 支机构，海外市场几乎遍布全球。近年来，海外经济形势波动较大，部分海外地区的政 治局势不稳定，包括欧洲和美国在内的发达经济体经济增速放缓，这对公司海外业务和 海外分支机构的经营存在一定不利影响。</w:t>
      </w:r>
    </w:p>
    <w:p>
      <w:pPr>
        <w:spacing w:line="240" w:lineRule="auto" w:before="8"/>
        <w:rPr>
          <w:rFonts w:ascii="宋体" w:hAnsi="宋体" w:cs="宋体" w:eastAsia="宋体" w:hint="default"/>
          <w:sz w:val="20"/>
          <w:szCs w:val="20"/>
        </w:rPr>
      </w:pPr>
    </w:p>
    <w:p>
      <w:pPr>
        <w:spacing w:line="475" w:lineRule="auto" w:before="0"/>
        <w:ind w:left="238" w:right="6428" w:firstLine="256"/>
        <w:jc w:val="left"/>
        <w:rPr>
          <w:rFonts w:ascii="宋体" w:hAnsi="宋体" w:cs="宋体" w:eastAsia="宋体" w:hint="default"/>
          <w:sz w:val="24"/>
          <w:szCs w:val="24"/>
        </w:rPr>
      </w:pPr>
      <w:r>
        <w:rPr>
          <w:rFonts w:ascii="宋体" w:hAnsi="宋体" w:cs="宋体" w:eastAsia="宋体" w:hint="default"/>
          <w:b/>
          <w:bCs/>
          <w:sz w:val="24"/>
          <w:szCs w:val="24"/>
        </w:rPr>
        <w:t>2</w:t>
      </w:r>
      <w:r>
        <w:rPr>
          <w:rFonts w:ascii="宋体" w:hAnsi="宋体" w:cs="宋体" w:eastAsia="宋体" w:hint="default"/>
          <w:b/>
          <w:bCs/>
          <w:sz w:val="24"/>
          <w:szCs w:val="24"/>
        </w:rPr>
        <w:t>、政策风险</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宏观经济政策变动的风险</w:t>
      </w:r>
    </w:p>
    <w:p>
      <w:pPr>
        <w:pStyle w:val="BodyText"/>
        <w:spacing w:line="237" w:lineRule="auto" w:before="77"/>
        <w:ind w:left="238" w:right="325"/>
        <w:jc w:val="both"/>
      </w:pPr>
      <w:r>
        <w:rPr/>
        <w:t>公司众多业务如节能环保业务、智慧城市业务等属于新兴业务或扶持业务领域，目前国 家对于相关领域陆续出台了扶持政策和法规，这有利于公司业务的发展。若政府未来对 上述产业政策进行调整，可能对公司的运营收入和补贴收入产生影响。</w:t>
      </w:r>
    </w:p>
    <w:p>
      <w:pPr>
        <w:spacing w:line="240" w:lineRule="auto" w:before="9"/>
        <w:rPr>
          <w:rFonts w:ascii="宋体" w:hAnsi="宋体" w:cs="宋体" w:eastAsia="宋体" w:hint="default"/>
          <w:sz w:val="23"/>
          <w:szCs w:val="23"/>
        </w:rPr>
      </w:pPr>
    </w:p>
    <w:p>
      <w:pPr>
        <w:pStyle w:val="BodyText"/>
        <w:spacing w:line="240" w:lineRule="auto"/>
        <w:ind w:left="238" w:right="0"/>
        <w:jc w:val="both"/>
      </w:pPr>
      <w:r>
        <w:rPr>
          <w:rFonts w:ascii="宋体" w:hAnsi="宋体" w:cs="宋体" w:eastAsia="宋体" w:hint="default"/>
        </w:rPr>
        <w:t>(2)</w:t>
      </w:r>
      <w:r>
        <w:rPr/>
        <w:t>税收优惠政策变动风险</w:t>
      </w:r>
    </w:p>
    <w:p>
      <w:pPr>
        <w:spacing w:line="240" w:lineRule="auto" w:before="10"/>
        <w:rPr>
          <w:rFonts w:ascii="宋体" w:hAnsi="宋体" w:cs="宋体" w:eastAsia="宋体" w:hint="default"/>
          <w:sz w:val="23"/>
          <w:szCs w:val="23"/>
        </w:rPr>
      </w:pPr>
    </w:p>
    <w:p>
      <w:pPr>
        <w:pStyle w:val="BodyText"/>
        <w:spacing w:line="237" w:lineRule="auto"/>
        <w:ind w:left="238" w:right="225"/>
        <w:jc w:val="both"/>
      </w:pPr>
      <w:r>
        <w:rPr>
          <w:spacing w:val="19"/>
        </w:rPr>
        <w:t>目前，公司及下属部分子公司作为根据《高新技术企业认定管理办法》</w:t>
      </w:r>
      <w:r>
        <w:rPr>
          <w:rFonts w:ascii="宋体" w:hAnsi="宋体" w:cs="宋体" w:eastAsia="宋体" w:hint="default"/>
          <w:spacing w:val="19"/>
        </w:rPr>
        <w:t>(</w:t>
      </w:r>
      <w:r>
        <w:rPr>
          <w:spacing w:val="19"/>
        </w:rPr>
        <w:t>国科发火</w:t>
      </w:r>
      <w:r>
        <w:rPr>
          <w:spacing w:val="-113"/>
        </w:rPr>
        <w:t> </w:t>
      </w:r>
      <w:r>
        <w:rPr>
          <w:rFonts w:ascii="宋体" w:hAnsi="宋体" w:cs="宋体" w:eastAsia="宋体" w:hint="default"/>
        </w:rPr>
        <w:t>[2008]172</w:t>
      </w:r>
      <w:r>
        <w:rPr>
          <w:rFonts w:ascii="宋体" w:hAnsi="宋体" w:cs="宋体" w:eastAsia="宋体" w:hint="default"/>
          <w:spacing w:val="-39"/>
        </w:rPr>
        <w:t> </w:t>
      </w:r>
      <w:r>
        <w:rPr/>
        <w:t>号</w:t>
      </w:r>
      <w:r>
        <w:rPr>
          <w:rFonts w:ascii="宋体" w:hAnsi="宋体" w:cs="宋体" w:eastAsia="宋体" w:hint="default"/>
        </w:rPr>
        <w:t>)</w:t>
      </w:r>
      <w:r>
        <w:rPr/>
        <w:t>获得认定的高新技术企业，已获得“高新技术企业证书”，并在税务部门 </w:t>
      </w:r>
      <w:r>
        <w:rPr>
          <w:spacing w:val="-6"/>
        </w:rPr>
        <w:t>办理了备案登记，适用</w:t>
      </w:r>
      <w:r>
        <w:rPr>
          <w:spacing w:val="-89"/>
        </w:rPr>
        <w:t> </w:t>
      </w:r>
      <w:r>
        <w:rPr>
          <w:rFonts w:ascii="宋体" w:hAnsi="宋体" w:cs="宋体" w:eastAsia="宋体" w:hint="default"/>
        </w:rPr>
        <w:t>15%</w:t>
      </w:r>
      <w:r>
        <w:rPr/>
        <w:t>的企业所得税率。税收优惠政策的延续性可能会对公司的经营 业绩造成影响。</w:t>
      </w:r>
    </w:p>
    <w:p>
      <w:pPr>
        <w:spacing w:line="240" w:lineRule="auto" w:before="7"/>
        <w:rPr>
          <w:rFonts w:ascii="宋体" w:hAnsi="宋体" w:cs="宋体" w:eastAsia="宋体" w:hint="default"/>
          <w:sz w:val="23"/>
          <w:szCs w:val="23"/>
        </w:rPr>
      </w:pPr>
    </w:p>
    <w:p>
      <w:pPr>
        <w:spacing w:line="477" w:lineRule="auto" w:before="0"/>
        <w:ind w:left="238" w:right="7628" w:firstLine="256"/>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、财务风险</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汇率变动风险</w:t>
      </w:r>
    </w:p>
    <w:p>
      <w:pPr>
        <w:pStyle w:val="BodyText"/>
        <w:spacing w:line="237" w:lineRule="auto" w:before="72"/>
        <w:ind w:left="238" w:right="245"/>
        <w:jc w:val="both"/>
      </w:pPr>
      <w:r>
        <w:rPr/>
        <w:t>近三年来，公司海外市场销售额稳步增长，占公司历年主营业务收入的比重从接近</w:t>
      </w:r>
      <w:r>
        <w:rPr>
          <w:spacing w:val="57"/>
        </w:rPr>
        <w:t> </w:t>
      </w:r>
      <w:r>
        <w:rPr>
          <w:rFonts w:ascii="宋体" w:hAnsi="宋体" w:cs="宋体" w:eastAsia="宋体" w:hint="default"/>
        </w:rPr>
        <w:t>30%</w:t>
      </w:r>
      <w:r>
        <w:rPr>
          <w:rFonts w:ascii="宋体" w:hAnsi="宋体" w:cs="宋体" w:eastAsia="宋体" w:hint="default"/>
          <w:spacing w:val="-111"/>
        </w:rPr>
        <w:t> </w:t>
      </w:r>
      <w:r>
        <w:rPr/>
        <w:t>提升至接近</w:t>
      </w:r>
      <w:r>
        <w:rPr>
          <w:spacing w:val="-43"/>
        </w:rPr>
        <w:t> </w:t>
      </w:r>
      <w:r>
        <w:rPr>
          <w:rFonts w:ascii="宋体" w:hAnsi="宋体" w:cs="宋体" w:eastAsia="宋体" w:hint="default"/>
          <w:spacing w:val="-10"/>
        </w:rPr>
        <w:t>40%</w:t>
      </w:r>
      <w:r>
        <w:rPr>
          <w:spacing w:val="-10"/>
        </w:rPr>
        <w:t>，因此，人民币汇率变动必将对公司的经营业绩产生一定影响。报告期内，</w:t>
      </w:r>
      <w:r>
        <w:rPr>
          <w:spacing w:val="-118"/>
        </w:rPr>
        <w:t> </w:t>
      </w:r>
      <w:r>
        <w:rPr>
          <w:spacing w:val="-118"/>
        </w:rPr>
      </w:r>
      <w:r>
        <w:rPr/>
        <w:t>公司出口销售情况如下：</w:t>
      </w:r>
    </w:p>
    <w:p>
      <w:pPr>
        <w:spacing w:line="240" w:lineRule="auto" w:before="0"/>
        <w:rPr>
          <w:rFonts w:ascii="宋体" w:hAnsi="宋体" w:cs="宋体" w:eastAsia="宋体" w:hint="default"/>
          <w:sz w:val="24"/>
          <w:szCs w:val="24"/>
        </w:rPr>
      </w:pPr>
    </w:p>
    <w:p>
      <w:pPr>
        <w:spacing w:before="0"/>
        <w:ind w:left="0" w:right="239"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r>
    </w:p>
    <w:p>
      <w:pPr>
        <w:spacing w:line="240" w:lineRule="auto" w:before="4"/>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3920"/>
        <w:gridCol w:w="1769"/>
        <w:gridCol w:w="1865"/>
        <w:gridCol w:w="1865"/>
      </w:tblGrid>
      <w:tr>
        <w:trPr>
          <w:trHeight w:val="295" w:hRule="exact"/>
        </w:trPr>
        <w:tc>
          <w:tcPr>
            <w:tcW w:w="3920" w:type="dxa"/>
            <w:tcBorders>
              <w:top w:val="single" w:sz="12" w:space="0" w:color="000000"/>
              <w:left w:val="single" w:sz="12" w:space="0" w:color="000000"/>
              <w:bottom w:val="single" w:sz="6" w:space="0" w:color="000000"/>
              <w:right w:val="single" w:sz="6" w:space="0" w:color="000000"/>
            </w:tcBorders>
          </w:tcPr>
          <w:p>
            <w:pPr>
              <w:pStyle w:val="TableParagraph"/>
              <w:spacing w:line="243" w:lineRule="exact"/>
              <w:ind w:right="8"/>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769" w:type="dxa"/>
            <w:tcBorders>
              <w:top w:val="single" w:sz="12" w:space="0" w:color="000000"/>
              <w:left w:val="single" w:sz="6" w:space="0" w:color="000000"/>
              <w:bottom w:val="single" w:sz="6" w:space="0" w:color="000000"/>
              <w:right w:val="single" w:sz="6" w:space="0" w:color="000000"/>
            </w:tcBorders>
          </w:tcPr>
          <w:p>
            <w:pPr>
              <w:pStyle w:val="TableParagraph"/>
              <w:spacing w:line="243" w:lineRule="exact"/>
              <w:ind w:left="424" w:right="0"/>
              <w:jc w:val="left"/>
              <w:rPr>
                <w:rFonts w:ascii="宋体" w:hAnsi="宋体" w:cs="宋体" w:eastAsia="宋体" w:hint="default"/>
                <w:sz w:val="21"/>
                <w:szCs w:val="21"/>
              </w:rPr>
            </w:pPr>
            <w:r>
              <w:rPr>
                <w:rFonts w:ascii="宋体" w:hAnsi="宋体" w:cs="宋体" w:eastAsia="宋体" w:hint="default"/>
                <w:b/>
                <w:bCs/>
                <w:sz w:val="21"/>
                <w:szCs w:val="21"/>
              </w:rPr>
              <w:t>2015</w:t>
            </w:r>
            <w:r>
              <w:rPr>
                <w:rFonts w:ascii="宋体" w:hAnsi="宋体" w:cs="宋体" w:eastAsia="宋体" w:hint="default"/>
                <w:b/>
                <w:bCs/>
                <w:spacing w:val="-55"/>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865" w:type="dxa"/>
            <w:tcBorders>
              <w:top w:val="single" w:sz="12" w:space="0" w:color="000000"/>
              <w:left w:val="single" w:sz="6" w:space="0" w:color="000000"/>
              <w:bottom w:val="single" w:sz="6" w:space="0" w:color="000000"/>
              <w:right w:val="single" w:sz="6" w:space="0" w:color="000000"/>
            </w:tcBorders>
          </w:tcPr>
          <w:p>
            <w:pPr>
              <w:pStyle w:val="TableParagraph"/>
              <w:spacing w:line="243" w:lineRule="exact"/>
              <w:ind w:left="472" w:right="0"/>
              <w:jc w:val="left"/>
              <w:rPr>
                <w:rFonts w:ascii="宋体" w:hAnsi="宋体" w:cs="宋体" w:eastAsia="宋体" w:hint="default"/>
                <w:sz w:val="21"/>
                <w:szCs w:val="21"/>
              </w:rPr>
            </w:pPr>
            <w:r>
              <w:rPr>
                <w:rFonts w:ascii="宋体" w:hAnsi="宋体" w:cs="宋体" w:eastAsia="宋体" w:hint="default"/>
                <w:b/>
                <w:bCs/>
                <w:sz w:val="21"/>
                <w:szCs w:val="21"/>
              </w:rPr>
              <w:t>2014</w:t>
            </w:r>
            <w:r>
              <w:rPr>
                <w:rFonts w:ascii="宋体" w:hAnsi="宋体" w:cs="宋体" w:eastAsia="宋体" w:hint="default"/>
                <w:b/>
                <w:bCs/>
                <w:spacing w:val="-55"/>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865" w:type="dxa"/>
            <w:tcBorders>
              <w:top w:val="single" w:sz="12" w:space="0" w:color="000000"/>
              <w:left w:val="single" w:sz="6" w:space="0" w:color="000000"/>
              <w:bottom w:val="single" w:sz="6" w:space="0" w:color="000000"/>
              <w:right w:val="single" w:sz="12" w:space="0" w:color="000000"/>
            </w:tcBorders>
          </w:tcPr>
          <w:p>
            <w:pPr>
              <w:pStyle w:val="TableParagraph"/>
              <w:spacing w:line="243" w:lineRule="exact"/>
              <w:ind w:left="475" w:right="0"/>
              <w:jc w:val="left"/>
              <w:rPr>
                <w:rFonts w:ascii="宋体" w:hAnsi="宋体" w:cs="宋体" w:eastAsia="宋体" w:hint="default"/>
                <w:sz w:val="21"/>
                <w:szCs w:val="21"/>
              </w:rPr>
            </w:pPr>
            <w:r>
              <w:rPr>
                <w:rFonts w:ascii="宋体" w:hAnsi="宋体" w:cs="宋体" w:eastAsia="宋体" w:hint="default"/>
                <w:b/>
                <w:bCs/>
                <w:sz w:val="21"/>
                <w:szCs w:val="21"/>
              </w:rPr>
              <w:t>2013</w:t>
            </w:r>
            <w:r>
              <w:rPr>
                <w:rFonts w:ascii="宋体" w:hAnsi="宋体" w:cs="宋体" w:eastAsia="宋体" w:hint="default"/>
                <w:b/>
                <w:bCs/>
                <w:spacing w:val="-55"/>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288" w:hRule="exact"/>
        </w:trPr>
        <w:tc>
          <w:tcPr>
            <w:tcW w:w="3920"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海外市场收入</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1,099,457.07</w:t>
            </w:r>
          </w:p>
        </w:tc>
        <w:tc>
          <w:tcPr>
            <w:tcW w:w="186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950,757.77</w:t>
            </w:r>
          </w:p>
        </w:tc>
        <w:tc>
          <w:tcPr>
            <w:tcW w:w="1865"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right="89"/>
              <w:jc w:val="right"/>
              <w:rPr>
                <w:rFonts w:ascii="宋体" w:hAnsi="宋体" w:cs="宋体" w:eastAsia="宋体" w:hint="default"/>
                <w:sz w:val="21"/>
                <w:szCs w:val="21"/>
              </w:rPr>
            </w:pPr>
            <w:r>
              <w:rPr>
                <w:rFonts w:ascii="宋体"/>
                <w:spacing w:val="-1"/>
                <w:sz w:val="21"/>
              </w:rPr>
              <w:t>614,655.90</w:t>
            </w:r>
          </w:p>
        </w:tc>
      </w:tr>
      <w:tr>
        <w:trPr>
          <w:trHeight w:val="288" w:hRule="exact"/>
        </w:trPr>
        <w:tc>
          <w:tcPr>
            <w:tcW w:w="3920"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海外市场收入占主营业务收入的比例</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38.94%</w:t>
            </w:r>
          </w:p>
        </w:tc>
        <w:tc>
          <w:tcPr>
            <w:tcW w:w="186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36.91%</w:t>
            </w:r>
          </w:p>
        </w:tc>
        <w:tc>
          <w:tcPr>
            <w:tcW w:w="1865"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z w:val="21"/>
              </w:rPr>
              <w:t>27.41%</w:t>
            </w:r>
          </w:p>
        </w:tc>
      </w:tr>
      <w:tr>
        <w:trPr>
          <w:trHeight w:val="293" w:hRule="exact"/>
        </w:trPr>
        <w:tc>
          <w:tcPr>
            <w:tcW w:w="3920"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海外市场收入增长幅度</w:t>
            </w:r>
          </w:p>
        </w:tc>
        <w:tc>
          <w:tcPr>
            <w:tcW w:w="1769"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15.64%</w:t>
            </w:r>
          </w:p>
        </w:tc>
        <w:tc>
          <w:tcPr>
            <w:tcW w:w="1865"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54.68%</w:t>
            </w:r>
          </w:p>
        </w:tc>
        <w:tc>
          <w:tcPr>
            <w:tcW w:w="1865"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z w:val="21"/>
              </w:rPr>
              <w:t>-3.85%</w:t>
            </w:r>
          </w:p>
        </w:tc>
      </w:tr>
    </w:tbl>
    <w:p>
      <w:pPr>
        <w:spacing w:line="240" w:lineRule="auto" w:before="13"/>
        <w:rPr>
          <w:rFonts w:ascii="宋体" w:hAnsi="宋体" w:cs="宋体" w:eastAsia="宋体" w:hint="default"/>
          <w:sz w:val="18"/>
          <w:szCs w:val="18"/>
        </w:rPr>
      </w:pPr>
    </w:p>
    <w:p>
      <w:pPr>
        <w:pStyle w:val="BodyText"/>
        <w:spacing w:line="237" w:lineRule="auto" w:before="28"/>
        <w:ind w:left="238" w:right="241"/>
        <w:jc w:val="both"/>
      </w:pPr>
      <w:r>
        <w:rPr/>
        <w:t>由于出口收入已成为本公司主营业务收入的重要组成部分，同时本公司将继续大力拓展</w:t>
      </w:r>
      <w:r>
        <w:rPr>
          <w:spacing w:val="-51"/>
        </w:rPr>
        <w:t> </w:t>
      </w:r>
      <w:r>
        <w:rPr>
          <w:spacing w:val="-51"/>
        </w:rPr>
      </w:r>
      <w:r>
        <w:rPr/>
        <w:t>海外市场，承接国外项目，开展更加广泛的国际合作，因此，如果国家的外汇政策发生</w:t>
      </w:r>
      <w:r>
        <w:rPr>
          <w:spacing w:val="-51"/>
        </w:rPr>
        <w:t> </w:t>
      </w:r>
      <w:r>
        <w:rPr>
          <w:spacing w:val="-51"/>
        </w:rPr>
      </w:r>
      <w:r>
        <w:rPr/>
        <w:t>变化，或人民币汇率水平发生较大波动，将会在一定程度上影响公司的出口业务和经营</w:t>
      </w:r>
      <w:r>
        <w:rPr>
          <w:spacing w:val="-51"/>
        </w:rPr>
        <w:t> </w:t>
      </w:r>
      <w:r>
        <w:rPr>
          <w:spacing w:val="-51"/>
        </w:rPr>
      </w:r>
      <w:r>
        <w:rPr/>
        <w:t>业绩。</w:t>
      </w:r>
    </w:p>
    <w:p>
      <w:pPr>
        <w:spacing w:after="0" w:line="237" w:lineRule="auto"/>
        <w:jc w:val="both"/>
        <w:sectPr>
          <w:pgSz w:w="11910" w:h="16840"/>
          <w:pgMar w:header="628" w:footer="760" w:top="1080" w:bottom="960" w:left="1180" w:right="10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240" w:lineRule="auto" w:before="26"/>
        <w:ind w:right="0"/>
        <w:jc w:val="both"/>
      </w:pPr>
      <w:r>
        <w:rPr>
          <w:rFonts w:ascii="宋体" w:hAnsi="宋体" w:cs="宋体" w:eastAsia="宋体" w:hint="default"/>
        </w:rPr>
        <w:t>(2)</w:t>
      </w:r>
      <w:r>
        <w:rPr/>
        <w:t>以公允价值计量且其变动计入当期损益的金融资产金额较大对业绩影响的风险</w:t>
      </w:r>
    </w:p>
    <w:p>
      <w:pPr>
        <w:spacing w:line="240" w:lineRule="auto" w:before="12"/>
        <w:rPr>
          <w:rFonts w:ascii="宋体" w:hAnsi="宋体" w:cs="宋体" w:eastAsia="宋体" w:hint="default"/>
          <w:sz w:val="23"/>
          <w:szCs w:val="23"/>
        </w:rPr>
      </w:pPr>
    </w:p>
    <w:p>
      <w:pPr>
        <w:pStyle w:val="BodyText"/>
        <w:spacing w:line="237" w:lineRule="auto"/>
        <w:ind w:right="221"/>
        <w:jc w:val="both"/>
      </w:pPr>
      <w:r>
        <w:rPr/>
        <w:t>报告期内，公司持有的以公允价值计量且其变动计入当期损益的金融资产金额较大，主</w:t>
      </w:r>
      <w:r>
        <w:rPr>
          <w:spacing w:val="-51"/>
        </w:rPr>
        <w:t> </w:t>
      </w:r>
      <w:r>
        <w:rPr>
          <w:spacing w:val="-51"/>
        </w:rPr>
      </w:r>
      <w:r>
        <w:rPr/>
        <w:t>要系公司所持有的上市公司东方明珠和润邦股份的非限售股票。</w:t>
      </w:r>
      <w:r>
        <w:rPr>
          <w:rFonts w:ascii="宋体" w:hAnsi="宋体" w:cs="宋体" w:eastAsia="宋体" w:hint="default"/>
        </w:rPr>
        <w:t>2013</w:t>
      </w:r>
      <w:r>
        <w:rPr>
          <w:rFonts w:ascii="宋体" w:hAnsi="宋体" w:cs="宋体" w:eastAsia="宋体" w:hint="default"/>
          <w:spacing w:val="-75"/>
        </w:rPr>
        <w:t> </w:t>
      </w:r>
      <w:r>
        <w:rPr>
          <w:spacing w:val="-9"/>
        </w:rPr>
        <w:t>年、</w:t>
      </w:r>
      <w:r>
        <w:rPr>
          <w:rFonts w:ascii="宋体" w:hAnsi="宋体" w:cs="宋体" w:eastAsia="宋体" w:hint="default"/>
          <w:spacing w:val="-9"/>
        </w:rPr>
        <w:t>2014</w:t>
      </w:r>
      <w:r>
        <w:rPr>
          <w:rFonts w:ascii="宋体" w:hAnsi="宋体" w:cs="宋体" w:eastAsia="宋体" w:hint="default"/>
          <w:spacing w:val="-75"/>
        </w:rPr>
        <w:t> </w:t>
      </w:r>
      <w:r>
        <w:rPr/>
        <w:t>年及</w:t>
      </w:r>
      <w:r>
        <w:rPr>
          <w:spacing w:val="-75"/>
        </w:rPr>
        <w:t> </w:t>
      </w:r>
      <w:r>
        <w:rPr>
          <w:rFonts w:ascii="宋体" w:hAnsi="宋体" w:cs="宋体" w:eastAsia="宋体" w:hint="default"/>
        </w:rPr>
        <w:t>2015 </w:t>
      </w:r>
      <w:r>
        <w:rPr>
          <w:spacing w:val="-3"/>
        </w:rPr>
        <w:t>年，公司确认的公允价值变动损益分别为</w:t>
      </w:r>
      <w:r>
        <w:rPr>
          <w:spacing w:val="-57"/>
        </w:rPr>
        <w:t> </w:t>
      </w:r>
      <w:r>
        <w:rPr>
          <w:rFonts w:ascii="宋体" w:hAnsi="宋体" w:cs="宋体" w:eastAsia="宋体" w:hint="default"/>
        </w:rPr>
        <w:t>25,547.78</w:t>
      </w:r>
      <w:r>
        <w:rPr>
          <w:rFonts w:ascii="宋体" w:hAnsi="宋体" w:cs="宋体" w:eastAsia="宋体" w:hint="default"/>
          <w:spacing w:val="-57"/>
        </w:rPr>
        <w:t> </w:t>
      </w:r>
      <w:r>
        <w:rPr>
          <w:spacing w:val="-5"/>
        </w:rPr>
        <w:t>万元、</w:t>
      </w:r>
      <w:r>
        <w:rPr>
          <w:rFonts w:ascii="宋体" w:hAnsi="宋体" w:cs="宋体" w:eastAsia="宋体" w:hint="default"/>
          <w:spacing w:val="-5"/>
        </w:rPr>
        <w:t>13,414.36</w:t>
      </w:r>
      <w:r>
        <w:rPr>
          <w:rFonts w:ascii="宋体" w:hAnsi="宋体" w:cs="宋体" w:eastAsia="宋体" w:hint="default"/>
          <w:spacing w:val="-57"/>
        </w:rPr>
        <w:t> </w:t>
      </w:r>
      <w:r>
        <w:rPr/>
        <w:t>万元和</w:t>
      </w:r>
      <w:r>
        <w:rPr>
          <w:rFonts w:ascii="宋体" w:hAnsi="宋体" w:cs="宋体" w:eastAsia="宋体" w:hint="default"/>
        </w:rPr>
        <w:t>-22,724.47 </w:t>
      </w:r>
      <w:r>
        <w:rPr/>
        <w:t>万元；公司因处置以公允价值计量且其变动计入当期损益的金融资产而取得的投资收益</w:t>
      </w:r>
      <w:r>
        <w:rPr>
          <w:spacing w:val="-51"/>
        </w:rPr>
        <w:t> </w:t>
      </w:r>
      <w:r>
        <w:rPr>
          <w:spacing w:val="-51"/>
        </w:rPr>
      </w:r>
      <w:r>
        <w:rPr/>
        <w:t>分别为</w:t>
      </w:r>
      <w:r>
        <w:rPr>
          <w:spacing w:val="-61"/>
        </w:rPr>
        <w:t> </w:t>
      </w:r>
      <w:r>
        <w:rPr>
          <w:rFonts w:ascii="宋体" w:hAnsi="宋体" w:cs="宋体" w:eastAsia="宋体" w:hint="default"/>
        </w:rPr>
        <w:t>65,935.81</w:t>
      </w:r>
      <w:r>
        <w:rPr>
          <w:rFonts w:ascii="宋体" w:hAnsi="宋体" w:cs="宋体" w:eastAsia="宋体" w:hint="default"/>
          <w:spacing w:val="-60"/>
        </w:rPr>
        <w:t> </w:t>
      </w:r>
      <w:r>
        <w:rPr/>
        <w:t>万元、</w:t>
      </w:r>
      <w:r>
        <w:rPr>
          <w:rFonts w:ascii="宋体" w:hAnsi="宋体" w:cs="宋体" w:eastAsia="宋体" w:hint="default"/>
        </w:rPr>
        <w:t>1,275.69</w:t>
      </w:r>
      <w:r>
        <w:rPr>
          <w:rFonts w:ascii="宋体" w:hAnsi="宋体" w:cs="宋体" w:eastAsia="宋体" w:hint="default"/>
          <w:spacing w:val="-60"/>
        </w:rPr>
        <w:t> </w:t>
      </w:r>
      <w:r>
        <w:rPr/>
        <w:t>万元和</w:t>
      </w:r>
      <w:r>
        <w:rPr>
          <w:spacing w:val="-60"/>
        </w:rPr>
        <w:t> </w:t>
      </w:r>
      <w:r>
        <w:rPr>
          <w:rFonts w:ascii="宋体" w:hAnsi="宋体" w:cs="宋体" w:eastAsia="宋体" w:hint="default"/>
        </w:rPr>
        <w:t>58,500.23</w:t>
      </w:r>
      <w:r>
        <w:rPr>
          <w:rFonts w:ascii="宋体" w:hAnsi="宋体" w:cs="宋体" w:eastAsia="宋体" w:hint="default"/>
          <w:spacing w:val="-60"/>
        </w:rPr>
        <w:t> </w:t>
      </w:r>
      <w:r>
        <w:rPr/>
        <w:t>万元。</w:t>
      </w:r>
    </w:p>
    <w:p>
      <w:pPr>
        <w:spacing w:line="240" w:lineRule="auto" w:before="10"/>
        <w:rPr>
          <w:rFonts w:ascii="宋体" w:hAnsi="宋体" w:cs="宋体" w:eastAsia="宋体" w:hint="default"/>
          <w:sz w:val="23"/>
          <w:szCs w:val="23"/>
        </w:rPr>
      </w:pPr>
    </w:p>
    <w:p>
      <w:pPr>
        <w:pStyle w:val="BodyText"/>
        <w:spacing w:line="237" w:lineRule="auto"/>
        <w:ind w:right="221"/>
        <w:jc w:val="both"/>
      </w:pPr>
      <w:r>
        <w:rPr/>
        <w:t>由于公司上述以公允价值计量且其变动计入当期损益的金融资产金额将随上市公司的股</w:t>
      </w:r>
      <w:r>
        <w:rPr>
          <w:spacing w:val="-51"/>
        </w:rPr>
        <w:t> </w:t>
      </w:r>
      <w:r>
        <w:rPr>
          <w:spacing w:val="-51"/>
        </w:rPr>
      </w:r>
      <w:r>
        <w:rPr/>
        <w:t>票价格波动发生变化，从而导致公允价值变动损益金额发生波动；同时，公司处置上述</w:t>
      </w:r>
      <w:r>
        <w:rPr>
          <w:spacing w:val="-53"/>
        </w:rPr>
        <w:t> </w:t>
      </w:r>
      <w:r>
        <w:rPr>
          <w:spacing w:val="-53"/>
        </w:rPr>
      </w:r>
      <w:r>
        <w:rPr/>
        <w:t>以公允价值计量且其变动计入当期损益的金融资产的时机以及处置所获得的投资收益都</w:t>
      </w:r>
      <w:r>
        <w:rPr>
          <w:spacing w:val="-51"/>
        </w:rPr>
        <w:t> </w:t>
      </w:r>
      <w:r>
        <w:rPr>
          <w:spacing w:val="-51"/>
        </w:rPr>
      </w:r>
      <w:r>
        <w:rPr/>
        <w:t>将存在一定的不确定性，公司因此而产生的投资收益也将存在不确定性。因此，公司上</w:t>
      </w:r>
      <w:r>
        <w:rPr>
          <w:spacing w:val="-51"/>
        </w:rPr>
        <w:t> </w:t>
      </w:r>
      <w:r>
        <w:rPr>
          <w:spacing w:val="-51"/>
        </w:rPr>
      </w:r>
      <w:r>
        <w:rPr/>
        <w:t>述以公允价值计量且其变动计入当期损益的金融资产的变化以及公司对其可能的处置，</w:t>
      </w:r>
      <w:r>
        <w:rPr>
          <w:spacing w:val="-51"/>
        </w:rPr>
        <w:t> </w:t>
      </w:r>
      <w:r>
        <w:rPr>
          <w:spacing w:val="-51"/>
        </w:rPr>
      </w:r>
      <w:r>
        <w:rPr/>
        <w:t>都可能将对公司未来净利润产生一定影响。</w:t>
      </w:r>
    </w:p>
    <w:p>
      <w:pPr>
        <w:spacing w:line="240" w:lineRule="auto" w:before="9"/>
        <w:rPr>
          <w:rFonts w:ascii="宋体" w:hAnsi="宋体" w:cs="宋体" w:eastAsia="宋体" w:hint="default"/>
          <w:sz w:val="23"/>
          <w:szCs w:val="23"/>
        </w:rPr>
      </w:pPr>
    </w:p>
    <w:p>
      <w:pPr>
        <w:pStyle w:val="BodyText"/>
        <w:spacing w:line="240" w:lineRule="auto"/>
        <w:ind w:right="0"/>
        <w:jc w:val="both"/>
      </w:pPr>
      <w:r>
        <w:rPr>
          <w:rFonts w:ascii="宋体" w:hAnsi="宋体" w:cs="宋体" w:eastAsia="宋体" w:hint="default"/>
        </w:rPr>
        <w:t>(3)</w:t>
      </w:r>
      <w:r>
        <w:rPr/>
        <w:t>经营活动现金流季度性波动风险</w:t>
      </w:r>
    </w:p>
    <w:p>
      <w:pPr>
        <w:spacing w:line="240" w:lineRule="auto" w:before="9"/>
        <w:rPr>
          <w:rFonts w:ascii="宋体" w:hAnsi="宋体" w:cs="宋体" w:eastAsia="宋体" w:hint="default"/>
          <w:sz w:val="23"/>
          <w:szCs w:val="23"/>
        </w:rPr>
      </w:pPr>
    </w:p>
    <w:p>
      <w:pPr>
        <w:pStyle w:val="BodyText"/>
        <w:spacing w:line="237" w:lineRule="auto"/>
        <w:ind w:right="102"/>
        <w:jc w:val="left"/>
      </w:pPr>
      <w:r>
        <w:rPr/>
        <w:t>近三年，公司经营活动产生的现金流量净额分别为</w:t>
      </w:r>
      <w:r>
        <w:rPr>
          <w:spacing w:val="-55"/>
        </w:rPr>
        <w:t> </w:t>
      </w:r>
      <w:r>
        <w:rPr>
          <w:rFonts w:ascii="宋体" w:hAnsi="宋体" w:cs="宋体" w:eastAsia="宋体" w:hint="default"/>
        </w:rPr>
        <w:t>8.64</w:t>
      </w:r>
      <w:r>
        <w:rPr>
          <w:rFonts w:ascii="宋体" w:hAnsi="宋体" w:cs="宋体" w:eastAsia="宋体" w:hint="default"/>
          <w:spacing w:val="-56"/>
        </w:rPr>
        <w:t> </w:t>
      </w:r>
      <w:r>
        <w:rPr/>
        <w:t>亿元、</w:t>
      </w:r>
      <w:r>
        <w:rPr>
          <w:rFonts w:ascii="宋体" w:hAnsi="宋体" w:cs="宋体" w:eastAsia="宋体" w:hint="default"/>
        </w:rPr>
        <w:t>8.56</w:t>
      </w:r>
      <w:r>
        <w:rPr>
          <w:rFonts w:ascii="宋体" w:hAnsi="宋体" w:cs="宋体" w:eastAsia="宋体" w:hint="default"/>
          <w:spacing w:val="-58"/>
        </w:rPr>
        <w:t> </w:t>
      </w:r>
      <w:r>
        <w:rPr/>
        <w:t>亿元和</w:t>
      </w:r>
      <w:r>
        <w:rPr>
          <w:spacing w:val="-55"/>
        </w:rPr>
        <w:t> </w:t>
      </w:r>
      <w:r>
        <w:rPr>
          <w:rFonts w:ascii="宋体" w:hAnsi="宋体" w:cs="宋体" w:eastAsia="宋体" w:hint="default"/>
        </w:rPr>
        <w:t>25.01</w:t>
      </w:r>
      <w:r>
        <w:rPr>
          <w:rFonts w:ascii="宋体" w:hAnsi="宋体" w:cs="宋体" w:eastAsia="宋体" w:hint="default"/>
          <w:spacing w:val="-56"/>
        </w:rPr>
        <w:t> </w:t>
      </w:r>
      <w:r>
        <w:rPr/>
        <w:t>亿元。 近三年公司经营性现金流量净额保持了比较乐观的态势，主要归因于公司主营业务利润</w:t>
      </w:r>
      <w:r>
        <w:rPr>
          <w:spacing w:val="-52"/>
        </w:rPr>
        <w:t> </w:t>
      </w:r>
      <w:r>
        <w:rPr>
          <w:spacing w:val="-52"/>
        </w:rPr>
      </w:r>
      <w:r>
        <w:rPr/>
        <w:t>水平的总体稳定和在市场流动性持续偏紧形势下对营运资金的有效管控。然而，从</w:t>
      </w:r>
      <w:r>
        <w:rPr>
          <w:spacing w:val="-37"/>
        </w:rPr>
        <w:t> </w:t>
      </w:r>
      <w:r>
        <w:rPr>
          <w:rFonts w:ascii="宋体" w:hAnsi="宋体" w:cs="宋体" w:eastAsia="宋体" w:hint="default"/>
        </w:rPr>
        <w:t>2015 </w:t>
      </w:r>
      <w:r>
        <w:rPr/>
        <w:t>年分季度来看，四个季度的经营性现金流量净额分别为</w:t>
      </w:r>
      <w:r>
        <w:rPr>
          <w:rFonts w:ascii="宋体" w:hAnsi="宋体" w:cs="宋体" w:eastAsia="宋体" w:hint="default"/>
        </w:rPr>
        <w:t>-20.24 </w:t>
      </w:r>
      <w:r>
        <w:rPr/>
        <w:t>亿元、</w:t>
      </w:r>
      <w:r>
        <w:rPr>
          <w:rFonts w:ascii="宋体" w:hAnsi="宋体" w:cs="宋体" w:eastAsia="宋体" w:hint="default"/>
        </w:rPr>
        <w:t>0.84 </w:t>
      </w:r>
      <w:r>
        <w:rPr/>
        <w:t>亿元、</w:t>
      </w:r>
      <w:r>
        <w:rPr>
          <w:rFonts w:ascii="宋体" w:hAnsi="宋体" w:cs="宋体" w:eastAsia="宋体" w:hint="default"/>
        </w:rPr>
        <w:t>6.39</w:t>
      </w:r>
      <w:r>
        <w:rPr>
          <w:rFonts w:ascii="宋体" w:hAnsi="宋体" w:cs="宋体" w:eastAsia="宋体" w:hint="default"/>
          <w:spacing w:val="-51"/>
        </w:rPr>
        <w:t> </w:t>
      </w:r>
      <w:r>
        <w:rPr/>
        <w:t>亿元和 </w:t>
      </w:r>
      <w:r>
        <w:rPr>
          <w:rFonts w:ascii="宋体" w:hAnsi="宋体" w:cs="宋体" w:eastAsia="宋体" w:hint="default"/>
        </w:rPr>
        <w:t>38.02</w:t>
      </w:r>
      <w:r>
        <w:rPr>
          <w:rFonts w:ascii="宋体" w:hAnsi="宋体" w:cs="宋体" w:eastAsia="宋体" w:hint="default"/>
          <w:spacing w:val="-40"/>
        </w:rPr>
        <w:t> </w:t>
      </w:r>
      <w:r>
        <w:rPr/>
        <w:t>亿元，呈现出较为明显的季度性波动。这主要是由于公司从事大量的系统</w:t>
      </w:r>
    </w:p>
    <w:p>
      <w:pPr>
        <w:pStyle w:val="BodyText"/>
        <w:spacing w:line="237" w:lineRule="auto" w:before="1"/>
        <w:ind w:right="221"/>
        <w:jc w:val="both"/>
      </w:pPr>
      <w:r>
        <w:rPr/>
        <w:t>集成类业务，上半年新签订单增长较快，相应的公司物料采购和在产品库存增加，同时</w:t>
      </w:r>
      <w:r>
        <w:rPr>
          <w:spacing w:val="-51"/>
        </w:rPr>
        <w:t> </w:t>
      </w:r>
      <w:r>
        <w:rPr>
          <w:spacing w:val="-51"/>
        </w:rPr>
      </w:r>
      <w:r>
        <w:rPr/>
        <w:t>由于市场开拓力度的加大，销售费用相应增加，而下半年（尤其四季度）随着项目实施</w:t>
      </w:r>
      <w:r>
        <w:rPr>
          <w:spacing w:val="-51"/>
        </w:rPr>
        <w:t> </w:t>
      </w:r>
      <w:r>
        <w:rPr>
          <w:spacing w:val="-51"/>
        </w:rPr>
      </w:r>
      <w:r>
        <w:rPr/>
        <w:t>的完成，资金回笼速度加快。公司经营活动现金流量净额的季度性波动，可能对公司在</w:t>
      </w:r>
      <w:r>
        <w:rPr>
          <w:spacing w:val="-51"/>
        </w:rPr>
        <w:t> </w:t>
      </w:r>
      <w:r>
        <w:rPr>
          <w:spacing w:val="-51"/>
        </w:rPr>
      </w:r>
      <w:r>
        <w:rPr/>
        <w:t>某些特定时点的即期偿债能力产生一定影响。</w:t>
      </w:r>
    </w:p>
    <w:p>
      <w:pPr>
        <w:spacing w:line="240" w:lineRule="auto" w:before="7"/>
        <w:rPr>
          <w:rFonts w:ascii="宋体" w:hAnsi="宋体" w:cs="宋体" w:eastAsia="宋体" w:hint="default"/>
          <w:sz w:val="23"/>
          <w:szCs w:val="23"/>
        </w:rPr>
      </w:pPr>
    </w:p>
    <w:p>
      <w:pPr>
        <w:spacing w:line="475" w:lineRule="auto" w:before="0"/>
        <w:ind w:left="158" w:right="6408" w:firstLine="256"/>
        <w:jc w:val="left"/>
        <w:rPr>
          <w:rFonts w:ascii="宋体" w:hAnsi="宋体" w:cs="宋体" w:eastAsia="宋体" w:hint="default"/>
          <w:sz w:val="24"/>
          <w:szCs w:val="24"/>
        </w:rPr>
      </w:pPr>
      <w:r>
        <w:rPr>
          <w:rFonts w:ascii="宋体" w:hAnsi="宋体" w:cs="宋体" w:eastAsia="宋体" w:hint="default"/>
          <w:b/>
          <w:bCs/>
          <w:sz w:val="24"/>
          <w:szCs w:val="24"/>
        </w:rPr>
        <w:t>4</w:t>
      </w:r>
      <w:r>
        <w:rPr>
          <w:rFonts w:ascii="宋体" w:hAnsi="宋体" w:cs="宋体" w:eastAsia="宋体" w:hint="default"/>
          <w:b/>
          <w:bCs/>
          <w:sz w:val="24"/>
          <w:szCs w:val="24"/>
        </w:rPr>
        <w:t>、技术风险</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新技术研制与开发的风险</w:t>
      </w:r>
    </w:p>
    <w:p>
      <w:pPr>
        <w:pStyle w:val="BodyText"/>
        <w:spacing w:line="237" w:lineRule="auto" w:before="78"/>
        <w:ind w:right="221"/>
        <w:jc w:val="both"/>
      </w:pPr>
      <w:r>
        <w:rPr/>
        <w:t>公司把高新技术推广和产业化作为公司的核心竞争能力和业绩增长点，而高新技术的研</w:t>
      </w:r>
      <w:r>
        <w:rPr>
          <w:spacing w:val="-51"/>
        </w:rPr>
        <w:t> </w:t>
      </w:r>
      <w:r>
        <w:rPr>
          <w:spacing w:val="-51"/>
        </w:rPr>
      </w:r>
      <w:r>
        <w:rPr/>
        <w:t>制与开发是一种高投入、高风险、高回报的经营活动。尽管公司在高新技术和新产品开</w:t>
      </w:r>
      <w:r>
        <w:rPr>
          <w:spacing w:val="-51"/>
        </w:rPr>
        <w:t> </w:t>
      </w:r>
      <w:r>
        <w:rPr>
          <w:spacing w:val="-51"/>
        </w:rPr>
      </w:r>
      <w:r>
        <w:rPr/>
        <w:t>发之前，要对资金投入、市场前景、投资回报等因素进行权衡比较之后方可进入开发阶</w:t>
      </w:r>
      <w:r>
        <w:rPr>
          <w:spacing w:val="-51"/>
        </w:rPr>
        <w:t> </w:t>
      </w:r>
      <w:r>
        <w:rPr>
          <w:spacing w:val="-51"/>
        </w:rPr>
      </w:r>
      <w:r>
        <w:rPr/>
        <w:t>段，但由于技术发展、技术寿命的不确定性，以及未来市场对新技术产品和服务的不确</w:t>
      </w:r>
      <w:r>
        <w:rPr>
          <w:spacing w:val="-51"/>
        </w:rPr>
        <w:t> </w:t>
      </w:r>
      <w:r>
        <w:rPr>
          <w:spacing w:val="-51"/>
        </w:rPr>
      </w:r>
      <w:r>
        <w:rPr/>
        <w:t>定性，即使公司作了周密的市场调查和预测，仍存在着新产品的开发和产业化达不到预</w:t>
      </w:r>
      <w:r>
        <w:rPr>
          <w:spacing w:val="-51"/>
        </w:rPr>
        <w:t> </w:t>
      </w:r>
      <w:r>
        <w:rPr>
          <w:spacing w:val="-51"/>
        </w:rPr>
      </w:r>
      <w:r>
        <w:rPr/>
        <w:t>期目标的风险。</w:t>
      </w:r>
    </w:p>
    <w:p>
      <w:pPr>
        <w:spacing w:line="240" w:lineRule="auto" w:before="9"/>
        <w:rPr>
          <w:rFonts w:ascii="宋体" w:hAnsi="宋体" w:cs="宋体" w:eastAsia="宋体" w:hint="default"/>
          <w:sz w:val="23"/>
          <w:szCs w:val="23"/>
        </w:rPr>
      </w:pPr>
    </w:p>
    <w:p>
      <w:pPr>
        <w:pStyle w:val="BodyText"/>
        <w:spacing w:line="240" w:lineRule="auto"/>
        <w:ind w:right="0"/>
        <w:jc w:val="both"/>
      </w:pPr>
      <w:r>
        <w:rPr>
          <w:rFonts w:ascii="宋体" w:hAnsi="宋体" w:cs="宋体" w:eastAsia="宋体" w:hint="default"/>
        </w:rPr>
        <w:t>(2)</w:t>
      </w:r>
      <w:r>
        <w:rPr/>
        <w:t>技术时效性风险</w:t>
      </w:r>
    </w:p>
    <w:p>
      <w:pPr>
        <w:spacing w:line="240" w:lineRule="auto" w:before="10"/>
        <w:rPr>
          <w:rFonts w:ascii="宋体" w:hAnsi="宋体" w:cs="宋体" w:eastAsia="宋体" w:hint="default"/>
          <w:sz w:val="23"/>
          <w:szCs w:val="23"/>
        </w:rPr>
      </w:pPr>
    </w:p>
    <w:p>
      <w:pPr>
        <w:pStyle w:val="BodyText"/>
        <w:spacing w:line="237" w:lineRule="auto"/>
        <w:ind w:right="221"/>
        <w:jc w:val="both"/>
      </w:pPr>
      <w:r>
        <w:rPr/>
        <w:t>高新技术中任何创新的时效性都非常显著，一项高新技术如果不能在较短时间实现产业</w:t>
      </w:r>
      <w:r>
        <w:rPr>
          <w:spacing w:val="-51"/>
        </w:rPr>
        <w:t> </w:t>
      </w:r>
      <w:r>
        <w:rPr>
          <w:spacing w:val="-51"/>
        </w:rPr>
      </w:r>
      <w:r>
        <w:rPr/>
        <w:t>化、规模化，就面临被淘汰的风险。公司高新技术产品及服务的利润所含的科学技术知</w:t>
      </w:r>
      <w:r>
        <w:rPr>
          <w:spacing w:val="-51"/>
        </w:rPr>
        <w:t> </w:t>
      </w:r>
      <w:r>
        <w:rPr>
          <w:spacing w:val="-51"/>
        </w:rPr>
      </w:r>
      <w:r>
        <w:rPr/>
        <w:t>识具有一定的垄断性和排他性，然而垄断性往往具有很强的时效性，一旦技术未能在有</w:t>
      </w:r>
    </w:p>
    <w:p>
      <w:pPr>
        <w:spacing w:after="0" w:line="237" w:lineRule="auto"/>
        <w:jc w:val="both"/>
        <w:sectPr>
          <w:pgSz w:w="11910" w:h="16840"/>
          <w:pgMar w:header="628" w:footer="760" w:top="1080" w:bottom="960" w:left="1260" w:right="10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237" w:lineRule="auto" w:before="28"/>
        <w:ind w:right="207"/>
        <w:jc w:val="left"/>
      </w:pPr>
      <w:r>
        <w:rPr/>
        <w:t>效期内发挥作用，公司的收益水平将会有所降低，从而增加公司的经营风险。此外，知</w:t>
      </w:r>
      <w:r>
        <w:rPr>
          <w:spacing w:val="-51"/>
        </w:rPr>
        <w:t> </w:t>
      </w:r>
      <w:r>
        <w:rPr>
          <w:spacing w:val="-51"/>
        </w:rPr>
      </w:r>
      <w:r>
        <w:rPr>
          <w:spacing w:val="-1"/>
        </w:rPr>
        <w:t>识产权的保护是保持技术时效性的重要举措，公司每年申请大量的高新技术成果和专利，</w:t>
      </w:r>
      <w:r>
        <w:rPr/>
        <w:t> 但由于市场竞争的日趋激烈和个别竞争对手知识产权意识相对淡薄，公司存在着知识产</w:t>
      </w:r>
      <w:r>
        <w:rPr>
          <w:spacing w:val="-51"/>
        </w:rPr>
        <w:t> </w:t>
      </w:r>
      <w:r>
        <w:rPr>
          <w:spacing w:val="-51"/>
        </w:rPr>
      </w:r>
      <w:r>
        <w:rPr/>
        <w:t>权被侵犯，技术和产品被剽窃的风险，并有可能进而影响本公司的产品销售和收益。</w:t>
      </w:r>
    </w:p>
    <w:p>
      <w:pPr>
        <w:spacing w:line="240" w:lineRule="auto" w:before="7"/>
        <w:rPr>
          <w:rFonts w:ascii="宋体" w:hAnsi="宋体" w:cs="宋体" w:eastAsia="宋体" w:hint="default"/>
          <w:sz w:val="23"/>
          <w:szCs w:val="23"/>
        </w:rPr>
      </w:pPr>
    </w:p>
    <w:p>
      <w:pPr>
        <w:pStyle w:val="Heading3"/>
        <w:spacing w:line="240" w:lineRule="auto"/>
        <w:ind w:left="415" w:right="207"/>
        <w:jc w:val="left"/>
        <w:rPr>
          <w:b w:val="0"/>
          <w:bCs w:val="0"/>
        </w:rPr>
      </w:pPr>
      <w:r>
        <w:rPr>
          <w:rFonts w:ascii="宋体" w:hAnsi="宋体" w:cs="宋体" w:eastAsia="宋体" w:hint="default"/>
        </w:rPr>
        <w:t>5</w:t>
      </w:r>
      <w:r>
        <w:rPr/>
        <w:t>、人才竞争风险</w:t>
      </w:r>
      <w:r>
        <w:rPr>
          <w:b w:val="0"/>
          <w:bCs w:val="0"/>
        </w:rPr>
      </w:r>
    </w:p>
    <w:p>
      <w:pPr>
        <w:spacing w:line="240" w:lineRule="auto" w:before="2"/>
        <w:rPr>
          <w:rFonts w:ascii="宋体" w:hAnsi="宋体" w:cs="宋体" w:eastAsia="宋体" w:hint="default"/>
          <w:b/>
          <w:bCs/>
          <w:sz w:val="26"/>
          <w:szCs w:val="26"/>
        </w:rPr>
      </w:pPr>
    </w:p>
    <w:p>
      <w:pPr>
        <w:pStyle w:val="BodyText"/>
        <w:spacing w:line="310" w:lineRule="exact"/>
        <w:ind w:right="332"/>
        <w:jc w:val="left"/>
      </w:pPr>
      <w:r>
        <w:rPr/>
        <w:t>截至</w:t>
      </w:r>
      <w:r>
        <w:rPr>
          <w:spacing w:val="-57"/>
        </w:rPr>
        <w:t> </w:t>
      </w:r>
      <w:r>
        <w:rPr>
          <w:rFonts w:ascii="宋体" w:hAnsi="宋体" w:cs="宋体" w:eastAsia="宋体" w:hint="default"/>
        </w:rPr>
        <w:t>2015</w:t>
      </w:r>
      <w:r>
        <w:rPr>
          <w:rFonts w:ascii="宋体" w:hAnsi="宋体" w:cs="宋体" w:eastAsia="宋体" w:hint="default"/>
          <w:spacing w:val="-57"/>
        </w:rPr>
        <w:t> </w:t>
      </w:r>
      <w:r>
        <w:rPr/>
        <w:t>年</w:t>
      </w:r>
      <w:r>
        <w:rPr>
          <w:spacing w:val="-57"/>
        </w:rPr>
        <w:t> </w:t>
      </w:r>
      <w:r>
        <w:rPr>
          <w:rFonts w:ascii="宋体" w:hAnsi="宋体" w:cs="宋体" w:eastAsia="宋体" w:hint="default"/>
        </w:rPr>
        <w:t>12</w:t>
      </w:r>
      <w:r>
        <w:rPr>
          <w:rFonts w:ascii="宋体" w:hAnsi="宋体" w:cs="宋体" w:eastAsia="宋体" w:hint="default"/>
          <w:spacing w:val="-57"/>
        </w:rPr>
        <w:t> </w:t>
      </w:r>
      <w:r>
        <w:rPr/>
        <w:t>月</w:t>
      </w:r>
      <w:r>
        <w:rPr>
          <w:spacing w:val="-57"/>
        </w:rPr>
        <w:t> </w:t>
      </w:r>
      <w:r>
        <w:rPr>
          <w:rFonts w:ascii="宋体" w:hAnsi="宋体" w:cs="宋体" w:eastAsia="宋体" w:hint="default"/>
        </w:rPr>
        <w:t>31</w:t>
      </w:r>
      <w:r>
        <w:rPr>
          <w:rFonts w:ascii="宋体" w:hAnsi="宋体" w:cs="宋体" w:eastAsia="宋体" w:hint="default"/>
          <w:spacing w:val="-57"/>
        </w:rPr>
        <w:t> </w:t>
      </w:r>
      <w:r>
        <w:rPr>
          <w:spacing w:val="-3"/>
        </w:rPr>
        <w:t>日，公司研发和工程技术人员占公司员工的比例为</w:t>
      </w:r>
      <w:r>
        <w:rPr>
          <w:spacing w:val="-56"/>
        </w:rPr>
        <w:t> </w:t>
      </w:r>
      <w:r>
        <w:rPr>
          <w:rFonts w:ascii="宋体" w:hAnsi="宋体" w:cs="宋体" w:eastAsia="宋体" w:hint="default"/>
          <w:spacing w:val="-6"/>
        </w:rPr>
        <w:t>31.21%</w:t>
      </w:r>
      <w:r>
        <w:rPr>
          <w:spacing w:val="-6"/>
        </w:rPr>
        <w:t>，大批优</w:t>
      </w:r>
      <w:r>
        <w:rPr/>
        <w:t> 秀人才确保了公司在安防系统、智慧城市、物联网等领域处于国际或国内领先水平。杰</w:t>
      </w:r>
    </w:p>
    <w:p>
      <w:pPr>
        <w:pStyle w:val="BodyText"/>
        <w:spacing w:line="283" w:lineRule="exact"/>
        <w:ind w:right="0"/>
        <w:jc w:val="left"/>
      </w:pPr>
      <w:r>
        <w:rPr/>
        <w:t>出的科技人才和高素质的技术开发队伍形成的综合技术竞争力是公司的核心竞争力所在，</w:t>
      </w:r>
    </w:p>
    <w:p>
      <w:pPr>
        <w:pStyle w:val="BodyText"/>
        <w:spacing w:line="310" w:lineRule="exact" w:before="31"/>
        <w:ind w:right="207"/>
        <w:jc w:val="left"/>
      </w:pPr>
      <w:r>
        <w:rPr/>
        <w:t>稳定和壮大科技人才队伍对本公司的生存和发展尤为重要。公司产品的开发、生产、质 量保证和更新换代等将主要依赖参与研发的技术开发人员。</w:t>
      </w:r>
    </w:p>
    <w:p>
      <w:pPr>
        <w:spacing w:line="240" w:lineRule="auto" w:before="13"/>
        <w:rPr>
          <w:rFonts w:ascii="宋体" w:hAnsi="宋体" w:cs="宋体" w:eastAsia="宋体" w:hint="default"/>
          <w:sz w:val="23"/>
          <w:szCs w:val="23"/>
        </w:rPr>
      </w:pPr>
    </w:p>
    <w:p>
      <w:pPr>
        <w:pStyle w:val="BodyText"/>
        <w:spacing w:line="310" w:lineRule="exact"/>
        <w:ind w:right="207"/>
        <w:jc w:val="left"/>
      </w:pPr>
      <w:r>
        <w:rPr>
          <w:spacing w:val="-1"/>
        </w:rPr>
        <w:t>随着高新技术国际竞争的加剧和社会对高新技术人才需求的增大，高新技术人才在国际、</w:t>
      </w:r>
      <w:r>
        <w:rPr/>
        <w:t> 国内流动变得较为频繁，企业间竞争已经演变成人力的竞争。若公司无法建立有效的吸</w:t>
      </w:r>
    </w:p>
    <w:p>
      <w:pPr>
        <w:pStyle w:val="BodyText"/>
        <w:spacing w:line="312" w:lineRule="exact"/>
        <w:ind w:right="207"/>
        <w:jc w:val="left"/>
      </w:pPr>
      <w:r>
        <w:rPr/>
        <w:t>引人才、稳定人才的管理机制，提供股权激励等制度上的保障，将弱化公司持续创新能</w:t>
      </w:r>
      <w:r>
        <w:rPr>
          <w:spacing w:val="-51"/>
        </w:rPr>
        <w:t> </w:t>
      </w:r>
      <w:r>
        <w:rPr>
          <w:spacing w:val="-51"/>
        </w:rPr>
      </w:r>
      <w:r>
        <w:rPr/>
        <w:t>力，难以适应国际化竞争。</w:t>
      </w:r>
    </w:p>
    <w:p>
      <w:pPr>
        <w:spacing w:line="240" w:lineRule="auto" w:before="0"/>
        <w:rPr>
          <w:rFonts w:ascii="宋体" w:hAnsi="宋体" w:cs="宋体" w:eastAsia="宋体" w:hint="default"/>
          <w:sz w:val="24"/>
          <w:szCs w:val="24"/>
        </w:rPr>
      </w:pPr>
    </w:p>
    <w:p>
      <w:pPr>
        <w:pStyle w:val="Heading2"/>
        <w:spacing w:line="240" w:lineRule="auto" w:before="199"/>
        <w:ind w:left="158" w:right="207"/>
        <w:jc w:val="left"/>
      </w:pPr>
      <w:r>
        <w:rPr/>
        <w:t>四、公司因不适用准则规定或特殊原因，未按准则披露的情况和原因说明</w:t>
      </w:r>
    </w:p>
    <w:p>
      <w:pPr>
        <w:spacing w:line="240" w:lineRule="auto" w:before="8"/>
        <w:rPr>
          <w:rFonts w:ascii="黑体" w:hAnsi="黑体" w:cs="黑体" w:eastAsia="黑体" w:hint="default"/>
          <w:sz w:val="28"/>
          <w:szCs w:val="28"/>
        </w:rPr>
      </w:pPr>
    </w:p>
    <w:p>
      <w:pPr>
        <w:pStyle w:val="BodyText"/>
        <w:spacing w:line="240" w:lineRule="auto"/>
        <w:ind w:right="207"/>
        <w:jc w:val="left"/>
      </w:pPr>
      <w:r>
        <w:rPr/>
        <w:t>不适用。</w:t>
      </w:r>
    </w:p>
    <w:p>
      <w:pPr>
        <w:spacing w:after="0" w:line="240" w:lineRule="auto"/>
        <w:jc w:val="left"/>
        <w:sectPr>
          <w:pgSz w:w="11910" w:h="16840"/>
          <w:pgMar w:header="628" w:footer="760" w:top="1080" w:bottom="960" w:left="1260" w:right="9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spacing w:before="0"/>
        <w:ind w:left="238" w:right="110" w:firstLine="3526"/>
        <w:jc w:val="left"/>
        <w:rPr>
          <w:rFonts w:ascii="黑体" w:hAnsi="黑体" w:cs="黑体" w:eastAsia="黑体" w:hint="default"/>
          <w:sz w:val="32"/>
          <w:szCs w:val="32"/>
        </w:rPr>
      </w:pPr>
      <w:r>
        <w:rPr>
          <w:rFonts w:ascii="黑体" w:hAnsi="黑体" w:cs="黑体" w:eastAsia="黑体" w:hint="default"/>
          <w:sz w:val="32"/>
          <w:szCs w:val="32"/>
        </w:rPr>
        <w:t>第五章</w:t>
      </w:r>
      <w:r>
        <w:rPr>
          <w:rFonts w:ascii="黑体" w:hAnsi="黑体" w:cs="黑体" w:eastAsia="黑体" w:hint="default"/>
          <w:spacing w:val="-3"/>
          <w:sz w:val="32"/>
          <w:szCs w:val="32"/>
        </w:rPr>
        <w:t> </w:t>
      </w:r>
      <w:r>
        <w:rPr>
          <w:rFonts w:ascii="黑体" w:hAnsi="黑体" w:cs="黑体" w:eastAsia="黑体" w:hint="default"/>
          <w:b/>
          <w:bCs/>
          <w:sz w:val="32"/>
          <w:szCs w:val="32"/>
        </w:rPr>
        <w:t>重要事项</w:t>
      </w:r>
      <w:r>
        <w:rPr>
          <w:rFonts w:ascii="黑体" w:hAnsi="黑体" w:cs="黑体" w:eastAsia="黑体" w:hint="default"/>
          <w:sz w:val="32"/>
          <w:szCs w:val="32"/>
        </w:rPr>
      </w:r>
    </w:p>
    <w:p>
      <w:pPr>
        <w:spacing w:line="240" w:lineRule="auto" w:before="0"/>
        <w:rPr>
          <w:rFonts w:ascii="黑体" w:hAnsi="黑体" w:cs="黑体" w:eastAsia="黑体" w:hint="default"/>
          <w:b/>
          <w:bCs/>
          <w:sz w:val="32"/>
          <w:szCs w:val="32"/>
        </w:rPr>
      </w:pPr>
    </w:p>
    <w:p>
      <w:pPr>
        <w:spacing w:line="240" w:lineRule="auto" w:before="3"/>
        <w:rPr>
          <w:rFonts w:ascii="黑体" w:hAnsi="黑体" w:cs="黑体" w:eastAsia="黑体" w:hint="default"/>
          <w:b/>
          <w:bCs/>
          <w:sz w:val="38"/>
          <w:szCs w:val="38"/>
        </w:rPr>
      </w:pPr>
    </w:p>
    <w:p>
      <w:pPr>
        <w:pStyle w:val="Heading2"/>
        <w:spacing w:line="240" w:lineRule="auto"/>
        <w:ind w:right="0"/>
        <w:jc w:val="both"/>
      </w:pPr>
      <w:r>
        <w:rPr/>
        <w:t>一、普通股利润分配或资本公积金转增股本预案</w:t>
      </w:r>
    </w:p>
    <w:p>
      <w:pPr>
        <w:spacing w:line="240" w:lineRule="auto" w:before="8"/>
        <w:rPr>
          <w:rFonts w:ascii="黑体" w:hAnsi="黑体" w:cs="黑体" w:eastAsia="黑体" w:hint="default"/>
          <w:sz w:val="28"/>
          <w:szCs w:val="28"/>
        </w:rPr>
      </w:pPr>
    </w:p>
    <w:p>
      <w:pPr>
        <w:spacing w:line="477" w:lineRule="auto" w:before="0"/>
        <w:ind w:left="238" w:right="728" w:firstLine="256"/>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一</w:t>
      </w:r>
      <w:r>
        <w:rPr>
          <w:rFonts w:ascii="宋体" w:hAnsi="宋体" w:cs="宋体" w:eastAsia="宋体" w:hint="default"/>
          <w:b/>
          <w:bCs/>
          <w:sz w:val="24"/>
          <w:szCs w:val="24"/>
        </w:rPr>
        <w:t>)</w:t>
      </w:r>
      <w:r>
        <w:rPr>
          <w:rFonts w:ascii="宋体" w:hAnsi="宋体" w:cs="宋体" w:eastAsia="宋体" w:hint="default"/>
          <w:b/>
          <w:bCs/>
          <w:sz w:val="24"/>
          <w:szCs w:val="24"/>
        </w:rPr>
        <w:t>现金红政策的制定、执行或调整情况</w:t>
      </w:r>
      <w:r>
        <w:rPr>
          <w:rFonts w:ascii="宋体" w:hAnsi="宋体" w:cs="宋体" w:eastAsia="宋体" w:hint="default"/>
          <w:b/>
          <w:bCs/>
          <w:w w:val="99"/>
          <w:sz w:val="24"/>
          <w:szCs w:val="24"/>
        </w:rPr>
        <w:t> </w:t>
      </w:r>
      <w:r>
        <w:rPr>
          <w:rFonts w:ascii="宋体" w:hAnsi="宋体" w:cs="宋体" w:eastAsia="宋体" w:hint="default"/>
          <w:sz w:val="24"/>
          <w:szCs w:val="24"/>
        </w:rPr>
        <w:t>本年度，公司未对分红政策进行调整。</w:t>
      </w:r>
      <w:r>
        <w:rPr>
          <w:rFonts w:ascii="宋体" w:hAnsi="宋体" w:cs="宋体" w:eastAsia="宋体" w:hint="default"/>
          <w:sz w:val="24"/>
          <w:szCs w:val="24"/>
        </w:rPr>
        <w:t>2015</w:t>
      </w:r>
      <w:r>
        <w:rPr>
          <w:rFonts w:ascii="宋体" w:hAnsi="宋体" w:cs="宋体" w:eastAsia="宋体" w:hint="default"/>
          <w:spacing w:val="-60"/>
          <w:sz w:val="24"/>
          <w:szCs w:val="24"/>
        </w:rPr>
        <w:t> </w:t>
      </w:r>
      <w:r>
        <w:rPr>
          <w:rFonts w:ascii="宋体" w:hAnsi="宋体" w:cs="宋体" w:eastAsia="宋体" w:hint="default"/>
          <w:sz w:val="24"/>
          <w:szCs w:val="24"/>
        </w:rPr>
        <w:t>年度内公司分红政策的执行情况如下：</w:t>
      </w:r>
    </w:p>
    <w:p>
      <w:pPr>
        <w:pStyle w:val="BodyText"/>
        <w:spacing w:line="313" w:lineRule="exact" w:before="70"/>
        <w:ind w:left="238" w:right="0"/>
        <w:jc w:val="both"/>
      </w:pPr>
      <w:r>
        <w:rPr>
          <w:rFonts w:ascii="宋体" w:hAnsi="宋体" w:cs="宋体" w:eastAsia="宋体" w:hint="default"/>
        </w:rPr>
        <w:t>2015</w:t>
      </w:r>
      <w:r>
        <w:rPr>
          <w:rFonts w:ascii="宋体" w:hAnsi="宋体" w:cs="宋体" w:eastAsia="宋体" w:hint="default"/>
          <w:spacing w:val="-58"/>
        </w:rPr>
        <w:t> </w:t>
      </w:r>
      <w:r>
        <w:rPr/>
        <w:t>年</w:t>
      </w:r>
      <w:r>
        <w:rPr>
          <w:spacing w:val="-58"/>
        </w:rPr>
        <w:t> </w:t>
      </w:r>
      <w:r>
        <w:rPr>
          <w:rFonts w:ascii="宋体" w:hAnsi="宋体" w:cs="宋体" w:eastAsia="宋体" w:hint="default"/>
        </w:rPr>
        <w:t>4</w:t>
      </w:r>
      <w:r>
        <w:rPr>
          <w:rFonts w:ascii="宋体" w:hAnsi="宋体" w:cs="宋体" w:eastAsia="宋体" w:hint="default"/>
          <w:spacing w:val="-58"/>
        </w:rPr>
        <w:t> </w:t>
      </w:r>
      <w:r>
        <w:rPr/>
        <w:t>月</w:t>
      </w:r>
      <w:r>
        <w:rPr>
          <w:spacing w:val="-58"/>
        </w:rPr>
        <w:t> </w:t>
      </w:r>
      <w:r>
        <w:rPr>
          <w:rFonts w:ascii="宋体" w:hAnsi="宋体" w:cs="宋体" w:eastAsia="宋体" w:hint="default"/>
        </w:rPr>
        <w:t>14</w:t>
      </w:r>
      <w:r>
        <w:rPr>
          <w:rFonts w:ascii="宋体" w:hAnsi="宋体" w:cs="宋体" w:eastAsia="宋体" w:hint="default"/>
          <w:spacing w:val="-58"/>
        </w:rPr>
        <w:t> </w:t>
      </w:r>
      <w:r>
        <w:rPr/>
        <w:t>日，公司披露了《关于</w:t>
      </w:r>
      <w:r>
        <w:rPr>
          <w:spacing w:val="-57"/>
        </w:rPr>
        <w:t> </w:t>
      </w:r>
      <w:r>
        <w:rPr>
          <w:rFonts w:ascii="宋体" w:hAnsi="宋体" w:cs="宋体" w:eastAsia="宋体" w:hint="default"/>
        </w:rPr>
        <w:t>2014</w:t>
      </w:r>
      <w:r>
        <w:rPr>
          <w:rFonts w:ascii="宋体" w:hAnsi="宋体" w:cs="宋体" w:eastAsia="宋体" w:hint="default"/>
          <w:spacing w:val="-56"/>
        </w:rPr>
        <w:t> </w:t>
      </w:r>
      <w:r>
        <w:rPr/>
        <w:t>年度利润分派实施方案征求股东及投资者意</w:t>
      </w:r>
    </w:p>
    <w:p>
      <w:pPr>
        <w:pStyle w:val="BodyText"/>
        <w:spacing w:line="237" w:lineRule="auto" w:before="1"/>
        <w:ind w:left="238" w:right="241"/>
        <w:jc w:val="both"/>
      </w:pPr>
      <w:r>
        <w:rPr>
          <w:spacing w:val="-14"/>
        </w:rPr>
        <w:t>见的公告》，就公司</w:t>
      </w:r>
      <w:r>
        <w:rPr/>
        <w:t> </w:t>
      </w:r>
      <w:r>
        <w:rPr>
          <w:rFonts w:ascii="宋体" w:hAnsi="宋体" w:cs="宋体" w:eastAsia="宋体" w:hint="default"/>
        </w:rPr>
        <w:t>2014</w:t>
      </w:r>
      <w:r>
        <w:rPr>
          <w:rFonts w:ascii="宋体" w:hAnsi="宋体" w:cs="宋体" w:eastAsia="宋体" w:hint="default"/>
          <w:spacing w:val="-34"/>
        </w:rPr>
        <w:t> </w:t>
      </w:r>
      <w:r>
        <w:rPr/>
        <w:t>年度利润分配方案征求了中小股东的意见，为中小股东充分表 达意见和诉求提供了机会和平台，充分维护了中小股东的合法权益。在征求意见期间，</w:t>
      </w:r>
      <w:r>
        <w:rPr>
          <w:spacing w:val="-51"/>
        </w:rPr>
        <w:t> </w:t>
      </w:r>
      <w:r>
        <w:rPr>
          <w:spacing w:val="-51"/>
        </w:rPr>
      </w:r>
      <w:r>
        <w:rPr/>
        <w:t>公司共收到中小股东以电子邮件和书面方式发来的意见</w:t>
      </w:r>
      <w:r>
        <w:rPr>
          <w:spacing w:val="-75"/>
        </w:rPr>
        <w:t> </w:t>
      </w:r>
      <w:r>
        <w:rPr>
          <w:rFonts w:ascii="宋体" w:hAnsi="宋体" w:cs="宋体" w:eastAsia="宋体" w:hint="default"/>
        </w:rPr>
        <w:t>146</w:t>
      </w:r>
      <w:r>
        <w:rPr>
          <w:rFonts w:ascii="宋体" w:hAnsi="宋体" w:cs="宋体" w:eastAsia="宋体" w:hint="default"/>
          <w:spacing w:val="-76"/>
        </w:rPr>
        <w:t> </w:t>
      </w:r>
      <w:r>
        <w:rPr>
          <w:spacing w:val="-10"/>
        </w:rPr>
        <w:t>份。在征求中小股东意见后，</w:t>
      </w:r>
      <w:r>
        <w:rPr/>
        <w:t> 并充分考虑到公司所处阶段和经营规划，在符合公司现金分红政策规定的前提下，公司</w:t>
      </w:r>
      <w:r>
        <w:rPr>
          <w:spacing w:val="-51"/>
        </w:rPr>
        <w:t> </w:t>
      </w:r>
      <w:r>
        <w:rPr>
          <w:spacing w:val="-51"/>
        </w:rPr>
      </w:r>
      <w:r>
        <w:rPr/>
        <w:t>于</w:t>
      </w:r>
      <w:r>
        <w:rPr>
          <w:spacing w:val="-58"/>
        </w:rPr>
        <w:t> </w:t>
      </w:r>
      <w:r>
        <w:rPr>
          <w:rFonts w:ascii="宋体" w:hAnsi="宋体" w:cs="宋体" w:eastAsia="宋体" w:hint="default"/>
        </w:rPr>
        <w:t>2015</w:t>
      </w:r>
      <w:r>
        <w:rPr>
          <w:rFonts w:ascii="宋体" w:hAnsi="宋体" w:cs="宋体" w:eastAsia="宋体" w:hint="default"/>
          <w:spacing w:val="-58"/>
        </w:rPr>
        <w:t> </w:t>
      </w:r>
      <w:r>
        <w:rPr/>
        <w:t>年</w:t>
      </w:r>
      <w:r>
        <w:rPr>
          <w:spacing w:val="-58"/>
        </w:rPr>
        <w:t> </w:t>
      </w:r>
      <w:r>
        <w:rPr>
          <w:rFonts w:ascii="宋体" w:hAnsi="宋体" w:cs="宋体" w:eastAsia="宋体" w:hint="default"/>
        </w:rPr>
        <w:t>4</w:t>
      </w:r>
      <w:r>
        <w:rPr>
          <w:rFonts w:ascii="宋体" w:hAnsi="宋体" w:cs="宋体" w:eastAsia="宋体" w:hint="default"/>
          <w:spacing w:val="-58"/>
        </w:rPr>
        <w:t> </w:t>
      </w:r>
      <w:r>
        <w:rPr/>
        <w:t>月</w:t>
      </w:r>
      <w:r>
        <w:rPr>
          <w:spacing w:val="-58"/>
        </w:rPr>
        <w:t> </w:t>
      </w:r>
      <w:r>
        <w:rPr>
          <w:rFonts w:ascii="宋体" w:hAnsi="宋体" w:cs="宋体" w:eastAsia="宋体" w:hint="default"/>
        </w:rPr>
        <w:t>24</w:t>
      </w:r>
      <w:r>
        <w:rPr>
          <w:rFonts w:ascii="宋体" w:hAnsi="宋体" w:cs="宋体" w:eastAsia="宋体" w:hint="default"/>
          <w:spacing w:val="-58"/>
        </w:rPr>
        <w:t> </w:t>
      </w:r>
      <w:r>
        <w:rPr/>
        <w:t>日召开了第六届董事会战略委员会第四次会议，初步拟定了公司</w:t>
      </w:r>
      <w:r>
        <w:rPr>
          <w:spacing w:val="-57"/>
        </w:rPr>
        <w:t> </w:t>
      </w:r>
      <w:r>
        <w:rPr>
          <w:rFonts w:ascii="宋体" w:hAnsi="宋体" w:cs="宋体" w:eastAsia="宋体" w:hint="default"/>
        </w:rPr>
        <w:t>2014 </w:t>
      </w:r>
      <w:r>
        <w:rPr/>
        <w:t>年度利润分配和资本公积不转增股本的方案，并提交第六届董事会第十八次会议予以了</w:t>
      </w:r>
      <w:r>
        <w:rPr>
          <w:spacing w:val="-51"/>
        </w:rPr>
        <w:t> </w:t>
      </w:r>
      <w:r>
        <w:rPr>
          <w:spacing w:val="-51"/>
        </w:rPr>
      </w:r>
      <w:r>
        <w:rPr>
          <w:spacing w:val="-3"/>
        </w:rPr>
        <w:t>审议，独立董事就公司董事会拟定的</w:t>
      </w:r>
      <w:r>
        <w:rPr>
          <w:spacing w:val="-56"/>
        </w:rPr>
        <w:t> </w:t>
      </w:r>
      <w:r>
        <w:rPr>
          <w:rFonts w:ascii="宋体" w:hAnsi="宋体" w:cs="宋体" w:eastAsia="宋体" w:hint="default"/>
        </w:rPr>
        <w:t>2014</w:t>
      </w:r>
      <w:r>
        <w:rPr>
          <w:rFonts w:ascii="宋体" w:hAnsi="宋体" w:cs="宋体" w:eastAsia="宋体" w:hint="default"/>
          <w:spacing w:val="-56"/>
        </w:rPr>
        <w:t> </w:t>
      </w:r>
      <w:r>
        <w:rPr/>
        <w:t>年度利润分配和资本公积金不转增股本预案发</w:t>
      </w:r>
    </w:p>
    <w:p>
      <w:pPr>
        <w:pStyle w:val="BodyText"/>
        <w:spacing w:line="312" w:lineRule="exact"/>
        <w:ind w:left="238" w:right="0"/>
        <w:jc w:val="both"/>
      </w:pPr>
      <w:r>
        <w:rPr/>
        <w:t>表了独立意见。公司</w:t>
      </w:r>
      <w:r>
        <w:rPr>
          <w:spacing w:val="-61"/>
        </w:rPr>
        <w:t> </w:t>
      </w:r>
      <w:r>
        <w:rPr>
          <w:rFonts w:ascii="宋体" w:hAnsi="宋体" w:cs="宋体" w:eastAsia="宋体" w:hint="default"/>
        </w:rPr>
        <w:t>2014</w:t>
      </w:r>
      <w:r>
        <w:rPr>
          <w:rFonts w:ascii="宋体" w:hAnsi="宋体" w:cs="宋体" w:eastAsia="宋体" w:hint="default"/>
          <w:spacing w:val="-60"/>
        </w:rPr>
        <w:t> </w:t>
      </w:r>
      <w:r>
        <w:rPr/>
        <w:t>年度利润分配方案最终经公司</w:t>
      </w:r>
      <w:r>
        <w:rPr>
          <w:spacing w:val="-60"/>
        </w:rPr>
        <w:t> </w:t>
      </w:r>
      <w:r>
        <w:rPr>
          <w:rFonts w:ascii="宋体" w:hAnsi="宋体" w:cs="宋体" w:eastAsia="宋体" w:hint="default"/>
        </w:rPr>
        <w:t>2014</w:t>
      </w:r>
      <w:r>
        <w:rPr>
          <w:rFonts w:ascii="宋体" w:hAnsi="宋体" w:cs="宋体" w:eastAsia="宋体" w:hint="default"/>
          <w:spacing w:val="-60"/>
        </w:rPr>
        <w:t> </w:t>
      </w:r>
      <w:r>
        <w:rPr/>
        <w:t>年度股东大会审议批准。</w:t>
      </w:r>
    </w:p>
    <w:p>
      <w:pPr>
        <w:spacing w:line="240" w:lineRule="auto" w:before="7"/>
        <w:rPr>
          <w:rFonts w:ascii="宋体" w:hAnsi="宋体" w:cs="宋体" w:eastAsia="宋体" w:hint="default"/>
          <w:sz w:val="23"/>
          <w:szCs w:val="23"/>
        </w:rPr>
      </w:pPr>
    </w:p>
    <w:p>
      <w:pPr>
        <w:pStyle w:val="BodyText"/>
        <w:spacing w:line="313" w:lineRule="exact"/>
        <w:ind w:left="238" w:right="0"/>
        <w:jc w:val="both"/>
      </w:pPr>
      <w:r>
        <w:rPr>
          <w:rFonts w:ascii="宋体" w:hAnsi="宋体" w:cs="宋体" w:eastAsia="宋体" w:hint="default"/>
        </w:rPr>
        <w:t>2015</w:t>
      </w:r>
      <w:r>
        <w:rPr>
          <w:rFonts w:ascii="宋体" w:hAnsi="宋体" w:cs="宋体" w:eastAsia="宋体" w:hint="default"/>
          <w:spacing w:val="-60"/>
        </w:rPr>
        <w:t> </w:t>
      </w:r>
      <w:r>
        <w:rPr/>
        <w:t>年</w:t>
      </w:r>
      <w:r>
        <w:rPr>
          <w:spacing w:val="-61"/>
        </w:rPr>
        <w:t> </w:t>
      </w:r>
      <w:r>
        <w:rPr>
          <w:rFonts w:ascii="宋体" w:hAnsi="宋体" w:cs="宋体" w:eastAsia="宋体" w:hint="default"/>
        </w:rPr>
        <w:t>7</w:t>
      </w:r>
      <w:r>
        <w:rPr>
          <w:rFonts w:ascii="宋体" w:hAnsi="宋体" w:cs="宋体" w:eastAsia="宋体" w:hint="default"/>
          <w:spacing w:val="-60"/>
        </w:rPr>
        <w:t> </w:t>
      </w:r>
      <w:r>
        <w:rPr/>
        <w:t>月</w:t>
      </w:r>
      <w:r>
        <w:rPr>
          <w:spacing w:val="-60"/>
        </w:rPr>
        <w:t> </w:t>
      </w:r>
      <w:r>
        <w:rPr>
          <w:rFonts w:ascii="宋体" w:hAnsi="宋体" w:cs="宋体" w:eastAsia="宋体" w:hint="default"/>
        </w:rPr>
        <w:t>9</w:t>
      </w:r>
      <w:r>
        <w:rPr>
          <w:rFonts w:ascii="宋体" w:hAnsi="宋体" w:cs="宋体" w:eastAsia="宋体" w:hint="default"/>
          <w:spacing w:val="-60"/>
        </w:rPr>
        <w:t> </w:t>
      </w:r>
      <w:r>
        <w:rPr/>
        <w:t>日</w:t>
      </w:r>
      <w:r>
        <w:rPr>
          <w:spacing w:val="-12"/>
        </w:rPr>
        <w:t>，</w:t>
      </w:r>
      <w:r>
        <w:rPr/>
        <w:t>公司披露</w:t>
      </w:r>
      <w:r>
        <w:rPr>
          <w:spacing w:val="-12"/>
        </w:rPr>
        <w:t>了</w:t>
      </w:r>
      <w:r>
        <w:rPr/>
        <w:t>《</w:t>
      </w:r>
      <w:r>
        <w:rPr>
          <w:rFonts w:ascii="宋体" w:hAnsi="宋体" w:cs="宋体" w:eastAsia="宋体" w:hint="default"/>
        </w:rPr>
        <w:t>2014</w:t>
      </w:r>
      <w:r>
        <w:rPr>
          <w:rFonts w:ascii="宋体" w:hAnsi="宋体" w:cs="宋体" w:eastAsia="宋体" w:hint="default"/>
          <w:spacing w:val="-60"/>
        </w:rPr>
        <w:t> </w:t>
      </w:r>
      <w:r>
        <w:rPr/>
        <w:t>年度利润分配实施公告</w:t>
      </w:r>
      <w:r>
        <w:rPr>
          <w:spacing w:val="-120"/>
        </w:rPr>
        <w:t>》</w:t>
      </w:r>
      <w:r>
        <w:rPr>
          <w:spacing w:val="-12"/>
        </w:rPr>
        <w:t>，</w:t>
      </w:r>
      <w:r>
        <w:rPr/>
        <w:t>实施了</w:t>
      </w:r>
      <w:r>
        <w:rPr>
          <w:spacing w:val="-59"/>
        </w:rPr>
        <w:t> </w:t>
      </w:r>
      <w:r>
        <w:rPr>
          <w:rFonts w:ascii="宋体" w:hAnsi="宋体" w:cs="宋体" w:eastAsia="宋体" w:hint="default"/>
        </w:rPr>
        <w:t>2014</w:t>
      </w:r>
      <w:r>
        <w:rPr>
          <w:rFonts w:ascii="宋体" w:hAnsi="宋体" w:cs="宋体" w:eastAsia="宋体" w:hint="default"/>
          <w:spacing w:val="-60"/>
        </w:rPr>
        <w:t> </w:t>
      </w:r>
      <w:r>
        <w:rPr/>
        <w:t>年度利润分</w:t>
      </w:r>
    </w:p>
    <w:p>
      <w:pPr>
        <w:pStyle w:val="BodyText"/>
        <w:spacing w:line="311" w:lineRule="exact"/>
        <w:ind w:left="238" w:right="0"/>
        <w:jc w:val="both"/>
      </w:pPr>
      <w:r>
        <w:rPr/>
        <w:t>配方案，以公司发行后的总股本</w:t>
      </w:r>
      <w:r>
        <w:rPr>
          <w:spacing w:val="-70"/>
        </w:rPr>
        <w:t> </w:t>
      </w:r>
      <w:r>
        <w:rPr>
          <w:rFonts w:ascii="宋体" w:hAnsi="宋体" w:cs="宋体" w:eastAsia="宋体" w:hint="default"/>
        </w:rPr>
        <w:t>2,963,898,951</w:t>
      </w:r>
      <w:r>
        <w:rPr>
          <w:rFonts w:ascii="宋体" w:hAnsi="宋体" w:cs="宋体" w:eastAsia="宋体" w:hint="default"/>
          <w:spacing w:val="-70"/>
        </w:rPr>
        <w:t> </w:t>
      </w:r>
      <w:r>
        <w:rPr/>
        <w:t>股为基准，向全体股东以每</w:t>
      </w:r>
      <w:r>
        <w:rPr>
          <w:spacing w:val="-70"/>
        </w:rPr>
        <w:t> </w:t>
      </w:r>
      <w:r>
        <w:rPr>
          <w:rFonts w:ascii="宋体" w:hAnsi="宋体" w:cs="宋体" w:eastAsia="宋体" w:hint="default"/>
        </w:rPr>
        <w:t>10</w:t>
      </w:r>
      <w:r>
        <w:rPr>
          <w:rFonts w:ascii="宋体" w:hAnsi="宋体" w:cs="宋体" w:eastAsia="宋体" w:hint="default"/>
          <w:spacing w:val="-70"/>
        </w:rPr>
        <w:t> </w:t>
      </w:r>
      <w:r>
        <w:rPr/>
        <w:t>股派送现</w:t>
      </w:r>
    </w:p>
    <w:p>
      <w:pPr>
        <w:pStyle w:val="BodyText"/>
        <w:spacing w:line="312" w:lineRule="exact"/>
        <w:ind w:left="238" w:right="0"/>
        <w:jc w:val="both"/>
      </w:pPr>
      <w:r>
        <w:rPr/>
        <w:t>金红利</w:t>
      </w:r>
      <w:r>
        <w:rPr>
          <w:spacing w:val="-61"/>
        </w:rPr>
        <w:t> </w:t>
      </w:r>
      <w:r>
        <w:rPr>
          <w:rFonts w:ascii="宋体" w:hAnsi="宋体" w:cs="宋体" w:eastAsia="宋体" w:hint="default"/>
        </w:rPr>
        <w:t>0.8</w:t>
      </w:r>
      <w:r>
        <w:rPr>
          <w:rFonts w:ascii="宋体" w:hAnsi="宋体" w:cs="宋体" w:eastAsia="宋体" w:hint="default"/>
          <w:spacing w:val="-60"/>
        </w:rPr>
        <w:t> </w:t>
      </w:r>
      <w:r>
        <w:rPr/>
        <w:t>元</w:t>
      </w:r>
      <w:r>
        <w:rPr>
          <w:rFonts w:ascii="宋体" w:hAnsi="宋体" w:cs="宋体" w:eastAsia="宋体" w:hint="default"/>
        </w:rPr>
        <w:t>(</w:t>
      </w:r>
      <w:r>
        <w:rPr/>
        <w:t>含税</w:t>
      </w:r>
      <w:r>
        <w:rPr>
          <w:rFonts w:ascii="宋体" w:hAnsi="宋体" w:cs="宋体" w:eastAsia="宋体" w:hint="default"/>
        </w:rPr>
        <w:t>)</w:t>
      </w:r>
      <w:r>
        <w:rPr/>
        <w:t>，共</w:t>
      </w:r>
      <w:r>
        <w:rPr>
          <w:spacing w:val="-60"/>
        </w:rPr>
        <w:t> </w:t>
      </w:r>
      <w:r>
        <w:rPr>
          <w:rFonts w:ascii="宋体" w:hAnsi="宋体" w:cs="宋体" w:eastAsia="宋体" w:hint="default"/>
        </w:rPr>
        <w:t>237,111,916.08</w:t>
      </w:r>
      <w:r>
        <w:rPr>
          <w:rFonts w:ascii="宋体" w:hAnsi="宋体" w:cs="宋体" w:eastAsia="宋体" w:hint="default"/>
          <w:spacing w:val="-60"/>
        </w:rPr>
        <w:t> </w:t>
      </w:r>
      <w:r>
        <w:rPr/>
        <w:t>元。</w:t>
      </w:r>
    </w:p>
    <w:p>
      <w:pPr>
        <w:spacing w:line="240" w:lineRule="auto" w:before="12"/>
        <w:rPr>
          <w:rFonts w:ascii="宋体" w:hAnsi="宋体" w:cs="宋体" w:eastAsia="宋体" w:hint="default"/>
          <w:sz w:val="23"/>
          <w:szCs w:val="23"/>
        </w:rPr>
      </w:pPr>
    </w:p>
    <w:p>
      <w:pPr>
        <w:pStyle w:val="BodyText"/>
        <w:spacing w:line="237" w:lineRule="auto"/>
        <w:ind w:left="238" w:right="241"/>
        <w:jc w:val="both"/>
      </w:pPr>
      <w:r>
        <w:rPr/>
        <w:t>公司</w:t>
      </w:r>
      <w:r>
        <w:rPr>
          <w:spacing w:val="-70"/>
        </w:rPr>
        <w:t> </w:t>
      </w:r>
      <w:r>
        <w:rPr>
          <w:rFonts w:ascii="宋体" w:hAnsi="宋体" w:cs="宋体" w:eastAsia="宋体" w:hint="default"/>
        </w:rPr>
        <w:t>2012</w:t>
      </w:r>
      <w:r>
        <w:rPr/>
        <w:t>、</w:t>
      </w:r>
      <w:r>
        <w:rPr>
          <w:rFonts w:ascii="宋体" w:hAnsi="宋体" w:cs="宋体" w:eastAsia="宋体" w:hint="default"/>
        </w:rPr>
        <w:t>2013</w:t>
      </w:r>
      <w:r>
        <w:rPr/>
        <w:t>、</w:t>
      </w:r>
      <w:r>
        <w:rPr>
          <w:rFonts w:ascii="宋体" w:hAnsi="宋体" w:cs="宋体" w:eastAsia="宋体" w:hint="default"/>
        </w:rPr>
        <w:t>2014</w:t>
      </w:r>
      <w:r>
        <w:rPr>
          <w:rFonts w:ascii="宋体" w:hAnsi="宋体" w:cs="宋体" w:eastAsia="宋体" w:hint="default"/>
          <w:spacing w:val="-70"/>
        </w:rPr>
        <w:t> </w:t>
      </w:r>
      <w:r>
        <w:rPr/>
        <w:t>年度均实施了现金分红方案，累计分红</w:t>
      </w:r>
      <w:r>
        <w:rPr>
          <w:spacing w:val="-70"/>
        </w:rPr>
        <w:t> </w:t>
      </w:r>
      <w:r>
        <w:rPr>
          <w:rFonts w:ascii="宋体" w:hAnsi="宋体" w:cs="宋体" w:eastAsia="宋体" w:hint="default"/>
        </w:rPr>
        <w:t>65,567.03</w:t>
      </w:r>
      <w:r>
        <w:rPr>
          <w:rFonts w:ascii="宋体" w:hAnsi="宋体" w:cs="宋体" w:eastAsia="宋体" w:hint="default"/>
          <w:spacing w:val="-70"/>
        </w:rPr>
        <w:t> </w:t>
      </w:r>
      <w:r>
        <w:rPr/>
        <w:t>万元。公司利 润分配方案均经董事会审议通过后，提交股东大会决策后实施，相关决策及实施程序合</w:t>
      </w:r>
      <w:r>
        <w:rPr>
          <w:spacing w:val="-51"/>
        </w:rPr>
        <w:t> </w:t>
      </w:r>
      <w:r>
        <w:rPr>
          <w:spacing w:val="-51"/>
        </w:rPr>
      </w:r>
      <w:r>
        <w:rPr/>
        <w:t>法有效，现金分红政策的执行符合公司章程的规定及公司股东大会决议的要求。</w:t>
      </w:r>
    </w:p>
    <w:p>
      <w:pPr>
        <w:spacing w:line="240" w:lineRule="auto" w:before="7"/>
        <w:rPr>
          <w:rFonts w:ascii="宋体" w:hAnsi="宋体" w:cs="宋体" w:eastAsia="宋体" w:hint="default"/>
          <w:sz w:val="23"/>
          <w:szCs w:val="23"/>
        </w:rPr>
      </w:pPr>
    </w:p>
    <w:p>
      <w:pPr>
        <w:pStyle w:val="Heading3"/>
        <w:spacing w:line="240" w:lineRule="auto"/>
        <w:ind w:right="110"/>
        <w:jc w:val="left"/>
        <w:rPr>
          <w:b w:val="0"/>
          <w:bCs w:val="0"/>
        </w:rPr>
      </w:pPr>
      <w:r>
        <w:rPr>
          <w:rFonts w:ascii="宋体" w:hAnsi="宋体" w:cs="宋体" w:eastAsia="宋体" w:hint="default"/>
        </w:rPr>
        <w:t>(</w:t>
      </w:r>
      <w:r>
        <w:rPr/>
        <w:t>二</w:t>
      </w:r>
      <w:r>
        <w:rPr>
          <w:rFonts w:ascii="宋体" w:hAnsi="宋体" w:cs="宋体" w:eastAsia="宋体" w:hint="default"/>
        </w:rPr>
        <w:t>)</w:t>
      </w:r>
      <w:r>
        <w:rPr/>
        <w:t>公司近三年</w:t>
      </w:r>
      <w:r>
        <w:rPr>
          <w:rFonts w:ascii="宋体" w:hAnsi="宋体" w:cs="宋体" w:eastAsia="宋体" w:hint="default"/>
        </w:rPr>
        <w:t>(</w:t>
      </w:r>
      <w:r>
        <w:rPr/>
        <w:t>含报告期</w:t>
      </w:r>
      <w:r>
        <w:rPr>
          <w:rFonts w:ascii="宋体" w:hAnsi="宋体" w:cs="宋体" w:eastAsia="宋体" w:hint="default"/>
        </w:rPr>
        <w:t>)</w:t>
      </w:r>
      <w:r>
        <w:rPr/>
        <w:t>的普通股利润分配方案或预案、资本公积金转增股本方案</w:t>
      </w:r>
      <w:r>
        <w:rPr>
          <w:spacing w:val="-103"/>
        </w:rPr>
        <w:t> </w:t>
      </w:r>
      <w:r>
        <w:rPr>
          <w:spacing w:val="-103"/>
        </w:rPr>
      </w:r>
      <w:r>
        <w:rPr/>
        <w:t>或预案</w:t>
      </w:r>
      <w:r>
        <w:rPr>
          <w:b w:val="0"/>
          <w:bCs w:val="0"/>
        </w:rPr>
      </w:r>
    </w:p>
    <w:p>
      <w:pPr>
        <w:spacing w:line="240" w:lineRule="auto" w:before="2"/>
        <w:rPr>
          <w:rFonts w:ascii="宋体" w:hAnsi="宋体" w:cs="宋体" w:eastAsia="宋体" w:hint="default"/>
          <w:b/>
          <w:bCs/>
          <w:sz w:val="24"/>
          <w:szCs w:val="24"/>
        </w:rPr>
      </w:pPr>
    </w:p>
    <w:p>
      <w:pPr>
        <w:tabs>
          <w:tab w:pos="1051" w:val="left" w:leader="none"/>
        </w:tabs>
        <w:spacing w:before="0"/>
        <w:ind w:left="0" w:right="239"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946"/>
        <w:gridCol w:w="1157"/>
        <w:gridCol w:w="1112"/>
        <w:gridCol w:w="1157"/>
        <w:gridCol w:w="1733"/>
        <w:gridCol w:w="1897"/>
        <w:gridCol w:w="1418"/>
      </w:tblGrid>
      <w:tr>
        <w:trPr>
          <w:trHeight w:val="1385" w:hRule="exact"/>
        </w:trPr>
        <w:tc>
          <w:tcPr>
            <w:tcW w:w="94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2"/>
              <w:ind w:left="247" w:right="252"/>
              <w:jc w:val="left"/>
              <w:rPr>
                <w:rFonts w:ascii="宋体" w:hAnsi="宋体" w:cs="宋体" w:eastAsia="宋体" w:hint="default"/>
                <w:sz w:val="21"/>
                <w:szCs w:val="21"/>
              </w:rPr>
            </w:pPr>
            <w:r>
              <w:rPr>
                <w:rFonts w:ascii="宋体" w:hAnsi="宋体" w:cs="宋体" w:eastAsia="宋体" w:hint="default"/>
                <w:b/>
                <w:bCs/>
                <w:sz w:val="21"/>
                <w:szCs w:val="21"/>
              </w:rPr>
              <w:t>分红</w:t>
            </w:r>
            <w:r>
              <w:rPr>
                <w:rFonts w:ascii="宋体" w:hAnsi="宋体" w:cs="宋体" w:eastAsia="宋体" w:hint="default"/>
                <w:b/>
                <w:bCs/>
                <w:w w:val="100"/>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15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37" w:lineRule="auto"/>
              <w:ind w:left="100" w:right="98"/>
              <w:jc w:val="center"/>
              <w:rPr>
                <w:rFonts w:ascii="宋体" w:hAnsi="宋体" w:cs="宋体" w:eastAsia="宋体" w:hint="default"/>
                <w:sz w:val="21"/>
                <w:szCs w:val="21"/>
              </w:rPr>
            </w:pPr>
            <w:r>
              <w:rPr>
                <w:rFonts w:ascii="宋体" w:hAnsi="宋体" w:cs="宋体" w:eastAsia="宋体" w:hint="default"/>
                <w:b/>
                <w:bCs/>
                <w:sz w:val="21"/>
                <w:szCs w:val="21"/>
              </w:rPr>
              <w:t>每</w:t>
            </w:r>
            <w:r>
              <w:rPr>
                <w:rFonts w:ascii="宋体" w:hAnsi="宋体" w:cs="宋体" w:eastAsia="宋体" w:hint="default"/>
                <w:b/>
                <w:bCs/>
                <w:spacing w:val="-58"/>
                <w:sz w:val="21"/>
                <w:szCs w:val="21"/>
              </w:rPr>
              <w:t> </w:t>
            </w:r>
            <w:r>
              <w:rPr>
                <w:rFonts w:ascii="宋体" w:hAnsi="宋体" w:cs="宋体" w:eastAsia="宋体" w:hint="default"/>
                <w:b/>
                <w:bCs/>
                <w:sz w:val="21"/>
                <w:szCs w:val="21"/>
              </w:rPr>
              <w:t>10</w:t>
            </w:r>
            <w:r>
              <w:rPr>
                <w:rFonts w:ascii="宋体" w:hAnsi="宋体" w:cs="宋体" w:eastAsia="宋体" w:hint="default"/>
                <w:b/>
                <w:bCs/>
                <w:spacing w:val="-58"/>
                <w:sz w:val="21"/>
                <w:szCs w:val="21"/>
              </w:rPr>
              <w:t> </w:t>
            </w:r>
            <w:r>
              <w:rPr>
                <w:rFonts w:ascii="宋体" w:hAnsi="宋体" w:cs="宋体" w:eastAsia="宋体" w:hint="default"/>
                <w:b/>
                <w:bCs/>
                <w:sz w:val="21"/>
                <w:szCs w:val="21"/>
              </w:rPr>
              <w:t>股送</w:t>
            </w:r>
            <w:r>
              <w:rPr>
                <w:rFonts w:ascii="宋体" w:hAnsi="宋体" w:cs="宋体" w:eastAsia="宋体" w:hint="default"/>
                <w:b/>
                <w:bCs/>
                <w:w w:val="100"/>
                <w:sz w:val="21"/>
                <w:szCs w:val="21"/>
              </w:rPr>
              <w:t> </w:t>
            </w:r>
            <w:r>
              <w:rPr>
                <w:rFonts w:ascii="宋体" w:hAnsi="宋体" w:cs="宋体" w:eastAsia="宋体" w:hint="default"/>
                <w:b/>
                <w:bCs/>
                <w:sz w:val="21"/>
                <w:szCs w:val="21"/>
              </w:rPr>
              <w:t>红股数</w:t>
            </w:r>
            <w:r>
              <w:rPr>
                <w:rFonts w:ascii="宋体" w:hAnsi="宋体" w:cs="宋体" w:eastAsia="宋体" w:hint="default"/>
                <w:b/>
                <w:bCs/>
                <w:w w:val="100"/>
                <w:sz w:val="21"/>
                <w:szCs w:val="21"/>
              </w:rPr>
              <w:t> </w:t>
            </w:r>
            <w:r>
              <w:rPr>
                <w:rFonts w:ascii="宋体" w:hAnsi="宋体" w:cs="宋体" w:eastAsia="宋体" w:hint="default"/>
                <w:b/>
                <w:bCs/>
                <w:sz w:val="21"/>
                <w:szCs w:val="21"/>
              </w:rPr>
              <w:t>(</w:t>
            </w:r>
            <w:r>
              <w:rPr>
                <w:rFonts w:ascii="宋体" w:hAnsi="宋体" w:cs="宋体" w:eastAsia="宋体" w:hint="default"/>
                <w:b/>
                <w:bCs/>
                <w:sz w:val="21"/>
                <w:szCs w:val="21"/>
              </w:rPr>
              <w:t>股</w:t>
            </w:r>
            <w:r>
              <w:rPr>
                <w:rFonts w:ascii="宋体" w:hAnsi="宋体" w:cs="宋体" w:eastAsia="宋体" w:hint="default"/>
                <w:b/>
                <w:bCs/>
                <w:sz w:val="21"/>
                <w:szCs w:val="21"/>
              </w:rPr>
              <w:t>)</w:t>
            </w:r>
            <w:r>
              <w:rPr>
                <w:rFonts w:ascii="宋体" w:hAnsi="宋体" w:cs="宋体" w:eastAsia="宋体" w:hint="default"/>
                <w:sz w:val="21"/>
                <w:szCs w:val="21"/>
              </w:rPr>
            </w:r>
          </w:p>
        </w:tc>
        <w:tc>
          <w:tcPr>
            <w:tcW w:w="1112" w:type="dxa"/>
            <w:tcBorders>
              <w:top w:val="single" w:sz="12" w:space="0" w:color="000000"/>
              <w:left w:val="single" w:sz="6" w:space="0" w:color="000000"/>
              <w:bottom w:val="single" w:sz="6" w:space="0" w:color="000000"/>
              <w:right w:val="single" w:sz="6" w:space="0" w:color="000000"/>
            </w:tcBorders>
          </w:tcPr>
          <w:p>
            <w:pPr>
              <w:pStyle w:val="TableParagraph"/>
              <w:spacing w:line="237" w:lineRule="auto" w:before="105"/>
              <w:ind w:left="177" w:right="179"/>
              <w:jc w:val="center"/>
              <w:rPr>
                <w:rFonts w:ascii="宋体" w:hAnsi="宋体" w:cs="宋体" w:eastAsia="宋体" w:hint="default"/>
                <w:sz w:val="21"/>
                <w:szCs w:val="21"/>
              </w:rPr>
            </w:pPr>
            <w:r>
              <w:rPr>
                <w:rFonts w:ascii="宋体" w:hAnsi="宋体" w:cs="宋体" w:eastAsia="宋体" w:hint="default"/>
                <w:b/>
                <w:bCs/>
                <w:sz w:val="21"/>
                <w:szCs w:val="21"/>
              </w:rPr>
              <w:t>每</w:t>
            </w:r>
            <w:r>
              <w:rPr>
                <w:rFonts w:ascii="宋体" w:hAnsi="宋体" w:cs="宋体" w:eastAsia="宋体" w:hint="default"/>
                <w:b/>
                <w:bCs/>
                <w:spacing w:val="-53"/>
                <w:sz w:val="21"/>
                <w:szCs w:val="21"/>
              </w:rPr>
              <w:t> </w:t>
            </w:r>
            <w:r>
              <w:rPr>
                <w:rFonts w:ascii="宋体" w:hAnsi="宋体" w:cs="宋体" w:eastAsia="宋体" w:hint="default"/>
                <w:b/>
                <w:bCs/>
                <w:sz w:val="21"/>
                <w:szCs w:val="21"/>
              </w:rPr>
              <w:t>10</w:t>
            </w:r>
            <w:r>
              <w:rPr>
                <w:rFonts w:ascii="宋体" w:hAnsi="宋体" w:cs="宋体" w:eastAsia="宋体" w:hint="default"/>
                <w:b/>
                <w:bCs/>
                <w:spacing w:val="-54"/>
                <w:sz w:val="21"/>
                <w:szCs w:val="21"/>
              </w:rPr>
              <w:t> </w:t>
            </w:r>
            <w:r>
              <w:rPr>
                <w:rFonts w:ascii="宋体" w:hAnsi="宋体" w:cs="宋体" w:eastAsia="宋体" w:hint="default"/>
                <w:b/>
                <w:bCs/>
                <w:sz w:val="21"/>
                <w:szCs w:val="21"/>
              </w:rPr>
              <w:t>股</w:t>
            </w:r>
            <w:r>
              <w:rPr>
                <w:rFonts w:ascii="宋体" w:hAnsi="宋体" w:cs="宋体" w:eastAsia="宋体" w:hint="default"/>
                <w:b/>
                <w:bCs/>
                <w:w w:val="100"/>
                <w:sz w:val="21"/>
                <w:szCs w:val="21"/>
              </w:rPr>
              <w:t> </w:t>
            </w:r>
            <w:r>
              <w:rPr>
                <w:rFonts w:ascii="宋体" w:hAnsi="宋体" w:cs="宋体" w:eastAsia="宋体" w:hint="default"/>
                <w:b/>
                <w:bCs/>
                <w:sz w:val="21"/>
                <w:szCs w:val="21"/>
              </w:rPr>
              <w:t>派息数</w:t>
            </w:r>
            <w:r>
              <w:rPr>
                <w:rFonts w:ascii="宋体" w:hAnsi="宋体" w:cs="宋体" w:eastAsia="宋体" w:hint="default"/>
                <w:b/>
                <w:bCs/>
                <w:w w:val="100"/>
                <w:sz w:val="21"/>
                <w:szCs w:val="21"/>
              </w:rPr>
              <w:t> </w:t>
            </w:r>
            <w:r>
              <w:rPr>
                <w:rFonts w:ascii="宋体" w:hAnsi="宋体" w:cs="宋体" w:eastAsia="宋体" w:hint="default"/>
                <w:b/>
                <w:bCs/>
                <w:sz w:val="21"/>
                <w:szCs w:val="21"/>
              </w:rPr>
              <w:t>(</w:t>
            </w:r>
            <w:r>
              <w:rPr>
                <w:rFonts w:ascii="宋体" w:hAnsi="宋体" w:cs="宋体" w:eastAsia="宋体" w:hint="default"/>
                <w:b/>
                <w:bCs/>
                <w:sz w:val="21"/>
                <w:szCs w:val="21"/>
              </w:rPr>
              <w:t>元</w:t>
            </w:r>
            <w:r>
              <w:rPr>
                <w:rFonts w:ascii="宋体" w:hAnsi="宋体" w:cs="宋体" w:eastAsia="宋体" w:hint="default"/>
                <w:b/>
                <w:bCs/>
                <w:sz w:val="21"/>
                <w:szCs w:val="21"/>
              </w:rPr>
              <w:t>)(</w:t>
            </w:r>
            <w:r>
              <w:rPr>
                <w:rFonts w:ascii="宋体" w:hAnsi="宋体" w:cs="宋体" w:eastAsia="宋体" w:hint="default"/>
                <w:b/>
                <w:bCs/>
                <w:sz w:val="21"/>
                <w:szCs w:val="21"/>
              </w:rPr>
              <w:t>含</w:t>
            </w:r>
            <w:r>
              <w:rPr>
                <w:rFonts w:ascii="宋体" w:hAnsi="宋体" w:cs="宋体" w:eastAsia="宋体" w:hint="default"/>
                <w:b/>
                <w:bCs/>
                <w:w w:val="100"/>
                <w:sz w:val="21"/>
                <w:szCs w:val="21"/>
              </w:rPr>
              <w:t> </w:t>
            </w:r>
            <w:r>
              <w:rPr>
                <w:rFonts w:ascii="宋体" w:hAnsi="宋体" w:cs="宋体" w:eastAsia="宋体" w:hint="default"/>
                <w:b/>
                <w:bCs/>
                <w:sz w:val="21"/>
                <w:szCs w:val="21"/>
              </w:rPr>
              <w:t>税</w:t>
            </w:r>
            <w:r>
              <w:rPr>
                <w:rFonts w:ascii="宋体" w:hAnsi="宋体" w:cs="宋体" w:eastAsia="宋体" w:hint="default"/>
                <w:b/>
                <w:bCs/>
                <w:sz w:val="21"/>
                <w:szCs w:val="21"/>
              </w:rPr>
              <w:t>)</w:t>
            </w:r>
            <w:r>
              <w:rPr>
                <w:rFonts w:ascii="宋体" w:hAnsi="宋体" w:cs="宋体" w:eastAsia="宋体" w:hint="default"/>
                <w:sz w:val="21"/>
                <w:szCs w:val="21"/>
              </w:rPr>
            </w:r>
          </w:p>
        </w:tc>
        <w:tc>
          <w:tcPr>
            <w:tcW w:w="115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2"/>
              <w:ind w:left="148" w:right="96" w:hanging="48"/>
              <w:jc w:val="left"/>
              <w:rPr>
                <w:rFonts w:ascii="宋体" w:hAnsi="宋体" w:cs="宋体" w:eastAsia="宋体" w:hint="default"/>
                <w:sz w:val="21"/>
                <w:szCs w:val="21"/>
              </w:rPr>
            </w:pPr>
            <w:r>
              <w:rPr>
                <w:rFonts w:ascii="宋体" w:hAnsi="宋体" w:cs="宋体" w:eastAsia="宋体" w:hint="default"/>
                <w:b/>
                <w:bCs/>
                <w:sz w:val="21"/>
                <w:szCs w:val="21"/>
              </w:rPr>
              <w:t>每</w:t>
            </w:r>
            <w:r>
              <w:rPr>
                <w:rFonts w:ascii="宋体" w:hAnsi="宋体" w:cs="宋体" w:eastAsia="宋体" w:hint="default"/>
                <w:b/>
                <w:bCs/>
                <w:spacing w:val="-57"/>
                <w:sz w:val="21"/>
                <w:szCs w:val="21"/>
              </w:rPr>
              <w:t> </w:t>
            </w:r>
            <w:r>
              <w:rPr>
                <w:rFonts w:ascii="宋体" w:hAnsi="宋体" w:cs="宋体" w:eastAsia="宋体" w:hint="default"/>
                <w:b/>
                <w:bCs/>
                <w:sz w:val="21"/>
                <w:szCs w:val="21"/>
              </w:rPr>
              <w:t>10</w:t>
            </w:r>
            <w:r>
              <w:rPr>
                <w:rFonts w:ascii="宋体" w:hAnsi="宋体" w:cs="宋体" w:eastAsia="宋体" w:hint="default"/>
                <w:b/>
                <w:bCs/>
                <w:spacing w:val="-57"/>
                <w:sz w:val="21"/>
                <w:szCs w:val="21"/>
              </w:rPr>
              <w:t> </w:t>
            </w:r>
            <w:r>
              <w:rPr>
                <w:rFonts w:ascii="宋体" w:hAnsi="宋体" w:cs="宋体" w:eastAsia="宋体" w:hint="default"/>
                <w:b/>
                <w:bCs/>
                <w:sz w:val="21"/>
                <w:szCs w:val="21"/>
              </w:rPr>
              <w:t>股转</w:t>
            </w:r>
            <w:r>
              <w:rPr>
                <w:rFonts w:ascii="宋体" w:hAnsi="宋体" w:cs="宋体" w:eastAsia="宋体" w:hint="default"/>
                <w:b/>
                <w:bCs/>
                <w:w w:val="100"/>
                <w:sz w:val="21"/>
                <w:szCs w:val="21"/>
              </w:rPr>
              <w:t> </w:t>
            </w:r>
            <w:r>
              <w:rPr>
                <w:rFonts w:ascii="宋体" w:hAnsi="宋体" w:cs="宋体" w:eastAsia="宋体" w:hint="default"/>
                <w:b/>
                <w:bCs/>
                <w:sz w:val="21"/>
                <w:szCs w:val="21"/>
              </w:rPr>
              <w:t>增数</w:t>
            </w:r>
            <w:r>
              <w:rPr>
                <w:rFonts w:ascii="宋体" w:hAnsi="宋体" w:cs="宋体" w:eastAsia="宋体" w:hint="default"/>
                <w:b/>
                <w:bCs/>
                <w:sz w:val="21"/>
                <w:szCs w:val="21"/>
              </w:rPr>
              <w:t>(</w:t>
            </w:r>
            <w:r>
              <w:rPr>
                <w:rFonts w:ascii="宋体" w:hAnsi="宋体" w:cs="宋体" w:eastAsia="宋体" w:hint="default"/>
                <w:b/>
                <w:bCs/>
                <w:sz w:val="21"/>
                <w:szCs w:val="21"/>
              </w:rPr>
              <w:t>股</w:t>
            </w:r>
            <w:r>
              <w:rPr>
                <w:rFonts w:ascii="宋体" w:hAnsi="宋体" w:cs="宋体" w:eastAsia="宋体" w:hint="default"/>
                <w:b/>
                <w:bCs/>
                <w:sz w:val="21"/>
                <w:szCs w:val="21"/>
              </w:rPr>
              <w:t>)</w:t>
            </w:r>
            <w:r>
              <w:rPr>
                <w:rFonts w:ascii="宋体" w:hAnsi="宋体" w:cs="宋体" w:eastAsia="宋体" w:hint="default"/>
                <w:sz w:val="21"/>
                <w:szCs w:val="21"/>
              </w:rPr>
            </w:r>
          </w:p>
        </w:tc>
        <w:tc>
          <w:tcPr>
            <w:tcW w:w="173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2"/>
              <w:ind w:left="542" w:right="118" w:hanging="423"/>
              <w:jc w:val="left"/>
              <w:rPr>
                <w:rFonts w:ascii="宋体" w:hAnsi="宋体" w:cs="宋体" w:eastAsia="宋体" w:hint="default"/>
                <w:sz w:val="21"/>
                <w:szCs w:val="21"/>
              </w:rPr>
            </w:pPr>
            <w:r>
              <w:rPr>
                <w:rFonts w:ascii="宋体" w:hAnsi="宋体" w:cs="宋体" w:eastAsia="宋体" w:hint="default"/>
                <w:b/>
                <w:bCs/>
                <w:sz w:val="21"/>
                <w:szCs w:val="21"/>
              </w:rPr>
              <w:t>现金分红的数额</w:t>
            </w:r>
            <w:r>
              <w:rPr>
                <w:rFonts w:ascii="宋体" w:hAnsi="宋体" w:cs="宋体" w:eastAsia="宋体" w:hint="default"/>
                <w:b/>
                <w:bCs/>
                <w:spacing w:val="-104"/>
                <w:sz w:val="21"/>
                <w:szCs w:val="21"/>
              </w:rPr>
              <w:t> </w:t>
            </w:r>
            <w:r>
              <w:rPr>
                <w:rFonts w:ascii="宋体" w:hAnsi="宋体" w:cs="宋体" w:eastAsia="宋体" w:hint="default"/>
                <w:b/>
                <w:bCs/>
                <w:sz w:val="21"/>
                <w:szCs w:val="21"/>
              </w:rPr>
              <w:t>(</w:t>
            </w:r>
            <w:r>
              <w:rPr>
                <w:rFonts w:ascii="宋体" w:hAnsi="宋体" w:cs="宋体" w:eastAsia="宋体" w:hint="default"/>
                <w:b/>
                <w:bCs/>
                <w:sz w:val="21"/>
                <w:szCs w:val="21"/>
              </w:rPr>
              <w:t>含税</w:t>
            </w:r>
            <w:r>
              <w:rPr>
                <w:rFonts w:ascii="宋体" w:hAnsi="宋体" w:cs="宋体" w:eastAsia="宋体" w:hint="default"/>
                <w:b/>
                <w:bCs/>
                <w:sz w:val="21"/>
                <w:szCs w:val="21"/>
              </w:rPr>
              <w:t>)</w:t>
            </w:r>
            <w:r>
              <w:rPr>
                <w:rFonts w:ascii="宋体" w:hAnsi="宋体" w:cs="宋体" w:eastAsia="宋体" w:hint="default"/>
                <w:sz w:val="21"/>
                <w:szCs w:val="21"/>
              </w:rPr>
            </w:r>
          </w:p>
        </w:tc>
        <w:tc>
          <w:tcPr>
            <w:tcW w:w="1897" w:type="dxa"/>
            <w:tcBorders>
              <w:top w:val="single" w:sz="12" w:space="0" w:color="000000"/>
              <w:left w:val="single" w:sz="6" w:space="0" w:color="000000"/>
              <w:bottom w:val="single" w:sz="6" w:space="0" w:color="000000"/>
              <w:right w:val="single" w:sz="6" w:space="0" w:color="000000"/>
            </w:tcBorders>
          </w:tcPr>
          <w:p>
            <w:pPr>
              <w:pStyle w:val="TableParagraph"/>
              <w:spacing w:line="237" w:lineRule="auto" w:before="105"/>
              <w:ind w:left="201" w:right="200"/>
              <w:jc w:val="center"/>
              <w:rPr>
                <w:rFonts w:ascii="宋体" w:hAnsi="宋体" w:cs="宋体" w:eastAsia="宋体" w:hint="default"/>
                <w:sz w:val="21"/>
                <w:szCs w:val="21"/>
              </w:rPr>
            </w:pPr>
            <w:r>
              <w:rPr>
                <w:rFonts w:ascii="宋体" w:hAnsi="宋体" w:cs="宋体" w:eastAsia="宋体" w:hint="default"/>
                <w:b/>
                <w:bCs/>
                <w:sz w:val="21"/>
                <w:szCs w:val="21"/>
              </w:rPr>
              <w:t>分红年度合并报</w:t>
            </w:r>
            <w:r>
              <w:rPr>
                <w:rFonts w:ascii="宋体" w:hAnsi="宋体" w:cs="宋体" w:eastAsia="宋体" w:hint="default"/>
                <w:b/>
                <w:bCs/>
                <w:w w:val="100"/>
                <w:sz w:val="21"/>
                <w:szCs w:val="21"/>
              </w:rPr>
              <w:t> </w:t>
            </w:r>
            <w:r>
              <w:rPr>
                <w:rFonts w:ascii="宋体" w:hAnsi="宋体" w:cs="宋体" w:eastAsia="宋体" w:hint="default"/>
                <w:b/>
                <w:bCs/>
                <w:sz w:val="21"/>
                <w:szCs w:val="21"/>
              </w:rPr>
              <w:t>表中归属于上市</w:t>
            </w:r>
            <w:r>
              <w:rPr>
                <w:rFonts w:ascii="宋体" w:hAnsi="宋体" w:cs="宋体" w:eastAsia="宋体" w:hint="default"/>
                <w:b/>
                <w:bCs/>
                <w:w w:val="100"/>
                <w:sz w:val="21"/>
                <w:szCs w:val="21"/>
              </w:rPr>
              <w:t> </w:t>
            </w:r>
            <w:r>
              <w:rPr>
                <w:rFonts w:ascii="宋体" w:hAnsi="宋体" w:cs="宋体" w:eastAsia="宋体" w:hint="default"/>
                <w:b/>
                <w:bCs/>
                <w:sz w:val="21"/>
                <w:szCs w:val="21"/>
              </w:rPr>
              <w:t>公司股东的净利</w:t>
            </w:r>
            <w:r>
              <w:rPr>
                <w:rFonts w:ascii="宋体" w:hAnsi="宋体" w:cs="宋体" w:eastAsia="宋体" w:hint="default"/>
                <w:b/>
                <w:bCs/>
                <w:w w:val="100"/>
                <w:sz w:val="21"/>
                <w:szCs w:val="21"/>
              </w:rPr>
              <w:t> </w:t>
            </w:r>
            <w:r>
              <w:rPr>
                <w:rFonts w:ascii="宋体" w:hAnsi="宋体" w:cs="宋体" w:eastAsia="宋体" w:hint="default"/>
                <w:b/>
                <w:bCs/>
                <w:sz w:val="21"/>
                <w:szCs w:val="21"/>
              </w:rPr>
              <w:t>润</w:t>
            </w:r>
            <w:r>
              <w:rPr>
                <w:rFonts w:ascii="宋体" w:hAnsi="宋体" w:cs="宋体" w:eastAsia="宋体" w:hint="default"/>
                <w:sz w:val="21"/>
                <w:szCs w:val="21"/>
              </w:rPr>
            </w:r>
          </w:p>
        </w:tc>
        <w:tc>
          <w:tcPr>
            <w:tcW w:w="1418"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left="9" w:right="0"/>
              <w:jc w:val="center"/>
              <w:rPr>
                <w:rFonts w:ascii="宋体" w:hAnsi="宋体" w:cs="宋体" w:eastAsia="宋体" w:hint="default"/>
                <w:sz w:val="21"/>
                <w:szCs w:val="21"/>
              </w:rPr>
            </w:pPr>
            <w:r>
              <w:rPr>
                <w:rFonts w:ascii="宋体" w:hAnsi="宋体" w:cs="宋体" w:eastAsia="宋体" w:hint="default"/>
                <w:b/>
                <w:bCs/>
                <w:sz w:val="21"/>
                <w:szCs w:val="21"/>
              </w:rPr>
              <w:t>占合并报表</w:t>
            </w:r>
            <w:r>
              <w:rPr>
                <w:rFonts w:ascii="宋体" w:hAnsi="宋体" w:cs="宋体" w:eastAsia="宋体" w:hint="default"/>
                <w:sz w:val="21"/>
                <w:szCs w:val="21"/>
              </w:rPr>
            </w:r>
          </w:p>
          <w:p>
            <w:pPr>
              <w:pStyle w:val="TableParagraph"/>
              <w:spacing w:line="237" w:lineRule="auto"/>
              <w:ind w:left="175" w:right="163"/>
              <w:jc w:val="center"/>
              <w:rPr>
                <w:rFonts w:ascii="宋体" w:hAnsi="宋体" w:cs="宋体" w:eastAsia="宋体" w:hint="default"/>
                <w:sz w:val="21"/>
                <w:szCs w:val="21"/>
              </w:rPr>
            </w:pPr>
            <w:r>
              <w:rPr>
                <w:rFonts w:ascii="宋体" w:hAnsi="宋体" w:cs="宋体" w:eastAsia="宋体" w:hint="default"/>
                <w:b/>
                <w:bCs/>
                <w:sz w:val="21"/>
                <w:szCs w:val="21"/>
              </w:rPr>
              <w:t>中归属于上</w:t>
            </w:r>
            <w:r>
              <w:rPr>
                <w:rFonts w:ascii="宋体" w:hAnsi="宋体" w:cs="宋体" w:eastAsia="宋体" w:hint="default"/>
                <w:b/>
                <w:bCs/>
                <w:w w:val="100"/>
                <w:sz w:val="21"/>
                <w:szCs w:val="21"/>
              </w:rPr>
              <w:t> </w:t>
            </w:r>
            <w:r>
              <w:rPr>
                <w:rFonts w:ascii="宋体" w:hAnsi="宋体" w:cs="宋体" w:eastAsia="宋体" w:hint="default"/>
                <w:b/>
                <w:bCs/>
                <w:sz w:val="21"/>
                <w:szCs w:val="21"/>
              </w:rPr>
              <w:t>市公司股东</w:t>
            </w:r>
            <w:r>
              <w:rPr>
                <w:rFonts w:ascii="宋体" w:hAnsi="宋体" w:cs="宋体" w:eastAsia="宋体" w:hint="default"/>
                <w:b/>
                <w:bCs/>
                <w:w w:val="100"/>
                <w:sz w:val="21"/>
                <w:szCs w:val="21"/>
              </w:rPr>
              <w:t> </w:t>
            </w:r>
            <w:r>
              <w:rPr>
                <w:rFonts w:ascii="宋体" w:hAnsi="宋体" w:cs="宋体" w:eastAsia="宋体" w:hint="default"/>
                <w:b/>
                <w:bCs/>
                <w:sz w:val="21"/>
                <w:szCs w:val="21"/>
              </w:rPr>
              <w:t>的净利润的</w:t>
            </w:r>
            <w:r>
              <w:rPr>
                <w:rFonts w:ascii="宋体" w:hAnsi="宋体" w:cs="宋体" w:eastAsia="宋体" w:hint="default"/>
                <w:b/>
                <w:bCs/>
                <w:w w:val="100"/>
                <w:sz w:val="21"/>
                <w:szCs w:val="21"/>
              </w:rPr>
              <w:t> </w:t>
            </w:r>
            <w:r>
              <w:rPr>
                <w:rFonts w:ascii="宋体" w:hAnsi="宋体" w:cs="宋体" w:eastAsia="宋体" w:hint="default"/>
                <w:b/>
                <w:bCs/>
                <w:sz w:val="21"/>
                <w:szCs w:val="21"/>
              </w:rPr>
              <w:t>比率</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288" w:hRule="exact"/>
        </w:trPr>
        <w:tc>
          <w:tcPr>
            <w:tcW w:w="94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50"/>
              <w:jc w:val="center"/>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157" w:type="dxa"/>
            <w:tcBorders>
              <w:top w:val="single" w:sz="6" w:space="0" w:color="000000"/>
              <w:left w:val="single" w:sz="6" w:space="0" w:color="000000"/>
              <w:bottom w:val="single" w:sz="6" w:space="0" w:color="000000"/>
              <w:right w:val="single" w:sz="6" w:space="0" w:color="000000"/>
            </w:tcBorders>
          </w:tcPr>
          <w:p>
            <w:pPr/>
          </w:p>
        </w:tc>
        <w:tc>
          <w:tcPr>
            <w:tcW w:w="11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1.3</w:t>
            </w:r>
          </w:p>
        </w:tc>
        <w:tc>
          <w:tcPr>
            <w:tcW w:w="1157" w:type="dxa"/>
            <w:tcBorders>
              <w:top w:val="single" w:sz="6" w:space="0" w:color="000000"/>
              <w:left w:val="single" w:sz="6" w:space="0" w:color="000000"/>
              <w:bottom w:val="single" w:sz="6" w:space="0" w:color="000000"/>
              <w:right w:val="single" w:sz="6" w:space="0" w:color="000000"/>
            </w:tcBorders>
          </w:tcPr>
          <w:p>
            <w:pP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47" w:right="0"/>
              <w:jc w:val="center"/>
              <w:rPr>
                <w:rFonts w:ascii="宋体" w:hAnsi="宋体" w:cs="宋体" w:eastAsia="宋体" w:hint="default"/>
                <w:sz w:val="21"/>
                <w:szCs w:val="21"/>
              </w:rPr>
            </w:pPr>
            <w:r>
              <w:rPr>
                <w:rFonts w:ascii="宋体"/>
                <w:sz w:val="21"/>
              </w:rPr>
              <w:t>385,306,863.63</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1,261,593,370.02</w:t>
            </w:r>
          </w:p>
        </w:tc>
        <w:tc>
          <w:tcPr>
            <w:tcW w:w="1418"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z w:val="21"/>
              </w:rPr>
              <w:t>30.54</w:t>
            </w:r>
          </w:p>
        </w:tc>
      </w:tr>
      <w:tr>
        <w:trPr>
          <w:trHeight w:val="286" w:hRule="exact"/>
        </w:trPr>
        <w:tc>
          <w:tcPr>
            <w:tcW w:w="94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50"/>
              <w:jc w:val="center"/>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157" w:type="dxa"/>
            <w:tcBorders>
              <w:top w:val="single" w:sz="6" w:space="0" w:color="000000"/>
              <w:left w:val="single" w:sz="6" w:space="0" w:color="000000"/>
              <w:bottom w:val="single" w:sz="6" w:space="0" w:color="000000"/>
              <w:right w:val="single" w:sz="6" w:space="0" w:color="000000"/>
            </w:tcBorders>
          </w:tcPr>
          <w:p>
            <w:pPr/>
          </w:p>
        </w:tc>
        <w:tc>
          <w:tcPr>
            <w:tcW w:w="11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0.8</w:t>
            </w:r>
          </w:p>
        </w:tc>
        <w:tc>
          <w:tcPr>
            <w:tcW w:w="1157" w:type="dxa"/>
            <w:tcBorders>
              <w:top w:val="single" w:sz="6" w:space="0" w:color="000000"/>
              <w:left w:val="single" w:sz="6" w:space="0" w:color="000000"/>
              <w:bottom w:val="single" w:sz="6" w:space="0" w:color="000000"/>
              <w:right w:val="single" w:sz="6" w:space="0" w:color="000000"/>
            </w:tcBorders>
          </w:tcPr>
          <w:p>
            <w:pP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48" w:right="0"/>
              <w:jc w:val="center"/>
              <w:rPr>
                <w:rFonts w:ascii="宋体" w:hAnsi="宋体" w:cs="宋体" w:eastAsia="宋体" w:hint="default"/>
                <w:sz w:val="21"/>
                <w:szCs w:val="21"/>
              </w:rPr>
            </w:pPr>
            <w:r>
              <w:rPr>
                <w:rFonts w:ascii="宋体"/>
                <w:sz w:val="21"/>
              </w:rPr>
              <w:t>237,111,916.08</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755,641,901.57</w:t>
            </w:r>
          </w:p>
        </w:tc>
        <w:tc>
          <w:tcPr>
            <w:tcW w:w="1418"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z w:val="21"/>
              </w:rPr>
              <w:t>31.38</w:t>
            </w:r>
          </w:p>
        </w:tc>
      </w:tr>
      <w:tr>
        <w:trPr>
          <w:trHeight w:val="295" w:hRule="exact"/>
        </w:trPr>
        <w:tc>
          <w:tcPr>
            <w:tcW w:w="946" w:type="dxa"/>
            <w:tcBorders>
              <w:top w:val="single" w:sz="6" w:space="0" w:color="000000"/>
              <w:left w:val="single" w:sz="12" w:space="0" w:color="000000"/>
              <w:bottom w:val="single" w:sz="12" w:space="0" w:color="000000"/>
              <w:right w:val="single" w:sz="6" w:space="0" w:color="000000"/>
            </w:tcBorders>
          </w:tcPr>
          <w:p>
            <w:pPr>
              <w:pStyle w:val="TableParagraph"/>
              <w:spacing w:line="243" w:lineRule="exact"/>
              <w:ind w:right="50"/>
              <w:jc w:val="center"/>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157" w:type="dxa"/>
            <w:tcBorders>
              <w:top w:val="single" w:sz="6" w:space="0" w:color="000000"/>
              <w:left w:val="single" w:sz="6" w:space="0" w:color="000000"/>
              <w:bottom w:val="single" w:sz="12" w:space="0" w:color="000000"/>
              <w:right w:val="single" w:sz="6" w:space="0" w:color="000000"/>
            </w:tcBorders>
          </w:tcPr>
          <w:p>
            <w:pPr/>
          </w:p>
        </w:tc>
        <w:tc>
          <w:tcPr>
            <w:tcW w:w="1112" w:type="dxa"/>
            <w:tcBorders>
              <w:top w:val="single" w:sz="6" w:space="0" w:color="000000"/>
              <w:left w:val="single" w:sz="6" w:space="0" w:color="000000"/>
              <w:bottom w:val="single" w:sz="12" w:space="0" w:color="000000"/>
              <w:right w:val="single" w:sz="6"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1</w:t>
            </w:r>
          </w:p>
        </w:tc>
        <w:tc>
          <w:tcPr>
            <w:tcW w:w="1157" w:type="dxa"/>
            <w:tcBorders>
              <w:top w:val="single" w:sz="6" w:space="0" w:color="000000"/>
              <w:left w:val="single" w:sz="6" w:space="0" w:color="000000"/>
              <w:bottom w:val="single" w:sz="12" w:space="0" w:color="000000"/>
              <w:right w:val="single" w:sz="6" w:space="0" w:color="000000"/>
            </w:tcBorders>
          </w:tcPr>
          <w:p>
            <w:pPr/>
          </w:p>
        </w:tc>
        <w:tc>
          <w:tcPr>
            <w:tcW w:w="1733" w:type="dxa"/>
            <w:tcBorders>
              <w:top w:val="single" w:sz="6" w:space="0" w:color="000000"/>
              <w:left w:val="single" w:sz="6" w:space="0" w:color="000000"/>
              <w:bottom w:val="single" w:sz="12" w:space="0" w:color="000000"/>
              <w:right w:val="single" w:sz="6" w:space="0" w:color="000000"/>
            </w:tcBorders>
          </w:tcPr>
          <w:p>
            <w:pPr>
              <w:pStyle w:val="TableParagraph"/>
              <w:spacing w:line="243" w:lineRule="exact"/>
              <w:ind w:left="48" w:right="0"/>
              <w:jc w:val="center"/>
              <w:rPr>
                <w:rFonts w:ascii="宋体" w:hAnsi="宋体" w:cs="宋体" w:eastAsia="宋体" w:hint="default"/>
                <w:sz w:val="21"/>
                <w:szCs w:val="21"/>
              </w:rPr>
            </w:pPr>
            <w:r>
              <w:rPr>
                <w:rFonts w:ascii="宋体"/>
                <w:sz w:val="21"/>
              </w:rPr>
              <w:t>219,788,223.80</w:t>
            </w:r>
          </w:p>
        </w:tc>
        <w:tc>
          <w:tcPr>
            <w:tcW w:w="1897" w:type="dxa"/>
            <w:tcBorders>
              <w:top w:val="single" w:sz="6" w:space="0" w:color="000000"/>
              <w:left w:val="single" w:sz="6" w:space="0" w:color="000000"/>
              <w:bottom w:val="single" w:sz="12"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676,951,178.95</w:t>
            </w:r>
          </w:p>
        </w:tc>
        <w:tc>
          <w:tcPr>
            <w:tcW w:w="1418" w:type="dxa"/>
            <w:tcBorders>
              <w:top w:val="single" w:sz="6" w:space="0" w:color="000000"/>
              <w:left w:val="single" w:sz="6" w:space="0" w:color="000000"/>
              <w:bottom w:val="single" w:sz="12" w:space="0" w:color="000000"/>
              <w:right w:val="single" w:sz="12" w:space="0" w:color="000000"/>
            </w:tcBorders>
          </w:tcPr>
          <w:p>
            <w:pPr>
              <w:pStyle w:val="TableParagraph"/>
              <w:spacing w:line="243" w:lineRule="exact"/>
              <w:ind w:right="89"/>
              <w:jc w:val="right"/>
              <w:rPr>
                <w:rFonts w:ascii="宋体" w:hAnsi="宋体" w:cs="宋体" w:eastAsia="宋体" w:hint="default"/>
                <w:sz w:val="21"/>
                <w:szCs w:val="21"/>
              </w:rPr>
            </w:pPr>
            <w:r>
              <w:rPr>
                <w:rFonts w:ascii="宋体"/>
                <w:sz w:val="21"/>
              </w:rPr>
              <w:t>32.47</w:t>
            </w:r>
          </w:p>
        </w:tc>
      </w:tr>
    </w:tbl>
    <w:p>
      <w:pPr>
        <w:spacing w:line="240" w:lineRule="auto" w:before="11"/>
        <w:rPr>
          <w:rFonts w:ascii="宋体" w:hAnsi="宋体" w:cs="宋体" w:eastAsia="宋体" w:hint="default"/>
          <w:sz w:val="18"/>
          <w:szCs w:val="18"/>
        </w:rPr>
      </w:pPr>
    </w:p>
    <w:p>
      <w:pPr>
        <w:pStyle w:val="Heading3"/>
        <w:spacing w:line="240" w:lineRule="auto" w:before="26"/>
        <w:ind w:right="110"/>
        <w:jc w:val="left"/>
        <w:rPr>
          <w:b w:val="0"/>
          <w:bCs w:val="0"/>
        </w:rPr>
      </w:pPr>
      <w:r>
        <w:rPr>
          <w:rFonts w:ascii="宋体" w:hAnsi="宋体" w:cs="宋体" w:eastAsia="宋体" w:hint="default"/>
        </w:rPr>
        <w:t>(</w:t>
      </w:r>
      <w:r>
        <w:rPr/>
        <w:t>三</w:t>
      </w:r>
      <w:r>
        <w:rPr>
          <w:rFonts w:ascii="宋体" w:hAnsi="宋体" w:cs="宋体" w:eastAsia="宋体" w:hint="default"/>
        </w:rPr>
        <w:t>)</w:t>
      </w:r>
      <w:r>
        <w:rPr/>
        <w:t>以现金方式要约回购股份计入现金分红的情况</w:t>
      </w:r>
      <w:r>
        <w:rPr>
          <w:b w:val="0"/>
          <w:bCs w:val="0"/>
        </w:rPr>
      </w:r>
    </w:p>
    <w:p>
      <w:pPr>
        <w:spacing w:after="0" w:line="240" w:lineRule="auto"/>
        <w:jc w:val="left"/>
        <w:sectPr>
          <w:pgSz w:w="11910" w:h="16840"/>
          <w:pgMar w:header="628" w:footer="760" w:top="1080" w:bottom="960" w:left="1180" w:right="104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BodyText"/>
        <w:spacing w:line="240" w:lineRule="auto" w:before="26"/>
        <w:ind w:left="798" w:right="0"/>
        <w:jc w:val="left"/>
      </w:pPr>
      <w:r>
        <w:rPr/>
        <w:t>不适用。</w:t>
      </w:r>
    </w:p>
    <w:p>
      <w:pPr>
        <w:spacing w:line="240" w:lineRule="auto" w:before="11"/>
        <w:rPr>
          <w:rFonts w:ascii="宋体" w:hAnsi="宋体" w:cs="宋体" w:eastAsia="宋体" w:hint="default"/>
          <w:sz w:val="25"/>
          <w:szCs w:val="25"/>
        </w:rPr>
      </w:pPr>
    </w:p>
    <w:p>
      <w:pPr>
        <w:pStyle w:val="Heading3"/>
        <w:spacing w:line="312" w:lineRule="exact"/>
        <w:ind w:left="1055" w:right="0"/>
        <w:jc w:val="left"/>
        <w:rPr>
          <w:b w:val="0"/>
          <w:bCs w:val="0"/>
        </w:rPr>
      </w:pPr>
      <w:r>
        <w:rPr>
          <w:rFonts w:ascii="宋体" w:hAnsi="宋体" w:cs="宋体" w:eastAsia="宋体" w:hint="default"/>
        </w:rPr>
        <w:t>(</w:t>
      </w:r>
      <w:r>
        <w:rPr/>
        <w:t>四</w:t>
      </w:r>
      <w:r>
        <w:rPr>
          <w:rFonts w:ascii="宋体" w:hAnsi="宋体" w:cs="宋体" w:eastAsia="宋体" w:hint="default"/>
        </w:rPr>
        <w:t>)</w:t>
      </w:r>
      <w:r>
        <w:rPr/>
        <w:t>报告期内盈利且母公司可供普通股股东分配利润为正，但未提出普通股现金利润</w:t>
      </w:r>
      <w:r>
        <w:rPr>
          <w:spacing w:val="-103"/>
        </w:rPr>
        <w:t> </w:t>
      </w:r>
      <w:r>
        <w:rPr>
          <w:spacing w:val="-103"/>
        </w:rPr>
      </w:r>
      <w:r>
        <w:rPr/>
        <w:t>分配预案的，公司应当详细披露原因以及未分配利润的用途和使用计划</w:t>
      </w:r>
      <w:r>
        <w:rPr>
          <w:b w:val="0"/>
          <w:bCs w:val="0"/>
        </w:rPr>
      </w:r>
    </w:p>
    <w:p>
      <w:pPr>
        <w:spacing w:line="240" w:lineRule="auto" w:before="4"/>
        <w:rPr>
          <w:rFonts w:ascii="宋体" w:hAnsi="宋体" w:cs="宋体" w:eastAsia="宋体" w:hint="default"/>
          <w:b/>
          <w:bCs/>
          <w:sz w:val="21"/>
          <w:szCs w:val="21"/>
        </w:rPr>
      </w:pPr>
    </w:p>
    <w:p>
      <w:pPr>
        <w:pStyle w:val="BodyText"/>
        <w:spacing w:line="240" w:lineRule="auto"/>
        <w:ind w:left="798" w:right="0"/>
        <w:jc w:val="left"/>
      </w:pPr>
      <w:r>
        <w:rPr/>
        <w:t>不适用。</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17"/>
          <w:szCs w:val="17"/>
        </w:rPr>
      </w:pPr>
    </w:p>
    <w:p>
      <w:pPr>
        <w:pStyle w:val="Heading2"/>
        <w:spacing w:line="240" w:lineRule="auto"/>
        <w:ind w:left="798" w:right="0"/>
        <w:jc w:val="left"/>
      </w:pPr>
      <w:r>
        <w:rPr/>
        <w:t>二、承诺事项履行情况</w:t>
      </w:r>
    </w:p>
    <w:p>
      <w:pPr>
        <w:spacing w:line="240" w:lineRule="auto" w:before="1"/>
        <w:rPr>
          <w:rFonts w:ascii="黑体" w:hAnsi="黑体" w:cs="黑体" w:eastAsia="黑体" w:hint="default"/>
          <w:sz w:val="31"/>
          <w:szCs w:val="31"/>
        </w:rPr>
      </w:pPr>
    </w:p>
    <w:p>
      <w:pPr>
        <w:pStyle w:val="Heading3"/>
        <w:spacing w:line="310" w:lineRule="exact"/>
        <w:ind w:left="1055" w:right="0"/>
        <w:jc w:val="left"/>
        <w:rPr>
          <w:b w:val="0"/>
          <w:bCs w:val="0"/>
        </w:rPr>
      </w:pPr>
      <w:r>
        <w:rPr>
          <w:rFonts w:ascii="宋体" w:hAnsi="宋体" w:cs="宋体" w:eastAsia="宋体" w:hint="default"/>
        </w:rPr>
        <w:t>(</w:t>
      </w:r>
      <w:r>
        <w:rPr/>
        <w:t>一</w:t>
      </w:r>
      <w:r>
        <w:rPr>
          <w:rFonts w:ascii="宋体" w:hAnsi="宋体" w:cs="宋体" w:eastAsia="宋体" w:hint="default"/>
        </w:rPr>
        <w:t>)</w:t>
      </w:r>
      <w:r>
        <w:rPr/>
        <w:t>公司、股东、实际控制人、收购人、董事、监事、高级管理人员或其他关联方在</w:t>
      </w:r>
      <w:r>
        <w:rPr>
          <w:spacing w:val="-103"/>
        </w:rPr>
        <w:t> </w:t>
      </w:r>
      <w:r>
        <w:rPr>
          <w:spacing w:val="-103"/>
        </w:rPr>
      </w:r>
      <w:r>
        <w:rPr/>
        <w:t>报告期内或持续到报告期内的承诺事项</w:t>
      </w:r>
      <w:r>
        <w:rPr>
          <w:b w:val="0"/>
          <w:bCs w:val="0"/>
        </w:rPr>
      </w:r>
    </w:p>
    <w:p>
      <w:pPr>
        <w:spacing w:line="240" w:lineRule="auto" w:before="8"/>
        <w:rPr>
          <w:rFonts w:ascii="宋体" w:hAnsi="宋体" w:cs="宋体" w:eastAsia="宋体" w:hint="default"/>
          <w:b/>
          <w:bCs/>
          <w:sz w:val="24"/>
          <w:szCs w:val="24"/>
        </w:rPr>
      </w:pPr>
    </w:p>
    <w:tbl>
      <w:tblPr>
        <w:tblW w:w="0" w:type="auto"/>
        <w:jc w:val="left"/>
        <w:tblInd w:w="109" w:type="dxa"/>
        <w:tblLayout w:type="fixed"/>
        <w:tblCellMar>
          <w:top w:w="0" w:type="dxa"/>
          <w:left w:w="0" w:type="dxa"/>
          <w:bottom w:w="0" w:type="dxa"/>
          <w:right w:w="0" w:type="dxa"/>
        </w:tblCellMar>
        <w:tblLook w:val="01E0"/>
      </w:tblPr>
      <w:tblGrid>
        <w:gridCol w:w="1217"/>
        <w:gridCol w:w="869"/>
        <w:gridCol w:w="898"/>
        <w:gridCol w:w="2715"/>
        <w:gridCol w:w="941"/>
        <w:gridCol w:w="970"/>
        <w:gridCol w:w="953"/>
        <w:gridCol w:w="1121"/>
        <w:gridCol w:w="869"/>
      </w:tblGrid>
      <w:tr>
        <w:trPr>
          <w:trHeight w:val="1382" w:hRule="exact"/>
        </w:trPr>
        <w:tc>
          <w:tcPr>
            <w:tcW w:w="121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19"/>
                <w:szCs w:val="19"/>
              </w:rPr>
            </w:pPr>
          </w:p>
          <w:p>
            <w:pPr>
              <w:pStyle w:val="TableParagraph"/>
              <w:spacing w:line="240" w:lineRule="auto"/>
              <w:ind w:left="172" w:right="0"/>
              <w:jc w:val="left"/>
              <w:rPr>
                <w:rFonts w:ascii="宋体" w:hAnsi="宋体" w:cs="宋体" w:eastAsia="宋体" w:hint="default"/>
                <w:sz w:val="21"/>
                <w:szCs w:val="21"/>
              </w:rPr>
            </w:pPr>
            <w:r>
              <w:rPr>
                <w:rFonts w:ascii="宋体" w:hAnsi="宋体" w:cs="宋体" w:eastAsia="宋体" w:hint="default"/>
                <w:b/>
                <w:bCs/>
                <w:sz w:val="21"/>
                <w:szCs w:val="21"/>
              </w:rPr>
              <w:t>承诺背景</w:t>
            </w:r>
            <w:r>
              <w:rPr>
                <w:rFonts w:ascii="宋体" w:hAnsi="宋体" w:cs="宋体" w:eastAsia="宋体" w:hint="default"/>
                <w:sz w:val="21"/>
                <w:szCs w:val="21"/>
              </w:rPr>
            </w:r>
          </w:p>
        </w:tc>
        <w:tc>
          <w:tcPr>
            <w:tcW w:w="86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28"/>
                <w:szCs w:val="28"/>
              </w:rPr>
            </w:pPr>
          </w:p>
          <w:p>
            <w:pPr>
              <w:pStyle w:val="TableParagraph"/>
              <w:spacing w:line="240" w:lineRule="auto"/>
              <w:ind w:left="215" w:right="215"/>
              <w:jc w:val="left"/>
              <w:rPr>
                <w:rFonts w:ascii="宋体" w:hAnsi="宋体" w:cs="宋体" w:eastAsia="宋体" w:hint="default"/>
                <w:sz w:val="21"/>
                <w:szCs w:val="21"/>
              </w:rPr>
            </w:pPr>
            <w:r>
              <w:rPr>
                <w:rFonts w:ascii="宋体" w:hAnsi="宋体" w:cs="宋体" w:eastAsia="宋体" w:hint="default"/>
                <w:b/>
                <w:bCs/>
                <w:sz w:val="21"/>
                <w:szCs w:val="21"/>
              </w:rPr>
              <w:t>承诺</w:t>
            </w:r>
            <w:r>
              <w:rPr>
                <w:rFonts w:ascii="宋体" w:hAnsi="宋体" w:cs="宋体" w:eastAsia="宋体" w:hint="default"/>
                <w:b/>
                <w:bCs/>
                <w:w w:val="100"/>
                <w:sz w:val="21"/>
                <w:szCs w:val="21"/>
              </w:rPr>
              <w:t> </w:t>
            </w:r>
            <w:r>
              <w:rPr>
                <w:rFonts w:ascii="宋体" w:hAnsi="宋体" w:cs="宋体" w:eastAsia="宋体" w:hint="default"/>
                <w:b/>
                <w:bCs/>
                <w:sz w:val="21"/>
                <w:szCs w:val="21"/>
              </w:rPr>
              <w:t>类型</w:t>
            </w:r>
            <w:r>
              <w:rPr>
                <w:rFonts w:ascii="宋体" w:hAnsi="宋体" w:cs="宋体" w:eastAsia="宋体" w:hint="default"/>
                <w:sz w:val="21"/>
                <w:szCs w:val="21"/>
              </w:rPr>
            </w:r>
          </w:p>
        </w:tc>
        <w:tc>
          <w:tcPr>
            <w:tcW w:w="89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19"/>
                <w:szCs w:val="19"/>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b/>
                <w:bCs/>
                <w:sz w:val="21"/>
                <w:szCs w:val="21"/>
              </w:rPr>
              <w:t>承诺方</w:t>
            </w:r>
            <w:r>
              <w:rPr>
                <w:rFonts w:ascii="宋体" w:hAnsi="宋体" w:cs="宋体" w:eastAsia="宋体" w:hint="default"/>
                <w:sz w:val="21"/>
                <w:szCs w:val="21"/>
              </w:rPr>
            </w:r>
          </w:p>
        </w:tc>
        <w:tc>
          <w:tcPr>
            <w:tcW w:w="271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28"/>
                <w:szCs w:val="28"/>
              </w:rPr>
            </w:pPr>
          </w:p>
          <w:p>
            <w:pPr>
              <w:pStyle w:val="TableParagraph"/>
              <w:spacing w:line="240" w:lineRule="auto"/>
              <w:ind w:left="1138" w:right="1138"/>
              <w:jc w:val="center"/>
              <w:rPr>
                <w:rFonts w:ascii="宋体" w:hAnsi="宋体" w:cs="宋体" w:eastAsia="宋体" w:hint="default"/>
                <w:sz w:val="21"/>
                <w:szCs w:val="21"/>
              </w:rPr>
            </w:pPr>
            <w:r>
              <w:rPr>
                <w:rFonts w:ascii="宋体" w:hAnsi="宋体" w:cs="宋体" w:eastAsia="宋体" w:hint="default"/>
                <w:b/>
                <w:bCs/>
                <w:sz w:val="21"/>
                <w:szCs w:val="21"/>
              </w:rPr>
              <w:t>承诺</w:t>
            </w:r>
            <w:r>
              <w:rPr>
                <w:rFonts w:ascii="宋体" w:hAnsi="宋体" w:cs="宋体" w:eastAsia="宋体" w:hint="default"/>
                <w:b/>
                <w:bCs/>
                <w:w w:val="100"/>
                <w:sz w:val="21"/>
                <w:szCs w:val="21"/>
              </w:rPr>
              <w:t> </w:t>
            </w:r>
            <w:r>
              <w:rPr>
                <w:rFonts w:ascii="宋体" w:hAnsi="宋体" w:cs="宋体" w:eastAsia="宋体" w:hint="default"/>
                <w:b/>
                <w:bCs/>
                <w:sz w:val="21"/>
                <w:szCs w:val="21"/>
              </w:rPr>
              <w:t>内容</w:t>
            </w:r>
            <w:r>
              <w:rPr>
                <w:rFonts w:ascii="宋体" w:hAnsi="宋体" w:cs="宋体" w:eastAsia="宋体" w:hint="default"/>
                <w:sz w:val="21"/>
                <w:szCs w:val="21"/>
              </w:rPr>
            </w:r>
          </w:p>
        </w:tc>
        <w:tc>
          <w:tcPr>
            <w:tcW w:w="94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18"/>
                <w:szCs w:val="18"/>
              </w:rPr>
            </w:pPr>
          </w:p>
          <w:p>
            <w:pPr>
              <w:pStyle w:val="TableParagraph"/>
              <w:spacing w:line="237" w:lineRule="auto"/>
              <w:ind w:left="143" w:right="146"/>
              <w:jc w:val="center"/>
              <w:rPr>
                <w:rFonts w:ascii="宋体" w:hAnsi="宋体" w:cs="宋体" w:eastAsia="宋体" w:hint="default"/>
                <w:sz w:val="21"/>
                <w:szCs w:val="21"/>
              </w:rPr>
            </w:pPr>
            <w:r>
              <w:rPr>
                <w:rFonts w:ascii="宋体" w:hAnsi="宋体" w:cs="宋体" w:eastAsia="宋体" w:hint="default"/>
                <w:b/>
                <w:bCs/>
                <w:sz w:val="21"/>
                <w:szCs w:val="21"/>
              </w:rPr>
              <w:t>承诺时</w:t>
            </w:r>
            <w:r>
              <w:rPr>
                <w:rFonts w:ascii="宋体" w:hAnsi="宋体" w:cs="宋体" w:eastAsia="宋体" w:hint="default"/>
                <w:b/>
                <w:bCs/>
                <w:w w:val="100"/>
                <w:sz w:val="21"/>
                <w:szCs w:val="21"/>
              </w:rPr>
              <w:t> </w:t>
            </w:r>
            <w:r>
              <w:rPr>
                <w:rFonts w:ascii="宋体" w:hAnsi="宋体" w:cs="宋体" w:eastAsia="宋体" w:hint="default"/>
                <w:b/>
                <w:bCs/>
                <w:sz w:val="21"/>
                <w:szCs w:val="21"/>
              </w:rPr>
              <w:t>间及期</w:t>
            </w:r>
            <w:r>
              <w:rPr>
                <w:rFonts w:ascii="宋体" w:hAnsi="宋体" w:cs="宋体" w:eastAsia="宋体" w:hint="default"/>
                <w:b/>
                <w:bCs/>
                <w:w w:val="100"/>
                <w:sz w:val="21"/>
                <w:szCs w:val="21"/>
              </w:rPr>
              <w:t> </w:t>
            </w:r>
            <w:r>
              <w:rPr>
                <w:rFonts w:ascii="宋体" w:hAnsi="宋体" w:cs="宋体" w:eastAsia="宋体" w:hint="default"/>
                <w:b/>
                <w:bCs/>
                <w:sz w:val="21"/>
                <w:szCs w:val="21"/>
              </w:rPr>
              <w:t>限</w:t>
            </w:r>
            <w:r>
              <w:rPr>
                <w:rFonts w:ascii="宋体" w:hAnsi="宋体" w:cs="宋体" w:eastAsia="宋体" w:hint="default"/>
                <w:sz w:val="21"/>
                <w:szCs w:val="21"/>
              </w:rPr>
            </w:r>
          </w:p>
        </w:tc>
        <w:tc>
          <w:tcPr>
            <w:tcW w:w="97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18"/>
                <w:szCs w:val="18"/>
              </w:rPr>
            </w:pPr>
          </w:p>
          <w:p>
            <w:pPr>
              <w:pStyle w:val="TableParagraph"/>
              <w:spacing w:line="237" w:lineRule="auto"/>
              <w:ind w:left="158" w:right="161"/>
              <w:jc w:val="center"/>
              <w:rPr>
                <w:rFonts w:ascii="宋体" w:hAnsi="宋体" w:cs="宋体" w:eastAsia="宋体" w:hint="default"/>
                <w:sz w:val="21"/>
                <w:szCs w:val="21"/>
              </w:rPr>
            </w:pPr>
            <w:r>
              <w:rPr>
                <w:rFonts w:ascii="宋体" w:hAnsi="宋体" w:cs="宋体" w:eastAsia="宋体" w:hint="default"/>
                <w:b/>
                <w:bCs/>
                <w:sz w:val="21"/>
                <w:szCs w:val="21"/>
              </w:rPr>
              <w:t>是否有</w:t>
            </w:r>
            <w:r>
              <w:rPr>
                <w:rFonts w:ascii="宋体" w:hAnsi="宋体" w:cs="宋体" w:eastAsia="宋体" w:hint="default"/>
                <w:b/>
                <w:bCs/>
                <w:w w:val="100"/>
                <w:sz w:val="21"/>
                <w:szCs w:val="21"/>
              </w:rPr>
              <w:t> </w:t>
            </w:r>
            <w:r>
              <w:rPr>
                <w:rFonts w:ascii="宋体" w:hAnsi="宋体" w:cs="宋体" w:eastAsia="宋体" w:hint="default"/>
                <w:b/>
                <w:bCs/>
                <w:sz w:val="21"/>
                <w:szCs w:val="21"/>
              </w:rPr>
              <w:t>履行期</w:t>
            </w:r>
            <w:r>
              <w:rPr>
                <w:rFonts w:ascii="宋体" w:hAnsi="宋体" w:cs="宋体" w:eastAsia="宋体" w:hint="default"/>
                <w:b/>
                <w:bCs/>
                <w:w w:val="100"/>
                <w:sz w:val="21"/>
                <w:szCs w:val="21"/>
              </w:rPr>
              <w:t> </w:t>
            </w:r>
            <w:r>
              <w:rPr>
                <w:rFonts w:ascii="宋体" w:hAnsi="宋体" w:cs="宋体" w:eastAsia="宋体" w:hint="default"/>
                <w:b/>
                <w:bCs/>
                <w:sz w:val="21"/>
                <w:szCs w:val="21"/>
              </w:rPr>
              <w:t>限</w:t>
            </w:r>
            <w:r>
              <w:rPr>
                <w:rFonts w:ascii="宋体" w:hAnsi="宋体" w:cs="宋体" w:eastAsia="宋体" w:hint="default"/>
                <w:sz w:val="21"/>
                <w:szCs w:val="21"/>
              </w:rPr>
            </w:r>
          </w:p>
        </w:tc>
        <w:tc>
          <w:tcPr>
            <w:tcW w:w="95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18"/>
                <w:szCs w:val="18"/>
              </w:rPr>
            </w:pPr>
          </w:p>
          <w:p>
            <w:pPr>
              <w:pStyle w:val="TableParagraph"/>
              <w:spacing w:line="237" w:lineRule="auto"/>
              <w:ind w:left="151" w:right="152"/>
              <w:jc w:val="both"/>
              <w:rPr>
                <w:rFonts w:ascii="宋体" w:hAnsi="宋体" w:cs="宋体" w:eastAsia="宋体" w:hint="default"/>
                <w:sz w:val="21"/>
                <w:szCs w:val="21"/>
              </w:rPr>
            </w:pPr>
            <w:r>
              <w:rPr>
                <w:rFonts w:ascii="宋体" w:hAnsi="宋体" w:cs="宋体" w:eastAsia="宋体" w:hint="default"/>
                <w:b/>
                <w:bCs/>
                <w:sz w:val="21"/>
                <w:szCs w:val="21"/>
              </w:rPr>
              <w:t>是否及</w:t>
            </w:r>
            <w:r>
              <w:rPr>
                <w:rFonts w:ascii="宋体" w:hAnsi="宋体" w:cs="宋体" w:eastAsia="宋体" w:hint="default"/>
                <w:b/>
                <w:bCs/>
                <w:w w:val="100"/>
                <w:sz w:val="21"/>
                <w:szCs w:val="21"/>
              </w:rPr>
              <w:t> </w:t>
            </w:r>
            <w:r>
              <w:rPr>
                <w:rFonts w:ascii="宋体" w:hAnsi="宋体" w:cs="宋体" w:eastAsia="宋体" w:hint="default"/>
                <w:b/>
                <w:bCs/>
                <w:sz w:val="21"/>
                <w:szCs w:val="21"/>
              </w:rPr>
              <w:t>时严格</w:t>
            </w:r>
            <w:r>
              <w:rPr>
                <w:rFonts w:ascii="宋体" w:hAnsi="宋体" w:cs="宋体" w:eastAsia="宋体" w:hint="default"/>
                <w:b/>
                <w:bCs/>
                <w:w w:val="100"/>
                <w:sz w:val="21"/>
                <w:szCs w:val="21"/>
              </w:rPr>
              <w:t> </w:t>
            </w:r>
            <w:r>
              <w:rPr>
                <w:rFonts w:ascii="宋体" w:hAnsi="宋体" w:cs="宋体" w:eastAsia="宋体" w:hint="default"/>
                <w:b/>
                <w:bCs/>
                <w:sz w:val="21"/>
                <w:szCs w:val="21"/>
              </w:rPr>
              <w:t>履行</w:t>
            </w:r>
            <w:r>
              <w:rPr>
                <w:rFonts w:ascii="宋体" w:hAnsi="宋体" w:cs="宋体" w:eastAsia="宋体" w:hint="default"/>
                <w:sz w:val="21"/>
                <w:szCs w:val="21"/>
              </w:rPr>
            </w:r>
          </w:p>
        </w:tc>
        <w:tc>
          <w:tcPr>
            <w:tcW w:w="1121" w:type="dxa"/>
            <w:tcBorders>
              <w:top w:val="single" w:sz="12" w:space="0" w:color="000000"/>
              <w:left w:val="single" w:sz="6" w:space="0" w:color="000000"/>
              <w:bottom w:val="single" w:sz="6" w:space="0" w:color="000000"/>
              <w:right w:val="single" w:sz="6" w:space="0" w:color="000000"/>
            </w:tcBorders>
          </w:tcPr>
          <w:p>
            <w:pPr>
              <w:pStyle w:val="TableParagraph"/>
              <w:spacing w:line="240" w:lineRule="exact"/>
              <w:ind w:left="131" w:right="0"/>
              <w:jc w:val="both"/>
              <w:rPr>
                <w:rFonts w:ascii="宋体" w:hAnsi="宋体" w:cs="宋体" w:eastAsia="宋体" w:hint="default"/>
                <w:sz w:val="21"/>
                <w:szCs w:val="21"/>
              </w:rPr>
            </w:pPr>
            <w:r>
              <w:rPr>
                <w:rFonts w:ascii="宋体" w:hAnsi="宋体" w:cs="宋体" w:eastAsia="宋体" w:hint="default"/>
                <w:b/>
                <w:bCs/>
                <w:sz w:val="21"/>
                <w:szCs w:val="21"/>
              </w:rPr>
              <w:t>如未能及</w:t>
            </w:r>
            <w:r>
              <w:rPr>
                <w:rFonts w:ascii="宋体" w:hAnsi="宋体" w:cs="宋体" w:eastAsia="宋体" w:hint="default"/>
                <w:sz w:val="21"/>
                <w:szCs w:val="21"/>
              </w:rPr>
            </w:r>
          </w:p>
          <w:p>
            <w:pPr>
              <w:pStyle w:val="TableParagraph"/>
              <w:spacing w:line="237" w:lineRule="auto" w:before="2"/>
              <w:ind w:left="131" w:right="127"/>
              <w:jc w:val="both"/>
              <w:rPr>
                <w:rFonts w:ascii="宋体" w:hAnsi="宋体" w:cs="宋体" w:eastAsia="宋体" w:hint="default"/>
                <w:sz w:val="21"/>
                <w:szCs w:val="21"/>
              </w:rPr>
            </w:pPr>
            <w:r>
              <w:rPr>
                <w:rFonts w:ascii="宋体" w:hAnsi="宋体" w:cs="宋体" w:eastAsia="宋体" w:hint="default"/>
                <w:b/>
                <w:bCs/>
                <w:sz w:val="21"/>
                <w:szCs w:val="21"/>
              </w:rPr>
              <w:t>时履行应</w:t>
            </w:r>
            <w:r>
              <w:rPr>
                <w:rFonts w:ascii="宋体" w:hAnsi="宋体" w:cs="宋体" w:eastAsia="宋体" w:hint="default"/>
                <w:b/>
                <w:bCs/>
                <w:w w:val="100"/>
                <w:sz w:val="21"/>
                <w:szCs w:val="21"/>
              </w:rPr>
              <w:t> </w:t>
            </w:r>
            <w:r>
              <w:rPr>
                <w:rFonts w:ascii="宋体" w:hAnsi="宋体" w:cs="宋体" w:eastAsia="宋体" w:hint="default"/>
                <w:b/>
                <w:bCs/>
                <w:sz w:val="21"/>
                <w:szCs w:val="21"/>
              </w:rPr>
              <w:t>说明未完</w:t>
            </w:r>
            <w:r>
              <w:rPr>
                <w:rFonts w:ascii="宋体" w:hAnsi="宋体" w:cs="宋体" w:eastAsia="宋体" w:hint="default"/>
                <w:b/>
                <w:bCs/>
                <w:w w:val="100"/>
                <w:sz w:val="21"/>
                <w:szCs w:val="21"/>
              </w:rPr>
              <w:t> </w:t>
            </w:r>
            <w:r>
              <w:rPr>
                <w:rFonts w:ascii="宋体" w:hAnsi="宋体" w:cs="宋体" w:eastAsia="宋体" w:hint="default"/>
                <w:b/>
                <w:bCs/>
                <w:sz w:val="21"/>
                <w:szCs w:val="21"/>
              </w:rPr>
              <w:t>成履行的</w:t>
            </w:r>
            <w:r>
              <w:rPr>
                <w:rFonts w:ascii="宋体" w:hAnsi="宋体" w:cs="宋体" w:eastAsia="宋体" w:hint="default"/>
                <w:b/>
                <w:bCs/>
                <w:w w:val="100"/>
                <w:sz w:val="21"/>
                <w:szCs w:val="21"/>
              </w:rPr>
              <w:t> </w:t>
            </w:r>
            <w:r>
              <w:rPr>
                <w:rFonts w:ascii="宋体" w:hAnsi="宋体" w:cs="宋体" w:eastAsia="宋体" w:hint="default"/>
                <w:b/>
                <w:bCs/>
                <w:sz w:val="21"/>
                <w:szCs w:val="21"/>
              </w:rPr>
              <w:t>具体原因</w:t>
            </w:r>
            <w:r>
              <w:rPr>
                <w:rFonts w:ascii="宋体" w:hAnsi="宋体" w:cs="宋体" w:eastAsia="宋体" w:hint="default"/>
                <w:sz w:val="21"/>
                <w:szCs w:val="21"/>
              </w:rPr>
            </w:r>
          </w:p>
        </w:tc>
        <w:tc>
          <w:tcPr>
            <w:tcW w:w="869" w:type="dxa"/>
            <w:tcBorders>
              <w:top w:val="single" w:sz="12" w:space="0" w:color="000000"/>
              <w:left w:val="single" w:sz="6" w:space="0" w:color="000000"/>
              <w:bottom w:val="single" w:sz="6" w:space="0" w:color="000000"/>
              <w:right w:val="single" w:sz="12" w:space="0" w:color="000000"/>
            </w:tcBorders>
          </w:tcPr>
          <w:p>
            <w:pPr>
              <w:pStyle w:val="TableParagraph"/>
              <w:spacing w:line="240" w:lineRule="exact"/>
              <w:ind w:left="107" w:right="0"/>
              <w:jc w:val="both"/>
              <w:rPr>
                <w:rFonts w:ascii="宋体" w:hAnsi="宋体" w:cs="宋体" w:eastAsia="宋体" w:hint="default"/>
                <w:sz w:val="21"/>
                <w:szCs w:val="21"/>
              </w:rPr>
            </w:pPr>
            <w:r>
              <w:rPr>
                <w:rFonts w:ascii="宋体" w:hAnsi="宋体" w:cs="宋体" w:eastAsia="宋体" w:hint="default"/>
                <w:b/>
                <w:bCs/>
                <w:sz w:val="21"/>
                <w:szCs w:val="21"/>
              </w:rPr>
              <w:t>如未能</w:t>
            </w:r>
            <w:r>
              <w:rPr>
                <w:rFonts w:ascii="宋体" w:hAnsi="宋体" w:cs="宋体" w:eastAsia="宋体" w:hint="default"/>
                <w:sz w:val="21"/>
                <w:szCs w:val="21"/>
              </w:rPr>
            </w:r>
          </w:p>
          <w:p>
            <w:pPr>
              <w:pStyle w:val="TableParagraph"/>
              <w:spacing w:line="237" w:lineRule="auto" w:before="2"/>
              <w:ind w:left="107" w:right="103"/>
              <w:jc w:val="both"/>
              <w:rPr>
                <w:rFonts w:ascii="宋体" w:hAnsi="宋体" w:cs="宋体" w:eastAsia="宋体" w:hint="default"/>
                <w:sz w:val="21"/>
                <w:szCs w:val="21"/>
              </w:rPr>
            </w:pPr>
            <w:r>
              <w:rPr>
                <w:rFonts w:ascii="宋体" w:hAnsi="宋体" w:cs="宋体" w:eastAsia="宋体" w:hint="default"/>
                <w:b/>
                <w:bCs/>
                <w:sz w:val="21"/>
                <w:szCs w:val="21"/>
              </w:rPr>
              <w:t>及时履</w:t>
            </w:r>
            <w:r>
              <w:rPr>
                <w:rFonts w:ascii="宋体" w:hAnsi="宋体" w:cs="宋体" w:eastAsia="宋体" w:hint="default"/>
                <w:b/>
                <w:bCs/>
                <w:w w:val="100"/>
                <w:sz w:val="21"/>
                <w:szCs w:val="21"/>
              </w:rPr>
              <w:t> </w:t>
            </w:r>
            <w:r>
              <w:rPr>
                <w:rFonts w:ascii="宋体" w:hAnsi="宋体" w:cs="宋体" w:eastAsia="宋体" w:hint="default"/>
                <w:b/>
                <w:bCs/>
                <w:sz w:val="21"/>
                <w:szCs w:val="21"/>
              </w:rPr>
              <w:t>行应说</w:t>
            </w:r>
            <w:r>
              <w:rPr>
                <w:rFonts w:ascii="宋体" w:hAnsi="宋体" w:cs="宋体" w:eastAsia="宋体" w:hint="default"/>
                <w:b/>
                <w:bCs/>
                <w:w w:val="100"/>
                <w:sz w:val="21"/>
                <w:szCs w:val="21"/>
              </w:rPr>
              <w:t> </w:t>
            </w:r>
            <w:r>
              <w:rPr>
                <w:rFonts w:ascii="宋体" w:hAnsi="宋体" w:cs="宋体" w:eastAsia="宋体" w:hint="default"/>
                <w:b/>
                <w:bCs/>
                <w:sz w:val="21"/>
                <w:szCs w:val="21"/>
              </w:rPr>
              <w:t>明下一</w:t>
            </w:r>
            <w:r>
              <w:rPr>
                <w:rFonts w:ascii="宋体" w:hAnsi="宋体" w:cs="宋体" w:eastAsia="宋体" w:hint="default"/>
                <w:b/>
                <w:bCs/>
                <w:w w:val="100"/>
                <w:sz w:val="21"/>
                <w:szCs w:val="21"/>
              </w:rPr>
              <w:t> </w:t>
            </w:r>
            <w:r>
              <w:rPr>
                <w:rFonts w:ascii="宋体" w:hAnsi="宋体" w:cs="宋体" w:eastAsia="宋体" w:hint="default"/>
                <w:b/>
                <w:bCs/>
                <w:sz w:val="21"/>
                <w:szCs w:val="21"/>
              </w:rPr>
              <w:t>步计划</w:t>
            </w:r>
            <w:r>
              <w:rPr>
                <w:rFonts w:ascii="宋体" w:hAnsi="宋体" w:cs="宋体" w:eastAsia="宋体" w:hint="default"/>
                <w:sz w:val="21"/>
                <w:szCs w:val="21"/>
              </w:rPr>
            </w:r>
          </w:p>
        </w:tc>
      </w:tr>
      <w:tr>
        <w:trPr>
          <w:trHeight w:val="4919" w:hRule="exact"/>
        </w:trPr>
        <w:tc>
          <w:tcPr>
            <w:tcW w:w="121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37" w:lineRule="auto"/>
              <w:ind w:left="93" w:right="257"/>
              <w:jc w:val="both"/>
              <w:rPr>
                <w:rFonts w:ascii="宋体" w:hAnsi="宋体" w:cs="宋体" w:eastAsia="宋体" w:hint="default"/>
                <w:sz w:val="21"/>
                <w:szCs w:val="21"/>
              </w:rPr>
            </w:pPr>
            <w:r>
              <w:rPr>
                <w:rFonts w:ascii="宋体" w:hAnsi="宋体" w:cs="宋体" w:eastAsia="宋体" w:hint="default"/>
                <w:sz w:val="21"/>
                <w:szCs w:val="21"/>
              </w:rPr>
              <w:t>与重大资</w:t>
            </w:r>
            <w:r>
              <w:rPr>
                <w:rFonts w:ascii="宋体" w:hAnsi="宋体" w:cs="宋体" w:eastAsia="宋体" w:hint="default"/>
                <w:w w:val="100"/>
                <w:sz w:val="21"/>
                <w:szCs w:val="21"/>
              </w:rPr>
              <w:t> </w:t>
            </w:r>
            <w:r>
              <w:rPr>
                <w:rFonts w:ascii="宋体" w:hAnsi="宋体" w:cs="宋体" w:eastAsia="宋体" w:hint="default"/>
                <w:sz w:val="21"/>
                <w:szCs w:val="21"/>
              </w:rPr>
              <w:t>产重组相</w:t>
            </w:r>
            <w:r>
              <w:rPr>
                <w:rFonts w:ascii="宋体" w:hAnsi="宋体" w:cs="宋体" w:eastAsia="宋体" w:hint="default"/>
                <w:w w:val="100"/>
                <w:sz w:val="21"/>
                <w:szCs w:val="21"/>
              </w:rPr>
              <w:t> </w:t>
            </w:r>
            <w:r>
              <w:rPr>
                <w:rFonts w:ascii="宋体" w:hAnsi="宋体" w:cs="宋体" w:eastAsia="宋体" w:hint="default"/>
                <w:sz w:val="21"/>
                <w:szCs w:val="21"/>
              </w:rPr>
              <w:t>关的承诺</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股份限</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售</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both"/>
              <w:rPr>
                <w:rFonts w:ascii="宋体" w:hAnsi="宋体" w:cs="宋体" w:eastAsia="宋体" w:hint="default"/>
                <w:sz w:val="18"/>
                <w:szCs w:val="18"/>
              </w:rPr>
            </w:pPr>
            <w:r>
              <w:rPr>
                <w:rFonts w:ascii="宋体" w:hAnsi="宋体" w:cs="宋体" w:eastAsia="宋体" w:hint="default"/>
                <w:sz w:val="18"/>
                <w:szCs w:val="18"/>
              </w:rPr>
              <w:t>杜国楹、</w:t>
            </w:r>
          </w:p>
          <w:p>
            <w:pPr>
              <w:pStyle w:val="TableParagraph"/>
              <w:spacing w:line="237" w:lineRule="auto"/>
              <w:ind w:left="100" w:right="60"/>
              <w:jc w:val="both"/>
              <w:rPr>
                <w:rFonts w:ascii="宋体" w:hAnsi="宋体" w:cs="宋体" w:eastAsia="宋体" w:hint="default"/>
                <w:sz w:val="18"/>
                <w:szCs w:val="18"/>
              </w:rPr>
            </w:pPr>
            <w:r>
              <w:rPr>
                <w:rFonts w:ascii="宋体" w:hAnsi="宋体" w:cs="宋体" w:eastAsia="宋体" w:hint="default"/>
                <w:sz w:val="18"/>
                <w:szCs w:val="18"/>
              </w:rPr>
              <w:t>蒋宇飞、 方礼勇、 </w:t>
            </w:r>
            <w:r>
              <w:rPr>
                <w:rFonts w:ascii="宋体" w:hAnsi="宋体" w:cs="宋体" w:eastAsia="宋体" w:hint="default"/>
                <w:spacing w:val="-10"/>
                <w:sz w:val="18"/>
                <w:szCs w:val="18"/>
              </w:rPr>
              <w:t>周佳、赵</w:t>
            </w:r>
            <w:r>
              <w:rPr>
                <w:rFonts w:ascii="宋体" w:hAnsi="宋体" w:cs="宋体" w:eastAsia="宋体" w:hint="default"/>
                <w:sz w:val="18"/>
                <w:szCs w:val="18"/>
              </w:rPr>
              <w:t> </w:t>
            </w:r>
            <w:r>
              <w:rPr>
                <w:rFonts w:ascii="宋体" w:hAnsi="宋体" w:cs="宋体" w:eastAsia="宋体" w:hint="default"/>
                <w:spacing w:val="-10"/>
                <w:sz w:val="18"/>
                <w:szCs w:val="18"/>
              </w:rPr>
              <w:t>新钦、武</w:t>
            </w:r>
            <w:r>
              <w:rPr>
                <w:rFonts w:ascii="宋体" w:hAnsi="宋体" w:cs="宋体" w:eastAsia="宋体" w:hint="default"/>
                <w:sz w:val="18"/>
                <w:szCs w:val="18"/>
              </w:rPr>
              <w:t> 晔飞</w:t>
            </w:r>
          </w:p>
        </w:tc>
        <w:tc>
          <w:tcPr>
            <w:tcW w:w="271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461"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8</w:t>
            </w:r>
            <w:r>
              <w:rPr>
                <w:rFonts w:ascii="宋体" w:hAnsi="宋体" w:cs="宋体" w:eastAsia="宋体" w:hint="default"/>
                <w:spacing w:val="-44"/>
                <w:sz w:val="18"/>
                <w:szCs w:val="18"/>
              </w:rPr>
              <w:t> </w:t>
            </w:r>
            <w:r>
              <w:rPr>
                <w:rFonts w:ascii="宋体" w:hAnsi="宋体" w:cs="宋体" w:eastAsia="宋体" w:hint="default"/>
                <w:spacing w:val="-9"/>
                <w:sz w:val="18"/>
                <w:szCs w:val="18"/>
              </w:rPr>
              <w:t>月，公司实施了向</w:t>
            </w:r>
          </w:p>
          <w:p>
            <w:pPr>
              <w:pStyle w:val="TableParagraph"/>
              <w:spacing w:line="237" w:lineRule="auto"/>
              <w:ind w:left="101" w:right="101"/>
              <w:jc w:val="both"/>
              <w:rPr>
                <w:rFonts w:ascii="宋体" w:hAnsi="宋体" w:cs="宋体" w:eastAsia="宋体" w:hint="default"/>
                <w:sz w:val="18"/>
                <w:szCs w:val="18"/>
              </w:rPr>
            </w:pPr>
            <w:r>
              <w:rPr>
                <w:rFonts w:ascii="宋体" w:hAnsi="宋体" w:cs="宋体" w:eastAsia="宋体" w:hint="default"/>
                <w:sz w:val="18"/>
                <w:szCs w:val="18"/>
              </w:rPr>
              <w:t>杜国楹等 </w:t>
            </w:r>
            <w:r>
              <w:rPr>
                <w:rFonts w:ascii="宋体" w:hAnsi="宋体" w:cs="宋体" w:eastAsia="宋体" w:hint="default"/>
                <w:sz w:val="18"/>
                <w:szCs w:val="18"/>
              </w:rPr>
              <w:t>14</w:t>
            </w:r>
            <w:r>
              <w:rPr>
                <w:rFonts w:ascii="宋体" w:hAnsi="宋体" w:cs="宋体" w:eastAsia="宋体" w:hint="default"/>
                <w:spacing w:val="-26"/>
                <w:sz w:val="18"/>
                <w:szCs w:val="18"/>
              </w:rPr>
              <w:t> </w:t>
            </w:r>
            <w:r>
              <w:rPr>
                <w:rFonts w:ascii="宋体" w:hAnsi="宋体" w:cs="宋体" w:eastAsia="宋体" w:hint="default"/>
                <w:sz w:val="18"/>
                <w:szCs w:val="18"/>
              </w:rPr>
              <w:t>名特定投资者发行 </w:t>
            </w:r>
            <w:r>
              <w:rPr>
                <w:rFonts w:ascii="宋体" w:hAnsi="宋体" w:cs="宋体" w:eastAsia="宋体" w:hint="default"/>
                <w:spacing w:val="11"/>
                <w:sz w:val="18"/>
                <w:szCs w:val="18"/>
              </w:rPr>
              <w:t>股份购买其持有的北京壹人壹</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本信息科技有限公司</w:t>
            </w:r>
            <w:r>
              <w:rPr>
                <w:rFonts w:ascii="宋体" w:hAnsi="宋体" w:cs="宋体" w:eastAsia="宋体" w:hint="default"/>
                <w:spacing w:val="4"/>
                <w:sz w:val="18"/>
                <w:szCs w:val="18"/>
              </w:rPr>
              <w:t>(</w:t>
            </w:r>
            <w:r>
              <w:rPr>
                <w:rFonts w:ascii="宋体" w:hAnsi="宋体" w:cs="宋体" w:eastAsia="宋体" w:hint="default"/>
                <w:spacing w:val="4"/>
                <w:sz w:val="18"/>
                <w:szCs w:val="18"/>
              </w:rPr>
              <w:t>以下简称</w:t>
            </w:r>
            <w:r>
              <w:rPr>
                <w:rFonts w:ascii="宋体" w:hAnsi="宋体" w:cs="宋体" w:eastAsia="宋体" w:hint="default"/>
                <w:sz w:val="18"/>
                <w:szCs w:val="18"/>
              </w:rPr>
              <w:t> </w:t>
            </w:r>
            <w:r>
              <w:rPr>
                <w:rFonts w:ascii="宋体" w:hAnsi="宋体" w:cs="宋体" w:eastAsia="宋体" w:hint="default"/>
                <w:spacing w:val="-2"/>
                <w:sz w:val="18"/>
                <w:szCs w:val="18"/>
              </w:rPr>
              <w:t>为“壹人壹本”</w:t>
            </w:r>
            <w:r>
              <w:rPr>
                <w:rFonts w:ascii="宋体" w:hAnsi="宋体" w:cs="宋体" w:eastAsia="宋体" w:hint="default"/>
                <w:spacing w:val="-2"/>
                <w:sz w:val="18"/>
                <w:szCs w:val="18"/>
              </w:rPr>
              <w:t>)75.27265%</w:t>
            </w:r>
            <w:r>
              <w:rPr>
                <w:rFonts w:ascii="宋体" w:hAnsi="宋体" w:cs="宋体" w:eastAsia="宋体" w:hint="default"/>
                <w:spacing w:val="-2"/>
                <w:sz w:val="18"/>
                <w:szCs w:val="18"/>
              </w:rPr>
              <w:t>股权</w:t>
            </w:r>
            <w:r>
              <w:rPr>
                <w:rFonts w:ascii="宋体" w:hAnsi="宋体" w:cs="宋体" w:eastAsia="宋体" w:hint="default"/>
                <w:sz w:val="18"/>
                <w:szCs w:val="18"/>
              </w:rPr>
            </w:r>
          </w:p>
          <w:p>
            <w:pPr>
              <w:pStyle w:val="TableParagraph"/>
              <w:spacing w:line="237" w:lineRule="auto"/>
              <w:ind w:left="101" w:right="77"/>
              <w:jc w:val="both"/>
              <w:rPr>
                <w:rFonts w:ascii="宋体" w:hAnsi="宋体" w:cs="宋体" w:eastAsia="宋体" w:hint="default"/>
                <w:sz w:val="18"/>
                <w:szCs w:val="18"/>
              </w:rPr>
            </w:pPr>
            <w:r>
              <w:rPr>
                <w:rFonts w:ascii="宋体" w:hAnsi="宋体" w:cs="宋体" w:eastAsia="宋体" w:hint="default"/>
                <w:sz w:val="18"/>
                <w:szCs w:val="18"/>
              </w:rPr>
              <w:t>的方案。本次发行方案完成后， 公司共计向杜国楹等 </w:t>
            </w:r>
            <w:r>
              <w:rPr>
                <w:rFonts w:ascii="宋体" w:hAnsi="宋体" w:cs="宋体" w:eastAsia="宋体" w:hint="default"/>
                <w:sz w:val="18"/>
                <w:szCs w:val="18"/>
              </w:rPr>
              <w:t>14</w:t>
            </w:r>
            <w:r>
              <w:rPr>
                <w:rFonts w:ascii="宋体" w:hAnsi="宋体" w:cs="宋体" w:eastAsia="宋体" w:hint="default"/>
                <w:spacing w:val="-25"/>
                <w:sz w:val="18"/>
                <w:szCs w:val="18"/>
              </w:rPr>
              <w:t> </w:t>
            </w:r>
            <w:r>
              <w:rPr>
                <w:rFonts w:ascii="宋体" w:hAnsi="宋体" w:cs="宋体" w:eastAsia="宋体" w:hint="default"/>
                <w:sz w:val="18"/>
                <w:szCs w:val="18"/>
              </w:rPr>
              <w:t>名特定 </w:t>
            </w:r>
            <w:r>
              <w:rPr>
                <w:rFonts w:ascii="宋体" w:hAnsi="宋体" w:cs="宋体" w:eastAsia="宋体" w:hint="default"/>
                <w:spacing w:val="15"/>
                <w:sz w:val="18"/>
                <w:szCs w:val="18"/>
              </w:rPr>
              <w:t>投资者发</w:t>
            </w:r>
            <w:r>
              <w:rPr>
                <w:rFonts w:ascii="宋体" w:hAnsi="宋体" w:cs="宋体" w:eastAsia="宋体" w:hint="default"/>
                <w:spacing w:val="-67"/>
                <w:sz w:val="18"/>
                <w:szCs w:val="18"/>
              </w:rPr>
              <w:t> </w:t>
            </w:r>
            <w:r>
              <w:rPr>
                <w:rFonts w:ascii="宋体" w:hAnsi="宋体" w:cs="宋体" w:eastAsia="宋体" w:hint="default"/>
                <w:spacing w:val="14"/>
                <w:sz w:val="18"/>
                <w:szCs w:val="18"/>
              </w:rPr>
              <w:t>行股份</w:t>
            </w:r>
            <w:r>
              <w:rPr>
                <w:rFonts w:ascii="宋体" w:hAnsi="宋体" w:cs="宋体" w:eastAsia="宋体" w:hint="default"/>
                <w:spacing w:val="23"/>
                <w:sz w:val="18"/>
                <w:szCs w:val="18"/>
              </w:rPr>
              <w:t> </w:t>
            </w:r>
            <w:r>
              <w:rPr>
                <w:rFonts w:ascii="宋体" w:hAnsi="宋体" w:cs="宋体" w:eastAsia="宋体" w:hint="default"/>
                <w:sz w:val="18"/>
                <w:szCs w:val="18"/>
              </w:rPr>
              <w:t>157,724,483 </w:t>
            </w:r>
            <w:r>
              <w:rPr>
                <w:rFonts w:ascii="宋体" w:hAnsi="宋体" w:cs="宋体" w:eastAsia="宋体" w:hint="default"/>
                <w:sz w:val="18"/>
                <w:szCs w:val="18"/>
              </w:rPr>
              <w:t>股，其中：</w:t>
            </w: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37" w:lineRule="auto"/>
              <w:ind w:left="101" w:right="77" w:firstLine="360"/>
              <w:jc w:val="both"/>
              <w:rPr>
                <w:rFonts w:ascii="宋体" w:hAnsi="宋体" w:cs="宋体" w:eastAsia="宋体" w:hint="default"/>
                <w:sz w:val="18"/>
                <w:szCs w:val="18"/>
              </w:rPr>
            </w:pPr>
            <w:r>
              <w:rPr>
                <w:rFonts w:ascii="宋体" w:hAnsi="宋体" w:cs="宋体" w:eastAsia="宋体" w:hint="default"/>
                <w:sz w:val="18"/>
                <w:szCs w:val="18"/>
              </w:rPr>
              <w:t>交易对方杜国楹、蒋宇飞、 方礼勇、周佳、赵新钦、武晔飞 </w:t>
            </w:r>
            <w:r>
              <w:rPr>
                <w:rFonts w:ascii="宋体" w:hAnsi="宋体" w:cs="宋体" w:eastAsia="宋体" w:hint="default"/>
                <w:spacing w:val="11"/>
                <w:sz w:val="18"/>
                <w:szCs w:val="18"/>
              </w:rPr>
              <w:t>承诺所持公司股份的限售期为</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1"/>
                <w:sz w:val="18"/>
                <w:szCs w:val="18"/>
              </w:rPr>
              <w:t>自本次发行结束之日起满三十</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六</w:t>
            </w:r>
            <w:r>
              <w:rPr>
                <w:rFonts w:ascii="宋体" w:hAnsi="宋体" w:cs="宋体" w:eastAsia="宋体" w:hint="default"/>
                <w:spacing w:val="3"/>
                <w:sz w:val="18"/>
                <w:szCs w:val="18"/>
              </w:rPr>
              <w:t>(36)</w:t>
            </w:r>
            <w:r>
              <w:rPr>
                <w:rFonts w:ascii="宋体" w:hAnsi="宋体" w:cs="宋体" w:eastAsia="宋体" w:hint="default"/>
                <w:spacing w:val="3"/>
                <w:sz w:val="18"/>
                <w:szCs w:val="18"/>
              </w:rPr>
              <w:t>个月之日</w:t>
            </w:r>
            <w:r>
              <w:rPr>
                <w:rFonts w:ascii="宋体" w:hAnsi="宋体" w:cs="宋体" w:eastAsia="宋体" w:hint="default"/>
                <w:spacing w:val="3"/>
                <w:sz w:val="18"/>
                <w:szCs w:val="18"/>
              </w:rPr>
              <w:t>/</w:t>
            </w:r>
            <w:r>
              <w:rPr>
                <w:rFonts w:ascii="宋体" w:hAnsi="宋体" w:cs="宋体" w:eastAsia="宋体" w:hint="default"/>
                <w:spacing w:val="3"/>
                <w:sz w:val="18"/>
                <w:szCs w:val="18"/>
              </w:rPr>
              <w:t>资产出售方与</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同方股份就本次交易签署的《发</w:t>
            </w:r>
            <w:r>
              <w:rPr>
                <w:rFonts w:ascii="宋体" w:hAnsi="宋体" w:cs="宋体" w:eastAsia="宋体" w:hint="default"/>
                <w:sz w:val="18"/>
                <w:szCs w:val="18"/>
              </w:rPr>
              <w:t> </w:t>
            </w:r>
            <w:r>
              <w:rPr>
                <w:rFonts w:ascii="宋体" w:hAnsi="宋体" w:cs="宋体" w:eastAsia="宋体" w:hint="default"/>
                <w:spacing w:val="11"/>
                <w:sz w:val="18"/>
                <w:szCs w:val="18"/>
              </w:rPr>
              <w:t>行股份购买资产之利润补偿协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议》</w:t>
            </w:r>
            <w:r>
              <w:rPr>
                <w:rFonts w:ascii="宋体" w:hAnsi="宋体" w:cs="宋体" w:eastAsia="宋体" w:hint="default"/>
                <w:sz w:val="18"/>
                <w:szCs w:val="18"/>
              </w:rPr>
              <w:t>(</w:t>
            </w:r>
            <w:r>
              <w:rPr>
                <w:rFonts w:ascii="宋体" w:hAnsi="宋体" w:cs="宋体" w:eastAsia="宋体" w:hint="default"/>
                <w:sz w:val="18"/>
                <w:szCs w:val="18"/>
              </w:rPr>
              <w:t>包括其补充协议，如有</w:t>
            </w:r>
            <w:r>
              <w:rPr>
                <w:rFonts w:ascii="宋体" w:hAnsi="宋体" w:cs="宋体" w:eastAsia="宋体" w:hint="default"/>
                <w:sz w:val="18"/>
                <w:szCs w:val="18"/>
              </w:rPr>
              <w:t>)</w:t>
            </w:r>
            <w:r>
              <w:rPr>
                <w:rFonts w:ascii="宋体" w:hAnsi="宋体" w:cs="宋体" w:eastAsia="宋体" w:hint="default"/>
                <w:sz w:val="18"/>
                <w:szCs w:val="18"/>
              </w:rPr>
              <w:t>约</w:t>
            </w:r>
          </w:p>
          <w:p>
            <w:pPr>
              <w:pStyle w:val="TableParagraph"/>
              <w:spacing w:line="232" w:lineRule="exact" w:before="25"/>
              <w:ind w:left="101" w:right="100"/>
              <w:jc w:val="both"/>
              <w:rPr>
                <w:rFonts w:ascii="宋体" w:hAnsi="宋体" w:cs="宋体" w:eastAsia="宋体" w:hint="default"/>
                <w:sz w:val="18"/>
                <w:szCs w:val="18"/>
              </w:rPr>
            </w:pPr>
            <w:r>
              <w:rPr>
                <w:rFonts w:ascii="宋体" w:hAnsi="宋体" w:cs="宋体" w:eastAsia="宋体" w:hint="default"/>
                <w:spacing w:val="11"/>
                <w:sz w:val="18"/>
                <w:szCs w:val="18"/>
              </w:rPr>
              <w:t>定的各项盈利预测补偿</w:t>
            </w:r>
            <w:r>
              <w:rPr>
                <w:rFonts w:ascii="宋体" w:hAnsi="宋体" w:cs="宋体" w:eastAsia="宋体" w:hint="default"/>
                <w:spacing w:val="11"/>
                <w:sz w:val="18"/>
                <w:szCs w:val="18"/>
              </w:rPr>
              <w:t>(</w:t>
            </w:r>
            <w:r>
              <w:rPr>
                <w:rFonts w:ascii="宋体" w:hAnsi="宋体" w:cs="宋体" w:eastAsia="宋体" w:hint="default"/>
                <w:spacing w:val="11"/>
                <w:sz w:val="18"/>
                <w:szCs w:val="18"/>
              </w:rPr>
              <w:t>如有</w:t>
            </w:r>
            <w:r>
              <w:rPr>
                <w:rFonts w:ascii="宋体" w:hAnsi="宋体" w:cs="宋体" w:eastAsia="宋体" w:hint="default"/>
                <w:spacing w:val="11"/>
                <w:sz w:val="18"/>
                <w:szCs w:val="18"/>
              </w:rPr>
              <w:t>)</w:t>
            </w:r>
            <w:r>
              <w:rPr>
                <w:rFonts w:ascii="宋体" w:hAnsi="宋体" w:cs="宋体" w:eastAsia="宋体" w:hint="default"/>
                <w:spacing w:val="-88"/>
                <w:sz w:val="18"/>
                <w:szCs w:val="18"/>
              </w:rPr>
              <w:t> </w:t>
            </w:r>
            <w:r>
              <w:rPr>
                <w:rFonts w:ascii="宋体" w:hAnsi="宋体" w:cs="宋体" w:eastAsia="宋体" w:hint="default"/>
                <w:spacing w:val="11"/>
                <w:sz w:val="18"/>
                <w:szCs w:val="18"/>
              </w:rPr>
              <w:t>均实施完毕之日两者中较晚的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期间。</w:t>
            </w:r>
          </w:p>
        </w:tc>
        <w:tc>
          <w:tcPr>
            <w:tcW w:w="94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98" w:right="0"/>
              <w:jc w:val="left"/>
              <w:rPr>
                <w:rFonts w:ascii="宋体" w:hAnsi="宋体" w:cs="宋体" w:eastAsia="宋体" w:hint="default"/>
                <w:sz w:val="18"/>
                <w:szCs w:val="18"/>
              </w:rPr>
            </w:pPr>
            <w:r>
              <w:rPr>
                <w:rFonts w:ascii="宋体" w:hAnsi="宋体" w:cs="宋体" w:eastAsia="宋体" w:hint="default"/>
                <w:sz w:val="18"/>
                <w:szCs w:val="18"/>
              </w:rPr>
              <w:t>承诺作出</w:t>
            </w:r>
          </w:p>
          <w:p>
            <w:pPr>
              <w:pStyle w:val="TableParagraph"/>
              <w:spacing w:line="232" w:lineRule="exact" w:before="23"/>
              <w:ind w:left="98" w:right="104"/>
              <w:jc w:val="left"/>
              <w:rPr>
                <w:rFonts w:ascii="宋体" w:hAnsi="宋体" w:cs="宋体" w:eastAsia="宋体" w:hint="default"/>
                <w:sz w:val="18"/>
                <w:szCs w:val="18"/>
              </w:rPr>
            </w:pPr>
            <w:r>
              <w:rPr>
                <w:rFonts w:ascii="宋体" w:hAnsi="宋体" w:cs="宋体" w:eastAsia="宋体" w:hint="default"/>
                <w:sz w:val="18"/>
                <w:szCs w:val="18"/>
              </w:rPr>
              <w:t>的时间为 </w:t>
            </w:r>
            <w:r>
              <w:rPr>
                <w:rFonts w:ascii="宋体" w:hAnsi="宋体" w:cs="宋体" w:eastAsia="宋体" w:hint="default"/>
                <w:sz w:val="18"/>
                <w:szCs w:val="18"/>
              </w:rPr>
              <w:t>2013</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8</w:t>
            </w:r>
          </w:p>
          <w:p>
            <w:pPr>
              <w:pStyle w:val="TableParagraph"/>
              <w:spacing w:line="234" w:lineRule="exact" w:before="1"/>
              <w:ind w:left="98" w:right="17"/>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14</w:t>
            </w:r>
            <w:r>
              <w:rPr>
                <w:rFonts w:ascii="宋体" w:hAnsi="宋体" w:cs="宋体" w:eastAsia="宋体" w:hint="default"/>
                <w:spacing w:val="-44"/>
                <w:sz w:val="18"/>
                <w:szCs w:val="18"/>
              </w:rPr>
              <w:t> </w:t>
            </w:r>
            <w:r>
              <w:rPr>
                <w:rFonts w:ascii="宋体" w:hAnsi="宋体" w:cs="宋体" w:eastAsia="宋体" w:hint="default"/>
                <w:spacing w:val="-3"/>
                <w:sz w:val="18"/>
                <w:szCs w:val="18"/>
              </w:rPr>
              <w:t>日， </w:t>
            </w:r>
            <w:r>
              <w:rPr>
                <w:rFonts w:ascii="宋体" w:hAnsi="宋体" w:cs="宋体" w:eastAsia="宋体" w:hint="default"/>
                <w:sz w:val="18"/>
                <w:szCs w:val="18"/>
              </w:rPr>
              <w:t>应完成的</w:t>
            </w:r>
            <w:r>
              <w:rPr>
                <w:rFonts w:ascii="宋体" w:hAnsi="宋体" w:cs="宋体" w:eastAsia="宋体" w:hint="default"/>
                <w:sz w:val="18"/>
                <w:szCs w:val="18"/>
              </w:rPr>
              <w:t> 时间为</w:t>
            </w:r>
          </w:p>
          <w:p>
            <w:pPr>
              <w:pStyle w:val="TableParagraph"/>
              <w:spacing w:line="211" w:lineRule="exact"/>
              <w:ind w:left="98"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8</w:t>
            </w: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14</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97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95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21" w:type="dxa"/>
            <w:tcBorders>
              <w:top w:val="single" w:sz="6" w:space="0" w:color="000000"/>
              <w:left w:val="single" w:sz="6" w:space="0" w:color="000000"/>
              <w:bottom w:val="single" w:sz="6" w:space="0" w:color="000000"/>
              <w:right w:val="single" w:sz="6" w:space="0" w:color="000000"/>
            </w:tcBorders>
          </w:tcPr>
          <w:p>
            <w:pPr/>
          </w:p>
        </w:tc>
        <w:tc>
          <w:tcPr>
            <w:tcW w:w="869" w:type="dxa"/>
            <w:tcBorders>
              <w:top w:val="single" w:sz="6" w:space="0" w:color="000000"/>
              <w:left w:val="single" w:sz="6" w:space="0" w:color="000000"/>
              <w:bottom w:val="single" w:sz="6" w:space="0" w:color="000000"/>
              <w:right w:val="single" w:sz="12" w:space="0" w:color="000000"/>
            </w:tcBorders>
          </w:tcPr>
          <w:p>
            <w:pPr/>
          </w:p>
        </w:tc>
      </w:tr>
      <w:tr>
        <w:trPr>
          <w:trHeight w:val="3058" w:hRule="exact"/>
        </w:trPr>
        <w:tc>
          <w:tcPr>
            <w:tcW w:w="121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2"/>
                <w:szCs w:val="22"/>
              </w:rPr>
            </w:pPr>
          </w:p>
          <w:p>
            <w:pPr>
              <w:pStyle w:val="TableParagraph"/>
              <w:spacing w:line="237" w:lineRule="auto"/>
              <w:ind w:left="93" w:right="257"/>
              <w:jc w:val="both"/>
              <w:rPr>
                <w:rFonts w:ascii="宋体" w:hAnsi="宋体" w:cs="宋体" w:eastAsia="宋体" w:hint="default"/>
                <w:sz w:val="21"/>
                <w:szCs w:val="21"/>
              </w:rPr>
            </w:pPr>
            <w:r>
              <w:rPr>
                <w:rFonts w:ascii="宋体" w:hAnsi="宋体" w:cs="宋体" w:eastAsia="宋体" w:hint="default"/>
                <w:sz w:val="21"/>
                <w:szCs w:val="21"/>
              </w:rPr>
              <w:t>与再融资</w:t>
            </w:r>
            <w:r>
              <w:rPr>
                <w:rFonts w:ascii="宋体" w:hAnsi="宋体" w:cs="宋体" w:eastAsia="宋体" w:hint="default"/>
                <w:w w:val="100"/>
                <w:sz w:val="21"/>
                <w:szCs w:val="21"/>
              </w:rPr>
              <w:t> </w:t>
            </w:r>
            <w:r>
              <w:rPr>
                <w:rFonts w:ascii="宋体" w:hAnsi="宋体" w:cs="宋体" w:eastAsia="宋体" w:hint="default"/>
                <w:sz w:val="21"/>
                <w:szCs w:val="21"/>
              </w:rPr>
              <w:t>相关的承</w:t>
            </w:r>
            <w:r>
              <w:rPr>
                <w:rFonts w:ascii="宋体" w:hAnsi="宋体" w:cs="宋体" w:eastAsia="宋体" w:hint="default"/>
                <w:w w:val="100"/>
                <w:sz w:val="21"/>
                <w:szCs w:val="21"/>
              </w:rPr>
              <w:t> </w:t>
            </w:r>
            <w:r>
              <w:rPr>
                <w:rFonts w:ascii="宋体" w:hAnsi="宋体" w:cs="宋体" w:eastAsia="宋体" w:hint="default"/>
                <w:sz w:val="21"/>
                <w:szCs w:val="21"/>
              </w:rPr>
              <w:t>诺</w:t>
            </w:r>
          </w:p>
        </w:tc>
        <w:tc>
          <w:tcPr>
            <w:tcW w:w="869"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股份限</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售</w:t>
            </w:r>
          </w:p>
        </w:tc>
        <w:tc>
          <w:tcPr>
            <w:tcW w:w="898" w:type="dxa"/>
            <w:tcBorders>
              <w:top w:val="single" w:sz="6" w:space="0" w:color="000000"/>
              <w:left w:val="single" w:sz="6" w:space="0" w:color="000000"/>
              <w:bottom w:val="single" w:sz="12"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清华控</w:t>
            </w:r>
          </w:p>
          <w:p>
            <w:pPr>
              <w:pStyle w:val="TableParagraph"/>
              <w:spacing w:line="237" w:lineRule="auto"/>
              <w:ind w:left="100" w:right="98"/>
              <w:jc w:val="left"/>
              <w:rPr>
                <w:rFonts w:ascii="宋体" w:hAnsi="宋体" w:cs="宋体" w:eastAsia="宋体" w:hint="default"/>
                <w:sz w:val="18"/>
                <w:szCs w:val="18"/>
              </w:rPr>
            </w:pPr>
            <w:r>
              <w:rPr>
                <w:rFonts w:ascii="宋体" w:hAnsi="宋体" w:cs="宋体" w:eastAsia="宋体" w:hint="default"/>
                <w:sz w:val="18"/>
                <w:szCs w:val="18"/>
              </w:rPr>
              <w:t>股有限 </w:t>
            </w:r>
            <w:r>
              <w:rPr>
                <w:rFonts w:ascii="宋体" w:hAnsi="宋体" w:cs="宋体" w:eastAsia="宋体" w:hint="default"/>
                <w:spacing w:val="-10"/>
                <w:sz w:val="18"/>
                <w:szCs w:val="18"/>
              </w:rPr>
              <w:t>公司、紫</w:t>
            </w:r>
            <w:r>
              <w:rPr>
                <w:rFonts w:ascii="宋体" w:hAnsi="宋体" w:cs="宋体" w:eastAsia="宋体" w:hint="default"/>
                <w:sz w:val="18"/>
                <w:szCs w:val="18"/>
              </w:rPr>
              <w:t> 光集团 有限公 </w:t>
            </w:r>
            <w:r>
              <w:rPr>
                <w:rFonts w:ascii="宋体" w:hAnsi="宋体" w:cs="宋体" w:eastAsia="宋体" w:hint="default"/>
                <w:spacing w:val="-10"/>
                <w:sz w:val="18"/>
                <w:szCs w:val="18"/>
              </w:rPr>
              <w:t>司、工银</w:t>
            </w:r>
            <w:r>
              <w:rPr>
                <w:rFonts w:ascii="宋体" w:hAnsi="宋体" w:cs="宋体" w:eastAsia="宋体" w:hint="default"/>
                <w:sz w:val="18"/>
                <w:szCs w:val="18"/>
              </w:rPr>
              <w:t> 瑞信基 金管理 有限公 司和博 时基金 管理有 限公司</w:t>
            </w:r>
          </w:p>
        </w:tc>
        <w:tc>
          <w:tcPr>
            <w:tcW w:w="2715" w:type="dxa"/>
            <w:tcBorders>
              <w:top w:val="single" w:sz="6" w:space="0" w:color="000000"/>
              <w:left w:val="single" w:sz="6" w:space="0" w:color="000000"/>
              <w:bottom w:val="single" w:sz="12" w:space="0" w:color="000000"/>
              <w:right w:val="single" w:sz="6" w:space="0" w:color="000000"/>
            </w:tcBorders>
          </w:tcPr>
          <w:p>
            <w:pPr>
              <w:pStyle w:val="TableParagraph"/>
              <w:spacing w:line="206" w:lineRule="exact"/>
              <w:ind w:left="101" w:right="0" w:firstLine="360"/>
              <w:jc w:val="both"/>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34"/>
                <w:sz w:val="18"/>
                <w:szCs w:val="18"/>
              </w:rPr>
              <w:t> </w:t>
            </w:r>
            <w:r>
              <w:rPr>
                <w:rFonts w:ascii="宋体" w:hAnsi="宋体" w:cs="宋体" w:eastAsia="宋体" w:hint="default"/>
                <w:spacing w:val="-8"/>
                <w:sz w:val="18"/>
                <w:szCs w:val="18"/>
              </w:rPr>
              <w:t>年，公司实施了向清华</w:t>
            </w:r>
          </w:p>
          <w:p>
            <w:pPr>
              <w:pStyle w:val="TableParagraph"/>
              <w:spacing w:line="237" w:lineRule="auto"/>
              <w:ind w:left="101" w:right="77"/>
              <w:jc w:val="both"/>
              <w:rPr>
                <w:rFonts w:ascii="宋体" w:hAnsi="宋体" w:cs="宋体" w:eastAsia="宋体" w:hint="default"/>
                <w:sz w:val="18"/>
                <w:szCs w:val="18"/>
              </w:rPr>
            </w:pPr>
            <w:r>
              <w:rPr>
                <w:rFonts w:ascii="宋体" w:hAnsi="宋体" w:cs="宋体" w:eastAsia="宋体" w:hint="default"/>
                <w:sz w:val="18"/>
                <w:szCs w:val="18"/>
              </w:rPr>
              <w:t>控股、紫光集团、工银瑞信和博 时基金非公开发行股份的方案。 本次发行完成后，公司向四名发 </w:t>
            </w:r>
            <w:r>
              <w:rPr>
                <w:rFonts w:ascii="宋体" w:hAnsi="宋体" w:cs="宋体" w:eastAsia="宋体" w:hint="default"/>
                <w:spacing w:val="15"/>
                <w:sz w:val="18"/>
                <w:szCs w:val="18"/>
              </w:rPr>
              <w:t>行对象发</w:t>
            </w:r>
            <w:r>
              <w:rPr>
                <w:rFonts w:ascii="宋体" w:hAnsi="宋体" w:cs="宋体" w:eastAsia="宋体" w:hint="default"/>
                <w:spacing w:val="-67"/>
                <w:sz w:val="18"/>
                <w:szCs w:val="18"/>
              </w:rPr>
              <w:t> </w:t>
            </w:r>
            <w:r>
              <w:rPr>
                <w:rFonts w:ascii="宋体" w:hAnsi="宋体" w:cs="宋体" w:eastAsia="宋体" w:hint="default"/>
                <w:spacing w:val="14"/>
                <w:sz w:val="18"/>
                <w:szCs w:val="18"/>
              </w:rPr>
              <w:t>行股份</w:t>
            </w:r>
            <w:r>
              <w:rPr>
                <w:rFonts w:ascii="宋体" w:hAnsi="宋体" w:cs="宋体" w:eastAsia="宋体" w:hint="default"/>
                <w:spacing w:val="23"/>
                <w:sz w:val="18"/>
                <w:szCs w:val="18"/>
              </w:rPr>
              <w:t> </w:t>
            </w:r>
            <w:r>
              <w:rPr>
                <w:rFonts w:ascii="宋体" w:hAnsi="宋体" w:cs="宋体" w:eastAsia="宋体" w:hint="default"/>
                <w:sz w:val="18"/>
                <w:szCs w:val="18"/>
              </w:rPr>
              <w:t>766,016,713 </w:t>
            </w:r>
            <w:r>
              <w:rPr>
                <w:rFonts w:ascii="宋体" w:hAnsi="宋体" w:cs="宋体" w:eastAsia="宋体" w:hint="default"/>
                <w:sz w:val="18"/>
                <w:szCs w:val="18"/>
              </w:rPr>
              <w:t>股</w:t>
            </w:r>
            <w:r>
              <w:rPr>
                <w:rFonts w:ascii="宋体" w:hAnsi="宋体" w:cs="宋体" w:eastAsia="宋体" w:hint="default"/>
                <w:spacing w:val="-60"/>
                <w:sz w:val="18"/>
                <w:szCs w:val="18"/>
              </w:rPr>
              <w:t> </w:t>
            </w:r>
            <w:r>
              <w:rPr>
                <w:rFonts w:ascii="宋体" w:hAnsi="宋体" w:cs="宋体" w:eastAsia="宋体" w:hint="default"/>
                <w:sz w:val="18"/>
                <w:szCs w:val="18"/>
              </w:rPr>
              <w:t>，</w:t>
            </w:r>
            <w:r>
              <w:rPr>
                <w:rFonts w:ascii="宋体" w:hAnsi="宋体" w:cs="宋体" w:eastAsia="宋体" w:hint="default"/>
                <w:spacing w:val="-60"/>
                <w:sz w:val="18"/>
                <w:szCs w:val="18"/>
              </w:rPr>
              <w:t> </w:t>
            </w:r>
            <w:r>
              <w:rPr>
                <w:rFonts w:ascii="宋体" w:hAnsi="宋体" w:cs="宋体" w:eastAsia="宋体" w:hint="default"/>
                <w:sz w:val="18"/>
                <w:szCs w:val="18"/>
              </w:rPr>
              <w:t>募</w:t>
            </w:r>
            <w:r>
              <w:rPr>
                <w:rFonts w:ascii="宋体" w:hAnsi="宋体" w:cs="宋体" w:eastAsia="宋体" w:hint="default"/>
                <w:spacing w:val="-60"/>
                <w:sz w:val="18"/>
                <w:szCs w:val="18"/>
              </w:rPr>
              <w:t> </w:t>
            </w:r>
            <w:r>
              <w:rPr>
                <w:rFonts w:ascii="宋体" w:hAnsi="宋体" w:cs="宋体" w:eastAsia="宋体" w:hint="default"/>
                <w:sz w:val="18"/>
                <w:szCs w:val="18"/>
              </w:rPr>
              <w:t>集</w:t>
            </w:r>
            <w:r>
              <w:rPr>
                <w:rFonts w:ascii="宋体" w:hAnsi="宋体" w:cs="宋体" w:eastAsia="宋体" w:hint="default"/>
                <w:spacing w:val="-60"/>
                <w:sz w:val="18"/>
                <w:szCs w:val="18"/>
              </w:rPr>
              <w:t> </w:t>
            </w:r>
            <w:r>
              <w:rPr>
                <w:rFonts w:ascii="宋体" w:hAnsi="宋体" w:cs="宋体" w:eastAsia="宋体" w:hint="default"/>
                <w:sz w:val="18"/>
                <w:szCs w:val="18"/>
              </w:rPr>
              <w:t>资</w:t>
            </w:r>
            <w:r>
              <w:rPr>
                <w:rFonts w:ascii="宋体" w:hAnsi="宋体" w:cs="宋体" w:eastAsia="宋体" w:hint="default"/>
                <w:spacing w:val="-60"/>
                <w:sz w:val="18"/>
                <w:szCs w:val="18"/>
              </w:rPr>
              <w:t> </w:t>
            </w:r>
            <w:r>
              <w:rPr>
                <w:rFonts w:ascii="宋体" w:hAnsi="宋体" w:cs="宋体" w:eastAsia="宋体" w:hint="default"/>
                <w:sz w:val="18"/>
                <w:szCs w:val="18"/>
              </w:rPr>
              <w:t>金</w:t>
            </w:r>
            <w:r>
              <w:rPr>
                <w:rFonts w:ascii="宋体" w:hAnsi="宋体" w:cs="宋体" w:eastAsia="宋体" w:hint="default"/>
                <w:spacing w:val="-62"/>
                <w:sz w:val="18"/>
                <w:szCs w:val="18"/>
              </w:rPr>
              <w:t> </w:t>
            </w:r>
            <w:r>
              <w:rPr>
                <w:rFonts w:ascii="宋体" w:hAnsi="宋体" w:cs="宋体" w:eastAsia="宋体" w:hint="default"/>
                <w:sz w:val="18"/>
                <w:szCs w:val="18"/>
              </w:rPr>
              <w:t>总</w:t>
            </w:r>
            <w:r>
              <w:rPr>
                <w:rFonts w:ascii="宋体" w:hAnsi="宋体" w:cs="宋体" w:eastAsia="宋体" w:hint="default"/>
                <w:spacing w:val="-60"/>
                <w:sz w:val="18"/>
                <w:szCs w:val="18"/>
              </w:rPr>
              <w:t> </w:t>
            </w:r>
            <w:r>
              <w:rPr>
                <w:rFonts w:ascii="宋体" w:hAnsi="宋体" w:cs="宋体" w:eastAsia="宋体" w:hint="default"/>
                <w:sz w:val="18"/>
                <w:szCs w:val="18"/>
              </w:rPr>
              <w:t>额</w:t>
            </w:r>
            <w:r>
              <w:rPr>
                <w:rFonts w:ascii="宋体" w:hAnsi="宋体" w:cs="宋体" w:eastAsia="宋体" w:hint="default"/>
                <w:spacing w:val="-60"/>
                <w:sz w:val="18"/>
                <w:szCs w:val="18"/>
              </w:rPr>
              <w:t> </w:t>
            </w:r>
            <w:r>
              <w:rPr>
                <w:rFonts w:ascii="宋体" w:hAnsi="宋体" w:cs="宋体" w:eastAsia="宋体" w:hint="default"/>
                <w:sz w:val="18"/>
                <w:szCs w:val="18"/>
              </w:rPr>
              <w:t>为</w:t>
            </w:r>
            <w:r>
              <w:rPr>
                <w:rFonts w:ascii="宋体" w:hAnsi="宋体" w:cs="宋体" w:eastAsia="宋体" w:hint="default"/>
                <w:spacing w:val="-60"/>
                <w:sz w:val="18"/>
                <w:szCs w:val="18"/>
              </w:rPr>
              <w:t> </w:t>
            </w:r>
            <w:r>
              <w:rPr>
                <w:rFonts w:ascii="宋体" w:hAnsi="宋体" w:cs="宋体" w:eastAsia="宋体" w:hint="default"/>
                <w:sz w:val="18"/>
                <w:szCs w:val="18"/>
              </w:rPr>
              <w:t>不</w:t>
            </w:r>
            <w:r>
              <w:rPr>
                <w:rFonts w:ascii="宋体" w:hAnsi="宋体" w:cs="宋体" w:eastAsia="宋体" w:hint="default"/>
                <w:spacing w:val="-62"/>
                <w:sz w:val="18"/>
                <w:szCs w:val="18"/>
              </w:rPr>
              <w:t> </w:t>
            </w:r>
            <w:r>
              <w:rPr>
                <w:rFonts w:ascii="宋体" w:hAnsi="宋体" w:cs="宋体" w:eastAsia="宋体" w:hint="default"/>
                <w:sz w:val="18"/>
                <w:szCs w:val="18"/>
              </w:rPr>
              <w:t>超</w:t>
            </w:r>
            <w:r>
              <w:rPr>
                <w:rFonts w:ascii="宋体" w:hAnsi="宋体" w:cs="宋体" w:eastAsia="宋体" w:hint="default"/>
                <w:spacing w:val="-62"/>
                <w:sz w:val="18"/>
                <w:szCs w:val="18"/>
              </w:rPr>
              <w:t> </w:t>
            </w:r>
            <w:r>
              <w:rPr>
                <w:rFonts w:ascii="宋体" w:hAnsi="宋体" w:cs="宋体" w:eastAsia="宋体" w:hint="default"/>
                <w:sz w:val="18"/>
                <w:szCs w:val="18"/>
              </w:rPr>
              <w:t>过</w:t>
            </w:r>
            <w:r>
              <w:rPr>
                <w:rFonts w:ascii="宋体" w:hAnsi="宋体" w:cs="宋体" w:eastAsia="宋体" w:hint="default"/>
                <w:sz w:val="18"/>
                <w:szCs w:val="18"/>
              </w:rPr>
              <w:t> </w:t>
            </w:r>
            <w:r>
              <w:rPr>
                <w:rFonts w:ascii="宋体" w:hAnsi="宋体" w:cs="宋体" w:eastAsia="宋体" w:hint="default"/>
                <w:sz w:val="18"/>
                <w:szCs w:val="18"/>
              </w:rPr>
              <w:t>550,000</w:t>
            </w:r>
            <w:r>
              <w:rPr>
                <w:rFonts w:ascii="宋体" w:hAnsi="宋体" w:cs="宋体" w:eastAsia="宋体" w:hint="default"/>
                <w:spacing w:val="-46"/>
                <w:sz w:val="18"/>
                <w:szCs w:val="18"/>
              </w:rPr>
              <w:t> </w:t>
            </w:r>
            <w:r>
              <w:rPr>
                <w:rFonts w:ascii="宋体" w:hAnsi="宋体" w:cs="宋体" w:eastAsia="宋体" w:hint="default"/>
                <w:sz w:val="18"/>
                <w:szCs w:val="18"/>
              </w:rPr>
              <w:t>万元。</w:t>
            </w: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37" w:lineRule="auto"/>
              <w:ind w:left="101" w:right="77" w:firstLine="360"/>
              <w:jc w:val="both"/>
              <w:rPr>
                <w:rFonts w:ascii="宋体" w:hAnsi="宋体" w:cs="宋体" w:eastAsia="宋体" w:hint="default"/>
                <w:sz w:val="18"/>
                <w:szCs w:val="18"/>
              </w:rPr>
            </w:pPr>
            <w:r>
              <w:rPr>
                <w:rFonts w:ascii="宋体" w:hAnsi="宋体" w:cs="宋体" w:eastAsia="宋体" w:hint="default"/>
                <w:sz w:val="18"/>
                <w:szCs w:val="18"/>
              </w:rPr>
              <w:t>根据非公开发行股票方案， </w:t>
            </w:r>
            <w:r>
              <w:rPr>
                <w:rFonts w:ascii="宋体" w:hAnsi="宋体" w:cs="宋体" w:eastAsia="宋体" w:hint="default"/>
                <w:spacing w:val="11"/>
                <w:sz w:val="18"/>
                <w:szCs w:val="18"/>
              </w:rPr>
              <w:t>四名交易对象承诺其本次非公</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1"/>
                <w:sz w:val="18"/>
                <w:szCs w:val="18"/>
              </w:rPr>
              <w:t>开发行获得的公司股份限售期</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为自本次发行结束之日起 </w:t>
            </w:r>
            <w:r>
              <w:rPr>
                <w:rFonts w:ascii="宋体" w:hAnsi="宋体" w:cs="宋体" w:eastAsia="宋体" w:hint="default"/>
                <w:sz w:val="18"/>
                <w:szCs w:val="18"/>
              </w:rPr>
              <w:t>36</w:t>
            </w:r>
            <w:r>
              <w:rPr>
                <w:rFonts w:ascii="宋体" w:hAnsi="宋体" w:cs="宋体" w:eastAsia="宋体" w:hint="default"/>
                <w:spacing w:val="-25"/>
                <w:sz w:val="18"/>
                <w:szCs w:val="18"/>
              </w:rPr>
              <w:t> </w:t>
            </w:r>
            <w:r>
              <w:rPr>
                <w:rFonts w:ascii="宋体" w:hAnsi="宋体" w:cs="宋体" w:eastAsia="宋体" w:hint="default"/>
                <w:sz w:val="18"/>
                <w:szCs w:val="18"/>
              </w:rPr>
              <w:t>个 月。</w:t>
            </w:r>
          </w:p>
        </w:tc>
        <w:tc>
          <w:tcPr>
            <w:tcW w:w="941" w:type="dxa"/>
            <w:tcBorders>
              <w:top w:val="single" w:sz="6" w:space="0" w:color="000000"/>
              <w:left w:val="single" w:sz="6" w:space="0" w:color="000000"/>
              <w:bottom w:val="single" w:sz="12" w:space="0" w:color="000000"/>
              <w:right w:val="single" w:sz="6" w:space="0" w:color="000000"/>
            </w:tcBorders>
          </w:tcPr>
          <w:p>
            <w:pPr>
              <w:pStyle w:val="TableParagraph"/>
              <w:spacing w:line="206" w:lineRule="exact"/>
              <w:ind w:left="98" w:right="0"/>
              <w:jc w:val="left"/>
              <w:rPr>
                <w:rFonts w:ascii="宋体" w:hAnsi="宋体" w:cs="宋体" w:eastAsia="宋体" w:hint="default"/>
                <w:sz w:val="18"/>
                <w:szCs w:val="18"/>
              </w:rPr>
            </w:pPr>
            <w:r>
              <w:rPr>
                <w:rFonts w:ascii="宋体" w:hAnsi="宋体" w:cs="宋体" w:eastAsia="宋体" w:hint="default"/>
                <w:sz w:val="18"/>
                <w:szCs w:val="18"/>
              </w:rPr>
              <w:t>承诺做出</w:t>
            </w:r>
          </w:p>
          <w:p>
            <w:pPr>
              <w:pStyle w:val="TableParagraph"/>
              <w:spacing w:line="232" w:lineRule="exact" w:before="23"/>
              <w:ind w:left="98" w:right="104"/>
              <w:jc w:val="left"/>
              <w:rPr>
                <w:rFonts w:ascii="宋体" w:hAnsi="宋体" w:cs="宋体" w:eastAsia="宋体" w:hint="default"/>
                <w:sz w:val="18"/>
                <w:szCs w:val="18"/>
              </w:rPr>
            </w:pPr>
            <w:r>
              <w:rPr>
                <w:rFonts w:ascii="宋体" w:hAnsi="宋体" w:cs="宋体" w:eastAsia="宋体" w:hint="default"/>
                <w:sz w:val="18"/>
                <w:szCs w:val="18"/>
              </w:rPr>
              <w:t>的时间为 </w:t>
            </w:r>
            <w:r>
              <w:rPr>
                <w:rFonts w:ascii="宋体" w:hAnsi="宋体" w:cs="宋体" w:eastAsia="宋体" w:hint="default"/>
                <w:sz w:val="18"/>
                <w:szCs w:val="18"/>
              </w:rPr>
              <w:t>2015</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2</w:t>
            </w:r>
          </w:p>
          <w:p>
            <w:pPr>
              <w:pStyle w:val="TableParagraph"/>
              <w:spacing w:line="212" w:lineRule="exact"/>
              <w:ind w:left="9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26</w:t>
            </w:r>
            <w:r>
              <w:rPr>
                <w:rFonts w:ascii="宋体" w:hAnsi="宋体" w:cs="宋体" w:eastAsia="宋体" w:hint="default"/>
                <w:spacing w:val="-44"/>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r>
          </w:p>
          <w:p>
            <w:pPr>
              <w:pStyle w:val="TableParagraph"/>
              <w:spacing w:line="232" w:lineRule="exact" w:before="24"/>
              <w:ind w:left="98" w:right="104"/>
              <w:jc w:val="left"/>
              <w:rPr>
                <w:rFonts w:ascii="宋体" w:hAnsi="宋体" w:cs="宋体" w:eastAsia="宋体" w:hint="default"/>
                <w:sz w:val="18"/>
                <w:szCs w:val="18"/>
              </w:rPr>
            </w:pPr>
            <w:r>
              <w:rPr>
                <w:rFonts w:ascii="宋体" w:hAnsi="宋体" w:cs="宋体" w:eastAsia="宋体" w:hint="default"/>
                <w:sz w:val="18"/>
                <w:szCs w:val="18"/>
              </w:rPr>
              <w:t>应完成的 时间为 </w:t>
            </w: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2</w:t>
            </w:r>
          </w:p>
          <w:p>
            <w:pPr>
              <w:pStyle w:val="TableParagraph"/>
              <w:spacing w:line="212" w:lineRule="exact"/>
              <w:ind w:left="9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26</w:t>
            </w:r>
            <w:r>
              <w:rPr>
                <w:rFonts w:ascii="宋体" w:hAnsi="宋体" w:cs="宋体" w:eastAsia="宋体" w:hint="default"/>
                <w:spacing w:val="-44"/>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r>
          </w:p>
        </w:tc>
        <w:tc>
          <w:tcPr>
            <w:tcW w:w="970" w:type="dxa"/>
            <w:tcBorders>
              <w:top w:val="single" w:sz="6" w:space="0" w:color="000000"/>
              <w:left w:val="single" w:sz="6" w:space="0" w:color="000000"/>
              <w:bottom w:val="single" w:sz="12"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953" w:type="dxa"/>
            <w:tcBorders>
              <w:top w:val="single" w:sz="6" w:space="0" w:color="000000"/>
              <w:left w:val="single" w:sz="6" w:space="0" w:color="000000"/>
              <w:bottom w:val="single" w:sz="12"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21" w:type="dxa"/>
            <w:tcBorders>
              <w:top w:val="single" w:sz="6" w:space="0" w:color="000000"/>
              <w:left w:val="single" w:sz="6" w:space="0" w:color="000000"/>
              <w:bottom w:val="single" w:sz="12" w:space="0" w:color="000000"/>
              <w:right w:val="single" w:sz="6" w:space="0" w:color="000000"/>
            </w:tcBorders>
          </w:tcPr>
          <w:p>
            <w:pPr/>
          </w:p>
        </w:tc>
        <w:tc>
          <w:tcPr>
            <w:tcW w:w="869" w:type="dxa"/>
            <w:tcBorders>
              <w:top w:val="single" w:sz="6" w:space="0" w:color="000000"/>
              <w:left w:val="single" w:sz="6" w:space="0" w:color="000000"/>
              <w:bottom w:val="single" w:sz="12" w:space="0" w:color="000000"/>
              <w:right w:val="single" w:sz="12" w:space="0" w:color="000000"/>
            </w:tcBorders>
          </w:tcPr>
          <w:p>
            <w:pPr/>
          </w:p>
        </w:tc>
      </w:tr>
    </w:tbl>
    <w:p>
      <w:pPr>
        <w:spacing w:after="0"/>
        <w:sectPr>
          <w:pgSz w:w="11910" w:h="16840"/>
          <w:pgMar w:header="628" w:footer="760" w:top="1080" w:bottom="960" w:left="620" w:right="480"/>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6"/>
          <w:szCs w:val="26"/>
        </w:rPr>
      </w:pPr>
    </w:p>
    <w:tbl>
      <w:tblPr>
        <w:tblW w:w="0" w:type="auto"/>
        <w:jc w:val="left"/>
        <w:tblInd w:w="109" w:type="dxa"/>
        <w:tblLayout w:type="fixed"/>
        <w:tblCellMar>
          <w:top w:w="0" w:type="dxa"/>
          <w:left w:w="0" w:type="dxa"/>
          <w:bottom w:w="0" w:type="dxa"/>
          <w:right w:w="0" w:type="dxa"/>
        </w:tblCellMar>
        <w:tblLook w:val="01E0"/>
      </w:tblPr>
      <w:tblGrid>
        <w:gridCol w:w="1217"/>
        <w:gridCol w:w="869"/>
        <w:gridCol w:w="898"/>
        <w:gridCol w:w="2715"/>
        <w:gridCol w:w="941"/>
        <w:gridCol w:w="970"/>
        <w:gridCol w:w="953"/>
        <w:gridCol w:w="1121"/>
        <w:gridCol w:w="869"/>
      </w:tblGrid>
      <w:tr>
        <w:trPr>
          <w:trHeight w:val="1385" w:hRule="exact"/>
        </w:trPr>
        <w:tc>
          <w:tcPr>
            <w:tcW w:w="121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19"/>
                <w:szCs w:val="19"/>
              </w:rPr>
            </w:pPr>
          </w:p>
          <w:p>
            <w:pPr>
              <w:pStyle w:val="TableParagraph"/>
              <w:spacing w:line="240" w:lineRule="auto"/>
              <w:ind w:left="172" w:right="0"/>
              <w:jc w:val="left"/>
              <w:rPr>
                <w:rFonts w:ascii="宋体" w:hAnsi="宋体" w:cs="宋体" w:eastAsia="宋体" w:hint="default"/>
                <w:sz w:val="21"/>
                <w:szCs w:val="21"/>
              </w:rPr>
            </w:pPr>
            <w:r>
              <w:rPr>
                <w:rFonts w:ascii="宋体" w:hAnsi="宋体" w:cs="宋体" w:eastAsia="宋体" w:hint="default"/>
                <w:b/>
                <w:bCs/>
                <w:sz w:val="21"/>
                <w:szCs w:val="21"/>
              </w:rPr>
              <w:t>承诺背景</w:t>
            </w:r>
            <w:r>
              <w:rPr>
                <w:rFonts w:ascii="宋体" w:hAnsi="宋体" w:cs="宋体" w:eastAsia="宋体" w:hint="default"/>
                <w:sz w:val="21"/>
                <w:szCs w:val="21"/>
              </w:rPr>
            </w:r>
          </w:p>
        </w:tc>
        <w:tc>
          <w:tcPr>
            <w:tcW w:w="86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28"/>
                <w:szCs w:val="28"/>
              </w:rPr>
            </w:pPr>
          </w:p>
          <w:p>
            <w:pPr>
              <w:pStyle w:val="TableParagraph"/>
              <w:spacing w:line="240" w:lineRule="auto"/>
              <w:ind w:left="215" w:right="215"/>
              <w:jc w:val="left"/>
              <w:rPr>
                <w:rFonts w:ascii="宋体" w:hAnsi="宋体" w:cs="宋体" w:eastAsia="宋体" w:hint="default"/>
                <w:sz w:val="21"/>
                <w:szCs w:val="21"/>
              </w:rPr>
            </w:pPr>
            <w:r>
              <w:rPr>
                <w:rFonts w:ascii="宋体" w:hAnsi="宋体" w:cs="宋体" w:eastAsia="宋体" w:hint="default"/>
                <w:b/>
                <w:bCs/>
                <w:sz w:val="21"/>
                <w:szCs w:val="21"/>
              </w:rPr>
              <w:t>承诺</w:t>
            </w:r>
            <w:r>
              <w:rPr>
                <w:rFonts w:ascii="宋体" w:hAnsi="宋体" w:cs="宋体" w:eastAsia="宋体" w:hint="default"/>
                <w:b/>
                <w:bCs/>
                <w:w w:val="100"/>
                <w:sz w:val="21"/>
                <w:szCs w:val="21"/>
              </w:rPr>
              <w:t> </w:t>
            </w:r>
            <w:r>
              <w:rPr>
                <w:rFonts w:ascii="宋体" w:hAnsi="宋体" w:cs="宋体" w:eastAsia="宋体" w:hint="default"/>
                <w:b/>
                <w:bCs/>
                <w:sz w:val="21"/>
                <w:szCs w:val="21"/>
              </w:rPr>
              <w:t>类型</w:t>
            </w:r>
            <w:r>
              <w:rPr>
                <w:rFonts w:ascii="宋体" w:hAnsi="宋体" w:cs="宋体" w:eastAsia="宋体" w:hint="default"/>
                <w:sz w:val="21"/>
                <w:szCs w:val="21"/>
              </w:rPr>
            </w:r>
          </w:p>
        </w:tc>
        <w:tc>
          <w:tcPr>
            <w:tcW w:w="89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19"/>
                <w:szCs w:val="19"/>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b/>
                <w:bCs/>
                <w:sz w:val="21"/>
                <w:szCs w:val="21"/>
              </w:rPr>
              <w:t>承诺方</w:t>
            </w:r>
            <w:r>
              <w:rPr>
                <w:rFonts w:ascii="宋体" w:hAnsi="宋体" w:cs="宋体" w:eastAsia="宋体" w:hint="default"/>
                <w:sz w:val="21"/>
                <w:szCs w:val="21"/>
              </w:rPr>
            </w:r>
          </w:p>
        </w:tc>
        <w:tc>
          <w:tcPr>
            <w:tcW w:w="271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28"/>
                <w:szCs w:val="28"/>
              </w:rPr>
            </w:pPr>
          </w:p>
          <w:p>
            <w:pPr>
              <w:pStyle w:val="TableParagraph"/>
              <w:spacing w:line="240" w:lineRule="auto"/>
              <w:ind w:left="1138" w:right="1138"/>
              <w:jc w:val="center"/>
              <w:rPr>
                <w:rFonts w:ascii="宋体" w:hAnsi="宋体" w:cs="宋体" w:eastAsia="宋体" w:hint="default"/>
                <w:sz w:val="21"/>
                <w:szCs w:val="21"/>
              </w:rPr>
            </w:pPr>
            <w:r>
              <w:rPr>
                <w:rFonts w:ascii="宋体" w:hAnsi="宋体" w:cs="宋体" w:eastAsia="宋体" w:hint="default"/>
                <w:b/>
                <w:bCs/>
                <w:sz w:val="21"/>
                <w:szCs w:val="21"/>
              </w:rPr>
              <w:t>承诺</w:t>
            </w:r>
            <w:r>
              <w:rPr>
                <w:rFonts w:ascii="宋体" w:hAnsi="宋体" w:cs="宋体" w:eastAsia="宋体" w:hint="default"/>
                <w:b/>
                <w:bCs/>
                <w:w w:val="100"/>
                <w:sz w:val="21"/>
                <w:szCs w:val="21"/>
              </w:rPr>
              <w:t> </w:t>
            </w:r>
            <w:r>
              <w:rPr>
                <w:rFonts w:ascii="宋体" w:hAnsi="宋体" w:cs="宋体" w:eastAsia="宋体" w:hint="default"/>
                <w:b/>
                <w:bCs/>
                <w:sz w:val="21"/>
                <w:szCs w:val="21"/>
              </w:rPr>
              <w:t>内容</w:t>
            </w:r>
            <w:r>
              <w:rPr>
                <w:rFonts w:ascii="宋体" w:hAnsi="宋体" w:cs="宋体" w:eastAsia="宋体" w:hint="default"/>
                <w:sz w:val="21"/>
                <w:szCs w:val="21"/>
              </w:rPr>
            </w:r>
          </w:p>
        </w:tc>
        <w:tc>
          <w:tcPr>
            <w:tcW w:w="94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18"/>
                <w:szCs w:val="18"/>
              </w:rPr>
            </w:pPr>
          </w:p>
          <w:p>
            <w:pPr>
              <w:pStyle w:val="TableParagraph"/>
              <w:spacing w:line="237" w:lineRule="auto"/>
              <w:ind w:left="143" w:right="146"/>
              <w:jc w:val="center"/>
              <w:rPr>
                <w:rFonts w:ascii="宋体" w:hAnsi="宋体" w:cs="宋体" w:eastAsia="宋体" w:hint="default"/>
                <w:sz w:val="21"/>
                <w:szCs w:val="21"/>
              </w:rPr>
            </w:pPr>
            <w:r>
              <w:rPr>
                <w:rFonts w:ascii="宋体" w:hAnsi="宋体" w:cs="宋体" w:eastAsia="宋体" w:hint="default"/>
                <w:b/>
                <w:bCs/>
                <w:sz w:val="21"/>
                <w:szCs w:val="21"/>
              </w:rPr>
              <w:t>承诺时</w:t>
            </w:r>
            <w:r>
              <w:rPr>
                <w:rFonts w:ascii="宋体" w:hAnsi="宋体" w:cs="宋体" w:eastAsia="宋体" w:hint="default"/>
                <w:b/>
                <w:bCs/>
                <w:w w:val="100"/>
                <w:sz w:val="21"/>
                <w:szCs w:val="21"/>
              </w:rPr>
              <w:t> </w:t>
            </w:r>
            <w:r>
              <w:rPr>
                <w:rFonts w:ascii="宋体" w:hAnsi="宋体" w:cs="宋体" w:eastAsia="宋体" w:hint="default"/>
                <w:b/>
                <w:bCs/>
                <w:sz w:val="21"/>
                <w:szCs w:val="21"/>
              </w:rPr>
              <w:t>间及期</w:t>
            </w:r>
            <w:r>
              <w:rPr>
                <w:rFonts w:ascii="宋体" w:hAnsi="宋体" w:cs="宋体" w:eastAsia="宋体" w:hint="default"/>
                <w:b/>
                <w:bCs/>
                <w:w w:val="100"/>
                <w:sz w:val="21"/>
                <w:szCs w:val="21"/>
              </w:rPr>
              <w:t> </w:t>
            </w:r>
            <w:r>
              <w:rPr>
                <w:rFonts w:ascii="宋体" w:hAnsi="宋体" w:cs="宋体" w:eastAsia="宋体" w:hint="default"/>
                <w:b/>
                <w:bCs/>
                <w:sz w:val="21"/>
                <w:szCs w:val="21"/>
              </w:rPr>
              <w:t>限</w:t>
            </w:r>
            <w:r>
              <w:rPr>
                <w:rFonts w:ascii="宋体" w:hAnsi="宋体" w:cs="宋体" w:eastAsia="宋体" w:hint="default"/>
                <w:sz w:val="21"/>
                <w:szCs w:val="21"/>
              </w:rPr>
            </w:r>
          </w:p>
        </w:tc>
        <w:tc>
          <w:tcPr>
            <w:tcW w:w="97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18"/>
                <w:szCs w:val="18"/>
              </w:rPr>
            </w:pPr>
          </w:p>
          <w:p>
            <w:pPr>
              <w:pStyle w:val="TableParagraph"/>
              <w:spacing w:line="237" w:lineRule="auto"/>
              <w:ind w:left="158" w:right="161"/>
              <w:jc w:val="center"/>
              <w:rPr>
                <w:rFonts w:ascii="宋体" w:hAnsi="宋体" w:cs="宋体" w:eastAsia="宋体" w:hint="default"/>
                <w:sz w:val="21"/>
                <w:szCs w:val="21"/>
              </w:rPr>
            </w:pPr>
            <w:r>
              <w:rPr>
                <w:rFonts w:ascii="宋体" w:hAnsi="宋体" w:cs="宋体" w:eastAsia="宋体" w:hint="default"/>
                <w:b/>
                <w:bCs/>
                <w:sz w:val="21"/>
                <w:szCs w:val="21"/>
              </w:rPr>
              <w:t>是否有</w:t>
            </w:r>
            <w:r>
              <w:rPr>
                <w:rFonts w:ascii="宋体" w:hAnsi="宋体" w:cs="宋体" w:eastAsia="宋体" w:hint="default"/>
                <w:b/>
                <w:bCs/>
                <w:w w:val="100"/>
                <w:sz w:val="21"/>
                <w:szCs w:val="21"/>
              </w:rPr>
              <w:t> </w:t>
            </w:r>
            <w:r>
              <w:rPr>
                <w:rFonts w:ascii="宋体" w:hAnsi="宋体" w:cs="宋体" w:eastAsia="宋体" w:hint="default"/>
                <w:b/>
                <w:bCs/>
                <w:sz w:val="21"/>
                <w:szCs w:val="21"/>
              </w:rPr>
              <w:t>履行期</w:t>
            </w:r>
            <w:r>
              <w:rPr>
                <w:rFonts w:ascii="宋体" w:hAnsi="宋体" w:cs="宋体" w:eastAsia="宋体" w:hint="default"/>
                <w:b/>
                <w:bCs/>
                <w:w w:val="100"/>
                <w:sz w:val="21"/>
                <w:szCs w:val="21"/>
              </w:rPr>
              <w:t> </w:t>
            </w:r>
            <w:r>
              <w:rPr>
                <w:rFonts w:ascii="宋体" w:hAnsi="宋体" w:cs="宋体" w:eastAsia="宋体" w:hint="default"/>
                <w:b/>
                <w:bCs/>
                <w:sz w:val="21"/>
                <w:szCs w:val="21"/>
              </w:rPr>
              <w:t>限</w:t>
            </w:r>
            <w:r>
              <w:rPr>
                <w:rFonts w:ascii="宋体" w:hAnsi="宋体" w:cs="宋体" w:eastAsia="宋体" w:hint="default"/>
                <w:sz w:val="21"/>
                <w:szCs w:val="21"/>
              </w:rPr>
            </w:r>
          </w:p>
        </w:tc>
        <w:tc>
          <w:tcPr>
            <w:tcW w:w="95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18"/>
                <w:szCs w:val="18"/>
              </w:rPr>
            </w:pPr>
          </w:p>
          <w:p>
            <w:pPr>
              <w:pStyle w:val="TableParagraph"/>
              <w:spacing w:line="237" w:lineRule="auto"/>
              <w:ind w:left="151" w:right="152"/>
              <w:jc w:val="both"/>
              <w:rPr>
                <w:rFonts w:ascii="宋体" w:hAnsi="宋体" w:cs="宋体" w:eastAsia="宋体" w:hint="default"/>
                <w:sz w:val="21"/>
                <w:szCs w:val="21"/>
              </w:rPr>
            </w:pPr>
            <w:r>
              <w:rPr>
                <w:rFonts w:ascii="宋体" w:hAnsi="宋体" w:cs="宋体" w:eastAsia="宋体" w:hint="default"/>
                <w:b/>
                <w:bCs/>
                <w:sz w:val="21"/>
                <w:szCs w:val="21"/>
              </w:rPr>
              <w:t>是否及</w:t>
            </w:r>
            <w:r>
              <w:rPr>
                <w:rFonts w:ascii="宋体" w:hAnsi="宋体" w:cs="宋体" w:eastAsia="宋体" w:hint="default"/>
                <w:b/>
                <w:bCs/>
                <w:w w:val="100"/>
                <w:sz w:val="21"/>
                <w:szCs w:val="21"/>
              </w:rPr>
              <w:t> </w:t>
            </w:r>
            <w:r>
              <w:rPr>
                <w:rFonts w:ascii="宋体" w:hAnsi="宋体" w:cs="宋体" w:eastAsia="宋体" w:hint="default"/>
                <w:b/>
                <w:bCs/>
                <w:sz w:val="21"/>
                <w:szCs w:val="21"/>
              </w:rPr>
              <w:t>时严格</w:t>
            </w:r>
            <w:r>
              <w:rPr>
                <w:rFonts w:ascii="宋体" w:hAnsi="宋体" w:cs="宋体" w:eastAsia="宋体" w:hint="default"/>
                <w:b/>
                <w:bCs/>
                <w:w w:val="100"/>
                <w:sz w:val="21"/>
                <w:szCs w:val="21"/>
              </w:rPr>
              <w:t> </w:t>
            </w:r>
            <w:r>
              <w:rPr>
                <w:rFonts w:ascii="宋体" w:hAnsi="宋体" w:cs="宋体" w:eastAsia="宋体" w:hint="default"/>
                <w:b/>
                <w:bCs/>
                <w:sz w:val="21"/>
                <w:szCs w:val="21"/>
              </w:rPr>
              <w:t>履行</w:t>
            </w:r>
            <w:r>
              <w:rPr>
                <w:rFonts w:ascii="宋体" w:hAnsi="宋体" w:cs="宋体" w:eastAsia="宋体" w:hint="default"/>
                <w:sz w:val="21"/>
                <w:szCs w:val="21"/>
              </w:rPr>
            </w:r>
          </w:p>
        </w:tc>
        <w:tc>
          <w:tcPr>
            <w:tcW w:w="1121" w:type="dxa"/>
            <w:tcBorders>
              <w:top w:val="single" w:sz="12" w:space="0" w:color="000000"/>
              <w:left w:val="single" w:sz="6" w:space="0" w:color="000000"/>
              <w:bottom w:val="single" w:sz="6" w:space="0" w:color="000000"/>
              <w:right w:val="single" w:sz="6" w:space="0" w:color="000000"/>
            </w:tcBorders>
          </w:tcPr>
          <w:p>
            <w:pPr>
              <w:pStyle w:val="TableParagraph"/>
              <w:spacing w:line="240" w:lineRule="exact"/>
              <w:ind w:left="131" w:right="0"/>
              <w:jc w:val="both"/>
              <w:rPr>
                <w:rFonts w:ascii="宋体" w:hAnsi="宋体" w:cs="宋体" w:eastAsia="宋体" w:hint="default"/>
                <w:sz w:val="21"/>
                <w:szCs w:val="21"/>
              </w:rPr>
            </w:pPr>
            <w:r>
              <w:rPr>
                <w:rFonts w:ascii="宋体" w:hAnsi="宋体" w:cs="宋体" w:eastAsia="宋体" w:hint="default"/>
                <w:b/>
                <w:bCs/>
                <w:sz w:val="21"/>
                <w:szCs w:val="21"/>
              </w:rPr>
              <w:t>如未能及</w:t>
            </w:r>
            <w:r>
              <w:rPr>
                <w:rFonts w:ascii="宋体" w:hAnsi="宋体" w:cs="宋体" w:eastAsia="宋体" w:hint="default"/>
                <w:sz w:val="21"/>
                <w:szCs w:val="21"/>
              </w:rPr>
            </w:r>
          </w:p>
          <w:p>
            <w:pPr>
              <w:pStyle w:val="TableParagraph"/>
              <w:spacing w:line="237" w:lineRule="auto" w:before="2"/>
              <w:ind w:left="131" w:right="127"/>
              <w:jc w:val="both"/>
              <w:rPr>
                <w:rFonts w:ascii="宋体" w:hAnsi="宋体" w:cs="宋体" w:eastAsia="宋体" w:hint="default"/>
                <w:sz w:val="21"/>
                <w:szCs w:val="21"/>
              </w:rPr>
            </w:pPr>
            <w:r>
              <w:rPr>
                <w:rFonts w:ascii="宋体" w:hAnsi="宋体" w:cs="宋体" w:eastAsia="宋体" w:hint="default"/>
                <w:b/>
                <w:bCs/>
                <w:sz w:val="21"/>
                <w:szCs w:val="21"/>
              </w:rPr>
              <w:t>时履行应</w:t>
            </w:r>
            <w:r>
              <w:rPr>
                <w:rFonts w:ascii="宋体" w:hAnsi="宋体" w:cs="宋体" w:eastAsia="宋体" w:hint="default"/>
                <w:b/>
                <w:bCs/>
                <w:w w:val="100"/>
                <w:sz w:val="21"/>
                <w:szCs w:val="21"/>
              </w:rPr>
              <w:t> </w:t>
            </w:r>
            <w:r>
              <w:rPr>
                <w:rFonts w:ascii="宋体" w:hAnsi="宋体" w:cs="宋体" w:eastAsia="宋体" w:hint="default"/>
                <w:b/>
                <w:bCs/>
                <w:sz w:val="21"/>
                <w:szCs w:val="21"/>
              </w:rPr>
              <w:t>说明未完</w:t>
            </w:r>
            <w:r>
              <w:rPr>
                <w:rFonts w:ascii="宋体" w:hAnsi="宋体" w:cs="宋体" w:eastAsia="宋体" w:hint="default"/>
                <w:b/>
                <w:bCs/>
                <w:w w:val="100"/>
                <w:sz w:val="21"/>
                <w:szCs w:val="21"/>
              </w:rPr>
              <w:t> </w:t>
            </w:r>
            <w:r>
              <w:rPr>
                <w:rFonts w:ascii="宋体" w:hAnsi="宋体" w:cs="宋体" w:eastAsia="宋体" w:hint="default"/>
                <w:b/>
                <w:bCs/>
                <w:sz w:val="21"/>
                <w:szCs w:val="21"/>
              </w:rPr>
              <w:t>成履行的</w:t>
            </w:r>
            <w:r>
              <w:rPr>
                <w:rFonts w:ascii="宋体" w:hAnsi="宋体" w:cs="宋体" w:eastAsia="宋体" w:hint="default"/>
                <w:b/>
                <w:bCs/>
                <w:w w:val="100"/>
                <w:sz w:val="21"/>
                <w:szCs w:val="21"/>
              </w:rPr>
              <w:t> </w:t>
            </w:r>
            <w:r>
              <w:rPr>
                <w:rFonts w:ascii="宋体" w:hAnsi="宋体" w:cs="宋体" w:eastAsia="宋体" w:hint="default"/>
                <w:b/>
                <w:bCs/>
                <w:sz w:val="21"/>
                <w:szCs w:val="21"/>
              </w:rPr>
              <w:t>具体原因</w:t>
            </w:r>
            <w:r>
              <w:rPr>
                <w:rFonts w:ascii="宋体" w:hAnsi="宋体" w:cs="宋体" w:eastAsia="宋体" w:hint="default"/>
                <w:sz w:val="21"/>
                <w:szCs w:val="21"/>
              </w:rPr>
            </w:r>
          </w:p>
        </w:tc>
        <w:tc>
          <w:tcPr>
            <w:tcW w:w="869" w:type="dxa"/>
            <w:tcBorders>
              <w:top w:val="single" w:sz="12" w:space="0" w:color="000000"/>
              <w:left w:val="single" w:sz="6" w:space="0" w:color="000000"/>
              <w:bottom w:val="single" w:sz="6" w:space="0" w:color="000000"/>
              <w:right w:val="single" w:sz="12" w:space="0" w:color="000000"/>
            </w:tcBorders>
          </w:tcPr>
          <w:p>
            <w:pPr>
              <w:pStyle w:val="TableParagraph"/>
              <w:spacing w:line="240" w:lineRule="exact"/>
              <w:ind w:left="107" w:right="0"/>
              <w:jc w:val="both"/>
              <w:rPr>
                <w:rFonts w:ascii="宋体" w:hAnsi="宋体" w:cs="宋体" w:eastAsia="宋体" w:hint="default"/>
                <w:sz w:val="21"/>
                <w:szCs w:val="21"/>
              </w:rPr>
            </w:pPr>
            <w:r>
              <w:rPr>
                <w:rFonts w:ascii="宋体" w:hAnsi="宋体" w:cs="宋体" w:eastAsia="宋体" w:hint="default"/>
                <w:b/>
                <w:bCs/>
                <w:sz w:val="21"/>
                <w:szCs w:val="21"/>
              </w:rPr>
              <w:t>如未能</w:t>
            </w:r>
            <w:r>
              <w:rPr>
                <w:rFonts w:ascii="宋体" w:hAnsi="宋体" w:cs="宋体" w:eastAsia="宋体" w:hint="default"/>
                <w:sz w:val="21"/>
                <w:szCs w:val="21"/>
              </w:rPr>
            </w:r>
          </w:p>
          <w:p>
            <w:pPr>
              <w:pStyle w:val="TableParagraph"/>
              <w:spacing w:line="237" w:lineRule="auto" w:before="2"/>
              <w:ind w:left="107" w:right="103"/>
              <w:jc w:val="both"/>
              <w:rPr>
                <w:rFonts w:ascii="宋体" w:hAnsi="宋体" w:cs="宋体" w:eastAsia="宋体" w:hint="default"/>
                <w:sz w:val="21"/>
                <w:szCs w:val="21"/>
              </w:rPr>
            </w:pPr>
            <w:r>
              <w:rPr>
                <w:rFonts w:ascii="宋体" w:hAnsi="宋体" w:cs="宋体" w:eastAsia="宋体" w:hint="default"/>
                <w:b/>
                <w:bCs/>
                <w:sz w:val="21"/>
                <w:szCs w:val="21"/>
              </w:rPr>
              <w:t>及时履</w:t>
            </w:r>
            <w:r>
              <w:rPr>
                <w:rFonts w:ascii="宋体" w:hAnsi="宋体" w:cs="宋体" w:eastAsia="宋体" w:hint="default"/>
                <w:b/>
                <w:bCs/>
                <w:w w:val="100"/>
                <w:sz w:val="21"/>
                <w:szCs w:val="21"/>
              </w:rPr>
              <w:t> </w:t>
            </w:r>
            <w:r>
              <w:rPr>
                <w:rFonts w:ascii="宋体" w:hAnsi="宋体" w:cs="宋体" w:eastAsia="宋体" w:hint="default"/>
                <w:b/>
                <w:bCs/>
                <w:sz w:val="21"/>
                <w:szCs w:val="21"/>
              </w:rPr>
              <w:t>行应说</w:t>
            </w:r>
            <w:r>
              <w:rPr>
                <w:rFonts w:ascii="宋体" w:hAnsi="宋体" w:cs="宋体" w:eastAsia="宋体" w:hint="default"/>
                <w:b/>
                <w:bCs/>
                <w:w w:val="100"/>
                <w:sz w:val="21"/>
                <w:szCs w:val="21"/>
              </w:rPr>
              <w:t> </w:t>
            </w:r>
            <w:r>
              <w:rPr>
                <w:rFonts w:ascii="宋体" w:hAnsi="宋体" w:cs="宋体" w:eastAsia="宋体" w:hint="default"/>
                <w:b/>
                <w:bCs/>
                <w:sz w:val="21"/>
                <w:szCs w:val="21"/>
              </w:rPr>
              <w:t>明下一</w:t>
            </w:r>
            <w:r>
              <w:rPr>
                <w:rFonts w:ascii="宋体" w:hAnsi="宋体" w:cs="宋体" w:eastAsia="宋体" w:hint="default"/>
                <w:b/>
                <w:bCs/>
                <w:w w:val="100"/>
                <w:sz w:val="21"/>
                <w:szCs w:val="21"/>
              </w:rPr>
              <w:t> </w:t>
            </w:r>
            <w:r>
              <w:rPr>
                <w:rFonts w:ascii="宋体" w:hAnsi="宋体" w:cs="宋体" w:eastAsia="宋体" w:hint="default"/>
                <w:b/>
                <w:bCs/>
                <w:sz w:val="21"/>
                <w:szCs w:val="21"/>
              </w:rPr>
              <w:t>步计划</w:t>
            </w:r>
            <w:r>
              <w:rPr>
                <w:rFonts w:ascii="宋体" w:hAnsi="宋体" w:cs="宋体" w:eastAsia="宋体" w:hint="default"/>
                <w:sz w:val="21"/>
                <w:szCs w:val="21"/>
              </w:rPr>
            </w:r>
          </w:p>
        </w:tc>
      </w:tr>
      <w:tr>
        <w:trPr>
          <w:trHeight w:val="6318" w:hRule="exact"/>
        </w:trPr>
        <w:tc>
          <w:tcPr>
            <w:tcW w:w="121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27"/>
                <w:szCs w:val="27"/>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其他承诺</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股份限</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售</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2715"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461"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4"/>
                <w:sz w:val="18"/>
                <w:szCs w:val="18"/>
              </w:rPr>
              <w:t> </w:t>
            </w:r>
            <w:r>
              <w:rPr>
                <w:rFonts w:ascii="宋体" w:hAnsi="宋体" w:cs="宋体" w:eastAsia="宋体" w:hint="default"/>
                <w:spacing w:val="-8"/>
                <w:sz w:val="18"/>
                <w:szCs w:val="18"/>
              </w:rPr>
              <w:t>年，公司实施了以向唐</w:t>
            </w:r>
          </w:p>
          <w:p>
            <w:pPr>
              <w:pStyle w:val="TableParagraph"/>
              <w:spacing w:line="237" w:lineRule="auto"/>
              <w:ind w:left="101" w:right="100"/>
              <w:jc w:val="both"/>
              <w:rPr>
                <w:rFonts w:ascii="宋体" w:hAnsi="宋体" w:cs="宋体" w:eastAsia="宋体" w:hint="default"/>
                <w:sz w:val="18"/>
                <w:szCs w:val="18"/>
              </w:rPr>
            </w:pPr>
            <w:r>
              <w:rPr>
                <w:rFonts w:ascii="宋体" w:hAnsi="宋体" w:cs="宋体" w:eastAsia="宋体" w:hint="default"/>
                <w:spacing w:val="5"/>
                <w:sz w:val="18"/>
                <w:szCs w:val="18"/>
              </w:rPr>
              <w:t>山晶源科技有限公司发行</w:t>
            </w:r>
            <w:r>
              <w:rPr>
                <w:rFonts w:ascii="宋体" w:hAnsi="宋体" w:cs="宋体" w:eastAsia="宋体" w:hint="default"/>
                <w:spacing w:val="6"/>
                <w:sz w:val="18"/>
                <w:szCs w:val="18"/>
              </w:rPr>
              <w:t> </w:t>
            </w:r>
            <w:r>
              <w:rPr>
                <w:rFonts w:ascii="宋体" w:hAnsi="宋体" w:cs="宋体" w:eastAsia="宋体" w:hint="default"/>
                <w:sz w:val="18"/>
                <w:szCs w:val="18"/>
              </w:rPr>
              <w:t>1688 </w:t>
            </w:r>
            <w:r>
              <w:rPr>
                <w:rFonts w:ascii="宋体" w:hAnsi="宋体" w:cs="宋体" w:eastAsia="宋体" w:hint="default"/>
                <w:spacing w:val="11"/>
                <w:sz w:val="18"/>
                <w:szCs w:val="18"/>
              </w:rPr>
              <w:t>万股股份的方式购买其持有的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3375</w:t>
            </w:r>
            <w:r>
              <w:rPr>
                <w:rFonts w:ascii="宋体" w:hAnsi="宋体" w:cs="宋体" w:eastAsia="宋体" w:hint="default"/>
                <w:spacing w:val="13"/>
                <w:sz w:val="18"/>
                <w:szCs w:val="18"/>
              </w:rPr>
              <w:t> </w:t>
            </w:r>
            <w:r>
              <w:rPr>
                <w:rFonts w:ascii="宋体" w:hAnsi="宋体" w:cs="宋体" w:eastAsia="宋体" w:hint="default"/>
                <w:spacing w:val="4"/>
                <w:sz w:val="18"/>
                <w:szCs w:val="18"/>
              </w:rPr>
              <w:t>万股唐山晶源裕丰电子股</w:t>
            </w:r>
            <w:r>
              <w:rPr>
                <w:rFonts w:ascii="宋体" w:hAnsi="宋体" w:cs="宋体" w:eastAsia="宋体" w:hint="default"/>
                <w:sz w:val="18"/>
                <w:szCs w:val="18"/>
              </w:rPr>
              <w:t> </w:t>
            </w:r>
            <w:r>
              <w:rPr>
                <w:rFonts w:ascii="宋体" w:hAnsi="宋体" w:cs="宋体" w:eastAsia="宋体" w:hint="default"/>
                <w:spacing w:val="4"/>
                <w:sz w:val="18"/>
                <w:szCs w:val="18"/>
              </w:rPr>
              <w:t>份有限公司</w:t>
            </w:r>
            <w:r>
              <w:rPr>
                <w:rFonts w:ascii="宋体" w:hAnsi="宋体" w:cs="宋体" w:eastAsia="宋体" w:hint="default"/>
                <w:spacing w:val="4"/>
                <w:sz w:val="18"/>
                <w:szCs w:val="18"/>
              </w:rPr>
              <w:t>(</w:t>
            </w:r>
            <w:r>
              <w:rPr>
                <w:rFonts w:ascii="宋体" w:hAnsi="宋体" w:cs="宋体" w:eastAsia="宋体" w:hint="default"/>
                <w:spacing w:val="4"/>
                <w:sz w:val="18"/>
                <w:szCs w:val="18"/>
              </w:rPr>
              <w:t>以下简称为“晶源</w:t>
            </w:r>
            <w:r>
              <w:rPr>
                <w:rFonts w:ascii="宋体" w:hAnsi="宋体" w:cs="宋体" w:eastAsia="宋体" w:hint="default"/>
                <w:sz w:val="18"/>
                <w:szCs w:val="18"/>
              </w:rPr>
              <w:t> </w:t>
            </w:r>
            <w:r>
              <w:rPr>
                <w:rFonts w:ascii="宋体" w:hAnsi="宋体" w:cs="宋体" w:eastAsia="宋体" w:hint="default"/>
                <w:spacing w:val="-2"/>
                <w:sz w:val="18"/>
                <w:szCs w:val="18"/>
              </w:rPr>
              <w:t>电子”，现已更名为“同方国芯</w:t>
            </w:r>
            <w:r>
              <w:rPr>
                <w:rFonts w:ascii="宋体" w:hAnsi="宋体" w:cs="宋体" w:eastAsia="宋体" w:hint="default"/>
                <w:sz w:val="18"/>
                <w:szCs w:val="18"/>
              </w:rPr>
              <w:t> </w:t>
            </w:r>
            <w:r>
              <w:rPr>
                <w:rFonts w:ascii="宋体" w:hAnsi="宋体" w:cs="宋体" w:eastAsia="宋体" w:hint="default"/>
                <w:spacing w:val="4"/>
                <w:sz w:val="18"/>
                <w:szCs w:val="18"/>
              </w:rPr>
              <w:t>电子股份有限公司”</w:t>
            </w:r>
            <w:r>
              <w:rPr>
                <w:rFonts w:ascii="宋体" w:hAnsi="宋体" w:cs="宋体" w:eastAsia="宋体" w:hint="default"/>
                <w:spacing w:val="4"/>
                <w:sz w:val="18"/>
                <w:szCs w:val="18"/>
              </w:rPr>
              <w:t>)</w:t>
            </w:r>
            <w:r>
              <w:rPr>
                <w:rFonts w:ascii="宋体" w:hAnsi="宋体" w:cs="宋体" w:eastAsia="宋体" w:hint="default"/>
                <w:spacing w:val="4"/>
                <w:sz w:val="18"/>
                <w:szCs w:val="18"/>
              </w:rPr>
              <w:t>股权。公</w:t>
            </w:r>
            <w:r>
              <w:rPr>
                <w:rFonts w:ascii="宋体" w:hAnsi="宋体" w:cs="宋体" w:eastAsia="宋体" w:hint="default"/>
                <w:sz w:val="18"/>
                <w:szCs w:val="18"/>
              </w:rPr>
              <w:t> </w:t>
            </w:r>
            <w:r>
              <w:rPr>
                <w:rFonts w:ascii="宋体" w:hAnsi="宋体" w:cs="宋体" w:eastAsia="宋体" w:hint="default"/>
                <w:spacing w:val="-2"/>
                <w:sz w:val="18"/>
                <w:szCs w:val="18"/>
              </w:rPr>
              <w:t>司承诺，自股份完成过户之日起</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的</w:t>
            </w:r>
            <w:r>
              <w:rPr>
                <w:rFonts w:ascii="宋体" w:hAnsi="宋体" w:cs="宋体" w:eastAsia="宋体" w:hint="default"/>
                <w:spacing w:val="-45"/>
                <w:sz w:val="18"/>
                <w:szCs w:val="18"/>
              </w:rPr>
              <w:t> </w:t>
            </w:r>
            <w:r>
              <w:rPr>
                <w:rFonts w:ascii="宋体" w:hAnsi="宋体" w:cs="宋体" w:eastAsia="宋体" w:hint="default"/>
                <w:sz w:val="18"/>
                <w:szCs w:val="18"/>
              </w:rPr>
              <w:t>36</w:t>
            </w:r>
            <w:r>
              <w:rPr>
                <w:rFonts w:ascii="宋体" w:hAnsi="宋体" w:cs="宋体" w:eastAsia="宋体" w:hint="default"/>
                <w:spacing w:val="-44"/>
                <w:sz w:val="18"/>
                <w:szCs w:val="18"/>
              </w:rPr>
              <w:t> </w:t>
            </w:r>
            <w:r>
              <w:rPr>
                <w:rFonts w:ascii="宋体" w:hAnsi="宋体" w:cs="宋体" w:eastAsia="宋体" w:hint="default"/>
                <w:sz w:val="18"/>
                <w:szCs w:val="18"/>
              </w:rPr>
              <w:t>个月内不得转让。</w:t>
            </w: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37" w:lineRule="auto"/>
              <w:ind w:left="101" w:right="99" w:firstLine="360"/>
              <w:jc w:val="both"/>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37"/>
                <w:sz w:val="18"/>
                <w:szCs w:val="18"/>
              </w:rPr>
              <w:t> </w:t>
            </w:r>
            <w:r>
              <w:rPr>
                <w:rFonts w:ascii="宋体" w:hAnsi="宋体" w:cs="宋体" w:eastAsia="宋体" w:hint="default"/>
                <w:spacing w:val="-8"/>
                <w:sz w:val="18"/>
                <w:szCs w:val="18"/>
              </w:rPr>
              <w:t>年，晶源电子与公司下</w:t>
            </w:r>
            <w:r>
              <w:rPr>
                <w:rFonts w:ascii="宋体" w:hAnsi="宋体" w:cs="宋体" w:eastAsia="宋体" w:hint="default"/>
                <w:sz w:val="18"/>
                <w:szCs w:val="18"/>
              </w:rPr>
              <w:t> </w:t>
            </w:r>
            <w:r>
              <w:rPr>
                <w:rFonts w:ascii="宋体" w:hAnsi="宋体" w:cs="宋体" w:eastAsia="宋体" w:hint="default"/>
                <w:spacing w:val="11"/>
                <w:sz w:val="18"/>
                <w:szCs w:val="18"/>
              </w:rPr>
              <w:t>属子公司北京同方微电子有限</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3"/>
                <w:sz w:val="18"/>
                <w:szCs w:val="18"/>
              </w:rPr>
              <w:t>公司</w:t>
            </w:r>
            <w:r>
              <w:rPr>
                <w:rFonts w:ascii="宋体" w:hAnsi="宋体" w:cs="宋体" w:eastAsia="宋体" w:hint="default"/>
                <w:spacing w:val="13"/>
                <w:sz w:val="18"/>
                <w:szCs w:val="18"/>
              </w:rPr>
              <w:t>(</w:t>
            </w:r>
            <w:r>
              <w:rPr>
                <w:rFonts w:ascii="宋体" w:hAnsi="宋体" w:cs="宋体" w:eastAsia="宋体" w:hint="default"/>
                <w:spacing w:val="-65"/>
                <w:sz w:val="18"/>
                <w:szCs w:val="18"/>
              </w:rPr>
              <w:t> </w:t>
            </w:r>
            <w:r>
              <w:rPr>
                <w:rFonts w:ascii="宋体" w:hAnsi="宋体" w:cs="宋体" w:eastAsia="宋体" w:hint="default"/>
                <w:spacing w:val="16"/>
                <w:sz w:val="18"/>
                <w:szCs w:val="18"/>
              </w:rPr>
              <w:t>以下简称为“</w:t>
            </w:r>
            <w:r>
              <w:rPr>
                <w:rFonts w:ascii="宋体" w:hAnsi="宋体" w:cs="宋体" w:eastAsia="宋体" w:hint="default"/>
                <w:spacing w:val="-69"/>
                <w:sz w:val="18"/>
                <w:szCs w:val="18"/>
              </w:rPr>
              <w:t> </w:t>
            </w:r>
            <w:r>
              <w:rPr>
                <w:rFonts w:ascii="宋体" w:hAnsi="宋体" w:cs="宋体" w:eastAsia="宋体" w:hint="default"/>
                <w:spacing w:val="14"/>
                <w:sz w:val="18"/>
                <w:szCs w:val="18"/>
              </w:rPr>
              <w:t>同方微电</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子”</w:t>
            </w:r>
            <w:r>
              <w:rPr>
                <w:rFonts w:ascii="宋体" w:hAnsi="宋体" w:cs="宋体" w:eastAsia="宋体" w:hint="default"/>
                <w:spacing w:val="4"/>
                <w:sz w:val="18"/>
                <w:szCs w:val="18"/>
              </w:rPr>
              <w:t>)</w:t>
            </w:r>
            <w:r>
              <w:rPr>
                <w:rFonts w:ascii="宋体" w:hAnsi="宋体" w:cs="宋体" w:eastAsia="宋体" w:hint="default"/>
                <w:spacing w:val="4"/>
                <w:sz w:val="18"/>
                <w:szCs w:val="18"/>
              </w:rPr>
              <w:t>实施资产重组，以向公司</w:t>
            </w:r>
            <w:r>
              <w:rPr>
                <w:rFonts w:ascii="宋体" w:hAnsi="宋体" w:cs="宋体" w:eastAsia="宋体" w:hint="default"/>
                <w:sz w:val="18"/>
                <w:szCs w:val="18"/>
              </w:rPr>
              <w:t> </w:t>
            </w:r>
            <w:r>
              <w:rPr>
                <w:rFonts w:ascii="宋体" w:hAnsi="宋体" w:cs="宋体" w:eastAsia="宋体" w:hint="default"/>
                <w:spacing w:val="11"/>
                <w:sz w:val="18"/>
                <w:szCs w:val="18"/>
              </w:rPr>
              <w:t>及同方微电子其他股东发行股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5"/>
                <w:sz w:val="18"/>
                <w:szCs w:val="18"/>
              </w:rPr>
              <w:t>票方式收购同方微电子</w:t>
            </w:r>
            <w:r>
              <w:rPr>
                <w:rFonts w:ascii="宋体" w:hAnsi="宋体" w:cs="宋体" w:eastAsia="宋体" w:hint="default"/>
                <w:spacing w:val="10"/>
                <w:sz w:val="18"/>
                <w:szCs w:val="18"/>
              </w:rPr>
              <w:t> </w:t>
            </w:r>
            <w:r>
              <w:rPr>
                <w:rFonts w:ascii="宋体" w:hAnsi="宋体" w:cs="宋体" w:eastAsia="宋体" w:hint="default"/>
                <w:sz w:val="18"/>
                <w:szCs w:val="18"/>
              </w:rPr>
              <w:t>100%</w:t>
            </w:r>
            <w:r>
              <w:rPr>
                <w:rFonts w:ascii="宋体" w:hAnsi="宋体" w:cs="宋体" w:eastAsia="宋体" w:hint="default"/>
                <w:sz w:val="18"/>
                <w:szCs w:val="18"/>
              </w:rPr>
              <w:t>股 </w:t>
            </w:r>
            <w:r>
              <w:rPr>
                <w:rFonts w:ascii="宋体" w:hAnsi="宋体" w:cs="宋体" w:eastAsia="宋体" w:hint="default"/>
                <w:spacing w:val="-18"/>
                <w:sz w:val="18"/>
                <w:szCs w:val="18"/>
              </w:rPr>
              <w:t>权。为此，公司获得</w:t>
            </w:r>
            <w:r>
              <w:rPr>
                <w:rFonts w:ascii="宋体" w:hAnsi="宋体" w:cs="宋体" w:eastAsia="宋体" w:hint="default"/>
                <w:spacing w:val="-40"/>
                <w:sz w:val="18"/>
                <w:szCs w:val="18"/>
              </w:rPr>
              <w:t> </w:t>
            </w:r>
            <w:r>
              <w:rPr>
                <w:rFonts w:ascii="宋体" w:hAnsi="宋体" w:cs="宋体" w:eastAsia="宋体" w:hint="default"/>
                <w:spacing w:val="-1"/>
                <w:sz w:val="18"/>
                <w:szCs w:val="18"/>
              </w:rPr>
              <w:t>125,557,622</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
                <w:sz w:val="18"/>
                <w:szCs w:val="18"/>
              </w:rPr>
              <w:t>股晶源电子股票，并承诺，对于</w:t>
            </w:r>
          </w:p>
          <w:p>
            <w:pPr>
              <w:pStyle w:val="TableParagraph"/>
              <w:spacing w:line="237" w:lineRule="auto" w:before="2"/>
              <w:ind w:left="101" w:right="77"/>
              <w:jc w:val="both"/>
              <w:rPr>
                <w:rFonts w:ascii="宋体" w:hAnsi="宋体" w:cs="宋体" w:eastAsia="宋体" w:hint="default"/>
                <w:sz w:val="18"/>
                <w:szCs w:val="18"/>
              </w:rPr>
            </w:pPr>
            <w:r>
              <w:rPr>
                <w:rFonts w:ascii="宋体" w:hAnsi="宋体" w:cs="宋体" w:eastAsia="宋体" w:hint="default"/>
                <w:sz w:val="18"/>
                <w:szCs w:val="18"/>
              </w:rPr>
              <w:t>本公司拥有的晶源电子的股份， </w:t>
            </w:r>
            <w:r>
              <w:rPr>
                <w:rFonts w:ascii="宋体" w:hAnsi="宋体" w:cs="宋体" w:eastAsia="宋体" w:hint="default"/>
                <w:spacing w:val="11"/>
                <w:sz w:val="18"/>
                <w:szCs w:val="18"/>
              </w:rPr>
              <w:t>自本次交易晶源电子发行股份</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1"/>
                <w:sz w:val="18"/>
                <w:szCs w:val="18"/>
              </w:rPr>
              <w:t>完成股权登记之日起三十六个</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月内不转让，在此之后按中国证</w:t>
            </w:r>
            <w:r>
              <w:rPr>
                <w:rFonts w:ascii="宋体" w:hAnsi="宋体" w:cs="宋体" w:eastAsia="宋体" w:hint="default"/>
                <w:sz w:val="18"/>
                <w:szCs w:val="18"/>
              </w:rPr>
              <w:t> </w:t>
            </w:r>
            <w:r>
              <w:rPr>
                <w:rFonts w:ascii="宋体" w:hAnsi="宋体" w:cs="宋体" w:eastAsia="宋体" w:hint="default"/>
                <w:spacing w:val="11"/>
                <w:sz w:val="18"/>
                <w:szCs w:val="18"/>
              </w:rPr>
              <w:t>券监督管理委员会及深圳证券</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交易所的有关规定执行。为此， 公司因 </w:t>
            </w:r>
            <w:r>
              <w:rPr>
                <w:rFonts w:ascii="宋体" w:hAnsi="宋体" w:cs="宋体" w:eastAsia="宋体" w:hint="default"/>
                <w:sz w:val="18"/>
                <w:szCs w:val="18"/>
              </w:rPr>
              <w:t>2010</w:t>
            </w:r>
            <w:r>
              <w:rPr>
                <w:rFonts w:ascii="宋体" w:hAnsi="宋体" w:cs="宋体" w:eastAsia="宋体" w:hint="default"/>
                <w:spacing w:val="-27"/>
                <w:sz w:val="18"/>
                <w:szCs w:val="18"/>
              </w:rPr>
              <w:t> </w:t>
            </w:r>
            <w:r>
              <w:rPr>
                <w:rFonts w:ascii="宋体" w:hAnsi="宋体" w:cs="宋体" w:eastAsia="宋体" w:hint="default"/>
                <w:sz w:val="18"/>
                <w:szCs w:val="18"/>
              </w:rPr>
              <w:t>年实施发行股票购</w:t>
            </w:r>
          </w:p>
          <w:p>
            <w:pPr>
              <w:pStyle w:val="TableParagraph"/>
              <w:spacing w:line="232" w:lineRule="exact" w:before="24"/>
              <w:ind w:left="101" w:right="101"/>
              <w:jc w:val="both"/>
              <w:rPr>
                <w:rFonts w:ascii="宋体" w:hAnsi="宋体" w:cs="宋体" w:eastAsia="宋体" w:hint="default"/>
                <w:sz w:val="18"/>
                <w:szCs w:val="18"/>
              </w:rPr>
            </w:pPr>
            <w:r>
              <w:rPr>
                <w:rFonts w:ascii="宋体" w:hAnsi="宋体" w:cs="宋体" w:eastAsia="宋体" w:hint="default"/>
                <w:sz w:val="18"/>
                <w:szCs w:val="18"/>
              </w:rPr>
              <w:t>买资产获得的晶源电子 </w:t>
            </w:r>
            <w:r>
              <w:rPr>
                <w:rFonts w:ascii="宋体" w:hAnsi="宋体" w:cs="宋体" w:eastAsia="宋体" w:hint="default"/>
                <w:sz w:val="18"/>
                <w:szCs w:val="18"/>
              </w:rPr>
              <w:t>3375</w:t>
            </w:r>
            <w:r>
              <w:rPr>
                <w:rFonts w:ascii="宋体" w:hAnsi="宋体" w:cs="宋体" w:eastAsia="宋体" w:hint="default"/>
                <w:spacing w:val="-26"/>
                <w:sz w:val="18"/>
                <w:szCs w:val="18"/>
              </w:rPr>
              <w:t> </w:t>
            </w:r>
            <w:r>
              <w:rPr>
                <w:rFonts w:ascii="宋体" w:hAnsi="宋体" w:cs="宋体" w:eastAsia="宋体" w:hint="default"/>
                <w:sz w:val="18"/>
                <w:szCs w:val="18"/>
              </w:rPr>
              <w:t>万 股股份限售期限相应延长。</w:t>
            </w:r>
          </w:p>
        </w:tc>
        <w:tc>
          <w:tcPr>
            <w:tcW w:w="941"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98" w:right="0"/>
              <w:jc w:val="left"/>
              <w:rPr>
                <w:rFonts w:ascii="宋体" w:hAnsi="宋体" w:cs="宋体" w:eastAsia="宋体" w:hint="default"/>
                <w:sz w:val="18"/>
                <w:szCs w:val="18"/>
              </w:rPr>
            </w:pPr>
            <w:r>
              <w:rPr>
                <w:rFonts w:ascii="宋体" w:hAnsi="宋体" w:cs="宋体" w:eastAsia="宋体" w:hint="default"/>
                <w:sz w:val="18"/>
                <w:szCs w:val="18"/>
              </w:rPr>
              <w:t>上述承诺</w:t>
            </w:r>
          </w:p>
          <w:p>
            <w:pPr>
              <w:pStyle w:val="TableParagraph"/>
              <w:spacing w:line="232" w:lineRule="exact" w:before="23"/>
              <w:ind w:left="98" w:right="107"/>
              <w:jc w:val="left"/>
              <w:rPr>
                <w:rFonts w:ascii="宋体" w:hAnsi="宋体" w:cs="宋体" w:eastAsia="宋体" w:hint="default"/>
                <w:sz w:val="18"/>
                <w:szCs w:val="18"/>
              </w:rPr>
            </w:pPr>
            <w:r>
              <w:rPr>
                <w:rFonts w:ascii="宋体" w:hAnsi="宋体" w:cs="宋体" w:eastAsia="宋体" w:hint="default"/>
                <w:sz w:val="18"/>
                <w:szCs w:val="18"/>
              </w:rPr>
              <w:t>作出的时 间为</w:t>
            </w:r>
          </w:p>
          <w:p>
            <w:pPr>
              <w:pStyle w:val="TableParagraph"/>
              <w:spacing w:line="213" w:lineRule="exact"/>
              <w:ind w:left="9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6</w:t>
            </w:r>
          </w:p>
          <w:p>
            <w:pPr>
              <w:pStyle w:val="TableParagraph"/>
              <w:spacing w:line="237" w:lineRule="auto"/>
              <w:ind w:left="98" w:right="17"/>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30</w:t>
            </w:r>
            <w:r>
              <w:rPr>
                <w:rFonts w:ascii="宋体" w:hAnsi="宋体" w:cs="宋体" w:eastAsia="宋体" w:hint="default"/>
                <w:spacing w:val="-44"/>
                <w:sz w:val="18"/>
                <w:szCs w:val="18"/>
              </w:rPr>
              <w:t> </w:t>
            </w:r>
            <w:r>
              <w:rPr>
                <w:rFonts w:ascii="宋体" w:hAnsi="宋体" w:cs="宋体" w:eastAsia="宋体" w:hint="default"/>
                <w:spacing w:val="-3"/>
                <w:sz w:val="18"/>
                <w:szCs w:val="18"/>
              </w:rPr>
              <w:t>日， </w:t>
            </w:r>
            <w:r>
              <w:rPr>
                <w:rFonts w:ascii="宋体" w:hAnsi="宋体" w:cs="宋体" w:eastAsia="宋体" w:hint="default"/>
                <w:sz w:val="18"/>
                <w:szCs w:val="18"/>
              </w:rPr>
              <w:t>应完成的</w:t>
            </w:r>
            <w:r>
              <w:rPr>
                <w:rFonts w:ascii="宋体" w:hAnsi="宋体" w:cs="宋体" w:eastAsia="宋体" w:hint="default"/>
                <w:sz w:val="18"/>
                <w:szCs w:val="18"/>
              </w:rPr>
              <w:t> 时间为 </w:t>
            </w:r>
            <w:r>
              <w:rPr>
                <w:rFonts w:ascii="宋体" w:hAnsi="宋体" w:cs="宋体" w:eastAsia="宋体" w:hint="default"/>
                <w:sz w:val="18"/>
                <w:szCs w:val="18"/>
              </w:rPr>
              <w:t>2015</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p>
          <w:p>
            <w:pPr>
              <w:pStyle w:val="TableParagraph"/>
              <w:spacing w:line="233" w:lineRule="exact"/>
              <w:ind w:left="9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9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95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21" w:type="dxa"/>
            <w:tcBorders>
              <w:top w:val="single" w:sz="6" w:space="0" w:color="000000"/>
              <w:left w:val="single" w:sz="6" w:space="0" w:color="000000"/>
              <w:bottom w:val="single" w:sz="6" w:space="0" w:color="000000"/>
              <w:right w:val="single" w:sz="6" w:space="0" w:color="000000"/>
            </w:tcBorders>
          </w:tcPr>
          <w:p>
            <w:pPr/>
          </w:p>
        </w:tc>
        <w:tc>
          <w:tcPr>
            <w:tcW w:w="869" w:type="dxa"/>
            <w:tcBorders>
              <w:top w:val="single" w:sz="6" w:space="0" w:color="000000"/>
              <w:left w:val="single" w:sz="6" w:space="0" w:color="000000"/>
              <w:bottom w:val="single" w:sz="6" w:space="0" w:color="000000"/>
              <w:right w:val="single" w:sz="12" w:space="0" w:color="000000"/>
            </w:tcBorders>
          </w:tcPr>
          <w:p>
            <w:pPr/>
          </w:p>
        </w:tc>
      </w:tr>
      <w:tr>
        <w:trPr>
          <w:trHeight w:val="3291" w:hRule="exact"/>
        </w:trPr>
        <w:tc>
          <w:tcPr>
            <w:tcW w:w="121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55"/>
              <w:ind w:left="93" w:right="0"/>
              <w:jc w:val="left"/>
              <w:rPr>
                <w:rFonts w:ascii="宋体" w:hAnsi="宋体" w:cs="宋体" w:eastAsia="宋体" w:hint="default"/>
                <w:sz w:val="21"/>
                <w:szCs w:val="21"/>
              </w:rPr>
            </w:pPr>
            <w:r>
              <w:rPr>
                <w:rFonts w:ascii="宋体" w:hAnsi="宋体" w:cs="宋体" w:eastAsia="宋体" w:hint="default"/>
                <w:sz w:val="21"/>
                <w:szCs w:val="21"/>
              </w:rPr>
              <w:t>其他承诺</w:t>
            </w:r>
          </w:p>
        </w:tc>
        <w:tc>
          <w:tcPr>
            <w:tcW w:w="869" w:type="dxa"/>
            <w:tcBorders>
              <w:top w:val="single" w:sz="6" w:space="0" w:color="000000"/>
              <w:left w:val="single" w:sz="6" w:space="0" w:color="000000"/>
              <w:bottom w:val="single" w:sz="12"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股份限</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售</w:t>
            </w:r>
          </w:p>
        </w:tc>
        <w:tc>
          <w:tcPr>
            <w:tcW w:w="898" w:type="dxa"/>
            <w:tcBorders>
              <w:top w:val="single" w:sz="6" w:space="0" w:color="000000"/>
              <w:left w:val="single" w:sz="6" w:space="0" w:color="000000"/>
              <w:bottom w:val="single" w:sz="12"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2715" w:type="dxa"/>
            <w:tcBorders>
              <w:top w:val="single" w:sz="6" w:space="0" w:color="000000"/>
              <w:left w:val="single" w:sz="6" w:space="0" w:color="000000"/>
              <w:bottom w:val="single" w:sz="12" w:space="0" w:color="000000"/>
              <w:right w:val="single" w:sz="6" w:space="0" w:color="000000"/>
            </w:tcBorders>
          </w:tcPr>
          <w:p>
            <w:pPr>
              <w:pStyle w:val="TableParagraph"/>
              <w:spacing w:line="205" w:lineRule="exact"/>
              <w:ind w:left="101" w:right="0" w:firstLine="36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34"/>
                <w:sz w:val="18"/>
                <w:szCs w:val="18"/>
              </w:rPr>
              <w:t> </w:t>
            </w:r>
            <w:r>
              <w:rPr>
                <w:rFonts w:ascii="宋体" w:hAnsi="宋体" w:cs="宋体" w:eastAsia="宋体" w:hint="default"/>
                <w:spacing w:val="-8"/>
                <w:sz w:val="18"/>
                <w:szCs w:val="18"/>
              </w:rPr>
              <w:t>年，唐山晶源裕丰电子</w:t>
            </w:r>
          </w:p>
          <w:p>
            <w:pPr>
              <w:pStyle w:val="TableParagraph"/>
              <w:spacing w:line="237" w:lineRule="auto" w:before="2"/>
              <w:ind w:left="101" w:right="31"/>
              <w:jc w:val="left"/>
              <w:rPr>
                <w:rFonts w:ascii="宋体" w:hAnsi="宋体" w:cs="宋体" w:eastAsia="宋体" w:hint="default"/>
                <w:sz w:val="18"/>
                <w:szCs w:val="18"/>
              </w:rPr>
            </w:pPr>
            <w:r>
              <w:rPr>
                <w:rFonts w:ascii="宋体" w:hAnsi="宋体" w:cs="宋体" w:eastAsia="宋体" w:hint="default"/>
                <w:spacing w:val="11"/>
                <w:sz w:val="18"/>
                <w:szCs w:val="18"/>
              </w:rPr>
              <w:t>股份有限公司与公司下属子公</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1"/>
                <w:sz w:val="18"/>
                <w:szCs w:val="18"/>
              </w:rPr>
              <w:t>司北京同方微电子有限公司实</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施资产重组，以向公司及同方微</w:t>
            </w:r>
            <w:r>
              <w:rPr>
                <w:rFonts w:ascii="宋体" w:hAnsi="宋体" w:cs="宋体" w:eastAsia="宋体" w:hint="default"/>
                <w:sz w:val="18"/>
                <w:szCs w:val="18"/>
              </w:rPr>
              <w:t> </w:t>
            </w:r>
            <w:r>
              <w:rPr>
                <w:rFonts w:ascii="宋体" w:hAnsi="宋体" w:cs="宋体" w:eastAsia="宋体" w:hint="default"/>
                <w:spacing w:val="11"/>
                <w:sz w:val="18"/>
                <w:szCs w:val="18"/>
              </w:rPr>
              <w:t>电子其他股东发行股票方式收</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购同方微电子</w:t>
            </w:r>
            <w:r>
              <w:rPr>
                <w:rFonts w:ascii="宋体" w:hAnsi="宋体" w:cs="宋体" w:eastAsia="宋体" w:hint="default"/>
                <w:spacing w:val="-47"/>
                <w:sz w:val="18"/>
                <w:szCs w:val="18"/>
              </w:rPr>
              <w:t> </w:t>
            </w:r>
            <w:r>
              <w:rPr>
                <w:rFonts w:ascii="宋体" w:hAnsi="宋体" w:cs="宋体" w:eastAsia="宋体" w:hint="default"/>
                <w:sz w:val="18"/>
                <w:szCs w:val="18"/>
              </w:rPr>
              <w:t>100%</w:t>
            </w:r>
            <w:r>
              <w:rPr>
                <w:rFonts w:ascii="宋体" w:hAnsi="宋体" w:cs="宋体" w:eastAsia="宋体" w:hint="default"/>
                <w:sz w:val="18"/>
                <w:szCs w:val="18"/>
              </w:rPr>
              <w:t>股权。为此， 公司获得</w:t>
            </w:r>
            <w:r>
              <w:rPr>
                <w:rFonts w:ascii="宋体" w:hAnsi="宋体" w:cs="宋体" w:eastAsia="宋体" w:hint="default"/>
                <w:spacing w:val="-59"/>
                <w:sz w:val="18"/>
                <w:szCs w:val="18"/>
              </w:rPr>
              <w:t> </w:t>
            </w:r>
            <w:r>
              <w:rPr>
                <w:rFonts w:ascii="宋体" w:hAnsi="宋体" w:cs="宋体" w:eastAsia="宋体" w:hint="default"/>
                <w:sz w:val="18"/>
                <w:szCs w:val="18"/>
              </w:rPr>
              <w:t>125,557,622</w:t>
            </w:r>
            <w:r>
              <w:rPr>
                <w:rFonts w:ascii="宋体" w:hAnsi="宋体" w:cs="宋体" w:eastAsia="宋体" w:hint="default"/>
                <w:spacing w:val="-57"/>
                <w:sz w:val="18"/>
                <w:szCs w:val="18"/>
              </w:rPr>
              <w:t> </w:t>
            </w:r>
            <w:r>
              <w:rPr>
                <w:rFonts w:ascii="宋体" w:hAnsi="宋体" w:cs="宋体" w:eastAsia="宋体" w:hint="default"/>
                <w:sz w:val="18"/>
                <w:szCs w:val="18"/>
              </w:rPr>
              <w:t>股晶源电 子股票，并承诺，对于本公司拥 有的晶源电子的股份，自本次交 </w:t>
            </w:r>
            <w:r>
              <w:rPr>
                <w:rFonts w:ascii="宋体" w:hAnsi="宋体" w:cs="宋体" w:eastAsia="宋体" w:hint="default"/>
                <w:spacing w:val="11"/>
                <w:sz w:val="18"/>
                <w:szCs w:val="18"/>
              </w:rPr>
              <w:t>易晶源电子发行股份完成股权</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1"/>
                <w:sz w:val="18"/>
                <w:szCs w:val="18"/>
              </w:rPr>
              <w:t>登记之日起三十六个月内不转</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让，在此之后按中国证券监督管</w:t>
            </w:r>
            <w:r>
              <w:rPr>
                <w:rFonts w:ascii="宋体" w:hAnsi="宋体" w:cs="宋体" w:eastAsia="宋体" w:hint="default"/>
                <w:sz w:val="18"/>
                <w:szCs w:val="18"/>
              </w:rPr>
              <w:t> </w:t>
            </w:r>
            <w:r>
              <w:rPr>
                <w:rFonts w:ascii="宋体" w:hAnsi="宋体" w:cs="宋体" w:eastAsia="宋体" w:hint="default"/>
                <w:spacing w:val="11"/>
                <w:sz w:val="18"/>
                <w:szCs w:val="18"/>
              </w:rPr>
              <w:t>理委员会及深圳证券交易所的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有关规定执行。</w:t>
            </w:r>
          </w:p>
        </w:tc>
        <w:tc>
          <w:tcPr>
            <w:tcW w:w="941" w:type="dxa"/>
            <w:tcBorders>
              <w:top w:val="single" w:sz="6" w:space="0" w:color="000000"/>
              <w:left w:val="single" w:sz="6" w:space="0" w:color="000000"/>
              <w:bottom w:val="single" w:sz="12" w:space="0" w:color="000000"/>
              <w:right w:val="single" w:sz="6"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上述承诺</w:t>
            </w:r>
          </w:p>
          <w:p>
            <w:pPr>
              <w:pStyle w:val="TableParagraph"/>
              <w:spacing w:line="232" w:lineRule="exact" w:before="24"/>
              <w:ind w:left="98" w:right="107"/>
              <w:jc w:val="left"/>
              <w:rPr>
                <w:rFonts w:ascii="宋体" w:hAnsi="宋体" w:cs="宋体" w:eastAsia="宋体" w:hint="default"/>
                <w:sz w:val="18"/>
                <w:szCs w:val="18"/>
              </w:rPr>
            </w:pPr>
            <w:r>
              <w:rPr>
                <w:rFonts w:ascii="宋体" w:hAnsi="宋体" w:cs="宋体" w:eastAsia="宋体" w:hint="default"/>
                <w:sz w:val="18"/>
                <w:szCs w:val="18"/>
              </w:rPr>
              <w:t>作出的时 间为</w:t>
            </w:r>
          </w:p>
          <w:p>
            <w:pPr>
              <w:pStyle w:val="TableParagraph"/>
              <w:spacing w:line="210" w:lineRule="exact"/>
              <w:ind w:left="98"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p>
          <w:p>
            <w:pPr>
              <w:pStyle w:val="TableParagraph"/>
              <w:spacing w:line="237" w:lineRule="auto"/>
              <w:ind w:left="98" w:right="103"/>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日， 应完成的 时间为 </w:t>
            </w:r>
            <w:r>
              <w:rPr>
                <w:rFonts w:ascii="宋体" w:hAnsi="宋体" w:cs="宋体" w:eastAsia="宋体" w:hint="default"/>
                <w:sz w:val="18"/>
                <w:szCs w:val="18"/>
              </w:rPr>
              <w:t>2015</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p>
          <w:p>
            <w:pPr>
              <w:pStyle w:val="TableParagraph"/>
              <w:spacing w:line="234" w:lineRule="exact"/>
              <w:ind w:left="9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970"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953"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21" w:type="dxa"/>
            <w:tcBorders>
              <w:top w:val="single" w:sz="6" w:space="0" w:color="000000"/>
              <w:left w:val="single" w:sz="6" w:space="0" w:color="000000"/>
              <w:bottom w:val="single" w:sz="12" w:space="0" w:color="000000"/>
              <w:right w:val="single" w:sz="6" w:space="0" w:color="000000"/>
            </w:tcBorders>
          </w:tcPr>
          <w:p>
            <w:pPr/>
          </w:p>
        </w:tc>
        <w:tc>
          <w:tcPr>
            <w:tcW w:w="869" w:type="dxa"/>
            <w:tcBorders>
              <w:top w:val="single" w:sz="6" w:space="0" w:color="000000"/>
              <w:left w:val="single" w:sz="6" w:space="0" w:color="000000"/>
              <w:bottom w:val="single" w:sz="12" w:space="0" w:color="000000"/>
              <w:right w:val="single" w:sz="12" w:space="0" w:color="000000"/>
            </w:tcBorders>
          </w:tcPr>
          <w:p>
            <w:pPr/>
          </w:p>
        </w:tc>
      </w:tr>
    </w:tbl>
    <w:p>
      <w:pPr>
        <w:spacing w:line="240" w:lineRule="auto" w:before="10"/>
        <w:rPr>
          <w:rFonts w:ascii="宋体" w:hAnsi="宋体" w:cs="宋体" w:eastAsia="宋体" w:hint="default"/>
          <w:b/>
          <w:bCs/>
          <w:sz w:val="18"/>
          <w:szCs w:val="18"/>
        </w:rPr>
      </w:pPr>
    </w:p>
    <w:p>
      <w:pPr>
        <w:pStyle w:val="Heading3"/>
        <w:spacing w:line="312" w:lineRule="exact" w:before="56"/>
        <w:ind w:left="1055" w:right="0"/>
        <w:jc w:val="left"/>
        <w:rPr>
          <w:b w:val="0"/>
          <w:bCs w:val="0"/>
        </w:rPr>
      </w:pPr>
      <w:r>
        <w:rPr>
          <w:rFonts w:ascii="宋体" w:hAnsi="宋体" w:cs="宋体" w:eastAsia="宋体" w:hint="default"/>
        </w:rPr>
        <w:t>(</w:t>
      </w:r>
      <w:r>
        <w:rPr/>
        <w:t>二</w:t>
      </w:r>
      <w:r>
        <w:rPr>
          <w:rFonts w:ascii="宋体" w:hAnsi="宋体" w:cs="宋体" w:eastAsia="宋体" w:hint="default"/>
        </w:rPr>
        <w:t>)</w:t>
      </w:r>
      <w:r>
        <w:rPr/>
        <w:t>公司自查或项目存在盈利预测，且报告期仍处在盈利预测期间，公司就资产或项</w:t>
      </w:r>
      <w:r>
        <w:rPr>
          <w:spacing w:val="-103"/>
        </w:rPr>
        <w:t> </w:t>
      </w:r>
      <w:r>
        <w:rPr>
          <w:spacing w:val="-103"/>
        </w:rPr>
      </w:r>
      <w:r>
        <w:rPr/>
        <w:t>目达到原盈利预测及其原因做出说明</w:t>
      </w:r>
      <w:r>
        <w:rPr>
          <w:b w:val="0"/>
          <w:bCs w:val="0"/>
        </w:rPr>
      </w:r>
    </w:p>
    <w:p>
      <w:pPr>
        <w:spacing w:line="240" w:lineRule="auto" w:before="7"/>
        <w:rPr>
          <w:rFonts w:ascii="宋体" w:hAnsi="宋体" w:cs="宋体" w:eastAsia="宋体" w:hint="default"/>
          <w:b/>
          <w:bCs/>
          <w:sz w:val="21"/>
          <w:szCs w:val="21"/>
        </w:rPr>
      </w:pPr>
    </w:p>
    <w:p>
      <w:pPr>
        <w:pStyle w:val="BodyText"/>
        <w:spacing w:line="237" w:lineRule="auto"/>
        <w:ind w:left="798" w:right="801"/>
        <w:jc w:val="both"/>
      </w:pPr>
      <w:r>
        <w:rPr>
          <w:rFonts w:ascii="宋体" w:hAnsi="宋体" w:cs="宋体" w:eastAsia="宋体" w:hint="default"/>
        </w:rPr>
        <w:t>1</w:t>
      </w:r>
      <w:r>
        <w:rPr/>
        <w:t>、根据本公司</w:t>
      </w:r>
      <w:r>
        <w:rPr>
          <w:spacing w:val="-51"/>
        </w:rPr>
        <w:t> </w:t>
      </w:r>
      <w:r>
        <w:rPr>
          <w:rFonts w:ascii="宋体" w:hAnsi="宋体" w:cs="宋体" w:eastAsia="宋体" w:hint="default"/>
        </w:rPr>
        <w:t>2013</w:t>
      </w:r>
      <w:r>
        <w:rPr>
          <w:rFonts w:ascii="宋体" w:hAnsi="宋体" w:cs="宋体" w:eastAsia="宋体" w:hint="default"/>
          <w:spacing w:val="-48"/>
        </w:rPr>
        <w:t> </w:t>
      </w:r>
      <w:r>
        <w:rPr/>
        <w:t>年</w:t>
      </w:r>
      <w:r>
        <w:rPr>
          <w:spacing w:val="-50"/>
        </w:rPr>
        <w:t> </w:t>
      </w:r>
      <w:r>
        <w:rPr>
          <w:rFonts w:ascii="宋体" w:hAnsi="宋体" w:cs="宋体" w:eastAsia="宋体" w:hint="default"/>
        </w:rPr>
        <w:t>2</w:t>
      </w:r>
      <w:r>
        <w:rPr>
          <w:rFonts w:ascii="宋体" w:hAnsi="宋体" w:cs="宋体" w:eastAsia="宋体" w:hint="default"/>
          <w:spacing w:val="-51"/>
        </w:rPr>
        <w:t> </w:t>
      </w:r>
      <w:r>
        <w:rPr/>
        <w:t>月</w:t>
      </w:r>
      <w:r>
        <w:rPr>
          <w:spacing w:val="-51"/>
        </w:rPr>
        <w:t> </w:t>
      </w:r>
      <w:r>
        <w:rPr>
          <w:rFonts w:ascii="宋体" w:hAnsi="宋体" w:cs="宋体" w:eastAsia="宋体" w:hint="default"/>
        </w:rPr>
        <w:t>25</w:t>
      </w:r>
      <w:r>
        <w:rPr>
          <w:rFonts w:ascii="宋体" w:hAnsi="宋体" w:cs="宋体" w:eastAsia="宋体" w:hint="default"/>
          <w:spacing w:val="-51"/>
        </w:rPr>
        <w:t> </w:t>
      </w:r>
      <w:r>
        <w:rPr/>
        <w:t>日召开的</w:t>
      </w:r>
      <w:r>
        <w:rPr>
          <w:spacing w:val="-51"/>
        </w:rPr>
        <w:t> </w:t>
      </w:r>
      <w:r>
        <w:rPr>
          <w:rFonts w:ascii="宋体" w:hAnsi="宋体" w:cs="宋体" w:eastAsia="宋体" w:hint="default"/>
        </w:rPr>
        <w:t>2013</w:t>
      </w:r>
      <w:r>
        <w:rPr>
          <w:rFonts w:ascii="宋体" w:hAnsi="宋体" w:cs="宋体" w:eastAsia="宋体" w:hint="default"/>
          <w:spacing w:val="-51"/>
        </w:rPr>
        <w:t> </w:t>
      </w:r>
      <w:r>
        <w:rPr/>
        <w:t>年第一次临时股东大会决议，经中国证券 监督管理委员会《关于核准同方股份有限公司向杜国楹等发行股份购买资产并募集配套</w:t>
      </w:r>
      <w:r>
        <w:rPr>
          <w:spacing w:val="-51"/>
        </w:rPr>
        <w:t> </w:t>
      </w:r>
      <w:r>
        <w:rPr>
          <w:spacing w:val="-51"/>
        </w:rPr>
      </w:r>
      <w:r>
        <w:rPr>
          <w:spacing w:val="-3"/>
        </w:rPr>
        <w:t>资金的批复》</w:t>
      </w:r>
      <w:r>
        <w:rPr>
          <w:rFonts w:ascii="宋体" w:hAnsi="宋体" w:cs="宋体" w:eastAsia="宋体" w:hint="default"/>
          <w:spacing w:val="-3"/>
        </w:rPr>
        <w:t>(</w:t>
      </w:r>
      <w:r>
        <w:rPr>
          <w:spacing w:val="-3"/>
        </w:rPr>
        <w:t>证监许可</w:t>
      </w:r>
      <w:r>
        <w:rPr>
          <w:rFonts w:ascii="宋体" w:hAnsi="宋体" w:cs="宋体" w:eastAsia="宋体" w:hint="default"/>
          <w:spacing w:val="-3"/>
        </w:rPr>
        <w:t>[2013]973</w:t>
      </w:r>
      <w:r>
        <w:rPr>
          <w:rFonts w:ascii="宋体" w:hAnsi="宋体" w:cs="宋体" w:eastAsia="宋体" w:hint="default"/>
          <w:spacing w:val="-36"/>
        </w:rPr>
        <w:t> </w:t>
      </w:r>
      <w:r>
        <w:rPr>
          <w:spacing w:val="-3"/>
        </w:rPr>
        <w:t>号</w:t>
      </w:r>
      <w:r>
        <w:rPr>
          <w:rFonts w:ascii="宋体" w:hAnsi="宋体" w:cs="宋体" w:eastAsia="宋体" w:hint="default"/>
          <w:spacing w:val="-3"/>
        </w:rPr>
        <w:t>)</w:t>
      </w:r>
      <w:r>
        <w:rPr>
          <w:spacing w:val="-3"/>
        </w:rPr>
        <w:t>批准，本公司收购北京壹人壹本信息科技有限公司</w:t>
      </w:r>
      <w:r>
        <w:rPr>
          <w:spacing w:val="-115"/>
        </w:rPr>
        <w:t> </w:t>
      </w:r>
      <w:r>
        <w:rPr>
          <w:spacing w:val="-115"/>
        </w:rPr>
      </w:r>
      <w:r>
        <w:rPr>
          <w:rFonts w:ascii="宋体" w:hAnsi="宋体" w:cs="宋体" w:eastAsia="宋体" w:hint="default"/>
          <w:spacing w:val="4"/>
        </w:rPr>
        <w:t>100.00%</w:t>
      </w:r>
      <w:r>
        <w:rPr>
          <w:spacing w:val="4"/>
        </w:rPr>
        <w:t>股权。在本次发行股份购买资产交易中，本公司委托卓信大华对壹人壹本截止</w:t>
      </w:r>
    </w:p>
    <w:p>
      <w:pPr>
        <w:spacing w:after="0" w:line="237" w:lineRule="auto"/>
        <w:jc w:val="both"/>
        <w:sectPr>
          <w:headerReference w:type="default" r:id="rId17"/>
          <w:pgSz w:w="11910" w:h="16840"/>
          <w:pgMar w:header="628" w:footer="760" w:top="1080" w:bottom="960" w:left="620" w:right="48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312" w:lineRule="exact" w:before="26"/>
        <w:ind w:left="238" w:right="0"/>
        <w:jc w:val="both"/>
      </w:pPr>
      <w:r>
        <w:rPr>
          <w:rFonts w:ascii="宋体" w:hAnsi="宋体" w:cs="宋体" w:eastAsia="宋体" w:hint="default"/>
        </w:rPr>
        <w:t>2012</w:t>
      </w:r>
      <w:r>
        <w:rPr>
          <w:rFonts w:ascii="宋体" w:hAnsi="宋体" w:cs="宋体" w:eastAsia="宋体" w:hint="default"/>
          <w:spacing w:val="-57"/>
        </w:rPr>
        <w:t> </w:t>
      </w:r>
      <w:r>
        <w:rPr/>
        <w:t>年</w:t>
      </w:r>
      <w:r>
        <w:rPr>
          <w:spacing w:val="-57"/>
        </w:rPr>
        <w:t> </w:t>
      </w:r>
      <w:r>
        <w:rPr>
          <w:rFonts w:ascii="宋体" w:hAnsi="宋体" w:cs="宋体" w:eastAsia="宋体" w:hint="default"/>
        </w:rPr>
        <w:t>12</w:t>
      </w:r>
      <w:r>
        <w:rPr>
          <w:rFonts w:ascii="宋体" w:hAnsi="宋体" w:cs="宋体" w:eastAsia="宋体" w:hint="default"/>
          <w:spacing w:val="-57"/>
        </w:rPr>
        <w:t> </w:t>
      </w:r>
      <w:r>
        <w:rPr/>
        <w:t>月</w:t>
      </w:r>
      <w:r>
        <w:rPr>
          <w:spacing w:val="-57"/>
        </w:rPr>
        <w:t> </w:t>
      </w:r>
      <w:r>
        <w:rPr>
          <w:rFonts w:ascii="宋体" w:hAnsi="宋体" w:cs="宋体" w:eastAsia="宋体" w:hint="default"/>
        </w:rPr>
        <w:t>31</w:t>
      </w:r>
      <w:r>
        <w:rPr>
          <w:rFonts w:ascii="宋体" w:hAnsi="宋体" w:cs="宋体" w:eastAsia="宋体" w:hint="default"/>
          <w:spacing w:val="-57"/>
        </w:rPr>
        <w:t> </w:t>
      </w:r>
      <w:r>
        <w:rPr/>
        <w:t>日的股权进行了评估，卓信大华以收益现值法进行评估值的认定，并出</w:t>
      </w:r>
    </w:p>
    <w:p>
      <w:pPr>
        <w:pStyle w:val="BodyText"/>
        <w:spacing w:line="312" w:lineRule="exact" w:before="28"/>
        <w:ind w:left="238" w:right="242"/>
        <w:jc w:val="both"/>
      </w:pPr>
      <w:r>
        <w:rPr/>
        <w:t>具了卓信大华评报字</w:t>
      </w:r>
      <w:r>
        <w:rPr>
          <w:rFonts w:ascii="宋体" w:hAnsi="宋体" w:cs="宋体" w:eastAsia="宋体" w:hint="default"/>
        </w:rPr>
        <w:t>(2013)</w:t>
      </w:r>
      <w:r>
        <w:rPr/>
        <w:t>第 </w:t>
      </w:r>
      <w:r>
        <w:rPr>
          <w:rFonts w:ascii="宋体" w:hAnsi="宋体" w:cs="宋体" w:eastAsia="宋体" w:hint="default"/>
        </w:rPr>
        <w:t>007</w:t>
      </w:r>
      <w:r>
        <w:rPr>
          <w:rFonts w:ascii="宋体" w:hAnsi="宋体" w:cs="宋体" w:eastAsia="宋体" w:hint="default"/>
          <w:spacing w:val="-41"/>
        </w:rPr>
        <w:t> </w:t>
      </w:r>
      <w:r>
        <w:rPr/>
        <w:t>号资产评估报告书。根据重组各方签订的《盈利预测 补偿协议》及《盈利预测补偿协议之补充协议》的约定，重组各方以评估值作为协议定</w:t>
      </w:r>
      <w:r>
        <w:rPr>
          <w:spacing w:val="-53"/>
        </w:rPr>
        <w:t> </w:t>
      </w:r>
      <w:r>
        <w:rPr>
          <w:spacing w:val="-53"/>
        </w:rPr>
      </w:r>
      <w:r>
        <w:rPr/>
        <w:t>价，以评估报告中的净利润预测金额为依据约定</w:t>
      </w:r>
      <w:r>
        <w:rPr>
          <w:spacing w:val="-64"/>
        </w:rPr>
        <w:t> </w:t>
      </w:r>
      <w:r>
        <w:rPr>
          <w:rFonts w:ascii="宋体" w:hAnsi="宋体" w:cs="宋体" w:eastAsia="宋体" w:hint="default"/>
        </w:rPr>
        <w:t>2013</w:t>
      </w:r>
      <w:r>
        <w:rPr>
          <w:rFonts w:ascii="宋体" w:hAnsi="宋体" w:cs="宋体" w:eastAsia="宋体" w:hint="default"/>
          <w:spacing w:val="-7"/>
        </w:rPr>
        <w:t> </w:t>
      </w:r>
      <w:r>
        <w:rPr/>
        <w:t>年、</w:t>
      </w:r>
      <w:r>
        <w:rPr>
          <w:rFonts w:ascii="宋体" w:hAnsi="宋体" w:cs="宋体" w:eastAsia="宋体" w:hint="default"/>
        </w:rPr>
        <w:t>2014</w:t>
      </w:r>
      <w:r>
        <w:rPr>
          <w:rFonts w:ascii="宋体" w:hAnsi="宋体" w:cs="宋体" w:eastAsia="宋体" w:hint="default"/>
          <w:spacing w:val="-64"/>
        </w:rPr>
        <w:t> </w:t>
      </w:r>
      <w:r>
        <w:rPr>
          <w:spacing w:val="-3"/>
        </w:rPr>
        <w:t>年、</w:t>
      </w:r>
      <w:r>
        <w:rPr>
          <w:rFonts w:ascii="宋体" w:hAnsi="宋体" w:cs="宋体" w:eastAsia="宋体" w:hint="default"/>
          <w:spacing w:val="-3"/>
        </w:rPr>
        <w:t>2015</w:t>
      </w:r>
      <w:r>
        <w:rPr>
          <w:rFonts w:ascii="宋体" w:hAnsi="宋体" w:cs="宋体" w:eastAsia="宋体" w:hint="default"/>
          <w:spacing w:val="-7"/>
        </w:rPr>
        <w:t> </w:t>
      </w:r>
      <w:r>
        <w:rPr/>
        <w:t>年壹人壹本预 测实现的扣除非经常性损益后归属于母公司股东的净利润分别不低于 </w:t>
      </w:r>
      <w:r>
        <w:rPr>
          <w:rFonts w:ascii="宋体" w:hAnsi="宋体" w:cs="宋体" w:eastAsia="宋体" w:hint="default"/>
        </w:rPr>
        <w:t>7,811.76</w:t>
      </w:r>
      <w:r>
        <w:rPr>
          <w:rFonts w:ascii="宋体" w:hAnsi="宋体" w:cs="宋体" w:eastAsia="宋体" w:hint="default"/>
          <w:spacing w:val="63"/>
        </w:rPr>
        <w:t> </w:t>
      </w:r>
      <w:r>
        <w:rPr>
          <w:spacing w:val="2"/>
        </w:rPr>
        <w:t>万元、</w:t>
      </w:r>
      <w:r>
        <w:rPr/>
      </w:r>
    </w:p>
    <w:p>
      <w:pPr>
        <w:pStyle w:val="BodyText"/>
        <w:spacing w:line="281" w:lineRule="exact"/>
        <w:ind w:left="238" w:right="0"/>
        <w:jc w:val="both"/>
      </w:pPr>
      <w:r>
        <w:rPr>
          <w:rFonts w:ascii="宋体" w:hAnsi="宋体" w:cs="宋体" w:eastAsia="宋体" w:hint="default"/>
        </w:rPr>
        <w:t>11,262.41 </w:t>
      </w:r>
      <w:r>
        <w:rPr/>
        <w:t>万元、</w:t>
      </w:r>
      <w:r>
        <w:rPr>
          <w:rFonts w:ascii="宋体" w:hAnsi="宋体" w:cs="宋体" w:eastAsia="宋体" w:hint="default"/>
        </w:rPr>
        <w:t>14,556.40</w:t>
      </w:r>
      <w:r>
        <w:rPr>
          <w:rFonts w:ascii="宋体" w:hAnsi="宋体" w:cs="宋体" w:eastAsia="宋体" w:hint="default"/>
          <w:spacing w:val="-1"/>
        </w:rPr>
        <w:t> </w:t>
      </w:r>
      <w:r>
        <w:rPr/>
        <w:t>万元。</w:t>
      </w:r>
    </w:p>
    <w:p>
      <w:pPr>
        <w:spacing w:line="240" w:lineRule="auto" w:before="9"/>
        <w:rPr>
          <w:rFonts w:ascii="宋体" w:hAnsi="宋体" w:cs="宋体" w:eastAsia="宋体" w:hint="default"/>
          <w:sz w:val="23"/>
          <w:szCs w:val="23"/>
        </w:rPr>
      </w:pPr>
    </w:p>
    <w:p>
      <w:pPr>
        <w:pStyle w:val="BodyText"/>
        <w:spacing w:line="312" w:lineRule="exact"/>
        <w:ind w:left="238" w:right="0"/>
        <w:jc w:val="both"/>
      </w:pPr>
      <w:r>
        <w:rPr>
          <w:rFonts w:ascii="宋体" w:hAnsi="宋体" w:cs="宋体" w:eastAsia="宋体" w:hint="default"/>
          <w:spacing w:val="11"/>
        </w:rPr>
        <w:t>2</w:t>
      </w:r>
      <w:r>
        <w:rPr>
          <w:spacing w:val="11"/>
        </w:rPr>
        <w:t>、北京壹人壹本信息科技有限公司 </w:t>
      </w:r>
      <w:r>
        <w:rPr>
          <w:rFonts w:ascii="宋体" w:hAnsi="宋体" w:cs="宋体" w:eastAsia="宋体" w:hint="default"/>
        </w:rPr>
        <w:t>2015</w:t>
      </w:r>
      <w:r>
        <w:rPr>
          <w:rFonts w:ascii="宋体" w:hAnsi="宋体" w:cs="宋体" w:eastAsia="宋体" w:hint="default"/>
          <w:spacing w:val="31"/>
        </w:rPr>
        <w:t> </w:t>
      </w:r>
      <w:r>
        <w:rPr>
          <w:spacing w:val="11"/>
        </w:rPr>
        <w:t>年度实现的扣除非经常性损益的净利润为</w:t>
      </w:r>
    </w:p>
    <w:p>
      <w:pPr>
        <w:pStyle w:val="BodyText"/>
        <w:spacing w:line="237" w:lineRule="auto"/>
        <w:ind w:left="238" w:right="242"/>
        <w:jc w:val="both"/>
      </w:pPr>
      <w:r>
        <w:rPr>
          <w:rFonts w:ascii="宋体" w:hAnsi="宋体" w:cs="宋体" w:eastAsia="宋体" w:hint="default"/>
        </w:rPr>
        <w:t>14,833.12</w:t>
      </w:r>
      <w:r>
        <w:rPr>
          <w:rFonts w:ascii="宋体" w:hAnsi="宋体" w:cs="宋体" w:eastAsia="宋体" w:hint="default"/>
          <w:spacing w:val="-53"/>
        </w:rPr>
        <w:t> </w:t>
      </w:r>
      <w:r>
        <w:rPr/>
        <w:t>万元。上述壹人壹本</w:t>
      </w:r>
      <w:r>
        <w:rPr>
          <w:spacing w:val="-53"/>
        </w:rPr>
        <w:t> </w:t>
      </w:r>
      <w:r>
        <w:rPr>
          <w:rFonts w:ascii="宋体" w:hAnsi="宋体" w:cs="宋体" w:eastAsia="宋体" w:hint="default"/>
        </w:rPr>
        <w:t>2015</w:t>
      </w:r>
      <w:r>
        <w:rPr>
          <w:rFonts w:ascii="宋体" w:hAnsi="宋体" w:cs="宋体" w:eastAsia="宋体" w:hint="default"/>
          <w:spacing w:val="-53"/>
        </w:rPr>
        <w:t> </w:t>
      </w:r>
      <w:r>
        <w:rPr/>
        <w:t>年度实现的扣除非经常性损益后归属于母公司所有 者的净利润，业经信永中和会计师事务所审计，并出具了 </w:t>
      </w:r>
      <w:r>
        <w:rPr>
          <w:rFonts w:ascii="宋体" w:hAnsi="宋体" w:cs="宋体" w:eastAsia="宋体" w:hint="default"/>
        </w:rPr>
        <w:t>XYZH/2016BJA80146</w:t>
      </w:r>
      <w:r>
        <w:rPr>
          <w:rFonts w:ascii="宋体" w:hAnsi="宋体" w:cs="宋体" w:eastAsia="宋体" w:hint="default"/>
          <w:spacing w:val="-38"/>
        </w:rPr>
        <w:t> </w:t>
      </w:r>
      <w:r>
        <w:rPr/>
        <w:t>号审计报 告。</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7"/>
          <w:szCs w:val="17"/>
        </w:rPr>
      </w:pPr>
    </w:p>
    <w:p>
      <w:pPr>
        <w:pStyle w:val="Heading2"/>
        <w:spacing w:line="240" w:lineRule="auto"/>
        <w:ind w:right="0"/>
        <w:jc w:val="both"/>
      </w:pPr>
      <w:r>
        <w:rPr/>
        <w:t>三、报告期内资金被占用情况及清欠进展情况</w:t>
      </w:r>
    </w:p>
    <w:p>
      <w:pPr>
        <w:spacing w:line="240" w:lineRule="auto" w:before="8"/>
        <w:rPr>
          <w:rFonts w:ascii="黑体" w:hAnsi="黑体" w:cs="黑体" w:eastAsia="黑体" w:hint="default"/>
          <w:sz w:val="28"/>
          <w:szCs w:val="28"/>
        </w:rPr>
      </w:pPr>
    </w:p>
    <w:p>
      <w:pPr>
        <w:pStyle w:val="BodyText"/>
        <w:spacing w:line="240" w:lineRule="auto"/>
        <w:ind w:left="238" w:right="0"/>
        <w:jc w:val="both"/>
      </w:pPr>
      <w:r>
        <w:rPr/>
        <w:t>不适用。</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7"/>
          <w:szCs w:val="17"/>
        </w:rPr>
      </w:pPr>
    </w:p>
    <w:p>
      <w:pPr>
        <w:pStyle w:val="Heading2"/>
        <w:spacing w:line="240" w:lineRule="auto"/>
        <w:ind w:right="0"/>
        <w:jc w:val="both"/>
      </w:pPr>
      <w:r>
        <w:rPr/>
        <w:t>四、董事会对会计师事务所“非标准审计报告”的说明</w:t>
      </w:r>
    </w:p>
    <w:p>
      <w:pPr>
        <w:spacing w:line="240" w:lineRule="auto" w:before="8"/>
        <w:rPr>
          <w:rFonts w:ascii="黑体" w:hAnsi="黑体" w:cs="黑体" w:eastAsia="黑体" w:hint="default"/>
          <w:sz w:val="28"/>
          <w:szCs w:val="28"/>
        </w:rPr>
      </w:pPr>
    </w:p>
    <w:p>
      <w:pPr>
        <w:pStyle w:val="Heading3"/>
        <w:spacing w:line="477" w:lineRule="auto"/>
        <w:ind w:left="238" w:right="2425" w:firstLine="256"/>
        <w:jc w:val="left"/>
        <w:rPr>
          <w:rFonts w:ascii="宋体" w:hAnsi="宋体" w:cs="宋体" w:eastAsia="宋体" w:hint="default"/>
          <w:b w:val="0"/>
          <w:bCs w:val="0"/>
        </w:rPr>
      </w:pPr>
      <w:r>
        <w:rPr>
          <w:rFonts w:ascii="宋体" w:hAnsi="宋体" w:cs="宋体" w:eastAsia="宋体" w:hint="default"/>
        </w:rPr>
        <w:t>(</w:t>
      </w:r>
      <w:r>
        <w:rPr/>
        <w:t>一</w:t>
      </w:r>
      <w:r>
        <w:rPr>
          <w:rFonts w:ascii="宋体" w:hAnsi="宋体" w:cs="宋体" w:eastAsia="宋体" w:hint="default"/>
        </w:rPr>
        <w:t>)</w:t>
      </w:r>
      <w:r>
        <w:rPr/>
        <w:t>董事会、监事会对会计师事务所“非标准审计报告”的说明</w:t>
      </w:r>
      <w:r>
        <w:rPr>
          <w:w w:val="99"/>
        </w:rPr>
        <w:t> </w:t>
      </w:r>
      <w:r>
        <w:rPr>
          <w:rFonts w:ascii="宋体" w:hAnsi="宋体" w:cs="宋体" w:eastAsia="宋体" w:hint="default"/>
          <w:b w:val="0"/>
          <w:bCs w:val="0"/>
        </w:rPr>
        <w:t>不适用。</w:t>
      </w:r>
    </w:p>
    <w:p>
      <w:pPr>
        <w:pStyle w:val="Heading3"/>
        <w:spacing w:line="475" w:lineRule="auto" w:before="70"/>
        <w:ind w:left="238" w:right="1220" w:firstLine="256"/>
        <w:jc w:val="left"/>
        <w:rPr>
          <w:rFonts w:ascii="宋体" w:hAnsi="宋体" w:cs="宋体" w:eastAsia="宋体" w:hint="default"/>
          <w:b w:val="0"/>
          <w:bCs w:val="0"/>
        </w:rPr>
      </w:pPr>
      <w:r>
        <w:rPr>
          <w:rFonts w:ascii="宋体" w:hAnsi="宋体" w:cs="宋体" w:eastAsia="宋体" w:hint="default"/>
        </w:rPr>
        <w:t>(</w:t>
      </w:r>
      <w:r>
        <w:rPr/>
        <w:t>二</w:t>
      </w:r>
      <w:r>
        <w:rPr>
          <w:rFonts w:ascii="宋体" w:hAnsi="宋体" w:cs="宋体" w:eastAsia="宋体" w:hint="default"/>
        </w:rPr>
        <w:t>)</w:t>
      </w:r>
      <w:r>
        <w:rPr/>
        <w:t>董事会对会计政策、会计估计或核算方法变更的原因和影响的分析说明</w:t>
      </w:r>
      <w:r>
        <w:rPr>
          <w:w w:val="99"/>
        </w:rPr>
        <w:t> </w:t>
      </w:r>
      <w:r>
        <w:rPr>
          <w:rFonts w:ascii="宋体" w:hAnsi="宋体" w:cs="宋体" w:eastAsia="宋体" w:hint="default"/>
          <w:b w:val="0"/>
          <w:bCs w:val="0"/>
        </w:rPr>
        <w:t>不适用。</w:t>
      </w:r>
    </w:p>
    <w:p>
      <w:pPr>
        <w:pStyle w:val="Heading3"/>
        <w:spacing w:line="475" w:lineRule="auto" w:before="74"/>
        <w:ind w:left="238" w:right="3148" w:firstLine="256"/>
        <w:jc w:val="left"/>
        <w:rPr>
          <w:rFonts w:ascii="宋体" w:hAnsi="宋体" w:cs="宋体" w:eastAsia="宋体" w:hint="default"/>
          <w:b w:val="0"/>
          <w:bCs w:val="0"/>
        </w:rPr>
      </w:pPr>
      <w:r>
        <w:rPr>
          <w:rFonts w:ascii="宋体" w:hAnsi="宋体" w:cs="宋体" w:eastAsia="宋体" w:hint="default"/>
        </w:rPr>
        <w:t>(</w:t>
      </w:r>
      <w:r>
        <w:rPr/>
        <w:t>三</w:t>
      </w:r>
      <w:r>
        <w:rPr>
          <w:rFonts w:ascii="宋体" w:hAnsi="宋体" w:cs="宋体" w:eastAsia="宋体" w:hint="default"/>
        </w:rPr>
        <w:t>)</w:t>
      </w:r>
      <w:r>
        <w:rPr/>
        <w:t>董事会对重要前期差错更正的原因及影响的分析说明</w:t>
      </w:r>
      <w:r>
        <w:rPr>
          <w:w w:val="99"/>
        </w:rPr>
        <w:t> </w:t>
      </w:r>
      <w:r>
        <w:rPr>
          <w:rFonts w:ascii="宋体" w:hAnsi="宋体" w:cs="宋体" w:eastAsia="宋体" w:hint="default"/>
          <w:b w:val="0"/>
          <w:bCs w:val="0"/>
        </w:rPr>
        <w:t>不适用。</w:t>
      </w:r>
    </w:p>
    <w:p>
      <w:pPr>
        <w:spacing w:line="240" w:lineRule="auto" w:before="8"/>
        <w:rPr>
          <w:rFonts w:ascii="宋体" w:hAnsi="宋体" w:cs="宋体" w:eastAsia="宋体" w:hint="default"/>
          <w:sz w:val="23"/>
          <w:szCs w:val="23"/>
        </w:rPr>
      </w:pPr>
    </w:p>
    <w:p>
      <w:pPr>
        <w:pStyle w:val="Heading2"/>
        <w:spacing w:line="240" w:lineRule="auto"/>
        <w:ind w:right="0"/>
        <w:jc w:val="both"/>
      </w:pPr>
      <w:r>
        <w:rPr/>
        <w:t>五、聘任、解聘会计师事务所情况</w:t>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1"/>
          <w:szCs w:val="11"/>
        </w:rPr>
      </w:pPr>
    </w:p>
    <w:tbl>
      <w:tblPr>
        <w:tblW w:w="0" w:type="auto"/>
        <w:jc w:val="left"/>
        <w:tblInd w:w="116" w:type="dxa"/>
        <w:tblLayout w:type="fixed"/>
        <w:tblCellMar>
          <w:top w:w="0" w:type="dxa"/>
          <w:left w:w="0" w:type="dxa"/>
          <w:bottom w:w="0" w:type="dxa"/>
          <w:right w:w="0" w:type="dxa"/>
        </w:tblCellMar>
        <w:tblLook w:val="01E0"/>
      </w:tblPr>
      <w:tblGrid>
        <w:gridCol w:w="4709"/>
        <w:gridCol w:w="4710"/>
      </w:tblGrid>
      <w:tr>
        <w:trPr>
          <w:trHeight w:val="295" w:hRule="exact"/>
        </w:trPr>
        <w:tc>
          <w:tcPr>
            <w:tcW w:w="4709"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是否改聘会计师事务所：</w:t>
            </w:r>
          </w:p>
        </w:tc>
        <w:tc>
          <w:tcPr>
            <w:tcW w:w="4710"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6" w:hRule="exact"/>
        </w:trPr>
        <w:tc>
          <w:tcPr>
            <w:tcW w:w="4709" w:type="dxa"/>
            <w:tcBorders>
              <w:top w:val="single" w:sz="6" w:space="0" w:color="000000"/>
              <w:left w:val="single" w:sz="12" w:space="0" w:color="000000"/>
              <w:bottom w:val="single" w:sz="6" w:space="0" w:color="000000"/>
              <w:right w:val="single" w:sz="6" w:space="0" w:color="000000"/>
            </w:tcBorders>
          </w:tcPr>
          <w:p>
            <w:pPr/>
          </w:p>
        </w:tc>
        <w:tc>
          <w:tcPr>
            <w:tcW w:w="471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7" w:right="0"/>
              <w:jc w:val="center"/>
              <w:rPr>
                <w:rFonts w:ascii="宋体" w:hAnsi="宋体" w:cs="宋体" w:eastAsia="宋体" w:hint="default"/>
                <w:sz w:val="21"/>
                <w:szCs w:val="21"/>
              </w:rPr>
            </w:pPr>
            <w:r>
              <w:rPr>
                <w:rFonts w:ascii="宋体" w:hAnsi="宋体" w:cs="宋体" w:eastAsia="宋体" w:hint="default"/>
                <w:b/>
                <w:bCs/>
                <w:sz w:val="21"/>
                <w:szCs w:val="21"/>
              </w:rPr>
              <w:t>现聘任</w:t>
            </w:r>
            <w:r>
              <w:rPr>
                <w:rFonts w:ascii="宋体" w:hAnsi="宋体" w:cs="宋体" w:eastAsia="宋体" w:hint="default"/>
                <w:sz w:val="21"/>
                <w:szCs w:val="21"/>
              </w:rPr>
            </w:r>
          </w:p>
        </w:tc>
      </w:tr>
      <w:tr>
        <w:trPr>
          <w:trHeight w:val="288" w:hRule="exact"/>
        </w:trPr>
        <w:tc>
          <w:tcPr>
            <w:tcW w:w="4709"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4710"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信永中和会计师事务所</w:t>
            </w:r>
          </w:p>
        </w:tc>
      </w:tr>
      <w:tr>
        <w:trPr>
          <w:trHeight w:val="288" w:hRule="exact"/>
        </w:trPr>
        <w:tc>
          <w:tcPr>
            <w:tcW w:w="4709"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境内会计师事务所报酬</w:t>
            </w:r>
          </w:p>
        </w:tc>
        <w:tc>
          <w:tcPr>
            <w:tcW w:w="471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320</w:t>
            </w:r>
            <w:r>
              <w:rPr>
                <w:rFonts w:ascii="宋体" w:hAnsi="宋体" w:cs="宋体" w:eastAsia="宋体" w:hint="default"/>
                <w:spacing w:val="-48"/>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r>
      <w:tr>
        <w:trPr>
          <w:trHeight w:val="293" w:hRule="exact"/>
        </w:trPr>
        <w:tc>
          <w:tcPr>
            <w:tcW w:w="4709"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境内会计师事务所审计年限</w:t>
            </w:r>
          </w:p>
        </w:tc>
        <w:tc>
          <w:tcPr>
            <w:tcW w:w="4710"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十五年</w:t>
            </w:r>
          </w:p>
        </w:tc>
      </w:tr>
    </w:tbl>
    <w:p>
      <w:pPr>
        <w:spacing w:line="242" w:lineRule="exact" w:before="0"/>
        <w:ind w:left="238" w:right="110" w:firstLine="0"/>
        <w:jc w:val="left"/>
        <w:rPr>
          <w:rFonts w:ascii="宋体" w:hAnsi="宋体" w:cs="宋体" w:eastAsia="宋体" w:hint="default"/>
          <w:sz w:val="21"/>
          <w:szCs w:val="21"/>
        </w:rPr>
      </w:pPr>
      <w:r>
        <w:rPr>
          <w:rFonts w:ascii="宋体" w:hAnsi="宋体" w:cs="宋体" w:eastAsia="宋体" w:hint="default"/>
          <w:spacing w:val="-3"/>
          <w:sz w:val="21"/>
          <w:szCs w:val="21"/>
        </w:rPr>
        <w:t>注：公司控股子公司同方国芯电子股份有限公司另外聘请北京兴华会计师事务所有限责任公司为其审</w:t>
      </w:r>
    </w:p>
    <w:p>
      <w:pPr>
        <w:spacing w:before="0"/>
        <w:ind w:left="238" w:right="110" w:firstLine="0"/>
        <w:jc w:val="left"/>
        <w:rPr>
          <w:rFonts w:ascii="宋体" w:hAnsi="宋体" w:cs="宋体" w:eastAsia="宋体" w:hint="default"/>
          <w:sz w:val="21"/>
          <w:szCs w:val="21"/>
        </w:rPr>
      </w:pPr>
      <w:r>
        <w:rPr>
          <w:rFonts w:ascii="宋体" w:hAnsi="宋体" w:cs="宋体" w:eastAsia="宋体" w:hint="default"/>
          <w:spacing w:val="-3"/>
          <w:sz w:val="21"/>
          <w:szCs w:val="21"/>
        </w:rPr>
        <w:t>计机构、同方泰德国际科技有限公司和同方友友控股有限公司另外聘请毕马威会计师事务所为其审计</w:t>
      </w:r>
      <w:r>
        <w:rPr>
          <w:rFonts w:ascii="宋体" w:hAnsi="宋体" w:cs="宋体" w:eastAsia="宋体" w:hint="default"/>
          <w:spacing w:val="-18"/>
          <w:sz w:val="21"/>
          <w:szCs w:val="21"/>
        </w:rPr>
        <w:t> </w:t>
      </w:r>
      <w:r>
        <w:rPr>
          <w:rFonts w:ascii="宋体" w:hAnsi="宋体" w:cs="宋体" w:eastAsia="宋体" w:hint="default"/>
          <w:spacing w:val="-18"/>
          <w:sz w:val="21"/>
          <w:szCs w:val="21"/>
        </w:rPr>
      </w:r>
      <w:r>
        <w:rPr>
          <w:rFonts w:ascii="宋体" w:hAnsi="宋体" w:cs="宋体" w:eastAsia="宋体" w:hint="default"/>
          <w:sz w:val="21"/>
          <w:szCs w:val="21"/>
        </w:rPr>
        <w:t>机构，龙江环保集团股份有限公司另外聘请瑞华会计师事务所为其审计机构。</w:t>
      </w:r>
    </w:p>
    <w:p>
      <w:pPr>
        <w:spacing w:after="0"/>
        <w:jc w:val="left"/>
        <w:rPr>
          <w:rFonts w:ascii="宋体" w:hAnsi="宋体" w:cs="宋体" w:eastAsia="宋体" w:hint="default"/>
          <w:sz w:val="21"/>
          <w:szCs w:val="21"/>
        </w:rPr>
        <w:sectPr>
          <w:pgSz w:w="11910" w:h="16840"/>
          <w:pgMar w:header="628" w:footer="760" w:top="1080" w:bottom="960" w:left="1180" w:right="10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tbl>
      <w:tblPr>
        <w:tblW w:w="0" w:type="auto"/>
        <w:jc w:val="left"/>
        <w:tblInd w:w="116" w:type="dxa"/>
        <w:tblLayout w:type="fixed"/>
        <w:tblCellMar>
          <w:top w:w="0" w:type="dxa"/>
          <w:left w:w="0" w:type="dxa"/>
          <w:bottom w:w="0" w:type="dxa"/>
          <w:right w:w="0" w:type="dxa"/>
        </w:tblCellMar>
        <w:tblLook w:val="01E0"/>
      </w:tblPr>
      <w:tblGrid>
        <w:gridCol w:w="3140"/>
        <w:gridCol w:w="3140"/>
        <w:gridCol w:w="3140"/>
      </w:tblGrid>
      <w:tr>
        <w:trPr>
          <w:trHeight w:val="295" w:hRule="exact"/>
        </w:trPr>
        <w:tc>
          <w:tcPr>
            <w:tcW w:w="3140" w:type="dxa"/>
            <w:tcBorders>
              <w:top w:val="single" w:sz="12" w:space="0" w:color="000000"/>
              <w:left w:val="single" w:sz="12" w:space="0" w:color="000000"/>
              <w:bottom w:val="single" w:sz="6" w:space="0" w:color="000000"/>
              <w:right w:val="single" w:sz="6" w:space="0" w:color="000000"/>
            </w:tcBorders>
          </w:tcPr>
          <w:p>
            <w:pPr/>
          </w:p>
        </w:tc>
        <w:tc>
          <w:tcPr>
            <w:tcW w:w="3140"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名称</w:t>
            </w:r>
            <w:r>
              <w:rPr>
                <w:rFonts w:ascii="宋体" w:hAnsi="宋体" w:cs="宋体" w:eastAsia="宋体" w:hint="default"/>
                <w:sz w:val="21"/>
                <w:szCs w:val="21"/>
              </w:rPr>
            </w:r>
          </w:p>
        </w:tc>
        <w:tc>
          <w:tcPr>
            <w:tcW w:w="3140"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left="7" w:right="0"/>
              <w:jc w:val="center"/>
              <w:rPr>
                <w:rFonts w:ascii="宋体" w:hAnsi="宋体" w:cs="宋体" w:eastAsia="宋体" w:hint="default"/>
                <w:sz w:val="21"/>
                <w:szCs w:val="21"/>
              </w:rPr>
            </w:pPr>
            <w:r>
              <w:rPr>
                <w:rFonts w:ascii="宋体" w:hAnsi="宋体" w:cs="宋体" w:eastAsia="宋体" w:hint="default"/>
                <w:b/>
                <w:bCs/>
                <w:sz w:val="21"/>
                <w:szCs w:val="21"/>
              </w:rPr>
              <w:t>报酬</w:t>
            </w:r>
            <w:r>
              <w:rPr>
                <w:rFonts w:ascii="宋体" w:hAnsi="宋体" w:cs="宋体" w:eastAsia="宋体" w:hint="default"/>
                <w:sz w:val="21"/>
                <w:szCs w:val="21"/>
              </w:rPr>
            </w:r>
          </w:p>
        </w:tc>
      </w:tr>
      <w:tr>
        <w:trPr>
          <w:trHeight w:val="286" w:hRule="exact"/>
        </w:trPr>
        <w:tc>
          <w:tcPr>
            <w:tcW w:w="3140"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内部控制审计会计师事务所</w:t>
            </w:r>
          </w:p>
        </w:tc>
        <w:tc>
          <w:tcPr>
            <w:tcW w:w="31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信永中和会计师事务所</w:t>
            </w:r>
          </w:p>
        </w:tc>
        <w:tc>
          <w:tcPr>
            <w:tcW w:w="314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60</w:t>
            </w:r>
            <w:r>
              <w:rPr>
                <w:rFonts w:ascii="宋体" w:hAnsi="宋体" w:cs="宋体" w:eastAsia="宋体" w:hint="default"/>
                <w:spacing w:val="-50"/>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r>
      <w:tr>
        <w:trPr>
          <w:trHeight w:val="295" w:hRule="exact"/>
        </w:trPr>
        <w:tc>
          <w:tcPr>
            <w:tcW w:w="3140" w:type="dxa"/>
            <w:tcBorders>
              <w:top w:val="single" w:sz="6" w:space="0" w:color="000000"/>
              <w:left w:val="single" w:sz="12" w:space="0" w:color="000000"/>
              <w:bottom w:val="single" w:sz="12"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保荐人</w:t>
            </w:r>
          </w:p>
        </w:tc>
        <w:tc>
          <w:tcPr>
            <w:tcW w:w="3140" w:type="dxa"/>
            <w:tcBorders>
              <w:top w:val="single" w:sz="6" w:space="0" w:color="000000"/>
              <w:left w:val="single" w:sz="6" w:space="0" w:color="000000"/>
              <w:bottom w:val="single" w:sz="12"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中信证券股份有限公司</w:t>
            </w:r>
          </w:p>
        </w:tc>
        <w:tc>
          <w:tcPr>
            <w:tcW w:w="3140" w:type="dxa"/>
            <w:tcBorders>
              <w:top w:val="single" w:sz="6" w:space="0" w:color="000000"/>
              <w:left w:val="single" w:sz="6" w:space="0" w:color="000000"/>
              <w:bottom w:val="single" w:sz="12" w:space="0" w:color="000000"/>
              <w:right w:val="single" w:sz="12"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500</w:t>
            </w:r>
            <w:r>
              <w:rPr>
                <w:rFonts w:ascii="宋体" w:hAnsi="宋体" w:cs="宋体" w:eastAsia="宋体" w:hint="default"/>
                <w:spacing w:val="-49"/>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r>
    </w:tbl>
    <w:p>
      <w:pPr>
        <w:spacing w:line="241" w:lineRule="exact" w:before="0"/>
        <w:ind w:left="238" w:right="110" w:firstLine="0"/>
        <w:jc w:val="left"/>
        <w:rPr>
          <w:rFonts w:ascii="宋体" w:hAnsi="宋体" w:cs="宋体" w:eastAsia="宋体" w:hint="default"/>
          <w:sz w:val="21"/>
          <w:szCs w:val="21"/>
        </w:rPr>
      </w:pPr>
      <w:r>
        <w:rPr>
          <w:rFonts w:ascii="宋体" w:hAnsi="宋体" w:cs="宋体" w:eastAsia="宋体" w:hint="default"/>
          <w:sz w:val="21"/>
          <w:szCs w:val="21"/>
        </w:rPr>
        <w:t>注：中信证券为公司 </w:t>
      </w:r>
      <w:r>
        <w:rPr>
          <w:rFonts w:ascii="宋体" w:hAnsi="宋体" w:cs="宋体" w:eastAsia="宋体" w:hint="default"/>
          <w:sz w:val="21"/>
          <w:szCs w:val="21"/>
        </w:rPr>
        <w:t>2015</w:t>
      </w:r>
      <w:r>
        <w:rPr>
          <w:rFonts w:ascii="宋体" w:hAnsi="宋体" w:cs="宋体" w:eastAsia="宋体" w:hint="default"/>
          <w:spacing w:val="-50"/>
          <w:sz w:val="21"/>
          <w:szCs w:val="21"/>
        </w:rPr>
        <w:t> </w:t>
      </w:r>
      <w:r>
        <w:rPr>
          <w:rFonts w:ascii="宋体" w:hAnsi="宋体" w:cs="宋体" w:eastAsia="宋体" w:hint="default"/>
          <w:sz w:val="21"/>
          <w:szCs w:val="21"/>
        </w:rPr>
        <w:t>年非公开发行股份项目的保荐人，其就本次非公开发行与上市为公司提供</w:t>
      </w:r>
    </w:p>
    <w:p>
      <w:pPr>
        <w:spacing w:line="273" w:lineRule="exact" w:before="0"/>
        <w:ind w:left="238" w:right="110" w:firstLine="0"/>
        <w:jc w:val="left"/>
        <w:rPr>
          <w:rFonts w:ascii="宋体" w:hAnsi="宋体" w:cs="宋体" w:eastAsia="宋体" w:hint="default"/>
          <w:sz w:val="21"/>
          <w:szCs w:val="21"/>
        </w:rPr>
      </w:pPr>
      <w:r>
        <w:rPr>
          <w:rFonts w:ascii="宋体" w:hAnsi="宋体" w:cs="宋体" w:eastAsia="宋体" w:hint="default"/>
          <w:sz w:val="21"/>
          <w:szCs w:val="21"/>
        </w:rPr>
        <w:t>保荐服务，保荐费为</w:t>
      </w:r>
      <w:r>
        <w:rPr>
          <w:rFonts w:ascii="宋体" w:hAnsi="宋体" w:cs="宋体" w:eastAsia="宋体" w:hint="default"/>
          <w:spacing w:val="-53"/>
          <w:sz w:val="21"/>
          <w:szCs w:val="21"/>
        </w:rPr>
        <w:t> </w:t>
      </w:r>
      <w:r>
        <w:rPr>
          <w:rFonts w:ascii="宋体" w:hAnsi="宋体" w:cs="宋体" w:eastAsia="宋体" w:hint="default"/>
          <w:sz w:val="21"/>
          <w:szCs w:val="21"/>
        </w:rPr>
        <w:t>500</w:t>
      </w:r>
      <w:r>
        <w:rPr>
          <w:rFonts w:ascii="宋体" w:hAnsi="宋体" w:cs="宋体" w:eastAsia="宋体" w:hint="default"/>
          <w:spacing w:val="-55"/>
          <w:sz w:val="21"/>
          <w:szCs w:val="21"/>
        </w:rPr>
        <w:t> </w:t>
      </w:r>
      <w:r>
        <w:rPr>
          <w:rFonts w:ascii="宋体" w:hAnsi="宋体" w:cs="宋体" w:eastAsia="宋体" w:hint="default"/>
          <w:sz w:val="21"/>
          <w:szCs w:val="21"/>
        </w:rPr>
        <w:t>万元，持续督导服务不收费。</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0"/>
          <w:szCs w:val="20"/>
        </w:rPr>
      </w:pPr>
    </w:p>
    <w:p>
      <w:pPr>
        <w:pStyle w:val="Heading2"/>
        <w:spacing w:line="240" w:lineRule="auto"/>
        <w:ind w:right="110"/>
        <w:jc w:val="left"/>
      </w:pPr>
      <w:r>
        <w:rPr/>
        <w:t>六、面临暂停上市风险的情况</w:t>
      </w:r>
    </w:p>
    <w:p>
      <w:pPr>
        <w:spacing w:line="240" w:lineRule="auto" w:before="8"/>
        <w:rPr>
          <w:rFonts w:ascii="黑体" w:hAnsi="黑体" w:cs="黑体" w:eastAsia="黑体" w:hint="default"/>
          <w:sz w:val="28"/>
          <w:szCs w:val="28"/>
        </w:rPr>
      </w:pPr>
    </w:p>
    <w:p>
      <w:pPr>
        <w:pStyle w:val="BodyText"/>
        <w:spacing w:line="240" w:lineRule="auto"/>
        <w:ind w:left="238" w:right="110"/>
        <w:jc w:val="left"/>
      </w:pPr>
      <w:r>
        <w:rPr/>
        <w:t>不适用。</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17"/>
          <w:szCs w:val="17"/>
        </w:rPr>
      </w:pPr>
    </w:p>
    <w:p>
      <w:pPr>
        <w:pStyle w:val="Heading2"/>
        <w:spacing w:line="240" w:lineRule="auto"/>
        <w:ind w:right="110"/>
        <w:jc w:val="left"/>
      </w:pPr>
      <w:r>
        <w:rPr/>
        <w:t>七、破产重整相关事项</w:t>
      </w:r>
    </w:p>
    <w:p>
      <w:pPr>
        <w:spacing w:line="240" w:lineRule="auto" w:before="8"/>
        <w:rPr>
          <w:rFonts w:ascii="黑体" w:hAnsi="黑体" w:cs="黑体" w:eastAsia="黑体" w:hint="default"/>
          <w:sz w:val="28"/>
          <w:szCs w:val="28"/>
        </w:rPr>
      </w:pPr>
    </w:p>
    <w:p>
      <w:pPr>
        <w:pStyle w:val="BodyText"/>
        <w:spacing w:line="240" w:lineRule="auto"/>
        <w:ind w:left="238" w:right="110"/>
        <w:jc w:val="left"/>
      </w:pPr>
      <w:r>
        <w:rPr/>
        <w:t>本年度公司无破产重整相关事项。</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7"/>
          <w:szCs w:val="17"/>
        </w:rPr>
      </w:pPr>
    </w:p>
    <w:p>
      <w:pPr>
        <w:pStyle w:val="Heading2"/>
        <w:spacing w:line="240" w:lineRule="auto"/>
        <w:ind w:right="110"/>
        <w:jc w:val="left"/>
      </w:pPr>
      <w:r>
        <w:rPr/>
        <w:t>八、重大诉讼、仲裁事项</w:t>
      </w:r>
    </w:p>
    <w:p>
      <w:pPr>
        <w:spacing w:line="240" w:lineRule="auto" w:before="8"/>
        <w:rPr>
          <w:rFonts w:ascii="黑体" w:hAnsi="黑体" w:cs="黑体" w:eastAsia="黑体" w:hint="default"/>
          <w:sz w:val="28"/>
          <w:szCs w:val="28"/>
        </w:rPr>
      </w:pPr>
    </w:p>
    <w:p>
      <w:pPr>
        <w:pStyle w:val="BodyText"/>
        <w:spacing w:line="240" w:lineRule="auto"/>
        <w:ind w:left="238" w:right="110"/>
        <w:jc w:val="left"/>
      </w:pPr>
      <w:r>
        <w:rPr/>
        <w:t>不适用。</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7"/>
          <w:szCs w:val="17"/>
        </w:rPr>
      </w:pPr>
    </w:p>
    <w:p>
      <w:pPr>
        <w:pStyle w:val="Heading2"/>
        <w:spacing w:line="240" w:lineRule="auto"/>
        <w:ind w:right="110"/>
        <w:jc w:val="left"/>
      </w:pPr>
      <w:r>
        <w:rPr>
          <w:spacing w:val="-3"/>
        </w:rPr>
        <w:t>九、上市公司及其董事、监事、高级管理人员、控股股东、实际控制人、收</w:t>
      </w:r>
      <w:r>
        <w:rPr>
          <w:spacing w:val="-83"/>
        </w:rPr>
        <w:t> </w:t>
      </w:r>
      <w:r>
        <w:rPr>
          <w:spacing w:val="-83"/>
        </w:rPr>
      </w:r>
      <w:r>
        <w:rPr/>
        <w:t>购人处罚及整改情况</w:t>
      </w:r>
    </w:p>
    <w:p>
      <w:pPr>
        <w:spacing w:line="240" w:lineRule="auto" w:before="1"/>
        <w:rPr>
          <w:rFonts w:ascii="黑体" w:hAnsi="黑体" w:cs="黑体" w:eastAsia="黑体" w:hint="default"/>
          <w:sz w:val="31"/>
          <w:szCs w:val="31"/>
        </w:rPr>
      </w:pPr>
    </w:p>
    <w:p>
      <w:pPr>
        <w:pStyle w:val="BodyText"/>
        <w:spacing w:line="310" w:lineRule="exact"/>
        <w:ind w:left="238" w:right="110"/>
        <w:jc w:val="left"/>
      </w:pPr>
      <w:r>
        <w:rPr/>
        <w:t>本年度公司及其董事、监事、高级管理人员、控股股东、实际控制人、收购人均未受中</w:t>
      </w:r>
      <w:r>
        <w:rPr>
          <w:spacing w:val="-53"/>
        </w:rPr>
        <w:t> </w:t>
      </w:r>
      <w:r>
        <w:rPr>
          <w:spacing w:val="-53"/>
        </w:rPr>
      </w:r>
      <w:r>
        <w:rPr/>
        <w:t>国证监会的稽查、行政处罚、通报批评及证券交易所的公开谴责。</w:t>
      </w:r>
    </w:p>
    <w:p>
      <w:pPr>
        <w:spacing w:line="240" w:lineRule="auto" w:before="0"/>
        <w:rPr>
          <w:rFonts w:ascii="宋体" w:hAnsi="宋体" w:cs="宋体" w:eastAsia="宋体" w:hint="default"/>
          <w:sz w:val="24"/>
          <w:szCs w:val="24"/>
        </w:rPr>
      </w:pPr>
    </w:p>
    <w:p>
      <w:pPr>
        <w:pStyle w:val="Heading2"/>
        <w:spacing w:line="240" w:lineRule="auto" w:before="201"/>
        <w:ind w:right="110"/>
        <w:jc w:val="left"/>
      </w:pPr>
      <w:r>
        <w:rPr/>
        <w:t>十、报告期内公司及其控股股东、实际控制人诚信状况的说明</w:t>
      </w:r>
    </w:p>
    <w:p>
      <w:pPr>
        <w:spacing w:line="240" w:lineRule="auto" w:before="1"/>
        <w:rPr>
          <w:rFonts w:ascii="黑体" w:hAnsi="黑体" w:cs="黑体" w:eastAsia="黑体" w:hint="default"/>
          <w:sz w:val="31"/>
          <w:szCs w:val="31"/>
        </w:rPr>
      </w:pPr>
    </w:p>
    <w:p>
      <w:pPr>
        <w:pStyle w:val="BodyText"/>
        <w:spacing w:line="310" w:lineRule="exact"/>
        <w:ind w:left="238" w:right="110"/>
        <w:jc w:val="left"/>
      </w:pPr>
      <w:r>
        <w:rPr/>
        <w:t>报告期内，公司及控股股东、实际控制人诚信状况良好，不存在未履行法院生效判决、</w:t>
      </w:r>
      <w:r>
        <w:rPr>
          <w:spacing w:val="-51"/>
        </w:rPr>
        <w:t> </w:t>
      </w:r>
      <w:r>
        <w:rPr>
          <w:spacing w:val="-51"/>
        </w:rPr>
      </w:r>
      <w:r>
        <w:rPr/>
        <w:t>所负数额较大的债务到期未清偿的情况。</w:t>
      </w:r>
    </w:p>
    <w:p>
      <w:pPr>
        <w:spacing w:line="240" w:lineRule="auto" w:before="0"/>
        <w:rPr>
          <w:rFonts w:ascii="宋体" w:hAnsi="宋体" w:cs="宋体" w:eastAsia="宋体" w:hint="default"/>
          <w:sz w:val="24"/>
          <w:szCs w:val="24"/>
        </w:rPr>
      </w:pPr>
    </w:p>
    <w:p>
      <w:pPr>
        <w:pStyle w:val="Heading2"/>
        <w:spacing w:line="240" w:lineRule="auto" w:before="201"/>
        <w:ind w:right="110"/>
        <w:jc w:val="left"/>
      </w:pPr>
      <w:r>
        <w:rPr/>
        <w:t>十一、公司股权激励计划、员工持股计划或其他员工激励情况及其影响</w:t>
      </w:r>
    </w:p>
    <w:p>
      <w:pPr>
        <w:spacing w:line="240" w:lineRule="auto" w:before="8"/>
        <w:rPr>
          <w:rFonts w:ascii="黑体" w:hAnsi="黑体" w:cs="黑体" w:eastAsia="黑体" w:hint="default"/>
          <w:sz w:val="28"/>
          <w:szCs w:val="28"/>
        </w:rPr>
      </w:pPr>
    </w:p>
    <w:p>
      <w:pPr>
        <w:pStyle w:val="BodyText"/>
        <w:spacing w:line="240" w:lineRule="auto"/>
        <w:ind w:left="238" w:right="110"/>
        <w:jc w:val="left"/>
      </w:pPr>
      <w:r>
        <w:rPr/>
        <w:t>不适用。</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7"/>
          <w:szCs w:val="17"/>
        </w:rPr>
      </w:pPr>
    </w:p>
    <w:p>
      <w:pPr>
        <w:pStyle w:val="Heading2"/>
        <w:spacing w:line="240" w:lineRule="auto"/>
        <w:ind w:right="110"/>
        <w:jc w:val="left"/>
      </w:pPr>
      <w:r>
        <w:rPr/>
        <w:t>十二、重大关联交易</w:t>
      </w:r>
    </w:p>
    <w:p>
      <w:pPr>
        <w:spacing w:after="0" w:line="240" w:lineRule="auto"/>
        <w:jc w:val="left"/>
        <w:sectPr>
          <w:pgSz w:w="11910" w:h="16840"/>
          <w:pgMar w:header="628" w:footer="760" w:top="1080" w:bottom="960" w:left="1180" w:right="1040"/>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21"/>
          <w:szCs w:val="21"/>
        </w:rPr>
      </w:pPr>
    </w:p>
    <w:p>
      <w:pPr>
        <w:pStyle w:val="Heading3"/>
        <w:spacing w:line="475" w:lineRule="auto" w:before="26"/>
        <w:ind w:right="3528"/>
        <w:jc w:val="left"/>
        <w:rPr>
          <w:b w:val="0"/>
          <w:bCs w:val="0"/>
        </w:rPr>
      </w:pPr>
      <w:r>
        <w:rPr>
          <w:rFonts w:ascii="宋体" w:hAnsi="宋体" w:cs="宋体" w:eastAsia="宋体" w:hint="default"/>
        </w:rPr>
        <w:t>(</w:t>
      </w:r>
      <w:r>
        <w:rPr/>
        <w:t>一</w:t>
      </w:r>
      <w:r>
        <w:rPr>
          <w:rFonts w:ascii="宋体" w:hAnsi="宋体" w:cs="宋体" w:eastAsia="宋体" w:hint="default"/>
        </w:rPr>
        <w:t>)</w:t>
      </w:r>
      <w:r>
        <w:rPr/>
        <w:t>与日常经营相关的关联交易</w:t>
      </w:r>
      <w:r>
        <w:rPr>
          <w:w w:val="99"/>
        </w:rPr>
        <w:t> </w:t>
      </w:r>
      <w:r>
        <w:rPr>
          <w:rFonts w:ascii="宋体" w:hAnsi="宋体" w:cs="宋体" w:eastAsia="宋体" w:hint="default"/>
        </w:rPr>
        <w:t>1</w:t>
      </w:r>
      <w:r>
        <w:rPr/>
        <w:t>、已在临时公告披露且后续实施无进展或变化的事项</w:t>
      </w:r>
      <w:r>
        <w:rPr>
          <w:b w:val="0"/>
          <w:bCs w:val="0"/>
        </w:rPr>
      </w:r>
    </w:p>
    <w:p>
      <w:pPr>
        <w:pStyle w:val="BodyText"/>
        <w:spacing w:line="240" w:lineRule="auto" w:before="74"/>
        <w:ind w:left="238" w:right="207"/>
        <w:jc w:val="left"/>
      </w:pPr>
      <w:r>
        <w:rPr/>
        <w:t>无。</w:t>
      </w:r>
    </w:p>
    <w:p>
      <w:pPr>
        <w:spacing w:line="240" w:lineRule="auto" w:before="7"/>
        <w:rPr>
          <w:rFonts w:ascii="宋体" w:hAnsi="宋体" w:cs="宋体" w:eastAsia="宋体" w:hint="default"/>
          <w:sz w:val="23"/>
          <w:szCs w:val="23"/>
        </w:rPr>
      </w:pPr>
    </w:p>
    <w:p>
      <w:pPr>
        <w:pStyle w:val="Heading3"/>
        <w:spacing w:line="475" w:lineRule="auto"/>
        <w:ind w:right="3047"/>
        <w:jc w:val="left"/>
        <w:rPr>
          <w:b w:val="0"/>
          <w:bCs w:val="0"/>
        </w:rPr>
      </w:pPr>
      <w:r>
        <w:rPr>
          <w:rFonts w:ascii="宋体" w:hAnsi="宋体" w:cs="宋体" w:eastAsia="宋体" w:hint="default"/>
        </w:rPr>
        <w:t>2</w:t>
      </w:r>
      <w:r>
        <w:rPr/>
        <w:t>、已在临时公告披露，但有后续实施的进展或变化的事项</w:t>
      </w:r>
      <w:r>
        <w:rPr>
          <w:w w:val="99"/>
        </w:rPr>
        <w:t> </w:t>
      </w:r>
      <w:r>
        <w:rPr>
          <w:rFonts w:ascii="宋体" w:hAnsi="宋体" w:cs="宋体" w:eastAsia="宋体" w:hint="default"/>
        </w:rPr>
        <w:t>(1)</w:t>
      </w:r>
      <w:r>
        <w:rPr/>
        <w:t>与日常经营相关的关联交易</w:t>
      </w:r>
      <w:r>
        <w:rPr>
          <w:b w:val="0"/>
          <w:bCs w:val="0"/>
        </w:rPr>
      </w:r>
    </w:p>
    <w:p>
      <w:pPr>
        <w:pStyle w:val="BodyText"/>
        <w:spacing w:line="312" w:lineRule="exact" w:before="75"/>
        <w:ind w:left="718" w:right="207"/>
        <w:jc w:val="left"/>
      </w:pPr>
      <w:r>
        <w:rPr/>
        <w:t>公司本年度因实际经营需要与清华大学、清华控股有限公司及其他关联方从</w:t>
      </w:r>
      <w:r>
        <w:rPr>
          <w:spacing w:val="-79"/>
        </w:rPr>
        <w:t> </w:t>
      </w:r>
      <w:r>
        <w:rPr>
          <w:rFonts w:ascii="宋体" w:hAnsi="宋体" w:cs="宋体" w:eastAsia="宋体" w:hint="default"/>
        </w:rPr>
        <w:t>2015</w:t>
      </w:r>
      <w:r>
        <w:rPr>
          <w:rFonts w:ascii="宋体" w:hAnsi="宋体" w:cs="宋体" w:eastAsia="宋体" w:hint="default"/>
          <w:spacing w:val="-80"/>
        </w:rPr>
        <w:t> </w:t>
      </w:r>
      <w:r>
        <w:rPr/>
        <w:t>年</w:t>
      </w:r>
    </w:p>
    <w:p>
      <w:pPr>
        <w:spacing w:line="477" w:lineRule="auto" w:before="0"/>
        <w:ind w:left="495" w:right="757" w:hanging="257"/>
        <w:jc w:val="lef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月至</w:t>
      </w:r>
      <w:r>
        <w:rPr>
          <w:rFonts w:ascii="宋体" w:hAnsi="宋体" w:cs="宋体" w:eastAsia="宋体" w:hint="default"/>
          <w:spacing w:val="-61"/>
          <w:sz w:val="24"/>
          <w:szCs w:val="24"/>
        </w:rPr>
        <w:t> </w:t>
      </w:r>
      <w:r>
        <w:rPr>
          <w:rFonts w:ascii="宋体" w:hAnsi="宋体" w:cs="宋体" w:eastAsia="宋体" w:hint="default"/>
          <w:sz w:val="24"/>
          <w:szCs w:val="24"/>
        </w:rPr>
        <w:t>2015</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月发生了以下日常关联交易： </w:t>
      </w:r>
      <w:r>
        <w:rPr>
          <w:rFonts w:ascii="宋体" w:hAnsi="宋体" w:cs="宋体" w:eastAsia="宋体" w:hint="default"/>
          <w:b/>
          <w:bCs/>
          <w:sz w:val="24"/>
          <w:szCs w:val="24"/>
        </w:rPr>
        <w:t>A.</w:t>
      </w:r>
      <w:r>
        <w:rPr>
          <w:rFonts w:ascii="宋体" w:hAnsi="宋体" w:cs="宋体" w:eastAsia="宋体" w:hint="default"/>
          <w:b/>
          <w:bCs/>
          <w:sz w:val="24"/>
          <w:szCs w:val="24"/>
        </w:rPr>
        <w:t>与清华大学技术成果交易类及与清华控股和其他关联方存在的日常经营类交易</w:t>
      </w:r>
      <w:r>
        <w:rPr>
          <w:rFonts w:ascii="宋体" w:hAnsi="宋体" w:cs="宋体" w:eastAsia="宋体" w:hint="default"/>
          <w:sz w:val="24"/>
          <w:szCs w:val="24"/>
        </w:rPr>
      </w:r>
    </w:p>
    <w:p>
      <w:pPr>
        <w:spacing w:line="240" w:lineRule="auto" w:before="9"/>
        <w:rPr>
          <w:rFonts w:ascii="宋体" w:hAnsi="宋体" w:cs="宋体" w:eastAsia="宋体" w:hint="default"/>
          <w:b/>
          <w:bCs/>
          <w:sz w:val="5"/>
          <w:szCs w:val="5"/>
        </w:rPr>
      </w:pPr>
    </w:p>
    <w:tbl>
      <w:tblPr>
        <w:tblW w:w="0" w:type="auto"/>
        <w:jc w:val="left"/>
        <w:tblInd w:w="116" w:type="dxa"/>
        <w:tblLayout w:type="fixed"/>
        <w:tblCellMar>
          <w:top w:w="0" w:type="dxa"/>
          <w:left w:w="0" w:type="dxa"/>
          <w:bottom w:w="0" w:type="dxa"/>
          <w:right w:w="0" w:type="dxa"/>
        </w:tblCellMar>
        <w:tblLook w:val="01E0"/>
      </w:tblPr>
      <w:tblGrid>
        <w:gridCol w:w="739"/>
        <w:gridCol w:w="2137"/>
        <w:gridCol w:w="1572"/>
        <w:gridCol w:w="1433"/>
        <w:gridCol w:w="1366"/>
        <w:gridCol w:w="2031"/>
      </w:tblGrid>
      <w:tr>
        <w:trPr>
          <w:trHeight w:val="624" w:hRule="exact"/>
        </w:trPr>
        <w:tc>
          <w:tcPr>
            <w:tcW w:w="739" w:type="dxa"/>
            <w:tcBorders>
              <w:top w:val="single" w:sz="12" w:space="0" w:color="000000"/>
              <w:left w:val="single" w:sz="12" w:space="0" w:color="000000"/>
              <w:bottom w:val="single" w:sz="6" w:space="0" w:color="000000"/>
              <w:right w:val="single" w:sz="6" w:space="0" w:color="000000"/>
            </w:tcBorders>
          </w:tcPr>
          <w:p>
            <w:pPr/>
          </w:p>
        </w:tc>
        <w:tc>
          <w:tcPr>
            <w:tcW w:w="2137"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before="20"/>
              <w:ind w:left="429" w:right="428" w:firstLine="208"/>
              <w:jc w:val="left"/>
              <w:rPr>
                <w:rFonts w:ascii="宋体" w:hAnsi="宋体" w:cs="宋体" w:eastAsia="宋体" w:hint="default"/>
                <w:sz w:val="21"/>
                <w:szCs w:val="21"/>
              </w:rPr>
            </w:pPr>
            <w:r>
              <w:rPr>
                <w:rFonts w:ascii="宋体" w:hAnsi="宋体" w:cs="宋体" w:eastAsia="宋体" w:hint="default"/>
                <w:b/>
                <w:bCs/>
                <w:sz w:val="21"/>
                <w:szCs w:val="21"/>
              </w:rPr>
              <w:t>交易事项</w:t>
            </w:r>
            <w:r>
              <w:rPr>
                <w:rFonts w:ascii="宋体" w:hAnsi="宋体" w:cs="宋体" w:eastAsia="宋体" w:hint="default"/>
                <w:b/>
                <w:bCs/>
                <w:w w:val="100"/>
                <w:sz w:val="21"/>
                <w:szCs w:val="21"/>
              </w:rPr>
              <w:t> </w:t>
            </w:r>
            <w:r>
              <w:rPr>
                <w:rFonts w:ascii="宋体" w:hAnsi="宋体" w:cs="宋体" w:eastAsia="宋体" w:hint="default"/>
                <w:sz w:val="21"/>
                <w:szCs w:val="21"/>
              </w:rPr>
              <w:t>(</w:t>
            </w:r>
            <w:r>
              <w:rPr>
                <w:rFonts w:ascii="宋体" w:hAnsi="宋体" w:cs="宋体" w:eastAsia="宋体" w:hint="default"/>
                <w:sz w:val="21"/>
                <w:szCs w:val="21"/>
              </w:rPr>
              <w:t>单位：万元</w:t>
            </w:r>
            <w:r>
              <w:rPr>
                <w:rFonts w:ascii="宋体" w:hAnsi="宋体" w:cs="宋体" w:eastAsia="宋体" w:hint="default"/>
                <w:sz w:val="21"/>
                <w:szCs w:val="21"/>
              </w:rPr>
              <w:t>)</w:t>
            </w:r>
          </w:p>
        </w:tc>
        <w:tc>
          <w:tcPr>
            <w:tcW w:w="1572"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before="36"/>
              <w:ind w:left="578" w:right="152" w:hanging="428"/>
              <w:jc w:val="left"/>
              <w:rPr>
                <w:rFonts w:ascii="宋体" w:hAnsi="宋体" w:cs="宋体" w:eastAsia="宋体" w:hint="default"/>
                <w:sz w:val="20"/>
                <w:szCs w:val="20"/>
              </w:rPr>
            </w:pPr>
            <w:r>
              <w:rPr>
                <w:rFonts w:ascii="Times New Roman" w:hAnsi="Times New Roman" w:cs="Times New Roman" w:eastAsia="Times New Roman" w:hint="default"/>
                <w:b/>
                <w:bCs/>
                <w:sz w:val="20"/>
                <w:szCs w:val="20"/>
              </w:rPr>
              <w:t>2015</w:t>
            </w:r>
            <w:r>
              <w:rPr>
                <w:rFonts w:ascii="Times New Roman" w:hAnsi="Times New Roman" w:cs="Times New Roman" w:eastAsia="Times New Roman" w:hint="default"/>
                <w:b/>
                <w:bCs/>
                <w:spacing w:val="-2"/>
                <w:sz w:val="20"/>
                <w:szCs w:val="20"/>
              </w:rPr>
              <w:t> </w:t>
            </w:r>
            <w:r>
              <w:rPr>
                <w:rFonts w:ascii="宋体" w:hAnsi="宋体" w:cs="宋体" w:eastAsia="宋体" w:hint="default"/>
                <w:b/>
                <w:bCs/>
                <w:sz w:val="20"/>
                <w:szCs w:val="20"/>
              </w:rPr>
              <w:t>年实际发</w:t>
            </w:r>
            <w:r>
              <w:rPr>
                <w:rFonts w:ascii="宋体" w:hAnsi="宋体" w:cs="宋体" w:eastAsia="宋体" w:hint="default"/>
                <w:b/>
                <w:bCs/>
                <w:w w:val="99"/>
                <w:sz w:val="20"/>
                <w:szCs w:val="20"/>
              </w:rPr>
              <w:t> </w:t>
            </w:r>
            <w:r>
              <w:rPr>
                <w:rFonts w:ascii="宋体" w:hAnsi="宋体" w:cs="宋体" w:eastAsia="宋体" w:hint="default"/>
                <w:b/>
                <w:bCs/>
                <w:sz w:val="20"/>
                <w:szCs w:val="20"/>
              </w:rPr>
              <w:t>生额</w:t>
            </w:r>
            <w:r>
              <w:rPr>
                <w:rFonts w:ascii="宋体" w:hAnsi="宋体" w:cs="宋体" w:eastAsia="宋体" w:hint="default"/>
                <w:sz w:val="20"/>
                <w:szCs w:val="20"/>
              </w:rPr>
            </w:r>
          </w:p>
        </w:tc>
        <w:tc>
          <w:tcPr>
            <w:tcW w:w="1433"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before="36"/>
              <w:ind w:left="407" w:right="179" w:hanging="226"/>
              <w:jc w:val="left"/>
              <w:rPr>
                <w:rFonts w:ascii="宋体" w:hAnsi="宋体" w:cs="宋体" w:eastAsia="宋体" w:hint="default"/>
                <w:sz w:val="20"/>
                <w:szCs w:val="20"/>
              </w:rPr>
            </w:pPr>
            <w:r>
              <w:rPr>
                <w:rFonts w:ascii="Times New Roman" w:hAnsi="Times New Roman" w:cs="Times New Roman" w:eastAsia="Times New Roman" w:hint="default"/>
                <w:b/>
                <w:bCs/>
                <w:sz w:val="20"/>
                <w:szCs w:val="20"/>
              </w:rPr>
              <w:t>2015</w:t>
            </w:r>
            <w:r>
              <w:rPr>
                <w:rFonts w:ascii="Times New Roman" w:hAnsi="Times New Roman" w:cs="Times New Roman" w:eastAsia="Times New Roman" w:hint="default"/>
                <w:b/>
                <w:bCs/>
                <w:spacing w:val="-4"/>
                <w:sz w:val="20"/>
                <w:szCs w:val="20"/>
              </w:rPr>
              <w:t> </w:t>
            </w:r>
            <w:r>
              <w:rPr>
                <w:rFonts w:ascii="宋体" w:hAnsi="宋体" w:cs="宋体" w:eastAsia="宋体" w:hint="default"/>
                <w:b/>
                <w:bCs/>
                <w:spacing w:val="2"/>
                <w:sz w:val="20"/>
                <w:szCs w:val="20"/>
              </w:rPr>
              <w:t>年预计</w:t>
            </w:r>
            <w:r>
              <w:rPr>
                <w:rFonts w:ascii="宋体" w:hAnsi="宋体" w:cs="宋体" w:eastAsia="宋体" w:hint="default"/>
                <w:b/>
                <w:bCs/>
                <w:spacing w:val="2"/>
                <w:w w:val="99"/>
                <w:sz w:val="20"/>
                <w:szCs w:val="20"/>
              </w:rPr>
              <w:t> </w:t>
            </w:r>
            <w:r>
              <w:rPr>
                <w:rFonts w:ascii="宋体" w:hAnsi="宋体" w:cs="宋体" w:eastAsia="宋体" w:hint="default"/>
                <w:b/>
                <w:bCs/>
                <w:spacing w:val="2"/>
                <w:sz w:val="20"/>
                <w:szCs w:val="20"/>
              </w:rPr>
              <w:t>发生额</w:t>
            </w:r>
            <w:r>
              <w:rPr>
                <w:rFonts w:ascii="宋体" w:hAnsi="宋体" w:cs="宋体" w:eastAsia="宋体" w:hint="default"/>
                <w:sz w:val="20"/>
                <w:szCs w:val="20"/>
              </w:rPr>
            </w:r>
          </w:p>
        </w:tc>
        <w:tc>
          <w:tcPr>
            <w:tcW w:w="136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273" w:right="0"/>
              <w:jc w:val="left"/>
              <w:rPr>
                <w:rFonts w:ascii="宋体" w:hAnsi="宋体" w:cs="宋体" w:eastAsia="宋体" w:hint="default"/>
                <w:sz w:val="20"/>
                <w:szCs w:val="20"/>
              </w:rPr>
            </w:pPr>
            <w:r>
              <w:rPr>
                <w:rFonts w:ascii="宋体" w:hAnsi="宋体" w:cs="宋体" w:eastAsia="宋体" w:hint="default"/>
                <w:b/>
                <w:bCs/>
                <w:sz w:val="20"/>
                <w:szCs w:val="20"/>
              </w:rPr>
              <w:t>差异金额</w:t>
            </w:r>
            <w:r>
              <w:rPr>
                <w:rFonts w:ascii="宋体" w:hAnsi="宋体" w:cs="宋体" w:eastAsia="宋体" w:hint="default"/>
                <w:sz w:val="20"/>
                <w:szCs w:val="20"/>
              </w:rPr>
            </w:r>
          </w:p>
        </w:tc>
        <w:tc>
          <w:tcPr>
            <w:tcW w:w="2031"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1"/>
              <w:ind w:left="180" w:right="0"/>
              <w:jc w:val="left"/>
              <w:rPr>
                <w:rFonts w:ascii="宋体" w:hAnsi="宋体" w:cs="宋体" w:eastAsia="宋体" w:hint="default"/>
                <w:sz w:val="20"/>
                <w:szCs w:val="20"/>
              </w:rPr>
            </w:pPr>
            <w:r>
              <w:rPr>
                <w:rFonts w:ascii="Times New Roman" w:hAnsi="Times New Roman" w:cs="Times New Roman" w:eastAsia="Times New Roman" w:hint="default"/>
                <w:b/>
                <w:bCs/>
                <w:sz w:val="20"/>
                <w:szCs w:val="20"/>
              </w:rPr>
              <w:t>2014</w:t>
            </w:r>
            <w:r>
              <w:rPr>
                <w:rFonts w:ascii="Times New Roman" w:hAnsi="Times New Roman" w:cs="Times New Roman" w:eastAsia="Times New Roman" w:hint="default"/>
                <w:b/>
                <w:bCs/>
                <w:spacing w:val="-2"/>
                <w:sz w:val="20"/>
                <w:szCs w:val="20"/>
              </w:rPr>
              <w:t> </w:t>
            </w:r>
            <w:r>
              <w:rPr>
                <w:rFonts w:ascii="宋体" w:hAnsi="宋体" w:cs="宋体" w:eastAsia="宋体" w:hint="default"/>
                <w:b/>
                <w:bCs/>
                <w:sz w:val="20"/>
                <w:szCs w:val="20"/>
              </w:rPr>
              <w:t>年实际发生额</w:t>
            </w:r>
            <w:r>
              <w:rPr>
                <w:rFonts w:ascii="宋体" w:hAnsi="宋体" w:cs="宋体" w:eastAsia="宋体" w:hint="default"/>
                <w:sz w:val="20"/>
                <w:szCs w:val="20"/>
              </w:rPr>
            </w:r>
          </w:p>
        </w:tc>
      </w:tr>
      <w:tr>
        <w:trPr>
          <w:trHeight w:val="314" w:hRule="exact"/>
        </w:trPr>
        <w:tc>
          <w:tcPr>
            <w:tcW w:w="739" w:type="dxa"/>
            <w:tcBorders>
              <w:top w:val="single" w:sz="6" w:space="0" w:color="000000"/>
              <w:left w:val="single" w:sz="12" w:space="0" w:color="000000"/>
              <w:bottom w:val="single" w:sz="6" w:space="0" w:color="000000"/>
              <w:right w:val="single" w:sz="6" w:space="0" w:color="000000"/>
            </w:tcBorders>
          </w:tcPr>
          <w:p>
            <w:pPr>
              <w:pStyle w:val="TableParagraph"/>
              <w:spacing w:line="255" w:lineRule="exact"/>
              <w:ind w:right="96"/>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w:t>
            </w:r>
          </w:p>
        </w:tc>
        <w:tc>
          <w:tcPr>
            <w:tcW w:w="2137" w:type="dxa"/>
            <w:tcBorders>
              <w:top w:val="single" w:sz="6" w:space="0" w:color="000000"/>
              <w:left w:val="single" w:sz="6" w:space="0" w:color="000000"/>
              <w:bottom w:val="single" w:sz="6" w:space="0" w:color="000000"/>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z w:val="21"/>
                <w:szCs w:val="21"/>
              </w:rPr>
              <w:t>销售商品、提供劳务</w:t>
            </w:r>
          </w:p>
        </w:tc>
        <w:tc>
          <w:tcPr>
            <w:tcW w:w="15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right="98"/>
              <w:jc w:val="right"/>
              <w:rPr>
                <w:rFonts w:ascii="Times New Roman" w:hAnsi="Times New Roman" w:cs="Times New Roman" w:eastAsia="Times New Roman" w:hint="default"/>
                <w:sz w:val="20"/>
                <w:szCs w:val="20"/>
              </w:rPr>
            </w:pPr>
            <w:r>
              <w:rPr>
                <w:rFonts w:ascii="Times New Roman"/>
                <w:w w:val="95"/>
                <w:sz w:val="20"/>
              </w:rPr>
              <w:t>5,960.10</w:t>
            </w:r>
            <w:r>
              <w:rPr>
                <w:rFonts w:ascii="Times New Roman"/>
                <w:sz w:val="20"/>
              </w:rPr>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right="98"/>
              <w:jc w:val="right"/>
              <w:rPr>
                <w:rFonts w:ascii="Times New Roman" w:hAnsi="Times New Roman" w:cs="Times New Roman" w:eastAsia="Times New Roman" w:hint="default"/>
                <w:sz w:val="20"/>
                <w:szCs w:val="20"/>
              </w:rPr>
            </w:pPr>
            <w:r>
              <w:rPr>
                <w:rFonts w:ascii="Times New Roman"/>
                <w:w w:val="95"/>
                <w:sz w:val="20"/>
              </w:rPr>
              <w:t>3,000.00</w:t>
            </w:r>
            <w:r>
              <w:rPr>
                <w:rFonts w:ascii="Times New Roman"/>
                <w:sz w:val="20"/>
              </w:rPr>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right="98"/>
              <w:jc w:val="right"/>
              <w:rPr>
                <w:rFonts w:ascii="Times New Roman" w:hAnsi="Times New Roman" w:cs="Times New Roman" w:eastAsia="Times New Roman" w:hint="default"/>
                <w:sz w:val="20"/>
                <w:szCs w:val="20"/>
              </w:rPr>
            </w:pPr>
            <w:r>
              <w:rPr>
                <w:rFonts w:ascii="Times New Roman"/>
                <w:w w:val="95"/>
                <w:sz w:val="20"/>
              </w:rPr>
              <w:t>2,960.10</w:t>
            </w:r>
            <w:r>
              <w:rPr>
                <w:rFonts w:ascii="Times New Roman"/>
                <w:sz w:val="20"/>
              </w:rPr>
            </w:r>
          </w:p>
        </w:tc>
        <w:tc>
          <w:tcPr>
            <w:tcW w:w="20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9"/>
              <w:ind w:right="91"/>
              <w:jc w:val="right"/>
              <w:rPr>
                <w:rFonts w:ascii="Times New Roman" w:hAnsi="Times New Roman" w:cs="Times New Roman" w:eastAsia="Times New Roman" w:hint="default"/>
                <w:sz w:val="20"/>
                <w:szCs w:val="20"/>
              </w:rPr>
            </w:pPr>
            <w:r>
              <w:rPr>
                <w:rFonts w:ascii="Times New Roman"/>
                <w:w w:val="95"/>
                <w:sz w:val="20"/>
              </w:rPr>
              <w:t>2,783.91</w:t>
            </w:r>
            <w:r>
              <w:rPr>
                <w:rFonts w:ascii="Times New Roman"/>
                <w:sz w:val="20"/>
              </w:rPr>
            </w:r>
          </w:p>
        </w:tc>
      </w:tr>
      <w:tr>
        <w:trPr>
          <w:trHeight w:val="314" w:hRule="exact"/>
        </w:trPr>
        <w:tc>
          <w:tcPr>
            <w:tcW w:w="739" w:type="dxa"/>
            <w:tcBorders>
              <w:top w:val="single" w:sz="6" w:space="0" w:color="000000"/>
              <w:left w:val="single" w:sz="12" w:space="0" w:color="000000"/>
              <w:bottom w:val="single" w:sz="6" w:space="0" w:color="000000"/>
              <w:right w:val="single" w:sz="6" w:space="0" w:color="000000"/>
            </w:tcBorders>
          </w:tcPr>
          <w:p>
            <w:pPr>
              <w:pStyle w:val="TableParagraph"/>
              <w:spacing w:line="255" w:lineRule="exact"/>
              <w:ind w:right="96"/>
              <w:jc w:val="righ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w:t>
            </w:r>
          </w:p>
        </w:tc>
        <w:tc>
          <w:tcPr>
            <w:tcW w:w="2137" w:type="dxa"/>
            <w:tcBorders>
              <w:top w:val="single" w:sz="6" w:space="0" w:color="000000"/>
              <w:left w:val="single" w:sz="6" w:space="0" w:color="000000"/>
              <w:bottom w:val="single" w:sz="6" w:space="0" w:color="000000"/>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z w:val="21"/>
                <w:szCs w:val="21"/>
              </w:rPr>
              <w:t>购买商品、接受劳务</w:t>
            </w:r>
          </w:p>
        </w:tc>
        <w:tc>
          <w:tcPr>
            <w:tcW w:w="15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right="101"/>
              <w:jc w:val="right"/>
              <w:rPr>
                <w:rFonts w:ascii="Times New Roman" w:hAnsi="Times New Roman" w:cs="Times New Roman" w:eastAsia="Times New Roman" w:hint="default"/>
                <w:sz w:val="20"/>
                <w:szCs w:val="20"/>
              </w:rPr>
            </w:pPr>
            <w:r>
              <w:rPr>
                <w:rFonts w:ascii="Times New Roman"/>
                <w:w w:val="95"/>
                <w:sz w:val="20"/>
              </w:rPr>
              <w:t>19,070.69</w:t>
            </w:r>
            <w:r>
              <w:rPr>
                <w:rFonts w:ascii="Times New Roman"/>
                <w:sz w:val="20"/>
              </w:rPr>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right="101"/>
              <w:jc w:val="right"/>
              <w:rPr>
                <w:rFonts w:ascii="Times New Roman" w:hAnsi="Times New Roman" w:cs="Times New Roman" w:eastAsia="Times New Roman" w:hint="default"/>
                <w:sz w:val="20"/>
                <w:szCs w:val="20"/>
              </w:rPr>
            </w:pPr>
            <w:r>
              <w:rPr>
                <w:rFonts w:ascii="Times New Roman"/>
                <w:w w:val="95"/>
                <w:sz w:val="20"/>
              </w:rPr>
              <w:t>20,000.00</w:t>
            </w:r>
            <w:r>
              <w:rPr>
                <w:rFonts w:ascii="Times New Roman"/>
                <w:sz w:val="20"/>
              </w:rPr>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right="101"/>
              <w:jc w:val="right"/>
              <w:rPr>
                <w:rFonts w:ascii="Times New Roman" w:hAnsi="Times New Roman" w:cs="Times New Roman" w:eastAsia="Times New Roman" w:hint="default"/>
                <w:sz w:val="20"/>
                <w:szCs w:val="20"/>
              </w:rPr>
            </w:pPr>
            <w:r>
              <w:rPr>
                <w:rFonts w:ascii="Times New Roman"/>
                <w:w w:val="95"/>
                <w:sz w:val="20"/>
              </w:rPr>
              <w:t>-929.31</w:t>
            </w:r>
            <w:r>
              <w:rPr>
                <w:rFonts w:ascii="Times New Roman"/>
                <w:sz w:val="20"/>
              </w:rPr>
            </w:r>
          </w:p>
        </w:tc>
        <w:tc>
          <w:tcPr>
            <w:tcW w:w="20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9"/>
              <w:ind w:right="94"/>
              <w:jc w:val="right"/>
              <w:rPr>
                <w:rFonts w:ascii="Times New Roman" w:hAnsi="Times New Roman" w:cs="Times New Roman" w:eastAsia="Times New Roman" w:hint="default"/>
                <w:sz w:val="20"/>
                <w:szCs w:val="20"/>
              </w:rPr>
            </w:pPr>
            <w:r>
              <w:rPr>
                <w:rFonts w:ascii="Times New Roman"/>
                <w:w w:val="95"/>
                <w:sz w:val="20"/>
              </w:rPr>
              <w:t>13,358.85</w:t>
            </w:r>
            <w:r>
              <w:rPr>
                <w:rFonts w:ascii="Times New Roman"/>
                <w:sz w:val="20"/>
              </w:rPr>
            </w:r>
          </w:p>
        </w:tc>
      </w:tr>
      <w:tr>
        <w:trPr>
          <w:trHeight w:val="317" w:hRule="exact"/>
        </w:trPr>
        <w:tc>
          <w:tcPr>
            <w:tcW w:w="739" w:type="dxa"/>
            <w:tcBorders>
              <w:top w:val="single" w:sz="6" w:space="0" w:color="000000"/>
              <w:left w:val="single" w:sz="12" w:space="0" w:color="000000"/>
              <w:bottom w:val="single" w:sz="6" w:space="0" w:color="000000"/>
              <w:right w:val="single" w:sz="6" w:space="0" w:color="000000"/>
            </w:tcBorders>
          </w:tcPr>
          <w:p>
            <w:pPr>
              <w:pStyle w:val="TableParagraph"/>
              <w:spacing w:line="255" w:lineRule="exact"/>
              <w:ind w:right="96"/>
              <w:jc w:val="righ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w:t>
            </w:r>
          </w:p>
        </w:tc>
        <w:tc>
          <w:tcPr>
            <w:tcW w:w="2137" w:type="dxa"/>
            <w:tcBorders>
              <w:top w:val="single" w:sz="6" w:space="0" w:color="000000"/>
              <w:left w:val="single" w:sz="6" w:space="0" w:color="000000"/>
              <w:bottom w:val="single" w:sz="6" w:space="0" w:color="000000"/>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z w:val="21"/>
                <w:szCs w:val="21"/>
              </w:rPr>
              <w:t>支付许可授权费</w:t>
            </w:r>
          </w:p>
        </w:tc>
        <w:tc>
          <w:tcPr>
            <w:tcW w:w="15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right="98"/>
              <w:jc w:val="right"/>
              <w:rPr>
                <w:rFonts w:ascii="Times New Roman" w:hAnsi="Times New Roman" w:cs="Times New Roman" w:eastAsia="Times New Roman" w:hint="default"/>
                <w:sz w:val="20"/>
                <w:szCs w:val="20"/>
              </w:rPr>
            </w:pPr>
            <w:r>
              <w:rPr>
                <w:rFonts w:ascii="Times New Roman"/>
                <w:w w:val="95"/>
                <w:sz w:val="20"/>
              </w:rPr>
              <w:t>5,126.89</w:t>
            </w:r>
            <w:r>
              <w:rPr>
                <w:rFonts w:ascii="Times New Roman"/>
                <w:sz w:val="20"/>
              </w:rPr>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right="101"/>
              <w:jc w:val="right"/>
              <w:rPr>
                <w:rFonts w:ascii="Times New Roman" w:hAnsi="Times New Roman" w:cs="Times New Roman" w:eastAsia="Times New Roman" w:hint="default"/>
                <w:sz w:val="20"/>
                <w:szCs w:val="20"/>
              </w:rPr>
            </w:pPr>
            <w:r>
              <w:rPr>
                <w:rFonts w:ascii="Times New Roman"/>
                <w:w w:val="95"/>
                <w:sz w:val="20"/>
              </w:rPr>
              <w:t>10,000.00</w:t>
            </w:r>
            <w:r>
              <w:rPr>
                <w:rFonts w:ascii="Times New Roman"/>
                <w:sz w:val="20"/>
              </w:rPr>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right="101"/>
              <w:jc w:val="right"/>
              <w:rPr>
                <w:rFonts w:ascii="Times New Roman" w:hAnsi="Times New Roman" w:cs="Times New Roman" w:eastAsia="Times New Roman" w:hint="default"/>
                <w:sz w:val="20"/>
                <w:szCs w:val="20"/>
              </w:rPr>
            </w:pPr>
            <w:r>
              <w:rPr>
                <w:rFonts w:ascii="Times New Roman"/>
                <w:spacing w:val="-1"/>
                <w:w w:val="95"/>
                <w:sz w:val="20"/>
              </w:rPr>
              <w:t>-4,873.11</w:t>
            </w:r>
            <w:r>
              <w:rPr>
                <w:rFonts w:ascii="Times New Roman"/>
                <w:spacing w:val="-1"/>
                <w:sz w:val="20"/>
              </w:rPr>
            </w:r>
          </w:p>
        </w:tc>
        <w:tc>
          <w:tcPr>
            <w:tcW w:w="20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9"/>
              <w:ind w:right="91"/>
              <w:jc w:val="right"/>
              <w:rPr>
                <w:rFonts w:ascii="Times New Roman" w:hAnsi="Times New Roman" w:cs="Times New Roman" w:eastAsia="Times New Roman" w:hint="default"/>
                <w:sz w:val="20"/>
                <w:szCs w:val="20"/>
              </w:rPr>
            </w:pPr>
            <w:r>
              <w:rPr>
                <w:rFonts w:ascii="Times New Roman"/>
                <w:w w:val="95"/>
                <w:sz w:val="20"/>
              </w:rPr>
              <w:t>7,990.57</w:t>
            </w:r>
            <w:r>
              <w:rPr>
                <w:rFonts w:ascii="Times New Roman"/>
                <w:sz w:val="20"/>
              </w:rPr>
            </w:r>
          </w:p>
        </w:tc>
      </w:tr>
      <w:tr>
        <w:trPr>
          <w:trHeight w:val="322" w:hRule="exact"/>
        </w:trPr>
        <w:tc>
          <w:tcPr>
            <w:tcW w:w="2876" w:type="dxa"/>
            <w:gridSpan w:val="2"/>
            <w:tcBorders>
              <w:top w:val="single" w:sz="6" w:space="0" w:color="000000"/>
              <w:left w:val="single" w:sz="12" w:space="0" w:color="000000"/>
              <w:bottom w:val="single" w:sz="12" w:space="0" w:color="000000"/>
              <w:right w:val="single" w:sz="6" w:space="0" w:color="000000"/>
            </w:tcBorders>
          </w:tcPr>
          <w:p>
            <w:pPr>
              <w:pStyle w:val="TableParagraph"/>
              <w:spacing w:line="256"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发生额合计</w:t>
            </w:r>
            <w:r>
              <w:rPr>
                <w:rFonts w:ascii="宋体" w:hAnsi="宋体" w:cs="宋体" w:eastAsia="宋体" w:hint="default"/>
                <w:sz w:val="21"/>
                <w:szCs w:val="21"/>
              </w:rPr>
            </w:r>
          </w:p>
        </w:tc>
        <w:tc>
          <w:tcPr>
            <w:tcW w:w="157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right="101"/>
              <w:jc w:val="right"/>
              <w:rPr>
                <w:rFonts w:ascii="Times New Roman" w:hAnsi="Times New Roman" w:cs="Times New Roman" w:eastAsia="Times New Roman" w:hint="default"/>
                <w:sz w:val="20"/>
                <w:szCs w:val="20"/>
              </w:rPr>
            </w:pPr>
            <w:r>
              <w:rPr>
                <w:rFonts w:ascii="Times New Roman"/>
                <w:b/>
                <w:w w:val="95"/>
                <w:sz w:val="20"/>
              </w:rPr>
              <w:t>30,157.67</w:t>
            </w:r>
            <w:r>
              <w:rPr>
                <w:rFonts w:ascii="Times New Roman"/>
                <w:sz w:val="20"/>
              </w:rPr>
            </w:r>
          </w:p>
        </w:tc>
        <w:tc>
          <w:tcPr>
            <w:tcW w:w="14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right="101"/>
              <w:jc w:val="right"/>
              <w:rPr>
                <w:rFonts w:ascii="Times New Roman" w:hAnsi="Times New Roman" w:cs="Times New Roman" w:eastAsia="Times New Roman" w:hint="default"/>
                <w:sz w:val="20"/>
                <w:szCs w:val="20"/>
              </w:rPr>
            </w:pPr>
            <w:r>
              <w:rPr>
                <w:rFonts w:ascii="Times New Roman"/>
                <w:b/>
                <w:w w:val="95"/>
                <w:sz w:val="20"/>
              </w:rPr>
              <w:t>33,000.00</w:t>
            </w:r>
            <w:r>
              <w:rPr>
                <w:rFonts w:ascii="Times New Roman"/>
                <w:sz w:val="20"/>
              </w:rPr>
            </w:r>
          </w:p>
        </w:tc>
        <w:tc>
          <w:tcPr>
            <w:tcW w:w="136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right="101"/>
              <w:jc w:val="right"/>
              <w:rPr>
                <w:rFonts w:ascii="Times New Roman" w:hAnsi="Times New Roman" w:cs="Times New Roman" w:eastAsia="Times New Roman" w:hint="default"/>
                <w:sz w:val="20"/>
                <w:szCs w:val="20"/>
              </w:rPr>
            </w:pPr>
            <w:r>
              <w:rPr>
                <w:rFonts w:ascii="Times New Roman"/>
                <w:b/>
                <w:spacing w:val="-1"/>
                <w:sz w:val="20"/>
              </w:rPr>
              <w:t>-2,842.33</w:t>
            </w:r>
            <w:r>
              <w:rPr>
                <w:rFonts w:ascii="Times New Roman"/>
                <w:spacing w:val="-1"/>
                <w:sz w:val="20"/>
              </w:rPr>
            </w:r>
          </w:p>
        </w:tc>
        <w:tc>
          <w:tcPr>
            <w:tcW w:w="203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2"/>
              <w:ind w:right="94"/>
              <w:jc w:val="right"/>
              <w:rPr>
                <w:rFonts w:ascii="Times New Roman" w:hAnsi="Times New Roman" w:cs="Times New Roman" w:eastAsia="Times New Roman" w:hint="default"/>
                <w:sz w:val="20"/>
                <w:szCs w:val="20"/>
              </w:rPr>
            </w:pPr>
            <w:r>
              <w:rPr>
                <w:rFonts w:ascii="Times New Roman"/>
                <w:b/>
                <w:w w:val="95"/>
                <w:sz w:val="20"/>
              </w:rPr>
              <w:t>24,133.33</w:t>
            </w:r>
            <w:r>
              <w:rPr>
                <w:rFonts w:ascii="Times New Roman"/>
                <w:sz w:val="20"/>
              </w:rPr>
            </w:r>
          </w:p>
        </w:tc>
      </w:tr>
    </w:tbl>
    <w:p>
      <w:pPr>
        <w:spacing w:line="240" w:lineRule="auto" w:before="0"/>
        <w:rPr>
          <w:rFonts w:ascii="宋体" w:hAnsi="宋体" w:cs="宋体" w:eastAsia="宋体" w:hint="default"/>
          <w:b/>
          <w:bCs/>
          <w:sz w:val="16"/>
          <w:szCs w:val="16"/>
        </w:rPr>
      </w:pPr>
    </w:p>
    <w:p>
      <w:pPr>
        <w:pStyle w:val="BodyText"/>
        <w:spacing w:line="312" w:lineRule="exact" w:before="56"/>
        <w:ind w:left="238" w:right="259" w:firstLine="480"/>
        <w:jc w:val="both"/>
      </w:pPr>
      <w:r>
        <w:rPr/>
        <w:t>本年度，公司对清华大学、清华控股和其他关联方销售商品、提供劳务的实际发生</w:t>
      </w:r>
      <w:r>
        <w:rPr>
          <w:spacing w:val="2"/>
        </w:rPr>
        <w:t> </w:t>
      </w:r>
      <w:r>
        <w:rPr/>
        <w:t>额超出了预计发生额，主要系因为公司下属计算机产品向关联方销售增加所致。</w:t>
      </w:r>
      <w:r>
        <w:rPr>
          <w:rFonts w:ascii="Times New Roman" w:hAnsi="Times New Roman" w:cs="Times New Roman" w:eastAsia="Times New Roman" w:hint="default"/>
        </w:rPr>
        <w:t>2015</w:t>
      </w:r>
      <w:r>
        <w:rPr>
          <w:rFonts w:ascii="Times New Roman" w:hAnsi="Times New Roman" w:cs="Times New Roman" w:eastAsia="Times New Roman" w:hint="default"/>
          <w:spacing w:val="21"/>
        </w:rPr>
        <w:t> </w:t>
      </w:r>
      <w:r>
        <w:rPr/>
        <w:t>年 度日常经营类交易实际发生额总金额未超出预计发生额总金额。</w:t>
      </w:r>
    </w:p>
    <w:p>
      <w:pPr>
        <w:spacing w:line="240" w:lineRule="auto" w:before="12"/>
        <w:rPr>
          <w:rFonts w:ascii="宋体" w:hAnsi="宋体" w:cs="宋体" w:eastAsia="宋体" w:hint="default"/>
          <w:sz w:val="20"/>
          <w:szCs w:val="20"/>
        </w:rPr>
      </w:pPr>
    </w:p>
    <w:p>
      <w:pPr>
        <w:pStyle w:val="Heading3"/>
        <w:spacing w:line="312" w:lineRule="exact"/>
        <w:ind w:left="238" w:right="207"/>
        <w:jc w:val="left"/>
        <w:rPr>
          <w:b w:val="0"/>
          <w:bCs w:val="0"/>
        </w:rPr>
      </w:pPr>
      <w:r>
        <w:rPr>
          <w:rFonts w:ascii="Times New Roman" w:hAnsi="Times New Roman" w:cs="Times New Roman" w:eastAsia="Times New Roman" w:hint="default"/>
          <w:w w:val="95"/>
          <w:sz w:val="21"/>
          <w:szCs w:val="21"/>
        </w:rPr>
        <w:t>2</w:t>
      </w:r>
      <w:r>
        <w:rPr>
          <w:w w:val="95"/>
          <w:sz w:val="21"/>
          <w:szCs w:val="21"/>
        </w:rPr>
        <w:t>、</w:t>
      </w:r>
      <w:r>
        <w:rPr>
          <w:w w:val="95"/>
        </w:rPr>
        <w:t>与清华控股及其控参股公司因债务性融资形成借款、偿还本金并支付利息等产生的日</w:t>
      </w:r>
      <w:r>
        <w:rPr>
          <w:spacing w:val="83"/>
          <w:w w:val="95"/>
        </w:rPr>
        <w:t> </w:t>
      </w:r>
      <w:r>
        <w:rPr>
          <w:spacing w:val="83"/>
          <w:w w:val="95"/>
        </w:rPr>
      </w:r>
      <w:r>
        <w:rPr/>
        <w:t>常交易</w:t>
      </w:r>
      <w:r>
        <w:rPr>
          <w:b w:val="0"/>
          <w:bCs w:val="0"/>
        </w:rPr>
      </w:r>
    </w:p>
    <w:p>
      <w:pPr>
        <w:spacing w:line="240" w:lineRule="auto" w:before="6"/>
        <w:rPr>
          <w:rFonts w:ascii="宋体" w:hAnsi="宋体" w:cs="宋体" w:eastAsia="宋体" w:hint="default"/>
          <w:b/>
          <w:bCs/>
          <w:sz w:val="21"/>
          <w:szCs w:val="21"/>
        </w:rPr>
      </w:pPr>
    </w:p>
    <w:tbl>
      <w:tblPr>
        <w:tblW w:w="0" w:type="auto"/>
        <w:jc w:val="left"/>
        <w:tblInd w:w="116" w:type="dxa"/>
        <w:tblLayout w:type="fixed"/>
        <w:tblCellMar>
          <w:top w:w="0" w:type="dxa"/>
          <w:left w:w="0" w:type="dxa"/>
          <w:bottom w:w="0" w:type="dxa"/>
          <w:right w:w="0" w:type="dxa"/>
        </w:tblCellMar>
        <w:tblLook w:val="01E0"/>
      </w:tblPr>
      <w:tblGrid>
        <w:gridCol w:w="523"/>
        <w:gridCol w:w="2895"/>
        <w:gridCol w:w="1582"/>
        <w:gridCol w:w="1503"/>
        <w:gridCol w:w="1034"/>
        <w:gridCol w:w="1894"/>
      </w:tblGrid>
      <w:tr>
        <w:trPr>
          <w:trHeight w:val="574" w:hRule="exact"/>
        </w:trPr>
        <w:tc>
          <w:tcPr>
            <w:tcW w:w="523" w:type="dxa"/>
            <w:tcBorders>
              <w:top w:val="single" w:sz="12" w:space="0" w:color="000000"/>
              <w:left w:val="single" w:sz="12" w:space="0" w:color="000000"/>
              <w:bottom w:val="single" w:sz="6" w:space="0" w:color="000000"/>
              <w:right w:val="single" w:sz="6" w:space="0" w:color="000000"/>
            </w:tcBorders>
          </w:tcPr>
          <w:p>
            <w:pPr/>
          </w:p>
        </w:tc>
        <w:tc>
          <w:tcPr>
            <w:tcW w:w="2895"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before="10"/>
              <w:ind w:left="837" w:right="837" w:firstLine="199"/>
              <w:jc w:val="left"/>
              <w:rPr>
                <w:rFonts w:ascii="宋体" w:hAnsi="宋体" w:cs="宋体" w:eastAsia="宋体" w:hint="default"/>
                <w:sz w:val="20"/>
                <w:szCs w:val="20"/>
              </w:rPr>
            </w:pPr>
            <w:r>
              <w:rPr>
                <w:rFonts w:ascii="宋体" w:hAnsi="宋体" w:cs="宋体" w:eastAsia="宋体" w:hint="default"/>
                <w:b/>
                <w:bCs/>
                <w:sz w:val="20"/>
                <w:szCs w:val="20"/>
              </w:rPr>
              <w:t>交易事项</w:t>
            </w:r>
            <w:r>
              <w:rPr>
                <w:rFonts w:ascii="宋体" w:hAnsi="宋体" w:cs="宋体" w:eastAsia="宋体" w:hint="default"/>
                <w:b/>
                <w:bCs/>
                <w:spacing w:val="2"/>
                <w:w w:val="99"/>
                <w:sz w:val="20"/>
                <w:szCs w:val="20"/>
              </w:rPr>
              <w:t> </w:t>
            </w:r>
            <w:r>
              <w:rPr>
                <w:rFonts w:ascii="宋体" w:hAnsi="宋体" w:cs="宋体" w:eastAsia="宋体" w:hint="default"/>
                <w:b/>
                <w:bCs/>
                <w:sz w:val="20"/>
                <w:szCs w:val="20"/>
              </w:rPr>
              <w:t>(</w:t>
            </w:r>
            <w:r>
              <w:rPr>
                <w:rFonts w:ascii="宋体" w:hAnsi="宋体" w:cs="宋体" w:eastAsia="宋体" w:hint="default"/>
                <w:b/>
                <w:bCs/>
                <w:sz w:val="20"/>
                <w:szCs w:val="20"/>
              </w:rPr>
              <w:t>单位：万元</w:t>
            </w:r>
            <w:r>
              <w:rPr>
                <w:rFonts w:ascii="宋体" w:hAnsi="宋体" w:cs="宋体" w:eastAsia="宋体" w:hint="default"/>
                <w:b/>
                <w:bCs/>
                <w:sz w:val="20"/>
                <w:szCs w:val="20"/>
              </w:rPr>
              <w:t>)</w:t>
            </w:r>
            <w:r>
              <w:rPr>
                <w:rFonts w:ascii="宋体" w:hAnsi="宋体" w:cs="宋体" w:eastAsia="宋体" w:hint="default"/>
                <w:sz w:val="20"/>
                <w:szCs w:val="20"/>
              </w:rPr>
            </w:r>
          </w:p>
        </w:tc>
        <w:tc>
          <w:tcPr>
            <w:tcW w:w="1582"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before="10"/>
              <w:ind w:left="583" w:right="156" w:hanging="428"/>
              <w:jc w:val="left"/>
              <w:rPr>
                <w:rFonts w:ascii="宋体" w:hAnsi="宋体" w:cs="宋体" w:eastAsia="宋体" w:hint="default"/>
                <w:sz w:val="20"/>
                <w:szCs w:val="20"/>
              </w:rPr>
            </w:pPr>
            <w:r>
              <w:rPr>
                <w:rFonts w:ascii="Times New Roman" w:hAnsi="Times New Roman" w:cs="Times New Roman" w:eastAsia="Times New Roman" w:hint="default"/>
                <w:b/>
                <w:bCs/>
                <w:sz w:val="20"/>
                <w:szCs w:val="20"/>
              </w:rPr>
              <w:t>2015</w:t>
            </w:r>
            <w:r>
              <w:rPr>
                <w:rFonts w:ascii="Times New Roman" w:hAnsi="Times New Roman" w:cs="Times New Roman" w:eastAsia="Times New Roman" w:hint="default"/>
                <w:b/>
                <w:bCs/>
                <w:spacing w:val="-2"/>
                <w:sz w:val="20"/>
                <w:szCs w:val="20"/>
              </w:rPr>
              <w:t> </w:t>
            </w:r>
            <w:r>
              <w:rPr>
                <w:rFonts w:ascii="宋体" w:hAnsi="宋体" w:cs="宋体" w:eastAsia="宋体" w:hint="default"/>
                <w:b/>
                <w:bCs/>
                <w:sz w:val="20"/>
                <w:szCs w:val="20"/>
              </w:rPr>
              <w:t>年实际发</w:t>
            </w:r>
            <w:r>
              <w:rPr>
                <w:rFonts w:ascii="宋体" w:hAnsi="宋体" w:cs="宋体" w:eastAsia="宋体" w:hint="default"/>
                <w:b/>
                <w:bCs/>
                <w:w w:val="99"/>
                <w:sz w:val="20"/>
                <w:szCs w:val="20"/>
              </w:rPr>
              <w:t> </w:t>
            </w:r>
            <w:r>
              <w:rPr>
                <w:rFonts w:ascii="宋体" w:hAnsi="宋体" w:cs="宋体" w:eastAsia="宋体" w:hint="default"/>
                <w:b/>
                <w:bCs/>
                <w:sz w:val="20"/>
                <w:szCs w:val="20"/>
              </w:rPr>
              <w:t>生额</w:t>
            </w:r>
            <w:r>
              <w:rPr>
                <w:rFonts w:ascii="宋体" w:hAnsi="宋体" w:cs="宋体" w:eastAsia="宋体" w:hint="default"/>
                <w:sz w:val="20"/>
                <w:szCs w:val="20"/>
              </w:rPr>
            </w:r>
          </w:p>
        </w:tc>
        <w:tc>
          <w:tcPr>
            <w:tcW w:w="1503"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before="10"/>
              <w:ind w:left="540" w:right="118" w:hanging="425"/>
              <w:jc w:val="left"/>
              <w:rPr>
                <w:rFonts w:ascii="宋体" w:hAnsi="宋体" w:cs="宋体" w:eastAsia="宋体" w:hint="default"/>
                <w:sz w:val="20"/>
                <w:szCs w:val="20"/>
              </w:rPr>
            </w:pPr>
            <w:r>
              <w:rPr>
                <w:rFonts w:ascii="Times New Roman" w:hAnsi="Times New Roman" w:cs="Times New Roman" w:eastAsia="Times New Roman" w:hint="default"/>
                <w:b/>
                <w:bCs/>
                <w:sz w:val="20"/>
                <w:szCs w:val="20"/>
              </w:rPr>
              <w:t>2015</w:t>
            </w:r>
            <w:r>
              <w:rPr>
                <w:rFonts w:ascii="Times New Roman" w:hAnsi="Times New Roman" w:cs="Times New Roman" w:eastAsia="Times New Roman" w:hint="default"/>
                <w:b/>
                <w:bCs/>
                <w:spacing w:val="-2"/>
                <w:sz w:val="20"/>
                <w:szCs w:val="20"/>
              </w:rPr>
              <w:t> </w:t>
            </w:r>
            <w:r>
              <w:rPr>
                <w:rFonts w:ascii="宋体" w:hAnsi="宋体" w:cs="宋体" w:eastAsia="宋体" w:hint="default"/>
                <w:b/>
                <w:bCs/>
                <w:sz w:val="20"/>
                <w:szCs w:val="20"/>
              </w:rPr>
              <w:t>年预计发</w:t>
            </w:r>
            <w:r>
              <w:rPr>
                <w:rFonts w:ascii="宋体" w:hAnsi="宋体" w:cs="宋体" w:eastAsia="宋体" w:hint="default"/>
                <w:b/>
                <w:bCs/>
                <w:w w:val="99"/>
                <w:sz w:val="20"/>
                <w:szCs w:val="20"/>
              </w:rPr>
              <w:t> </w:t>
            </w:r>
            <w:r>
              <w:rPr>
                <w:rFonts w:ascii="宋体" w:hAnsi="宋体" w:cs="宋体" w:eastAsia="宋体" w:hint="default"/>
                <w:b/>
                <w:bCs/>
                <w:sz w:val="20"/>
                <w:szCs w:val="20"/>
              </w:rPr>
              <w:t>生额</w:t>
            </w:r>
            <w:r>
              <w:rPr>
                <w:rFonts w:ascii="宋体" w:hAnsi="宋体" w:cs="宋体" w:eastAsia="宋体" w:hint="default"/>
                <w:sz w:val="20"/>
                <w:szCs w:val="20"/>
              </w:rPr>
            </w:r>
          </w:p>
        </w:tc>
        <w:tc>
          <w:tcPr>
            <w:tcW w:w="103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4"/>
              <w:ind w:right="103"/>
              <w:jc w:val="right"/>
              <w:rPr>
                <w:rFonts w:ascii="宋体" w:hAnsi="宋体" w:cs="宋体" w:eastAsia="宋体" w:hint="default"/>
                <w:sz w:val="20"/>
                <w:szCs w:val="20"/>
              </w:rPr>
            </w:pPr>
            <w:r>
              <w:rPr>
                <w:rFonts w:ascii="宋体" w:hAnsi="宋体" w:cs="宋体" w:eastAsia="宋体" w:hint="default"/>
                <w:b/>
                <w:bCs/>
                <w:sz w:val="20"/>
                <w:szCs w:val="20"/>
              </w:rPr>
              <w:t>差异金额</w:t>
            </w:r>
            <w:r>
              <w:rPr>
                <w:rFonts w:ascii="宋体" w:hAnsi="宋体" w:cs="宋体" w:eastAsia="宋体" w:hint="default"/>
                <w:sz w:val="20"/>
                <w:szCs w:val="20"/>
              </w:rPr>
            </w:r>
          </w:p>
        </w:tc>
        <w:tc>
          <w:tcPr>
            <w:tcW w:w="189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14"/>
              <w:ind w:right="104"/>
              <w:jc w:val="right"/>
              <w:rPr>
                <w:rFonts w:ascii="宋体" w:hAnsi="宋体" w:cs="宋体" w:eastAsia="宋体" w:hint="default"/>
                <w:sz w:val="20"/>
                <w:szCs w:val="20"/>
              </w:rPr>
            </w:pPr>
            <w:r>
              <w:rPr>
                <w:rFonts w:ascii="Times New Roman" w:hAnsi="Times New Roman" w:cs="Times New Roman" w:eastAsia="Times New Roman" w:hint="default"/>
                <w:b/>
                <w:bCs/>
                <w:sz w:val="20"/>
                <w:szCs w:val="20"/>
              </w:rPr>
              <w:t>2014</w:t>
            </w:r>
            <w:r>
              <w:rPr>
                <w:rFonts w:ascii="Times New Roman" w:hAnsi="Times New Roman" w:cs="Times New Roman" w:eastAsia="Times New Roman" w:hint="default"/>
                <w:b/>
                <w:bCs/>
                <w:spacing w:val="-2"/>
                <w:sz w:val="20"/>
                <w:szCs w:val="20"/>
              </w:rPr>
              <w:t> </w:t>
            </w:r>
            <w:r>
              <w:rPr>
                <w:rFonts w:ascii="宋体" w:hAnsi="宋体" w:cs="宋体" w:eastAsia="宋体" w:hint="default"/>
                <w:b/>
                <w:bCs/>
                <w:sz w:val="20"/>
                <w:szCs w:val="20"/>
              </w:rPr>
              <w:t>年实际发生额</w:t>
            </w:r>
            <w:r>
              <w:rPr>
                <w:rFonts w:ascii="宋体" w:hAnsi="宋体" w:cs="宋体" w:eastAsia="宋体" w:hint="default"/>
                <w:sz w:val="20"/>
                <w:szCs w:val="20"/>
              </w:rPr>
            </w:r>
          </w:p>
        </w:tc>
      </w:tr>
      <w:tr>
        <w:trPr>
          <w:trHeight w:val="301" w:hRule="exact"/>
        </w:trPr>
        <w:tc>
          <w:tcPr>
            <w:tcW w:w="523" w:type="dxa"/>
            <w:tcBorders>
              <w:top w:val="single" w:sz="6" w:space="0" w:color="000000"/>
              <w:left w:val="single" w:sz="12" w:space="0" w:color="000000"/>
              <w:bottom w:val="single" w:sz="6" w:space="0" w:color="000000"/>
              <w:right w:val="single" w:sz="6" w:space="0" w:color="000000"/>
            </w:tcBorders>
          </w:tcPr>
          <w:p>
            <w:pPr>
              <w:pStyle w:val="TableParagraph"/>
              <w:spacing w:line="245" w:lineRule="exact"/>
              <w:ind w:right="98"/>
              <w:jc w:val="right"/>
              <w:rPr>
                <w:rFonts w:ascii="宋体" w:hAnsi="宋体" w:cs="宋体" w:eastAsia="宋体" w:hint="default"/>
                <w:sz w:val="20"/>
                <w:szCs w:val="20"/>
              </w:rPr>
            </w:pPr>
            <w:r>
              <w:rPr>
                <w:rFonts w:ascii="宋体" w:hAnsi="宋体" w:cs="宋体" w:eastAsia="宋体" w:hint="default"/>
                <w:w w:val="95"/>
                <w:sz w:val="20"/>
                <w:szCs w:val="20"/>
              </w:rPr>
              <w:t>1</w:t>
            </w:r>
            <w:r>
              <w:rPr>
                <w:rFonts w:ascii="宋体" w:hAnsi="宋体" w:cs="宋体" w:eastAsia="宋体" w:hint="default"/>
                <w:w w:val="95"/>
                <w:sz w:val="20"/>
                <w:szCs w:val="20"/>
              </w:rPr>
              <w:t>、</w:t>
            </w:r>
            <w:r>
              <w:rPr>
                <w:rFonts w:ascii="宋体" w:hAnsi="宋体" w:cs="宋体" w:eastAsia="宋体" w:hint="default"/>
                <w:sz w:val="20"/>
                <w:szCs w:val="20"/>
              </w:rPr>
            </w:r>
          </w:p>
        </w:tc>
        <w:tc>
          <w:tcPr>
            <w:tcW w:w="2895" w:type="dxa"/>
            <w:tcBorders>
              <w:top w:val="single" w:sz="6" w:space="0" w:color="000000"/>
              <w:left w:val="single" w:sz="6" w:space="0" w:color="000000"/>
              <w:bottom w:val="single" w:sz="6" w:space="0" w:color="000000"/>
              <w:right w:val="single" w:sz="6" w:space="0" w:color="000000"/>
            </w:tcBorders>
          </w:tcPr>
          <w:p>
            <w:pPr>
              <w:pStyle w:val="TableParagraph"/>
              <w:spacing w:line="245" w:lineRule="exact"/>
              <w:ind w:left="100" w:right="0"/>
              <w:jc w:val="left"/>
              <w:rPr>
                <w:rFonts w:ascii="宋体" w:hAnsi="宋体" w:cs="宋体" w:eastAsia="宋体" w:hint="default"/>
                <w:sz w:val="20"/>
                <w:szCs w:val="20"/>
              </w:rPr>
            </w:pPr>
            <w:r>
              <w:rPr>
                <w:rFonts w:ascii="宋体" w:hAnsi="宋体" w:cs="宋体" w:eastAsia="宋体" w:hint="default"/>
                <w:sz w:val="20"/>
                <w:szCs w:val="20"/>
              </w:rPr>
              <w:t>收取利息</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0"/>
              <w:jc w:val="right"/>
              <w:rPr>
                <w:rFonts w:ascii="Times New Roman" w:hAnsi="Times New Roman" w:cs="Times New Roman" w:eastAsia="Times New Roman" w:hint="default"/>
                <w:sz w:val="20"/>
                <w:szCs w:val="20"/>
              </w:rPr>
            </w:pPr>
            <w:r>
              <w:rPr>
                <w:rFonts w:ascii="Times New Roman"/>
                <w:sz w:val="20"/>
              </w:rPr>
              <w:t>0.00</w:t>
            </w:r>
          </w:p>
        </w:tc>
        <w:tc>
          <w:tcPr>
            <w:tcW w:w="15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3"/>
              <w:jc w:val="right"/>
              <w:rPr>
                <w:rFonts w:ascii="Times New Roman" w:hAnsi="Times New Roman" w:cs="Times New Roman" w:eastAsia="Times New Roman" w:hint="default"/>
                <w:sz w:val="20"/>
                <w:szCs w:val="20"/>
              </w:rPr>
            </w:pPr>
            <w:r>
              <w:rPr>
                <w:rFonts w:ascii="Times New Roman"/>
                <w:sz w:val="20"/>
              </w:rPr>
              <w:t>0.00</w:t>
            </w:r>
          </w:p>
        </w:tc>
        <w:tc>
          <w:tcPr>
            <w:tcW w:w="10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0"/>
              <w:jc w:val="right"/>
              <w:rPr>
                <w:rFonts w:ascii="Times New Roman" w:hAnsi="Times New Roman" w:cs="Times New Roman" w:eastAsia="Times New Roman" w:hint="default"/>
                <w:sz w:val="20"/>
                <w:szCs w:val="20"/>
              </w:rPr>
            </w:pPr>
            <w:r>
              <w:rPr>
                <w:rFonts w:ascii="Times New Roman"/>
                <w:sz w:val="20"/>
              </w:rPr>
              <w:t>0.00</w:t>
            </w:r>
          </w:p>
        </w:tc>
        <w:tc>
          <w:tcPr>
            <w:tcW w:w="18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3"/>
              <w:jc w:val="right"/>
              <w:rPr>
                <w:rFonts w:ascii="Times New Roman" w:hAnsi="Times New Roman" w:cs="Times New Roman" w:eastAsia="Times New Roman" w:hint="default"/>
                <w:sz w:val="20"/>
                <w:szCs w:val="20"/>
              </w:rPr>
            </w:pPr>
            <w:r>
              <w:rPr>
                <w:rFonts w:ascii="Times New Roman"/>
                <w:sz w:val="20"/>
              </w:rPr>
              <w:t>0.00</w:t>
            </w:r>
          </w:p>
        </w:tc>
      </w:tr>
      <w:tr>
        <w:trPr>
          <w:trHeight w:val="300" w:hRule="exact"/>
        </w:trPr>
        <w:tc>
          <w:tcPr>
            <w:tcW w:w="523"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right="98"/>
              <w:jc w:val="right"/>
              <w:rPr>
                <w:rFonts w:ascii="宋体" w:hAnsi="宋体" w:cs="宋体" w:eastAsia="宋体" w:hint="default"/>
                <w:sz w:val="20"/>
                <w:szCs w:val="20"/>
              </w:rPr>
            </w:pPr>
            <w:r>
              <w:rPr>
                <w:rFonts w:ascii="宋体" w:hAnsi="宋体" w:cs="宋体" w:eastAsia="宋体" w:hint="default"/>
                <w:w w:val="95"/>
                <w:sz w:val="20"/>
                <w:szCs w:val="20"/>
              </w:rPr>
              <w:t>2</w:t>
            </w:r>
            <w:r>
              <w:rPr>
                <w:rFonts w:ascii="宋体" w:hAnsi="宋体" w:cs="宋体" w:eastAsia="宋体" w:hint="default"/>
                <w:w w:val="95"/>
                <w:sz w:val="20"/>
                <w:szCs w:val="20"/>
              </w:rPr>
              <w:t>、</w:t>
            </w:r>
            <w:r>
              <w:rPr>
                <w:rFonts w:ascii="宋体" w:hAnsi="宋体" w:cs="宋体" w:eastAsia="宋体" w:hint="default"/>
                <w:sz w:val="20"/>
                <w:szCs w:val="20"/>
              </w:rPr>
            </w:r>
          </w:p>
        </w:tc>
        <w:tc>
          <w:tcPr>
            <w:tcW w:w="2895"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0" w:right="0"/>
              <w:jc w:val="left"/>
              <w:rPr>
                <w:rFonts w:ascii="宋体" w:hAnsi="宋体" w:cs="宋体" w:eastAsia="宋体" w:hint="default"/>
                <w:sz w:val="20"/>
                <w:szCs w:val="20"/>
              </w:rPr>
            </w:pPr>
            <w:r>
              <w:rPr>
                <w:rFonts w:ascii="宋体" w:hAnsi="宋体" w:cs="宋体" w:eastAsia="宋体" w:hint="default"/>
                <w:sz w:val="20"/>
                <w:szCs w:val="20"/>
              </w:rPr>
              <w:t>支付利息</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98"/>
              <w:jc w:val="right"/>
              <w:rPr>
                <w:rFonts w:ascii="Times New Roman" w:hAnsi="Times New Roman" w:cs="Times New Roman" w:eastAsia="Times New Roman" w:hint="default"/>
                <w:sz w:val="20"/>
                <w:szCs w:val="20"/>
              </w:rPr>
            </w:pPr>
            <w:r>
              <w:rPr>
                <w:rFonts w:ascii="Times New Roman"/>
                <w:w w:val="95"/>
                <w:sz w:val="20"/>
              </w:rPr>
              <w:t>1,382.60</w:t>
            </w:r>
            <w:r>
              <w:rPr>
                <w:rFonts w:ascii="Times New Roman"/>
                <w:sz w:val="20"/>
              </w:rPr>
            </w:r>
          </w:p>
        </w:tc>
        <w:tc>
          <w:tcPr>
            <w:tcW w:w="15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1"/>
              <w:jc w:val="right"/>
              <w:rPr>
                <w:rFonts w:ascii="Times New Roman" w:hAnsi="Times New Roman" w:cs="Times New Roman" w:eastAsia="Times New Roman" w:hint="default"/>
                <w:sz w:val="20"/>
                <w:szCs w:val="20"/>
              </w:rPr>
            </w:pPr>
            <w:r>
              <w:rPr>
                <w:rFonts w:ascii="Times New Roman"/>
                <w:w w:val="95"/>
                <w:sz w:val="20"/>
              </w:rPr>
              <w:t>1,500.00</w:t>
            </w:r>
            <w:r>
              <w:rPr>
                <w:rFonts w:ascii="Times New Roman"/>
                <w:sz w:val="20"/>
              </w:rPr>
            </w:r>
          </w:p>
        </w:tc>
        <w:tc>
          <w:tcPr>
            <w:tcW w:w="10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0"/>
              <w:jc w:val="right"/>
              <w:rPr>
                <w:rFonts w:ascii="Times New Roman" w:hAnsi="Times New Roman" w:cs="Times New Roman" w:eastAsia="Times New Roman" w:hint="default"/>
                <w:sz w:val="20"/>
                <w:szCs w:val="20"/>
              </w:rPr>
            </w:pPr>
            <w:r>
              <w:rPr>
                <w:rFonts w:ascii="Times New Roman"/>
                <w:spacing w:val="-1"/>
                <w:w w:val="95"/>
                <w:sz w:val="20"/>
              </w:rPr>
              <w:t>-117.40</w:t>
            </w:r>
            <w:r>
              <w:rPr>
                <w:rFonts w:ascii="Times New Roman"/>
                <w:spacing w:val="-1"/>
                <w:sz w:val="20"/>
              </w:rPr>
            </w:r>
          </w:p>
        </w:tc>
        <w:tc>
          <w:tcPr>
            <w:tcW w:w="18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3"/>
              <w:jc w:val="right"/>
              <w:rPr>
                <w:rFonts w:ascii="Times New Roman" w:hAnsi="Times New Roman" w:cs="Times New Roman" w:eastAsia="Times New Roman" w:hint="default"/>
                <w:sz w:val="20"/>
                <w:szCs w:val="20"/>
              </w:rPr>
            </w:pPr>
            <w:r>
              <w:rPr>
                <w:rFonts w:ascii="Times New Roman"/>
                <w:spacing w:val="-1"/>
                <w:w w:val="95"/>
                <w:sz w:val="20"/>
              </w:rPr>
              <w:t>11,763.50</w:t>
            </w:r>
            <w:r>
              <w:rPr>
                <w:rFonts w:ascii="Times New Roman"/>
                <w:spacing w:val="-1"/>
                <w:sz w:val="20"/>
              </w:rPr>
            </w:r>
          </w:p>
        </w:tc>
      </w:tr>
      <w:tr>
        <w:trPr>
          <w:trHeight w:val="307" w:hRule="exact"/>
        </w:trPr>
        <w:tc>
          <w:tcPr>
            <w:tcW w:w="3418" w:type="dxa"/>
            <w:gridSpan w:val="2"/>
            <w:tcBorders>
              <w:top w:val="single" w:sz="6" w:space="0" w:color="000000"/>
              <w:left w:val="single" w:sz="12" w:space="0" w:color="000000"/>
              <w:bottom w:val="single" w:sz="12" w:space="0" w:color="000000"/>
              <w:right w:val="single" w:sz="6" w:space="0" w:color="000000"/>
            </w:tcBorders>
          </w:tcPr>
          <w:p>
            <w:pPr>
              <w:pStyle w:val="TableParagraph"/>
              <w:spacing w:line="244" w:lineRule="exact"/>
              <w:ind w:left="93" w:right="0"/>
              <w:jc w:val="left"/>
              <w:rPr>
                <w:rFonts w:ascii="宋体" w:hAnsi="宋体" w:cs="宋体" w:eastAsia="宋体" w:hint="default"/>
                <w:sz w:val="20"/>
                <w:szCs w:val="20"/>
              </w:rPr>
            </w:pPr>
            <w:r>
              <w:rPr>
                <w:rFonts w:ascii="宋体" w:hAnsi="宋体" w:cs="宋体" w:eastAsia="宋体" w:hint="default"/>
                <w:sz w:val="20"/>
                <w:szCs w:val="20"/>
              </w:rPr>
              <w:t>发生额合计</w:t>
            </w:r>
          </w:p>
        </w:tc>
        <w:tc>
          <w:tcPr>
            <w:tcW w:w="158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b/>
                <w:w w:val="95"/>
                <w:sz w:val="20"/>
              </w:rPr>
              <w:t>1,382.60</w:t>
            </w:r>
            <w:r>
              <w:rPr>
                <w:rFonts w:ascii="Times New Roman"/>
                <w:sz w:val="20"/>
              </w:rPr>
            </w:r>
          </w:p>
        </w:tc>
        <w:tc>
          <w:tcPr>
            <w:tcW w:w="150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7"/>
              <w:ind w:right="103"/>
              <w:jc w:val="right"/>
              <w:rPr>
                <w:rFonts w:ascii="Times New Roman" w:hAnsi="Times New Roman" w:cs="Times New Roman" w:eastAsia="Times New Roman" w:hint="default"/>
                <w:sz w:val="20"/>
                <w:szCs w:val="20"/>
              </w:rPr>
            </w:pPr>
            <w:r>
              <w:rPr>
                <w:rFonts w:ascii="Times New Roman"/>
                <w:b/>
                <w:w w:val="95"/>
                <w:sz w:val="20"/>
              </w:rPr>
              <w:t>1,500.00</w:t>
            </w:r>
            <w:r>
              <w:rPr>
                <w:rFonts w:ascii="Times New Roman"/>
                <w:sz w:val="20"/>
              </w:rPr>
            </w:r>
          </w:p>
        </w:tc>
        <w:tc>
          <w:tcPr>
            <w:tcW w:w="10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7"/>
              <w:ind w:right="100"/>
              <w:jc w:val="right"/>
              <w:rPr>
                <w:rFonts w:ascii="Times New Roman" w:hAnsi="Times New Roman" w:cs="Times New Roman" w:eastAsia="Times New Roman" w:hint="default"/>
                <w:sz w:val="20"/>
                <w:szCs w:val="20"/>
              </w:rPr>
            </w:pPr>
            <w:r>
              <w:rPr>
                <w:rFonts w:ascii="Times New Roman"/>
                <w:b/>
                <w:spacing w:val="-2"/>
                <w:sz w:val="20"/>
              </w:rPr>
              <w:t>-117.40</w:t>
            </w:r>
            <w:r>
              <w:rPr>
                <w:rFonts w:ascii="Times New Roman"/>
                <w:spacing w:val="-2"/>
                <w:sz w:val="20"/>
              </w:rPr>
            </w:r>
          </w:p>
        </w:tc>
        <w:tc>
          <w:tcPr>
            <w:tcW w:w="189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7"/>
              <w:ind w:right="93"/>
              <w:jc w:val="right"/>
              <w:rPr>
                <w:rFonts w:ascii="Times New Roman" w:hAnsi="Times New Roman" w:cs="Times New Roman" w:eastAsia="Times New Roman" w:hint="default"/>
                <w:sz w:val="20"/>
                <w:szCs w:val="20"/>
              </w:rPr>
            </w:pPr>
            <w:r>
              <w:rPr>
                <w:rFonts w:ascii="Times New Roman"/>
                <w:b/>
                <w:spacing w:val="-1"/>
                <w:w w:val="95"/>
                <w:sz w:val="20"/>
              </w:rPr>
              <w:t>11,763.50</w:t>
            </w:r>
            <w:r>
              <w:rPr>
                <w:rFonts w:ascii="Times New Roman"/>
                <w:spacing w:val="-1"/>
                <w:sz w:val="20"/>
              </w:rPr>
            </w:r>
          </w:p>
        </w:tc>
      </w:tr>
    </w:tbl>
    <w:p>
      <w:pPr>
        <w:spacing w:line="240" w:lineRule="auto" w:before="0"/>
        <w:rPr>
          <w:rFonts w:ascii="宋体" w:hAnsi="宋体" w:cs="宋体" w:eastAsia="宋体" w:hint="default"/>
          <w:b/>
          <w:bCs/>
          <w:sz w:val="16"/>
          <w:szCs w:val="16"/>
        </w:rPr>
      </w:pPr>
    </w:p>
    <w:p>
      <w:pPr>
        <w:pStyle w:val="Heading3"/>
        <w:spacing w:line="312" w:lineRule="exact" w:before="56"/>
        <w:ind w:left="238" w:right="207"/>
        <w:jc w:val="left"/>
        <w:rPr>
          <w:b w:val="0"/>
          <w:bCs w:val="0"/>
        </w:rPr>
      </w:pPr>
      <w:r>
        <w:rPr>
          <w:rFonts w:ascii="Times New Roman" w:hAnsi="Times New Roman" w:cs="Times New Roman" w:eastAsia="Times New Roman" w:hint="default"/>
        </w:rPr>
        <w:t>3</w:t>
      </w:r>
      <w:r>
        <w:rPr/>
        <w:t>、龙江环保与其持股</w:t>
      </w:r>
      <w:r>
        <w:rPr>
          <w:spacing w:val="28"/>
        </w:rPr>
        <w:t> </w:t>
      </w:r>
      <w:r>
        <w:rPr>
          <w:rFonts w:ascii="Times New Roman" w:hAnsi="Times New Roman" w:cs="Times New Roman" w:eastAsia="Times New Roman" w:hint="default"/>
        </w:rPr>
        <w:t>10%</w:t>
      </w:r>
      <w:r>
        <w:rPr/>
        <w:t>以上股东亚洲开发银行因债务性融资形成的借款、偿还本金</w:t>
      </w:r>
      <w:r>
        <w:rPr>
          <w:spacing w:val="-116"/>
        </w:rPr>
        <w:t> </w:t>
      </w:r>
      <w:r>
        <w:rPr>
          <w:spacing w:val="-116"/>
        </w:rPr>
      </w:r>
      <w:r>
        <w:rPr/>
        <w:t>并支付、收取利息等日常交易</w:t>
      </w:r>
      <w:r>
        <w:rPr>
          <w:b w:val="0"/>
          <w:bCs w:val="0"/>
        </w:rPr>
      </w:r>
    </w:p>
    <w:p>
      <w:pPr>
        <w:spacing w:line="240" w:lineRule="auto" w:before="6"/>
        <w:rPr>
          <w:rFonts w:ascii="宋体" w:hAnsi="宋体" w:cs="宋体" w:eastAsia="宋体" w:hint="default"/>
          <w:b/>
          <w:bCs/>
          <w:sz w:val="21"/>
          <w:szCs w:val="21"/>
        </w:rPr>
      </w:pPr>
    </w:p>
    <w:tbl>
      <w:tblPr>
        <w:tblW w:w="0" w:type="auto"/>
        <w:jc w:val="left"/>
        <w:tblInd w:w="116" w:type="dxa"/>
        <w:tblLayout w:type="fixed"/>
        <w:tblCellMar>
          <w:top w:w="0" w:type="dxa"/>
          <w:left w:w="0" w:type="dxa"/>
          <w:bottom w:w="0" w:type="dxa"/>
          <w:right w:w="0" w:type="dxa"/>
        </w:tblCellMar>
        <w:tblLook w:val="01E0"/>
      </w:tblPr>
      <w:tblGrid>
        <w:gridCol w:w="787"/>
        <w:gridCol w:w="3929"/>
        <w:gridCol w:w="1577"/>
        <w:gridCol w:w="1580"/>
        <w:gridCol w:w="1546"/>
      </w:tblGrid>
      <w:tr>
        <w:trPr>
          <w:trHeight w:val="554" w:hRule="exact"/>
        </w:trPr>
        <w:tc>
          <w:tcPr>
            <w:tcW w:w="787" w:type="dxa"/>
            <w:tcBorders>
              <w:top w:val="single" w:sz="12" w:space="0" w:color="000000"/>
              <w:left w:val="single" w:sz="12" w:space="0" w:color="000000"/>
              <w:bottom w:val="single" w:sz="6" w:space="0" w:color="000000"/>
              <w:right w:val="single" w:sz="6" w:space="0" w:color="000000"/>
            </w:tcBorders>
          </w:tcPr>
          <w:p>
            <w:pPr/>
          </w:p>
        </w:tc>
        <w:tc>
          <w:tcPr>
            <w:tcW w:w="3929"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before="1"/>
              <w:ind w:left="1353" w:right="1355" w:firstLine="5"/>
              <w:jc w:val="center"/>
              <w:rPr>
                <w:rFonts w:ascii="宋体" w:hAnsi="宋体" w:cs="宋体" w:eastAsia="宋体" w:hint="default"/>
                <w:sz w:val="20"/>
                <w:szCs w:val="20"/>
              </w:rPr>
            </w:pPr>
            <w:r>
              <w:rPr>
                <w:rFonts w:ascii="宋体" w:hAnsi="宋体" w:cs="宋体" w:eastAsia="宋体" w:hint="default"/>
                <w:b/>
                <w:bCs/>
                <w:sz w:val="20"/>
                <w:szCs w:val="20"/>
              </w:rPr>
              <w:t>交易事项</w:t>
            </w:r>
            <w:r>
              <w:rPr>
                <w:rFonts w:ascii="宋体" w:hAnsi="宋体" w:cs="宋体" w:eastAsia="宋体" w:hint="default"/>
                <w:b/>
                <w:bCs/>
                <w:spacing w:val="2"/>
                <w:w w:val="99"/>
                <w:sz w:val="20"/>
                <w:szCs w:val="20"/>
              </w:rPr>
              <w:t> </w:t>
            </w:r>
            <w:r>
              <w:rPr>
                <w:rFonts w:ascii="宋体" w:hAnsi="宋体" w:cs="宋体" w:eastAsia="宋体" w:hint="default"/>
                <w:b/>
                <w:bCs/>
                <w:sz w:val="20"/>
                <w:szCs w:val="20"/>
              </w:rPr>
              <w:t>(</w:t>
            </w:r>
            <w:r>
              <w:rPr>
                <w:rFonts w:ascii="宋体" w:hAnsi="宋体" w:cs="宋体" w:eastAsia="宋体" w:hint="default"/>
                <w:b/>
                <w:bCs/>
                <w:sz w:val="20"/>
                <w:szCs w:val="20"/>
              </w:rPr>
              <w:t>单位：万元</w:t>
            </w:r>
            <w:r>
              <w:rPr>
                <w:rFonts w:ascii="宋体" w:hAnsi="宋体" w:cs="宋体" w:eastAsia="宋体" w:hint="default"/>
                <w:b/>
                <w:bCs/>
                <w:sz w:val="20"/>
                <w:szCs w:val="20"/>
              </w:rPr>
              <w:t>)</w:t>
            </w:r>
            <w:r>
              <w:rPr>
                <w:rFonts w:ascii="宋体" w:hAnsi="宋体" w:cs="宋体" w:eastAsia="宋体" w:hint="default"/>
                <w:sz w:val="20"/>
                <w:szCs w:val="20"/>
              </w:rPr>
            </w:r>
          </w:p>
        </w:tc>
        <w:tc>
          <w:tcPr>
            <w:tcW w:w="1577"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before="1"/>
              <w:ind w:left="581" w:right="154" w:hanging="428"/>
              <w:jc w:val="left"/>
              <w:rPr>
                <w:rFonts w:ascii="宋体" w:hAnsi="宋体" w:cs="宋体" w:eastAsia="宋体" w:hint="default"/>
                <w:sz w:val="20"/>
                <w:szCs w:val="20"/>
              </w:rPr>
            </w:pPr>
            <w:r>
              <w:rPr>
                <w:rFonts w:ascii="Times New Roman" w:hAnsi="Times New Roman" w:cs="Times New Roman" w:eastAsia="Times New Roman" w:hint="default"/>
                <w:b/>
                <w:bCs/>
                <w:sz w:val="20"/>
                <w:szCs w:val="20"/>
              </w:rPr>
              <w:t>2015</w:t>
            </w:r>
            <w:r>
              <w:rPr>
                <w:rFonts w:ascii="Times New Roman" w:hAnsi="Times New Roman" w:cs="Times New Roman" w:eastAsia="Times New Roman" w:hint="default"/>
                <w:b/>
                <w:bCs/>
                <w:spacing w:val="-2"/>
                <w:sz w:val="20"/>
                <w:szCs w:val="20"/>
              </w:rPr>
              <w:t> </w:t>
            </w:r>
            <w:r>
              <w:rPr>
                <w:rFonts w:ascii="宋体" w:hAnsi="宋体" w:cs="宋体" w:eastAsia="宋体" w:hint="default"/>
                <w:b/>
                <w:bCs/>
                <w:sz w:val="20"/>
                <w:szCs w:val="20"/>
              </w:rPr>
              <w:t>年实际发</w:t>
            </w:r>
            <w:r>
              <w:rPr>
                <w:rFonts w:ascii="宋体" w:hAnsi="宋体" w:cs="宋体" w:eastAsia="宋体" w:hint="default"/>
                <w:b/>
                <w:bCs/>
                <w:w w:val="99"/>
                <w:sz w:val="20"/>
                <w:szCs w:val="20"/>
              </w:rPr>
              <w:t> </w:t>
            </w:r>
            <w:r>
              <w:rPr>
                <w:rFonts w:ascii="宋体" w:hAnsi="宋体" w:cs="宋体" w:eastAsia="宋体" w:hint="default"/>
                <w:b/>
                <w:bCs/>
                <w:sz w:val="20"/>
                <w:szCs w:val="20"/>
              </w:rPr>
              <w:t>生额</w:t>
            </w:r>
            <w:r>
              <w:rPr>
                <w:rFonts w:ascii="宋体" w:hAnsi="宋体" w:cs="宋体" w:eastAsia="宋体" w:hint="default"/>
                <w:sz w:val="20"/>
                <w:szCs w:val="20"/>
              </w:rPr>
            </w:r>
          </w:p>
        </w:tc>
        <w:tc>
          <w:tcPr>
            <w:tcW w:w="1580"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before="1"/>
              <w:ind w:left="580" w:right="155" w:hanging="425"/>
              <w:jc w:val="left"/>
              <w:rPr>
                <w:rFonts w:ascii="宋体" w:hAnsi="宋体" w:cs="宋体" w:eastAsia="宋体" w:hint="default"/>
                <w:sz w:val="20"/>
                <w:szCs w:val="20"/>
              </w:rPr>
            </w:pPr>
            <w:r>
              <w:rPr>
                <w:rFonts w:ascii="Times New Roman" w:hAnsi="Times New Roman" w:cs="Times New Roman" w:eastAsia="Times New Roman" w:hint="default"/>
                <w:b/>
                <w:bCs/>
                <w:sz w:val="20"/>
                <w:szCs w:val="20"/>
              </w:rPr>
              <w:t>2015</w:t>
            </w:r>
            <w:r>
              <w:rPr>
                <w:rFonts w:ascii="Times New Roman" w:hAnsi="Times New Roman" w:cs="Times New Roman" w:eastAsia="Times New Roman" w:hint="default"/>
                <w:b/>
                <w:bCs/>
                <w:spacing w:val="-2"/>
                <w:sz w:val="20"/>
                <w:szCs w:val="20"/>
              </w:rPr>
              <w:t> </w:t>
            </w:r>
            <w:r>
              <w:rPr>
                <w:rFonts w:ascii="宋体" w:hAnsi="宋体" w:cs="宋体" w:eastAsia="宋体" w:hint="default"/>
                <w:b/>
                <w:bCs/>
                <w:sz w:val="20"/>
                <w:szCs w:val="20"/>
              </w:rPr>
              <w:t>年预计发</w:t>
            </w:r>
            <w:r>
              <w:rPr>
                <w:rFonts w:ascii="宋体" w:hAnsi="宋体" w:cs="宋体" w:eastAsia="宋体" w:hint="default"/>
                <w:b/>
                <w:bCs/>
                <w:w w:val="99"/>
                <w:sz w:val="20"/>
                <w:szCs w:val="20"/>
              </w:rPr>
              <w:t> </w:t>
            </w:r>
            <w:r>
              <w:rPr>
                <w:rFonts w:ascii="宋体" w:hAnsi="宋体" w:cs="宋体" w:eastAsia="宋体" w:hint="default"/>
                <w:b/>
                <w:bCs/>
                <w:sz w:val="20"/>
                <w:szCs w:val="20"/>
              </w:rPr>
              <w:t>生额</w:t>
            </w:r>
            <w:r>
              <w:rPr>
                <w:rFonts w:ascii="宋体" w:hAnsi="宋体" w:cs="宋体" w:eastAsia="宋体" w:hint="default"/>
                <w:sz w:val="20"/>
                <w:szCs w:val="20"/>
              </w:rPr>
            </w:r>
          </w:p>
        </w:tc>
        <w:tc>
          <w:tcPr>
            <w:tcW w:w="1546"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5"/>
              <w:ind w:left="362" w:right="0"/>
              <w:jc w:val="left"/>
              <w:rPr>
                <w:rFonts w:ascii="宋体" w:hAnsi="宋体" w:cs="宋体" w:eastAsia="宋体" w:hint="default"/>
                <w:sz w:val="20"/>
                <w:szCs w:val="20"/>
              </w:rPr>
            </w:pPr>
            <w:r>
              <w:rPr>
                <w:rFonts w:ascii="宋体" w:hAnsi="宋体" w:cs="宋体" w:eastAsia="宋体" w:hint="default"/>
                <w:b/>
                <w:bCs/>
                <w:sz w:val="20"/>
                <w:szCs w:val="20"/>
              </w:rPr>
              <w:t>差异金额</w:t>
            </w:r>
            <w:r>
              <w:rPr>
                <w:rFonts w:ascii="宋体" w:hAnsi="宋体" w:cs="宋体" w:eastAsia="宋体" w:hint="default"/>
                <w:sz w:val="20"/>
                <w:szCs w:val="20"/>
              </w:rPr>
            </w:r>
          </w:p>
        </w:tc>
      </w:tr>
      <w:tr>
        <w:trPr>
          <w:trHeight w:val="300" w:hRule="exact"/>
        </w:trPr>
        <w:tc>
          <w:tcPr>
            <w:tcW w:w="787"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364"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z w:val="20"/>
                <w:szCs w:val="20"/>
              </w:rPr>
              <w:t>、</w:t>
            </w:r>
          </w:p>
        </w:tc>
        <w:tc>
          <w:tcPr>
            <w:tcW w:w="3929"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0" w:right="0"/>
              <w:jc w:val="left"/>
              <w:rPr>
                <w:rFonts w:ascii="宋体" w:hAnsi="宋体" w:cs="宋体" w:eastAsia="宋体" w:hint="default"/>
                <w:sz w:val="20"/>
                <w:szCs w:val="20"/>
              </w:rPr>
            </w:pPr>
            <w:r>
              <w:rPr>
                <w:rFonts w:ascii="宋体" w:hAnsi="宋体" w:cs="宋体" w:eastAsia="宋体" w:hint="default"/>
                <w:sz w:val="20"/>
                <w:szCs w:val="20"/>
              </w:rPr>
              <w:t>支付利息</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98"/>
              <w:jc w:val="right"/>
              <w:rPr>
                <w:rFonts w:ascii="Times New Roman" w:hAnsi="Times New Roman" w:cs="Times New Roman" w:eastAsia="Times New Roman" w:hint="default"/>
                <w:sz w:val="20"/>
                <w:szCs w:val="20"/>
              </w:rPr>
            </w:pPr>
            <w:r>
              <w:rPr>
                <w:rFonts w:ascii="Times New Roman"/>
                <w:w w:val="95"/>
                <w:sz w:val="20"/>
              </w:rPr>
              <w:t>3,897.57</w:t>
            </w:r>
            <w:r>
              <w:rPr>
                <w:rFonts w:ascii="Times New Roman"/>
                <w:sz w:val="20"/>
              </w:rPr>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99"/>
              <w:jc w:val="right"/>
              <w:rPr>
                <w:rFonts w:ascii="Times New Roman" w:hAnsi="Times New Roman" w:cs="Times New Roman" w:eastAsia="Times New Roman" w:hint="default"/>
                <w:sz w:val="20"/>
                <w:szCs w:val="20"/>
              </w:rPr>
            </w:pPr>
            <w:r>
              <w:rPr>
                <w:rFonts w:ascii="Times New Roman"/>
                <w:w w:val="95"/>
                <w:sz w:val="20"/>
              </w:rPr>
              <w:t>3,000.00</w:t>
            </w:r>
            <w:r>
              <w:rPr>
                <w:rFonts w:ascii="Times New Roman"/>
                <w:sz w:val="20"/>
              </w:rPr>
            </w:r>
          </w:p>
        </w:tc>
        <w:tc>
          <w:tcPr>
            <w:tcW w:w="15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6"/>
              <w:jc w:val="right"/>
              <w:rPr>
                <w:rFonts w:ascii="Times New Roman" w:hAnsi="Times New Roman" w:cs="Times New Roman" w:eastAsia="Times New Roman" w:hint="default"/>
                <w:sz w:val="20"/>
                <w:szCs w:val="20"/>
              </w:rPr>
            </w:pPr>
            <w:r>
              <w:rPr>
                <w:rFonts w:ascii="Times New Roman"/>
                <w:w w:val="95"/>
                <w:sz w:val="20"/>
              </w:rPr>
              <w:t>897.57</w:t>
            </w:r>
            <w:r>
              <w:rPr>
                <w:rFonts w:ascii="Times New Roman"/>
                <w:sz w:val="20"/>
              </w:rPr>
            </w:r>
          </w:p>
        </w:tc>
      </w:tr>
      <w:tr>
        <w:trPr>
          <w:trHeight w:val="310" w:hRule="exact"/>
        </w:trPr>
        <w:tc>
          <w:tcPr>
            <w:tcW w:w="4717" w:type="dxa"/>
            <w:gridSpan w:val="2"/>
            <w:tcBorders>
              <w:top w:val="single" w:sz="6" w:space="0" w:color="000000"/>
              <w:left w:val="single" w:sz="12" w:space="0" w:color="000000"/>
              <w:bottom w:val="single" w:sz="12" w:space="0" w:color="000000"/>
              <w:right w:val="single" w:sz="6" w:space="0" w:color="000000"/>
            </w:tcBorders>
          </w:tcPr>
          <w:p>
            <w:pPr>
              <w:pStyle w:val="TableParagraph"/>
              <w:spacing w:line="244" w:lineRule="exact"/>
              <w:ind w:left="93" w:right="0"/>
              <w:jc w:val="left"/>
              <w:rPr>
                <w:rFonts w:ascii="宋体" w:hAnsi="宋体" w:cs="宋体" w:eastAsia="宋体" w:hint="default"/>
                <w:sz w:val="20"/>
                <w:szCs w:val="20"/>
              </w:rPr>
            </w:pPr>
            <w:r>
              <w:rPr>
                <w:rFonts w:ascii="宋体" w:hAnsi="宋体" w:cs="宋体" w:eastAsia="宋体" w:hint="default"/>
                <w:sz w:val="20"/>
                <w:szCs w:val="20"/>
              </w:rPr>
              <w:t>发生额合计</w:t>
            </w:r>
          </w:p>
        </w:tc>
        <w:tc>
          <w:tcPr>
            <w:tcW w:w="15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b/>
                <w:w w:val="95"/>
                <w:sz w:val="20"/>
              </w:rPr>
              <w:t>3,897.57</w:t>
            </w:r>
            <w:r>
              <w:rPr>
                <w:rFonts w:ascii="Times New Roman"/>
                <w:sz w:val="20"/>
              </w:rPr>
            </w:r>
          </w:p>
        </w:tc>
        <w:tc>
          <w:tcPr>
            <w:tcW w:w="15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b/>
                <w:w w:val="95"/>
                <w:sz w:val="20"/>
              </w:rPr>
              <w:t>3,000.00</w:t>
            </w:r>
            <w:r>
              <w:rPr>
                <w:rFonts w:ascii="Times New Roman"/>
                <w:sz w:val="20"/>
              </w:rPr>
            </w:r>
          </w:p>
        </w:tc>
        <w:tc>
          <w:tcPr>
            <w:tcW w:w="154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7"/>
              <w:ind w:right="96"/>
              <w:jc w:val="right"/>
              <w:rPr>
                <w:rFonts w:ascii="Times New Roman" w:hAnsi="Times New Roman" w:cs="Times New Roman" w:eastAsia="Times New Roman" w:hint="default"/>
                <w:sz w:val="20"/>
                <w:szCs w:val="20"/>
              </w:rPr>
            </w:pPr>
            <w:r>
              <w:rPr>
                <w:rFonts w:ascii="Times New Roman"/>
                <w:b/>
                <w:w w:val="95"/>
                <w:sz w:val="20"/>
              </w:rPr>
              <w:t>897.57</w:t>
            </w:r>
            <w:r>
              <w:rPr>
                <w:rFonts w:ascii="Times New Roman"/>
                <w:sz w:val="20"/>
              </w:rPr>
            </w:r>
          </w:p>
        </w:tc>
      </w:tr>
    </w:tbl>
    <w:p>
      <w:pPr>
        <w:spacing w:after="0" w:line="240" w:lineRule="auto"/>
        <w:jc w:val="right"/>
        <w:rPr>
          <w:rFonts w:ascii="Times New Roman" w:hAnsi="Times New Roman" w:cs="Times New Roman" w:eastAsia="Times New Roman" w:hint="default"/>
          <w:sz w:val="20"/>
          <w:szCs w:val="20"/>
        </w:rPr>
        <w:sectPr>
          <w:pgSz w:w="11910" w:h="16840"/>
          <w:pgMar w:header="628" w:footer="760" w:top="1080" w:bottom="960" w:left="1180" w:right="102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BodyText"/>
        <w:spacing w:line="232" w:lineRule="auto" w:before="34"/>
        <w:ind w:left="238" w:right="224" w:firstLine="480"/>
        <w:jc w:val="left"/>
      </w:pPr>
      <w:r>
        <w:rPr>
          <w:spacing w:val="-9"/>
        </w:rPr>
        <w:t>本年度，龙江环保与其持股</w:t>
      </w:r>
      <w:r>
        <w:rPr>
          <w:spacing w:val="-53"/>
        </w:rPr>
        <w:t> </w:t>
      </w:r>
      <w:r>
        <w:rPr>
          <w:rFonts w:ascii="宋体" w:hAnsi="宋体" w:cs="宋体" w:eastAsia="宋体" w:hint="default"/>
        </w:rPr>
        <w:t>10%</w:t>
      </w:r>
      <w:r>
        <w:rPr/>
        <w:t>以上股东亚洲开发银行因债务性融资形成的借款存在 支付利息的情形，</w:t>
      </w:r>
      <w:r>
        <w:rPr>
          <w:rFonts w:ascii="宋体" w:hAnsi="宋体" w:cs="宋体" w:eastAsia="宋体" w:hint="default"/>
        </w:rPr>
        <w:t>2015</w:t>
      </w:r>
      <w:r>
        <w:rPr>
          <w:rFonts w:ascii="宋体" w:hAnsi="宋体" w:cs="宋体" w:eastAsia="宋体" w:hint="default"/>
          <w:spacing w:val="-61"/>
        </w:rPr>
        <w:t> </w:t>
      </w:r>
      <w:r>
        <w:rPr/>
        <w:t>年度支付利息实际发生额超出预计发生额主要系龙江环保结合自 身经营状况和资金需求、利用尚未使用的授信额度增提部分本金，且该笔借款部分为浮 息机制、本年度利率有所波动所致。截至</w:t>
      </w:r>
      <w:r>
        <w:rPr>
          <w:spacing w:val="-78"/>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8"/>
        </w:rPr>
        <w:t> </w:t>
      </w:r>
      <w:r>
        <w:rPr/>
        <w:t>年底，亚洲开发银行已将其所持有的龙江 环保</w:t>
      </w:r>
      <w:r>
        <w:rPr>
          <w:spacing w:val="-61"/>
        </w:rPr>
        <w:t> </w:t>
      </w:r>
      <w:r>
        <w:rPr>
          <w:rFonts w:ascii="Times New Roman" w:hAnsi="Times New Roman" w:cs="Times New Roman" w:eastAsia="Times New Roman" w:hint="default"/>
        </w:rPr>
        <w:t>12.1875%</w:t>
      </w:r>
      <w:r>
        <w:rPr/>
        <w:t>股权全部转让给金谊投资有限公司。根据上市规则，龙江环保向亚洲开发 银行计付的利息，应在未来</w:t>
      </w:r>
      <w:r>
        <w:rPr>
          <w:spacing w:val="-60"/>
        </w:rPr>
        <w:t> </w:t>
      </w:r>
      <w:r>
        <w:rPr>
          <w:rFonts w:ascii="Times New Roman" w:hAnsi="Times New Roman" w:cs="Times New Roman" w:eastAsia="Times New Roman" w:hint="default"/>
        </w:rPr>
        <w:t>12 </w:t>
      </w:r>
      <w:r>
        <w:rPr/>
        <w:t>个月内继续作为关联交易披露发生额。</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19"/>
          <w:szCs w:val="19"/>
        </w:rPr>
      </w:pPr>
    </w:p>
    <w:p>
      <w:pPr>
        <w:spacing w:line="477" w:lineRule="auto" w:before="0"/>
        <w:ind w:left="238" w:right="6401" w:firstLine="256"/>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、临时公告未披露的事项</w:t>
      </w:r>
      <w:r>
        <w:rPr>
          <w:rFonts w:ascii="宋体" w:hAnsi="宋体" w:cs="宋体" w:eastAsia="宋体" w:hint="default"/>
          <w:b/>
          <w:bCs/>
          <w:w w:val="99"/>
          <w:sz w:val="24"/>
          <w:szCs w:val="24"/>
        </w:rPr>
        <w:t> </w:t>
      </w:r>
      <w:r>
        <w:rPr>
          <w:rFonts w:ascii="宋体" w:hAnsi="宋体" w:cs="宋体" w:eastAsia="宋体" w:hint="default"/>
          <w:sz w:val="24"/>
          <w:szCs w:val="24"/>
        </w:rPr>
        <w:t>不适用。</w:t>
      </w:r>
    </w:p>
    <w:p>
      <w:pPr>
        <w:pStyle w:val="Heading3"/>
        <w:spacing w:line="475" w:lineRule="auto" w:before="70"/>
        <w:ind w:right="3508"/>
        <w:jc w:val="left"/>
        <w:rPr>
          <w:b w:val="0"/>
          <w:bCs w:val="0"/>
        </w:rPr>
      </w:pPr>
      <w:r>
        <w:rPr>
          <w:rFonts w:ascii="宋体" w:hAnsi="宋体" w:cs="宋体" w:eastAsia="宋体" w:hint="default"/>
        </w:rPr>
        <w:t>(</w:t>
      </w:r>
      <w:r>
        <w:rPr/>
        <w:t>二</w:t>
      </w:r>
      <w:r>
        <w:rPr>
          <w:rFonts w:ascii="宋体" w:hAnsi="宋体" w:cs="宋体" w:eastAsia="宋体" w:hint="default"/>
        </w:rPr>
        <w:t>)</w:t>
      </w:r>
      <w:r>
        <w:rPr/>
        <w:t>资产或股权收购、出售发生的关联交易</w:t>
      </w:r>
      <w:r>
        <w:rPr>
          <w:w w:val="99"/>
        </w:rPr>
        <w:t> </w:t>
      </w:r>
      <w:r>
        <w:rPr>
          <w:rFonts w:ascii="宋体" w:hAnsi="宋体" w:cs="宋体" w:eastAsia="宋体" w:hint="default"/>
        </w:rPr>
        <w:t>1</w:t>
      </w:r>
      <w:r>
        <w:rPr/>
        <w:t>、已在临时公告披露且后续实施无进展或变化的事项</w:t>
      </w:r>
      <w:r>
        <w:rPr>
          <w:b w:val="0"/>
          <w:bCs w:val="0"/>
        </w:rPr>
      </w:r>
    </w:p>
    <w:p>
      <w:pPr>
        <w:spacing w:line="240" w:lineRule="auto" w:before="10"/>
        <w:rPr>
          <w:rFonts w:ascii="宋体" w:hAnsi="宋体" w:cs="宋体" w:eastAsia="宋体" w:hint="default"/>
          <w:b/>
          <w:bCs/>
          <w:sz w:val="8"/>
          <w:szCs w:val="8"/>
        </w:rPr>
      </w:pPr>
    </w:p>
    <w:tbl>
      <w:tblPr>
        <w:tblW w:w="0" w:type="auto"/>
        <w:jc w:val="left"/>
        <w:tblInd w:w="116" w:type="dxa"/>
        <w:tblLayout w:type="fixed"/>
        <w:tblCellMar>
          <w:top w:w="0" w:type="dxa"/>
          <w:left w:w="0" w:type="dxa"/>
          <w:bottom w:w="0" w:type="dxa"/>
          <w:right w:w="0" w:type="dxa"/>
        </w:tblCellMar>
        <w:tblLook w:val="01E0"/>
      </w:tblPr>
      <w:tblGrid>
        <w:gridCol w:w="4709"/>
        <w:gridCol w:w="4710"/>
      </w:tblGrid>
      <w:tr>
        <w:trPr>
          <w:trHeight w:val="295" w:hRule="exact"/>
        </w:trPr>
        <w:tc>
          <w:tcPr>
            <w:tcW w:w="4709"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right="3"/>
              <w:jc w:val="center"/>
              <w:rPr>
                <w:rFonts w:ascii="宋体" w:hAnsi="宋体" w:cs="宋体" w:eastAsia="宋体" w:hint="default"/>
                <w:sz w:val="21"/>
                <w:szCs w:val="21"/>
              </w:rPr>
            </w:pPr>
            <w:r>
              <w:rPr>
                <w:rFonts w:ascii="宋体" w:hAnsi="宋体" w:cs="宋体" w:eastAsia="宋体" w:hint="default"/>
                <w:sz w:val="21"/>
                <w:szCs w:val="21"/>
              </w:rPr>
              <w:t>事项概述</w:t>
            </w:r>
          </w:p>
        </w:tc>
        <w:tc>
          <w:tcPr>
            <w:tcW w:w="4710"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left="9" w:right="0"/>
              <w:jc w:val="center"/>
              <w:rPr>
                <w:rFonts w:ascii="宋体" w:hAnsi="宋体" w:cs="宋体" w:eastAsia="宋体" w:hint="default"/>
                <w:sz w:val="21"/>
                <w:szCs w:val="21"/>
              </w:rPr>
            </w:pPr>
            <w:r>
              <w:rPr>
                <w:rFonts w:ascii="宋体" w:hAnsi="宋体" w:cs="宋体" w:eastAsia="宋体" w:hint="default"/>
                <w:sz w:val="21"/>
                <w:szCs w:val="21"/>
              </w:rPr>
              <w:t>查询索引</w:t>
            </w:r>
          </w:p>
        </w:tc>
      </w:tr>
      <w:tr>
        <w:trPr>
          <w:trHeight w:val="838" w:hRule="exact"/>
        </w:trPr>
        <w:tc>
          <w:tcPr>
            <w:tcW w:w="4709" w:type="dxa"/>
            <w:tcBorders>
              <w:top w:val="single" w:sz="6" w:space="0" w:color="000000"/>
              <w:left w:val="single" w:sz="12" w:space="0" w:color="000000"/>
              <w:bottom w:val="single" w:sz="12" w:space="0" w:color="000000"/>
              <w:right w:val="single" w:sz="6" w:space="0" w:color="000000"/>
            </w:tcBorders>
          </w:tcPr>
          <w:p>
            <w:pPr>
              <w:pStyle w:val="TableParagraph"/>
              <w:spacing w:line="239" w:lineRule="exact"/>
              <w:ind w:left="93" w:right="0"/>
              <w:jc w:val="left"/>
              <w:rPr>
                <w:rFonts w:ascii="宋体" w:hAnsi="宋体" w:cs="宋体" w:eastAsia="宋体" w:hint="default"/>
                <w:sz w:val="21"/>
                <w:szCs w:val="21"/>
              </w:rPr>
            </w:pPr>
            <w:r>
              <w:rPr>
                <w:rFonts w:ascii="宋体" w:hAnsi="宋体" w:cs="宋体" w:eastAsia="宋体" w:hint="default"/>
                <w:spacing w:val="2"/>
                <w:sz w:val="21"/>
                <w:szCs w:val="21"/>
              </w:rPr>
              <w:t>公司拟将持有的下属同方鼎欣信息技术有限公司</w:t>
            </w:r>
          </w:p>
          <w:p>
            <w:pPr>
              <w:pStyle w:val="TableParagraph"/>
              <w:spacing w:line="300" w:lineRule="exact"/>
              <w:ind w:left="93" w:right="0"/>
              <w:jc w:val="left"/>
              <w:rPr>
                <w:rFonts w:ascii="宋体" w:hAnsi="宋体" w:cs="宋体" w:eastAsia="宋体" w:hint="default"/>
                <w:sz w:val="21"/>
                <w:szCs w:val="21"/>
              </w:rPr>
            </w:pPr>
            <w:r>
              <w:rPr>
                <w:rFonts w:ascii="Calibri" w:hAnsi="Calibri" w:cs="Calibri" w:eastAsia="Calibri" w:hint="default"/>
                <w:sz w:val="21"/>
                <w:szCs w:val="21"/>
              </w:rPr>
              <w:t>60%</w:t>
            </w:r>
            <w:r>
              <w:rPr>
                <w:rFonts w:ascii="宋体" w:hAnsi="宋体" w:cs="宋体" w:eastAsia="宋体" w:hint="default"/>
                <w:sz w:val="21"/>
                <w:szCs w:val="21"/>
              </w:rPr>
              <w:t>的股权转让给嘉融投资有限公司等受让方。</w:t>
            </w:r>
          </w:p>
        </w:tc>
        <w:tc>
          <w:tcPr>
            <w:tcW w:w="4710" w:type="dxa"/>
            <w:tcBorders>
              <w:top w:val="single" w:sz="6" w:space="0" w:color="000000"/>
              <w:left w:val="single" w:sz="6" w:space="0" w:color="000000"/>
              <w:bottom w:val="single" w:sz="12" w:space="0" w:color="000000"/>
              <w:right w:val="single" w:sz="12"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2"/>
                <w:sz w:val="21"/>
                <w:szCs w:val="21"/>
              </w:rPr>
              <w:t> </w:t>
            </w:r>
            <w:r>
              <w:rPr>
                <w:rFonts w:ascii="宋体" w:hAnsi="宋体" w:cs="宋体" w:eastAsia="宋体" w:hint="default"/>
                <w:sz w:val="21"/>
                <w:szCs w:val="21"/>
              </w:rPr>
              <w:t>2015</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29</w:t>
            </w:r>
            <w:r>
              <w:rPr>
                <w:rFonts w:ascii="宋体" w:hAnsi="宋体" w:cs="宋体" w:eastAsia="宋体" w:hint="default"/>
                <w:spacing w:val="-53"/>
                <w:sz w:val="21"/>
                <w:szCs w:val="21"/>
              </w:rPr>
              <w:t> </w:t>
            </w:r>
            <w:r>
              <w:rPr>
                <w:rFonts w:ascii="宋体" w:hAnsi="宋体" w:cs="宋体" w:eastAsia="宋体" w:hint="default"/>
                <w:spacing w:val="-20"/>
                <w:sz w:val="21"/>
                <w:szCs w:val="21"/>
              </w:rPr>
              <w:t>日、</w:t>
            </w:r>
            <w:r>
              <w:rPr>
                <w:rFonts w:ascii="宋体" w:hAnsi="宋体" w:cs="宋体" w:eastAsia="宋体" w:hint="default"/>
                <w:spacing w:val="-20"/>
                <w:sz w:val="21"/>
                <w:szCs w:val="21"/>
              </w:rPr>
              <w:t>11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24</w:t>
            </w:r>
            <w:r>
              <w:rPr>
                <w:rFonts w:ascii="宋体" w:hAnsi="宋体" w:cs="宋体" w:eastAsia="宋体" w:hint="default"/>
                <w:spacing w:val="-53"/>
                <w:sz w:val="21"/>
                <w:szCs w:val="21"/>
              </w:rPr>
              <w:t> </w:t>
            </w:r>
            <w:r>
              <w:rPr>
                <w:rFonts w:ascii="宋体" w:hAnsi="宋体" w:cs="宋体" w:eastAsia="宋体" w:hint="default"/>
                <w:sz w:val="21"/>
                <w:szCs w:val="21"/>
              </w:rPr>
              <w:t>日刊登在中国</w:t>
            </w:r>
          </w:p>
          <w:p>
            <w:pPr>
              <w:pStyle w:val="TableParagraph"/>
              <w:spacing w:line="240" w:lineRule="auto"/>
              <w:ind w:left="100" w:right="92"/>
              <w:jc w:val="left"/>
              <w:rPr>
                <w:rFonts w:ascii="宋体" w:hAnsi="宋体" w:cs="宋体" w:eastAsia="宋体" w:hint="default"/>
                <w:sz w:val="21"/>
                <w:szCs w:val="21"/>
              </w:rPr>
            </w:pPr>
            <w:r>
              <w:rPr>
                <w:rFonts w:ascii="宋体" w:hAnsi="宋体" w:cs="宋体" w:eastAsia="宋体" w:hint="default"/>
                <w:spacing w:val="2"/>
                <w:sz w:val="21"/>
                <w:szCs w:val="21"/>
              </w:rPr>
              <w:t>证券报、上海证券报、证券时报和上海证券交易</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所网站</w:t>
            </w:r>
            <w:r>
              <w:rPr>
                <w:rFonts w:ascii="宋体" w:hAnsi="宋体" w:cs="宋体" w:eastAsia="宋体" w:hint="default"/>
                <w:spacing w:val="-52"/>
                <w:sz w:val="21"/>
                <w:szCs w:val="21"/>
              </w:rPr>
              <w:t> </w:t>
            </w:r>
            <w:r>
              <w:rPr>
                <w:rFonts w:ascii="宋体" w:hAnsi="宋体" w:cs="宋体" w:eastAsia="宋体" w:hint="default"/>
                <w:color w:val="0000FF"/>
                <w:spacing w:val="-52"/>
                <w:sz w:val="21"/>
                <w:szCs w:val="21"/>
              </w:rPr>
            </w:r>
            <w:hyperlink r:id="rId12">
              <w:r>
                <w:rPr>
                  <w:rFonts w:ascii="宋体" w:hAnsi="宋体" w:cs="宋体" w:eastAsia="宋体" w:hint="default"/>
                  <w:color w:val="0000FF"/>
                  <w:sz w:val="21"/>
                  <w:szCs w:val="21"/>
                  <w:u w:val="single" w:color="0000FF"/>
                </w:rPr>
                <w:t>www.sse.com.cn</w:t>
              </w:r>
              <w:r>
                <w:rPr>
                  <w:rFonts w:ascii="宋体" w:hAnsi="宋体" w:cs="宋体" w:eastAsia="宋体" w:hint="default"/>
                  <w:color w:val="0000FF"/>
                  <w:spacing w:val="-55"/>
                  <w:sz w:val="21"/>
                  <w:szCs w:val="21"/>
                  <w:u w:val="single" w:color="0000FF"/>
                </w:rPr>
                <w:t> </w:t>
              </w:r>
              <w:r>
                <w:rPr>
                  <w:rFonts w:ascii="宋体" w:hAnsi="宋体" w:cs="宋体" w:eastAsia="宋体" w:hint="default"/>
                  <w:color w:val="0000FF"/>
                  <w:spacing w:val="-55"/>
                  <w:sz w:val="21"/>
                  <w:szCs w:val="21"/>
                </w:rPr>
              </w:r>
            </w:hyperlink>
            <w:r>
              <w:rPr>
                <w:rFonts w:ascii="宋体" w:hAnsi="宋体" w:cs="宋体" w:eastAsia="宋体" w:hint="default"/>
                <w:sz w:val="21"/>
                <w:szCs w:val="21"/>
              </w:rPr>
              <w:t>上的公告</w:t>
            </w:r>
          </w:p>
        </w:tc>
      </w:tr>
    </w:tbl>
    <w:p>
      <w:pPr>
        <w:spacing w:line="240" w:lineRule="auto" w:before="13"/>
        <w:rPr>
          <w:rFonts w:ascii="宋体" w:hAnsi="宋体" w:cs="宋体" w:eastAsia="宋体" w:hint="default"/>
          <w:b/>
          <w:bCs/>
          <w:sz w:val="18"/>
          <w:szCs w:val="18"/>
        </w:rPr>
      </w:pPr>
    </w:p>
    <w:p>
      <w:pPr>
        <w:pStyle w:val="Heading3"/>
        <w:spacing w:line="240" w:lineRule="auto" w:before="26"/>
        <w:ind w:right="110"/>
        <w:jc w:val="left"/>
        <w:rPr>
          <w:b w:val="0"/>
          <w:bCs w:val="0"/>
        </w:rPr>
      </w:pPr>
      <w:r>
        <w:rPr>
          <w:rFonts w:ascii="宋体" w:hAnsi="宋体" w:cs="宋体" w:eastAsia="宋体" w:hint="default"/>
        </w:rPr>
        <w:t>2</w:t>
      </w:r>
      <w:r>
        <w:rPr/>
        <w:t>、已在临时公告披露，但有后续实施的进展或变化的事项</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left="238" w:right="242"/>
        <w:jc w:val="both"/>
        <w:rPr>
          <w:rFonts w:ascii="宋体" w:hAnsi="宋体" w:cs="宋体" w:eastAsia="宋体" w:hint="default"/>
        </w:rPr>
      </w:pPr>
      <w:r>
        <w:rPr>
          <w:rFonts w:ascii="宋体" w:hAnsi="宋体" w:cs="宋体" w:eastAsia="宋体" w:hint="default"/>
        </w:rPr>
        <w:t>2015</w:t>
      </w:r>
      <w:r>
        <w:rPr>
          <w:rFonts w:ascii="宋体" w:hAnsi="宋体" w:cs="宋体" w:eastAsia="宋体" w:hint="default"/>
          <w:spacing w:val="-55"/>
        </w:rPr>
        <w:t> </w:t>
      </w:r>
      <w:r>
        <w:rPr/>
        <w:t>年</w:t>
      </w:r>
      <w:r>
        <w:rPr>
          <w:spacing w:val="-57"/>
        </w:rPr>
        <w:t> </w:t>
      </w:r>
      <w:r>
        <w:rPr>
          <w:rFonts w:ascii="宋体" w:hAnsi="宋体" w:cs="宋体" w:eastAsia="宋体" w:hint="default"/>
        </w:rPr>
        <w:t>11</w:t>
      </w:r>
      <w:r>
        <w:rPr>
          <w:rFonts w:ascii="宋体" w:hAnsi="宋体" w:cs="宋体" w:eastAsia="宋体" w:hint="default"/>
          <w:spacing w:val="-55"/>
        </w:rPr>
        <w:t> </w:t>
      </w:r>
      <w:r>
        <w:rPr/>
        <w:t>月</w:t>
      </w:r>
      <w:r>
        <w:rPr>
          <w:spacing w:val="-55"/>
        </w:rPr>
        <w:t> </w:t>
      </w:r>
      <w:r>
        <w:rPr>
          <w:rFonts w:ascii="宋体" w:hAnsi="宋体" w:cs="宋体" w:eastAsia="宋体" w:hint="default"/>
        </w:rPr>
        <w:t>2</w:t>
      </w:r>
      <w:r>
        <w:rPr>
          <w:rFonts w:ascii="宋体" w:hAnsi="宋体" w:cs="宋体" w:eastAsia="宋体" w:hint="default"/>
          <w:spacing w:val="-55"/>
        </w:rPr>
        <w:t> </w:t>
      </w:r>
      <w:r>
        <w:rPr>
          <w:spacing w:val="-4"/>
        </w:rPr>
        <w:t>日，公司召开第六届董事会第二十六次会议，审议通过了《关于向紫光春</w:t>
      </w:r>
      <w:r>
        <w:rPr/>
        <w:t> 华转让同方国芯</w:t>
      </w:r>
      <w:r>
        <w:rPr>
          <w:spacing w:val="-39"/>
        </w:rPr>
        <w:t> </w:t>
      </w:r>
      <w:r>
        <w:rPr>
          <w:rFonts w:ascii="宋体" w:hAnsi="宋体" w:cs="宋体" w:eastAsia="宋体" w:hint="default"/>
        </w:rPr>
        <w:t>36.39%</w:t>
      </w:r>
      <w:r>
        <w:rPr/>
        <w:t>股权的关联交易暨预计新增日常关联交易的议案》，拟将公司持 有的同方国芯</w:t>
      </w:r>
      <w:r>
        <w:rPr>
          <w:spacing w:val="-39"/>
        </w:rPr>
        <w:t> </w:t>
      </w:r>
      <w:r>
        <w:rPr>
          <w:rFonts w:ascii="宋体" w:hAnsi="宋体" w:cs="宋体" w:eastAsia="宋体" w:hint="default"/>
        </w:rPr>
        <w:t>36.39%</w:t>
      </w:r>
      <w:r>
        <w:rPr/>
        <w:t>的股权转让给西藏紫光春华投资有限公司，本次转让完成后，公司 对同方国芯的持股比例由 </w:t>
      </w:r>
      <w:r>
        <w:rPr>
          <w:rFonts w:ascii="宋体" w:hAnsi="宋体" w:cs="宋体" w:eastAsia="宋体" w:hint="default"/>
        </w:rPr>
        <w:t>41.38%</w:t>
      </w:r>
      <w:r>
        <w:rPr/>
        <w:t>降至</w:t>
      </w:r>
      <w:r>
        <w:rPr>
          <w:spacing w:val="-39"/>
        </w:rPr>
        <w:t> </w:t>
      </w:r>
      <w:r>
        <w:rPr>
          <w:rFonts w:ascii="宋体" w:hAnsi="宋体" w:cs="宋体" w:eastAsia="宋体" w:hint="default"/>
        </w:rPr>
        <w:t>4.99%</w:t>
      </w:r>
      <w:r>
        <w:rPr/>
        <w:t>，公司不再将其纳入合并范围。本次交易标 的为公司持有的同方国芯的</w:t>
      </w:r>
      <w:r>
        <w:rPr>
          <w:spacing w:val="-79"/>
        </w:rPr>
        <w:t> </w:t>
      </w:r>
      <w:r>
        <w:rPr>
          <w:rFonts w:ascii="宋体" w:hAnsi="宋体" w:cs="宋体" w:eastAsia="宋体" w:hint="default"/>
        </w:rPr>
        <w:t>220,835,000</w:t>
      </w:r>
      <w:r>
        <w:rPr>
          <w:rFonts w:ascii="宋体" w:hAnsi="宋体" w:cs="宋体" w:eastAsia="宋体" w:hint="default"/>
          <w:spacing w:val="-79"/>
        </w:rPr>
        <w:t> </w:t>
      </w:r>
      <w:r>
        <w:rPr/>
        <w:t>股股票，定价方式为按照同方国芯停牌前</w:t>
      </w:r>
      <w:r>
        <w:rPr>
          <w:rFonts w:ascii="宋体" w:hAnsi="宋体" w:cs="宋体" w:eastAsia="宋体" w:hint="default"/>
        </w:rPr>
        <w:t>(2015</w:t>
      </w:r>
    </w:p>
    <w:p>
      <w:pPr>
        <w:pStyle w:val="BodyText"/>
        <w:spacing w:line="309" w:lineRule="exact"/>
        <w:ind w:left="238" w:right="110"/>
        <w:jc w:val="left"/>
      </w:pPr>
      <w:r>
        <w:rPr/>
        <w:t>年</w:t>
      </w:r>
      <w:r>
        <w:rPr>
          <w:spacing w:val="-58"/>
        </w:rPr>
        <w:t> </w:t>
      </w:r>
      <w:r>
        <w:rPr>
          <w:rFonts w:ascii="宋体" w:hAnsi="宋体" w:cs="宋体" w:eastAsia="宋体" w:hint="default"/>
        </w:rPr>
        <w:t>10</w:t>
      </w:r>
      <w:r>
        <w:rPr>
          <w:rFonts w:ascii="宋体" w:hAnsi="宋体" w:cs="宋体" w:eastAsia="宋体" w:hint="default"/>
          <w:spacing w:val="-58"/>
        </w:rPr>
        <w:t> </w:t>
      </w:r>
      <w:r>
        <w:rPr/>
        <w:t>月</w:t>
      </w:r>
      <w:r>
        <w:rPr>
          <w:spacing w:val="-58"/>
        </w:rPr>
        <w:t> </w:t>
      </w:r>
      <w:r>
        <w:rPr>
          <w:rFonts w:ascii="宋体" w:hAnsi="宋体" w:cs="宋体" w:eastAsia="宋体" w:hint="default"/>
        </w:rPr>
        <w:t>12</w:t>
      </w:r>
      <w:r>
        <w:rPr>
          <w:rFonts w:ascii="宋体" w:hAnsi="宋体" w:cs="宋体" w:eastAsia="宋体" w:hint="default"/>
          <w:spacing w:val="-58"/>
        </w:rPr>
        <w:t> </w:t>
      </w:r>
      <w:r>
        <w:rPr/>
        <w:t>日</w:t>
      </w:r>
      <w:r>
        <w:rPr>
          <w:rFonts w:ascii="宋体" w:hAnsi="宋体" w:cs="宋体" w:eastAsia="宋体" w:hint="default"/>
        </w:rPr>
        <w:t>)30</w:t>
      </w:r>
      <w:r>
        <w:rPr>
          <w:rFonts w:ascii="宋体" w:hAnsi="宋体" w:cs="宋体" w:eastAsia="宋体" w:hint="default"/>
          <w:spacing w:val="-58"/>
        </w:rPr>
        <w:t> </w:t>
      </w:r>
      <w:r>
        <w:rPr/>
        <w:t>个交易日均价</w:t>
      </w:r>
      <w:r>
        <w:rPr>
          <w:spacing w:val="-57"/>
        </w:rPr>
        <w:t> </w:t>
      </w:r>
      <w:r>
        <w:rPr>
          <w:rFonts w:ascii="宋体" w:hAnsi="宋体" w:cs="宋体" w:eastAsia="宋体" w:hint="default"/>
        </w:rPr>
        <w:t>31.75</w:t>
      </w:r>
      <w:r>
        <w:rPr>
          <w:rFonts w:ascii="宋体" w:hAnsi="宋体" w:cs="宋体" w:eastAsia="宋体" w:hint="default"/>
          <w:spacing w:val="-58"/>
        </w:rPr>
        <w:t> </w:t>
      </w:r>
      <w:r>
        <w:rPr/>
        <w:t>元</w:t>
      </w:r>
      <w:r>
        <w:rPr>
          <w:rFonts w:ascii="宋体" w:hAnsi="宋体" w:cs="宋体" w:eastAsia="宋体" w:hint="default"/>
        </w:rPr>
        <w:t>/</w:t>
      </w:r>
      <w:r>
        <w:rPr/>
        <w:t>股确定，交易金额约为</w:t>
      </w:r>
      <w:r>
        <w:rPr>
          <w:spacing w:val="-58"/>
        </w:rPr>
        <w:t> </w:t>
      </w:r>
      <w:r>
        <w:rPr>
          <w:rFonts w:ascii="宋体" w:hAnsi="宋体" w:cs="宋体" w:eastAsia="宋体" w:hint="default"/>
        </w:rPr>
        <w:t>70.12</w:t>
      </w:r>
      <w:r>
        <w:rPr>
          <w:rFonts w:ascii="宋体" w:hAnsi="宋体" w:cs="宋体" w:eastAsia="宋体" w:hint="default"/>
          <w:spacing w:val="-57"/>
        </w:rPr>
        <w:t> </w:t>
      </w:r>
      <w:r>
        <w:rPr/>
        <w:t>亿元。公司已于</w:t>
      </w:r>
    </w:p>
    <w:p>
      <w:pPr>
        <w:pStyle w:val="BodyText"/>
        <w:spacing w:line="312" w:lineRule="exact" w:before="29"/>
        <w:ind w:left="238" w:right="232"/>
        <w:jc w:val="left"/>
      </w:pPr>
      <w:r>
        <w:rPr>
          <w:rFonts w:ascii="宋体" w:hAnsi="宋体" w:cs="宋体" w:eastAsia="宋体" w:hint="default"/>
        </w:rPr>
        <w:t>2015</w:t>
      </w:r>
      <w:r>
        <w:rPr>
          <w:rFonts w:ascii="宋体" w:hAnsi="宋体" w:cs="宋体" w:eastAsia="宋体" w:hint="default"/>
          <w:spacing w:val="-58"/>
        </w:rPr>
        <w:t> </w:t>
      </w:r>
      <w:r>
        <w:rPr/>
        <w:t>年</w:t>
      </w:r>
      <w:r>
        <w:rPr>
          <w:spacing w:val="-58"/>
        </w:rPr>
        <w:t> </w:t>
      </w:r>
      <w:r>
        <w:rPr>
          <w:rFonts w:ascii="宋体" w:hAnsi="宋体" w:cs="宋体" w:eastAsia="宋体" w:hint="default"/>
        </w:rPr>
        <w:t>11</w:t>
      </w:r>
      <w:r>
        <w:rPr>
          <w:rFonts w:ascii="宋体" w:hAnsi="宋体" w:cs="宋体" w:eastAsia="宋体" w:hint="default"/>
          <w:spacing w:val="-58"/>
        </w:rPr>
        <w:t> </w:t>
      </w:r>
      <w:r>
        <w:rPr/>
        <w:t>月</w:t>
      </w:r>
      <w:r>
        <w:rPr>
          <w:spacing w:val="-58"/>
        </w:rPr>
        <w:t> </w:t>
      </w:r>
      <w:r>
        <w:rPr>
          <w:rFonts w:ascii="宋体" w:hAnsi="宋体" w:cs="宋体" w:eastAsia="宋体" w:hint="default"/>
        </w:rPr>
        <w:t>2</w:t>
      </w:r>
      <w:r>
        <w:rPr>
          <w:rFonts w:ascii="宋体" w:hAnsi="宋体" w:cs="宋体" w:eastAsia="宋体" w:hint="default"/>
          <w:spacing w:val="-58"/>
        </w:rPr>
        <w:t> </w:t>
      </w:r>
      <w:r>
        <w:rPr/>
        <w:t>日与紫光春华签署了《股份转让协议》，上述议案也已经公司</w:t>
      </w:r>
      <w:r>
        <w:rPr>
          <w:spacing w:val="-56"/>
        </w:rPr>
        <w:t> </w:t>
      </w:r>
      <w:r>
        <w:rPr>
          <w:rFonts w:ascii="宋体" w:hAnsi="宋体" w:cs="宋体" w:eastAsia="宋体" w:hint="default"/>
        </w:rPr>
        <w:t>2015</w:t>
      </w:r>
      <w:r>
        <w:rPr>
          <w:rFonts w:ascii="宋体" w:hAnsi="宋体" w:cs="宋体" w:eastAsia="宋体" w:hint="default"/>
          <w:spacing w:val="-58"/>
        </w:rPr>
        <w:t> </w:t>
      </w:r>
      <w:r>
        <w:rPr/>
        <w:t>年第 三次临时股东大会审议通过。</w:t>
      </w:r>
    </w:p>
    <w:p>
      <w:pPr>
        <w:spacing w:line="240" w:lineRule="auto" w:before="9"/>
        <w:rPr>
          <w:rFonts w:ascii="宋体" w:hAnsi="宋体" w:cs="宋体" w:eastAsia="宋体" w:hint="default"/>
          <w:sz w:val="23"/>
          <w:szCs w:val="23"/>
        </w:rPr>
      </w:pPr>
    </w:p>
    <w:p>
      <w:pPr>
        <w:pStyle w:val="BodyText"/>
        <w:spacing w:line="312" w:lineRule="exact"/>
        <w:ind w:left="238" w:right="110"/>
        <w:jc w:val="left"/>
      </w:pPr>
      <w:r>
        <w:rPr/>
        <w:t>截至本报告披露日，上述股份转让事宜已经获得财政部审核批准、商务部反垄断审查和</w:t>
      </w:r>
      <w:r>
        <w:rPr>
          <w:spacing w:val="-51"/>
        </w:rPr>
        <w:t> </w:t>
      </w:r>
      <w:r>
        <w:rPr>
          <w:spacing w:val="-51"/>
        </w:rPr>
      </w:r>
      <w:r>
        <w:rPr>
          <w:spacing w:val="-6"/>
        </w:rPr>
        <w:t>证监会要约收购豁免核准。公司与紫光春华已于</w:t>
      </w:r>
      <w:r>
        <w:rPr>
          <w:spacing w:val="-73"/>
        </w:rPr>
        <w:t> </w:t>
      </w:r>
      <w:r>
        <w:rPr>
          <w:rFonts w:ascii="宋体" w:hAnsi="宋体" w:cs="宋体" w:eastAsia="宋体" w:hint="default"/>
        </w:rPr>
        <w:t>2016</w:t>
      </w:r>
      <w:r>
        <w:rPr>
          <w:rFonts w:ascii="宋体" w:hAnsi="宋体" w:cs="宋体" w:eastAsia="宋体" w:hint="default"/>
          <w:spacing w:val="-74"/>
        </w:rPr>
        <w:t> </w:t>
      </w:r>
      <w:r>
        <w:rPr/>
        <w:t>年</w:t>
      </w:r>
      <w:r>
        <w:rPr>
          <w:spacing w:val="-74"/>
        </w:rPr>
        <w:t> </w:t>
      </w:r>
      <w:r>
        <w:rPr>
          <w:rFonts w:ascii="宋体" w:hAnsi="宋体" w:cs="宋体" w:eastAsia="宋体" w:hint="default"/>
        </w:rPr>
        <w:t>4</w:t>
      </w:r>
      <w:r>
        <w:rPr>
          <w:rFonts w:ascii="宋体" w:hAnsi="宋体" w:cs="宋体" w:eastAsia="宋体" w:hint="default"/>
          <w:spacing w:val="-74"/>
        </w:rPr>
        <w:t> </w:t>
      </w:r>
      <w:r>
        <w:rPr/>
        <w:t>月</w:t>
      </w:r>
      <w:r>
        <w:rPr>
          <w:spacing w:val="-74"/>
        </w:rPr>
        <w:t> </w:t>
      </w:r>
      <w:r>
        <w:rPr>
          <w:rFonts w:ascii="宋体" w:hAnsi="宋体" w:cs="宋体" w:eastAsia="宋体" w:hint="default"/>
        </w:rPr>
        <w:t>7</w:t>
      </w:r>
      <w:r>
        <w:rPr>
          <w:rFonts w:ascii="宋体" w:hAnsi="宋体" w:cs="宋体" w:eastAsia="宋体" w:hint="default"/>
          <w:spacing w:val="-74"/>
        </w:rPr>
        <w:t> </w:t>
      </w:r>
      <w:r>
        <w:rPr/>
        <w:t>日办理完成同方国芯</w:t>
      </w:r>
      <w:r>
        <w:rPr>
          <w:spacing w:val="-73"/>
        </w:rPr>
        <w:t> </w:t>
      </w:r>
      <w:r>
        <w:rPr>
          <w:rFonts w:ascii="宋体" w:hAnsi="宋体" w:cs="宋体" w:eastAsia="宋体" w:hint="default"/>
        </w:rPr>
        <w:t>36.39% </w:t>
      </w:r>
      <w:r>
        <w:rPr/>
        <w:t>股权的过户手续。</w:t>
      </w:r>
    </w:p>
    <w:p>
      <w:pPr>
        <w:spacing w:line="240" w:lineRule="auto" w:before="4"/>
        <w:rPr>
          <w:rFonts w:ascii="宋体" w:hAnsi="宋体" w:cs="宋体" w:eastAsia="宋体" w:hint="default"/>
          <w:sz w:val="21"/>
          <w:szCs w:val="21"/>
        </w:rPr>
      </w:pPr>
    </w:p>
    <w:p>
      <w:pPr>
        <w:pStyle w:val="BodyText"/>
        <w:spacing w:line="313" w:lineRule="exact"/>
        <w:ind w:left="238" w:right="110"/>
        <w:jc w:val="left"/>
        <w:rPr>
          <w:rFonts w:ascii="宋体" w:hAnsi="宋体" w:cs="宋体" w:eastAsia="宋体" w:hint="default"/>
        </w:rPr>
      </w:pPr>
      <w:r>
        <w:rPr/>
        <w:t>关于本次交易的相关信息，投资者也可参阅公司于</w:t>
      </w:r>
      <w:r>
        <w:rPr>
          <w:spacing w:val="-40"/>
        </w:rPr>
        <w:t> </w:t>
      </w:r>
      <w:r>
        <w:rPr>
          <w:rFonts w:ascii="宋体" w:hAnsi="宋体" w:cs="宋体" w:eastAsia="宋体" w:hint="default"/>
        </w:rPr>
        <w:t>2015</w:t>
      </w:r>
      <w:r>
        <w:rPr>
          <w:rFonts w:ascii="宋体" w:hAnsi="宋体" w:cs="宋体" w:eastAsia="宋体" w:hint="default"/>
          <w:spacing w:val="-41"/>
        </w:rPr>
        <w:t> </w:t>
      </w:r>
      <w:r>
        <w:rPr/>
        <w:t>年</w:t>
      </w:r>
      <w:r>
        <w:rPr>
          <w:spacing w:val="-41"/>
        </w:rPr>
        <w:t> </w:t>
      </w:r>
      <w:r>
        <w:rPr>
          <w:rFonts w:ascii="宋体" w:hAnsi="宋体" w:cs="宋体" w:eastAsia="宋体" w:hint="default"/>
        </w:rPr>
        <w:t>11</w:t>
      </w:r>
      <w:r>
        <w:rPr>
          <w:rFonts w:ascii="宋体" w:hAnsi="宋体" w:cs="宋体" w:eastAsia="宋体" w:hint="default"/>
          <w:spacing w:val="-41"/>
        </w:rPr>
        <w:t> </w:t>
      </w:r>
      <w:r>
        <w:rPr/>
        <w:t>月</w:t>
      </w:r>
      <w:r>
        <w:rPr>
          <w:spacing w:val="-41"/>
        </w:rPr>
        <w:t> </w:t>
      </w:r>
      <w:r>
        <w:rPr>
          <w:rFonts w:ascii="宋体" w:hAnsi="宋体" w:cs="宋体" w:eastAsia="宋体" w:hint="default"/>
        </w:rPr>
        <w:t>3</w:t>
      </w:r>
      <w:r>
        <w:rPr>
          <w:rFonts w:ascii="宋体" w:hAnsi="宋体" w:cs="宋体" w:eastAsia="宋体" w:hint="default"/>
          <w:spacing w:val="-39"/>
        </w:rPr>
        <w:t> </w:t>
      </w:r>
      <w:r>
        <w:rPr/>
        <w:t>日、</w:t>
      </w:r>
      <w:r>
        <w:rPr>
          <w:rFonts w:ascii="宋体" w:hAnsi="宋体" w:cs="宋体" w:eastAsia="宋体" w:hint="default"/>
        </w:rPr>
        <w:t>2015</w:t>
      </w:r>
      <w:r>
        <w:rPr>
          <w:rFonts w:ascii="宋体" w:hAnsi="宋体" w:cs="宋体" w:eastAsia="宋体" w:hint="default"/>
          <w:spacing w:val="-41"/>
        </w:rPr>
        <w:t> </w:t>
      </w:r>
      <w:r>
        <w:rPr/>
        <w:t>年</w:t>
      </w:r>
      <w:r>
        <w:rPr>
          <w:spacing w:val="-41"/>
        </w:rPr>
        <w:t> </w:t>
      </w:r>
      <w:r>
        <w:rPr>
          <w:rFonts w:ascii="宋体" w:hAnsi="宋体" w:cs="宋体" w:eastAsia="宋体" w:hint="default"/>
        </w:rPr>
        <w:t>11</w:t>
      </w:r>
      <w:r>
        <w:rPr>
          <w:rFonts w:ascii="宋体" w:hAnsi="宋体" w:cs="宋体" w:eastAsia="宋体" w:hint="default"/>
          <w:spacing w:val="-39"/>
        </w:rPr>
        <w:t> </w:t>
      </w:r>
      <w:r>
        <w:rPr/>
        <w:t>月</w:t>
      </w:r>
      <w:r>
        <w:rPr>
          <w:spacing w:val="-41"/>
        </w:rPr>
        <w:t> </w:t>
      </w:r>
      <w:r>
        <w:rPr>
          <w:rFonts w:ascii="宋体" w:hAnsi="宋体" w:cs="宋体" w:eastAsia="宋体" w:hint="default"/>
        </w:rPr>
        <w:t>4</w:t>
      </w:r>
    </w:p>
    <w:p>
      <w:pPr>
        <w:pStyle w:val="BodyText"/>
        <w:spacing w:line="310" w:lineRule="exact" w:before="31"/>
        <w:ind w:left="238" w:right="241"/>
        <w:jc w:val="left"/>
      </w:pPr>
      <w:r>
        <w:rPr/>
        <w:t>日、</w:t>
      </w:r>
      <w:r>
        <w:rPr>
          <w:rFonts w:ascii="宋体" w:hAnsi="宋体" w:cs="宋体" w:eastAsia="宋体" w:hint="default"/>
        </w:rPr>
        <w:t>2015</w:t>
      </w:r>
      <w:r>
        <w:rPr>
          <w:rFonts w:ascii="宋体" w:hAnsi="宋体" w:cs="宋体" w:eastAsia="宋体" w:hint="default"/>
          <w:spacing w:val="-62"/>
        </w:rPr>
        <w:t> </w:t>
      </w:r>
      <w:r>
        <w:rPr/>
        <w:t>年</w:t>
      </w:r>
      <w:r>
        <w:rPr>
          <w:spacing w:val="-61"/>
        </w:rPr>
        <w:t> </w:t>
      </w:r>
      <w:r>
        <w:rPr>
          <w:rFonts w:ascii="宋体" w:hAnsi="宋体" w:cs="宋体" w:eastAsia="宋体" w:hint="default"/>
        </w:rPr>
        <w:t>11</w:t>
      </w:r>
      <w:r>
        <w:rPr>
          <w:rFonts w:ascii="宋体" w:hAnsi="宋体" w:cs="宋体" w:eastAsia="宋体" w:hint="default"/>
          <w:spacing w:val="-61"/>
        </w:rPr>
        <w:t> </w:t>
      </w:r>
      <w:r>
        <w:rPr/>
        <w:t>月</w:t>
      </w:r>
      <w:r>
        <w:rPr>
          <w:spacing w:val="-61"/>
        </w:rPr>
        <w:t> </w:t>
      </w:r>
      <w:r>
        <w:rPr>
          <w:rFonts w:ascii="宋体" w:hAnsi="宋体" w:cs="宋体" w:eastAsia="宋体" w:hint="default"/>
        </w:rPr>
        <w:t>19</w:t>
      </w:r>
      <w:r>
        <w:rPr>
          <w:rFonts w:ascii="宋体" w:hAnsi="宋体" w:cs="宋体" w:eastAsia="宋体" w:hint="default"/>
          <w:spacing w:val="-61"/>
        </w:rPr>
        <w:t> </w:t>
      </w:r>
      <w:r>
        <w:rPr/>
        <w:t>日、</w:t>
      </w:r>
      <w:r>
        <w:rPr>
          <w:rFonts w:ascii="宋体" w:hAnsi="宋体" w:cs="宋体" w:eastAsia="宋体" w:hint="default"/>
        </w:rPr>
        <w:t>2016</w:t>
      </w:r>
      <w:r>
        <w:rPr>
          <w:rFonts w:ascii="宋体" w:hAnsi="宋体" w:cs="宋体" w:eastAsia="宋体" w:hint="default"/>
          <w:spacing w:val="-61"/>
        </w:rPr>
        <w:t> </w:t>
      </w:r>
      <w:r>
        <w:rPr/>
        <w:t>年</w:t>
      </w:r>
      <w:r>
        <w:rPr>
          <w:spacing w:val="-61"/>
        </w:rPr>
        <w:t> </w:t>
      </w:r>
      <w:r>
        <w:rPr>
          <w:rFonts w:ascii="宋体" w:hAnsi="宋体" w:cs="宋体" w:eastAsia="宋体" w:hint="default"/>
        </w:rPr>
        <w:t>3</w:t>
      </w:r>
      <w:r>
        <w:rPr>
          <w:rFonts w:ascii="宋体" w:hAnsi="宋体" w:cs="宋体" w:eastAsia="宋体" w:hint="default"/>
          <w:spacing w:val="-61"/>
        </w:rPr>
        <w:t> </w:t>
      </w:r>
      <w:r>
        <w:rPr/>
        <w:t>月</w:t>
      </w:r>
      <w:r>
        <w:rPr>
          <w:spacing w:val="-61"/>
        </w:rPr>
        <w:t> </w:t>
      </w:r>
      <w:r>
        <w:rPr>
          <w:rFonts w:ascii="宋体" w:hAnsi="宋体" w:cs="宋体" w:eastAsia="宋体" w:hint="default"/>
        </w:rPr>
        <w:t>26</w:t>
      </w:r>
      <w:r>
        <w:rPr>
          <w:rFonts w:ascii="宋体" w:hAnsi="宋体" w:cs="宋体" w:eastAsia="宋体" w:hint="default"/>
          <w:spacing w:val="-61"/>
        </w:rPr>
        <w:t> </w:t>
      </w:r>
      <w:r>
        <w:rPr/>
        <w:t>日和</w:t>
      </w:r>
      <w:r>
        <w:rPr>
          <w:spacing w:val="-61"/>
        </w:rPr>
        <w:t> </w:t>
      </w:r>
      <w:r>
        <w:rPr>
          <w:rFonts w:ascii="宋体" w:hAnsi="宋体" w:cs="宋体" w:eastAsia="宋体" w:hint="default"/>
        </w:rPr>
        <w:t>2016</w:t>
      </w:r>
      <w:r>
        <w:rPr>
          <w:rFonts w:ascii="宋体" w:hAnsi="宋体" w:cs="宋体" w:eastAsia="宋体" w:hint="default"/>
          <w:spacing w:val="-61"/>
        </w:rPr>
        <w:t> </w:t>
      </w:r>
      <w:r>
        <w:rPr/>
        <w:t>年</w:t>
      </w:r>
      <w:r>
        <w:rPr>
          <w:spacing w:val="-61"/>
        </w:rPr>
        <w:t> </w:t>
      </w:r>
      <w:r>
        <w:rPr>
          <w:rFonts w:ascii="宋体" w:hAnsi="宋体" w:cs="宋体" w:eastAsia="宋体" w:hint="default"/>
        </w:rPr>
        <w:t>4</w:t>
      </w:r>
      <w:r>
        <w:rPr>
          <w:rFonts w:ascii="宋体" w:hAnsi="宋体" w:cs="宋体" w:eastAsia="宋体" w:hint="default"/>
          <w:spacing w:val="-61"/>
        </w:rPr>
        <w:t> </w:t>
      </w:r>
      <w:r>
        <w:rPr/>
        <w:t>月</w:t>
      </w:r>
      <w:r>
        <w:rPr>
          <w:spacing w:val="-61"/>
        </w:rPr>
        <w:t> </w:t>
      </w:r>
      <w:r>
        <w:rPr>
          <w:rFonts w:ascii="宋体" w:hAnsi="宋体" w:cs="宋体" w:eastAsia="宋体" w:hint="default"/>
        </w:rPr>
        <w:t>9</w:t>
      </w:r>
      <w:r>
        <w:rPr>
          <w:rFonts w:ascii="宋体" w:hAnsi="宋体" w:cs="宋体" w:eastAsia="宋体" w:hint="default"/>
          <w:spacing w:val="-61"/>
        </w:rPr>
        <w:t> </w:t>
      </w:r>
      <w:r>
        <w:rPr>
          <w:spacing w:val="-3"/>
        </w:rPr>
        <w:t>日在《中国证券报》、《上</w:t>
      </w:r>
      <w:r>
        <w:rPr/>
        <w:t> </w:t>
      </w:r>
      <w:r>
        <w:rPr>
          <w:spacing w:val="-4"/>
        </w:rPr>
        <w:t>海证券报》、《证券时报》和上海证券交易所网站</w:t>
      </w:r>
      <w:r>
        <w:rPr>
          <w:rFonts w:ascii="宋体" w:hAnsi="宋体" w:cs="宋体" w:eastAsia="宋体" w:hint="default"/>
          <w:spacing w:val="-4"/>
        </w:rPr>
        <w:t>(www.sse.com.cn)</w:t>
      </w:r>
      <w:r>
        <w:rPr>
          <w:spacing w:val="-4"/>
        </w:rPr>
        <w:t>上披露的相关公告。</w:t>
      </w:r>
    </w:p>
    <w:p>
      <w:pPr>
        <w:spacing w:line="240" w:lineRule="auto" w:before="7"/>
        <w:rPr>
          <w:rFonts w:ascii="宋体" w:hAnsi="宋体" w:cs="宋体" w:eastAsia="宋体" w:hint="default"/>
          <w:sz w:val="21"/>
          <w:szCs w:val="21"/>
        </w:rPr>
      </w:pPr>
    </w:p>
    <w:p>
      <w:pPr>
        <w:spacing w:line="475" w:lineRule="auto" w:before="0"/>
        <w:ind w:left="238" w:right="6401" w:firstLine="256"/>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、临时公告未披露的事项</w:t>
      </w:r>
      <w:r>
        <w:rPr>
          <w:rFonts w:ascii="宋体" w:hAnsi="宋体" w:cs="宋体" w:eastAsia="宋体" w:hint="default"/>
          <w:b/>
          <w:bCs/>
          <w:w w:val="99"/>
          <w:sz w:val="24"/>
          <w:szCs w:val="24"/>
        </w:rPr>
        <w:t> </w:t>
      </w:r>
      <w:r>
        <w:rPr>
          <w:rFonts w:ascii="宋体" w:hAnsi="宋体" w:cs="宋体" w:eastAsia="宋体" w:hint="default"/>
          <w:sz w:val="24"/>
          <w:szCs w:val="24"/>
        </w:rPr>
        <w:t>不适用。</w:t>
      </w:r>
    </w:p>
    <w:p>
      <w:pPr>
        <w:spacing w:after="0" w:line="475" w:lineRule="auto"/>
        <w:jc w:val="left"/>
        <w:rPr>
          <w:rFonts w:ascii="宋体" w:hAnsi="宋体" w:cs="宋体" w:eastAsia="宋体" w:hint="default"/>
          <w:sz w:val="24"/>
          <w:szCs w:val="24"/>
        </w:rPr>
        <w:sectPr>
          <w:pgSz w:w="11910" w:h="16840"/>
          <w:pgMar w:header="628" w:footer="760" w:top="1080" w:bottom="960" w:left="1180" w:right="10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Heading3"/>
        <w:spacing w:line="475" w:lineRule="auto" w:before="26"/>
        <w:ind w:left="238" w:right="3168" w:firstLine="256"/>
        <w:jc w:val="left"/>
        <w:rPr>
          <w:rFonts w:ascii="宋体" w:hAnsi="宋体" w:cs="宋体" w:eastAsia="宋体" w:hint="default"/>
          <w:b w:val="0"/>
          <w:bCs w:val="0"/>
        </w:rPr>
      </w:pPr>
      <w:r>
        <w:rPr>
          <w:rFonts w:ascii="宋体" w:hAnsi="宋体" w:cs="宋体" w:eastAsia="宋体" w:hint="default"/>
        </w:rPr>
        <w:t>4</w:t>
      </w:r>
      <w:r>
        <w:rPr/>
        <w:t>、涉及业绩约定的、应当披露报告期内的业绩实现情况</w:t>
      </w:r>
      <w:r>
        <w:rPr>
          <w:w w:val="99"/>
        </w:rPr>
        <w:t> </w:t>
      </w:r>
      <w:r>
        <w:rPr>
          <w:rFonts w:ascii="宋体" w:hAnsi="宋体" w:cs="宋体" w:eastAsia="宋体" w:hint="default"/>
          <w:b w:val="0"/>
          <w:bCs w:val="0"/>
        </w:rPr>
        <w:t>不适用。</w:t>
      </w:r>
    </w:p>
    <w:p>
      <w:pPr>
        <w:pStyle w:val="Heading3"/>
        <w:spacing w:line="475" w:lineRule="auto" w:before="74"/>
        <w:ind w:right="3408"/>
        <w:jc w:val="left"/>
        <w:rPr>
          <w:b w:val="0"/>
          <w:bCs w:val="0"/>
        </w:rPr>
      </w:pPr>
      <w:r>
        <w:rPr>
          <w:rFonts w:ascii="宋体" w:hAnsi="宋体" w:cs="宋体" w:eastAsia="宋体" w:hint="default"/>
        </w:rPr>
        <w:t>(</w:t>
      </w:r>
      <w:r>
        <w:rPr/>
        <w:t>三</w:t>
      </w:r>
      <w:r>
        <w:rPr>
          <w:rFonts w:ascii="宋体" w:hAnsi="宋体" w:cs="宋体" w:eastAsia="宋体" w:hint="default"/>
        </w:rPr>
        <w:t>)</w:t>
      </w:r>
      <w:r>
        <w:rPr/>
        <w:t>共同对外投资的重大关联交易</w:t>
      </w:r>
      <w:r>
        <w:rPr>
          <w:w w:val="99"/>
        </w:rPr>
        <w:t> </w:t>
      </w:r>
      <w:r>
        <w:rPr>
          <w:rFonts w:ascii="宋体" w:hAnsi="宋体" w:cs="宋体" w:eastAsia="宋体" w:hint="default"/>
        </w:rPr>
        <w:t>1</w:t>
      </w:r>
      <w:r>
        <w:rPr/>
        <w:t>、已在临时公告披露且后续实施无进展或变化的事项</w:t>
      </w:r>
      <w:r>
        <w:rPr>
          <w:b w:val="0"/>
          <w:bCs w:val="0"/>
        </w:rPr>
      </w:r>
    </w:p>
    <w:p>
      <w:pPr>
        <w:spacing w:line="240" w:lineRule="auto" w:before="8"/>
        <w:rPr>
          <w:rFonts w:ascii="宋体" w:hAnsi="宋体" w:cs="宋体" w:eastAsia="宋体" w:hint="default"/>
          <w:b/>
          <w:bCs/>
          <w:sz w:val="8"/>
          <w:szCs w:val="8"/>
        </w:rPr>
      </w:pPr>
    </w:p>
    <w:tbl>
      <w:tblPr>
        <w:tblW w:w="0" w:type="auto"/>
        <w:jc w:val="left"/>
        <w:tblInd w:w="116" w:type="dxa"/>
        <w:tblLayout w:type="fixed"/>
        <w:tblCellMar>
          <w:top w:w="0" w:type="dxa"/>
          <w:left w:w="0" w:type="dxa"/>
          <w:bottom w:w="0" w:type="dxa"/>
          <w:right w:w="0" w:type="dxa"/>
        </w:tblCellMar>
        <w:tblLook w:val="01E0"/>
      </w:tblPr>
      <w:tblGrid>
        <w:gridCol w:w="4525"/>
        <w:gridCol w:w="4525"/>
      </w:tblGrid>
      <w:tr>
        <w:trPr>
          <w:trHeight w:val="295" w:hRule="exact"/>
        </w:trPr>
        <w:tc>
          <w:tcPr>
            <w:tcW w:w="4525" w:type="dxa"/>
            <w:tcBorders>
              <w:top w:val="single" w:sz="12" w:space="0" w:color="000000"/>
              <w:left w:val="single" w:sz="12" w:space="0" w:color="000000"/>
              <w:bottom w:val="single" w:sz="6" w:space="0" w:color="000000"/>
              <w:right w:val="single" w:sz="6" w:space="0" w:color="000000"/>
            </w:tcBorders>
          </w:tcPr>
          <w:p>
            <w:pPr>
              <w:pStyle w:val="TableParagraph"/>
              <w:spacing w:line="243" w:lineRule="exact"/>
              <w:ind w:right="5"/>
              <w:jc w:val="center"/>
              <w:rPr>
                <w:rFonts w:ascii="宋体" w:hAnsi="宋体" w:cs="宋体" w:eastAsia="宋体" w:hint="default"/>
                <w:sz w:val="21"/>
                <w:szCs w:val="21"/>
              </w:rPr>
            </w:pPr>
            <w:r>
              <w:rPr>
                <w:rFonts w:ascii="宋体" w:hAnsi="宋体" w:cs="宋体" w:eastAsia="宋体" w:hint="default"/>
                <w:sz w:val="21"/>
                <w:szCs w:val="21"/>
              </w:rPr>
              <w:t>事项概述</w:t>
            </w:r>
          </w:p>
        </w:tc>
        <w:tc>
          <w:tcPr>
            <w:tcW w:w="4525" w:type="dxa"/>
            <w:tcBorders>
              <w:top w:val="single" w:sz="12" w:space="0" w:color="000000"/>
              <w:left w:val="single" w:sz="6" w:space="0" w:color="000000"/>
              <w:bottom w:val="single" w:sz="6" w:space="0" w:color="000000"/>
              <w:right w:val="single" w:sz="12" w:space="0" w:color="000000"/>
            </w:tcBorders>
          </w:tcPr>
          <w:p>
            <w:pPr>
              <w:pStyle w:val="TableParagraph"/>
              <w:spacing w:line="243" w:lineRule="exact"/>
              <w:ind w:left="7" w:right="0"/>
              <w:jc w:val="center"/>
              <w:rPr>
                <w:rFonts w:ascii="宋体" w:hAnsi="宋体" w:cs="宋体" w:eastAsia="宋体" w:hint="default"/>
                <w:sz w:val="21"/>
                <w:szCs w:val="21"/>
              </w:rPr>
            </w:pPr>
            <w:r>
              <w:rPr>
                <w:rFonts w:ascii="宋体" w:hAnsi="宋体" w:cs="宋体" w:eastAsia="宋体" w:hint="default"/>
                <w:sz w:val="21"/>
                <w:szCs w:val="21"/>
              </w:rPr>
              <w:t>查询索引</w:t>
            </w:r>
          </w:p>
        </w:tc>
      </w:tr>
      <w:tr>
        <w:trPr>
          <w:trHeight w:val="838" w:hRule="exact"/>
        </w:trPr>
        <w:tc>
          <w:tcPr>
            <w:tcW w:w="4525" w:type="dxa"/>
            <w:tcBorders>
              <w:top w:val="single" w:sz="6" w:space="0" w:color="000000"/>
              <w:left w:val="single" w:sz="12" w:space="0" w:color="000000"/>
              <w:bottom w:val="single" w:sz="12" w:space="0" w:color="000000"/>
              <w:right w:val="single" w:sz="6" w:space="0" w:color="000000"/>
            </w:tcBorders>
          </w:tcPr>
          <w:p>
            <w:pPr>
              <w:pStyle w:val="TableParagraph"/>
              <w:spacing w:line="240" w:lineRule="exact"/>
              <w:ind w:left="93" w:right="0"/>
              <w:jc w:val="left"/>
              <w:rPr>
                <w:rFonts w:ascii="宋体" w:hAnsi="宋体" w:cs="宋体" w:eastAsia="宋体" w:hint="default"/>
                <w:sz w:val="21"/>
                <w:szCs w:val="21"/>
              </w:rPr>
            </w:pPr>
            <w:r>
              <w:rPr>
                <w:rFonts w:ascii="宋体" w:hAnsi="宋体" w:cs="宋体" w:eastAsia="宋体" w:hint="default"/>
                <w:spacing w:val="2"/>
                <w:sz w:val="21"/>
                <w:szCs w:val="21"/>
              </w:rPr>
              <w:t>公司拟通过下属全资子公司同方计算机有限公</w:t>
            </w:r>
            <w:r>
              <w:rPr>
                <w:rFonts w:ascii="宋体" w:hAnsi="宋体" w:cs="宋体" w:eastAsia="宋体" w:hint="default"/>
                <w:sz w:val="21"/>
                <w:szCs w:val="21"/>
              </w:rPr>
            </w:r>
          </w:p>
          <w:p>
            <w:pPr>
              <w:pStyle w:val="TableParagraph"/>
              <w:spacing w:line="272" w:lineRule="exact" w:before="27"/>
              <w:ind w:left="93" w:right="96"/>
              <w:jc w:val="left"/>
              <w:rPr>
                <w:rFonts w:ascii="宋体" w:hAnsi="宋体" w:cs="宋体" w:eastAsia="宋体" w:hint="default"/>
                <w:sz w:val="21"/>
                <w:szCs w:val="21"/>
              </w:rPr>
            </w:pPr>
            <w:r>
              <w:rPr>
                <w:rFonts w:ascii="宋体" w:hAnsi="宋体" w:cs="宋体" w:eastAsia="宋体" w:hint="default"/>
                <w:sz w:val="21"/>
                <w:szCs w:val="21"/>
              </w:rPr>
              <w:t>司出资 </w:t>
            </w:r>
            <w:r>
              <w:rPr>
                <w:rFonts w:ascii="Calibri" w:hAnsi="Calibri" w:cs="Calibri" w:eastAsia="Calibri" w:hint="default"/>
                <w:sz w:val="21"/>
                <w:szCs w:val="21"/>
              </w:rPr>
              <w:t>8</w:t>
            </w:r>
            <w:r>
              <w:rPr>
                <w:rFonts w:ascii="Calibri" w:hAnsi="Calibri" w:cs="Calibri" w:eastAsia="Calibri" w:hint="default"/>
                <w:spacing w:val="8"/>
                <w:sz w:val="21"/>
                <w:szCs w:val="21"/>
              </w:rPr>
              <w:t> </w:t>
            </w:r>
            <w:r>
              <w:rPr>
                <w:rFonts w:ascii="宋体" w:hAnsi="宋体" w:cs="宋体" w:eastAsia="宋体" w:hint="default"/>
                <w:sz w:val="21"/>
                <w:szCs w:val="21"/>
              </w:rPr>
              <w:t>亿元认购紫光股份有限公司非公开发</w:t>
            </w:r>
            <w:r>
              <w:rPr>
                <w:rFonts w:ascii="宋体" w:hAnsi="宋体" w:cs="宋体" w:eastAsia="宋体" w:hint="default"/>
                <w:w w:val="100"/>
                <w:sz w:val="21"/>
                <w:szCs w:val="21"/>
              </w:rPr>
              <w:t> </w:t>
            </w:r>
            <w:r>
              <w:rPr>
                <w:rFonts w:ascii="宋体" w:hAnsi="宋体" w:cs="宋体" w:eastAsia="宋体" w:hint="default"/>
                <w:sz w:val="21"/>
                <w:szCs w:val="21"/>
              </w:rPr>
              <w:t>行股票。</w:t>
            </w:r>
          </w:p>
        </w:tc>
        <w:tc>
          <w:tcPr>
            <w:tcW w:w="4525" w:type="dxa"/>
            <w:tcBorders>
              <w:top w:val="single" w:sz="6" w:space="0" w:color="000000"/>
              <w:left w:val="single" w:sz="6" w:space="0" w:color="000000"/>
              <w:bottom w:val="single" w:sz="12"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w w:val="100"/>
                <w:sz w:val="21"/>
                <w:szCs w:val="21"/>
              </w:rPr>
              <w:t>于</w:t>
            </w:r>
            <w:r>
              <w:rPr>
                <w:rFonts w:ascii="宋体" w:hAnsi="宋体" w:cs="宋体" w:eastAsia="宋体" w:hint="default"/>
                <w:spacing w:val="-52"/>
                <w:sz w:val="21"/>
                <w:szCs w:val="21"/>
              </w:rPr>
              <w:t> </w:t>
            </w:r>
            <w:r>
              <w:rPr>
                <w:rFonts w:ascii="宋体" w:hAnsi="宋体" w:cs="宋体" w:eastAsia="宋体" w:hint="default"/>
                <w:w w:val="100"/>
                <w:sz w:val="21"/>
                <w:szCs w:val="21"/>
              </w:rPr>
              <w:t>20</w:t>
            </w:r>
            <w:r>
              <w:rPr>
                <w:rFonts w:ascii="宋体" w:hAnsi="宋体" w:cs="宋体" w:eastAsia="宋体" w:hint="default"/>
                <w:spacing w:val="-3"/>
                <w:w w:val="100"/>
                <w:sz w:val="21"/>
                <w:szCs w:val="21"/>
              </w:rPr>
              <w:t>1</w:t>
            </w:r>
            <w:r>
              <w:rPr>
                <w:rFonts w:ascii="宋体" w:hAnsi="宋体" w:cs="宋体" w:eastAsia="宋体" w:hint="default"/>
                <w:w w:val="100"/>
                <w:sz w:val="21"/>
                <w:szCs w:val="21"/>
              </w:rPr>
              <w:t>5</w:t>
            </w:r>
            <w:r>
              <w:rPr>
                <w:rFonts w:ascii="宋体" w:hAnsi="宋体" w:cs="宋体" w:eastAsia="宋体" w:hint="default"/>
                <w:spacing w:val="-53"/>
                <w:sz w:val="21"/>
                <w:szCs w:val="21"/>
              </w:rPr>
              <w:t> </w:t>
            </w:r>
            <w:r>
              <w:rPr>
                <w:rFonts w:ascii="宋体" w:hAnsi="宋体" w:cs="宋体" w:eastAsia="宋体" w:hint="default"/>
                <w:w w:val="100"/>
                <w:sz w:val="21"/>
                <w:szCs w:val="21"/>
              </w:rPr>
              <w:t>年</w:t>
            </w:r>
            <w:r>
              <w:rPr>
                <w:rFonts w:ascii="宋体" w:hAnsi="宋体" w:cs="宋体" w:eastAsia="宋体" w:hint="default"/>
                <w:spacing w:val="-55"/>
                <w:sz w:val="21"/>
                <w:szCs w:val="21"/>
              </w:rPr>
              <w:t> </w:t>
            </w:r>
            <w:r>
              <w:rPr>
                <w:rFonts w:ascii="宋体" w:hAnsi="宋体" w:cs="宋体" w:eastAsia="宋体" w:hint="default"/>
                <w:w w:val="100"/>
                <w:sz w:val="21"/>
                <w:szCs w:val="21"/>
              </w:rPr>
              <w:t>5</w:t>
            </w:r>
            <w:r>
              <w:rPr>
                <w:rFonts w:ascii="宋体" w:hAnsi="宋体" w:cs="宋体" w:eastAsia="宋体" w:hint="default"/>
                <w:spacing w:val="-53"/>
                <w:sz w:val="21"/>
                <w:szCs w:val="21"/>
              </w:rPr>
              <w:t> </w:t>
            </w:r>
            <w:r>
              <w:rPr>
                <w:rFonts w:ascii="宋体" w:hAnsi="宋体" w:cs="宋体" w:eastAsia="宋体" w:hint="default"/>
                <w:w w:val="100"/>
                <w:sz w:val="21"/>
                <w:szCs w:val="21"/>
              </w:rPr>
              <w:t>月</w:t>
            </w:r>
            <w:r>
              <w:rPr>
                <w:rFonts w:ascii="宋体" w:hAnsi="宋体" w:cs="宋体" w:eastAsia="宋体" w:hint="default"/>
                <w:spacing w:val="-55"/>
                <w:sz w:val="21"/>
                <w:szCs w:val="21"/>
              </w:rPr>
              <w:t> </w:t>
            </w:r>
            <w:r>
              <w:rPr>
                <w:rFonts w:ascii="宋体" w:hAnsi="宋体" w:cs="宋体" w:eastAsia="宋体" w:hint="default"/>
                <w:w w:val="100"/>
                <w:sz w:val="21"/>
                <w:szCs w:val="21"/>
              </w:rPr>
              <w:t>26</w:t>
            </w:r>
            <w:r>
              <w:rPr>
                <w:rFonts w:ascii="宋体" w:hAnsi="宋体" w:cs="宋体" w:eastAsia="宋体" w:hint="default"/>
                <w:spacing w:val="-53"/>
                <w:sz w:val="21"/>
                <w:szCs w:val="21"/>
              </w:rPr>
              <w:t> </w:t>
            </w:r>
            <w:r>
              <w:rPr>
                <w:rFonts w:ascii="宋体" w:hAnsi="宋体" w:cs="宋体" w:eastAsia="宋体" w:hint="default"/>
                <w:spacing w:val="-3"/>
                <w:w w:val="100"/>
                <w:sz w:val="21"/>
                <w:szCs w:val="21"/>
              </w:rPr>
              <w:t>日</w:t>
            </w:r>
            <w:r>
              <w:rPr>
                <w:rFonts w:ascii="宋体" w:hAnsi="宋体" w:cs="宋体" w:eastAsia="宋体" w:hint="default"/>
                <w:w w:val="100"/>
                <w:sz w:val="21"/>
                <w:szCs w:val="21"/>
              </w:rPr>
              <w:t>刊登</w:t>
            </w:r>
            <w:r>
              <w:rPr>
                <w:rFonts w:ascii="宋体" w:hAnsi="宋体" w:cs="宋体" w:eastAsia="宋体" w:hint="default"/>
                <w:spacing w:val="-3"/>
                <w:w w:val="100"/>
                <w:sz w:val="21"/>
                <w:szCs w:val="21"/>
              </w:rPr>
              <w:t>在</w:t>
            </w:r>
            <w:r>
              <w:rPr>
                <w:rFonts w:ascii="宋体" w:hAnsi="宋体" w:cs="宋体" w:eastAsia="宋体" w:hint="default"/>
                <w:w w:val="100"/>
                <w:sz w:val="21"/>
                <w:szCs w:val="21"/>
              </w:rPr>
              <w:t>中</w:t>
            </w:r>
            <w:r>
              <w:rPr>
                <w:rFonts w:ascii="宋体" w:hAnsi="宋体" w:cs="宋体" w:eastAsia="宋体" w:hint="default"/>
                <w:spacing w:val="-3"/>
                <w:w w:val="100"/>
                <w:sz w:val="21"/>
                <w:szCs w:val="21"/>
              </w:rPr>
              <w:t>国</w:t>
            </w: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报</w:t>
            </w:r>
            <w:r>
              <w:rPr>
                <w:rFonts w:ascii="宋体" w:hAnsi="宋体" w:cs="宋体" w:eastAsia="宋体" w:hint="default"/>
                <w:spacing w:val="-104"/>
                <w:w w:val="100"/>
                <w:sz w:val="21"/>
                <w:szCs w:val="21"/>
              </w:rPr>
              <w:t>、</w:t>
            </w:r>
            <w:r>
              <w:rPr>
                <w:rFonts w:ascii="宋体" w:hAnsi="宋体" w:cs="宋体" w:eastAsia="宋体" w:hint="default"/>
                <w:w w:val="100"/>
                <w:sz w:val="21"/>
                <w:szCs w:val="21"/>
              </w:rPr>
              <w:t>上</w:t>
            </w:r>
          </w:p>
          <w:p>
            <w:pPr>
              <w:pStyle w:val="TableParagraph"/>
              <w:spacing w:line="272" w:lineRule="exact" w:before="27"/>
              <w:ind w:left="100" w:right="90"/>
              <w:jc w:val="left"/>
              <w:rPr>
                <w:rFonts w:ascii="宋体" w:hAnsi="宋体" w:cs="宋体" w:eastAsia="宋体" w:hint="default"/>
                <w:sz w:val="21"/>
                <w:szCs w:val="21"/>
              </w:rPr>
            </w:pPr>
            <w:r>
              <w:rPr>
                <w:rFonts w:ascii="宋体" w:hAnsi="宋体" w:cs="宋体" w:eastAsia="宋体" w:hint="default"/>
                <w:spacing w:val="14"/>
                <w:sz w:val="21"/>
                <w:szCs w:val="21"/>
              </w:rPr>
              <w:t>海证券报、证券时报和上海证券交易所网站</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color w:val="0000FF"/>
                <w:spacing w:val="-65"/>
                <w:sz w:val="21"/>
                <w:szCs w:val="21"/>
              </w:rPr>
            </w:r>
            <w:hyperlink r:id="rId12">
              <w:r>
                <w:rPr>
                  <w:rFonts w:ascii="宋体" w:hAnsi="宋体" w:cs="宋体" w:eastAsia="宋体" w:hint="default"/>
                  <w:color w:val="0000FF"/>
                  <w:sz w:val="21"/>
                  <w:szCs w:val="21"/>
                  <w:u w:val="single" w:color="0000FF"/>
                </w:rPr>
                <w:t>www.sse.com.cn</w:t>
              </w:r>
              <w:r>
                <w:rPr>
                  <w:rFonts w:ascii="宋体" w:hAnsi="宋体" w:cs="宋体" w:eastAsia="宋体" w:hint="default"/>
                  <w:color w:val="0000FF"/>
                  <w:spacing w:val="-55"/>
                  <w:sz w:val="21"/>
                  <w:szCs w:val="21"/>
                  <w:u w:val="single" w:color="0000FF"/>
                </w:rPr>
                <w:t> </w:t>
              </w:r>
              <w:r>
                <w:rPr>
                  <w:rFonts w:ascii="宋体" w:hAnsi="宋体" w:cs="宋体" w:eastAsia="宋体" w:hint="default"/>
                  <w:color w:val="0000FF"/>
                  <w:spacing w:val="-55"/>
                  <w:sz w:val="21"/>
                  <w:szCs w:val="21"/>
                </w:rPr>
              </w:r>
            </w:hyperlink>
            <w:r>
              <w:rPr>
                <w:rFonts w:ascii="宋体" w:hAnsi="宋体" w:cs="宋体" w:eastAsia="宋体" w:hint="default"/>
                <w:sz w:val="21"/>
                <w:szCs w:val="21"/>
              </w:rPr>
              <w:t>上的公告</w:t>
            </w:r>
          </w:p>
        </w:tc>
      </w:tr>
    </w:tbl>
    <w:p>
      <w:pPr>
        <w:spacing w:line="240" w:lineRule="auto" w:before="13"/>
        <w:rPr>
          <w:rFonts w:ascii="宋体" w:hAnsi="宋体" w:cs="宋体" w:eastAsia="宋体" w:hint="default"/>
          <w:b/>
          <w:bCs/>
          <w:sz w:val="18"/>
          <w:szCs w:val="18"/>
        </w:rPr>
      </w:pPr>
    </w:p>
    <w:p>
      <w:pPr>
        <w:pStyle w:val="Heading3"/>
        <w:spacing w:line="475" w:lineRule="auto" w:before="26"/>
        <w:ind w:left="238" w:right="2928" w:firstLine="256"/>
        <w:jc w:val="left"/>
        <w:rPr>
          <w:rFonts w:ascii="宋体" w:hAnsi="宋体" w:cs="宋体" w:eastAsia="宋体" w:hint="default"/>
          <w:b w:val="0"/>
          <w:bCs w:val="0"/>
        </w:rPr>
      </w:pPr>
      <w:r>
        <w:rPr>
          <w:rFonts w:ascii="宋体" w:hAnsi="宋体" w:cs="宋体" w:eastAsia="宋体" w:hint="default"/>
        </w:rPr>
        <w:t>2</w:t>
      </w:r>
      <w:r>
        <w:rPr/>
        <w:t>、已在临时公告披露，但有后续实施的进展或变化的事项</w:t>
      </w:r>
      <w:r>
        <w:rPr>
          <w:w w:val="99"/>
        </w:rPr>
        <w:t> </w:t>
      </w:r>
      <w:r>
        <w:rPr>
          <w:rFonts w:ascii="宋体" w:hAnsi="宋体" w:cs="宋体" w:eastAsia="宋体" w:hint="default"/>
          <w:b w:val="0"/>
          <w:bCs w:val="0"/>
        </w:rPr>
        <w:t>不适用。</w:t>
      </w:r>
    </w:p>
    <w:p>
      <w:pPr>
        <w:spacing w:line="475" w:lineRule="auto" w:before="74"/>
        <w:ind w:left="238" w:right="6301" w:firstLine="256"/>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、临时公告未披露的事项</w:t>
      </w:r>
      <w:r>
        <w:rPr>
          <w:rFonts w:ascii="宋体" w:hAnsi="宋体" w:cs="宋体" w:eastAsia="宋体" w:hint="default"/>
          <w:b/>
          <w:bCs/>
          <w:w w:val="99"/>
          <w:sz w:val="24"/>
          <w:szCs w:val="24"/>
        </w:rPr>
        <w:t> </w:t>
      </w:r>
      <w:r>
        <w:rPr>
          <w:rFonts w:ascii="宋体" w:hAnsi="宋体" w:cs="宋体" w:eastAsia="宋体" w:hint="default"/>
          <w:sz w:val="24"/>
          <w:szCs w:val="24"/>
        </w:rPr>
        <w:t>不适用。</w:t>
      </w:r>
    </w:p>
    <w:p>
      <w:pPr>
        <w:pStyle w:val="Heading3"/>
        <w:spacing w:line="475" w:lineRule="auto" w:before="75"/>
        <w:ind w:right="3408"/>
        <w:jc w:val="left"/>
        <w:rPr>
          <w:b w:val="0"/>
          <w:bCs w:val="0"/>
        </w:rPr>
      </w:pPr>
      <w:r>
        <w:rPr>
          <w:rFonts w:ascii="宋体" w:hAnsi="宋体" w:cs="宋体" w:eastAsia="宋体" w:hint="default"/>
        </w:rPr>
        <w:t>(</w:t>
      </w:r>
      <w:r>
        <w:rPr/>
        <w:t>四</w:t>
      </w:r>
      <w:r>
        <w:rPr>
          <w:rFonts w:ascii="宋体" w:hAnsi="宋体" w:cs="宋体" w:eastAsia="宋体" w:hint="default"/>
        </w:rPr>
        <w:t>)</w:t>
      </w:r>
      <w:r>
        <w:rPr/>
        <w:t>关联债权债务往来</w:t>
      </w:r>
      <w:r>
        <w:rPr>
          <w:w w:val="99"/>
        </w:rPr>
        <w:t> </w:t>
      </w:r>
      <w:r>
        <w:rPr>
          <w:rFonts w:ascii="宋体" w:hAnsi="宋体" w:cs="宋体" w:eastAsia="宋体" w:hint="default"/>
        </w:rPr>
        <w:t>1</w:t>
      </w:r>
      <w:r>
        <w:rPr/>
        <w:t>、已在临时公告披露且后续实施无进展或变化的事项</w:t>
      </w:r>
      <w:r>
        <w:rPr>
          <w:b w:val="0"/>
          <w:bCs w:val="0"/>
        </w:rPr>
      </w:r>
    </w:p>
    <w:p>
      <w:pPr>
        <w:pStyle w:val="Heading3"/>
        <w:spacing w:line="477" w:lineRule="auto" w:before="72"/>
        <w:ind w:right="2927" w:hanging="257"/>
        <w:jc w:val="left"/>
        <w:rPr>
          <w:b w:val="0"/>
          <w:bCs w:val="0"/>
        </w:rPr>
      </w:pPr>
      <w:r>
        <w:rPr>
          <w:rFonts w:ascii="宋体" w:hAnsi="宋体" w:cs="宋体" w:eastAsia="宋体" w:hint="default"/>
          <w:b w:val="0"/>
          <w:bCs w:val="0"/>
        </w:rPr>
        <w:t>不适用。 </w:t>
      </w:r>
      <w:r>
        <w:rPr>
          <w:rFonts w:ascii="宋体" w:hAnsi="宋体" w:cs="宋体" w:eastAsia="宋体" w:hint="default"/>
        </w:rPr>
        <w:t>2</w:t>
      </w:r>
      <w:r>
        <w:rPr/>
        <w:t>、已在临时公告披露，但有后续实施的进展或变化的事项</w:t>
      </w:r>
      <w:r>
        <w:rPr>
          <w:b w:val="0"/>
          <w:bCs w:val="0"/>
        </w:rPr>
      </w:r>
    </w:p>
    <w:p>
      <w:pPr>
        <w:pStyle w:val="BodyText"/>
        <w:spacing w:line="237" w:lineRule="auto" w:before="72"/>
        <w:ind w:left="238" w:right="141"/>
        <w:jc w:val="both"/>
      </w:pPr>
      <w:r>
        <w:rPr/>
        <w:t>公司以往年度存在下属控股子公司因开展以 </w:t>
      </w:r>
      <w:r>
        <w:rPr>
          <w:rFonts w:ascii="宋体" w:hAnsi="宋体" w:cs="宋体" w:eastAsia="宋体" w:hint="default"/>
        </w:rPr>
        <w:t>BOT</w:t>
      </w:r>
      <w:r>
        <w:rPr>
          <w:rFonts w:ascii="宋体" w:hAnsi="宋体" w:cs="宋体" w:eastAsia="宋体" w:hint="default"/>
          <w:spacing w:val="-38"/>
        </w:rPr>
        <w:t> </w:t>
      </w:r>
      <w:r>
        <w:rPr/>
        <w:t>方式实施水务项目而向清华控股申请使 用其企业债融资额度并形成相关银行委托贷款的情形。根据</w:t>
      </w:r>
      <w:r>
        <w:rPr>
          <w:spacing w:val="-78"/>
        </w:rPr>
        <w:t> </w:t>
      </w:r>
      <w:r>
        <w:rPr>
          <w:rFonts w:ascii="宋体" w:hAnsi="宋体" w:cs="宋体" w:eastAsia="宋体" w:hint="default"/>
        </w:rPr>
        <w:t>2011</w:t>
      </w:r>
      <w:r>
        <w:rPr>
          <w:rFonts w:ascii="宋体" w:hAnsi="宋体" w:cs="宋体" w:eastAsia="宋体" w:hint="default"/>
          <w:spacing w:val="-78"/>
        </w:rPr>
        <w:t> </w:t>
      </w:r>
      <w:r>
        <w:rPr/>
        <w:t>年第四次临时股东大会 授权，公司还存在因重庆国信股权收购项目累计欠付清华控股专用借款的情形。上述事</w:t>
      </w:r>
      <w:r>
        <w:rPr>
          <w:spacing w:val="-51"/>
        </w:rPr>
        <w:t> </w:t>
      </w:r>
      <w:r>
        <w:rPr>
          <w:spacing w:val="-51"/>
        </w:rPr>
      </w:r>
      <w:r>
        <w:rPr/>
        <w:t>宜，公司已在</w:t>
      </w:r>
      <w:r>
        <w:rPr>
          <w:spacing w:val="-68"/>
        </w:rPr>
        <w:t> </w:t>
      </w:r>
      <w:r>
        <w:rPr>
          <w:rFonts w:ascii="宋体" w:hAnsi="宋体" w:cs="宋体" w:eastAsia="宋体" w:hint="default"/>
        </w:rPr>
        <w:t>2012</w:t>
      </w:r>
      <w:r>
        <w:rPr>
          <w:rFonts w:ascii="宋体" w:hAnsi="宋体" w:cs="宋体" w:eastAsia="宋体" w:hint="default"/>
          <w:spacing w:val="-67"/>
        </w:rPr>
        <w:t> </w:t>
      </w:r>
      <w:r>
        <w:rPr/>
        <w:t>年年报、</w:t>
      </w:r>
      <w:r>
        <w:rPr>
          <w:rFonts w:ascii="宋体" w:hAnsi="宋体" w:cs="宋体" w:eastAsia="宋体" w:hint="default"/>
        </w:rPr>
        <w:t>2013</w:t>
      </w:r>
      <w:r>
        <w:rPr>
          <w:rFonts w:ascii="宋体" w:hAnsi="宋体" w:cs="宋体" w:eastAsia="宋体" w:hint="default"/>
          <w:spacing w:val="-67"/>
        </w:rPr>
        <w:t> </w:t>
      </w:r>
      <w:r>
        <w:rPr/>
        <w:t>年年报、</w:t>
      </w:r>
      <w:r>
        <w:rPr>
          <w:rFonts w:ascii="宋体" w:hAnsi="宋体" w:cs="宋体" w:eastAsia="宋体" w:hint="default"/>
        </w:rPr>
        <w:t>2014</w:t>
      </w:r>
      <w:r>
        <w:rPr>
          <w:rFonts w:ascii="宋体" w:hAnsi="宋体" w:cs="宋体" w:eastAsia="宋体" w:hint="default"/>
          <w:spacing w:val="-67"/>
        </w:rPr>
        <w:t> </w:t>
      </w:r>
      <w:r>
        <w:rPr/>
        <w:t>年年报和《关于</w:t>
      </w:r>
      <w:r>
        <w:rPr>
          <w:spacing w:val="-67"/>
        </w:rPr>
        <w:t> </w:t>
      </w:r>
      <w:r>
        <w:rPr>
          <w:rFonts w:ascii="宋体" w:hAnsi="宋体" w:cs="宋体" w:eastAsia="宋体" w:hint="default"/>
        </w:rPr>
        <w:t>2012</w:t>
      </w:r>
      <w:r>
        <w:rPr>
          <w:rFonts w:ascii="宋体" w:hAnsi="宋体" w:cs="宋体" w:eastAsia="宋体" w:hint="default"/>
          <w:spacing w:val="-67"/>
        </w:rPr>
        <w:t> </w:t>
      </w:r>
      <w:r>
        <w:rPr/>
        <w:t>年度日常关联交易 执行情况以及</w:t>
      </w:r>
      <w:r>
        <w:rPr>
          <w:spacing w:val="-58"/>
        </w:rPr>
        <w:t> </w:t>
      </w:r>
      <w:r>
        <w:rPr>
          <w:rFonts w:ascii="宋体" w:hAnsi="宋体" w:cs="宋体" w:eastAsia="宋体" w:hint="default"/>
        </w:rPr>
        <w:t>2013</w:t>
      </w:r>
      <w:r>
        <w:rPr>
          <w:rFonts w:ascii="宋体" w:hAnsi="宋体" w:cs="宋体" w:eastAsia="宋体" w:hint="default"/>
          <w:spacing w:val="-57"/>
        </w:rPr>
        <w:t> </w:t>
      </w:r>
      <w:r>
        <w:rPr>
          <w:spacing w:val="-8"/>
        </w:rPr>
        <w:t>年度日常关联交易预计的公告》（</w:t>
      </w:r>
      <w:r>
        <w:rPr>
          <w:rFonts w:ascii="宋体" w:hAnsi="宋体" w:cs="宋体" w:eastAsia="宋体" w:hint="default"/>
          <w:spacing w:val="-8"/>
        </w:rPr>
        <w:t>2013-016</w:t>
      </w:r>
      <w:r>
        <w:rPr>
          <w:rFonts w:ascii="宋体" w:hAnsi="宋体" w:cs="宋体" w:eastAsia="宋体" w:hint="default"/>
          <w:spacing w:val="-57"/>
        </w:rPr>
        <w:t> </w:t>
      </w:r>
      <w:r>
        <w:rPr>
          <w:spacing w:val="-37"/>
        </w:rPr>
        <w:t>号公告）、《关于</w:t>
      </w:r>
      <w:r>
        <w:rPr>
          <w:spacing w:val="-57"/>
        </w:rPr>
        <w:t> </w:t>
      </w:r>
      <w:r>
        <w:rPr>
          <w:rFonts w:ascii="宋体" w:hAnsi="宋体" w:cs="宋体" w:eastAsia="宋体" w:hint="default"/>
        </w:rPr>
        <w:t>2013</w:t>
      </w:r>
      <w:r>
        <w:rPr>
          <w:rFonts w:ascii="宋体" w:hAnsi="宋体" w:cs="宋体" w:eastAsia="宋体" w:hint="default"/>
          <w:spacing w:val="-57"/>
        </w:rPr>
        <w:t> </w:t>
      </w:r>
      <w:r>
        <w:rPr/>
        <w:t>年度 日常关联交易执行情况以及</w:t>
      </w:r>
      <w:r>
        <w:rPr>
          <w:spacing w:val="-52"/>
        </w:rPr>
        <w:t> </w:t>
      </w:r>
      <w:r>
        <w:rPr>
          <w:rFonts w:ascii="宋体" w:hAnsi="宋体" w:cs="宋体" w:eastAsia="宋体" w:hint="default"/>
        </w:rPr>
        <w:t>2014</w:t>
      </w:r>
      <w:r>
        <w:rPr>
          <w:rFonts w:ascii="宋体" w:hAnsi="宋体" w:cs="宋体" w:eastAsia="宋体" w:hint="default"/>
          <w:spacing w:val="-52"/>
        </w:rPr>
        <w:t> </w:t>
      </w:r>
      <w:r>
        <w:rPr>
          <w:spacing w:val="-11"/>
        </w:rPr>
        <w:t>年度日常关联交易预计的公告》（</w:t>
      </w:r>
      <w:r>
        <w:rPr>
          <w:rFonts w:ascii="宋体" w:hAnsi="宋体" w:cs="宋体" w:eastAsia="宋体" w:hint="default"/>
          <w:spacing w:val="-11"/>
        </w:rPr>
        <w:t>2014-010</w:t>
      </w:r>
      <w:r>
        <w:rPr>
          <w:rFonts w:ascii="宋体" w:hAnsi="宋体" w:cs="宋体" w:eastAsia="宋体" w:hint="default"/>
          <w:spacing w:val="-52"/>
        </w:rPr>
        <w:t> </w:t>
      </w:r>
      <w:r>
        <w:rPr>
          <w:spacing w:val="-51"/>
        </w:rPr>
        <w:t>号公告）、《关</w:t>
      </w:r>
      <w:r>
        <w:rPr/>
        <w:t> 于</w:t>
      </w:r>
      <w:r>
        <w:rPr>
          <w:spacing w:val="-60"/>
        </w:rPr>
        <w:t> </w:t>
      </w:r>
      <w:r>
        <w:rPr>
          <w:rFonts w:ascii="宋体" w:hAnsi="宋体" w:cs="宋体" w:eastAsia="宋体" w:hint="default"/>
        </w:rPr>
        <w:t>2014</w:t>
      </w:r>
      <w:r>
        <w:rPr>
          <w:rFonts w:ascii="宋体" w:hAnsi="宋体" w:cs="宋体" w:eastAsia="宋体" w:hint="default"/>
          <w:spacing w:val="-61"/>
        </w:rPr>
        <w:t> </w:t>
      </w:r>
      <w:r>
        <w:rPr/>
        <w:t>年度日常关联交易执行情况以及</w:t>
      </w:r>
      <w:r>
        <w:rPr>
          <w:spacing w:val="-60"/>
        </w:rPr>
        <w:t> </w:t>
      </w:r>
      <w:r>
        <w:rPr>
          <w:rFonts w:ascii="宋体" w:hAnsi="宋体" w:cs="宋体" w:eastAsia="宋体" w:hint="default"/>
        </w:rPr>
        <w:t>2015</w:t>
      </w:r>
      <w:r>
        <w:rPr>
          <w:rFonts w:ascii="宋体" w:hAnsi="宋体" w:cs="宋体" w:eastAsia="宋体" w:hint="default"/>
          <w:spacing w:val="-60"/>
        </w:rPr>
        <w:t> </w:t>
      </w:r>
      <w:r>
        <w:rPr>
          <w:spacing w:val="-7"/>
        </w:rPr>
        <w:t>年度日常关联交易预计的公告》（</w:t>
      </w:r>
      <w:r>
        <w:rPr>
          <w:rFonts w:ascii="宋体" w:hAnsi="宋体" w:cs="宋体" w:eastAsia="宋体" w:hint="default"/>
          <w:spacing w:val="-7"/>
        </w:rPr>
        <w:t>2015-011</w:t>
      </w:r>
      <w:r>
        <w:rPr>
          <w:rFonts w:ascii="宋体" w:hAnsi="宋体" w:cs="宋体" w:eastAsia="宋体" w:hint="default"/>
        </w:rPr>
        <w:t> </w:t>
      </w:r>
      <w:r>
        <w:rPr/>
        <w:t>号公告）中予以了披露。</w:t>
      </w:r>
    </w:p>
    <w:p>
      <w:pPr>
        <w:spacing w:line="240" w:lineRule="auto" w:before="7"/>
        <w:rPr>
          <w:rFonts w:ascii="宋体" w:hAnsi="宋体" w:cs="宋体" w:eastAsia="宋体" w:hint="default"/>
          <w:sz w:val="23"/>
          <w:szCs w:val="23"/>
        </w:rPr>
      </w:pPr>
    </w:p>
    <w:p>
      <w:pPr>
        <w:pStyle w:val="BodyText"/>
        <w:spacing w:line="313" w:lineRule="exact"/>
        <w:ind w:left="238" w:right="0"/>
        <w:jc w:val="both"/>
      </w:pPr>
      <w:r>
        <w:rPr>
          <w:rFonts w:ascii="宋体" w:hAnsi="宋体" w:cs="宋体" w:eastAsia="宋体" w:hint="default"/>
        </w:rPr>
        <w:t>2015</w:t>
      </w:r>
      <w:r>
        <w:rPr>
          <w:rFonts w:ascii="宋体" w:hAnsi="宋体" w:cs="宋体" w:eastAsia="宋体" w:hint="default"/>
          <w:spacing w:val="27"/>
        </w:rPr>
        <w:t> </w:t>
      </w:r>
      <w:r>
        <w:rPr>
          <w:spacing w:val="4"/>
        </w:rPr>
        <w:t>年度，公司向清华控股归还了上述因重庆国信股权收购项目累计欠付的本息共计</w:t>
      </w:r>
    </w:p>
    <w:p>
      <w:pPr>
        <w:pStyle w:val="BodyText"/>
        <w:spacing w:line="312" w:lineRule="exact"/>
        <w:ind w:left="238" w:right="0"/>
        <w:jc w:val="both"/>
      </w:pPr>
      <w:r>
        <w:rPr>
          <w:rFonts w:ascii="宋体" w:hAnsi="宋体" w:cs="宋体" w:eastAsia="宋体" w:hint="default"/>
        </w:rPr>
        <w:t>19.34 </w:t>
      </w:r>
      <w:r>
        <w:rPr/>
        <w:t>亿元、公司下属龙江环保向清华控股归还了上述因实施 </w:t>
      </w:r>
      <w:r>
        <w:rPr>
          <w:rFonts w:ascii="宋体" w:hAnsi="宋体" w:cs="宋体" w:eastAsia="宋体" w:hint="default"/>
        </w:rPr>
        <w:t>BOT</w:t>
      </w:r>
      <w:r>
        <w:rPr>
          <w:rFonts w:ascii="宋体" w:hAnsi="宋体" w:cs="宋体" w:eastAsia="宋体" w:hint="default"/>
          <w:spacing w:val="-39"/>
        </w:rPr>
        <w:t> </w:t>
      </w:r>
      <w:r>
        <w:rPr/>
        <w:t>项目的委托贷款本息</w:t>
      </w:r>
    </w:p>
    <w:p>
      <w:pPr>
        <w:pStyle w:val="BodyText"/>
        <w:spacing w:line="313" w:lineRule="exact"/>
        <w:ind w:left="238" w:right="0"/>
        <w:jc w:val="both"/>
      </w:pPr>
      <w:r>
        <w:rPr>
          <w:rFonts w:ascii="宋体" w:hAnsi="宋体" w:cs="宋体" w:eastAsia="宋体" w:hint="default"/>
        </w:rPr>
        <w:t>2.09</w:t>
      </w:r>
      <w:r>
        <w:rPr>
          <w:rFonts w:ascii="宋体" w:hAnsi="宋体" w:cs="宋体" w:eastAsia="宋体" w:hint="default"/>
          <w:spacing w:val="-60"/>
        </w:rPr>
        <w:t> </w:t>
      </w:r>
      <w:r>
        <w:rPr/>
        <w:t>亿元。</w:t>
      </w:r>
    </w:p>
    <w:p>
      <w:pPr>
        <w:spacing w:line="240" w:lineRule="auto" w:before="7"/>
        <w:rPr>
          <w:rFonts w:ascii="宋体" w:hAnsi="宋体" w:cs="宋体" w:eastAsia="宋体" w:hint="default"/>
          <w:sz w:val="23"/>
          <w:szCs w:val="23"/>
        </w:rPr>
      </w:pPr>
    </w:p>
    <w:p>
      <w:pPr>
        <w:pStyle w:val="Heading3"/>
        <w:spacing w:line="240" w:lineRule="auto"/>
        <w:ind w:right="91"/>
        <w:jc w:val="left"/>
        <w:rPr>
          <w:b w:val="0"/>
          <w:bCs w:val="0"/>
        </w:rPr>
      </w:pPr>
      <w:r>
        <w:rPr>
          <w:rFonts w:ascii="宋体" w:hAnsi="宋体" w:cs="宋体" w:eastAsia="宋体" w:hint="default"/>
        </w:rPr>
        <w:t>3</w:t>
      </w:r>
      <w:r>
        <w:rPr/>
        <w:t>、临时公告未披露的事项</w:t>
      </w:r>
      <w:r>
        <w:rPr>
          <w:b w:val="0"/>
          <w:bCs w:val="0"/>
        </w:rPr>
      </w:r>
    </w:p>
    <w:p>
      <w:pPr>
        <w:spacing w:after="0" w:line="240" w:lineRule="auto"/>
        <w:jc w:val="left"/>
        <w:sectPr>
          <w:pgSz w:w="11910" w:h="16840"/>
          <w:pgMar w:header="628" w:footer="760" w:top="1080" w:bottom="960" w:left="1180" w:right="114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BodyText"/>
        <w:spacing w:line="240" w:lineRule="auto" w:before="26"/>
        <w:ind w:left="238" w:right="110"/>
        <w:jc w:val="left"/>
      </w:pPr>
      <w:r>
        <w:rPr/>
        <w:t>不适用。</w:t>
      </w:r>
    </w:p>
    <w:p>
      <w:pPr>
        <w:spacing w:line="240" w:lineRule="auto" w:before="7"/>
        <w:rPr>
          <w:rFonts w:ascii="宋体" w:hAnsi="宋体" w:cs="宋体" w:eastAsia="宋体" w:hint="default"/>
          <w:sz w:val="17"/>
          <w:szCs w:val="17"/>
        </w:rPr>
      </w:pPr>
    </w:p>
    <w:p>
      <w:pPr>
        <w:pStyle w:val="Heading2"/>
        <w:spacing w:line="240" w:lineRule="auto"/>
        <w:ind w:right="110"/>
        <w:jc w:val="left"/>
      </w:pPr>
      <w:r>
        <w:rPr/>
        <w:t>十三、重大合同及其履行情况</w:t>
      </w:r>
    </w:p>
    <w:p>
      <w:pPr>
        <w:spacing w:line="240" w:lineRule="auto" w:before="8"/>
        <w:rPr>
          <w:rFonts w:ascii="黑体" w:hAnsi="黑体" w:cs="黑体" w:eastAsia="黑体" w:hint="default"/>
          <w:sz w:val="28"/>
          <w:szCs w:val="28"/>
        </w:rPr>
      </w:pPr>
    </w:p>
    <w:p>
      <w:pPr>
        <w:spacing w:line="477" w:lineRule="auto" w:before="0"/>
        <w:ind w:left="238" w:right="6163" w:firstLine="256"/>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一</w:t>
      </w:r>
      <w:r>
        <w:rPr>
          <w:rFonts w:ascii="宋体" w:hAnsi="宋体" w:cs="宋体" w:eastAsia="宋体" w:hint="default"/>
          <w:b/>
          <w:bCs/>
          <w:sz w:val="24"/>
          <w:szCs w:val="24"/>
        </w:rPr>
        <w:t>)</w:t>
      </w:r>
      <w:r>
        <w:rPr>
          <w:rFonts w:ascii="宋体" w:hAnsi="宋体" w:cs="宋体" w:eastAsia="宋体" w:hint="default"/>
          <w:b/>
          <w:bCs/>
          <w:spacing w:val="-4"/>
          <w:sz w:val="24"/>
          <w:szCs w:val="24"/>
        </w:rPr>
        <w:t> </w:t>
      </w:r>
      <w:r>
        <w:rPr>
          <w:rFonts w:ascii="宋体" w:hAnsi="宋体" w:cs="宋体" w:eastAsia="宋体" w:hint="default"/>
          <w:b/>
          <w:bCs/>
          <w:sz w:val="24"/>
          <w:szCs w:val="24"/>
        </w:rPr>
        <w:t>托管、承包、租赁事项</w:t>
      </w:r>
      <w:r>
        <w:rPr>
          <w:rFonts w:ascii="宋体" w:hAnsi="宋体" w:cs="宋体" w:eastAsia="宋体" w:hint="default"/>
          <w:b/>
          <w:bCs/>
          <w:w w:val="99"/>
          <w:sz w:val="24"/>
          <w:szCs w:val="24"/>
        </w:rPr>
        <w:t> </w:t>
      </w:r>
      <w:r>
        <w:rPr>
          <w:rFonts w:ascii="宋体" w:hAnsi="宋体" w:cs="宋体" w:eastAsia="宋体" w:hint="default"/>
          <w:sz w:val="24"/>
          <w:szCs w:val="24"/>
        </w:rPr>
        <w:t>不适用。</w:t>
      </w:r>
    </w:p>
    <w:p>
      <w:pPr>
        <w:pStyle w:val="Heading3"/>
        <w:spacing w:line="240" w:lineRule="auto" w:before="70"/>
        <w:ind w:right="110"/>
        <w:jc w:val="left"/>
        <w:rPr>
          <w:b w:val="0"/>
          <w:bCs w:val="0"/>
        </w:rPr>
      </w:pPr>
      <w:r>
        <w:rPr>
          <w:rFonts w:ascii="宋体" w:hAnsi="宋体" w:cs="宋体" w:eastAsia="宋体" w:hint="default"/>
        </w:rPr>
        <w:t>(</w:t>
      </w:r>
      <w:r>
        <w:rPr/>
        <w:t>二</w:t>
      </w:r>
      <w:r>
        <w:rPr>
          <w:rFonts w:ascii="宋体" w:hAnsi="宋体" w:cs="宋体" w:eastAsia="宋体" w:hint="default"/>
        </w:rPr>
        <w:t>)</w:t>
      </w:r>
      <w:r>
        <w:rPr/>
        <w:t>担保情况</w:t>
      </w:r>
      <w:r>
        <w:rPr>
          <w:b w:val="0"/>
          <w:bCs w:val="0"/>
        </w:rPr>
      </w:r>
    </w:p>
    <w:p>
      <w:pPr>
        <w:spacing w:line="240" w:lineRule="auto" w:before="5"/>
        <w:rPr>
          <w:rFonts w:ascii="宋体" w:hAnsi="宋体" w:cs="宋体" w:eastAsia="宋体" w:hint="default"/>
          <w:b/>
          <w:bCs/>
          <w:sz w:val="15"/>
          <w:szCs w:val="15"/>
        </w:rPr>
      </w:pPr>
    </w:p>
    <w:p>
      <w:pPr>
        <w:spacing w:before="36"/>
        <w:ind w:left="0" w:right="239" w:firstLine="0"/>
        <w:jc w:val="right"/>
        <w:rPr>
          <w:rFonts w:ascii="宋体" w:hAnsi="宋体" w:cs="宋体" w:eastAsia="宋体" w:hint="default"/>
          <w:sz w:val="21"/>
          <w:szCs w:val="21"/>
        </w:rPr>
      </w:pPr>
      <w:r>
        <w:rPr>
          <w:rFonts w:ascii="宋体" w:hAnsi="宋体" w:cs="宋体" w:eastAsia="宋体" w:hint="default"/>
          <w:spacing w:val="-1"/>
          <w:sz w:val="21"/>
          <w:szCs w:val="21"/>
        </w:rPr>
        <w:t>单位：亿元</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418"/>
        <w:gridCol w:w="2667"/>
        <w:gridCol w:w="1104"/>
        <w:gridCol w:w="1126"/>
        <w:gridCol w:w="1438"/>
        <w:gridCol w:w="1683"/>
        <w:gridCol w:w="984"/>
      </w:tblGrid>
      <w:tr>
        <w:trPr>
          <w:trHeight w:val="322" w:hRule="exact"/>
        </w:trPr>
        <w:tc>
          <w:tcPr>
            <w:tcW w:w="9419" w:type="dxa"/>
            <w:gridSpan w:val="7"/>
            <w:tcBorders>
              <w:top w:val="single" w:sz="12" w:space="0" w:color="000000"/>
              <w:left w:val="single" w:sz="12" w:space="0" w:color="000000"/>
              <w:bottom w:val="single" w:sz="6" w:space="0" w:color="000000"/>
              <w:right w:val="single" w:sz="12" w:space="0" w:color="000000"/>
            </w:tcBorders>
          </w:tcPr>
          <w:p>
            <w:pPr>
              <w:pStyle w:val="TableParagraph"/>
              <w:spacing w:line="255"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公司对外担保情况</w:t>
            </w:r>
            <w:r>
              <w:rPr>
                <w:rFonts w:ascii="宋体" w:hAnsi="宋体" w:cs="宋体" w:eastAsia="宋体" w:hint="default"/>
                <w:b/>
                <w:bCs/>
                <w:sz w:val="21"/>
                <w:szCs w:val="21"/>
              </w:rPr>
              <w:t>(</w:t>
            </w:r>
            <w:r>
              <w:rPr>
                <w:rFonts w:ascii="宋体" w:hAnsi="宋体" w:cs="宋体" w:eastAsia="宋体" w:hint="default"/>
                <w:b/>
                <w:bCs/>
                <w:sz w:val="21"/>
                <w:szCs w:val="21"/>
              </w:rPr>
              <w:t>不包括对控股子公司的担保</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535" w:hRule="exact"/>
        </w:trPr>
        <w:tc>
          <w:tcPr>
            <w:tcW w:w="418" w:type="dxa"/>
            <w:tcBorders>
              <w:top w:val="single" w:sz="6" w:space="0" w:color="000000"/>
              <w:left w:val="single" w:sz="12" w:space="0" w:color="000000"/>
              <w:bottom w:val="single" w:sz="6" w:space="0" w:color="000000"/>
              <w:right w:val="single" w:sz="6" w:space="0" w:color="000000"/>
            </w:tcBorders>
          </w:tcPr>
          <w:p>
            <w:pPr>
              <w:pStyle w:val="TableParagraph"/>
              <w:spacing w:line="228" w:lineRule="exact"/>
              <w:ind w:left="93" w:right="0"/>
              <w:jc w:val="left"/>
              <w:rPr>
                <w:rFonts w:ascii="宋体" w:hAnsi="宋体" w:cs="宋体" w:eastAsia="宋体" w:hint="default"/>
                <w:sz w:val="20"/>
                <w:szCs w:val="20"/>
              </w:rPr>
            </w:pPr>
            <w:r>
              <w:rPr>
                <w:rFonts w:ascii="宋体" w:hAnsi="宋体" w:cs="宋体" w:eastAsia="宋体" w:hint="default"/>
                <w:b/>
                <w:bCs/>
                <w:w w:val="99"/>
                <w:sz w:val="20"/>
                <w:szCs w:val="20"/>
              </w:rPr>
              <w:t>序</w:t>
            </w:r>
            <w:r>
              <w:rPr>
                <w:rFonts w:ascii="宋体" w:hAnsi="宋体" w:cs="宋体" w:eastAsia="宋体" w:hint="default"/>
                <w:sz w:val="20"/>
                <w:szCs w:val="20"/>
              </w:rPr>
            </w:r>
          </w:p>
          <w:p>
            <w:pPr>
              <w:pStyle w:val="TableParagraph"/>
              <w:spacing w:line="260" w:lineRule="exact"/>
              <w:ind w:left="93" w:right="0"/>
              <w:jc w:val="left"/>
              <w:rPr>
                <w:rFonts w:ascii="宋体" w:hAnsi="宋体" w:cs="宋体" w:eastAsia="宋体" w:hint="default"/>
                <w:sz w:val="20"/>
                <w:szCs w:val="20"/>
              </w:rPr>
            </w:pPr>
            <w:r>
              <w:rPr>
                <w:rFonts w:ascii="宋体" w:hAnsi="宋体" w:cs="宋体" w:eastAsia="宋体" w:hint="default"/>
                <w:b/>
                <w:bCs/>
                <w:w w:val="99"/>
                <w:sz w:val="20"/>
                <w:szCs w:val="20"/>
              </w:rPr>
              <w:t>号</w:t>
            </w:r>
            <w:r>
              <w:rPr>
                <w:rFonts w:ascii="宋体" w:hAnsi="宋体" w:cs="宋体" w:eastAsia="宋体" w:hint="default"/>
                <w:sz w:val="20"/>
                <w:szCs w:val="20"/>
              </w:rPr>
            </w:r>
          </w:p>
        </w:tc>
        <w:tc>
          <w:tcPr>
            <w:tcW w:w="2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 w:right="0"/>
              <w:jc w:val="center"/>
              <w:rPr>
                <w:rFonts w:ascii="宋体" w:hAnsi="宋体" w:cs="宋体" w:eastAsia="宋体" w:hint="default"/>
                <w:sz w:val="20"/>
                <w:szCs w:val="20"/>
              </w:rPr>
            </w:pPr>
            <w:r>
              <w:rPr>
                <w:rFonts w:ascii="宋体" w:hAnsi="宋体" w:cs="宋体" w:eastAsia="宋体" w:hint="default"/>
                <w:b/>
                <w:bCs/>
                <w:sz w:val="20"/>
                <w:szCs w:val="20"/>
              </w:rPr>
              <w:t>担保对象</w:t>
            </w:r>
            <w:r>
              <w:rPr>
                <w:rFonts w:ascii="宋体" w:hAnsi="宋体" w:cs="宋体" w:eastAsia="宋体" w:hint="default"/>
                <w:sz w:val="20"/>
                <w:szCs w:val="20"/>
              </w:rPr>
            </w:r>
          </w:p>
        </w:tc>
        <w:tc>
          <w:tcPr>
            <w:tcW w:w="11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41" w:right="0"/>
              <w:jc w:val="left"/>
              <w:rPr>
                <w:rFonts w:ascii="宋体" w:hAnsi="宋体" w:cs="宋体" w:eastAsia="宋体" w:hint="default"/>
                <w:sz w:val="20"/>
                <w:szCs w:val="20"/>
              </w:rPr>
            </w:pPr>
            <w:r>
              <w:rPr>
                <w:rFonts w:ascii="宋体" w:hAnsi="宋体" w:cs="宋体" w:eastAsia="宋体" w:hint="default"/>
                <w:b/>
                <w:bCs/>
                <w:sz w:val="20"/>
                <w:szCs w:val="20"/>
              </w:rPr>
              <w:t>发生日期</w:t>
            </w:r>
            <w:r>
              <w:rPr>
                <w:rFonts w:ascii="宋体" w:hAnsi="宋体" w:cs="宋体" w:eastAsia="宋体" w:hint="default"/>
                <w:sz w:val="20"/>
                <w:szCs w:val="20"/>
              </w:rPr>
            </w:r>
          </w:p>
        </w:tc>
        <w:tc>
          <w:tcPr>
            <w:tcW w:w="1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51" w:right="0"/>
              <w:jc w:val="left"/>
              <w:rPr>
                <w:rFonts w:ascii="宋体" w:hAnsi="宋体" w:cs="宋体" w:eastAsia="宋体" w:hint="default"/>
                <w:sz w:val="20"/>
                <w:szCs w:val="20"/>
              </w:rPr>
            </w:pPr>
            <w:r>
              <w:rPr>
                <w:rFonts w:ascii="宋体" w:hAnsi="宋体" w:cs="宋体" w:eastAsia="宋体" w:hint="default"/>
                <w:b/>
                <w:bCs/>
                <w:sz w:val="20"/>
                <w:szCs w:val="20"/>
              </w:rPr>
              <w:t>担保金额</w:t>
            </w:r>
            <w:r>
              <w:rPr>
                <w:rFonts w:ascii="宋体" w:hAnsi="宋体" w:cs="宋体" w:eastAsia="宋体" w:hint="default"/>
                <w:sz w:val="20"/>
                <w:szCs w:val="20"/>
              </w:rPr>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309" w:right="0"/>
              <w:jc w:val="left"/>
              <w:rPr>
                <w:rFonts w:ascii="宋体" w:hAnsi="宋体" w:cs="宋体" w:eastAsia="宋体" w:hint="default"/>
                <w:sz w:val="20"/>
                <w:szCs w:val="20"/>
              </w:rPr>
            </w:pPr>
            <w:r>
              <w:rPr>
                <w:rFonts w:ascii="宋体" w:hAnsi="宋体" w:cs="宋体" w:eastAsia="宋体" w:hint="default"/>
                <w:b/>
                <w:bCs/>
                <w:sz w:val="20"/>
                <w:szCs w:val="20"/>
              </w:rPr>
              <w:t>担保类型</w:t>
            </w:r>
            <w:r>
              <w:rPr>
                <w:rFonts w:ascii="宋体" w:hAnsi="宋体" w:cs="宋体" w:eastAsia="宋体" w:hint="default"/>
                <w:sz w:val="20"/>
                <w:szCs w:val="20"/>
              </w:rPr>
            </w:r>
          </w:p>
        </w:tc>
        <w:tc>
          <w:tcPr>
            <w:tcW w:w="1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429" w:right="0"/>
              <w:jc w:val="left"/>
              <w:rPr>
                <w:rFonts w:ascii="宋体" w:hAnsi="宋体" w:cs="宋体" w:eastAsia="宋体" w:hint="default"/>
                <w:sz w:val="20"/>
                <w:szCs w:val="20"/>
              </w:rPr>
            </w:pPr>
            <w:r>
              <w:rPr>
                <w:rFonts w:ascii="宋体" w:hAnsi="宋体" w:cs="宋体" w:eastAsia="宋体" w:hint="default"/>
                <w:b/>
                <w:bCs/>
                <w:sz w:val="20"/>
                <w:szCs w:val="20"/>
              </w:rPr>
              <w:t>担保期限</w:t>
            </w:r>
            <w:r>
              <w:rPr>
                <w:rFonts w:ascii="宋体" w:hAnsi="宋体" w:cs="宋体" w:eastAsia="宋体" w:hint="default"/>
                <w:sz w:val="20"/>
                <w:szCs w:val="20"/>
              </w:rPr>
            </w:r>
          </w:p>
        </w:tc>
        <w:tc>
          <w:tcPr>
            <w:tcW w:w="984" w:type="dxa"/>
            <w:tcBorders>
              <w:top w:val="single" w:sz="6" w:space="0" w:color="000000"/>
              <w:left w:val="single" w:sz="6" w:space="0" w:color="000000"/>
              <w:bottom w:val="single" w:sz="6" w:space="0" w:color="000000"/>
              <w:right w:val="single" w:sz="12" w:space="0" w:color="000000"/>
            </w:tcBorders>
          </w:tcPr>
          <w:p>
            <w:pPr>
              <w:pStyle w:val="TableParagraph"/>
              <w:spacing w:line="228" w:lineRule="exact"/>
              <w:ind w:left="182" w:right="0"/>
              <w:jc w:val="left"/>
              <w:rPr>
                <w:rFonts w:ascii="宋体" w:hAnsi="宋体" w:cs="宋体" w:eastAsia="宋体" w:hint="default"/>
                <w:sz w:val="20"/>
                <w:szCs w:val="20"/>
              </w:rPr>
            </w:pPr>
            <w:r>
              <w:rPr>
                <w:rFonts w:ascii="宋体" w:hAnsi="宋体" w:cs="宋体" w:eastAsia="宋体" w:hint="default"/>
                <w:b/>
                <w:bCs/>
                <w:spacing w:val="2"/>
                <w:sz w:val="20"/>
                <w:szCs w:val="20"/>
              </w:rPr>
              <w:t>是否履</w:t>
            </w:r>
            <w:r>
              <w:rPr>
                <w:rFonts w:ascii="宋体" w:hAnsi="宋体" w:cs="宋体" w:eastAsia="宋体" w:hint="default"/>
                <w:sz w:val="20"/>
                <w:szCs w:val="20"/>
              </w:rPr>
            </w:r>
          </w:p>
          <w:p>
            <w:pPr>
              <w:pStyle w:val="TableParagraph"/>
              <w:spacing w:line="260" w:lineRule="exact"/>
              <w:ind w:left="182" w:right="0"/>
              <w:jc w:val="left"/>
              <w:rPr>
                <w:rFonts w:ascii="宋体" w:hAnsi="宋体" w:cs="宋体" w:eastAsia="宋体" w:hint="default"/>
                <w:sz w:val="20"/>
                <w:szCs w:val="20"/>
              </w:rPr>
            </w:pPr>
            <w:r>
              <w:rPr>
                <w:rFonts w:ascii="宋体" w:hAnsi="宋体" w:cs="宋体" w:eastAsia="宋体" w:hint="default"/>
                <w:b/>
                <w:bCs/>
                <w:spacing w:val="2"/>
                <w:sz w:val="20"/>
                <w:szCs w:val="20"/>
              </w:rPr>
              <w:t>行完毕</w:t>
            </w:r>
            <w:r>
              <w:rPr>
                <w:rFonts w:ascii="宋体" w:hAnsi="宋体" w:cs="宋体" w:eastAsia="宋体" w:hint="default"/>
                <w:sz w:val="20"/>
                <w:szCs w:val="20"/>
              </w:rPr>
            </w:r>
          </w:p>
        </w:tc>
      </w:tr>
      <w:tr>
        <w:trPr>
          <w:trHeight w:val="300" w:hRule="exact"/>
        </w:trPr>
        <w:tc>
          <w:tcPr>
            <w:tcW w:w="418" w:type="dxa"/>
            <w:tcBorders>
              <w:top w:val="single" w:sz="6" w:space="0" w:color="000000"/>
              <w:left w:val="single" w:sz="12" w:space="0" w:color="000000"/>
              <w:bottom w:val="single" w:sz="6" w:space="0" w:color="000000"/>
              <w:right w:val="single" w:sz="6" w:space="0" w:color="000000"/>
            </w:tcBorders>
          </w:tcPr>
          <w:p>
            <w:pPr/>
          </w:p>
        </w:tc>
        <w:tc>
          <w:tcPr>
            <w:tcW w:w="2667" w:type="dxa"/>
            <w:tcBorders>
              <w:top w:val="single" w:sz="6" w:space="0" w:color="000000"/>
              <w:left w:val="single" w:sz="6" w:space="0" w:color="000000"/>
              <w:bottom w:val="single" w:sz="6" w:space="0" w:color="000000"/>
              <w:right w:val="single" w:sz="6" w:space="0" w:color="000000"/>
            </w:tcBorders>
          </w:tcPr>
          <w:p>
            <w:pPr>
              <w:pStyle w:val="TableParagraph"/>
              <w:spacing w:line="242" w:lineRule="exact"/>
              <w:ind w:left="100" w:right="0"/>
              <w:jc w:val="left"/>
              <w:rPr>
                <w:rFonts w:ascii="宋体" w:hAnsi="宋体" w:cs="宋体" w:eastAsia="宋体" w:hint="default"/>
                <w:sz w:val="20"/>
                <w:szCs w:val="20"/>
              </w:rPr>
            </w:pPr>
            <w:r>
              <w:rPr>
                <w:rFonts w:ascii="宋体" w:hAnsi="宋体" w:cs="宋体" w:eastAsia="宋体" w:hint="default"/>
                <w:w w:val="99"/>
                <w:sz w:val="20"/>
                <w:szCs w:val="20"/>
              </w:rPr>
              <w:t>无</w:t>
            </w:r>
            <w:r>
              <w:rPr>
                <w:rFonts w:ascii="宋体" w:hAnsi="宋体" w:cs="宋体" w:eastAsia="宋体" w:hint="default"/>
                <w:sz w:val="20"/>
                <w:szCs w:val="20"/>
              </w:rPr>
            </w:r>
          </w:p>
        </w:tc>
        <w:tc>
          <w:tcPr>
            <w:tcW w:w="1104" w:type="dxa"/>
            <w:tcBorders>
              <w:top w:val="single" w:sz="6" w:space="0" w:color="000000"/>
              <w:left w:val="single" w:sz="6" w:space="0" w:color="000000"/>
              <w:bottom w:val="single" w:sz="6" w:space="0" w:color="000000"/>
              <w:right w:val="single" w:sz="6" w:space="0" w:color="000000"/>
            </w:tcBorders>
          </w:tcPr>
          <w:p>
            <w:pPr/>
          </w:p>
        </w:tc>
        <w:tc>
          <w:tcPr>
            <w:tcW w:w="1126" w:type="dxa"/>
            <w:tcBorders>
              <w:top w:val="single" w:sz="6" w:space="0" w:color="000000"/>
              <w:left w:val="single" w:sz="6" w:space="0" w:color="000000"/>
              <w:bottom w:val="single" w:sz="6" w:space="0" w:color="000000"/>
              <w:right w:val="single" w:sz="6" w:space="0" w:color="000000"/>
            </w:tcBorders>
          </w:tcPr>
          <w:p>
            <w:pPr/>
          </w:p>
        </w:tc>
        <w:tc>
          <w:tcPr>
            <w:tcW w:w="1438" w:type="dxa"/>
            <w:tcBorders>
              <w:top w:val="single" w:sz="6" w:space="0" w:color="000000"/>
              <w:left w:val="single" w:sz="6" w:space="0" w:color="000000"/>
              <w:bottom w:val="single" w:sz="6" w:space="0" w:color="000000"/>
              <w:right w:val="single" w:sz="6" w:space="0" w:color="000000"/>
            </w:tcBorders>
          </w:tcPr>
          <w:p>
            <w:pPr/>
          </w:p>
        </w:tc>
        <w:tc>
          <w:tcPr>
            <w:tcW w:w="1683" w:type="dxa"/>
            <w:tcBorders>
              <w:top w:val="single" w:sz="6" w:space="0" w:color="000000"/>
              <w:left w:val="single" w:sz="6" w:space="0" w:color="000000"/>
              <w:bottom w:val="single" w:sz="6" w:space="0" w:color="000000"/>
              <w:right w:val="single" w:sz="6" w:space="0" w:color="000000"/>
            </w:tcBorders>
          </w:tcPr>
          <w:p>
            <w:pPr/>
          </w:p>
        </w:tc>
        <w:tc>
          <w:tcPr>
            <w:tcW w:w="984" w:type="dxa"/>
            <w:tcBorders>
              <w:top w:val="single" w:sz="6" w:space="0" w:color="000000"/>
              <w:left w:val="single" w:sz="6" w:space="0" w:color="000000"/>
              <w:bottom w:val="single" w:sz="6" w:space="0" w:color="000000"/>
              <w:right w:val="single" w:sz="12" w:space="0" w:color="000000"/>
            </w:tcBorders>
          </w:tcPr>
          <w:p>
            <w:pPr/>
          </w:p>
        </w:tc>
      </w:tr>
      <w:tr>
        <w:trPr>
          <w:trHeight w:val="300" w:hRule="exact"/>
        </w:trPr>
        <w:tc>
          <w:tcPr>
            <w:tcW w:w="4189"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93" w:right="0"/>
              <w:jc w:val="left"/>
              <w:rPr>
                <w:rFonts w:ascii="宋体" w:hAnsi="宋体" w:cs="宋体" w:eastAsia="宋体" w:hint="default"/>
                <w:sz w:val="20"/>
                <w:szCs w:val="20"/>
              </w:rPr>
            </w:pPr>
            <w:r>
              <w:rPr>
                <w:rFonts w:ascii="宋体" w:hAnsi="宋体" w:cs="宋体" w:eastAsia="宋体" w:hint="default"/>
                <w:sz w:val="20"/>
                <w:szCs w:val="20"/>
              </w:rPr>
              <w:t>报告期内担保发生额合计</w:t>
            </w:r>
          </w:p>
        </w:tc>
        <w:tc>
          <w:tcPr>
            <w:tcW w:w="5231" w:type="dxa"/>
            <w:gridSpan w:val="4"/>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5"/>
              <w:jc w:val="right"/>
              <w:rPr>
                <w:rFonts w:ascii="Times New Roman" w:hAnsi="Times New Roman" w:cs="Times New Roman" w:eastAsia="Times New Roman" w:hint="default"/>
                <w:sz w:val="20"/>
                <w:szCs w:val="20"/>
              </w:rPr>
            </w:pPr>
            <w:r>
              <w:rPr>
                <w:rFonts w:ascii="Times New Roman"/>
                <w:w w:val="99"/>
                <w:sz w:val="20"/>
              </w:rPr>
              <w:t>0</w:t>
            </w:r>
            <w:r>
              <w:rPr>
                <w:rFonts w:ascii="Times New Roman"/>
                <w:sz w:val="20"/>
              </w:rPr>
            </w:r>
          </w:p>
        </w:tc>
      </w:tr>
      <w:tr>
        <w:trPr>
          <w:trHeight w:val="300" w:hRule="exact"/>
        </w:trPr>
        <w:tc>
          <w:tcPr>
            <w:tcW w:w="4189"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93" w:right="0"/>
              <w:jc w:val="left"/>
              <w:rPr>
                <w:rFonts w:ascii="宋体" w:hAnsi="宋体" w:cs="宋体" w:eastAsia="宋体" w:hint="default"/>
                <w:sz w:val="20"/>
                <w:szCs w:val="20"/>
              </w:rPr>
            </w:pPr>
            <w:r>
              <w:rPr>
                <w:rFonts w:ascii="宋体" w:hAnsi="宋体" w:cs="宋体" w:eastAsia="宋体" w:hint="default"/>
                <w:sz w:val="20"/>
                <w:szCs w:val="20"/>
              </w:rPr>
              <w:t>报告期内担保余额合计</w:t>
            </w:r>
          </w:p>
        </w:tc>
        <w:tc>
          <w:tcPr>
            <w:tcW w:w="5231" w:type="dxa"/>
            <w:gridSpan w:val="4"/>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5"/>
              <w:jc w:val="right"/>
              <w:rPr>
                <w:rFonts w:ascii="Times New Roman" w:hAnsi="Times New Roman" w:cs="Times New Roman" w:eastAsia="Times New Roman" w:hint="default"/>
                <w:sz w:val="20"/>
                <w:szCs w:val="20"/>
              </w:rPr>
            </w:pPr>
            <w:r>
              <w:rPr>
                <w:rFonts w:ascii="Times New Roman"/>
                <w:w w:val="99"/>
                <w:sz w:val="20"/>
              </w:rPr>
              <w:t>0</w:t>
            </w:r>
            <w:r>
              <w:rPr>
                <w:rFonts w:ascii="Times New Roman"/>
                <w:sz w:val="20"/>
              </w:rPr>
            </w:r>
          </w:p>
        </w:tc>
      </w:tr>
      <w:tr>
        <w:trPr>
          <w:trHeight w:val="300" w:hRule="exact"/>
        </w:trPr>
        <w:tc>
          <w:tcPr>
            <w:tcW w:w="9419" w:type="dxa"/>
            <w:gridSpan w:val="7"/>
            <w:tcBorders>
              <w:top w:val="single" w:sz="6" w:space="0" w:color="000000"/>
              <w:left w:val="single" w:sz="12" w:space="0" w:color="000000"/>
              <w:bottom w:val="single" w:sz="6" w:space="0" w:color="000000"/>
              <w:right w:val="single" w:sz="12"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公司对控股子公司的担保情况</w:t>
            </w:r>
            <w:r>
              <w:rPr>
                <w:rFonts w:ascii="宋体" w:hAnsi="宋体" w:cs="宋体" w:eastAsia="宋体" w:hint="default"/>
                <w:sz w:val="21"/>
                <w:szCs w:val="21"/>
              </w:rPr>
            </w:r>
          </w:p>
        </w:tc>
      </w:tr>
      <w:tr>
        <w:trPr>
          <w:trHeight w:val="300" w:hRule="exact"/>
        </w:trPr>
        <w:tc>
          <w:tcPr>
            <w:tcW w:w="4189"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93" w:right="0"/>
              <w:jc w:val="left"/>
              <w:rPr>
                <w:rFonts w:ascii="宋体" w:hAnsi="宋体" w:cs="宋体" w:eastAsia="宋体" w:hint="default"/>
                <w:sz w:val="20"/>
                <w:szCs w:val="20"/>
              </w:rPr>
            </w:pPr>
            <w:r>
              <w:rPr>
                <w:rFonts w:ascii="宋体" w:hAnsi="宋体" w:cs="宋体" w:eastAsia="宋体" w:hint="default"/>
                <w:sz w:val="20"/>
                <w:szCs w:val="20"/>
              </w:rPr>
              <w:t>报告期内对控股子公司担保发生额合计</w:t>
            </w:r>
          </w:p>
        </w:tc>
        <w:tc>
          <w:tcPr>
            <w:tcW w:w="5231" w:type="dxa"/>
            <w:gridSpan w:val="4"/>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3"/>
              <w:jc w:val="right"/>
              <w:rPr>
                <w:rFonts w:ascii="Times New Roman" w:hAnsi="Times New Roman" w:cs="Times New Roman" w:eastAsia="Times New Roman" w:hint="default"/>
                <w:sz w:val="20"/>
                <w:szCs w:val="20"/>
              </w:rPr>
            </w:pPr>
            <w:r>
              <w:rPr>
                <w:rFonts w:ascii="Times New Roman"/>
                <w:sz w:val="20"/>
              </w:rPr>
              <w:t>42.75</w:t>
            </w:r>
          </w:p>
        </w:tc>
      </w:tr>
      <w:tr>
        <w:trPr>
          <w:trHeight w:val="300" w:hRule="exact"/>
        </w:trPr>
        <w:tc>
          <w:tcPr>
            <w:tcW w:w="4189"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93" w:right="0"/>
              <w:jc w:val="left"/>
              <w:rPr>
                <w:rFonts w:ascii="宋体" w:hAnsi="宋体" w:cs="宋体" w:eastAsia="宋体" w:hint="default"/>
                <w:sz w:val="20"/>
                <w:szCs w:val="20"/>
              </w:rPr>
            </w:pPr>
            <w:r>
              <w:rPr>
                <w:rFonts w:ascii="宋体" w:hAnsi="宋体" w:cs="宋体" w:eastAsia="宋体" w:hint="default"/>
                <w:sz w:val="20"/>
                <w:szCs w:val="20"/>
              </w:rPr>
              <w:t>报告期内对控股子公司担保余额合计</w:t>
            </w:r>
          </w:p>
        </w:tc>
        <w:tc>
          <w:tcPr>
            <w:tcW w:w="5231" w:type="dxa"/>
            <w:gridSpan w:val="4"/>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3"/>
              <w:jc w:val="right"/>
              <w:rPr>
                <w:rFonts w:ascii="Times New Roman" w:hAnsi="Times New Roman" w:cs="Times New Roman" w:eastAsia="Times New Roman" w:hint="default"/>
                <w:sz w:val="20"/>
                <w:szCs w:val="20"/>
              </w:rPr>
            </w:pPr>
            <w:r>
              <w:rPr>
                <w:rFonts w:ascii="Times New Roman"/>
                <w:sz w:val="20"/>
              </w:rPr>
              <w:t>56.99</w:t>
            </w:r>
          </w:p>
        </w:tc>
      </w:tr>
      <w:tr>
        <w:trPr>
          <w:trHeight w:val="300" w:hRule="exact"/>
        </w:trPr>
        <w:tc>
          <w:tcPr>
            <w:tcW w:w="9419" w:type="dxa"/>
            <w:gridSpan w:val="7"/>
            <w:tcBorders>
              <w:top w:val="single" w:sz="6" w:space="0" w:color="000000"/>
              <w:left w:val="single" w:sz="12" w:space="0" w:color="000000"/>
              <w:bottom w:val="single" w:sz="6" w:space="0" w:color="000000"/>
              <w:right w:val="single" w:sz="12"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公司担保总额情况</w:t>
            </w:r>
            <w:r>
              <w:rPr>
                <w:rFonts w:ascii="宋体" w:hAnsi="宋体" w:cs="宋体" w:eastAsia="宋体" w:hint="default"/>
                <w:b/>
                <w:bCs/>
                <w:sz w:val="21"/>
                <w:szCs w:val="21"/>
              </w:rPr>
              <w:t>(</w:t>
            </w:r>
            <w:r>
              <w:rPr>
                <w:rFonts w:ascii="宋体" w:hAnsi="宋体" w:cs="宋体" w:eastAsia="宋体" w:hint="default"/>
                <w:b/>
                <w:bCs/>
                <w:sz w:val="21"/>
                <w:szCs w:val="21"/>
              </w:rPr>
              <w:t>包括对控股子公司的担保</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300" w:hRule="exact"/>
        </w:trPr>
        <w:tc>
          <w:tcPr>
            <w:tcW w:w="4189"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93" w:right="0"/>
              <w:jc w:val="left"/>
              <w:rPr>
                <w:rFonts w:ascii="宋体" w:hAnsi="宋体" w:cs="宋体" w:eastAsia="宋体" w:hint="default"/>
                <w:sz w:val="20"/>
                <w:szCs w:val="20"/>
              </w:rPr>
            </w:pPr>
            <w:r>
              <w:rPr>
                <w:rFonts w:ascii="宋体" w:hAnsi="宋体" w:cs="宋体" w:eastAsia="宋体" w:hint="default"/>
                <w:sz w:val="20"/>
                <w:szCs w:val="20"/>
              </w:rPr>
              <w:t>担保总额</w:t>
            </w:r>
          </w:p>
        </w:tc>
        <w:tc>
          <w:tcPr>
            <w:tcW w:w="5231" w:type="dxa"/>
            <w:gridSpan w:val="4"/>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3"/>
              <w:jc w:val="right"/>
              <w:rPr>
                <w:rFonts w:ascii="Times New Roman" w:hAnsi="Times New Roman" w:cs="Times New Roman" w:eastAsia="Times New Roman" w:hint="default"/>
                <w:sz w:val="20"/>
                <w:szCs w:val="20"/>
              </w:rPr>
            </w:pPr>
            <w:r>
              <w:rPr>
                <w:rFonts w:ascii="Times New Roman"/>
                <w:sz w:val="20"/>
              </w:rPr>
              <w:t>56.99</w:t>
            </w:r>
          </w:p>
        </w:tc>
      </w:tr>
      <w:tr>
        <w:trPr>
          <w:trHeight w:val="300" w:hRule="exact"/>
        </w:trPr>
        <w:tc>
          <w:tcPr>
            <w:tcW w:w="4189" w:type="dxa"/>
            <w:gridSpan w:val="3"/>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93" w:right="0"/>
              <w:jc w:val="left"/>
              <w:rPr>
                <w:rFonts w:ascii="宋体" w:hAnsi="宋体" w:cs="宋体" w:eastAsia="宋体" w:hint="default"/>
                <w:sz w:val="20"/>
                <w:szCs w:val="20"/>
              </w:rPr>
            </w:pPr>
            <w:r>
              <w:rPr>
                <w:rFonts w:ascii="宋体" w:hAnsi="宋体" w:cs="宋体" w:eastAsia="宋体" w:hint="default"/>
                <w:sz w:val="20"/>
                <w:szCs w:val="20"/>
              </w:rPr>
              <w:t>担保总额占公司净资产的比例</w:t>
            </w:r>
          </w:p>
        </w:tc>
        <w:tc>
          <w:tcPr>
            <w:tcW w:w="5231" w:type="dxa"/>
            <w:gridSpan w:val="4"/>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1"/>
              <w:jc w:val="right"/>
              <w:rPr>
                <w:rFonts w:ascii="Times New Roman" w:hAnsi="Times New Roman" w:cs="Times New Roman" w:eastAsia="Times New Roman" w:hint="default"/>
                <w:sz w:val="20"/>
                <w:szCs w:val="20"/>
              </w:rPr>
            </w:pPr>
            <w:r>
              <w:rPr>
                <w:rFonts w:ascii="Times New Roman"/>
                <w:sz w:val="20"/>
              </w:rPr>
              <w:t>32.29%</w:t>
            </w:r>
          </w:p>
        </w:tc>
      </w:tr>
      <w:tr>
        <w:trPr>
          <w:trHeight w:val="300" w:hRule="exact"/>
        </w:trPr>
        <w:tc>
          <w:tcPr>
            <w:tcW w:w="9419" w:type="dxa"/>
            <w:gridSpan w:val="7"/>
            <w:tcBorders>
              <w:top w:val="single" w:sz="6" w:space="0" w:color="000000"/>
              <w:left w:val="single" w:sz="12" w:space="0" w:color="000000"/>
              <w:bottom w:val="single" w:sz="6" w:space="0" w:color="000000"/>
              <w:right w:val="single" w:sz="12"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其中：</w:t>
            </w:r>
            <w:r>
              <w:rPr>
                <w:rFonts w:ascii="宋体" w:hAnsi="宋体" w:cs="宋体" w:eastAsia="宋体" w:hint="default"/>
                <w:sz w:val="21"/>
                <w:szCs w:val="21"/>
              </w:rPr>
            </w:r>
          </w:p>
        </w:tc>
      </w:tr>
      <w:tr>
        <w:trPr>
          <w:trHeight w:val="300" w:hRule="exact"/>
        </w:trPr>
        <w:tc>
          <w:tcPr>
            <w:tcW w:w="5315"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93" w:right="0"/>
              <w:jc w:val="left"/>
              <w:rPr>
                <w:rFonts w:ascii="宋体" w:hAnsi="宋体" w:cs="宋体" w:eastAsia="宋体" w:hint="default"/>
                <w:sz w:val="20"/>
                <w:szCs w:val="20"/>
              </w:rPr>
            </w:pPr>
            <w:r>
              <w:rPr>
                <w:rFonts w:ascii="宋体" w:hAnsi="宋体" w:cs="宋体" w:eastAsia="宋体" w:hint="default"/>
                <w:sz w:val="20"/>
                <w:szCs w:val="20"/>
              </w:rPr>
              <w:t>为股东、实际控制人及其关联方提供担保的金额</w:t>
            </w:r>
          </w:p>
        </w:tc>
        <w:tc>
          <w:tcPr>
            <w:tcW w:w="4105"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2"/>
              <w:jc w:val="right"/>
              <w:rPr>
                <w:rFonts w:ascii="Times New Roman" w:hAnsi="Times New Roman" w:cs="Times New Roman" w:eastAsia="Times New Roman" w:hint="default"/>
                <w:sz w:val="20"/>
                <w:szCs w:val="20"/>
              </w:rPr>
            </w:pPr>
            <w:r>
              <w:rPr>
                <w:rFonts w:ascii="Times New Roman"/>
                <w:w w:val="99"/>
                <w:sz w:val="20"/>
              </w:rPr>
              <w:t>0</w:t>
            </w:r>
            <w:r>
              <w:rPr>
                <w:rFonts w:ascii="Times New Roman"/>
                <w:sz w:val="20"/>
              </w:rPr>
            </w:r>
          </w:p>
        </w:tc>
      </w:tr>
      <w:tr>
        <w:trPr>
          <w:trHeight w:val="533" w:hRule="exact"/>
        </w:trPr>
        <w:tc>
          <w:tcPr>
            <w:tcW w:w="5315" w:type="dxa"/>
            <w:gridSpan w:val="4"/>
            <w:tcBorders>
              <w:top w:val="single" w:sz="6" w:space="0" w:color="000000"/>
              <w:left w:val="single" w:sz="12" w:space="0" w:color="000000"/>
              <w:bottom w:val="single" w:sz="6" w:space="0" w:color="000000"/>
              <w:right w:val="single" w:sz="6" w:space="0" w:color="000000"/>
            </w:tcBorders>
          </w:tcPr>
          <w:p>
            <w:pPr>
              <w:pStyle w:val="TableParagraph"/>
              <w:spacing w:line="228" w:lineRule="exact"/>
              <w:ind w:left="93" w:right="0"/>
              <w:jc w:val="left"/>
              <w:rPr>
                <w:rFonts w:ascii="宋体" w:hAnsi="宋体" w:cs="宋体" w:eastAsia="宋体" w:hint="default"/>
                <w:sz w:val="20"/>
                <w:szCs w:val="20"/>
              </w:rPr>
            </w:pPr>
            <w:r>
              <w:rPr>
                <w:rFonts w:ascii="宋体" w:hAnsi="宋体" w:cs="宋体" w:eastAsia="宋体" w:hint="default"/>
                <w:sz w:val="20"/>
                <w:szCs w:val="20"/>
              </w:rPr>
              <w:t>直接或间接为资产负债率超过</w:t>
            </w:r>
            <w:r>
              <w:rPr>
                <w:rFonts w:ascii="宋体" w:hAnsi="宋体" w:cs="宋体" w:eastAsia="宋体" w:hint="default"/>
                <w:spacing w:val="-8"/>
                <w:sz w:val="20"/>
                <w:szCs w:val="20"/>
              </w:rPr>
              <w:t> </w:t>
            </w:r>
            <w:r>
              <w:rPr>
                <w:rFonts w:ascii="宋体" w:hAnsi="宋体" w:cs="宋体" w:eastAsia="宋体" w:hint="default"/>
                <w:sz w:val="20"/>
                <w:szCs w:val="20"/>
              </w:rPr>
              <w:t>70</w:t>
            </w:r>
            <w:r>
              <w:rPr>
                <w:rFonts w:ascii="宋体" w:hAnsi="宋体" w:cs="宋体" w:eastAsia="宋体" w:hint="default"/>
                <w:sz w:val="20"/>
                <w:szCs w:val="20"/>
              </w:rPr>
              <w:t>％的被担保对象提供的债</w:t>
            </w:r>
          </w:p>
          <w:p>
            <w:pPr>
              <w:pStyle w:val="TableParagraph"/>
              <w:spacing w:line="260" w:lineRule="exact"/>
              <w:ind w:left="93" w:right="0"/>
              <w:jc w:val="left"/>
              <w:rPr>
                <w:rFonts w:ascii="宋体" w:hAnsi="宋体" w:cs="宋体" w:eastAsia="宋体" w:hint="default"/>
                <w:sz w:val="20"/>
                <w:szCs w:val="20"/>
              </w:rPr>
            </w:pPr>
            <w:r>
              <w:rPr>
                <w:rFonts w:ascii="宋体" w:hAnsi="宋体" w:cs="宋体" w:eastAsia="宋体" w:hint="default"/>
                <w:sz w:val="20"/>
                <w:szCs w:val="20"/>
              </w:rPr>
              <w:t>务担保金额</w:t>
            </w:r>
          </w:p>
        </w:tc>
        <w:tc>
          <w:tcPr>
            <w:tcW w:w="4105"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7"/>
              <w:ind w:right="91"/>
              <w:jc w:val="right"/>
              <w:rPr>
                <w:rFonts w:ascii="Times New Roman" w:hAnsi="Times New Roman" w:cs="Times New Roman" w:eastAsia="Times New Roman" w:hint="default"/>
                <w:sz w:val="20"/>
                <w:szCs w:val="20"/>
              </w:rPr>
            </w:pPr>
            <w:r>
              <w:rPr>
                <w:rFonts w:ascii="Times New Roman"/>
                <w:sz w:val="20"/>
              </w:rPr>
              <w:t>40.70</w:t>
            </w:r>
          </w:p>
        </w:tc>
      </w:tr>
      <w:tr>
        <w:trPr>
          <w:trHeight w:val="300" w:hRule="exact"/>
        </w:trPr>
        <w:tc>
          <w:tcPr>
            <w:tcW w:w="5315"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93" w:right="0"/>
              <w:jc w:val="left"/>
              <w:rPr>
                <w:rFonts w:ascii="宋体" w:hAnsi="宋体" w:cs="宋体" w:eastAsia="宋体" w:hint="default"/>
                <w:sz w:val="20"/>
                <w:szCs w:val="20"/>
              </w:rPr>
            </w:pPr>
            <w:r>
              <w:rPr>
                <w:rFonts w:ascii="宋体" w:hAnsi="宋体" w:cs="宋体" w:eastAsia="宋体" w:hint="default"/>
                <w:sz w:val="20"/>
                <w:szCs w:val="20"/>
              </w:rPr>
              <w:t>担保总额超过净资产</w:t>
            </w:r>
            <w:r>
              <w:rPr>
                <w:rFonts w:ascii="宋体" w:hAnsi="宋体" w:cs="宋体" w:eastAsia="宋体" w:hint="default"/>
                <w:spacing w:val="-55"/>
                <w:sz w:val="20"/>
                <w:szCs w:val="20"/>
              </w:rPr>
              <w:t> </w:t>
            </w:r>
            <w:r>
              <w:rPr>
                <w:rFonts w:ascii="宋体" w:hAnsi="宋体" w:cs="宋体" w:eastAsia="宋体" w:hint="default"/>
                <w:sz w:val="20"/>
                <w:szCs w:val="20"/>
              </w:rPr>
              <w:t>50</w:t>
            </w:r>
            <w:r>
              <w:rPr>
                <w:rFonts w:ascii="宋体" w:hAnsi="宋体" w:cs="宋体" w:eastAsia="宋体" w:hint="default"/>
                <w:sz w:val="20"/>
                <w:szCs w:val="20"/>
              </w:rPr>
              <w:t>％部分的金额</w:t>
            </w:r>
          </w:p>
        </w:tc>
        <w:tc>
          <w:tcPr>
            <w:tcW w:w="4105"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2"/>
              <w:jc w:val="right"/>
              <w:rPr>
                <w:rFonts w:ascii="Times New Roman" w:hAnsi="Times New Roman" w:cs="Times New Roman" w:eastAsia="Times New Roman" w:hint="default"/>
                <w:sz w:val="20"/>
                <w:szCs w:val="20"/>
              </w:rPr>
            </w:pPr>
            <w:r>
              <w:rPr>
                <w:rFonts w:ascii="Times New Roman"/>
                <w:w w:val="99"/>
                <w:sz w:val="20"/>
              </w:rPr>
              <w:t>0</w:t>
            </w:r>
            <w:r>
              <w:rPr>
                <w:rFonts w:ascii="Times New Roman"/>
                <w:sz w:val="20"/>
              </w:rPr>
            </w:r>
          </w:p>
        </w:tc>
      </w:tr>
      <w:tr>
        <w:trPr>
          <w:trHeight w:val="305" w:hRule="exact"/>
        </w:trPr>
        <w:tc>
          <w:tcPr>
            <w:tcW w:w="5315" w:type="dxa"/>
            <w:gridSpan w:val="4"/>
            <w:tcBorders>
              <w:top w:val="single" w:sz="6" w:space="0" w:color="000000"/>
              <w:left w:val="single" w:sz="12" w:space="0" w:color="000000"/>
              <w:bottom w:val="single" w:sz="12" w:space="0" w:color="000000"/>
              <w:right w:val="single" w:sz="6" w:space="0" w:color="000000"/>
            </w:tcBorders>
          </w:tcPr>
          <w:p>
            <w:pPr>
              <w:pStyle w:val="TableParagraph"/>
              <w:spacing w:line="242" w:lineRule="exact"/>
              <w:ind w:left="93" w:right="0"/>
              <w:jc w:val="left"/>
              <w:rPr>
                <w:rFonts w:ascii="宋体" w:hAnsi="宋体" w:cs="宋体" w:eastAsia="宋体" w:hint="default"/>
                <w:sz w:val="20"/>
                <w:szCs w:val="20"/>
              </w:rPr>
            </w:pPr>
            <w:r>
              <w:rPr>
                <w:rFonts w:ascii="宋体" w:hAnsi="宋体" w:cs="宋体" w:eastAsia="宋体" w:hint="default"/>
                <w:sz w:val="20"/>
                <w:szCs w:val="20"/>
              </w:rPr>
              <w:t>上述三项担保金额合计</w:t>
            </w:r>
          </w:p>
        </w:tc>
        <w:tc>
          <w:tcPr>
            <w:tcW w:w="4105" w:type="dxa"/>
            <w:gridSpan w:val="3"/>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2"/>
              <w:ind w:right="91"/>
              <w:jc w:val="right"/>
              <w:rPr>
                <w:rFonts w:ascii="Times New Roman" w:hAnsi="Times New Roman" w:cs="Times New Roman" w:eastAsia="Times New Roman" w:hint="default"/>
                <w:sz w:val="20"/>
                <w:szCs w:val="20"/>
              </w:rPr>
            </w:pPr>
            <w:r>
              <w:rPr>
                <w:rFonts w:ascii="Times New Roman"/>
                <w:sz w:val="20"/>
              </w:rPr>
              <w:t>40.70</w:t>
            </w:r>
          </w:p>
        </w:tc>
      </w:tr>
    </w:tbl>
    <w:p>
      <w:pPr>
        <w:spacing w:line="240" w:lineRule="auto" w:before="1"/>
        <w:rPr>
          <w:rFonts w:ascii="宋体" w:hAnsi="宋体" w:cs="宋体" w:eastAsia="宋体" w:hint="default"/>
          <w:sz w:val="13"/>
          <w:szCs w:val="13"/>
        </w:rPr>
      </w:pPr>
    </w:p>
    <w:p>
      <w:pPr>
        <w:pStyle w:val="Heading3"/>
        <w:spacing w:line="475" w:lineRule="auto" w:before="26"/>
        <w:ind w:right="5074"/>
        <w:jc w:val="left"/>
        <w:rPr>
          <w:b w:val="0"/>
          <w:bCs w:val="0"/>
        </w:rPr>
      </w:pPr>
      <w:r>
        <w:rPr>
          <w:rFonts w:ascii="宋体" w:hAnsi="宋体" w:cs="宋体" w:eastAsia="宋体" w:hint="default"/>
        </w:rPr>
        <w:t>(</w:t>
      </w:r>
      <w:r>
        <w:rPr/>
        <w:t>三</w:t>
      </w:r>
      <w:r>
        <w:rPr>
          <w:rFonts w:ascii="宋体" w:hAnsi="宋体" w:cs="宋体" w:eastAsia="宋体" w:hint="default"/>
        </w:rPr>
        <w:t>)</w:t>
      </w:r>
      <w:r>
        <w:rPr/>
        <w:t>委托他人进行现金资产管理的情况</w:t>
      </w:r>
      <w:r>
        <w:rPr>
          <w:w w:val="99"/>
        </w:rPr>
        <w:t> </w:t>
      </w:r>
      <w:r>
        <w:rPr>
          <w:rFonts w:ascii="宋体" w:hAnsi="宋体" w:cs="宋体" w:eastAsia="宋体" w:hint="default"/>
        </w:rPr>
        <w:t>1</w:t>
      </w:r>
      <w:r>
        <w:rPr/>
        <w:t>、委托理财情况</w:t>
      </w:r>
      <w:r>
        <w:rPr>
          <w:b w:val="0"/>
          <w:bCs w:val="0"/>
        </w:rPr>
      </w:r>
    </w:p>
    <w:p>
      <w:pPr>
        <w:spacing w:line="477" w:lineRule="auto" w:before="72"/>
        <w:ind w:left="495" w:right="7363" w:hanging="257"/>
        <w:jc w:val="left"/>
        <w:rPr>
          <w:rFonts w:ascii="宋体" w:hAnsi="宋体" w:cs="宋体" w:eastAsia="宋体" w:hint="default"/>
          <w:sz w:val="24"/>
          <w:szCs w:val="24"/>
        </w:rPr>
      </w:pPr>
      <w:r>
        <w:rPr>
          <w:rFonts w:ascii="宋体" w:hAnsi="宋体" w:cs="宋体" w:eastAsia="宋体" w:hint="default"/>
          <w:sz w:val="24"/>
          <w:szCs w:val="24"/>
        </w:rPr>
        <w:t>不适用。 </w:t>
      </w:r>
      <w:r>
        <w:rPr>
          <w:rFonts w:ascii="宋体" w:hAnsi="宋体" w:cs="宋体" w:eastAsia="宋体" w:hint="default"/>
          <w:b/>
          <w:bCs/>
          <w:sz w:val="24"/>
          <w:szCs w:val="24"/>
        </w:rPr>
        <w:t>2</w:t>
      </w:r>
      <w:r>
        <w:rPr>
          <w:rFonts w:ascii="宋体" w:hAnsi="宋体" w:cs="宋体" w:eastAsia="宋体" w:hint="default"/>
          <w:b/>
          <w:bCs/>
          <w:sz w:val="24"/>
          <w:szCs w:val="24"/>
        </w:rPr>
        <w:t>、委托贷款情况</w:t>
      </w:r>
      <w:r>
        <w:rPr>
          <w:rFonts w:ascii="宋体" w:hAnsi="宋体" w:cs="宋体" w:eastAsia="宋体" w:hint="default"/>
          <w:sz w:val="24"/>
          <w:szCs w:val="24"/>
        </w:rPr>
      </w:r>
    </w:p>
    <w:p>
      <w:pPr>
        <w:spacing w:line="477" w:lineRule="auto" w:before="70"/>
        <w:ind w:left="495" w:right="5436" w:hanging="257"/>
        <w:jc w:val="left"/>
        <w:rPr>
          <w:rFonts w:ascii="宋体" w:hAnsi="宋体" w:cs="宋体" w:eastAsia="宋体" w:hint="default"/>
          <w:sz w:val="24"/>
          <w:szCs w:val="24"/>
        </w:rPr>
      </w:pPr>
      <w:r>
        <w:rPr>
          <w:rFonts w:ascii="宋体" w:hAnsi="宋体" w:cs="宋体" w:eastAsia="宋体" w:hint="default"/>
          <w:sz w:val="24"/>
          <w:szCs w:val="24"/>
        </w:rPr>
        <w:t>不适用。 </w:t>
      </w:r>
      <w:r>
        <w:rPr>
          <w:rFonts w:ascii="宋体" w:hAnsi="宋体" w:cs="宋体" w:eastAsia="宋体" w:hint="default"/>
          <w:b/>
          <w:bCs/>
          <w:sz w:val="24"/>
          <w:szCs w:val="24"/>
        </w:rPr>
        <w:t>3</w:t>
      </w:r>
      <w:r>
        <w:rPr>
          <w:rFonts w:ascii="宋体" w:hAnsi="宋体" w:cs="宋体" w:eastAsia="宋体" w:hint="default"/>
          <w:b/>
          <w:bCs/>
          <w:sz w:val="24"/>
          <w:szCs w:val="24"/>
        </w:rPr>
        <w:t>、其他投资理财机衍生品投资情况</w:t>
      </w:r>
      <w:r>
        <w:rPr>
          <w:rFonts w:ascii="宋体" w:hAnsi="宋体" w:cs="宋体" w:eastAsia="宋体" w:hint="default"/>
          <w:sz w:val="24"/>
          <w:szCs w:val="24"/>
        </w:rPr>
      </w:r>
    </w:p>
    <w:p>
      <w:pPr>
        <w:pStyle w:val="BodyText"/>
        <w:spacing w:line="240" w:lineRule="auto" w:before="70"/>
        <w:ind w:left="238" w:right="110"/>
        <w:jc w:val="left"/>
      </w:pPr>
      <w:r>
        <w:rPr/>
        <w:t>不适用。</w:t>
      </w:r>
    </w:p>
    <w:p>
      <w:pPr>
        <w:spacing w:after="0" w:line="240" w:lineRule="auto"/>
        <w:jc w:val="left"/>
        <w:sectPr>
          <w:pgSz w:w="11910" w:h="16840"/>
          <w:pgMar w:header="628" w:footer="760" w:top="1080" w:bottom="960" w:left="1180" w:right="10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spacing w:line="475" w:lineRule="auto" w:before="26"/>
        <w:ind w:left="158" w:right="4614" w:firstLine="256"/>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四</w:t>
      </w:r>
      <w:r>
        <w:rPr>
          <w:rFonts w:ascii="宋体" w:hAnsi="宋体" w:cs="宋体" w:eastAsia="宋体" w:hint="default"/>
          <w:b/>
          <w:bCs/>
          <w:sz w:val="24"/>
          <w:szCs w:val="24"/>
        </w:rPr>
        <w:t>)</w:t>
      </w:r>
      <w:r>
        <w:rPr>
          <w:rFonts w:ascii="宋体" w:hAnsi="宋体" w:cs="宋体" w:eastAsia="宋体" w:hint="default"/>
          <w:b/>
          <w:bCs/>
          <w:sz w:val="24"/>
          <w:szCs w:val="24"/>
        </w:rPr>
        <w:t>其他重大合同</w:t>
      </w:r>
      <w:r>
        <w:rPr>
          <w:rFonts w:ascii="宋体" w:hAnsi="宋体" w:cs="宋体" w:eastAsia="宋体" w:hint="default"/>
          <w:b/>
          <w:bCs/>
          <w:w w:val="99"/>
          <w:sz w:val="24"/>
          <w:szCs w:val="24"/>
        </w:rPr>
        <w:t> </w:t>
      </w:r>
      <w:r>
        <w:rPr>
          <w:rFonts w:ascii="宋体" w:hAnsi="宋体" w:cs="宋体" w:eastAsia="宋体" w:hint="default"/>
          <w:sz w:val="24"/>
          <w:szCs w:val="24"/>
        </w:rPr>
        <w:t>本年度公司无其他重大合同。</w:t>
      </w:r>
    </w:p>
    <w:p>
      <w:pPr>
        <w:spacing w:line="240" w:lineRule="auto" w:before="8"/>
        <w:rPr>
          <w:rFonts w:ascii="宋体" w:hAnsi="宋体" w:cs="宋体" w:eastAsia="宋体" w:hint="default"/>
          <w:sz w:val="23"/>
          <w:szCs w:val="23"/>
        </w:rPr>
      </w:pPr>
    </w:p>
    <w:p>
      <w:pPr>
        <w:pStyle w:val="Heading2"/>
        <w:spacing w:line="240" w:lineRule="auto"/>
        <w:ind w:left="158" w:right="0"/>
        <w:jc w:val="left"/>
      </w:pPr>
      <w:r>
        <w:rPr/>
        <w:t>十四、其他重大事项的说明</w:t>
      </w:r>
    </w:p>
    <w:p>
      <w:pPr>
        <w:spacing w:line="240" w:lineRule="auto" w:before="5"/>
        <w:rPr>
          <w:rFonts w:ascii="黑体" w:hAnsi="黑体" w:cs="黑体" w:eastAsia="黑体" w:hint="default"/>
          <w:sz w:val="28"/>
          <w:szCs w:val="28"/>
        </w:rPr>
      </w:pPr>
    </w:p>
    <w:p>
      <w:pPr>
        <w:pStyle w:val="BodyText"/>
        <w:spacing w:line="240" w:lineRule="auto"/>
        <w:ind w:right="0"/>
        <w:jc w:val="left"/>
      </w:pPr>
      <w:r>
        <w:rPr/>
        <w:t>不适用。</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17"/>
          <w:szCs w:val="17"/>
        </w:rPr>
      </w:pPr>
    </w:p>
    <w:p>
      <w:pPr>
        <w:pStyle w:val="Heading2"/>
        <w:spacing w:line="240" w:lineRule="auto"/>
        <w:ind w:left="158" w:right="0"/>
        <w:jc w:val="left"/>
      </w:pPr>
      <w:r>
        <w:rPr/>
        <w:t>十五、积极履行社会责任的工作情况</w:t>
      </w:r>
    </w:p>
    <w:p>
      <w:pPr>
        <w:spacing w:line="240" w:lineRule="auto" w:before="8"/>
        <w:rPr>
          <w:rFonts w:ascii="黑体" w:hAnsi="黑体" w:cs="黑体" w:eastAsia="黑体" w:hint="default"/>
          <w:sz w:val="28"/>
          <w:szCs w:val="28"/>
        </w:rPr>
      </w:pPr>
    </w:p>
    <w:p>
      <w:pPr>
        <w:pStyle w:val="Heading3"/>
        <w:spacing w:line="240" w:lineRule="auto"/>
        <w:ind w:left="415" w:right="0"/>
        <w:jc w:val="left"/>
        <w:rPr>
          <w:b w:val="0"/>
          <w:bCs w:val="0"/>
        </w:rPr>
      </w:pPr>
      <w:r>
        <w:rPr>
          <w:rFonts w:ascii="宋体" w:hAnsi="宋体" w:cs="宋体" w:eastAsia="宋体" w:hint="default"/>
        </w:rPr>
        <w:t>(</w:t>
      </w:r>
      <w:r>
        <w:rPr/>
        <w:t>一</w:t>
      </w:r>
      <w:r>
        <w:rPr>
          <w:rFonts w:ascii="宋体" w:hAnsi="宋体" w:cs="宋体" w:eastAsia="宋体" w:hint="default"/>
        </w:rPr>
        <w:t>)</w:t>
      </w:r>
      <w:r>
        <w:rPr/>
        <w:t>社会责任工作情况</w:t>
      </w:r>
      <w:r>
        <w:rPr>
          <w:b w:val="0"/>
          <w:bCs w:val="0"/>
        </w:rPr>
      </w:r>
    </w:p>
    <w:p>
      <w:pPr>
        <w:spacing w:line="240" w:lineRule="auto" w:before="7"/>
        <w:rPr>
          <w:rFonts w:ascii="宋体" w:hAnsi="宋体" w:cs="宋体" w:eastAsia="宋体" w:hint="default"/>
          <w:b/>
          <w:bCs/>
          <w:sz w:val="23"/>
          <w:szCs w:val="23"/>
        </w:rPr>
      </w:pPr>
    </w:p>
    <w:p>
      <w:pPr>
        <w:pStyle w:val="BodyText"/>
        <w:spacing w:line="313" w:lineRule="exact"/>
        <w:ind w:right="0"/>
        <w:jc w:val="left"/>
      </w:pPr>
      <w:r>
        <w:rPr/>
        <w:t>关于公司本年度履行社会责任的工作情况，请参阅公司于</w:t>
      </w:r>
      <w:r>
        <w:rPr>
          <w:spacing w:val="-45"/>
        </w:rPr>
        <w:t> </w:t>
      </w:r>
      <w:r>
        <w:rPr>
          <w:rFonts w:ascii="宋体" w:hAnsi="宋体" w:cs="宋体" w:eastAsia="宋体" w:hint="default"/>
        </w:rPr>
        <w:t>2016</w:t>
      </w:r>
      <w:r>
        <w:rPr>
          <w:rFonts w:ascii="宋体" w:hAnsi="宋体" w:cs="宋体" w:eastAsia="宋体" w:hint="default"/>
          <w:spacing w:val="-46"/>
        </w:rPr>
        <w:t> </w:t>
      </w:r>
      <w:r>
        <w:rPr/>
        <w:t>年</w:t>
      </w:r>
      <w:r>
        <w:rPr>
          <w:spacing w:val="-46"/>
        </w:rPr>
        <w:t> </w:t>
      </w:r>
      <w:r>
        <w:rPr>
          <w:rFonts w:ascii="宋体" w:hAnsi="宋体" w:cs="宋体" w:eastAsia="宋体" w:hint="default"/>
        </w:rPr>
        <w:t>4</w:t>
      </w:r>
      <w:r>
        <w:rPr>
          <w:rFonts w:ascii="宋体" w:hAnsi="宋体" w:cs="宋体" w:eastAsia="宋体" w:hint="default"/>
          <w:spacing w:val="-48"/>
        </w:rPr>
        <w:t> </w:t>
      </w:r>
      <w:r>
        <w:rPr/>
        <w:t>月</w:t>
      </w:r>
      <w:r>
        <w:rPr>
          <w:spacing w:val="-46"/>
        </w:rPr>
        <w:t> </w:t>
      </w:r>
      <w:r>
        <w:rPr>
          <w:rFonts w:ascii="宋体" w:hAnsi="宋体" w:cs="宋体" w:eastAsia="宋体" w:hint="default"/>
        </w:rPr>
        <w:t>20</w:t>
      </w:r>
      <w:r>
        <w:rPr>
          <w:rFonts w:ascii="宋体" w:hAnsi="宋体" w:cs="宋体" w:eastAsia="宋体" w:hint="default"/>
          <w:spacing w:val="-45"/>
        </w:rPr>
        <w:t> </w:t>
      </w:r>
      <w:r>
        <w:rPr/>
        <w:t>日披露的《同</w:t>
      </w:r>
    </w:p>
    <w:p>
      <w:pPr>
        <w:spacing w:line="475" w:lineRule="auto" w:before="0"/>
        <w:ind w:left="415" w:right="155" w:hanging="257"/>
        <w:jc w:val="left"/>
        <w:rPr>
          <w:rFonts w:ascii="宋体" w:hAnsi="宋体" w:cs="宋体" w:eastAsia="宋体" w:hint="default"/>
          <w:sz w:val="24"/>
          <w:szCs w:val="24"/>
        </w:rPr>
      </w:pPr>
      <w:r>
        <w:rPr>
          <w:rFonts w:ascii="宋体" w:hAnsi="宋体" w:cs="宋体" w:eastAsia="宋体" w:hint="default"/>
          <w:sz w:val="24"/>
          <w:szCs w:val="24"/>
        </w:rPr>
        <w:t>方股份有限公司</w:t>
      </w:r>
      <w:r>
        <w:rPr>
          <w:rFonts w:ascii="宋体" w:hAnsi="宋体" w:cs="宋体" w:eastAsia="宋体" w:hint="default"/>
          <w:spacing w:val="-61"/>
          <w:sz w:val="24"/>
          <w:szCs w:val="24"/>
        </w:rPr>
        <w:t> </w:t>
      </w:r>
      <w:r>
        <w:rPr>
          <w:rFonts w:ascii="宋体" w:hAnsi="宋体" w:cs="宋体" w:eastAsia="宋体" w:hint="default"/>
          <w:sz w:val="24"/>
          <w:szCs w:val="24"/>
        </w:rPr>
        <w:t>2015</w:t>
      </w:r>
      <w:r>
        <w:rPr>
          <w:rFonts w:ascii="宋体" w:hAnsi="宋体" w:cs="宋体" w:eastAsia="宋体" w:hint="default"/>
          <w:spacing w:val="-60"/>
          <w:sz w:val="24"/>
          <w:szCs w:val="24"/>
        </w:rPr>
        <w:t> </w:t>
      </w:r>
      <w:r>
        <w:rPr>
          <w:rFonts w:ascii="宋体" w:hAnsi="宋体" w:cs="宋体" w:eastAsia="宋体" w:hint="default"/>
          <w:spacing w:val="-12"/>
          <w:sz w:val="24"/>
          <w:szCs w:val="24"/>
        </w:rPr>
        <w:t>年度社会责任报告》。</w:t>
      </w:r>
      <w:r>
        <w:rPr>
          <w:rFonts w:ascii="宋体" w:hAnsi="宋体" w:cs="宋体" w:eastAsia="宋体" w:hint="default"/>
          <w:sz w:val="24"/>
          <w:szCs w:val="24"/>
        </w:rPr>
        <w:t> </w:t>
      </w:r>
      <w:r>
        <w:rPr>
          <w:rFonts w:ascii="宋体" w:hAnsi="宋体" w:cs="宋体" w:eastAsia="宋体" w:hint="default"/>
          <w:b/>
          <w:bCs/>
          <w:sz w:val="24"/>
          <w:szCs w:val="24"/>
        </w:rPr>
        <w:t>(</w:t>
      </w:r>
      <w:r>
        <w:rPr>
          <w:rFonts w:ascii="宋体" w:hAnsi="宋体" w:cs="宋体" w:eastAsia="宋体" w:hint="default"/>
          <w:b/>
          <w:bCs/>
          <w:sz w:val="24"/>
          <w:szCs w:val="24"/>
        </w:rPr>
        <w:t>二</w:t>
      </w:r>
      <w:r>
        <w:rPr>
          <w:rFonts w:ascii="宋体" w:hAnsi="宋体" w:cs="宋体" w:eastAsia="宋体" w:hint="default"/>
          <w:b/>
          <w:bCs/>
          <w:sz w:val="24"/>
          <w:szCs w:val="24"/>
        </w:rPr>
        <w:t>)</w:t>
      </w:r>
      <w:r>
        <w:rPr>
          <w:rFonts w:ascii="宋体" w:hAnsi="宋体" w:cs="宋体" w:eastAsia="宋体" w:hint="default"/>
          <w:b/>
          <w:bCs/>
          <w:sz w:val="24"/>
          <w:szCs w:val="24"/>
        </w:rPr>
        <w:t>属于国家环境保护部门规定的重污染行业的上市公司及其子公司的环保情况说明</w:t>
      </w:r>
      <w:r>
        <w:rPr>
          <w:rFonts w:ascii="宋体" w:hAnsi="宋体" w:cs="宋体" w:eastAsia="宋体" w:hint="default"/>
          <w:sz w:val="24"/>
          <w:szCs w:val="24"/>
        </w:rPr>
      </w:r>
    </w:p>
    <w:p>
      <w:pPr>
        <w:pStyle w:val="BodyText"/>
        <w:spacing w:line="240" w:lineRule="auto" w:before="74"/>
        <w:ind w:right="0"/>
        <w:jc w:val="left"/>
      </w:pPr>
      <w:r>
        <w:rPr/>
        <w:t>不适用。</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7"/>
          <w:szCs w:val="17"/>
        </w:rPr>
      </w:pPr>
    </w:p>
    <w:p>
      <w:pPr>
        <w:pStyle w:val="Heading2"/>
        <w:spacing w:line="240" w:lineRule="auto"/>
        <w:ind w:left="158" w:right="0"/>
        <w:jc w:val="left"/>
      </w:pPr>
      <w:r>
        <w:rPr/>
        <w:t>十六、可转换公司债券情况</w:t>
      </w:r>
    </w:p>
    <w:p>
      <w:pPr>
        <w:spacing w:line="240" w:lineRule="auto" w:before="8"/>
        <w:rPr>
          <w:rFonts w:ascii="黑体" w:hAnsi="黑体" w:cs="黑体" w:eastAsia="黑体" w:hint="default"/>
          <w:sz w:val="28"/>
          <w:szCs w:val="28"/>
        </w:rPr>
      </w:pPr>
    </w:p>
    <w:p>
      <w:pPr>
        <w:pStyle w:val="BodyText"/>
        <w:spacing w:line="240" w:lineRule="auto"/>
        <w:ind w:right="0"/>
        <w:jc w:val="left"/>
      </w:pPr>
      <w:r>
        <w:rPr/>
        <w:t>不适用。</w:t>
      </w:r>
    </w:p>
    <w:p>
      <w:pPr>
        <w:spacing w:after="0" w:line="240" w:lineRule="auto"/>
        <w:jc w:val="left"/>
        <w:sectPr>
          <w:pgSz w:w="11910" w:h="16840"/>
          <w:pgMar w:header="628" w:footer="760" w:top="1080" w:bottom="960" w:left="1260" w:right="11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Heading1"/>
        <w:spacing w:line="240" w:lineRule="auto"/>
        <w:ind w:left="3421" w:right="569"/>
        <w:jc w:val="left"/>
        <w:rPr>
          <w:b w:val="0"/>
          <w:bCs w:val="0"/>
        </w:rPr>
      </w:pPr>
      <w:bookmarkStart w:name="_TOC_250006" w:id="5"/>
      <w:r>
        <w:rPr/>
        <w:t>第六章</w:t>
      </w:r>
      <w:r>
        <w:rPr>
          <w:spacing w:val="-6"/>
        </w:rPr>
        <w:t> </w:t>
      </w:r>
      <w:r>
        <w:rPr/>
        <w:t>股份变动及股东情况</w:t>
      </w:r>
      <w:bookmarkEnd w:id="5"/>
      <w:r>
        <w:rPr>
          <w:b w:val="0"/>
          <w:bCs w:val="0"/>
        </w:rPr>
      </w:r>
    </w:p>
    <w:p>
      <w:pPr>
        <w:spacing w:line="240" w:lineRule="auto" w:before="0"/>
        <w:rPr>
          <w:rFonts w:ascii="黑体" w:hAnsi="黑体" w:cs="黑体" w:eastAsia="黑体" w:hint="default"/>
          <w:b/>
          <w:bCs/>
          <w:sz w:val="32"/>
          <w:szCs w:val="32"/>
        </w:rPr>
      </w:pPr>
    </w:p>
    <w:p>
      <w:pPr>
        <w:spacing w:line="240" w:lineRule="auto" w:before="3"/>
        <w:rPr>
          <w:rFonts w:ascii="黑体" w:hAnsi="黑体" w:cs="黑体" w:eastAsia="黑体" w:hint="default"/>
          <w:b/>
          <w:bCs/>
          <w:sz w:val="38"/>
          <w:szCs w:val="38"/>
        </w:rPr>
      </w:pPr>
    </w:p>
    <w:p>
      <w:pPr>
        <w:spacing w:line="480" w:lineRule="auto" w:before="0"/>
        <w:ind w:left="955" w:right="6757" w:hanging="257"/>
        <w:jc w:val="both"/>
        <w:rPr>
          <w:rFonts w:ascii="宋体" w:hAnsi="宋体" w:cs="宋体" w:eastAsia="宋体" w:hint="default"/>
          <w:sz w:val="24"/>
          <w:szCs w:val="24"/>
        </w:rPr>
      </w:pPr>
      <w:r>
        <w:rPr>
          <w:rFonts w:ascii="黑体" w:hAnsi="黑体" w:cs="黑体" w:eastAsia="黑体" w:hint="default"/>
          <w:sz w:val="28"/>
          <w:szCs w:val="28"/>
        </w:rPr>
        <w:t>一、普通股股本变动情况</w:t>
      </w:r>
      <w:r>
        <w:rPr>
          <w:rFonts w:ascii="黑体" w:hAnsi="黑体" w:cs="黑体" w:eastAsia="黑体" w:hint="default"/>
          <w:w w:val="100"/>
          <w:sz w:val="28"/>
          <w:szCs w:val="28"/>
        </w:rPr>
        <w:t> </w:t>
      </w:r>
      <w:r>
        <w:rPr>
          <w:rFonts w:ascii="宋体" w:hAnsi="宋体" w:cs="宋体" w:eastAsia="宋体" w:hint="default"/>
          <w:b/>
          <w:bCs/>
          <w:sz w:val="24"/>
          <w:szCs w:val="24"/>
        </w:rPr>
        <w:t>(</w:t>
      </w:r>
      <w:r>
        <w:rPr>
          <w:rFonts w:ascii="宋体" w:hAnsi="宋体" w:cs="宋体" w:eastAsia="宋体" w:hint="default"/>
          <w:b/>
          <w:bCs/>
          <w:sz w:val="24"/>
          <w:szCs w:val="24"/>
        </w:rPr>
        <w:t>一</w:t>
      </w:r>
      <w:r>
        <w:rPr>
          <w:rFonts w:ascii="宋体" w:hAnsi="宋体" w:cs="宋体" w:eastAsia="宋体" w:hint="default"/>
          <w:b/>
          <w:bCs/>
          <w:sz w:val="24"/>
          <w:szCs w:val="24"/>
        </w:rPr>
        <w:t>)</w:t>
      </w:r>
      <w:r>
        <w:rPr>
          <w:rFonts w:ascii="宋体" w:hAnsi="宋体" w:cs="宋体" w:eastAsia="宋体" w:hint="default"/>
          <w:b/>
          <w:bCs/>
          <w:sz w:val="24"/>
          <w:szCs w:val="24"/>
        </w:rPr>
        <w:t>普通股股份变动情况表</w:t>
      </w:r>
      <w:r>
        <w:rPr>
          <w:rFonts w:ascii="宋体" w:hAnsi="宋体" w:cs="宋体" w:eastAsia="宋体" w:hint="default"/>
          <w:b/>
          <w:bCs/>
          <w:w w:val="99"/>
          <w:sz w:val="24"/>
          <w:szCs w:val="24"/>
        </w:rPr>
        <w:t> </w:t>
      </w:r>
      <w:r>
        <w:rPr>
          <w:rFonts w:ascii="宋体" w:hAnsi="宋体" w:cs="宋体" w:eastAsia="宋体" w:hint="default"/>
          <w:b/>
          <w:bCs/>
          <w:sz w:val="24"/>
          <w:szCs w:val="24"/>
        </w:rPr>
        <w:t>1</w:t>
      </w:r>
      <w:r>
        <w:rPr>
          <w:rFonts w:ascii="宋体" w:hAnsi="宋体" w:cs="宋体" w:eastAsia="宋体" w:hint="default"/>
          <w:b/>
          <w:bCs/>
          <w:sz w:val="24"/>
          <w:szCs w:val="24"/>
        </w:rPr>
        <w:t>、普通股股份变动情况表</w:t>
      </w:r>
      <w:r>
        <w:rPr>
          <w:rFonts w:ascii="宋体" w:hAnsi="宋体" w:cs="宋体" w:eastAsia="宋体" w:hint="default"/>
          <w:sz w:val="24"/>
          <w:szCs w:val="24"/>
        </w:rPr>
      </w:r>
    </w:p>
    <w:p>
      <w:pPr>
        <w:spacing w:line="240" w:lineRule="auto" w:before="3"/>
        <w:rPr>
          <w:rFonts w:ascii="宋体" w:hAnsi="宋体" w:cs="宋体" w:eastAsia="宋体" w:hint="default"/>
          <w:b/>
          <w:bCs/>
          <w:sz w:val="8"/>
          <w:szCs w:val="8"/>
        </w:rPr>
      </w:pPr>
    </w:p>
    <w:tbl>
      <w:tblPr>
        <w:tblW w:w="0" w:type="auto"/>
        <w:jc w:val="left"/>
        <w:tblInd w:w="110" w:type="dxa"/>
        <w:tblLayout w:type="fixed"/>
        <w:tblCellMar>
          <w:top w:w="0" w:type="dxa"/>
          <w:left w:w="0" w:type="dxa"/>
          <w:bottom w:w="0" w:type="dxa"/>
          <w:right w:w="0" w:type="dxa"/>
        </w:tblCellMar>
        <w:tblLook w:val="01E0"/>
      </w:tblPr>
      <w:tblGrid>
        <w:gridCol w:w="2216"/>
        <w:gridCol w:w="1395"/>
        <w:gridCol w:w="763"/>
        <w:gridCol w:w="1212"/>
        <w:gridCol w:w="398"/>
        <w:gridCol w:w="595"/>
        <w:gridCol w:w="398"/>
        <w:gridCol w:w="1213"/>
        <w:gridCol w:w="1397"/>
        <w:gridCol w:w="761"/>
      </w:tblGrid>
      <w:tr>
        <w:trPr>
          <w:trHeight w:val="257" w:hRule="exact"/>
        </w:trPr>
        <w:tc>
          <w:tcPr>
            <w:tcW w:w="2216" w:type="dxa"/>
            <w:vMerge w:val="restart"/>
            <w:tcBorders>
              <w:top w:val="single" w:sz="12" w:space="0" w:color="000000"/>
              <w:left w:val="single" w:sz="12" w:space="0" w:color="000000"/>
              <w:right w:val="single" w:sz="6" w:space="0" w:color="000000"/>
            </w:tcBorders>
          </w:tcPr>
          <w:p>
            <w:pPr/>
          </w:p>
        </w:tc>
        <w:tc>
          <w:tcPr>
            <w:tcW w:w="2158" w:type="dxa"/>
            <w:gridSpan w:val="2"/>
            <w:tcBorders>
              <w:top w:val="single" w:sz="12" w:space="0" w:color="000000"/>
              <w:left w:val="single" w:sz="6" w:space="0" w:color="000000"/>
              <w:bottom w:val="single" w:sz="6" w:space="0" w:color="000000"/>
              <w:right w:val="single" w:sz="6" w:space="0" w:color="000000"/>
            </w:tcBorders>
          </w:tcPr>
          <w:p>
            <w:pPr>
              <w:pStyle w:val="TableParagraph"/>
              <w:spacing w:line="208" w:lineRule="exact"/>
              <w:ind w:left="619" w:right="0"/>
              <w:jc w:val="left"/>
              <w:rPr>
                <w:rFonts w:ascii="宋体" w:hAnsi="宋体" w:cs="宋体" w:eastAsia="宋体" w:hint="default"/>
                <w:sz w:val="18"/>
                <w:szCs w:val="18"/>
              </w:rPr>
            </w:pPr>
            <w:r>
              <w:rPr>
                <w:rFonts w:ascii="宋体" w:hAnsi="宋体" w:cs="宋体" w:eastAsia="宋体" w:hint="default"/>
                <w:b/>
                <w:bCs/>
                <w:sz w:val="18"/>
                <w:szCs w:val="18"/>
              </w:rPr>
              <w:t>本次变动前</w:t>
            </w:r>
            <w:r>
              <w:rPr>
                <w:rFonts w:ascii="宋体" w:hAnsi="宋体" w:cs="宋体" w:eastAsia="宋体" w:hint="default"/>
                <w:sz w:val="18"/>
                <w:szCs w:val="18"/>
              </w:rPr>
            </w:r>
          </w:p>
        </w:tc>
        <w:tc>
          <w:tcPr>
            <w:tcW w:w="3817" w:type="dxa"/>
            <w:gridSpan w:val="5"/>
            <w:tcBorders>
              <w:top w:val="single" w:sz="12" w:space="0" w:color="000000"/>
              <w:left w:val="single" w:sz="6" w:space="0" w:color="000000"/>
              <w:bottom w:val="single" w:sz="6" w:space="0" w:color="000000"/>
              <w:right w:val="single" w:sz="6" w:space="0" w:color="000000"/>
            </w:tcBorders>
          </w:tcPr>
          <w:p>
            <w:pPr>
              <w:pStyle w:val="TableParagraph"/>
              <w:spacing w:line="208" w:lineRule="exact"/>
              <w:ind w:left="995" w:right="0"/>
              <w:jc w:val="left"/>
              <w:rPr>
                <w:rFonts w:ascii="宋体" w:hAnsi="宋体" w:cs="宋体" w:eastAsia="宋体" w:hint="default"/>
                <w:sz w:val="18"/>
                <w:szCs w:val="18"/>
              </w:rPr>
            </w:pPr>
            <w:r>
              <w:rPr>
                <w:rFonts w:ascii="宋体" w:hAnsi="宋体" w:cs="宋体" w:eastAsia="宋体" w:hint="default"/>
                <w:b/>
                <w:bCs/>
                <w:sz w:val="18"/>
                <w:szCs w:val="18"/>
              </w:rPr>
              <w:t>本次变动增减</w:t>
            </w:r>
            <w:r>
              <w:rPr>
                <w:rFonts w:ascii="宋体" w:hAnsi="宋体" w:cs="宋体" w:eastAsia="宋体" w:hint="default"/>
                <w:b/>
                <w:bCs/>
                <w:sz w:val="18"/>
                <w:szCs w:val="18"/>
              </w:rPr>
              <w:t>(</w:t>
            </w:r>
            <w:r>
              <w:rPr>
                <w:rFonts w:ascii="宋体" w:hAnsi="宋体" w:cs="宋体" w:eastAsia="宋体"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c>
          <w:tcPr>
            <w:tcW w:w="2158" w:type="dxa"/>
            <w:gridSpan w:val="2"/>
            <w:tcBorders>
              <w:top w:val="single" w:sz="12" w:space="0" w:color="000000"/>
              <w:left w:val="single" w:sz="6" w:space="0" w:color="000000"/>
              <w:bottom w:val="single" w:sz="6" w:space="0" w:color="000000"/>
              <w:right w:val="single" w:sz="12" w:space="0" w:color="000000"/>
            </w:tcBorders>
          </w:tcPr>
          <w:p>
            <w:pPr>
              <w:pStyle w:val="TableParagraph"/>
              <w:spacing w:line="208" w:lineRule="exact"/>
              <w:ind w:left="619" w:right="0"/>
              <w:jc w:val="left"/>
              <w:rPr>
                <w:rFonts w:ascii="宋体" w:hAnsi="宋体" w:cs="宋体" w:eastAsia="宋体" w:hint="default"/>
                <w:sz w:val="18"/>
                <w:szCs w:val="18"/>
              </w:rPr>
            </w:pPr>
            <w:r>
              <w:rPr>
                <w:rFonts w:ascii="宋体" w:hAnsi="宋体" w:cs="宋体" w:eastAsia="宋体" w:hint="default"/>
                <w:b/>
                <w:bCs/>
                <w:sz w:val="18"/>
                <w:szCs w:val="18"/>
              </w:rPr>
              <w:t>本次变动后</w:t>
            </w:r>
            <w:r>
              <w:rPr>
                <w:rFonts w:ascii="宋体" w:hAnsi="宋体" w:cs="宋体" w:eastAsia="宋体" w:hint="default"/>
                <w:sz w:val="18"/>
                <w:szCs w:val="18"/>
              </w:rPr>
            </w:r>
          </w:p>
        </w:tc>
      </w:tr>
      <w:tr>
        <w:trPr>
          <w:trHeight w:val="715" w:hRule="exact"/>
        </w:trPr>
        <w:tc>
          <w:tcPr>
            <w:tcW w:w="2216" w:type="dxa"/>
            <w:vMerge/>
            <w:tcBorders>
              <w:left w:val="single" w:sz="12" w:space="0" w:color="000000"/>
              <w:bottom w:val="single" w:sz="6" w:space="0" w:color="000000"/>
              <w:right w:val="single" w:sz="6" w:space="0" w:color="000000"/>
            </w:tcBorders>
          </w:tcPr>
          <w:p>
            <w:pPr/>
          </w:p>
        </w:tc>
        <w:tc>
          <w:tcPr>
            <w:tcW w:w="13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b/>
                <w:bCs/>
                <w:sz w:val="18"/>
                <w:szCs w:val="18"/>
              </w:rPr>
              <w:t>数量</w:t>
            </w:r>
            <w:r>
              <w:rPr>
                <w:rFonts w:ascii="宋体" w:hAnsi="宋体" w:cs="宋体" w:eastAsia="宋体" w:hint="default"/>
                <w:sz w:val="18"/>
                <w:szCs w:val="18"/>
              </w:rPr>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237" w:right="191" w:hanging="46"/>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b/>
                <w:bCs/>
                <w:spacing w:val="-8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b/>
                <w:bCs/>
                <w:sz w:val="18"/>
                <w:szCs w:val="18"/>
              </w:rPr>
              <w:t>发行新股</w:t>
            </w:r>
            <w:r>
              <w:rPr>
                <w:rFonts w:ascii="宋体" w:hAnsi="宋体" w:cs="宋体" w:eastAsia="宋体" w:hint="default"/>
                <w:sz w:val="18"/>
                <w:szCs w:val="18"/>
              </w:rPr>
            </w:r>
          </w:p>
        </w:tc>
        <w:tc>
          <w:tcPr>
            <w:tcW w:w="398"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100" w:right="101"/>
              <w:jc w:val="left"/>
              <w:rPr>
                <w:rFonts w:ascii="宋体" w:hAnsi="宋体" w:cs="宋体" w:eastAsia="宋体" w:hint="default"/>
                <w:sz w:val="18"/>
                <w:szCs w:val="18"/>
              </w:rPr>
            </w:pPr>
            <w:r>
              <w:rPr>
                <w:rFonts w:ascii="宋体" w:hAnsi="宋体" w:cs="宋体" w:eastAsia="宋体" w:hint="default"/>
                <w:b/>
                <w:bCs/>
                <w:sz w:val="18"/>
                <w:szCs w:val="18"/>
              </w:rPr>
              <w:t>送</w:t>
            </w:r>
            <w:r>
              <w:rPr>
                <w:rFonts w:ascii="宋体" w:hAnsi="宋体" w:cs="宋体" w:eastAsia="宋体" w:hint="default"/>
                <w:b/>
                <w:bCs/>
                <w:w w:val="9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595"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07" w:right="0"/>
              <w:jc w:val="left"/>
              <w:rPr>
                <w:rFonts w:ascii="宋体" w:hAnsi="宋体" w:cs="宋体" w:eastAsia="宋体" w:hint="default"/>
                <w:sz w:val="18"/>
                <w:szCs w:val="18"/>
              </w:rPr>
            </w:pPr>
            <w:r>
              <w:rPr>
                <w:rFonts w:ascii="宋体" w:hAnsi="宋体" w:cs="宋体" w:eastAsia="宋体" w:hint="default"/>
                <w:b/>
                <w:bCs/>
                <w:sz w:val="18"/>
                <w:szCs w:val="18"/>
              </w:rPr>
              <w:t>公积</w:t>
            </w:r>
            <w:r>
              <w:rPr>
                <w:rFonts w:ascii="宋体" w:hAnsi="宋体" w:cs="宋体" w:eastAsia="宋体" w:hint="default"/>
                <w:sz w:val="18"/>
                <w:szCs w:val="18"/>
              </w:rPr>
            </w:r>
          </w:p>
          <w:p>
            <w:pPr>
              <w:pStyle w:val="TableParagraph"/>
              <w:spacing w:line="240" w:lineRule="auto"/>
              <w:ind w:left="199" w:right="107" w:hanging="92"/>
              <w:jc w:val="left"/>
              <w:rPr>
                <w:rFonts w:ascii="宋体" w:hAnsi="宋体" w:cs="宋体" w:eastAsia="宋体" w:hint="default"/>
                <w:sz w:val="18"/>
                <w:szCs w:val="18"/>
              </w:rPr>
            </w:pPr>
            <w:r>
              <w:rPr>
                <w:rFonts w:ascii="宋体" w:hAnsi="宋体" w:cs="宋体" w:eastAsia="宋体" w:hint="default"/>
                <w:b/>
                <w:bCs/>
                <w:sz w:val="18"/>
                <w:szCs w:val="18"/>
              </w:rPr>
              <w:t>金转</w:t>
            </w:r>
            <w:r>
              <w:rPr>
                <w:rFonts w:ascii="宋体" w:hAnsi="宋体" w:cs="宋体" w:eastAsia="宋体" w:hint="default"/>
                <w:b/>
                <w:bCs/>
                <w:spacing w:val="-8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398"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100" w:right="101"/>
              <w:jc w:val="left"/>
              <w:rPr>
                <w:rFonts w:ascii="宋体" w:hAnsi="宋体" w:cs="宋体" w:eastAsia="宋体" w:hint="default"/>
                <w:sz w:val="18"/>
                <w:szCs w:val="18"/>
              </w:rPr>
            </w:pPr>
            <w:r>
              <w:rPr>
                <w:rFonts w:ascii="宋体" w:hAnsi="宋体" w:cs="宋体" w:eastAsia="宋体" w:hint="default"/>
                <w:b/>
                <w:bCs/>
                <w:sz w:val="18"/>
                <w:szCs w:val="18"/>
              </w:rPr>
              <w:t>其</w:t>
            </w:r>
            <w:r>
              <w:rPr>
                <w:rFonts w:ascii="宋体" w:hAnsi="宋体" w:cs="宋体" w:eastAsia="宋体" w:hint="default"/>
                <w:b/>
                <w:bCs/>
                <w:w w:val="99"/>
                <w:sz w:val="18"/>
                <w:szCs w:val="18"/>
              </w:rPr>
              <w:t> </w:t>
            </w:r>
            <w:r>
              <w:rPr>
                <w:rFonts w:ascii="宋体" w:hAnsi="宋体" w:cs="宋体" w:eastAsia="宋体" w:hint="default"/>
                <w:b/>
                <w:bCs/>
                <w:sz w:val="18"/>
                <w:szCs w:val="18"/>
              </w:rPr>
              <w:t>他</w:t>
            </w:r>
            <w:r>
              <w:rPr>
                <w:rFonts w:ascii="宋体" w:hAnsi="宋体" w:cs="宋体" w:eastAsia="宋体" w:hint="default"/>
                <w:sz w:val="18"/>
                <w:szCs w:val="18"/>
              </w:rPr>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数量</w:t>
            </w:r>
            <w:r>
              <w:rPr>
                <w:rFonts w:ascii="宋体" w:hAnsi="宋体" w:cs="宋体" w:eastAsia="宋体" w:hint="default"/>
                <w:sz w:val="18"/>
                <w:szCs w:val="18"/>
              </w:rPr>
            </w:r>
          </w:p>
        </w:tc>
        <w:tc>
          <w:tcPr>
            <w:tcW w:w="761" w:type="dxa"/>
            <w:tcBorders>
              <w:top w:val="single" w:sz="6" w:space="0" w:color="000000"/>
              <w:left w:val="single" w:sz="6" w:space="0" w:color="000000"/>
              <w:bottom w:val="single" w:sz="6" w:space="0" w:color="000000"/>
              <w:right w:val="single" w:sz="12" w:space="0" w:color="000000"/>
            </w:tcBorders>
          </w:tcPr>
          <w:p>
            <w:pPr>
              <w:pStyle w:val="TableParagraph"/>
              <w:spacing w:line="232" w:lineRule="exact" w:before="112"/>
              <w:ind w:left="237" w:right="180" w:hanging="46"/>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b/>
                <w:bCs/>
                <w:spacing w:val="-8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r>
      <w:tr>
        <w:trPr>
          <w:trHeight w:val="247" w:hRule="exact"/>
        </w:trPr>
        <w:tc>
          <w:tcPr>
            <w:tcW w:w="2216"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一、有限售条件股份</w:t>
            </w:r>
            <w:r>
              <w:rPr>
                <w:rFonts w:ascii="宋体" w:hAnsi="宋体" w:cs="宋体" w:eastAsia="宋体" w:hint="default"/>
                <w:sz w:val="18"/>
                <w:szCs w:val="18"/>
              </w:rPr>
            </w:r>
          </w:p>
        </w:tc>
        <w:tc>
          <w:tcPr>
            <w:tcW w:w="139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6"/>
              <w:jc w:val="right"/>
              <w:rPr>
                <w:rFonts w:ascii="宋体" w:hAnsi="宋体" w:cs="宋体" w:eastAsia="宋体" w:hint="default"/>
                <w:sz w:val="18"/>
                <w:szCs w:val="18"/>
              </w:rPr>
            </w:pPr>
            <w:r>
              <w:rPr>
                <w:rFonts w:ascii="宋体"/>
                <w:b/>
                <w:w w:val="95"/>
                <w:sz w:val="18"/>
              </w:rPr>
              <w:t>127,680,797</w:t>
            </w:r>
            <w:r>
              <w:rPr>
                <w:rFonts w:ascii="宋体"/>
                <w:sz w:val="18"/>
              </w:rPr>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b/>
                <w:sz w:val="18"/>
              </w:rPr>
              <w:t>5.81</w:t>
            </w:r>
            <w:r>
              <w:rPr>
                <w:rFonts w:ascii="宋体"/>
                <w:sz w:val="18"/>
              </w:rPr>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0"/>
              <w:jc w:val="center"/>
              <w:rPr>
                <w:rFonts w:ascii="宋体" w:hAnsi="宋体" w:cs="宋体" w:eastAsia="宋体" w:hint="default"/>
                <w:sz w:val="18"/>
                <w:szCs w:val="18"/>
              </w:rPr>
            </w:pPr>
            <w:r>
              <w:rPr>
                <w:rFonts w:ascii="宋体"/>
                <w:b/>
                <w:sz w:val="18"/>
              </w:rPr>
              <w:t>766,016,713</w:t>
            </w:r>
            <w:r>
              <w:rPr>
                <w:rFonts w:ascii="宋体"/>
                <w:sz w:val="18"/>
              </w:rPr>
            </w:r>
          </w:p>
        </w:tc>
        <w:tc>
          <w:tcPr>
            <w:tcW w:w="398"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0"/>
              <w:jc w:val="center"/>
              <w:rPr>
                <w:rFonts w:ascii="宋体" w:hAnsi="宋体" w:cs="宋体" w:eastAsia="宋体" w:hint="default"/>
                <w:sz w:val="18"/>
                <w:szCs w:val="18"/>
              </w:rPr>
            </w:pPr>
            <w:r>
              <w:rPr>
                <w:rFonts w:ascii="宋体"/>
                <w:b/>
                <w:sz w:val="18"/>
              </w:rPr>
              <w:t>766,016,713</w:t>
            </w:r>
            <w:r>
              <w:rPr>
                <w:rFonts w:ascii="宋体"/>
                <w:sz w:val="18"/>
              </w:rPr>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b/>
                <w:w w:val="95"/>
                <w:sz w:val="18"/>
              </w:rPr>
              <w:t>893,697,510</w:t>
            </w:r>
            <w:r>
              <w:rPr>
                <w:rFonts w:ascii="宋体"/>
                <w:sz w:val="18"/>
              </w:rPr>
            </w:r>
          </w:p>
        </w:tc>
        <w:tc>
          <w:tcPr>
            <w:tcW w:w="761"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right="90"/>
              <w:jc w:val="right"/>
              <w:rPr>
                <w:rFonts w:ascii="宋体" w:hAnsi="宋体" w:cs="宋体" w:eastAsia="宋体" w:hint="default"/>
                <w:sz w:val="18"/>
                <w:szCs w:val="18"/>
              </w:rPr>
            </w:pPr>
            <w:r>
              <w:rPr>
                <w:rFonts w:ascii="宋体"/>
                <w:b/>
                <w:sz w:val="18"/>
              </w:rPr>
              <w:t>30.15</w:t>
            </w:r>
            <w:r>
              <w:rPr>
                <w:rFonts w:ascii="宋体"/>
                <w:sz w:val="18"/>
              </w:rPr>
            </w:r>
          </w:p>
        </w:tc>
      </w:tr>
      <w:tr>
        <w:trPr>
          <w:trHeight w:val="250" w:hRule="exact"/>
        </w:trPr>
        <w:tc>
          <w:tcPr>
            <w:tcW w:w="2216"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9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、国家持股</w:t>
            </w:r>
          </w:p>
        </w:tc>
        <w:tc>
          <w:tcPr>
            <w:tcW w:w="1395" w:type="dxa"/>
            <w:tcBorders>
              <w:top w:val="single" w:sz="6" w:space="0" w:color="000000"/>
              <w:left w:val="single" w:sz="6" w:space="0" w:color="000000"/>
              <w:bottom w:val="single" w:sz="6" w:space="0" w:color="000000"/>
              <w:right w:val="single" w:sz="6" w:space="0" w:color="000000"/>
            </w:tcBorders>
          </w:tcPr>
          <w:p>
            <w:pPr/>
          </w:p>
        </w:tc>
        <w:tc>
          <w:tcPr>
            <w:tcW w:w="763" w:type="dxa"/>
            <w:tcBorders>
              <w:top w:val="single" w:sz="6" w:space="0" w:color="000000"/>
              <w:left w:val="single" w:sz="6" w:space="0" w:color="000000"/>
              <w:bottom w:val="single" w:sz="6" w:space="0" w:color="000000"/>
              <w:right w:val="single" w:sz="6" w:space="0" w:color="000000"/>
            </w:tcBorders>
          </w:tcPr>
          <w:p>
            <w:pPr/>
          </w:p>
        </w:tc>
        <w:tc>
          <w:tcPr>
            <w:tcW w:w="1212"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1213" w:type="dxa"/>
            <w:tcBorders>
              <w:top w:val="single" w:sz="6" w:space="0" w:color="000000"/>
              <w:left w:val="single" w:sz="6" w:space="0" w:color="000000"/>
              <w:bottom w:val="single" w:sz="6" w:space="0" w:color="000000"/>
              <w:right w:val="single" w:sz="6" w:space="0" w:color="000000"/>
            </w:tcBorders>
          </w:tcPr>
          <w:p>
            <w:pPr/>
          </w:p>
        </w:tc>
        <w:tc>
          <w:tcPr>
            <w:tcW w:w="1397" w:type="dxa"/>
            <w:tcBorders>
              <w:top w:val="single" w:sz="6" w:space="0" w:color="000000"/>
              <w:left w:val="single" w:sz="6" w:space="0" w:color="000000"/>
              <w:bottom w:val="single" w:sz="6" w:space="0" w:color="000000"/>
              <w:right w:val="single" w:sz="6" w:space="0" w:color="000000"/>
            </w:tcBorders>
          </w:tcPr>
          <w:p>
            <w:pPr/>
          </w:p>
        </w:tc>
        <w:tc>
          <w:tcPr>
            <w:tcW w:w="761" w:type="dxa"/>
            <w:tcBorders>
              <w:top w:val="single" w:sz="6" w:space="0" w:color="000000"/>
              <w:left w:val="single" w:sz="6" w:space="0" w:color="000000"/>
              <w:bottom w:val="single" w:sz="6" w:space="0" w:color="000000"/>
              <w:right w:val="single" w:sz="12" w:space="0" w:color="000000"/>
            </w:tcBorders>
          </w:tcPr>
          <w:p>
            <w:pPr/>
          </w:p>
        </w:tc>
      </w:tr>
      <w:tr>
        <w:trPr>
          <w:trHeight w:val="247" w:hRule="exact"/>
        </w:trPr>
        <w:tc>
          <w:tcPr>
            <w:tcW w:w="2216"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、国有法人持股</w:t>
            </w:r>
          </w:p>
        </w:tc>
        <w:tc>
          <w:tcPr>
            <w:tcW w:w="1395" w:type="dxa"/>
            <w:tcBorders>
              <w:top w:val="single" w:sz="6" w:space="0" w:color="000000"/>
              <w:left w:val="single" w:sz="6" w:space="0" w:color="000000"/>
              <w:bottom w:val="single" w:sz="6" w:space="0" w:color="000000"/>
              <w:right w:val="single" w:sz="6" w:space="0" w:color="000000"/>
            </w:tcBorders>
          </w:tcPr>
          <w:p>
            <w:pPr/>
          </w:p>
        </w:tc>
        <w:tc>
          <w:tcPr>
            <w:tcW w:w="763" w:type="dxa"/>
            <w:tcBorders>
              <w:top w:val="single" w:sz="6" w:space="0" w:color="000000"/>
              <w:left w:val="single" w:sz="6" w:space="0" w:color="000000"/>
              <w:bottom w:val="single" w:sz="6" w:space="0" w:color="000000"/>
              <w:right w:val="single" w:sz="6" w:space="0" w:color="000000"/>
            </w:tcBorders>
          </w:tcPr>
          <w:p>
            <w:pP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4" w:right="0"/>
              <w:jc w:val="center"/>
              <w:rPr>
                <w:rFonts w:ascii="宋体" w:hAnsi="宋体" w:cs="宋体" w:eastAsia="宋体" w:hint="default"/>
                <w:sz w:val="18"/>
                <w:szCs w:val="18"/>
              </w:rPr>
            </w:pPr>
            <w:r>
              <w:rPr>
                <w:rFonts w:ascii="宋体"/>
                <w:sz w:val="18"/>
              </w:rPr>
              <w:t>278,551,532</w:t>
            </w:r>
          </w:p>
        </w:tc>
        <w:tc>
          <w:tcPr>
            <w:tcW w:w="398"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4" w:right="0"/>
              <w:jc w:val="center"/>
              <w:rPr>
                <w:rFonts w:ascii="宋体" w:hAnsi="宋体" w:cs="宋体" w:eastAsia="宋体" w:hint="default"/>
                <w:sz w:val="18"/>
                <w:szCs w:val="18"/>
              </w:rPr>
            </w:pPr>
            <w:r>
              <w:rPr>
                <w:rFonts w:ascii="宋体"/>
                <w:sz w:val="18"/>
              </w:rPr>
              <w:t>278,551,532</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278,551,532</w:t>
            </w:r>
          </w:p>
        </w:tc>
        <w:tc>
          <w:tcPr>
            <w:tcW w:w="761"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right="90"/>
              <w:jc w:val="right"/>
              <w:rPr>
                <w:rFonts w:ascii="宋体" w:hAnsi="宋体" w:cs="宋体" w:eastAsia="宋体" w:hint="default"/>
                <w:sz w:val="18"/>
                <w:szCs w:val="18"/>
              </w:rPr>
            </w:pPr>
            <w:r>
              <w:rPr>
                <w:rFonts w:ascii="宋体"/>
                <w:sz w:val="18"/>
              </w:rPr>
              <w:t>9.40</w:t>
            </w:r>
          </w:p>
        </w:tc>
      </w:tr>
      <w:tr>
        <w:trPr>
          <w:trHeight w:val="250" w:hRule="exact"/>
        </w:trPr>
        <w:tc>
          <w:tcPr>
            <w:tcW w:w="2216"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9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、其他内资持股</w:t>
            </w:r>
          </w:p>
        </w:tc>
        <w:tc>
          <w:tcPr>
            <w:tcW w:w="139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6"/>
              <w:jc w:val="right"/>
              <w:rPr>
                <w:rFonts w:ascii="宋体" w:hAnsi="宋体" w:cs="宋体" w:eastAsia="宋体" w:hint="default"/>
                <w:sz w:val="18"/>
                <w:szCs w:val="18"/>
              </w:rPr>
            </w:pPr>
            <w:r>
              <w:rPr>
                <w:rFonts w:ascii="宋体"/>
                <w:spacing w:val="-1"/>
                <w:sz w:val="18"/>
              </w:rPr>
              <w:t>127,680,797</w:t>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00"/>
              <w:jc w:val="right"/>
              <w:rPr>
                <w:rFonts w:ascii="宋体" w:hAnsi="宋体" w:cs="宋体" w:eastAsia="宋体" w:hint="default"/>
                <w:sz w:val="18"/>
                <w:szCs w:val="18"/>
              </w:rPr>
            </w:pPr>
            <w:r>
              <w:rPr>
                <w:rFonts w:ascii="宋体"/>
                <w:sz w:val="18"/>
              </w:rPr>
              <w:t>5.81</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4" w:right="0"/>
              <w:jc w:val="center"/>
              <w:rPr>
                <w:rFonts w:ascii="宋体" w:hAnsi="宋体" w:cs="宋体" w:eastAsia="宋体" w:hint="default"/>
                <w:sz w:val="18"/>
                <w:szCs w:val="18"/>
              </w:rPr>
            </w:pPr>
            <w:r>
              <w:rPr>
                <w:rFonts w:ascii="宋体"/>
                <w:sz w:val="18"/>
              </w:rPr>
              <w:t>487,465,181</w:t>
            </w:r>
          </w:p>
        </w:tc>
        <w:tc>
          <w:tcPr>
            <w:tcW w:w="398"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4" w:right="0"/>
              <w:jc w:val="center"/>
              <w:rPr>
                <w:rFonts w:ascii="宋体" w:hAnsi="宋体" w:cs="宋体" w:eastAsia="宋体" w:hint="default"/>
                <w:sz w:val="18"/>
                <w:szCs w:val="18"/>
              </w:rPr>
            </w:pPr>
            <w:r>
              <w:rPr>
                <w:rFonts w:ascii="宋体"/>
                <w:sz w:val="18"/>
              </w:rPr>
              <w:t>487,465,181</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615,145,978</w:t>
            </w:r>
          </w:p>
        </w:tc>
        <w:tc>
          <w:tcPr>
            <w:tcW w:w="761" w:type="dxa"/>
            <w:tcBorders>
              <w:top w:val="single" w:sz="6" w:space="0" w:color="000000"/>
              <w:left w:val="single" w:sz="6" w:space="0" w:color="000000"/>
              <w:bottom w:val="single" w:sz="6" w:space="0" w:color="000000"/>
              <w:right w:val="single" w:sz="12" w:space="0" w:color="000000"/>
            </w:tcBorders>
          </w:tcPr>
          <w:p>
            <w:pPr>
              <w:pStyle w:val="TableParagraph"/>
              <w:spacing w:line="208" w:lineRule="exact"/>
              <w:ind w:right="90"/>
              <w:jc w:val="right"/>
              <w:rPr>
                <w:rFonts w:ascii="宋体" w:hAnsi="宋体" w:cs="宋体" w:eastAsia="宋体" w:hint="default"/>
                <w:sz w:val="18"/>
                <w:szCs w:val="18"/>
              </w:rPr>
            </w:pPr>
            <w:r>
              <w:rPr>
                <w:rFonts w:ascii="宋体"/>
                <w:sz w:val="18"/>
              </w:rPr>
              <w:t>20.75</w:t>
            </w:r>
          </w:p>
        </w:tc>
      </w:tr>
      <w:tr>
        <w:trPr>
          <w:trHeight w:val="482" w:hRule="exact"/>
        </w:trPr>
        <w:tc>
          <w:tcPr>
            <w:tcW w:w="2216" w:type="dxa"/>
            <w:tcBorders>
              <w:top w:val="single" w:sz="6" w:space="0" w:color="000000"/>
              <w:left w:val="single" w:sz="12" w:space="0" w:color="000000"/>
              <w:bottom w:val="single" w:sz="6" w:space="0" w:color="000000"/>
              <w:right w:val="single" w:sz="6" w:space="0" w:color="000000"/>
            </w:tcBorders>
          </w:tcPr>
          <w:p>
            <w:pPr>
              <w:pStyle w:val="TableParagraph"/>
              <w:spacing w:line="204" w:lineRule="exact"/>
              <w:ind w:left="93" w:right="0"/>
              <w:jc w:val="left"/>
              <w:rPr>
                <w:rFonts w:ascii="宋体" w:hAnsi="宋体" w:cs="宋体" w:eastAsia="宋体" w:hint="default"/>
                <w:sz w:val="18"/>
                <w:szCs w:val="18"/>
              </w:rPr>
            </w:pPr>
            <w:r>
              <w:rPr>
                <w:rFonts w:ascii="宋体" w:hAnsi="宋体" w:cs="宋体" w:eastAsia="宋体" w:hint="default"/>
                <w:sz w:val="18"/>
                <w:szCs w:val="18"/>
              </w:rPr>
              <w:t>其中：境内非国有法人持</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395" w:type="dxa"/>
            <w:tcBorders>
              <w:top w:val="single" w:sz="6" w:space="0" w:color="000000"/>
              <w:left w:val="single" w:sz="6" w:space="0" w:color="000000"/>
              <w:bottom w:val="single" w:sz="6" w:space="0" w:color="000000"/>
              <w:right w:val="single" w:sz="6" w:space="0" w:color="000000"/>
            </w:tcBorders>
          </w:tcPr>
          <w:p>
            <w:pPr/>
          </w:p>
        </w:tc>
        <w:tc>
          <w:tcPr>
            <w:tcW w:w="763" w:type="dxa"/>
            <w:tcBorders>
              <w:top w:val="single" w:sz="6" w:space="0" w:color="000000"/>
              <w:left w:val="single" w:sz="6" w:space="0" w:color="000000"/>
              <w:bottom w:val="single" w:sz="6" w:space="0" w:color="000000"/>
              <w:right w:val="single" w:sz="6" w:space="0" w:color="000000"/>
            </w:tcBorders>
          </w:tcPr>
          <w:p>
            <w:pP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4" w:right="0"/>
              <w:jc w:val="center"/>
              <w:rPr>
                <w:rFonts w:ascii="宋体" w:hAnsi="宋体" w:cs="宋体" w:eastAsia="宋体" w:hint="default"/>
                <w:sz w:val="18"/>
                <w:szCs w:val="18"/>
              </w:rPr>
            </w:pPr>
            <w:r>
              <w:rPr>
                <w:rFonts w:ascii="宋体"/>
                <w:sz w:val="18"/>
              </w:rPr>
              <w:t>487,465,181</w:t>
            </w:r>
          </w:p>
        </w:tc>
        <w:tc>
          <w:tcPr>
            <w:tcW w:w="398"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4" w:right="0"/>
              <w:jc w:val="center"/>
              <w:rPr>
                <w:rFonts w:ascii="宋体" w:hAnsi="宋体" w:cs="宋体" w:eastAsia="宋体" w:hint="default"/>
                <w:sz w:val="18"/>
                <w:szCs w:val="18"/>
              </w:rPr>
            </w:pPr>
            <w:r>
              <w:rPr>
                <w:rFonts w:ascii="宋体"/>
                <w:sz w:val="18"/>
              </w:rPr>
              <w:t>487,465,181</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487,465,181</w:t>
            </w:r>
          </w:p>
        </w:tc>
        <w:tc>
          <w:tcPr>
            <w:tcW w:w="761"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right="90"/>
              <w:jc w:val="right"/>
              <w:rPr>
                <w:rFonts w:ascii="宋体" w:hAnsi="宋体" w:cs="宋体" w:eastAsia="宋体" w:hint="default"/>
                <w:sz w:val="18"/>
                <w:szCs w:val="18"/>
              </w:rPr>
            </w:pPr>
            <w:r>
              <w:rPr>
                <w:rFonts w:ascii="宋体"/>
                <w:sz w:val="18"/>
              </w:rPr>
              <w:t>16.45</w:t>
            </w:r>
          </w:p>
        </w:tc>
      </w:tr>
      <w:tr>
        <w:trPr>
          <w:trHeight w:val="247" w:hRule="exact"/>
        </w:trPr>
        <w:tc>
          <w:tcPr>
            <w:tcW w:w="2216"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634"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39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6"/>
              <w:jc w:val="right"/>
              <w:rPr>
                <w:rFonts w:ascii="宋体" w:hAnsi="宋体" w:cs="宋体" w:eastAsia="宋体" w:hint="default"/>
                <w:sz w:val="18"/>
                <w:szCs w:val="18"/>
              </w:rPr>
            </w:pPr>
            <w:r>
              <w:rPr>
                <w:rFonts w:ascii="宋体"/>
                <w:spacing w:val="-1"/>
                <w:sz w:val="18"/>
              </w:rPr>
              <w:t>127,680,797</w:t>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5.81</w:t>
            </w:r>
          </w:p>
        </w:tc>
        <w:tc>
          <w:tcPr>
            <w:tcW w:w="1212"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1213" w:type="dxa"/>
            <w:tcBorders>
              <w:top w:val="single" w:sz="6" w:space="0" w:color="000000"/>
              <w:left w:val="single" w:sz="6" w:space="0" w:color="000000"/>
              <w:bottom w:val="single" w:sz="6" w:space="0" w:color="000000"/>
              <w:right w:val="single" w:sz="6" w:space="0" w:color="000000"/>
            </w:tcBorders>
          </w:tcPr>
          <w:p>
            <w:pP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127,680,797</w:t>
            </w:r>
          </w:p>
        </w:tc>
        <w:tc>
          <w:tcPr>
            <w:tcW w:w="761"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right="90"/>
              <w:jc w:val="right"/>
              <w:rPr>
                <w:rFonts w:ascii="宋体" w:hAnsi="宋体" w:cs="宋体" w:eastAsia="宋体" w:hint="default"/>
                <w:sz w:val="18"/>
                <w:szCs w:val="18"/>
              </w:rPr>
            </w:pPr>
            <w:r>
              <w:rPr>
                <w:rFonts w:ascii="宋体"/>
                <w:sz w:val="18"/>
              </w:rPr>
              <w:t>4.30</w:t>
            </w:r>
          </w:p>
        </w:tc>
      </w:tr>
      <w:tr>
        <w:trPr>
          <w:trHeight w:val="250" w:hRule="exact"/>
        </w:trPr>
        <w:tc>
          <w:tcPr>
            <w:tcW w:w="2216"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93"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、外资持股</w:t>
            </w:r>
          </w:p>
        </w:tc>
        <w:tc>
          <w:tcPr>
            <w:tcW w:w="1395" w:type="dxa"/>
            <w:tcBorders>
              <w:top w:val="single" w:sz="6" w:space="0" w:color="000000"/>
              <w:left w:val="single" w:sz="6" w:space="0" w:color="000000"/>
              <w:bottom w:val="single" w:sz="6" w:space="0" w:color="000000"/>
              <w:right w:val="single" w:sz="6" w:space="0" w:color="000000"/>
            </w:tcBorders>
          </w:tcPr>
          <w:p>
            <w:pPr/>
          </w:p>
        </w:tc>
        <w:tc>
          <w:tcPr>
            <w:tcW w:w="763" w:type="dxa"/>
            <w:tcBorders>
              <w:top w:val="single" w:sz="6" w:space="0" w:color="000000"/>
              <w:left w:val="single" w:sz="6" w:space="0" w:color="000000"/>
              <w:bottom w:val="single" w:sz="6" w:space="0" w:color="000000"/>
              <w:right w:val="single" w:sz="6" w:space="0" w:color="000000"/>
            </w:tcBorders>
          </w:tcPr>
          <w:p>
            <w:pPr/>
          </w:p>
        </w:tc>
        <w:tc>
          <w:tcPr>
            <w:tcW w:w="1212"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1213" w:type="dxa"/>
            <w:tcBorders>
              <w:top w:val="single" w:sz="6" w:space="0" w:color="000000"/>
              <w:left w:val="single" w:sz="6" w:space="0" w:color="000000"/>
              <w:bottom w:val="single" w:sz="6" w:space="0" w:color="000000"/>
              <w:right w:val="single" w:sz="6" w:space="0" w:color="000000"/>
            </w:tcBorders>
          </w:tcPr>
          <w:p>
            <w:pPr/>
          </w:p>
        </w:tc>
        <w:tc>
          <w:tcPr>
            <w:tcW w:w="1397" w:type="dxa"/>
            <w:tcBorders>
              <w:top w:val="single" w:sz="6" w:space="0" w:color="000000"/>
              <w:left w:val="single" w:sz="6" w:space="0" w:color="000000"/>
              <w:bottom w:val="single" w:sz="6" w:space="0" w:color="000000"/>
              <w:right w:val="single" w:sz="6" w:space="0" w:color="000000"/>
            </w:tcBorders>
          </w:tcPr>
          <w:p>
            <w:pPr/>
          </w:p>
        </w:tc>
        <w:tc>
          <w:tcPr>
            <w:tcW w:w="761" w:type="dxa"/>
            <w:tcBorders>
              <w:top w:val="single" w:sz="6" w:space="0" w:color="000000"/>
              <w:left w:val="single" w:sz="6" w:space="0" w:color="000000"/>
              <w:bottom w:val="single" w:sz="6" w:space="0" w:color="000000"/>
              <w:right w:val="single" w:sz="12" w:space="0" w:color="000000"/>
            </w:tcBorders>
          </w:tcPr>
          <w:p>
            <w:pPr/>
          </w:p>
        </w:tc>
      </w:tr>
      <w:tr>
        <w:trPr>
          <w:trHeight w:val="247" w:hRule="exact"/>
        </w:trPr>
        <w:tc>
          <w:tcPr>
            <w:tcW w:w="2216"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395" w:type="dxa"/>
            <w:tcBorders>
              <w:top w:val="single" w:sz="6" w:space="0" w:color="000000"/>
              <w:left w:val="single" w:sz="6" w:space="0" w:color="000000"/>
              <w:bottom w:val="single" w:sz="6" w:space="0" w:color="000000"/>
              <w:right w:val="single" w:sz="6" w:space="0" w:color="000000"/>
            </w:tcBorders>
          </w:tcPr>
          <w:p>
            <w:pPr/>
          </w:p>
        </w:tc>
        <w:tc>
          <w:tcPr>
            <w:tcW w:w="763" w:type="dxa"/>
            <w:tcBorders>
              <w:top w:val="single" w:sz="6" w:space="0" w:color="000000"/>
              <w:left w:val="single" w:sz="6" w:space="0" w:color="000000"/>
              <w:bottom w:val="single" w:sz="6" w:space="0" w:color="000000"/>
              <w:right w:val="single" w:sz="6" w:space="0" w:color="000000"/>
            </w:tcBorders>
          </w:tcPr>
          <w:p>
            <w:pPr/>
          </w:p>
        </w:tc>
        <w:tc>
          <w:tcPr>
            <w:tcW w:w="1212"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1213" w:type="dxa"/>
            <w:tcBorders>
              <w:top w:val="single" w:sz="6" w:space="0" w:color="000000"/>
              <w:left w:val="single" w:sz="6" w:space="0" w:color="000000"/>
              <w:bottom w:val="single" w:sz="6" w:space="0" w:color="000000"/>
              <w:right w:val="single" w:sz="6" w:space="0" w:color="000000"/>
            </w:tcBorders>
          </w:tcPr>
          <w:p>
            <w:pPr/>
          </w:p>
        </w:tc>
        <w:tc>
          <w:tcPr>
            <w:tcW w:w="1397" w:type="dxa"/>
            <w:tcBorders>
              <w:top w:val="single" w:sz="6" w:space="0" w:color="000000"/>
              <w:left w:val="single" w:sz="6" w:space="0" w:color="000000"/>
              <w:bottom w:val="single" w:sz="6" w:space="0" w:color="000000"/>
              <w:right w:val="single" w:sz="6" w:space="0" w:color="000000"/>
            </w:tcBorders>
          </w:tcPr>
          <w:p>
            <w:pPr/>
          </w:p>
        </w:tc>
        <w:tc>
          <w:tcPr>
            <w:tcW w:w="761" w:type="dxa"/>
            <w:tcBorders>
              <w:top w:val="single" w:sz="6" w:space="0" w:color="000000"/>
              <w:left w:val="single" w:sz="6" w:space="0" w:color="000000"/>
              <w:bottom w:val="single" w:sz="6" w:space="0" w:color="000000"/>
              <w:right w:val="single" w:sz="12" w:space="0" w:color="000000"/>
            </w:tcBorders>
          </w:tcPr>
          <w:p>
            <w:pPr/>
          </w:p>
        </w:tc>
      </w:tr>
      <w:tr>
        <w:trPr>
          <w:trHeight w:val="250" w:hRule="exact"/>
        </w:trPr>
        <w:tc>
          <w:tcPr>
            <w:tcW w:w="2216"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634"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1395" w:type="dxa"/>
            <w:tcBorders>
              <w:top w:val="single" w:sz="6" w:space="0" w:color="000000"/>
              <w:left w:val="single" w:sz="6" w:space="0" w:color="000000"/>
              <w:bottom w:val="single" w:sz="6" w:space="0" w:color="000000"/>
              <w:right w:val="single" w:sz="6" w:space="0" w:color="000000"/>
            </w:tcBorders>
          </w:tcPr>
          <w:p>
            <w:pPr/>
          </w:p>
        </w:tc>
        <w:tc>
          <w:tcPr>
            <w:tcW w:w="763" w:type="dxa"/>
            <w:tcBorders>
              <w:top w:val="single" w:sz="6" w:space="0" w:color="000000"/>
              <w:left w:val="single" w:sz="6" w:space="0" w:color="000000"/>
              <w:bottom w:val="single" w:sz="6" w:space="0" w:color="000000"/>
              <w:right w:val="single" w:sz="6" w:space="0" w:color="000000"/>
            </w:tcBorders>
          </w:tcPr>
          <w:p>
            <w:pPr/>
          </w:p>
        </w:tc>
        <w:tc>
          <w:tcPr>
            <w:tcW w:w="1212"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1213" w:type="dxa"/>
            <w:tcBorders>
              <w:top w:val="single" w:sz="6" w:space="0" w:color="000000"/>
              <w:left w:val="single" w:sz="6" w:space="0" w:color="000000"/>
              <w:bottom w:val="single" w:sz="6" w:space="0" w:color="000000"/>
              <w:right w:val="single" w:sz="6" w:space="0" w:color="000000"/>
            </w:tcBorders>
          </w:tcPr>
          <w:p>
            <w:pPr/>
          </w:p>
        </w:tc>
        <w:tc>
          <w:tcPr>
            <w:tcW w:w="1397" w:type="dxa"/>
            <w:tcBorders>
              <w:top w:val="single" w:sz="6" w:space="0" w:color="000000"/>
              <w:left w:val="single" w:sz="6" w:space="0" w:color="000000"/>
              <w:bottom w:val="single" w:sz="6" w:space="0" w:color="000000"/>
              <w:right w:val="single" w:sz="6" w:space="0" w:color="000000"/>
            </w:tcBorders>
          </w:tcPr>
          <w:p>
            <w:pPr/>
          </w:p>
        </w:tc>
        <w:tc>
          <w:tcPr>
            <w:tcW w:w="761" w:type="dxa"/>
            <w:tcBorders>
              <w:top w:val="single" w:sz="6" w:space="0" w:color="000000"/>
              <w:left w:val="single" w:sz="6" w:space="0" w:color="000000"/>
              <w:bottom w:val="single" w:sz="6" w:space="0" w:color="000000"/>
              <w:right w:val="single" w:sz="12" w:space="0" w:color="000000"/>
            </w:tcBorders>
          </w:tcPr>
          <w:p>
            <w:pPr/>
          </w:p>
        </w:tc>
      </w:tr>
      <w:tr>
        <w:trPr>
          <w:trHeight w:val="247" w:hRule="exact"/>
        </w:trPr>
        <w:tc>
          <w:tcPr>
            <w:tcW w:w="2216"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二、无限售条件流通股份</w:t>
            </w:r>
            <w:r>
              <w:rPr>
                <w:rFonts w:ascii="宋体" w:hAnsi="宋体" w:cs="宋体" w:eastAsia="宋体" w:hint="default"/>
                <w:sz w:val="18"/>
                <w:szCs w:val="18"/>
              </w:rPr>
            </w:r>
          </w:p>
        </w:tc>
        <w:tc>
          <w:tcPr>
            <w:tcW w:w="139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7"/>
              <w:jc w:val="right"/>
              <w:rPr>
                <w:rFonts w:ascii="宋体" w:hAnsi="宋体" w:cs="宋体" w:eastAsia="宋体" w:hint="default"/>
                <w:sz w:val="18"/>
                <w:szCs w:val="18"/>
              </w:rPr>
            </w:pPr>
            <w:r>
              <w:rPr>
                <w:rFonts w:ascii="宋体"/>
                <w:b/>
                <w:w w:val="95"/>
                <w:sz w:val="18"/>
              </w:rPr>
              <w:t>2,070,201,441</w:t>
            </w:r>
            <w:r>
              <w:rPr>
                <w:rFonts w:ascii="宋体"/>
                <w:sz w:val="18"/>
              </w:rPr>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b/>
                <w:sz w:val="18"/>
              </w:rPr>
              <w:t>94.19</w:t>
            </w:r>
            <w:r>
              <w:rPr>
                <w:rFonts w:ascii="宋体"/>
                <w:sz w:val="18"/>
              </w:rPr>
            </w:r>
          </w:p>
        </w:tc>
        <w:tc>
          <w:tcPr>
            <w:tcW w:w="1212"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1213" w:type="dxa"/>
            <w:tcBorders>
              <w:top w:val="single" w:sz="6" w:space="0" w:color="000000"/>
              <w:left w:val="single" w:sz="6" w:space="0" w:color="000000"/>
              <w:bottom w:val="single" w:sz="6" w:space="0" w:color="000000"/>
              <w:right w:val="single" w:sz="6" w:space="0" w:color="000000"/>
            </w:tcBorders>
          </w:tcPr>
          <w:p>
            <w:pP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b/>
                <w:w w:val="95"/>
                <w:sz w:val="18"/>
              </w:rPr>
              <w:t>2,070,201,441</w:t>
            </w:r>
            <w:r>
              <w:rPr>
                <w:rFonts w:ascii="宋体"/>
                <w:sz w:val="18"/>
              </w:rPr>
            </w:r>
          </w:p>
        </w:tc>
        <w:tc>
          <w:tcPr>
            <w:tcW w:w="761"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right="89"/>
              <w:jc w:val="right"/>
              <w:rPr>
                <w:rFonts w:ascii="宋体" w:hAnsi="宋体" w:cs="宋体" w:eastAsia="宋体" w:hint="default"/>
                <w:sz w:val="18"/>
                <w:szCs w:val="18"/>
              </w:rPr>
            </w:pPr>
            <w:r>
              <w:rPr>
                <w:rFonts w:ascii="宋体"/>
                <w:b/>
                <w:sz w:val="18"/>
              </w:rPr>
              <w:t>69.85</w:t>
            </w:r>
            <w:r>
              <w:rPr>
                <w:rFonts w:ascii="宋体"/>
                <w:sz w:val="18"/>
              </w:rPr>
            </w:r>
          </w:p>
        </w:tc>
      </w:tr>
      <w:tr>
        <w:trPr>
          <w:trHeight w:val="250" w:hRule="exact"/>
        </w:trPr>
        <w:tc>
          <w:tcPr>
            <w:tcW w:w="2216"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9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、人民币普通股</w:t>
            </w:r>
          </w:p>
        </w:tc>
        <w:tc>
          <w:tcPr>
            <w:tcW w:w="139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6"/>
              <w:jc w:val="right"/>
              <w:rPr>
                <w:rFonts w:ascii="宋体" w:hAnsi="宋体" w:cs="宋体" w:eastAsia="宋体" w:hint="default"/>
                <w:sz w:val="18"/>
                <w:szCs w:val="18"/>
              </w:rPr>
            </w:pPr>
            <w:r>
              <w:rPr>
                <w:rFonts w:ascii="宋体"/>
                <w:spacing w:val="-1"/>
                <w:sz w:val="18"/>
              </w:rPr>
              <w:t>2,070,201,441</w:t>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00"/>
              <w:jc w:val="right"/>
              <w:rPr>
                <w:rFonts w:ascii="宋体" w:hAnsi="宋体" w:cs="宋体" w:eastAsia="宋体" w:hint="default"/>
                <w:sz w:val="18"/>
                <w:szCs w:val="18"/>
              </w:rPr>
            </w:pPr>
            <w:r>
              <w:rPr>
                <w:rFonts w:ascii="宋体"/>
                <w:sz w:val="18"/>
              </w:rPr>
              <w:t>94.19</w:t>
            </w:r>
          </w:p>
        </w:tc>
        <w:tc>
          <w:tcPr>
            <w:tcW w:w="1212"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1213" w:type="dxa"/>
            <w:tcBorders>
              <w:top w:val="single" w:sz="6" w:space="0" w:color="000000"/>
              <w:left w:val="single" w:sz="6" w:space="0" w:color="000000"/>
              <w:bottom w:val="single" w:sz="6" w:space="0" w:color="000000"/>
              <w:right w:val="single" w:sz="6" w:space="0" w:color="000000"/>
            </w:tcBorders>
          </w:tcPr>
          <w:p>
            <w:pP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2,070,201,441</w:t>
            </w:r>
          </w:p>
        </w:tc>
        <w:tc>
          <w:tcPr>
            <w:tcW w:w="761" w:type="dxa"/>
            <w:tcBorders>
              <w:top w:val="single" w:sz="6" w:space="0" w:color="000000"/>
              <w:left w:val="single" w:sz="6" w:space="0" w:color="000000"/>
              <w:bottom w:val="single" w:sz="6" w:space="0" w:color="000000"/>
              <w:right w:val="single" w:sz="12" w:space="0" w:color="000000"/>
            </w:tcBorders>
          </w:tcPr>
          <w:p>
            <w:pPr>
              <w:pStyle w:val="TableParagraph"/>
              <w:spacing w:line="208" w:lineRule="exact"/>
              <w:ind w:right="90"/>
              <w:jc w:val="right"/>
              <w:rPr>
                <w:rFonts w:ascii="宋体" w:hAnsi="宋体" w:cs="宋体" w:eastAsia="宋体" w:hint="default"/>
                <w:sz w:val="18"/>
                <w:szCs w:val="18"/>
              </w:rPr>
            </w:pPr>
            <w:r>
              <w:rPr>
                <w:rFonts w:ascii="宋体"/>
                <w:sz w:val="18"/>
              </w:rPr>
              <w:t>69.85</w:t>
            </w:r>
          </w:p>
        </w:tc>
      </w:tr>
      <w:tr>
        <w:trPr>
          <w:trHeight w:val="247" w:hRule="exact"/>
        </w:trPr>
        <w:tc>
          <w:tcPr>
            <w:tcW w:w="2216"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、境内上市的外资股</w:t>
            </w:r>
          </w:p>
        </w:tc>
        <w:tc>
          <w:tcPr>
            <w:tcW w:w="1395" w:type="dxa"/>
            <w:tcBorders>
              <w:top w:val="single" w:sz="6" w:space="0" w:color="000000"/>
              <w:left w:val="single" w:sz="6" w:space="0" w:color="000000"/>
              <w:bottom w:val="single" w:sz="6" w:space="0" w:color="000000"/>
              <w:right w:val="single" w:sz="6" w:space="0" w:color="000000"/>
            </w:tcBorders>
          </w:tcPr>
          <w:p>
            <w:pPr/>
          </w:p>
        </w:tc>
        <w:tc>
          <w:tcPr>
            <w:tcW w:w="763" w:type="dxa"/>
            <w:tcBorders>
              <w:top w:val="single" w:sz="6" w:space="0" w:color="000000"/>
              <w:left w:val="single" w:sz="6" w:space="0" w:color="000000"/>
              <w:bottom w:val="single" w:sz="6" w:space="0" w:color="000000"/>
              <w:right w:val="single" w:sz="6" w:space="0" w:color="000000"/>
            </w:tcBorders>
          </w:tcPr>
          <w:p>
            <w:pPr/>
          </w:p>
        </w:tc>
        <w:tc>
          <w:tcPr>
            <w:tcW w:w="1212"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1213" w:type="dxa"/>
            <w:tcBorders>
              <w:top w:val="single" w:sz="6" w:space="0" w:color="000000"/>
              <w:left w:val="single" w:sz="6" w:space="0" w:color="000000"/>
              <w:bottom w:val="single" w:sz="6" w:space="0" w:color="000000"/>
              <w:right w:val="single" w:sz="6" w:space="0" w:color="000000"/>
            </w:tcBorders>
          </w:tcPr>
          <w:p>
            <w:pPr/>
          </w:p>
        </w:tc>
        <w:tc>
          <w:tcPr>
            <w:tcW w:w="1397" w:type="dxa"/>
            <w:tcBorders>
              <w:top w:val="single" w:sz="6" w:space="0" w:color="000000"/>
              <w:left w:val="single" w:sz="6" w:space="0" w:color="000000"/>
              <w:bottom w:val="single" w:sz="6" w:space="0" w:color="000000"/>
              <w:right w:val="single" w:sz="6" w:space="0" w:color="000000"/>
            </w:tcBorders>
          </w:tcPr>
          <w:p>
            <w:pPr/>
          </w:p>
        </w:tc>
        <w:tc>
          <w:tcPr>
            <w:tcW w:w="761" w:type="dxa"/>
            <w:tcBorders>
              <w:top w:val="single" w:sz="6" w:space="0" w:color="000000"/>
              <w:left w:val="single" w:sz="6" w:space="0" w:color="000000"/>
              <w:bottom w:val="single" w:sz="6" w:space="0" w:color="000000"/>
              <w:right w:val="single" w:sz="12" w:space="0" w:color="000000"/>
            </w:tcBorders>
          </w:tcPr>
          <w:p>
            <w:pPr/>
          </w:p>
        </w:tc>
      </w:tr>
      <w:tr>
        <w:trPr>
          <w:trHeight w:val="250" w:hRule="exact"/>
        </w:trPr>
        <w:tc>
          <w:tcPr>
            <w:tcW w:w="2216"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9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、境外上市的外资股</w:t>
            </w:r>
          </w:p>
        </w:tc>
        <w:tc>
          <w:tcPr>
            <w:tcW w:w="1395" w:type="dxa"/>
            <w:tcBorders>
              <w:top w:val="single" w:sz="6" w:space="0" w:color="000000"/>
              <w:left w:val="single" w:sz="6" w:space="0" w:color="000000"/>
              <w:bottom w:val="single" w:sz="6" w:space="0" w:color="000000"/>
              <w:right w:val="single" w:sz="6" w:space="0" w:color="000000"/>
            </w:tcBorders>
          </w:tcPr>
          <w:p>
            <w:pPr/>
          </w:p>
        </w:tc>
        <w:tc>
          <w:tcPr>
            <w:tcW w:w="763" w:type="dxa"/>
            <w:tcBorders>
              <w:top w:val="single" w:sz="6" w:space="0" w:color="000000"/>
              <w:left w:val="single" w:sz="6" w:space="0" w:color="000000"/>
              <w:bottom w:val="single" w:sz="6" w:space="0" w:color="000000"/>
              <w:right w:val="single" w:sz="6" w:space="0" w:color="000000"/>
            </w:tcBorders>
          </w:tcPr>
          <w:p>
            <w:pPr/>
          </w:p>
        </w:tc>
        <w:tc>
          <w:tcPr>
            <w:tcW w:w="1212"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1213" w:type="dxa"/>
            <w:tcBorders>
              <w:top w:val="single" w:sz="6" w:space="0" w:color="000000"/>
              <w:left w:val="single" w:sz="6" w:space="0" w:color="000000"/>
              <w:bottom w:val="single" w:sz="6" w:space="0" w:color="000000"/>
              <w:right w:val="single" w:sz="6" w:space="0" w:color="000000"/>
            </w:tcBorders>
          </w:tcPr>
          <w:p>
            <w:pPr/>
          </w:p>
        </w:tc>
        <w:tc>
          <w:tcPr>
            <w:tcW w:w="1397" w:type="dxa"/>
            <w:tcBorders>
              <w:top w:val="single" w:sz="6" w:space="0" w:color="000000"/>
              <w:left w:val="single" w:sz="6" w:space="0" w:color="000000"/>
              <w:bottom w:val="single" w:sz="6" w:space="0" w:color="000000"/>
              <w:right w:val="single" w:sz="6" w:space="0" w:color="000000"/>
            </w:tcBorders>
          </w:tcPr>
          <w:p>
            <w:pPr/>
          </w:p>
        </w:tc>
        <w:tc>
          <w:tcPr>
            <w:tcW w:w="761" w:type="dxa"/>
            <w:tcBorders>
              <w:top w:val="single" w:sz="6" w:space="0" w:color="000000"/>
              <w:left w:val="single" w:sz="6" w:space="0" w:color="000000"/>
              <w:bottom w:val="single" w:sz="6" w:space="0" w:color="000000"/>
              <w:right w:val="single" w:sz="12" w:space="0" w:color="000000"/>
            </w:tcBorders>
          </w:tcPr>
          <w:p>
            <w:pPr/>
          </w:p>
        </w:tc>
      </w:tr>
      <w:tr>
        <w:trPr>
          <w:trHeight w:val="247" w:hRule="exact"/>
        </w:trPr>
        <w:tc>
          <w:tcPr>
            <w:tcW w:w="2216"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395" w:type="dxa"/>
            <w:tcBorders>
              <w:top w:val="single" w:sz="6" w:space="0" w:color="000000"/>
              <w:left w:val="single" w:sz="6" w:space="0" w:color="000000"/>
              <w:bottom w:val="single" w:sz="6" w:space="0" w:color="000000"/>
              <w:right w:val="single" w:sz="6" w:space="0" w:color="000000"/>
            </w:tcBorders>
          </w:tcPr>
          <w:p>
            <w:pPr/>
          </w:p>
        </w:tc>
        <w:tc>
          <w:tcPr>
            <w:tcW w:w="763" w:type="dxa"/>
            <w:tcBorders>
              <w:top w:val="single" w:sz="6" w:space="0" w:color="000000"/>
              <w:left w:val="single" w:sz="6" w:space="0" w:color="000000"/>
              <w:bottom w:val="single" w:sz="6" w:space="0" w:color="000000"/>
              <w:right w:val="single" w:sz="6" w:space="0" w:color="000000"/>
            </w:tcBorders>
          </w:tcPr>
          <w:p>
            <w:pPr/>
          </w:p>
        </w:tc>
        <w:tc>
          <w:tcPr>
            <w:tcW w:w="1212"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595"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1213" w:type="dxa"/>
            <w:tcBorders>
              <w:top w:val="single" w:sz="6" w:space="0" w:color="000000"/>
              <w:left w:val="single" w:sz="6" w:space="0" w:color="000000"/>
              <w:bottom w:val="single" w:sz="6" w:space="0" w:color="000000"/>
              <w:right w:val="single" w:sz="6" w:space="0" w:color="000000"/>
            </w:tcBorders>
          </w:tcPr>
          <w:p>
            <w:pPr/>
          </w:p>
        </w:tc>
        <w:tc>
          <w:tcPr>
            <w:tcW w:w="1397" w:type="dxa"/>
            <w:tcBorders>
              <w:top w:val="single" w:sz="6" w:space="0" w:color="000000"/>
              <w:left w:val="single" w:sz="6" w:space="0" w:color="000000"/>
              <w:bottom w:val="single" w:sz="6" w:space="0" w:color="000000"/>
              <w:right w:val="single" w:sz="6" w:space="0" w:color="000000"/>
            </w:tcBorders>
          </w:tcPr>
          <w:p>
            <w:pPr/>
          </w:p>
        </w:tc>
        <w:tc>
          <w:tcPr>
            <w:tcW w:w="761" w:type="dxa"/>
            <w:tcBorders>
              <w:top w:val="single" w:sz="6" w:space="0" w:color="000000"/>
              <w:left w:val="single" w:sz="6" w:space="0" w:color="000000"/>
              <w:bottom w:val="single" w:sz="6" w:space="0" w:color="000000"/>
              <w:right w:val="single" w:sz="12" w:space="0" w:color="000000"/>
            </w:tcBorders>
          </w:tcPr>
          <w:p>
            <w:pPr/>
          </w:p>
        </w:tc>
      </w:tr>
      <w:tr>
        <w:trPr>
          <w:trHeight w:val="254" w:hRule="exact"/>
        </w:trPr>
        <w:tc>
          <w:tcPr>
            <w:tcW w:w="2216" w:type="dxa"/>
            <w:tcBorders>
              <w:top w:val="single" w:sz="6" w:space="0" w:color="000000"/>
              <w:left w:val="single" w:sz="12" w:space="0" w:color="000000"/>
              <w:bottom w:val="single" w:sz="12" w:space="0" w:color="000000"/>
              <w:right w:val="single" w:sz="6" w:space="0" w:color="000000"/>
            </w:tcBorders>
          </w:tcPr>
          <w:p>
            <w:pPr>
              <w:pStyle w:val="TableParagraph"/>
              <w:spacing w:line="208"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三、普通股股份总数</w:t>
            </w:r>
            <w:r>
              <w:rPr>
                <w:rFonts w:ascii="宋体" w:hAnsi="宋体" w:cs="宋体" w:eastAsia="宋体" w:hint="default"/>
                <w:sz w:val="18"/>
                <w:szCs w:val="18"/>
              </w:rPr>
            </w:r>
          </w:p>
        </w:tc>
        <w:tc>
          <w:tcPr>
            <w:tcW w:w="1395" w:type="dxa"/>
            <w:tcBorders>
              <w:top w:val="single" w:sz="6" w:space="0" w:color="000000"/>
              <w:left w:val="single" w:sz="6" w:space="0" w:color="000000"/>
              <w:bottom w:val="single" w:sz="12" w:space="0" w:color="000000"/>
              <w:right w:val="single" w:sz="6" w:space="0" w:color="000000"/>
            </w:tcBorders>
          </w:tcPr>
          <w:p>
            <w:pPr>
              <w:pStyle w:val="TableParagraph"/>
              <w:spacing w:line="208" w:lineRule="exact"/>
              <w:ind w:right="97"/>
              <w:jc w:val="right"/>
              <w:rPr>
                <w:rFonts w:ascii="宋体" w:hAnsi="宋体" w:cs="宋体" w:eastAsia="宋体" w:hint="default"/>
                <w:sz w:val="18"/>
                <w:szCs w:val="18"/>
              </w:rPr>
            </w:pPr>
            <w:r>
              <w:rPr>
                <w:rFonts w:ascii="宋体"/>
                <w:b/>
                <w:w w:val="95"/>
                <w:sz w:val="18"/>
              </w:rPr>
              <w:t>2,197,882,238</w:t>
            </w:r>
            <w:r>
              <w:rPr>
                <w:rFonts w:ascii="宋体"/>
                <w:sz w:val="18"/>
              </w:rPr>
            </w:r>
          </w:p>
        </w:tc>
        <w:tc>
          <w:tcPr>
            <w:tcW w:w="763" w:type="dxa"/>
            <w:tcBorders>
              <w:top w:val="single" w:sz="6" w:space="0" w:color="000000"/>
              <w:left w:val="single" w:sz="6" w:space="0" w:color="000000"/>
              <w:bottom w:val="single" w:sz="12"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b/>
                <w:sz w:val="18"/>
              </w:rPr>
              <w:t>100.00</w:t>
            </w:r>
            <w:r>
              <w:rPr>
                <w:rFonts w:ascii="宋体"/>
                <w:sz w:val="18"/>
              </w:rPr>
            </w:r>
          </w:p>
        </w:tc>
        <w:tc>
          <w:tcPr>
            <w:tcW w:w="1212" w:type="dxa"/>
            <w:tcBorders>
              <w:top w:val="single" w:sz="6" w:space="0" w:color="000000"/>
              <w:left w:val="single" w:sz="6" w:space="0" w:color="000000"/>
              <w:bottom w:val="single" w:sz="12" w:space="0" w:color="000000"/>
              <w:right w:val="single" w:sz="6" w:space="0" w:color="000000"/>
            </w:tcBorders>
          </w:tcPr>
          <w:p>
            <w:pPr>
              <w:pStyle w:val="TableParagraph"/>
              <w:spacing w:line="208" w:lineRule="exact"/>
              <w:ind w:right="0"/>
              <w:jc w:val="center"/>
              <w:rPr>
                <w:rFonts w:ascii="宋体" w:hAnsi="宋体" w:cs="宋体" w:eastAsia="宋体" w:hint="default"/>
                <w:sz w:val="18"/>
                <w:szCs w:val="18"/>
              </w:rPr>
            </w:pPr>
            <w:r>
              <w:rPr>
                <w:rFonts w:ascii="宋体"/>
                <w:b/>
                <w:sz w:val="18"/>
              </w:rPr>
              <w:t>766,016,713</w:t>
            </w:r>
            <w:r>
              <w:rPr>
                <w:rFonts w:ascii="宋体"/>
                <w:sz w:val="18"/>
              </w:rPr>
            </w:r>
          </w:p>
        </w:tc>
        <w:tc>
          <w:tcPr>
            <w:tcW w:w="398" w:type="dxa"/>
            <w:tcBorders>
              <w:top w:val="single" w:sz="6" w:space="0" w:color="000000"/>
              <w:left w:val="single" w:sz="6" w:space="0" w:color="000000"/>
              <w:bottom w:val="single" w:sz="12" w:space="0" w:color="000000"/>
              <w:right w:val="single" w:sz="6" w:space="0" w:color="000000"/>
            </w:tcBorders>
          </w:tcPr>
          <w:p>
            <w:pPr/>
          </w:p>
        </w:tc>
        <w:tc>
          <w:tcPr>
            <w:tcW w:w="595" w:type="dxa"/>
            <w:tcBorders>
              <w:top w:val="single" w:sz="6" w:space="0" w:color="000000"/>
              <w:left w:val="single" w:sz="6" w:space="0" w:color="000000"/>
              <w:bottom w:val="single" w:sz="12" w:space="0" w:color="000000"/>
              <w:right w:val="single" w:sz="6" w:space="0" w:color="000000"/>
            </w:tcBorders>
          </w:tcPr>
          <w:p>
            <w:pPr/>
          </w:p>
        </w:tc>
        <w:tc>
          <w:tcPr>
            <w:tcW w:w="398" w:type="dxa"/>
            <w:tcBorders>
              <w:top w:val="single" w:sz="6" w:space="0" w:color="000000"/>
              <w:left w:val="single" w:sz="6" w:space="0" w:color="000000"/>
              <w:bottom w:val="single" w:sz="12" w:space="0" w:color="000000"/>
              <w:right w:val="single" w:sz="6" w:space="0" w:color="000000"/>
            </w:tcBorders>
          </w:tcPr>
          <w:p>
            <w:pPr/>
          </w:p>
        </w:tc>
        <w:tc>
          <w:tcPr>
            <w:tcW w:w="1213" w:type="dxa"/>
            <w:tcBorders>
              <w:top w:val="single" w:sz="6" w:space="0" w:color="000000"/>
              <w:left w:val="single" w:sz="6" w:space="0" w:color="000000"/>
              <w:bottom w:val="single" w:sz="12" w:space="0" w:color="000000"/>
              <w:right w:val="single" w:sz="6" w:space="0" w:color="000000"/>
            </w:tcBorders>
          </w:tcPr>
          <w:p>
            <w:pPr>
              <w:pStyle w:val="TableParagraph"/>
              <w:spacing w:line="208" w:lineRule="exact"/>
              <w:ind w:right="0"/>
              <w:jc w:val="center"/>
              <w:rPr>
                <w:rFonts w:ascii="宋体" w:hAnsi="宋体" w:cs="宋体" w:eastAsia="宋体" w:hint="default"/>
                <w:sz w:val="18"/>
                <w:szCs w:val="18"/>
              </w:rPr>
            </w:pPr>
            <w:r>
              <w:rPr>
                <w:rFonts w:ascii="宋体"/>
                <w:b/>
                <w:sz w:val="18"/>
              </w:rPr>
              <w:t>766,016,713</w:t>
            </w:r>
            <w:r>
              <w:rPr>
                <w:rFonts w:ascii="宋体"/>
                <w:sz w:val="18"/>
              </w:rPr>
            </w:r>
          </w:p>
        </w:tc>
        <w:tc>
          <w:tcPr>
            <w:tcW w:w="1397" w:type="dxa"/>
            <w:tcBorders>
              <w:top w:val="single" w:sz="6" w:space="0" w:color="000000"/>
              <w:left w:val="single" w:sz="6" w:space="0" w:color="000000"/>
              <w:bottom w:val="single" w:sz="12"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b/>
                <w:w w:val="95"/>
                <w:sz w:val="18"/>
              </w:rPr>
              <w:t>2,963,898,951</w:t>
            </w:r>
            <w:r>
              <w:rPr>
                <w:rFonts w:ascii="宋体"/>
                <w:sz w:val="18"/>
              </w:rPr>
            </w:r>
          </w:p>
        </w:tc>
        <w:tc>
          <w:tcPr>
            <w:tcW w:w="761" w:type="dxa"/>
            <w:tcBorders>
              <w:top w:val="single" w:sz="6" w:space="0" w:color="000000"/>
              <w:left w:val="single" w:sz="6" w:space="0" w:color="000000"/>
              <w:bottom w:val="single" w:sz="12" w:space="0" w:color="000000"/>
              <w:right w:val="single" w:sz="12" w:space="0" w:color="000000"/>
            </w:tcBorders>
          </w:tcPr>
          <w:p>
            <w:pPr>
              <w:pStyle w:val="TableParagraph"/>
              <w:spacing w:line="208" w:lineRule="exact"/>
              <w:ind w:right="89"/>
              <w:jc w:val="right"/>
              <w:rPr>
                <w:rFonts w:ascii="宋体" w:hAnsi="宋体" w:cs="宋体" w:eastAsia="宋体" w:hint="default"/>
                <w:sz w:val="18"/>
                <w:szCs w:val="18"/>
              </w:rPr>
            </w:pPr>
            <w:r>
              <w:rPr>
                <w:rFonts w:ascii="宋体"/>
                <w:b/>
                <w:sz w:val="18"/>
              </w:rPr>
              <w:t>100.00</w:t>
            </w:r>
            <w:r>
              <w:rPr>
                <w:rFonts w:ascii="宋体"/>
                <w:sz w:val="18"/>
              </w:rPr>
            </w:r>
          </w:p>
        </w:tc>
      </w:tr>
    </w:tbl>
    <w:p>
      <w:pPr>
        <w:spacing w:line="240" w:lineRule="auto" w:before="13"/>
        <w:rPr>
          <w:rFonts w:ascii="宋体" w:hAnsi="宋体" w:cs="宋体" w:eastAsia="宋体" w:hint="default"/>
          <w:b/>
          <w:bCs/>
          <w:sz w:val="18"/>
          <w:szCs w:val="18"/>
        </w:rPr>
      </w:pPr>
    </w:p>
    <w:p>
      <w:pPr>
        <w:pStyle w:val="Heading3"/>
        <w:spacing w:line="240" w:lineRule="auto" w:before="26"/>
        <w:ind w:left="955" w:right="569"/>
        <w:jc w:val="left"/>
        <w:rPr>
          <w:b w:val="0"/>
          <w:bCs w:val="0"/>
        </w:rPr>
      </w:pPr>
      <w:r>
        <w:rPr>
          <w:rFonts w:ascii="宋体" w:hAnsi="宋体" w:cs="宋体" w:eastAsia="宋体" w:hint="default"/>
        </w:rPr>
        <w:t>2</w:t>
      </w:r>
      <w:r>
        <w:rPr/>
        <w:t>、股份变动情况说明</w:t>
      </w:r>
      <w:r>
        <w:rPr>
          <w:b w:val="0"/>
          <w:bCs w:val="0"/>
        </w:rPr>
      </w:r>
    </w:p>
    <w:p>
      <w:pPr>
        <w:spacing w:line="240" w:lineRule="auto" w:before="12"/>
        <w:rPr>
          <w:rFonts w:ascii="宋体" w:hAnsi="宋体" w:cs="宋体" w:eastAsia="宋体" w:hint="default"/>
          <w:b/>
          <w:bCs/>
          <w:sz w:val="25"/>
          <w:szCs w:val="25"/>
        </w:rPr>
      </w:pPr>
    </w:p>
    <w:p>
      <w:pPr>
        <w:pStyle w:val="BodyText"/>
        <w:spacing w:line="312" w:lineRule="exact"/>
        <w:ind w:left="698" w:right="569"/>
        <w:jc w:val="left"/>
        <w:rPr>
          <w:rFonts w:ascii="宋体" w:hAnsi="宋体" w:cs="宋体" w:eastAsia="宋体" w:hint="default"/>
        </w:rPr>
      </w:pPr>
      <w:r>
        <w:rPr>
          <w:rFonts w:ascii="宋体" w:hAnsi="宋体" w:cs="宋体" w:eastAsia="宋体" w:hint="default"/>
        </w:rPr>
        <w:t>2015</w:t>
      </w:r>
      <w:r>
        <w:rPr>
          <w:rFonts w:ascii="宋体" w:hAnsi="宋体" w:cs="宋体" w:eastAsia="宋体" w:hint="default"/>
          <w:spacing w:val="-50"/>
        </w:rPr>
        <w:t> </w:t>
      </w:r>
      <w:r>
        <w:rPr/>
        <w:t>年</w:t>
      </w:r>
      <w:r>
        <w:rPr>
          <w:spacing w:val="-51"/>
        </w:rPr>
        <w:t> </w:t>
      </w:r>
      <w:r>
        <w:rPr>
          <w:rFonts w:ascii="宋体" w:hAnsi="宋体" w:cs="宋体" w:eastAsia="宋体" w:hint="default"/>
        </w:rPr>
        <w:t>2</w:t>
      </w:r>
      <w:r>
        <w:rPr>
          <w:rFonts w:ascii="宋体" w:hAnsi="宋体" w:cs="宋体" w:eastAsia="宋体" w:hint="default"/>
          <w:spacing w:val="-50"/>
        </w:rPr>
        <w:t> </w:t>
      </w:r>
      <w:r>
        <w:rPr>
          <w:spacing w:val="-10"/>
        </w:rPr>
        <w:t>月，公司实施完成了向公司控股股东清华控股有限公司</w:t>
      </w:r>
      <w:r>
        <w:rPr>
          <w:rFonts w:ascii="宋体" w:hAnsi="宋体" w:cs="宋体" w:eastAsia="宋体" w:hint="default"/>
          <w:spacing w:val="-10"/>
        </w:rPr>
        <w:t>(</w:t>
      </w:r>
      <w:r>
        <w:rPr>
          <w:spacing w:val="-10"/>
        </w:rPr>
        <w:t>以下简称“清华控股”</w:t>
      </w:r>
      <w:r>
        <w:rPr>
          <w:rFonts w:ascii="宋体" w:hAnsi="宋体" w:cs="宋体" w:eastAsia="宋体" w:hint="default"/>
          <w:spacing w:val="-10"/>
        </w:rPr>
        <w:t>)</w:t>
      </w:r>
      <w:r>
        <w:rPr>
          <w:spacing w:val="-10"/>
        </w:rPr>
        <w:t>、</w:t>
      </w:r>
      <w:r>
        <w:rPr/>
        <w:t> 紫光集团有限公司</w:t>
      </w:r>
      <w:r>
        <w:rPr>
          <w:rFonts w:ascii="宋体" w:hAnsi="宋体" w:cs="宋体" w:eastAsia="宋体" w:hint="default"/>
        </w:rPr>
        <w:t>(</w:t>
      </w:r>
      <w:r>
        <w:rPr/>
        <w:t>以下简称“紫光集团”</w:t>
      </w:r>
      <w:r>
        <w:rPr>
          <w:rFonts w:ascii="宋体" w:hAnsi="宋体" w:cs="宋体" w:eastAsia="宋体" w:hint="default"/>
        </w:rPr>
        <w:t>)</w:t>
      </w:r>
      <w:r>
        <w:rPr/>
        <w:t>、工银瑞信基金管理有限公司</w:t>
      </w:r>
      <w:r>
        <w:rPr>
          <w:rFonts w:ascii="宋体" w:hAnsi="宋体" w:cs="宋体" w:eastAsia="宋体" w:hint="default"/>
        </w:rPr>
        <w:t>(</w:t>
      </w:r>
      <w:r>
        <w:rPr/>
        <w:t>以下简称“工 </w:t>
      </w:r>
      <w:r>
        <w:rPr>
          <w:spacing w:val="-7"/>
        </w:rPr>
        <w:t>银瑞信”</w:t>
      </w:r>
      <w:r>
        <w:rPr>
          <w:rFonts w:ascii="宋体" w:hAnsi="宋体" w:cs="宋体" w:eastAsia="宋体" w:hint="default"/>
          <w:spacing w:val="-7"/>
        </w:rPr>
        <w:t>)</w:t>
      </w:r>
      <w:r>
        <w:rPr>
          <w:spacing w:val="-7"/>
        </w:rPr>
        <w:t>和博时基金管理有限公司</w:t>
      </w:r>
      <w:r>
        <w:rPr>
          <w:rFonts w:ascii="宋体" w:hAnsi="宋体" w:cs="宋体" w:eastAsia="宋体" w:hint="default"/>
          <w:spacing w:val="-7"/>
        </w:rPr>
        <w:t>(</w:t>
      </w:r>
      <w:r>
        <w:rPr>
          <w:spacing w:val="-7"/>
        </w:rPr>
        <w:t>以下简称“博时基金”</w:t>
      </w:r>
      <w:r>
        <w:rPr>
          <w:rFonts w:ascii="宋体" w:hAnsi="宋体" w:cs="宋体" w:eastAsia="宋体" w:hint="default"/>
          <w:spacing w:val="-7"/>
        </w:rPr>
        <w:t>)</w:t>
      </w:r>
      <w:r>
        <w:rPr>
          <w:spacing w:val="-7"/>
        </w:rPr>
        <w:t>非公开发行股票</w:t>
      </w:r>
      <w:r>
        <w:rPr>
          <w:spacing w:val="-32"/>
        </w:rPr>
        <w:t> </w:t>
      </w:r>
      <w:r>
        <w:rPr>
          <w:rFonts w:ascii="宋体" w:hAnsi="宋体" w:cs="宋体" w:eastAsia="宋体" w:hint="default"/>
        </w:rPr>
        <w:t>766,016,713</w:t>
      </w:r>
    </w:p>
    <w:p>
      <w:pPr>
        <w:pStyle w:val="BodyText"/>
        <w:spacing w:line="283" w:lineRule="exact"/>
        <w:ind w:left="698" w:right="569"/>
        <w:jc w:val="left"/>
      </w:pPr>
      <w:r>
        <w:rPr/>
        <w:t>股，募集资金总额为不超过</w:t>
      </w:r>
      <w:r>
        <w:rPr>
          <w:spacing w:val="-60"/>
        </w:rPr>
        <w:t> </w:t>
      </w:r>
      <w:r>
        <w:rPr>
          <w:rFonts w:ascii="宋体" w:hAnsi="宋体" w:cs="宋体" w:eastAsia="宋体" w:hint="default"/>
        </w:rPr>
        <w:t>550,000</w:t>
      </w:r>
      <w:r>
        <w:rPr>
          <w:rFonts w:ascii="宋体" w:hAnsi="宋体" w:cs="宋体" w:eastAsia="宋体" w:hint="default"/>
          <w:spacing w:val="-60"/>
        </w:rPr>
        <w:t> </w:t>
      </w:r>
      <w:r>
        <w:rPr/>
        <w:t>万元。</w:t>
      </w:r>
    </w:p>
    <w:p>
      <w:pPr>
        <w:spacing w:line="240" w:lineRule="auto" w:before="7"/>
        <w:rPr>
          <w:rFonts w:ascii="宋体" w:hAnsi="宋体" w:cs="宋体" w:eastAsia="宋体" w:hint="default"/>
          <w:sz w:val="23"/>
          <w:szCs w:val="23"/>
        </w:rPr>
      </w:pPr>
    </w:p>
    <w:p>
      <w:pPr>
        <w:pStyle w:val="BodyText"/>
        <w:spacing w:line="313" w:lineRule="exact"/>
        <w:ind w:left="698" w:right="569"/>
        <w:jc w:val="left"/>
        <w:rPr>
          <w:rFonts w:ascii="宋体" w:hAnsi="宋体" w:cs="宋体" w:eastAsia="宋体" w:hint="default"/>
        </w:rPr>
      </w:pPr>
      <w:r>
        <w:rPr>
          <w:rFonts w:ascii="宋体" w:hAnsi="宋体" w:cs="宋体" w:eastAsia="宋体" w:hint="default"/>
        </w:rPr>
        <w:t>2015</w:t>
      </w:r>
      <w:r>
        <w:rPr>
          <w:rFonts w:ascii="宋体" w:hAnsi="宋体" w:cs="宋体" w:eastAsia="宋体" w:hint="default"/>
          <w:spacing w:val="-60"/>
        </w:rPr>
        <w:t> </w:t>
      </w:r>
      <w:r>
        <w:rPr/>
        <w:t>年</w:t>
      </w:r>
      <w:r>
        <w:rPr>
          <w:spacing w:val="-61"/>
        </w:rPr>
        <w:t> </w:t>
      </w:r>
      <w:r>
        <w:rPr>
          <w:rFonts w:ascii="宋体" w:hAnsi="宋体" w:cs="宋体" w:eastAsia="宋体" w:hint="default"/>
        </w:rPr>
        <w:t>2</w:t>
      </w:r>
      <w:r>
        <w:rPr>
          <w:rFonts w:ascii="宋体" w:hAnsi="宋体" w:cs="宋体" w:eastAsia="宋体" w:hint="default"/>
          <w:spacing w:val="-60"/>
        </w:rPr>
        <w:t> </w:t>
      </w:r>
      <w:r>
        <w:rPr/>
        <w:t>月</w:t>
      </w:r>
      <w:r>
        <w:rPr>
          <w:spacing w:val="-60"/>
        </w:rPr>
        <w:t> </w:t>
      </w:r>
      <w:r>
        <w:rPr>
          <w:rFonts w:ascii="宋体" w:hAnsi="宋体" w:cs="宋体" w:eastAsia="宋体" w:hint="default"/>
        </w:rPr>
        <w:t>16</w:t>
      </w:r>
      <w:r>
        <w:rPr>
          <w:rFonts w:ascii="宋体" w:hAnsi="宋体" w:cs="宋体" w:eastAsia="宋体" w:hint="default"/>
          <w:spacing w:val="-60"/>
        </w:rPr>
        <w:t> </w:t>
      </w:r>
      <w:r>
        <w:rPr/>
        <w:t>日</w:t>
      </w:r>
      <w:r>
        <w:rPr>
          <w:spacing w:val="-113"/>
        </w:rPr>
        <w:t>，</w:t>
      </w:r>
      <w:r>
        <w:rPr/>
        <w:t>信永中和会计师事务所</w:t>
      </w:r>
      <w:r>
        <w:rPr>
          <w:rFonts w:ascii="宋体" w:hAnsi="宋体" w:cs="宋体" w:eastAsia="宋体" w:hint="default"/>
        </w:rPr>
        <w:t>(</w:t>
      </w:r>
      <w:r>
        <w:rPr/>
        <w:t>特殊普通合伙</w:t>
      </w:r>
      <w:r>
        <w:rPr>
          <w:rFonts w:ascii="宋体" w:hAnsi="宋体" w:cs="宋体" w:eastAsia="宋体" w:hint="default"/>
        </w:rPr>
        <w:t>)</w:t>
      </w:r>
      <w:r>
        <w:rPr/>
        <w:t>出</w:t>
      </w:r>
      <w:r>
        <w:rPr>
          <w:spacing w:val="-113"/>
        </w:rPr>
        <w:t>具</w:t>
      </w:r>
      <w:r>
        <w:rPr/>
        <w:t>《验资报告</w:t>
      </w:r>
      <w:r>
        <w:rPr>
          <w:spacing w:val="-113"/>
        </w:rPr>
        <w:t>》</w:t>
      </w:r>
      <w:r>
        <w:rPr>
          <w:rFonts w:ascii="宋体" w:hAnsi="宋体" w:cs="宋体" w:eastAsia="宋体" w:hint="default"/>
        </w:rPr>
        <w:t>(XYZH/2014A8</w:t>
      </w:r>
    </w:p>
    <w:p>
      <w:pPr>
        <w:pStyle w:val="BodyText"/>
        <w:spacing w:line="311" w:lineRule="exact"/>
        <w:ind w:left="698" w:right="569"/>
        <w:jc w:val="left"/>
      </w:pPr>
      <w:r>
        <w:rPr/>
        <w:t>号</w:t>
      </w:r>
      <w:r>
        <w:rPr>
          <w:rFonts w:ascii="宋体" w:hAnsi="宋体" w:cs="宋体" w:eastAsia="宋体" w:hint="default"/>
        </w:rPr>
        <w:t>)</w:t>
      </w:r>
      <w:r>
        <w:rPr/>
        <w:t>。根据该验资报告，截至</w:t>
      </w:r>
      <w:r>
        <w:rPr>
          <w:spacing w:val="-26"/>
        </w:rPr>
        <w:t> </w:t>
      </w:r>
      <w:r>
        <w:rPr>
          <w:rFonts w:ascii="宋体" w:hAnsi="宋体" w:cs="宋体" w:eastAsia="宋体" w:hint="default"/>
        </w:rPr>
        <w:t>2015</w:t>
      </w:r>
      <w:r>
        <w:rPr>
          <w:rFonts w:ascii="宋体" w:hAnsi="宋体" w:cs="宋体" w:eastAsia="宋体" w:hint="default"/>
          <w:spacing w:val="-27"/>
        </w:rPr>
        <w:t> </w:t>
      </w:r>
      <w:r>
        <w:rPr/>
        <w:t>年</w:t>
      </w:r>
      <w:r>
        <w:rPr>
          <w:spacing w:val="-27"/>
        </w:rPr>
        <w:t> </w:t>
      </w:r>
      <w:r>
        <w:rPr>
          <w:rFonts w:ascii="宋体" w:hAnsi="宋体" w:cs="宋体" w:eastAsia="宋体" w:hint="default"/>
        </w:rPr>
        <w:t>2</w:t>
      </w:r>
      <w:r>
        <w:rPr>
          <w:rFonts w:ascii="宋体" w:hAnsi="宋体" w:cs="宋体" w:eastAsia="宋体" w:hint="default"/>
          <w:spacing w:val="-27"/>
        </w:rPr>
        <w:t> </w:t>
      </w:r>
      <w:r>
        <w:rPr/>
        <w:t>月</w:t>
      </w:r>
      <w:r>
        <w:rPr>
          <w:spacing w:val="-27"/>
        </w:rPr>
        <w:t> </w:t>
      </w:r>
      <w:r>
        <w:rPr>
          <w:rFonts w:ascii="宋体" w:hAnsi="宋体" w:cs="宋体" w:eastAsia="宋体" w:hint="default"/>
        </w:rPr>
        <w:t>13</w:t>
      </w:r>
      <w:r>
        <w:rPr>
          <w:rFonts w:ascii="宋体" w:hAnsi="宋体" w:cs="宋体" w:eastAsia="宋体" w:hint="default"/>
          <w:spacing w:val="-27"/>
        </w:rPr>
        <w:t> </w:t>
      </w:r>
      <w:r>
        <w:rPr/>
        <w:t>日止，公司实际非公开发行人民币普通股</w:t>
      </w:r>
    </w:p>
    <w:p>
      <w:pPr>
        <w:pStyle w:val="BodyText"/>
        <w:spacing w:line="311" w:lineRule="exact"/>
        <w:ind w:left="698" w:right="569"/>
        <w:jc w:val="left"/>
      </w:pPr>
      <w:r>
        <w:rPr>
          <w:rFonts w:ascii="宋体" w:hAnsi="宋体" w:cs="宋体" w:eastAsia="宋体" w:hint="default"/>
        </w:rPr>
        <w:t>766,016,713</w:t>
      </w:r>
      <w:r>
        <w:rPr>
          <w:rFonts w:ascii="宋体" w:hAnsi="宋体" w:cs="宋体" w:eastAsia="宋体" w:hint="default"/>
          <w:spacing w:val="-53"/>
        </w:rPr>
        <w:t> </w:t>
      </w:r>
      <w:r>
        <w:rPr/>
        <w:t>股，募集资金总额为人民币</w:t>
      </w:r>
      <w:r>
        <w:rPr>
          <w:spacing w:val="-53"/>
        </w:rPr>
        <w:t> </w:t>
      </w:r>
      <w:r>
        <w:rPr>
          <w:rFonts w:ascii="宋体" w:hAnsi="宋体" w:cs="宋体" w:eastAsia="宋体" w:hint="default"/>
        </w:rPr>
        <w:t>5,499,999,999.34</w:t>
      </w:r>
      <w:r>
        <w:rPr>
          <w:rFonts w:ascii="宋体" w:hAnsi="宋体" w:cs="宋体" w:eastAsia="宋体" w:hint="default"/>
          <w:spacing w:val="-53"/>
        </w:rPr>
        <w:t> </w:t>
      </w:r>
      <w:r>
        <w:rPr/>
        <w:t>元，扣除各项发行费用人民</w:t>
      </w:r>
    </w:p>
    <w:p>
      <w:pPr>
        <w:pStyle w:val="BodyText"/>
        <w:spacing w:line="312" w:lineRule="exact"/>
        <w:ind w:left="698" w:right="569"/>
        <w:jc w:val="left"/>
      </w:pPr>
      <w:r>
        <w:rPr/>
        <w:t>币</w:t>
      </w:r>
      <w:r>
        <w:rPr>
          <w:spacing w:val="-64"/>
        </w:rPr>
        <w:t> </w:t>
      </w:r>
      <w:r>
        <w:rPr>
          <w:rFonts w:ascii="宋体" w:hAnsi="宋体" w:cs="宋体" w:eastAsia="宋体" w:hint="default"/>
        </w:rPr>
        <w:t>42,326,601.67</w:t>
      </w:r>
      <w:r>
        <w:rPr>
          <w:rFonts w:ascii="宋体" w:hAnsi="宋体" w:cs="宋体" w:eastAsia="宋体" w:hint="default"/>
          <w:spacing w:val="-65"/>
        </w:rPr>
        <w:t> </w:t>
      </w:r>
      <w:r>
        <w:rPr/>
        <w:t>元，实际募集资金净额为人民币</w:t>
      </w:r>
      <w:r>
        <w:rPr>
          <w:spacing w:val="-64"/>
        </w:rPr>
        <w:t> </w:t>
      </w:r>
      <w:r>
        <w:rPr>
          <w:rFonts w:ascii="宋体" w:hAnsi="宋体" w:cs="宋体" w:eastAsia="宋体" w:hint="default"/>
        </w:rPr>
        <w:t>5,457,673,397.67</w:t>
      </w:r>
      <w:r>
        <w:rPr>
          <w:rFonts w:ascii="宋体" w:hAnsi="宋体" w:cs="宋体" w:eastAsia="宋体" w:hint="default"/>
          <w:spacing w:val="-64"/>
        </w:rPr>
        <w:t> </w:t>
      </w:r>
      <w:r>
        <w:rPr>
          <w:spacing w:val="-3"/>
        </w:rPr>
        <w:t>元。其中新增注册</w:t>
      </w:r>
    </w:p>
    <w:p>
      <w:pPr>
        <w:pStyle w:val="BodyText"/>
        <w:spacing w:line="313" w:lineRule="exact"/>
        <w:ind w:left="698" w:right="569"/>
        <w:jc w:val="left"/>
      </w:pPr>
      <w:r>
        <w:rPr/>
        <w:t>资本</w:t>
      </w:r>
      <w:r>
        <w:rPr>
          <w:rFonts w:ascii="宋体" w:hAnsi="宋体" w:cs="宋体" w:eastAsia="宋体" w:hint="default"/>
        </w:rPr>
        <w:t>(</w:t>
      </w:r>
      <w:r>
        <w:rPr/>
        <w:t>股本</w:t>
      </w:r>
      <w:r>
        <w:rPr>
          <w:rFonts w:ascii="宋体" w:hAnsi="宋体" w:cs="宋体" w:eastAsia="宋体" w:hint="default"/>
        </w:rPr>
        <w:t>)</w:t>
      </w:r>
      <w:r>
        <w:rPr/>
        <w:t>为人民币</w:t>
      </w:r>
      <w:r>
        <w:rPr>
          <w:spacing w:val="-61"/>
        </w:rPr>
        <w:t> </w:t>
      </w:r>
      <w:r>
        <w:rPr>
          <w:rFonts w:ascii="宋体" w:hAnsi="宋体" w:cs="宋体" w:eastAsia="宋体" w:hint="default"/>
        </w:rPr>
        <w:t>766,016,713</w:t>
      </w:r>
      <w:r>
        <w:rPr>
          <w:rFonts w:ascii="宋体" w:hAnsi="宋体" w:cs="宋体" w:eastAsia="宋体" w:hint="default"/>
          <w:spacing w:val="-61"/>
        </w:rPr>
        <w:t> </w:t>
      </w:r>
      <w:r>
        <w:rPr/>
        <w:t>元，资本公积为人民币</w:t>
      </w:r>
      <w:r>
        <w:rPr>
          <w:spacing w:val="-61"/>
        </w:rPr>
        <w:t> </w:t>
      </w:r>
      <w:r>
        <w:rPr>
          <w:rFonts w:ascii="宋体" w:hAnsi="宋体" w:cs="宋体" w:eastAsia="宋体" w:hint="default"/>
        </w:rPr>
        <w:t>4,691,656,684.67</w:t>
      </w:r>
      <w:r>
        <w:rPr>
          <w:rFonts w:ascii="宋体" w:hAnsi="宋体" w:cs="宋体" w:eastAsia="宋体" w:hint="default"/>
          <w:spacing w:val="-61"/>
        </w:rPr>
        <w:t> </w:t>
      </w:r>
      <w:r>
        <w:rPr/>
        <w:t>元。</w:t>
      </w:r>
    </w:p>
    <w:p>
      <w:pPr>
        <w:spacing w:line="240" w:lineRule="auto" w:before="7"/>
        <w:rPr>
          <w:rFonts w:ascii="宋体" w:hAnsi="宋体" w:cs="宋体" w:eastAsia="宋体" w:hint="default"/>
          <w:sz w:val="23"/>
          <w:szCs w:val="23"/>
        </w:rPr>
      </w:pPr>
    </w:p>
    <w:p>
      <w:pPr>
        <w:pStyle w:val="BodyText"/>
        <w:spacing w:line="313" w:lineRule="exact"/>
        <w:ind w:left="698" w:right="569"/>
        <w:jc w:val="left"/>
        <w:rPr>
          <w:rFonts w:ascii="宋体" w:hAnsi="宋体" w:cs="宋体" w:eastAsia="宋体" w:hint="default"/>
        </w:rPr>
      </w:pPr>
      <w:r>
        <w:rPr>
          <w:rFonts w:ascii="宋体" w:hAnsi="宋体" w:cs="宋体" w:eastAsia="宋体" w:hint="default"/>
        </w:rPr>
        <w:t>2015</w:t>
      </w:r>
      <w:r>
        <w:rPr>
          <w:rFonts w:ascii="宋体" w:hAnsi="宋体" w:cs="宋体" w:eastAsia="宋体" w:hint="default"/>
          <w:spacing w:val="-51"/>
        </w:rPr>
        <w:t> </w:t>
      </w:r>
      <w:r>
        <w:rPr/>
        <w:t>年</w:t>
      </w:r>
      <w:r>
        <w:rPr>
          <w:spacing w:val="-51"/>
        </w:rPr>
        <w:t> </w:t>
      </w:r>
      <w:r>
        <w:rPr>
          <w:rFonts w:ascii="宋体" w:hAnsi="宋体" w:cs="宋体" w:eastAsia="宋体" w:hint="default"/>
        </w:rPr>
        <w:t>2</w:t>
      </w:r>
      <w:r>
        <w:rPr>
          <w:rFonts w:ascii="宋体" w:hAnsi="宋体" w:cs="宋体" w:eastAsia="宋体" w:hint="default"/>
          <w:spacing w:val="-51"/>
        </w:rPr>
        <w:t> </w:t>
      </w:r>
      <w:r>
        <w:rPr/>
        <w:t>月</w:t>
      </w:r>
      <w:r>
        <w:rPr>
          <w:spacing w:val="-51"/>
        </w:rPr>
        <w:t> </w:t>
      </w:r>
      <w:r>
        <w:rPr>
          <w:rFonts w:ascii="宋体" w:hAnsi="宋体" w:cs="宋体" w:eastAsia="宋体" w:hint="default"/>
        </w:rPr>
        <w:t>27</w:t>
      </w:r>
      <w:r>
        <w:rPr>
          <w:rFonts w:ascii="宋体" w:hAnsi="宋体" w:cs="宋体" w:eastAsia="宋体" w:hint="default"/>
          <w:spacing w:val="-51"/>
        </w:rPr>
        <w:t> </w:t>
      </w:r>
      <w:r>
        <w:rPr/>
        <w:t>日，公司收到了中国证券登记结算有限责任公司上海分公司于</w:t>
      </w:r>
      <w:r>
        <w:rPr>
          <w:spacing w:val="-49"/>
        </w:rPr>
        <w:t> </w:t>
      </w:r>
      <w:r>
        <w:rPr>
          <w:rFonts w:ascii="宋体" w:hAnsi="宋体" w:cs="宋体" w:eastAsia="宋体" w:hint="default"/>
        </w:rPr>
        <w:t>2015</w:t>
      </w:r>
      <w:r>
        <w:rPr>
          <w:rFonts w:ascii="宋体" w:hAnsi="宋体" w:cs="宋体" w:eastAsia="宋体" w:hint="default"/>
          <w:spacing w:val="-51"/>
        </w:rPr>
        <w:t> </w:t>
      </w:r>
      <w:r>
        <w:rPr/>
        <w:t>年</w:t>
      </w:r>
      <w:r>
        <w:rPr>
          <w:spacing w:val="-51"/>
        </w:rPr>
        <w:t> </w:t>
      </w:r>
      <w:r>
        <w:rPr>
          <w:rFonts w:ascii="宋体" w:hAnsi="宋体" w:cs="宋体" w:eastAsia="宋体" w:hint="default"/>
        </w:rPr>
        <w:t>2</w:t>
      </w:r>
    </w:p>
    <w:p>
      <w:pPr>
        <w:pStyle w:val="BodyText"/>
        <w:spacing w:line="313" w:lineRule="exact"/>
        <w:ind w:left="698" w:right="569"/>
        <w:jc w:val="left"/>
      </w:pPr>
      <w:r>
        <w:rPr/>
        <w:t>月</w:t>
      </w:r>
      <w:r>
        <w:rPr>
          <w:spacing w:val="-80"/>
        </w:rPr>
        <w:t> </w:t>
      </w:r>
      <w:r>
        <w:rPr>
          <w:rFonts w:ascii="宋体" w:hAnsi="宋体" w:cs="宋体" w:eastAsia="宋体" w:hint="default"/>
        </w:rPr>
        <w:t>26</w:t>
      </w:r>
      <w:r>
        <w:rPr>
          <w:rFonts w:ascii="宋体" w:hAnsi="宋体" w:cs="宋体" w:eastAsia="宋体" w:hint="default"/>
          <w:spacing w:val="-81"/>
        </w:rPr>
        <w:t> </w:t>
      </w:r>
      <w:r>
        <w:rPr/>
        <w:t>日出具的证券变更登记证明，公司向清华控股、紫光集团、工银瑞信和博时基金非</w:t>
      </w:r>
    </w:p>
    <w:p>
      <w:pPr>
        <w:spacing w:after="0" w:line="313" w:lineRule="exact"/>
        <w:jc w:val="left"/>
        <w:sectPr>
          <w:pgSz w:w="11910" w:h="16840"/>
          <w:pgMar w:header="628" w:footer="760" w:top="1080" w:bottom="960" w:left="720" w:right="58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spacing w:line="475" w:lineRule="auto" w:before="26"/>
        <w:ind w:left="795" w:right="676" w:hanging="257"/>
        <w:jc w:val="left"/>
        <w:rPr>
          <w:rFonts w:ascii="宋体" w:hAnsi="宋体" w:cs="宋体" w:eastAsia="宋体" w:hint="default"/>
          <w:sz w:val="24"/>
          <w:szCs w:val="24"/>
        </w:rPr>
      </w:pPr>
      <w:r>
        <w:rPr>
          <w:rFonts w:ascii="宋体" w:hAnsi="宋体" w:cs="宋体" w:eastAsia="宋体" w:hint="default"/>
          <w:sz w:val="24"/>
          <w:szCs w:val="24"/>
        </w:rPr>
        <w:t>公开发行的</w:t>
      </w:r>
      <w:r>
        <w:rPr>
          <w:rFonts w:ascii="宋体" w:hAnsi="宋体" w:cs="宋体" w:eastAsia="宋体" w:hint="default"/>
          <w:spacing w:val="-61"/>
          <w:sz w:val="24"/>
          <w:szCs w:val="24"/>
        </w:rPr>
        <w:t> </w:t>
      </w:r>
      <w:r>
        <w:rPr>
          <w:rFonts w:ascii="宋体" w:hAnsi="宋体" w:cs="宋体" w:eastAsia="宋体" w:hint="default"/>
          <w:sz w:val="24"/>
          <w:szCs w:val="24"/>
        </w:rPr>
        <w:t>766,016,713</w:t>
      </w:r>
      <w:r>
        <w:rPr>
          <w:rFonts w:ascii="宋体" w:hAnsi="宋体" w:cs="宋体" w:eastAsia="宋体" w:hint="default"/>
          <w:spacing w:val="-60"/>
          <w:sz w:val="24"/>
          <w:szCs w:val="24"/>
        </w:rPr>
        <w:t> </w:t>
      </w:r>
      <w:r>
        <w:rPr>
          <w:rFonts w:ascii="宋体" w:hAnsi="宋体" w:cs="宋体" w:eastAsia="宋体" w:hint="default"/>
          <w:sz w:val="24"/>
          <w:szCs w:val="24"/>
        </w:rPr>
        <w:t>股股份的相关证券登记手续已办理完毕。 </w:t>
      </w:r>
      <w:r>
        <w:rPr>
          <w:rFonts w:ascii="宋体" w:hAnsi="宋体" w:cs="宋体" w:eastAsia="宋体" w:hint="default"/>
          <w:b/>
          <w:bCs/>
          <w:sz w:val="24"/>
          <w:szCs w:val="24"/>
        </w:rPr>
        <w:t>3</w:t>
      </w:r>
      <w:r>
        <w:rPr>
          <w:rFonts w:ascii="宋体" w:hAnsi="宋体" w:cs="宋体" w:eastAsia="宋体" w:hint="default"/>
          <w:b/>
          <w:bCs/>
          <w:sz w:val="24"/>
          <w:szCs w:val="24"/>
        </w:rPr>
        <w:t>、普通股股份变动对最近一年和最近一期每股收益、每股净资产等财务指标的影响</w:t>
      </w:r>
      <w:r>
        <w:rPr>
          <w:rFonts w:ascii="宋体" w:hAnsi="宋体" w:cs="宋体" w:eastAsia="宋体" w:hint="default"/>
          <w:sz w:val="24"/>
          <w:szCs w:val="24"/>
        </w:rPr>
      </w:r>
    </w:p>
    <w:p>
      <w:pPr>
        <w:pStyle w:val="BodyText"/>
        <w:spacing w:line="237" w:lineRule="auto" w:before="77"/>
        <w:ind w:left="538" w:right="541"/>
        <w:jc w:val="both"/>
      </w:pPr>
      <w:r>
        <w:rPr>
          <w:rFonts w:ascii="宋体" w:hAnsi="宋体" w:cs="宋体" w:eastAsia="宋体" w:hint="default"/>
        </w:rPr>
        <w:t>2015</w:t>
      </w:r>
      <w:r>
        <w:rPr>
          <w:rFonts w:ascii="宋体" w:hAnsi="宋体" w:cs="宋体" w:eastAsia="宋体" w:hint="default"/>
          <w:spacing w:val="-27"/>
        </w:rPr>
        <w:t> </w:t>
      </w:r>
      <w:r>
        <w:rPr/>
        <w:t>年</w:t>
      </w:r>
      <w:r>
        <w:rPr>
          <w:spacing w:val="-27"/>
        </w:rPr>
        <w:t> </w:t>
      </w:r>
      <w:r>
        <w:rPr>
          <w:rFonts w:ascii="宋体" w:hAnsi="宋体" w:cs="宋体" w:eastAsia="宋体" w:hint="default"/>
        </w:rPr>
        <w:t>2</w:t>
      </w:r>
      <w:r>
        <w:rPr>
          <w:rFonts w:ascii="宋体" w:hAnsi="宋体" w:cs="宋体" w:eastAsia="宋体" w:hint="default"/>
          <w:spacing w:val="-27"/>
        </w:rPr>
        <w:t> </w:t>
      </w:r>
      <w:r>
        <w:rPr/>
        <w:t>月，公司完成了非公开发行股票事宜，募集资金净额为</w:t>
      </w:r>
      <w:r>
        <w:rPr>
          <w:spacing w:val="-26"/>
        </w:rPr>
        <w:t> </w:t>
      </w:r>
      <w:r>
        <w:rPr>
          <w:rFonts w:ascii="宋体" w:hAnsi="宋体" w:cs="宋体" w:eastAsia="宋体" w:hint="default"/>
        </w:rPr>
        <w:t>54.58</w:t>
      </w:r>
      <w:r>
        <w:rPr>
          <w:rFonts w:ascii="宋体" w:hAnsi="宋体" w:cs="宋体" w:eastAsia="宋体" w:hint="default"/>
          <w:spacing w:val="-26"/>
        </w:rPr>
        <w:t> </w:t>
      </w:r>
      <w:r>
        <w:rPr/>
        <w:t>亿元，其中</w:t>
      </w:r>
      <w:r>
        <w:rPr>
          <w:spacing w:val="-27"/>
        </w:rPr>
        <w:t> </w:t>
      </w:r>
      <w:r>
        <w:rPr>
          <w:rFonts w:ascii="宋体" w:hAnsi="宋体" w:cs="宋体" w:eastAsia="宋体" w:hint="default"/>
        </w:rPr>
        <w:t>30 </w:t>
      </w:r>
      <w:r>
        <w:rPr/>
        <w:t>亿元用于归还银行贷款，剩余部分用于补充公司流动资金。本次发行完成后，公司总股</w:t>
      </w:r>
      <w:r>
        <w:rPr>
          <w:spacing w:val="-51"/>
        </w:rPr>
        <w:t> </w:t>
      </w:r>
      <w:r>
        <w:rPr>
          <w:spacing w:val="-51"/>
        </w:rPr>
      </w:r>
      <w:r>
        <w:rPr/>
        <w:t>本由</w:t>
      </w:r>
      <w:r>
        <w:rPr>
          <w:spacing w:val="-41"/>
        </w:rPr>
        <w:t> </w:t>
      </w:r>
      <w:r>
        <w:rPr>
          <w:rFonts w:ascii="宋体" w:hAnsi="宋体" w:cs="宋体" w:eastAsia="宋体" w:hint="default"/>
        </w:rPr>
        <w:t>2,197,882,238</w:t>
      </w:r>
      <w:r>
        <w:rPr>
          <w:rFonts w:ascii="宋体" w:hAnsi="宋体" w:cs="宋体" w:eastAsia="宋体" w:hint="default"/>
          <w:spacing w:val="-41"/>
        </w:rPr>
        <w:t> </w:t>
      </w:r>
      <w:r>
        <w:rPr/>
        <w:t>股增至</w:t>
      </w:r>
      <w:r>
        <w:rPr>
          <w:spacing w:val="-40"/>
        </w:rPr>
        <w:t> </w:t>
      </w:r>
      <w:r>
        <w:rPr>
          <w:rFonts w:ascii="宋体" w:hAnsi="宋体" w:cs="宋体" w:eastAsia="宋体" w:hint="default"/>
        </w:rPr>
        <w:t>2,963,898,951</w:t>
      </w:r>
      <w:r>
        <w:rPr>
          <w:rFonts w:ascii="宋体" w:hAnsi="宋体" w:cs="宋体" w:eastAsia="宋体" w:hint="default"/>
          <w:spacing w:val="-41"/>
        </w:rPr>
        <w:t> </w:t>
      </w:r>
      <w:r>
        <w:rPr/>
        <w:t>股。本次股本变动对最近一年每股收益、每 股净资产的影响如下：</w:t>
      </w:r>
    </w:p>
    <w:p>
      <w:pPr>
        <w:spacing w:line="240" w:lineRule="auto" w:before="8"/>
        <w:rPr>
          <w:rFonts w:ascii="宋体" w:hAnsi="宋体" w:cs="宋体" w:eastAsia="宋体" w:hint="default"/>
          <w:sz w:val="26"/>
          <w:szCs w:val="26"/>
        </w:rPr>
      </w:pPr>
    </w:p>
    <w:tbl>
      <w:tblPr>
        <w:tblW w:w="0" w:type="auto"/>
        <w:jc w:val="left"/>
        <w:tblInd w:w="416" w:type="dxa"/>
        <w:tblLayout w:type="fixed"/>
        <w:tblCellMar>
          <w:top w:w="0" w:type="dxa"/>
          <w:left w:w="0" w:type="dxa"/>
          <w:bottom w:w="0" w:type="dxa"/>
          <w:right w:w="0" w:type="dxa"/>
        </w:tblCellMar>
        <w:tblLook w:val="01E0"/>
      </w:tblPr>
      <w:tblGrid>
        <w:gridCol w:w="3265"/>
        <w:gridCol w:w="2916"/>
        <w:gridCol w:w="3238"/>
      </w:tblGrid>
      <w:tr>
        <w:trPr>
          <w:trHeight w:val="295" w:hRule="exact"/>
        </w:trPr>
        <w:tc>
          <w:tcPr>
            <w:tcW w:w="3265"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right="5"/>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916"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501" w:right="0"/>
              <w:jc w:val="left"/>
              <w:rPr>
                <w:rFonts w:ascii="宋体" w:hAnsi="宋体" w:cs="宋体" w:eastAsia="宋体" w:hint="default"/>
                <w:sz w:val="21"/>
                <w:szCs w:val="21"/>
              </w:rPr>
            </w:pPr>
            <w:r>
              <w:rPr>
                <w:rFonts w:ascii="宋体" w:hAnsi="宋体" w:cs="宋体" w:eastAsia="宋体" w:hint="default"/>
                <w:b/>
                <w:bCs/>
                <w:sz w:val="21"/>
                <w:szCs w:val="21"/>
              </w:rPr>
              <w:t>剔除非公开发行因素</w:t>
            </w:r>
            <w:r>
              <w:rPr>
                <w:rFonts w:ascii="宋体" w:hAnsi="宋体" w:cs="宋体" w:eastAsia="宋体" w:hint="default"/>
                <w:sz w:val="21"/>
                <w:szCs w:val="21"/>
              </w:rPr>
            </w:r>
          </w:p>
        </w:tc>
        <w:tc>
          <w:tcPr>
            <w:tcW w:w="3238"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left="556" w:right="0"/>
              <w:jc w:val="left"/>
              <w:rPr>
                <w:rFonts w:ascii="宋体" w:hAnsi="宋体" w:cs="宋体" w:eastAsia="宋体" w:hint="default"/>
                <w:sz w:val="21"/>
                <w:szCs w:val="21"/>
              </w:rPr>
            </w:pPr>
            <w:r>
              <w:rPr>
                <w:rFonts w:ascii="宋体" w:hAnsi="宋体" w:cs="宋体" w:eastAsia="宋体" w:hint="default"/>
                <w:b/>
                <w:bCs/>
                <w:sz w:val="21"/>
                <w:szCs w:val="21"/>
              </w:rPr>
              <w:t>未剔除非公开发行因素</w:t>
            </w:r>
            <w:r>
              <w:rPr>
                <w:rFonts w:ascii="宋体" w:hAnsi="宋体" w:cs="宋体" w:eastAsia="宋体" w:hint="default"/>
                <w:sz w:val="21"/>
                <w:szCs w:val="21"/>
              </w:rPr>
            </w:r>
          </w:p>
        </w:tc>
      </w:tr>
      <w:tr>
        <w:trPr>
          <w:trHeight w:val="289" w:hRule="exact"/>
        </w:trPr>
        <w:tc>
          <w:tcPr>
            <w:tcW w:w="3265"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宋体" w:hAnsi="宋体" w:cs="宋体" w:eastAsia="宋体" w:hint="default"/>
                <w:sz w:val="21"/>
                <w:szCs w:val="21"/>
              </w:rPr>
              <w:t>/</w:t>
            </w:r>
            <w:r>
              <w:rPr>
                <w:rFonts w:ascii="宋体" w:hAnsi="宋体" w:cs="宋体" w:eastAsia="宋体" w:hint="default"/>
                <w:sz w:val="21"/>
                <w:szCs w:val="21"/>
              </w:rPr>
              <w:t>股）</w:t>
            </w:r>
          </w:p>
        </w:tc>
        <w:tc>
          <w:tcPr>
            <w:tcW w:w="2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Times New Roman" w:hAnsi="Times New Roman" w:cs="Times New Roman" w:eastAsia="Times New Roman" w:hint="default"/>
                <w:sz w:val="21"/>
                <w:szCs w:val="21"/>
              </w:rPr>
            </w:pPr>
            <w:r>
              <w:rPr>
                <w:rFonts w:ascii="Times New Roman"/>
                <w:sz w:val="21"/>
              </w:rPr>
              <w:t>0.45</w:t>
            </w:r>
          </w:p>
        </w:tc>
        <w:tc>
          <w:tcPr>
            <w:tcW w:w="323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95"/>
              <w:jc w:val="right"/>
              <w:rPr>
                <w:rFonts w:ascii="Times New Roman" w:hAnsi="Times New Roman" w:cs="Times New Roman" w:eastAsia="Times New Roman" w:hint="default"/>
                <w:sz w:val="21"/>
                <w:szCs w:val="21"/>
              </w:rPr>
            </w:pPr>
            <w:r>
              <w:rPr>
                <w:rFonts w:ascii="Times New Roman"/>
                <w:sz w:val="21"/>
              </w:rPr>
              <w:t>0.45</w:t>
            </w:r>
          </w:p>
        </w:tc>
      </w:tr>
      <w:tr>
        <w:trPr>
          <w:trHeight w:val="293" w:hRule="exact"/>
        </w:trPr>
        <w:tc>
          <w:tcPr>
            <w:tcW w:w="3265"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每股净资产（元</w:t>
            </w:r>
            <w:r>
              <w:rPr>
                <w:rFonts w:ascii="宋体" w:hAnsi="宋体" w:cs="宋体" w:eastAsia="宋体" w:hint="default"/>
                <w:sz w:val="21"/>
                <w:szCs w:val="21"/>
              </w:rPr>
              <w:t>/</w:t>
            </w:r>
            <w:r>
              <w:rPr>
                <w:rFonts w:ascii="宋体" w:hAnsi="宋体" w:cs="宋体" w:eastAsia="宋体" w:hint="default"/>
                <w:sz w:val="21"/>
                <w:szCs w:val="21"/>
              </w:rPr>
              <w:t>股）</w:t>
            </w:r>
          </w:p>
        </w:tc>
        <w:tc>
          <w:tcPr>
            <w:tcW w:w="29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98"/>
              <w:jc w:val="right"/>
              <w:rPr>
                <w:rFonts w:ascii="Times New Roman" w:hAnsi="Times New Roman" w:cs="Times New Roman" w:eastAsia="Times New Roman" w:hint="default"/>
                <w:sz w:val="21"/>
                <w:szCs w:val="21"/>
              </w:rPr>
            </w:pPr>
            <w:r>
              <w:rPr>
                <w:rFonts w:ascii="Times New Roman"/>
                <w:sz w:val="21"/>
              </w:rPr>
              <w:t>5.42</w:t>
            </w:r>
          </w:p>
        </w:tc>
        <w:tc>
          <w:tcPr>
            <w:tcW w:w="323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8"/>
              <w:ind w:right="95"/>
              <w:jc w:val="right"/>
              <w:rPr>
                <w:rFonts w:ascii="Times New Roman" w:hAnsi="Times New Roman" w:cs="Times New Roman" w:eastAsia="Times New Roman" w:hint="default"/>
                <w:sz w:val="21"/>
                <w:szCs w:val="21"/>
              </w:rPr>
            </w:pPr>
            <w:r>
              <w:rPr>
                <w:rFonts w:ascii="Times New Roman"/>
                <w:sz w:val="21"/>
              </w:rPr>
              <w:t>5.96</w:t>
            </w:r>
          </w:p>
        </w:tc>
      </w:tr>
    </w:tbl>
    <w:p>
      <w:pPr>
        <w:spacing w:line="240" w:lineRule="auto" w:before="13"/>
        <w:rPr>
          <w:rFonts w:ascii="宋体" w:hAnsi="宋体" w:cs="宋体" w:eastAsia="宋体" w:hint="default"/>
          <w:sz w:val="18"/>
          <w:szCs w:val="18"/>
        </w:rPr>
      </w:pPr>
    </w:p>
    <w:p>
      <w:pPr>
        <w:pStyle w:val="Heading3"/>
        <w:spacing w:line="475" w:lineRule="auto" w:before="26"/>
        <w:ind w:left="538" w:right="3809" w:firstLine="256"/>
        <w:jc w:val="left"/>
        <w:rPr>
          <w:rFonts w:ascii="宋体" w:hAnsi="宋体" w:cs="宋体" w:eastAsia="宋体" w:hint="default"/>
          <w:b w:val="0"/>
          <w:bCs w:val="0"/>
        </w:rPr>
      </w:pPr>
      <w:r>
        <w:rPr>
          <w:rFonts w:ascii="宋体" w:hAnsi="宋体" w:cs="宋体" w:eastAsia="宋体" w:hint="default"/>
        </w:rPr>
        <w:t>4</w:t>
      </w:r>
      <w:r>
        <w:rPr/>
        <w:t>、公司认为必要或证券监管机构要求披露的其他内容</w:t>
      </w:r>
      <w:r>
        <w:rPr>
          <w:w w:val="99"/>
        </w:rPr>
        <w:t> </w:t>
      </w:r>
      <w:r>
        <w:rPr>
          <w:rFonts w:ascii="宋体" w:hAnsi="宋体" w:cs="宋体" w:eastAsia="宋体" w:hint="default"/>
          <w:b w:val="0"/>
          <w:bCs w:val="0"/>
        </w:rPr>
        <w:t>无。</w:t>
      </w:r>
    </w:p>
    <w:p>
      <w:pPr>
        <w:pStyle w:val="Heading3"/>
        <w:spacing w:line="240" w:lineRule="auto" w:before="72"/>
        <w:ind w:left="795" w:right="676"/>
        <w:jc w:val="left"/>
        <w:rPr>
          <w:b w:val="0"/>
          <w:bCs w:val="0"/>
        </w:rPr>
      </w:pPr>
      <w:r>
        <w:rPr>
          <w:rFonts w:ascii="宋体" w:hAnsi="宋体" w:cs="宋体" w:eastAsia="宋体" w:hint="default"/>
        </w:rPr>
        <w:t>(</w:t>
      </w:r>
      <w:r>
        <w:rPr/>
        <w:t>二</w:t>
      </w:r>
      <w:r>
        <w:rPr>
          <w:rFonts w:ascii="宋体" w:hAnsi="宋体" w:cs="宋体" w:eastAsia="宋体" w:hint="default"/>
        </w:rPr>
        <w:t>)</w:t>
      </w:r>
      <w:r>
        <w:rPr/>
        <w:t>限售股份变动情况</w:t>
      </w:r>
      <w:r>
        <w:rPr>
          <w:b w:val="0"/>
          <w:bCs w:val="0"/>
        </w:rPr>
      </w:r>
    </w:p>
    <w:p>
      <w:pPr>
        <w:spacing w:line="240" w:lineRule="auto" w:before="10"/>
        <w:rPr>
          <w:rFonts w:ascii="宋体" w:hAnsi="宋体" w:cs="宋体" w:eastAsia="宋体" w:hint="default"/>
          <w:b/>
          <w:bCs/>
          <w:sz w:val="26"/>
          <w:szCs w:val="26"/>
        </w:rPr>
      </w:pPr>
    </w:p>
    <w:tbl>
      <w:tblPr>
        <w:tblW w:w="0" w:type="auto"/>
        <w:jc w:val="left"/>
        <w:tblInd w:w="108" w:type="dxa"/>
        <w:tblLayout w:type="fixed"/>
        <w:tblCellMar>
          <w:top w:w="0" w:type="dxa"/>
          <w:left w:w="0" w:type="dxa"/>
          <w:bottom w:w="0" w:type="dxa"/>
          <w:right w:w="0" w:type="dxa"/>
        </w:tblCellMar>
        <w:tblLook w:val="01E0"/>
      </w:tblPr>
      <w:tblGrid>
        <w:gridCol w:w="1810"/>
        <w:gridCol w:w="1292"/>
        <w:gridCol w:w="1294"/>
        <w:gridCol w:w="1292"/>
        <w:gridCol w:w="1294"/>
        <w:gridCol w:w="1493"/>
        <w:gridCol w:w="1560"/>
      </w:tblGrid>
      <w:tr>
        <w:trPr>
          <w:trHeight w:val="490" w:hRule="exact"/>
        </w:trPr>
        <w:tc>
          <w:tcPr>
            <w:tcW w:w="1810"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87"/>
              <w:ind w:left="528" w:right="0"/>
              <w:jc w:val="left"/>
              <w:rPr>
                <w:rFonts w:ascii="宋体" w:hAnsi="宋体" w:cs="宋体" w:eastAsia="宋体" w:hint="default"/>
                <w:sz w:val="18"/>
                <w:szCs w:val="18"/>
              </w:rPr>
            </w:pPr>
            <w:r>
              <w:rPr>
                <w:rFonts w:ascii="宋体" w:hAnsi="宋体" w:cs="宋体" w:eastAsia="宋体" w:hint="default"/>
                <w:b/>
                <w:bCs/>
                <w:sz w:val="18"/>
                <w:szCs w:val="18"/>
              </w:rPr>
              <w:t>股东名称</w:t>
            </w:r>
            <w:r>
              <w:rPr>
                <w:rFonts w:ascii="宋体" w:hAnsi="宋体" w:cs="宋体" w:eastAsia="宋体" w:hint="default"/>
                <w:sz w:val="18"/>
                <w:szCs w:val="18"/>
              </w:rPr>
            </w:r>
          </w:p>
        </w:tc>
        <w:tc>
          <w:tcPr>
            <w:tcW w:w="1292" w:type="dxa"/>
            <w:tcBorders>
              <w:top w:val="single" w:sz="12" w:space="0" w:color="000000"/>
              <w:left w:val="single" w:sz="6" w:space="0" w:color="000000"/>
              <w:bottom w:val="single" w:sz="6" w:space="0" w:color="000000"/>
              <w:right w:val="single" w:sz="6"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b/>
                <w:bCs/>
                <w:sz w:val="18"/>
                <w:szCs w:val="18"/>
              </w:rPr>
              <w:t>年初限售股</w:t>
            </w:r>
            <w:r>
              <w:rPr>
                <w:rFonts w:ascii="宋体" w:hAnsi="宋体" w:cs="宋体" w:eastAsia="宋体" w:hint="default"/>
                <w:sz w:val="18"/>
                <w:szCs w:val="18"/>
              </w:rPr>
            </w:r>
          </w:p>
          <w:p>
            <w:pPr>
              <w:pStyle w:val="TableParagraph"/>
              <w:spacing w:line="234" w:lineRule="exact"/>
              <w:ind w:right="2"/>
              <w:jc w:val="center"/>
              <w:rPr>
                <w:rFonts w:ascii="宋体" w:hAnsi="宋体" w:cs="宋体" w:eastAsia="宋体" w:hint="default"/>
                <w:sz w:val="18"/>
                <w:szCs w:val="18"/>
              </w:rPr>
            </w:pPr>
            <w:r>
              <w:rPr>
                <w:rFonts w:ascii="宋体" w:hAnsi="宋体" w:cs="宋体" w:eastAsia="宋体" w:hint="default"/>
                <w:b/>
                <w:bCs/>
                <w:w w:val="99"/>
                <w:sz w:val="18"/>
                <w:szCs w:val="18"/>
              </w:rPr>
              <w:t>数</w:t>
            </w:r>
            <w:r>
              <w:rPr>
                <w:rFonts w:ascii="宋体" w:hAnsi="宋体" w:cs="宋体" w:eastAsia="宋体" w:hint="default"/>
                <w:sz w:val="18"/>
                <w:szCs w:val="18"/>
              </w:rPr>
            </w:r>
          </w:p>
        </w:tc>
        <w:tc>
          <w:tcPr>
            <w:tcW w:w="1294" w:type="dxa"/>
            <w:tcBorders>
              <w:top w:val="single" w:sz="12" w:space="0" w:color="000000"/>
              <w:left w:val="single" w:sz="6" w:space="0" w:color="000000"/>
              <w:bottom w:val="single" w:sz="6" w:space="0" w:color="000000"/>
              <w:right w:val="single" w:sz="6"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b/>
                <w:bCs/>
                <w:sz w:val="18"/>
                <w:szCs w:val="18"/>
              </w:rPr>
              <w:t>本年解除限</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售股数</w:t>
            </w:r>
            <w:r>
              <w:rPr>
                <w:rFonts w:ascii="宋体" w:hAnsi="宋体" w:cs="宋体" w:eastAsia="宋体" w:hint="default"/>
                <w:sz w:val="18"/>
                <w:szCs w:val="18"/>
              </w:rPr>
            </w:r>
          </w:p>
        </w:tc>
        <w:tc>
          <w:tcPr>
            <w:tcW w:w="1292" w:type="dxa"/>
            <w:tcBorders>
              <w:top w:val="single" w:sz="12" w:space="0" w:color="000000"/>
              <w:left w:val="single" w:sz="6" w:space="0" w:color="000000"/>
              <w:bottom w:val="single" w:sz="6" w:space="0" w:color="000000"/>
              <w:right w:val="single" w:sz="6" w:space="0" w:color="000000"/>
            </w:tcBorders>
          </w:tcPr>
          <w:p>
            <w:pPr>
              <w:pStyle w:val="TableParagraph"/>
              <w:spacing w:line="204" w:lineRule="exact"/>
              <w:ind w:right="3"/>
              <w:jc w:val="center"/>
              <w:rPr>
                <w:rFonts w:ascii="宋体" w:hAnsi="宋体" w:cs="宋体" w:eastAsia="宋体" w:hint="default"/>
                <w:sz w:val="18"/>
                <w:szCs w:val="18"/>
              </w:rPr>
            </w:pPr>
            <w:r>
              <w:rPr>
                <w:rFonts w:ascii="宋体" w:hAnsi="宋体" w:cs="宋体" w:eastAsia="宋体" w:hint="default"/>
                <w:b/>
                <w:bCs/>
                <w:sz w:val="18"/>
                <w:szCs w:val="18"/>
              </w:rPr>
              <w:t>本年增加限</w:t>
            </w:r>
            <w:r>
              <w:rPr>
                <w:rFonts w:ascii="宋体" w:hAnsi="宋体" w:cs="宋体" w:eastAsia="宋体" w:hint="default"/>
                <w:sz w:val="18"/>
                <w:szCs w:val="18"/>
              </w:rPr>
            </w:r>
          </w:p>
          <w:p>
            <w:pPr>
              <w:pStyle w:val="TableParagraph"/>
              <w:spacing w:line="234" w:lineRule="exact"/>
              <w:ind w:right="3"/>
              <w:jc w:val="center"/>
              <w:rPr>
                <w:rFonts w:ascii="宋体" w:hAnsi="宋体" w:cs="宋体" w:eastAsia="宋体" w:hint="default"/>
                <w:sz w:val="18"/>
                <w:szCs w:val="18"/>
              </w:rPr>
            </w:pPr>
            <w:r>
              <w:rPr>
                <w:rFonts w:ascii="宋体" w:hAnsi="宋体" w:cs="宋体" w:eastAsia="宋体" w:hint="default"/>
                <w:b/>
                <w:bCs/>
                <w:sz w:val="18"/>
                <w:szCs w:val="18"/>
              </w:rPr>
              <w:t>售股数</w:t>
            </w:r>
            <w:r>
              <w:rPr>
                <w:rFonts w:ascii="宋体" w:hAnsi="宋体" w:cs="宋体" w:eastAsia="宋体" w:hint="default"/>
                <w:sz w:val="18"/>
                <w:szCs w:val="18"/>
              </w:rPr>
            </w:r>
          </w:p>
        </w:tc>
        <w:tc>
          <w:tcPr>
            <w:tcW w:w="1294" w:type="dxa"/>
            <w:tcBorders>
              <w:top w:val="single" w:sz="12" w:space="0" w:color="000000"/>
              <w:left w:val="single" w:sz="6" w:space="0" w:color="000000"/>
              <w:bottom w:val="single" w:sz="6" w:space="0" w:color="000000"/>
              <w:right w:val="single" w:sz="6"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b/>
                <w:bCs/>
                <w:sz w:val="18"/>
                <w:szCs w:val="18"/>
              </w:rPr>
              <w:t>年末限售股</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w w:val="99"/>
                <w:sz w:val="18"/>
                <w:szCs w:val="18"/>
              </w:rPr>
              <w:t>数</w:t>
            </w:r>
            <w:r>
              <w:rPr>
                <w:rFonts w:ascii="宋体" w:hAnsi="宋体" w:cs="宋体" w:eastAsia="宋体" w:hint="default"/>
                <w:sz w:val="18"/>
                <w:szCs w:val="18"/>
              </w:rPr>
            </w:r>
          </w:p>
        </w:tc>
        <w:tc>
          <w:tcPr>
            <w:tcW w:w="149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7"/>
              <w:ind w:left="376" w:right="0"/>
              <w:jc w:val="left"/>
              <w:rPr>
                <w:rFonts w:ascii="宋体" w:hAnsi="宋体" w:cs="宋体" w:eastAsia="宋体" w:hint="default"/>
                <w:sz w:val="18"/>
                <w:szCs w:val="18"/>
              </w:rPr>
            </w:pPr>
            <w:r>
              <w:rPr>
                <w:rFonts w:ascii="宋体" w:hAnsi="宋体" w:cs="宋体" w:eastAsia="宋体" w:hint="default"/>
                <w:b/>
                <w:bCs/>
                <w:sz w:val="18"/>
                <w:szCs w:val="18"/>
              </w:rPr>
              <w:t>限售原因</w:t>
            </w:r>
            <w:r>
              <w:rPr>
                <w:rFonts w:ascii="宋体" w:hAnsi="宋体" w:cs="宋体" w:eastAsia="宋体" w:hint="default"/>
                <w:sz w:val="18"/>
                <w:szCs w:val="18"/>
              </w:rPr>
            </w:r>
          </w:p>
        </w:tc>
        <w:tc>
          <w:tcPr>
            <w:tcW w:w="1560"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87"/>
              <w:ind w:left="6" w:right="0"/>
              <w:jc w:val="center"/>
              <w:rPr>
                <w:rFonts w:ascii="宋体" w:hAnsi="宋体" w:cs="宋体" w:eastAsia="宋体" w:hint="default"/>
                <w:sz w:val="18"/>
                <w:szCs w:val="18"/>
              </w:rPr>
            </w:pPr>
            <w:r>
              <w:rPr>
                <w:rFonts w:ascii="宋体" w:hAnsi="宋体" w:cs="宋体" w:eastAsia="宋体" w:hint="default"/>
                <w:b/>
                <w:bCs/>
                <w:sz w:val="18"/>
                <w:szCs w:val="18"/>
              </w:rPr>
              <w:t>解除限售日期</w:t>
            </w:r>
            <w:r>
              <w:rPr>
                <w:rFonts w:ascii="宋体" w:hAnsi="宋体" w:cs="宋体" w:eastAsia="宋体" w:hint="default"/>
                <w:sz w:val="18"/>
                <w:szCs w:val="18"/>
              </w:rPr>
            </w:r>
          </w:p>
        </w:tc>
      </w:tr>
      <w:tr>
        <w:trPr>
          <w:trHeight w:val="480"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02"/>
              <w:jc w:val="right"/>
              <w:rPr>
                <w:rFonts w:ascii="宋体" w:hAnsi="宋体" w:cs="宋体" w:eastAsia="宋体" w:hint="default"/>
                <w:sz w:val="18"/>
                <w:szCs w:val="18"/>
              </w:rPr>
            </w:pPr>
            <w:r>
              <w:rPr>
                <w:rFonts w:ascii="宋体"/>
                <w:sz w:val="18"/>
              </w:rPr>
              <w:t>0</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pacing w:val="-1"/>
                <w:sz w:val="18"/>
              </w:rPr>
              <w:t>278,551,532</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pacing w:val="-1"/>
                <w:sz w:val="18"/>
              </w:rPr>
              <w:t>278,551,532</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非公开股票限售</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06" w:lineRule="exact"/>
              <w:ind w:left="7"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25</w:t>
            </w:r>
            <w:r>
              <w:rPr>
                <w:rFonts w:ascii="宋体" w:hAnsi="宋体" w:cs="宋体" w:eastAsia="宋体" w:hint="default"/>
                <w:spacing w:val="-56"/>
                <w:sz w:val="18"/>
                <w:szCs w:val="18"/>
              </w:rPr>
              <w:t> </w:t>
            </w:r>
            <w:r>
              <w:rPr>
                <w:rFonts w:ascii="宋体" w:hAnsi="宋体" w:cs="宋体" w:eastAsia="宋体" w:hint="default"/>
                <w:sz w:val="18"/>
                <w:szCs w:val="18"/>
              </w:rPr>
              <w:t>日</w:t>
            </w:r>
          </w:p>
        </w:tc>
      </w:tr>
      <w:tr>
        <w:trPr>
          <w:trHeight w:val="482"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93" w:right="0"/>
              <w:jc w:val="left"/>
              <w:rPr>
                <w:rFonts w:ascii="宋体" w:hAnsi="宋体" w:cs="宋体" w:eastAsia="宋体" w:hint="default"/>
                <w:sz w:val="18"/>
                <w:szCs w:val="18"/>
              </w:rPr>
            </w:pPr>
            <w:r>
              <w:rPr>
                <w:rFonts w:ascii="宋体" w:hAnsi="宋体" w:cs="宋体" w:eastAsia="宋体" w:hint="default"/>
                <w:sz w:val="18"/>
                <w:szCs w:val="18"/>
              </w:rPr>
              <w:t>紫光集团有限公司</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02"/>
              <w:jc w:val="right"/>
              <w:rPr>
                <w:rFonts w:ascii="宋体" w:hAnsi="宋体" w:cs="宋体" w:eastAsia="宋体" w:hint="default"/>
                <w:sz w:val="18"/>
                <w:szCs w:val="18"/>
              </w:rPr>
            </w:pPr>
            <w:r>
              <w:rPr>
                <w:rFonts w:ascii="宋体"/>
                <w:sz w:val="18"/>
              </w:rPr>
              <w:t>0</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69,637,883</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69,637,883</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非公开股票限售</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08" w:lineRule="exact"/>
              <w:ind w:left="7"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25</w:t>
            </w:r>
            <w:r>
              <w:rPr>
                <w:rFonts w:ascii="宋体" w:hAnsi="宋体" w:cs="宋体" w:eastAsia="宋体" w:hint="default"/>
                <w:spacing w:val="-56"/>
                <w:sz w:val="18"/>
                <w:szCs w:val="18"/>
              </w:rPr>
              <w:t> </w:t>
            </w:r>
            <w:r>
              <w:rPr>
                <w:rFonts w:ascii="宋体" w:hAnsi="宋体" w:cs="宋体" w:eastAsia="宋体" w:hint="default"/>
                <w:sz w:val="18"/>
                <w:szCs w:val="18"/>
              </w:rPr>
              <w:t>日</w:t>
            </w:r>
          </w:p>
        </w:tc>
      </w:tr>
      <w:tr>
        <w:trPr>
          <w:trHeight w:val="482"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pacing w:val="18"/>
                <w:sz w:val="18"/>
                <w:szCs w:val="18"/>
              </w:rPr>
              <w:t>工银瑞信基金管理</w:t>
            </w:r>
            <w:r>
              <w:rPr>
                <w:rFonts w:ascii="宋体" w:hAnsi="宋体" w:cs="宋体" w:eastAsia="宋体" w:hint="default"/>
                <w:spacing w:val="-69"/>
                <w:sz w:val="18"/>
                <w:szCs w:val="18"/>
              </w:rPr>
              <w:t> </w:t>
            </w:r>
            <w:r>
              <w:rPr>
                <w:rFonts w:ascii="宋体" w:hAnsi="宋体" w:cs="宋体" w:eastAsia="宋体" w:hint="default"/>
                <w:sz w:val="18"/>
                <w:szCs w:val="18"/>
              </w:rPr>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02"/>
              <w:jc w:val="right"/>
              <w:rPr>
                <w:rFonts w:ascii="宋体" w:hAnsi="宋体" w:cs="宋体" w:eastAsia="宋体" w:hint="default"/>
                <w:sz w:val="18"/>
                <w:szCs w:val="18"/>
              </w:rPr>
            </w:pPr>
            <w:r>
              <w:rPr>
                <w:rFonts w:ascii="宋体"/>
                <w:sz w:val="18"/>
              </w:rPr>
              <w:t>0</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208,913,649</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208,913,649</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非公开股票限售</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08" w:lineRule="exact"/>
              <w:ind w:left="7"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25</w:t>
            </w:r>
            <w:r>
              <w:rPr>
                <w:rFonts w:ascii="宋体" w:hAnsi="宋体" w:cs="宋体" w:eastAsia="宋体" w:hint="default"/>
                <w:spacing w:val="-56"/>
                <w:sz w:val="18"/>
                <w:szCs w:val="18"/>
              </w:rPr>
              <w:t> </w:t>
            </w:r>
            <w:r>
              <w:rPr>
                <w:rFonts w:ascii="宋体" w:hAnsi="宋体" w:cs="宋体" w:eastAsia="宋体" w:hint="default"/>
                <w:sz w:val="18"/>
                <w:szCs w:val="18"/>
              </w:rPr>
              <w:t>日</w:t>
            </w:r>
          </w:p>
        </w:tc>
      </w:tr>
      <w:tr>
        <w:trPr>
          <w:trHeight w:val="482"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pacing w:val="18"/>
                <w:sz w:val="18"/>
                <w:szCs w:val="18"/>
              </w:rPr>
              <w:t>博时基金管理有限</w:t>
            </w:r>
            <w:r>
              <w:rPr>
                <w:rFonts w:ascii="宋体" w:hAnsi="宋体" w:cs="宋体" w:eastAsia="宋体" w:hint="default"/>
                <w:spacing w:val="-69"/>
                <w:sz w:val="18"/>
                <w:szCs w:val="18"/>
              </w:rPr>
              <w:t> </w:t>
            </w:r>
            <w:r>
              <w:rPr>
                <w:rFonts w:ascii="宋体" w:hAnsi="宋体" w:cs="宋体" w:eastAsia="宋体" w:hint="default"/>
                <w:sz w:val="18"/>
                <w:szCs w:val="18"/>
              </w:rPr>
            </w: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0</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208,913,649</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208,913,649</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非公开股票限售</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7"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25</w:t>
            </w:r>
            <w:r>
              <w:rPr>
                <w:rFonts w:ascii="宋体" w:hAnsi="宋体" w:cs="宋体" w:eastAsia="宋体" w:hint="default"/>
                <w:spacing w:val="-56"/>
                <w:sz w:val="18"/>
                <w:szCs w:val="18"/>
              </w:rPr>
              <w:t> </w:t>
            </w:r>
            <w:r>
              <w:rPr>
                <w:rFonts w:ascii="宋体" w:hAnsi="宋体" w:cs="宋体" w:eastAsia="宋体" w:hint="default"/>
                <w:sz w:val="18"/>
                <w:szCs w:val="18"/>
              </w:rPr>
              <w:t>日</w:t>
            </w:r>
          </w:p>
        </w:tc>
      </w:tr>
      <w:tr>
        <w:trPr>
          <w:trHeight w:val="247"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杜国楹</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9"/>
              <w:jc w:val="right"/>
              <w:rPr>
                <w:rFonts w:ascii="宋体" w:hAnsi="宋体" w:cs="宋体" w:eastAsia="宋体" w:hint="default"/>
                <w:sz w:val="18"/>
                <w:szCs w:val="18"/>
              </w:rPr>
            </w:pPr>
            <w:r>
              <w:rPr>
                <w:rFonts w:ascii="宋体"/>
                <w:spacing w:val="-1"/>
                <w:sz w:val="18"/>
              </w:rPr>
              <w:t>96,849,439</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0</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96,849,439</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资产认购承诺</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7" w:right="0"/>
              <w:jc w:val="center"/>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14</w:t>
            </w:r>
            <w:r>
              <w:rPr>
                <w:rFonts w:ascii="宋体" w:hAnsi="宋体" w:cs="宋体" w:eastAsia="宋体" w:hint="default"/>
                <w:spacing w:val="-56"/>
                <w:sz w:val="18"/>
                <w:szCs w:val="18"/>
              </w:rPr>
              <w:t> </w:t>
            </w:r>
            <w:r>
              <w:rPr>
                <w:rFonts w:ascii="宋体" w:hAnsi="宋体" w:cs="宋体" w:eastAsia="宋体" w:hint="default"/>
                <w:sz w:val="18"/>
                <w:szCs w:val="18"/>
              </w:rPr>
              <w:t>日</w:t>
            </w:r>
          </w:p>
        </w:tc>
      </w:tr>
      <w:tr>
        <w:trPr>
          <w:trHeight w:val="250"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93" w:right="0"/>
              <w:jc w:val="left"/>
              <w:rPr>
                <w:rFonts w:ascii="宋体" w:hAnsi="宋体" w:cs="宋体" w:eastAsia="宋体" w:hint="default"/>
                <w:sz w:val="18"/>
                <w:szCs w:val="18"/>
              </w:rPr>
            </w:pPr>
            <w:r>
              <w:rPr>
                <w:rFonts w:ascii="宋体" w:hAnsi="宋体" w:cs="宋体" w:eastAsia="宋体" w:hint="default"/>
                <w:sz w:val="18"/>
                <w:szCs w:val="18"/>
              </w:rPr>
              <w:t>蒋宇飞</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9"/>
              <w:jc w:val="right"/>
              <w:rPr>
                <w:rFonts w:ascii="宋体" w:hAnsi="宋体" w:cs="宋体" w:eastAsia="宋体" w:hint="default"/>
                <w:sz w:val="18"/>
                <w:szCs w:val="18"/>
              </w:rPr>
            </w:pPr>
            <w:r>
              <w:rPr>
                <w:rFonts w:ascii="宋体"/>
                <w:spacing w:val="-1"/>
                <w:sz w:val="18"/>
              </w:rPr>
              <w:t>20,025,170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02"/>
              <w:jc w:val="right"/>
              <w:rPr>
                <w:rFonts w:ascii="宋体" w:hAnsi="宋体" w:cs="宋体" w:eastAsia="宋体" w:hint="default"/>
                <w:sz w:val="18"/>
                <w:szCs w:val="18"/>
              </w:rPr>
            </w:pPr>
            <w:r>
              <w:rPr>
                <w:rFonts w:ascii="宋体"/>
                <w:sz w:val="18"/>
              </w:rPr>
              <w:t>0</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20,025,170</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资产认购承诺</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08" w:lineRule="exact"/>
              <w:ind w:left="7" w:right="0"/>
              <w:jc w:val="center"/>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14</w:t>
            </w:r>
            <w:r>
              <w:rPr>
                <w:rFonts w:ascii="宋体" w:hAnsi="宋体" w:cs="宋体" w:eastAsia="宋体" w:hint="default"/>
                <w:spacing w:val="-56"/>
                <w:sz w:val="18"/>
                <w:szCs w:val="18"/>
              </w:rPr>
              <w:t> </w:t>
            </w:r>
            <w:r>
              <w:rPr>
                <w:rFonts w:ascii="宋体" w:hAnsi="宋体" w:cs="宋体" w:eastAsia="宋体" w:hint="default"/>
                <w:sz w:val="18"/>
                <w:szCs w:val="18"/>
              </w:rPr>
              <w:t>日</w:t>
            </w:r>
          </w:p>
        </w:tc>
      </w:tr>
      <w:tr>
        <w:trPr>
          <w:trHeight w:val="247"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周佳</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6,675,050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0</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6,675,050</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资产认购承诺</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7" w:right="0"/>
              <w:jc w:val="center"/>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14</w:t>
            </w:r>
            <w:r>
              <w:rPr>
                <w:rFonts w:ascii="宋体" w:hAnsi="宋体" w:cs="宋体" w:eastAsia="宋体" w:hint="default"/>
                <w:spacing w:val="-56"/>
                <w:sz w:val="18"/>
                <w:szCs w:val="18"/>
              </w:rPr>
              <w:t> </w:t>
            </w:r>
            <w:r>
              <w:rPr>
                <w:rFonts w:ascii="宋体" w:hAnsi="宋体" w:cs="宋体" w:eastAsia="宋体" w:hint="default"/>
                <w:sz w:val="18"/>
                <w:szCs w:val="18"/>
              </w:rPr>
              <w:t>日</w:t>
            </w:r>
          </w:p>
        </w:tc>
      </w:tr>
      <w:tr>
        <w:trPr>
          <w:trHeight w:val="250"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93" w:right="0"/>
              <w:jc w:val="left"/>
              <w:rPr>
                <w:rFonts w:ascii="宋体" w:hAnsi="宋体" w:cs="宋体" w:eastAsia="宋体" w:hint="default"/>
                <w:sz w:val="18"/>
                <w:szCs w:val="18"/>
              </w:rPr>
            </w:pPr>
            <w:r>
              <w:rPr>
                <w:rFonts w:ascii="宋体" w:hAnsi="宋体" w:cs="宋体" w:eastAsia="宋体" w:hint="default"/>
                <w:sz w:val="18"/>
                <w:szCs w:val="18"/>
              </w:rPr>
              <w:t>方礼勇</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2,482,769</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02"/>
              <w:jc w:val="right"/>
              <w:rPr>
                <w:rFonts w:ascii="宋体" w:hAnsi="宋体" w:cs="宋体" w:eastAsia="宋体" w:hint="default"/>
                <w:sz w:val="18"/>
                <w:szCs w:val="18"/>
              </w:rPr>
            </w:pPr>
            <w:r>
              <w:rPr>
                <w:rFonts w:ascii="宋体"/>
                <w:sz w:val="18"/>
              </w:rPr>
              <w:t>0</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2,482,769</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资产认购承诺</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08" w:lineRule="exact"/>
              <w:ind w:left="7" w:right="0"/>
              <w:jc w:val="center"/>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14</w:t>
            </w:r>
            <w:r>
              <w:rPr>
                <w:rFonts w:ascii="宋体" w:hAnsi="宋体" w:cs="宋体" w:eastAsia="宋体" w:hint="default"/>
                <w:spacing w:val="-56"/>
                <w:sz w:val="18"/>
                <w:szCs w:val="18"/>
              </w:rPr>
              <w:t> </w:t>
            </w:r>
            <w:r>
              <w:rPr>
                <w:rFonts w:ascii="宋体" w:hAnsi="宋体" w:cs="宋体" w:eastAsia="宋体" w:hint="default"/>
                <w:sz w:val="18"/>
                <w:szCs w:val="18"/>
              </w:rPr>
              <w:t>日</w:t>
            </w:r>
          </w:p>
        </w:tc>
      </w:tr>
      <w:tr>
        <w:trPr>
          <w:trHeight w:val="247"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赵新钦</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z w:val="18"/>
              </w:rPr>
              <w:t>834,379</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0</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z w:val="18"/>
              </w:rPr>
              <w:t>834,379</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资产认购承诺</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7" w:right="0"/>
              <w:jc w:val="center"/>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14</w:t>
            </w:r>
            <w:r>
              <w:rPr>
                <w:rFonts w:ascii="宋体" w:hAnsi="宋体" w:cs="宋体" w:eastAsia="宋体" w:hint="default"/>
                <w:spacing w:val="-56"/>
                <w:sz w:val="18"/>
                <w:szCs w:val="18"/>
              </w:rPr>
              <w:t> </w:t>
            </w:r>
            <w:r>
              <w:rPr>
                <w:rFonts w:ascii="宋体" w:hAnsi="宋体" w:cs="宋体" w:eastAsia="宋体" w:hint="default"/>
                <w:sz w:val="18"/>
                <w:szCs w:val="18"/>
              </w:rPr>
              <w:t>日</w:t>
            </w:r>
          </w:p>
        </w:tc>
      </w:tr>
      <w:tr>
        <w:trPr>
          <w:trHeight w:val="250"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93" w:right="0"/>
              <w:jc w:val="left"/>
              <w:rPr>
                <w:rFonts w:ascii="宋体" w:hAnsi="宋体" w:cs="宋体" w:eastAsia="宋体" w:hint="default"/>
                <w:sz w:val="18"/>
                <w:szCs w:val="18"/>
              </w:rPr>
            </w:pPr>
            <w:r>
              <w:rPr>
                <w:rFonts w:ascii="宋体" w:hAnsi="宋体" w:cs="宋体" w:eastAsia="宋体" w:hint="default"/>
                <w:sz w:val="18"/>
                <w:szCs w:val="18"/>
              </w:rPr>
              <w:t>武晔飞</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z w:val="18"/>
              </w:rPr>
              <w:t>813,990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02"/>
              <w:jc w:val="right"/>
              <w:rPr>
                <w:rFonts w:ascii="宋体" w:hAnsi="宋体" w:cs="宋体" w:eastAsia="宋体" w:hint="default"/>
                <w:sz w:val="18"/>
                <w:szCs w:val="18"/>
              </w:rPr>
            </w:pPr>
            <w:r>
              <w:rPr>
                <w:rFonts w:ascii="宋体"/>
                <w:sz w:val="18"/>
              </w:rPr>
              <w:t>0</w:t>
            </w: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z w:val="18"/>
              </w:rPr>
              <w:t>813,990</w:t>
            </w:r>
          </w:p>
        </w:tc>
        <w:tc>
          <w:tcPr>
            <w:tcW w:w="149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资产认购承诺</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08" w:lineRule="exact"/>
              <w:ind w:left="7" w:right="0"/>
              <w:jc w:val="center"/>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14</w:t>
            </w:r>
            <w:r>
              <w:rPr>
                <w:rFonts w:ascii="宋体" w:hAnsi="宋体" w:cs="宋体" w:eastAsia="宋体" w:hint="default"/>
                <w:spacing w:val="-56"/>
                <w:sz w:val="18"/>
                <w:szCs w:val="18"/>
              </w:rPr>
              <w:t> </w:t>
            </w:r>
            <w:r>
              <w:rPr>
                <w:rFonts w:ascii="宋体" w:hAnsi="宋体" w:cs="宋体" w:eastAsia="宋体" w:hint="default"/>
                <w:sz w:val="18"/>
                <w:szCs w:val="18"/>
              </w:rPr>
              <w:t>日</w:t>
            </w:r>
          </w:p>
        </w:tc>
      </w:tr>
      <w:tr>
        <w:trPr>
          <w:trHeight w:val="254" w:hRule="exact"/>
        </w:trPr>
        <w:tc>
          <w:tcPr>
            <w:tcW w:w="1810" w:type="dxa"/>
            <w:tcBorders>
              <w:top w:val="single" w:sz="6" w:space="0" w:color="000000"/>
              <w:left w:val="single" w:sz="12" w:space="0" w:color="000000"/>
              <w:bottom w:val="single" w:sz="12" w:space="0" w:color="000000"/>
              <w:right w:val="single" w:sz="6" w:space="0" w:color="000000"/>
            </w:tcBorders>
          </w:tcPr>
          <w:p>
            <w:pPr>
              <w:pStyle w:val="TableParagraph"/>
              <w:spacing w:line="205" w:lineRule="exact"/>
              <w:ind w:right="4"/>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292" w:type="dxa"/>
            <w:tcBorders>
              <w:top w:val="single" w:sz="6" w:space="0" w:color="000000"/>
              <w:left w:val="single" w:sz="6" w:space="0" w:color="000000"/>
              <w:bottom w:val="single" w:sz="12" w:space="0" w:color="000000"/>
              <w:right w:val="single" w:sz="6" w:space="0" w:color="000000"/>
            </w:tcBorders>
          </w:tcPr>
          <w:p>
            <w:pPr>
              <w:pStyle w:val="TableParagraph"/>
              <w:spacing w:line="205" w:lineRule="exact"/>
              <w:ind w:right="99"/>
              <w:jc w:val="right"/>
              <w:rPr>
                <w:rFonts w:ascii="宋体" w:hAnsi="宋体" w:cs="宋体" w:eastAsia="宋体" w:hint="default"/>
                <w:sz w:val="18"/>
                <w:szCs w:val="18"/>
              </w:rPr>
            </w:pPr>
            <w:r>
              <w:rPr>
                <w:rFonts w:ascii="宋体"/>
                <w:b/>
                <w:w w:val="95"/>
                <w:sz w:val="18"/>
              </w:rPr>
              <w:t>127,680,797</w:t>
            </w:r>
            <w:r>
              <w:rPr>
                <w:rFonts w:ascii="宋体"/>
                <w:sz w:val="18"/>
              </w:rPr>
            </w:r>
          </w:p>
        </w:tc>
        <w:tc>
          <w:tcPr>
            <w:tcW w:w="1294" w:type="dxa"/>
            <w:tcBorders>
              <w:top w:val="single" w:sz="6" w:space="0" w:color="000000"/>
              <w:left w:val="single" w:sz="6" w:space="0" w:color="000000"/>
              <w:bottom w:val="single" w:sz="12" w:space="0" w:color="000000"/>
              <w:right w:val="single" w:sz="6" w:space="0" w:color="000000"/>
            </w:tcBorders>
          </w:tcPr>
          <w:p>
            <w:pPr>
              <w:pStyle w:val="TableParagraph"/>
              <w:spacing w:line="205" w:lineRule="exact"/>
              <w:ind w:right="102"/>
              <w:jc w:val="right"/>
              <w:rPr>
                <w:rFonts w:ascii="宋体" w:hAnsi="宋体" w:cs="宋体" w:eastAsia="宋体" w:hint="default"/>
                <w:sz w:val="18"/>
                <w:szCs w:val="18"/>
              </w:rPr>
            </w:pPr>
            <w:r>
              <w:rPr>
                <w:rFonts w:ascii="宋体"/>
                <w:b/>
                <w:w w:val="99"/>
                <w:sz w:val="18"/>
              </w:rPr>
              <w:t>0</w:t>
            </w:r>
            <w:r>
              <w:rPr>
                <w:rFonts w:ascii="宋体"/>
                <w:sz w:val="18"/>
              </w:rPr>
            </w:r>
          </w:p>
        </w:tc>
        <w:tc>
          <w:tcPr>
            <w:tcW w:w="1292" w:type="dxa"/>
            <w:tcBorders>
              <w:top w:val="single" w:sz="6" w:space="0" w:color="000000"/>
              <w:left w:val="single" w:sz="6" w:space="0" w:color="000000"/>
              <w:bottom w:val="single" w:sz="12" w:space="0" w:color="000000"/>
              <w:right w:val="single" w:sz="6" w:space="0" w:color="000000"/>
            </w:tcBorders>
          </w:tcPr>
          <w:p>
            <w:pPr>
              <w:pStyle w:val="TableParagraph"/>
              <w:spacing w:line="205" w:lineRule="exact"/>
              <w:ind w:right="99"/>
              <w:jc w:val="right"/>
              <w:rPr>
                <w:rFonts w:ascii="宋体" w:hAnsi="宋体" w:cs="宋体" w:eastAsia="宋体" w:hint="default"/>
                <w:sz w:val="18"/>
                <w:szCs w:val="18"/>
              </w:rPr>
            </w:pPr>
            <w:r>
              <w:rPr>
                <w:rFonts w:ascii="宋体"/>
                <w:b/>
                <w:w w:val="95"/>
                <w:sz w:val="18"/>
              </w:rPr>
              <w:t>766,016,713</w:t>
            </w:r>
            <w:r>
              <w:rPr>
                <w:rFonts w:ascii="宋体"/>
                <w:sz w:val="18"/>
              </w:rPr>
            </w:r>
          </w:p>
        </w:tc>
        <w:tc>
          <w:tcPr>
            <w:tcW w:w="1294" w:type="dxa"/>
            <w:tcBorders>
              <w:top w:val="single" w:sz="6" w:space="0" w:color="000000"/>
              <w:left w:val="single" w:sz="6" w:space="0" w:color="000000"/>
              <w:bottom w:val="single" w:sz="12"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b/>
                <w:w w:val="95"/>
                <w:sz w:val="18"/>
              </w:rPr>
              <w:t>893,697,510</w:t>
            </w:r>
            <w:r>
              <w:rPr>
                <w:rFonts w:ascii="宋体"/>
                <w:sz w:val="18"/>
              </w:rPr>
            </w:r>
          </w:p>
        </w:tc>
        <w:tc>
          <w:tcPr>
            <w:tcW w:w="1493" w:type="dxa"/>
            <w:tcBorders>
              <w:top w:val="single" w:sz="6" w:space="0" w:color="000000"/>
              <w:left w:val="single" w:sz="6" w:space="0" w:color="000000"/>
              <w:bottom w:val="single" w:sz="12" w:space="0" w:color="000000"/>
              <w:right w:val="single" w:sz="6" w:space="0" w:color="000000"/>
            </w:tcBorders>
          </w:tcPr>
          <w:p>
            <w:pPr>
              <w:pStyle w:val="TableParagraph"/>
              <w:spacing w:line="205" w:lineRule="exact"/>
              <w:ind w:right="1"/>
              <w:jc w:val="center"/>
              <w:rPr>
                <w:rFonts w:ascii="宋体" w:hAnsi="宋体" w:cs="宋体" w:eastAsia="宋体" w:hint="default"/>
                <w:sz w:val="18"/>
                <w:szCs w:val="18"/>
              </w:rPr>
            </w:pPr>
            <w:r>
              <w:rPr>
                <w:rFonts w:ascii="宋体"/>
                <w:b/>
                <w:w w:val="99"/>
                <w:sz w:val="18"/>
              </w:rPr>
              <w:t>/</w:t>
            </w:r>
            <w:r>
              <w:rPr>
                <w:rFonts w:ascii="宋体"/>
                <w:sz w:val="18"/>
              </w:rPr>
            </w:r>
          </w:p>
        </w:tc>
        <w:tc>
          <w:tcPr>
            <w:tcW w:w="1560" w:type="dxa"/>
            <w:tcBorders>
              <w:top w:val="single" w:sz="6" w:space="0" w:color="000000"/>
              <w:left w:val="single" w:sz="6" w:space="0" w:color="000000"/>
              <w:bottom w:val="single" w:sz="12" w:space="0" w:color="000000"/>
              <w:right w:val="single" w:sz="12" w:space="0" w:color="000000"/>
            </w:tcBorders>
          </w:tcPr>
          <w:p>
            <w:pPr>
              <w:pStyle w:val="TableParagraph"/>
              <w:spacing w:line="205" w:lineRule="exact"/>
              <w:ind w:left="6" w:right="0"/>
              <w:jc w:val="center"/>
              <w:rPr>
                <w:rFonts w:ascii="宋体" w:hAnsi="宋体" w:cs="宋体" w:eastAsia="宋体" w:hint="default"/>
                <w:sz w:val="18"/>
                <w:szCs w:val="18"/>
              </w:rPr>
            </w:pPr>
            <w:r>
              <w:rPr>
                <w:rFonts w:ascii="宋体"/>
                <w:b/>
                <w:w w:val="99"/>
                <w:sz w:val="18"/>
              </w:rPr>
              <w:t>/</w:t>
            </w:r>
            <w:r>
              <w:rPr>
                <w:rFonts w:ascii="宋体"/>
                <w:sz w:val="18"/>
              </w:rPr>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pStyle w:val="Heading2"/>
        <w:spacing w:line="240" w:lineRule="auto" w:before="14"/>
        <w:ind w:left="538" w:right="676"/>
        <w:jc w:val="left"/>
      </w:pPr>
      <w:r>
        <w:rPr/>
        <w:t>二、证券发行与上市情况</w:t>
      </w:r>
    </w:p>
    <w:p>
      <w:pPr>
        <w:spacing w:line="240" w:lineRule="auto" w:before="8"/>
        <w:rPr>
          <w:rFonts w:ascii="黑体" w:hAnsi="黑体" w:cs="黑体" w:eastAsia="黑体" w:hint="default"/>
          <w:sz w:val="28"/>
          <w:szCs w:val="28"/>
        </w:rPr>
      </w:pPr>
    </w:p>
    <w:p>
      <w:pPr>
        <w:pStyle w:val="Heading3"/>
        <w:spacing w:line="240" w:lineRule="auto"/>
        <w:ind w:left="795" w:right="676"/>
        <w:jc w:val="left"/>
        <w:rPr>
          <w:b w:val="0"/>
          <w:bCs w:val="0"/>
        </w:rPr>
      </w:pPr>
      <w:r>
        <w:rPr>
          <w:rFonts w:ascii="宋体" w:hAnsi="宋体" w:cs="宋体" w:eastAsia="宋体" w:hint="default"/>
        </w:rPr>
        <w:t>(</w:t>
      </w:r>
      <w:r>
        <w:rPr/>
        <w:t>一</w:t>
      </w:r>
      <w:r>
        <w:rPr>
          <w:rFonts w:ascii="宋体" w:hAnsi="宋体" w:cs="宋体" w:eastAsia="宋体" w:hint="default"/>
        </w:rPr>
        <w:t>)</w:t>
      </w:r>
      <w:r>
        <w:rPr/>
        <w:t>截至报告期内证券发行情况</w:t>
      </w:r>
      <w:r>
        <w:rPr>
          <w:b w:val="0"/>
          <w:bCs w:val="0"/>
        </w:rPr>
      </w:r>
    </w:p>
    <w:p>
      <w:pPr>
        <w:spacing w:line="240" w:lineRule="auto" w:before="3"/>
        <w:rPr>
          <w:rFonts w:ascii="宋体" w:hAnsi="宋体" w:cs="宋体" w:eastAsia="宋体" w:hint="default"/>
          <w:b/>
          <w:bCs/>
          <w:sz w:val="21"/>
          <w:szCs w:val="21"/>
        </w:rPr>
      </w:pPr>
    </w:p>
    <w:p>
      <w:pPr>
        <w:tabs>
          <w:tab w:pos="1051" w:val="left" w:leader="none"/>
        </w:tabs>
        <w:spacing w:before="36"/>
        <w:ind w:left="0" w:right="539" w:firstLine="0"/>
        <w:jc w:val="right"/>
        <w:rPr>
          <w:rFonts w:ascii="宋体" w:hAnsi="宋体" w:cs="宋体" w:eastAsia="宋体" w:hint="default"/>
          <w:sz w:val="21"/>
          <w:szCs w:val="21"/>
        </w:rPr>
      </w:pPr>
      <w:r>
        <w:rPr>
          <w:rFonts w:ascii="宋体" w:hAnsi="宋体" w:cs="宋体" w:eastAsia="宋体" w:hint="default"/>
          <w:spacing w:val="-1"/>
          <w:sz w:val="21"/>
          <w:szCs w:val="21"/>
        </w:rPr>
        <w:t>单位：股</w:t>
        <w:tab/>
        <w:t>币种：人民币</w:t>
      </w:r>
    </w:p>
    <w:p>
      <w:pPr>
        <w:spacing w:line="240" w:lineRule="auto" w:before="4"/>
        <w:rPr>
          <w:rFonts w:ascii="宋体" w:hAnsi="宋体" w:cs="宋体" w:eastAsia="宋体" w:hint="default"/>
          <w:sz w:val="2"/>
          <w:szCs w:val="2"/>
        </w:rPr>
      </w:pPr>
    </w:p>
    <w:tbl>
      <w:tblPr>
        <w:tblW w:w="0" w:type="auto"/>
        <w:jc w:val="left"/>
        <w:tblInd w:w="416" w:type="dxa"/>
        <w:tblLayout w:type="fixed"/>
        <w:tblCellMar>
          <w:top w:w="0" w:type="dxa"/>
          <w:left w:w="0" w:type="dxa"/>
          <w:bottom w:w="0" w:type="dxa"/>
          <w:right w:w="0" w:type="dxa"/>
        </w:tblCellMar>
        <w:tblLook w:val="01E0"/>
      </w:tblPr>
      <w:tblGrid>
        <w:gridCol w:w="1922"/>
        <w:gridCol w:w="1246"/>
        <w:gridCol w:w="1260"/>
        <w:gridCol w:w="1251"/>
        <w:gridCol w:w="1246"/>
        <w:gridCol w:w="1249"/>
        <w:gridCol w:w="1246"/>
      </w:tblGrid>
      <w:tr>
        <w:trPr>
          <w:trHeight w:val="569" w:hRule="exact"/>
        </w:trPr>
        <w:tc>
          <w:tcPr>
            <w:tcW w:w="1922"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b/>
                <w:bCs/>
                <w:sz w:val="21"/>
                <w:szCs w:val="21"/>
              </w:rPr>
              <w:t>股票及其衍生</w:t>
            </w:r>
            <w:r>
              <w:rPr>
                <w:rFonts w:ascii="宋体" w:hAnsi="宋体" w:cs="宋体" w:eastAsia="宋体" w:hint="default"/>
                <w:sz w:val="21"/>
                <w:szCs w:val="21"/>
              </w:rPr>
            </w:r>
          </w:p>
          <w:p>
            <w:pPr>
              <w:pStyle w:val="TableParagraph"/>
              <w:spacing w:line="273" w:lineRule="exact"/>
              <w:ind w:right="2"/>
              <w:jc w:val="center"/>
              <w:rPr>
                <w:rFonts w:ascii="宋体" w:hAnsi="宋体" w:cs="宋体" w:eastAsia="宋体" w:hint="default"/>
                <w:sz w:val="21"/>
                <w:szCs w:val="21"/>
              </w:rPr>
            </w:pPr>
            <w:r>
              <w:rPr>
                <w:rFonts w:ascii="宋体" w:hAnsi="宋体" w:cs="宋体" w:eastAsia="宋体" w:hint="default"/>
                <w:b/>
                <w:bCs/>
                <w:sz w:val="21"/>
                <w:szCs w:val="21"/>
              </w:rPr>
              <w:t>证券的种类</w:t>
            </w:r>
            <w:r>
              <w:rPr>
                <w:rFonts w:ascii="宋体" w:hAnsi="宋体" w:cs="宋体" w:eastAsia="宋体" w:hint="default"/>
                <w:sz w:val="21"/>
                <w:szCs w:val="21"/>
              </w:rPr>
            </w:r>
          </w:p>
        </w:tc>
        <w:tc>
          <w:tcPr>
            <w:tcW w:w="124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5"/>
              <w:ind w:left="194" w:right="0"/>
              <w:jc w:val="left"/>
              <w:rPr>
                <w:rFonts w:ascii="宋体" w:hAnsi="宋体" w:cs="宋体" w:eastAsia="宋体" w:hint="default"/>
                <w:sz w:val="21"/>
                <w:szCs w:val="21"/>
              </w:rPr>
            </w:pPr>
            <w:r>
              <w:rPr>
                <w:rFonts w:ascii="宋体" w:hAnsi="宋体" w:cs="宋体" w:eastAsia="宋体" w:hint="default"/>
                <w:b/>
                <w:bCs/>
                <w:sz w:val="21"/>
                <w:szCs w:val="21"/>
              </w:rPr>
              <w:t>发行日期</w:t>
            </w:r>
            <w:r>
              <w:rPr>
                <w:rFonts w:ascii="宋体" w:hAnsi="宋体" w:cs="宋体" w:eastAsia="宋体" w:hint="default"/>
                <w:sz w:val="21"/>
                <w:szCs w:val="21"/>
              </w:rPr>
            </w:r>
          </w:p>
        </w:tc>
        <w:tc>
          <w:tcPr>
            <w:tcW w:w="1260"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199" w:right="0" w:firstLine="2"/>
              <w:jc w:val="left"/>
              <w:rPr>
                <w:rFonts w:ascii="宋体" w:hAnsi="宋体" w:cs="宋体" w:eastAsia="宋体" w:hint="default"/>
                <w:sz w:val="21"/>
                <w:szCs w:val="21"/>
              </w:rPr>
            </w:pPr>
            <w:r>
              <w:rPr>
                <w:rFonts w:ascii="宋体" w:hAnsi="宋体" w:cs="宋体" w:eastAsia="宋体" w:hint="default"/>
                <w:b/>
                <w:bCs/>
                <w:sz w:val="21"/>
                <w:szCs w:val="21"/>
              </w:rPr>
              <w:t>发行价格</w:t>
            </w:r>
            <w:r>
              <w:rPr>
                <w:rFonts w:ascii="宋体" w:hAnsi="宋体" w:cs="宋体" w:eastAsia="宋体" w:hint="default"/>
                <w:sz w:val="21"/>
                <w:szCs w:val="21"/>
              </w:rPr>
            </w:r>
          </w:p>
          <w:p>
            <w:pPr>
              <w:pStyle w:val="TableParagraph"/>
              <w:spacing w:line="273" w:lineRule="exact"/>
              <w:ind w:left="199"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或利率</w:t>
            </w:r>
            <w:r>
              <w:rPr>
                <w:rFonts w:ascii="宋体" w:hAnsi="宋体" w:cs="宋体" w:eastAsia="宋体" w:hint="default"/>
                <w:b/>
                <w:bCs/>
                <w:sz w:val="21"/>
                <w:szCs w:val="21"/>
              </w:rPr>
              <w:t>)</w:t>
            </w:r>
            <w:r>
              <w:rPr>
                <w:rFonts w:ascii="宋体" w:hAnsi="宋体" w:cs="宋体" w:eastAsia="宋体" w:hint="default"/>
                <w:sz w:val="21"/>
                <w:szCs w:val="21"/>
              </w:rPr>
            </w:r>
          </w:p>
        </w:tc>
        <w:tc>
          <w:tcPr>
            <w:tcW w:w="125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5"/>
              <w:ind w:left="194" w:right="0"/>
              <w:jc w:val="left"/>
              <w:rPr>
                <w:rFonts w:ascii="宋体" w:hAnsi="宋体" w:cs="宋体" w:eastAsia="宋体" w:hint="default"/>
                <w:sz w:val="21"/>
                <w:szCs w:val="21"/>
              </w:rPr>
            </w:pPr>
            <w:r>
              <w:rPr>
                <w:rFonts w:ascii="宋体" w:hAnsi="宋体" w:cs="宋体" w:eastAsia="宋体" w:hint="default"/>
                <w:b/>
                <w:bCs/>
                <w:sz w:val="21"/>
                <w:szCs w:val="21"/>
              </w:rPr>
              <w:t>发行数量</w:t>
            </w:r>
            <w:r>
              <w:rPr>
                <w:rFonts w:ascii="宋体" w:hAnsi="宋体" w:cs="宋体" w:eastAsia="宋体" w:hint="default"/>
                <w:sz w:val="21"/>
                <w:szCs w:val="21"/>
              </w:rPr>
            </w:r>
          </w:p>
        </w:tc>
        <w:tc>
          <w:tcPr>
            <w:tcW w:w="124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5"/>
              <w:ind w:left="194" w:right="0"/>
              <w:jc w:val="left"/>
              <w:rPr>
                <w:rFonts w:ascii="宋体" w:hAnsi="宋体" w:cs="宋体" w:eastAsia="宋体" w:hint="default"/>
                <w:sz w:val="21"/>
                <w:szCs w:val="21"/>
              </w:rPr>
            </w:pPr>
            <w:r>
              <w:rPr>
                <w:rFonts w:ascii="宋体" w:hAnsi="宋体" w:cs="宋体" w:eastAsia="宋体" w:hint="default"/>
                <w:b/>
                <w:bCs/>
                <w:sz w:val="21"/>
                <w:szCs w:val="21"/>
              </w:rPr>
              <w:t>上市日期</w:t>
            </w:r>
            <w:r>
              <w:rPr>
                <w:rFonts w:ascii="宋体" w:hAnsi="宋体" w:cs="宋体" w:eastAsia="宋体" w:hint="default"/>
                <w:sz w:val="21"/>
                <w:szCs w:val="21"/>
              </w:rPr>
            </w:r>
          </w:p>
        </w:tc>
        <w:tc>
          <w:tcPr>
            <w:tcW w:w="1249"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191" w:right="0"/>
              <w:jc w:val="left"/>
              <w:rPr>
                <w:rFonts w:ascii="宋体" w:hAnsi="宋体" w:cs="宋体" w:eastAsia="宋体" w:hint="default"/>
                <w:sz w:val="21"/>
                <w:szCs w:val="21"/>
              </w:rPr>
            </w:pPr>
            <w:r>
              <w:rPr>
                <w:rFonts w:ascii="宋体" w:hAnsi="宋体" w:cs="宋体" w:eastAsia="宋体" w:hint="default"/>
                <w:b/>
                <w:bCs/>
                <w:sz w:val="21"/>
                <w:szCs w:val="21"/>
              </w:rPr>
              <w:t>获准上市</w:t>
            </w:r>
            <w:r>
              <w:rPr>
                <w:rFonts w:ascii="宋体" w:hAnsi="宋体" w:cs="宋体" w:eastAsia="宋体" w:hint="default"/>
                <w:sz w:val="21"/>
                <w:szCs w:val="21"/>
              </w:rPr>
            </w:r>
          </w:p>
          <w:p>
            <w:pPr>
              <w:pStyle w:val="TableParagraph"/>
              <w:spacing w:line="273" w:lineRule="exact"/>
              <w:ind w:left="191" w:right="0"/>
              <w:jc w:val="left"/>
              <w:rPr>
                <w:rFonts w:ascii="宋体" w:hAnsi="宋体" w:cs="宋体" w:eastAsia="宋体" w:hint="default"/>
                <w:sz w:val="21"/>
                <w:szCs w:val="21"/>
              </w:rPr>
            </w:pPr>
            <w:r>
              <w:rPr>
                <w:rFonts w:ascii="宋体" w:hAnsi="宋体" w:cs="宋体" w:eastAsia="宋体" w:hint="default"/>
                <w:b/>
                <w:bCs/>
                <w:sz w:val="21"/>
                <w:szCs w:val="21"/>
              </w:rPr>
              <w:t>交易数量</w:t>
            </w:r>
            <w:r>
              <w:rPr>
                <w:rFonts w:ascii="宋体" w:hAnsi="宋体" w:cs="宋体" w:eastAsia="宋体" w:hint="default"/>
                <w:sz w:val="21"/>
                <w:szCs w:val="21"/>
              </w:rPr>
            </w:r>
          </w:p>
        </w:tc>
        <w:tc>
          <w:tcPr>
            <w:tcW w:w="1246"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left="9" w:right="0"/>
              <w:jc w:val="center"/>
              <w:rPr>
                <w:rFonts w:ascii="宋体" w:hAnsi="宋体" w:cs="宋体" w:eastAsia="宋体" w:hint="default"/>
                <w:sz w:val="21"/>
                <w:szCs w:val="21"/>
              </w:rPr>
            </w:pPr>
            <w:r>
              <w:rPr>
                <w:rFonts w:ascii="宋体" w:hAnsi="宋体" w:cs="宋体" w:eastAsia="宋体" w:hint="default"/>
                <w:b/>
                <w:bCs/>
                <w:sz w:val="21"/>
                <w:szCs w:val="21"/>
              </w:rPr>
              <w:t>交易终止</w:t>
            </w:r>
            <w:r>
              <w:rPr>
                <w:rFonts w:ascii="宋体" w:hAnsi="宋体" w:cs="宋体" w:eastAsia="宋体" w:hint="default"/>
                <w:sz w:val="21"/>
                <w:szCs w:val="21"/>
              </w:rPr>
            </w:r>
          </w:p>
          <w:p>
            <w:pPr>
              <w:pStyle w:val="TableParagraph"/>
              <w:spacing w:line="273"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日期</w:t>
            </w:r>
            <w:r>
              <w:rPr>
                <w:rFonts w:ascii="宋体" w:hAnsi="宋体" w:cs="宋体" w:eastAsia="宋体" w:hint="default"/>
                <w:sz w:val="21"/>
                <w:szCs w:val="21"/>
              </w:rPr>
            </w:r>
          </w:p>
        </w:tc>
      </w:tr>
      <w:tr>
        <w:trPr>
          <w:trHeight w:val="288" w:hRule="exact"/>
        </w:trPr>
        <w:tc>
          <w:tcPr>
            <w:tcW w:w="9419" w:type="dxa"/>
            <w:gridSpan w:val="7"/>
            <w:tcBorders>
              <w:top w:val="single" w:sz="6" w:space="0" w:color="000000"/>
              <w:left w:val="single" w:sz="12" w:space="0" w:color="000000"/>
              <w:bottom w:val="single" w:sz="6" w:space="0" w:color="000000"/>
              <w:right w:val="single" w:sz="12"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普通股股票类</w:t>
            </w:r>
          </w:p>
        </w:tc>
      </w:tr>
      <w:tr>
        <w:trPr>
          <w:trHeight w:val="566" w:hRule="exact"/>
        </w:trPr>
        <w:tc>
          <w:tcPr>
            <w:tcW w:w="1922"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801" w:right="0"/>
              <w:jc w:val="left"/>
              <w:rPr>
                <w:rFonts w:ascii="宋体" w:hAnsi="宋体" w:cs="宋体" w:eastAsia="宋体" w:hint="default"/>
                <w:sz w:val="21"/>
                <w:szCs w:val="21"/>
              </w:rPr>
            </w:pPr>
            <w:r>
              <w:rPr>
                <w:rFonts w:ascii="宋体" w:hAnsi="宋体" w:cs="宋体" w:eastAsia="宋体" w:hint="default"/>
                <w:sz w:val="21"/>
                <w:szCs w:val="21"/>
              </w:rPr>
              <w:t>A</w:t>
            </w:r>
            <w:r>
              <w:rPr>
                <w:rFonts w:ascii="宋体" w:hAnsi="宋体" w:cs="宋体" w:eastAsia="宋体" w:hint="default"/>
                <w:spacing w:val="-51"/>
                <w:sz w:val="21"/>
                <w:szCs w:val="21"/>
              </w:rPr>
              <w:t> </w:t>
            </w:r>
            <w:r>
              <w:rPr>
                <w:rFonts w:ascii="宋体" w:hAnsi="宋体" w:cs="宋体" w:eastAsia="宋体" w:hint="default"/>
                <w:sz w:val="21"/>
                <w:szCs w:val="21"/>
              </w:rPr>
              <w:t>股普通股</w:t>
            </w:r>
          </w:p>
        </w:tc>
        <w:tc>
          <w:tcPr>
            <w:tcW w:w="1246" w:type="dxa"/>
            <w:tcBorders>
              <w:top w:val="single" w:sz="6" w:space="0" w:color="000000"/>
              <w:left w:val="single" w:sz="6" w:space="0" w:color="000000"/>
              <w:bottom w:val="single" w:sz="12"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78"/>
                <w:sz w:val="21"/>
                <w:szCs w:val="21"/>
              </w:rPr>
              <w:t> </w:t>
            </w:r>
            <w:r>
              <w:rPr>
                <w:rFonts w:ascii="宋体" w:hAnsi="宋体" w:cs="宋体" w:eastAsia="宋体" w:hint="default"/>
                <w:sz w:val="21"/>
                <w:szCs w:val="21"/>
              </w:rPr>
              <w:t>年</w:t>
            </w:r>
            <w:r>
              <w:rPr>
                <w:rFonts w:ascii="宋体" w:hAnsi="宋体" w:cs="宋体" w:eastAsia="宋体" w:hint="default"/>
                <w:spacing w:val="-75"/>
                <w:sz w:val="21"/>
                <w:szCs w:val="21"/>
              </w:rPr>
              <w:t> </w:t>
            </w:r>
            <w:r>
              <w:rPr>
                <w:rFonts w:ascii="宋体" w:hAnsi="宋体" w:cs="宋体" w:eastAsia="宋体" w:hint="default"/>
                <w:sz w:val="21"/>
                <w:szCs w:val="21"/>
              </w:rPr>
              <w:t>2</w:t>
            </w:r>
            <w:r>
              <w:rPr>
                <w:rFonts w:ascii="宋体" w:hAnsi="宋体" w:cs="宋体" w:eastAsia="宋体" w:hint="default"/>
                <w:spacing w:val="-76"/>
                <w:sz w:val="21"/>
                <w:szCs w:val="21"/>
              </w:rPr>
              <w:t> </w:t>
            </w:r>
            <w:r>
              <w:rPr>
                <w:rFonts w:ascii="宋体" w:hAnsi="宋体" w:cs="宋体" w:eastAsia="宋体" w:hint="default"/>
                <w:sz w:val="21"/>
                <w:szCs w:val="21"/>
              </w:rPr>
              <w:t>月</w:t>
            </w:r>
          </w:p>
          <w:p>
            <w:pPr>
              <w:pStyle w:val="TableParagraph"/>
              <w:spacing w:line="273" w:lineRule="exact"/>
              <w:ind w:left="660" w:right="0"/>
              <w:jc w:val="left"/>
              <w:rPr>
                <w:rFonts w:ascii="宋体" w:hAnsi="宋体" w:cs="宋体" w:eastAsia="宋体" w:hint="default"/>
                <w:sz w:val="21"/>
                <w:szCs w:val="21"/>
              </w:rPr>
            </w:pPr>
            <w:r>
              <w:rPr>
                <w:rFonts w:ascii="宋体" w:hAnsi="宋体" w:cs="宋体" w:eastAsia="宋体" w:hint="default"/>
                <w:sz w:val="21"/>
                <w:szCs w:val="21"/>
              </w:rPr>
              <w:t>27</w:t>
            </w:r>
            <w:r>
              <w:rPr>
                <w:rFonts w:ascii="宋体" w:hAnsi="宋体" w:cs="宋体" w:eastAsia="宋体" w:hint="default"/>
                <w:spacing w:val="-51"/>
                <w:sz w:val="21"/>
                <w:szCs w:val="21"/>
              </w:rPr>
              <w:t> </w:t>
            </w:r>
            <w:r>
              <w:rPr>
                <w:rFonts w:ascii="宋体" w:hAnsi="宋体" w:cs="宋体" w:eastAsia="宋体" w:hint="default"/>
                <w:sz w:val="21"/>
                <w:szCs w:val="21"/>
              </w:rPr>
              <w:t>日</w:t>
            </w:r>
          </w:p>
        </w:tc>
        <w:tc>
          <w:tcPr>
            <w:tcW w:w="1260"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724" w:right="0"/>
              <w:jc w:val="left"/>
              <w:rPr>
                <w:rFonts w:ascii="宋体" w:hAnsi="宋体" w:cs="宋体" w:eastAsia="宋体" w:hint="default"/>
                <w:sz w:val="21"/>
                <w:szCs w:val="21"/>
              </w:rPr>
            </w:pPr>
            <w:r>
              <w:rPr>
                <w:rFonts w:ascii="宋体"/>
                <w:sz w:val="21"/>
              </w:rPr>
              <w:t>7.18</w:t>
            </w:r>
          </w:p>
        </w:tc>
        <w:tc>
          <w:tcPr>
            <w:tcW w:w="1251" w:type="dxa"/>
            <w:tcBorders>
              <w:top w:val="single" w:sz="6" w:space="0" w:color="000000"/>
              <w:left w:val="single" w:sz="6" w:space="0" w:color="000000"/>
              <w:bottom w:val="single" w:sz="12" w:space="0" w:color="000000"/>
              <w:right w:val="single" w:sz="6" w:space="0" w:color="000000"/>
            </w:tcBorders>
          </w:tcPr>
          <w:p>
            <w:pPr>
              <w:pStyle w:val="TableParagraph"/>
              <w:spacing w:line="205" w:lineRule="exact"/>
              <w:ind w:left="141" w:right="0"/>
              <w:jc w:val="left"/>
              <w:rPr>
                <w:rFonts w:ascii="宋体" w:hAnsi="宋体" w:cs="宋体" w:eastAsia="宋体" w:hint="default"/>
                <w:sz w:val="18"/>
                <w:szCs w:val="18"/>
              </w:rPr>
            </w:pPr>
            <w:r>
              <w:rPr>
                <w:rFonts w:ascii="宋体"/>
                <w:sz w:val="18"/>
              </w:rPr>
              <w:t>766,016,713</w:t>
            </w:r>
          </w:p>
        </w:tc>
        <w:tc>
          <w:tcPr>
            <w:tcW w:w="1246" w:type="dxa"/>
            <w:tcBorders>
              <w:top w:val="single" w:sz="6" w:space="0" w:color="000000"/>
              <w:left w:val="single" w:sz="6" w:space="0" w:color="000000"/>
              <w:bottom w:val="single" w:sz="12"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78"/>
                <w:sz w:val="21"/>
                <w:szCs w:val="21"/>
              </w:rPr>
              <w:t> </w:t>
            </w:r>
            <w:r>
              <w:rPr>
                <w:rFonts w:ascii="宋体" w:hAnsi="宋体" w:cs="宋体" w:eastAsia="宋体" w:hint="default"/>
                <w:sz w:val="21"/>
                <w:szCs w:val="21"/>
              </w:rPr>
              <w:t>年</w:t>
            </w:r>
            <w:r>
              <w:rPr>
                <w:rFonts w:ascii="宋体" w:hAnsi="宋体" w:cs="宋体" w:eastAsia="宋体" w:hint="default"/>
                <w:spacing w:val="-78"/>
                <w:sz w:val="21"/>
                <w:szCs w:val="21"/>
              </w:rPr>
              <w:t> </w:t>
            </w:r>
            <w:r>
              <w:rPr>
                <w:rFonts w:ascii="宋体" w:hAnsi="宋体" w:cs="宋体" w:eastAsia="宋体" w:hint="default"/>
                <w:sz w:val="21"/>
                <w:szCs w:val="21"/>
              </w:rPr>
              <w:t>2</w:t>
            </w:r>
            <w:r>
              <w:rPr>
                <w:rFonts w:ascii="宋体" w:hAnsi="宋体" w:cs="宋体" w:eastAsia="宋体" w:hint="default"/>
                <w:spacing w:val="-76"/>
                <w:sz w:val="21"/>
                <w:szCs w:val="21"/>
              </w:rPr>
              <w:t> </w:t>
            </w:r>
            <w:r>
              <w:rPr>
                <w:rFonts w:ascii="宋体" w:hAnsi="宋体" w:cs="宋体" w:eastAsia="宋体" w:hint="default"/>
                <w:sz w:val="21"/>
                <w:szCs w:val="21"/>
              </w:rPr>
              <w:t>月</w:t>
            </w:r>
          </w:p>
          <w:p>
            <w:pPr>
              <w:pStyle w:val="TableParagraph"/>
              <w:spacing w:line="273" w:lineRule="exact"/>
              <w:ind w:left="657" w:right="0"/>
              <w:jc w:val="left"/>
              <w:rPr>
                <w:rFonts w:ascii="宋体" w:hAnsi="宋体" w:cs="宋体" w:eastAsia="宋体" w:hint="default"/>
                <w:sz w:val="21"/>
                <w:szCs w:val="21"/>
              </w:rPr>
            </w:pPr>
            <w:r>
              <w:rPr>
                <w:rFonts w:ascii="宋体" w:hAnsi="宋体" w:cs="宋体" w:eastAsia="宋体" w:hint="default"/>
                <w:sz w:val="21"/>
                <w:szCs w:val="21"/>
              </w:rPr>
              <w:t>26</w:t>
            </w:r>
            <w:r>
              <w:rPr>
                <w:rFonts w:ascii="宋体" w:hAnsi="宋体" w:cs="宋体" w:eastAsia="宋体" w:hint="default"/>
                <w:spacing w:val="-51"/>
                <w:sz w:val="21"/>
                <w:szCs w:val="21"/>
              </w:rPr>
              <w:t> </w:t>
            </w:r>
            <w:r>
              <w:rPr>
                <w:rFonts w:ascii="宋体" w:hAnsi="宋体" w:cs="宋体" w:eastAsia="宋体" w:hint="default"/>
                <w:sz w:val="21"/>
                <w:szCs w:val="21"/>
              </w:rPr>
              <w:t>日</w:t>
            </w:r>
          </w:p>
        </w:tc>
        <w:tc>
          <w:tcPr>
            <w:tcW w:w="1249" w:type="dxa"/>
            <w:tcBorders>
              <w:top w:val="single" w:sz="6" w:space="0" w:color="000000"/>
              <w:left w:val="single" w:sz="6" w:space="0" w:color="000000"/>
              <w:bottom w:val="single" w:sz="12" w:space="0" w:color="000000"/>
              <w:right w:val="single" w:sz="6" w:space="0" w:color="000000"/>
            </w:tcBorders>
          </w:tcPr>
          <w:p>
            <w:pPr>
              <w:pStyle w:val="TableParagraph"/>
              <w:spacing w:line="205" w:lineRule="exact"/>
              <w:ind w:left="139" w:right="0"/>
              <w:jc w:val="left"/>
              <w:rPr>
                <w:rFonts w:ascii="宋体" w:hAnsi="宋体" w:cs="宋体" w:eastAsia="宋体" w:hint="default"/>
                <w:sz w:val="18"/>
                <w:szCs w:val="18"/>
              </w:rPr>
            </w:pPr>
            <w:r>
              <w:rPr>
                <w:rFonts w:ascii="宋体"/>
                <w:sz w:val="18"/>
              </w:rPr>
              <w:t>766,016,713</w:t>
            </w:r>
          </w:p>
        </w:tc>
        <w:tc>
          <w:tcPr>
            <w:tcW w:w="1246" w:type="dxa"/>
            <w:tcBorders>
              <w:top w:val="single" w:sz="6" w:space="0" w:color="000000"/>
              <w:left w:val="single" w:sz="6" w:space="0" w:color="000000"/>
              <w:bottom w:val="single" w:sz="12" w:space="0" w:color="000000"/>
              <w:right w:val="single" w:sz="12" w:space="0" w:color="000000"/>
            </w:tcBorders>
          </w:tcPr>
          <w:p>
            <w:pPr/>
          </w:p>
        </w:tc>
      </w:tr>
    </w:tbl>
    <w:p>
      <w:pPr>
        <w:spacing w:after="0"/>
        <w:sectPr>
          <w:pgSz w:w="11910" w:h="16840"/>
          <w:pgMar w:header="628" w:footer="760" w:top="1080" w:bottom="960" w:left="880" w:right="7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Heading3"/>
        <w:spacing w:line="240" w:lineRule="auto" w:before="26"/>
        <w:ind w:right="110"/>
        <w:jc w:val="left"/>
        <w:rPr>
          <w:b w:val="0"/>
          <w:bCs w:val="0"/>
        </w:rPr>
      </w:pPr>
      <w:r>
        <w:rPr>
          <w:rFonts w:ascii="宋体" w:hAnsi="宋体" w:cs="宋体" w:eastAsia="宋体" w:hint="default"/>
        </w:rPr>
        <w:t>(</w:t>
      </w:r>
      <w:r>
        <w:rPr/>
        <w:t>二</w:t>
      </w:r>
      <w:r>
        <w:rPr>
          <w:rFonts w:ascii="宋体" w:hAnsi="宋体" w:cs="宋体" w:eastAsia="宋体" w:hint="default"/>
        </w:rPr>
        <w:t>)</w:t>
      </w:r>
      <w:r>
        <w:rPr>
          <w:rFonts w:ascii="宋体" w:hAnsi="宋体" w:cs="宋体" w:eastAsia="宋体" w:hint="default"/>
          <w:spacing w:val="-6"/>
        </w:rPr>
        <w:t> </w:t>
      </w:r>
      <w:r>
        <w:rPr/>
        <w:t>公司普通股股份总数及股东结构变动及公司资产和负债结构的变动情况</w:t>
      </w:r>
      <w:r>
        <w:rPr>
          <w:b w:val="0"/>
          <w:bCs w:val="0"/>
        </w:rPr>
      </w:r>
    </w:p>
    <w:p>
      <w:pPr>
        <w:spacing w:line="240" w:lineRule="auto" w:before="0"/>
        <w:rPr>
          <w:rFonts w:ascii="宋体" w:hAnsi="宋体" w:cs="宋体" w:eastAsia="宋体" w:hint="default"/>
          <w:b/>
          <w:bCs/>
          <w:sz w:val="26"/>
          <w:szCs w:val="26"/>
        </w:rPr>
      </w:pPr>
    </w:p>
    <w:p>
      <w:pPr>
        <w:pStyle w:val="BodyText"/>
        <w:spacing w:line="312" w:lineRule="exact"/>
        <w:ind w:left="238" w:right="241"/>
        <w:jc w:val="both"/>
      </w:pPr>
      <w:r>
        <w:rPr/>
        <w:t>由于公司本年度实施完成了非公开发行股份，公司股份总数及股东结构均发生了变化，</w:t>
      </w:r>
      <w:r>
        <w:rPr>
          <w:spacing w:val="-51"/>
        </w:rPr>
        <w:t> </w:t>
      </w:r>
      <w:r>
        <w:rPr>
          <w:spacing w:val="-51"/>
        </w:rPr>
      </w:r>
      <w:r>
        <w:rPr/>
        <w:t>具体请见本章</w:t>
      </w:r>
      <w:r>
        <w:rPr>
          <w:spacing w:val="-1"/>
        </w:rPr>
        <w:t> </w:t>
      </w:r>
      <w:r>
        <w:rPr/>
        <w:t>一、普通股股本变动情况表。</w:t>
      </w:r>
    </w:p>
    <w:p>
      <w:pPr>
        <w:spacing w:line="240" w:lineRule="auto" w:before="7"/>
        <w:rPr>
          <w:rFonts w:ascii="宋体" w:hAnsi="宋体" w:cs="宋体" w:eastAsia="宋体" w:hint="default"/>
          <w:sz w:val="21"/>
          <w:szCs w:val="21"/>
        </w:rPr>
      </w:pPr>
    </w:p>
    <w:p>
      <w:pPr>
        <w:pStyle w:val="BodyText"/>
        <w:spacing w:line="237" w:lineRule="auto"/>
        <w:ind w:left="238" w:right="241"/>
        <w:jc w:val="both"/>
      </w:pPr>
      <w:r>
        <w:rPr/>
        <w:t>本次非公开发行募集资金全部用于偿还银行贷款和补充流动资金。通过本次发行偿还银</w:t>
      </w:r>
      <w:r>
        <w:rPr>
          <w:spacing w:val="-51"/>
        </w:rPr>
        <w:t> </w:t>
      </w:r>
      <w:r>
        <w:rPr>
          <w:spacing w:val="-51"/>
        </w:rPr>
      </w:r>
      <w:r>
        <w:rPr/>
        <w:t>行贷款和补充流动资金，公司降低了资产负债率，优化资本结构。本年度 </w:t>
      </w:r>
      <w:r>
        <w:rPr>
          <w:rFonts w:ascii="宋体" w:hAnsi="宋体" w:cs="宋体" w:eastAsia="宋体" w:hint="default"/>
        </w:rPr>
        <w:t>2</w:t>
      </w:r>
      <w:r>
        <w:rPr>
          <w:rFonts w:ascii="宋体" w:hAnsi="宋体" w:cs="宋体" w:eastAsia="宋体" w:hint="default"/>
          <w:spacing w:val="-38"/>
        </w:rPr>
        <w:t> </w:t>
      </w:r>
      <w:r>
        <w:rPr/>
        <w:t>月完成本次 发行后，公司的资产负债率由</w:t>
      </w:r>
      <w:r>
        <w:rPr>
          <w:spacing w:val="-60"/>
        </w:rPr>
        <w:t> </w:t>
      </w:r>
      <w:r>
        <w:rPr>
          <w:rFonts w:ascii="宋体" w:hAnsi="宋体" w:cs="宋体" w:eastAsia="宋体" w:hint="default"/>
        </w:rPr>
        <w:t>2014</w:t>
      </w:r>
      <w:r>
        <w:rPr>
          <w:rFonts w:ascii="宋体" w:hAnsi="宋体" w:cs="宋体" w:eastAsia="宋体" w:hint="default"/>
          <w:spacing w:val="-60"/>
        </w:rPr>
        <w:t> </w:t>
      </w:r>
      <w:r>
        <w:rPr/>
        <w:t>年末的</w:t>
      </w:r>
      <w:r>
        <w:rPr>
          <w:spacing w:val="-60"/>
        </w:rPr>
        <w:t> </w:t>
      </w:r>
      <w:r>
        <w:rPr>
          <w:rFonts w:ascii="宋体" w:hAnsi="宋体" w:cs="宋体" w:eastAsia="宋体" w:hint="default"/>
        </w:rPr>
        <w:t>69%</w:t>
      </w:r>
      <w:r>
        <w:rPr/>
        <w:t>降至</w:t>
      </w:r>
      <w:r>
        <w:rPr>
          <w:spacing w:val="-60"/>
        </w:rPr>
        <w:t> </w:t>
      </w:r>
      <w:r>
        <w:rPr>
          <w:rFonts w:ascii="宋体" w:hAnsi="宋体" w:cs="宋体" w:eastAsia="宋体" w:hint="default"/>
        </w:rPr>
        <w:t>2015</w:t>
      </w:r>
      <w:r>
        <w:rPr>
          <w:rFonts w:ascii="宋体" w:hAnsi="宋体" w:cs="宋体" w:eastAsia="宋体" w:hint="default"/>
          <w:spacing w:val="-60"/>
        </w:rPr>
        <w:t> </w:t>
      </w:r>
      <w:r>
        <w:rPr/>
        <w:t>年一季度末的</w:t>
      </w:r>
      <w:r>
        <w:rPr>
          <w:spacing w:val="-60"/>
        </w:rPr>
        <w:t> </w:t>
      </w:r>
      <w:r>
        <w:rPr>
          <w:rFonts w:ascii="宋体" w:hAnsi="宋体" w:cs="宋体" w:eastAsia="宋体" w:hint="default"/>
        </w:rPr>
        <w:t>58%</w:t>
      </w:r>
      <w:r>
        <w:rPr/>
        <w:t>。</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17"/>
          <w:szCs w:val="17"/>
        </w:rPr>
      </w:pPr>
    </w:p>
    <w:p>
      <w:pPr>
        <w:pStyle w:val="Heading2"/>
        <w:spacing w:line="240" w:lineRule="auto"/>
        <w:ind w:right="0"/>
        <w:jc w:val="both"/>
      </w:pPr>
      <w:r>
        <w:rPr/>
        <w:t>三、股东和实际控制人情况</w:t>
      </w:r>
    </w:p>
    <w:p>
      <w:pPr>
        <w:spacing w:line="240" w:lineRule="auto" w:before="8"/>
        <w:rPr>
          <w:rFonts w:ascii="黑体" w:hAnsi="黑体" w:cs="黑体" w:eastAsia="黑体" w:hint="default"/>
          <w:sz w:val="28"/>
          <w:szCs w:val="28"/>
        </w:rPr>
      </w:pPr>
    </w:p>
    <w:p>
      <w:pPr>
        <w:pStyle w:val="Heading3"/>
        <w:spacing w:line="240" w:lineRule="auto"/>
        <w:ind w:right="110"/>
        <w:jc w:val="left"/>
        <w:rPr>
          <w:b w:val="0"/>
          <w:bCs w:val="0"/>
        </w:rPr>
      </w:pPr>
      <w:r>
        <w:rPr>
          <w:rFonts w:ascii="宋体" w:hAnsi="宋体" w:cs="宋体" w:eastAsia="宋体" w:hint="default"/>
        </w:rPr>
        <w:t>(</w:t>
      </w:r>
      <w:r>
        <w:rPr/>
        <w:t>一</w:t>
      </w:r>
      <w:r>
        <w:rPr>
          <w:rFonts w:ascii="宋体" w:hAnsi="宋体" w:cs="宋体" w:eastAsia="宋体" w:hint="default"/>
        </w:rPr>
        <w:t>)</w:t>
      </w:r>
      <w:r>
        <w:rPr>
          <w:rFonts w:ascii="宋体" w:hAnsi="宋体" w:cs="宋体" w:eastAsia="宋体" w:hint="default"/>
          <w:spacing w:val="-3"/>
        </w:rPr>
        <w:t> </w:t>
      </w:r>
      <w:r>
        <w:rPr/>
        <w:t>股东总数</w:t>
      </w:r>
      <w:r>
        <w:rPr>
          <w:b w:val="0"/>
          <w:bCs w:val="0"/>
        </w:rPr>
      </w:r>
    </w:p>
    <w:p>
      <w:pPr>
        <w:spacing w:line="240" w:lineRule="auto" w:before="8"/>
        <w:rPr>
          <w:rFonts w:ascii="宋体" w:hAnsi="宋体" w:cs="宋体" w:eastAsia="宋体" w:hint="default"/>
          <w:b/>
          <w:bCs/>
          <w:sz w:val="26"/>
          <w:szCs w:val="26"/>
        </w:rPr>
      </w:pPr>
    </w:p>
    <w:tbl>
      <w:tblPr>
        <w:tblW w:w="0" w:type="auto"/>
        <w:jc w:val="left"/>
        <w:tblInd w:w="116" w:type="dxa"/>
        <w:tblLayout w:type="fixed"/>
        <w:tblCellMar>
          <w:top w:w="0" w:type="dxa"/>
          <w:left w:w="0" w:type="dxa"/>
          <w:bottom w:w="0" w:type="dxa"/>
          <w:right w:w="0" w:type="dxa"/>
        </w:tblCellMar>
        <w:tblLook w:val="01E0"/>
      </w:tblPr>
      <w:tblGrid>
        <w:gridCol w:w="6063"/>
        <w:gridCol w:w="3356"/>
      </w:tblGrid>
      <w:tr>
        <w:trPr>
          <w:trHeight w:val="295" w:hRule="exact"/>
        </w:trPr>
        <w:tc>
          <w:tcPr>
            <w:tcW w:w="6063"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截止报告期末股东总数</w:t>
            </w:r>
          </w:p>
        </w:tc>
        <w:tc>
          <w:tcPr>
            <w:tcW w:w="3356"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208,647</w:t>
            </w:r>
            <w:r>
              <w:rPr>
                <w:rFonts w:ascii="宋体" w:hAnsi="宋体" w:cs="宋体" w:eastAsia="宋体" w:hint="default"/>
                <w:spacing w:val="-51"/>
                <w:sz w:val="21"/>
                <w:szCs w:val="21"/>
              </w:rPr>
              <w:t> </w:t>
            </w:r>
            <w:r>
              <w:rPr>
                <w:rFonts w:ascii="宋体" w:hAnsi="宋体" w:cs="宋体" w:eastAsia="宋体" w:hint="default"/>
                <w:sz w:val="21"/>
                <w:szCs w:val="21"/>
              </w:rPr>
              <w:t>户</w:t>
            </w:r>
          </w:p>
        </w:tc>
      </w:tr>
      <w:tr>
        <w:trPr>
          <w:trHeight w:val="293" w:hRule="exact"/>
        </w:trPr>
        <w:tc>
          <w:tcPr>
            <w:tcW w:w="6063"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年度报告披露日前上一月末的普通股股东总数</w:t>
            </w:r>
          </w:p>
        </w:tc>
        <w:tc>
          <w:tcPr>
            <w:tcW w:w="3356"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208,341</w:t>
            </w:r>
            <w:r>
              <w:rPr>
                <w:rFonts w:ascii="宋体" w:hAnsi="宋体" w:cs="宋体" w:eastAsia="宋体" w:hint="default"/>
                <w:spacing w:val="-51"/>
                <w:sz w:val="21"/>
                <w:szCs w:val="21"/>
              </w:rPr>
              <w:t> </w:t>
            </w:r>
            <w:r>
              <w:rPr>
                <w:rFonts w:ascii="宋体" w:hAnsi="宋体" w:cs="宋体" w:eastAsia="宋体" w:hint="default"/>
                <w:sz w:val="21"/>
                <w:szCs w:val="21"/>
              </w:rPr>
              <w:t>户</w:t>
            </w:r>
          </w:p>
        </w:tc>
      </w:tr>
    </w:tbl>
    <w:p>
      <w:pPr>
        <w:spacing w:line="240" w:lineRule="auto" w:before="13"/>
        <w:rPr>
          <w:rFonts w:ascii="宋体" w:hAnsi="宋体" w:cs="宋体" w:eastAsia="宋体" w:hint="default"/>
          <w:b/>
          <w:bCs/>
          <w:sz w:val="18"/>
          <w:szCs w:val="18"/>
        </w:rPr>
      </w:pPr>
    </w:p>
    <w:p>
      <w:pPr>
        <w:pStyle w:val="Heading3"/>
        <w:spacing w:line="240" w:lineRule="auto" w:before="26"/>
        <w:ind w:right="110"/>
        <w:jc w:val="left"/>
        <w:rPr>
          <w:b w:val="0"/>
          <w:bCs w:val="0"/>
        </w:rPr>
      </w:pPr>
      <w:r>
        <w:rPr>
          <w:rFonts w:ascii="宋体" w:hAnsi="宋体" w:cs="宋体" w:eastAsia="宋体" w:hint="default"/>
        </w:rPr>
        <w:t>(</w:t>
      </w:r>
      <w:r>
        <w:rPr/>
        <w:t>二</w:t>
      </w:r>
      <w:r>
        <w:rPr>
          <w:rFonts w:ascii="宋体" w:hAnsi="宋体" w:cs="宋体" w:eastAsia="宋体" w:hint="default"/>
        </w:rPr>
        <w:t>)</w:t>
      </w:r>
      <w:r>
        <w:rPr/>
        <w:t>截止报告期末前十名股东、前十名流通股东</w:t>
      </w:r>
      <w:r>
        <w:rPr>
          <w:rFonts w:ascii="宋体" w:hAnsi="宋体" w:cs="宋体" w:eastAsia="宋体" w:hint="default"/>
        </w:rPr>
        <w:t>(</w:t>
      </w:r>
      <w:r>
        <w:rPr/>
        <w:t>或无限售条件股东</w:t>
      </w:r>
      <w:r>
        <w:rPr>
          <w:rFonts w:ascii="宋体" w:hAnsi="宋体" w:cs="宋体" w:eastAsia="宋体" w:hint="default"/>
        </w:rPr>
        <w:t>)</w:t>
      </w:r>
      <w:r>
        <w:rPr/>
        <w:t>持股情况表</w:t>
      </w:r>
      <w:r>
        <w:rPr>
          <w:b w:val="0"/>
          <w:bCs w:val="0"/>
        </w:rPr>
      </w:r>
    </w:p>
    <w:p>
      <w:pPr>
        <w:spacing w:line="240" w:lineRule="auto" w:before="0"/>
        <w:rPr>
          <w:rFonts w:ascii="宋体" w:hAnsi="宋体" w:cs="宋体" w:eastAsia="宋体" w:hint="default"/>
          <w:b/>
          <w:bCs/>
          <w:sz w:val="24"/>
          <w:szCs w:val="24"/>
        </w:rPr>
      </w:pPr>
    </w:p>
    <w:p>
      <w:pPr>
        <w:spacing w:before="0"/>
        <w:ind w:left="0" w:right="239" w:firstLine="0"/>
        <w:jc w:val="right"/>
        <w:rPr>
          <w:rFonts w:ascii="宋体" w:hAnsi="宋体" w:cs="宋体" w:eastAsia="宋体" w:hint="default"/>
          <w:sz w:val="21"/>
          <w:szCs w:val="21"/>
        </w:rPr>
      </w:pPr>
      <w:r>
        <w:rPr>
          <w:rFonts w:ascii="宋体" w:hAnsi="宋体" w:cs="宋体" w:eastAsia="宋体" w:hint="default"/>
          <w:spacing w:val="-1"/>
          <w:sz w:val="21"/>
          <w:szCs w:val="21"/>
        </w:rPr>
        <w:t>单位：股</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1663"/>
        <w:gridCol w:w="1616"/>
        <w:gridCol w:w="1702"/>
        <w:gridCol w:w="668"/>
        <w:gridCol w:w="1205"/>
        <w:gridCol w:w="398"/>
        <w:gridCol w:w="1117"/>
        <w:gridCol w:w="1058"/>
      </w:tblGrid>
      <w:tr>
        <w:trPr>
          <w:trHeight w:val="295" w:hRule="exact"/>
        </w:trPr>
        <w:tc>
          <w:tcPr>
            <w:tcW w:w="9426" w:type="dxa"/>
            <w:gridSpan w:val="8"/>
            <w:tcBorders>
              <w:top w:val="single" w:sz="12" w:space="0" w:color="000000"/>
              <w:left w:val="single" w:sz="12" w:space="0" w:color="000000"/>
              <w:bottom w:val="single" w:sz="6" w:space="0" w:color="000000"/>
              <w:right w:val="single" w:sz="12"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前十名股东持股情况</w:t>
            </w:r>
            <w:r>
              <w:rPr>
                <w:rFonts w:ascii="宋体" w:hAnsi="宋体" w:cs="宋体" w:eastAsia="宋体" w:hint="default"/>
                <w:sz w:val="21"/>
                <w:szCs w:val="21"/>
              </w:rPr>
            </w:r>
          </w:p>
        </w:tc>
      </w:tr>
      <w:tr>
        <w:trPr>
          <w:trHeight w:val="247" w:hRule="exact"/>
        </w:trPr>
        <w:tc>
          <w:tcPr>
            <w:tcW w:w="1663" w:type="dxa"/>
            <w:vMerge w:val="restart"/>
            <w:tcBorders>
              <w:top w:val="single" w:sz="6" w:space="0" w:color="000000"/>
              <w:left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32" w:lineRule="exact"/>
              <w:ind w:left="544" w:right="461" w:hanging="89"/>
              <w:jc w:val="left"/>
              <w:rPr>
                <w:rFonts w:ascii="宋体" w:hAnsi="宋体" w:cs="宋体" w:eastAsia="宋体" w:hint="default"/>
                <w:sz w:val="18"/>
                <w:szCs w:val="18"/>
              </w:rPr>
            </w:pPr>
            <w:r>
              <w:rPr>
                <w:rFonts w:ascii="宋体" w:hAnsi="宋体" w:cs="宋体" w:eastAsia="宋体" w:hint="default"/>
                <w:b/>
                <w:bCs/>
                <w:sz w:val="18"/>
                <w:szCs w:val="18"/>
              </w:rPr>
              <w:t>股东名称</w:t>
            </w:r>
            <w:r>
              <w:rPr>
                <w:rFonts w:ascii="宋体" w:hAnsi="宋体" w:cs="宋体" w:eastAsia="宋体" w:hint="default"/>
                <w:b/>
                <w:bCs/>
                <w:w w:val="99"/>
                <w:sz w:val="18"/>
                <w:szCs w:val="18"/>
              </w:rPr>
              <w:t> </w:t>
            </w:r>
            <w:r>
              <w:rPr>
                <w:rFonts w:ascii="宋体" w:hAnsi="宋体" w:cs="宋体" w:eastAsia="宋体" w:hint="default"/>
                <w:b/>
                <w:bCs/>
                <w:sz w:val="18"/>
                <w:szCs w:val="18"/>
              </w:rPr>
              <w:t>(</w:t>
            </w:r>
            <w:r>
              <w:rPr>
                <w:rFonts w:ascii="宋体" w:hAnsi="宋体" w:cs="宋体" w:eastAsia="宋体" w:hint="default"/>
                <w:b/>
                <w:bCs/>
                <w:sz w:val="18"/>
                <w:szCs w:val="18"/>
              </w:rPr>
              <w:t>全称</w:t>
            </w:r>
            <w:r>
              <w:rPr>
                <w:rFonts w:ascii="宋体" w:hAnsi="宋体" w:cs="宋体" w:eastAsia="宋体" w:hint="default"/>
                <w:b/>
                <w:bCs/>
                <w:sz w:val="18"/>
                <w:szCs w:val="18"/>
              </w:rPr>
              <w:t>)</w:t>
            </w:r>
            <w:r>
              <w:rPr>
                <w:rFonts w:ascii="宋体" w:hAnsi="宋体" w:cs="宋体" w:eastAsia="宋体" w:hint="default"/>
                <w:sz w:val="18"/>
                <w:szCs w:val="18"/>
              </w:rPr>
            </w:r>
          </w:p>
        </w:tc>
        <w:tc>
          <w:tcPr>
            <w:tcW w:w="1616"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b/>
                <w:bCs/>
                <w:sz w:val="18"/>
                <w:szCs w:val="18"/>
              </w:rPr>
              <w:t>报告期内增减</w:t>
            </w:r>
            <w:r>
              <w:rPr>
                <w:rFonts w:ascii="宋体" w:hAnsi="宋体" w:cs="宋体" w:eastAsia="宋体" w:hint="default"/>
                <w:sz w:val="18"/>
                <w:szCs w:val="18"/>
              </w:rPr>
            </w:r>
          </w:p>
        </w:tc>
        <w:tc>
          <w:tcPr>
            <w:tcW w:w="170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299" w:right="0"/>
              <w:jc w:val="left"/>
              <w:rPr>
                <w:rFonts w:ascii="宋体" w:hAnsi="宋体" w:cs="宋体" w:eastAsia="宋体" w:hint="default"/>
                <w:sz w:val="18"/>
                <w:szCs w:val="18"/>
              </w:rPr>
            </w:pPr>
            <w:r>
              <w:rPr>
                <w:rFonts w:ascii="宋体" w:hAnsi="宋体" w:cs="宋体" w:eastAsia="宋体" w:hint="default"/>
                <w:b/>
                <w:bCs/>
                <w:sz w:val="18"/>
                <w:szCs w:val="18"/>
              </w:rPr>
              <w:t>期末持股数量</w:t>
            </w:r>
            <w:r>
              <w:rPr>
                <w:rFonts w:ascii="宋体" w:hAnsi="宋体" w:cs="宋体" w:eastAsia="宋体" w:hint="default"/>
                <w:sz w:val="18"/>
                <w:szCs w:val="18"/>
              </w:rPr>
            </w:r>
          </w:p>
        </w:tc>
        <w:tc>
          <w:tcPr>
            <w:tcW w:w="668" w:type="dxa"/>
            <w:vMerge w:val="restart"/>
            <w:tcBorders>
              <w:top w:val="single" w:sz="6" w:space="0" w:color="000000"/>
              <w:left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32" w:lineRule="exact"/>
              <w:ind w:left="190" w:right="143" w:hanging="46"/>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b/>
                <w:bCs/>
                <w:spacing w:val="-8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1205" w:type="dxa"/>
            <w:vMerge w:val="restart"/>
            <w:tcBorders>
              <w:top w:val="single" w:sz="6" w:space="0" w:color="000000"/>
              <w:left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37" w:lineRule="auto"/>
              <w:ind w:left="143" w:right="142"/>
              <w:jc w:val="center"/>
              <w:rPr>
                <w:rFonts w:ascii="宋体" w:hAnsi="宋体" w:cs="宋体" w:eastAsia="宋体" w:hint="default"/>
                <w:sz w:val="18"/>
                <w:szCs w:val="18"/>
              </w:rPr>
            </w:pPr>
            <w:r>
              <w:rPr>
                <w:rFonts w:ascii="宋体" w:hAnsi="宋体" w:cs="宋体" w:eastAsia="宋体" w:hint="default"/>
                <w:b/>
                <w:bCs/>
                <w:sz w:val="18"/>
                <w:szCs w:val="18"/>
              </w:rPr>
              <w:t>持有有限售</w:t>
            </w:r>
            <w:r>
              <w:rPr>
                <w:rFonts w:ascii="宋体" w:hAnsi="宋体" w:cs="宋体" w:eastAsia="宋体" w:hint="default"/>
                <w:b/>
                <w:bCs/>
                <w:w w:val="99"/>
                <w:sz w:val="18"/>
                <w:szCs w:val="18"/>
              </w:rPr>
              <w:t> </w:t>
            </w:r>
            <w:r>
              <w:rPr>
                <w:rFonts w:ascii="宋体" w:hAnsi="宋体" w:cs="宋体" w:eastAsia="宋体" w:hint="default"/>
                <w:b/>
                <w:bCs/>
                <w:sz w:val="18"/>
                <w:szCs w:val="18"/>
              </w:rPr>
              <w:t>条件股份数</w:t>
            </w:r>
            <w:r>
              <w:rPr>
                <w:rFonts w:ascii="宋体" w:hAnsi="宋体" w:cs="宋体" w:eastAsia="宋体" w:hint="default"/>
                <w:b/>
                <w:bCs/>
                <w:w w:val="99"/>
                <w:sz w:val="18"/>
                <w:szCs w:val="18"/>
              </w:rPr>
              <w:t> </w:t>
            </w:r>
            <w:r>
              <w:rPr>
                <w:rFonts w:ascii="宋体" w:hAnsi="宋体" w:cs="宋体" w:eastAsia="宋体" w:hint="default"/>
                <w:b/>
                <w:bCs/>
                <w:sz w:val="18"/>
                <w:szCs w:val="18"/>
              </w:rPr>
              <w:t>量</w:t>
            </w:r>
            <w:r>
              <w:rPr>
                <w:rFonts w:ascii="宋体" w:hAnsi="宋体" w:cs="宋体" w:eastAsia="宋体" w:hint="default"/>
                <w:sz w:val="18"/>
                <w:szCs w:val="18"/>
              </w:rPr>
            </w:r>
          </w:p>
        </w:tc>
        <w:tc>
          <w:tcPr>
            <w:tcW w:w="1515" w:type="dxa"/>
            <w:gridSpan w:val="2"/>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15" w:right="0"/>
              <w:jc w:val="left"/>
              <w:rPr>
                <w:rFonts w:ascii="宋体" w:hAnsi="宋体" w:cs="宋体" w:eastAsia="宋体" w:hint="default"/>
                <w:sz w:val="18"/>
                <w:szCs w:val="18"/>
              </w:rPr>
            </w:pPr>
            <w:r>
              <w:rPr>
                <w:rFonts w:ascii="宋体" w:hAnsi="宋体" w:cs="宋体" w:eastAsia="宋体" w:hint="default"/>
                <w:b/>
                <w:bCs/>
                <w:sz w:val="18"/>
                <w:szCs w:val="18"/>
              </w:rPr>
              <w:t>质押或冻结情况</w:t>
            </w:r>
            <w:r>
              <w:rPr>
                <w:rFonts w:ascii="宋体" w:hAnsi="宋体" w:cs="宋体" w:eastAsia="宋体" w:hint="default"/>
                <w:sz w:val="18"/>
                <w:szCs w:val="18"/>
              </w:rPr>
            </w:r>
          </w:p>
        </w:tc>
        <w:tc>
          <w:tcPr>
            <w:tcW w:w="1058" w:type="dxa"/>
            <w:vMerge w:val="restart"/>
            <w:tcBorders>
              <w:top w:val="single" w:sz="6" w:space="0" w:color="000000"/>
              <w:left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32" w:lineRule="exact"/>
              <w:ind w:left="340" w:right="329"/>
              <w:jc w:val="left"/>
              <w:rPr>
                <w:rFonts w:ascii="宋体" w:hAnsi="宋体" w:cs="宋体" w:eastAsia="宋体" w:hint="default"/>
                <w:sz w:val="18"/>
                <w:szCs w:val="18"/>
              </w:rPr>
            </w:pPr>
            <w:r>
              <w:rPr>
                <w:rFonts w:ascii="宋体" w:hAnsi="宋体" w:cs="宋体" w:eastAsia="宋体" w:hint="default"/>
                <w:b/>
                <w:bCs/>
                <w:sz w:val="18"/>
                <w:szCs w:val="18"/>
              </w:rPr>
              <w:t>股东</w:t>
            </w:r>
            <w:r>
              <w:rPr>
                <w:rFonts w:ascii="宋体" w:hAnsi="宋体" w:cs="宋体" w:eastAsia="宋体" w:hint="default"/>
                <w:b/>
                <w:bCs/>
                <w:spacing w:val="-89"/>
                <w:sz w:val="18"/>
                <w:szCs w:val="18"/>
              </w:rPr>
              <w:t> </w:t>
            </w:r>
            <w:r>
              <w:rPr>
                <w:rFonts w:ascii="宋体" w:hAnsi="宋体" w:cs="宋体" w:eastAsia="宋体" w:hint="default"/>
                <w:b/>
                <w:bCs/>
                <w:sz w:val="18"/>
                <w:szCs w:val="18"/>
              </w:rPr>
              <w:t>性质</w:t>
            </w:r>
            <w:r>
              <w:rPr>
                <w:rFonts w:ascii="宋体" w:hAnsi="宋体" w:cs="宋体" w:eastAsia="宋体" w:hint="default"/>
                <w:sz w:val="18"/>
                <w:szCs w:val="18"/>
              </w:rPr>
            </w:r>
          </w:p>
        </w:tc>
      </w:tr>
      <w:tr>
        <w:trPr>
          <w:trHeight w:val="950" w:hRule="exact"/>
        </w:trPr>
        <w:tc>
          <w:tcPr>
            <w:tcW w:w="1663" w:type="dxa"/>
            <w:vMerge/>
            <w:tcBorders>
              <w:left w:val="single" w:sz="12" w:space="0" w:color="000000"/>
              <w:bottom w:val="single" w:sz="6" w:space="0" w:color="000000"/>
              <w:right w:val="single" w:sz="6" w:space="0" w:color="000000"/>
            </w:tcBorders>
          </w:tcPr>
          <w:p>
            <w:pPr/>
          </w:p>
        </w:tc>
        <w:tc>
          <w:tcPr>
            <w:tcW w:w="1616" w:type="dxa"/>
            <w:vMerge/>
            <w:tcBorders>
              <w:left w:val="single" w:sz="6" w:space="0" w:color="000000"/>
              <w:bottom w:val="single" w:sz="6" w:space="0" w:color="000000"/>
              <w:right w:val="single" w:sz="6" w:space="0" w:color="000000"/>
            </w:tcBorders>
          </w:tcPr>
          <w:p>
            <w:pPr/>
          </w:p>
        </w:tc>
        <w:tc>
          <w:tcPr>
            <w:tcW w:w="1702" w:type="dxa"/>
            <w:vMerge/>
            <w:tcBorders>
              <w:left w:val="single" w:sz="6" w:space="0" w:color="000000"/>
              <w:bottom w:val="single" w:sz="6" w:space="0" w:color="000000"/>
              <w:right w:val="single" w:sz="6" w:space="0" w:color="000000"/>
            </w:tcBorders>
          </w:tcPr>
          <w:p>
            <w:pPr/>
          </w:p>
        </w:tc>
        <w:tc>
          <w:tcPr>
            <w:tcW w:w="668" w:type="dxa"/>
            <w:vMerge/>
            <w:tcBorders>
              <w:left w:val="single" w:sz="6" w:space="0" w:color="000000"/>
              <w:bottom w:val="single" w:sz="6" w:space="0" w:color="000000"/>
              <w:right w:val="single" w:sz="6" w:space="0" w:color="000000"/>
            </w:tcBorders>
          </w:tcPr>
          <w:p>
            <w:pPr/>
          </w:p>
        </w:tc>
        <w:tc>
          <w:tcPr>
            <w:tcW w:w="1205" w:type="dxa"/>
            <w:vMerge/>
            <w:tcBorders>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b/>
                <w:bCs/>
                <w:w w:val="99"/>
                <w:sz w:val="18"/>
                <w:szCs w:val="18"/>
              </w:rPr>
              <w:t>股</w:t>
            </w:r>
            <w:r>
              <w:rPr>
                <w:rFonts w:ascii="宋体" w:hAnsi="宋体" w:cs="宋体" w:eastAsia="宋体" w:hint="default"/>
                <w:sz w:val="18"/>
                <w:szCs w:val="18"/>
              </w:rPr>
            </w:r>
          </w:p>
          <w:p>
            <w:pPr>
              <w:pStyle w:val="TableParagraph"/>
              <w:spacing w:line="232" w:lineRule="exact" w:before="24"/>
              <w:ind w:left="100" w:right="101"/>
              <w:jc w:val="both"/>
              <w:rPr>
                <w:rFonts w:ascii="宋体" w:hAnsi="宋体" w:cs="宋体" w:eastAsia="宋体" w:hint="default"/>
                <w:sz w:val="18"/>
                <w:szCs w:val="18"/>
              </w:rPr>
            </w:pPr>
            <w:r>
              <w:rPr>
                <w:rFonts w:ascii="宋体" w:hAnsi="宋体" w:cs="宋体" w:eastAsia="宋体" w:hint="default"/>
                <w:b/>
                <w:bCs/>
                <w:sz w:val="18"/>
                <w:szCs w:val="18"/>
              </w:rPr>
              <w:t>份</w:t>
            </w:r>
            <w:r>
              <w:rPr>
                <w:rFonts w:ascii="宋体" w:hAnsi="宋体" w:cs="宋体" w:eastAsia="宋体" w:hint="default"/>
                <w:b/>
                <w:bCs/>
                <w:w w:val="99"/>
                <w:sz w:val="18"/>
                <w:szCs w:val="18"/>
              </w:rPr>
              <w:t> </w:t>
            </w:r>
            <w:r>
              <w:rPr>
                <w:rFonts w:ascii="宋体" w:hAnsi="宋体" w:cs="宋体" w:eastAsia="宋体" w:hint="default"/>
                <w:b/>
                <w:bCs/>
                <w:sz w:val="18"/>
                <w:szCs w:val="18"/>
              </w:rPr>
              <w:t>状</w:t>
            </w:r>
            <w:r>
              <w:rPr>
                <w:rFonts w:ascii="宋体" w:hAnsi="宋体" w:cs="宋体" w:eastAsia="宋体" w:hint="default"/>
                <w:b/>
                <w:bCs/>
                <w:w w:val="99"/>
                <w:sz w:val="18"/>
                <w:szCs w:val="18"/>
              </w:rPr>
              <w:t> </w:t>
            </w:r>
            <w:r>
              <w:rPr>
                <w:rFonts w:ascii="宋体" w:hAnsi="宋体" w:cs="宋体" w:eastAsia="宋体" w:hint="default"/>
                <w:b/>
                <w:bCs/>
                <w:sz w:val="18"/>
                <w:szCs w:val="18"/>
              </w:rPr>
              <w:t>态</w:t>
            </w:r>
            <w:r>
              <w:rPr>
                <w:rFonts w:ascii="宋体" w:hAnsi="宋体" w:cs="宋体" w:eastAsia="宋体" w:hint="default"/>
                <w:sz w:val="18"/>
                <w:szCs w:val="18"/>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b/>
                <w:bCs/>
                <w:sz w:val="18"/>
                <w:szCs w:val="18"/>
              </w:rPr>
              <w:t>数量</w:t>
            </w:r>
            <w:r>
              <w:rPr>
                <w:rFonts w:ascii="宋体" w:hAnsi="宋体" w:cs="宋体" w:eastAsia="宋体" w:hint="default"/>
                <w:sz w:val="18"/>
                <w:szCs w:val="18"/>
              </w:rPr>
            </w:r>
          </w:p>
        </w:tc>
        <w:tc>
          <w:tcPr>
            <w:tcW w:w="1058" w:type="dxa"/>
            <w:vMerge/>
            <w:tcBorders>
              <w:left w:val="single" w:sz="6" w:space="0" w:color="000000"/>
              <w:bottom w:val="single" w:sz="6" w:space="0" w:color="000000"/>
              <w:right w:val="single" w:sz="12" w:space="0" w:color="000000"/>
            </w:tcBorders>
          </w:tcPr>
          <w:p>
            <w:pPr/>
          </w:p>
        </w:tc>
      </w:tr>
      <w:tr>
        <w:trPr>
          <w:trHeight w:val="247" w:hRule="exact"/>
        </w:trPr>
        <w:tc>
          <w:tcPr>
            <w:tcW w:w="1663"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9"/>
              <w:jc w:val="right"/>
              <w:rPr>
                <w:rFonts w:ascii="宋体" w:hAnsi="宋体" w:cs="宋体" w:eastAsia="宋体" w:hint="default"/>
                <w:sz w:val="18"/>
                <w:szCs w:val="18"/>
              </w:rPr>
            </w:pPr>
            <w:r>
              <w:rPr>
                <w:rFonts w:ascii="宋体"/>
                <w:spacing w:val="-1"/>
                <w:sz w:val="18"/>
              </w:rPr>
              <w:t>278,551,532</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753,310,910</w:t>
            </w:r>
          </w:p>
        </w:tc>
        <w:tc>
          <w:tcPr>
            <w:tcW w:w="66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 w:right="0"/>
              <w:jc w:val="center"/>
              <w:rPr>
                <w:rFonts w:ascii="宋体" w:hAnsi="宋体" w:cs="宋体" w:eastAsia="宋体" w:hint="default"/>
                <w:sz w:val="18"/>
                <w:szCs w:val="18"/>
              </w:rPr>
            </w:pPr>
            <w:r>
              <w:rPr>
                <w:rFonts w:ascii="宋体"/>
                <w:sz w:val="18"/>
              </w:rPr>
              <w:t>25.42</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2" w:right="0"/>
              <w:jc w:val="center"/>
              <w:rPr>
                <w:rFonts w:ascii="宋体" w:hAnsi="宋体" w:cs="宋体" w:eastAsia="宋体" w:hint="default"/>
                <w:sz w:val="18"/>
                <w:szCs w:val="18"/>
              </w:rPr>
            </w:pPr>
            <w:r>
              <w:rPr>
                <w:rFonts w:ascii="宋体"/>
                <w:sz w:val="18"/>
              </w:rPr>
              <w:t>278,551,532</w:t>
            </w:r>
          </w:p>
        </w:tc>
        <w:tc>
          <w:tcPr>
            <w:tcW w:w="39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国有法人</w:t>
            </w:r>
          </w:p>
        </w:tc>
      </w:tr>
      <w:tr>
        <w:trPr>
          <w:trHeight w:val="715" w:hRule="exact"/>
        </w:trPr>
        <w:tc>
          <w:tcPr>
            <w:tcW w:w="1663"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博时基金－兴业银</w:t>
            </w:r>
          </w:p>
          <w:p>
            <w:pPr>
              <w:pStyle w:val="TableParagraph"/>
              <w:spacing w:line="232" w:lineRule="exact" w:before="24"/>
              <w:ind w:left="93" w:right="101"/>
              <w:jc w:val="left"/>
              <w:rPr>
                <w:rFonts w:ascii="宋体" w:hAnsi="宋体" w:cs="宋体" w:eastAsia="宋体" w:hint="default"/>
                <w:sz w:val="18"/>
                <w:szCs w:val="18"/>
              </w:rPr>
            </w:pPr>
            <w:r>
              <w:rPr>
                <w:rFonts w:ascii="宋体" w:hAnsi="宋体" w:cs="宋体" w:eastAsia="宋体" w:hint="default"/>
                <w:sz w:val="18"/>
                <w:szCs w:val="18"/>
              </w:rPr>
              <w:t>行－博时资本管理</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有限公司</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9"/>
              <w:jc w:val="right"/>
              <w:rPr>
                <w:rFonts w:ascii="宋体" w:hAnsi="宋体" w:cs="宋体" w:eastAsia="宋体" w:hint="default"/>
                <w:sz w:val="18"/>
                <w:szCs w:val="18"/>
              </w:rPr>
            </w:pPr>
            <w:r>
              <w:rPr>
                <w:rFonts w:ascii="宋体"/>
                <w:spacing w:val="-1"/>
                <w:sz w:val="18"/>
              </w:rPr>
              <w:t>208,913,649</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208,913,649</w:t>
            </w:r>
          </w:p>
        </w:tc>
        <w:tc>
          <w:tcPr>
            <w:tcW w:w="66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92" w:right="0"/>
              <w:jc w:val="center"/>
              <w:rPr>
                <w:rFonts w:ascii="宋体" w:hAnsi="宋体" w:cs="宋体" w:eastAsia="宋体" w:hint="default"/>
                <w:sz w:val="18"/>
                <w:szCs w:val="18"/>
              </w:rPr>
            </w:pPr>
            <w:r>
              <w:rPr>
                <w:rFonts w:ascii="宋体"/>
                <w:sz w:val="18"/>
              </w:rPr>
              <w:t>7.05</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2" w:right="0"/>
              <w:jc w:val="center"/>
              <w:rPr>
                <w:rFonts w:ascii="宋体" w:hAnsi="宋体" w:cs="宋体" w:eastAsia="宋体" w:hint="default"/>
                <w:sz w:val="18"/>
                <w:szCs w:val="18"/>
              </w:rPr>
            </w:pPr>
            <w:r>
              <w:rPr>
                <w:rFonts w:ascii="宋体"/>
                <w:sz w:val="18"/>
              </w:rPr>
              <w:t>208,913,649</w:t>
            </w:r>
          </w:p>
        </w:tc>
        <w:tc>
          <w:tcPr>
            <w:tcW w:w="39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30"/>
                <w:sz w:val="18"/>
                <w:szCs w:val="18"/>
              </w:rPr>
              <w:t>境内非国</w:t>
            </w:r>
            <w:r>
              <w:rPr>
                <w:rFonts w:ascii="宋体" w:hAnsi="宋体" w:cs="宋体" w:eastAsia="宋体" w:hint="default"/>
                <w:spacing w:val="-50"/>
                <w:sz w:val="18"/>
                <w:szCs w:val="18"/>
              </w:rPr>
              <w:t> </w:t>
            </w:r>
            <w:r>
              <w:rPr>
                <w:rFonts w:ascii="宋体" w:hAnsi="宋体" w:cs="宋体" w:eastAsia="宋体" w:hint="default"/>
                <w:sz w:val="18"/>
                <w:szCs w:val="18"/>
              </w:rPr>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有法人</w:t>
            </w:r>
          </w:p>
        </w:tc>
      </w:tr>
      <w:tr>
        <w:trPr>
          <w:trHeight w:val="716" w:hRule="exact"/>
        </w:trPr>
        <w:tc>
          <w:tcPr>
            <w:tcW w:w="1663"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工银瑞信－广发银</w:t>
            </w:r>
          </w:p>
          <w:p>
            <w:pPr>
              <w:pStyle w:val="TableParagraph"/>
              <w:spacing w:line="232" w:lineRule="exact" w:before="24"/>
              <w:ind w:left="93" w:right="101"/>
              <w:jc w:val="left"/>
              <w:rPr>
                <w:rFonts w:ascii="宋体" w:hAnsi="宋体" w:cs="宋体" w:eastAsia="宋体" w:hint="default"/>
                <w:sz w:val="18"/>
                <w:szCs w:val="18"/>
              </w:rPr>
            </w:pPr>
            <w:r>
              <w:rPr>
                <w:rFonts w:ascii="宋体" w:hAnsi="宋体" w:cs="宋体" w:eastAsia="宋体" w:hint="default"/>
                <w:sz w:val="18"/>
                <w:szCs w:val="18"/>
              </w:rPr>
              <w:t>行－新疆盛世伟业</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股权投资有限公司</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9"/>
              <w:jc w:val="right"/>
              <w:rPr>
                <w:rFonts w:ascii="宋体" w:hAnsi="宋体" w:cs="宋体" w:eastAsia="宋体" w:hint="default"/>
                <w:sz w:val="18"/>
                <w:szCs w:val="18"/>
              </w:rPr>
            </w:pPr>
            <w:r>
              <w:rPr>
                <w:rFonts w:ascii="宋体"/>
                <w:spacing w:val="-1"/>
                <w:sz w:val="18"/>
              </w:rPr>
              <w:t>139,275,766</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139,275,766</w:t>
            </w:r>
          </w:p>
        </w:tc>
        <w:tc>
          <w:tcPr>
            <w:tcW w:w="66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92" w:right="0"/>
              <w:jc w:val="center"/>
              <w:rPr>
                <w:rFonts w:ascii="宋体" w:hAnsi="宋体" w:cs="宋体" w:eastAsia="宋体" w:hint="default"/>
                <w:sz w:val="18"/>
                <w:szCs w:val="18"/>
              </w:rPr>
            </w:pPr>
            <w:r>
              <w:rPr>
                <w:rFonts w:ascii="宋体"/>
                <w:sz w:val="18"/>
              </w:rPr>
              <w:t>4.70</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2" w:right="0"/>
              <w:jc w:val="center"/>
              <w:rPr>
                <w:rFonts w:ascii="宋体" w:hAnsi="宋体" w:cs="宋体" w:eastAsia="宋体" w:hint="default"/>
                <w:sz w:val="18"/>
                <w:szCs w:val="18"/>
              </w:rPr>
            </w:pPr>
            <w:r>
              <w:rPr>
                <w:rFonts w:ascii="宋体"/>
                <w:sz w:val="18"/>
              </w:rPr>
              <w:t>139,275,766</w:t>
            </w:r>
          </w:p>
        </w:tc>
        <w:tc>
          <w:tcPr>
            <w:tcW w:w="39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30"/>
                <w:sz w:val="18"/>
                <w:szCs w:val="18"/>
              </w:rPr>
              <w:t>境内非国</w:t>
            </w:r>
            <w:r>
              <w:rPr>
                <w:rFonts w:ascii="宋体" w:hAnsi="宋体" w:cs="宋体" w:eastAsia="宋体" w:hint="default"/>
                <w:spacing w:val="-50"/>
                <w:sz w:val="18"/>
                <w:szCs w:val="18"/>
              </w:rPr>
              <w:t> </w:t>
            </w:r>
            <w:r>
              <w:rPr>
                <w:rFonts w:ascii="宋体" w:hAnsi="宋体" w:cs="宋体" w:eastAsia="宋体" w:hint="default"/>
                <w:sz w:val="18"/>
                <w:szCs w:val="18"/>
              </w:rPr>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有法人</w:t>
            </w:r>
          </w:p>
        </w:tc>
      </w:tr>
      <w:tr>
        <w:trPr>
          <w:trHeight w:val="482" w:hRule="exact"/>
        </w:trPr>
        <w:tc>
          <w:tcPr>
            <w:tcW w:w="1663"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杜国楹</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96,849,439</w:t>
            </w:r>
          </w:p>
        </w:tc>
        <w:tc>
          <w:tcPr>
            <w:tcW w:w="66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92" w:right="0"/>
              <w:jc w:val="center"/>
              <w:rPr>
                <w:rFonts w:ascii="宋体" w:hAnsi="宋体" w:cs="宋体" w:eastAsia="宋体" w:hint="default"/>
                <w:sz w:val="18"/>
                <w:szCs w:val="18"/>
              </w:rPr>
            </w:pPr>
            <w:r>
              <w:rPr>
                <w:rFonts w:ascii="宋体"/>
                <w:sz w:val="18"/>
              </w:rPr>
              <w:t>3.27</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93" w:right="0"/>
              <w:jc w:val="center"/>
              <w:rPr>
                <w:rFonts w:ascii="宋体" w:hAnsi="宋体" w:cs="宋体" w:eastAsia="宋体" w:hint="default"/>
                <w:sz w:val="18"/>
                <w:szCs w:val="18"/>
              </w:rPr>
            </w:pPr>
            <w:r>
              <w:rPr>
                <w:rFonts w:ascii="宋体"/>
                <w:sz w:val="18"/>
              </w:rPr>
              <w:t>96,849,439</w:t>
            </w:r>
          </w:p>
        </w:tc>
        <w:tc>
          <w:tcPr>
            <w:tcW w:w="39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质</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押</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74,090,000</w:t>
            </w:r>
          </w:p>
        </w:tc>
        <w:tc>
          <w:tcPr>
            <w:tcW w:w="1058"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30"/>
                <w:sz w:val="18"/>
                <w:szCs w:val="18"/>
              </w:rPr>
              <w:t>境内自然</w:t>
            </w:r>
            <w:r>
              <w:rPr>
                <w:rFonts w:ascii="宋体" w:hAnsi="宋体" w:cs="宋体" w:eastAsia="宋体" w:hint="default"/>
                <w:spacing w:val="-50"/>
                <w:sz w:val="18"/>
                <w:szCs w:val="18"/>
              </w:rPr>
              <w:t> </w:t>
            </w:r>
            <w:r>
              <w:rPr>
                <w:rFonts w:ascii="宋体" w:hAnsi="宋体" w:cs="宋体" w:eastAsia="宋体" w:hint="default"/>
                <w:sz w:val="18"/>
                <w:szCs w:val="18"/>
              </w:rPr>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人</w:t>
            </w:r>
          </w:p>
        </w:tc>
      </w:tr>
      <w:tr>
        <w:trPr>
          <w:trHeight w:val="482" w:hRule="exact"/>
        </w:trPr>
        <w:tc>
          <w:tcPr>
            <w:tcW w:w="1663"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紫光集团有限公司</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9"/>
              <w:jc w:val="right"/>
              <w:rPr>
                <w:rFonts w:ascii="宋体" w:hAnsi="宋体" w:cs="宋体" w:eastAsia="宋体" w:hint="default"/>
                <w:sz w:val="18"/>
                <w:szCs w:val="18"/>
              </w:rPr>
            </w:pPr>
            <w:r>
              <w:rPr>
                <w:rFonts w:ascii="宋体"/>
                <w:spacing w:val="-1"/>
                <w:sz w:val="18"/>
              </w:rPr>
              <w:t>69,637,883</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69,637,883</w:t>
            </w:r>
          </w:p>
        </w:tc>
        <w:tc>
          <w:tcPr>
            <w:tcW w:w="66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92" w:right="0"/>
              <w:jc w:val="center"/>
              <w:rPr>
                <w:rFonts w:ascii="宋体" w:hAnsi="宋体" w:cs="宋体" w:eastAsia="宋体" w:hint="default"/>
                <w:sz w:val="18"/>
                <w:szCs w:val="18"/>
              </w:rPr>
            </w:pPr>
            <w:r>
              <w:rPr>
                <w:rFonts w:ascii="宋体"/>
                <w:sz w:val="18"/>
              </w:rPr>
              <w:t>2.35</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93" w:right="0"/>
              <w:jc w:val="center"/>
              <w:rPr>
                <w:rFonts w:ascii="宋体" w:hAnsi="宋体" w:cs="宋体" w:eastAsia="宋体" w:hint="default"/>
                <w:sz w:val="18"/>
                <w:szCs w:val="18"/>
              </w:rPr>
            </w:pPr>
            <w:r>
              <w:rPr>
                <w:rFonts w:ascii="宋体"/>
                <w:sz w:val="18"/>
              </w:rPr>
              <w:t>69,637,883</w:t>
            </w:r>
          </w:p>
        </w:tc>
        <w:tc>
          <w:tcPr>
            <w:tcW w:w="39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12"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pacing w:val="30"/>
                <w:sz w:val="18"/>
                <w:szCs w:val="18"/>
              </w:rPr>
              <w:t>境内非国</w:t>
            </w:r>
            <w:r>
              <w:rPr>
                <w:rFonts w:ascii="宋体" w:hAnsi="宋体" w:cs="宋体" w:eastAsia="宋体" w:hint="default"/>
                <w:spacing w:val="-50"/>
                <w:sz w:val="18"/>
                <w:szCs w:val="18"/>
              </w:rPr>
              <w:t> </w:t>
            </w:r>
            <w:r>
              <w:rPr>
                <w:rFonts w:ascii="宋体" w:hAnsi="宋体" w:cs="宋体" w:eastAsia="宋体" w:hint="default"/>
                <w:sz w:val="18"/>
                <w:szCs w:val="18"/>
              </w:rPr>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有法人</w:t>
            </w:r>
          </w:p>
        </w:tc>
      </w:tr>
      <w:tr>
        <w:trPr>
          <w:trHeight w:val="948" w:hRule="exact"/>
        </w:trPr>
        <w:tc>
          <w:tcPr>
            <w:tcW w:w="1663" w:type="dxa"/>
            <w:tcBorders>
              <w:top w:val="single" w:sz="6" w:space="0" w:color="000000"/>
              <w:left w:val="single" w:sz="12" w:space="0" w:color="000000"/>
              <w:bottom w:val="single" w:sz="6" w:space="0" w:color="000000"/>
              <w:right w:val="single" w:sz="6" w:space="0" w:color="000000"/>
            </w:tcBorders>
          </w:tcPr>
          <w:p>
            <w:pPr>
              <w:pStyle w:val="TableParagraph"/>
              <w:spacing w:line="204" w:lineRule="exact"/>
              <w:ind w:left="93" w:right="0"/>
              <w:jc w:val="left"/>
              <w:rPr>
                <w:rFonts w:ascii="宋体" w:hAnsi="宋体" w:cs="宋体" w:eastAsia="宋体" w:hint="default"/>
                <w:sz w:val="18"/>
                <w:szCs w:val="18"/>
              </w:rPr>
            </w:pPr>
            <w:r>
              <w:rPr>
                <w:rFonts w:ascii="宋体" w:hAnsi="宋体" w:cs="宋体" w:eastAsia="宋体" w:hint="default"/>
                <w:sz w:val="18"/>
                <w:szCs w:val="18"/>
              </w:rPr>
              <w:t>工银瑞信添安股票</w:t>
            </w:r>
          </w:p>
          <w:p>
            <w:pPr>
              <w:pStyle w:val="TableParagraph"/>
              <w:spacing w:line="233" w:lineRule="exact"/>
              <w:ind w:left="93" w:right="0"/>
              <w:jc w:val="left"/>
              <w:rPr>
                <w:rFonts w:ascii="宋体" w:hAnsi="宋体" w:cs="宋体" w:eastAsia="宋体" w:hint="default"/>
                <w:sz w:val="18"/>
                <w:szCs w:val="18"/>
              </w:rPr>
            </w:pPr>
            <w:r>
              <w:rPr>
                <w:rFonts w:ascii="宋体" w:hAnsi="宋体" w:cs="宋体" w:eastAsia="宋体" w:hint="default"/>
                <w:sz w:val="18"/>
                <w:szCs w:val="18"/>
              </w:rPr>
              <w:t>专项型养老金产品</w:t>
            </w:r>
          </w:p>
          <w:p>
            <w:pPr>
              <w:pStyle w:val="TableParagraph"/>
              <w:spacing w:line="240" w:lineRule="auto"/>
              <w:ind w:left="93" w:right="101"/>
              <w:jc w:val="left"/>
              <w:rPr>
                <w:rFonts w:ascii="宋体" w:hAnsi="宋体" w:cs="宋体" w:eastAsia="宋体" w:hint="default"/>
                <w:sz w:val="18"/>
                <w:szCs w:val="18"/>
              </w:rPr>
            </w:pPr>
            <w:r>
              <w:rPr>
                <w:rFonts w:ascii="宋体" w:hAnsi="宋体" w:cs="宋体" w:eastAsia="宋体" w:hint="default"/>
                <w:sz w:val="18"/>
                <w:szCs w:val="18"/>
              </w:rPr>
              <w:t>－中国工商银行股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份有限公司</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9"/>
              <w:jc w:val="right"/>
              <w:rPr>
                <w:rFonts w:ascii="宋体" w:hAnsi="宋体" w:cs="宋体" w:eastAsia="宋体" w:hint="default"/>
                <w:sz w:val="18"/>
                <w:szCs w:val="18"/>
              </w:rPr>
            </w:pPr>
            <w:r>
              <w:rPr>
                <w:rFonts w:ascii="宋体"/>
                <w:spacing w:val="-1"/>
                <w:sz w:val="18"/>
              </w:rPr>
              <w:t>62,674,094</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62,674,094</w:t>
            </w:r>
          </w:p>
        </w:tc>
        <w:tc>
          <w:tcPr>
            <w:tcW w:w="66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92" w:right="0"/>
              <w:jc w:val="center"/>
              <w:rPr>
                <w:rFonts w:ascii="宋体" w:hAnsi="宋体" w:cs="宋体" w:eastAsia="宋体" w:hint="default"/>
                <w:sz w:val="18"/>
                <w:szCs w:val="18"/>
              </w:rPr>
            </w:pPr>
            <w:r>
              <w:rPr>
                <w:rFonts w:ascii="宋体"/>
                <w:sz w:val="18"/>
              </w:rPr>
              <w:t>2.11</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93" w:right="0"/>
              <w:jc w:val="center"/>
              <w:rPr>
                <w:rFonts w:ascii="宋体" w:hAnsi="宋体" w:cs="宋体" w:eastAsia="宋体" w:hint="default"/>
                <w:sz w:val="18"/>
                <w:szCs w:val="18"/>
              </w:rPr>
            </w:pPr>
            <w:r>
              <w:rPr>
                <w:rFonts w:ascii="宋体"/>
                <w:sz w:val="18"/>
              </w:rPr>
              <w:t>62,674,094</w:t>
            </w:r>
          </w:p>
        </w:tc>
        <w:tc>
          <w:tcPr>
            <w:tcW w:w="39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12"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pacing w:val="30"/>
                <w:sz w:val="18"/>
                <w:szCs w:val="18"/>
              </w:rPr>
              <w:t>境内非国</w:t>
            </w:r>
            <w:r>
              <w:rPr>
                <w:rFonts w:ascii="宋体" w:hAnsi="宋体" w:cs="宋体" w:eastAsia="宋体" w:hint="default"/>
                <w:spacing w:val="-50"/>
                <w:sz w:val="18"/>
                <w:szCs w:val="18"/>
              </w:rPr>
              <w:t> </w:t>
            </w:r>
            <w:r>
              <w:rPr>
                <w:rFonts w:ascii="宋体" w:hAnsi="宋体" w:cs="宋体" w:eastAsia="宋体" w:hint="default"/>
                <w:sz w:val="18"/>
                <w:szCs w:val="18"/>
              </w:rPr>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有法人</w:t>
            </w:r>
          </w:p>
        </w:tc>
      </w:tr>
      <w:tr>
        <w:trPr>
          <w:trHeight w:val="482" w:hRule="exact"/>
        </w:trPr>
        <w:tc>
          <w:tcPr>
            <w:tcW w:w="1663"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蒋宇飞</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20,025,170</w:t>
            </w:r>
          </w:p>
        </w:tc>
        <w:tc>
          <w:tcPr>
            <w:tcW w:w="66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92" w:right="0"/>
              <w:jc w:val="center"/>
              <w:rPr>
                <w:rFonts w:ascii="宋体" w:hAnsi="宋体" w:cs="宋体" w:eastAsia="宋体" w:hint="default"/>
                <w:sz w:val="18"/>
                <w:szCs w:val="18"/>
              </w:rPr>
            </w:pPr>
            <w:r>
              <w:rPr>
                <w:rFonts w:ascii="宋体"/>
                <w:sz w:val="18"/>
              </w:rPr>
              <w:t>0.68</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93" w:right="0"/>
              <w:jc w:val="center"/>
              <w:rPr>
                <w:rFonts w:ascii="宋体" w:hAnsi="宋体" w:cs="宋体" w:eastAsia="宋体" w:hint="default"/>
                <w:sz w:val="18"/>
                <w:szCs w:val="18"/>
              </w:rPr>
            </w:pPr>
            <w:r>
              <w:rPr>
                <w:rFonts w:ascii="宋体"/>
                <w:sz w:val="18"/>
              </w:rPr>
              <w:t>20,025,170</w:t>
            </w:r>
          </w:p>
        </w:tc>
        <w:tc>
          <w:tcPr>
            <w:tcW w:w="39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质</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押</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14,900,000</w:t>
            </w:r>
          </w:p>
        </w:tc>
        <w:tc>
          <w:tcPr>
            <w:tcW w:w="1058"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30"/>
                <w:sz w:val="18"/>
                <w:szCs w:val="18"/>
              </w:rPr>
              <w:t>境内自然</w:t>
            </w:r>
            <w:r>
              <w:rPr>
                <w:rFonts w:ascii="宋体" w:hAnsi="宋体" w:cs="宋体" w:eastAsia="宋体" w:hint="default"/>
                <w:spacing w:val="-50"/>
                <w:sz w:val="18"/>
                <w:szCs w:val="18"/>
              </w:rPr>
              <w:t> </w:t>
            </w:r>
            <w:r>
              <w:rPr>
                <w:rFonts w:ascii="宋体" w:hAnsi="宋体" w:cs="宋体" w:eastAsia="宋体" w:hint="default"/>
                <w:sz w:val="18"/>
                <w:szCs w:val="18"/>
              </w:rPr>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人</w:t>
            </w:r>
          </w:p>
        </w:tc>
      </w:tr>
      <w:tr>
        <w:trPr>
          <w:trHeight w:val="482" w:hRule="exact"/>
        </w:trPr>
        <w:tc>
          <w:tcPr>
            <w:tcW w:w="1663"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谢仁国</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hAnsi="宋体" w:cs="宋体" w:eastAsia="宋体" w:hint="default"/>
                <w:sz w:val="18"/>
                <w:szCs w:val="18"/>
              </w:rPr>
              <w:t>未知</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18,245,000</w:t>
            </w:r>
          </w:p>
        </w:tc>
        <w:tc>
          <w:tcPr>
            <w:tcW w:w="66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92" w:right="0"/>
              <w:jc w:val="center"/>
              <w:rPr>
                <w:rFonts w:ascii="宋体" w:hAnsi="宋体" w:cs="宋体" w:eastAsia="宋体" w:hint="default"/>
                <w:sz w:val="18"/>
                <w:szCs w:val="18"/>
              </w:rPr>
            </w:pPr>
            <w:r>
              <w:rPr>
                <w:rFonts w:ascii="宋体"/>
                <w:sz w:val="18"/>
              </w:rPr>
              <w:t>0.62</w:t>
            </w:r>
          </w:p>
        </w:tc>
        <w:tc>
          <w:tcPr>
            <w:tcW w:w="1205" w:type="dxa"/>
            <w:tcBorders>
              <w:top w:val="single" w:sz="6" w:space="0" w:color="000000"/>
              <w:left w:val="single" w:sz="6" w:space="0" w:color="000000"/>
              <w:bottom w:val="single" w:sz="6" w:space="0" w:color="000000"/>
              <w:right w:val="single" w:sz="6" w:space="0" w:color="000000"/>
            </w:tcBorders>
          </w:tcPr>
          <w:p>
            <w:pPr/>
          </w:p>
        </w:tc>
        <w:tc>
          <w:tcPr>
            <w:tcW w:w="39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12"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pacing w:val="30"/>
                <w:sz w:val="18"/>
                <w:szCs w:val="18"/>
              </w:rPr>
              <w:t>境内自然</w:t>
            </w:r>
            <w:r>
              <w:rPr>
                <w:rFonts w:ascii="宋体" w:hAnsi="宋体" w:cs="宋体" w:eastAsia="宋体" w:hint="default"/>
                <w:spacing w:val="-50"/>
                <w:sz w:val="18"/>
                <w:szCs w:val="18"/>
              </w:rPr>
              <w:t> </w:t>
            </w:r>
            <w:r>
              <w:rPr>
                <w:rFonts w:ascii="宋体" w:hAnsi="宋体" w:cs="宋体" w:eastAsia="宋体" w:hint="default"/>
                <w:sz w:val="18"/>
                <w:szCs w:val="18"/>
              </w:rPr>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人</w:t>
            </w:r>
          </w:p>
        </w:tc>
      </w:tr>
      <w:tr>
        <w:trPr>
          <w:trHeight w:val="488" w:hRule="exact"/>
        </w:trPr>
        <w:tc>
          <w:tcPr>
            <w:tcW w:w="1663" w:type="dxa"/>
            <w:tcBorders>
              <w:top w:val="single" w:sz="6" w:space="0" w:color="000000"/>
              <w:left w:val="single" w:sz="12" w:space="0" w:color="000000"/>
              <w:bottom w:val="single" w:sz="12" w:space="0" w:color="000000"/>
              <w:right w:val="single" w:sz="6" w:space="0" w:color="000000"/>
            </w:tcBorders>
          </w:tcPr>
          <w:p>
            <w:pPr>
              <w:pStyle w:val="TableParagraph"/>
              <w:spacing w:line="204" w:lineRule="exact"/>
              <w:ind w:left="93" w:right="0"/>
              <w:jc w:val="left"/>
              <w:rPr>
                <w:rFonts w:ascii="宋体" w:hAnsi="宋体" w:cs="宋体" w:eastAsia="宋体" w:hint="default"/>
                <w:sz w:val="18"/>
                <w:szCs w:val="18"/>
              </w:rPr>
            </w:pPr>
            <w:r>
              <w:rPr>
                <w:rFonts w:ascii="宋体" w:hAnsi="宋体" w:cs="宋体" w:eastAsia="宋体" w:hint="default"/>
                <w:sz w:val="18"/>
                <w:szCs w:val="18"/>
              </w:rPr>
              <w:t>中央汇金资产管理</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有限责任公司</w:t>
            </w:r>
          </w:p>
        </w:tc>
        <w:tc>
          <w:tcPr>
            <w:tcW w:w="1616" w:type="dxa"/>
            <w:tcBorders>
              <w:top w:val="single" w:sz="6" w:space="0" w:color="000000"/>
              <w:left w:val="single" w:sz="6" w:space="0" w:color="000000"/>
              <w:bottom w:val="single" w:sz="12"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hAnsi="宋体" w:cs="宋体" w:eastAsia="宋体" w:hint="default"/>
                <w:sz w:val="18"/>
                <w:szCs w:val="18"/>
              </w:rPr>
              <w:t>未知</w:t>
            </w:r>
          </w:p>
        </w:tc>
        <w:tc>
          <w:tcPr>
            <w:tcW w:w="1702" w:type="dxa"/>
            <w:tcBorders>
              <w:top w:val="single" w:sz="6" w:space="0" w:color="000000"/>
              <w:left w:val="single" w:sz="6" w:space="0" w:color="000000"/>
              <w:bottom w:val="single" w:sz="12"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16,938,800</w:t>
            </w:r>
          </w:p>
        </w:tc>
        <w:tc>
          <w:tcPr>
            <w:tcW w:w="668" w:type="dxa"/>
            <w:tcBorders>
              <w:top w:val="single" w:sz="6" w:space="0" w:color="000000"/>
              <w:left w:val="single" w:sz="6" w:space="0" w:color="000000"/>
              <w:bottom w:val="single" w:sz="12" w:space="0" w:color="000000"/>
              <w:right w:val="single" w:sz="6" w:space="0" w:color="000000"/>
            </w:tcBorders>
          </w:tcPr>
          <w:p>
            <w:pPr>
              <w:pStyle w:val="TableParagraph"/>
              <w:spacing w:line="205" w:lineRule="exact"/>
              <w:ind w:left="92" w:right="0"/>
              <w:jc w:val="center"/>
              <w:rPr>
                <w:rFonts w:ascii="宋体" w:hAnsi="宋体" w:cs="宋体" w:eastAsia="宋体" w:hint="default"/>
                <w:sz w:val="18"/>
                <w:szCs w:val="18"/>
              </w:rPr>
            </w:pPr>
            <w:r>
              <w:rPr>
                <w:rFonts w:ascii="宋体"/>
                <w:sz w:val="18"/>
              </w:rPr>
              <w:t>0.57</w:t>
            </w:r>
          </w:p>
        </w:tc>
        <w:tc>
          <w:tcPr>
            <w:tcW w:w="1205" w:type="dxa"/>
            <w:tcBorders>
              <w:top w:val="single" w:sz="6" w:space="0" w:color="000000"/>
              <w:left w:val="single" w:sz="6" w:space="0" w:color="000000"/>
              <w:bottom w:val="single" w:sz="12" w:space="0" w:color="000000"/>
              <w:right w:val="single" w:sz="6" w:space="0" w:color="000000"/>
            </w:tcBorders>
          </w:tcPr>
          <w:p>
            <w:pPr/>
          </w:p>
        </w:tc>
        <w:tc>
          <w:tcPr>
            <w:tcW w:w="398" w:type="dxa"/>
            <w:tcBorders>
              <w:top w:val="single" w:sz="6" w:space="0" w:color="000000"/>
              <w:left w:val="single" w:sz="6" w:space="0" w:color="000000"/>
              <w:bottom w:val="single" w:sz="12" w:space="0" w:color="000000"/>
              <w:right w:val="single" w:sz="6" w:space="0" w:color="000000"/>
            </w:tcBorders>
          </w:tcPr>
          <w:p>
            <w:pPr/>
          </w:p>
        </w:tc>
        <w:tc>
          <w:tcPr>
            <w:tcW w:w="1117" w:type="dxa"/>
            <w:tcBorders>
              <w:top w:val="single" w:sz="6" w:space="0" w:color="000000"/>
              <w:left w:val="single" w:sz="6" w:space="0" w:color="000000"/>
              <w:bottom w:val="single" w:sz="12" w:space="0" w:color="000000"/>
              <w:right w:val="single" w:sz="6" w:space="0" w:color="000000"/>
            </w:tcBorders>
          </w:tcPr>
          <w:p>
            <w:pPr/>
          </w:p>
        </w:tc>
        <w:tc>
          <w:tcPr>
            <w:tcW w:w="1058" w:type="dxa"/>
            <w:tcBorders>
              <w:top w:val="single" w:sz="6" w:space="0" w:color="000000"/>
              <w:left w:val="single" w:sz="6" w:space="0" w:color="000000"/>
              <w:bottom w:val="single" w:sz="12" w:space="0" w:color="000000"/>
              <w:right w:val="single" w:sz="12"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pacing w:val="30"/>
                <w:sz w:val="18"/>
                <w:szCs w:val="18"/>
              </w:rPr>
              <w:t>境内非国</w:t>
            </w:r>
            <w:r>
              <w:rPr>
                <w:rFonts w:ascii="宋体" w:hAnsi="宋体" w:cs="宋体" w:eastAsia="宋体" w:hint="default"/>
                <w:spacing w:val="-50"/>
                <w:sz w:val="18"/>
                <w:szCs w:val="18"/>
              </w:rPr>
              <w:t> </w:t>
            </w:r>
            <w:r>
              <w:rPr>
                <w:rFonts w:ascii="宋体" w:hAnsi="宋体" w:cs="宋体" w:eastAsia="宋体" w:hint="default"/>
                <w:sz w:val="18"/>
                <w:szCs w:val="18"/>
              </w:rPr>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有法人</w:t>
            </w:r>
          </w:p>
        </w:tc>
      </w:tr>
    </w:tbl>
    <w:p>
      <w:pPr>
        <w:spacing w:after="0" w:line="234" w:lineRule="exact"/>
        <w:jc w:val="left"/>
        <w:rPr>
          <w:rFonts w:ascii="宋体" w:hAnsi="宋体" w:cs="宋体" w:eastAsia="宋体" w:hint="default"/>
          <w:sz w:val="18"/>
          <w:szCs w:val="18"/>
        </w:rPr>
        <w:sectPr>
          <w:pgSz w:w="11910" w:h="16840"/>
          <w:pgMar w:header="628" w:footer="760" w:top="1080" w:bottom="960" w:left="1180" w:right="10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tbl>
      <w:tblPr>
        <w:tblW w:w="0" w:type="auto"/>
        <w:jc w:val="left"/>
        <w:tblInd w:w="116" w:type="dxa"/>
        <w:tblLayout w:type="fixed"/>
        <w:tblCellMar>
          <w:top w:w="0" w:type="dxa"/>
          <w:left w:w="0" w:type="dxa"/>
          <w:bottom w:w="0" w:type="dxa"/>
          <w:right w:w="0" w:type="dxa"/>
        </w:tblCellMar>
        <w:tblLook w:val="01E0"/>
      </w:tblPr>
      <w:tblGrid>
        <w:gridCol w:w="1663"/>
        <w:gridCol w:w="1616"/>
        <w:gridCol w:w="535"/>
        <w:gridCol w:w="1166"/>
        <w:gridCol w:w="668"/>
        <w:gridCol w:w="703"/>
        <w:gridCol w:w="502"/>
        <w:gridCol w:w="398"/>
        <w:gridCol w:w="557"/>
        <w:gridCol w:w="559"/>
        <w:gridCol w:w="1058"/>
      </w:tblGrid>
      <w:tr>
        <w:trPr>
          <w:trHeight w:val="722" w:hRule="exact"/>
        </w:trPr>
        <w:tc>
          <w:tcPr>
            <w:tcW w:w="1663" w:type="dxa"/>
            <w:tcBorders>
              <w:top w:val="single" w:sz="12"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嘉实新机遇灵活配</w:t>
            </w:r>
          </w:p>
          <w:p>
            <w:pPr>
              <w:pStyle w:val="TableParagraph"/>
              <w:spacing w:line="232" w:lineRule="exact" w:before="24"/>
              <w:ind w:left="93" w:right="101"/>
              <w:jc w:val="left"/>
              <w:rPr>
                <w:rFonts w:ascii="宋体" w:hAnsi="宋体" w:cs="宋体" w:eastAsia="宋体" w:hint="default"/>
                <w:sz w:val="18"/>
                <w:szCs w:val="18"/>
              </w:rPr>
            </w:pPr>
            <w:r>
              <w:rPr>
                <w:rFonts w:ascii="宋体" w:hAnsi="宋体" w:cs="宋体" w:eastAsia="宋体" w:hint="default"/>
                <w:sz w:val="18"/>
                <w:szCs w:val="18"/>
              </w:rPr>
              <w:t>置混合型发起式证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券投资基金</w:t>
            </w:r>
          </w:p>
        </w:tc>
        <w:tc>
          <w:tcPr>
            <w:tcW w:w="1616" w:type="dxa"/>
            <w:tcBorders>
              <w:top w:val="single" w:sz="12"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hAnsi="宋体" w:cs="宋体" w:eastAsia="宋体" w:hint="default"/>
                <w:sz w:val="18"/>
                <w:szCs w:val="18"/>
              </w:rPr>
              <w:t>未知</w:t>
            </w:r>
          </w:p>
        </w:tc>
        <w:tc>
          <w:tcPr>
            <w:tcW w:w="1702" w:type="dxa"/>
            <w:gridSpan w:val="2"/>
            <w:tcBorders>
              <w:top w:val="single" w:sz="12" w:space="0" w:color="000000"/>
              <w:left w:val="single" w:sz="6" w:space="0" w:color="000000"/>
              <w:bottom w:val="single" w:sz="6" w:space="0" w:color="000000"/>
              <w:right w:val="single" w:sz="6" w:space="0" w:color="000000"/>
            </w:tcBorders>
          </w:tcPr>
          <w:p>
            <w:pPr>
              <w:pStyle w:val="TableParagraph"/>
              <w:spacing w:line="205" w:lineRule="exact"/>
              <w:ind w:left="686" w:right="0"/>
              <w:jc w:val="left"/>
              <w:rPr>
                <w:rFonts w:ascii="宋体" w:hAnsi="宋体" w:cs="宋体" w:eastAsia="宋体" w:hint="default"/>
                <w:sz w:val="18"/>
                <w:szCs w:val="18"/>
              </w:rPr>
            </w:pPr>
            <w:r>
              <w:rPr>
                <w:rFonts w:ascii="宋体"/>
                <w:sz w:val="18"/>
              </w:rPr>
              <w:t>16,265,605</w:t>
            </w:r>
          </w:p>
        </w:tc>
        <w:tc>
          <w:tcPr>
            <w:tcW w:w="668" w:type="dxa"/>
            <w:tcBorders>
              <w:top w:val="single" w:sz="12" w:space="0" w:color="000000"/>
              <w:left w:val="single" w:sz="6" w:space="0" w:color="000000"/>
              <w:bottom w:val="single" w:sz="6" w:space="0" w:color="000000"/>
              <w:right w:val="single" w:sz="6" w:space="0" w:color="000000"/>
            </w:tcBorders>
          </w:tcPr>
          <w:p>
            <w:pPr>
              <w:pStyle w:val="TableParagraph"/>
              <w:spacing w:line="205" w:lineRule="exact"/>
              <w:ind w:left="192" w:right="0"/>
              <w:jc w:val="left"/>
              <w:rPr>
                <w:rFonts w:ascii="宋体" w:hAnsi="宋体" w:cs="宋体" w:eastAsia="宋体" w:hint="default"/>
                <w:sz w:val="18"/>
                <w:szCs w:val="18"/>
              </w:rPr>
            </w:pPr>
            <w:r>
              <w:rPr>
                <w:rFonts w:ascii="宋体"/>
                <w:sz w:val="18"/>
              </w:rPr>
              <w:t>0.55</w:t>
            </w:r>
          </w:p>
        </w:tc>
        <w:tc>
          <w:tcPr>
            <w:tcW w:w="1205" w:type="dxa"/>
            <w:gridSpan w:val="2"/>
            <w:tcBorders>
              <w:top w:val="single" w:sz="12" w:space="0" w:color="000000"/>
              <w:left w:val="single" w:sz="6" w:space="0" w:color="000000"/>
              <w:bottom w:val="single" w:sz="6" w:space="0" w:color="000000"/>
              <w:right w:val="single" w:sz="6" w:space="0" w:color="000000"/>
            </w:tcBorders>
          </w:tcPr>
          <w:p>
            <w:pPr/>
          </w:p>
        </w:tc>
        <w:tc>
          <w:tcPr>
            <w:tcW w:w="398" w:type="dxa"/>
            <w:tcBorders>
              <w:top w:val="single" w:sz="12" w:space="0" w:color="000000"/>
              <w:left w:val="single" w:sz="6" w:space="0" w:color="000000"/>
              <w:bottom w:val="single" w:sz="6" w:space="0" w:color="000000"/>
              <w:right w:val="single" w:sz="6" w:space="0" w:color="000000"/>
            </w:tcBorders>
          </w:tcPr>
          <w:p>
            <w:pPr/>
          </w:p>
        </w:tc>
        <w:tc>
          <w:tcPr>
            <w:tcW w:w="1117" w:type="dxa"/>
            <w:gridSpan w:val="2"/>
            <w:tcBorders>
              <w:top w:val="single" w:sz="12" w:space="0" w:color="000000"/>
              <w:left w:val="single" w:sz="6" w:space="0" w:color="000000"/>
              <w:bottom w:val="single" w:sz="6" w:space="0" w:color="000000"/>
              <w:right w:val="single" w:sz="6" w:space="0" w:color="000000"/>
            </w:tcBorders>
          </w:tcPr>
          <w:p>
            <w:pPr/>
          </w:p>
        </w:tc>
        <w:tc>
          <w:tcPr>
            <w:tcW w:w="1058" w:type="dxa"/>
            <w:tcBorders>
              <w:top w:val="single" w:sz="12" w:space="0" w:color="000000"/>
              <w:left w:val="single" w:sz="6" w:space="0" w:color="000000"/>
              <w:bottom w:val="single" w:sz="6" w:space="0" w:color="000000"/>
              <w:right w:val="single" w:sz="12"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30"/>
                <w:sz w:val="18"/>
                <w:szCs w:val="18"/>
              </w:rPr>
              <w:t>境内非国</w:t>
            </w:r>
            <w:r>
              <w:rPr>
                <w:rFonts w:ascii="宋体" w:hAnsi="宋体" w:cs="宋体" w:eastAsia="宋体" w:hint="default"/>
                <w:spacing w:val="-50"/>
                <w:sz w:val="18"/>
                <w:szCs w:val="18"/>
              </w:rPr>
              <w:t> </w:t>
            </w:r>
            <w:r>
              <w:rPr>
                <w:rFonts w:ascii="宋体" w:hAnsi="宋体" w:cs="宋体" w:eastAsia="宋体" w:hint="default"/>
                <w:sz w:val="18"/>
                <w:szCs w:val="18"/>
              </w:rPr>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有法人</w:t>
            </w:r>
          </w:p>
        </w:tc>
      </w:tr>
      <w:tr>
        <w:trPr>
          <w:trHeight w:val="288" w:hRule="exact"/>
        </w:trPr>
        <w:tc>
          <w:tcPr>
            <w:tcW w:w="9426" w:type="dxa"/>
            <w:gridSpan w:val="11"/>
            <w:tcBorders>
              <w:top w:val="single" w:sz="6" w:space="0" w:color="000000"/>
              <w:left w:val="single" w:sz="12" w:space="0" w:color="000000"/>
              <w:bottom w:val="single" w:sz="6" w:space="0" w:color="000000"/>
              <w:right w:val="single" w:sz="12"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前十名无限售条件股东持股情况</w:t>
            </w:r>
            <w:r>
              <w:rPr>
                <w:rFonts w:ascii="宋体" w:hAnsi="宋体" w:cs="宋体" w:eastAsia="宋体" w:hint="default"/>
                <w:sz w:val="21"/>
                <w:szCs w:val="21"/>
              </w:rPr>
            </w:r>
          </w:p>
        </w:tc>
      </w:tr>
      <w:tr>
        <w:trPr>
          <w:trHeight w:val="247" w:hRule="exact"/>
        </w:trPr>
        <w:tc>
          <w:tcPr>
            <w:tcW w:w="3814" w:type="dxa"/>
            <w:gridSpan w:val="3"/>
            <w:vMerge w:val="restart"/>
            <w:tcBorders>
              <w:top w:val="single" w:sz="6" w:space="0" w:color="000000"/>
              <w:left w:val="single" w:sz="12" w:space="0" w:color="000000"/>
              <w:right w:val="single" w:sz="6" w:space="0" w:color="000000"/>
            </w:tcBorders>
          </w:tcPr>
          <w:p>
            <w:pPr>
              <w:pStyle w:val="TableParagraph"/>
              <w:spacing w:line="240" w:lineRule="auto" w:before="94"/>
              <w:ind w:right="6"/>
              <w:jc w:val="center"/>
              <w:rPr>
                <w:rFonts w:ascii="宋体" w:hAnsi="宋体" w:cs="宋体" w:eastAsia="宋体" w:hint="default"/>
                <w:sz w:val="18"/>
                <w:szCs w:val="18"/>
              </w:rPr>
            </w:pPr>
            <w:r>
              <w:rPr>
                <w:rFonts w:ascii="宋体" w:hAnsi="宋体" w:cs="宋体" w:eastAsia="宋体" w:hint="default"/>
                <w:b/>
                <w:bCs/>
                <w:sz w:val="18"/>
                <w:szCs w:val="18"/>
              </w:rPr>
              <w:t>股东名称</w:t>
            </w:r>
            <w:r>
              <w:rPr>
                <w:rFonts w:ascii="宋体" w:hAnsi="宋体" w:cs="宋体" w:eastAsia="宋体" w:hint="default"/>
                <w:sz w:val="18"/>
                <w:szCs w:val="18"/>
              </w:rPr>
            </w:r>
          </w:p>
        </w:tc>
        <w:tc>
          <w:tcPr>
            <w:tcW w:w="2537" w:type="dxa"/>
            <w:gridSpan w:val="3"/>
            <w:vMerge w:val="restart"/>
            <w:tcBorders>
              <w:top w:val="single" w:sz="6" w:space="0" w:color="000000"/>
              <w:left w:val="single" w:sz="6" w:space="0" w:color="000000"/>
              <w:right w:val="single" w:sz="6" w:space="0" w:color="000000"/>
            </w:tcBorders>
          </w:tcPr>
          <w:p>
            <w:pPr>
              <w:pStyle w:val="TableParagraph"/>
              <w:spacing w:line="232" w:lineRule="exact" w:before="1"/>
              <w:ind w:left="1171" w:right="176" w:hanging="996"/>
              <w:jc w:val="left"/>
              <w:rPr>
                <w:rFonts w:ascii="宋体" w:hAnsi="宋体" w:cs="宋体" w:eastAsia="宋体" w:hint="default"/>
                <w:sz w:val="18"/>
                <w:szCs w:val="18"/>
              </w:rPr>
            </w:pPr>
            <w:r>
              <w:rPr>
                <w:rFonts w:ascii="宋体" w:hAnsi="宋体" w:cs="宋体" w:eastAsia="宋体" w:hint="default"/>
                <w:b/>
                <w:bCs/>
                <w:sz w:val="18"/>
                <w:szCs w:val="18"/>
              </w:rPr>
              <w:t>持有无限售条件流通股的数</w:t>
            </w:r>
            <w:r>
              <w:rPr>
                <w:rFonts w:ascii="宋体" w:hAnsi="宋体" w:cs="宋体" w:eastAsia="宋体" w:hint="default"/>
                <w:b/>
                <w:bCs/>
                <w:w w:val="99"/>
                <w:sz w:val="18"/>
                <w:szCs w:val="18"/>
              </w:rPr>
              <w:t> </w:t>
            </w:r>
            <w:r>
              <w:rPr>
                <w:rFonts w:ascii="宋体" w:hAnsi="宋体" w:cs="宋体" w:eastAsia="宋体" w:hint="default"/>
                <w:b/>
                <w:bCs/>
                <w:sz w:val="18"/>
                <w:szCs w:val="18"/>
              </w:rPr>
              <w:t>量</w:t>
            </w:r>
            <w:r>
              <w:rPr>
                <w:rFonts w:ascii="宋体" w:hAnsi="宋体" w:cs="宋体" w:eastAsia="宋体" w:hint="default"/>
                <w:sz w:val="18"/>
                <w:szCs w:val="18"/>
              </w:rPr>
            </w:r>
          </w:p>
        </w:tc>
        <w:tc>
          <w:tcPr>
            <w:tcW w:w="3075" w:type="dxa"/>
            <w:gridSpan w:val="5"/>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895" w:right="0"/>
              <w:jc w:val="left"/>
              <w:rPr>
                <w:rFonts w:ascii="宋体" w:hAnsi="宋体" w:cs="宋体" w:eastAsia="宋体" w:hint="default"/>
                <w:sz w:val="18"/>
                <w:szCs w:val="18"/>
              </w:rPr>
            </w:pPr>
            <w:r>
              <w:rPr>
                <w:rFonts w:ascii="宋体" w:hAnsi="宋体" w:cs="宋体" w:eastAsia="宋体" w:hint="default"/>
                <w:b/>
                <w:bCs/>
                <w:sz w:val="18"/>
                <w:szCs w:val="18"/>
              </w:rPr>
              <w:t>股份种类及数量</w:t>
            </w:r>
            <w:r>
              <w:rPr>
                <w:rFonts w:ascii="宋体" w:hAnsi="宋体" w:cs="宋体" w:eastAsia="宋体" w:hint="default"/>
                <w:sz w:val="18"/>
                <w:szCs w:val="18"/>
              </w:rPr>
            </w:r>
          </w:p>
        </w:tc>
      </w:tr>
      <w:tr>
        <w:trPr>
          <w:trHeight w:val="250" w:hRule="exact"/>
        </w:trPr>
        <w:tc>
          <w:tcPr>
            <w:tcW w:w="3814" w:type="dxa"/>
            <w:gridSpan w:val="3"/>
            <w:vMerge/>
            <w:tcBorders>
              <w:left w:val="single" w:sz="12" w:space="0" w:color="000000"/>
              <w:bottom w:val="single" w:sz="6" w:space="0" w:color="000000"/>
              <w:right w:val="single" w:sz="6" w:space="0" w:color="000000"/>
            </w:tcBorders>
          </w:tcPr>
          <w:p>
            <w:pPr/>
          </w:p>
        </w:tc>
        <w:tc>
          <w:tcPr>
            <w:tcW w:w="2537" w:type="dxa"/>
            <w:gridSpan w:val="3"/>
            <w:vMerge/>
            <w:tcBorders>
              <w:left w:val="single" w:sz="6" w:space="0" w:color="000000"/>
              <w:bottom w:val="single" w:sz="6" w:space="0" w:color="000000"/>
              <w:right w:val="single" w:sz="6" w:space="0" w:color="000000"/>
            </w:tcBorders>
          </w:tcPr>
          <w:p>
            <w:pPr/>
          </w:p>
        </w:tc>
        <w:tc>
          <w:tcPr>
            <w:tcW w:w="145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种类</w:t>
            </w:r>
            <w:r>
              <w:rPr>
                <w:rFonts w:ascii="宋体" w:hAnsi="宋体" w:cs="宋体" w:eastAsia="宋体" w:hint="default"/>
                <w:sz w:val="18"/>
                <w:szCs w:val="18"/>
              </w:rPr>
            </w:r>
          </w:p>
        </w:tc>
        <w:tc>
          <w:tcPr>
            <w:tcW w:w="1618" w:type="dxa"/>
            <w:gridSpan w:val="2"/>
            <w:tcBorders>
              <w:top w:val="single" w:sz="6" w:space="0" w:color="000000"/>
              <w:left w:val="single" w:sz="6" w:space="0" w:color="000000"/>
              <w:bottom w:val="single" w:sz="6" w:space="0" w:color="000000"/>
              <w:right w:val="single" w:sz="12" w:space="0" w:color="000000"/>
            </w:tcBorders>
          </w:tcPr>
          <w:p>
            <w:pPr>
              <w:pStyle w:val="TableParagraph"/>
              <w:spacing w:line="208" w:lineRule="exact"/>
              <w:ind w:left="7" w:right="0"/>
              <w:jc w:val="center"/>
              <w:rPr>
                <w:rFonts w:ascii="宋体" w:hAnsi="宋体" w:cs="宋体" w:eastAsia="宋体" w:hint="default"/>
                <w:sz w:val="18"/>
                <w:szCs w:val="18"/>
              </w:rPr>
            </w:pPr>
            <w:r>
              <w:rPr>
                <w:rFonts w:ascii="宋体" w:hAnsi="宋体" w:cs="宋体" w:eastAsia="宋体" w:hint="default"/>
                <w:b/>
                <w:bCs/>
                <w:sz w:val="18"/>
                <w:szCs w:val="18"/>
              </w:rPr>
              <w:t>数量</w:t>
            </w:r>
            <w:r>
              <w:rPr>
                <w:rFonts w:ascii="宋体" w:hAnsi="宋体" w:cs="宋体" w:eastAsia="宋体" w:hint="default"/>
                <w:sz w:val="18"/>
                <w:szCs w:val="18"/>
              </w:rPr>
            </w:r>
          </w:p>
        </w:tc>
      </w:tr>
      <w:tr>
        <w:trPr>
          <w:trHeight w:val="247" w:hRule="exact"/>
        </w:trPr>
        <w:tc>
          <w:tcPr>
            <w:tcW w:w="3814" w:type="dxa"/>
            <w:gridSpan w:val="3"/>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253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430" w:right="0"/>
              <w:jc w:val="left"/>
              <w:rPr>
                <w:rFonts w:ascii="宋体" w:hAnsi="宋体" w:cs="宋体" w:eastAsia="宋体" w:hint="default"/>
                <w:sz w:val="18"/>
                <w:szCs w:val="18"/>
              </w:rPr>
            </w:pPr>
            <w:r>
              <w:rPr>
                <w:rFonts w:ascii="宋体"/>
                <w:sz w:val="18"/>
              </w:rPr>
              <w:t>474,759,378</w:t>
            </w:r>
          </w:p>
        </w:tc>
        <w:tc>
          <w:tcPr>
            <w:tcW w:w="145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18" w:type="dxa"/>
            <w:gridSpan w:val="2"/>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508" w:right="0"/>
              <w:jc w:val="left"/>
              <w:rPr>
                <w:rFonts w:ascii="宋体" w:hAnsi="宋体" w:cs="宋体" w:eastAsia="宋体" w:hint="default"/>
                <w:sz w:val="18"/>
                <w:szCs w:val="18"/>
              </w:rPr>
            </w:pPr>
            <w:r>
              <w:rPr>
                <w:rFonts w:ascii="宋体"/>
                <w:sz w:val="18"/>
              </w:rPr>
              <w:t>474,759,378</w:t>
            </w:r>
          </w:p>
        </w:tc>
      </w:tr>
      <w:tr>
        <w:trPr>
          <w:trHeight w:val="250" w:hRule="exact"/>
        </w:trPr>
        <w:tc>
          <w:tcPr>
            <w:tcW w:w="3814" w:type="dxa"/>
            <w:gridSpan w:val="3"/>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93" w:right="0"/>
              <w:jc w:val="left"/>
              <w:rPr>
                <w:rFonts w:ascii="宋体" w:hAnsi="宋体" w:cs="宋体" w:eastAsia="宋体" w:hint="default"/>
                <w:sz w:val="18"/>
                <w:szCs w:val="18"/>
              </w:rPr>
            </w:pPr>
            <w:r>
              <w:rPr>
                <w:rFonts w:ascii="宋体" w:hAnsi="宋体" w:cs="宋体" w:eastAsia="宋体" w:hint="default"/>
                <w:sz w:val="18"/>
                <w:szCs w:val="18"/>
              </w:rPr>
              <w:t>谢仁国</w:t>
            </w:r>
          </w:p>
        </w:tc>
        <w:tc>
          <w:tcPr>
            <w:tcW w:w="253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521" w:right="0"/>
              <w:jc w:val="left"/>
              <w:rPr>
                <w:rFonts w:ascii="宋体" w:hAnsi="宋体" w:cs="宋体" w:eastAsia="宋体" w:hint="default"/>
                <w:sz w:val="18"/>
                <w:szCs w:val="18"/>
              </w:rPr>
            </w:pPr>
            <w:r>
              <w:rPr>
                <w:rFonts w:ascii="宋体"/>
                <w:sz w:val="18"/>
              </w:rPr>
              <w:t>18,245,000</w:t>
            </w:r>
          </w:p>
        </w:tc>
        <w:tc>
          <w:tcPr>
            <w:tcW w:w="145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18" w:type="dxa"/>
            <w:gridSpan w:val="2"/>
            <w:tcBorders>
              <w:top w:val="single" w:sz="6" w:space="0" w:color="000000"/>
              <w:left w:val="single" w:sz="6" w:space="0" w:color="000000"/>
              <w:bottom w:val="single" w:sz="6" w:space="0" w:color="000000"/>
              <w:right w:val="single" w:sz="12" w:space="0" w:color="000000"/>
            </w:tcBorders>
          </w:tcPr>
          <w:p>
            <w:pPr>
              <w:pStyle w:val="TableParagraph"/>
              <w:spacing w:line="208" w:lineRule="exact"/>
              <w:ind w:left="599" w:right="0"/>
              <w:jc w:val="left"/>
              <w:rPr>
                <w:rFonts w:ascii="宋体" w:hAnsi="宋体" w:cs="宋体" w:eastAsia="宋体" w:hint="default"/>
                <w:sz w:val="18"/>
                <w:szCs w:val="18"/>
              </w:rPr>
            </w:pPr>
            <w:r>
              <w:rPr>
                <w:rFonts w:ascii="宋体"/>
                <w:sz w:val="18"/>
              </w:rPr>
              <w:t>18,245,000</w:t>
            </w:r>
          </w:p>
        </w:tc>
      </w:tr>
      <w:tr>
        <w:trPr>
          <w:trHeight w:val="247" w:hRule="exact"/>
        </w:trPr>
        <w:tc>
          <w:tcPr>
            <w:tcW w:w="3814" w:type="dxa"/>
            <w:gridSpan w:val="3"/>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中央汇金资产管理有限责任公司</w:t>
            </w:r>
          </w:p>
        </w:tc>
        <w:tc>
          <w:tcPr>
            <w:tcW w:w="253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521" w:right="0"/>
              <w:jc w:val="left"/>
              <w:rPr>
                <w:rFonts w:ascii="宋体" w:hAnsi="宋体" w:cs="宋体" w:eastAsia="宋体" w:hint="default"/>
                <w:sz w:val="18"/>
                <w:szCs w:val="18"/>
              </w:rPr>
            </w:pPr>
            <w:r>
              <w:rPr>
                <w:rFonts w:ascii="宋体"/>
                <w:sz w:val="18"/>
              </w:rPr>
              <w:t>16,938,800</w:t>
            </w:r>
          </w:p>
        </w:tc>
        <w:tc>
          <w:tcPr>
            <w:tcW w:w="145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18" w:type="dxa"/>
            <w:gridSpan w:val="2"/>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599" w:right="0"/>
              <w:jc w:val="left"/>
              <w:rPr>
                <w:rFonts w:ascii="宋体" w:hAnsi="宋体" w:cs="宋体" w:eastAsia="宋体" w:hint="default"/>
                <w:sz w:val="18"/>
                <w:szCs w:val="18"/>
              </w:rPr>
            </w:pPr>
            <w:r>
              <w:rPr>
                <w:rFonts w:ascii="宋体"/>
                <w:sz w:val="18"/>
              </w:rPr>
              <w:t>16,938,800</w:t>
            </w:r>
          </w:p>
        </w:tc>
      </w:tr>
      <w:tr>
        <w:trPr>
          <w:trHeight w:val="482" w:hRule="exact"/>
        </w:trPr>
        <w:tc>
          <w:tcPr>
            <w:tcW w:w="3814" w:type="dxa"/>
            <w:gridSpan w:val="3"/>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中国工商银行股份有限公司－嘉实新机遇灵</w:t>
            </w:r>
            <w:r>
              <w:rPr>
                <w:rFonts w:ascii="宋体" w:hAnsi="宋体" w:cs="宋体" w:eastAsia="宋体" w:hint="default"/>
                <w:sz w:val="18"/>
                <w:szCs w:val="18"/>
              </w:rPr>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活配置混合型发起式证券投资基金</w:t>
            </w:r>
          </w:p>
        </w:tc>
        <w:tc>
          <w:tcPr>
            <w:tcW w:w="253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521" w:right="0"/>
              <w:jc w:val="left"/>
              <w:rPr>
                <w:rFonts w:ascii="宋体" w:hAnsi="宋体" w:cs="宋体" w:eastAsia="宋体" w:hint="default"/>
                <w:sz w:val="18"/>
                <w:szCs w:val="18"/>
              </w:rPr>
            </w:pPr>
            <w:r>
              <w:rPr>
                <w:rFonts w:ascii="宋体"/>
                <w:sz w:val="18"/>
              </w:rPr>
              <w:t>16,265,605</w:t>
            </w:r>
          </w:p>
        </w:tc>
        <w:tc>
          <w:tcPr>
            <w:tcW w:w="1457"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18" w:type="dxa"/>
            <w:gridSpan w:val="2"/>
            <w:tcBorders>
              <w:top w:val="single" w:sz="6" w:space="0" w:color="000000"/>
              <w:left w:val="single" w:sz="6" w:space="0" w:color="000000"/>
              <w:bottom w:val="single" w:sz="6" w:space="0" w:color="000000"/>
              <w:right w:val="single" w:sz="12" w:space="0" w:color="000000"/>
            </w:tcBorders>
          </w:tcPr>
          <w:p>
            <w:pPr>
              <w:pStyle w:val="TableParagraph"/>
              <w:spacing w:line="208" w:lineRule="exact"/>
              <w:ind w:left="599" w:right="0"/>
              <w:jc w:val="left"/>
              <w:rPr>
                <w:rFonts w:ascii="宋体" w:hAnsi="宋体" w:cs="宋体" w:eastAsia="宋体" w:hint="default"/>
                <w:sz w:val="18"/>
                <w:szCs w:val="18"/>
              </w:rPr>
            </w:pPr>
            <w:r>
              <w:rPr>
                <w:rFonts w:ascii="宋体"/>
                <w:sz w:val="18"/>
              </w:rPr>
              <w:t>16,265,605</w:t>
            </w:r>
          </w:p>
        </w:tc>
      </w:tr>
      <w:tr>
        <w:trPr>
          <w:trHeight w:val="250" w:hRule="exact"/>
        </w:trPr>
        <w:tc>
          <w:tcPr>
            <w:tcW w:w="3814" w:type="dxa"/>
            <w:gridSpan w:val="3"/>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中国证券金融股份有限公司</w:t>
            </w:r>
          </w:p>
        </w:tc>
        <w:tc>
          <w:tcPr>
            <w:tcW w:w="253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521" w:right="0"/>
              <w:jc w:val="left"/>
              <w:rPr>
                <w:rFonts w:ascii="宋体" w:hAnsi="宋体" w:cs="宋体" w:eastAsia="宋体" w:hint="default"/>
                <w:sz w:val="18"/>
                <w:szCs w:val="18"/>
              </w:rPr>
            </w:pPr>
            <w:r>
              <w:rPr>
                <w:rFonts w:ascii="宋体"/>
                <w:sz w:val="18"/>
              </w:rPr>
              <w:t>15,892,195</w:t>
            </w:r>
          </w:p>
        </w:tc>
        <w:tc>
          <w:tcPr>
            <w:tcW w:w="145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18" w:type="dxa"/>
            <w:gridSpan w:val="2"/>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599" w:right="0"/>
              <w:jc w:val="left"/>
              <w:rPr>
                <w:rFonts w:ascii="宋体" w:hAnsi="宋体" w:cs="宋体" w:eastAsia="宋体" w:hint="default"/>
                <w:sz w:val="18"/>
                <w:szCs w:val="18"/>
              </w:rPr>
            </w:pPr>
            <w:r>
              <w:rPr>
                <w:rFonts w:ascii="宋体"/>
                <w:sz w:val="18"/>
              </w:rPr>
              <w:t>15,892,195</w:t>
            </w:r>
          </w:p>
        </w:tc>
      </w:tr>
      <w:tr>
        <w:trPr>
          <w:trHeight w:val="248" w:hRule="exact"/>
        </w:trPr>
        <w:tc>
          <w:tcPr>
            <w:tcW w:w="3814" w:type="dxa"/>
            <w:gridSpan w:val="3"/>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香港中央结算有限公司</w:t>
            </w:r>
          </w:p>
        </w:tc>
        <w:tc>
          <w:tcPr>
            <w:tcW w:w="253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521" w:right="0"/>
              <w:jc w:val="left"/>
              <w:rPr>
                <w:rFonts w:ascii="宋体" w:hAnsi="宋体" w:cs="宋体" w:eastAsia="宋体" w:hint="default"/>
                <w:sz w:val="18"/>
                <w:szCs w:val="18"/>
              </w:rPr>
            </w:pPr>
            <w:r>
              <w:rPr>
                <w:rFonts w:ascii="宋体"/>
                <w:sz w:val="18"/>
              </w:rPr>
              <w:t>11,234,172</w:t>
            </w:r>
          </w:p>
        </w:tc>
        <w:tc>
          <w:tcPr>
            <w:tcW w:w="145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18" w:type="dxa"/>
            <w:gridSpan w:val="2"/>
            <w:tcBorders>
              <w:top w:val="single" w:sz="6" w:space="0" w:color="000000"/>
              <w:left w:val="single" w:sz="6" w:space="0" w:color="000000"/>
              <w:bottom w:val="single" w:sz="6" w:space="0" w:color="000000"/>
              <w:right w:val="single" w:sz="12" w:space="0" w:color="000000"/>
            </w:tcBorders>
          </w:tcPr>
          <w:p>
            <w:pPr>
              <w:pStyle w:val="TableParagraph"/>
              <w:spacing w:line="206" w:lineRule="exact"/>
              <w:ind w:left="599" w:right="0"/>
              <w:jc w:val="left"/>
              <w:rPr>
                <w:rFonts w:ascii="宋体" w:hAnsi="宋体" w:cs="宋体" w:eastAsia="宋体" w:hint="default"/>
                <w:sz w:val="18"/>
                <w:szCs w:val="18"/>
              </w:rPr>
            </w:pPr>
            <w:r>
              <w:rPr>
                <w:rFonts w:ascii="宋体"/>
                <w:sz w:val="18"/>
              </w:rPr>
              <w:t>11,234,172</w:t>
            </w:r>
          </w:p>
        </w:tc>
      </w:tr>
      <w:tr>
        <w:trPr>
          <w:trHeight w:val="250" w:hRule="exact"/>
        </w:trPr>
        <w:tc>
          <w:tcPr>
            <w:tcW w:w="3814" w:type="dxa"/>
            <w:gridSpan w:val="3"/>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陈光耀</w:t>
            </w:r>
          </w:p>
        </w:tc>
        <w:tc>
          <w:tcPr>
            <w:tcW w:w="253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521" w:right="0"/>
              <w:jc w:val="left"/>
              <w:rPr>
                <w:rFonts w:ascii="宋体" w:hAnsi="宋体" w:cs="宋体" w:eastAsia="宋体" w:hint="default"/>
                <w:sz w:val="18"/>
                <w:szCs w:val="18"/>
              </w:rPr>
            </w:pPr>
            <w:r>
              <w:rPr>
                <w:rFonts w:ascii="宋体"/>
                <w:sz w:val="18"/>
              </w:rPr>
              <w:t>11,043,443</w:t>
            </w:r>
          </w:p>
        </w:tc>
        <w:tc>
          <w:tcPr>
            <w:tcW w:w="145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18" w:type="dxa"/>
            <w:gridSpan w:val="2"/>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599" w:right="0"/>
              <w:jc w:val="left"/>
              <w:rPr>
                <w:rFonts w:ascii="宋体" w:hAnsi="宋体" w:cs="宋体" w:eastAsia="宋体" w:hint="default"/>
                <w:sz w:val="18"/>
                <w:szCs w:val="18"/>
              </w:rPr>
            </w:pPr>
            <w:r>
              <w:rPr>
                <w:rFonts w:ascii="宋体"/>
                <w:sz w:val="18"/>
              </w:rPr>
              <w:t>11,043,443</w:t>
            </w:r>
          </w:p>
        </w:tc>
      </w:tr>
      <w:tr>
        <w:trPr>
          <w:trHeight w:val="247" w:hRule="exact"/>
        </w:trPr>
        <w:tc>
          <w:tcPr>
            <w:tcW w:w="3814" w:type="dxa"/>
            <w:gridSpan w:val="3"/>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吴火海</w:t>
            </w:r>
          </w:p>
        </w:tc>
        <w:tc>
          <w:tcPr>
            <w:tcW w:w="253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610" w:right="0"/>
              <w:jc w:val="left"/>
              <w:rPr>
                <w:rFonts w:ascii="宋体" w:hAnsi="宋体" w:cs="宋体" w:eastAsia="宋体" w:hint="default"/>
                <w:sz w:val="18"/>
                <w:szCs w:val="18"/>
              </w:rPr>
            </w:pPr>
            <w:r>
              <w:rPr>
                <w:rFonts w:ascii="宋体"/>
                <w:sz w:val="18"/>
              </w:rPr>
              <w:t>8,297,000</w:t>
            </w:r>
          </w:p>
        </w:tc>
        <w:tc>
          <w:tcPr>
            <w:tcW w:w="145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18" w:type="dxa"/>
            <w:gridSpan w:val="2"/>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688" w:right="0"/>
              <w:jc w:val="left"/>
              <w:rPr>
                <w:rFonts w:ascii="宋体" w:hAnsi="宋体" w:cs="宋体" w:eastAsia="宋体" w:hint="default"/>
                <w:sz w:val="18"/>
                <w:szCs w:val="18"/>
              </w:rPr>
            </w:pPr>
            <w:r>
              <w:rPr>
                <w:rFonts w:ascii="宋体"/>
                <w:sz w:val="18"/>
              </w:rPr>
              <w:t>8,297,000</w:t>
            </w:r>
          </w:p>
        </w:tc>
      </w:tr>
      <w:tr>
        <w:trPr>
          <w:trHeight w:val="250" w:hRule="exact"/>
        </w:trPr>
        <w:tc>
          <w:tcPr>
            <w:tcW w:w="3814" w:type="dxa"/>
            <w:gridSpan w:val="3"/>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北京凤山投资有限责任公司</w:t>
            </w:r>
          </w:p>
        </w:tc>
        <w:tc>
          <w:tcPr>
            <w:tcW w:w="253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610" w:right="0"/>
              <w:jc w:val="left"/>
              <w:rPr>
                <w:rFonts w:ascii="宋体" w:hAnsi="宋体" w:cs="宋体" w:eastAsia="宋体" w:hint="default"/>
                <w:sz w:val="18"/>
                <w:szCs w:val="18"/>
              </w:rPr>
            </w:pPr>
            <w:r>
              <w:rPr>
                <w:rFonts w:ascii="宋体"/>
                <w:sz w:val="18"/>
              </w:rPr>
              <w:t>7,124,080</w:t>
            </w:r>
          </w:p>
        </w:tc>
        <w:tc>
          <w:tcPr>
            <w:tcW w:w="145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18" w:type="dxa"/>
            <w:gridSpan w:val="2"/>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688" w:right="0"/>
              <w:jc w:val="left"/>
              <w:rPr>
                <w:rFonts w:ascii="宋体" w:hAnsi="宋体" w:cs="宋体" w:eastAsia="宋体" w:hint="default"/>
                <w:sz w:val="18"/>
                <w:szCs w:val="18"/>
              </w:rPr>
            </w:pPr>
            <w:r>
              <w:rPr>
                <w:rFonts w:ascii="宋体"/>
                <w:sz w:val="18"/>
              </w:rPr>
              <w:t>7,124,080</w:t>
            </w:r>
          </w:p>
        </w:tc>
      </w:tr>
      <w:tr>
        <w:trPr>
          <w:trHeight w:val="247" w:hRule="exact"/>
        </w:trPr>
        <w:tc>
          <w:tcPr>
            <w:tcW w:w="3814" w:type="dxa"/>
            <w:gridSpan w:val="3"/>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万超杰</w:t>
            </w:r>
          </w:p>
        </w:tc>
        <w:tc>
          <w:tcPr>
            <w:tcW w:w="253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610" w:right="0"/>
              <w:jc w:val="left"/>
              <w:rPr>
                <w:rFonts w:ascii="宋体" w:hAnsi="宋体" w:cs="宋体" w:eastAsia="宋体" w:hint="default"/>
                <w:sz w:val="18"/>
                <w:szCs w:val="18"/>
              </w:rPr>
            </w:pPr>
            <w:r>
              <w:rPr>
                <w:rFonts w:ascii="宋体"/>
                <w:sz w:val="18"/>
              </w:rPr>
              <w:t>7,080,300</w:t>
            </w:r>
          </w:p>
        </w:tc>
        <w:tc>
          <w:tcPr>
            <w:tcW w:w="1457" w:type="dxa"/>
            <w:gridSpan w:val="3"/>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18" w:type="dxa"/>
            <w:gridSpan w:val="2"/>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688" w:right="0"/>
              <w:jc w:val="left"/>
              <w:rPr>
                <w:rFonts w:ascii="宋体" w:hAnsi="宋体" w:cs="宋体" w:eastAsia="宋体" w:hint="default"/>
                <w:sz w:val="18"/>
                <w:szCs w:val="18"/>
              </w:rPr>
            </w:pPr>
            <w:r>
              <w:rPr>
                <w:rFonts w:ascii="宋体"/>
                <w:sz w:val="18"/>
              </w:rPr>
              <w:t>7,080,300</w:t>
            </w:r>
          </w:p>
        </w:tc>
      </w:tr>
      <w:tr>
        <w:trPr>
          <w:trHeight w:val="950" w:hRule="exact"/>
        </w:trPr>
        <w:tc>
          <w:tcPr>
            <w:tcW w:w="3814" w:type="dxa"/>
            <w:gridSpan w:val="3"/>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5612" w:type="dxa"/>
            <w:gridSpan w:val="8"/>
            <w:tcBorders>
              <w:top w:val="single" w:sz="6" w:space="0" w:color="000000"/>
              <w:left w:val="single" w:sz="6" w:space="0" w:color="000000"/>
              <w:bottom w:val="single" w:sz="6" w:space="0" w:color="000000"/>
              <w:right w:val="single" w:sz="12" w:space="0" w:color="00000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z w:val="18"/>
                <w:szCs w:val="18"/>
              </w:rPr>
              <w:t>除紫光集团有限公司系清华控股下属控股子公司、工银瑞信－广发银</w:t>
            </w:r>
          </w:p>
          <w:p>
            <w:pPr>
              <w:pStyle w:val="TableParagraph"/>
              <w:spacing w:line="232" w:lineRule="exact" w:before="24"/>
              <w:ind w:left="100" w:right="94"/>
              <w:jc w:val="both"/>
              <w:rPr>
                <w:rFonts w:ascii="宋体" w:hAnsi="宋体" w:cs="宋体" w:eastAsia="宋体" w:hint="default"/>
                <w:sz w:val="18"/>
                <w:szCs w:val="18"/>
              </w:rPr>
            </w:pPr>
            <w:r>
              <w:rPr>
                <w:rFonts w:ascii="宋体" w:hAnsi="宋体" w:cs="宋体" w:eastAsia="宋体" w:hint="default"/>
                <w:spacing w:val="5"/>
                <w:sz w:val="18"/>
                <w:szCs w:val="18"/>
              </w:rPr>
              <w:t>行－新疆盛世伟业股权投资有限公司和工银瑞信添安股票专项型养</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5"/>
                <w:sz w:val="18"/>
                <w:szCs w:val="18"/>
              </w:rPr>
              <w:t>老金产品－中国工商银行股份有限公司均由工银瑞信基金管理公司</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管理外，公司未获知上述股东存在关联关系。</w:t>
            </w:r>
          </w:p>
        </w:tc>
      </w:tr>
      <w:tr>
        <w:trPr>
          <w:trHeight w:val="254" w:hRule="exact"/>
        </w:trPr>
        <w:tc>
          <w:tcPr>
            <w:tcW w:w="3814" w:type="dxa"/>
            <w:gridSpan w:val="3"/>
            <w:tcBorders>
              <w:top w:val="single" w:sz="6" w:space="0" w:color="000000"/>
              <w:left w:val="single" w:sz="12" w:space="0" w:color="000000"/>
              <w:bottom w:val="single" w:sz="12"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表决权恢复的优先股股东及持股数量的说明</w:t>
            </w:r>
          </w:p>
        </w:tc>
        <w:tc>
          <w:tcPr>
            <w:tcW w:w="5612" w:type="dxa"/>
            <w:gridSpan w:val="8"/>
            <w:tcBorders>
              <w:top w:val="single" w:sz="6" w:space="0" w:color="000000"/>
              <w:left w:val="single" w:sz="6" w:space="0" w:color="000000"/>
              <w:bottom w:val="single" w:sz="12" w:space="0" w:color="000000"/>
              <w:right w:val="single" w:sz="12"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p>
      <w:pPr>
        <w:pStyle w:val="BodyText"/>
        <w:spacing w:line="240" w:lineRule="auto" w:before="26"/>
        <w:ind w:left="238" w:right="0"/>
        <w:jc w:val="left"/>
      </w:pPr>
      <w:r>
        <w:rPr/>
        <w:t>前十名有限售条件股东持股数量及限售条件</w:t>
      </w:r>
    </w:p>
    <w:p>
      <w:pPr>
        <w:spacing w:line="240" w:lineRule="auto" w:before="3"/>
        <w:rPr>
          <w:rFonts w:ascii="宋体" w:hAnsi="宋体" w:cs="宋体" w:eastAsia="宋体" w:hint="default"/>
          <w:sz w:val="21"/>
          <w:szCs w:val="21"/>
        </w:rPr>
      </w:pPr>
    </w:p>
    <w:p>
      <w:pPr>
        <w:spacing w:before="36"/>
        <w:ind w:left="0" w:right="579" w:firstLine="0"/>
        <w:jc w:val="right"/>
        <w:rPr>
          <w:rFonts w:ascii="宋体" w:hAnsi="宋体" w:cs="宋体" w:eastAsia="宋体" w:hint="default"/>
          <w:sz w:val="21"/>
          <w:szCs w:val="21"/>
        </w:rPr>
      </w:pPr>
      <w:r>
        <w:rPr>
          <w:rFonts w:ascii="宋体" w:hAnsi="宋体" w:cs="宋体" w:eastAsia="宋体" w:hint="default"/>
          <w:spacing w:val="-1"/>
          <w:sz w:val="21"/>
          <w:szCs w:val="21"/>
        </w:rPr>
        <w:t>单位：股</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679"/>
        <w:gridCol w:w="3457"/>
        <w:gridCol w:w="1709"/>
        <w:gridCol w:w="1639"/>
        <w:gridCol w:w="992"/>
        <w:gridCol w:w="1272"/>
      </w:tblGrid>
      <w:tr>
        <w:trPr>
          <w:trHeight w:val="490" w:hRule="exact"/>
        </w:trPr>
        <w:tc>
          <w:tcPr>
            <w:tcW w:w="679" w:type="dxa"/>
            <w:vMerge w:val="restart"/>
            <w:tcBorders>
              <w:top w:val="single" w:sz="12"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144" w:right="0"/>
              <w:jc w:val="left"/>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3457" w:type="dxa"/>
            <w:vMerge w:val="restart"/>
            <w:tcBorders>
              <w:top w:val="single" w:sz="12"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907" w:right="0"/>
              <w:jc w:val="left"/>
              <w:rPr>
                <w:rFonts w:ascii="宋体" w:hAnsi="宋体" w:cs="宋体" w:eastAsia="宋体" w:hint="default"/>
                <w:sz w:val="18"/>
                <w:szCs w:val="18"/>
              </w:rPr>
            </w:pPr>
            <w:r>
              <w:rPr>
                <w:rFonts w:ascii="宋体" w:hAnsi="宋体" w:cs="宋体" w:eastAsia="宋体" w:hint="default"/>
                <w:b/>
                <w:bCs/>
                <w:sz w:val="18"/>
                <w:szCs w:val="18"/>
              </w:rPr>
              <w:t>有限售条件股东名称</w:t>
            </w:r>
            <w:r>
              <w:rPr>
                <w:rFonts w:ascii="宋体" w:hAnsi="宋体" w:cs="宋体" w:eastAsia="宋体" w:hint="default"/>
                <w:sz w:val="18"/>
                <w:szCs w:val="18"/>
              </w:rPr>
            </w:r>
          </w:p>
        </w:tc>
        <w:tc>
          <w:tcPr>
            <w:tcW w:w="1709" w:type="dxa"/>
            <w:vMerge w:val="restart"/>
            <w:tcBorders>
              <w:top w:val="single" w:sz="12" w:space="0" w:color="000000"/>
              <w:left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32" w:lineRule="exact"/>
              <w:ind w:left="484" w:right="123" w:hanging="360"/>
              <w:jc w:val="left"/>
              <w:rPr>
                <w:rFonts w:ascii="宋体" w:hAnsi="宋体" w:cs="宋体" w:eastAsia="宋体" w:hint="default"/>
                <w:sz w:val="18"/>
                <w:szCs w:val="18"/>
              </w:rPr>
            </w:pPr>
            <w:r>
              <w:rPr>
                <w:rFonts w:ascii="宋体" w:hAnsi="宋体" w:cs="宋体" w:eastAsia="宋体" w:hint="default"/>
                <w:b/>
                <w:bCs/>
                <w:sz w:val="18"/>
                <w:szCs w:val="18"/>
              </w:rPr>
              <w:t>持有的有限售条件</w:t>
            </w:r>
            <w:r>
              <w:rPr>
                <w:rFonts w:ascii="宋体" w:hAnsi="宋体" w:cs="宋体" w:eastAsia="宋体" w:hint="default"/>
                <w:b/>
                <w:bCs/>
                <w:w w:val="99"/>
                <w:sz w:val="18"/>
                <w:szCs w:val="18"/>
              </w:rPr>
              <w:t> </w:t>
            </w:r>
            <w:r>
              <w:rPr>
                <w:rFonts w:ascii="宋体" w:hAnsi="宋体" w:cs="宋体" w:eastAsia="宋体" w:hint="default"/>
                <w:b/>
                <w:bCs/>
                <w:sz w:val="18"/>
                <w:szCs w:val="18"/>
              </w:rPr>
              <w:t>股份数量</w:t>
            </w:r>
            <w:r>
              <w:rPr>
                <w:rFonts w:ascii="宋体" w:hAnsi="宋体" w:cs="宋体" w:eastAsia="宋体" w:hint="default"/>
                <w:sz w:val="18"/>
                <w:szCs w:val="18"/>
              </w:rPr>
            </w:r>
          </w:p>
        </w:tc>
        <w:tc>
          <w:tcPr>
            <w:tcW w:w="2631" w:type="dxa"/>
            <w:gridSpan w:val="2"/>
            <w:tcBorders>
              <w:top w:val="single" w:sz="12" w:space="0" w:color="000000"/>
              <w:left w:val="single" w:sz="6" w:space="0" w:color="000000"/>
              <w:bottom w:val="single" w:sz="6" w:space="0" w:color="000000"/>
              <w:right w:val="single" w:sz="6" w:space="0" w:color="000000"/>
            </w:tcBorders>
          </w:tcPr>
          <w:p>
            <w:pPr>
              <w:pStyle w:val="TableParagraph"/>
              <w:spacing w:line="204" w:lineRule="exact"/>
              <w:ind w:right="6"/>
              <w:jc w:val="center"/>
              <w:rPr>
                <w:rFonts w:ascii="宋体" w:hAnsi="宋体" w:cs="宋体" w:eastAsia="宋体" w:hint="default"/>
                <w:sz w:val="18"/>
                <w:szCs w:val="18"/>
              </w:rPr>
            </w:pPr>
            <w:r>
              <w:rPr>
                <w:rFonts w:ascii="宋体" w:hAnsi="宋体" w:cs="宋体" w:eastAsia="宋体" w:hint="default"/>
                <w:b/>
                <w:bCs/>
                <w:sz w:val="18"/>
                <w:szCs w:val="18"/>
              </w:rPr>
              <w:t>有限售条件股份可上市交易情</w:t>
            </w:r>
            <w:r>
              <w:rPr>
                <w:rFonts w:ascii="宋体" w:hAnsi="宋体" w:cs="宋体" w:eastAsia="宋体" w:hint="default"/>
                <w:sz w:val="18"/>
                <w:szCs w:val="18"/>
              </w:rPr>
            </w:r>
          </w:p>
          <w:p>
            <w:pPr>
              <w:pStyle w:val="TableParagraph"/>
              <w:spacing w:line="234" w:lineRule="exact"/>
              <w:ind w:right="5"/>
              <w:jc w:val="center"/>
              <w:rPr>
                <w:rFonts w:ascii="宋体" w:hAnsi="宋体" w:cs="宋体" w:eastAsia="宋体" w:hint="default"/>
                <w:sz w:val="18"/>
                <w:szCs w:val="18"/>
              </w:rPr>
            </w:pPr>
            <w:r>
              <w:rPr>
                <w:rFonts w:ascii="宋体" w:hAnsi="宋体" w:cs="宋体" w:eastAsia="宋体" w:hint="default"/>
                <w:b/>
                <w:bCs/>
                <w:w w:val="99"/>
                <w:sz w:val="18"/>
                <w:szCs w:val="18"/>
              </w:rPr>
              <w:t>况</w:t>
            </w:r>
            <w:r>
              <w:rPr>
                <w:rFonts w:ascii="宋体" w:hAnsi="宋体" w:cs="宋体" w:eastAsia="宋体" w:hint="default"/>
                <w:sz w:val="18"/>
                <w:szCs w:val="18"/>
              </w:rPr>
            </w:r>
          </w:p>
        </w:tc>
        <w:tc>
          <w:tcPr>
            <w:tcW w:w="1272" w:type="dxa"/>
            <w:vMerge w:val="restart"/>
            <w:tcBorders>
              <w:top w:val="single" w:sz="12" w:space="0" w:color="000000"/>
              <w:left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266" w:right="0"/>
              <w:jc w:val="left"/>
              <w:rPr>
                <w:rFonts w:ascii="宋体" w:hAnsi="宋体" w:cs="宋体" w:eastAsia="宋体" w:hint="default"/>
                <w:sz w:val="18"/>
                <w:szCs w:val="18"/>
              </w:rPr>
            </w:pPr>
            <w:r>
              <w:rPr>
                <w:rFonts w:ascii="宋体" w:hAnsi="宋体" w:cs="宋体" w:eastAsia="宋体" w:hint="default"/>
                <w:b/>
                <w:bCs/>
                <w:sz w:val="18"/>
                <w:szCs w:val="18"/>
              </w:rPr>
              <w:t>限售条件</w:t>
            </w:r>
            <w:r>
              <w:rPr>
                <w:rFonts w:ascii="宋体" w:hAnsi="宋体" w:cs="宋体" w:eastAsia="宋体" w:hint="default"/>
                <w:sz w:val="18"/>
                <w:szCs w:val="18"/>
              </w:rPr>
            </w:r>
          </w:p>
        </w:tc>
      </w:tr>
      <w:tr>
        <w:trPr>
          <w:trHeight w:val="715" w:hRule="exact"/>
        </w:trPr>
        <w:tc>
          <w:tcPr>
            <w:tcW w:w="679" w:type="dxa"/>
            <w:vMerge/>
            <w:tcBorders>
              <w:left w:val="single" w:sz="12" w:space="0" w:color="000000"/>
              <w:bottom w:val="single" w:sz="6" w:space="0" w:color="000000"/>
              <w:right w:val="single" w:sz="6" w:space="0" w:color="000000"/>
            </w:tcBorders>
          </w:tcPr>
          <w:p>
            <w:pPr/>
          </w:p>
        </w:tc>
        <w:tc>
          <w:tcPr>
            <w:tcW w:w="3457" w:type="dxa"/>
            <w:vMerge/>
            <w:tcBorders>
              <w:left w:val="single" w:sz="6" w:space="0" w:color="000000"/>
              <w:bottom w:val="single" w:sz="6" w:space="0" w:color="000000"/>
              <w:right w:val="single" w:sz="6" w:space="0" w:color="000000"/>
            </w:tcBorders>
          </w:tcPr>
          <w:p>
            <w:pPr/>
          </w:p>
        </w:tc>
        <w:tc>
          <w:tcPr>
            <w:tcW w:w="1709" w:type="dxa"/>
            <w:vMerge/>
            <w:tcBorders>
              <w:left w:val="single" w:sz="6" w:space="0" w:color="000000"/>
              <w:bottom w:val="single" w:sz="6" w:space="0" w:color="000000"/>
              <w:right w:val="single" w:sz="6" w:space="0" w:color="000000"/>
            </w:tcBorders>
          </w:tcPr>
          <w:p>
            <w:pPr/>
          </w:p>
        </w:tc>
        <w:tc>
          <w:tcPr>
            <w:tcW w:w="16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b/>
                <w:bCs/>
                <w:sz w:val="18"/>
                <w:szCs w:val="18"/>
              </w:rPr>
              <w:t>可上市交易时间</w:t>
            </w:r>
            <w:r>
              <w:rPr>
                <w:rFonts w:ascii="宋体" w:hAnsi="宋体" w:cs="宋体" w:eastAsia="宋体" w:hint="default"/>
                <w:sz w:val="18"/>
                <w:szCs w:val="18"/>
              </w:rPr>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25" w:right="0"/>
              <w:jc w:val="left"/>
              <w:rPr>
                <w:rFonts w:ascii="宋体" w:hAnsi="宋体" w:cs="宋体" w:eastAsia="宋体" w:hint="default"/>
                <w:sz w:val="18"/>
                <w:szCs w:val="18"/>
              </w:rPr>
            </w:pPr>
            <w:r>
              <w:rPr>
                <w:rFonts w:ascii="宋体" w:hAnsi="宋体" w:cs="宋体" w:eastAsia="宋体" w:hint="default"/>
                <w:b/>
                <w:bCs/>
                <w:sz w:val="18"/>
                <w:szCs w:val="18"/>
              </w:rPr>
              <w:t>新增可上</w:t>
            </w:r>
            <w:r>
              <w:rPr>
                <w:rFonts w:ascii="宋体" w:hAnsi="宋体" w:cs="宋体" w:eastAsia="宋体" w:hint="default"/>
                <w:sz w:val="18"/>
                <w:szCs w:val="18"/>
              </w:rPr>
            </w:r>
          </w:p>
          <w:p>
            <w:pPr>
              <w:pStyle w:val="TableParagraph"/>
              <w:spacing w:line="232" w:lineRule="exact" w:before="23"/>
              <w:ind w:left="214" w:right="127" w:hanging="89"/>
              <w:jc w:val="left"/>
              <w:rPr>
                <w:rFonts w:ascii="宋体" w:hAnsi="宋体" w:cs="宋体" w:eastAsia="宋体" w:hint="default"/>
                <w:sz w:val="18"/>
                <w:szCs w:val="18"/>
              </w:rPr>
            </w:pPr>
            <w:r>
              <w:rPr>
                <w:rFonts w:ascii="宋体" w:hAnsi="宋体" w:cs="宋体" w:eastAsia="宋体" w:hint="default"/>
                <w:b/>
                <w:bCs/>
                <w:sz w:val="18"/>
                <w:szCs w:val="18"/>
              </w:rPr>
              <w:t>市交易股</w:t>
            </w:r>
            <w:r>
              <w:rPr>
                <w:rFonts w:ascii="宋体" w:hAnsi="宋体" w:cs="宋体" w:eastAsia="宋体" w:hint="default"/>
                <w:b/>
                <w:bCs/>
                <w:w w:val="99"/>
                <w:sz w:val="18"/>
                <w:szCs w:val="18"/>
              </w:rPr>
              <w:t> </w:t>
            </w:r>
            <w:r>
              <w:rPr>
                <w:rFonts w:ascii="宋体" w:hAnsi="宋体" w:cs="宋体" w:eastAsia="宋体" w:hint="default"/>
                <w:b/>
                <w:bCs/>
                <w:sz w:val="18"/>
                <w:szCs w:val="18"/>
              </w:rPr>
              <w:t>份数量</w:t>
            </w:r>
            <w:r>
              <w:rPr>
                <w:rFonts w:ascii="宋体" w:hAnsi="宋体" w:cs="宋体" w:eastAsia="宋体" w:hint="default"/>
                <w:sz w:val="18"/>
                <w:szCs w:val="18"/>
              </w:rPr>
            </w:r>
          </w:p>
        </w:tc>
        <w:tc>
          <w:tcPr>
            <w:tcW w:w="1272" w:type="dxa"/>
            <w:vMerge/>
            <w:tcBorders>
              <w:left w:val="single" w:sz="6" w:space="0" w:color="000000"/>
              <w:bottom w:val="single" w:sz="6" w:space="0" w:color="000000"/>
              <w:right w:val="single" w:sz="12" w:space="0" w:color="000000"/>
            </w:tcBorders>
          </w:tcPr>
          <w:p>
            <w:pPr/>
          </w:p>
        </w:tc>
      </w:tr>
      <w:tr>
        <w:trPr>
          <w:trHeight w:val="360" w:hRule="exact"/>
        </w:trPr>
        <w:tc>
          <w:tcPr>
            <w:tcW w:w="679"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sz w:val="18"/>
              </w:rPr>
              <w:t>1</w:t>
            </w:r>
          </w:p>
        </w:tc>
        <w:tc>
          <w:tcPr>
            <w:tcW w:w="345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278,551,532</w:t>
            </w:r>
          </w:p>
        </w:tc>
        <w:tc>
          <w:tcPr>
            <w:tcW w:w="163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29"/>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25</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0</w:t>
            </w:r>
          </w:p>
        </w:tc>
        <w:tc>
          <w:tcPr>
            <w:tcW w:w="1272"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right="53"/>
              <w:jc w:val="center"/>
              <w:rPr>
                <w:rFonts w:ascii="宋体" w:hAnsi="宋体" w:cs="宋体" w:eastAsia="宋体" w:hint="default"/>
                <w:sz w:val="18"/>
                <w:szCs w:val="18"/>
              </w:rPr>
            </w:pPr>
            <w:r>
              <w:rPr>
                <w:rFonts w:ascii="宋体" w:hAnsi="宋体" w:cs="宋体" w:eastAsia="宋体" w:hint="default"/>
                <w:sz w:val="18"/>
                <w:szCs w:val="18"/>
              </w:rPr>
              <w:t>限售</w:t>
            </w:r>
            <w:r>
              <w:rPr>
                <w:rFonts w:ascii="宋体" w:hAnsi="宋体" w:cs="宋体" w:eastAsia="宋体" w:hint="default"/>
                <w:spacing w:val="-45"/>
                <w:sz w:val="18"/>
                <w:szCs w:val="18"/>
              </w:rPr>
              <w:t> </w:t>
            </w:r>
            <w:r>
              <w:rPr>
                <w:rFonts w:ascii="宋体" w:hAnsi="宋体" w:cs="宋体" w:eastAsia="宋体" w:hint="default"/>
                <w:sz w:val="18"/>
                <w:szCs w:val="18"/>
              </w:rPr>
              <w:t>36</w:t>
            </w:r>
            <w:r>
              <w:rPr>
                <w:rFonts w:ascii="宋体" w:hAnsi="宋体" w:cs="宋体" w:eastAsia="宋体" w:hint="default"/>
                <w:spacing w:val="-44"/>
                <w:sz w:val="18"/>
                <w:szCs w:val="18"/>
              </w:rPr>
              <w:t> </w:t>
            </w:r>
            <w:r>
              <w:rPr>
                <w:rFonts w:ascii="宋体" w:hAnsi="宋体" w:cs="宋体" w:eastAsia="宋体" w:hint="default"/>
                <w:sz w:val="18"/>
                <w:szCs w:val="18"/>
              </w:rPr>
              <w:t>个月</w:t>
            </w:r>
          </w:p>
        </w:tc>
      </w:tr>
      <w:tr>
        <w:trPr>
          <w:trHeight w:val="480" w:hRule="exact"/>
        </w:trPr>
        <w:tc>
          <w:tcPr>
            <w:tcW w:w="679"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sz w:val="18"/>
              </w:rPr>
              <w:t>2</w:t>
            </w:r>
          </w:p>
        </w:tc>
        <w:tc>
          <w:tcPr>
            <w:tcW w:w="3457"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博时基金－兴业银行－博时资本管理有限</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208,913,649</w:t>
            </w:r>
          </w:p>
        </w:tc>
        <w:tc>
          <w:tcPr>
            <w:tcW w:w="163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29"/>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25</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0</w:t>
            </w:r>
          </w:p>
        </w:tc>
        <w:tc>
          <w:tcPr>
            <w:tcW w:w="1272"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right="53"/>
              <w:jc w:val="center"/>
              <w:rPr>
                <w:rFonts w:ascii="宋体" w:hAnsi="宋体" w:cs="宋体" w:eastAsia="宋体" w:hint="default"/>
                <w:sz w:val="18"/>
                <w:szCs w:val="18"/>
              </w:rPr>
            </w:pPr>
            <w:r>
              <w:rPr>
                <w:rFonts w:ascii="宋体" w:hAnsi="宋体" w:cs="宋体" w:eastAsia="宋体" w:hint="default"/>
                <w:sz w:val="18"/>
                <w:szCs w:val="18"/>
              </w:rPr>
              <w:t>限售</w:t>
            </w:r>
            <w:r>
              <w:rPr>
                <w:rFonts w:ascii="宋体" w:hAnsi="宋体" w:cs="宋体" w:eastAsia="宋体" w:hint="default"/>
                <w:spacing w:val="-45"/>
                <w:sz w:val="18"/>
                <w:szCs w:val="18"/>
              </w:rPr>
              <w:t> </w:t>
            </w:r>
            <w:r>
              <w:rPr>
                <w:rFonts w:ascii="宋体" w:hAnsi="宋体" w:cs="宋体" w:eastAsia="宋体" w:hint="default"/>
                <w:sz w:val="18"/>
                <w:szCs w:val="18"/>
              </w:rPr>
              <w:t>36</w:t>
            </w:r>
            <w:r>
              <w:rPr>
                <w:rFonts w:ascii="宋体" w:hAnsi="宋体" w:cs="宋体" w:eastAsia="宋体" w:hint="default"/>
                <w:spacing w:val="-44"/>
                <w:sz w:val="18"/>
                <w:szCs w:val="18"/>
              </w:rPr>
              <w:t> </w:t>
            </w:r>
            <w:r>
              <w:rPr>
                <w:rFonts w:ascii="宋体" w:hAnsi="宋体" w:cs="宋体" w:eastAsia="宋体" w:hint="default"/>
                <w:sz w:val="18"/>
                <w:szCs w:val="18"/>
              </w:rPr>
              <w:t>个月</w:t>
            </w:r>
          </w:p>
        </w:tc>
      </w:tr>
      <w:tr>
        <w:trPr>
          <w:trHeight w:val="482" w:hRule="exact"/>
        </w:trPr>
        <w:tc>
          <w:tcPr>
            <w:tcW w:w="679"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93" w:right="0"/>
              <w:jc w:val="left"/>
              <w:rPr>
                <w:rFonts w:ascii="宋体" w:hAnsi="宋体" w:cs="宋体" w:eastAsia="宋体" w:hint="default"/>
                <w:sz w:val="18"/>
                <w:szCs w:val="18"/>
              </w:rPr>
            </w:pPr>
            <w:r>
              <w:rPr>
                <w:rFonts w:ascii="宋体"/>
                <w:sz w:val="18"/>
              </w:rPr>
              <w:t>3</w:t>
            </w:r>
          </w:p>
        </w:tc>
        <w:tc>
          <w:tcPr>
            <w:tcW w:w="345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工银瑞信－广发银行－新疆盛世伟业股权</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投资有限公司</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pacing w:val="-1"/>
                <w:sz w:val="18"/>
              </w:rPr>
              <w:t>139,275,766</w:t>
            </w:r>
          </w:p>
        </w:tc>
        <w:tc>
          <w:tcPr>
            <w:tcW w:w="1639"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29"/>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25</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02"/>
              <w:jc w:val="right"/>
              <w:rPr>
                <w:rFonts w:ascii="宋体" w:hAnsi="宋体" w:cs="宋体" w:eastAsia="宋体" w:hint="default"/>
                <w:sz w:val="18"/>
                <w:szCs w:val="18"/>
              </w:rPr>
            </w:pPr>
            <w:r>
              <w:rPr>
                <w:rFonts w:ascii="宋体"/>
                <w:sz w:val="18"/>
              </w:rPr>
              <w:t>0</w:t>
            </w:r>
          </w:p>
        </w:tc>
        <w:tc>
          <w:tcPr>
            <w:tcW w:w="1272" w:type="dxa"/>
            <w:tcBorders>
              <w:top w:val="single" w:sz="6" w:space="0" w:color="000000"/>
              <w:left w:val="single" w:sz="6" w:space="0" w:color="000000"/>
              <w:bottom w:val="single" w:sz="6" w:space="0" w:color="000000"/>
              <w:right w:val="single" w:sz="12" w:space="0" w:color="000000"/>
            </w:tcBorders>
          </w:tcPr>
          <w:p>
            <w:pPr>
              <w:pStyle w:val="TableParagraph"/>
              <w:spacing w:line="208" w:lineRule="exact"/>
              <w:ind w:right="53"/>
              <w:jc w:val="center"/>
              <w:rPr>
                <w:rFonts w:ascii="宋体" w:hAnsi="宋体" w:cs="宋体" w:eastAsia="宋体" w:hint="default"/>
                <w:sz w:val="18"/>
                <w:szCs w:val="18"/>
              </w:rPr>
            </w:pPr>
            <w:r>
              <w:rPr>
                <w:rFonts w:ascii="宋体" w:hAnsi="宋体" w:cs="宋体" w:eastAsia="宋体" w:hint="default"/>
                <w:sz w:val="18"/>
                <w:szCs w:val="18"/>
              </w:rPr>
              <w:t>限售</w:t>
            </w:r>
            <w:r>
              <w:rPr>
                <w:rFonts w:ascii="宋体" w:hAnsi="宋体" w:cs="宋体" w:eastAsia="宋体" w:hint="default"/>
                <w:spacing w:val="-45"/>
                <w:sz w:val="18"/>
                <w:szCs w:val="18"/>
              </w:rPr>
              <w:t> </w:t>
            </w:r>
            <w:r>
              <w:rPr>
                <w:rFonts w:ascii="宋体" w:hAnsi="宋体" w:cs="宋体" w:eastAsia="宋体" w:hint="default"/>
                <w:sz w:val="18"/>
                <w:szCs w:val="18"/>
              </w:rPr>
              <w:t>36</w:t>
            </w:r>
            <w:r>
              <w:rPr>
                <w:rFonts w:ascii="宋体" w:hAnsi="宋体" w:cs="宋体" w:eastAsia="宋体" w:hint="default"/>
                <w:spacing w:val="-44"/>
                <w:sz w:val="18"/>
                <w:szCs w:val="18"/>
              </w:rPr>
              <w:t> </w:t>
            </w:r>
            <w:r>
              <w:rPr>
                <w:rFonts w:ascii="宋体" w:hAnsi="宋体" w:cs="宋体" w:eastAsia="宋体" w:hint="default"/>
                <w:sz w:val="18"/>
                <w:szCs w:val="18"/>
              </w:rPr>
              <w:t>个月</w:t>
            </w:r>
          </w:p>
        </w:tc>
      </w:tr>
      <w:tr>
        <w:trPr>
          <w:trHeight w:val="361" w:hRule="exact"/>
        </w:trPr>
        <w:tc>
          <w:tcPr>
            <w:tcW w:w="679"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sz w:val="18"/>
              </w:rPr>
              <w:t>4</w:t>
            </w:r>
          </w:p>
        </w:tc>
        <w:tc>
          <w:tcPr>
            <w:tcW w:w="345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杜国楹</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96,849,439</w:t>
            </w:r>
          </w:p>
        </w:tc>
        <w:tc>
          <w:tcPr>
            <w:tcW w:w="163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29"/>
              <w:jc w:val="center"/>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14</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0</w:t>
            </w:r>
          </w:p>
        </w:tc>
        <w:tc>
          <w:tcPr>
            <w:tcW w:w="1272"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right="53"/>
              <w:jc w:val="center"/>
              <w:rPr>
                <w:rFonts w:ascii="宋体" w:hAnsi="宋体" w:cs="宋体" w:eastAsia="宋体" w:hint="default"/>
                <w:sz w:val="18"/>
                <w:szCs w:val="18"/>
              </w:rPr>
            </w:pPr>
            <w:r>
              <w:rPr>
                <w:rFonts w:ascii="宋体" w:hAnsi="宋体" w:cs="宋体" w:eastAsia="宋体" w:hint="default"/>
                <w:sz w:val="18"/>
                <w:szCs w:val="18"/>
              </w:rPr>
              <w:t>限售</w:t>
            </w:r>
            <w:r>
              <w:rPr>
                <w:rFonts w:ascii="宋体" w:hAnsi="宋体" w:cs="宋体" w:eastAsia="宋体" w:hint="default"/>
                <w:spacing w:val="-45"/>
                <w:sz w:val="18"/>
                <w:szCs w:val="18"/>
              </w:rPr>
              <w:t> </w:t>
            </w:r>
            <w:r>
              <w:rPr>
                <w:rFonts w:ascii="宋体" w:hAnsi="宋体" w:cs="宋体" w:eastAsia="宋体" w:hint="default"/>
                <w:sz w:val="18"/>
                <w:szCs w:val="18"/>
              </w:rPr>
              <w:t>36</w:t>
            </w:r>
            <w:r>
              <w:rPr>
                <w:rFonts w:ascii="宋体" w:hAnsi="宋体" w:cs="宋体" w:eastAsia="宋体" w:hint="default"/>
                <w:spacing w:val="-44"/>
                <w:sz w:val="18"/>
                <w:szCs w:val="18"/>
              </w:rPr>
              <w:t> </w:t>
            </w:r>
            <w:r>
              <w:rPr>
                <w:rFonts w:ascii="宋体" w:hAnsi="宋体" w:cs="宋体" w:eastAsia="宋体" w:hint="default"/>
                <w:sz w:val="18"/>
                <w:szCs w:val="18"/>
              </w:rPr>
              <w:t>个月</w:t>
            </w:r>
          </w:p>
        </w:tc>
      </w:tr>
      <w:tr>
        <w:trPr>
          <w:trHeight w:val="360" w:hRule="exact"/>
        </w:trPr>
        <w:tc>
          <w:tcPr>
            <w:tcW w:w="679"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sz w:val="18"/>
              </w:rPr>
              <w:t>5</w:t>
            </w:r>
          </w:p>
        </w:tc>
        <w:tc>
          <w:tcPr>
            <w:tcW w:w="345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紫光集团有限公司</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69,637,883</w:t>
            </w:r>
          </w:p>
        </w:tc>
        <w:tc>
          <w:tcPr>
            <w:tcW w:w="163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29"/>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25</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0</w:t>
            </w:r>
          </w:p>
        </w:tc>
        <w:tc>
          <w:tcPr>
            <w:tcW w:w="1272"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right="53"/>
              <w:jc w:val="center"/>
              <w:rPr>
                <w:rFonts w:ascii="宋体" w:hAnsi="宋体" w:cs="宋体" w:eastAsia="宋体" w:hint="default"/>
                <w:sz w:val="18"/>
                <w:szCs w:val="18"/>
              </w:rPr>
            </w:pPr>
            <w:r>
              <w:rPr>
                <w:rFonts w:ascii="宋体" w:hAnsi="宋体" w:cs="宋体" w:eastAsia="宋体" w:hint="default"/>
                <w:sz w:val="18"/>
                <w:szCs w:val="18"/>
              </w:rPr>
              <w:t>限售</w:t>
            </w:r>
            <w:r>
              <w:rPr>
                <w:rFonts w:ascii="宋体" w:hAnsi="宋体" w:cs="宋体" w:eastAsia="宋体" w:hint="default"/>
                <w:spacing w:val="-45"/>
                <w:sz w:val="18"/>
                <w:szCs w:val="18"/>
              </w:rPr>
              <w:t> </w:t>
            </w:r>
            <w:r>
              <w:rPr>
                <w:rFonts w:ascii="宋体" w:hAnsi="宋体" w:cs="宋体" w:eastAsia="宋体" w:hint="default"/>
                <w:sz w:val="18"/>
                <w:szCs w:val="18"/>
              </w:rPr>
              <w:t>36</w:t>
            </w:r>
            <w:r>
              <w:rPr>
                <w:rFonts w:ascii="宋体" w:hAnsi="宋体" w:cs="宋体" w:eastAsia="宋体" w:hint="default"/>
                <w:spacing w:val="-44"/>
                <w:sz w:val="18"/>
                <w:szCs w:val="18"/>
              </w:rPr>
              <w:t> </w:t>
            </w:r>
            <w:r>
              <w:rPr>
                <w:rFonts w:ascii="宋体" w:hAnsi="宋体" w:cs="宋体" w:eastAsia="宋体" w:hint="default"/>
                <w:sz w:val="18"/>
                <w:szCs w:val="18"/>
              </w:rPr>
              <w:t>个月</w:t>
            </w:r>
          </w:p>
        </w:tc>
      </w:tr>
      <w:tr>
        <w:trPr>
          <w:trHeight w:val="482" w:hRule="exact"/>
        </w:trPr>
        <w:tc>
          <w:tcPr>
            <w:tcW w:w="679"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sz w:val="18"/>
              </w:rPr>
              <w:t>6</w:t>
            </w:r>
          </w:p>
        </w:tc>
        <w:tc>
          <w:tcPr>
            <w:tcW w:w="345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工银瑞信添安股票专项型养老金产品－中</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国工商银行股份有限公司</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62,674,094</w:t>
            </w:r>
          </w:p>
        </w:tc>
        <w:tc>
          <w:tcPr>
            <w:tcW w:w="163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29"/>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25</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0</w:t>
            </w:r>
          </w:p>
        </w:tc>
        <w:tc>
          <w:tcPr>
            <w:tcW w:w="1272"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right="53"/>
              <w:jc w:val="center"/>
              <w:rPr>
                <w:rFonts w:ascii="宋体" w:hAnsi="宋体" w:cs="宋体" w:eastAsia="宋体" w:hint="default"/>
                <w:sz w:val="18"/>
                <w:szCs w:val="18"/>
              </w:rPr>
            </w:pPr>
            <w:r>
              <w:rPr>
                <w:rFonts w:ascii="宋体" w:hAnsi="宋体" w:cs="宋体" w:eastAsia="宋体" w:hint="default"/>
                <w:sz w:val="18"/>
                <w:szCs w:val="18"/>
              </w:rPr>
              <w:t>限售</w:t>
            </w:r>
            <w:r>
              <w:rPr>
                <w:rFonts w:ascii="宋体" w:hAnsi="宋体" w:cs="宋体" w:eastAsia="宋体" w:hint="default"/>
                <w:spacing w:val="-45"/>
                <w:sz w:val="18"/>
                <w:szCs w:val="18"/>
              </w:rPr>
              <w:t> </w:t>
            </w:r>
            <w:r>
              <w:rPr>
                <w:rFonts w:ascii="宋体" w:hAnsi="宋体" w:cs="宋体" w:eastAsia="宋体" w:hint="default"/>
                <w:sz w:val="18"/>
                <w:szCs w:val="18"/>
              </w:rPr>
              <w:t>36</w:t>
            </w:r>
            <w:r>
              <w:rPr>
                <w:rFonts w:ascii="宋体" w:hAnsi="宋体" w:cs="宋体" w:eastAsia="宋体" w:hint="default"/>
                <w:spacing w:val="-44"/>
                <w:sz w:val="18"/>
                <w:szCs w:val="18"/>
              </w:rPr>
              <w:t> </w:t>
            </w:r>
            <w:r>
              <w:rPr>
                <w:rFonts w:ascii="宋体" w:hAnsi="宋体" w:cs="宋体" w:eastAsia="宋体" w:hint="default"/>
                <w:sz w:val="18"/>
                <w:szCs w:val="18"/>
              </w:rPr>
              <w:t>个月</w:t>
            </w:r>
          </w:p>
        </w:tc>
      </w:tr>
      <w:tr>
        <w:trPr>
          <w:trHeight w:val="360" w:hRule="exact"/>
        </w:trPr>
        <w:tc>
          <w:tcPr>
            <w:tcW w:w="679"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sz w:val="18"/>
              </w:rPr>
              <w:t>7</w:t>
            </w:r>
          </w:p>
        </w:tc>
        <w:tc>
          <w:tcPr>
            <w:tcW w:w="345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蒋宇飞</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20,025,170</w:t>
            </w:r>
          </w:p>
        </w:tc>
        <w:tc>
          <w:tcPr>
            <w:tcW w:w="163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29"/>
              <w:jc w:val="center"/>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14</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0</w:t>
            </w:r>
          </w:p>
        </w:tc>
        <w:tc>
          <w:tcPr>
            <w:tcW w:w="1272"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right="53"/>
              <w:jc w:val="center"/>
              <w:rPr>
                <w:rFonts w:ascii="宋体" w:hAnsi="宋体" w:cs="宋体" w:eastAsia="宋体" w:hint="default"/>
                <w:sz w:val="18"/>
                <w:szCs w:val="18"/>
              </w:rPr>
            </w:pPr>
            <w:r>
              <w:rPr>
                <w:rFonts w:ascii="宋体" w:hAnsi="宋体" w:cs="宋体" w:eastAsia="宋体" w:hint="default"/>
                <w:sz w:val="18"/>
                <w:szCs w:val="18"/>
              </w:rPr>
              <w:t>限售</w:t>
            </w:r>
            <w:r>
              <w:rPr>
                <w:rFonts w:ascii="宋体" w:hAnsi="宋体" w:cs="宋体" w:eastAsia="宋体" w:hint="default"/>
                <w:spacing w:val="-45"/>
                <w:sz w:val="18"/>
                <w:szCs w:val="18"/>
              </w:rPr>
              <w:t> </w:t>
            </w:r>
            <w:r>
              <w:rPr>
                <w:rFonts w:ascii="宋体" w:hAnsi="宋体" w:cs="宋体" w:eastAsia="宋体" w:hint="default"/>
                <w:sz w:val="18"/>
                <w:szCs w:val="18"/>
              </w:rPr>
              <w:t>36</w:t>
            </w:r>
            <w:r>
              <w:rPr>
                <w:rFonts w:ascii="宋体" w:hAnsi="宋体" w:cs="宋体" w:eastAsia="宋体" w:hint="default"/>
                <w:spacing w:val="-44"/>
                <w:sz w:val="18"/>
                <w:szCs w:val="18"/>
              </w:rPr>
              <w:t> </w:t>
            </w:r>
            <w:r>
              <w:rPr>
                <w:rFonts w:ascii="宋体" w:hAnsi="宋体" w:cs="宋体" w:eastAsia="宋体" w:hint="default"/>
                <w:sz w:val="18"/>
                <w:szCs w:val="18"/>
              </w:rPr>
              <w:t>个月</w:t>
            </w:r>
          </w:p>
        </w:tc>
      </w:tr>
      <w:tr>
        <w:trPr>
          <w:trHeight w:val="482" w:hRule="exact"/>
        </w:trPr>
        <w:tc>
          <w:tcPr>
            <w:tcW w:w="679"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sz w:val="18"/>
              </w:rPr>
              <w:t>8</w:t>
            </w:r>
          </w:p>
        </w:tc>
        <w:tc>
          <w:tcPr>
            <w:tcW w:w="345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工银瑞信基金－广发银行－同方股份定增</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z w:val="18"/>
                <w:szCs w:val="18"/>
              </w:rPr>
              <w:t>号资产管理计划</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6,963,789</w:t>
            </w:r>
          </w:p>
        </w:tc>
        <w:tc>
          <w:tcPr>
            <w:tcW w:w="163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29"/>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25</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0</w:t>
            </w:r>
          </w:p>
        </w:tc>
        <w:tc>
          <w:tcPr>
            <w:tcW w:w="1272"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right="53"/>
              <w:jc w:val="center"/>
              <w:rPr>
                <w:rFonts w:ascii="宋体" w:hAnsi="宋体" w:cs="宋体" w:eastAsia="宋体" w:hint="default"/>
                <w:sz w:val="18"/>
                <w:szCs w:val="18"/>
              </w:rPr>
            </w:pPr>
            <w:r>
              <w:rPr>
                <w:rFonts w:ascii="宋体" w:hAnsi="宋体" w:cs="宋体" w:eastAsia="宋体" w:hint="default"/>
                <w:sz w:val="18"/>
                <w:szCs w:val="18"/>
              </w:rPr>
              <w:t>限售</w:t>
            </w:r>
            <w:r>
              <w:rPr>
                <w:rFonts w:ascii="宋体" w:hAnsi="宋体" w:cs="宋体" w:eastAsia="宋体" w:hint="default"/>
                <w:spacing w:val="-45"/>
                <w:sz w:val="18"/>
                <w:szCs w:val="18"/>
              </w:rPr>
              <w:t> </w:t>
            </w:r>
            <w:r>
              <w:rPr>
                <w:rFonts w:ascii="宋体" w:hAnsi="宋体" w:cs="宋体" w:eastAsia="宋体" w:hint="default"/>
                <w:sz w:val="18"/>
                <w:szCs w:val="18"/>
              </w:rPr>
              <w:t>36</w:t>
            </w:r>
            <w:r>
              <w:rPr>
                <w:rFonts w:ascii="宋体" w:hAnsi="宋体" w:cs="宋体" w:eastAsia="宋体" w:hint="default"/>
                <w:spacing w:val="-44"/>
                <w:sz w:val="18"/>
                <w:szCs w:val="18"/>
              </w:rPr>
              <w:t> </w:t>
            </w:r>
            <w:r>
              <w:rPr>
                <w:rFonts w:ascii="宋体" w:hAnsi="宋体" w:cs="宋体" w:eastAsia="宋体" w:hint="default"/>
                <w:sz w:val="18"/>
                <w:szCs w:val="18"/>
              </w:rPr>
              <w:t>个月</w:t>
            </w:r>
          </w:p>
        </w:tc>
      </w:tr>
      <w:tr>
        <w:trPr>
          <w:trHeight w:val="360" w:hRule="exact"/>
        </w:trPr>
        <w:tc>
          <w:tcPr>
            <w:tcW w:w="679"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sz w:val="18"/>
              </w:rPr>
              <w:t>9</w:t>
            </w:r>
          </w:p>
        </w:tc>
        <w:tc>
          <w:tcPr>
            <w:tcW w:w="345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周佳</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6,675,050</w:t>
            </w:r>
          </w:p>
        </w:tc>
        <w:tc>
          <w:tcPr>
            <w:tcW w:w="163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29"/>
              <w:jc w:val="center"/>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14</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0</w:t>
            </w:r>
          </w:p>
        </w:tc>
        <w:tc>
          <w:tcPr>
            <w:tcW w:w="1272"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right="53"/>
              <w:jc w:val="center"/>
              <w:rPr>
                <w:rFonts w:ascii="宋体" w:hAnsi="宋体" w:cs="宋体" w:eastAsia="宋体" w:hint="default"/>
                <w:sz w:val="18"/>
                <w:szCs w:val="18"/>
              </w:rPr>
            </w:pPr>
            <w:r>
              <w:rPr>
                <w:rFonts w:ascii="宋体" w:hAnsi="宋体" w:cs="宋体" w:eastAsia="宋体" w:hint="default"/>
                <w:sz w:val="18"/>
                <w:szCs w:val="18"/>
              </w:rPr>
              <w:t>限售</w:t>
            </w:r>
            <w:r>
              <w:rPr>
                <w:rFonts w:ascii="宋体" w:hAnsi="宋体" w:cs="宋体" w:eastAsia="宋体" w:hint="default"/>
                <w:spacing w:val="-45"/>
                <w:sz w:val="18"/>
                <w:szCs w:val="18"/>
              </w:rPr>
              <w:t> </w:t>
            </w:r>
            <w:r>
              <w:rPr>
                <w:rFonts w:ascii="宋体" w:hAnsi="宋体" w:cs="宋体" w:eastAsia="宋体" w:hint="default"/>
                <w:sz w:val="18"/>
                <w:szCs w:val="18"/>
              </w:rPr>
              <w:t>36</w:t>
            </w:r>
            <w:r>
              <w:rPr>
                <w:rFonts w:ascii="宋体" w:hAnsi="宋体" w:cs="宋体" w:eastAsia="宋体" w:hint="default"/>
                <w:spacing w:val="-44"/>
                <w:sz w:val="18"/>
                <w:szCs w:val="18"/>
              </w:rPr>
              <w:t> </w:t>
            </w:r>
            <w:r>
              <w:rPr>
                <w:rFonts w:ascii="宋体" w:hAnsi="宋体" w:cs="宋体" w:eastAsia="宋体" w:hint="default"/>
                <w:sz w:val="18"/>
                <w:szCs w:val="18"/>
              </w:rPr>
              <w:t>个月</w:t>
            </w:r>
          </w:p>
        </w:tc>
      </w:tr>
      <w:tr>
        <w:trPr>
          <w:trHeight w:val="360" w:hRule="exact"/>
        </w:trPr>
        <w:tc>
          <w:tcPr>
            <w:tcW w:w="679"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sz w:val="18"/>
              </w:rPr>
              <w:t>10</w:t>
            </w:r>
          </w:p>
        </w:tc>
        <w:tc>
          <w:tcPr>
            <w:tcW w:w="345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方礼勇</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2,482,769</w:t>
            </w:r>
          </w:p>
        </w:tc>
        <w:tc>
          <w:tcPr>
            <w:tcW w:w="163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29"/>
              <w:jc w:val="center"/>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14</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0</w:t>
            </w:r>
          </w:p>
        </w:tc>
        <w:tc>
          <w:tcPr>
            <w:tcW w:w="1272" w:type="dxa"/>
            <w:tcBorders>
              <w:top w:val="single" w:sz="6" w:space="0" w:color="000000"/>
              <w:left w:val="single" w:sz="6" w:space="0" w:color="000000"/>
              <w:bottom w:val="single" w:sz="6" w:space="0" w:color="000000"/>
              <w:right w:val="single" w:sz="12" w:space="0" w:color="000000"/>
            </w:tcBorders>
          </w:tcPr>
          <w:p>
            <w:pPr>
              <w:pStyle w:val="TableParagraph"/>
              <w:spacing w:line="205" w:lineRule="exact"/>
              <w:ind w:right="53"/>
              <w:jc w:val="center"/>
              <w:rPr>
                <w:rFonts w:ascii="宋体" w:hAnsi="宋体" w:cs="宋体" w:eastAsia="宋体" w:hint="default"/>
                <w:sz w:val="18"/>
                <w:szCs w:val="18"/>
              </w:rPr>
            </w:pPr>
            <w:r>
              <w:rPr>
                <w:rFonts w:ascii="宋体" w:hAnsi="宋体" w:cs="宋体" w:eastAsia="宋体" w:hint="default"/>
                <w:sz w:val="18"/>
                <w:szCs w:val="18"/>
              </w:rPr>
              <w:t>限售</w:t>
            </w:r>
            <w:r>
              <w:rPr>
                <w:rFonts w:ascii="宋体" w:hAnsi="宋体" w:cs="宋体" w:eastAsia="宋体" w:hint="default"/>
                <w:spacing w:val="-45"/>
                <w:sz w:val="18"/>
                <w:szCs w:val="18"/>
              </w:rPr>
              <w:t> </w:t>
            </w:r>
            <w:r>
              <w:rPr>
                <w:rFonts w:ascii="宋体" w:hAnsi="宋体" w:cs="宋体" w:eastAsia="宋体" w:hint="default"/>
                <w:sz w:val="18"/>
                <w:szCs w:val="18"/>
              </w:rPr>
              <w:t>36</w:t>
            </w:r>
            <w:r>
              <w:rPr>
                <w:rFonts w:ascii="宋体" w:hAnsi="宋体" w:cs="宋体" w:eastAsia="宋体" w:hint="default"/>
                <w:spacing w:val="-44"/>
                <w:sz w:val="18"/>
                <w:szCs w:val="18"/>
              </w:rPr>
              <w:t> </w:t>
            </w:r>
            <w:r>
              <w:rPr>
                <w:rFonts w:ascii="宋体" w:hAnsi="宋体" w:cs="宋体" w:eastAsia="宋体" w:hint="default"/>
                <w:sz w:val="18"/>
                <w:szCs w:val="18"/>
              </w:rPr>
              <w:t>个月</w:t>
            </w:r>
          </w:p>
        </w:tc>
      </w:tr>
      <w:tr>
        <w:trPr>
          <w:trHeight w:val="1191" w:hRule="exact"/>
        </w:trPr>
        <w:tc>
          <w:tcPr>
            <w:tcW w:w="4136" w:type="dxa"/>
            <w:gridSpan w:val="2"/>
            <w:tcBorders>
              <w:top w:val="single" w:sz="6" w:space="0" w:color="000000"/>
              <w:left w:val="single" w:sz="12" w:space="0" w:color="000000"/>
              <w:bottom w:val="single" w:sz="12"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5612" w:type="dxa"/>
            <w:gridSpan w:val="4"/>
            <w:tcBorders>
              <w:top w:val="single" w:sz="6" w:space="0" w:color="000000"/>
              <w:left w:val="single" w:sz="6" w:space="0" w:color="000000"/>
              <w:bottom w:val="single" w:sz="12" w:space="0" w:color="000000"/>
              <w:right w:val="single" w:sz="12" w:space="0" w:color="000000"/>
            </w:tcBorders>
          </w:tcPr>
          <w:p>
            <w:pPr>
              <w:pStyle w:val="TableParagraph"/>
              <w:spacing w:line="204" w:lineRule="exact"/>
              <w:ind w:left="100" w:right="0"/>
              <w:jc w:val="both"/>
              <w:rPr>
                <w:rFonts w:ascii="宋体" w:hAnsi="宋体" w:cs="宋体" w:eastAsia="宋体" w:hint="default"/>
                <w:sz w:val="18"/>
                <w:szCs w:val="18"/>
              </w:rPr>
            </w:pPr>
            <w:r>
              <w:rPr>
                <w:rFonts w:ascii="宋体" w:hAnsi="宋体" w:cs="宋体" w:eastAsia="宋体" w:hint="default"/>
                <w:sz w:val="18"/>
                <w:szCs w:val="18"/>
              </w:rPr>
              <w:t>除紫光集团有限公司系清华控股下属控股子公司、工银瑞信－广发</w:t>
            </w:r>
          </w:p>
          <w:p>
            <w:pPr>
              <w:pStyle w:val="TableParagraph"/>
              <w:spacing w:line="237" w:lineRule="auto"/>
              <w:ind w:left="100" w:right="198"/>
              <w:jc w:val="both"/>
              <w:rPr>
                <w:rFonts w:ascii="宋体" w:hAnsi="宋体" w:cs="宋体" w:eastAsia="宋体" w:hint="default"/>
                <w:sz w:val="18"/>
                <w:szCs w:val="18"/>
              </w:rPr>
            </w:pPr>
            <w:r>
              <w:rPr>
                <w:rFonts w:ascii="宋体" w:hAnsi="宋体" w:cs="宋体" w:eastAsia="宋体" w:hint="default"/>
                <w:sz w:val="18"/>
                <w:szCs w:val="18"/>
              </w:rPr>
              <w:t>银行－新疆盛世伟业股权投资有限公司、工银瑞信添安股票专项型</w:t>
            </w:r>
            <w:r>
              <w:rPr>
                <w:rFonts w:ascii="宋体" w:hAnsi="宋体" w:cs="宋体" w:eastAsia="宋体" w:hint="default"/>
                <w:spacing w:val="-33"/>
                <w:sz w:val="18"/>
                <w:szCs w:val="18"/>
              </w:rPr>
              <w:t> </w:t>
            </w:r>
            <w:r>
              <w:rPr>
                <w:rFonts w:ascii="宋体" w:hAnsi="宋体" w:cs="宋体" w:eastAsia="宋体" w:hint="default"/>
                <w:sz w:val="18"/>
                <w:szCs w:val="18"/>
              </w:rPr>
              <w:t>养老金产品－中国工商银行股份有限公司和工银瑞信基金－广发银</w:t>
            </w:r>
            <w:r>
              <w:rPr>
                <w:rFonts w:ascii="宋体" w:hAnsi="宋体" w:cs="宋体" w:eastAsia="宋体" w:hint="default"/>
                <w:spacing w:val="-33"/>
                <w:sz w:val="18"/>
                <w:szCs w:val="18"/>
              </w:rPr>
              <w:t> </w:t>
            </w:r>
            <w:r>
              <w:rPr>
                <w:rFonts w:ascii="宋体" w:hAnsi="宋体" w:cs="宋体" w:eastAsia="宋体" w:hint="default"/>
                <w:sz w:val="18"/>
                <w:szCs w:val="18"/>
              </w:rPr>
              <w:t>行－同方股份定增 </w:t>
            </w:r>
            <w:r>
              <w:rPr>
                <w:rFonts w:ascii="宋体" w:hAnsi="宋体" w:cs="宋体" w:eastAsia="宋体" w:hint="default"/>
                <w:sz w:val="18"/>
                <w:szCs w:val="18"/>
              </w:rPr>
              <w:t>2</w:t>
            </w:r>
            <w:r>
              <w:rPr>
                <w:rFonts w:ascii="宋体" w:hAnsi="宋体" w:cs="宋体" w:eastAsia="宋体" w:hint="default"/>
                <w:spacing w:val="-25"/>
                <w:sz w:val="18"/>
                <w:szCs w:val="18"/>
              </w:rPr>
              <w:t> </w:t>
            </w:r>
            <w:r>
              <w:rPr>
                <w:rFonts w:ascii="宋体" w:hAnsi="宋体" w:cs="宋体" w:eastAsia="宋体" w:hint="default"/>
                <w:sz w:val="18"/>
                <w:szCs w:val="18"/>
              </w:rPr>
              <w:t>号资产管理计划均由工银瑞信基金管理公司管 理外，公司未获知上述股东存在关联关系。</w:t>
            </w:r>
          </w:p>
        </w:tc>
      </w:tr>
    </w:tbl>
    <w:p>
      <w:pPr>
        <w:spacing w:after="0" w:line="237" w:lineRule="auto"/>
        <w:jc w:val="both"/>
        <w:rPr>
          <w:rFonts w:ascii="宋体" w:hAnsi="宋体" w:cs="宋体" w:eastAsia="宋体" w:hint="default"/>
          <w:sz w:val="18"/>
          <w:szCs w:val="18"/>
        </w:rPr>
        <w:sectPr>
          <w:headerReference w:type="default" r:id="rId18"/>
          <w:pgSz w:w="11910" w:h="16840"/>
          <w:pgMar w:header="628" w:footer="760" w:top="1080" w:bottom="960" w:left="1180" w:right="7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pStyle w:val="Heading2"/>
        <w:spacing w:line="240" w:lineRule="auto" w:before="14"/>
        <w:ind w:right="110"/>
        <w:jc w:val="left"/>
      </w:pPr>
      <w:r>
        <w:rPr/>
        <w:t>四、控股股东及实际控制人变更情况</w:t>
      </w:r>
    </w:p>
    <w:p>
      <w:pPr>
        <w:spacing w:line="240" w:lineRule="auto" w:before="8"/>
        <w:rPr>
          <w:rFonts w:ascii="黑体" w:hAnsi="黑体" w:cs="黑体" w:eastAsia="黑体" w:hint="default"/>
          <w:sz w:val="28"/>
          <w:szCs w:val="28"/>
        </w:rPr>
      </w:pPr>
    </w:p>
    <w:p>
      <w:pPr>
        <w:pStyle w:val="Heading3"/>
        <w:spacing w:line="477" w:lineRule="auto"/>
        <w:ind w:right="7242"/>
        <w:jc w:val="left"/>
        <w:rPr>
          <w:b w:val="0"/>
          <w:bCs w:val="0"/>
        </w:rPr>
      </w:pPr>
      <w:r>
        <w:rPr>
          <w:rFonts w:ascii="宋体" w:hAnsi="宋体" w:cs="宋体" w:eastAsia="宋体" w:hint="default"/>
        </w:rPr>
        <w:t>(</w:t>
      </w:r>
      <w:r>
        <w:rPr/>
        <w:t>一</w:t>
      </w:r>
      <w:r>
        <w:rPr>
          <w:rFonts w:ascii="宋体" w:hAnsi="宋体" w:cs="宋体" w:eastAsia="宋体" w:hint="default"/>
        </w:rPr>
        <w:t>)</w:t>
      </w:r>
      <w:r>
        <w:rPr/>
        <w:t>控股股东情况</w:t>
      </w:r>
      <w:r>
        <w:rPr>
          <w:w w:val="99"/>
        </w:rPr>
        <w:t> </w:t>
      </w:r>
      <w:r>
        <w:rPr>
          <w:rFonts w:ascii="宋体" w:hAnsi="宋体" w:cs="宋体" w:eastAsia="宋体" w:hint="default"/>
        </w:rPr>
        <w:t>1</w:t>
      </w:r>
      <w:r>
        <w:rPr/>
        <w:t>、法人</w:t>
      </w:r>
      <w:r>
        <w:rPr>
          <w:b w:val="0"/>
          <w:bCs w:val="0"/>
        </w:rPr>
      </w:r>
    </w:p>
    <w:p>
      <w:pPr>
        <w:spacing w:line="240" w:lineRule="auto" w:before="6"/>
        <w:rPr>
          <w:rFonts w:ascii="宋体" w:hAnsi="宋体" w:cs="宋体" w:eastAsia="宋体" w:hint="default"/>
          <w:b/>
          <w:bCs/>
          <w:sz w:val="8"/>
          <w:szCs w:val="8"/>
        </w:rPr>
      </w:pPr>
    </w:p>
    <w:tbl>
      <w:tblPr>
        <w:tblW w:w="0" w:type="auto"/>
        <w:jc w:val="left"/>
        <w:tblInd w:w="116" w:type="dxa"/>
        <w:tblLayout w:type="fixed"/>
        <w:tblCellMar>
          <w:top w:w="0" w:type="dxa"/>
          <w:left w:w="0" w:type="dxa"/>
          <w:bottom w:w="0" w:type="dxa"/>
          <w:right w:w="0" w:type="dxa"/>
        </w:tblCellMar>
        <w:tblLook w:val="01E0"/>
      </w:tblPr>
      <w:tblGrid>
        <w:gridCol w:w="2660"/>
        <w:gridCol w:w="6759"/>
      </w:tblGrid>
      <w:tr>
        <w:trPr>
          <w:trHeight w:val="295" w:hRule="exact"/>
        </w:trPr>
        <w:tc>
          <w:tcPr>
            <w:tcW w:w="2660"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6759"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清华控股有限公司</w:t>
            </w:r>
          </w:p>
        </w:tc>
      </w:tr>
      <w:tr>
        <w:trPr>
          <w:trHeight w:val="288" w:hRule="exact"/>
        </w:trPr>
        <w:tc>
          <w:tcPr>
            <w:tcW w:w="2660"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单位负责人或法定代表人</w:t>
            </w:r>
          </w:p>
        </w:tc>
        <w:tc>
          <w:tcPr>
            <w:tcW w:w="675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徐井宏</w:t>
            </w:r>
          </w:p>
        </w:tc>
      </w:tr>
      <w:tr>
        <w:trPr>
          <w:trHeight w:val="286" w:hRule="exact"/>
        </w:trPr>
        <w:tc>
          <w:tcPr>
            <w:tcW w:w="2660"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成立日期</w:t>
            </w:r>
          </w:p>
        </w:tc>
        <w:tc>
          <w:tcPr>
            <w:tcW w:w="675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1992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26</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288" w:hRule="exact"/>
        </w:trPr>
        <w:tc>
          <w:tcPr>
            <w:tcW w:w="2660"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6759"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sz w:val="21"/>
              </w:rPr>
              <w:t>10198567-0</w:t>
            </w:r>
          </w:p>
        </w:tc>
      </w:tr>
      <w:tr>
        <w:trPr>
          <w:trHeight w:val="288" w:hRule="exact"/>
        </w:trPr>
        <w:tc>
          <w:tcPr>
            <w:tcW w:w="2660"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注册资本</w:t>
            </w:r>
          </w:p>
        </w:tc>
        <w:tc>
          <w:tcPr>
            <w:tcW w:w="675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25</w:t>
            </w:r>
            <w:r>
              <w:rPr>
                <w:rFonts w:ascii="宋体" w:hAnsi="宋体" w:cs="宋体" w:eastAsia="宋体" w:hint="default"/>
                <w:spacing w:val="-50"/>
                <w:sz w:val="21"/>
                <w:szCs w:val="21"/>
              </w:rPr>
              <w:t> </w:t>
            </w:r>
            <w:r>
              <w:rPr>
                <w:rFonts w:ascii="宋体" w:hAnsi="宋体" w:cs="宋体" w:eastAsia="宋体" w:hint="default"/>
                <w:spacing w:val="-3"/>
                <w:sz w:val="21"/>
                <w:szCs w:val="21"/>
              </w:rPr>
              <w:t>亿元</w:t>
            </w:r>
            <w:r>
              <w:rPr>
                <w:rFonts w:ascii="宋体" w:hAnsi="宋体" w:cs="宋体" w:eastAsia="宋体" w:hint="default"/>
                <w:sz w:val="21"/>
                <w:szCs w:val="21"/>
              </w:rPr>
            </w:r>
          </w:p>
        </w:tc>
      </w:tr>
      <w:tr>
        <w:trPr>
          <w:trHeight w:val="2465" w:hRule="exact"/>
        </w:trPr>
        <w:tc>
          <w:tcPr>
            <w:tcW w:w="2660"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主要经营业务</w:t>
            </w:r>
          </w:p>
        </w:tc>
        <w:tc>
          <w:tcPr>
            <w:tcW w:w="6759"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12"/>
              <w:jc w:val="left"/>
              <w:rPr>
                <w:rFonts w:ascii="宋体" w:hAnsi="宋体" w:cs="宋体" w:eastAsia="宋体" w:hint="default"/>
                <w:sz w:val="21"/>
                <w:szCs w:val="21"/>
              </w:rPr>
            </w:pPr>
            <w:r>
              <w:rPr>
                <w:rFonts w:ascii="宋体" w:hAnsi="宋体" w:cs="宋体" w:eastAsia="宋体" w:hint="default"/>
                <w:sz w:val="21"/>
                <w:szCs w:val="21"/>
              </w:rPr>
              <w:t>清华控股依托清华大学雄厚的科技优势和人才资源，在制定清华大学科</w:t>
            </w:r>
          </w:p>
          <w:p>
            <w:pPr>
              <w:pStyle w:val="TableParagraph"/>
              <w:spacing w:line="237" w:lineRule="auto" w:before="2"/>
              <w:ind w:left="100" w:right="-15"/>
              <w:jc w:val="left"/>
              <w:rPr>
                <w:rFonts w:ascii="宋体" w:hAnsi="宋体" w:cs="宋体" w:eastAsia="宋体" w:hint="default"/>
                <w:sz w:val="21"/>
                <w:szCs w:val="21"/>
              </w:rPr>
            </w:pPr>
            <w:r>
              <w:rPr>
                <w:rFonts w:ascii="宋体" w:hAnsi="宋体" w:cs="宋体" w:eastAsia="宋体" w:hint="default"/>
                <w:spacing w:val="-4"/>
                <w:sz w:val="21"/>
                <w:szCs w:val="21"/>
              </w:rPr>
              <w:t>技产业发展战略、整合资产、调整结构、协调利益等方面发挥主导作用，</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pacing w:val="-4"/>
                <w:sz w:val="21"/>
                <w:szCs w:val="21"/>
              </w:rPr>
              <w:t>是清华大学科技企业投融资、科技开发、成果转化、高新技术企业孵化、</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对外贸易及经济技术合作交流等重大经营活动的决策和管理中心。作为</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清华大学唯一的国有独资有限公司和国有资产授权经营单位，清华控股</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负责经营管理清华大学全部科技型企业，是清华大学科技成果转化的平</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台和孵化器。其经营范围包括资产管理；资产受托管理；实业投资及管</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理；企业收购、兼并、资产重组的策划；科技、经济及相关业务的咨询</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及人员培训。</w:t>
            </w:r>
          </w:p>
        </w:tc>
      </w:tr>
      <w:tr>
        <w:trPr>
          <w:trHeight w:val="840" w:hRule="exact"/>
        </w:trPr>
        <w:tc>
          <w:tcPr>
            <w:tcW w:w="2660" w:type="dxa"/>
            <w:tcBorders>
              <w:top w:val="single" w:sz="6" w:space="0" w:color="000000"/>
              <w:left w:val="single" w:sz="12" w:space="0" w:color="000000"/>
              <w:bottom w:val="single" w:sz="12" w:space="0" w:color="000000"/>
              <w:right w:val="single" w:sz="6" w:space="0" w:color="000000"/>
            </w:tcBorders>
          </w:tcPr>
          <w:p>
            <w:pPr>
              <w:pStyle w:val="TableParagraph"/>
              <w:spacing w:line="242" w:lineRule="exact"/>
              <w:ind w:left="93" w:right="0"/>
              <w:jc w:val="left"/>
              <w:rPr>
                <w:rFonts w:ascii="宋体" w:hAnsi="宋体" w:cs="宋体" w:eastAsia="宋体" w:hint="default"/>
                <w:sz w:val="21"/>
                <w:szCs w:val="21"/>
              </w:rPr>
            </w:pPr>
            <w:r>
              <w:rPr>
                <w:rFonts w:ascii="宋体" w:hAnsi="宋体" w:cs="宋体" w:eastAsia="宋体" w:hint="default"/>
                <w:spacing w:val="9"/>
                <w:sz w:val="21"/>
                <w:szCs w:val="21"/>
              </w:rPr>
              <w:t>报告期内控股和参股的其</w:t>
            </w:r>
          </w:p>
          <w:p>
            <w:pPr>
              <w:pStyle w:val="TableParagraph"/>
              <w:spacing w:line="240" w:lineRule="auto"/>
              <w:ind w:left="93" w:right="98"/>
              <w:jc w:val="left"/>
              <w:rPr>
                <w:rFonts w:ascii="宋体" w:hAnsi="宋体" w:cs="宋体" w:eastAsia="宋体" w:hint="default"/>
                <w:sz w:val="21"/>
                <w:szCs w:val="21"/>
              </w:rPr>
            </w:pPr>
            <w:r>
              <w:rPr>
                <w:rFonts w:ascii="宋体" w:hAnsi="宋体" w:cs="宋体" w:eastAsia="宋体" w:hint="default"/>
                <w:spacing w:val="9"/>
                <w:sz w:val="21"/>
                <w:szCs w:val="21"/>
              </w:rPr>
              <w:t>他境内外上市公司的股权</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情况</w:t>
            </w:r>
          </w:p>
        </w:tc>
        <w:tc>
          <w:tcPr>
            <w:tcW w:w="6759" w:type="dxa"/>
            <w:tcBorders>
              <w:top w:val="single" w:sz="6" w:space="0" w:color="000000"/>
              <w:left w:val="single" w:sz="6" w:space="0" w:color="000000"/>
              <w:bottom w:val="single" w:sz="12" w:space="0" w:color="000000"/>
              <w:right w:val="single" w:sz="12"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截至</w:t>
            </w:r>
            <w:r>
              <w:rPr>
                <w:rFonts w:ascii="宋体" w:hAnsi="宋体" w:cs="宋体" w:eastAsia="宋体" w:hint="default"/>
                <w:spacing w:val="-3"/>
                <w:w w:val="100"/>
                <w:sz w:val="21"/>
                <w:szCs w:val="21"/>
              </w:rPr>
              <w:t>本</w:t>
            </w:r>
            <w:r>
              <w:rPr>
                <w:rFonts w:ascii="宋体" w:hAnsi="宋体" w:cs="宋体" w:eastAsia="宋体" w:hint="default"/>
                <w:w w:val="100"/>
                <w:sz w:val="21"/>
                <w:szCs w:val="21"/>
              </w:rPr>
              <w:t>报</w:t>
            </w:r>
            <w:r>
              <w:rPr>
                <w:rFonts w:ascii="宋体" w:hAnsi="宋体" w:cs="宋体" w:eastAsia="宋体" w:hint="default"/>
                <w:spacing w:val="-3"/>
                <w:w w:val="100"/>
                <w:sz w:val="21"/>
                <w:szCs w:val="21"/>
              </w:rPr>
              <w:t>告</w:t>
            </w:r>
            <w:r>
              <w:rPr>
                <w:rFonts w:ascii="宋体" w:hAnsi="宋体" w:cs="宋体" w:eastAsia="宋体" w:hint="default"/>
                <w:w w:val="100"/>
                <w:sz w:val="21"/>
                <w:szCs w:val="21"/>
              </w:rPr>
              <w:t>期</w:t>
            </w:r>
            <w:r>
              <w:rPr>
                <w:rFonts w:ascii="宋体" w:hAnsi="宋体" w:cs="宋体" w:eastAsia="宋体" w:hint="default"/>
                <w:spacing w:val="-3"/>
                <w:w w:val="100"/>
                <w:sz w:val="21"/>
                <w:szCs w:val="21"/>
              </w:rPr>
              <w:t>末</w:t>
            </w:r>
            <w:r>
              <w:rPr>
                <w:rFonts w:ascii="宋体" w:hAnsi="宋体" w:cs="宋体" w:eastAsia="宋体" w:hint="default"/>
                <w:spacing w:val="-92"/>
                <w:w w:val="100"/>
                <w:sz w:val="21"/>
                <w:szCs w:val="21"/>
              </w:rPr>
              <w:t>，</w:t>
            </w:r>
            <w:r>
              <w:rPr>
                <w:rFonts w:ascii="宋体" w:hAnsi="宋体" w:cs="宋体" w:eastAsia="宋体" w:hint="default"/>
                <w:w w:val="100"/>
                <w:sz w:val="21"/>
                <w:szCs w:val="21"/>
              </w:rPr>
              <w:t>清</w:t>
            </w:r>
            <w:r>
              <w:rPr>
                <w:rFonts w:ascii="宋体" w:hAnsi="宋体" w:cs="宋体" w:eastAsia="宋体" w:hint="default"/>
                <w:spacing w:val="-3"/>
                <w:w w:val="100"/>
                <w:sz w:val="21"/>
                <w:szCs w:val="21"/>
              </w:rPr>
              <w:t>华</w:t>
            </w:r>
            <w:r>
              <w:rPr>
                <w:rFonts w:ascii="宋体" w:hAnsi="宋体" w:cs="宋体" w:eastAsia="宋体" w:hint="default"/>
                <w:w w:val="100"/>
                <w:sz w:val="21"/>
                <w:szCs w:val="21"/>
              </w:rPr>
              <w:t>控</w:t>
            </w:r>
            <w:r>
              <w:rPr>
                <w:rFonts w:ascii="宋体" w:hAnsi="宋体" w:cs="宋体" w:eastAsia="宋体" w:hint="default"/>
                <w:spacing w:val="-3"/>
                <w:w w:val="100"/>
                <w:sz w:val="21"/>
                <w:szCs w:val="21"/>
              </w:rPr>
              <w:t>股</w:t>
            </w:r>
            <w:r>
              <w:rPr>
                <w:rFonts w:ascii="宋体" w:hAnsi="宋体" w:cs="宋体" w:eastAsia="宋体" w:hint="default"/>
                <w:w w:val="100"/>
                <w:sz w:val="21"/>
                <w:szCs w:val="21"/>
              </w:rPr>
              <w:t>还持</w:t>
            </w:r>
            <w:r>
              <w:rPr>
                <w:rFonts w:ascii="宋体" w:hAnsi="宋体" w:cs="宋体" w:eastAsia="宋体" w:hint="default"/>
                <w:spacing w:val="-3"/>
                <w:w w:val="100"/>
                <w:sz w:val="21"/>
                <w:szCs w:val="21"/>
              </w:rPr>
              <w:t>有</w:t>
            </w:r>
            <w:r>
              <w:rPr>
                <w:rFonts w:ascii="宋体" w:hAnsi="宋体" w:cs="宋体" w:eastAsia="宋体" w:hint="default"/>
                <w:w w:val="100"/>
                <w:sz w:val="21"/>
                <w:szCs w:val="21"/>
              </w:rPr>
              <w:t>诚</w:t>
            </w:r>
            <w:r>
              <w:rPr>
                <w:rFonts w:ascii="宋体" w:hAnsi="宋体" w:cs="宋体" w:eastAsia="宋体" w:hint="default"/>
                <w:spacing w:val="-3"/>
                <w:w w:val="100"/>
                <w:sz w:val="21"/>
                <w:szCs w:val="21"/>
              </w:rPr>
              <w:t>志股</w:t>
            </w:r>
            <w:r>
              <w:rPr>
                <w:rFonts w:ascii="宋体" w:hAnsi="宋体" w:cs="宋体" w:eastAsia="宋体" w:hint="default"/>
                <w:w w:val="100"/>
                <w:sz w:val="21"/>
                <w:szCs w:val="21"/>
              </w:rPr>
              <w:t>份</w:t>
            </w:r>
            <w:r>
              <w:rPr>
                <w:rFonts w:ascii="宋体" w:hAnsi="宋体" w:cs="宋体" w:eastAsia="宋体" w:hint="default"/>
                <w:spacing w:val="-53"/>
                <w:sz w:val="21"/>
                <w:szCs w:val="21"/>
              </w:rPr>
              <w:t> </w:t>
            </w:r>
            <w:r>
              <w:rPr>
                <w:rFonts w:ascii="宋体" w:hAnsi="宋体" w:cs="宋体" w:eastAsia="宋体" w:hint="default"/>
                <w:w w:val="100"/>
                <w:sz w:val="21"/>
                <w:szCs w:val="21"/>
              </w:rPr>
              <w:t>38</w:t>
            </w:r>
            <w:r>
              <w:rPr>
                <w:rFonts w:ascii="宋体" w:hAnsi="宋体" w:cs="宋体" w:eastAsia="宋体" w:hint="default"/>
                <w:spacing w:val="-3"/>
                <w:w w:val="100"/>
                <w:sz w:val="21"/>
                <w:szCs w:val="21"/>
              </w:rPr>
              <w:t>.</w:t>
            </w:r>
            <w:r>
              <w:rPr>
                <w:rFonts w:ascii="宋体" w:hAnsi="宋体" w:cs="宋体" w:eastAsia="宋体" w:hint="default"/>
                <w:spacing w:val="-1"/>
                <w:w w:val="100"/>
                <w:sz w:val="21"/>
                <w:szCs w:val="21"/>
              </w:rPr>
              <w:t>0</w:t>
            </w:r>
            <w:r>
              <w:rPr>
                <w:rFonts w:ascii="宋体" w:hAnsi="宋体" w:cs="宋体" w:eastAsia="宋体" w:hint="default"/>
                <w:w w:val="100"/>
                <w:sz w:val="21"/>
                <w:szCs w:val="21"/>
              </w:rPr>
              <w:t>1</w:t>
            </w:r>
            <w:r>
              <w:rPr>
                <w:rFonts w:ascii="宋体" w:hAnsi="宋体" w:cs="宋体" w:eastAsia="宋体" w:hint="default"/>
                <w:spacing w:val="-3"/>
                <w:w w:val="100"/>
                <w:sz w:val="21"/>
                <w:szCs w:val="21"/>
              </w:rPr>
              <w:t>%</w:t>
            </w:r>
            <w:r>
              <w:rPr>
                <w:rFonts w:ascii="宋体" w:hAnsi="宋体" w:cs="宋体" w:eastAsia="宋体" w:hint="default"/>
                <w:spacing w:val="-3"/>
                <w:w w:val="100"/>
                <w:sz w:val="21"/>
                <w:szCs w:val="21"/>
              </w:rPr>
              <w:t>股</w:t>
            </w:r>
            <w:r>
              <w:rPr>
                <w:rFonts w:ascii="宋体" w:hAnsi="宋体" w:cs="宋体" w:eastAsia="宋体" w:hint="default"/>
                <w:w w:val="100"/>
                <w:sz w:val="21"/>
                <w:szCs w:val="21"/>
              </w:rPr>
              <w:t>权</w:t>
            </w:r>
            <w:r>
              <w:rPr>
                <w:rFonts w:ascii="宋体" w:hAnsi="宋体" w:cs="宋体" w:eastAsia="宋体" w:hint="default"/>
                <w:spacing w:val="-92"/>
                <w:w w:val="100"/>
                <w:sz w:val="21"/>
                <w:szCs w:val="21"/>
              </w:rPr>
              <w:t>、</w:t>
            </w:r>
            <w:r>
              <w:rPr>
                <w:rFonts w:ascii="宋体" w:hAnsi="宋体" w:cs="宋体" w:eastAsia="宋体" w:hint="default"/>
                <w:w w:val="100"/>
                <w:sz w:val="21"/>
                <w:szCs w:val="21"/>
              </w:rPr>
              <w:t>紫</w:t>
            </w:r>
            <w:r>
              <w:rPr>
                <w:rFonts w:ascii="宋体" w:hAnsi="宋体" w:cs="宋体" w:eastAsia="宋体" w:hint="default"/>
                <w:spacing w:val="-3"/>
                <w:w w:val="100"/>
                <w:sz w:val="21"/>
                <w:szCs w:val="21"/>
              </w:rPr>
              <w:t>光</w:t>
            </w:r>
            <w:r>
              <w:rPr>
                <w:rFonts w:ascii="宋体" w:hAnsi="宋体" w:cs="宋体" w:eastAsia="宋体" w:hint="default"/>
                <w:w w:val="100"/>
                <w:sz w:val="21"/>
                <w:szCs w:val="21"/>
              </w:rPr>
              <w:t>股份</w:t>
            </w:r>
            <w:r>
              <w:rPr>
                <w:rFonts w:ascii="宋体" w:hAnsi="宋体" w:cs="宋体" w:eastAsia="宋体" w:hint="default"/>
                <w:spacing w:val="-55"/>
                <w:sz w:val="21"/>
                <w:szCs w:val="21"/>
              </w:rPr>
              <w:t> </w:t>
            </w:r>
            <w:r>
              <w:rPr>
                <w:rFonts w:ascii="宋体" w:hAnsi="宋体" w:cs="宋体" w:eastAsia="宋体" w:hint="default"/>
                <w:w w:val="100"/>
                <w:sz w:val="21"/>
                <w:szCs w:val="21"/>
              </w:rPr>
              <w:t>6.6</w:t>
            </w:r>
            <w:r>
              <w:rPr>
                <w:rFonts w:ascii="宋体" w:hAnsi="宋体" w:cs="宋体" w:eastAsia="宋体" w:hint="default"/>
                <w:spacing w:val="-3"/>
                <w:w w:val="100"/>
                <w:sz w:val="21"/>
                <w:szCs w:val="21"/>
              </w:rPr>
              <w:t>2</w:t>
            </w:r>
            <w:r>
              <w:rPr>
                <w:rFonts w:ascii="宋体" w:hAnsi="宋体" w:cs="宋体" w:eastAsia="宋体" w:hint="default"/>
                <w:w w:val="100"/>
                <w:sz w:val="21"/>
                <w:szCs w:val="21"/>
              </w:rPr>
              <w:t>%</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股权，国金证券</w:t>
            </w:r>
            <w:r>
              <w:rPr>
                <w:rFonts w:ascii="宋体" w:hAnsi="宋体" w:cs="宋体" w:eastAsia="宋体" w:hint="default"/>
                <w:spacing w:val="-54"/>
                <w:sz w:val="21"/>
                <w:szCs w:val="21"/>
              </w:rPr>
              <w:t> </w:t>
            </w:r>
            <w:r>
              <w:rPr>
                <w:rFonts w:ascii="宋体" w:hAnsi="宋体" w:cs="宋体" w:eastAsia="宋体" w:hint="default"/>
                <w:sz w:val="21"/>
                <w:szCs w:val="21"/>
              </w:rPr>
              <w:t>9.57%</w:t>
            </w:r>
            <w:r>
              <w:rPr>
                <w:rFonts w:ascii="宋体" w:hAnsi="宋体" w:cs="宋体" w:eastAsia="宋体" w:hint="default"/>
                <w:sz w:val="21"/>
                <w:szCs w:val="21"/>
              </w:rPr>
              <w:t>股权。</w:t>
            </w:r>
          </w:p>
        </w:tc>
      </w:tr>
    </w:tbl>
    <w:p>
      <w:pPr>
        <w:spacing w:line="240" w:lineRule="auto" w:before="10"/>
        <w:rPr>
          <w:rFonts w:ascii="宋体" w:hAnsi="宋体" w:cs="宋体" w:eastAsia="宋体" w:hint="default"/>
          <w:b/>
          <w:bCs/>
          <w:sz w:val="18"/>
          <w:szCs w:val="18"/>
        </w:rPr>
      </w:pPr>
    </w:p>
    <w:p>
      <w:pPr>
        <w:pStyle w:val="Heading3"/>
        <w:spacing w:line="477" w:lineRule="auto" w:before="26"/>
        <w:ind w:left="238" w:right="4955" w:firstLine="256"/>
        <w:jc w:val="left"/>
        <w:rPr>
          <w:rFonts w:ascii="宋体" w:hAnsi="宋体" w:cs="宋体" w:eastAsia="宋体" w:hint="default"/>
          <w:b w:val="0"/>
          <w:bCs w:val="0"/>
        </w:rPr>
      </w:pPr>
      <w:r>
        <w:rPr>
          <w:rFonts w:ascii="宋体" w:hAnsi="宋体" w:cs="宋体" w:eastAsia="宋体" w:hint="default"/>
        </w:rPr>
        <w:t>2</w:t>
      </w:r>
      <w:r>
        <w:rPr/>
        <w:t>、公司不存在控股股东情况的特别说明</w:t>
      </w:r>
      <w:r>
        <w:rPr>
          <w:w w:val="99"/>
        </w:rPr>
        <w:t> </w:t>
      </w:r>
      <w:r>
        <w:rPr>
          <w:rFonts w:ascii="宋体" w:hAnsi="宋体" w:cs="宋体" w:eastAsia="宋体" w:hint="default"/>
          <w:b w:val="0"/>
          <w:bCs w:val="0"/>
        </w:rPr>
        <w:t>不适用。</w:t>
      </w:r>
    </w:p>
    <w:p>
      <w:pPr>
        <w:pStyle w:val="Heading3"/>
        <w:spacing w:line="475" w:lineRule="auto" w:before="70"/>
        <w:ind w:left="238" w:right="4714" w:firstLine="256"/>
        <w:jc w:val="left"/>
        <w:rPr>
          <w:rFonts w:ascii="宋体" w:hAnsi="宋体" w:cs="宋体" w:eastAsia="宋体" w:hint="default"/>
          <w:b w:val="0"/>
          <w:bCs w:val="0"/>
        </w:rPr>
      </w:pPr>
      <w:r>
        <w:rPr>
          <w:rFonts w:ascii="宋体" w:hAnsi="宋体" w:cs="宋体" w:eastAsia="宋体" w:hint="default"/>
        </w:rPr>
        <w:t>3</w:t>
      </w:r>
      <w:r>
        <w:rPr/>
        <w:t>、报告期内控股股东变更情况索引及日期</w:t>
      </w:r>
      <w:r>
        <w:rPr>
          <w:w w:val="99"/>
        </w:rPr>
        <w:t> </w:t>
      </w:r>
      <w:r>
        <w:rPr>
          <w:rFonts w:ascii="宋体" w:hAnsi="宋体" w:cs="宋体" w:eastAsia="宋体" w:hint="default"/>
          <w:b w:val="0"/>
          <w:bCs w:val="0"/>
        </w:rPr>
        <w:t>不适用。</w:t>
      </w:r>
    </w:p>
    <w:p>
      <w:pPr>
        <w:pStyle w:val="Heading3"/>
        <w:spacing w:line="240" w:lineRule="auto" w:before="75"/>
        <w:ind w:right="110"/>
        <w:jc w:val="left"/>
        <w:rPr>
          <w:b w:val="0"/>
          <w:bCs w:val="0"/>
        </w:rPr>
      </w:pPr>
      <w:r>
        <w:rPr>
          <w:rFonts w:ascii="宋体" w:hAnsi="宋体" w:cs="宋体" w:eastAsia="宋体" w:hint="default"/>
        </w:rPr>
        <w:t>4</w:t>
      </w:r>
      <w:r>
        <w:rPr/>
        <w:t>、公司与控股股东之间的产权及控制关系的方框图</w:t>
      </w:r>
      <w:r>
        <w:rPr>
          <w:b w:val="0"/>
          <w:bCs w:val="0"/>
        </w:rPr>
      </w:r>
    </w:p>
    <w:p>
      <w:pPr>
        <w:spacing w:line="240" w:lineRule="auto" w:before="6"/>
        <w:rPr>
          <w:rFonts w:ascii="宋体" w:hAnsi="宋体" w:cs="宋体" w:eastAsia="宋体" w:hint="default"/>
          <w:b/>
          <w:bCs/>
          <w:sz w:val="26"/>
          <w:szCs w:val="26"/>
        </w:rPr>
      </w:pPr>
    </w:p>
    <w:p>
      <w:pPr>
        <w:spacing w:line="2065" w:lineRule="exact"/>
        <w:ind w:left="268" w:right="0" w:firstLine="0"/>
        <w:rPr>
          <w:rFonts w:ascii="宋体" w:hAnsi="宋体" w:cs="宋体" w:eastAsia="宋体" w:hint="default"/>
          <w:sz w:val="20"/>
          <w:szCs w:val="20"/>
        </w:rPr>
      </w:pPr>
      <w:r>
        <w:rPr>
          <w:rFonts w:ascii="宋体" w:hAnsi="宋体" w:cs="宋体" w:eastAsia="宋体" w:hint="default"/>
          <w:position w:val="-40"/>
          <w:sz w:val="20"/>
          <w:szCs w:val="20"/>
        </w:rPr>
        <w:drawing>
          <wp:inline distT="0" distB="0" distL="0" distR="0">
            <wp:extent cx="2114714" cy="1311306"/>
            <wp:effectExtent l="0" t="0" r="0" b="0"/>
            <wp:docPr id="7" name="image5.png" descr=""/>
            <wp:cNvGraphicFramePr>
              <a:graphicFrameLocks noChangeAspect="1"/>
            </wp:cNvGraphicFramePr>
            <a:graphic>
              <a:graphicData uri="http://schemas.openxmlformats.org/drawingml/2006/picture">
                <pic:pic>
                  <pic:nvPicPr>
                    <pic:cNvPr id="8" name="image5.png"/>
                    <pic:cNvPicPr/>
                  </pic:nvPicPr>
                  <pic:blipFill>
                    <a:blip r:embed="rId19" cstate="print"/>
                    <a:stretch>
                      <a:fillRect/>
                    </a:stretch>
                  </pic:blipFill>
                  <pic:spPr>
                    <a:xfrm>
                      <a:off x="0" y="0"/>
                      <a:ext cx="2114714" cy="1311306"/>
                    </a:xfrm>
                    <a:prstGeom prst="rect">
                      <a:avLst/>
                    </a:prstGeom>
                  </pic:spPr>
                </pic:pic>
              </a:graphicData>
            </a:graphic>
          </wp:inline>
        </w:drawing>
      </w:r>
      <w:r>
        <w:rPr>
          <w:rFonts w:ascii="宋体" w:hAnsi="宋体" w:cs="宋体" w:eastAsia="宋体" w:hint="default"/>
          <w:position w:val="-40"/>
          <w:sz w:val="20"/>
          <w:szCs w:val="20"/>
        </w:rPr>
      </w:r>
    </w:p>
    <w:p>
      <w:pPr>
        <w:spacing w:after="0" w:line="2065" w:lineRule="exact"/>
        <w:rPr>
          <w:rFonts w:ascii="宋体" w:hAnsi="宋体" w:cs="宋体" w:eastAsia="宋体" w:hint="default"/>
          <w:sz w:val="20"/>
          <w:szCs w:val="20"/>
        </w:rPr>
        <w:sectPr>
          <w:pgSz w:w="11910" w:h="16840"/>
          <w:pgMar w:header="628" w:footer="760" w:top="1080" w:bottom="960" w:left="1180" w:right="104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Heading3"/>
        <w:spacing w:line="475" w:lineRule="auto" w:before="26"/>
        <w:ind w:left="415" w:right="6902"/>
        <w:jc w:val="left"/>
        <w:rPr>
          <w:b w:val="0"/>
          <w:bCs w:val="0"/>
        </w:rPr>
      </w:pPr>
      <w:r>
        <w:rPr>
          <w:rFonts w:ascii="宋体" w:hAnsi="宋体" w:cs="宋体" w:eastAsia="宋体" w:hint="default"/>
        </w:rPr>
        <w:t>(</w:t>
      </w:r>
      <w:r>
        <w:rPr/>
        <w:t>二</w:t>
      </w:r>
      <w:r>
        <w:rPr>
          <w:rFonts w:ascii="宋体" w:hAnsi="宋体" w:cs="宋体" w:eastAsia="宋体" w:hint="default"/>
        </w:rPr>
        <w:t>)</w:t>
      </w:r>
      <w:r>
        <w:rPr/>
        <w:t>实际控制人情况</w:t>
      </w:r>
      <w:r>
        <w:rPr>
          <w:w w:val="99"/>
        </w:rPr>
        <w:t> </w:t>
      </w:r>
      <w:r>
        <w:rPr>
          <w:rFonts w:ascii="宋体" w:hAnsi="宋体" w:cs="宋体" w:eastAsia="宋体" w:hint="default"/>
        </w:rPr>
        <w:t>1</w:t>
      </w:r>
      <w:r>
        <w:rPr/>
        <w:t>、法人</w:t>
      </w:r>
      <w:r>
        <w:rPr>
          <w:b w:val="0"/>
          <w:bCs w:val="0"/>
        </w:rPr>
      </w:r>
    </w:p>
    <w:p>
      <w:pPr>
        <w:pStyle w:val="BodyText"/>
        <w:spacing w:line="310" w:lineRule="exact" w:before="107"/>
        <w:ind w:right="0"/>
        <w:jc w:val="left"/>
      </w:pPr>
      <w:r>
        <w:rPr/>
        <w:t>公司实际控制人为教育部。根据国有资产法及相关国有资产管理办法，清华大学履行国</w:t>
      </w:r>
      <w:r>
        <w:rPr>
          <w:spacing w:val="-51"/>
        </w:rPr>
        <w:t> </w:t>
      </w:r>
      <w:r>
        <w:rPr>
          <w:spacing w:val="-51"/>
        </w:rPr>
      </w:r>
      <w:r>
        <w:rPr/>
        <w:t>有资产出资人职责，其行政主管部门为教育部。</w:t>
      </w:r>
    </w:p>
    <w:p>
      <w:pPr>
        <w:spacing w:line="240" w:lineRule="auto" w:before="7"/>
        <w:rPr>
          <w:rFonts w:ascii="宋体" w:hAnsi="宋体" w:cs="宋体" w:eastAsia="宋体" w:hint="default"/>
          <w:sz w:val="21"/>
          <w:szCs w:val="21"/>
        </w:rPr>
      </w:pPr>
    </w:p>
    <w:p>
      <w:pPr>
        <w:pStyle w:val="Heading3"/>
        <w:spacing w:line="475" w:lineRule="auto"/>
        <w:ind w:left="158" w:right="4614" w:firstLine="256"/>
        <w:jc w:val="left"/>
        <w:rPr>
          <w:rFonts w:ascii="宋体" w:hAnsi="宋体" w:cs="宋体" w:eastAsia="宋体" w:hint="default"/>
          <w:b w:val="0"/>
          <w:bCs w:val="0"/>
        </w:rPr>
      </w:pPr>
      <w:r>
        <w:rPr>
          <w:rFonts w:ascii="宋体" w:hAnsi="宋体" w:cs="宋体" w:eastAsia="宋体" w:hint="default"/>
        </w:rPr>
        <w:t>2</w:t>
      </w:r>
      <w:r>
        <w:rPr/>
        <w:t>、公司不存在实际控制人情况的特别说明</w:t>
      </w:r>
      <w:r>
        <w:rPr>
          <w:w w:val="99"/>
        </w:rPr>
        <w:t> </w:t>
      </w:r>
      <w:r>
        <w:rPr>
          <w:rFonts w:ascii="宋体" w:hAnsi="宋体" w:cs="宋体" w:eastAsia="宋体" w:hint="default"/>
          <w:b w:val="0"/>
          <w:bCs w:val="0"/>
        </w:rPr>
        <w:t>不适用。</w:t>
      </w:r>
    </w:p>
    <w:p>
      <w:pPr>
        <w:pStyle w:val="Heading3"/>
        <w:spacing w:line="477" w:lineRule="auto" w:before="73"/>
        <w:ind w:left="158" w:right="4373" w:firstLine="256"/>
        <w:jc w:val="left"/>
        <w:rPr>
          <w:rFonts w:ascii="宋体" w:hAnsi="宋体" w:cs="宋体" w:eastAsia="宋体" w:hint="default"/>
          <w:b w:val="0"/>
          <w:bCs w:val="0"/>
        </w:rPr>
      </w:pPr>
      <w:r>
        <w:rPr>
          <w:rFonts w:ascii="宋体" w:hAnsi="宋体" w:cs="宋体" w:eastAsia="宋体" w:hint="default"/>
        </w:rPr>
        <w:t>3</w:t>
      </w:r>
      <w:r>
        <w:rPr/>
        <w:t>、报告期内实际控制人变更情况索引及日期</w:t>
      </w:r>
      <w:r>
        <w:rPr>
          <w:w w:val="99"/>
        </w:rPr>
        <w:t> </w:t>
      </w:r>
      <w:r>
        <w:rPr>
          <w:rFonts w:ascii="宋体" w:hAnsi="宋体" w:cs="宋体" w:eastAsia="宋体" w:hint="default"/>
          <w:b w:val="0"/>
          <w:bCs w:val="0"/>
        </w:rPr>
        <w:t>不适用。</w:t>
      </w:r>
    </w:p>
    <w:p>
      <w:pPr>
        <w:pStyle w:val="Heading3"/>
        <w:spacing w:line="240" w:lineRule="auto" w:before="70"/>
        <w:ind w:left="415" w:right="0"/>
        <w:jc w:val="left"/>
        <w:rPr>
          <w:b w:val="0"/>
          <w:bCs w:val="0"/>
        </w:rPr>
      </w:pPr>
      <w:r>
        <w:rPr>
          <w:rFonts w:ascii="宋体" w:hAnsi="宋体" w:cs="宋体" w:eastAsia="宋体" w:hint="default"/>
        </w:rPr>
        <w:t>4</w:t>
      </w:r>
      <w:r>
        <w:rPr/>
        <w:t>、公司与实际控制人之间的产权及控制关系的方框图</w:t>
      </w:r>
      <w:r>
        <w:rPr>
          <w:b w:val="0"/>
          <w:bCs w:val="0"/>
        </w:rPr>
      </w:r>
    </w:p>
    <w:p>
      <w:pPr>
        <w:spacing w:line="240" w:lineRule="auto" w:before="8"/>
        <w:rPr>
          <w:rFonts w:ascii="宋体" w:hAnsi="宋体" w:cs="宋体" w:eastAsia="宋体" w:hint="default"/>
          <w:b/>
          <w:bCs/>
          <w:sz w:val="26"/>
          <w:szCs w:val="26"/>
        </w:rPr>
      </w:pPr>
    </w:p>
    <w:p>
      <w:pPr>
        <w:spacing w:line="3271" w:lineRule="exact"/>
        <w:ind w:left="188" w:right="0" w:firstLine="0"/>
        <w:rPr>
          <w:rFonts w:ascii="宋体" w:hAnsi="宋体" w:cs="宋体" w:eastAsia="宋体" w:hint="default"/>
          <w:sz w:val="20"/>
          <w:szCs w:val="20"/>
        </w:rPr>
      </w:pPr>
      <w:r>
        <w:rPr>
          <w:rFonts w:ascii="宋体" w:hAnsi="宋体" w:cs="宋体" w:eastAsia="宋体" w:hint="default"/>
          <w:position w:val="-64"/>
          <w:sz w:val="20"/>
          <w:szCs w:val="20"/>
        </w:rPr>
        <w:drawing>
          <wp:inline distT="0" distB="0" distL="0" distR="0">
            <wp:extent cx="2059465" cy="2077592"/>
            <wp:effectExtent l="0" t="0" r="0" b="0"/>
            <wp:docPr id="9" name="image6.png" descr=""/>
            <wp:cNvGraphicFramePr>
              <a:graphicFrameLocks noChangeAspect="1"/>
            </wp:cNvGraphicFramePr>
            <a:graphic>
              <a:graphicData uri="http://schemas.openxmlformats.org/drawingml/2006/picture">
                <pic:pic>
                  <pic:nvPicPr>
                    <pic:cNvPr id="10" name="image6.png"/>
                    <pic:cNvPicPr/>
                  </pic:nvPicPr>
                  <pic:blipFill>
                    <a:blip r:embed="rId20" cstate="print"/>
                    <a:stretch>
                      <a:fillRect/>
                    </a:stretch>
                  </pic:blipFill>
                  <pic:spPr>
                    <a:xfrm>
                      <a:off x="0" y="0"/>
                      <a:ext cx="2059465" cy="2077592"/>
                    </a:xfrm>
                    <a:prstGeom prst="rect">
                      <a:avLst/>
                    </a:prstGeom>
                  </pic:spPr>
                </pic:pic>
              </a:graphicData>
            </a:graphic>
          </wp:inline>
        </w:drawing>
      </w:r>
      <w:r>
        <w:rPr>
          <w:rFonts w:ascii="宋体" w:hAnsi="宋体" w:cs="宋体" w:eastAsia="宋体" w:hint="default"/>
          <w:position w:val="-64"/>
          <w:sz w:val="20"/>
          <w:szCs w:val="20"/>
        </w:rPr>
      </w:r>
    </w:p>
    <w:p>
      <w:pPr>
        <w:spacing w:line="240" w:lineRule="auto" w:before="7"/>
        <w:rPr>
          <w:rFonts w:ascii="宋体" w:hAnsi="宋体" w:cs="宋体" w:eastAsia="宋体" w:hint="default"/>
          <w:b/>
          <w:bCs/>
          <w:sz w:val="19"/>
          <w:szCs w:val="19"/>
        </w:rPr>
      </w:pPr>
    </w:p>
    <w:p>
      <w:pPr>
        <w:pStyle w:val="Heading3"/>
        <w:spacing w:line="477" w:lineRule="auto"/>
        <w:ind w:left="158" w:right="3409" w:firstLine="256"/>
        <w:jc w:val="left"/>
        <w:rPr>
          <w:rFonts w:ascii="宋体" w:hAnsi="宋体" w:cs="宋体" w:eastAsia="宋体" w:hint="default"/>
          <w:b w:val="0"/>
          <w:bCs w:val="0"/>
        </w:rPr>
      </w:pPr>
      <w:r>
        <w:rPr>
          <w:rFonts w:ascii="宋体" w:hAnsi="宋体" w:cs="宋体" w:eastAsia="宋体" w:hint="default"/>
        </w:rPr>
        <w:t>5</w:t>
      </w:r>
      <w:r>
        <w:rPr/>
        <w:t>、实际控制人通过信托或其他资产管理方式控制公司</w:t>
      </w:r>
      <w:r>
        <w:rPr>
          <w:w w:val="99"/>
        </w:rPr>
        <w:t> </w:t>
      </w:r>
      <w:r>
        <w:rPr>
          <w:rFonts w:ascii="宋体" w:hAnsi="宋体" w:cs="宋体" w:eastAsia="宋体" w:hint="default"/>
          <w:b w:val="0"/>
          <w:bCs w:val="0"/>
        </w:rPr>
        <w:t>不适用。</w:t>
      </w:r>
    </w:p>
    <w:p>
      <w:pPr>
        <w:pStyle w:val="Heading3"/>
        <w:spacing w:line="477" w:lineRule="auto" w:before="70"/>
        <w:ind w:left="158" w:right="4734" w:firstLine="256"/>
        <w:jc w:val="left"/>
        <w:rPr>
          <w:rFonts w:ascii="宋体" w:hAnsi="宋体" w:cs="宋体" w:eastAsia="宋体" w:hint="default"/>
          <w:b w:val="0"/>
          <w:bCs w:val="0"/>
        </w:rPr>
      </w:pPr>
      <w:r>
        <w:rPr>
          <w:rFonts w:ascii="宋体" w:hAnsi="宋体" w:cs="宋体" w:eastAsia="宋体" w:hint="default"/>
        </w:rPr>
        <w:t>(</w:t>
      </w:r>
      <w:r>
        <w:rPr/>
        <w:t>三</w:t>
      </w:r>
      <w:r>
        <w:rPr>
          <w:rFonts w:ascii="宋体" w:hAnsi="宋体" w:cs="宋体" w:eastAsia="宋体" w:hint="default"/>
        </w:rPr>
        <w:t>)</w:t>
      </w:r>
      <w:r>
        <w:rPr/>
        <w:t>控股股东及实际控制人其他情况介绍</w:t>
      </w:r>
      <w:r>
        <w:rPr>
          <w:w w:val="99"/>
        </w:rPr>
        <w:t> </w:t>
      </w:r>
      <w:r>
        <w:rPr>
          <w:rFonts w:ascii="宋体" w:hAnsi="宋体" w:cs="宋体" w:eastAsia="宋体" w:hint="default"/>
          <w:b w:val="0"/>
          <w:bCs w:val="0"/>
        </w:rPr>
        <w:t>无。</w:t>
      </w:r>
    </w:p>
    <w:p>
      <w:pPr>
        <w:spacing w:line="240" w:lineRule="auto" w:before="3"/>
        <w:rPr>
          <w:rFonts w:ascii="宋体" w:hAnsi="宋体" w:cs="宋体" w:eastAsia="宋体" w:hint="default"/>
          <w:sz w:val="23"/>
          <w:szCs w:val="23"/>
        </w:rPr>
      </w:pPr>
    </w:p>
    <w:p>
      <w:pPr>
        <w:pStyle w:val="Heading2"/>
        <w:spacing w:line="240" w:lineRule="auto"/>
        <w:ind w:left="158" w:right="0"/>
        <w:jc w:val="left"/>
      </w:pPr>
      <w:r>
        <w:rPr/>
        <w:t>五、股份限制减持情况说明</w:t>
      </w:r>
    </w:p>
    <w:p>
      <w:pPr>
        <w:spacing w:line="240" w:lineRule="auto" w:before="8"/>
        <w:rPr>
          <w:rFonts w:ascii="黑体" w:hAnsi="黑体" w:cs="黑体" w:eastAsia="黑体" w:hint="default"/>
          <w:sz w:val="28"/>
          <w:szCs w:val="28"/>
        </w:rPr>
      </w:pPr>
    </w:p>
    <w:p>
      <w:pPr>
        <w:pStyle w:val="BodyText"/>
        <w:spacing w:line="240" w:lineRule="auto"/>
        <w:ind w:right="0"/>
        <w:jc w:val="left"/>
      </w:pPr>
      <w:r>
        <w:rPr/>
        <w:t>不适用。</w:t>
      </w:r>
    </w:p>
    <w:p>
      <w:pPr>
        <w:spacing w:after="0" w:line="240" w:lineRule="auto"/>
        <w:jc w:val="left"/>
        <w:sectPr>
          <w:pgSz w:w="11910" w:h="16840"/>
          <w:pgMar w:header="628" w:footer="760" w:top="1080" w:bottom="960" w:left="1260" w:right="114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pStyle w:val="Heading1"/>
        <w:tabs>
          <w:tab w:pos="4407" w:val="left" w:leader="none"/>
        </w:tabs>
        <w:spacing w:line="240" w:lineRule="auto"/>
        <w:ind w:left="3121" w:right="0"/>
        <w:jc w:val="left"/>
        <w:rPr>
          <w:b w:val="0"/>
          <w:bCs w:val="0"/>
        </w:rPr>
      </w:pPr>
      <w:bookmarkStart w:name="_TOC_250005" w:id="6"/>
      <w:r>
        <w:rPr>
          <w:w w:val="95"/>
        </w:rPr>
        <w:t>第七章</w:t>
        <w:tab/>
      </w:r>
      <w:r>
        <w:rPr/>
        <w:t>优先股相关情况</w:t>
      </w:r>
      <w:bookmarkEnd w:id="6"/>
      <w:r>
        <w:rPr>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pStyle w:val="BodyText"/>
        <w:spacing w:line="240" w:lineRule="auto" w:before="190"/>
        <w:ind w:right="0"/>
        <w:jc w:val="left"/>
      </w:pPr>
      <w:r>
        <w:rPr/>
        <w:t>不适用。</w:t>
      </w:r>
    </w:p>
    <w:p>
      <w:pPr>
        <w:spacing w:after="0" w:line="240" w:lineRule="auto"/>
        <w:jc w:val="left"/>
        <w:sectPr>
          <w:pgSz w:w="11910" w:h="16840"/>
          <w:pgMar w:header="628" w:footer="760" w:top="1080" w:bottom="960" w:left="1260" w:right="11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Heading1"/>
        <w:spacing w:line="240" w:lineRule="auto"/>
        <w:ind w:left="2213" w:right="0"/>
        <w:jc w:val="left"/>
        <w:rPr>
          <w:b w:val="0"/>
          <w:bCs w:val="0"/>
        </w:rPr>
      </w:pPr>
      <w:bookmarkStart w:name="_TOC_250004" w:id="7"/>
      <w:r>
        <w:rPr/>
        <w:t>第八章</w:t>
      </w:r>
      <w:r>
        <w:rPr>
          <w:spacing w:val="-8"/>
        </w:rPr>
        <w:t> </w:t>
      </w:r>
      <w:r>
        <w:rPr/>
        <w:t>董事、监事、高级管理人员和员工情况</w:t>
      </w:r>
      <w:bookmarkEnd w:id="7"/>
      <w:r>
        <w:rPr>
          <w:b w:val="0"/>
          <w:bCs w:val="0"/>
        </w:rPr>
      </w:r>
    </w:p>
    <w:p>
      <w:pPr>
        <w:spacing w:line="240" w:lineRule="auto" w:before="0"/>
        <w:rPr>
          <w:rFonts w:ascii="黑体" w:hAnsi="黑体" w:cs="黑体" w:eastAsia="黑体" w:hint="default"/>
          <w:b/>
          <w:bCs/>
          <w:sz w:val="32"/>
          <w:szCs w:val="32"/>
        </w:rPr>
      </w:pPr>
    </w:p>
    <w:p>
      <w:pPr>
        <w:spacing w:line="240" w:lineRule="auto" w:before="3"/>
        <w:rPr>
          <w:rFonts w:ascii="黑体" w:hAnsi="黑体" w:cs="黑体" w:eastAsia="黑体" w:hint="default"/>
          <w:b/>
          <w:bCs/>
          <w:sz w:val="38"/>
          <w:szCs w:val="38"/>
        </w:rPr>
      </w:pPr>
    </w:p>
    <w:p>
      <w:pPr>
        <w:pStyle w:val="Heading2"/>
        <w:spacing w:line="240" w:lineRule="auto"/>
        <w:ind w:left="778" w:right="0"/>
        <w:jc w:val="left"/>
      </w:pPr>
      <w:r>
        <w:rPr/>
        <w:t>一、持股变动及报酬情况</w:t>
      </w:r>
    </w:p>
    <w:p>
      <w:pPr>
        <w:spacing w:line="240" w:lineRule="auto" w:before="8"/>
        <w:rPr>
          <w:rFonts w:ascii="黑体" w:hAnsi="黑体" w:cs="黑体" w:eastAsia="黑体" w:hint="default"/>
          <w:sz w:val="28"/>
          <w:szCs w:val="28"/>
        </w:rPr>
      </w:pPr>
    </w:p>
    <w:p>
      <w:pPr>
        <w:pStyle w:val="Heading3"/>
        <w:spacing w:line="240" w:lineRule="auto"/>
        <w:ind w:left="1035" w:right="0"/>
        <w:jc w:val="left"/>
        <w:rPr>
          <w:b w:val="0"/>
          <w:bCs w:val="0"/>
        </w:rPr>
      </w:pPr>
      <w:r>
        <w:rPr>
          <w:rFonts w:ascii="宋体" w:hAnsi="宋体" w:cs="宋体" w:eastAsia="宋体" w:hint="default"/>
        </w:rPr>
        <w:t>(</w:t>
      </w:r>
      <w:r>
        <w:rPr/>
        <w:t>一</w:t>
      </w:r>
      <w:r>
        <w:rPr>
          <w:rFonts w:ascii="宋体" w:hAnsi="宋体" w:cs="宋体" w:eastAsia="宋体" w:hint="default"/>
        </w:rPr>
        <w:t>)</w:t>
      </w:r>
      <w:r>
        <w:rPr>
          <w:rFonts w:ascii="宋体" w:hAnsi="宋体" w:cs="宋体" w:eastAsia="宋体" w:hint="default"/>
          <w:spacing w:val="-8"/>
        </w:rPr>
        <w:t> </w:t>
      </w:r>
      <w:r>
        <w:rPr/>
        <w:t>现任及报告期内离任董事、监事和高级管理人员持股变动及报酬情况</w:t>
      </w:r>
      <w:r>
        <w:rPr>
          <w:b w:val="0"/>
          <w:bCs w:val="0"/>
        </w:rPr>
      </w:r>
    </w:p>
    <w:p>
      <w:pPr>
        <w:spacing w:line="240" w:lineRule="auto" w:before="10"/>
        <w:rPr>
          <w:rFonts w:ascii="宋体" w:hAnsi="宋体" w:cs="宋体" w:eastAsia="宋体" w:hint="default"/>
          <w:b/>
          <w:bCs/>
          <w:sz w:val="26"/>
          <w:szCs w:val="26"/>
        </w:rPr>
      </w:pPr>
    </w:p>
    <w:tbl>
      <w:tblPr>
        <w:tblW w:w="0" w:type="auto"/>
        <w:jc w:val="left"/>
        <w:tblInd w:w="118" w:type="dxa"/>
        <w:tblLayout w:type="fixed"/>
        <w:tblCellMar>
          <w:top w:w="0" w:type="dxa"/>
          <w:left w:w="0" w:type="dxa"/>
          <w:bottom w:w="0" w:type="dxa"/>
          <w:right w:w="0" w:type="dxa"/>
        </w:tblCellMar>
        <w:tblLook w:val="01E0"/>
      </w:tblPr>
      <w:tblGrid>
        <w:gridCol w:w="956"/>
        <w:gridCol w:w="1128"/>
        <w:gridCol w:w="427"/>
        <w:gridCol w:w="427"/>
        <w:gridCol w:w="1268"/>
        <w:gridCol w:w="1159"/>
        <w:gridCol w:w="958"/>
        <w:gridCol w:w="958"/>
        <w:gridCol w:w="766"/>
        <w:gridCol w:w="605"/>
        <w:gridCol w:w="1063"/>
        <w:gridCol w:w="780"/>
      </w:tblGrid>
      <w:tr>
        <w:trPr>
          <w:trHeight w:val="1657" w:hRule="exact"/>
        </w:trPr>
        <w:tc>
          <w:tcPr>
            <w:tcW w:w="956" w:type="dxa"/>
            <w:tcBorders>
              <w:top w:val="single" w:sz="12" w:space="0" w:color="000000"/>
              <w:left w:val="single" w:sz="12" w:space="0" w:color="000000"/>
              <w:bottom w:val="single" w:sz="6" w:space="0" w:color="000000"/>
              <w:right w:val="single" w:sz="6" w:space="0" w:color="000000"/>
            </w:tcBorders>
            <w:shd w:val="clear" w:color="auto" w:fill="BEBEBE"/>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9"/>
                <w:szCs w:val="29"/>
              </w:rPr>
            </w:pPr>
          </w:p>
          <w:p>
            <w:pPr>
              <w:pStyle w:val="TableParagraph"/>
              <w:spacing w:line="240" w:lineRule="auto"/>
              <w:ind w:right="257"/>
              <w:jc w:val="right"/>
              <w:rPr>
                <w:rFonts w:ascii="宋体" w:hAnsi="宋体" w:cs="宋体" w:eastAsia="宋体" w:hint="default"/>
                <w:sz w:val="21"/>
                <w:szCs w:val="21"/>
              </w:rPr>
            </w:pPr>
            <w:r>
              <w:rPr>
                <w:rFonts w:ascii="宋体" w:hAnsi="宋体" w:cs="宋体" w:eastAsia="宋体" w:hint="default"/>
                <w:b/>
                <w:bCs/>
                <w:sz w:val="21"/>
                <w:szCs w:val="21"/>
              </w:rPr>
              <w:t>姓名</w:t>
            </w:r>
            <w:r>
              <w:rPr>
                <w:rFonts w:ascii="宋体" w:hAnsi="宋体" w:cs="宋体" w:eastAsia="宋体" w:hint="default"/>
                <w:sz w:val="21"/>
                <w:szCs w:val="21"/>
              </w:rPr>
            </w:r>
          </w:p>
        </w:tc>
        <w:tc>
          <w:tcPr>
            <w:tcW w:w="1128" w:type="dxa"/>
            <w:tcBorders>
              <w:top w:val="single" w:sz="12" w:space="0" w:color="000000"/>
              <w:left w:val="single" w:sz="6" w:space="0" w:color="000000"/>
              <w:bottom w:val="single" w:sz="6" w:space="0" w:color="000000"/>
              <w:right w:val="single" w:sz="6" w:space="0" w:color="000000"/>
            </w:tcBorders>
            <w:shd w:val="clear" w:color="auto" w:fill="BEBEBE"/>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9"/>
                <w:szCs w:val="29"/>
              </w:rPr>
            </w:pPr>
          </w:p>
          <w:p>
            <w:pPr>
              <w:pStyle w:val="TableParagraph"/>
              <w:spacing w:line="240" w:lineRule="auto"/>
              <w:ind w:left="134" w:right="0"/>
              <w:jc w:val="left"/>
              <w:rPr>
                <w:rFonts w:ascii="宋体" w:hAnsi="宋体" w:cs="宋体" w:eastAsia="宋体" w:hint="default"/>
                <w:sz w:val="21"/>
                <w:szCs w:val="21"/>
              </w:rPr>
            </w:pPr>
            <w:r>
              <w:rPr>
                <w:rFonts w:ascii="宋体" w:hAnsi="宋体" w:cs="宋体" w:eastAsia="宋体" w:hint="default"/>
                <w:b/>
                <w:bCs/>
                <w:sz w:val="21"/>
                <w:szCs w:val="21"/>
              </w:rPr>
              <w:t>职务</w:t>
            </w:r>
            <w:r>
              <w:rPr>
                <w:rFonts w:ascii="宋体" w:hAnsi="宋体" w:cs="宋体" w:eastAsia="宋体" w:hint="default"/>
                <w:b/>
                <w:bCs/>
                <w:sz w:val="21"/>
                <w:szCs w:val="21"/>
              </w:rPr>
              <w:t>(</w:t>
            </w:r>
            <w:r>
              <w:rPr>
                <w:rFonts w:ascii="宋体" w:hAnsi="宋体" w:cs="宋体" w:eastAsia="宋体" w:hint="default"/>
                <w:b/>
                <w:bCs/>
                <w:sz w:val="21"/>
                <w:szCs w:val="21"/>
              </w:rPr>
              <w:t>注</w:t>
            </w:r>
            <w:r>
              <w:rPr>
                <w:rFonts w:ascii="宋体" w:hAnsi="宋体" w:cs="宋体" w:eastAsia="宋体" w:hint="default"/>
                <w:b/>
                <w:bCs/>
                <w:sz w:val="21"/>
                <w:szCs w:val="21"/>
              </w:rPr>
              <w:t>)</w:t>
            </w:r>
            <w:r>
              <w:rPr>
                <w:rFonts w:ascii="宋体" w:hAnsi="宋体" w:cs="宋体" w:eastAsia="宋体" w:hint="default"/>
                <w:sz w:val="21"/>
                <w:szCs w:val="21"/>
              </w:rPr>
            </w:r>
          </w:p>
        </w:tc>
        <w:tc>
          <w:tcPr>
            <w:tcW w:w="427" w:type="dxa"/>
            <w:tcBorders>
              <w:top w:val="single" w:sz="12" w:space="0" w:color="000000"/>
              <w:left w:val="single" w:sz="6" w:space="0" w:color="000000"/>
              <w:bottom w:val="single" w:sz="6" w:space="0" w:color="000000"/>
              <w:right w:val="single" w:sz="6" w:space="0" w:color="000000"/>
            </w:tcBorders>
            <w:shd w:val="clear" w:color="auto" w:fill="BEBEBE"/>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100" w:right="98"/>
              <w:jc w:val="left"/>
              <w:rPr>
                <w:rFonts w:ascii="宋体" w:hAnsi="宋体" w:cs="宋体" w:eastAsia="宋体" w:hint="default"/>
                <w:sz w:val="21"/>
                <w:szCs w:val="21"/>
              </w:rPr>
            </w:pPr>
            <w:r>
              <w:rPr>
                <w:rFonts w:ascii="宋体" w:hAnsi="宋体" w:cs="宋体" w:eastAsia="宋体" w:hint="default"/>
                <w:b/>
                <w:bCs/>
                <w:sz w:val="21"/>
                <w:szCs w:val="21"/>
              </w:rPr>
              <w:t>性</w:t>
            </w:r>
            <w:r>
              <w:rPr>
                <w:rFonts w:ascii="宋体" w:hAnsi="宋体" w:cs="宋体" w:eastAsia="宋体" w:hint="default"/>
                <w:b/>
                <w:bCs/>
                <w:w w:val="100"/>
                <w:sz w:val="21"/>
                <w:szCs w:val="21"/>
              </w:rPr>
              <w:t> </w:t>
            </w:r>
            <w:r>
              <w:rPr>
                <w:rFonts w:ascii="宋体" w:hAnsi="宋体" w:cs="宋体" w:eastAsia="宋体" w:hint="default"/>
                <w:b/>
                <w:bCs/>
                <w:sz w:val="21"/>
                <w:szCs w:val="21"/>
              </w:rPr>
              <w:t>别</w:t>
            </w:r>
            <w:r>
              <w:rPr>
                <w:rFonts w:ascii="宋体" w:hAnsi="宋体" w:cs="宋体" w:eastAsia="宋体" w:hint="default"/>
                <w:sz w:val="21"/>
                <w:szCs w:val="21"/>
              </w:rPr>
            </w:r>
          </w:p>
        </w:tc>
        <w:tc>
          <w:tcPr>
            <w:tcW w:w="427" w:type="dxa"/>
            <w:tcBorders>
              <w:top w:val="single" w:sz="12" w:space="0" w:color="000000"/>
              <w:left w:val="single" w:sz="6" w:space="0" w:color="000000"/>
              <w:bottom w:val="single" w:sz="6" w:space="0" w:color="000000"/>
              <w:right w:val="single" w:sz="6" w:space="0" w:color="000000"/>
            </w:tcBorders>
            <w:shd w:val="clear" w:color="auto" w:fill="BEBEBE"/>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100" w:right="98"/>
              <w:jc w:val="left"/>
              <w:rPr>
                <w:rFonts w:ascii="宋体" w:hAnsi="宋体" w:cs="宋体" w:eastAsia="宋体" w:hint="default"/>
                <w:sz w:val="21"/>
                <w:szCs w:val="21"/>
              </w:rPr>
            </w:pPr>
            <w:r>
              <w:rPr>
                <w:rFonts w:ascii="宋体" w:hAnsi="宋体" w:cs="宋体" w:eastAsia="宋体" w:hint="default"/>
                <w:b/>
                <w:bCs/>
                <w:sz w:val="21"/>
                <w:szCs w:val="21"/>
              </w:rPr>
              <w:t>年</w:t>
            </w:r>
            <w:r>
              <w:rPr>
                <w:rFonts w:ascii="宋体" w:hAnsi="宋体" w:cs="宋体" w:eastAsia="宋体" w:hint="default"/>
                <w:b/>
                <w:bCs/>
                <w:w w:val="100"/>
                <w:sz w:val="21"/>
                <w:szCs w:val="21"/>
              </w:rPr>
              <w:t> </w:t>
            </w:r>
            <w:r>
              <w:rPr>
                <w:rFonts w:ascii="宋体" w:hAnsi="宋体" w:cs="宋体" w:eastAsia="宋体" w:hint="default"/>
                <w:b/>
                <w:bCs/>
                <w:sz w:val="21"/>
                <w:szCs w:val="21"/>
              </w:rPr>
              <w:t>龄</w:t>
            </w:r>
            <w:r>
              <w:rPr>
                <w:rFonts w:ascii="宋体" w:hAnsi="宋体" w:cs="宋体" w:eastAsia="宋体" w:hint="default"/>
                <w:sz w:val="21"/>
                <w:szCs w:val="21"/>
              </w:rPr>
            </w:r>
          </w:p>
        </w:tc>
        <w:tc>
          <w:tcPr>
            <w:tcW w:w="1268" w:type="dxa"/>
            <w:tcBorders>
              <w:top w:val="single" w:sz="12" w:space="0" w:color="000000"/>
              <w:left w:val="single" w:sz="6" w:space="0" w:color="000000"/>
              <w:bottom w:val="single" w:sz="6" w:space="0" w:color="000000"/>
              <w:right w:val="single" w:sz="6" w:space="0" w:color="000000"/>
            </w:tcBorders>
            <w:shd w:val="clear" w:color="auto" w:fill="BEBEBE"/>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415" w:right="203" w:hanging="212"/>
              <w:jc w:val="left"/>
              <w:rPr>
                <w:rFonts w:ascii="宋体" w:hAnsi="宋体" w:cs="宋体" w:eastAsia="宋体" w:hint="default"/>
                <w:sz w:val="21"/>
                <w:szCs w:val="21"/>
              </w:rPr>
            </w:pPr>
            <w:r>
              <w:rPr>
                <w:rFonts w:ascii="宋体" w:hAnsi="宋体" w:cs="宋体" w:eastAsia="宋体" w:hint="default"/>
                <w:b/>
                <w:bCs/>
                <w:sz w:val="21"/>
                <w:szCs w:val="21"/>
              </w:rPr>
              <w:t>任期起始</w:t>
            </w:r>
            <w:r>
              <w:rPr>
                <w:rFonts w:ascii="宋体" w:hAnsi="宋体" w:cs="宋体" w:eastAsia="宋体" w:hint="default"/>
                <w:b/>
                <w:bCs/>
                <w:w w:val="100"/>
                <w:sz w:val="21"/>
                <w:szCs w:val="21"/>
              </w:rPr>
              <w:t> </w:t>
            </w:r>
            <w:r>
              <w:rPr>
                <w:rFonts w:ascii="宋体" w:hAnsi="宋体" w:cs="宋体" w:eastAsia="宋体" w:hint="default"/>
                <w:b/>
                <w:bCs/>
                <w:sz w:val="21"/>
                <w:szCs w:val="21"/>
              </w:rPr>
              <w:t>日期</w:t>
            </w:r>
            <w:r>
              <w:rPr>
                <w:rFonts w:ascii="宋体" w:hAnsi="宋体" w:cs="宋体" w:eastAsia="宋体" w:hint="default"/>
                <w:sz w:val="21"/>
                <w:szCs w:val="21"/>
              </w:rPr>
            </w:r>
          </w:p>
        </w:tc>
        <w:tc>
          <w:tcPr>
            <w:tcW w:w="1159" w:type="dxa"/>
            <w:tcBorders>
              <w:top w:val="single" w:sz="12" w:space="0" w:color="000000"/>
              <w:left w:val="single" w:sz="6" w:space="0" w:color="000000"/>
              <w:bottom w:val="single" w:sz="6" w:space="0" w:color="000000"/>
              <w:right w:val="single" w:sz="6" w:space="0" w:color="000000"/>
            </w:tcBorders>
            <w:shd w:val="clear" w:color="auto" w:fill="BEBEBE"/>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360" w:right="149" w:hanging="212"/>
              <w:jc w:val="left"/>
              <w:rPr>
                <w:rFonts w:ascii="宋体" w:hAnsi="宋体" w:cs="宋体" w:eastAsia="宋体" w:hint="default"/>
                <w:sz w:val="21"/>
                <w:szCs w:val="21"/>
              </w:rPr>
            </w:pPr>
            <w:r>
              <w:rPr>
                <w:rFonts w:ascii="宋体" w:hAnsi="宋体" w:cs="宋体" w:eastAsia="宋体" w:hint="default"/>
                <w:b/>
                <w:bCs/>
                <w:sz w:val="21"/>
                <w:szCs w:val="21"/>
              </w:rPr>
              <w:t>任期终止</w:t>
            </w:r>
            <w:r>
              <w:rPr>
                <w:rFonts w:ascii="宋体" w:hAnsi="宋体" w:cs="宋体" w:eastAsia="宋体" w:hint="default"/>
                <w:b/>
                <w:bCs/>
                <w:w w:val="100"/>
                <w:sz w:val="21"/>
                <w:szCs w:val="21"/>
              </w:rPr>
              <w:t> </w:t>
            </w:r>
            <w:r>
              <w:rPr>
                <w:rFonts w:ascii="宋体" w:hAnsi="宋体" w:cs="宋体" w:eastAsia="宋体" w:hint="default"/>
                <w:b/>
                <w:bCs/>
                <w:sz w:val="21"/>
                <w:szCs w:val="21"/>
              </w:rPr>
              <w:t>日期</w:t>
            </w:r>
            <w:r>
              <w:rPr>
                <w:rFonts w:ascii="宋体" w:hAnsi="宋体" w:cs="宋体" w:eastAsia="宋体" w:hint="default"/>
                <w:sz w:val="21"/>
                <w:szCs w:val="21"/>
              </w:rPr>
            </w:r>
          </w:p>
        </w:tc>
        <w:tc>
          <w:tcPr>
            <w:tcW w:w="958" w:type="dxa"/>
            <w:tcBorders>
              <w:top w:val="single" w:sz="12" w:space="0" w:color="000000"/>
              <w:left w:val="single" w:sz="6" w:space="0" w:color="000000"/>
              <w:bottom w:val="single" w:sz="6" w:space="0" w:color="000000"/>
              <w:right w:val="single" w:sz="6" w:space="0" w:color="000000"/>
            </w:tcBorders>
            <w:shd w:val="clear" w:color="auto" w:fill="BEBEBE"/>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259" w:right="154" w:hanging="106"/>
              <w:jc w:val="left"/>
              <w:rPr>
                <w:rFonts w:ascii="宋体" w:hAnsi="宋体" w:cs="宋体" w:eastAsia="宋体" w:hint="default"/>
                <w:sz w:val="21"/>
                <w:szCs w:val="21"/>
              </w:rPr>
            </w:pPr>
            <w:r>
              <w:rPr>
                <w:rFonts w:ascii="宋体" w:hAnsi="宋体" w:cs="宋体" w:eastAsia="宋体" w:hint="default"/>
                <w:b/>
                <w:bCs/>
                <w:sz w:val="21"/>
                <w:szCs w:val="21"/>
              </w:rPr>
              <w:t>年初持</w:t>
            </w:r>
            <w:r>
              <w:rPr>
                <w:rFonts w:ascii="宋体" w:hAnsi="宋体" w:cs="宋体" w:eastAsia="宋体" w:hint="default"/>
                <w:b/>
                <w:bCs/>
                <w:w w:val="100"/>
                <w:sz w:val="21"/>
                <w:szCs w:val="21"/>
              </w:rPr>
              <w:t> </w:t>
            </w:r>
            <w:r>
              <w:rPr>
                <w:rFonts w:ascii="宋体" w:hAnsi="宋体" w:cs="宋体" w:eastAsia="宋体" w:hint="default"/>
                <w:b/>
                <w:bCs/>
                <w:sz w:val="21"/>
                <w:szCs w:val="21"/>
              </w:rPr>
              <w:t>股数</w:t>
            </w:r>
            <w:r>
              <w:rPr>
                <w:rFonts w:ascii="宋体" w:hAnsi="宋体" w:cs="宋体" w:eastAsia="宋体" w:hint="default"/>
                <w:sz w:val="21"/>
                <w:szCs w:val="21"/>
              </w:rPr>
            </w:r>
          </w:p>
        </w:tc>
        <w:tc>
          <w:tcPr>
            <w:tcW w:w="958" w:type="dxa"/>
            <w:tcBorders>
              <w:top w:val="single" w:sz="12" w:space="0" w:color="000000"/>
              <w:left w:val="single" w:sz="6" w:space="0" w:color="000000"/>
              <w:bottom w:val="single" w:sz="6" w:space="0" w:color="000000"/>
              <w:right w:val="single" w:sz="6" w:space="0" w:color="000000"/>
            </w:tcBorders>
            <w:shd w:val="clear" w:color="auto" w:fill="BEBEBE"/>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259" w:right="155" w:hanging="106"/>
              <w:jc w:val="left"/>
              <w:rPr>
                <w:rFonts w:ascii="宋体" w:hAnsi="宋体" w:cs="宋体" w:eastAsia="宋体" w:hint="default"/>
                <w:sz w:val="21"/>
                <w:szCs w:val="21"/>
              </w:rPr>
            </w:pPr>
            <w:r>
              <w:rPr>
                <w:rFonts w:ascii="宋体" w:hAnsi="宋体" w:cs="宋体" w:eastAsia="宋体" w:hint="default"/>
                <w:b/>
                <w:bCs/>
                <w:sz w:val="21"/>
                <w:szCs w:val="21"/>
              </w:rPr>
              <w:t>年末持</w:t>
            </w:r>
            <w:r>
              <w:rPr>
                <w:rFonts w:ascii="宋体" w:hAnsi="宋体" w:cs="宋体" w:eastAsia="宋体" w:hint="default"/>
                <w:b/>
                <w:bCs/>
                <w:w w:val="100"/>
                <w:sz w:val="21"/>
                <w:szCs w:val="21"/>
              </w:rPr>
              <w:t> </w:t>
            </w:r>
            <w:r>
              <w:rPr>
                <w:rFonts w:ascii="宋体" w:hAnsi="宋体" w:cs="宋体" w:eastAsia="宋体" w:hint="default"/>
                <w:b/>
                <w:bCs/>
                <w:sz w:val="21"/>
                <w:szCs w:val="21"/>
              </w:rPr>
              <w:t>股数</w:t>
            </w:r>
            <w:r>
              <w:rPr>
                <w:rFonts w:ascii="宋体" w:hAnsi="宋体" w:cs="宋体" w:eastAsia="宋体" w:hint="default"/>
                <w:sz w:val="21"/>
                <w:szCs w:val="21"/>
              </w:rPr>
            </w:r>
          </w:p>
        </w:tc>
        <w:tc>
          <w:tcPr>
            <w:tcW w:w="766" w:type="dxa"/>
            <w:tcBorders>
              <w:top w:val="single" w:sz="12" w:space="0" w:color="000000"/>
              <w:left w:val="single" w:sz="6" w:space="0" w:color="000000"/>
              <w:bottom w:val="single" w:sz="6" w:space="0" w:color="000000"/>
              <w:right w:val="single" w:sz="6" w:space="0" w:color="000000"/>
            </w:tcBorders>
            <w:shd w:val="clear" w:color="auto" w:fill="BEBEBE"/>
          </w:tcPr>
          <w:p>
            <w:pPr>
              <w:pStyle w:val="TableParagraph"/>
              <w:spacing w:line="237" w:lineRule="auto" w:before="105"/>
              <w:ind w:left="165" w:right="161"/>
              <w:jc w:val="both"/>
              <w:rPr>
                <w:rFonts w:ascii="宋体" w:hAnsi="宋体" w:cs="宋体" w:eastAsia="宋体" w:hint="default"/>
                <w:sz w:val="21"/>
                <w:szCs w:val="21"/>
              </w:rPr>
            </w:pPr>
            <w:r>
              <w:rPr>
                <w:rFonts w:ascii="宋体" w:hAnsi="宋体" w:cs="宋体" w:eastAsia="宋体" w:hint="default"/>
                <w:b/>
                <w:bCs/>
                <w:sz w:val="21"/>
                <w:szCs w:val="21"/>
              </w:rPr>
              <w:t>年度</w:t>
            </w:r>
            <w:r>
              <w:rPr>
                <w:rFonts w:ascii="宋体" w:hAnsi="宋体" w:cs="宋体" w:eastAsia="宋体" w:hint="default"/>
                <w:b/>
                <w:bCs/>
                <w:w w:val="100"/>
                <w:sz w:val="21"/>
                <w:szCs w:val="21"/>
              </w:rPr>
              <w:t> </w:t>
            </w:r>
            <w:r>
              <w:rPr>
                <w:rFonts w:ascii="宋体" w:hAnsi="宋体" w:cs="宋体" w:eastAsia="宋体" w:hint="default"/>
                <w:b/>
                <w:bCs/>
                <w:sz w:val="21"/>
                <w:szCs w:val="21"/>
              </w:rPr>
              <w:t>内股</w:t>
            </w:r>
            <w:r>
              <w:rPr>
                <w:rFonts w:ascii="宋体" w:hAnsi="宋体" w:cs="宋体" w:eastAsia="宋体" w:hint="default"/>
                <w:b/>
                <w:bCs/>
                <w:w w:val="100"/>
                <w:sz w:val="21"/>
                <w:szCs w:val="21"/>
              </w:rPr>
              <w:t> </w:t>
            </w:r>
            <w:r>
              <w:rPr>
                <w:rFonts w:ascii="宋体" w:hAnsi="宋体" w:cs="宋体" w:eastAsia="宋体" w:hint="default"/>
                <w:b/>
                <w:bCs/>
                <w:sz w:val="21"/>
                <w:szCs w:val="21"/>
              </w:rPr>
              <w:t>份增</w:t>
            </w:r>
            <w:r>
              <w:rPr>
                <w:rFonts w:ascii="宋体" w:hAnsi="宋体" w:cs="宋体" w:eastAsia="宋体" w:hint="default"/>
                <w:b/>
                <w:bCs/>
                <w:w w:val="100"/>
                <w:sz w:val="21"/>
                <w:szCs w:val="21"/>
              </w:rPr>
              <w:t> </w:t>
            </w:r>
            <w:r>
              <w:rPr>
                <w:rFonts w:ascii="宋体" w:hAnsi="宋体" w:cs="宋体" w:eastAsia="宋体" w:hint="default"/>
                <w:b/>
                <w:bCs/>
                <w:sz w:val="21"/>
                <w:szCs w:val="21"/>
              </w:rPr>
              <w:t>减变</w:t>
            </w:r>
            <w:r>
              <w:rPr>
                <w:rFonts w:ascii="宋体" w:hAnsi="宋体" w:cs="宋体" w:eastAsia="宋体" w:hint="default"/>
                <w:b/>
                <w:bCs/>
                <w:w w:val="100"/>
                <w:sz w:val="21"/>
                <w:szCs w:val="21"/>
              </w:rPr>
              <w:t> </w:t>
            </w:r>
            <w:r>
              <w:rPr>
                <w:rFonts w:ascii="宋体" w:hAnsi="宋体" w:cs="宋体" w:eastAsia="宋体" w:hint="default"/>
                <w:b/>
                <w:bCs/>
                <w:sz w:val="21"/>
                <w:szCs w:val="21"/>
              </w:rPr>
              <w:t>动量</w:t>
            </w:r>
            <w:r>
              <w:rPr>
                <w:rFonts w:ascii="宋体" w:hAnsi="宋体" w:cs="宋体" w:eastAsia="宋体" w:hint="default"/>
                <w:sz w:val="21"/>
                <w:szCs w:val="21"/>
              </w:rPr>
            </w:r>
          </w:p>
        </w:tc>
        <w:tc>
          <w:tcPr>
            <w:tcW w:w="605" w:type="dxa"/>
            <w:tcBorders>
              <w:top w:val="single" w:sz="12" w:space="0" w:color="000000"/>
              <w:left w:val="single" w:sz="6" w:space="0" w:color="000000"/>
              <w:bottom w:val="single" w:sz="6" w:space="0" w:color="000000"/>
              <w:right w:val="single" w:sz="6" w:space="0" w:color="000000"/>
            </w:tcBorders>
            <w:shd w:val="clear" w:color="auto" w:fill="BEBEBE"/>
          </w:tcPr>
          <w:p>
            <w:pPr>
              <w:pStyle w:val="TableParagraph"/>
              <w:spacing w:line="241" w:lineRule="exact"/>
              <w:ind w:left="187" w:right="0"/>
              <w:jc w:val="both"/>
              <w:rPr>
                <w:rFonts w:ascii="宋体" w:hAnsi="宋体" w:cs="宋体" w:eastAsia="宋体" w:hint="default"/>
                <w:sz w:val="21"/>
                <w:szCs w:val="21"/>
              </w:rPr>
            </w:pPr>
            <w:r>
              <w:rPr>
                <w:rFonts w:ascii="宋体" w:hAnsi="宋体" w:cs="宋体" w:eastAsia="宋体" w:hint="default"/>
                <w:b/>
                <w:bCs/>
                <w:w w:val="100"/>
                <w:sz w:val="21"/>
                <w:szCs w:val="21"/>
              </w:rPr>
              <w:t>增</w:t>
            </w:r>
            <w:r>
              <w:rPr>
                <w:rFonts w:ascii="宋体" w:hAnsi="宋体" w:cs="宋体" w:eastAsia="宋体" w:hint="default"/>
                <w:w w:val="100"/>
                <w:sz w:val="21"/>
                <w:szCs w:val="21"/>
              </w:rPr>
            </w:r>
          </w:p>
          <w:p>
            <w:pPr>
              <w:pStyle w:val="TableParagraph"/>
              <w:spacing w:line="237" w:lineRule="auto" w:before="2"/>
              <w:ind w:left="187" w:right="191"/>
              <w:jc w:val="both"/>
              <w:rPr>
                <w:rFonts w:ascii="宋体" w:hAnsi="宋体" w:cs="宋体" w:eastAsia="宋体" w:hint="default"/>
                <w:sz w:val="21"/>
                <w:szCs w:val="21"/>
              </w:rPr>
            </w:pPr>
            <w:r>
              <w:rPr>
                <w:rFonts w:ascii="宋体" w:hAnsi="宋体" w:cs="宋体" w:eastAsia="宋体" w:hint="default"/>
                <w:b/>
                <w:bCs/>
                <w:sz w:val="21"/>
                <w:szCs w:val="21"/>
              </w:rPr>
              <w:t>减</w:t>
            </w:r>
            <w:r>
              <w:rPr>
                <w:rFonts w:ascii="宋体" w:hAnsi="宋体" w:cs="宋体" w:eastAsia="宋体" w:hint="default"/>
                <w:b/>
                <w:bCs/>
                <w:w w:val="100"/>
                <w:sz w:val="21"/>
                <w:szCs w:val="21"/>
              </w:rPr>
              <w:t> </w:t>
            </w:r>
            <w:r>
              <w:rPr>
                <w:rFonts w:ascii="宋体" w:hAnsi="宋体" w:cs="宋体" w:eastAsia="宋体" w:hint="default"/>
                <w:b/>
                <w:bCs/>
                <w:sz w:val="21"/>
                <w:szCs w:val="21"/>
              </w:rPr>
              <w:t>变</w:t>
            </w:r>
            <w:r>
              <w:rPr>
                <w:rFonts w:ascii="宋体" w:hAnsi="宋体" w:cs="宋体" w:eastAsia="宋体" w:hint="default"/>
                <w:b/>
                <w:bCs/>
                <w:w w:val="100"/>
                <w:sz w:val="21"/>
                <w:szCs w:val="21"/>
              </w:rPr>
              <w:t> </w:t>
            </w:r>
            <w:r>
              <w:rPr>
                <w:rFonts w:ascii="宋体" w:hAnsi="宋体" w:cs="宋体" w:eastAsia="宋体" w:hint="default"/>
                <w:b/>
                <w:bCs/>
                <w:sz w:val="21"/>
                <w:szCs w:val="21"/>
              </w:rPr>
              <w:t>动</w:t>
            </w:r>
            <w:r>
              <w:rPr>
                <w:rFonts w:ascii="宋体" w:hAnsi="宋体" w:cs="宋体" w:eastAsia="宋体" w:hint="default"/>
                <w:b/>
                <w:bCs/>
                <w:w w:val="100"/>
                <w:sz w:val="21"/>
                <w:szCs w:val="21"/>
              </w:rPr>
              <w:t> </w:t>
            </w:r>
            <w:r>
              <w:rPr>
                <w:rFonts w:ascii="宋体" w:hAnsi="宋体" w:cs="宋体" w:eastAsia="宋体" w:hint="default"/>
                <w:b/>
                <w:bCs/>
                <w:sz w:val="21"/>
                <w:szCs w:val="21"/>
              </w:rPr>
              <w:t>原</w:t>
            </w:r>
            <w:r>
              <w:rPr>
                <w:rFonts w:ascii="宋体" w:hAnsi="宋体" w:cs="宋体" w:eastAsia="宋体" w:hint="default"/>
                <w:b/>
                <w:bCs/>
                <w:w w:val="100"/>
                <w:sz w:val="21"/>
                <w:szCs w:val="21"/>
              </w:rPr>
              <w:t> </w:t>
            </w:r>
            <w:r>
              <w:rPr>
                <w:rFonts w:ascii="宋体" w:hAnsi="宋体" w:cs="宋体" w:eastAsia="宋体" w:hint="default"/>
                <w:b/>
                <w:bCs/>
                <w:sz w:val="21"/>
                <w:szCs w:val="21"/>
              </w:rPr>
              <w:t>因</w:t>
            </w:r>
            <w:r>
              <w:rPr>
                <w:rFonts w:ascii="宋体" w:hAnsi="宋体" w:cs="宋体" w:eastAsia="宋体" w:hint="default"/>
                <w:sz w:val="21"/>
                <w:szCs w:val="21"/>
              </w:rPr>
            </w:r>
          </w:p>
        </w:tc>
        <w:tc>
          <w:tcPr>
            <w:tcW w:w="1063" w:type="dxa"/>
            <w:tcBorders>
              <w:top w:val="single" w:sz="12" w:space="0" w:color="000000"/>
              <w:left w:val="single" w:sz="6" w:space="0" w:color="000000"/>
              <w:bottom w:val="single" w:sz="6" w:space="0" w:color="000000"/>
              <w:right w:val="single" w:sz="6" w:space="0" w:color="000000"/>
            </w:tcBorders>
            <w:shd w:val="clear" w:color="auto" w:fill="BEBEBE"/>
          </w:tcPr>
          <w:p>
            <w:pPr>
              <w:pStyle w:val="TableParagraph"/>
              <w:spacing w:line="241" w:lineRule="exact"/>
              <w:ind w:left="100" w:right="0"/>
              <w:jc w:val="both"/>
              <w:rPr>
                <w:rFonts w:ascii="宋体" w:hAnsi="宋体" w:cs="宋体" w:eastAsia="宋体" w:hint="default"/>
                <w:sz w:val="21"/>
                <w:szCs w:val="21"/>
              </w:rPr>
            </w:pPr>
            <w:r>
              <w:rPr>
                <w:rFonts w:ascii="宋体" w:hAnsi="宋体" w:cs="宋体" w:eastAsia="宋体" w:hint="default"/>
                <w:b/>
                <w:bCs/>
                <w:sz w:val="21"/>
                <w:szCs w:val="21"/>
              </w:rPr>
              <w:t>报告期内</w:t>
            </w:r>
            <w:r>
              <w:rPr>
                <w:rFonts w:ascii="宋体" w:hAnsi="宋体" w:cs="宋体" w:eastAsia="宋体" w:hint="default"/>
                <w:sz w:val="21"/>
                <w:szCs w:val="21"/>
              </w:rPr>
            </w:r>
          </w:p>
          <w:p>
            <w:pPr>
              <w:pStyle w:val="TableParagraph"/>
              <w:spacing w:line="237" w:lineRule="auto" w:before="2"/>
              <w:ind w:left="100" w:right="101"/>
              <w:jc w:val="both"/>
              <w:rPr>
                <w:rFonts w:ascii="宋体" w:hAnsi="宋体" w:cs="宋体" w:eastAsia="宋体" w:hint="default"/>
                <w:sz w:val="21"/>
                <w:szCs w:val="21"/>
              </w:rPr>
            </w:pPr>
            <w:r>
              <w:rPr>
                <w:rFonts w:ascii="宋体" w:hAnsi="宋体" w:cs="宋体" w:eastAsia="宋体" w:hint="default"/>
                <w:b/>
                <w:bCs/>
                <w:sz w:val="21"/>
                <w:szCs w:val="21"/>
              </w:rPr>
              <w:t>从公司获</w:t>
            </w:r>
            <w:r>
              <w:rPr>
                <w:rFonts w:ascii="宋体" w:hAnsi="宋体" w:cs="宋体" w:eastAsia="宋体" w:hint="default"/>
                <w:b/>
                <w:bCs/>
                <w:w w:val="100"/>
                <w:sz w:val="21"/>
                <w:szCs w:val="21"/>
              </w:rPr>
              <w:t> </w:t>
            </w:r>
            <w:r>
              <w:rPr>
                <w:rFonts w:ascii="宋体" w:hAnsi="宋体" w:cs="宋体" w:eastAsia="宋体" w:hint="default"/>
                <w:b/>
                <w:bCs/>
                <w:sz w:val="21"/>
                <w:szCs w:val="21"/>
              </w:rPr>
              <w:t>得的税前</w:t>
            </w:r>
            <w:r>
              <w:rPr>
                <w:rFonts w:ascii="宋体" w:hAnsi="宋体" w:cs="宋体" w:eastAsia="宋体" w:hint="default"/>
                <w:b/>
                <w:bCs/>
                <w:w w:val="100"/>
                <w:sz w:val="21"/>
                <w:szCs w:val="21"/>
              </w:rPr>
              <w:t> </w:t>
            </w:r>
            <w:r>
              <w:rPr>
                <w:rFonts w:ascii="宋体" w:hAnsi="宋体" w:cs="宋体" w:eastAsia="宋体" w:hint="default"/>
                <w:b/>
                <w:bCs/>
                <w:sz w:val="21"/>
                <w:szCs w:val="21"/>
              </w:rPr>
              <w:t>报酬总额</w:t>
            </w:r>
            <w:r>
              <w:rPr>
                <w:rFonts w:ascii="宋体" w:hAnsi="宋体" w:cs="宋体" w:eastAsia="宋体" w:hint="default"/>
                <w:b/>
                <w:bCs/>
                <w:w w:val="100"/>
                <w:sz w:val="21"/>
                <w:szCs w:val="21"/>
              </w:rPr>
              <w:t> </w:t>
            </w:r>
            <w:r>
              <w:rPr>
                <w:rFonts w:ascii="宋体" w:hAnsi="宋体" w:cs="宋体" w:eastAsia="宋体" w:hint="default"/>
                <w:b/>
                <w:bCs/>
                <w:sz w:val="21"/>
                <w:szCs w:val="21"/>
              </w:rPr>
              <w:t>(</w:t>
            </w:r>
            <w:r>
              <w:rPr>
                <w:rFonts w:ascii="宋体" w:hAnsi="宋体" w:cs="宋体" w:eastAsia="宋体" w:hint="default"/>
                <w:b/>
                <w:bCs/>
                <w:sz w:val="21"/>
                <w:szCs w:val="21"/>
              </w:rPr>
              <w:t>万元</w:t>
            </w:r>
            <w:r>
              <w:rPr>
                <w:rFonts w:ascii="宋体" w:hAnsi="宋体" w:cs="宋体" w:eastAsia="宋体" w:hint="default"/>
                <w:b/>
                <w:bCs/>
                <w:sz w:val="21"/>
                <w:szCs w:val="21"/>
              </w:rPr>
              <w:t>)</w:t>
            </w:r>
            <w:r>
              <w:rPr>
                <w:rFonts w:ascii="宋体" w:hAnsi="宋体" w:cs="宋体" w:eastAsia="宋体" w:hint="default"/>
                <w:sz w:val="21"/>
                <w:szCs w:val="21"/>
              </w:rPr>
            </w:r>
          </w:p>
        </w:tc>
        <w:tc>
          <w:tcPr>
            <w:tcW w:w="780" w:type="dxa"/>
            <w:tcBorders>
              <w:top w:val="single" w:sz="12" w:space="0" w:color="000000"/>
              <w:left w:val="single" w:sz="6" w:space="0" w:color="000000"/>
              <w:bottom w:val="single" w:sz="6" w:space="0" w:color="000000"/>
              <w:right w:val="single" w:sz="12" w:space="0" w:color="000000"/>
            </w:tcBorders>
            <w:shd w:val="clear" w:color="auto" w:fill="BEBEBE"/>
          </w:tcPr>
          <w:p>
            <w:pPr>
              <w:pStyle w:val="TableParagraph"/>
              <w:spacing w:line="241" w:lineRule="exact"/>
              <w:ind w:left="167" w:right="0"/>
              <w:jc w:val="both"/>
              <w:rPr>
                <w:rFonts w:ascii="宋体" w:hAnsi="宋体" w:cs="宋体" w:eastAsia="宋体" w:hint="default"/>
                <w:sz w:val="21"/>
                <w:szCs w:val="21"/>
              </w:rPr>
            </w:pPr>
            <w:r>
              <w:rPr>
                <w:rFonts w:ascii="宋体" w:hAnsi="宋体" w:cs="宋体" w:eastAsia="宋体" w:hint="default"/>
                <w:b/>
                <w:bCs/>
                <w:sz w:val="21"/>
                <w:szCs w:val="21"/>
              </w:rPr>
              <w:t>是否</w:t>
            </w:r>
            <w:r>
              <w:rPr>
                <w:rFonts w:ascii="宋体" w:hAnsi="宋体" w:cs="宋体" w:eastAsia="宋体" w:hint="default"/>
                <w:sz w:val="21"/>
                <w:szCs w:val="21"/>
              </w:rPr>
            </w:r>
          </w:p>
          <w:p>
            <w:pPr>
              <w:pStyle w:val="TableParagraph"/>
              <w:spacing w:line="237" w:lineRule="auto" w:before="2"/>
              <w:ind w:left="167" w:right="167"/>
              <w:jc w:val="both"/>
              <w:rPr>
                <w:rFonts w:ascii="宋体" w:hAnsi="宋体" w:cs="宋体" w:eastAsia="宋体" w:hint="default"/>
                <w:sz w:val="21"/>
                <w:szCs w:val="21"/>
              </w:rPr>
            </w:pPr>
            <w:r>
              <w:rPr>
                <w:rFonts w:ascii="宋体" w:hAnsi="宋体" w:cs="宋体" w:eastAsia="宋体" w:hint="default"/>
                <w:b/>
                <w:bCs/>
                <w:sz w:val="21"/>
                <w:szCs w:val="21"/>
              </w:rPr>
              <w:t>在公</w:t>
            </w:r>
            <w:r>
              <w:rPr>
                <w:rFonts w:ascii="宋体" w:hAnsi="宋体" w:cs="宋体" w:eastAsia="宋体" w:hint="default"/>
                <w:b/>
                <w:bCs/>
                <w:w w:val="100"/>
                <w:sz w:val="21"/>
                <w:szCs w:val="21"/>
              </w:rPr>
              <w:t> </w:t>
            </w:r>
            <w:r>
              <w:rPr>
                <w:rFonts w:ascii="宋体" w:hAnsi="宋体" w:cs="宋体" w:eastAsia="宋体" w:hint="default"/>
                <w:b/>
                <w:bCs/>
                <w:sz w:val="21"/>
                <w:szCs w:val="21"/>
              </w:rPr>
              <w:t>司关</w:t>
            </w:r>
            <w:r>
              <w:rPr>
                <w:rFonts w:ascii="宋体" w:hAnsi="宋体" w:cs="宋体" w:eastAsia="宋体" w:hint="default"/>
                <w:b/>
                <w:bCs/>
                <w:w w:val="100"/>
                <w:sz w:val="21"/>
                <w:szCs w:val="21"/>
              </w:rPr>
              <w:t> </w:t>
            </w:r>
            <w:r>
              <w:rPr>
                <w:rFonts w:ascii="宋体" w:hAnsi="宋体" w:cs="宋体" w:eastAsia="宋体" w:hint="default"/>
                <w:b/>
                <w:bCs/>
                <w:sz w:val="21"/>
                <w:szCs w:val="21"/>
              </w:rPr>
              <w:t>联方</w:t>
            </w:r>
            <w:r>
              <w:rPr>
                <w:rFonts w:ascii="宋体" w:hAnsi="宋体" w:cs="宋体" w:eastAsia="宋体" w:hint="default"/>
                <w:b/>
                <w:bCs/>
                <w:w w:val="100"/>
                <w:sz w:val="21"/>
                <w:szCs w:val="21"/>
              </w:rPr>
              <w:t> </w:t>
            </w:r>
            <w:r>
              <w:rPr>
                <w:rFonts w:ascii="宋体" w:hAnsi="宋体" w:cs="宋体" w:eastAsia="宋体" w:hint="default"/>
                <w:b/>
                <w:bCs/>
                <w:sz w:val="21"/>
                <w:szCs w:val="21"/>
              </w:rPr>
              <w:t>获取</w:t>
            </w:r>
            <w:r>
              <w:rPr>
                <w:rFonts w:ascii="宋体" w:hAnsi="宋体" w:cs="宋体" w:eastAsia="宋体" w:hint="default"/>
                <w:b/>
                <w:bCs/>
                <w:w w:val="100"/>
                <w:sz w:val="21"/>
                <w:szCs w:val="21"/>
              </w:rPr>
              <w:t> </w:t>
            </w:r>
            <w:r>
              <w:rPr>
                <w:rFonts w:ascii="宋体" w:hAnsi="宋体" w:cs="宋体" w:eastAsia="宋体" w:hint="default"/>
                <w:b/>
                <w:bCs/>
                <w:sz w:val="21"/>
                <w:szCs w:val="21"/>
              </w:rPr>
              <w:t>报酬</w:t>
            </w:r>
            <w:r>
              <w:rPr>
                <w:rFonts w:ascii="宋体" w:hAnsi="宋体" w:cs="宋体" w:eastAsia="宋体" w:hint="default"/>
                <w:sz w:val="21"/>
                <w:szCs w:val="21"/>
              </w:rPr>
            </w:r>
          </w:p>
        </w:tc>
      </w:tr>
      <w:tr>
        <w:trPr>
          <w:trHeight w:val="288"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周立业</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52</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2015/8/27</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288"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黄俞</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47</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2015/11/18</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559"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范新</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董事、</w:t>
            </w:r>
            <w:r>
              <w:rPr>
                <w:rFonts w:ascii="宋体" w:hAnsi="宋体" w:cs="宋体" w:eastAsia="宋体" w:hint="default"/>
                <w:spacing w:val="-76"/>
                <w:sz w:val="21"/>
                <w:szCs w:val="21"/>
              </w:rPr>
              <w:t> </w:t>
            </w:r>
            <w:r>
              <w:rPr>
                <w:rFonts w:ascii="宋体" w:hAnsi="宋体" w:cs="宋体" w:eastAsia="宋体" w:hint="default"/>
                <w:sz w:val="21"/>
                <w:szCs w:val="21"/>
              </w:rPr>
              <w:t>总</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裁</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55</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163.57</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6"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雷霖</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41</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2015/9/16</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288"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何佳</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61</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1" w:right="0"/>
              <w:jc w:val="left"/>
              <w:rPr>
                <w:rFonts w:ascii="宋体" w:hAnsi="宋体" w:cs="宋体" w:eastAsia="宋体" w:hint="default"/>
                <w:sz w:val="21"/>
                <w:szCs w:val="21"/>
              </w:rPr>
            </w:pPr>
            <w:r>
              <w:rPr>
                <w:rFonts w:ascii="宋体"/>
                <w:sz w:val="21"/>
              </w:rPr>
              <w:t>2015/5/21</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7</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8"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杨利</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女</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52</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12</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8"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左小蕾</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女</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62</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12</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9"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夏冬林</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监事会主</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席</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55</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10</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288"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张文娟</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女</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48</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286"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刘刚</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52</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48.05</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8"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王良海</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50</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134.29</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8"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王明亮</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60</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148.57</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9"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刘卫东</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副总裁、</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财务总监</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53</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22,280</w:t>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22,280</w:t>
            </w:r>
          </w:p>
        </w:tc>
        <w:tc>
          <w:tcPr>
            <w:tcW w:w="7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w w:val="100"/>
                <w:sz w:val="21"/>
              </w:rPr>
              <w:t>0</w:t>
            </w: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134.29</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60"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李吉生</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副总裁、</w:t>
            </w:r>
          </w:p>
          <w:p>
            <w:pPr>
              <w:pStyle w:val="TableParagraph"/>
              <w:spacing w:line="275" w:lineRule="exact"/>
              <w:ind w:left="100" w:right="0"/>
              <w:jc w:val="left"/>
              <w:rPr>
                <w:rFonts w:ascii="宋体" w:hAnsi="宋体" w:cs="宋体" w:eastAsia="宋体" w:hint="default"/>
                <w:sz w:val="21"/>
                <w:szCs w:val="21"/>
              </w:rPr>
            </w:pPr>
            <w:r>
              <w:rPr>
                <w:rFonts w:ascii="宋体" w:hAnsi="宋体" w:cs="宋体" w:eastAsia="宋体" w:hint="default"/>
                <w:sz w:val="21"/>
                <w:szCs w:val="21"/>
              </w:rPr>
              <w:t>总工程师</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50</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8,612</w:t>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8,612</w:t>
            </w:r>
          </w:p>
        </w:tc>
        <w:tc>
          <w:tcPr>
            <w:tcW w:w="7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w w:val="100"/>
                <w:sz w:val="21"/>
              </w:rPr>
              <w:t>0</w:t>
            </w: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138.57</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8"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李健航</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47</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9,150</w:t>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9,150</w:t>
            </w:r>
          </w:p>
        </w:tc>
        <w:tc>
          <w:tcPr>
            <w:tcW w:w="7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w w:val="100"/>
                <w:sz w:val="21"/>
              </w:rPr>
              <w:t>0</w:t>
            </w: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148.57</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8"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周侠</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50</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60,000</w:t>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60,000</w:t>
            </w:r>
          </w:p>
        </w:tc>
        <w:tc>
          <w:tcPr>
            <w:tcW w:w="7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w w:val="100"/>
                <w:sz w:val="21"/>
              </w:rPr>
              <w:t>0</w:t>
            </w: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148.57</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9"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孙岷</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董事会秘</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书</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48</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44,616</w:t>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z w:val="21"/>
              </w:rPr>
              <w:t>44,616</w:t>
            </w:r>
          </w:p>
        </w:tc>
        <w:tc>
          <w:tcPr>
            <w:tcW w:w="7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w w:val="100"/>
                <w:sz w:val="21"/>
              </w:rPr>
              <w:t>0</w:t>
            </w: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101.43</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8"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潘晓江</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63</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2015/5/21</w:t>
            </w: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6"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童利斌</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44</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2015/5/21</w:t>
            </w: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288"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陆致成</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67</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2015/8/31</w:t>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477,018</w:t>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spacing w:val="-1"/>
                <w:sz w:val="21"/>
              </w:rPr>
              <w:t>477,018</w:t>
            </w:r>
          </w:p>
        </w:tc>
        <w:tc>
          <w:tcPr>
            <w:tcW w:w="76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6"/>
              <w:jc w:val="right"/>
              <w:rPr>
                <w:rFonts w:ascii="宋体" w:hAnsi="宋体" w:cs="宋体" w:eastAsia="宋体" w:hint="default"/>
                <w:sz w:val="21"/>
                <w:szCs w:val="21"/>
              </w:rPr>
            </w:pPr>
            <w:r>
              <w:rPr>
                <w:rFonts w:ascii="宋体"/>
                <w:w w:val="100"/>
                <w:sz w:val="21"/>
              </w:rPr>
              <w:t>0</w:t>
            </w: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181.73</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8"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赵伟国</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48</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2015/5/21</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2015/8/31</w:t>
            </w: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1.20</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286"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龙大伟</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52</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2015/9/16</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2015/11/2</w:t>
            </w: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288" w:hRule="exact"/>
        </w:trPr>
        <w:tc>
          <w:tcPr>
            <w:tcW w:w="956"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杨志明</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42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67</w:t>
            </w: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1" w:right="0"/>
              <w:jc w:val="left"/>
              <w:rPr>
                <w:rFonts w:ascii="宋体" w:hAnsi="宋体" w:cs="宋体" w:eastAsia="宋体" w:hint="default"/>
                <w:sz w:val="21"/>
                <w:szCs w:val="21"/>
              </w:rPr>
            </w:pPr>
            <w:r>
              <w:rPr>
                <w:rFonts w:ascii="宋体"/>
                <w:sz w:val="21"/>
              </w:rPr>
              <w:t>2013/5/15</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2015-9-30</w:t>
            </w:r>
          </w:p>
        </w:tc>
        <w:tc>
          <w:tcPr>
            <w:tcW w:w="958"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605"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127.14</w:t>
            </w:r>
          </w:p>
        </w:tc>
        <w:tc>
          <w:tcPr>
            <w:tcW w:w="780"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93" w:hRule="exact"/>
        </w:trPr>
        <w:tc>
          <w:tcPr>
            <w:tcW w:w="956"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right="257"/>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128"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b/>
                <w:w w:val="99"/>
                <w:sz w:val="21"/>
              </w:rPr>
              <w:t>/</w:t>
            </w:r>
            <w:r>
              <w:rPr>
                <w:rFonts w:ascii="宋体"/>
                <w:sz w:val="21"/>
              </w:rPr>
            </w:r>
          </w:p>
        </w:tc>
        <w:tc>
          <w:tcPr>
            <w:tcW w:w="427"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53" w:right="0"/>
              <w:jc w:val="left"/>
              <w:rPr>
                <w:rFonts w:ascii="宋体" w:hAnsi="宋体" w:cs="宋体" w:eastAsia="宋体" w:hint="default"/>
                <w:sz w:val="21"/>
                <w:szCs w:val="21"/>
              </w:rPr>
            </w:pPr>
            <w:r>
              <w:rPr>
                <w:rFonts w:ascii="宋体"/>
                <w:b/>
                <w:w w:val="99"/>
                <w:sz w:val="21"/>
              </w:rPr>
              <w:t>/</w:t>
            </w:r>
            <w:r>
              <w:rPr>
                <w:rFonts w:ascii="宋体"/>
                <w:sz w:val="21"/>
              </w:rPr>
            </w:r>
          </w:p>
        </w:tc>
        <w:tc>
          <w:tcPr>
            <w:tcW w:w="427"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b/>
                <w:w w:val="99"/>
                <w:sz w:val="21"/>
              </w:rPr>
              <w:t>/</w:t>
            </w:r>
            <w:r>
              <w:rPr>
                <w:rFonts w:ascii="宋体"/>
                <w:sz w:val="21"/>
              </w:rPr>
            </w:r>
          </w:p>
        </w:tc>
        <w:tc>
          <w:tcPr>
            <w:tcW w:w="1268"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b/>
                <w:w w:val="99"/>
                <w:sz w:val="21"/>
              </w:rPr>
              <w:t>/</w:t>
            </w:r>
            <w:r>
              <w:rPr>
                <w:rFonts w:ascii="宋体"/>
                <w:sz w:val="21"/>
              </w:rPr>
            </w:r>
          </w:p>
        </w:tc>
        <w:tc>
          <w:tcPr>
            <w:tcW w:w="1159"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b/>
                <w:w w:val="99"/>
                <w:sz w:val="21"/>
              </w:rPr>
              <w:t>/</w:t>
            </w:r>
            <w:r>
              <w:rPr>
                <w:rFonts w:ascii="宋体"/>
                <w:sz w:val="21"/>
              </w:rPr>
            </w:r>
          </w:p>
        </w:tc>
        <w:tc>
          <w:tcPr>
            <w:tcW w:w="958"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b/>
                <w:sz w:val="21"/>
              </w:rPr>
              <w:t>621,676</w:t>
            </w:r>
            <w:r>
              <w:rPr>
                <w:rFonts w:ascii="宋体"/>
                <w:sz w:val="21"/>
              </w:rPr>
            </w:r>
          </w:p>
        </w:tc>
        <w:tc>
          <w:tcPr>
            <w:tcW w:w="958"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b/>
                <w:sz w:val="21"/>
              </w:rPr>
              <w:t>621,676</w:t>
            </w:r>
            <w:r>
              <w:rPr>
                <w:rFonts w:ascii="宋体"/>
                <w:sz w:val="21"/>
              </w:rPr>
            </w:r>
          </w:p>
        </w:tc>
        <w:tc>
          <w:tcPr>
            <w:tcW w:w="766"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b/>
                <w:w w:val="99"/>
                <w:sz w:val="21"/>
              </w:rPr>
              <w:t>0</w:t>
            </w:r>
            <w:r>
              <w:rPr>
                <w:rFonts w:ascii="宋体"/>
                <w:sz w:val="21"/>
              </w:rPr>
            </w:r>
          </w:p>
        </w:tc>
        <w:tc>
          <w:tcPr>
            <w:tcW w:w="605"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2"/>
              <w:jc w:val="center"/>
              <w:rPr>
                <w:rFonts w:ascii="宋体" w:hAnsi="宋体" w:cs="宋体" w:eastAsia="宋体" w:hint="default"/>
                <w:sz w:val="21"/>
                <w:szCs w:val="21"/>
              </w:rPr>
            </w:pPr>
            <w:r>
              <w:rPr>
                <w:rFonts w:ascii="宋体"/>
                <w:b/>
                <w:w w:val="99"/>
                <w:sz w:val="21"/>
              </w:rPr>
              <w:t>/</w:t>
            </w:r>
            <w:r>
              <w:rPr>
                <w:rFonts w:ascii="宋体"/>
                <w:sz w:val="21"/>
              </w:rPr>
            </w:r>
          </w:p>
        </w:tc>
        <w:tc>
          <w:tcPr>
            <w:tcW w:w="1063"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b/>
                <w:sz w:val="21"/>
              </w:rPr>
              <w:t>1,516.98</w:t>
            </w:r>
            <w:r>
              <w:rPr>
                <w:rFonts w:ascii="宋体"/>
                <w:sz w:val="21"/>
              </w:rPr>
            </w:r>
          </w:p>
        </w:tc>
        <w:tc>
          <w:tcPr>
            <w:tcW w:w="780"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right="0"/>
              <w:jc w:val="center"/>
              <w:rPr>
                <w:rFonts w:ascii="宋体" w:hAnsi="宋体" w:cs="宋体" w:eastAsia="宋体" w:hint="default"/>
                <w:sz w:val="21"/>
                <w:szCs w:val="21"/>
              </w:rPr>
            </w:pPr>
            <w:r>
              <w:rPr>
                <w:rFonts w:ascii="宋体"/>
                <w:b/>
                <w:w w:val="99"/>
                <w:sz w:val="21"/>
              </w:rPr>
              <w:t>/</w:t>
            </w:r>
            <w:r>
              <w:rPr>
                <w:rFonts w:ascii="宋体"/>
                <w:sz w:val="21"/>
              </w:rPr>
            </w:r>
          </w:p>
        </w:tc>
      </w:tr>
    </w:tbl>
    <w:p>
      <w:pPr>
        <w:spacing w:after="0" w:line="241" w:lineRule="exact"/>
        <w:jc w:val="center"/>
        <w:rPr>
          <w:rFonts w:ascii="宋体" w:hAnsi="宋体" w:cs="宋体" w:eastAsia="宋体" w:hint="default"/>
          <w:sz w:val="21"/>
          <w:szCs w:val="21"/>
        </w:rPr>
        <w:sectPr>
          <w:pgSz w:w="11910" w:h="16840"/>
          <w:pgMar w:header="628" w:footer="760" w:top="1080" w:bottom="960" w:left="640" w:right="5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1049"/>
        <w:gridCol w:w="8370"/>
      </w:tblGrid>
      <w:tr>
        <w:trPr>
          <w:trHeight w:val="334" w:hRule="exact"/>
        </w:trPr>
        <w:tc>
          <w:tcPr>
            <w:tcW w:w="1049" w:type="dxa"/>
            <w:tcBorders>
              <w:top w:val="single" w:sz="12" w:space="0" w:color="000000"/>
              <w:left w:val="single" w:sz="12" w:space="0" w:color="000000"/>
              <w:bottom w:val="single" w:sz="6" w:space="0" w:color="000000"/>
              <w:right w:val="single" w:sz="6" w:space="0" w:color="000000"/>
            </w:tcBorders>
          </w:tcPr>
          <w:p>
            <w:pPr>
              <w:pStyle w:val="TableParagraph"/>
              <w:spacing w:line="274" w:lineRule="exact"/>
              <w:ind w:left="268" w:right="0"/>
              <w:jc w:val="left"/>
              <w:rPr>
                <w:rFonts w:ascii="宋体" w:hAnsi="宋体" w:cs="宋体" w:eastAsia="宋体" w:hint="default"/>
                <w:sz w:val="24"/>
                <w:szCs w:val="24"/>
              </w:rPr>
            </w:pPr>
            <w:r>
              <w:rPr>
                <w:rFonts w:ascii="宋体" w:hAnsi="宋体" w:cs="宋体" w:eastAsia="宋体" w:hint="default"/>
                <w:sz w:val="24"/>
                <w:szCs w:val="24"/>
              </w:rPr>
              <w:t>姓名</w:t>
            </w:r>
          </w:p>
        </w:tc>
        <w:tc>
          <w:tcPr>
            <w:tcW w:w="8370" w:type="dxa"/>
            <w:tcBorders>
              <w:top w:val="single" w:sz="12" w:space="0" w:color="000000"/>
              <w:left w:val="single" w:sz="6" w:space="0" w:color="000000"/>
              <w:bottom w:val="single" w:sz="6" w:space="0" w:color="000000"/>
              <w:right w:val="single" w:sz="12" w:space="0" w:color="000000"/>
            </w:tcBorders>
          </w:tcPr>
          <w:p>
            <w:pPr>
              <w:pStyle w:val="TableParagraph"/>
              <w:spacing w:line="274" w:lineRule="exact"/>
              <w:ind w:left="4" w:right="0"/>
              <w:jc w:val="center"/>
              <w:rPr>
                <w:rFonts w:ascii="宋体" w:hAnsi="宋体" w:cs="宋体" w:eastAsia="宋体" w:hint="default"/>
                <w:sz w:val="24"/>
                <w:szCs w:val="24"/>
              </w:rPr>
            </w:pPr>
            <w:r>
              <w:rPr>
                <w:rFonts w:ascii="宋体" w:hAnsi="宋体" w:cs="宋体" w:eastAsia="宋体" w:hint="default"/>
                <w:sz w:val="24"/>
                <w:szCs w:val="24"/>
              </w:rPr>
              <w:t>主要工作经历</w:t>
            </w:r>
          </w:p>
        </w:tc>
      </w:tr>
      <w:tr>
        <w:trPr>
          <w:trHeight w:val="1572"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周立业</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both"/>
              <w:rPr>
                <w:rFonts w:ascii="宋体" w:hAnsi="宋体" w:cs="宋体" w:eastAsia="宋体" w:hint="default"/>
                <w:sz w:val="24"/>
                <w:szCs w:val="24"/>
              </w:rPr>
            </w:pPr>
            <w:r>
              <w:rPr>
                <w:rFonts w:ascii="宋体" w:hAnsi="宋体" w:cs="宋体" w:eastAsia="宋体" w:hint="default"/>
                <w:sz w:val="24"/>
                <w:szCs w:val="24"/>
              </w:rPr>
              <w:t>周立业先生，</w:t>
            </w:r>
            <w:r>
              <w:rPr>
                <w:rFonts w:ascii="宋体" w:hAnsi="宋体" w:cs="宋体" w:eastAsia="宋体" w:hint="default"/>
                <w:spacing w:val="-50"/>
                <w:sz w:val="24"/>
                <w:szCs w:val="24"/>
              </w:rPr>
              <w:t> </w:t>
            </w:r>
            <w:r>
              <w:rPr>
                <w:rFonts w:ascii="宋体" w:hAnsi="宋体" w:cs="宋体" w:eastAsia="宋体" w:hint="default"/>
                <w:sz w:val="24"/>
                <w:szCs w:val="24"/>
              </w:rPr>
              <w:t>2013</w:t>
            </w:r>
            <w:r>
              <w:rPr>
                <w:rFonts w:ascii="宋体" w:hAnsi="宋体" w:cs="宋体" w:eastAsia="宋体" w:hint="default"/>
                <w:spacing w:val="-48"/>
                <w:sz w:val="24"/>
                <w:szCs w:val="24"/>
              </w:rPr>
              <w:t> </w:t>
            </w:r>
            <w:r>
              <w:rPr>
                <w:rFonts w:ascii="宋体" w:hAnsi="宋体" w:cs="宋体" w:eastAsia="宋体" w:hint="default"/>
                <w:sz w:val="24"/>
                <w:szCs w:val="24"/>
              </w:rPr>
              <w:t>年</w:t>
            </w:r>
            <w:r>
              <w:rPr>
                <w:rFonts w:ascii="宋体" w:hAnsi="宋体" w:cs="宋体" w:eastAsia="宋体" w:hint="default"/>
                <w:spacing w:val="-48"/>
                <w:sz w:val="24"/>
                <w:szCs w:val="24"/>
              </w:rPr>
              <w:t> </w:t>
            </w:r>
            <w:r>
              <w:rPr>
                <w:rFonts w:ascii="宋体" w:hAnsi="宋体" w:cs="宋体" w:eastAsia="宋体" w:hint="default"/>
                <w:sz w:val="24"/>
                <w:szCs w:val="24"/>
              </w:rPr>
              <w:t>5</w:t>
            </w:r>
            <w:r>
              <w:rPr>
                <w:rFonts w:ascii="宋体" w:hAnsi="宋体" w:cs="宋体" w:eastAsia="宋体" w:hint="default"/>
                <w:spacing w:val="-48"/>
                <w:sz w:val="24"/>
                <w:szCs w:val="24"/>
              </w:rPr>
              <w:t> </w:t>
            </w:r>
            <w:r>
              <w:rPr>
                <w:rFonts w:ascii="宋体" w:hAnsi="宋体" w:cs="宋体" w:eastAsia="宋体" w:hint="default"/>
                <w:sz w:val="24"/>
                <w:szCs w:val="24"/>
              </w:rPr>
              <w:t>月</w:t>
            </w:r>
            <w:r>
              <w:rPr>
                <w:rFonts w:ascii="宋体" w:hAnsi="宋体" w:cs="宋体" w:eastAsia="宋体" w:hint="default"/>
                <w:spacing w:val="-48"/>
                <w:sz w:val="24"/>
                <w:szCs w:val="24"/>
              </w:rPr>
              <w:t> </w:t>
            </w:r>
            <w:r>
              <w:rPr>
                <w:rFonts w:ascii="宋体" w:hAnsi="宋体" w:cs="宋体" w:eastAsia="宋体" w:hint="default"/>
                <w:sz w:val="24"/>
                <w:szCs w:val="24"/>
              </w:rPr>
              <w:t>15</w:t>
            </w:r>
            <w:r>
              <w:rPr>
                <w:rFonts w:ascii="宋体" w:hAnsi="宋体" w:cs="宋体" w:eastAsia="宋体" w:hint="default"/>
                <w:spacing w:val="-60"/>
                <w:sz w:val="24"/>
                <w:szCs w:val="24"/>
              </w:rPr>
              <w:t> </w:t>
            </w:r>
            <w:r>
              <w:rPr>
                <w:rFonts w:ascii="宋体" w:hAnsi="宋体" w:cs="宋体" w:eastAsia="宋体" w:hint="default"/>
                <w:spacing w:val="-6"/>
                <w:sz w:val="24"/>
                <w:szCs w:val="24"/>
              </w:rPr>
              <w:t>日至今，任公司第六届董事会董事、董事长之职。</w:t>
            </w:r>
          </w:p>
          <w:p>
            <w:pPr>
              <w:pStyle w:val="TableParagraph"/>
              <w:spacing w:line="312" w:lineRule="exact"/>
              <w:ind w:left="100" w:right="0"/>
              <w:jc w:val="both"/>
              <w:rPr>
                <w:rFonts w:ascii="宋体" w:hAnsi="宋体" w:cs="宋体" w:eastAsia="宋体" w:hint="default"/>
                <w:sz w:val="24"/>
                <w:szCs w:val="24"/>
              </w:rPr>
            </w:pPr>
            <w:r>
              <w:rPr>
                <w:rFonts w:ascii="宋体" w:hAnsi="宋体" w:cs="宋体" w:eastAsia="宋体" w:hint="default"/>
                <w:sz w:val="24"/>
                <w:szCs w:val="24"/>
              </w:rPr>
              <w:t>1987</w:t>
            </w:r>
            <w:r>
              <w:rPr>
                <w:rFonts w:ascii="宋体" w:hAnsi="宋体" w:cs="宋体" w:eastAsia="宋体" w:hint="default"/>
                <w:spacing w:val="-61"/>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宋体" w:hAnsi="宋体" w:cs="宋体" w:eastAsia="宋体" w:hint="default"/>
                <w:sz w:val="24"/>
                <w:szCs w:val="24"/>
              </w:rPr>
              <w:t>1</w:t>
            </w:r>
            <w:r>
              <w:rPr>
                <w:rFonts w:ascii="宋体" w:hAnsi="宋体" w:cs="宋体" w:eastAsia="宋体" w:hint="default"/>
                <w:spacing w:val="-61"/>
                <w:sz w:val="24"/>
                <w:szCs w:val="24"/>
              </w:rPr>
              <w:t> </w:t>
            </w:r>
            <w:r>
              <w:rPr>
                <w:rFonts w:ascii="宋体" w:hAnsi="宋体" w:cs="宋体" w:eastAsia="宋体" w:hint="default"/>
                <w:sz w:val="24"/>
                <w:szCs w:val="24"/>
              </w:rPr>
              <w:t>月至</w:t>
            </w:r>
            <w:r>
              <w:rPr>
                <w:rFonts w:ascii="宋体" w:hAnsi="宋体" w:cs="宋体" w:eastAsia="宋体" w:hint="default"/>
                <w:spacing w:val="-61"/>
                <w:sz w:val="24"/>
                <w:szCs w:val="24"/>
              </w:rPr>
              <w:t> </w:t>
            </w:r>
            <w:r>
              <w:rPr>
                <w:rFonts w:ascii="宋体" w:hAnsi="宋体" w:cs="宋体" w:eastAsia="宋体" w:hint="default"/>
                <w:sz w:val="24"/>
                <w:szCs w:val="24"/>
              </w:rPr>
              <w:t>2001</w:t>
            </w:r>
            <w:r>
              <w:rPr>
                <w:rFonts w:ascii="宋体" w:hAnsi="宋体" w:cs="宋体" w:eastAsia="宋体" w:hint="default"/>
                <w:spacing w:val="-61"/>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宋体" w:hAnsi="宋体" w:cs="宋体" w:eastAsia="宋体" w:hint="default"/>
                <w:sz w:val="24"/>
                <w:szCs w:val="24"/>
              </w:rPr>
              <w:t>2</w:t>
            </w:r>
            <w:r>
              <w:rPr>
                <w:rFonts w:ascii="宋体" w:hAnsi="宋体" w:cs="宋体" w:eastAsia="宋体" w:hint="default"/>
                <w:spacing w:val="-61"/>
                <w:sz w:val="24"/>
                <w:szCs w:val="24"/>
              </w:rPr>
              <w:t> </w:t>
            </w:r>
            <w:r>
              <w:rPr>
                <w:rFonts w:ascii="宋体" w:hAnsi="宋体" w:cs="宋体" w:eastAsia="宋体" w:hint="default"/>
                <w:sz w:val="24"/>
                <w:szCs w:val="24"/>
              </w:rPr>
              <w:t>月，任清华大学核研院党委委员等职务；</w:t>
            </w:r>
            <w:r>
              <w:rPr>
                <w:rFonts w:ascii="宋体" w:hAnsi="宋体" w:cs="宋体" w:eastAsia="宋体" w:hint="default"/>
                <w:sz w:val="24"/>
                <w:szCs w:val="24"/>
              </w:rPr>
              <w:t>2001</w:t>
            </w:r>
            <w:r>
              <w:rPr>
                <w:rFonts w:ascii="宋体" w:hAnsi="宋体" w:cs="宋体" w:eastAsia="宋体" w:hint="default"/>
                <w:spacing w:val="-61"/>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宋体" w:hAnsi="宋体" w:cs="宋体" w:eastAsia="宋体" w:hint="default"/>
                <w:sz w:val="24"/>
                <w:szCs w:val="24"/>
              </w:rPr>
              <w:t>3</w:t>
            </w:r>
            <w:r>
              <w:rPr>
                <w:rFonts w:ascii="宋体" w:hAnsi="宋体" w:cs="宋体" w:eastAsia="宋体" w:hint="default"/>
                <w:spacing w:val="-61"/>
                <w:sz w:val="24"/>
                <w:szCs w:val="24"/>
              </w:rPr>
              <w:t> </w:t>
            </w:r>
            <w:r>
              <w:rPr>
                <w:rFonts w:ascii="宋体" w:hAnsi="宋体" w:cs="宋体" w:eastAsia="宋体" w:hint="default"/>
                <w:sz w:val="24"/>
                <w:szCs w:val="24"/>
              </w:rPr>
              <w:t>月</w:t>
            </w:r>
          </w:p>
          <w:p>
            <w:pPr>
              <w:pStyle w:val="TableParagraph"/>
              <w:spacing w:line="237" w:lineRule="auto" w:before="1"/>
              <w:ind w:left="100" w:right="89"/>
              <w:jc w:val="both"/>
              <w:rPr>
                <w:rFonts w:ascii="宋体" w:hAnsi="宋体" w:cs="宋体" w:eastAsia="宋体" w:hint="default"/>
                <w:sz w:val="24"/>
                <w:szCs w:val="24"/>
              </w:rPr>
            </w:pPr>
            <w:r>
              <w:rPr>
                <w:rFonts w:ascii="宋体" w:hAnsi="宋体" w:cs="宋体" w:eastAsia="宋体" w:hint="default"/>
                <w:sz w:val="24"/>
                <w:szCs w:val="24"/>
              </w:rPr>
              <w:t>至</w:t>
            </w:r>
            <w:r>
              <w:rPr>
                <w:rFonts w:ascii="宋体" w:hAnsi="宋体" w:cs="宋体" w:eastAsia="宋体" w:hint="default"/>
                <w:spacing w:val="-59"/>
                <w:sz w:val="24"/>
                <w:szCs w:val="24"/>
              </w:rPr>
              <w:t> </w:t>
            </w:r>
            <w:r>
              <w:rPr>
                <w:rFonts w:ascii="宋体" w:hAnsi="宋体" w:cs="宋体" w:eastAsia="宋体" w:hint="default"/>
                <w:sz w:val="24"/>
                <w:szCs w:val="24"/>
              </w:rPr>
              <w:t>2003</w:t>
            </w:r>
            <w:r>
              <w:rPr>
                <w:rFonts w:ascii="宋体" w:hAnsi="宋体" w:cs="宋体" w:eastAsia="宋体" w:hint="default"/>
                <w:spacing w:val="-59"/>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8</w:t>
            </w:r>
            <w:r>
              <w:rPr>
                <w:rFonts w:ascii="宋体" w:hAnsi="宋体" w:cs="宋体" w:eastAsia="宋体" w:hint="default"/>
                <w:spacing w:val="-59"/>
                <w:sz w:val="24"/>
                <w:szCs w:val="24"/>
              </w:rPr>
              <w:t> </w:t>
            </w:r>
            <w:r>
              <w:rPr>
                <w:rFonts w:ascii="宋体" w:hAnsi="宋体" w:cs="宋体" w:eastAsia="宋体" w:hint="default"/>
                <w:spacing w:val="-3"/>
                <w:sz w:val="24"/>
                <w:szCs w:val="24"/>
              </w:rPr>
              <w:t>月，任清华大学核研院副院长；</w:t>
            </w:r>
            <w:r>
              <w:rPr>
                <w:rFonts w:ascii="宋体" w:hAnsi="宋体" w:cs="宋体" w:eastAsia="宋体" w:hint="default"/>
                <w:spacing w:val="-3"/>
                <w:sz w:val="24"/>
                <w:szCs w:val="24"/>
              </w:rPr>
              <w:t>2002</w:t>
            </w:r>
            <w:r>
              <w:rPr>
                <w:rFonts w:ascii="宋体" w:hAnsi="宋体" w:cs="宋体" w:eastAsia="宋体" w:hint="default"/>
                <w:spacing w:val="-59"/>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4</w:t>
            </w:r>
            <w:r>
              <w:rPr>
                <w:rFonts w:ascii="宋体" w:hAnsi="宋体" w:cs="宋体" w:eastAsia="宋体" w:hint="default"/>
                <w:spacing w:val="-59"/>
                <w:sz w:val="24"/>
                <w:szCs w:val="24"/>
              </w:rPr>
              <w:t> </w:t>
            </w:r>
            <w:r>
              <w:rPr>
                <w:rFonts w:ascii="宋体" w:hAnsi="宋体" w:cs="宋体" w:eastAsia="宋体" w:hint="default"/>
                <w:sz w:val="24"/>
                <w:szCs w:val="24"/>
              </w:rPr>
              <w:t>月至</w:t>
            </w:r>
            <w:r>
              <w:rPr>
                <w:rFonts w:ascii="宋体" w:hAnsi="宋体" w:cs="宋体" w:eastAsia="宋体" w:hint="default"/>
                <w:spacing w:val="-59"/>
                <w:sz w:val="24"/>
                <w:szCs w:val="24"/>
              </w:rPr>
              <w:t> </w:t>
            </w:r>
            <w:r>
              <w:rPr>
                <w:rFonts w:ascii="宋体" w:hAnsi="宋体" w:cs="宋体" w:eastAsia="宋体" w:hint="default"/>
                <w:sz w:val="24"/>
                <w:szCs w:val="24"/>
              </w:rPr>
              <w:t>2003</w:t>
            </w:r>
            <w:r>
              <w:rPr>
                <w:rFonts w:ascii="宋体" w:hAnsi="宋体" w:cs="宋体" w:eastAsia="宋体" w:hint="default"/>
                <w:spacing w:val="-59"/>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6</w:t>
            </w:r>
            <w:r>
              <w:rPr>
                <w:rFonts w:ascii="宋体" w:hAnsi="宋体" w:cs="宋体" w:eastAsia="宋体" w:hint="default"/>
                <w:spacing w:val="-59"/>
                <w:sz w:val="24"/>
                <w:szCs w:val="24"/>
              </w:rPr>
              <w:t> </w:t>
            </w:r>
            <w:r>
              <w:rPr>
                <w:rFonts w:ascii="宋体" w:hAnsi="宋体" w:cs="宋体" w:eastAsia="宋体" w:hint="default"/>
                <w:spacing w:val="-6"/>
                <w:sz w:val="24"/>
                <w:szCs w:val="24"/>
              </w:rPr>
              <w:t>月，兼任</w:t>
            </w:r>
            <w:r>
              <w:rPr>
                <w:rFonts w:ascii="宋体" w:hAnsi="宋体" w:cs="宋体" w:eastAsia="宋体" w:hint="default"/>
                <w:sz w:val="24"/>
                <w:szCs w:val="24"/>
              </w:rPr>
              <w:t> 内蒙古宏峰实业股份有限公司总经理；</w:t>
            </w:r>
            <w:r>
              <w:rPr>
                <w:rFonts w:ascii="宋体" w:hAnsi="宋体" w:cs="宋体" w:eastAsia="宋体" w:hint="default"/>
                <w:sz w:val="24"/>
                <w:szCs w:val="24"/>
              </w:rPr>
              <w:t>2003</w:t>
            </w:r>
            <w:r>
              <w:rPr>
                <w:rFonts w:ascii="宋体" w:hAnsi="宋体" w:cs="宋体" w:eastAsia="宋体" w:hint="default"/>
                <w:spacing w:val="-44"/>
                <w:sz w:val="24"/>
                <w:szCs w:val="24"/>
              </w:rPr>
              <w:t> </w:t>
            </w:r>
            <w:r>
              <w:rPr>
                <w:rFonts w:ascii="宋体" w:hAnsi="宋体" w:cs="宋体" w:eastAsia="宋体" w:hint="default"/>
                <w:sz w:val="24"/>
                <w:szCs w:val="24"/>
              </w:rPr>
              <w:t>年</w:t>
            </w:r>
            <w:r>
              <w:rPr>
                <w:rFonts w:ascii="宋体" w:hAnsi="宋体" w:cs="宋体" w:eastAsia="宋体" w:hint="default"/>
                <w:spacing w:val="-44"/>
                <w:sz w:val="24"/>
                <w:szCs w:val="24"/>
              </w:rPr>
              <w:t> </w:t>
            </w:r>
            <w:r>
              <w:rPr>
                <w:rFonts w:ascii="宋体" w:hAnsi="宋体" w:cs="宋体" w:eastAsia="宋体" w:hint="default"/>
                <w:sz w:val="24"/>
                <w:szCs w:val="24"/>
              </w:rPr>
              <w:t>11</w:t>
            </w:r>
            <w:r>
              <w:rPr>
                <w:rFonts w:ascii="宋体" w:hAnsi="宋体" w:cs="宋体" w:eastAsia="宋体" w:hint="default"/>
                <w:spacing w:val="-44"/>
                <w:sz w:val="24"/>
                <w:szCs w:val="24"/>
              </w:rPr>
              <w:t> </w:t>
            </w:r>
            <w:r>
              <w:rPr>
                <w:rFonts w:ascii="宋体" w:hAnsi="宋体" w:cs="宋体" w:eastAsia="宋体" w:hint="default"/>
                <w:sz w:val="24"/>
                <w:szCs w:val="24"/>
              </w:rPr>
              <w:t>月至报告期末，历任清华控 股有限公司副总裁、董事兼总裁。</w:t>
            </w:r>
          </w:p>
        </w:tc>
      </w:tr>
      <w:tr>
        <w:trPr>
          <w:trHeight w:val="1260"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黄俞</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both"/>
              <w:rPr>
                <w:rFonts w:ascii="宋体" w:hAnsi="宋体" w:cs="宋体" w:eastAsia="宋体" w:hint="default"/>
                <w:sz w:val="24"/>
                <w:szCs w:val="24"/>
              </w:rPr>
            </w:pPr>
            <w:r>
              <w:rPr>
                <w:rFonts w:ascii="宋体" w:hAnsi="宋体" w:cs="宋体" w:eastAsia="宋体" w:hint="default"/>
                <w:spacing w:val="-7"/>
                <w:sz w:val="24"/>
                <w:szCs w:val="24"/>
              </w:rPr>
              <w:t>黄俞先生，</w:t>
            </w:r>
            <w:r>
              <w:rPr>
                <w:rFonts w:ascii="宋体" w:hAnsi="宋体" w:cs="宋体" w:eastAsia="宋体" w:hint="default"/>
                <w:spacing w:val="-7"/>
                <w:sz w:val="24"/>
                <w:szCs w:val="24"/>
              </w:rPr>
              <w:t>2015</w:t>
            </w:r>
            <w:r>
              <w:rPr>
                <w:rFonts w:ascii="宋体" w:hAnsi="宋体" w:cs="宋体" w:eastAsia="宋体" w:hint="default"/>
                <w:spacing w:val="-43"/>
                <w:sz w:val="24"/>
                <w:szCs w:val="24"/>
              </w:rPr>
              <w:t> </w:t>
            </w:r>
            <w:r>
              <w:rPr>
                <w:rFonts w:ascii="宋体" w:hAnsi="宋体" w:cs="宋体" w:eastAsia="宋体" w:hint="default"/>
                <w:sz w:val="24"/>
                <w:szCs w:val="24"/>
              </w:rPr>
              <w:t>年</w:t>
            </w:r>
            <w:r>
              <w:rPr>
                <w:rFonts w:ascii="宋体" w:hAnsi="宋体" w:cs="宋体" w:eastAsia="宋体" w:hint="default"/>
                <w:spacing w:val="-43"/>
                <w:sz w:val="24"/>
                <w:szCs w:val="24"/>
              </w:rPr>
              <w:t> </w:t>
            </w:r>
            <w:r>
              <w:rPr>
                <w:rFonts w:ascii="宋体" w:hAnsi="宋体" w:cs="宋体" w:eastAsia="宋体" w:hint="default"/>
                <w:sz w:val="24"/>
                <w:szCs w:val="24"/>
              </w:rPr>
              <w:t>11</w:t>
            </w:r>
            <w:r>
              <w:rPr>
                <w:rFonts w:ascii="宋体" w:hAnsi="宋体" w:cs="宋体" w:eastAsia="宋体" w:hint="default"/>
                <w:spacing w:val="-43"/>
                <w:sz w:val="24"/>
                <w:szCs w:val="24"/>
              </w:rPr>
              <w:t> </w:t>
            </w:r>
            <w:r>
              <w:rPr>
                <w:rFonts w:ascii="宋体" w:hAnsi="宋体" w:cs="宋体" w:eastAsia="宋体" w:hint="default"/>
                <w:sz w:val="24"/>
                <w:szCs w:val="24"/>
              </w:rPr>
              <w:t>月</w:t>
            </w:r>
            <w:r>
              <w:rPr>
                <w:rFonts w:ascii="宋体" w:hAnsi="宋体" w:cs="宋体" w:eastAsia="宋体" w:hint="default"/>
                <w:spacing w:val="-43"/>
                <w:sz w:val="24"/>
                <w:szCs w:val="24"/>
              </w:rPr>
              <w:t> </w:t>
            </w:r>
            <w:r>
              <w:rPr>
                <w:rFonts w:ascii="宋体" w:hAnsi="宋体" w:cs="宋体" w:eastAsia="宋体" w:hint="default"/>
                <w:sz w:val="24"/>
                <w:szCs w:val="24"/>
              </w:rPr>
              <w:t>18</w:t>
            </w:r>
            <w:r>
              <w:rPr>
                <w:rFonts w:ascii="宋体" w:hAnsi="宋体" w:cs="宋体" w:eastAsia="宋体" w:hint="default"/>
                <w:spacing w:val="-60"/>
                <w:sz w:val="24"/>
                <w:szCs w:val="24"/>
              </w:rPr>
              <w:t> </w:t>
            </w:r>
            <w:r>
              <w:rPr>
                <w:rFonts w:ascii="宋体" w:hAnsi="宋体" w:cs="宋体" w:eastAsia="宋体" w:hint="default"/>
                <w:spacing w:val="-6"/>
                <w:sz w:val="24"/>
                <w:szCs w:val="24"/>
              </w:rPr>
              <w:t>日至今，任公司第六届董事会董事、副董事长之职。</w:t>
            </w:r>
          </w:p>
          <w:p>
            <w:pPr>
              <w:pStyle w:val="TableParagraph"/>
              <w:spacing w:line="237" w:lineRule="auto" w:before="1"/>
              <w:ind w:left="100" w:right="-26"/>
              <w:jc w:val="both"/>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42"/>
                <w:sz w:val="24"/>
                <w:szCs w:val="24"/>
              </w:rPr>
              <w:t> </w:t>
            </w:r>
            <w:r>
              <w:rPr>
                <w:rFonts w:ascii="宋体" w:hAnsi="宋体" w:cs="宋体" w:eastAsia="宋体" w:hint="default"/>
                <w:sz w:val="24"/>
                <w:szCs w:val="24"/>
              </w:rPr>
              <w:t>年</w:t>
            </w:r>
            <w:r>
              <w:rPr>
                <w:rFonts w:ascii="宋体" w:hAnsi="宋体" w:cs="宋体" w:eastAsia="宋体" w:hint="default"/>
                <w:spacing w:val="-42"/>
                <w:sz w:val="24"/>
                <w:szCs w:val="24"/>
              </w:rPr>
              <w:t> </w:t>
            </w:r>
            <w:r>
              <w:rPr>
                <w:rFonts w:ascii="宋体" w:hAnsi="宋体" w:cs="宋体" w:eastAsia="宋体" w:hint="default"/>
                <w:sz w:val="24"/>
                <w:szCs w:val="24"/>
              </w:rPr>
              <w:t>6</w:t>
            </w:r>
            <w:r>
              <w:rPr>
                <w:rFonts w:ascii="宋体" w:hAnsi="宋体" w:cs="宋体" w:eastAsia="宋体" w:hint="default"/>
                <w:spacing w:val="-42"/>
                <w:sz w:val="24"/>
                <w:szCs w:val="24"/>
              </w:rPr>
              <w:t> </w:t>
            </w:r>
            <w:r>
              <w:rPr>
                <w:rFonts w:ascii="宋体" w:hAnsi="宋体" w:cs="宋体" w:eastAsia="宋体" w:hint="default"/>
                <w:sz w:val="24"/>
                <w:szCs w:val="24"/>
              </w:rPr>
              <w:t>月至今，任深圳市华融泰资产管理有限公司董事长；</w:t>
            </w:r>
            <w:r>
              <w:rPr>
                <w:rFonts w:ascii="宋体" w:hAnsi="宋体" w:cs="宋体" w:eastAsia="宋体" w:hint="default"/>
                <w:sz w:val="24"/>
                <w:szCs w:val="24"/>
              </w:rPr>
              <w:t>2013</w:t>
            </w:r>
            <w:r>
              <w:rPr>
                <w:rFonts w:ascii="宋体" w:hAnsi="宋体" w:cs="宋体" w:eastAsia="宋体" w:hint="default"/>
                <w:spacing w:val="-42"/>
                <w:sz w:val="24"/>
                <w:szCs w:val="24"/>
              </w:rPr>
              <w:t> </w:t>
            </w:r>
            <w:r>
              <w:rPr>
                <w:rFonts w:ascii="宋体" w:hAnsi="宋体" w:cs="宋体" w:eastAsia="宋体" w:hint="default"/>
                <w:sz w:val="24"/>
                <w:szCs w:val="24"/>
              </w:rPr>
              <w:t>年</w:t>
            </w:r>
            <w:r>
              <w:rPr>
                <w:rFonts w:ascii="宋体" w:hAnsi="宋体" w:cs="宋体" w:eastAsia="宋体" w:hint="default"/>
                <w:spacing w:val="-42"/>
                <w:sz w:val="24"/>
                <w:szCs w:val="24"/>
              </w:rPr>
              <w:t> </w:t>
            </w:r>
            <w:r>
              <w:rPr>
                <w:rFonts w:ascii="宋体" w:hAnsi="宋体" w:cs="宋体" w:eastAsia="宋体" w:hint="default"/>
                <w:sz w:val="24"/>
                <w:szCs w:val="24"/>
              </w:rPr>
              <w:t>4</w:t>
            </w:r>
            <w:r>
              <w:rPr>
                <w:rFonts w:ascii="宋体" w:hAnsi="宋体" w:cs="宋体" w:eastAsia="宋体" w:hint="default"/>
                <w:spacing w:val="-42"/>
                <w:sz w:val="24"/>
                <w:szCs w:val="24"/>
              </w:rPr>
              <w:t> </w:t>
            </w:r>
            <w:r>
              <w:rPr>
                <w:rFonts w:ascii="宋体" w:hAnsi="宋体" w:cs="宋体" w:eastAsia="宋体" w:hint="default"/>
                <w:sz w:val="24"/>
                <w:szCs w:val="24"/>
              </w:rPr>
              <w:t>月至 今，任深圳华控赛格股份有限公司董事长；</w:t>
            </w:r>
            <w:r>
              <w:rPr>
                <w:rFonts w:ascii="宋体" w:hAnsi="宋体" w:cs="宋体" w:eastAsia="宋体" w:hint="default"/>
                <w:sz w:val="24"/>
                <w:szCs w:val="24"/>
              </w:rPr>
              <w:t>2013</w:t>
            </w:r>
            <w:r>
              <w:rPr>
                <w:rFonts w:ascii="宋体" w:hAnsi="宋体" w:cs="宋体" w:eastAsia="宋体" w:hint="default"/>
                <w:spacing w:val="-73"/>
                <w:sz w:val="24"/>
                <w:szCs w:val="24"/>
              </w:rPr>
              <w:t> </w:t>
            </w:r>
            <w:r>
              <w:rPr>
                <w:rFonts w:ascii="宋体" w:hAnsi="宋体" w:cs="宋体" w:eastAsia="宋体" w:hint="default"/>
                <w:sz w:val="24"/>
                <w:szCs w:val="24"/>
              </w:rPr>
              <w:t>年</w:t>
            </w:r>
            <w:r>
              <w:rPr>
                <w:rFonts w:ascii="宋体" w:hAnsi="宋体" w:cs="宋体" w:eastAsia="宋体" w:hint="default"/>
                <w:spacing w:val="-73"/>
                <w:sz w:val="24"/>
                <w:szCs w:val="24"/>
              </w:rPr>
              <w:t> </w:t>
            </w:r>
            <w:r>
              <w:rPr>
                <w:rFonts w:ascii="宋体" w:hAnsi="宋体" w:cs="宋体" w:eastAsia="宋体" w:hint="default"/>
                <w:sz w:val="24"/>
                <w:szCs w:val="24"/>
              </w:rPr>
              <w:t>6</w:t>
            </w:r>
            <w:r>
              <w:rPr>
                <w:rFonts w:ascii="宋体" w:hAnsi="宋体" w:cs="宋体" w:eastAsia="宋体" w:hint="default"/>
                <w:spacing w:val="-73"/>
                <w:sz w:val="24"/>
                <w:szCs w:val="24"/>
              </w:rPr>
              <w:t> </w:t>
            </w:r>
            <w:r>
              <w:rPr>
                <w:rFonts w:ascii="宋体" w:hAnsi="宋体" w:cs="宋体" w:eastAsia="宋体" w:hint="default"/>
                <w:sz w:val="24"/>
                <w:szCs w:val="24"/>
              </w:rPr>
              <w:t>月至今，任清华控股有限 </w:t>
            </w:r>
            <w:r>
              <w:rPr>
                <w:rFonts w:ascii="宋体" w:hAnsi="宋体" w:cs="宋体" w:eastAsia="宋体" w:hint="default"/>
                <w:spacing w:val="-8"/>
                <w:sz w:val="24"/>
                <w:szCs w:val="24"/>
              </w:rPr>
              <w:t>公司高级副总裁；</w:t>
            </w:r>
            <w:r>
              <w:rPr>
                <w:rFonts w:ascii="宋体" w:hAnsi="宋体" w:cs="宋体" w:eastAsia="宋体" w:hint="default"/>
                <w:spacing w:val="-8"/>
                <w:sz w:val="24"/>
                <w:szCs w:val="24"/>
              </w:rPr>
              <w:t>2014</w:t>
            </w:r>
            <w:r>
              <w:rPr>
                <w:rFonts w:ascii="宋体" w:hAnsi="宋体" w:cs="宋体" w:eastAsia="宋体" w:hint="default"/>
                <w:spacing w:val="-52"/>
                <w:sz w:val="24"/>
                <w:szCs w:val="24"/>
              </w:rPr>
              <w:t> </w:t>
            </w:r>
            <w:r>
              <w:rPr>
                <w:rFonts w:ascii="宋体" w:hAnsi="宋体" w:cs="宋体" w:eastAsia="宋体" w:hint="default"/>
                <w:sz w:val="24"/>
                <w:szCs w:val="24"/>
              </w:rPr>
              <w:t>年</w:t>
            </w:r>
            <w:r>
              <w:rPr>
                <w:rFonts w:ascii="宋体" w:hAnsi="宋体" w:cs="宋体" w:eastAsia="宋体" w:hint="default"/>
                <w:spacing w:val="-52"/>
                <w:sz w:val="24"/>
                <w:szCs w:val="24"/>
              </w:rPr>
              <w:t> </w:t>
            </w:r>
            <w:r>
              <w:rPr>
                <w:rFonts w:ascii="宋体" w:hAnsi="宋体" w:cs="宋体" w:eastAsia="宋体" w:hint="default"/>
                <w:sz w:val="24"/>
                <w:szCs w:val="24"/>
              </w:rPr>
              <w:t>7</w:t>
            </w:r>
            <w:r>
              <w:rPr>
                <w:rFonts w:ascii="宋体" w:hAnsi="宋体" w:cs="宋体" w:eastAsia="宋体" w:hint="default"/>
                <w:spacing w:val="-52"/>
                <w:sz w:val="24"/>
                <w:szCs w:val="24"/>
              </w:rPr>
              <w:t> </w:t>
            </w:r>
            <w:r>
              <w:rPr>
                <w:rFonts w:ascii="宋体" w:hAnsi="宋体" w:cs="宋体" w:eastAsia="宋体" w:hint="default"/>
                <w:spacing w:val="-5"/>
                <w:sz w:val="24"/>
                <w:szCs w:val="24"/>
              </w:rPr>
              <w:t>月至今，任联合水泥控股有限公司主席兼执行董事。</w:t>
            </w:r>
          </w:p>
        </w:tc>
      </w:tr>
      <w:tr>
        <w:trPr>
          <w:trHeight w:val="948"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范新</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范新先生，</w:t>
            </w:r>
            <w:r>
              <w:rPr>
                <w:rFonts w:ascii="宋体" w:hAnsi="宋体" w:cs="宋体" w:eastAsia="宋体" w:hint="default"/>
                <w:sz w:val="24"/>
                <w:szCs w:val="24"/>
              </w:rPr>
              <w:t>2013</w:t>
            </w:r>
            <w:r>
              <w:rPr>
                <w:rFonts w:ascii="宋体" w:hAnsi="宋体" w:cs="宋体" w:eastAsia="宋体" w:hint="default"/>
                <w:spacing w:val="-50"/>
                <w:sz w:val="24"/>
                <w:szCs w:val="24"/>
              </w:rPr>
              <w:t> </w:t>
            </w:r>
            <w:r>
              <w:rPr>
                <w:rFonts w:ascii="宋体" w:hAnsi="宋体" w:cs="宋体" w:eastAsia="宋体" w:hint="default"/>
                <w:sz w:val="24"/>
                <w:szCs w:val="24"/>
              </w:rPr>
              <w:t>年</w:t>
            </w:r>
            <w:r>
              <w:rPr>
                <w:rFonts w:ascii="宋体" w:hAnsi="宋体" w:cs="宋体" w:eastAsia="宋体" w:hint="default"/>
                <w:spacing w:val="-51"/>
                <w:sz w:val="24"/>
                <w:szCs w:val="24"/>
              </w:rPr>
              <w:t> </w:t>
            </w:r>
            <w:r>
              <w:rPr>
                <w:rFonts w:ascii="宋体" w:hAnsi="宋体" w:cs="宋体" w:eastAsia="宋体" w:hint="default"/>
                <w:sz w:val="24"/>
                <w:szCs w:val="24"/>
              </w:rPr>
              <w:t>5</w:t>
            </w:r>
            <w:r>
              <w:rPr>
                <w:rFonts w:ascii="宋体" w:hAnsi="宋体" w:cs="宋体" w:eastAsia="宋体" w:hint="default"/>
                <w:spacing w:val="-48"/>
                <w:sz w:val="24"/>
                <w:szCs w:val="24"/>
              </w:rPr>
              <w:t> </w:t>
            </w:r>
            <w:r>
              <w:rPr>
                <w:rFonts w:ascii="宋体" w:hAnsi="宋体" w:cs="宋体" w:eastAsia="宋体" w:hint="default"/>
                <w:sz w:val="24"/>
                <w:szCs w:val="24"/>
              </w:rPr>
              <w:t>月</w:t>
            </w:r>
            <w:r>
              <w:rPr>
                <w:rFonts w:ascii="宋体" w:hAnsi="宋体" w:cs="宋体" w:eastAsia="宋体" w:hint="default"/>
                <w:spacing w:val="-51"/>
                <w:sz w:val="24"/>
                <w:szCs w:val="24"/>
              </w:rPr>
              <w:t> </w:t>
            </w:r>
            <w:r>
              <w:rPr>
                <w:rFonts w:ascii="宋体" w:hAnsi="宋体" w:cs="宋体" w:eastAsia="宋体" w:hint="default"/>
                <w:sz w:val="24"/>
                <w:szCs w:val="24"/>
              </w:rPr>
              <w:t>15</w:t>
            </w:r>
            <w:r>
              <w:rPr>
                <w:rFonts w:ascii="宋体" w:hAnsi="宋体" w:cs="宋体" w:eastAsia="宋体" w:hint="default"/>
                <w:spacing w:val="-51"/>
                <w:sz w:val="24"/>
                <w:szCs w:val="24"/>
              </w:rPr>
              <w:t> </w:t>
            </w:r>
            <w:r>
              <w:rPr>
                <w:rFonts w:ascii="宋体" w:hAnsi="宋体" w:cs="宋体" w:eastAsia="宋体" w:hint="default"/>
                <w:sz w:val="24"/>
                <w:szCs w:val="24"/>
              </w:rPr>
              <w:t>日至报告期末，任公司第六届董事会董事、总裁之</w:t>
            </w:r>
          </w:p>
          <w:p>
            <w:pPr>
              <w:pStyle w:val="TableParagraph"/>
              <w:spacing w:line="310" w:lineRule="exact" w:before="31"/>
              <w:ind w:left="100" w:right="92"/>
              <w:jc w:val="left"/>
              <w:rPr>
                <w:rFonts w:ascii="宋体" w:hAnsi="宋体" w:cs="宋体" w:eastAsia="宋体" w:hint="default"/>
                <w:sz w:val="24"/>
                <w:szCs w:val="24"/>
              </w:rPr>
            </w:pPr>
            <w:r>
              <w:rPr>
                <w:rFonts w:ascii="宋体" w:hAnsi="宋体" w:cs="宋体" w:eastAsia="宋体" w:hint="default"/>
                <w:sz w:val="24"/>
                <w:szCs w:val="24"/>
              </w:rPr>
              <w:t>职。</w:t>
            </w:r>
            <w:r>
              <w:rPr>
                <w:rFonts w:ascii="宋体" w:hAnsi="宋体" w:cs="宋体" w:eastAsia="宋体" w:hint="default"/>
                <w:sz w:val="24"/>
                <w:szCs w:val="24"/>
              </w:rPr>
              <w:t>2000</w:t>
            </w:r>
            <w:r>
              <w:rPr>
                <w:rFonts w:ascii="宋体" w:hAnsi="宋体" w:cs="宋体" w:eastAsia="宋体" w:hint="default"/>
                <w:spacing w:val="-44"/>
                <w:sz w:val="24"/>
                <w:szCs w:val="24"/>
              </w:rPr>
              <w:t> </w:t>
            </w:r>
            <w:r>
              <w:rPr>
                <w:rFonts w:ascii="宋体" w:hAnsi="宋体" w:cs="宋体" w:eastAsia="宋体" w:hint="default"/>
                <w:sz w:val="24"/>
                <w:szCs w:val="24"/>
              </w:rPr>
              <w:t>年</w:t>
            </w:r>
            <w:r>
              <w:rPr>
                <w:rFonts w:ascii="宋体" w:hAnsi="宋体" w:cs="宋体" w:eastAsia="宋体" w:hint="default"/>
                <w:spacing w:val="-43"/>
                <w:sz w:val="24"/>
                <w:szCs w:val="24"/>
              </w:rPr>
              <w:t> </w:t>
            </w:r>
            <w:r>
              <w:rPr>
                <w:rFonts w:ascii="宋体" w:hAnsi="宋体" w:cs="宋体" w:eastAsia="宋体" w:hint="default"/>
                <w:sz w:val="24"/>
                <w:szCs w:val="24"/>
              </w:rPr>
              <w:t>11</w:t>
            </w:r>
            <w:r>
              <w:rPr>
                <w:rFonts w:ascii="宋体" w:hAnsi="宋体" w:cs="宋体" w:eastAsia="宋体" w:hint="default"/>
                <w:spacing w:val="-44"/>
                <w:sz w:val="24"/>
                <w:szCs w:val="24"/>
              </w:rPr>
              <w:t> </w:t>
            </w:r>
            <w:r>
              <w:rPr>
                <w:rFonts w:ascii="宋体" w:hAnsi="宋体" w:cs="宋体" w:eastAsia="宋体" w:hint="default"/>
                <w:sz w:val="24"/>
                <w:szCs w:val="24"/>
              </w:rPr>
              <w:t>月至今，历任同方人工环境有限公司总经理、公司总裁助理、 公司副总裁。</w:t>
            </w:r>
          </w:p>
        </w:tc>
      </w:tr>
      <w:tr>
        <w:trPr>
          <w:trHeight w:val="1260"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雷霖</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both"/>
              <w:rPr>
                <w:rFonts w:ascii="宋体" w:hAnsi="宋体" w:cs="宋体" w:eastAsia="宋体" w:hint="default"/>
                <w:sz w:val="24"/>
                <w:szCs w:val="24"/>
              </w:rPr>
            </w:pPr>
            <w:r>
              <w:rPr>
                <w:rFonts w:ascii="宋体" w:hAnsi="宋体" w:cs="宋体" w:eastAsia="宋体" w:hint="default"/>
                <w:spacing w:val="-7"/>
                <w:sz w:val="24"/>
                <w:szCs w:val="24"/>
              </w:rPr>
              <w:t>雷霖先生，</w:t>
            </w:r>
            <w:r>
              <w:rPr>
                <w:rFonts w:ascii="宋体" w:hAnsi="宋体" w:cs="宋体" w:eastAsia="宋体" w:hint="default"/>
                <w:spacing w:val="-7"/>
                <w:sz w:val="24"/>
                <w:szCs w:val="24"/>
              </w:rPr>
              <w:t>2013</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9</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16</w:t>
            </w:r>
            <w:r>
              <w:rPr>
                <w:rFonts w:ascii="宋体" w:hAnsi="宋体" w:cs="宋体" w:eastAsia="宋体" w:hint="default"/>
                <w:spacing w:val="-60"/>
                <w:sz w:val="24"/>
                <w:szCs w:val="24"/>
              </w:rPr>
              <w:t> </w:t>
            </w:r>
            <w:r>
              <w:rPr>
                <w:rFonts w:ascii="宋体" w:hAnsi="宋体" w:cs="宋体" w:eastAsia="宋体" w:hint="default"/>
                <w:spacing w:val="-5"/>
                <w:sz w:val="24"/>
                <w:szCs w:val="24"/>
              </w:rPr>
              <w:t>日至报告期末，任公司第六届董事会董事之职。</w:t>
            </w:r>
            <w:r>
              <w:rPr>
                <w:rFonts w:ascii="宋体" w:hAnsi="宋体" w:cs="宋体" w:eastAsia="宋体" w:hint="default"/>
                <w:spacing w:val="-5"/>
                <w:sz w:val="24"/>
                <w:szCs w:val="24"/>
              </w:rPr>
              <w:t>2005</w:t>
            </w:r>
          </w:p>
          <w:p>
            <w:pPr>
              <w:pStyle w:val="TableParagraph"/>
              <w:spacing w:line="237" w:lineRule="auto" w:before="1"/>
              <w:ind w:left="100" w:right="90"/>
              <w:jc w:val="both"/>
              <w:rPr>
                <w:rFonts w:ascii="宋体" w:hAnsi="宋体" w:cs="宋体" w:eastAsia="宋体" w:hint="default"/>
                <w:sz w:val="24"/>
                <w:szCs w:val="24"/>
              </w:rPr>
            </w:pPr>
            <w:r>
              <w:rPr>
                <w:rFonts w:ascii="宋体" w:hAnsi="宋体" w:cs="宋体" w:eastAsia="宋体" w:hint="default"/>
                <w:sz w:val="24"/>
                <w:szCs w:val="24"/>
              </w:rPr>
              <w:t>年</w:t>
            </w:r>
            <w:r>
              <w:rPr>
                <w:rFonts w:ascii="宋体" w:hAnsi="宋体" w:cs="宋体" w:eastAsia="宋体" w:hint="default"/>
                <w:spacing w:val="-42"/>
                <w:sz w:val="24"/>
                <w:szCs w:val="24"/>
              </w:rPr>
              <w:t> </w:t>
            </w:r>
            <w:r>
              <w:rPr>
                <w:rFonts w:ascii="宋体" w:hAnsi="宋体" w:cs="宋体" w:eastAsia="宋体" w:hint="default"/>
                <w:sz w:val="24"/>
                <w:szCs w:val="24"/>
              </w:rPr>
              <w:t>7</w:t>
            </w:r>
            <w:r>
              <w:rPr>
                <w:rFonts w:ascii="宋体" w:hAnsi="宋体" w:cs="宋体" w:eastAsia="宋体" w:hint="default"/>
                <w:spacing w:val="-42"/>
                <w:sz w:val="24"/>
                <w:szCs w:val="24"/>
              </w:rPr>
              <w:t> </w:t>
            </w:r>
            <w:r>
              <w:rPr>
                <w:rFonts w:ascii="宋体" w:hAnsi="宋体" w:cs="宋体" w:eastAsia="宋体" w:hint="default"/>
                <w:sz w:val="24"/>
                <w:szCs w:val="24"/>
              </w:rPr>
              <w:t>月至</w:t>
            </w:r>
            <w:r>
              <w:rPr>
                <w:rFonts w:ascii="宋体" w:hAnsi="宋体" w:cs="宋体" w:eastAsia="宋体" w:hint="default"/>
                <w:spacing w:val="-42"/>
                <w:sz w:val="24"/>
                <w:szCs w:val="24"/>
              </w:rPr>
              <w:t> </w:t>
            </w:r>
            <w:r>
              <w:rPr>
                <w:rFonts w:ascii="宋体" w:hAnsi="宋体" w:cs="宋体" w:eastAsia="宋体" w:hint="default"/>
                <w:sz w:val="24"/>
                <w:szCs w:val="24"/>
              </w:rPr>
              <w:t>2012</w:t>
            </w:r>
            <w:r>
              <w:rPr>
                <w:rFonts w:ascii="宋体" w:hAnsi="宋体" w:cs="宋体" w:eastAsia="宋体" w:hint="default"/>
                <w:spacing w:val="-42"/>
                <w:sz w:val="24"/>
                <w:szCs w:val="24"/>
              </w:rPr>
              <w:t> </w:t>
            </w:r>
            <w:r>
              <w:rPr>
                <w:rFonts w:ascii="宋体" w:hAnsi="宋体" w:cs="宋体" w:eastAsia="宋体" w:hint="default"/>
                <w:sz w:val="24"/>
                <w:szCs w:val="24"/>
              </w:rPr>
              <w:t>年</w:t>
            </w:r>
            <w:r>
              <w:rPr>
                <w:rFonts w:ascii="宋体" w:hAnsi="宋体" w:cs="宋体" w:eastAsia="宋体" w:hint="default"/>
                <w:spacing w:val="-42"/>
                <w:sz w:val="24"/>
                <w:szCs w:val="24"/>
              </w:rPr>
              <w:t> </w:t>
            </w:r>
            <w:r>
              <w:rPr>
                <w:rFonts w:ascii="宋体" w:hAnsi="宋体" w:cs="宋体" w:eastAsia="宋体" w:hint="default"/>
                <w:sz w:val="24"/>
                <w:szCs w:val="24"/>
              </w:rPr>
              <w:t>7</w:t>
            </w:r>
            <w:r>
              <w:rPr>
                <w:rFonts w:ascii="宋体" w:hAnsi="宋体" w:cs="宋体" w:eastAsia="宋体" w:hint="default"/>
                <w:spacing w:val="-42"/>
                <w:sz w:val="24"/>
                <w:szCs w:val="24"/>
              </w:rPr>
              <w:t> </w:t>
            </w:r>
            <w:r>
              <w:rPr>
                <w:rFonts w:ascii="宋体" w:hAnsi="宋体" w:cs="宋体" w:eastAsia="宋体" w:hint="default"/>
                <w:sz w:val="24"/>
                <w:szCs w:val="24"/>
              </w:rPr>
              <w:t>月，任启迪控股股份有限公司副总裁、启迪创业投资管理 有限公司董事总经理；</w:t>
            </w:r>
            <w:r>
              <w:rPr>
                <w:rFonts w:ascii="宋体" w:hAnsi="宋体" w:cs="宋体" w:eastAsia="宋体" w:hint="default"/>
                <w:sz w:val="24"/>
                <w:szCs w:val="24"/>
              </w:rPr>
              <w:t>2012</w:t>
            </w:r>
            <w:r>
              <w:rPr>
                <w:rFonts w:ascii="宋体" w:hAnsi="宋体" w:cs="宋体" w:eastAsia="宋体" w:hint="default"/>
                <w:spacing w:val="-62"/>
                <w:sz w:val="24"/>
                <w:szCs w:val="24"/>
              </w:rPr>
              <w:t> </w:t>
            </w:r>
            <w:r>
              <w:rPr>
                <w:rFonts w:ascii="宋体" w:hAnsi="宋体" w:cs="宋体" w:eastAsia="宋体" w:hint="default"/>
                <w:sz w:val="24"/>
                <w:szCs w:val="24"/>
              </w:rPr>
              <w:t>年</w:t>
            </w:r>
            <w:r>
              <w:rPr>
                <w:rFonts w:ascii="宋体" w:hAnsi="宋体" w:cs="宋体" w:eastAsia="宋体" w:hint="default"/>
                <w:spacing w:val="-62"/>
                <w:sz w:val="24"/>
                <w:szCs w:val="24"/>
              </w:rPr>
              <w:t> </w:t>
            </w:r>
            <w:r>
              <w:rPr>
                <w:rFonts w:ascii="宋体" w:hAnsi="宋体" w:cs="宋体" w:eastAsia="宋体" w:hint="default"/>
                <w:sz w:val="24"/>
                <w:szCs w:val="24"/>
              </w:rPr>
              <w:t>7</w:t>
            </w:r>
            <w:r>
              <w:rPr>
                <w:rFonts w:ascii="宋体" w:hAnsi="宋体" w:cs="宋体" w:eastAsia="宋体" w:hint="default"/>
                <w:spacing w:val="-62"/>
                <w:sz w:val="24"/>
                <w:szCs w:val="24"/>
              </w:rPr>
              <w:t> </w:t>
            </w:r>
            <w:r>
              <w:rPr>
                <w:rFonts w:ascii="宋体" w:hAnsi="宋体" w:cs="宋体" w:eastAsia="宋体" w:hint="default"/>
                <w:spacing w:val="-3"/>
                <w:sz w:val="24"/>
                <w:szCs w:val="24"/>
              </w:rPr>
              <w:t>月至今，任清华控股有限公司副总裁、清控资</w:t>
            </w:r>
            <w:r>
              <w:rPr>
                <w:rFonts w:ascii="宋体" w:hAnsi="宋体" w:cs="宋体" w:eastAsia="宋体" w:hint="default"/>
                <w:sz w:val="24"/>
                <w:szCs w:val="24"/>
              </w:rPr>
              <w:t> 产管理有限公司总裁。</w:t>
            </w:r>
          </w:p>
        </w:tc>
      </w:tr>
      <w:tr>
        <w:trPr>
          <w:trHeight w:val="1572"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何佳</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both"/>
              <w:rPr>
                <w:rFonts w:ascii="宋体" w:hAnsi="宋体" w:cs="宋体" w:eastAsia="宋体" w:hint="default"/>
                <w:sz w:val="24"/>
                <w:szCs w:val="24"/>
              </w:rPr>
            </w:pPr>
            <w:r>
              <w:rPr>
                <w:rFonts w:ascii="宋体" w:hAnsi="宋体" w:cs="宋体" w:eastAsia="宋体" w:hint="default"/>
                <w:spacing w:val="-4"/>
                <w:sz w:val="24"/>
                <w:szCs w:val="24"/>
              </w:rPr>
              <w:t>何佳先生，</w:t>
            </w:r>
            <w:r>
              <w:rPr>
                <w:rFonts w:ascii="宋体" w:hAnsi="宋体" w:cs="宋体" w:eastAsia="宋体" w:hint="default"/>
                <w:spacing w:val="-4"/>
                <w:sz w:val="24"/>
                <w:szCs w:val="24"/>
              </w:rPr>
              <w:t>2015</w:t>
            </w:r>
            <w:r>
              <w:rPr>
                <w:rFonts w:ascii="宋体" w:hAnsi="宋体" w:cs="宋体" w:eastAsia="宋体" w:hint="default"/>
                <w:spacing w:val="-54"/>
                <w:sz w:val="24"/>
                <w:szCs w:val="24"/>
              </w:rPr>
              <w:t> </w:t>
            </w:r>
            <w:r>
              <w:rPr>
                <w:rFonts w:ascii="宋体" w:hAnsi="宋体" w:cs="宋体" w:eastAsia="宋体" w:hint="default"/>
                <w:sz w:val="24"/>
                <w:szCs w:val="24"/>
              </w:rPr>
              <w:t>年</w:t>
            </w:r>
            <w:r>
              <w:rPr>
                <w:rFonts w:ascii="宋体" w:hAnsi="宋体" w:cs="宋体" w:eastAsia="宋体" w:hint="default"/>
                <w:spacing w:val="-54"/>
                <w:sz w:val="24"/>
                <w:szCs w:val="24"/>
              </w:rPr>
              <w:t> </w:t>
            </w:r>
            <w:r>
              <w:rPr>
                <w:rFonts w:ascii="宋体" w:hAnsi="宋体" w:cs="宋体" w:eastAsia="宋体" w:hint="default"/>
                <w:sz w:val="24"/>
                <w:szCs w:val="24"/>
              </w:rPr>
              <w:t>5</w:t>
            </w:r>
            <w:r>
              <w:rPr>
                <w:rFonts w:ascii="宋体" w:hAnsi="宋体" w:cs="宋体" w:eastAsia="宋体" w:hint="default"/>
                <w:spacing w:val="-54"/>
                <w:sz w:val="24"/>
                <w:szCs w:val="24"/>
              </w:rPr>
              <w:t> </w:t>
            </w:r>
            <w:r>
              <w:rPr>
                <w:rFonts w:ascii="宋体" w:hAnsi="宋体" w:cs="宋体" w:eastAsia="宋体" w:hint="default"/>
                <w:sz w:val="24"/>
                <w:szCs w:val="24"/>
              </w:rPr>
              <w:t>月</w:t>
            </w:r>
            <w:r>
              <w:rPr>
                <w:rFonts w:ascii="宋体" w:hAnsi="宋体" w:cs="宋体" w:eastAsia="宋体" w:hint="default"/>
                <w:spacing w:val="-54"/>
                <w:sz w:val="24"/>
                <w:szCs w:val="24"/>
              </w:rPr>
              <w:t> </w:t>
            </w:r>
            <w:r>
              <w:rPr>
                <w:rFonts w:ascii="宋体" w:hAnsi="宋体" w:cs="宋体" w:eastAsia="宋体" w:hint="default"/>
                <w:sz w:val="24"/>
                <w:szCs w:val="24"/>
              </w:rPr>
              <w:t>21</w:t>
            </w:r>
            <w:r>
              <w:rPr>
                <w:rFonts w:ascii="宋体" w:hAnsi="宋体" w:cs="宋体" w:eastAsia="宋体" w:hint="default"/>
                <w:spacing w:val="-60"/>
                <w:sz w:val="24"/>
                <w:szCs w:val="24"/>
              </w:rPr>
              <w:t> </w:t>
            </w:r>
            <w:r>
              <w:rPr>
                <w:rFonts w:ascii="宋体" w:hAnsi="宋体" w:cs="宋体" w:eastAsia="宋体" w:hint="default"/>
                <w:sz w:val="24"/>
                <w:szCs w:val="24"/>
              </w:rPr>
              <w:t>日至报告期末，任公司第六届董事会独立董事之职。</w:t>
            </w:r>
          </w:p>
          <w:p>
            <w:pPr>
              <w:pStyle w:val="TableParagraph"/>
              <w:spacing w:line="237" w:lineRule="auto" w:before="1"/>
              <w:ind w:left="100" w:right="89"/>
              <w:jc w:val="both"/>
              <w:rPr>
                <w:rFonts w:ascii="宋体" w:hAnsi="宋体" w:cs="宋体" w:eastAsia="宋体" w:hint="default"/>
                <w:sz w:val="24"/>
                <w:szCs w:val="24"/>
              </w:rPr>
            </w:pPr>
            <w:r>
              <w:rPr>
                <w:rFonts w:ascii="宋体" w:hAnsi="宋体" w:cs="宋体" w:eastAsia="宋体" w:hint="default"/>
                <w:sz w:val="24"/>
                <w:szCs w:val="24"/>
              </w:rPr>
              <w:t>1998</w:t>
            </w:r>
            <w:r>
              <w:rPr>
                <w:rFonts w:ascii="宋体" w:hAnsi="宋体" w:cs="宋体" w:eastAsia="宋体" w:hint="default"/>
                <w:spacing w:val="-62"/>
                <w:sz w:val="24"/>
                <w:szCs w:val="24"/>
              </w:rPr>
              <w:t> </w:t>
            </w:r>
            <w:r>
              <w:rPr>
                <w:rFonts w:ascii="宋体" w:hAnsi="宋体" w:cs="宋体" w:eastAsia="宋体" w:hint="default"/>
                <w:sz w:val="24"/>
                <w:szCs w:val="24"/>
              </w:rPr>
              <w:t>年至今，任教于香港中文大学财务系；</w:t>
            </w:r>
            <w:r>
              <w:rPr>
                <w:rFonts w:ascii="宋体" w:hAnsi="宋体" w:cs="宋体" w:eastAsia="宋体" w:hint="default"/>
                <w:sz w:val="24"/>
                <w:szCs w:val="24"/>
              </w:rPr>
              <w:t>2001</w:t>
            </w:r>
            <w:r>
              <w:rPr>
                <w:rFonts w:ascii="宋体" w:hAnsi="宋体" w:cs="宋体" w:eastAsia="宋体" w:hint="default"/>
                <w:spacing w:val="-62"/>
                <w:sz w:val="24"/>
                <w:szCs w:val="24"/>
              </w:rPr>
              <w:t> </w:t>
            </w:r>
            <w:r>
              <w:rPr>
                <w:rFonts w:ascii="宋体" w:hAnsi="宋体" w:cs="宋体" w:eastAsia="宋体" w:hint="default"/>
                <w:sz w:val="24"/>
                <w:szCs w:val="24"/>
              </w:rPr>
              <w:t>年至</w:t>
            </w:r>
            <w:r>
              <w:rPr>
                <w:rFonts w:ascii="宋体" w:hAnsi="宋体" w:cs="宋体" w:eastAsia="宋体" w:hint="default"/>
                <w:spacing w:val="-62"/>
                <w:sz w:val="24"/>
                <w:szCs w:val="24"/>
              </w:rPr>
              <w:t> </w:t>
            </w:r>
            <w:r>
              <w:rPr>
                <w:rFonts w:ascii="宋体" w:hAnsi="宋体" w:cs="宋体" w:eastAsia="宋体" w:hint="default"/>
                <w:sz w:val="24"/>
                <w:szCs w:val="24"/>
              </w:rPr>
              <w:t>2002</w:t>
            </w:r>
            <w:r>
              <w:rPr>
                <w:rFonts w:ascii="宋体" w:hAnsi="宋体" w:cs="宋体" w:eastAsia="宋体" w:hint="default"/>
                <w:spacing w:val="-62"/>
                <w:sz w:val="24"/>
                <w:szCs w:val="24"/>
              </w:rPr>
              <w:t> </w:t>
            </w:r>
            <w:r>
              <w:rPr>
                <w:rFonts w:ascii="宋体" w:hAnsi="宋体" w:cs="宋体" w:eastAsia="宋体" w:hint="default"/>
                <w:sz w:val="24"/>
                <w:szCs w:val="24"/>
              </w:rPr>
              <w:t>年，任深圳证券交 易所综合研究所所长、中国证监会规划发展委员会委员；</w:t>
            </w:r>
            <w:r>
              <w:rPr>
                <w:rFonts w:ascii="宋体" w:hAnsi="宋体" w:cs="宋体" w:eastAsia="宋体" w:hint="default"/>
                <w:sz w:val="24"/>
                <w:szCs w:val="24"/>
              </w:rPr>
              <w:t>2014</w:t>
            </w:r>
            <w:r>
              <w:rPr>
                <w:rFonts w:ascii="宋体" w:hAnsi="宋体" w:cs="宋体" w:eastAsia="宋体" w:hint="default"/>
                <w:spacing w:val="-86"/>
                <w:sz w:val="24"/>
                <w:szCs w:val="24"/>
              </w:rPr>
              <w:t> </w:t>
            </w:r>
            <w:r>
              <w:rPr>
                <w:rFonts w:ascii="宋体" w:hAnsi="宋体" w:cs="宋体" w:eastAsia="宋体" w:hint="default"/>
                <w:spacing w:val="-4"/>
                <w:sz w:val="24"/>
                <w:szCs w:val="24"/>
              </w:rPr>
              <w:t>年至今，兼任深</w:t>
            </w:r>
            <w:r>
              <w:rPr>
                <w:rFonts w:ascii="宋体" w:hAnsi="宋体" w:cs="宋体" w:eastAsia="宋体" w:hint="default"/>
                <w:sz w:val="24"/>
                <w:szCs w:val="24"/>
              </w:rPr>
              <w:t> 圳市新国都技术股份有限公司独立董事；</w:t>
            </w:r>
            <w:r>
              <w:rPr>
                <w:rFonts w:ascii="宋体" w:hAnsi="宋体" w:cs="宋体" w:eastAsia="宋体" w:hint="default"/>
                <w:sz w:val="24"/>
                <w:szCs w:val="24"/>
              </w:rPr>
              <w:t>2012</w:t>
            </w:r>
            <w:r>
              <w:rPr>
                <w:rFonts w:ascii="宋体" w:hAnsi="宋体" w:cs="宋体" w:eastAsia="宋体" w:hint="default"/>
                <w:spacing w:val="-77"/>
                <w:sz w:val="24"/>
                <w:szCs w:val="24"/>
              </w:rPr>
              <w:t> </w:t>
            </w:r>
            <w:r>
              <w:rPr>
                <w:rFonts w:ascii="宋体" w:hAnsi="宋体" w:cs="宋体" w:eastAsia="宋体" w:hint="default"/>
                <w:spacing w:val="-3"/>
                <w:sz w:val="24"/>
                <w:szCs w:val="24"/>
              </w:rPr>
              <w:t>年至今，兼任西藏华域矿业独立</w:t>
            </w:r>
            <w:r>
              <w:rPr>
                <w:rFonts w:ascii="宋体" w:hAnsi="宋体" w:cs="宋体" w:eastAsia="宋体" w:hint="default"/>
                <w:sz w:val="24"/>
                <w:szCs w:val="24"/>
              </w:rPr>
              <w:t> 董事；</w:t>
            </w:r>
            <w:r>
              <w:rPr>
                <w:rFonts w:ascii="宋体" w:hAnsi="宋体" w:cs="宋体" w:eastAsia="宋体" w:hint="default"/>
                <w:sz w:val="24"/>
                <w:szCs w:val="24"/>
              </w:rPr>
              <w:t>2006</w:t>
            </w:r>
            <w:r>
              <w:rPr>
                <w:rFonts w:ascii="宋体" w:hAnsi="宋体" w:cs="宋体" w:eastAsia="宋体" w:hint="default"/>
                <w:spacing w:val="-60"/>
                <w:sz w:val="24"/>
                <w:szCs w:val="24"/>
              </w:rPr>
              <w:t> </w:t>
            </w:r>
            <w:r>
              <w:rPr>
                <w:rFonts w:ascii="宋体" w:hAnsi="宋体" w:cs="宋体" w:eastAsia="宋体" w:hint="default"/>
                <w:sz w:val="24"/>
                <w:szCs w:val="24"/>
              </w:rPr>
              <w:t>年至今，兼任中投证券独立董事。</w:t>
            </w:r>
          </w:p>
        </w:tc>
      </w:tr>
      <w:tr>
        <w:trPr>
          <w:trHeight w:val="948"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杨利</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26"/>
              <w:jc w:val="left"/>
              <w:rPr>
                <w:rFonts w:ascii="宋体" w:hAnsi="宋体" w:cs="宋体" w:eastAsia="宋体" w:hint="default"/>
                <w:sz w:val="24"/>
                <w:szCs w:val="24"/>
              </w:rPr>
            </w:pPr>
            <w:r>
              <w:rPr>
                <w:rFonts w:ascii="宋体" w:hAnsi="宋体" w:cs="宋体" w:eastAsia="宋体" w:hint="default"/>
                <w:spacing w:val="-4"/>
                <w:sz w:val="24"/>
                <w:szCs w:val="24"/>
              </w:rPr>
              <w:t>杨利女士，</w:t>
            </w:r>
            <w:r>
              <w:rPr>
                <w:rFonts w:ascii="宋体" w:hAnsi="宋体" w:cs="宋体" w:eastAsia="宋体" w:hint="default"/>
                <w:spacing w:val="-4"/>
                <w:sz w:val="24"/>
                <w:szCs w:val="24"/>
              </w:rPr>
              <w:t>2013</w:t>
            </w:r>
            <w:r>
              <w:rPr>
                <w:rFonts w:ascii="宋体" w:hAnsi="宋体" w:cs="宋体" w:eastAsia="宋体" w:hint="default"/>
                <w:spacing w:val="-67"/>
                <w:sz w:val="24"/>
                <w:szCs w:val="24"/>
              </w:rPr>
              <w:t> </w:t>
            </w:r>
            <w:r>
              <w:rPr>
                <w:rFonts w:ascii="宋体" w:hAnsi="宋体" w:cs="宋体" w:eastAsia="宋体" w:hint="default"/>
                <w:sz w:val="24"/>
                <w:szCs w:val="24"/>
              </w:rPr>
              <w:t>年</w:t>
            </w:r>
            <w:r>
              <w:rPr>
                <w:rFonts w:ascii="宋体" w:hAnsi="宋体" w:cs="宋体" w:eastAsia="宋体" w:hint="default"/>
                <w:spacing w:val="-67"/>
                <w:sz w:val="24"/>
                <w:szCs w:val="24"/>
              </w:rPr>
              <w:t> </w:t>
            </w:r>
            <w:r>
              <w:rPr>
                <w:rFonts w:ascii="宋体" w:hAnsi="宋体" w:cs="宋体" w:eastAsia="宋体" w:hint="default"/>
                <w:sz w:val="24"/>
                <w:szCs w:val="24"/>
              </w:rPr>
              <w:t>5</w:t>
            </w:r>
            <w:r>
              <w:rPr>
                <w:rFonts w:ascii="宋体" w:hAnsi="宋体" w:cs="宋体" w:eastAsia="宋体" w:hint="default"/>
                <w:spacing w:val="-67"/>
                <w:sz w:val="24"/>
                <w:szCs w:val="24"/>
              </w:rPr>
              <w:t> </w:t>
            </w:r>
            <w:r>
              <w:rPr>
                <w:rFonts w:ascii="宋体" w:hAnsi="宋体" w:cs="宋体" w:eastAsia="宋体" w:hint="default"/>
                <w:sz w:val="24"/>
                <w:szCs w:val="24"/>
              </w:rPr>
              <w:t>月</w:t>
            </w:r>
            <w:r>
              <w:rPr>
                <w:rFonts w:ascii="宋体" w:hAnsi="宋体" w:cs="宋体" w:eastAsia="宋体" w:hint="default"/>
                <w:spacing w:val="-67"/>
                <w:sz w:val="24"/>
                <w:szCs w:val="24"/>
              </w:rPr>
              <w:t> </w:t>
            </w:r>
            <w:r>
              <w:rPr>
                <w:rFonts w:ascii="宋体" w:hAnsi="宋体" w:cs="宋体" w:eastAsia="宋体" w:hint="default"/>
                <w:sz w:val="24"/>
                <w:szCs w:val="24"/>
              </w:rPr>
              <w:t>15</w:t>
            </w:r>
            <w:r>
              <w:rPr>
                <w:rFonts w:ascii="宋体" w:hAnsi="宋体" w:cs="宋体" w:eastAsia="宋体" w:hint="default"/>
                <w:spacing w:val="-67"/>
                <w:sz w:val="24"/>
                <w:szCs w:val="24"/>
              </w:rPr>
              <w:t> </w:t>
            </w:r>
            <w:r>
              <w:rPr>
                <w:rFonts w:ascii="宋体" w:hAnsi="宋体" w:cs="宋体" w:eastAsia="宋体" w:hint="default"/>
                <w:sz w:val="24"/>
                <w:szCs w:val="24"/>
              </w:rPr>
              <w:t>日至报告期末，任公司第六届董事会独立董事之职。</w:t>
            </w:r>
          </w:p>
          <w:p>
            <w:pPr>
              <w:pStyle w:val="TableParagraph"/>
              <w:spacing w:line="310" w:lineRule="exact" w:before="31"/>
              <w:ind w:left="100" w:right="92"/>
              <w:jc w:val="left"/>
              <w:rPr>
                <w:rFonts w:ascii="宋体" w:hAnsi="宋体" w:cs="宋体" w:eastAsia="宋体" w:hint="default"/>
                <w:sz w:val="24"/>
                <w:szCs w:val="24"/>
              </w:rPr>
            </w:pPr>
            <w:r>
              <w:rPr>
                <w:rFonts w:ascii="宋体" w:hAnsi="宋体" w:cs="宋体" w:eastAsia="宋体" w:hint="default"/>
                <w:sz w:val="24"/>
                <w:szCs w:val="24"/>
              </w:rPr>
              <w:t>1999</w:t>
            </w:r>
            <w:r>
              <w:rPr>
                <w:rFonts w:ascii="宋体" w:hAnsi="宋体" w:cs="宋体" w:eastAsia="宋体" w:hint="default"/>
                <w:spacing w:val="-44"/>
                <w:sz w:val="24"/>
                <w:szCs w:val="24"/>
              </w:rPr>
              <w:t> </w:t>
            </w:r>
            <w:r>
              <w:rPr>
                <w:rFonts w:ascii="宋体" w:hAnsi="宋体" w:cs="宋体" w:eastAsia="宋体" w:hint="default"/>
                <w:sz w:val="24"/>
                <w:szCs w:val="24"/>
              </w:rPr>
              <w:t>年至今，任中咨律师事务所合伙人，自</w:t>
            </w:r>
            <w:r>
              <w:rPr>
                <w:rFonts w:ascii="宋体" w:hAnsi="宋体" w:cs="宋体" w:eastAsia="宋体" w:hint="default"/>
                <w:spacing w:val="-43"/>
                <w:sz w:val="24"/>
                <w:szCs w:val="24"/>
              </w:rPr>
              <w:t> </w:t>
            </w:r>
            <w:r>
              <w:rPr>
                <w:rFonts w:ascii="宋体" w:hAnsi="宋体" w:cs="宋体" w:eastAsia="宋体" w:hint="default"/>
                <w:sz w:val="24"/>
                <w:szCs w:val="24"/>
              </w:rPr>
              <w:t>2008</w:t>
            </w:r>
            <w:r>
              <w:rPr>
                <w:rFonts w:ascii="宋体" w:hAnsi="宋体" w:cs="宋体" w:eastAsia="宋体" w:hint="default"/>
                <w:spacing w:val="-44"/>
                <w:sz w:val="24"/>
                <w:szCs w:val="24"/>
              </w:rPr>
              <w:t> </w:t>
            </w:r>
            <w:r>
              <w:rPr>
                <w:rFonts w:ascii="宋体" w:hAnsi="宋体" w:cs="宋体" w:eastAsia="宋体" w:hint="default"/>
                <w:sz w:val="24"/>
                <w:szCs w:val="24"/>
              </w:rPr>
              <w:t>年至今，兼任中国证监会并 购重组专家咨询委委员。</w:t>
            </w:r>
          </w:p>
        </w:tc>
      </w:tr>
      <w:tr>
        <w:trPr>
          <w:trHeight w:val="1572"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左小蕾</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both"/>
              <w:rPr>
                <w:rFonts w:ascii="宋体" w:hAnsi="宋体" w:cs="宋体" w:eastAsia="宋体" w:hint="default"/>
                <w:sz w:val="24"/>
                <w:szCs w:val="24"/>
              </w:rPr>
            </w:pPr>
            <w:r>
              <w:rPr>
                <w:rFonts w:ascii="宋体" w:hAnsi="宋体" w:cs="宋体" w:eastAsia="宋体" w:hint="default"/>
                <w:sz w:val="24"/>
                <w:szCs w:val="24"/>
              </w:rPr>
              <w:t>左小蕾女士，</w:t>
            </w:r>
            <w:r>
              <w:rPr>
                <w:rFonts w:ascii="宋体" w:hAnsi="宋体" w:cs="宋体" w:eastAsia="宋体" w:hint="default"/>
                <w:sz w:val="24"/>
                <w:szCs w:val="24"/>
              </w:rPr>
              <w:t>2013</w:t>
            </w:r>
            <w:r>
              <w:rPr>
                <w:rFonts w:ascii="宋体" w:hAnsi="宋体" w:cs="宋体" w:eastAsia="宋体" w:hint="default"/>
                <w:spacing w:val="-51"/>
                <w:sz w:val="24"/>
                <w:szCs w:val="24"/>
              </w:rPr>
              <w:t> </w:t>
            </w:r>
            <w:r>
              <w:rPr>
                <w:rFonts w:ascii="宋体" w:hAnsi="宋体" w:cs="宋体" w:eastAsia="宋体" w:hint="default"/>
                <w:sz w:val="24"/>
                <w:szCs w:val="24"/>
              </w:rPr>
              <w:t>年</w:t>
            </w:r>
            <w:r>
              <w:rPr>
                <w:rFonts w:ascii="宋体" w:hAnsi="宋体" w:cs="宋体" w:eastAsia="宋体" w:hint="default"/>
                <w:spacing w:val="-48"/>
                <w:sz w:val="24"/>
                <w:szCs w:val="24"/>
              </w:rPr>
              <w:t> </w:t>
            </w:r>
            <w:r>
              <w:rPr>
                <w:rFonts w:ascii="宋体" w:hAnsi="宋体" w:cs="宋体" w:eastAsia="宋体" w:hint="default"/>
                <w:sz w:val="24"/>
                <w:szCs w:val="24"/>
              </w:rPr>
              <w:t>5</w:t>
            </w:r>
            <w:r>
              <w:rPr>
                <w:rFonts w:ascii="宋体" w:hAnsi="宋体" w:cs="宋体" w:eastAsia="宋体" w:hint="default"/>
                <w:spacing w:val="-51"/>
                <w:sz w:val="24"/>
                <w:szCs w:val="24"/>
              </w:rPr>
              <w:t> </w:t>
            </w:r>
            <w:r>
              <w:rPr>
                <w:rFonts w:ascii="宋体" w:hAnsi="宋体" w:cs="宋体" w:eastAsia="宋体" w:hint="default"/>
                <w:sz w:val="24"/>
                <w:szCs w:val="24"/>
              </w:rPr>
              <w:t>月</w:t>
            </w:r>
            <w:r>
              <w:rPr>
                <w:rFonts w:ascii="宋体" w:hAnsi="宋体" w:cs="宋体" w:eastAsia="宋体" w:hint="default"/>
                <w:spacing w:val="-51"/>
                <w:sz w:val="24"/>
                <w:szCs w:val="24"/>
              </w:rPr>
              <w:t> </w:t>
            </w:r>
            <w:r>
              <w:rPr>
                <w:rFonts w:ascii="宋体" w:hAnsi="宋体" w:cs="宋体" w:eastAsia="宋体" w:hint="default"/>
                <w:sz w:val="24"/>
                <w:szCs w:val="24"/>
              </w:rPr>
              <w:t>15</w:t>
            </w:r>
            <w:r>
              <w:rPr>
                <w:rFonts w:ascii="宋体" w:hAnsi="宋体" w:cs="宋体" w:eastAsia="宋体" w:hint="default"/>
                <w:spacing w:val="-51"/>
                <w:sz w:val="24"/>
                <w:szCs w:val="24"/>
              </w:rPr>
              <w:t> </w:t>
            </w:r>
            <w:r>
              <w:rPr>
                <w:rFonts w:ascii="宋体" w:hAnsi="宋体" w:cs="宋体" w:eastAsia="宋体" w:hint="default"/>
                <w:sz w:val="24"/>
                <w:szCs w:val="24"/>
              </w:rPr>
              <w:t>日至报告期末，任公司第六届董事会独立董事之</w:t>
            </w:r>
          </w:p>
          <w:p>
            <w:pPr>
              <w:pStyle w:val="TableParagraph"/>
              <w:spacing w:line="237" w:lineRule="auto" w:before="1"/>
              <w:ind w:left="100" w:right="91"/>
              <w:jc w:val="both"/>
              <w:rPr>
                <w:rFonts w:ascii="宋体" w:hAnsi="宋体" w:cs="宋体" w:eastAsia="宋体" w:hint="default"/>
                <w:sz w:val="24"/>
                <w:szCs w:val="24"/>
              </w:rPr>
            </w:pPr>
            <w:r>
              <w:rPr>
                <w:rFonts w:ascii="宋体" w:hAnsi="宋体" w:cs="宋体" w:eastAsia="宋体" w:hint="default"/>
                <w:sz w:val="24"/>
                <w:szCs w:val="24"/>
              </w:rPr>
              <w:t>职。</w:t>
            </w:r>
            <w:r>
              <w:rPr>
                <w:rFonts w:ascii="宋体" w:hAnsi="宋体" w:cs="宋体" w:eastAsia="宋体" w:hint="default"/>
                <w:sz w:val="24"/>
                <w:szCs w:val="24"/>
              </w:rPr>
              <w:t>2000</w:t>
            </w:r>
            <w:r>
              <w:rPr>
                <w:rFonts w:ascii="宋体" w:hAnsi="宋体" w:cs="宋体" w:eastAsia="宋体" w:hint="default"/>
                <w:spacing w:val="-41"/>
                <w:sz w:val="24"/>
                <w:szCs w:val="24"/>
              </w:rPr>
              <w:t> </w:t>
            </w:r>
            <w:r>
              <w:rPr>
                <w:rFonts w:ascii="宋体" w:hAnsi="宋体" w:cs="宋体" w:eastAsia="宋体" w:hint="default"/>
                <w:sz w:val="24"/>
                <w:szCs w:val="24"/>
              </w:rPr>
              <w:t>年</w:t>
            </w:r>
            <w:r>
              <w:rPr>
                <w:rFonts w:ascii="宋体" w:hAnsi="宋体" w:cs="宋体" w:eastAsia="宋体" w:hint="default"/>
                <w:spacing w:val="-41"/>
                <w:sz w:val="24"/>
                <w:szCs w:val="24"/>
              </w:rPr>
              <w:t> </w:t>
            </w:r>
            <w:r>
              <w:rPr>
                <w:rFonts w:ascii="宋体" w:hAnsi="宋体" w:cs="宋体" w:eastAsia="宋体" w:hint="default"/>
                <w:sz w:val="24"/>
                <w:szCs w:val="24"/>
              </w:rPr>
              <w:t>10</w:t>
            </w:r>
            <w:r>
              <w:rPr>
                <w:rFonts w:ascii="宋体" w:hAnsi="宋体" w:cs="宋体" w:eastAsia="宋体" w:hint="default"/>
                <w:spacing w:val="-41"/>
                <w:sz w:val="24"/>
                <w:szCs w:val="24"/>
              </w:rPr>
              <w:t> </w:t>
            </w:r>
            <w:r>
              <w:rPr>
                <w:rFonts w:ascii="宋体" w:hAnsi="宋体" w:cs="宋体" w:eastAsia="宋体" w:hint="default"/>
                <w:sz w:val="24"/>
                <w:szCs w:val="24"/>
              </w:rPr>
              <w:t>月至</w:t>
            </w:r>
            <w:r>
              <w:rPr>
                <w:rFonts w:ascii="宋体" w:hAnsi="宋体" w:cs="宋体" w:eastAsia="宋体" w:hint="default"/>
                <w:spacing w:val="-41"/>
                <w:sz w:val="24"/>
                <w:szCs w:val="24"/>
              </w:rPr>
              <w:t> </w:t>
            </w:r>
            <w:r>
              <w:rPr>
                <w:rFonts w:ascii="宋体" w:hAnsi="宋体" w:cs="宋体" w:eastAsia="宋体" w:hint="default"/>
                <w:sz w:val="24"/>
                <w:szCs w:val="24"/>
              </w:rPr>
              <w:t>2011</w:t>
            </w:r>
            <w:r>
              <w:rPr>
                <w:rFonts w:ascii="宋体" w:hAnsi="宋体" w:cs="宋体" w:eastAsia="宋体" w:hint="default"/>
                <w:spacing w:val="-41"/>
                <w:sz w:val="24"/>
                <w:szCs w:val="24"/>
              </w:rPr>
              <w:t> </w:t>
            </w:r>
            <w:r>
              <w:rPr>
                <w:rFonts w:ascii="宋体" w:hAnsi="宋体" w:cs="宋体" w:eastAsia="宋体" w:hint="default"/>
                <w:sz w:val="24"/>
                <w:szCs w:val="24"/>
              </w:rPr>
              <w:t>年</w:t>
            </w:r>
            <w:r>
              <w:rPr>
                <w:rFonts w:ascii="宋体" w:hAnsi="宋体" w:cs="宋体" w:eastAsia="宋体" w:hint="default"/>
                <w:spacing w:val="-41"/>
                <w:sz w:val="24"/>
                <w:szCs w:val="24"/>
              </w:rPr>
              <w:t> </w:t>
            </w:r>
            <w:r>
              <w:rPr>
                <w:rFonts w:ascii="宋体" w:hAnsi="宋体" w:cs="宋体" w:eastAsia="宋体" w:hint="default"/>
                <w:sz w:val="24"/>
                <w:szCs w:val="24"/>
              </w:rPr>
              <w:t>4</w:t>
            </w:r>
            <w:r>
              <w:rPr>
                <w:rFonts w:ascii="宋体" w:hAnsi="宋体" w:cs="宋体" w:eastAsia="宋体" w:hint="default"/>
                <w:spacing w:val="-41"/>
                <w:sz w:val="24"/>
                <w:szCs w:val="24"/>
              </w:rPr>
              <w:t> </w:t>
            </w:r>
            <w:r>
              <w:rPr>
                <w:rFonts w:ascii="宋体" w:hAnsi="宋体" w:cs="宋体" w:eastAsia="宋体" w:hint="default"/>
                <w:sz w:val="24"/>
                <w:szCs w:val="24"/>
              </w:rPr>
              <w:t>月，任中国银河证券首席经济学家；</w:t>
            </w:r>
            <w:r>
              <w:rPr>
                <w:rFonts w:ascii="宋体" w:hAnsi="宋体" w:cs="宋体" w:eastAsia="宋体" w:hint="default"/>
                <w:sz w:val="24"/>
                <w:szCs w:val="24"/>
              </w:rPr>
              <w:t>2011</w:t>
            </w:r>
            <w:r>
              <w:rPr>
                <w:rFonts w:ascii="宋体" w:hAnsi="宋体" w:cs="宋体" w:eastAsia="宋体" w:hint="default"/>
                <w:spacing w:val="-41"/>
                <w:sz w:val="24"/>
                <w:szCs w:val="24"/>
              </w:rPr>
              <w:t> </w:t>
            </w:r>
            <w:r>
              <w:rPr>
                <w:rFonts w:ascii="宋体" w:hAnsi="宋体" w:cs="宋体" w:eastAsia="宋体" w:hint="default"/>
                <w:sz w:val="24"/>
                <w:szCs w:val="24"/>
              </w:rPr>
              <w:t>年</w:t>
            </w:r>
            <w:r>
              <w:rPr>
                <w:rFonts w:ascii="宋体" w:hAnsi="宋体" w:cs="宋体" w:eastAsia="宋体" w:hint="default"/>
                <w:spacing w:val="-41"/>
                <w:sz w:val="24"/>
                <w:szCs w:val="24"/>
              </w:rPr>
              <w:t> </w:t>
            </w:r>
            <w:r>
              <w:rPr>
                <w:rFonts w:ascii="宋体" w:hAnsi="宋体" w:cs="宋体" w:eastAsia="宋体" w:hint="default"/>
                <w:sz w:val="24"/>
                <w:szCs w:val="24"/>
              </w:rPr>
              <w:t>4 </w:t>
            </w:r>
            <w:r>
              <w:rPr>
                <w:rFonts w:ascii="宋体" w:hAnsi="宋体" w:cs="宋体" w:eastAsia="宋体" w:hint="default"/>
                <w:sz w:val="24"/>
                <w:szCs w:val="24"/>
              </w:rPr>
              <w:t>月至</w:t>
            </w:r>
            <w:r>
              <w:rPr>
                <w:rFonts w:ascii="宋体" w:hAnsi="宋体" w:cs="宋体" w:eastAsia="宋体" w:hint="default"/>
                <w:spacing w:val="-44"/>
                <w:sz w:val="24"/>
                <w:szCs w:val="24"/>
              </w:rPr>
              <w:t> </w:t>
            </w:r>
            <w:r>
              <w:rPr>
                <w:rFonts w:ascii="宋体" w:hAnsi="宋体" w:cs="宋体" w:eastAsia="宋体" w:hint="default"/>
                <w:sz w:val="24"/>
                <w:szCs w:val="24"/>
              </w:rPr>
              <w:t>2015</w:t>
            </w:r>
            <w:r>
              <w:rPr>
                <w:rFonts w:ascii="宋体" w:hAnsi="宋体" w:cs="宋体" w:eastAsia="宋体" w:hint="default"/>
                <w:spacing w:val="-44"/>
                <w:sz w:val="24"/>
                <w:szCs w:val="24"/>
              </w:rPr>
              <w:t> </w:t>
            </w:r>
            <w:r>
              <w:rPr>
                <w:rFonts w:ascii="宋体" w:hAnsi="宋体" w:cs="宋体" w:eastAsia="宋体" w:hint="default"/>
                <w:sz w:val="24"/>
                <w:szCs w:val="24"/>
              </w:rPr>
              <w:t>年，任中国银河证券首席总裁顾问；</w:t>
            </w:r>
            <w:r>
              <w:rPr>
                <w:rFonts w:ascii="宋体" w:hAnsi="宋体" w:cs="宋体" w:eastAsia="宋体" w:hint="default"/>
                <w:sz w:val="24"/>
                <w:szCs w:val="24"/>
              </w:rPr>
              <w:t>2015</w:t>
            </w:r>
            <w:r>
              <w:rPr>
                <w:rFonts w:ascii="宋体" w:hAnsi="宋体" w:cs="宋体" w:eastAsia="宋体" w:hint="default"/>
                <w:spacing w:val="-44"/>
                <w:sz w:val="24"/>
                <w:szCs w:val="24"/>
              </w:rPr>
              <w:t> </w:t>
            </w:r>
            <w:r>
              <w:rPr>
                <w:rFonts w:ascii="宋体" w:hAnsi="宋体" w:cs="宋体" w:eastAsia="宋体" w:hint="default"/>
                <w:sz w:val="24"/>
                <w:szCs w:val="24"/>
              </w:rPr>
              <w:t>年至今，任国务院参事。 自</w:t>
            </w:r>
            <w:r>
              <w:rPr>
                <w:rFonts w:ascii="宋体" w:hAnsi="宋体" w:cs="宋体" w:eastAsia="宋体" w:hint="default"/>
                <w:spacing w:val="-53"/>
                <w:sz w:val="24"/>
                <w:szCs w:val="24"/>
              </w:rPr>
              <w:t> </w:t>
            </w:r>
            <w:r>
              <w:rPr>
                <w:rFonts w:ascii="宋体" w:hAnsi="宋体" w:cs="宋体" w:eastAsia="宋体" w:hint="default"/>
                <w:sz w:val="24"/>
                <w:szCs w:val="24"/>
              </w:rPr>
              <w:t>1997</w:t>
            </w:r>
            <w:r>
              <w:rPr>
                <w:rFonts w:ascii="宋体" w:hAnsi="宋体" w:cs="宋体" w:eastAsia="宋体" w:hint="default"/>
                <w:spacing w:val="-53"/>
                <w:sz w:val="24"/>
                <w:szCs w:val="24"/>
              </w:rPr>
              <w:t> </w:t>
            </w:r>
            <w:r>
              <w:rPr>
                <w:rFonts w:ascii="宋体" w:hAnsi="宋体" w:cs="宋体" w:eastAsia="宋体" w:hint="default"/>
                <w:sz w:val="24"/>
                <w:szCs w:val="24"/>
              </w:rPr>
              <w:t>年</w:t>
            </w:r>
            <w:r>
              <w:rPr>
                <w:rFonts w:ascii="宋体" w:hAnsi="宋体" w:cs="宋体" w:eastAsia="宋体" w:hint="default"/>
                <w:spacing w:val="-53"/>
                <w:sz w:val="24"/>
                <w:szCs w:val="24"/>
              </w:rPr>
              <w:t> </w:t>
            </w:r>
            <w:r>
              <w:rPr>
                <w:rFonts w:ascii="宋体" w:hAnsi="宋体" w:cs="宋体" w:eastAsia="宋体" w:hint="default"/>
                <w:sz w:val="24"/>
                <w:szCs w:val="24"/>
              </w:rPr>
              <w:t>3</w:t>
            </w:r>
            <w:r>
              <w:rPr>
                <w:rFonts w:ascii="宋体" w:hAnsi="宋体" w:cs="宋体" w:eastAsia="宋体" w:hint="default"/>
                <w:spacing w:val="-53"/>
                <w:sz w:val="24"/>
                <w:szCs w:val="24"/>
              </w:rPr>
              <w:t> </w:t>
            </w:r>
            <w:r>
              <w:rPr>
                <w:rFonts w:ascii="宋体" w:hAnsi="宋体" w:cs="宋体" w:eastAsia="宋体" w:hint="default"/>
                <w:sz w:val="24"/>
                <w:szCs w:val="24"/>
              </w:rPr>
              <w:t>月至今，兼任亚洲管理学院副教授；</w:t>
            </w:r>
            <w:r>
              <w:rPr>
                <w:rFonts w:ascii="宋体" w:hAnsi="宋体" w:cs="宋体" w:eastAsia="宋体" w:hint="default"/>
                <w:sz w:val="24"/>
                <w:szCs w:val="24"/>
              </w:rPr>
              <w:t>2011</w:t>
            </w:r>
            <w:r>
              <w:rPr>
                <w:rFonts w:ascii="宋体" w:hAnsi="宋体" w:cs="宋体" w:eastAsia="宋体" w:hint="default"/>
                <w:spacing w:val="-53"/>
                <w:sz w:val="24"/>
                <w:szCs w:val="24"/>
              </w:rPr>
              <w:t> </w:t>
            </w:r>
            <w:r>
              <w:rPr>
                <w:rFonts w:ascii="宋体" w:hAnsi="宋体" w:cs="宋体" w:eastAsia="宋体" w:hint="default"/>
                <w:sz w:val="24"/>
                <w:szCs w:val="24"/>
              </w:rPr>
              <w:t>年</w:t>
            </w:r>
            <w:r>
              <w:rPr>
                <w:rFonts w:ascii="宋体" w:hAnsi="宋体" w:cs="宋体" w:eastAsia="宋体" w:hint="default"/>
                <w:spacing w:val="-53"/>
                <w:sz w:val="24"/>
                <w:szCs w:val="24"/>
              </w:rPr>
              <w:t> </w:t>
            </w:r>
            <w:r>
              <w:rPr>
                <w:rFonts w:ascii="宋体" w:hAnsi="宋体" w:cs="宋体" w:eastAsia="宋体" w:hint="default"/>
                <w:sz w:val="24"/>
                <w:szCs w:val="24"/>
              </w:rPr>
              <w:t>2</w:t>
            </w:r>
            <w:r>
              <w:rPr>
                <w:rFonts w:ascii="宋体" w:hAnsi="宋体" w:cs="宋体" w:eastAsia="宋体" w:hint="default"/>
                <w:spacing w:val="-53"/>
                <w:sz w:val="24"/>
                <w:szCs w:val="24"/>
              </w:rPr>
              <w:t> </w:t>
            </w:r>
            <w:r>
              <w:rPr>
                <w:rFonts w:ascii="宋体" w:hAnsi="宋体" w:cs="宋体" w:eastAsia="宋体" w:hint="default"/>
                <w:sz w:val="24"/>
                <w:szCs w:val="24"/>
              </w:rPr>
              <w:t>月至今，兼任湖北 银行独立董事。</w:t>
            </w:r>
          </w:p>
        </w:tc>
      </w:tr>
      <w:tr>
        <w:trPr>
          <w:trHeight w:val="637"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夏冬林</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夏冬林先生，</w:t>
            </w:r>
            <w:r>
              <w:rPr>
                <w:rFonts w:ascii="宋体" w:hAnsi="宋体" w:cs="宋体" w:eastAsia="宋体" w:hint="default"/>
                <w:sz w:val="24"/>
                <w:szCs w:val="24"/>
              </w:rPr>
              <w:t>2013</w:t>
            </w:r>
            <w:r>
              <w:rPr>
                <w:rFonts w:ascii="宋体" w:hAnsi="宋体" w:cs="宋体" w:eastAsia="宋体" w:hint="default"/>
                <w:spacing w:val="-51"/>
                <w:sz w:val="24"/>
                <w:szCs w:val="24"/>
              </w:rPr>
              <w:t> </w:t>
            </w:r>
            <w:r>
              <w:rPr>
                <w:rFonts w:ascii="宋体" w:hAnsi="宋体" w:cs="宋体" w:eastAsia="宋体" w:hint="default"/>
                <w:sz w:val="24"/>
                <w:szCs w:val="24"/>
              </w:rPr>
              <w:t>年</w:t>
            </w:r>
            <w:r>
              <w:rPr>
                <w:rFonts w:ascii="宋体" w:hAnsi="宋体" w:cs="宋体" w:eastAsia="宋体" w:hint="default"/>
                <w:spacing w:val="-48"/>
                <w:sz w:val="24"/>
                <w:szCs w:val="24"/>
              </w:rPr>
              <w:t> </w:t>
            </w:r>
            <w:r>
              <w:rPr>
                <w:rFonts w:ascii="宋体" w:hAnsi="宋体" w:cs="宋体" w:eastAsia="宋体" w:hint="default"/>
                <w:sz w:val="24"/>
                <w:szCs w:val="24"/>
              </w:rPr>
              <w:t>5</w:t>
            </w:r>
            <w:r>
              <w:rPr>
                <w:rFonts w:ascii="宋体" w:hAnsi="宋体" w:cs="宋体" w:eastAsia="宋体" w:hint="default"/>
                <w:spacing w:val="-51"/>
                <w:sz w:val="24"/>
                <w:szCs w:val="24"/>
              </w:rPr>
              <w:t> </w:t>
            </w:r>
            <w:r>
              <w:rPr>
                <w:rFonts w:ascii="宋体" w:hAnsi="宋体" w:cs="宋体" w:eastAsia="宋体" w:hint="default"/>
                <w:sz w:val="24"/>
                <w:szCs w:val="24"/>
              </w:rPr>
              <w:t>月</w:t>
            </w:r>
            <w:r>
              <w:rPr>
                <w:rFonts w:ascii="宋体" w:hAnsi="宋体" w:cs="宋体" w:eastAsia="宋体" w:hint="default"/>
                <w:spacing w:val="-51"/>
                <w:sz w:val="24"/>
                <w:szCs w:val="24"/>
              </w:rPr>
              <w:t> </w:t>
            </w:r>
            <w:r>
              <w:rPr>
                <w:rFonts w:ascii="宋体" w:hAnsi="宋体" w:cs="宋体" w:eastAsia="宋体" w:hint="default"/>
                <w:sz w:val="24"/>
                <w:szCs w:val="24"/>
              </w:rPr>
              <w:t>15</w:t>
            </w:r>
            <w:r>
              <w:rPr>
                <w:rFonts w:ascii="宋体" w:hAnsi="宋体" w:cs="宋体" w:eastAsia="宋体" w:hint="default"/>
                <w:spacing w:val="-51"/>
                <w:sz w:val="24"/>
                <w:szCs w:val="24"/>
              </w:rPr>
              <w:t> </w:t>
            </w:r>
            <w:r>
              <w:rPr>
                <w:rFonts w:ascii="宋体" w:hAnsi="宋体" w:cs="宋体" w:eastAsia="宋体" w:hint="default"/>
                <w:sz w:val="24"/>
                <w:szCs w:val="24"/>
              </w:rPr>
              <w:t>日至报告期末，任公司第六届监事会监事会主席</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之职。</w:t>
            </w:r>
            <w:r>
              <w:rPr>
                <w:rFonts w:ascii="宋体" w:hAnsi="宋体" w:cs="宋体" w:eastAsia="宋体" w:hint="default"/>
                <w:sz w:val="24"/>
                <w:szCs w:val="24"/>
              </w:rPr>
              <w:t>1995</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月至今，历任清华大学经济管理学院会计系主任、副院长。</w:t>
            </w:r>
          </w:p>
        </w:tc>
      </w:tr>
      <w:tr>
        <w:trPr>
          <w:trHeight w:val="1572"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hAnsi="宋体" w:cs="宋体" w:eastAsia="宋体" w:hint="default"/>
                <w:sz w:val="24"/>
                <w:szCs w:val="24"/>
              </w:rPr>
              <w:t>张文娟</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张文娟女士，</w:t>
            </w:r>
            <w:r>
              <w:rPr>
                <w:rFonts w:ascii="宋体" w:hAnsi="宋体" w:cs="宋体" w:eastAsia="宋体" w:hint="default"/>
                <w:sz w:val="24"/>
                <w:szCs w:val="24"/>
              </w:rPr>
              <w:t>2013</w:t>
            </w:r>
            <w:r>
              <w:rPr>
                <w:rFonts w:ascii="宋体" w:hAnsi="宋体" w:cs="宋体" w:eastAsia="宋体" w:hint="default"/>
                <w:spacing w:val="-51"/>
                <w:sz w:val="24"/>
                <w:szCs w:val="24"/>
              </w:rPr>
              <w:t> </w:t>
            </w:r>
            <w:r>
              <w:rPr>
                <w:rFonts w:ascii="宋体" w:hAnsi="宋体" w:cs="宋体" w:eastAsia="宋体" w:hint="default"/>
                <w:sz w:val="24"/>
                <w:szCs w:val="24"/>
              </w:rPr>
              <w:t>年</w:t>
            </w:r>
            <w:r>
              <w:rPr>
                <w:rFonts w:ascii="宋体" w:hAnsi="宋体" w:cs="宋体" w:eastAsia="宋体" w:hint="default"/>
                <w:spacing w:val="-48"/>
                <w:sz w:val="24"/>
                <w:szCs w:val="24"/>
              </w:rPr>
              <w:t> </w:t>
            </w:r>
            <w:r>
              <w:rPr>
                <w:rFonts w:ascii="宋体" w:hAnsi="宋体" w:cs="宋体" w:eastAsia="宋体" w:hint="default"/>
                <w:sz w:val="24"/>
                <w:szCs w:val="24"/>
              </w:rPr>
              <w:t>5</w:t>
            </w:r>
            <w:r>
              <w:rPr>
                <w:rFonts w:ascii="宋体" w:hAnsi="宋体" w:cs="宋体" w:eastAsia="宋体" w:hint="default"/>
                <w:spacing w:val="-51"/>
                <w:sz w:val="24"/>
                <w:szCs w:val="24"/>
              </w:rPr>
              <w:t> </w:t>
            </w:r>
            <w:r>
              <w:rPr>
                <w:rFonts w:ascii="宋体" w:hAnsi="宋体" w:cs="宋体" w:eastAsia="宋体" w:hint="default"/>
                <w:sz w:val="24"/>
                <w:szCs w:val="24"/>
              </w:rPr>
              <w:t>月</w:t>
            </w:r>
            <w:r>
              <w:rPr>
                <w:rFonts w:ascii="宋体" w:hAnsi="宋体" w:cs="宋体" w:eastAsia="宋体" w:hint="default"/>
                <w:spacing w:val="-51"/>
                <w:sz w:val="24"/>
                <w:szCs w:val="24"/>
              </w:rPr>
              <w:t> </w:t>
            </w:r>
            <w:r>
              <w:rPr>
                <w:rFonts w:ascii="宋体" w:hAnsi="宋体" w:cs="宋体" w:eastAsia="宋体" w:hint="default"/>
                <w:sz w:val="24"/>
                <w:szCs w:val="24"/>
              </w:rPr>
              <w:t>15</w:t>
            </w:r>
            <w:r>
              <w:rPr>
                <w:rFonts w:ascii="宋体" w:hAnsi="宋体" w:cs="宋体" w:eastAsia="宋体" w:hint="default"/>
                <w:spacing w:val="-51"/>
                <w:sz w:val="24"/>
                <w:szCs w:val="24"/>
              </w:rPr>
              <w:t> </w:t>
            </w:r>
            <w:r>
              <w:rPr>
                <w:rFonts w:ascii="宋体" w:hAnsi="宋体" w:cs="宋体" w:eastAsia="宋体" w:hint="default"/>
                <w:sz w:val="24"/>
                <w:szCs w:val="24"/>
              </w:rPr>
              <w:t>日至报告期末，任公司第六届监事会监事之职。</w:t>
            </w:r>
          </w:p>
          <w:p>
            <w:pPr>
              <w:pStyle w:val="TableParagraph"/>
              <w:spacing w:line="237" w:lineRule="auto"/>
              <w:ind w:left="100" w:right="-25"/>
              <w:jc w:val="left"/>
              <w:rPr>
                <w:rFonts w:ascii="宋体" w:hAnsi="宋体" w:cs="宋体" w:eastAsia="宋体" w:hint="default"/>
                <w:sz w:val="24"/>
                <w:szCs w:val="24"/>
              </w:rPr>
            </w:pPr>
            <w:r>
              <w:rPr>
                <w:rFonts w:ascii="宋体" w:hAnsi="宋体" w:cs="宋体" w:eastAsia="宋体" w:hint="default"/>
                <w:sz w:val="24"/>
                <w:szCs w:val="24"/>
              </w:rPr>
              <w:t>1988</w:t>
            </w:r>
            <w:r>
              <w:rPr>
                <w:rFonts w:ascii="宋体" w:hAnsi="宋体" w:cs="宋体" w:eastAsia="宋体" w:hint="default"/>
                <w:spacing w:val="-53"/>
                <w:sz w:val="24"/>
                <w:szCs w:val="24"/>
              </w:rPr>
              <w:t> </w:t>
            </w:r>
            <w:r>
              <w:rPr>
                <w:rFonts w:ascii="宋体" w:hAnsi="宋体" w:cs="宋体" w:eastAsia="宋体" w:hint="default"/>
                <w:sz w:val="24"/>
                <w:szCs w:val="24"/>
              </w:rPr>
              <w:t>年</w:t>
            </w:r>
            <w:r>
              <w:rPr>
                <w:rFonts w:ascii="宋体" w:hAnsi="宋体" w:cs="宋体" w:eastAsia="宋体" w:hint="default"/>
                <w:spacing w:val="-53"/>
                <w:sz w:val="24"/>
                <w:szCs w:val="24"/>
              </w:rPr>
              <w:t> </w:t>
            </w:r>
            <w:r>
              <w:rPr>
                <w:rFonts w:ascii="宋体" w:hAnsi="宋体" w:cs="宋体" w:eastAsia="宋体" w:hint="default"/>
                <w:sz w:val="24"/>
                <w:szCs w:val="24"/>
              </w:rPr>
              <w:t>7</w:t>
            </w:r>
            <w:r>
              <w:rPr>
                <w:rFonts w:ascii="宋体" w:hAnsi="宋体" w:cs="宋体" w:eastAsia="宋体" w:hint="default"/>
                <w:spacing w:val="-53"/>
                <w:sz w:val="24"/>
                <w:szCs w:val="24"/>
              </w:rPr>
              <w:t> </w:t>
            </w:r>
            <w:r>
              <w:rPr>
                <w:rFonts w:ascii="宋体" w:hAnsi="宋体" w:cs="宋体" w:eastAsia="宋体" w:hint="default"/>
                <w:sz w:val="24"/>
                <w:szCs w:val="24"/>
              </w:rPr>
              <w:t>月至</w:t>
            </w:r>
            <w:r>
              <w:rPr>
                <w:rFonts w:ascii="宋体" w:hAnsi="宋体" w:cs="宋体" w:eastAsia="宋体" w:hint="default"/>
                <w:spacing w:val="-53"/>
                <w:sz w:val="24"/>
                <w:szCs w:val="24"/>
              </w:rPr>
              <w:t> </w:t>
            </w:r>
            <w:r>
              <w:rPr>
                <w:rFonts w:ascii="宋体" w:hAnsi="宋体" w:cs="宋体" w:eastAsia="宋体" w:hint="default"/>
                <w:sz w:val="24"/>
                <w:szCs w:val="24"/>
              </w:rPr>
              <w:t>2010</w:t>
            </w:r>
            <w:r>
              <w:rPr>
                <w:rFonts w:ascii="宋体" w:hAnsi="宋体" w:cs="宋体" w:eastAsia="宋体" w:hint="default"/>
                <w:spacing w:val="-53"/>
                <w:sz w:val="24"/>
                <w:szCs w:val="24"/>
              </w:rPr>
              <w:t> </w:t>
            </w:r>
            <w:r>
              <w:rPr>
                <w:rFonts w:ascii="宋体" w:hAnsi="宋体" w:cs="宋体" w:eastAsia="宋体" w:hint="default"/>
                <w:sz w:val="24"/>
                <w:szCs w:val="24"/>
              </w:rPr>
              <w:t>年</w:t>
            </w:r>
            <w:r>
              <w:rPr>
                <w:rFonts w:ascii="宋体" w:hAnsi="宋体" w:cs="宋体" w:eastAsia="宋体" w:hint="default"/>
                <w:spacing w:val="-51"/>
                <w:sz w:val="24"/>
                <w:szCs w:val="24"/>
              </w:rPr>
              <w:t> </w:t>
            </w:r>
            <w:r>
              <w:rPr>
                <w:rFonts w:ascii="宋体" w:hAnsi="宋体" w:cs="宋体" w:eastAsia="宋体" w:hint="default"/>
                <w:sz w:val="24"/>
                <w:szCs w:val="24"/>
              </w:rPr>
              <w:t>4</w:t>
            </w:r>
            <w:r>
              <w:rPr>
                <w:rFonts w:ascii="宋体" w:hAnsi="宋体" w:cs="宋体" w:eastAsia="宋体" w:hint="default"/>
                <w:spacing w:val="-53"/>
                <w:sz w:val="24"/>
                <w:szCs w:val="24"/>
              </w:rPr>
              <w:t> </w:t>
            </w:r>
            <w:r>
              <w:rPr>
                <w:rFonts w:ascii="宋体" w:hAnsi="宋体" w:cs="宋体" w:eastAsia="宋体" w:hint="default"/>
                <w:sz w:val="24"/>
                <w:szCs w:val="24"/>
              </w:rPr>
              <w:t>月，历任清华大学财务处副科长、科长、处长助理、 </w:t>
            </w:r>
            <w:r>
              <w:rPr>
                <w:rFonts w:ascii="宋体" w:hAnsi="宋体" w:cs="宋体" w:eastAsia="宋体" w:hint="default"/>
                <w:spacing w:val="-3"/>
                <w:sz w:val="24"/>
                <w:szCs w:val="24"/>
              </w:rPr>
              <w:t>副处长。</w:t>
            </w:r>
            <w:r>
              <w:rPr>
                <w:rFonts w:ascii="宋体" w:hAnsi="宋体" w:cs="宋体" w:eastAsia="宋体" w:hint="default"/>
                <w:spacing w:val="-3"/>
                <w:sz w:val="24"/>
                <w:szCs w:val="24"/>
              </w:rPr>
              <w:t>2010</w:t>
            </w:r>
            <w:r>
              <w:rPr>
                <w:rFonts w:ascii="宋体" w:hAnsi="宋体" w:cs="宋体" w:eastAsia="宋体" w:hint="default"/>
                <w:spacing w:val="-68"/>
                <w:sz w:val="24"/>
                <w:szCs w:val="24"/>
              </w:rPr>
              <w:t> </w:t>
            </w:r>
            <w:r>
              <w:rPr>
                <w:rFonts w:ascii="宋体" w:hAnsi="宋体" w:cs="宋体" w:eastAsia="宋体" w:hint="default"/>
                <w:sz w:val="24"/>
                <w:szCs w:val="24"/>
              </w:rPr>
              <w:t>年</w:t>
            </w:r>
            <w:r>
              <w:rPr>
                <w:rFonts w:ascii="宋体" w:hAnsi="宋体" w:cs="宋体" w:eastAsia="宋体" w:hint="default"/>
                <w:spacing w:val="-68"/>
                <w:sz w:val="24"/>
                <w:szCs w:val="24"/>
              </w:rPr>
              <w:t> </w:t>
            </w:r>
            <w:r>
              <w:rPr>
                <w:rFonts w:ascii="宋体" w:hAnsi="宋体" w:cs="宋体" w:eastAsia="宋体" w:hint="default"/>
                <w:sz w:val="24"/>
                <w:szCs w:val="24"/>
              </w:rPr>
              <w:t>4</w:t>
            </w:r>
            <w:r>
              <w:rPr>
                <w:rFonts w:ascii="宋体" w:hAnsi="宋体" w:cs="宋体" w:eastAsia="宋体" w:hint="default"/>
                <w:spacing w:val="-68"/>
                <w:sz w:val="24"/>
                <w:szCs w:val="24"/>
              </w:rPr>
              <w:t> </w:t>
            </w:r>
            <w:r>
              <w:rPr>
                <w:rFonts w:ascii="宋体" w:hAnsi="宋体" w:cs="宋体" w:eastAsia="宋体" w:hint="default"/>
                <w:sz w:val="24"/>
                <w:szCs w:val="24"/>
              </w:rPr>
              <w:t>月至今，任清华控股有限公司副总裁。现兼任清华控股集团 </w:t>
            </w:r>
            <w:r>
              <w:rPr>
                <w:rFonts w:ascii="宋体" w:hAnsi="宋体" w:cs="宋体" w:eastAsia="宋体" w:hint="default"/>
                <w:spacing w:val="-4"/>
                <w:sz w:val="24"/>
                <w:szCs w:val="24"/>
              </w:rPr>
              <w:t>财务有限公司副董事长、诚志股份有限公司董事、博奥生物股份有限公司董事、</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诺德基金管理有限公司董事、清控资管有限公司董事等职务。</w:t>
            </w:r>
          </w:p>
        </w:tc>
      </w:tr>
      <w:tr>
        <w:trPr>
          <w:trHeight w:val="1260"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刘刚</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both"/>
              <w:rPr>
                <w:rFonts w:ascii="宋体" w:hAnsi="宋体" w:cs="宋体" w:eastAsia="宋体" w:hint="default"/>
                <w:sz w:val="24"/>
                <w:szCs w:val="24"/>
              </w:rPr>
            </w:pPr>
            <w:r>
              <w:rPr>
                <w:rFonts w:ascii="宋体" w:hAnsi="宋体" w:cs="宋体" w:eastAsia="宋体" w:hint="default"/>
                <w:spacing w:val="-7"/>
                <w:sz w:val="24"/>
                <w:szCs w:val="24"/>
              </w:rPr>
              <w:t>刘刚先生，</w:t>
            </w:r>
            <w:r>
              <w:rPr>
                <w:rFonts w:ascii="宋体" w:hAnsi="宋体" w:cs="宋体" w:eastAsia="宋体" w:hint="default"/>
                <w:spacing w:val="-7"/>
                <w:sz w:val="24"/>
                <w:szCs w:val="24"/>
              </w:rPr>
              <w:t>2013</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5</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15</w:t>
            </w:r>
            <w:r>
              <w:rPr>
                <w:rFonts w:ascii="宋体" w:hAnsi="宋体" w:cs="宋体" w:eastAsia="宋体" w:hint="default"/>
                <w:spacing w:val="-60"/>
                <w:sz w:val="24"/>
                <w:szCs w:val="24"/>
              </w:rPr>
              <w:t> </w:t>
            </w:r>
            <w:r>
              <w:rPr>
                <w:rFonts w:ascii="宋体" w:hAnsi="宋体" w:cs="宋体" w:eastAsia="宋体" w:hint="default"/>
                <w:spacing w:val="-5"/>
                <w:sz w:val="24"/>
                <w:szCs w:val="24"/>
              </w:rPr>
              <w:t>日至报告期末，任公司第六届监事会监事之职。</w:t>
            </w:r>
            <w:r>
              <w:rPr>
                <w:rFonts w:ascii="宋体" w:hAnsi="宋体" w:cs="宋体" w:eastAsia="宋体" w:hint="default"/>
                <w:spacing w:val="-5"/>
                <w:sz w:val="24"/>
                <w:szCs w:val="24"/>
              </w:rPr>
              <w:t>2000</w:t>
            </w:r>
          </w:p>
          <w:p>
            <w:pPr>
              <w:pStyle w:val="TableParagraph"/>
              <w:spacing w:line="237" w:lineRule="auto" w:before="1"/>
              <w:ind w:left="100" w:right="93"/>
              <w:jc w:val="both"/>
              <w:rPr>
                <w:rFonts w:ascii="宋体" w:hAnsi="宋体" w:cs="宋体" w:eastAsia="宋体" w:hint="default"/>
                <w:sz w:val="24"/>
                <w:szCs w:val="24"/>
              </w:rPr>
            </w:pPr>
            <w:r>
              <w:rPr>
                <w:rFonts w:ascii="宋体" w:hAnsi="宋体" w:cs="宋体" w:eastAsia="宋体" w:hint="default"/>
                <w:sz w:val="24"/>
                <w:szCs w:val="24"/>
              </w:rPr>
              <w:t>年至</w:t>
            </w:r>
            <w:r>
              <w:rPr>
                <w:rFonts w:ascii="宋体" w:hAnsi="宋体" w:cs="宋体" w:eastAsia="宋体" w:hint="default"/>
                <w:spacing w:val="-53"/>
                <w:sz w:val="24"/>
                <w:szCs w:val="24"/>
              </w:rPr>
              <w:t> </w:t>
            </w:r>
            <w:r>
              <w:rPr>
                <w:rFonts w:ascii="宋体" w:hAnsi="宋体" w:cs="宋体" w:eastAsia="宋体" w:hint="default"/>
                <w:sz w:val="24"/>
                <w:szCs w:val="24"/>
              </w:rPr>
              <w:t>2006</w:t>
            </w:r>
            <w:r>
              <w:rPr>
                <w:rFonts w:ascii="宋体" w:hAnsi="宋体" w:cs="宋体" w:eastAsia="宋体" w:hint="default"/>
                <w:spacing w:val="-53"/>
                <w:sz w:val="24"/>
                <w:szCs w:val="24"/>
              </w:rPr>
              <w:t> </w:t>
            </w:r>
            <w:r>
              <w:rPr>
                <w:rFonts w:ascii="宋体" w:hAnsi="宋体" w:cs="宋体" w:eastAsia="宋体" w:hint="default"/>
                <w:sz w:val="24"/>
                <w:szCs w:val="24"/>
              </w:rPr>
              <w:t>年</w:t>
            </w:r>
            <w:r>
              <w:rPr>
                <w:rFonts w:ascii="宋体" w:hAnsi="宋体" w:cs="宋体" w:eastAsia="宋体" w:hint="default"/>
                <w:spacing w:val="-53"/>
                <w:sz w:val="24"/>
                <w:szCs w:val="24"/>
              </w:rPr>
              <w:t> </w:t>
            </w:r>
            <w:r>
              <w:rPr>
                <w:rFonts w:ascii="宋体" w:hAnsi="宋体" w:cs="宋体" w:eastAsia="宋体" w:hint="default"/>
                <w:sz w:val="24"/>
                <w:szCs w:val="24"/>
              </w:rPr>
              <w:t>9</w:t>
            </w:r>
            <w:r>
              <w:rPr>
                <w:rFonts w:ascii="宋体" w:hAnsi="宋体" w:cs="宋体" w:eastAsia="宋体" w:hint="default"/>
                <w:spacing w:val="-53"/>
                <w:sz w:val="24"/>
                <w:szCs w:val="24"/>
              </w:rPr>
              <w:t> </w:t>
            </w:r>
            <w:r>
              <w:rPr>
                <w:rFonts w:ascii="宋体" w:hAnsi="宋体" w:cs="宋体" w:eastAsia="宋体" w:hint="default"/>
                <w:sz w:val="24"/>
                <w:szCs w:val="24"/>
              </w:rPr>
              <w:t>月，任公司能源环境本部人环工程公司总经理，</w:t>
            </w:r>
            <w:r>
              <w:rPr>
                <w:rFonts w:ascii="宋体" w:hAnsi="宋体" w:cs="宋体" w:eastAsia="宋体" w:hint="default"/>
                <w:sz w:val="24"/>
                <w:szCs w:val="24"/>
              </w:rPr>
              <w:t>2006</w:t>
            </w:r>
            <w:r>
              <w:rPr>
                <w:rFonts w:ascii="宋体" w:hAnsi="宋体" w:cs="宋体" w:eastAsia="宋体" w:hint="default"/>
                <w:spacing w:val="-53"/>
                <w:sz w:val="24"/>
                <w:szCs w:val="24"/>
              </w:rPr>
              <w:t> </w:t>
            </w:r>
            <w:r>
              <w:rPr>
                <w:rFonts w:ascii="宋体" w:hAnsi="宋体" w:cs="宋体" w:eastAsia="宋体" w:hint="default"/>
                <w:sz w:val="24"/>
                <w:szCs w:val="24"/>
              </w:rPr>
              <w:t>年</w:t>
            </w:r>
            <w:r>
              <w:rPr>
                <w:rFonts w:ascii="宋体" w:hAnsi="宋体" w:cs="宋体" w:eastAsia="宋体" w:hint="default"/>
                <w:spacing w:val="-53"/>
                <w:sz w:val="24"/>
                <w:szCs w:val="24"/>
              </w:rPr>
              <w:t> </w:t>
            </w:r>
            <w:r>
              <w:rPr>
                <w:rFonts w:ascii="宋体" w:hAnsi="宋体" w:cs="宋体" w:eastAsia="宋体" w:hint="default"/>
                <w:sz w:val="24"/>
                <w:szCs w:val="24"/>
              </w:rPr>
              <w:t>9</w:t>
            </w:r>
            <w:r>
              <w:rPr>
                <w:rFonts w:ascii="宋体" w:hAnsi="宋体" w:cs="宋体" w:eastAsia="宋体" w:hint="default"/>
                <w:spacing w:val="-53"/>
                <w:sz w:val="24"/>
                <w:szCs w:val="24"/>
              </w:rPr>
              <w:t> </w:t>
            </w:r>
            <w:r>
              <w:rPr>
                <w:rFonts w:ascii="宋体" w:hAnsi="宋体" w:cs="宋体" w:eastAsia="宋体" w:hint="default"/>
                <w:sz w:val="24"/>
                <w:szCs w:val="24"/>
              </w:rPr>
              <w:t>月至 今，历任公司总裁办公室主任、公司光电事业部总经理、公司半导体与照明产 业本部常务副总经理。</w:t>
            </w:r>
          </w:p>
        </w:tc>
      </w:tr>
      <w:tr>
        <w:trPr>
          <w:trHeight w:val="643" w:hRule="exact"/>
        </w:trPr>
        <w:tc>
          <w:tcPr>
            <w:tcW w:w="1049" w:type="dxa"/>
            <w:tcBorders>
              <w:top w:val="single" w:sz="6" w:space="0" w:color="000000"/>
              <w:left w:val="single" w:sz="12" w:space="0" w:color="000000"/>
              <w:bottom w:val="single" w:sz="12"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王良海</w:t>
            </w:r>
          </w:p>
        </w:tc>
        <w:tc>
          <w:tcPr>
            <w:tcW w:w="8370" w:type="dxa"/>
            <w:tcBorders>
              <w:top w:val="single" w:sz="6" w:space="0" w:color="000000"/>
              <w:left w:val="single" w:sz="6" w:space="0" w:color="000000"/>
              <w:bottom w:val="single" w:sz="12"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王良海先生，</w:t>
            </w:r>
            <w:r>
              <w:rPr>
                <w:rFonts w:ascii="宋体" w:hAnsi="宋体" w:cs="宋体" w:eastAsia="宋体" w:hint="default"/>
                <w:sz w:val="24"/>
                <w:szCs w:val="24"/>
              </w:rPr>
              <w:t>2013</w:t>
            </w:r>
            <w:r>
              <w:rPr>
                <w:rFonts w:ascii="宋体" w:hAnsi="宋体" w:cs="宋体" w:eastAsia="宋体" w:hint="default"/>
                <w:spacing w:val="-51"/>
                <w:sz w:val="24"/>
                <w:szCs w:val="24"/>
              </w:rPr>
              <w:t> </w:t>
            </w:r>
            <w:r>
              <w:rPr>
                <w:rFonts w:ascii="宋体" w:hAnsi="宋体" w:cs="宋体" w:eastAsia="宋体" w:hint="default"/>
                <w:sz w:val="24"/>
                <w:szCs w:val="24"/>
              </w:rPr>
              <w:t>年</w:t>
            </w:r>
            <w:r>
              <w:rPr>
                <w:rFonts w:ascii="宋体" w:hAnsi="宋体" w:cs="宋体" w:eastAsia="宋体" w:hint="default"/>
                <w:spacing w:val="-48"/>
                <w:sz w:val="24"/>
                <w:szCs w:val="24"/>
              </w:rPr>
              <w:t> </w:t>
            </w:r>
            <w:r>
              <w:rPr>
                <w:rFonts w:ascii="宋体" w:hAnsi="宋体" w:cs="宋体" w:eastAsia="宋体" w:hint="default"/>
                <w:sz w:val="24"/>
                <w:szCs w:val="24"/>
              </w:rPr>
              <w:t>5</w:t>
            </w:r>
            <w:r>
              <w:rPr>
                <w:rFonts w:ascii="宋体" w:hAnsi="宋体" w:cs="宋体" w:eastAsia="宋体" w:hint="default"/>
                <w:spacing w:val="-51"/>
                <w:sz w:val="24"/>
                <w:szCs w:val="24"/>
              </w:rPr>
              <w:t> </w:t>
            </w:r>
            <w:r>
              <w:rPr>
                <w:rFonts w:ascii="宋体" w:hAnsi="宋体" w:cs="宋体" w:eastAsia="宋体" w:hint="default"/>
                <w:sz w:val="24"/>
                <w:szCs w:val="24"/>
              </w:rPr>
              <w:t>月</w:t>
            </w:r>
            <w:r>
              <w:rPr>
                <w:rFonts w:ascii="宋体" w:hAnsi="宋体" w:cs="宋体" w:eastAsia="宋体" w:hint="default"/>
                <w:spacing w:val="-51"/>
                <w:sz w:val="24"/>
                <w:szCs w:val="24"/>
              </w:rPr>
              <w:t> </w:t>
            </w:r>
            <w:r>
              <w:rPr>
                <w:rFonts w:ascii="宋体" w:hAnsi="宋体" w:cs="宋体" w:eastAsia="宋体" w:hint="default"/>
                <w:sz w:val="24"/>
                <w:szCs w:val="24"/>
              </w:rPr>
              <w:t>15</w:t>
            </w:r>
            <w:r>
              <w:rPr>
                <w:rFonts w:ascii="宋体" w:hAnsi="宋体" w:cs="宋体" w:eastAsia="宋体" w:hint="default"/>
                <w:spacing w:val="-51"/>
                <w:sz w:val="24"/>
                <w:szCs w:val="24"/>
              </w:rPr>
              <w:t> </w:t>
            </w:r>
            <w:r>
              <w:rPr>
                <w:rFonts w:ascii="宋体" w:hAnsi="宋体" w:cs="宋体" w:eastAsia="宋体" w:hint="default"/>
                <w:sz w:val="24"/>
                <w:szCs w:val="24"/>
              </w:rPr>
              <w:t>日至报告期末，任公司副总裁之职，现任公司副</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总裁兼半导体与照明产业本部总经理。</w:t>
            </w:r>
            <w:r>
              <w:rPr>
                <w:rFonts w:ascii="宋体" w:hAnsi="宋体" w:cs="宋体" w:eastAsia="宋体" w:hint="default"/>
                <w:sz w:val="24"/>
                <w:szCs w:val="24"/>
              </w:rPr>
              <w:t>1997</w:t>
            </w:r>
            <w:r>
              <w:rPr>
                <w:rFonts w:ascii="宋体" w:hAnsi="宋体" w:cs="宋体" w:eastAsia="宋体" w:hint="default"/>
                <w:spacing w:val="-82"/>
                <w:sz w:val="24"/>
                <w:szCs w:val="24"/>
              </w:rPr>
              <w:t> </w:t>
            </w:r>
            <w:r>
              <w:rPr>
                <w:rFonts w:ascii="宋体" w:hAnsi="宋体" w:cs="宋体" w:eastAsia="宋体" w:hint="default"/>
                <w:spacing w:val="-3"/>
                <w:sz w:val="24"/>
                <w:szCs w:val="24"/>
              </w:rPr>
              <w:t>年至今，历任公司下属同方控制工</w:t>
            </w:r>
          </w:p>
        </w:tc>
      </w:tr>
    </w:tbl>
    <w:p>
      <w:pPr>
        <w:spacing w:after="0" w:line="313" w:lineRule="exact"/>
        <w:jc w:val="left"/>
        <w:rPr>
          <w:rFonts w:ascii="宋体" w:hAnsi="宋体" w:cs="宋体" w:eastAsia="宋体" w:hint="default"/>
          <w:sz w:val="24"/>
          <w:szCs w:val="24"/>
        </w:rPr>
        <w:sectPr>
          <w:headerReference w:type="default" r:id="rId21"/>
          <w:pgSz w:w="11910" w:h="16840"/>
          <w:pgMar w:header="628" w:footer="760" w:top="1080" w:bottom="960" w:left="1180" w:right="10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1049"/>
        <w:gridCol w:w="8370"/>
      </w:tblGrid>
      <w:tr>
        <w:trPr>
          <w:trHeight w:val="955" w:hRule="exact"/>
        </w:trPr>
        <w:tc>
          <w:tcPr>
            <w:tcW w:w="1049" w:type="dxa"/>
            <w:tcBorders>
              <w:top w:val="single" w:sz="12" w:space="0" w:color="000000"/>
              <w:left w:val="single" w:sz="12" w:space="0" w:color="000000"/>
              <w:bottom w:val="single" w:sz="6" w:space="0" w:color="000000"/>
              <w:right w:val="single" w:sz="6" w:space="0" w:color="000000"/>
            </w:tcBorders>
          </w:tcPr>
          <w:p>
            <w:pPr/>
          </w:p>
        </w:tc>
        <w:tc>
          <w:tcPr>
            <w:tcW w:w="8370" w:type="dxa"/>
            <w:tcBorders>
              <w:top w:val="single" w:sz="12"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程公司总经理、公司总裁助理、公司数字电视系统本部副总经理、公司消费电</w:t>
            </w:r>
          </w:p>
          <w:p>
            <w:pPr>
              <w:pStyle w:val="TableParagraph"/>
              <w:spacing w:line="312" w:lineRule="exact" w:before="29"/>
              <w:ind w:left="100" w:right="93"/>
              <w:jc w:val="left"/>
              <w:rPr>
                <w:rFonts w:ascii="宋体" w:hAnsi="宋体" w:cs="宋体" w:eastAsia="宋体" w:hint="default"/>
                <w:sz w:val="24"/>
                <w:szCs w:val="24"/>
              </w:rPr>
            </w:pPr>
            <w:r>
              <w:rPr>
                <w:rFonts w:ascii="宋体" w:hAnsi="宋体" w:cs="宋体" w:eastAsia="宋体" w:hint="default"/>
                <w:sz w:val="24"/>
                <w:szCs w:val="24"/>
              </w:rPr>
              <w:t>子事业部总经理、公司副总裁兼多媒体技术产业本部总经理和半导体与照明产 业本部总经理。</w:t>
            </w:r>
          </w:p>
        </w:tc>
      </w:tr>
      <w:tr>
        <w:trPr>
          <w:trHeight w:val="1572"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hAnsi="宋体" w:cs="宋体" w:eastAsia="宋体" w:hint="default"/>
                <w:sz w:val="24"/>
                <w:szCs w:val="24"/>
              </w:rPr>
              <w:t>王明亮</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both"/>
              <w:rPr>
                <w:rFonts w:ascii="宋体" w:hAnsi="宋体" w:cs="宋体" w:eastAsia="宋体" w:hint="default"/>
                <w:sz w:val="24"/>
                <w:szCs w:val="24"/>
              </w:rPr>
            </w:pPr>
            <w:r>
              <w:rPr>
                <w:rFonts w:ascii="宋体" w:hAnsi="宋体" w:cs="宋体" w:eastAsia="宋体" w:hint="default"/>
                <w:sz w:val="24"/>
                <w:szCs w:val="24"/>
              </w:rPr>
              <w:t>王明亮先生，</w:t>
            </w:r>
            <w:r>
              <w:rPr>
                <w:rFonts w:ascii="宋体" w:hAnsi="宋体" w:cs="宋体" w:eastAsia="宋体" w:hint="default"/>
                <w:sz w:val="24"/>
                <w:szCs w:val="24"/>
              </w:rPr>
              <w:t>2013</w:t>
            </w:r>
            <w:r>
              <w:rPr>
                <w:rFonts w:ascii="宋体" w:hAnsi="宋体" w:cs="宋体" w:eastAsia="宋体" w:hint="default"/>
                <w:spacing w:val="-51"/>
                <w:sz w:val="24"/>
                <w:szCs w:val="24"/>
              </w:rPr>
              <w:t> </w:t>
            </w:r>
            <w:r>
              <w:rPr>
                <w:rFonts w:ascii="宋体" w:hAnsi="宋体" w:cs="宋体" w:eastAsia="宋体" w:hint="default"/>
                <w:sz w:val="24"/>
                <w:szCs w:val="24"/>
              </w:rPr>
              <w:t>年</w:t>
            </w:r>
            <w:r>
              <w:rPr>
                <w:rFonts w:ascii="宋体" w:hAnsi="宋体" w:cs="宋体" w:eastAsia="宋体" w:hint="default"/>
                <w:spacing w:val="-48"/>
                <w:sz w:val="24"/>
                <w:szCs w:val="24"/>
              </w:rPr>
              <w:t> </w:t>
            </w:r>
            <w:r>
              <w:rPr>
                <w:rFonts w:ascii="宋体" w:hAnsi="宋体" w:cs="宋体" w:eastAsia="宋体" w:hint="default"/>
                <w:sz w:val="24"/>
                <w:szCs w:val="24"/>
              </w:rPr>
              <w:t>5</w:t>
            </w:r>
            <w:r>
              <w:rPr>
                <w:rFonts w:ascii="宋体" w:hAnsi="宋体" w:cs="宋体" w:eastAsia="宋体" w:hint="default"/>
                <w:spacing w:val="-51"/>
                <w:sz w:val="24"/>
                <w:szCs w:val="24"/>
              </w:rPr>
              <w:t> </w:t>
            </w:r>
            <w:r>
              <w:rPr>
                <w:rFonts w:ascii="宋体" w:hAnsi="宋体" w:cs="宋体" w:eastAsia="宋体" w:hint="default"/>
                <w:sz w:val="24"/>
                <w:szCs w:val="24"/>
              </w:rPr>
              <w:t>月</w:t>
            </w:r>
            <w:r>
              <w:rPr>
                <w:rFonts w:ascii="宋体" w:hAnsi="宋体" w:cs="宋体" w:eastAsia="宋体" w:hint="default"/>
                <w:spacing w:val="-51"/>
                <w:sz w:val="24"/>
                <w:szCs w:val="24"/>
              </w:rPr>
              <w:t> </w:t>
            </w:r>
            <w:r>
              <w:rPr>
                <w:rFonts w:ascii="宋体" w:hAnsi="宋体" w:cs="宋体" w:eastAsia="宋体" w:hint="default"/>
                <w:sz w:val="24"/>
                <w:szCs w:val="24"/>
              </w:rPr>
              <w:t>15</w:t>
            </w:r>
            <w:r>
              <w:rPr>
                <w:rFonts w:ascii="宋体" w:hAnsi="宋体" w:cs="宋体" w:eastAsia="宋体" w:hint="default"/>
                <w:spacing w:val="-51"/>
                <w:sz w:val="24"/>
                <w:szCs w:val="24"/>
              </w:rPr>
              <w:t> </w:t>
            </w:r>
            <w:r>
              <w:rPr>
                <w:rFonts w:ascii="宋体" w:hAnsi="宋体" w:cs="宋体" w:eastAsia="宋体" w:hint="default"/>
                <w:sz w:val="24"/>
                <w:szCs w:val="24"/>
              </w:rPr>
              <w:t>日至报告期末，任公司副总裁之职，现任公司副</w:t>
            </w:r>
          </w:p>
          <w:p>
            <w:pPr>
              <w:pStyle w:val="TableParagraph"/>
              <w:spacing w:line="237" w:lineRule="auto"/>
              <w:ind w:left="100" w:right="91"/>
              <w:jc w:val="both"/>
              <w:rPr>
                <w:rFonts w:ascii="宋体" w:hAnsi="宋体" w:cs="宋体" w:eastAsia="宋体" w:hint="default"/>
                <w:sz w:val="24"/>
                <w:szCs w:val="24"/>
              </w:rPr>
            </w:pPr>
            <w:r>
              <w:rPr>
                <w:rFonts w:ascii="宋体" w:hAnsi="宋体" w:cs="宋体" w:eastAsia="宋体" w:hint="default"/>
                <w:spacing w:val="2"/>
                <w:sz w:val="24"/>
                <w:szCs w:val="24"/>
              </w:rPr>
              <w:t>总裁兼知识网络产业本部总经理。</w:t>
            </w:r>
            <w:r>
              <w:rPr>
                <w:rFonts w:ascii="宋体" w:hAnsi="宋体" w:cs="宋体" w:eastAsia="宋体" w:hint="default"/>
                <w:spacing w:val="2"/>
                <w:sz w:val="24"/>
                <w:szCs w:val="24"/>
              </w:rPr>
              <w:t>1998</w:t>
            </w:r>
            <w:r>
              <w:rPr>
                <w:rFonts w:ascii="宋体" w:hAnsi="宋体" w:cs="宋体" w:eastAsia="宋体" w:hint="default"/>
                <w:spacing w:val="11"/>
                <w:sz w:val="24"/>
                <w:szCs w:val="24"/>
              </w:rPr>
              <w:t> </w:t>
            </w:r>
            <w:r>
              <w:rPr>
                <w:rFonts w:ascii="宋体" w:hAnsi="宋体" w:cs="宋体" w:eastAsia="宋体" w:hint="default"/>
                <w:spacing w:val="3"/>
                <w:sz w:val="24"/>
                <w:szCs w:val="24"/>
              </w:rPr>
              <w:t>年至今，历任中国学术期刊</w:t>
            </w:r>
            <w:r>
              <w:rPr>
                <w:rFonts w:ascii="宋体" w:hAnsi="宋体" w:cs="宋体" w:eastAsia="宋体" w:hint="default"/>
                <w:spacing w:val="3"/>
                <w:sz w:val="24"/>
                <w:szCs w:val="24"/>
              </w:rPr>
              <w:t>(</w:t>
            </w:r>
            <w:r>
              <w:rPr>
                <w:rFonts w:ascii="宋体" w:hAnsi="宋体" w:cs="宋体" w:eastAsia="宋体" w:hint="default"/>
                <w:spacing w:val="3"/>
                <w:sz w:val="24"/>
                <w:szCs w:val="24"/>
              </w:rPr>
              <w:t>光盘版</w:t>
            </w:r>
            <w:r>
              <w:rPr>
                <w:rFonts w:ascii="宋体" w:hAnsi="宋体" w:cs="宋体" w:eastAsia="宋体" w:hint="default"/>
                <w:spacing w:val="3"/>
                <w:sz w:val="24"/>
                <w:szCs w:val="24"/>
              </w:rPr>
              <w:t>)</w:t>
            </w:r>
            <w:r>
              <w:rPr>
                <w:rFonts w:ascii="宋体" w:hAnsi="宋体" w:cs="宋体" w:eastAsia="宋体" w:hint="default"/>
                <w:spacing w:val="-118"/>
                <w:sz w:val="24"/>
                <w:szCs w:val="24"/>
              </w:rPr>
              <w:t> </w:t>
            </w:r>
            <w:r>
              <w:rPr>
                <w:rFonts w:ascii="宋体" w:hAnsi="宋体" w:cs="宋体" w:eastAsia="宋体" w:hint="default"/>
                <w:sz w:val="24"/>
                <w:szCs w:val="24"/>
              </w:rPr>
              <w:t>电子杂志社副社长、社长、同方知网数字出版技术股份有限公司副总经理、公 司总裁助理、同方知网</w:t>
            </w:r>
            <w:r>
              <w:rPr>
                <w:rFonts w:ascii="宋体" w:hAnsi="宋体" w:cs="宋体" w:eastAsia="宋体" w:hint="default"/>
                <w:sz w:val="24"/>
                <w:szCs w:val="24"/>
              </w:rPr>
              <w:t>(</w:t>
            </w:r>
            <w:r>
              <w:rPr>
                <w:rFonts w:ascii="宋体" w:hAnsi="宋体" w:cs="宋体" w:eastAsia="宋体" w:hint="default"/>
                <w:sz w:val="24"/>
                <w:szCs w:val="24"/>
              </w:rPr>
              <w:t>北京</w:t>
            </w:r>
            <w:r>
              <w:rPr>
                <w:rFonts w:ascii="宋体" w:hAnsi="宋体" w:cs="宋体" w:eastAsia="宋体" w:hint="default"/>
                <w:sz w:val="24"/>
                <w:szCs w:val="24"/>
              </w:rPr>
              <w:t>)</w:t>
            </w:r>
            <w:r>
              <w:rPr>
                <w:rFonts w:ascii="宋体" w:hAnsi="宋体" w:cs="宋体" w:eastAsia="宋体" w:hint="default"/>
                <w:sz w:val="24"/>
                <w:szCs w:val="24"/>
              </w:rPr>
              <w:t>技术有限公司董事、总经理、公司副总裁兼知识 网络产业本部总经理。</w:t>
            </w:r>
          </w:p>
        </w:tc>
      </w:tr>
      <w:tr>
        <w:trPr>
          <w:trHeight w:val="949"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刘卫东</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刘卫东先生，</w:t>
            </w:r>
            <w:r>
              <w:rPr>
                <w:rFonts w:ascii="宋体" w:hAnsi="宋体" w:cs="宋体" w:eastAsia="宋体" w:hint="default"/>
                <w:sz w:val="24"/>
                <w:szCs w:val="24"/>
              </w:rPr>
              <w:t>2013</w:t>
            </w:r>
            <w:r>
              <w:rPr>
                <w:rFonts w:ascii="宋体" w:hAnsi="宋体" w:cs="宋体" w:eastAsia="宋体" w:hint="default"/>
                <w:spacing w:val="-51"/>
                <w:sz w:val="24"/>
                <w:szCs w:val="24"/>
              </w:rPr>
              <w:t> </w:t>
            </w:r>
            <w:r>
              <w:rPr>
                <w:rFonts w:ascii="宋体" w:hAnsi="宋体" w:cs="宋体" w:eastAsia="宋体" w:hint="default"/>
                <w:sz w:val="24"/>
                <w:szCs w:val="24"/>
              </w:rPr>
              <w:t>年</w:t>
            </w:r>
            <w:r>
              <w:rPr>
                <w:rFonts w:ascii="宋体" w:hAnsi="宋体" w:cs="宋体" w:eastAsia="宋体" w:hint="default"/>
                <w:spacing w:val="-48"/>
                <w:sz w:val="24"/>
                <w:szCs w:val="24"/>
              </w:rPr>
              <w:t> </w:t>
            </w:r>
            <w:r>
              <w:rPr>
                <w:rFonts w:ascii="宋体" w:hAnsi="宋体" w:cs="宋体" w:eastAsia="宋体" w:hint="default"/>
                <w:sz w:val="24"/>
                <w:szCs w:val="24"/>
              </w:rPr>
              <w:t>5</w:t>
            </w:r>
            <w:r>
              <w:rPr>
                <w:rFonts w:ascii="宋体" w:hAnsi="宋体" w:cs="宋体" w:eastAsia="宋体" w:hint="default"/>
                <w:spacing w:val="-51"/>
                <w:sz w:val="24"/>
                <w:szCs w:val="24"/>
              </w:rPr>
              <w:t> </w:t>
            </w:r>
            <w:r>
              <w:rPr>
                <w:rFonts w:ascii="宋体" w:hAnsi="宋体" w:cs="宋体" w:eastAsia="宋体" w:hint="default"/>
                <w:sz w:val="24"/>
                <w:szCs w:val="24"/>
              </w:rPr>
              <w:t>月</w:t>
            </w:r>
            <w:r>
              <w:rPr>
                <w:rFonts w:ascii="宋体" w:hAnsi="宋体" w:cs="宋体" w:eastAsia="宋体" w:hint="default"/>
                <w:spacing w:val="-51"/>
                <w:sz w:val="24"/>
                <w:szCs w:val="24"/>
              </w:rPr>
              <w:t> </w:t>
            </w:r>
            <w:r>
              <w:rPr>
                <w:rFonts w:ascii="宋体" w:hAnsi="宋体" w:cs="宋体" w:eastAsia="宋体" w:hint="default"/>
                <w:sz w:val="24"/>
                <w:szCs w:val="24"/>
              </w:rPr>
              <w:t>15</w:t>
            </w:r>
            <w:r>
              <w:rPr>
                <w:rFonts w:ascii="宋体" w:hAnsi="宋体" w:cs="宋体" w:eastAsia="宋体" w:hint="default"/>
                <w:spacing w:val="-51"/>
                <w:sz w:val="24"/>
                <w:szCs w:val="24"/>
              </w:rPr>
              <w:t> </w:t>
            </w:r>
            <w:r>
              <w:rPr>
                <w:rFonts w:ascii="宋体" w:hAnsi="宋体" w:cs="宋体" w:eastAsia="宋体" w:hint="default"/>
                <w:sz w:val="24"/>
                <w:szCs w:val="24"/>
              </w:rPr>
              <w:t>日至报告期末，任公司副总裁、总会计师、财务</w:t>
            </w:r>
          </w:p>
          <w:p>
            <w:pPr>
              <w:pStyle w:val="TableParagraph"/>
              <w:spacing w:line="240" w:lineRule="auto"/>
              <w:ind w:left="100" w:right="89"/>
              <w:jc w:val="left"/>
              <w:rPr>
                <w:rFonts w:ascii="宋体" w:hAnsi="宋体" w:cs="宋体" w:eastAsia="宋体" w:hint="default"/>
                <w:sz w:val="24"/>
                <w:szCs w:val="24"/>
              </w:rPr>
            </w:pPr>
            <w:r>
              <w:rPr>
                <w:rFonts w:ascii="宋体" w:hAnsi="宋体" w:cs="宋体" w:eastAsia="宋体" w:hint="default"/>
                <w:spacing w:val="-2"/>
                <w:sz w:val="24"/>
                <w:szCs w:val="24"/>
              </w:rPr>
              <w:t>负责人之职，现任公司副总裁兼财务总监。</w:t>
            </w:r>
            <w:r>
              <w:rPr>
                <w:rFonts w:ascii="宋体" w:hAnsi="宋体" w:cs="宋体" w:eastAsia="宋体" w:hint="default"/>
                <w:spacing w:val="-2"/>
                <w:sz w:val="24"/>
                <w:szCs w:val="24"/>
              </w:rPr>
              <w:t>2003</w:t>
            </w:r>
            <w:r>
              <w:rPr>
                <w:rFonts w:ascii="宋体" w:hAnsi="宋体" w:cs="宋体" w:eastAsia="宋体" w:hint="default"/>
                <w:spacing w:val="-56"/>
                <w:sz w:val="24"/>
                <w:szCs w:val="24"/>
              </w:rPr>
              <w:t> </w:t>
            </w:r>
            <w:r>
              <w:rPr>
                <w:rFonts w:ascii="宋体" w:hAnsi="宋体" w:cs="宋体" w:eastAsia="宋体" w:hint="default"/>
                <w:spacing w:val="-2"/>
                <w:sz w:val="24"/>
                <w:szCs w:val="24"/>
              </w:rPr>
              <w:t>年至今，历任公司审计部副总</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经理、公司副总会计师、副总裁兼总会计师。</w:t>
            </w:r>
          </w:p>
        </w:tc>
      </w:tr>
      <w:tr>
        <w:trPr>
          <w:trHeight w:val="1260"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hAnsi="宋体" w:cs="宋体" w:eastAsia="宋体" w:hint="default"/>
                <w:sz w:val="24"/>
                <w:szCs w:val="24"/>
              </w:rPr>
              <w:t>李吉生</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both"/>
              <w:rPr>
                <w:rFonts w:ascii="宋体" w:hAnsi="宋体" w:cs="宋体" w:eastAsia="宋体" w:hint="default"/>
                <w:sz w:val="24"/>
                <w:szCs w:val="24"/>
              </w:rPr>
            </w:pPr>
            <w:r>
              <w:rPr>
                <w:rFonts w:ascii="宋体" w:hAnsi="宋体" w:cs="宋体" w:eastAsia="宋体" w:hint="default"/>
                <w:sz w:val="24"/>
                <w:szCs w:val="24"/>
              </w:rPr>
              <w:t>李吉生先生，</w:t>
            </w:r>
            <w:r>
              <w:rPr>
                <w:rFonts w:ascii="宋体" w:hAnsi="宋体" w:cs="宋体" w:eastAsia="宋体" w:hint="default"/>
                <w:sz w:val="24"/>
                <w:szCs w:val="24"/>
              </w:rPr>
              <w:t>2013</w:t>
            </w:r>
            <w:r>
              <w:rPr>
                <w:rFonts w:ascii="宋体" w:hAnsi="宋体" w:cs="宋体" w:eastAsia="宋体" w:hint="default"/>
                <w:spacing w:val="-51"/>
                <w:sz w:val="24"/>
                <w:szCs w:val="24"/>
              </w:rPr>
              <w:t> </w:t>
            </w:r>
            <w:r>
              <w:rPr>
                <w:rFonts w:ascii="宋体" w:hAnsi="宋体" w:cs="宋体" w:eastAsia="宋体" w:hint="default"/>
                <w:sz w:val="24"/>
                <w:szCs w:val="24"/>
              </w:rPr>
              <w:t>年</w:t>
            </w:r>
            <w:r>
              <w:rPr>
                <w:rFonts w:ascii="宋体" w:hAnsi="宋体" w:cs="宋体" w:eastAsia="宋体" w:hint="default"/>
                <w:spacing w:val="-48"/>
                <w:sz w:val="24"/>
                <w:szCs w:val="24"/>
              </w:rPr>
              <w:t> </w:t>
            </w:r>
            <w:r>
              <w:rPr>
                <w:rFonts w:ascii="宋体" w:hAnsi="宋体" w:cs="宋体" w:eastAsia="宋体" w:hint="default"/>
                <w:sz w:val="24"/>
                <w:szCs w:val="24"/>
              </w:rPr>
              <w:t>5</w:t>
            </w:r>
            <w:r>
              <w:rPr>
                <w:rFonts w:ascii="宋体" w:hAnsi="宋体" w:cs="宋体" w:eastAsia="宋体" w:hint="default"/>
                <w:spacing w:val="-51"/>
                <w:sz w:val="24"/>
                <w:szCs w:val="24"/>
              </w:rPr>
              <w:t> </w:t>
            </w:r>
            <w:r>
              <w:rPr>
                <w:rFonts w:ascii="宋体" w:hAnsi="宋体" w:cs="宋体" w:eastAsia="宋体" w:hint="default"/>
                <w:sz w:val="24"/>
                <w:szCs w:val="24"/>
              </w:rPr>
              <w:t>月</w:t>
            </w:r>
            <w:r>
              <w:rPr>
                <w:rFonts w:ascii="宋体" w:hAnsi="宋体" w:cs="宋体" w:eastAsia="宋体" w:hint="default"/>
                <w:spacing w:val="-51"/>
                <w:sz w:val="24"/>
                <w:szCs w:val="24"/>
              </w:rPr>
              <w:t> </w:t>
            </w:r>
            <w:r>
              <w:rPr>
                <w:rFonts w:ascii="宋体" w:hAnsi="宋体" w:cs="宋体" w:eastAsia="宋体" w:hint="default"/>
                <w:sz w:val="24"/>
                <w:szCs w:val="24"/>
              </w:rPr>
              <w:t>15</w:t>
            </w:r>
            <w:r>
              <w:rPr>
                <w:rFonts w:ascii="宋体" w:hAnsi="宋体" w:cs="宋体" w:eastAsia="宋体" w:hint="default"/>
                <w:spacing w:val="-51"/>
                <w:sz w:val="24"/>
                <w:szCs w:val="24"/>
              </w:rPr>
              <w:t> </w:t>
            </w:r>
            <w:r>
              <w:rPr>
                <w:rFonts w:ascii="宋体" w:hAnsi="宋体" w:cs="宋体" w:eastAsia="宋体" w:hint="default"/>
                <w:sz w:val="24"/>
                <w:szCs w:val="24"/>
              </w:rPr>
              <w:t>日至报告期末，任公司副总裁、总工程师之职，</w:t>
            </w:r>
          </w:p>
          <w:p>
            <w:pPr>
              <w:pStyle w:val="TableParagraph"/>
              <w:spacing w:line="312" w:lineRule="exact" w:before="28"/>
              <w:ind w:left="100" w:right="89"/>
              <w:jc w:val="both"/>
              <w:rPr>
                <w:rFonts w:ascii="宋体" w:hAnsi="宋体" w:cs="宋体" w:eastAsia="宋体" w:hint="default"/>
                <w:sz w:val="24"/>
                <w:szCs w:val="24"/>
              </w:rPr>
            </w:pPr>
            <w:r>
              <w:rPr>
                <w:rFonts w:ascii="宋体" w:hAnsi="宋体" w:cs="宋体" w:eastAsia="宋体" w:hint="default"/>
                <w:sz w:val="24"/>
                <w:szCs w:val="24"/>
              </w:rPr>
              <w:t>现任公司副总裁兼军工产业本部总经理、总工程师。</w:t>
            </w:r>
            <w:r>
              <w:rPr>
                <w:rFonts w:ascii="宋体" w:hAnsi="宋体" w:cs="宋体" w:eastAsia="宋体" w:hint="default"/>
                <w:sz w:val="24"/>
                <w:szCs w:val="24"/>
              </w:rPr>
              <w:t>1997</w:t>
            </w:r>
            <w:r>
              <w:rPr>
                <w:rFonts w:ascii="宋体" w:hAnsi="宋体" w:cs="宋体" w:eastAsia="宋体" w:hint="default"/>
                <w:spacing w:val="-71"/>
                <w:sz w:val="24"/>
                <w:szCs w:val="24"/>
              </w:rPr>
              <w:t> </w:t>
            </w:r>
            <w:r>
              <w:rPr>
                <w:rFonts w:ascii="宋体" w:hAnsi="宋体" w:cs="宋体" w:eastAsia="宋体" w:hint="default"/>
                <w:sz w:val="24"/>
                <w:szCs w:val="24"/>
              </w:rPr>
              <w:t>年</w:t>
            </w:r>
            <w:r>
              <w:rPr>
                <w:rFonts w:ascii="宋体" w:hAnsi="宋体" w:cs="宋体" w:eastAsia="宋体" w:hint="default"/>
                <w:spacing w:val="-71"/>
                <w:sz w:val="24"/>
                <w:szCs w:val="24"/>
              </w:rPr>
              <w:t> </w:t>
            </w:r>
            <w:r>
              <w:rPr>
                <w:rFonts w:ascii="宋体" w:hAnsi="宋体" w:cs="宋体" w:eastAsia="宋体" w:hint="default"/>
                <w:sz w:val="24"/>
                <w:szCs w:val="24"/>
              </w:rPr>
              <w:t>6</w:t>
            </w:r>
            <w:r>
              <w:rPr>
                <w:rFonts w:ascii="宋体" w:hAnsi="宋体" w:cs="宋体" w:eastAsia="宋体" w:hint="default"/>
                <w:spacing w:val="-71"/>
                <w:sz w:val="24"/>
                <w:szCs w:val="24"/>
              </w:rPr>
              <w:t> </w:t>
            </w:r>
            <w:r>
              <w:rPr>
                <w:rFonts w:ascii="宋体" w:hAnsi="宋体" w:cs="宋体" w:eastAsia="宋体" w:hint="default"/>
                <w:spacing w:val="-4"/>
                <w:sz w:val="24"/>
                <w:szCs w:val="24"/>
              </w:rPr>
              <w:t>月至今，历任公</w:t>
            </w:r>
            <w:r>
              <w:rPr>
                <w:rFonts w:ascii="宋体" w:hAnsi="宋体" w:cs="宋体" w:eastAsia="宋体" w:hint="default"/>
                <w:sz w:val="24"/>
                <w:szCs w:val="24"/>
              </w:rPr>
              <w:t> 司人工环境公司总经理、信息系统公司总经理、公司副总裁兼应用信息系统本 部总经理、总工程师、公司军工产业本部总经理。</w:t>
            </w:r>
          </w:p>
        </w:tc>
      </w:tr>
      <w:tr>
        <w:trPr>
          <w:trHeight w:val="1260"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hAnsi="宋体" w:cs="宋体" w:eastAsia="宋体" w:hint="default"/>
                <w:sz w:val="24"/>
                <w:szCs w:val="24"/>
              </w:rPr>
              <w:t>李健航</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both"/>
              <w:rPr>
                <w:rFonts w:ascii="宋体" w:hAnsi="宋体" w:cs="宋体" w:eastAsia="宋体" w:hint="default"/>
                <w:sz w:val="24"/>
                <w:szCs w:val="24"/>
              </w:rPr>
            </w:pPr>
            <w:r>
              <w:rPr>
                <w:rFonts w:ascii="宋体" w:hAnsi="宋体" w:cs="宋体" w:eastAsia="宋体" w:hint="default"/>
                <w:sz w:val="24"/>
                <w:szCs w:val="24"/>
              </w:rPr>
              <w:t>李健航先生，</w:t>
            </w:r>
            <w:r>
              <w:rPr>
                <w:rFonts w:ascii="宋体" w:hAnsi="宋体" w:cs="宋体" w:eastAsia="宋体" w:hint="default"/>
                <w:sz w:val="24"/>
                <w:szCs w:val="24"/>
              </w:rPr>
              <w:t>2013</w:t>
            </w:r>
            <w:r>
              <w:rPr>
                <w:rFonts w:ascii="宋体" w:hAnsi="宋体" w:cs="宋体" w:eastAsia="宋体" w:hint="default"/>
                <w:spacing w:val="-51"/>
                <w:sz w:val="24"/>
                <w:szCs w:val="24"/>
              </w:rPr>
              <w:t> </w:t>
            </w:r>
            <w:r>
              <w:rPr>
                <w:rFonts w:ascii="宋体" w:hAnsi="宋体" w:cs="宋体" w:eastAsia="宋体" w:hint="default"/>
                <w:sz w:val="24"/>
                <w:szCs w:val="24"/>
              </w:rPr>
              <w:t>年</w:t>
            </w:r>
            <w:r>
              <w:rPr>
                <w:rFonts w:ascii="宋体" w:hAnsi="宋体" w:cs="宋体" w:eastAsia="宋体" w:hint="default"/>
                <w:spacing w:val="-48"/>
                <w:sz w:val="24"/>
                <w:szCs w:val="24"/>
              </w:rPr>
              <w:t> </w:t>
            </w:r>
            <w:r>
              <w:rPr>
                <w:rFonts w:ascii="宋体" w:hAnsi="宋体" w:cs="宋体" w:eastAsia="宋体" w:hint="default"/>
                <w:sz w:val="24"/>
                <w:szCs w:val="24"/>
              </w:rPr>
              <w:t>5</w:t>
            </w:r>
            <w:r>
              <w:rPr>
                <w:rFonts w:ascii="宋体" w:hAnsi="宋体" w:cs="宋体" w:eastAsia="宋体" w:hint="default"/>
                <w:spacing w:val="-51"/>
                <w:sz w:val="24"/>
                <w:szCs w:val="24"/>
              </w:rPr>
              <w:t> </w:t>
            </w:r>
            <w:r>
              <w:rPr>
                <w:rFonts w:ascii="宋体" w:hAnsi="宋体" w:cs="宋体" w:eastAsia="宋体" w:hint="default"/>
                <w:sz w:val="24"/>
                <w:szCs w:val="24"/>
              </w:rPr>
              <w:t>月</w:t>
            </w:r>
            <w:r>
              <w:rPr>
                <w:rFonts w:ascii="宋体" w:hAnsi="宋体" w:cs="宋体" w:eastAsia="宋体" w:hint="default"/>
                <w:spacing w:val="-51"/>
                <w:sz w:val="24"/>
                <w:szCs w:val="24"/>
              </w:rPr>
              <w:t> </w:t>
            </w:r>
            <w:r>
              <w:rPr>
                <w:rFonts w:ascii="宋体" w:hAnsi="宋体" w:cs="宋体" w:eastAsia="宋体" w:hint="default"/>
                <w:sz w:val="24"/>
                <w:szCs w:val="24"/>
              </w:rPr>
              <w:t>15</w:t>
            </w:r>
            <w:r>
              <w:rPr>
                <w:rFonts w:ascii="宋体" w:hAnsi="宋体" w:cs="宋体" w:eastAsia="宋体" w:hint="default"/>
                <w:spacing w:val="-51"/>
                <w:sz w:val="24"/>
                <w:szCs w:val="24"/>
              </w:rPr>
              <w:t> </w:t>
            </w:r>
            <w:r>
              <w:rPr>
                <w:rFonts w:ascii="宋体" w:hAnsi="宋体" w:cs="宋体" w:eastAsia="宋体" w:hint="default"/>
                <w:sz w:val="24"/>
                <w:szCs w:val="24"/>
              </w:rPr>
              <w:t>日至报告期末，任公司副总裁之职，现任公司副</w:t>
            </w:r>
          </w:p>
          <w:p>
            <w:pPr>
              <w:pStyle w:val="TableParagraph"/>
              <w:spacing w:line="312" w:lineRule="exact" w:before="28"/>
              <w:ind w:left="100" w:right="91"/>
              <w:jc w:val="both"/>
              <w:rPr>
                <w:rFonts w:ascii="宋体" w:hAnsi="宋体" w:cs="宋体" w:eastAsia="宋体" w:hint="default"/>
                <w:sz w:val="24"/>
                <w:szCs w:val="24"/>
              </w:rPr>
            </w:pPr>
            <w:r>
              <w:rPr>
                <w:rFonts w:ascii="宋体" w:hAnsi="宋体" w:cs="宋体" w:eastAsia="宋体" w:hint="default"/>
                <w:spacing w:val="-3"/>
                <w:sz w:val="24"/>
                <w:szCs w:val="24"/>
              </w:rPr>
              <w:t>总裁兼计算机系统本部总经理、多媒体技术产业本部总经理。</w:t>
            </w:r>
            <w:r>
              <w:rPr>
                <w:rFonts w:ascii="宋体" w:hAnsi="宋体" w:cs="宋体" w:eastAsia="宋体" w:hint="default"/>
                <w:spacing w:val="-3"/>
                <w:sz w:val="24"/>
                <w:szCs w:val="24"/>
              </w:rPr>
              <w:t>1999</w:t>
            </w:r>
            <w:r>
              <w:rPr>
                <w:rFonts w:ascii="宋体" w:hAnsi="宋体" w:cs="宋体" w:eastAsia="宋体" w:hint="default"/>
                <w:spacing w:val="-41"/>
                <w:sz w:val="24"/>
                <w:szCs w:val="24"/>
              </w:rPr>
              <w:t> </w:t>
            </w:r>
            <w:r>
              <w:rPr>
                <w:rFonts w:ascii="宋体" w:hAnsi="宋体" w:cs="宋体" w:eastAsia="宋体" w:hint="default"/>
                <w:sz w:val="24"/>
                <w:szCs w:val="24"/>
              </w:rPr>
              <w:t>年至报告期</w:t>
            </w:r>
            <w:r>
              <w:rPr>
                <w:rFonts w:ascii="宋体" w:hAnsi="宋体" w:cs="宋体" w:eastAsia="宋体" w:hint="default"/>
                <w:spacing w:val="-112"/>
                <w:sz w:val="24"/>
                <w:szCs w:val="24"/>
              </w:rPr>
              <w:t> </w:t>
            </w:r>
            <w:r>
              <w:rPr>
                <w:rFonts w:ascii="宋体" w:hAnsi="宋体" w:cs="宋体" w:eastAsia="宋体" w:hint="default"/>
                <w:sz w:val="24"/>
                <w:szCs w:val="24"/>
              </w:rPr>
              <w:t>末，历任公司计算机公司总工程师、总经理、公司副总裁兼计算机系统本部总</w:t>
            </w:r>
            <w:r>
              <w:rPr>
                <w:rFonts w:ascii="宋体" w:hAnsi="宋体" w:cs="宋体" w:eastAsia="宋体" w:hint="default"/>
                <w:sz w:val="24"/>
                <w:szCs w:val="24"/>
              </w:rPr>
              <w:t> 经理、公司多媒体技术产业本部总经理。</w:t>
            </w:r>
          </w:p>
        </w:tc>
      </w:tr>
      <w:tr>
        <w:trPr>
          <w:trHeight w:val="1260"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hAnsi="宋体" w:cs="宋体" w:eastAsia="宋体" w:hint="default"/>
                <w:sz w:val="24"/>
                <w:szCs w:val="24"/>
              </w:rPr>
              <w:t>周侠</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both"/>
              <w:rPr>
                <w:rFonts w:ascii="宋体" w:hAnsi="宋体" w:cs="宋体" w:eastAsia="宋体" w:hint="default"/>
                <w:sz w:val="24"/>
                <w:szCs w:val="24"/>
              </w:rPr>
            </w:pPr>
            <w:r>
              <w:rPr>
                <w:rFonts w:ascii="宋体" w:hAnsi="宋体" w:cs="宋体" w:eastAsia="宋体" w:hint="default"/>
                <w:sz w:val="24"/>
                <w:szCs w:val="24"/>
              </w:rPr>
              <w:t>周侠先生，</w:t>
            </w:r>
            <w:r>
              <w:rPr>
                <w:rFonts w:ascii="宋体" w:hAnsi="宋体" w:cs="宋体" w:eastAsia="宋体" w:hint="default"/>
                <w:sz w:val="24"/>
                <w:szCs w:val="24"/>
              </w:rPr>
              <w:t>2013</w:t>
            </w:r>
            <w:r>
              <w:rPr>
                <w:rFonts w:ascii="宋体" w:hAnsi="宋体" w:cs="宋体" w:eastAsia="宋体" w:hint="default"/>
                <w:spacing w:val="-50"/>
                <w:sz w:val="24"/>
                <w:szCs w:val="24"/>
              </w:rPr>
              <w:t> </w:t>
            </w:r>
            <w:r>
              <w:rPr>
                <w:rFonts w:ascii="宋体" w:hAnsi="宋体" w:cs="宋体" w:eastAsia="宋体" w:hint="default"/>
                <w:sz w:val="24"/>
                <w:szCs w:val="24"/>
              </w:rPr>
              <w:t>年</w:t>
            </w:r>
            <w:r>
              <w:rPr>
                <w:rFonts w:ascii="宋体" w:hAnsi="宋体" w:cs="宋体" w:eastAsia="宋体" w:hint="default"/>
                <w:spacing w:val="-51"/>
                <w:sz w:val="24"/>
                <w:szCs w:val="24"/>
              </w:rPr>
              <w:t> </w:t>
            </w:r>
            <w:r>
              <w:rPr>
                <w:rFonts w:ascii="宋体" w:hAnsi="宋体" w:cs="宋体" w:eastAsia="宋体" w:hint="default"/>
                <w:sz w:val="24"/>
                <w:szCs w:val="24"/>
              </w:rPr>
              <w:t>5</w:t>
            </w:r>
            <w:r>
              <w:rPr>
                <w:rFonts w:ascii="宋体" w:hAnsi="宋体" w:cs="宋体" w:eastAsia="宋体" w:hint="default"/>
                <w:spacing w:val="-48"/>
                <w:sz w:val="24"/>
                <w:szCs w:val="24"/>
              </w:rPr>
              <w:t> </w:t>
            </w:r>
            <w:r>
              <w:rPr>
                <w:rFonts w:ascii="宋体" w:hAnsi="宋体" w:cs="宋体" w:eastAsia="宋体" w:hint="default"/>
                <w:sz w:val="24"/>
                <w:szCs w:val="24"/>
              </w:rPr>
              <w:t>月</w:t>
            </w:r>
            <w:r>
              <w:rPr>
                <w:rFonts w:ascii="宋体" w:hAnsi="宋体" w:cs="宋体" w:eastAsia="宋体" w:hint="default"/>
                <w:spacing w:val="-51"/>
                <w:sz w:val="24"/>
                <w:szCs w:val="24"/>
              </w:rPr>
              <w:t> </w:t>
            </w:r>
            <w:r>
              <w:rPr>
                <w:rFonts w:ascii="宋体" w:hAnsi="宋体" w:cs="宋体" w:eastAsia="宋体" w:hint="default"/>
                <w:sz w:val="24"/>
                <w:szCs w:val="24"/>
              </w:rPr>
              <w:t>15</w:t>
            </w:r>
            <w:r>
              <w:rPr>
                <w:rFonts w:ascii="宋体" w:hAnsi="宋体" w:cs="宋体" w:eastAsia="宋体" w:hint="default"/>
                <w:spacing w:val="-51"/>
                <w:sz w:val="24"/>
                <w:szCs w:val="24"/>
              </w:rPr>
              <w:t> </w:t>
            </w:r>
            <w:r>
              <w:rPr>
                <w:rFonts w:ascii="宋体" w:hAnsi="宋体" w:cs="宋体" w:eastAsia="宋体" w:hint="default"/>
                <w:sz w:val="24"/>
                <w:szCs w:val="24"/>
              </w:rPr>
              <w:t>日至报告期末，任公司副总裁之职，现任公司副总</w:t>
            </w:r>
          </w:p>
          <w:p>
            <w:pPr>
              <w:pStyle w:val="TableParagraph"/>
              <w:spacing w:line="312" w:lineRule="exact" w:before="28"/>
              <w:ind w:left="100" w:right="92"/>
              <w:jc w:val="both"/>
              <w:rPr>
                <w:rFonts w:ascii="宋体" w:hAnsi="宋体" w:cs="宋体" w:eastAsia="宋体" w:hint="default"/>
                <w:sz w:val="24"/>
                <w:szCs w:val="24"/>
              </w:rPr>
            </w:pPr>
            <w:r>
              <w:rPr>
                <w:rFonts w:ascii="宋体" w:hAnsi="宋体" w:cs="宋体" w:eastAsia="宋体" w:hint="default"/>
                <w:spacing w:val="-2"/>
                <w:sz w:val="24"/>
                <w:szCs w:val="24"/>
              </w:rPr>
              <w:t>裁兼物联网应用产业本部总经理。</w:t>
            </w:r>
            <w:r>
              <w:rPr>
                <w:rFonts w:ascii="宋体" w:hAnsi="宋体" w:cs="宋体" w:eastAsia="宋体" w:hint="default"/>
                <w:spacing w:val="-2"/>
                <w:sz w:val="24"/>
                <w:szCs w:val="24"/>
              </w:rPr>
              <w:t>2000</w:t>
            </w:r>
            <w:r>
              <w:rPr>
                <w:rFonts w:ascii="宋体" w:hAnsi="宋体" w:cs="宋体" w:eastAsia="宋体" w:hint="default"/>
                <w:spacing w:val="-57"/>
                <w:sz w:val="24"/>
                <w:szCs w:val="24"/>
              </w:rPr>
              <w:t> </w:t>
            </w:r>
            <w:r>
              <w:rPr>
                <w:rFonts w:ascii="宋体" w:hAnsi="宋体" w:cs="宋体" w:eastAsia="宋体" w:hint="default"/>
                <w:spacing w:val="-2"/>
                <w:sz w:val="24"/>
                <w:szCs w:val="24"/>
              </w:rPr>
              <w:t>年至今，历任同方股份有限公司应用信</w:t>
            </w:r>
            <w:r>
              <w:rPr>
                <w:rFonts w:ascii="宋体" w:hAnsi="宋体" w:cs="宋体" w:eastAsia="宋体" w:hint="default"/>
                <w:sz w:val="24"/>
                <w:szCs w:val="24"/>
              </w:rPr>
              <w:t> 息系统本部教育行业事业部总经理、应用信息系统本部副总经理、政务系统科 技公司总经理、物联网应用产业本部总经理、总裁助理、副总裁。</w:t>
            </w:r>
          </w:p>
        </w:tc>
      </w:tr>
      <w:tr>
        <w:trPr>
          <w:trHeight w:val="638"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hAnsi="宋体" w:cs="宋体" w:eastAsia="宋体" w:hint="default"/>
                <w:sz w:val="24"/>
                <w:szCs w:val="24"/>
              </w:rPr>
              <w:t>孙岷</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孙岷先生，</w:t>
            </w:r>
            <w:r>
              <w:rPr>
                <w:rFonts w:ascii="宋体" w:hAnsi="宋体" w:cs="宋体" w:eastAsia="宋体" w:hint="default"/>
                <w:sz w:val="24"/>
                <w:szCs w:val="24"/>
              </w:rPr>
              <w:t>2013</w:t>
            </w:r>
            <w:r>
              <w:rPr>
                <w:rFonts w:ascii="宋体" w:hAnsi="宋体" w:cs="宋体" w:eastAsia="宋体" w:hint="default"/>
                <w:spacing w:val="-62"/>
                <w:sz w:val="24"/>
                <w:szCs w:val="24"/>
              </w:rPr>
              <w:t> </w:t>
            </w:r>
            <w:r>
              <w:rPr>
                <w:rFonts w:ascii="宋体" w:hAnsi="宋体" w:cs="宋体" w:eastAsia="宋体" w:hint="default"/>
                <w:sz w:val="24"/>
                <w:szCs w:val="24"/>
              </w:rPr>
              <w:t>年</w:t>
            </w:r>
            <w:r>
              <w:rPr>
                <w:rFonts w:ascii="宋体" w:hAnsi="宋体" w:cs="宋体" w:eastAsia="宋体" w:hint="default"/>
                <w:spacing w:val="-62"/>
                <w:sz w:val="24"/>
                <w:szCs w:val="24"/>
              </w:rPr>
              <w:t> </w:t>
            </w:r>
            <w:r>
              <w:rPr>
                <w:rFonts w:ascii="宋体" w:hAnsi="宋体" w:cs="宋体" w:eastAsia="宋体" w:hint="default"/>
                <w:sz w:val="24"/>
                <w:szCs w:val="24"/>
              </w:rPr>
              <w:t>5</w:t>
            </w:r>
            <w:r>
              <w:rPr>
                <w:rFonts w:ascii="宋体" w:hAnsi="宋体" w:cs="宋体" w:eastAsia="宋体" w:hint="default"/>
                <w:spacing w:val="-62"/>
                <w:sz w:val="24"/>
                <w:szCs w:val="24"/>
              </w:rPr>
              <w:t> </w:t>
            </w:r>
            <w:r>
              <w:rPr>
                <w:rFonts w:ascii="宋体" w:hAnsi="宋体" w:cs="宋体" w:eastAsia="宋体" w:hint="default"/>
                <w:sz w:val="24"/>
                <w:szCs w:val="24"/>
              </w:rPr>
              <w:t>月</w:t>
            </w:r>
            <w:r>
              <w:rPr>
                <w:rFonts w:ascii="宋体" w:hAnsi="宋体" w:cs="宋体" w:eastAsia="宋体" w:hint="default"/>
                <w:spacing w:val="-62"/>
                <w:sz w:val="24"/>
                <w:szCs w:val="24"/>
              </w:rPr>
              <w:t> </w:t>
            </w:r>
            <w:r>
              <w:rPr>
                <w:rFonts w:ascii="宋体" w:hAnsi="宋体" w:cs="宋体" w:eastAsia="宋体" w:hint="default"/>
                <w:sz w:val="24"/>
                <w:szCs w:val="24"/>
              </w:rPr>
              <w:t>15</w:t>
            </w:r>
            <w:r>
              <w:rPr>
                <w:rFonts w:ascii="宋体" w:hAnsi="宋体" w:cs="宋体" w:eastAsia="宋体" w:hint="default"/>
                <w:spacing w:val="-62"/>
                <w:sz w:val="24"/>
                <w:szCs w:val="24"/>
              </w:rPr>
              <w:t> </w:t>
            </w:r>
            <w:r>
              <w:rPr>
                <w:rFonts w:ascii="宋体" w:hAnsi="宋体" w:cs="宋体" w:eastAsia="宋体" w:hint="default"/>
                <w:sz w:val="24"/>
                <w:szCs w:val="24"/>
              </w:rPr>
              <w:t>日至报告期末，任公司董事会秘书之职。</w:t>
            </w:r>
            <w:r>
              <w:rPr>
                <w:rFonts w:ascii="宋体" w:hAnsi="宋体" w:cs="宋体" w:eastAsia="宋体" w:hint="default"/>
                <w:sz w:val="24"/>
                <w:szCs w:val="24"/>
              </w:rPr>
              <w:t>1997</w:t>
            </w:r>
            <w:r>
              <w:rPr>
                <w:rFonts w:ascii="宋体" w:hAnsi="宋体" w:cs="宋体" w:eastAsia="宋体" w:hint="default"/>
                <w:spacing w:val="-62"/>
                <w:sz w:val="24"/>
                <w:szCs w:val="24"/>
              </w:rPr>
              <w:t> </w:t>
            </w:r>
            <w:r>
              <w:rPr>
                <w:rFonts w:ascii="宋体" w:hAnsi="宋体" w:cs="宋体" w:eastAsia="宋体" w:hint="default"/>
                <w:sz w:val="24"/>
                <w:szCs w:val="24"/>
              </w:rPr>
              <w:t>年至</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今，任公司董事会秘书之职。</w:t>
            </w:r>
          </w:p>
        </w:tc>
      </w:tr>
      <w:tr>
        <w:trPr>
          <w:trHeight w:val="638"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潘晓江</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潘晓江先生，</w:t>
            </w:r>
            <w:r>
              <w:rPr>
                <w:rFonts w:ascii="宋体" w:hAnsi="宋体" w:cs="宋体" w:eastAsia="宋体" w:hint="default"/>
                <w:sz w:val="24"/>
                <w:szCs w:val="24"/>
              </w:rPr>
              <w:t>2013</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5</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15</w:t>
            </w:r>
            <w:r>
              <w:rPr>
                <w:rFonts w:ascii="宋体" w:hAnsi="宋体" w:cs="宋体" w:eastAsia="宋体" w:hint="default"/>
                <w:spacing w:val="-56"/>
                <w:sz w:val="24"/>
                <w:szCs w:val="24"/>
              </w:rPr>
              <w:t> </w:t>
            </w:r>
            <w:r>
              <w:rPr>
                <w:rFonts w:ascii="宋体" w:hAnsi="宋体" w:cs="宋体" w:eastAsia="宋体" w:hint="default"/>
                <w:sz w:val="24"/>
                <w:szCs w:val="24"/>
              </w:rPr>
              <w:t>日至</w:t>
            </w:r>
            <w:r>
              <w:rPr>
                <w:rFonts w:ascii="宋体" w:hAnsi="宋体" w:cs="宋体" w:eastAsia="宋体" w:hint="default"/>
                <w:spacing w:val="-56"/>
                <w:sz w:val="24"/>
                <w:szCs w:val="24"/>
              </w:rPr>
              <w:t> </w:t>
            </w:r>
            <w:r>
              <w:rPr>
                <w:rFonts w:ascii="宋体" w:hAnsi="宋体" w:cs="宋体" w:eastAsia="宋体" w:hint="default"/>
                <w:sz w:val="24"/>
                <w:szCs w:val="24"/>
              </w:rPr>
              <w:t>2015</w:t>
            </w:r>
            <w:r>
              <w:rPr>
                <w:rFonts w:ascii="宋体" w:hAnsi="宋体" w:cs="宋体" w:eastAsia="宋体" w:hint="default"/>
                <w:spacing w:val="-55"/>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5</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21</w:t>
            </w:r>
            <w:r>
              <w:rPr>
                <w:rFonts w:ascii="宋体" w:hAnsi="宋体" w:cs="宋体" w:eastAsia="宋体" w:hint="default"/>
                <w:spacing w:val="-56"/>
                <w:sz w:val="24"/>
                <w:szCs w:val="24"/>
              </w:rPr>
              <w:t> </w:t>
            </w:r>
            <w:r>
              <w:rPr>
                <w:rFonts w:ascii="宋体" w:hAnsi="宋体" w:cs="宋体" w:eastAsia="宋体" w:hint="default"/>
                <w:sz w:val="24"/>
                <w:szCs w:val="24"/>
              </w:rPr>
              <w:t>日，任公司第六届董事会独</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立董事之职。</w:t>
            </w:r>
          </w:p>
        </w:tc>
      </w:tr>
      <w:tr>
        <w:trPr>
          <w:trHeight w:val="636"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童利斌</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童利斌先生，</w:t>
            </w:r>
            <w:r>
              <w:rPr>
                <w:rFonts w:ascii="宋体" w:hAnsi="宋体" w:cs="宋体" w:eastAsia="宋体" w:hint="default"/>
                <w:sz w:val="24"/>
                <w:szCs w:val="24"/>
              </w:rPr>
              <w:t>2013</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5</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15</w:t>
            </w:r>
            <w:r>
              <w:rPr>
                <w:rFonts w:ascii="宋体" w:hAnsi="宋体" w:cs="宋体" w:eastAsia="宋体" w:hint="default"/>
                <w:spacing w:val="-56"/>
                <w:sz w:val="24"/>
                <w:szCs w:val="24"/>
              </w:rPr>
              <w:t> </w:t>
            </w:r>
            <w:r>
              <w:rPr>
                <w:rFonts w:ascii="宋体" w:hAnsi="宋体" w:cs="宋体" w:eastAsia="宋体" w:hint="default"/>
                <w:sz w:val="24"/>
                <w:szCs w:val="24"/>
              </w:rPr>
              <w:t>日至</w:t>
            </w:r>
            <w:r>
              <w:rPr>
                <w:rFonts w:ascii="宋体" w:hAnsi="宋体" w:cs="宋体" w:eastAsia="宋体" w:hint="default"/>
                <w:spacing w:val="-56"/>
                <w:sz w:val="24"/>
                <w:szCs w:val="24"/>
              </w:rPr>
              <w:t> </w:t>
            </w:r>
            <w:r>
              <w:rPr>
                <w:rFonts w:ascii="宋体" w:hAnsi="宋体" w:cs="宋体" w:eastAsia="宋体" w:hint="default"/>
                <w:sz w:val="24"/>
                <w:szCs w:val="24"/>
              </w:rPr>
              <w:t>2015</w:t>
            </w:r>
            <w:r>
              <w:rPr>
                <w:rFonts w:ascii="宋体" w:hAnsi="宋体" w:cs="宋体" w:eastAsia="宋体" w:hint="default"/>
                <w:spacing w:val="-55"/>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5</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21</w:t>
            </w:r>
            <w:r>
              <w:rPr>
                <w:rFonts w:ascii="宋体" w:hAnsi="宋体" w:cs="宋体" w:eastAsia="宋体" w:hint="default"/>
                <w:spacing w:val="-56"/>
                <w:sz w:val="24"/>
                <w:szCs w:val="24"/>
              </w:rPr>
              <w:t> </w:t>
            </w:r>
            <w:r>
              <w:rPr>
                <w:rFonts w:ascii="宋体" w:hAnsi="宋体" w:cs="宋体" w:eastAsia="宋体" w:hint="default"/>
                <w:sz w:val="24"/>
                <w:szCs w:val="24"/>
              </w:rPr>
              <w:t>日，任公司第六届董事会董</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事之职。</w:t>
            </w:r>
          </w:p>
        </w:tc>
      </w:tr>
      <w:tr>
        <w:trPr>
          <w:trHeight w:val="639"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陆致成</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陆致成先生，</w:t>
            </w:r>
            <w:r>
              <w:rPr>
                <w:rFonts w:ascii="宋体" w:hAnsi="宋体" w:cs="宋体" w:eastAsia="宋体" w:hint="default"/>
                <w:sz w:val="24"/>
                <w:szCs w:val="24"/>
              </w:rPr>
              <w:t>2013</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5</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15</w:t>
            </w:r>
            <w:r>
              <w:rPr>
                <w:rFonts w:ascii="宋体" w:hAnsi="宋体" w:cs="宋体" w:eastAsia="宋体" w:hint="default"/>
                <w:spacing w:val="-56"/>
                <w:sz w:val="24"/>
                <w:szCs w:val="24"/>
              </w:rPr>
              <w:t> </w:t>
            </w:r>
            <w:r>
              <w:rPr>
                <w:rFonts w:ascii="宋体" w:hAnsi="宋体" w:cs="宋体" w:eastAsia="宋体" w:hint="default"/>
                <w:sz w:val="24"/>
                <w:szCs w:val="24"/>
              </w:rPr>
              <w:t>日至</w:t>
            </w:r>
            <w:r>
              <w:rPr>
                <w:rFonts w:ascii="宋体" w:hAnsi="宋体" w:cs="宋体" w:eastAsia="宋体" w:hint="default"/>
                <w:spacing w:val="-56"/>
                <w:sz w:val="24"/>
                <w:szCs w:val="24"/>
              </w:rPr>
              <w:t> </w:t>
            </w:r>
            <w:r>
              <w:rPr>
                <w:rFonts w:ascii="宋体" w:hAnsi="宋体" w:cs="宋体" w:eastAsia="宋体" w:hint="default"/>
                <w:sz w:val="24"/>
                <w:szCs w:val="24"/>
              </w:rPr>
              <w:t>2015</w:t>
            </w:r>
            <w:r>
              <w:rPr>
                <w:rFonts w:ascii="宋体" w:hAnsi="宋体" w:cs="宋体" w:eastAsia="宋体" w:hint="default"/>
                <w:spacing w:val="-55"/>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8</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27</w:t>
            </w:r>
            <w:r>
              <w:rPr>
                <w:rFonts w:ascii="宋体" w:hAnsi="宋体" w:cs="宋体" w:eastAsia="宋体" w:hint="default"/>
                <w:spacing w:val="-56"/>
                <w:sz w:val="24"/>
                <w:szCs w:val="24"/>
              </w:rPr>
              <w:t> </w:t>
            </w:r>
            <w:r>
              <w:rPr>
                <w:rFonts w:ascii="宋体" w:hAnsi="宋体" w:cs="宋体" w:eastAsia="宋体" w:hint="default"/>
                <w:sz w:val="24"/>
                <w:szCs w:val="24"/>
              </w:rPr>
              <w:t>日，任公司第六届董事会董</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事长之职；</w:t>
            </w:r>
            <w:r>
              <w:rPr>
                <w:rFonts w:ascii="宋体" w:hAnsi="宋体" w:cs="宋体" w:eastAsia="宋体" w:hint="default"/>
                <w:sz w:val="24"/>
                <w:szCs w:val="24"/>
              </w:rPr>
              <w:t>2015</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月至</w:t>
            </w:r>
            <w:r>
              <w:rPr>
                <w:rFonts w:ascii="宋体" w:hAnsi="宋体" w:cs="宋体" w:eastAsia="宋体" w:hint="default"/>
                <w:spacing w:val="-60"/>
                <w:sz w:val="24"/>
                <w:szCs w:val="24"/>
              </w:rPr>
              <w:t> </w:t>
            </w:r>
            <w:r>
              <w:rPr>
                <w:rFonts w:ascii="宋体" w:hAnsi="宋体" w:cs="宋体" w:eastAsia="宋体" w:hint="default"/>
                <w:sz w:val="24"/>
                <w:szCs w:val="24"/>
              </w:rPr>
              <w:t>2015</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9</w:t>
            </w:r>
            <w:r>
              <w:rPr>
                <w:rFonts w:ascii="宋体" w:hAnsi="宋体" w:cs="宋体" w:eastAsia="宋体" w:hint="default"/>
                <w:spacing w:val="-60"/>
                <w:sz w:val="24"/>
                <w:szCs w:val="24"/>
              </w:rPr>
              <w:t> </w:t>
            </w:r>
            <w:r>
              <w:rPr>
                <w:rFonts w:ascii="宋体" w:hAnsi="宋体" w:cs="宋体" w:eastAsia="宋体" w:hint="default"/>
                <w:sz w:val="24"/>
                <w:szCs w:val="24"/>
              </w:rPr>
              <w:t>月，任公司第六届董事会董事之职。</w:t>
            </w:r>
          </w:p>
        </w:tc>
      </w:tr>
      <w:tr>
        <w:trPr>
          <w:trHeight w:val="636"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赵伟国</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赵伟国先生，</w:t>
            </w:r>
            <w:r>
              <w:rPr>
                <w:rFonts w:ascii="宋体" w:hAnsi="宋体" w:cs="宋体" w:eastAsia="宋体" w:hint="default"/>
                <w:sz w:val="24"/>
                <w:szCs w:val="24"/>
              </w:rPr>
              <w:t>2015</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5</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21</w:t>
            </w:r>
            <w:r>
              <w:rPr>
                <w:rFonts w:ascii="宋体" w:hAnsi="宋体" w:cs="宋体" w:eastAsia="宋体" w:hint="default"/>
                <w:spacing w:val="-56"/>
                <w:sz w:val="24"/>
                <w:szCs w:val="24"/>
              </w:rPr>
              <w:t> </w:t>
            </w:r>
            <w:r>
              <w:rPr>
                <w:rFonts w:ascii="宋体" w:hAnsi="宋体" w:cs="宋体" w:eastAsia="宋体" w:hint="default"/>
                <w:sz w:val="24"/>
                <w:szCs w:val="24"/>
              </w:rPr>
              <w:t>日至</w:t>
            </w:r>
            <w:r>
              <w:rPr>
                <w:rFonts w:ascii="宋体" w:hAnsi="宋体" w:cs="宋体" w:eastAsia="宋体" w:hint="default"/>
                <w:spacing w:val="-56"/>
                <w:sz w:val="24"/>
                <w:szCs w:val="24"/>
              </w:rPr>
              <w:t> </w:t>
            </w:r>
            <w:r>
              <w:rPr>
                <w:rFonts w:ascii="宋体" w:hAnsi="宋体" w:cs="宋体" w:eastAsia="宋体" w:hint="default"/>
                <w:sz w:val="24"/>
                <w:szCs w:val="24"/>
              </w:rPr>
              <w:t>2015</w:t>
            </w:r>
            <w:r>
              <w:rPr>
                <w:rFonts w:ascii="宋体" w:hAnsi="宋体" w:cs="宋体" w:eastAsia="宋体" w:hint="default"/>
                <w:spacing w:val="-55"/>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9</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16</w:t>
            </w:r>
            <w:r>
              <w:rPr>
                <w:rFonts w:ascii="宋体" w:hAnsi="宋体" w:cs="宋体" w:eastAsia="宋体" w:hint="default"/>
                <w:spacing w:val="-56"/>
                <w:sz w:val="24"/>
                <w:szCs w:val="24"/>
              </w:rPr>
              <w:t> </w:t>
            </w:r>
            <w:r>
              <w:rPr>
                <w:rFonts w:ascii="宋体" w:hAnsi="宋体" w:cs="宋体" w:eastAsia="宋体" w:hint="default"/>
                <w:sz w:val="24"/>
                <w:szCs w:val="24"/>
              </w:rPr>
              <w:t>日，任公司第六届董事会董</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事之职。</w:t>
            </w:r>
          </w:p>
        </w:tc>
      </w:tr>
      <w:tr>
        <w:trPr>
          <w:trHeight w:val="638" w:hRule="exact"/>
        </w:trPr>
        <w:tc>
          <w:tcPr>
            <w:tcW w:w="1049"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宋体" w:hAnsi="宋体" w:cs="宋体" w:eastAsia="宋体" w:hint="default"/>
                <w:sz w:val="24"/>
                <w:szCs w:val="24"/>
              </w:rPr>
            </w:pPr>
            <w:r>
              <w:rPr>
                <w:rFonts w:ascii="宋体" w:hAnsi="宋体" w:cs="宋体" w:eastAsia="宋体" w:hint="default"/>
                <w:sz w:val="24"/>
                <w:szCs w:val="24"/>
              </w:rPr>
              <w:t>龙大伟</w:t>
            </w:r>
          </w:p>
        </w:tc>
        <w:tc>
          <w:tcPr>
            <w:tcW w:w="8370"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pacing w:val="-4"/>
                <w:sz w:val="24"/>
                <w:szCs w:val="24"/>
              </w:rPr>
              <w:t>龙大伟先生，</w:t>
            </w:r>
            <w:r>
              <w:rPr>
                <w:rFonts w:ascii="宋体" w:hAnsi="宋体" w:cs="宋体" w:eastAsia="宋体" w:hint="default"/>
                <w:spacing w:val="-4"/>
                <w:sz w:val="24"/>
                <w:szCs w:val="24"/>
              </w:rPr>
              <w:t>2015</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9</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16</w:t>
            </w:r>
            <w:r>
              <w:rPr>
                <w:rFonts w:ascii="宋体" w:hAnsi="宋体" w:cs="宋体" w:eastAsia="宋体" w:hint="default"/>
                <w:spacing w:val="-60"/>
                <w:sz w:val="24"/>
                <w:szCs w:val="24"/>
              </w:rPr>
              <w:t> </w:t>
            </w:r>
            <w:r>
              <w:rPr>
                <w:rFonts w:ascii="宋体" w:hAnsi="宋体" w:cs="宋体" w:eastAsia="宋体" w:hint="default"/>
                <w:sz w:val="24"/>
                <w:szCs w:val="24"/>
              </w:rPr>
              <w:t>日至</w:t>
            </w:r>
            <w:r>
              <w:rPr>
                <w:rFonts w:ascii="宋体" w:hAnsi="宋体" w:cs="宋体" w:eastAsia="宋体" w:hint="default"/>
                <w:spacing w:val="-60"/>
                <w:sz w:val="24"/>
                <w:szCs w:val="24"/>
              </w:rPr>
              <w:t> </w:t>
            </w:r>
            <w:r>
              <w:rPr>
                <w:rFonts w:ascii="宋体" w:hAnsi="宋体" w:cs="宋体" w:eastAsia="宋体" w:hint="default"/>
                <w:sz w:val="24"/>
                <w:szCs w:val="24"/>
              </w:rPr>
              <w:t>2015</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11</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18</w:t>
            </w:r>
            <w:r>
              <w:rPr>
                <w:rFonts w:ascii="宋体" w:hAnsi="宋体" w:cs="宋体" w:eastAsia="宋体" w:hint="default"/>
                <w:spacing w:val="-60"/>
                <w:sz w:val="24"/>
                <w:szCs w:val="24"/>
              </w:rPr>
              <w:t> </w:t>
            </w:r>
            <w:r>
              <w:rPr>
                <w:rFonts w:ascii="宋体" w:hAnsi="宋体" w:cs="宋体" w:eastAsia="宋体" w:hint="default"/>
                <w:spacing w:val="-3"/>
                <w:sz w:val="24"/>
                <w:szCs w:val="24"/>
              </w:rPr>
              <w:t>日，任公司第六届董事会董</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事之职。</w:t>
            </w:r>
          </w:p>
        </w:tc>
      </w:tr>
      <w:tr>
        <w:trPr>
          <w:trHeight w:val="643" w:hRule="exact"/>
        </w:trPr>
        <w:tc>
          <w:tcPr>
            <w:tcW w:w="1049" w:type="dxa"/>
            <w:tcBorders>
              <w:top w:val="single" w:sz="6" w:space="0" w:color="000000"/>
              <w:left w:val="single" w:sz="12" w:space="0" w:color="000000"/>
              <w:bottom w:val="single" w:sz="12" w:space="0" w:color="000000"/>
              <w:right w:val="single" w:sz="6" w:space="0" w:color="000000"/>
            </w:tcBorders>
          </w:tcPr>
          <w:p>
            <w:pPr>
              <w:pStyle w:val="TableParagraph"/>
              <w:spacing w:line="274" w:lineRule="exact"/>
              <w:ind w:left="93" w:right="0"/>
              <w:jc w:val="left"/>
              <w:rPr>
                <w:rFonts w:ascii="宋体" w:hAnsi="宋体" w:cs="宋体" w:eastAsia="宋体" w:hint="default"/>
                <w:sz w:val="24"/>
                <w:szCs w:val="24"/>
              </w:rPr>
            </w:pPr>
            <w:r>
              <w:rPr>
                <w:rFonts w:ascii="宋体" w:hAnsi="宋体" w:cs="宋体" w:eastAsia="宋体" w:hint="default"/>
                <w:sz w:val="24"/>
                <w:szCs w:val="24"/>
              </w:rPr>
              <w:t>杨志明</w:t>
            </w:r>
          </w:p>
        </w:tc>
        <w:tc>
          <w:tcPr>
            <w:tcW w:w="8370" w:type="dxa"/>
            <w:tcBorders>
              <w:top w:val="single" w:sz="6" w:space="0" w:color="000000"/>
              <w:left w:val="single" w:sz="6" w:space="0" w:color="000000"/>
              <w:bottom w:val="single" w:sz="12" w:space="0" w:color="000000"/>
              <w:right w:val="single" w:sz="12"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杨志明先生，</w:t>
            </w:r>
            <w:r>
              <w:rPr>
                <w:rFonts w:ascii="宋体" w:hAnsi="宋体" w:cs="宋体" w:eastAsia="宋体" w:hint="default"/>
                <w:sz w:val="24"/>
                <w:szCs w:val="24"/>
              </w:rPr>
              <w:t>2013</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5</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15</w:t>
            </w:r>
            <w:r>
              <w:rPr>
                <w:rFonts w:ascii="宋体" w:hAnsi="宋体" w:cs="宋体" w:eastAsia="宋体" w:hint="default"/>
                <w:spacing w:val="-56"/>
                <w:sz w:val="24"/>
                <w:szCs w:val="24"/>
              </w:rPr>
              <w:t> </w:t>
            </w:r>
            <w:r>
              <w:rPr>
                <w:rFonts w:ascii="宋体" w:hAnsi="宋体" w:cs="宋体" w:eastAsia="宋体" w:hint="default"/>
                <w:sz w:val="24"/>
                <w:szCs w:val="24"/>
              </w:rPr>
              <w:t>日至</w:t>
            </w:r>
            <w:r>
              <w:rPr>
                <w:rFonts w:ascii="宋体" w:hAnsi="宋体" w:cs="宋体" w:eastAsia="宋体" w:hint="default"/>
                <w:spacing w:val="-56"/>
                <w:sz w:val="24"/>
                <w:szCs w:val="24"/>
              </w:rPr>
              <w:t> </w:t>
            </w:r>
            <w:r>
              <w:rPr>
                <w:rFonts w:ascii="宋体" w:hAnsi="宋体" w:cs="宋体" w:eastAsia="宋体" w:hint="default"/>
                <w:sz w:val="24"/>
                <w:szCs w:val="24"/>
              </w:rPr>
              <w:t>2015</w:t>
            </w:r>
            <w:r>
              <w:rPr>
                <w:rFonts w:ascii="宋体" w:hAnsi="宋体" w:cs="宋体" w:eastAsia="宋体" w:hint="default"/>
                <w:spacing w:val="-55"/>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9</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30</w:t>
            </w:r>
            <w:r>
              <w:rPr>
                <w:rFonts w:ascii="宋体" w:hAnsi="宋体" w:cs="宋体" w:eastAsia="宋体" w:hint="default"/>
                <w:spacing w:val="-56"/>
                <w:sz w:val="24"/>
                <w:szCs w:val="24"/>
              </w:rPr>
              <w:t> </w:t>
            </w:r>
            <w:r>
              <w:rPr>
                <w:rFonts w:ascii="宋体" w:hAnsi="宋体" w:cs="宋体" w:eastAsia="宋体" w:hint="default"/>
                <w:sz w:val="24"/>
                <w:szCs w:val="24"/>
              </w:rPr>
              <w:t>日，任公司副总裁兼军工产</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业本部总经理之职。</w:t>
            </w:r>
          </w:p>
        </w:tc>
      </w:tr>
    </w:tbl>
    <w:p>
      <w:pPr>
        <w:spacing w:line="240" w:lineRule="auto" w:before="7"/>
        <w:rPr>
          <w:rFonts w:ascii="Times New Roman" w:hAnsi="Times New Roman" w:cs="Times New Roman" w:eastAsia="Times New Roman" w:hint="default"/>
          <w:sz w:val="21"/>
          <w:szCs w:val="21"/>
        </w:rPr>
      </w:pPr>
    </w:p>
    <w:p>
      <w:pPr>
        <w:pStyle w:val="Heading3"/>
        <w:spacing w:line="475" w:lineRule="auto" w:before="26"/>
        <w:ind w:left="238" w:right="2309" w:firstLine="256"/>
        <w:jc w:val="left"/>
        <w:rPr>
          <w:rFonts w:ascii="宋体" w:hAnsi="宋体" w:cs="宋体" w:eastAsia="宋体" w:hint="default"/>
          <w:b w:val="0"/>
          <w:bCs w:val="0"/>
        </w:rPr>
      </w:pPr>
      <w:r>
        <w:rPr>
          <w:rFonts w:ascii="宋体" w:hAnsi="宋体" w:cs="宋体" w:eastAsia="宋体" w:hint="default"/>
        </w:rPr>
        <w:t>(</w:t>
      </w:r>
      <w:r>
        <w:rPr/>
        <w:t>二</w:t>
      </w:r>
      <w:r>
        <w:rPr>
          <w:rFonts w:ascii="宋体" w:hAnsi="宋体" w:cs="宋体" w:eastAsia="宋体" w:hint="default"/>
        </w:rPr>
        <w:t>)</w:t>
      </w:r>
      <w:r>
        <w:rPr>
          <w:rFonts w:ascii="宋体" w:hAnsi="宋体" w:cs="宋体" w:eastAsia="宋体" w:hint="default"/>
          <w:spacing w:val="-5"/>
        </w:rPr>
        <w:t> </w:t>
      </w:r>
      <w:r>
        <w:rPr/>
        <w:t>董事、监事、高级管理人员报告期内被授予的股权激励情况</w:t>
      </w:r>
      <w:r>
        <w:rPr>
          <w:w w:val="99"/>
        </w:rPr>
        <w:t> </w:t>
      </w:r>
      <w:r>
        <w:rPr>
          <w:rFonts w:ascii="宋体" w:hAnsi="宋体" w:cs="宋体" w:eastAsia="宋体" w:hint="default"/>
          <w:b w:val="0"/>
          <w:bCs w:val="0"/>
        </w:rPr>
        <w:t>不适用。</w:t>
      </w:r>
    </w:p>
    <w:p>
      <w:pPr>
        <w:spacing w:after="0" w:line="475" w:lineRule="auto"/>
        <w:jc w:val="left"/>
        <w:rPr>
          <w:rFonts w:ascii="宋体" w:hAnsi="宋体" w:cs="宋体" w:eastAsia="宋体" w:hint="default"/>
        </w:rPr>
        <w:sectPr>
          <w:pgSz w:w="11910" w:h="16840"/>
          <w:pgMar w:header="628" w:footer="760" w:top="1080" w:bottom="960" w:left="1180" w:right="104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1"/>
          <w:szCs w:val="21"/>
        </w:rPr>
      </w:pPr>
    </w:p>
    <w:p>
      <w:pPr>
        <w:pStyle w:val="Heading2"/>
        <w:spacing w:line="240" w:lineRule="auto" w:before="14"/>
        <w:ind w:right="0"/>
        <w:jc w:val="left"/>
      </w:pPr>
      <w:r>
        <w:rPr/>
        <w:t>二、现任及报告期内离任董事、监事和高级管理人员的任职情况</w:t>
      </w:r>
    </w:p>
    <w:p>
      <w:pPr>
        <w:spacing w:line="240" w:lineRule="auto" w:before="8"/>
        <w:rPr>
          <w:rFonts w:ascii="黑体" w:hAnsi="黑体" w:cs="黑体" w:eastAsia="黑体" w:hint="default"/>
          <w:sz w:val="28"/>
          <w:szCs w:val="28"/>
        </w:rPr>
      </w:pPr>
    </w:p>
    <w:p>
      <w:pPr>
        <w:pStyle w:val="Heading3"/>
        <w:spacing w:line="240" w:lineRule="auto"/>
        <w:ind w:right="0"/>
        <w:jc w:val="left"/>
        <w:rPr>
          <w:b w:val="0"/>
          <w:bCs w:val="0"/>
        </w:rPr>
      </w:pPr>
      <w:r>
        <w:rPr>
          <w:rFonts w:ascii="宋体" w:hAnsi="宋体" w:cs="宋体" w:eastAsia="宋体" w:hint="default"/>
        </w:rPr>
        <w:t>(</w:t>
      </w:r>
      <w:r>
        <w:rPr/>
        <w:t>一</w:t>
      </w:r>
      <w:r>
        <w:rPr>
          <w:rFonts w:ascii="宋体" w:hAnsi="宋体" w:cs="宋体" w:eastAsia="宋体" w:hint="default"/>
        </w:rPr>
        <w:t>)</w:t>
      </w:r>
      <w:r>
        <w:rPr/>
        <w:t>在股东单位任职情况</w:t>
      </w:r>
      <w:r>
        <w:rPr>
          <w:b w:val="0"/>
          <w:bCs w:val="0"/>
        </w:rPr>
      </w:r>
    </w:p>
    <w:p>
      <w:pPr>
        <w:spacing w:line="240" w:lineRule="auto" w:before="8"/>
        <w:rPr>
          <w:rFonts w:ascii="宋体" w:hAnsi="宋体" w:cs="宋体" w:eastAsia="宋体" w:hint="default"/>
          <w:b/>
          <w:bCs/>
          <w:sz w:val="26"/>
          <w:szCs w:val="26"/>
        </w:rPr>
      </w:pPr>
    </w:p>
    <w:tbl>
      <w:tblPr>
        <w:tblW w:w="0" w:type="auto"/>
        <w:jc w:val="left"/>
        <w:tblInd w:w="116" w:type="dxa"/>
        <w:tblLayout w:type="fixed"/>
        <w:tblCellMar>
          <w:top w:w="0" w:type="dxa"/>
          <w:left w:w="0" w:type="dxa"/>
          <w:bottom w:w="0" w:type="dxa"/>
          <w:right w:w="0" w:type="dxa"/>
        </w:tblCellMar>
        <w:tblLook w:val="01E0"/>
      </w:tblPr>
      <w:tblGrid>
        <w:gridCol w:w="1841"/>
        <w:gridCol w:w="2096"/>
        <w:gridCol w:w="2139"/>
        <w:gridCol w:w="1681"/>
        <w:gridCol w:w="1589"/>
      </w:tblGrid>
      <w:tr>
        <w:trPr>
          <w:trHeight w:val="569" w:hRule="exact"/>
        </w:trPr>
        <w:tc>
          <w:tcPr>
            <w:tcW w:w="184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2"/>
              <w:ind w:left="273" w:right="0"/>
              <w:jc w:val="left"/>
              <w:rPr>
                <w:rFonts w:ascii="宋体" w:hAnsi="宋体" w:cs="宋体" w:eastAsia="宋体" w:hint="default"/>
                <w:sz w:val="21"/>
                <w:szCs w:val="21"/>
              </w:rPr>
            </w:pPr>
            <w:r>
              <w:rPr>
                <w:rFonts w:ascii="宋体" w:hAnsi="宋体" w:cs="宋体" w:eastAsia="宋体" w:hint="default"/>
                <w:b/>
                <w:bCs/>
                <w:sz w:val="21"/>
                <w:szCs w:val="21"/>
              </w:rPr>
              <w:t>任职人员姓名</w:t>
            </w:r>
            <w:r>
              <w:rPr>
                <w:rFonts w:ascii="宋体" w:hAnsi="宋体" w:cs="宋体" w:eastAsia="宋体" w:hint="default"/>
                <w:sz w:val="21"/>
                <w:szCs w:val="21"/>
              </w:rPr>
            </w:r>
          </w:p>
        </w:tc>
        <w:tc>
          <w:tcPr>
            <w:tcW w:w="20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2"/>
              <w:ind w:left="408" w:right="0"/>
              <w:jc w:val="left"/>
              <w:rPr>
                <w:rFonts w:ascii="宋体" w:hAnsi="宋体" w:cs="宋体" w:eastAsia="宋体" w:hint="default"/>
                <w:sz w:val="21"/>
                <w:szCs w:val="21"/>
              </w:rPr>
            </w:pPr>
            <w:r>
              <w:rPr>
                <w:rFonts w:ascii="宋体" w:hAnsi="宋体" w:cs="宋体" w:eastAsia="宋体" w:hint="default"/>
                <w:b/>
                <w:bCs/>
                <w:sz w:val="21"/>
                <w:szCs w:val="21"/>
              </w:rPr>
              <w:t>股东单位名称</w:t>
            </w:r>
            <w:r>
              <w:rPr>
                <w:rFonts w:ascii="宋体" w:hAnsi="宋体" w:cs="宋体" w:eastAsia="宋体" w:hint="default"/>
                <w:sz w:val="21"/>
                <w:szCs w:val="21"/>
              </w:rPr>
            </w:r>
          </w:p>
        </w:tc>
        <w:tc>
          <w:tcPr>
            <w:tcW w:w="2139"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在股东单位担任的职</w:t>
            </w:r>
            <w:r>
              <w:rPr>
                <w:rFonts w:ascii="宋体" w:hAnsi="宋体" w:cs="宋体" w:eastAsia="宋体" w:hint="default"/>
                <w:sz w:val="21"/>
                <w:szCs w:val="21"/>
              </w:rPr>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b/>
                <w:bCs/>
                <w:w w:val="100"/>
                <w:sz w:val="21"/>
                <w:szCs w:val="21"/>
              </w:rPr>
              <w:t>务</w:t>
            </w:r>
            <w:r>
              <w:rPr>
                <w:rFonts w:ascii="宋体" w:hAnsi="宋体" w:cs="宋体" w:eastAsia="宋体" w:hint="default"/>
                <w:w w:val="100"/>
                <w:sz w:val="21"/>
                <w:szCs w:val="21"/>
              </w:rPr>
            </w:r>
          </w:p>
        </w:tc>
        <w:tc>
          <w:tcPr>
            <w:tcW w:w="168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2"/>
              <w:ind w:left="199" w:right="0"/>
              <w:jc w:val="left"/>
              <w:rPr>
                <w:rFonts w:ascii="宋体" w:hAnsi="宋体" w:cs="宋体" w:eastAsia="宋体" w:hint="default"/>
                <w:sz w:val="21"/>
                <w:szCs w:val="21"/>
              </w:rPr>
            </w:pPr>
            <w:r>
              <w:rPr>
                <w:rFonts w:ascii="宋体" w:hAnsi="宋体" w:cs="宋体" w:eastAsia="宋体" w:hint="default"/>
                <w:b/>
                <w:bCs/>
                <w:sz w:val="21"/>
                <w:szCs w:val="21"/>
              </w:rPr>
              <w:t>任期起始日期</w:t>
            </w:r>
            <w:r>
              <w:rPr>
                <w:rFonts w:ascii="宋体" w:hAnsi="宋体" w:cs="宋体" w:eastAsia="宋体" w:hint="default"/>
                <w:sz w:val="21"/>
                <w:szCs w:val="21"/>
              </w:rPr>
            </w:r>
          </w:p>
        </w:tc>
        <w:tc>
          <w:tcPr>
            <w:tcW w:w="158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2"/>
              <w:ind w:left="153" w:right="0"/>
              <w:jc w:val="left"/>
              <w:rPr>
                <w:rFonts w:ascii="宋体" w:hAnsi="宋体" w:cs="宋体" w:eastAsia="宋体" w:hint="default"/>
                <w:sz w:val="21"/>
                <w:szCs w:val="21"/>
              </w:rPr>
            </w:pPr>
            <w:r>
              <w:rPr>
                <w:rFonts w:ascii="宋体" w:hAnsi="宋体" w:cs="宋体" w:eastAsia="宋体" w:hint="default"/>
                <w:b/>
                <w:bCs/>
                <w:sz w:val="21"/>
                <w:szCs w:val="21"/>
              </w:rPr>
              <w:t>任期终止日期</w:t>
            </w:r>
            <w:r>
              <w:rPr>
                <w:rFonts w:ascii="宋体" w:hAnsi="宋体" w:cs="宋体" w:eastAsia="宋体" w:hint="default"/>
                <w:sz w:val="21"/>
                <w:szCs w:val="21"/>
              </w:rPr>
            </w:r>
          </w:p>
        </w:tc>
      </w:tr>
      <w:tr>
        <w:trPr>
          <w:trHeight w:val="286" w:hRule="exact"/>
        </w:trPr>
        <w:tc>
          <w:tcPr>
            <w:tcW w:w="184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周立业</w:t>
            </w:r>
          </w:p>
        </w:tc>
        <w:tc>
          <w:tcPr>
            <w:tcW w:w="20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清华控股有限公司</w:t>
            </w:r>
          </w:p>
        </w:tc>
        <w:tc>
          <w:tcPr>
            <w:tcW w:w="213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董事、总裁</w:t>
            </w:r>
          </w:p>
        </w:tc>
        <w:tc>
          <w:tcPr>
            <w:tcW w:w="168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89"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841"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黄俞</w:t>
            </w:r>
          </w:p>
        </w:tc>
        <w:tc>
          <w:tcPr>
            <w:tcW w:w="209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清华控股有限公司</w:t>
            </w:r>
          </w:p>
        </w:tc>
        <w:tc>
          <w:tcPr>
            <w:tcW w:w="2139"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68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89"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84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雷霖</w:t>
            </w:r>
          </w:p>
        </w:tc>
        <w:tc>
          <w:tcPr>
            <w:tcW w:w="20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清华控股有限公司</w:t>
            </w:r>
          </w:p>
        </w:tc>
        <w:tc>
          <w:tcPr>
            <w:tcW w:w="213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168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89" w:type="dxa"/>
            <w:tcBorders>
              <w:top w:val="single" w:sz="6" w:space="0" w:color="000000"/>
              <w:left w:val="single" w:sz="6" w:space="0" w:color="000000"/>
              <w:bottom w:val="single" w:sz="6" w:space="0" w:color="000000"/>
              <w:right w:val="single" w:sz="12" w:space="0" w:color="000000"/>
            </w:tcBorders>
          </w:tcPr>
          <w:p>
            <w:pPr/>
          </w:p>
        </w:tc>
      </w:tr>
      <w:tr>
        <w:trPr>
          <w:trHeight w:val="286" w:hRule="exact"/>
        </w:trPr>
        <w:tc>
          <w:tcPr>
            <w:tcW w:w="184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张文娟</w:t>
            </w:r>
          </w:p>
        </w:tc>
        <w:tc>
          <w:tcPr>
            <w:tcW w:w="20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清华控股有限公司</w:t>
            </w:r>
          </w:p>
        </w:tc>
        <w:tc>
          <w:tcPr>
            <w:tcW w:w="213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168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89" w:type="dxa"/>
            <w:tcBorders>
              <w:top w:val="single" w:sz="6" w:space="0" w:color="000000"/>
              <w:left w:val="single" w:sz="6" w:space="0" w:color="000000"/>
              <w:bottom w:val="single" w:sz="6" w:space="0" w:color="000000"/>
              <w:right w:val="single" w:sz="12" w:space="0" w:color="000000"/>
            </w:tcBorders>
          </w:tcPr>
          <w:p>
            <w:pPr/>
          </w:p>
        </w:tc>
      </w:tr>
      <w:tr>
        <w:trPr>
          <w:trHeight w:val="289" w:hRule="exact"/>
        </w:trPr>
        <w:tc>
          <w:tcPr>
            <w:tcW w:w="1841"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93" w:right="0"/>
              <w:jc w:val="left"/>
              <w:rPr>
                <w:rFonts w:ascii="宋体" w:hAnsi="宋体" w:cs="宋体" w:eastAsia="宋体" w:hint="default"/>
                <w:sz w:val="21"/>
                <w:szCs w:val="21"/>
              </w:rPr>
            </w:pPr>
            <w:r>
              <w:rPr>
                <w:rFonts w:ascii="宋体" w:hAnsi="宋体" w:cs="宋体" w:eastAsia="宋体" w:hint="default"/>
                <w:sz w:val="21"/>
                <w:szCs w:val="21"/>
              </w:rPr>
              <w:t>童利斌</w:t>
            </w:r>
          </w:p>
        </w:tc>
        <w:tc>
          <w:tcPr>
            <w:tcW w:w="2096"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0" w:right="0"/>
              <w:jc w:val="left"/>
              <w:rPr>
                <w:rFonts w:ascii="宋体" w:hAnsi="宋体" w:cs="宋体" w:eastAsia="宋体" w:hint="default"/>
                <w:sz w:val="21"/>
                <w:szCs w:val="21"/>
              </w:rPr>
            </w:pPr>
            <w:r>
              <w:rPr>
                <w:rFonts w:ascii="宋体" w:hAnsi="宋体" w:cs="宋体" w:eastAsia="宋体" w:hint="default"/>
                <w:sz w:val="21"/>
                <w:szCs w:val="21"/>
              </w:rPr>
              <w:t>清华控股有限公司</w:t>
            </w:r>
          </w:p>
        </w:tc>
        <w:tc>
          <w:tcPr>
            <w:tcW w:w="2139"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0"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1681"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0"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89"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84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陆致成</w:t>
            </w:r>
          </w:p>
        </w:tc>
        <w:tc>
          <w:tcPr>
            <w:tcW w:w="20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清华控股有限公司</w:t>
            </w:r>
          </w:p>
        </w:tc>
        <w:tc>
          <w:tcPr>
            <w:tcW w:w="213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8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89"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84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赵伟国</w:t>
            </w:r>
          </w:p>
        </w:tc>
        <w:tc>
          <w:tcPr>
            <w:tcW w:w="20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清华控股有限公司</w:t>
            </w:r>
          </w:p>
        </w:tc>
        <w:tc>
          <w:tcPr>
            <w:tcW w:w="213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68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89" w:type="dxa"/>
            <w:tcBorders>
              <w:top w:val="single" w:sz="6" w:space="0" w:color="000000"/>
              <w:left w:val="single" w:sz="6" w:space="0" w:color="000000"/>
              <w:bottom w:val="single" w:sz="6" w:space="0" w:color="000000"/>
              <w:right w:val="single" w:sz="12" w:space="0" w:color="000000"/>
            </w:tcBorders>
          </w:tcPr>
          <w:p>
            <w:pPr/>
          </w:p>
        </w:tc>
      </w:tr>
      <w:tr>
        <w:trPr>
          <w:trHeight w:val="293" w:hRule="exact"/>
        </w:trPr>
        <w:tc>
          <w:tcPr>
            <w:tcW w:w="1841"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龙大伟</w:t>
            </w:r>
          </w:p>
        </w:tc>
        <w:tc>
          <w:tcPr>
            <w:tcW w:w="2096"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清华控股有限公司</w:t>
            </w:r>
          </w:p>
        </w:tc>
        <w:tc>
          <w:tcPr>
            <w:tcW w:w="2139"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副董事长、党委书记</w:t>
            </w:r>
          </w:p>
        </w:tc>
        <w:tc>
          <w:tcPr>
            <w:tcW w:w="1681"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89" w:type="dxa"/>
            <w:tcBorders>
              <w:top w:val="single" w:sz="6" w:space="0" w:color="000000"/>
              <w:left w:val="single" w:sz="6" w:space="0" w:color="000000"/>
              <w:bottom w:val="single" w:sz="12" w:space="0" w:color="000000"/>
              <w:right w:val="single" w:sz="12" w:space="0" w:color="000000"/>
            </w:tcBorders>
          </w:tcPr>
          <w:p>
            <w:pPr/>
          </w:p>
        </w:tc>
      </w:tr>
    </w:tbl>
    <w:p>
      <w:pPr>
        <w:spacing w:line="240" w:lineRule="auto" w:before="13"/>
        <w:rPr>
          <w:rFonts w:ascii="宋体" w:hAnsi="宋体" w:cs="宋体" w:eastAsia="宋体" w:hint="default"/>
          <w:b/>
          <w:bCs/>
          <w:sz w:val="18"/>
          <w:szCs w:val="18"/>
        </w:rPr>
      </w:pPr>
    </w:p>
    <w:p>
      <w:pPr>
        <w:pStyle w:val="Heading3"/>
        <w:spacing w:line="240" w:lineRule="auto" w:before="26"/>
        <w:ind w:left="618" w:right="0"/>
        <w:jc w:val="left"/>
        <w:rPr>
          <w:b w:val="0"/>
          <w:bCs w:val="0"/>
        </w:rPr>
      </w:pPr>
      <w:r>
        <w:rPr>
          <w:rFonts w:ascii="宋体" w:hAnsi="宋体" w:cs="宋体" w:eastAsia="宋体" w:hint="default"/>
        </w:rPr>
        <w:t>(</w:t>
      </w:r>
      <w:r>
        <w:rPr/>
        <w:t>二</w:t>
      </w:r>
      <w:r>
        <w:rPr>
          <w:rFonts w:ascii="宋体" w:hAnsi="宋体" w:cs="宋体" w:eastAsia="宋体" w:hint="default"/>
        </w:rPr>
        <w:t>)</w:t>
      </w:r>
      <w:r>
        <w:rPr/>
        <w:t>在其他单位任职情况</w:t>
      </w:r>
      <w:r>
        <w:rPr>
          <w:b w:val="0"/>
          <w:bCs w:val="0"/>
        </w:rPr>
      </w:r>
    </w:p>
    <w:p>
      <w:pPr>
        <w:spacing w:line="240" w:lineRule="auto" w:before="8"/>
        <w:rPr>
          <w:rFonts w:ascii="宋体" w:hAnsi="宋体" w:cs="宋体" w:eastAsia="宋体" w:hint="default"/>
          <w:b/>
          <w:bCs/>
          <w:sz w:val="26"/>
          <w:szCs w:val="26"/>
        </w:rPr>
      </w:pPr>
    </w:p>
    <w:tbl>
      <w:tblPr>
        <w:tblW w:w="0" w:type="auto"/>
        <w:jc w:val="left"/>
        <w:tblInd w:w="116" w:type="dxa"/>
        <w:tblLayout w:type="fixed"/>
        <w:tblCellMar>
          <w:top w:w="0" w:type="dxa"/>
          <w:left w:w="0" w:type="dxa"/>
          <w:bottom w:w="0" w:type="dxa"/>
          <w:right w:w="0" w:type="dxa"/>
        </w:tblCellMar>
        <w:tblLook w:val="01E0"/>
      </w:tblPr>
      <w:tblGrid>
        <w:gridCol w:w="1526"/>
        <w:gridCol w:w="2816"/>
        <w:gridCol w:w="1961"/>
        <w:gridCol w:w="1604"/>
        <w:gridCol w:w="1558"/>
      </w:tblGrid>
      <w:tr>
        <w:trPr>
          <w:trHeight w:val="566" w:hRule="exact"/>
        </w:trPr>
        <w:tc>
          <w:tcPr>
            <w:tcW w:w="152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2"/>
              <w:ind w:left="115" w:right="0"/>
              <w:jc w:val="left"/>
              <w:rPr>
                <w:rFonts w:ascii="宋体" w:hAnsi="宋体" w:cs="宋体" w:eastAsia="宋体" w:hint="default"/>
                <w:sz w:val="21"/>
                <w:szCs w:val="21"/>
              </w:rPr>
            </w:pPr>
            <w:r>
              <w:rPr>
                <w:rFonts w:ascii="宋体" w:hAnsi="宋体" w:cs="宋体" w:eastAsia="宋体" w:hint="default"/>
                <w:b/>
                <w:bCs/>
                <w:sz w:val="21"/>
                <w:szCs w:val="21"/>
              </w:rPr>
              <w:t>任职人员姓名</w:t>
            </w:r>
            <w:r>
              <w:rPr>
                <w:rFonts w:ascii="宋体" w:hAnsi="宋体" w:cs="宋体" w:eastAsia="宋体" w:hint="default"/>
                <w:sz w:val="21"/>
                <w:szCs w:val="21"/>
              </w:rPr>
            </w:r>
          </w:p>
        </w:tc>
        <w:tc>
          <w:tcPr>
            <w:tcW w:w="281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2"/>
              <w:ind w:left="767" w:right="0"/>
              <w:jc w:val="left"/>
              <w:rPr>
                <w:rFonts w:ascii="宋体" w:hAnsi="宋体" w:cs="宋体" w:eastAsia="宋体" w:hint="default"/>
                <w:sz w:val="21"/>
                <w:szCs w:val="21"/>
              </w:rPr>
            </w:pPr>
            <w:r>
              <w:rPr>
                <w:rFonts w:ascii="宋体" w:hAnsi="宋体" w:cs="宋体" w:eastAsia="宋体" w:hint="default"/>
                <w:b/>
                <w:bCs/>
                <w:sz w:val="21"/>
                <w:szCs w:val="21"/>
              </w:rPr>
              <w:t>其他单位名称</w:t>
            </w:r>
            <w:r>
              <w:rPr>
                <w:rFonts w:ascii="宋体" w:hAnsi="宋体" w:cs="宋体" w:eastAsia="宋体" w:hint="default"/>
                <w:sz w:val="21"/>
                <w:szCs w:val="21"/>
              </w:rPr>
            </w:r>
          </w:p>
        </w:tc>
        <w:tc>
          <w:tcPr>
            <w:tcW w:w="1961" w:type="dxa"/>
            <w:tcBorders>
              <w:top w:val="single" w:sz="12" w:space="0" w:color="000000"/>
              <w:left w:val="single" w:sz="6" w:space="0" w:color="000000"/>
              <w:bottom w:val="single" w:sz="6" w:space="0" w:color="000000"/>
              <w:right w:val="single" w:sz="6"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在其他单位担任的</w:t>
            </w:r>
            <w:r>
              <w:rPr>
                <w:rFonts w:ascii="宋体" w:hAnsi="宋体" w:cs="宋体" w:eastAsia="宋体" w:hint="default"/>
                <w:sz w:val="21"/>
                <w:szCs w:val="21"/>
              </w:rPr>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b/>
                <w:bCs/>
                <w:sz w:val="21"/>
                <w:szCs w:val="21"/>
              </w:rPr>
              <w:t>职务</w:t>
            </w:r>
            <w:r>
              <w:rPr>
                <w:rFonts w:ascii="宋体" w:hAnsi="宋体" w:cs="宋体" w:eastAsia="宋体" w:hint="default"/>
                <w:sz w:val="21"/>
                <w:szCs w:val="21"/>
              </w:rPr>
            </w:r>
          </w:p>
        </w:tc>
        <w:tc>
          <w:tcPr>
            <w:tcW w:w="160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2"/>
              <w:ind w:left="160" w:right="0"/>
              <w:jc w:val="left"/>
              <w:rPr>
                <w:rFonts w:ascii="宋体" w:hAnsi="宋体" w:cs="宋体" w:eastAsia="宋体" w:hint="default"/>
                <w:sz w:val="21"/>
                <w:szCs w:val="21"/>
              </w:rPr>
            </w:pPr>
            <w:r>
              <w:rPr>
                <w:rFonts w:ascii="宋体" w:hAnsi="宋体" w:cs="宋体" w:eastAsia="宋体" w:hint="default"/>
                <w:b/>
                <w:bCs/>
                <w:sz w:val="21"/>
                <w:szCs w:val="21"/>
              </w:rPr>
              <w:t>任期起始日期</w:t>
            </w:r>
            <w:r>
              <w:rPr>
                <w:rFonts w:ascii="宋体" w:hAnsi="宋体" w:cs="宋体" w:eastAsia="宋体" w:hint="default"/>
                <w:sz w:val="21"/>
                <w:szCs w:val="21"/>
              </w:rPr>
            </w:r>
          </w:p>
        </w:tc>
        <w:tc>
          <w:tcPr>
            <w:tcW w:w="155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2"/>
              <w:ind w:left="139" w:right="0"/>
              <w:jc w:val="left"/>
              <w:rPr>
                <w:rFonts w:ascii="宋体" w:hAnsi="宋体" w:cs="宋体" w:eastAsia="宋体" w:hint="default"/>
                <w:sz w:val="21"/>
                <w:szCs w:val="21"/>
              </w:rPr>
            </w:pPr>
            <w:r>
              <w:rPr>
                <w:rFonts w:ascii="宋体" w:hAnsi="宋体" w:cs="宋体" w:eastAsia="宋体" w:hint="default"/>
                <w:b/>
                <w:bCs/>
                <w:sz w:val="21"/>
                <w:szCs w:val="21"/>
              </w:rPr>
              <w:t>任期终止日期</w:t>
            </w:r>
            <w:r>
              <w:rPr>
                <w:rFonts w:ascii="宋体" w:hAnsi="宋体" w:cs="宋体" w:eastAsia="宋体" w:hint="default"/>
                <w:sz w:val="21"/>
                <w:szCs w:val="21"/>
              </w:rPr>
            </w:r>
          </w:p>
        </w:tc>
      </w:tr>
      <w:tr>
        <w:trPr>
          <w:trHeight w:val="288" w:hRule="exact"/>
        </w:trPr>
        <w:tc>
          <w:tcPr>
            <w:tcW w:w="1526" w:type="dxa"/>
            <w:vMerge w:val="restart"/>
            <w:tcBorders>
              <w:top w:val="single" w:sz="6" w:space="0" w:color="000000"/>
              <w:left w:val="single" w:sz="12"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周立业</w:t>
            </w: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博奥生物有限公司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辽宁省路桥建设有限公司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北京华环电子股份有限公司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559"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深圳华融泰资产管理有限公</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中核能源科技有限公司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6"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华控技术转移有限公司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bottom w:val="single" w:sz="6"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清控创业投资有限公司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559" w:hRule="exact"/>
        </w:trPr>
        <w:tc>
          <w:tcPr>
            <w:tcW w:w="1526" w:type="dxa"/>
            <w:vMerge w:val="restart"/>
            <w:tcBorders>
              <w:top w:val="single" w:sz="6" w:space="0" w:color="000000"/>
              <w:left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黄俞</w:t>
            </w: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深圳市奥融信投资发展有限</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执行</w:t>
            </w:r>
            <w:r>
              <w:rPr>
                <w:rFonts w:ascii="宋体" w:hAnsi="宋体" w:cs="宋体" w:eastAsia="宋体" w:hint="default"/>
                <w:spacing w:val="6"/>
                <w:sz w:val="21"/>
                <w:szCs w:val="21"/>
              </w:rPr>
              <w:t>(</w:t>
            </w:r>
            <w:r>
              <w:rPr>
                <w:rFonts w:ascii="宋体" w:hAnsi="宋体" w:cs="宋体" w:eastAsia="宋体" w:hint="default"/>
                <w:spacing w:val="6"/>
                <w:sz w:val="21"/>
                <w:szCs w:val="21"/>
              </w:rPr>
              <w:t>常务</w:t>
            </w:r>
            <w:r>
              <w:rPr>
                <w:rFonts w:ascii="宋体" w:hAnsi="宋体" w:cs="宋体" w:eastAsia="宋体" w:hint="default"/>
                <w:spacing w:val="6"/>
                <w:sz w:val="21"/>
                <w:szCs w:val="21"/>
              </w:rPr>
              <w:t>)</w:t>
            </w:r>
            <w:r>
              <w:rPr>
                <w:rFonts w:ascii="宋体" w:hAnsi="宋体" w:cs="宋体" w:eastAsia="宋体" w:hint="default"/>
                <w:spacing w:val="6"/>
                <w:sz w:val="21"/>
                <w:szCs w:val="21"/>
              </w:rPr>
              <w:t>董事、</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1996</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559"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深圳市华融泰资产管理有限</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鹏华基金管理公司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9"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深圳华控赛格股份有限公司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559"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深圳市前海弘泰基金管理有</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559"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深圳市前海清控弘泰投资发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展有限公司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董事长、总经理</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清华控股有限公司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bottom w:val="single" w:sz="6"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联合水泥控股有限公司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主席兼执行董事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6" w:hRule="exact"/>
        </w:trPr>
        <w:tc>
          <w:tcPr>
            <w:tcW w:w="1526" w:type="dxa"/>
            <w:vMerge w:val="restart"/>
            <w:tcBorders>
              <w:top w:val="single" w:sz="6" w:space="0" w:color="000000"/>
              <w:left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雷霖</w:t>
            </w: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清控资产管理有限公司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清控创业投资有限公司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启迪控股股份有限公司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诺德基金管理有限公司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560"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清控三联创业投资</w:t>
            </w:r>
            <w:r>
              <w:rPr>
                <w:rFonts w:ascii="宋体" w:hAnsi="宋体" w:cs="宋体" w:eastAsia="宋体" w:hint="default"/>
                <w:spacing w:val="3"/>
                <w:sz w:val="21"/>
                <w:szCs w:val="21"/>
              </w:rPr>
              <w:t>(</w:t>
            </w:r>
            <w:r>
              <w:rPr>
                <w:rFonts w:ascii="宋体" w:hAnsi="宋体" w:cs="宋体" w:eastAsia="宋体" w:hint="default"/>
                <w:spacing w:val="3"/>
                <w:sz w:val="21"/>
                <w:szCs w:val="21"/>
              </w:rPr>
              <w:t>北京</w:t>
            </w:r>
            <w:r>
              <w:rPr>
                <w:rFonts w:ascii="宋体" w:hAnsi="宋体" w:cs="宋体" w:eastAsia="宋体" w:hint="default"/>
                <w:spacing w:val="3"/>
                <w:sz w:val="21"/>
                <w:szCs w:val="21"/>
              </w:rPr>
              <w:t>)</w:t>
            </w:r>
            <w:r>
              <w:rPr>
                <w:rFonts w:ascii="宋体" w:hAnsi="宋体" w:cs="宋体" w:eastAsia="宋体" w:hint="default"/>
                <w:spacing w:val="3"/>
                <w:sz w:val="21"/>
                <w:szCs w:val="21"/>
              </w:rPr>
              <w:t>管</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理有限公司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93" w:hRule="exact"/>
        </w:trPr>
        <w:tc>
          <w:tcPr>
            <w:tcW w:w="1526" w:type="dxa"/>
            <w:vMerge/>
            <w:tcBorders>
              <w:left w:val="single" w:sz="12" w:space="0" w:color="000000"/>
              <w:bottom w:val="single" w:sz="12" w:space="0" w:color="000000"/>
              <w:right w:val="single" w:sz="6" w:space="0" w:color="000000"/>
            </w:tcBorders>
          </w:tcPr>
          <w:p>
            <w:pPr/>
          </w:p>
        </w:tc>
        <w:tc>
          <w:tcPr>
            <w:tcW w:w="2816"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北京慕华教育科技有限公司</w:t>
            </w:r>
          </w:p>
        </w:tc>
        <w:tc>
          <w:tcPr>
            <w:tcW w:w="1961"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12" w:space="0" w:color="000000"/>
              <w:right w:val="single" w:sz="12" w:space="0" w:color="000000"/>
            </w:tcBorders>
          </w:tcPr>
          <w:p>
            <w:pPr/>
          </w:p>
        </w:tc>
      </w:tr>
    </w:tbl>
    <w:p>
      <w:pPr>
        <w:spacing w:after="0"/>
        <w:sectPr>
          <w:pgSz w:w="11910" w:h="16840"/>
          <w:pgMar w:header="628" w:footer="760" w:top="1080" w:bottom="960" w:left="1180" w:right="1000"/>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6"/>
          <w:szCs w:val="26"/>
        </w:rPr>
      </w:pPr>
    </w:p>
    <w:tbl>
      <w:tblPr>
        <w:tblW w:w="0" w:type="auto"/>
        <w:jc w:val="left"/>
        <w:tblInd w:w="116" w:type="dxa"/>
        <w:tblLayout w:type="fixed"/>
        <w:tblCellMar>
          <w:top w:w="0" w:type="dxa"/>
          <w:left w:w="0" w:type="dxa"/>
          <w:bottom w:w="0" w:type="dxa"/>
          <w:right w:w="0" w:type="dxa"/>
        </w:tblCellMar>
        <w:tblLook w:val="01E0"/>
      </w:tblPr>
      <w:tblGrid>
        <w:gridCol w:w="1526"/>
        <w:gridCol w:w="2816"/>
        <w:gridCol w:w="1961"/>
        <w:gridCol w:w="1604"/>
        <w:gridCol w:w="1558"/>
      </w:tblGrid>
      <w:tr>
        <w:trPr>
          <w:trHeight w:val="566" w:hRule="exact"/>
        </w:trPr>
        <w:tc>
          <w:tcPr>
            <w:tcW w:w="1526" w:type="dxa"/>
            <w:vMerge w:val="restart"/>
            <w:tcBorders>
              <w:top w:val="single" w:sz="12" w:space="0" w:color="000000"/>
              <w:left w:val="single" w:sz="12" w:space="0" w:color="000000"/>
              <w:right w:val="single" w:sz="6" w:space="0" w:color="000000"/>
            </w:tcBorders>
          </w:tcPr>
          <w:p>
            <w:pPr/>
          </w:p>
        </w:tc>
        <w:tc>
          <w:tcPr>
            <w:tcW w:w="2816" w:type="dxa"/>
            <w:tcBorders>
              <w:top w:val="single" w:sz="12"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清控创业投资管理</w:t>
            </w:r>
            <w:r>
              <w:rPr>
                <w:rFonts w:ascii="宋体" w:hAnsi="宋体" w:cs="宋体" w:eastAsia="宋体" w:hint="default"/>
                <w:spacing w:val="3"/>
                <w:sz w:val="21"/>
                <w:szCs w:val="21"/>
              </w:rPr>
              <w:t>(</w:t>
            </w:r>
            <w:r>
              <w:rPr>
                <w:rFonts w:ascii="宋体" w:hAnsi="宋体" w:cs="宋体" w:eastAsia="宋体" w:hint="default"/>
                <w:spacing w:val="3"/>
                <w:sz w:val="21"/>
                <w:szCs w:val="21"/>
              </w:rPr>
              <w:t>北京</w:t>
            </w:r>
            <w:r>
              <w:rPr>
                <w:rFonts w:ascii="宋体" w:hAnsi="宋体" w:cs="宋体" w:eastAsia="宋体" w:hint="default"/>
                <w:spacing w:val="3"/>
                <w:sz w:val="21"/>
                <w:szCs w:val="21"/>
              </w:rPr>
              <w:t>)</w:t>
            </w:r>
            <w:r>
              <w:rPr>
                <w:rFonts w:ascii="宋体" w:hAnsi="宋体" w:cs="宋体" w:eastAsia="宋体" w:hint="default"/>
                <w:spacing w:val="3"/>
                <w:sz w:val="21"/>
                <w:szCs w:val="21"/>
              </w:rPr>
              <w:t>有</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961"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12" w:space="0" w:color="000000"/>
              <w:left w:val="single" w:sz="6" w:space="0" w:color="000000"/>
              <w:bottom w:val="single" w:sz="6" w:space="0" w:color="000000"/>
              <w:right w:val="single" w:sz="12" w:space="0" w:color="000000"/>
            </w:tcBorders>
          </w:tcPr>
          <w:p>
            <w:pPr/>
          </w:p>
        </w:tc>
      </w:tr>
      <w:tr>
        <w:trPr>
          <w:trHeight w:val="559"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深圳力宝清控基金管理有限</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北京荷塘投资管理有限公司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中融人寿股份有限公司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bottom w:val="single" w:sz="6"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清华控股集团财务有限公司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6" w:hRule="exact"/>
        </w:trPr>
        <w:tc>
          <w:tcPr>
            <w:tcW w:w="1526" w:type="dxa"/>
            <w:vMerge w:val="restart"/>
            <w:tcBorders>
              <w:top w:val="single" w:sz="6" w:space="0" w:color="000000"/>
              <w:left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何佳</w:t>
            </w: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香港中文大学</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财务系教授</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1998</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562"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深圳市新国都技术股份有限</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6"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西藏华域矿业</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9" w:hRule="exact"/>
        </w:trPr>
        <w:tc>
          <w:tcPr>
            <w:tcW w:w="1526" w:type="dxa"/>
            <w:vMerge/>
            <w:tcBorders>
              <w:left w:val="single" w:sz="12" w:space="0" w:color="000000"/>
              <w:bottom w:val="single" w:sz="6"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中投证券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杨利</w:t>
            </w: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中咨律师事务所</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合伙人</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1999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6" w:hRule="exact"/>
        </w:trPr>
        <w:tc>
          <w:tcPr>
            <w:tcW w:w="1526" w:type="dxa"/>
            <w:vMerge w:val="restart"/>
            <w:tcBorders>
              <w:top w:val="single" w:sz="6" w:space="0" w:color="000000"/>
              <w:left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左小蕾</w:t>
            </w: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亚洲管理学院</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副教授</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1997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bottom w:val="single" w:sz="6"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湖北银行股份有限公司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夏冬林</w:t>
            </w: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清华大学经济管理学院</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副院长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val="restart"/>
            <w:tcBorders>
              <w:top w:val="single" w:sz="6" w:space="0" w:color="000000"/>
              <w:left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张文娟</w:t>
            </w: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诚志股份有限公司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6"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卓尔教育投资有限公司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诺德基金有限公司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清控资管有限公司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博奥生物股份有限公司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6" w:hRule="exact"/>
        </w:trPr>
        <w:tc>
          <w:tcPr>
            <w:tcW w:w="1526" w:type="dxa"/>
            <w:vMerge/>
            <w:tcBorders>
              <w:left w:val="single" w:sz="12" w:space="0" w:color="000000"/>
              <w:bottom w:val="single" w:sz="6"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清华控股集团财务有限公司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val="restart"/>
            <w:tcBorders>
              <w:top w:val="single" w:sz="6" w:space="0" w:color="000000"/>
              <w:left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童利斌</w:t>
            </w: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航天科工卫星技术有限公司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559"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辽宁省路桥建设集团有限公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559"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深圳华融泰资产管理有限公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北京泽华化学工程有限公司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559"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清华大学建筑设计研究院有</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562"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北京清华同衡规划设计研究</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院有限公司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6"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清控资产管理有限公司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深圳华控赛格股份有限公司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清控人居建设有限公司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559" w:hRule="exact"/>
        </w:trPr>
        <w:tc>
          <w:tcPr>
            <w:tcW w:w="1526" w:type="dxa"/>
            <w:vMerge/>
            <w:tcBorders>
              <w:left w:val="single" w:sz="12"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华能山东石岛湾核电有限公</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bottom w:val="single" w:sz="6"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清控创业投资有限公司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6" w:hRule="exact"/>
        </w:trPr>
        <w:tc>
          <w:tcPr>
            <w:tcW w:w="1526" w:type="dxa"/>
            <w:vMerge w:val="restart"/>
            <w:tcBorders>
              <w:top w:val="single" w:sz="6" w:space="0" w:color="000000"/>
              <w:left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赵伟国</w:t>
            </w: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北京健坤投资集团有限公司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bottom w:val="single" w:sz="6"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紫光集团有限公司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val="restart"/>
            <w:tcBorders>
              <w:top w:val="single" w:sz="6" w:space="0" w:color="000000"/>
              <w:left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龙大伟</w:t>
            </w: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诚志股份有限公司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1526" w:type="dxa"/>
            <w:vMerge/>
            <w:tcBorders>
              <w:left w:val="single" w:sz="12" w:space="0" w:color="000000"/>
              <w:bottom w:val="single" w:sz="6" w:space="0" w:color="000000"/>
              <w:right w:val="single" w:sz="6" w:space="0" w:color="000000"/>
            </w:tcBorders>
          </w:tcPr>
          <w:p>
            <w:pPr/>
          </w:p>
        </w:tc>
        <w:tc>
          <w:tcPr>
            <w:tcW w:w="2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清华控股集团财务有限公司</w:t>
            </w:r>
          </w:p>
        </w:tc>
        <w:tc>
          <w:tcPr>
            <w:tcW w:w="19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558" w:type="dxa"/>
            <w:tcBorders>
              <w:top w:val="single" w:sz="6" w:space="0" w:color="000000"/>
              <w:left w:val="single" w:sz="6" w:space="0" w:color="000000"/>
              <w:bottom w:val="single" w:sz="6" w:space="0" w:color="000000"/>
              <w:right w:val="single" w:sz="12" w:space="0" w:color="000000"/>
            </w:tcBorders>
          </w:tcPr>
          <w:p>
            <w:pPr/>
          </w:p>
        </w:tc>
      </w:tr>
      <w:tr>
        <w:trPr>
          <w:trHeight w:val="566" w:hRule="exact"/>
        </w:trPr>
        <w:tc>
          <w:tcPr>
            <w:tcW w:w="1526" w:type="dxa"/>
            <w:tcBorders>
              <w:top w:val="single" w:sz="6" w:space="0" w:color="000000"/>
              <w:left w:val="single" w:sz="12" w:space="0" w:color="000000"/>
              <w:bottom w:val="single" w:sz="12" w:space="0" w:color="000000"/>
              <w:right w:val="single" w:sz="6" w:space="0" w:color="000000"/>
            </w:tcBorders>
          </w:tcPr>
          <w:p>
            <w:pPr>
              <w:pStyle w:val="TableParagraph"/>
              <w:spacing w:line="239" w:lineRule="exact"/>
              <w:ind w:left="93" w:right="0"/>
              <w:jc w:val="left"/>
              <w:rPr>
                <w:rFonts w:ascii="宋体" w:hAnsi="宋体" w:cs="宋体" w:eastAsia="宋体" w:hint="default"/>
                <w:sz w:val="21"/>
                <w:szCs w:val="21"/>
              </w:rPr>
            </w:pPr>
            <w:r>
              <w:rPr>
                <w:rFonts w:ascii="宋体" w:hAnsi="宋体" w:cs="宋体" w:eastAsia="宋体" w:hint="default"/>
                <w:spacing w:val="6"/>
                <w:sz w:val="21"/>
                <w:szCs w:val="21"/>
              </w:rPr>
              <w:t>在其他单位任</w:t>
            </w:r>
          </w:p>
          <w:p>
            <w:pPr>
              <w:pStyle w:val="TableParagraph"/>
              <w:spacing w:line="273" w:lineRule="exact"/>
              <w:ind w:left="93" w:right="0"/>
              <w:jc w:val="left"/>
              <w:rPr>
                <w:rFonts w:ascii="宋体" w:hAnsi="宋体" w:cs="宋体" w:eastAsia="宋体" w:hint="default"/>
                <w:sz w:val="21"/>
                <w:szCs w:val="21"/>
              </w:rPr>
            </w:pPr>
            <w:r>
              <w:rPr>
                <w:rFonts w:ascii="宋体" w:hAnsi="宋体" w:cs="宋体" w:eastAsia="宋体" w:hint="default"/>
                <w:sz w:val="21"/>
                <w:szCs w:val="21"/>
              </w:rPr>
              <w:t>职情况的说明</w:t>
            </w:r>
          </w:p>
        </w:tc>
        <w:tc>
          <w:tcPr>
            <w:tcW w:w="7938" w:type="dxa"/>
            <w:gridSpan w:val="4"/>
            <w:tcBorders>
              <w:top w:val="single" w:sz="6" w:space="0" w:color="000000"/>
              <w:left w:val="single" w:sz="6" w:space="0" w:color="000000"/>
              <w:bottom w:val="single" w:sz="12" w:space="0" w:color="000000"/>
              <w:right w:val="single" w:sz="12"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除上述情形外，公司其他董事、监事、高级管理人员不在除公司子公司以外的其他单</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位任职。</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7"/>
          <w:szCs w:val="17"/>
        </w:rPr>
      </w:pPr>
    </w:p>
    <w:p>
      <w:pPr>
        <w:pStyle w:val="Heading2"/>
        <w:spacing w:line="240" w:lineRule="auto" w:before="14"/>
        <w:ind w:right="0"/>
        <w:jc w:val="left"/>
      </w:pPr>
      <w:r>
        <w:rPr/>
        <w:t>三、董事、监事、高级管理人员报酬情况</w:t>
      </w:r>
    </w:p>
    <w:p>
      <w:pPr>
        <w:spacing w:after="0" w:line="240" w:lineRule="auto"/>
        <w:jc w:val="left"/>
        <w:sectPr>
          <w:headerReference w:type="default" r:id="rId22"/>
          <w:pgSz w:w="11910" w:h="16840"/>
          <w:pgMar w:header="628" w:footer="760" w:top="1080" w:bottom="960" w:left="1180" w:right="100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25"/>
          <w:szCs w:val="25"/>
        </w:rPr>
      </w:pPr>
    </w:p>
    <w:p>
      <w:pPr>
        <w:pStyle w:val="BodyText"/>
        <w:spacing w:line="312" w:lineRule="exact" w:before="56"/>
        <w:ind w:left="238" w:right="110"/>
        <w:jc w:val="left"/>
      </w:pPr>
      <w:r>
        <w:rPr/>
        <w:t>按照公司资产规模、经营业绩和承担工作的职责等考评指标，公司董事会对高级管理人</w:t>
      </w:r>
      <w:r>
        <w:rPr>
          <w:spacing w:val="-51"/>
        </w:rPr>
        <w:t> </w:t>
      </w:r>
      <w:r>
        <w:rPr>
          <w:spacing w:val="-51"/>
        </w:rPr>
      </w:r>
      <w:r>
        <w:rPr/>
        <w:t>员的绩效进行考核，目前公司管理层的薪酬体系采用年薪制。</w:t>
      </w:r>
    </w:p>
    <w:p>
      <w:pPr>
        <w:spacing w:line="240" w:lineRule="auto" w:before="6"/>
        <w:rPr>
          <w:rFonts w:ascii="宋体" w:hAnsi="宋体" w:cs="宋体" w:eastAsia="宋体" w:hint="default"/>
          <w:sz w:val="21"/>
          <w:szCs w:val="21"/>
        </w:rPr>
      </w:pPr>
    </w:p>
    <w:p>
      <w:pPr>
        <w:pStyle w:val="BodyText"/>
        <w:spacing w:line="240" w:lineRule="auto"/>
        <w:ind w:left="238" w:right="110"/>
        <w:jc w:val="left"/>
      </w:pPr>
      <w:r>
        <w:rPr/>
        <w:t>报告期内公司董事、监事及高级管理人员在公司领取的薪酬总额为</w:t>
      </w:r>
      <w:r>
        <w:rPr>
          <w:spacing w:val="-60"/>
        </w:rPr>
        <w:t> </w:t>
      </w:r>
      <w:r>
        <w:rPr>
          <w:rFonts w:ascii="宋体" w:hAnsi="宋体" w:cs="宋体" w:eastAsia="宋体" w:hint="default"/>
        </w:rPr>
        <w:t>1,516.98</w:t>
      </w:r>
      <w:r>
        <w:rPr>
          <w:rFonts w:ascii="宋体" w:hAnsi="宋体" w:cs="宋体" w:eastAsia="宋体" w:hint="default"/>
          <w:spacing w:val="-60"/>
        </w:rPr>
        <w:t> </w:t>
      </w:r>
      <w:r>
        <w:rPr/>
        <w:t>万元。</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7"/>
          <w:szCs w:val="17"/>
        </w:rPr>
      </w:pPr>
    </w:p>
    <w:p>
      <w:pPr>
        <w:pStyle w:val="Heading2"/>
        <w:spacing w:line="240" w:lineRule="auto"/>
        <w:ind w:right="110"/>
        <w:jc w:val="left"/>
      </w:pPr>
      <w:r>
        <w:rPr/>
        <w:t>四、公司董事、监事、高级管理人员变动情况</w:t>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1"/>
          <w:szCs w:val="11"/>
        </w:rPr>
      </w:pPr>
    </w:p>
    <w:tbl>
      <w:tblPr>
        <w:tblW w:w="0" w:type="auto"/>
        <w:jc w:val="left"/>
        <w:tblInd w:w="116" w:type="dxa"/>
        <w:tblLayout w:type="fixed"/>
        <w:tblCellMar>
          <w:top w:w="0" w:type="dxa"/>
          <w:left w:w="0" w:type="dxa"/>
          <w:bottom w:w="0" w:type="dxa"/>
          <w:right w:w="0" w:type="dxa"/>
        </w:tblCellMar>
        <w:tblLook w:val="01E0"/>
      </w:tblPr>
      <w:tblGrid>
        <w:gridCol w:w="2354"/>
        <w:gridCol w:w="2355"/>
        <w:gridCol w:w="2355"/>
        <w:gridCol w:w="2355"/>
      </w:tblGrid>
      <w:tr>
        <w:trPr>
          <w:trHeight w:val="295" w:hRule="exact"/>
        </w:trPr>
        <w:tc>
          <w:tcPr>
            <w:tcW w:w="2354"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right="7"/>
              <w:jc w:val="center"/>
              <w:rPr>
                <w:rFonts w:ascii="宋体" w:hAnsi="宋体" w:cs="宋体" w:eastAsia="宋体" w:hint="default"/>
                <w:sz w:val="21"/>
                <w:szCs w:val="21"/>
              </w:rPr>
            </w:pPr>
            <w:r>
              <w:rPr>
                <w:rFonts w:ascii="宋体" w:hAnsi="宋体" w:cs="宋体" w:eastAsia="宋体" w:hint="default"/>
                <w:b/>
                <w:bCs/>
                <w:sz w:val="21"/>
                <w:szCs w:val="21"/>
              </w:rPr>
              <w:t>姓名</w:t>
            </w:r>
            <w:r>
              <w:rPr>
                <w:rFonts w:ascii="宋体" w:hAnsi="宋体" w:cs="宋体" w:eastAsia="宋体" w:hint="default"/>
                <w:sz w:val="21"/>
                <w:szCs w:val="21"/>
              </w:rPr>
            </w:r>
          </w:p>
        </w:tc>
        <w:tc>
          <w:tcPr>
            <w:tcW w:w="2355"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643" w:right="0"/>
              <w:jc w:val="left"/>
              <w:rPr>
                <w:rFonts w:ascii="宋体" w:hAnsi="宋体" w:cs="宋体" w:eastAsia="宋体" w:hint="default"/>
                <w:sz w:val="21"/>
                <w:szCs w:val="21"/>
              </w:rPr>
            </w:pPr>
            <w:r>
              <w:rPr>
                <w:rFonts w:ascii="宋体" w:hAnsi="宋体" w:cs="宋体" w:eastAsia="宋体" w:hint="default"/>
                <w:b/>
                <w:bCs/>
                <w:sz w:val="21"/>
                <w:szCs w:val="21"/>
              </w:rPr>
              <w:t>担任的职务</w:t>
            </w:r>
            <w:r>
              <w:rPr>
                <w:rFonts w:ascii="宋体" w:hAnsi="宋体" w:cs="宋体" w:eastAsia="宋体" w:hint="default"/>
                <w:sz w:val="21"/>
                <w:szCs w:val="21"/>
              </w:rPr>
            </w:r>
          </w:p>
        </w:tc>
        <w:tc>
          <w:tcPr>
            <w:tcW w:w="2355"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749" w:right="0"/>
              <w:jc w:val="left"/>
              <w:rPr>
                <w:rFonts w:ascii="宋体" w:hAnsi="宋体" w:cs="宋体" w:eastAsia="宋体" w:hint="default"/>
                <w:sz w:val="21"/>
                <w:szCs w:val="21"/>
              </w:rPr>
            </w:pPr>
            <w:r>
              <w:rPr>
                <w:rFonts w:ascii="宋体" w:hAnsi="宋体" w:cs="宋体" w:eastAsia="宋体" w:hint="default"/>
                <w:b/>
                <w:bCs/>
                <w:sz w:val="21"/>
                <w:szCs w:val="21"/>
              </w:rPr>
              <w:t>变动情形</w:t>
            </w:r>
            <w:r>
              <w:rPr>
                <w:rFonts w:ascii="宋体" w:hAnsi="宋体" w:cs="宋体" w:eastAsia="宋体" w:hint="default"/>
                <w:sz w:val="21"/>
                <w:szCs w:val="21"/>
              </w:rPr>
            </w:r>
          </w:p>
        </w:tc>
        <w:tc>
          <w:tcPr>
            <w:tcW w:w="2355"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left="746" w:right="0"/>
              <w:jc w:val="left"/>
              <w:rPr>
                <w:rFonts w:ascii="宋体" w:hAnsi="宋体" w:cs="宋体" w:eastAsia="宋体" w:hint="default"/>
                <w:sz w:val="21"/>
                <w:szCs w:val="21"/>
              </w:rPr>
            </w:pPr>
            <w:r>
              <w:rPr>
                <w:rFonts w:ascii="宋体" w:hAnsi="宋体" w:cs="宋体" w:eastAsia="宋体" w:hint="default"/>
                <w:b/>
                <w:bCs/>
                <w:sz w:val="21"/>
                <w:szCs w:val="21"/>
              </w:rPr>
              <w:t>变动原因</w:t>
            </w:r>
            <w:r>
              <w:rPr>
                <w:rFonts w:ascii="宋体" w:hAnsi="宋体" w:cs="宋体" w:eastAsia="宋体" w:hint="default"/>
                <w:sz w:val="21"/>
                <w:szCs w:val="21"/>
              </w:rPr>
            </w:r>
          </w:p>
        </w:tc>
      </w:tr>
      <w:tr>
        <w:trPr>
          <w:trHeight w:val="289" w:hRule="exact"/>
        </w:trPr>
        <w:tc>
          <w:tcPr>
            <w:tcW w:w="235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潘晓江</w:t>
            </w:r>
          </w:p>
        </w:tc>
        <w:tc>
          <w:tcPr>
            <w:tcW w:w="23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3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355"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工作原因</w:t>
            </w:r>
          </w:p>
        </w:tc>
      </w:tr>
      <w:tr>
        <w:trPr>
          <w:trHeight w:val="286" w:hRule="exact"/>
        </w:trPr>
        <w:tc>
          <w:tcPr>
            <w:tcW w:w="235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童利斌</w:t>
            </w:r>
          </w:p>
        </w:tc>
        <w:tc>
          <w:tcPr>
            <w:tcW w:w="23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3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355"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工作原因</w:t>
            </w:r>
          </w:p>
        </w:tc>
      </w:tr>
      <w:tr>
        <w:trPr>
          <w:trHeight w:val="288" w:hRule="exact"/>
        </w:trPr>
        <w:tc>
          <w:tcPr>
            <w:tcW w:w="2354"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陆致成</w:t>
            </w:r>
          </w:p>
        </w:tc>
        <w:tc>
          <w:tcPr>
            <w:tcW w:w="235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235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355"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sz w:val="21"/>
                <w:szCs w:val="21"/>
              </w:rPr>
              <w:t>退休</w:t>
            </w:r>
          </w:p>
        </w:tc>
      </w:tr>
      <w:tr>
        <w:trPr>
          <w:trHeight w:val="288" w:hRule="exact"/>
        </w:trPr>
        <w:tc>
          <w:tcPr>
            <w:tcW w:w="235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赵伟国</w:t>
            </w:r>
          </w:p>
        </w:tc>
        <w:tc>
          <w:tcPr>
            <w:tcW w:w="23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3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355"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工作原因</w:t>
            </w:r>
          </w:p>
        </w:tc>
      </w:tr>
      <w:tr>
        <w:trPr>
          <w:trHeight w:val="286" w:hRule="exact"/>
        </w:trPr>
        <w:tc>
          <w:tcPr>
            <w:tcW w:w="235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龙大伟</w:t>
            </w:r>
          </w:p>
        </w:tc>
        <w:tc>
          <w:tcPr>
            <w:tcW w:w="23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3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355"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工作原因</w:t>
            </w:r>
          </w:p>
        </w:tc>
      </w:tr>
      <w:tr>
        <w:trPr>
          <w:trHeight w:val="288" w:hRule="exact"/>
        </w:trPr>
        <w:tc>
          <w:tcPr>
            <w:tcW w:w="2354"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杨志明</w:t>
            </w:r>
          </w:p>
        </w:tc>
        <w:tc>
          <w:tcPr>
            <w:tcW w:w="235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235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355"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sz w:val="21"/>
                <w:szCs w:val="21"/>
              </w:rPr>
              <w:t>因病去世</w:t>
            </w:r>
          </w:p>
        </w:tc>
      </w:tr>
      <w:tr>
        <w:trPr>
          <w:trHeight w:val="288" w:hRule="exact"/>
        </w:trPr>
        <w:tc>
          <w:tcPr>
            <w:tcW w:w="235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黄俞</w:t>
            </w:r>
          </w:p>
        </w:tc>
        <w:tc>
          <w:tcPr>
            <w:tcW w:w="23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23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选举</w:t>
            </w:r>
          </w:p>
        </w:tc>
        <w:tc>
          <w:tcPr>
            <w:tcW w:w="2355" w:type="dxa"/>
            <w:tcBorders>
              <w:top w:val="single" w:sz="6" w:space="0" w:color="000000"/>
              <w:left w:val="single" w:sz="6" w:space="0" w:color="000000"/>
              <w:bottom w:val="single" w:sz="6" w:space="0" w:color="000000"/>
              <w:right w:val="single" w:sz="12" w:space="0" w:color="000000"/>
            </w:tcBorders>
          </w:tcPr>
          <w:p>
            <w:pPr/>
          </w:p>
        </w:tc>
      </w:tr>
      <w:tr>
        <w:trPr>
          <w:trHeight w:val="288" w:hRule="exact"/>
        </w:trPr>
        <w:tc>
          <w:tcPr>
            <w:tcW w:w="235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雷霖</w:t>
            </w:r>
          </w:p>
        </w:tc>
        <w:tc>
          <w:tcPr>
            <w:tcW w:w="23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3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选举</w:t>
            </w:r>
          </w:p>
        </w:tc>
        <w:tc>
          <w:tcPr>
            <w:tcW w:w="2355" w:type="dxa"/>
            <w:tcBorders>
              <w:top w:val="single" w:sz="6" w:space="0" w:color="000000"/>
              <w:left w:val="single" w:sz="6" w:space="0" w:color="000000"/>
              <w:bottom w:val="single" w:sz="6" w:space="0" w:color="000000"/>
              <w:right w:val="single" w:sz="12" w:space="0" w:color="000000"/>
            </w:tcBorders>
          </w:tcPr>
          <w:p>
            <w:pPr/>
          </w:p>
        </w:tc>
      </w:tr>
      <w:tr>
        <w:trPr>
          <w:trHeight w:val="293" w:hRule="exact"/>
        </w:trPr>
        <w:tc>
          <w:tcPr>
            <w:tcW w:w="2354"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何佳</w:t>
            </w:r>
          </w:p>
        </w:tc>
        <w:tc>
          <w:tcPr>
            <w:tcW w:w="2355"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355"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选举</w:t>
            </w:r>
          </w:p>
        </w:tc>
        <w:tc>
          <w:tcPr>
            <w:tcW w:w="2355" w:type="dxa"/>
            <w:tcBorders>
              <w:top w:val="single" w:sz="6" w:space="0" w:color="000000"/>
              <w:left w:val="single" w:sz="6" w:space="0" w:color="000000"/>
              <w:bottom w:val="single" w:sz="12" w:space="0" w:color="000000"/>
              <w:right w:val="single" w:sz="12" w:space="0" w:color="000000"/>
            </w:tcBorders>
          </w:tcPr>
          <w:p>
            <w:pPr/>
          </w:p>
        </w:tc>
      </w:tr>
    </w:tbl>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7"/>
          <w:szCs w:val="17"/>
        </w:rPr>
      </w:pPr>
    </w:p>
    <w:p>
      <w:pPr>
        <w:pStyle w:val="Heading2"/>
        <w:spacing w:line="240" w:lineRule="auto" w:before="14"/>
        <w:ind w:right="110"/>
        <w:jc w:val="left"/>
      </w:pPr>
      <w:r>
        <w:rPr/>
        <w:t>五、近三年受证券监管机构处罚的情况说明</w:t>
      </w:r>
    </w:p>
    <w:p>
      <w:pPr>
        <w:spacing w:line="240" w:lineRule="auto" w:before="8"/>
        <w:rPr>
          <w:rFonts w:ascii="黑体" w:hAnsi="黑体" w:cs="黑体" w:eastAsia="黑体" w:hint="default"/>
          <w:sz w:val="28"/>
          <w:szCs w:val="28"/>
        </w:rPr>
      </w:pPr>
    </w:p>
    <w:p>
      <w:pPr>
        <w:pStyle w:val="BodyText"/>
        <w:spacing w:line="240" w:lineRule="auto"/>
        <w:ind w:left="238" w:right="110"/>
        <w:jc w:val="left"/>
      </w:pPr>
      <w:r>
        <w:rPr/>
        <w:t>不适用。</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7"/>
          <w:szCs w:val="17"/>
        </w:rPr>
      </w:pPr>
    </w:p>
    <w:p>
      <w:pPr>
        <w:pStyle w:val="Heading2"/>
        <w:spacing w:line="240" w:lineRule="auto"/>
        <w:ind w:right="110"/>
        <w:jc w:val="left"/>
      </w:pPr>
      <w:r>
        <w:rPr/>
        <w:t>六、母公司和主要子公司的员工情况</w:t>
      </w:r>
    </w:p>
    <w:p>
      <w:pPr>
        <w:spacing w:line="240" w:lineRule="auto" w:before="8"/>
        <w:rPr>
          <w:rFonts w:ascii="黑体" w:hAnsi="黑体" w:cs="黑体" w:eastAsia="黑体" w:hint="default"/>
          <w:sz w:val="28"/>
          <w:szCs w:val="28"/>
        </w:rPr>
      </w:pPr>
    </w:p>
    <w:p>
      <w:pPr>
        <w:pStyle w:val="Heading3"/>
        <w:spacing w:line="240" w:lineRule="auto"/>
        <w:ind w:right="110"/>
        <w:jc w:val="left"/>
        <w:rPr>
          <w:b w:val="0"/>
          <w:bCs w:val="0"/>
        </w:rPr>
      </w:pPr>
      <w:r>
        <w:rPr>
          <w:rFonts w:ascii="宋体" w:hAnsi="宋体" w:cs="宋体" w:eastAsia="宋体" w:hint="default"/>
        </w:rPr>
        <w:t>(</w:t>
      </w:r>
      <w:r>
        <w:rPr/>
        <w:t>一</w:t>
      </w:r>
      <w:r>
        <w:rPr>
          <w:rFonts w:ascii="宋体" w:hAnsi="宋体" w:cs="宋体" w:eastAsia="宋体" w:hint="default"/>
        </w:rPr>
        <w:t>)</w:t>
      </w:r>
      <w:r>
        <w:rPr/>
        <w:t>员工情况</w:t>
      </w:r>
      <w:r>
        <w:rPr>
          <w:b w:val="0"/>
          <w:bCs w:val="0"/>
        </w:rPr>
      </w:r>
    </w:p>
    <w:p>
      <w:pPr>
        <w:spacing w:line="240" w:lineRule="auto" w:before="8"/>
        <w:rPr>
          <w:rFonts w:ascii="宋体" w:hAnsi="宋体" w:cs="宋体" w:eastAsia="宋体" w:hint="default"/>
          <w:b/>
          <w:bCs/>
          <w:sz w:val="26"/>
          <w:szCs w:val="26"/>
        </w:rPr>
      </w:pPr>
    </w:p>
    <w:tbl>
      <w:tblPr>
        <w:tblW w:w="0" w:type="auto"/>
        <w:jc w:val="left"/>
        <w:tblInd w:w="116" w:type="dxa"/>
        <w:tblLayout w:type="fixed"/>
        <w:tblCellMar>
          <w:top w:w="0" w:type="dxa"/>
          <w:left w:w="0" w:type="dxa"/>
          <w:bottom w:w="0" w:type="dxa"/>
          <w:right w:w="0" w:type="dxa"/>
        </w:tblCellMar>
        <w:tblLook w:val="01E0"/>
      </w:tblPr>
      <w:tblGrid>
        <w:gridCol w:w="6347"/>
        <w:gridCol w:w="3073"/>
      </w:tblGrid>
      <w:tr>
        <w:trPr>
          <w:trHeight w:val="295" w:hRule="exact"/>
        </w:trPr>
        <w:tc>
          <w:tcPr>
            <w:tcW w:w="6347" w:type="dxa"/>
            <w:tcBorders>
              <w:top w:val="single" w:sz="12"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母公司在职员工的数量</w:t>
            </w:r>
          </w:p>
        </w:tc>
        <w:tc>
          <w:tcPr>
            <w:tcW w:w="3073" w:type="dxa"/>
            <w:tcBorders>
              <w:top w:val="single" w:sz="12" w:space="0" w:color="000000"/>
              <w:left w:val="single" w:sz="6" w:space="0" w:color="000000"/>
              <w:bottom w:val="single" w:sz="6" w:space="0" w:color="000000"/>
              <w:right w:val="single" w:sz="12" w:space="0" w:color="000000"/>
            </w:tcBorders>
          </w:tcPr>
          <w:p>
            <w:pPr>
              <w:pStyle w:val="TableParagraph"/>
              <w:spacing w:line="243" w:lineRule="exact"/>
              <w:ind w:right="89"/>
              <w:jc w:val="right"/>
              <w:rPr>
                <w:rFonts w:ascii="宋体" w:hAnsi="宋体" w:cs="宋体" w:eastAsia="宋体" w:hint="default"/>
                <w:sz w:val="21"/>
                <w:szCs w:val="21"/>
              </w:rPr>
            </w:pPr>
            <w:r>
              <w:rPr>
                <w:rFonts w:ascii="宋体"/>
                <w:sz w:val="21"/>
              </w:rPr>
              <w:t>1,372</w:t>
            </w:r>
          </w:p>
        </w:tc>
      </w:tr>
      <w:tr>
        <w:trPr>
          <w:trHeight w:val="289" w:hRule="exact"/>
        </w:trPr>
        <w:tc>
          <w:tcPr>
            <w:tcW w:w="6347"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93" w:right="0"/>
              <w:jc w:val="left"/>
              <w:rPr>
                <w:rFonts w:ascii="宋体" w:hAnsi="宋体" w:cs="宋体" w:eastAsia="宋体" w:hint="default"/>
                <w:sz w:val="21"/>
                <w:szCs w:val="21"/>
              </w:rPr>
            </w:pPr>
            <w:r>
              <w:rPr>
                <w:rFonts w:ascii="宋体" w:hAnsi="宋体" w:cs="宋体" w:eastAsia="宋体" w:hint="default"/>
                <w:sz w:val="21"/>
                <w:szCs w:val="21"/>
              </w:rPr>
              <w:t>主要子公司在职员工的数量</w:t>
            </w:r>
          </w:p>
        </w:tc>
        <w:tc>
          <w:tcPr>
            <w:tcW w:w="3073" w:type="dxa"/>
            <w:tcBorders>
              <w:top w:val="single" w:sz="6" w:space="0" w:color="000000"/>
              <w:left w:val="single" w:sz="6" w:space="0" w:color="000000"/>
              <w:bottom w:val="single" w:sz="6" w:space="0" w:color="000000"/>
              <w:right w:val="single" w:sz="12" w:space="0" w:color="000000"/>
            </w:tcBorders>
          </w:tcPr>
          <w:p>
            <w:pPr>
              <w:pStyle w:val="TableParagraph"/>
              <w:spacing w:line="244" w:lineRule="exact"/>
              <w:ind w:right="89"/>
              <w:jc w:val="right"/>
              <w:rPr>
                <w:rFonts w:ascii="宋体" w:hAnsi="宋体" w:cs="宋体" w:eastAsia="宋体" w:hint="default"/>
                <w:sz w:val="21"/>
                <w:szCs w:val="21"/>
              </w:rPr>
            </w:pPr>
            <w:r>
              <w:rPr>
                <w:rFonts w:ascii="宋体"/>
                <w:sz w:val="21"/>
              </w:rPr>
              <w:t>17,869</w:t>
            </w:r>
          </w:p>
        </w:tc>
      </w:tr>
      <w:tr>
        <w:trPr>
          <w:trHeight w:val="288" w:hRule="exact"/>
        </w:trPr>
        <w:tc>
          <w:tcPr>
            <w:tcW w:w="6347"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在职员工的数量合计</w:t>
            </w:r>
          </w:p>
        </w:tc>
        <w:tc>
          <w:tcPr>
            <w:tcW w:w="307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z w:val="21"/>
              </w:rPr>
              <w:t>19,241</w:t>
            </w:r>
          </w:p>
        </w:tc>
      </w:tr>
      <w:tr>
        <w:trPr>
          <w:trHeight w:val="286" w:hRule="exact"/>
        </w:trPr>
        <w:tc>
          <w:tcPr>
            <w:tcW w:w="6347"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母公司及主要子公司需承担费用的离退休职工人数</w:t>
            </w:r>
          </w:p>
        </w:tc>
        <w:tc>
          <w:tcPr>
            <w:tcW w:w="307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z w:val="21"/>
              </w:rPr>
              <w:t>138</w:t>
            </w:r>
          </w:p>
        </w:tc>
      </w:tr>
      <w:tr>
        <w:trPr>
          <w:trHeight w:val="288" w:hRule="exact"/>
        </w:trPr>
        <w:tc>
          <w:tcPr>
            <w:tcW w:w="9419" w:type="dxa"/>
            <w:gridSpan w:val="2"/>
            <w:tcBorders>
              <w:top w:val="single" w:sz="6" w:space="0" w:color="000000"/>
              <w:left w:val="single" w:sz="12" w:space="0" w:color="000000"/>
              <w:bottom w:val="single" w:sz="6" w:space="0" w:color="000000"/>
              <w:right w:val="single" w:sz="12"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b/>
                <w:bCs/>
                <w:sz w:val="21"/>
                <w:szCs w:val="21"/>
              </w:rPr>
              <w:t>专业构成</w:t>
            </w:r>
            <w:r>
              <w:rPr>
                <w:rFonts w:ascii="宋体" w:hAnsi="宋体" w:cs="宋体" w:eastAsia="宋体" w:hint="default"/>
                <w:sz w:val="21"/>
                <w:szCs w:val="21"/>
              </w:rPr>
            </w:r>
          </w:p>
        </w:tc>
      </w:tr>
      <w:tr>
        <w:trPr>
          <w:trHeight w:val="288" w:hRule="exact"/>
        </w:trPr>
        <w:tc>
          <w:tcPr>
            <w:tcW w:w="6347"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专业构成类别</w:t>
            </w:r>
            <w:r>
              <w:rPr>
                <w:rFonts w:ascii="宋体" w:hAnsi="宋体" w:cs="宋体" w:eastAsia="宋体" w:hint="default"/>
                <w:sz w:val="21"/>
                <w:szCs w:val="21"/>
              </w:rPr>
            </w:r>
          </w:p>
        </w:tc>
        <w:tc>
          <w:tcPr>
            <w:tcW w:w="307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专业构成人数</w:t>
            </w:r>
            <w:r>
              <w:rPr>
                <w:rFonts w:ascii="宋体" w:hAnsi="宋体" w:cs="宋体" w:eastAsia="宋体" w:hint="default"/>
                <w:sz w:val="21"/>
                <w:szCs w:val="21"/>
              </w:rPr>
            </w:r>
          </w:p>
        </w:tc>
      </w:tr>
      <w:tr>
        <w:trPr>
          <w:trHeight w:val="288" w:hRule="exact"/>
        </w:trPr>
        <w:tc>
          <w:tcPr>
            <w:tcW w:w="6347"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生产人员</w:t>
            </w:r>
          </w:p>
        </w:tc>
        <w:tc>
          <w:tcPr>
            <w:tcW w:w="307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z w:val="21"/>
              </w:rPr>
              <w:t>6,695</w:t>
            </w:r>
          </w:p>
        </w:tc>
      </w:tr>
      <w:tr>
        <w:trPr>
          <w:trHeight w:val="286" w:hRule="exact"/>
        </w:trPr>
        <w:tc>
          <w:tcPr>
            <w:tcW w:w="6347"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销售人员</w:t>
            </w:r>
          </w:p>
        </w:tc>
        <w:tc>
          <w:tcPr>
            <w:tcW w:w="307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z w:val="21"/>
              </w:rPr>
              <w:t>3,065</w:t>
            </w:r>
          </w:p>
        </w:tc>
      </w:tr>
      <w:tr>
        <w:trPr>
          <w:trHeight w:val="288" w:hRule="exact"/>
        </w:trPr>
        <w:tc>
          <w:tcPr>
            <w:tcW w:w="6347"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技术人员</w:t>
            </w:r>
          </w:p>
        </w:tc>
        <w:tc>
          <w:tcPr>
            <w:tcW w:w="3073"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right="89"/>
              <w:jc w:val="right"/>
              <w:rPr>
                <w:rFonts w:ascii="宋体" w:hAnsi="宋体" w:cs="宋体" w:eastAsia="宋体" w:hint="default"/>
                <w:sz w:val="21"/>
                <w:szCs w:val="21"/>
              </w:rPr>
            </w:pPr>
            <w:r>
              <w:rPr>
                <w:rFonts w:ascii="宋体"/>
                <w:sz w:val="21"/>
              </w:rPr>
              <w:t>4,092</w:t>
            </w:r>
          </w:p>
        </w:tc>
      </w:tr>
      <w:tr>
        <w:trPr>
          <w:trHeight w:val="288" w:hRule="exact"/>
        </w:trPr>
        <w:tc>
          <w:tcPr>
            <w:tcW w:w="6347"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财务人员</w:t>
            </w:r>
          </w:p>
        </w:tc>
        <w:tc>
          <w:tcPr>
            <w:tcW w:w="307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z w:val="21"/>
              </w:rPr>
              <w:t>432</w:t>
            </w:r>
          </w:p>
        </w:tc>
      </w:tr>
      <w:tr>
        <w:trPr>
          <w:trHeight w:val="288" w:hRule="exact"/>
        </w:trPr>
        <w:tc>
          <w:tcPr>
            <w:tcW w:w="6347"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行政人员</w:t>
            </w:r>
          </w:p>
        </w:tc>
        <w:tc>
          <w:tcPr>
            <w:tcW w:w="307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z w:val="21"/>
              </w:rPr>
              <w:t>3,043</w:t>
            </w:r>
          </w:p>
        </w:tc>
      </w:tr>
      <w:tr>
        <w:trPr>
          <w:trHeight w:val="286" w:hRule="exact"/>
        </w:trPr>
        <w:tc>
          <w:tcPr>
            <w:tcW w:w="6347"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研发人员</w:t>
            </w:r>
          </w:p>
        </w:tc>
        <w:tc>
          <w:tcPr>
            <w:tcW w:w="307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z w:val="21"/>
              </w:rPr>
              <w:t>1,914</w:t>
            </w:r>
          </w:p>
        </w:tc>
      </w:tr>
      <w:tr>
        <w:trPr>
          <w:trHeight w:val="288" w:hRule="exact"/>
        </w:trPr>
        <w:tc>
          <w:tcPr>
            <w:tcW w:w="6347"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073" w:type="dxa"/>
            <w:tcBorders>
              <w:top w:val="single" w:sz="6" w:space="0" w:color="000000"/>
              <w:left w:val="single" w:sz="6" w:space="0" w:color="000000"/>
              <w:bottom w:val="single" w:sz="6" w:space="0" w:color="000000"/>
              <w:right w:val="single" w:sz="12" w:space="0" w:color="000000"/>
            </w:tcBorders>
          </w:tcPr>
          <w:p>
            <w:pPr>
              <w:pStyle w:val="TableParagraph"/>
              <w:spacing w:line="244" w:lineRule="exact"/>
              <w:ind w:right="89"/>
              <w:jc w:val="right"/>
              <w:rPr>
                <w:rFonts w:ascii="宋体" w:hAnsi="宋体" w:cs="宋体" w:eastAsia="宋体" w:hint="default"/>
                <w:sz w:val="21"/>
                <w:szCs w:val="21"/>
              </w:rPr>
            </w:pPr>
            <w:r>
              <w:rPr>
                <w:rFonts w:ascii="宋体"/>
                <w:sz w:val="21"/>
              </w:rPr>
              <w:t>19,241</w:t>
            </w:r>
          </w:p>
        </w:tc>
      </w:tr>
      <w:tr>
        <w:trPr>
          <w:trHeight w:val="288" w:hRule="exact"/>
        </w:trPr>
        <w:tc>
          <w:tcPr>
            <w:tcW w:w="9419" w:type="dxa"/>
            <w:gridSpan w:val="2"/>
            <w:tcBorders>
              <w:top w:val="single" w:sz="6" w:space="0" w:color="000000"/>
              <w:left w:val="single" w:sz="12" w:space="0" w:color="000000"/>
              <w:bottom w:val="single" w:sz="6" w:space="0" w:color="000000"/>
              <w:right w:val="single" w:sz="12"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教育程度</w:t>
            </w:r>
            <w:r>
              <w:rPr>
                <w:rFonts w:ascii="宋体" w:hAnsi="宋体" w:cs="宋体" w:eastAsia="宋体" w:hint="default"/>
                <w:sz w:val="21"/>
                <w:szCs w:val="21"/>
              </w:rPr>
            </w:r>
          </w:p>
        </w:tc>
      </w:tr>
      <w:tr>
        <w:trPr>
          <w:trHeight w:val="295" w:hRule="exact"/>
        </w:trPr>
        <w:tc>
          <w:tcPr>
            <w:tcW w:w="6347"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教育程度类别</w:t>
            </w:r>
            <w:r>
              <w:rPr>
                <w:rFonts w:ascii="宋体" w:hAnsi="宋体" w:cs="宋体" w:eastAsia="宋体" w:hint="default"/>
                <w:sz w:val="21"/>
                <w:szCs w:val="21"/>
              </w:rPr>
            </w:r>
          </w:p>
        </w:tc>
        <w:tc>
          <w:tcPr>
            <w:tcW w:w="3073"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数量</w:t>
            </w:r>
            <w:r>
              <w:rPr>
                <w:rFonts w:ascii="宋体" w:hAnsi="宋体" w:cs="宋体" w:eastAsia="宋体" w:hint="default"/>
                <w:sz w:val="21"/>
                <w:szCs w:val="21"/>
              </w:rPr>
            </w:r>
          </w:p>
        </w:tc>
      </w:tr>
    </w:tbl>
    <w:p>
      <w:pPr>
        <w:spacing w:after="0" w:line="241" w:lineRule="exact"/>
        <w:jc w:val="left"/>
        <w:rPr>
          <w:rFonts w:ascii="宋体" w:hAnsi="宋体" w:cs="宋体" w:eastAsia="宋体" w:hint="default"/>
          <w:sz w:val="21"/>
          <w:szCs w:val="21"/>
        </w:rPr>
        <w:sectPr>
          <w:pgSz w:w="11910" w:h="16840"/>
          <w:pgMar w:header="628" w:footer="760" w:top="1080" w:bottom="960" w:left="1180" w:right="1040"/>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6"/>
          <w:szCs w:val="26"/>
        </w:rPr>
      </w:pPr>
    </w:p>
    <w:tbl>
      <w:tblPr>
        <w:tblW w:w="0" w:type="auto"/>
        <w:jc w:val="left"/>
        <w:tblInd w:w="116" w:type="dxa"/>
        <w:tblLayout w:type="fixed"/>
        <w:tblCellMar>
          <w:top w:w="0" w:type="dxa"/>
          <w:left w:w="0" w:type="dxa"/>
          <w:bottom w:w="0" w:type="dxa"/>
          <w:right w:w="0" w:type="dxa"/>
        </w:tblCellMar>
        <w:tblLook w:val="01E0"/>
      </w:tblPr>
      <w:tblGrid>
        <w:gridCol w:w="6347"/>
        <w:gridCol w:w="3073"/>
      </w:tblGrid>
      <w:tr>
        <w:trPr>
          <w:trHeight w:val="295" w:hRule="exact"/>
        </w:trPr>
        <w:tc>
          <w:tcPr>
            <w:tcW w:w="6347"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博士</w:t>
            </w:r>
          </w:p>
        </w:tc>
        <w:tc>
          <w:tcPr>
            <w:tcW w:w="3073"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z w:val="21"/>
              </w:rPr>
              <w:t>141</w:t>
            </w:r>
          </w:p>
        </w:tc>
      </w:tr>
      <w:tr>
        <w:trPr>
          <w:trHeight w:val="286" w:hRule="exact"/>
        </w:trPr>
        <w:tc>
          <w:tcPr>
            <w:tcW w:w="6347"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硕士</w:t>
            </w:r>
          </w:p>
        </w:tc>
        <w:tc>
          <w:tcPr>
            <w:tcW w:w="307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z w:val="21"/>
              </w:rPr>
              <w:t>2,217</w:t>
            </w:r>
          </w:p>
        </w:tc>
      </w:tr>
      <w:tr>
        <w:trPr>
          <w:trHeight w:val="288" w:hRule="exact"/>
        </w:trPr>
        <w:tc>
          <w:tcPr>
            <w:tcW w:w="6347"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本科</w:t>
            </w:r>
          </w:p>
        </w:tc>
        <w:tc>
          <w:tcPr>
            <w:tcW w:w="3073"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right="89"/>
              <w:jc w:val="right"/>
              <w:rPr>
                <w:rFonts w:ascii="宋体" w:hAnsi="宋体" w:cs="宋体" w:eastAsia="宋体" w:hint="default"/>
                <w:sz w:val="21"/>
                <w:szCs w:val="21"/>
              </w:rPr>
            </w:pPr>
            <w:r>
              <w:rPr>
                <w:rFonts w:ascii="宋体"/>
                <w:sz w:val="21"/>
              </w:rPr>
              <w:t>6,568</w:t>
            </w:r>
          </w:p>
        </w:tc>
      </w:tr>
      <w:tr>
        <w:trPr>
          <w:trHeight w:val="288" w:hRule="exact"/>
        </w:trPr>
        <w:tc>
          <w:tcPr>
            <w:tcW w:w="6347"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大专</w:t>
            </w:r>
          </w:p>
        </w:tc>
        <w:tc>
          <w:tcPr>
            <w:tcW w:w="307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z w:val="21"/>
              </w:rPr>
              <w:t>3,915</w:t>
            </w:r>
          </w:p>
        </w:tc>
      </w:tr>
      <w:tr>
        <w:trPr>
          <w:trHeight w:val="288" w:hRule="exact"/>
        </w:trPr>
        <w:tc>
          <w:tcPr>
            <w:tcW w:w="6347"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中专及以下</w:t>
            </w:r>
          </w:p>
        </w:tc>
        <w:tc>
          <w:tcPr>
            <w:tcW w:w="307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z w:val="21"/>
              </w:rPr>
              <w:t>6,400</w:t>
            </w:r>
          </w:p>
        </w:tc>
      </w:tr>
      <w:tr>
        <w:trPr>
          <w:trHeight w:val="293" w:hRule="exact"/>
        </w:trPr>
        <w:tc>
          <w:tcPr>
            <w:tcW w:w="6347"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073"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z w:val="21"/>
              </w:rPr>
              <w:t>19,241</w:t>
            </w:r>
          </w:p>
        </w:tc>
      </w:tr>
    </w:tbl>
    <w:p>
      <w:pPr>
        <w:spacing w:line="240" w:lineRule="auto" w:before="13"/>
        <w:rPr>
          <w:rFonts w:ascii="宋体" w:hAnsi="宋体" w:cs="宋体" w:eastAsia="宋体" w:hint="default"/>
          <w:b/>
          <w:bCs/>
          <w:sz w:val="18"/>
          <w:szCs w:val="18"/>
        </w:rPr>
      </w:pPr>
    </w:p>
    <w:p>
      <w:pPr>
        <w:pStyle w:val="Heading3"/>
        <w:spacing w:line="240" w:lineRule="auto" w:before="26"/>
        <w:ind w:right="110"/>
        <w:jc w:val="left"/>
        <w:rPr>
          <w:b w:val="0"/>
          <w:bCs w:val="0"/>
        </w:rPr>
      </w:pPr>
      <w:r>
        <w:rPr>
          <w:rFonts w:ascii="宋体" w:hAnsi="宋体" w:cs="宋体" w:eastAsia="宋体" w:hint="default"/>
        </w:rPr>
        <w:t>(</w:t>
      </w:r>
      <w:r>
        <w:rPr/>
        <w:t>二</w:t>
      </w:r>
      <w:r>
        <w:rPr>
          <w:rFonts w:ascii="宋体" w:hAnsi="宋体" w:cs="宋体" w:eastAsia="宋体" w:hint="default"/>
        </w:rPr>
        <w:t>)</w:t>
      </w:r>
      <w:r>
        <w:rPr/>
        <w:t>薪酬政策</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left="238" w:right="241"/>
        <w:jc w:val="both"/>
      </w:pPr>
      <w:r>
        <w:rPr>
          <w:spacing w:val="-5"/>
        </w:rPr>
        <w:t>公司为人才提供有竞争力的薪酬水平，建立了以岗位为基础、以能力为导向的薪酬体系。</w:t>
      </w:r>
      <w:r>
        <w:rPr>
          <w:spacing w:val="-85"/>
        </w:rPr>
        <w:t> </w:t>
      </w:r>
      <w:r>
        <w:rPr>
          <w:spacing w:val="-85"/>
        </w:rPr>
      </w:r>
      <w:r>
        <w:rPr/>
        <w:t>公司根据发展情况进行科学的薪酬确定及调整机制，建立了员工收入与企业效益增长挂</w:t>
      </w:r>
      <w:r>
        <w:rPr>
          <w:spacing w:val="-51"/>
        </w:rPr>
        <w:t> </w:t>
      </w:r>
      <w:r>
        <w:rPr>
          <w:spacing w:val="-51"/>
        </w:rPr>
      </w:r>
      <w:r>
        <w:rPr/>
        <w:t>钩的收入增长机制，为员工提供全面多样化的有竞争力的薪酬福利待遇，充分调动员工</w:t>
      </w:r>
      <w:r>
        <w:rPr>
          <w:spacing w:val="-51"/>
        </w:rPr>
        <w:t> </w:t>
      </w:r>
      <w:r>
        <w:rPr>
          <w:spacing w:val="-51"/>
        </w:rPr>
      </w:r>
      <w:r>
        <w:rPr/>
        <w:t>的积极性，保证了员工队伍的稳定。</w:t>
      </w:r>
    </w:p>
    <w:p>
      <w:pPr>
        <w:spacing w:line="240" w:lineRule="auto" w:before="7"/>
        <w:rPr>
          <w:rFonts w:ascii="宋体" w:hAnsi="宋体" w:cs="宋体" w:eastAsia="宋体" w:hint="default"/>
          <w:sz w:val="23"/>
          <w:szCs w:val="23"/>
        </w:rPr>
      </w:pPr>
    </w:p>
    <w:p>
      <w:pPr>
        <w:pStyle w:val="Heading3"/>
        <w:spacing w:line="240" w:lineRule="auto"/>
        <w:ind w:right="110"/>
        <w:jc w:val="left"/>
        <w:rPr>
          <w:b w:val="0"/>
          <w:bCs w:val="0"/>
        </w:rPr>
      </w:pPr>
      <w:r>
        <w:rPr>
          <w:rFonts w:ascii="宋体" w:hAnsi="宋体" w:cs="宋体" w:eastAsia="宋体" w:hint="default"/>
        </w:rPr>
        <w:t>(</w:t>
      </w:r>
      <w:r>
        <w:rPr/>
        <w:t>三</w:t>
      </w:r>
      <w:r>
        <w:rPr>
          <w:rFonts w:ascii="宋体" w:hAnsi="宋体" w:cs="宋体" w:eastAsia="宋体" w:hint="default"/>
        </w:rPr>
        <w:t>)</w:t>
      </w:r>
      <w:r>
        <w:rPr/>
        <w:t>培训计划</w:t>
      </w:r>
      <w:r>
        <w:rPr>
          <w:b w:val="0"/>
          <w:bCs w:val="0"/>
        </w:rPr>
      </w:r>
    </w:p>
    <w:p>
      <w:pPr>
        <w:spacing w:line="240" w:lineRule="auto" w:before="12"/>
        <w:rPr>
          <w:rFonts w:ascii="宋体" w:hAnsi="宋体" w:cs="宋体" w:eastAsia="宋体" w:hint="default"/>
          <w:b/>
          <w:bCs/>
          <w:sz w:val="23"/>
          <w:szCs w:val="23"/>
        </w:rPr>
      </w:pPr>
    </w:p>
    <w:p>
      <w:pPr>
        <w:pStyle w:val="BodyText"/>
        <w:spacing w:line="237" w:lineRule="auto"/>
        <w:ind w:left="238" w:right="240"/>
        <w:jc w:val="both"/>
      </w:pPr>
      <w:r>
        <w:rPr/>
        <w:t>公司致力于为员工提供多元化的职业发展路径和完善的培训体系，结合公司经营发展需</w:t>
      </w:r>
      <w:r>
        <w:rPr>
          <w:spacing w:val="-51"/>
        </w:rPr>
        <w:t> </w:t>
      </w:r>
      <w:r>
        <w:rPr>
          <w:spacing w:val="-51"/>
        </w:rPr>
      </w:r>
      <w:r>
        <w:rPr/>
        <w:t>要和员工职业发展规划，通过入职培训、在岗培训、在职教育等多种方式，设置了新员</w:t>
      </w:r>
      <w:r>
        <w:rPr>
          <w:spacing w:val="-51"/>
        </w:rPr>
        <w:t> </w:t>
      </w:r>
      <w:r>
        <w:rPr>
          <w:spacing w:val="-51"/>
        </w:rPr>
      </w:r>
      <w:r>
        <w:rPr/>
        <w:t>工培训、各类专业技能培训、经理人员的管理培训、技术骨干人员的学历学位培训等多</w:t>
      </w:r>
      <w:r>
        <w:rPr>
          <w:spacing w:val="-45"/>
        </w:rPr>
        <w:t> </w:t>
      </w:r>
      <w:r>
        <w:rPr>
          <w:spacing w:val="-45"/>
        </w:rPr>
      </w:r>
      <w:r>
        <w:rPr>
          <w:spacing w:val="-5"/>
        </w:rPr>
        <w:t>维度的专项培训课程体系，有效促进了员工专业技能、综合素质的持续提升和纵深发展。</w:t>
      </w:r>
    </w:p>
    <w:p>
      <w:pPr>
        <w:spacing w:line="240" w:lineRule="auto" w:before="7"/>
        <w:rPr>
          <w:rFonts w:ascii="宋体" w:hAnsi="宋体" w:cs="宋体" w:eastAsia="宋体" w:hint="default"/>
          <w:sz w:val="23"/>
          <w:szCs w:val="23"/>
        </w:rPr>
      </w:pPr>
    </w:p>
    <w:p>
      <w:pPr>
        <w:pStyle w:val="Heading3"/>
        <w:spacing w:line="240" w:lineRule="auto"/>
        <w:ind w:right="110"/>
        <w:jc w:val="left"/>
        <w:rPr>
          <w:b w:val="0"/>
          <w:bCs w:val="0"/>
        </w:rPr>
      </w:pPr>
      <w:r>
        <w:rPr>
          <w:rFonts w:ascii="宋体" w:hAnsi="宋体" w:cs="宋体" w:eastAsia="宋体" w:hint="default"/>
        </w:rPr>
        <w:t>(</w:t>
      </w:r>
      <w:r>
        <w:rPr/>
        <w:t>四</w:t>
      </w:r>
      <w:r>
        <w:rPr>
          <w:rFonts w:ascii="宋体" w:hAnsi="宋体" w:cs="宋体" w:eastAsia="宋体" w:hint="default"/>
        </w:rPr>
        <w:t>)</w:t>
      </w:r>
      <w:r>
        <w:rPr/>
        <w:t>劳务外包情况</w:t>
      </w:r>
      <w:r>
        <w:rPr>
          <w:b w:val="0"/>
          <w:bCs w:val="0"/>
        </w:rPr>
      </w:r>
    </w:p>
    <w:p>
      <w:pPr>
        <w:spacing w:line="240" w:lineRule="auto" w:before="10"/>
        <w:rPr>
          <w:rFonts w:ascii="宋体" w:hAnsi="宋体" w:cs="宋体" w:eastAsia="宋体" w:hint="default"/>
          <w:b/>
          <w:bCs/>
          <w:sz w:val="26"/>
          <w:szCs w:val="26"/>
        </w:rPr>
      </w:pPr>
    </w:p>
    <w:tbl>
      <w:tblPr>
        <w:tblW w:w="0" w:type="auto"/>
        <w:jc w:val="left"/>
        <w:tblInd w:w="1721" w:type="dxa"/>
        <w:tblLayout w:type="fixed"/>
        <w:tblCellMar>
          <w:top w:w="0" w:type="dxa"/>
          <w:left w:w="0" w:type="dxa"/>
          <w:bottom w:w="0" w:type="dxa"/>
          <w:right w:w="0" w:type="dxa"/>
        </w:tblCellMar>
        <w:tblLook w:val="01E0"/>
      </w:tblPr>
      <w:tblGrid>
        <w:gridCol w:w="3370"/>
        <w:gridCol w:w="2835"/>
      </w:tblGrid>
      <w:tr>
        <w:trPr>
          <w:trHeight w:val="295" w:hRule="exact"/>
        </w:trPr>
        <w:tc>
          <w:tcPr>
            <w:tcW w:w="3370"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劳务外包的工时总数</w:t>
            </w:r>
          </w:p>
        </w:tc>
        <w:tc>
          <w:tcPr>
            <w:tcW w:w="2835" w:type="dxa"/>
            <w:tcBorders>
              <w:top w:val="single" w:sz="12" w:space="0" w:color="000000"/>
              <w:left w:val="single" w:sz="6" w:space="0" w:color="000000"/>
              <w:bottom w:val="single" w:sz="6" w:space="0" w:color="000000"/>
              <w:right w:val="single" w:sz="12"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w w:val="100"/>
                <w:sz w:val="21"/>
              </w:rPr>
              <w:t>0</w:t>
            </w:r>
          </w:p>
        </w:tc>
      </w:tr>
      <w:tr>
        <w:trPr>
          <w:trHeight w:val="293" w:hRule="exact"/>
        </w:trPr>
        <w:tc>
          <w:tcPr>
            <w:tcW w:w="3370"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劳务外包支付的报酬总额</w:t>
            </w:r>
          </w:p>
        </w:tc>
        <w:tc>
          <w:tcPr>
            <w:tcW w:w="2835"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w w:val="100"/>
                <w:sz w:val="21"/>
              </w:rPr>
              <w:t>0</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pStyle w:val="Heading2"/>
        <w:spacing w:line="240" w:lineRule="auto" w:before="14"/>
        <w:ind w:right="110"/>
        <w:jc w:val="left"/>
      </w:pPr>
      <w:r>
        <w:rPr/>
        <w:t>七、其他</w:t>
      </w:r>
    </w:p>
    <w:p>
      <w:pPr>
        <w:spacing w:line="240" w:lineRule="auto" w:before="8"/>
        <w:rPr>
          <w:rFonts w:ascii="黑体" w:hAnsi="黑体" w:cs="黑体" w:eastAsia="黑体" w:hint="default"/>
          <w:sz w:val="28"/>
          <w:szCs w:val="28"/>
        </w:rPr>
      </w:pPr>
    </w:p>
    <w:p>
      <w:pPr>
        <w:pStyle w:val="BodyText"/>
        <w:spacing w:line="240" w:lineRule="auto"/>
        <w:ind w:left="238" w:right="110"/>
        <w:jc w:val="left"/>
      </w:pPr>
      <w:r>
        <w:rPr/>
        <w:t>无。</w:t>
      </w:r>
    </w:p>
    <w:p>
      <w:pPr>
        <w:spacing w:after="0" w:line="240" w:lineRule="auto"/>
        <w:jc w:val="left"/>
        <w:sectPr>
          <w:pgSz w:w="11910" w:h="16840"/>
          <w:pgMar w:header="628" w:footer="760" w:top="1080" w:bottom="960" w:left="1180" w:right="10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Heading1"/>
        <w:spacing w:line="240" w:lineRule="auto"/>
        <w:ind w:left="213" w:right="3"/>
        <w:jc w:val="center"/>
        <w:rPr>
          <w:b w:val="0"/>
          <w:bCs w:val="0"/>
        </w:rPr>
      </w:pPr>
      <w:bookmarkStart w:name="_TOC_250003" w:id="8"/>
      <w:r>
        <w:rPr/>
        <w:t>第九章</w:t>
      </w:r>
      <w:r>
        <w:rPr>
          <w:spacing w:val="-2"/>
        </w:rPr>
        <w:t> </w:t>
      </w:r>
      <w:r>
        <w:rPr/>
        <w:t>公司治理</w:t>
      </w:r>
      <w:bookmarkEnd w:id="8"/>
      <w:r>
        <w:rPr>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2"/>
        <w:rPr>
          <w:rFonts w:ascii="黑体" w:hAnsi="黑体" w:cs="黑体" w:eastAsia="黑体" w:hint="default"/>
          <w:b/>
          <w:bCs/>
          <w:sz w:val="29"/>
          <w:szCs w:val="29"/>
        </w:rPr>
      </w:pPr>
    </w:p>
    <w:p>
      <w:pPr>
        <w:pStyle w:val="Heading2"/>
        <w:spacing w:line="240" w:lineRule="auto" w:before="14"/>
        <w:ind w:right="0"/>
        <w:jc w:val="both"/>
      </w:pPr>
      <w:r>
        <w:rPr/>
        <w:t>一、公司治理相关情况说明</w:t>
      </w:r>
    </w:p>
    <w:p>
      <w:pPr>
        <w:spacing w:line="240" w:lineRule="auto" w:before="10"/>
        <w:rPr>
          <w:rFonts w:ascii="黑体" w:hAnsi="黑体" w:cs="黑体" w:eastAsia="黑体" w:hint="default"/>
          <w:sz w:val="28"/>
          <w:szCs w:val="28"/>
        </w:rPr>
      </w:pPr>
    </w:p>
    <w:p>
      <w:pPr>
        <w:pStyle w:val="BodyText"/>
        <w:spacing w:line="237" w:lineRule="auto"/>
        <w:ind w:left="238" w:right="276"/>
        <w:jc w:val="both"/>
      </w:pPr>
      <w:r>
        <w:rPr>
          <w:spacing w:val="-11"/>
        </w:rPr>
        <w:t>报告期内，公司严格按照《公司法》、《证券法》、《上市公司治理准则》和《上海证券交</w:t>
      </w:r>
      <w:r>
        <w:rPr>
          <w:spacing w:val="-87"/>
        </w:rPr>
        <w:t> </w:t>
      </w:r>
      <w:r>
        <w:rPr>
          <w:spacing w:val="-87"/>
        </w:rPr>
      </w:r>
      <w:r>
        <w:rPr/>
        <w:t>易所股票上市规则》等法律法规的要求，不断完善公司法人治理结构，积极履行信息披</w:t>
      </w:r>
      <w:r>
        <w:rPr>
          <w:spacing w:val="-51"/>
        </w:rPr>
        <w:t> </w:t>
      </w:r>
      <w:r>
        <w:rPr>
          <w:spacing w:val="-51"/>
        </w:rPr>
      </w:r>
      <w:r>
        <w:rPr/>
        <w:t>露义务，规范公司运作。公司股东大会、董事会、监事会和经营层权责明确，公司治理</w:t>
      </w:r>
      <w:r>
        <w:rPr>
          <w:spacing w:val="-51"/>
        </w:rPr>
        <w:t> </w:t>
      </w:r>
      <w:r>
        <w:rPr>
          <w:spacing w:val="-51"/>
        </w:rPr>
      </w:r>
      <w:r>
        <w:rPr/>
        <w:t>与《公司法》和中国证监会相关规定的要求不存在差异。报告期内，公司制定和修订了</w:t>
      </w:r>
    </w:p>
    <w:p>
      <w:pPr>
        <w:pStyle w:val="BodyText"/>
        <w:spacing w:line="475" w:lineRule="auto"/>
        <w:ind w:left="238" w:right="0"/>
        <w:jc w:val="left"/>
      </w:pPr>
      <w:r>
        <w:rPr>
          <w:spacing w:val="-12"/>
        </w:rPr>
        <w:t>《股东大会议事规则》、《投资管理制度》和《总裁办公会议事规则》。</w:t>
      </w:r>
      <w:r>
        <w:rPr>
          <w:spacing w:val="-96"/>
        </w:rPr>
        <w:t> </w:t>
      </w:r>
      <w:r>
        <w:rPr>
          <w:spacing w:val="-96"/>
        </w:rPr>
      </w:r>
      <w:r>
        <w:rPr/>
        <w:t>公司治理与中国证监会相关规定的要求不存在重大差异。</w:t>
      </w:r>
    </w:p>
    <w:p>
      <w:pPr>
        <w:spacing w:line="240" w:lineRule="auto" w:before="8"/>
        <w:rPr>
          <w:rFonts w:ascii="宋体" w:hAnsi="宋体" w:cs="宋体" w:eastAsia="宋体" w:hint="default"/>
          <w:sz w:val="23"/>
          <w:szCs w:val="23"/>
        </w:rPr>
      </w:pPr>
    </w:p>
    <w:p>
      <w:pPr>
        <w:pStyle w:val="Heading2"/>
        <w:spacing w:line="240" w:lineRule="auto"/>
        <w:ind w:right="0"/>
        <w:jc w:val="both"/>
      </w:pPr>
      <w:r>
        <w:rPr/>
        <w:t>二、股东大会情况简介</w:t>
      </w:r>
    </w:p>
    <w:p>
      <w:pPr>
        <w:spacing w:line="240" w:lineRule="auto" w:before="9"/>
        <w:rPr>
          <w:rFonts w:ascii="黑体" w:hAnsi="黑体" w:cs="黑体" w:eastAsia="黑体" w:hint="default"/>
          <w:sz w:val="28"/>
          <w:szCs w:val="28"/>
        </w:rPr>
      </w:pPr>
    </w:p>
    <w:tbl>
      <w:tblPr>
        <w:tblW w:w="0" w:type="auto"/>
        <w:jc w:val="left"/>
        <w:tblInd w:w="116" w:type="dxa"/>
        <w:tblLayout w:type="fixed"/>
        <w:tblCellMar>
          <w:top w:w="0" w:type="dxa"/>
          <w:left w:w="0" w:type="dxa"/>
          <w:bottom w:w="0" w:type="dxa"/>
          <w:right w:w="0" w:type="dxa"/>
        </w:tblCellMar>
        <w:tblLook w:val="01E0"/>
      </w:tblPr>
      <w:tblGrid>
        <w:gridCol w:w="2801"/>
        <w:gridCol w:w="2254"/>
        <w:gridCol w:w="2285"/>
        <w:gridCol w:w="2125"/>
      </w:tblGrid>
      <w:tr>
        <w:trPr>
          <w:trHeight w:val="566" w:hRule="exact"/>
        </w:trPr>
        <w:tc>
          <w:tcPr>
            <w:tcW w:w="280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2"/>
              <w:ind w:right="3"/>
              <w:jc w:val="center"/>
              <w:rPr>
                <w:rFonts w:ascii="宋体" w:hAnsi="宋体" w:cs="宋体" w:eastAsia="宋体" w:hint="default"/>
                <w:sz w:val="21"/>
                <w:szCs w:val="21"/>
              </w:rPr>
            </w:pPr>
            <w:r>
              <w:rPr>
                <w:rFonts w:ascii="宋体" w:hAnsi="宋体" w:cs="宋体" w:eastAsia="宋体" w:hint="default"/>
                <w:b/>
                <w:bCs/>
                <w:sz w:val="21"/>
                <w:szCs w:val="21"/>
              </w:rPr>
              <w:t>会议届次</w:t>
            </w:r>
            <w:r>
              <w:rPr>
                <w:rFonts w:ascii="宋体" w:hAnsi="宋体" w:cs="宋体" w:eastAsia="宋体" w:hint="default"/>
                <w:sz w:val="21"/>
                <w:szCs w:val="21"/>
              </w:rPr>
            </w:r>
          </w:p>
        </w:tc>
        <w:tc>
          <w:tcPr>
            <w:tcW w:w="225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2"/>
              <w:ind w:left="698" w:right="0"/>
              <w:jc w:val="left"/>
              <w:rPr>
                <w:rFonts w:ascii="宋体" w:hAnsi="宋体" w:cs="宋体" w:eastAsia="宋体" w:hint="default"/>
                <w:sz w:val="21"/>
                <w:szCs w:val="21"/>
              </w:rPr>
            </w:pPr>
            <w:r>
              <w:rPr>
                <w:rFonts w:ascii="宋体" w:hAnsi="宋体" w:cs="宋体" w:eastAsia="宋体" w:hint="default"/>
                <w:b/>
                <w:bCs/>
                <w:sz w:val="21"/>
                <w:szCs w:val="21"/>
              </w:rPr>
              <w:t>召开日期</w:t>
            </w:r>
            <w:r>
              <w:rPr>
                <w:rFonts w:ascii="宋体" w:hAnsi="宋体" w:cs="宋体" w:eastAsia="宋体" w:hint="default"/>
                <w:sz w:val="21"/>
                <w:szCs w:val="21"/>
              </w:rPr>
            </w:r>
          </w:p>
        </w:tc>
        <w:tc>
          <w:tcPr>
            <w:tcW w:w="2285" w:type="dxa"/>
            <w:tcBorders>
              <w:top w:val="single" w:sz="12"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b/>
                <w:bCs/>
                <w:sz w:val="21"/>
                <w:szCs w:val="21"/>
              </w:rPr>
              <w:t>决议刊登的指定网站</w:t>
            </w:r>
            <w:r>
              <w:rPr>
                <w:rFonts w:ascii="宋体" w:hAnsi="宋体" w:cs="宋体" w:eastAsia="宋体" w:hint="default"/>
                <w:sz w:val="21"/>
                <w:szCs w:val="21"/>
              </w:rPr>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的查询索引</w:t>
            </w:r>
            <w:r>
              <w:rPr>
                <w:rFonts w:ascii="宋体" w:hAnsi="宋体" w:cs="宋体" w:eastAsia="宋体" w:hint="default"/>
                <w:sz w:val="21"/>
                <w:szCs w:val="21"/>
              </w:rPr>
            </w:r>
          </w:p>
        </w:tc>
        <w:tc>
          <w:tcPr>
            <w:tcW w:w="212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b/>
                <w:bCs/>
                <w:sz w:val="21"/>
                <w:szCs w:val="21"/>
              </w:rPr>
              <w:t>决议刊登的披露日期</w:t>
            </w:r>
            <w:r>
              <w:rPr>
                <w:rFonts w:ascii="宋体" w:hAnsi="宋体" w:cs="宋体" w:eastAsia="宋体" w:hint="default"/>
                <w:sz w:val="21"/>
                <w:szCs w:val="21"/>
              </w:rPr>
            </w:r>
          </w:p>
        </w:tc>
      </w:tr>
      <w:tr>
        <w:trPr>
          <w:trHeight w:val="288" w:hRule="exact"/>
        </w:trPr>
        <w:tc>
          <w:tcPr>
            <w:tcW w:w="280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年年度股东大会</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21</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12">
              <w:r>
                <w:rPr>
                  <w:rFonts w:ascii="宋体"/>
                  <w:sz w:val="21"/>
                </w:rPr>
                <w:t>www.sse.com.cn</w:t>
              </w:r>
            </w:hyperlink>
          </w:p>
        </w:tc>
        <w:tc>
          <w:tcPr>
            <w:tcW w:w="2125"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22</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288" w:hRule="exact"/>
        </w:trPr>
        <w:tc>
          <w:tcPr>
            <w:tcW w:w="280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6"/>
                <w:sz w:val="21"/>
                <w:szCs w:val="21"/>
              </w:rPr>
              <w:t> </w:t>
            </w:r>
            <w:r>
              <w:rPr>
                <w:rFonts w:ascii="宋体" w:hAnsi="宋体" w:cs="宋体" w:eastAsia="宋体" w:hint="default"/>
                <w:sz w:val="21"/>
                <w:szCs w:val="21"/>
              </w:rPr>
              <w:t>年第一次临时股东大会</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12">
              <w:r>
                <w:rPr>
                  <w:rFonts w:ascii="宋体"/>
                  <w:sz w:val="21"/>
                </w:rPr>
                <w:t>www.sse.com.cn</w:t>
              </w:r>
            </w:hyperlink>
          </w:p>
        </w:tc>
        <w:tc>
          <w:tcPr>
            <w:tcW w:w="2125"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13</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286" w:hRule="exact"/>
        </w:trPr>
        <w:tc>
          <w:tcPr>
            <w:tcW w:w="280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6"/>
                <w:sz w:val="21"/>
                <w:szCs w:val="21"/>
              </w:rPr>
              <w:t> </w:t>
            </w:r>
            <w:r>
              <w:rPr>
                <w:rFonts w:ascii="宋体" w:hAnsi="宋体" w:cs="宋体" w:eastAsia="宋体" w:hint="default"/>
                <w:sz w:val="21"/>
                <w:szCs w:val="21"/>
              </w:rPr>
              <w:t>年第二次临时股东大会</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16</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12">
              <w:r>
                <w:rPr>
                  <w:rFonts w:ascii="宋体"/>
                  <w:sz w:val="21"/>
                </w:rPr>
                <w:t>www.sse.com.cn</w:t>
              </w:r>
            </w:hyperlink>
          </w:p>
        </w:tc>
        <w:tc>
          <w:tcPr>
            <w:tcW w:w="2125"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293" w:hRule="exact"/>
        </w:trPr>
        <w:tc>
          <w:tcPr>
            <w:tcW w:w="2801" w:type="dxa"/>
            <w:tcBorders>
              <w:top w:val="single" w:sz="6" w:space="0" w:color="000000"/>
              <w:left w:val="single" w:sz="12" w:space="0" w:color="000000"/>
              <w:bottom w:val="single" w:sz="12"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6"/>
                <w:sz w:val="21"/>
                <w:szCs w:val="21"/>
              </w:rPr>
              <w:t> </w:t>
            </w:r>
            <w:r>
              <w:rPr>
                <w:rFonts w:ascii="宋体" w:hAnsi="宋体" w:cs="宋体" w:eastAsia="宋体" w:hint="default"/>
                <w:sz w:val="21"/>
                <w:szCs w:val="21"/>
              </w:rPr>
              <w:t>年第三次临时股东大会</w:t>
            </w:r>
          </w:p>
        </w:tc>
        <w:tc>
          <w:tcPr>
            <w:tcW w:w="2254" w:type="dxa"/>
            <w:tcBorders>
              <w:top w:val="single" w:sz="6" w:space="0" w:color="000000"/>
              <w:left w:val="single" w:sz="6" w:space="0" w:color="000000"/>
              <w:bottom w:val="single" w:sz="12"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285" w:type="dxa"/>
            <w:tcBorders>
              <w:top w:val="single" w:sz="6" w:space="0" w:color="000000"/>
              <w:left w:val="single" w:sz="6" w:space="0" w:color="000000"/>
              <w:bottom w:val="single" w:sz="12"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hyperlink r:id="rId12">
              <w:r>
                <w:rPr>
                  <w:rFonts w:ascii="宋体"/>
                  <w:sz w:val="21"/>
                </w:rPr>
                <w:t>www.sse.com.cn</w:t>
              </w:r>
            </w:hyperlink>
          </w:p>
        </w:tc>
        <w:tc>
          <w:tcPr>
            <w:tcW w:w="2125" w:type="dxa"/>
            <w:tcBorders>
              <w:top w:val="single" w:sz="6" w:space="0" w:color="000000"/>
              <w:left w:val="single" w:sz="6" w:space="0" w:color="000000"/>
              <w:bottom w:val="single" w:sz="12" w:space="0" w:color="000000"/>
              <w:right w:val="single" w:sz="12"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2"/>
                <w:sz w:val="21"/>
                <w:szCs w:val="21"/>
              </w:rPr>
              <w:t> </w:t>
            </w:r>
            <w:r>
              <w:rPr>
                <w:rFonts w:ascii="宋体" w:hAnsi="宋体" w:cs="宋体" w:eastAsia="宋体" w:hint="default"/>
                <w:sz w:val="21"/>
                <w:szCs w:val="21"/>
              </w:rPr>
              <w:t>日</w:t>
            </w:r>
          </w:p>
        </w:tc>
      </w:tr>
    </w:tbl>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14"/>
          <w:szCs w:val="14"/>
        </w:rPr>
      </w:pPr>
    </w:p>
    <w:p>
      <w:pPr>
        <w:pStyle w:val="Heading2"/>
        <w:spacing w:line="240" w:lineRule="auto" w:before="14"/>
        <w:ind w:right="0"/>
        <w:jc w:val="left"/>
      </w:pPr>
      <w:r>
        <w:rPr/>
        <w:t>三、董事履行职责情况</w:t>
      </w:r>
    </w:p>
    <w:p>
      <w:pPr>
        <w:spacing w:line="240" w:lineRule="auto" w:before="8"/>
        <w:rPr>
          <w:rFonts w:ascii="黑体" w:hAnsi="黑体" w:cs="黑体" w:eastAsia="黑体" w:hint="default"/>
          <w:sz w:val="28"/>
          <w:szCs w:val="28"/>
        </w:rPr>
      </w:pPr>
    </w:p>
    <w:p>
      <w:pPr>
        <w:pStyle w:val="Heading3"/>
        <w:spacing w:line="240" w:lineRule="auto"/>
        <w:ind w:right="0"/>
        <w:jc w:val="left"/>
        <w:rPr>
          <w:b w:val="0"/>
          <w:bCs w:val="0"/>
        </w:rPr>
      </w:pPr>
      <w:r>
        <w:rPr>
          <w:rFonts w:ascii="宋体" w:hAnsi="宋体" w:cs="宋体" w:eastAsia="宋体" w:hint="default"/>
        </w:rPr>
        <w:t>(</w:t>
      </w:r>
      <w:r>
        <w:rPr/>
        <w:t>一</w:t>
      </w:r>
      <w:r>
        <w:rPr>
          <w:rFonts w:ascii="宋体" w:hAnsi="宋体" w:cs="宋体" w:eastAsia="宋体" w:hint="default"/>
        </w:rPr>
        <w:t>)</w:t>
      </w:r>
      <w:r>
        <w:rPr/>
        <w:t>董事参加董事会和股东大会的情况</w:t>
      </w:r>
      <w:r>
        <w:rPr>
          <w:b w:val="0"/>
          <w:bCs w:val="0"/>
        </w:rPr>
      </w:r>
    </w:p>
    <w:p>
      <w:pPr>
        <w:spacing w:line="240" w:lineRule="auto" w:before="8"/>
        <w:rPr>
          <w:rFonts w:ascii="宋体" w:hAnsi="宋体" w:cs="宋体" w:eastAsia="宋体" w:hint="default"/>
          <w:b/>
          <w:bCs/>
          <w:sz w:val="26"/>
          <w:szCs w:val="26"/>
        </w:rPr>
      </w:pPr>
    </w:p>
    <w:tbl>
      <w:tblPr>
        <w:tblW w:w="0" w:type="auto"/>
        <w:jc w:val="left"/>
        <w:tblInd w:w="116" w:type="dxa"/>
        <w:tblLayout w:type="fixed"/>
        <w:tblCellMar>
          <w:top w:w="0" w:type="dxa"/>
          <w:left w:w="0" w:type="dxa"/>
          <w:bottom w:w="0" w:type="dxa"/>
          <w:right w:w="0" w:type="dxa"/>
        </w:tblCellMar>
        <w:tblLook w:val="01E0"/>
      </w:tblPr>
      <w:tblGrid>
        <w:gridCol w:w="1018"/>
        <w:gridCol w:w="878"/>
        <w:gridCol w:w="1148"/>
        <w:gridCol w:w="886"/>
        <w:gridCol w:w="1008"/>
        <w:gridCol w:w="944"/>
        <w:gridCol w:w="878"/>
        <w:gridCol w:w="1347"/>
        <w:gridCol w:w="1313"/>
      </w:tblGrid>
      <w:tr>
        <w:trPr>
          <w:trHeight w:val="586" w:hRule="exact"/>
        </w:trPr>
        <w:tc>
          <w:tcPr>
            <w:tcW w:w="1018" w:type="dxa"/>
            <w:vMerge w:val="restart"/>
            <w:tcBorders>
              <w:top w:val="single" w:sz="12"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72" w:lineRule="exact" w:before="159"/>
              <w:ind w:left="283" w:right="288"/>
              <w:jc w:val="left"/>
              <w:rPr>
                <w:rFonts w:ascii="宋体" w:hAnsi="宋体" w:cs="宋体" w:eastAsia="宋体" w:hint="default"/>
                <w:sz w:val="21"/>
                <w:szCs w:val="21"/>
              </w:rPr>
            </w:pPr>
            <w:r>
              <w:rPr>
                <w:rFonts w:ascii="宋体" w:hAnsi="宋体" w:cs="宋体" w:eastAsia="宋体" w:hint="default"/>
                <w:b/>
                <w:bCs/>
                <w:sz w:val="21"/>
                <w:szCs w:val="21"/>
              </w:rPr>
              <w:t>董事</w:t>
            </w:r>
            <w:r>
              <w:rPr>
                <w:rFonts w:ascii="宋体" w:hAnsi="宋体" w:cs="宋体" w:eastAsia="宋体" w:hint="default"/>
                <w:b/>
                <w:bCs/>
                <w:w w:val="100"/>
                <w:sz w:val="21"/>
                <w:szCs w:val="21"/>
              </w:rPr>
              <w:t> </w:t>
            </w:r>
            <w:r>
              <w:rPr>
                <w:rFonts w:ascii="宋体" w:hAnsi="宋体" w:cs="宋体" w:eastAsia="宋体" w:hint="default"/>
                <w:b/>
                <w:bCs/>
                <w:sz w:val="21"/>
                <w:szCs w:val="21"/>
              </w:rPr>
              <w:t>姓名</w:t>
            </w:r>
            <w:r>
              <w:rPr>
                <w:rFonts w:ascii="宋体" w:hAnsi="宋体" w:cs="宋体" w:eastAsia="宋体" w:hint="default"/>
                <w:sz w:val="21"/>
                <w:szCs w:val="21"/>
              </w:rPr>
            </w:r>
          </w:p>
        </w:tc>
        <w:tc>
          <w:tcPr>
            <w:tcW w:w="878" w:type="dxa"/>
            <w:vMerge w:val="restart"/>
            <w:tcBorders>
              <w:top w:val="single" w:sz="12"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72" w:lineRule="exact" w:before="159"/>
              <w:ind w:left="115" w:right="113"/>
              <w:jc w:val="left"/>
              <w:rPr>
                <w:rFonts w:ascii="宋体" w:hAnsi="宋体" w:cs="宋体" w:eastAsia="宋体" w:hint="default"/>
                <w:sz w:val="21"/>
                <w:szCs w:val="21"/>
              </w:rPr>
            </w:pPr>
            <w:r>
              <w:rPr>
                <w:rFonts w:ascii="宋体" w:hAnsi="宋体" w:cs="宋体" w:eastAsia="宋体" w:hint="default"/>
                <w:b/>
                <w:bCs/>
                <w:sz w:val="21"/>
                <w:szCs w:val="21"/>
              </w:rPr>
              <w:t>是否独</w:t>
            </w:r>
            <w:r>
              <w:rPr>
                <w:rFonts w:ascii="宋体" w:hAnsi="宋体" w:cs="宋体" w:eastAsia="宋体" w:hint="default"/>
                <w:b/>
                <w:bCs/>
                <w:w w:val="100"/>
                <w:sz w:val="21"/>
                <w:szCs w:val="21"/>
              </w:rPr>
              <w:t> </w:t>
            </w:r>
            <w:r>
              <w:rPr>
                <w:rFonts w:ascii="宋体" w:hAnsi="宋体" w:cs="宋体" w:eastAsia="宋体" w:hint="default"/>
                <w:b/>
                <w:bCs/>
                <w:sz w:val="21"/>
                <w:szCs w:val="21"/>
              </w:rPr>
              <w:t>立董事</w:t>
            </w:r>
            <w:r>
              <w:rPr>
                <w:rFonts w:ascii="宋体" w:hAnsi="宋体" w:cs="宋体" w:eastAsia="宋体" w:hint="default"/>
                <w:sz w:val="21"/>
                <w:szCs w:val="21"/>
              </w:rPr>
            </w:r>
          </w:p>
        </w:tc>
        <w:tc>
          <w:tcPr>
            <w:tcW w:w="6210" w:type="dxa"/>
            <w:gridSpan w:val="6"/>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3"/>
              <w:ind w:right="0"/>
              <w:jc w:val="center"/>
              <w:rPr>
                <w:rFonts w:ascii="宋体" w:hAnsi="宋体" w:cs="宋体" w:eastAsia="宋体" w:hint="default"/>
                <w:sz w:val="21"/>
                <w:szCs w:val="21"/>
              </w:rPr>
            </w:pPr>
            <w:r>
              <w:rPr>
                <w:rFonts w:ascii="宋体" w:hAnsi="宋体" w:cs="宋体" w:eastAsia="宋体" w:hint="default"/>
                <w:b/>
                <w:bCs/>
                <w:sz w:val="21"/>
                <w:szCs w:val="21"/>
              </w:rPr>
              <w:t>参加董事会情况</w:t>
            </w:r>
            <w:r>
              <w:rPr>
                <w:rFonts w:ascii="宋体" w:hAnsi="宋体" w:cs="宋体" w:eastAsia="宋体" w:hint="default"/>
                <w:sz w:val="21"/>
                <w:szCs w:val="21"/>
              </w:rPr>
            </w:r>
          </w:p>
        </w:tc>
        <w:tc>
          <w:tcPr>
            <w:tcW w:w="1313" w:type="dxa"/>
            <w:tcBorders>
              <w:top w:val="single" w:sz="12" w:space="0" w:color="000000"/>
              <w:left w:val="single" w:sz="6" w:space="0" w:color="000000"/>
              <w:bottom w:val="single" w:sz="6" w:space="0" w:color="000000"/>
              <w:right w:val="single" w:sz="12" w:space="0" w:color="000000"/>
            </w:tcBorders>
          </w:tcPr>
          <w:p>
            <w:pPr>
              <w:pStyle w:val="TableParagraph"/>
              <w:spacing w:line="274" w:lineRule="exact" w:before="2"/>
              <w:ind w:left="331" w:right="110" w:hanging="209"/>
              <w:jc w:val="left"/>
              <w:rPr>
                <w:rFonts w:ascii="宋体" w:hAnsi="宋体" w:cs="宋体" w:eastAsia="宋体" w:hint="default"/>
                <w:sz w:val="21"/>
                <w:szCs w:val="21"/>
              </w:rPr>
            </w:pPr>
            <w:r>
              <w:rPr>
                <w:rFonts w:ascii="宋体" w:hAnsi="宋体" w:cs="宋体" w:eastAsia="宋体" w:hint="default"/>
                <w:b/>
                <w:bCs/>
                <w:sz w:val="21"/>
                <w:szCs w:val="21"/>
              </w:rPr>
              <w:t>参加股东大</w:t>
            </w:r>
            <w:r>
              <w:rPr>
                <w:rFonts w:ascii="宋体" w:hAnsi="宋体" w:cs="宋体" w:eastAsia="宋体" w:hint="default"/>
                <w:b/>
                <w:bCs/>
                <w:w w:val="100"/>
                <w:sz w:val="21"/>
                <w:szCs w:val="21"/>
              </w:rPr>
              <w:t> </w:t>
            </w:r>
            <w:r>
              <w:rPr>
                <w:rFonts w:ascii="宋体" w:hAnsi="宋体" w:cs="宋体" w:eastAsia="宋体" w:hint="default"/>
                <w:b/>
                <w:bCs/>
                <w:sz w:val="21"/>
                <w:szCs w:val="21"/>
              </w:rPr>
              <w:t>会情况</w:t>
            </w:r>
            <w:r>
              <w:rPr>
                <w:rFonts w:ascii="宋体" w:hAnsi="宋体" w:cs="宋体" w:eastAsia="宋体" w:hint="default"/>
                <w:sz w:val="21"/>
                <w:szCs w:val="21"/>
              </w:rPr>
            </w:r>
          </w:p>
        </w:tc>
      </w:tr>
      <w:tr>
        <w:trPr>
          <w:trHeight w:val="830" w:hRule="exact"/>
        </w:trPr>
        <w:tc>
          <w:tcPr>
            <w:tcW w:w="1018" w:type="dxa"/>
            <w:vMerge/>
            <w:tcBorders>
              <w:left w:val="single" w:sz="12" w:space="0" w:color="000000"/>
              <w:bottom w:val="single" w:sz="6" w:space="0" w:color="000000"/>
              <w:right w:val="single" w:sz="6" w:space="0" w:color="000000"/>
            </w:tcBorders>
          </w:tcPr>
          <w:p>
            <w:pPr/>
          </w:p>
        </w:tc>
        <w:tc>
          <w:tcPr>
            <w:tcW w:w="878" w:type="dxa"/>
            <w:vMerge/>
            <w:tcBorders>
              <w:left w:val="single" w:sz="6" w:space="0" w:color="000000"/>
              <w:bottom w:val="single" w:sz="6" w:space="0" w:color="000000"/>
              <w:right w:val="single" w:sz="6" w:space="0" w:color="000000"/>
            </w:tcBorders>
          </w:tcPr>
          <w:p>
            <w:pPr/>
          </w:p>
        </w:tc>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44" w:right="0"/>
              <w:jc w:val="left"/>
              <w:rPr>
                <w:rFonts w:ascii="宋体" w:hAnsi="宋体" w:cs="宋体" w:eastAsia="宋体" w:hint="default"/>
                <w:sz w:val="21"/>
                <w:szCs w:val="21"/>
              </w:rPr>
            </w:pPr>
            <w:r>
              <w:rPr>
                <w:rFonts w:ascii="宋体" w:hAnsi="宋体" w:cs="宋体" w:eastAsia="宋体" w:hint="default"/>
                <w:b/>
                <w:bCs/>
                <w:sz w:val="21"/>
                <w:szCs w:val="21"/>
              </w:rPr>
              <w:t>本年应参</w:t>
            </w:r>
            <w:r>
              <w:rPr>
                <w:rFonts w:ascii="宋体" w:hAnsi="宋体" w:cs="宋体" w:eastAsia="宋体" w:hint="default"/>
                <w:sz w:val="21"/>
                <w:szCs w:val="21"/>
              </w:rPr>
            </w:r>
          </w:p>
          <w:p>
            <w:pPr>
              <w:pStyle w:val="TableParagraph"/>
              <w:spacing w:line="240" w:lineRule="auto"/>
              <w:ind w:left="352" w:right="142" w:hanging="209"/>
              <w:jc w:val="left"/>
              <w:rPr>
                <w:rFonts w:ascii="宋体" w:hAnsi="宋体" w:cs="宋体" w:eastAsia="宋体" w:hint="default"/>
                <w:sz w:val="21"/>
                <w:szCs w:val="21"/>
              </w:rPr>
            </w:pPr>
            <w:r>
              <w:rPr>
                <w:rFonts w:ascii="宋体" w:hAnsi="宋体" w:cs="宋体" w:eastAsia="宋体" w:hint="default"/>
                <w:b/>
                <w:bCs/>
                <w:sz w:val="21"/>
                <w:szCs w:val="21"/>
              </w:rPr>
              <w:t>加董事会</w:t>
            </w:r>
            <w:r>
              <w:rPr>
                <w:rFonts w:ascii="宋体" w:hAnsi="宋体" w:cs="宋体" w:eastAsia="宋体" w:hint="default"/>
                <w:b/>
                <w:bCs/>
                <w:w w:val="100"/>
                <w:sz w:val="21"/>
                <w:szCs w:val="21"/>
              </w:rPr>
              <w:t> </w:t>
            </w:r>
            <w:r>
              <w:rPr>
                <w:rFonts w:ascii="宋体" w:hAnsi="宋体" w:cs="宋体" w:eastAsia="宋体" w:hint="default"/>
                <w:b/>
                <w:bCs/>
                <w:sz w:val="21"/>
                <w:szCs w:val="21"/>
              </w:rPr>
              <w:t>次数</w:t>
            </w:r>
            <w:r>
              <w:rPr>
                <w:rFonts w:ascii="宋体" w:hAnsi="宋体" w:cs="宋体" w:eastAsia="宋体" w:hint="default"/>
                <w:sz w:val="21"/>
                <w:szCs w:val="21"/>
              </w:rPr>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17" w:right="119"/>
              <w:jc w:val="left"/>
              <w:rPr>
                <w:rFonts w:ascii="宋体" w:hAnsi="宋体" w:cs="宋体" w:eastAsia="宋体" w:hint="default"/>
                <w:sz w:val="21"/>
                <w:szCs w:val="21"/>
              </w:rPr>
            </w:pPr>
            <w:r>
              <w:rPr>
                <w:rFonts w:ascii="宋体" w:hAnsi="宋体" w:cs="宋体" w:eastAsia="宋体" w:hint="default"/>
                <w:b/>
                <w:bCs/>
                <w:sz w:val="21"/>
                <w:szCs w:val="21"/>
              </w:rPr>
              <w:t>亲自出</w:t>
            </w:r>
            <w:r>
              <w:rPr>
                <w:rFonts w:ascii="宋体" w:hAnsi="宋体" w:cs="宋体" w:eastAsia="宋体" w:hint="default"/>
                <w:b/>
                <w:bCs/>
                <w:w w:val="100"/>
                <w:sz w:val="21"/>
                <w:szCs w:val="21"/>
              </w:rPr>
              <w:t> </w:t>
            </w:r>
            <w:r>
              <w:rPr>
                <w:rFonts w:ascii="宋体" w:hAnsi="宋体" w:cs="宋体" w:eastAsia="宋体" w:hint="default"/>
                <w:b/>
                <w:bCs/>
                <w:sz w:val="21"/>
                <w:szCs w:val="21"/>
              </w:rPr>
              <w:t>席次数</w:t>
            </w:r>
            <w:r>
              <w:rPr>
                <w:rFonts w:ascii="宋体" w:hAnsi="宋体" w:cs="宋体" w:eastAsia="宋体" w:hint="default"/>
                <w:sz w:val="21"/>
                <w:szCs w:val="21"/>
              </w:rPr>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80" w:right="0"/>
              <w:jc w:val="left"/>
              <w:rPr>
                <w:rFonts w:ascii="宋体" w:hAnsi="宋体" w:cs="宋体" w:eastAsia="宋体" w:hint="default"/>
                <w:sz w:val="21"/>
                <w:szCs w:val="21"/>
              </w:rPr>
            </w:pPr>
            <w:r>
              <w:rPr>
                <w:rFonts w:ascii="宋体" w:hAnsi="宋体" w:cs="宋体" w:eastAsia="宋体" w:hint="default"/>
                <w:b/>
                <w:bCs/>
                <w:sz w:val="21"/>
                <w:szCs w:val="21"/>
              </w:rPr>
              <w:t>以通讯</w:t>
            </w:r>
            <w:r>
              <w:rPr>
                <w:rFonts w:ascii="宋体" w:hAnsi="宋体" w:cs="宋体" w:eastAsia="宋体" w:hint="default"/>
                <w:sz w:val="21"/>
                <w:szCs w:val="21"/>
              </w:rPr>
            </w:r>
          </w:p>
          <w:p>
            <w:pPr>
              <w:pStyle w:val="TableParagraph"/>
              <w:spacing w:line="240" w:lineRule="auto"/>
              <w:ind w:left="180" w:right="179"/>
              <w:jc w:val="left"/>
              <w:rPr>
                <w:rFonts w:ascii="宋体" w:hAnsi="宋体" w:cs="宋体" w:eastAsia="宋体" w:hint="default"/>
                <w:sz w:val="21"/>
                <w:szCs w:val="21"/>
              </w:rPr>
            </w:pPr>
            <w:r>
              <w:rPr>
                <w:rFonts w:ascii="宋体" w:hAnsi="宋体" w:cs="宋体" w:eastAsia="宋体" w:hint="default"/>
                <w:b/>
                <w:bCs/>
                <w:sz w:val="21"/>
                <w:szCs w:val="21"/>
              </w:rPr>
              <w:t>方式参</w:t>
            </w:r>
            <w:r>
              <w:rPr>
                <w:rFonts w:ascii="宋体" w:hAnsi="宋体" w:cs="宋体" w:eastAsia="宋体" w:hint="default"/>
                <w:b/>
                <w:bCs/>
                <w:w w:val="100"/>
                <w:sz w:val="21"/>
                <w:szCs w:val="21"/>
              </w:rPr>
              <w:t> </w:t>
            </w:r>
            <w:r>
              <w:rPr>
                <w:rFonts w:ascii="宋体" w:hAnsi="宋体" w:cs="宋体" w:eastAsia="宋体" w:hint="default"/>
                <w:b/>
                <w:bCs/>
                <w:sz w:val="21"/>
                <w:szCs w:val="21"/>
              </w:rPr>
              <w:t>加次数</w:t>
            </w:r>
            <w:r>
              <w:rPr>
                <w:rFonts w:ascii="宋体" w:hAnsi="宋体" w:cs="宋体" w:eastAsia="宋体" w:hint="default"/>
                <w:sz w:val="21"/>
                <w:szCs w:val="21"/>
              </w:rPr>
            </w:r>
          </w:p>
        </w:tc>
        <w:tc>
          <w:tcPr>
            <w:tcW w:w="94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46" w:right="146"/>
              <w:jc w:val="left"/>
              <w:rPr>
                <w:rFonts w:ascii="宋体" w:hAnsi="宋体" w:cs="宋体" w:eastAsia="宋体" w:hint="default"/>
                <w:sz w:val="21"/>
                <w:szCs w:val="21"/>
              </w:rPr>
            </w:pPr>
            <w:r>
              <w:rPr>
                <w:rFonts w:ascii="宋体" w:hAnsi="宋体" w:cs="宋体" w:eastAsia="宋体" w:hint="default"/>
                <w:b/>
                <w:bCs/>
                <w:sz w:val="21"/>
                <w:szCs w:val="21"/>
              </w:rPr>
              <w:t>委托出</w:t>
            </w:r>
            <w:r>
              <w:rPr>
                <w:rFonts w:ascii="宋体" w:hAnsi="宋体" w:cs="宋体" w:eastAsia="宋体" w:hint="default"/>
                <w:b/>
                <w:bCs/>
                <w:w w:val="100"/>
                <w:sz w:val="21"/>
                <w:szCs w:val="21"/>
              </w:rPr>
              <w:t> </w:t>
            </w:r>
            <w:r>
              <w:rPr>
                <w:rFonts w:ascii="宋体" w:hAnsi="宋体" w:cs="宋体" w:eastAsia="宋体" w:hint="default"/>
                <w:b/>
                <w:bCs/>
                <w:sz w:val="21"/>
                <w:szCs w:val="21"/>
              </w:rPr>
              <w:t>席次数</w:t>
            </w:r>
            <w:r>
              <w:rPr>
                <w:rFonts w:ascii="宋体" w:hAnsi="宋体" w:cs="宋体" w:eastAsia="宋体" w:hint="default"/>
                <w:sz w:val="21"/>
                <w:szCs w:val="21"/>
              </w:rPr>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218" w:right="221"/>
              <w:jc w:val="left"/>
              <w:rPr>
                <w:rFonts w:ascii="宋体" w:hAnsi="宋体" w:cs="宋体" w:eastAsia="宋体" w:hint="default"/>
                <w:sz w:val="21"/>
                <w:szCs w:val="21"/>
              </w:rPr>
            </w:pPr>
            <w:r>
              <w:rPr>
                <w:rFonts w:ascii="宋体" w:hAnsi="宋体" w:cs="宋体" w:eastAsia="宋体" w:hint="default"/>
                <w:b/>
                <w:bCs/>
                <w:sz w:val="21"/>
                <w:szCs w:val="21"/>
              </w:rPr>
              <w:t>缺席</w:t>
            </w:r>
            <w:r>
              <w:rPr>
                <w:rFonts w:ascii="宋体" w:hAnsi="宋体" w:cs="宋体" w:eastAsia="宋体" w:hint="default"/>
                <w:b/>
                <w:bCs/>
                <w:w w:val="100"/>
                <w:sz w:val="21"/>
                <w:szCs w:val="21"/>
              </w:rPr>
              <w:t> </w:t>
            </w:r>
            <w:r>
              <w:rPr>
                <w:rFonts w:ascii="宋体" w:hAnsi="宋体" w:cs="宋体" w:eastAsia="宋体" w:hint="default"/>
                <w:b/>
                <w:bCs/>
                <w:sz w:val="21"/>
                <w:szCs w:val="21"/>
              </w:rPr>
              <w:t>次数</w:t>
            </w:r>
            <w:r>
              <w:rPr>
                <w:rFonts w:ascii="宋体" w:hAnsi="宋体" w:cs="宋体" w:eastAsia="宋体" w:hint="default"/>
                <w:sz w:val="21"/>
                <w:szCs w:val="21"/>
              </w:rPr>
            </w:r>
          </w:p>
        </w:tc>
        <w:tc>
          <w:tcPr>
            <w:tcW w:w="134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36" w:right="0"/>
              <w:jc w:val="left"/>
              <w:rPr>
                <w:rFonts w:ascii="宋体" w:hAnsi="宋体" w:cs="宋体" w:eastAsia="宋体" w:hint="default"/>
                <w:sz w:val="21"/>
                <w:szCs w:val="21"/>
              </w:rPr>
            </w:pPr>
            <w:r>
              <w:rPr>
                <w:rFonts w:ascii="宋体" w:hAnsi="宋体" w:cs="宋体" w:eastAsia="宋体" w:hint="default"/>
                <w:b/>
                <w:bCs/>
                <w:sz w:val="21"/>
                <w:szCs w:val="21"/>
              </w:rPr>
              <w:t>是否连续两</w:t>
            </w:r>
            <w:r>
              <w:rPr>
                <w:rFonts w:ascii="宋体" w:hAnsi="宋体" w:cs="宋体" w:eastAsia="宋体" w:hint="default"/>
                <w:sz w:val="21"/>
                <w:szCs w:val="21"/>
              </w:rPr>
            </w:r>
          </w:p>
          <w:p>
            <w:pPr>
              <w:pStyle w:val="TableParagraph"/>
              <w:spacing w:line="240" w:lineRule="auto"/>
              <w:ind w:left="347" w:right="137" w:hanging="212"/>
              <w:jc w:val="left"/>
              <w:rPr>
                <w:rFonts w:ascii="宋体" w:hAnsi="宋体" w:cs="宋体" w:eastAsia="宋体" w:hint="default"/>
                <w:sz w:val="21"/>
                <w:szCs w:val="21"/>
              </w:rPr>
            </w:pPr>
            <w:r>
              <w:rPr>
                <w:rFonts w:ascii="宋体" w:hAnsi="宋体" w:cs="宋体" w:eastAsia="宋体" w:hint="default"/>
                <w:b/>
                <w:bCs/>
                <w:sz w:val="21"/>
                <w:szCs w:val="21"/>
              </w:rPr>
              <w:t>次未亲自参</w:t>
            </w:r>
            <w:r>
              <w:rPr>
                <w:rFonts w:ascii="宋体" w:hAnsi="宋体" w:cs="宋体" w:eastAsia="宋体" w:hint="default"/>
                <w:b/>
                <w:bCs/>
                <w:w w:val="100"/>
                <w:sz w:val="21"/>
                <w:szCs w:val="21"/>
              </w:rPr>
              <w:t> </w:t>
            </w:r>
            <w:r>
              <w:rPr>
                <w:rFonts w:ascii="宋体" w:hAnsi="宋体" w:cs="宋体" w:eastAsia="宋体" w:hint="default"/>
                <w:b/>
                <w:bCs/>
                <w:sz w:val="21"/>
                <w:szCs w:val="21"/>
              </w:rPr>
              <w:t>加会议</w:t>
            </w:r>
            <w:r>
              <w:rPr>
                <w:rFonts w:ascii="宋体" w:hAnsi="宋体" w:cs="宋体" w:eastAsia="宋体" w:hint="default"/>
                <w:sz w:val="21"/>
                <w:szCs w:val="21"/>
              </w:rPr>
            </w:r>
          </w:p>
        </w:tc>
        <w:tc>
          <w:tcPr>
            <w:tcW w:w="1313" w:type="dxa"/>
            <w:tcBorders>
              <w:top w:val="single" w:sz="6" w:space="0" w:color="000000"/>
              <w:left w:val="single" w:sz="6" w:space="0" w:color="000000"/>
              <w:bottom w:val="single" w:sz="6" w:space="0" w:color="000000"/>
              <w:right w:val="single" w:sz="12" w:space="0" w:color="000000"/>
            </w:tcBorders>
          </w:tcPr>
          <w:p>
            <w:pPr>
              <w:pStyle w:val="TableParagraph"/>
              <w:spacing w:line="272" w:lineRule="exact" w:before="130"/>
              <w:ind w:left="227" w:right="110" w:hanging="106"/>
              <w:jc w:val="left"/>
              <w:rPr>
                <w:rFonts w:ascii="宋体" w:hAnsi="宋体" w:cs="宋体" w:eastAsia="宋体" w:hint="default"/>
                <w:sz w:val="21"/>
                <w:szCs w:val="21"/>
              </w:rPr>
            </w:pPr>
            <w:r>
              <w:rPr>
                <w:rFonts w:ascii="宋体" w:hAnsi="宋体" w:cs="宋体" w:eastAsia="宋体" w:hint="default"/>
                <w:b/>
                <w:bCs/>
                <w:sz w:val="21"/>
                <w:szCs w:val="21"/>
              </w:rPr>
              <w:t>出席股东大</w:t>
            </w:r>
            <w:r>
              <w:rPr>
                <w:rFonts w:ascii="宋体" w:hAnsi="宋体" w:cs="宋体" w:eastAsia="宋体" w:hint="default"/>
                <w:b/>
                <w:bCs/>
                <w:w w:val="100"/>
                <w:sz w:val="21"/>
                <w:szCs w:val="21"/>
              </w:rPr>
              <w:t> </w:t>
            </w:r>
            <w:r>
              <w:rPr>
                <w:rFonts w:ascii="宋体" w:hAnsi="宋体" w:cs="宋体" w:eastAsia="宋体" w:hint="default"/>
                <w:b/>
                <w:bCs/>
                <w:sz w:val="21"/>
                <w:szCs w:val="21"/>
              </w:rPr>
              <w:t>会的次数</w:t>
            </w:r>
            <w:r>
              <w:rPr>
                <w:rFonts w:ascii="宋体" w:hAnsi="宋体" w:cs="宋体" w:eastAsia="宋体" w:hint="default"/>
                <w:sz w:val="21"/>
                <w:szCs w:val="21"/>
              </w:rPr>
            </w:r>
          </w:p>
        </w:tc>
      </w:tr>
      <w:tr>
        <w:trPr>
          <w:trHeight w:val="288" w:hRule="exact"/>
        </w:trPr>
        <w:tc>
          <w:tcPr>
            <w:tcW w:w="1018"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周立业</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101"/>
              <w:jc w:val="right"/>
              <w:rPr>
                <w:rFonts w:ascii="宋体" w:hAnsi="宋体" w:cs="宋体" w:eastAsia="宋体" w:hint="default"/>
                <w:sz w:val="21"/>
                <w:szCs w:val="21"/>
              </w:rPr>
            </w:pPr>
            <w:r>
              <w:rPr>
                <w:rFonts w:ascii="宋体"/>
                <w:sz w:val="21"/>
              </w:rPr>
              <w:t>10</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4</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6</w:t>
            </w:r>
          </w:p>
        </w:tc>
        <w:tc>
          <w:tcPr>
            <w:tcW w:w="94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0</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0</w:t>
            </w:r>
          </w:p>
        </w:tc>
        <w:tc>
          <w:tcPr>
            <w:tcW w:w="134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313"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right="91"/>
              <w:jc w:val="right"/>
              <w:rPr>
                <w:rFonts w:ascii="宋体" w:hAnsi="宋体" w:cs="宋体" w:eastAsia="宋体" w:hint="default"/>
                <w:sz w:val="21"/>
                <w:szCs w:val="21"/>
              </w:rPr>
            </w:pPr>
            <w:r>
              <w:rPr>
                <w:rFonts w:ascii="宋体"/>
                <w:w w:val="100"/>
                <w:sz w:val="21"/>
              </w:rPr>
              <w:t>4</w:t>
            </w:r>
          </w:p>
        </w:tc>
      </w:tr>
      <w:tr>
        <w:trPr>
          <w:trHeight w:val="288" w:hRule="exact"/>
        </w:trPr>
        <w:tc>
          <w:tcPr>
            <w:tcW w:w="101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黄俞</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0</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9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34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31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91"/>
              <w:jc w:val="right"/>
              <w:rPr>
                <w:rFonts w:ascii="宋体" w:hAnsi="宋体" w:cs="宋体" w:eastAsia="宋体" w:hint="default"/>
                <w:sz w:val="21"/>
                <w:szCs w:val="21"/>
              </w:rPr>
            </w:pPr>
            <w:r>
              <w:rPr>
                <w:rFonts w:ascii="宋体"/>
                <w:w w:val="100"/>
                <w:sz w:val="21"/>
              </w:rPr>
              <w:t>0</w:t>
            </w:r>
          </w:p>
        </w:tc>
      </w:tr>
      <w:tr>
        <w:trPr>
          <w:trHeight w:val="286" w:hRule="exact"/>
        </w:trPr>
        <w:tc>
          <w:tcPr>
            <w:tcW w:w="101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范新</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10</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4</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6</w:t>
            </w:r>
          </w:p>
        </w:tc>
        <w:tc>
          <w:tcPr>
            <w:tcW w:w="9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34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31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91"/>
              <w:jc w:val="right"/>
              <w:rPr>
                <w:rFonts w:ascii="宋体" w:hAnsi="宋体" w:cs="宋体" w:eastAsia="宋体" w:hint="default"/>
                <w:sz w:val="21"/>
                <w:szCs w:val="21"/>
              </w:rPr>
            </w:pPr>
            <w:r>
              <w:rPr>
                <w:rFonts w:ascii="宋体"/>
                <w:w w:val="100"/>
                <w:sz w:val="21"/>
              </w:rPr>
              <w:t>3</w:t>
            </w:r>
          </w:p>
        </w:tc>
      </w:tr>
      <w:tr>
        <w:trPr>
          <w:trHeight w:val="288" w:hRule="exact"/>
        </w:trPr>
        <w:tc>
          <w:tcPr>
            <w:tcW w:w="1018"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雷霖</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2</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1</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1</w:t>
            </w:r>
          </w:p>
        </w:tc>
        <w:tc>
          <w:tcPr>
            <w:tcW w:w="94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0</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0</w:t>
            </w:r>
          </w:p>
        </w:tc>
        <w:tc>
          <w:tcPr>
            <w:tcW w:w="134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313"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right="91"/>
              <w:jc w:val="right"/>
              <w:rPr>
                <w:rFonts w:ascii="宋体" w:hAnsi="宋体" w:cs="宋体" w:eastAsia="宋体" w:hint="default"/>
                <w:sz w:val="21"/>
                <w:szCs w:val="21"/>
              </w:rPr>
            </w:pPr>
            <w:r>
              <w:rPr>
                <w:rFonts w:ascii="宋体"/>
                <w:w w:val="100"/>
                <w:sz w:val="21"/>
              </w:rPr>
              <w:t>0</w:t>
            </w:r>
          </w:p>
        </w:tc>
      </w:tr>
      <w:tr>
        <w:trPr>
          <w:trHeight w:val="288" w:hRule="exact"/>
        </w:trPr>
        <w:tc>
          <w:tcPr>
            <w:tcW w:w="101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何佳</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7</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3</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4</w:t>
            </w:r>
          </w:p>
        </w:tc>
        <w:tc>
          <w:tcPr>
            <w:tcW w:w="9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34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31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91"/>
              <w:jc w:val="right"/>
              <w:rPr>
                <w:rFonts w:ascii="宋体" w:hAnsi="宋体" w:cs="宋体" w:eastAsia="宋体" w:hint="default"/>
                <w:sz w:val="21"/>
                <w:szCs w:val="21"/>
              </w:rPr>
            </w:pPr>
            <w:r>
              <w:rPr>
                <w:rFonts w:ascii="宋体"/>
                <w:w w:val="100"/>
                <w:sz w:val="21"/>
              </w:rPr>
              <w:t>0</w:t>
            </w:r>
          </w:p>
        </w:tc>
      </w:tr>
      <w:tr>
        <w:trPr>
          <w:trHeight w:val="288" w:hRule="exact"/>
        </w:trPr>
        <w:tc>
          <w:tcPr>
            <w:tcW w:w="101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杨利</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10</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4</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6</w:t>
            </w:r>
          </w:p>
        </w:tc>
        <w:tc>
          <w:tcPr>
            <w:tcW w:w="9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34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31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91"/>
              <w:jc w:val="right"/>
              <w:rPr>
                <w:rFonts w:ascii="宋体" w:hAnsi="宋体" w:cs="宋体" w:eastAsia="宋体" w:hint="default"/>
                <w:sz w:val="21"/>
                <w:szCs w:val="21"/>
              </w:rPr>
            </w:pPr>
            <w:r>
              <w:rPr>
                <w:rFonts w:ascii="宋体"/>
                <w:w w:val="100"/>
                <w:sz w:val="21"/>
              </w:rPr>
              <w:t>0</w:t>
            </w:r>
          </w:p>
        </w:tc>
      </w:tr>
      <w:tr>
        <w:trPr>
          <w:trHeight w:val="286" w:hRule="exact"/>
        </w:trPr>
        <w:tc>
          <w:tcPr>
            <w:tcW w:w="101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左小蕾</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10</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4</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6</w:t>
            </w:r>
          </w:p>
        </w:tc>
        <w:tc>
          <w:tcPr>
            <w:tcW w:w="9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34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31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91"/>
              <w:jc w:val="right"/>
              <w:rPr>
                <w:rFonts w:ascii="宋体" w:hAnsi="宋体" w:cs="宋体" w:eastAsia="宋体" w:hint="default"/>
                <w:sz w:val="21"/>
                <w:szCs w:val="21"/>
              </w:rPr>
            </w:pPr>
            <w:r>
              <w:rPr>
                <w:rFonts w:ascii="宋体"/>
                <w:w w:val="100"/>
                <w:sz w:val="21"/>
              </w:rPr>
              <w:t>1</w:t>
            </w:r>
          </w:p>
        </w:tc>
      </w:tr>
      <w:tr>
        <w:trPr>
          <w:trHeight w:val="288" w:hRule="exact"/>
        </w:trPr>
        <w:tc>
          <w:tcPr>
            <w:tcW w:w="1018"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93" w:right="0"/>
              <w:jc w:val="left"/>
              <w:rPr>
                <w:rFonts w:ascii="宋体" w:hAnsi="宋体" w:cs="宋体" w:eastAsia="宋体" w:hint="default"/>
                <w:sz w:val="21"/>
                <w:szCs w:val="21"/>
              </w:rPr>
            </w:pPr>
            <w:r>
              <w:rPr>
                <w:rFonts w:ascii="宋体" w:hAnsi="宋体" w:cs="宋体" w:eastAsia="宋体" w:hint="default"/>
                <w:sz w:val="21"/>
                <w:szCs w:val="21"/>
              </w:rPr>
              <w:t>潘晓江</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101"/>
              <w:jc w:val="right"/>
              <w:rPr>
                <w:rFonts w:ascii="宋体" w:hAnsi="宋体" w:cs="宋体" w:eastAsia="宋体" w:hint="default"/>
                <w:sz w:val="21"/>
                <w:szCs w:val="21"/>
              </w:rPr>
            </w:pPr>
            <w:r>
              <w:rPr>
                <w:rFonts w:ascii="宋体"/>
                <w:w w:val="100"/>
                <w:sz w:val="21"/>
              </w:rPr>
              <w:t>3</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98"/>
              <w:jc w:val="right"/>
              <w:rPr>
                <w:rFonts w:ascii="宋体" w:hAnsi="宋体" w:cs="宋体" w:eastAsia="宋体" w:hint="default"/>
                <w:sz w:val="21"/>
                <w:szCs w:val="21"/>
              </w:rPr>
            </w:pPr>
            <w:r>
              <w:rPr>
                <w:rFonts w:ascii="宋体"/>
                <w:w w:val="100"/>
                <w:sz w:val="21"/>
              </w:rPr>
              <w:t>1</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98"/>
              <w:jc w:val="right"/>
              <w:rPr>
                <w:rFonts w:ascii="宋体" w:hAnsi="宋体" w:cs="宋体" w:eastAsia="宋体" w:hint="default"/>
                <w:sz w:val="21"/>
                <w:szCs w:val="21"/>
              </w:rPr>
            </w:pPr>
            <w:r>
              <w:rPr>
                <w:rFonts w:ascii="宋体"/>
                <w:w w:val="100"/>
                <w:sz w:val="21"/>
              </w:rPr>
              <w:t>2</w:t>
            </w:r>
          </w:p>
        </w:tc>
        <w:tc>
          <w:tcPr>
            <w:tcW w:w="944"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98"/>
              <w:jc w:val="right"/>
              <w:rPr>
                <w:rFonts w:ascii="宋体" w:hAnsi="宋体" w:cs="宋体" w:eastAsia="宋体" w:hint="default"/>
                <w:sz w:val="21"/>
                <w:szCs w:val="21"/>
              </w:rPr>
            </w:pPr>
            <w:r>
              <w:rPr>
                <w:rFonts w:ascii="宋体"/>
                <w:w w:val="100"/>
                <w:sz w:val="21"/>
              </w:rPr>
              <w:t>0</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98"/>
              <w:jc w:val="right"/>
              <w:rPr>
                <w:rFonts w:ascii="宋体" w:hAnsi="宋体" w:cs="宋体" w:eastAsia="宋体" w:hint="default"/>
                <w:sz w:val="21"/>
                <w:szCs w:val="21"/>
              </w:rPr>
            </w:pPr>
            <w:r>
              <w:rPr>
                <w:rFonts w:ascii="宋体"/>
                <w:w w:val="100"/>
                <w:sz w:val="21"/>
              </w:rPr>
              <w:t>0</w:t>
            </w:r>
          </w:p>
        </w:tc>
        <w:tc>
          <w:tcPr>
            <w:tcW w:w="1347"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313" w:type="dxa"/>
            <w:tcBorders>
              <w:top w:val="single" w:sz="6" w:space="0" w:color="000000"/>
              <w:left w:val="single" w:sz="6" w:space="0" w:color="000000"/>
              <w:bottom w:val="single" w:sz="6" w:space="0" w:color="000000"/>
              <w:right w:val="single" w:sz="12" w:space="0" w:color="000000"/>
            </w:tcBorders>
          </w:tcPr>
          <w:p>
            <w:pPr>
              <w:pStyle w:val="TableParagraph"/>
              <w:spacing w:line="244" w:lineRule="exact"/>
              <w:ind w:right="91"/>
              <w:jc w:val="right"/>
              <w:rPr>
                <w:rFonts w:ascii="宋体" w:hAnsi="宋体" w:cs="宋体" w:eastAsia="宋体" w:hint="default"/>
                <w:sz w:val="21"/>
                <w:szCs w:val="21"/>
              </w:rPr>
            </w:pPr>
            <w:r>
              <w:rPr>
                <w:rFonts w:ascii="宋体"/>
                <w:w w:val="100"/>
                <w:sz w:val="21"/>
              </w:rPr>
              <w:t>1</w:t>
            </w:r>
          </w:p>
        </w:tc>
      </w:tr>
      <w:tr>
        <w:trPr>
          <w:trHeight w:val="293" w:hRule="exact"/>
        </w:trPr>
        <w:tc>
          <w:tcPr>
            <w:tcW w:w="1018"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童利斌</w:t>
            </w:r>
          </w:p>
        </w:tc>
        <w:tc>
          <w:tcPr>
            <w:tcW w:w="878"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148"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3</w:t>
            </w:r>
          </w:p>
        </w:tc>
        <w:tc>
          <w:tcPr>
            <w:tcW w:w="886"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1</w:t>
            </w:r>
          </w:p>
        </w:tc>
        <w:tc>
          <w:tcPr>
            <w:tcW w:w="1008"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2</w:t>
            </w:r>
          </w:p>
        </w:tc>
        <w:tc>
          <w:tcPr>
            <w:tcW w:w="944"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878"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347"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313"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right="91"/>
              <w:jc w:val="right"/>
              <w:rPr>
                <w:rFonts w:ascii="宋体" w:hAnsi="宋体" w:cs="宋体" w:eastAsia="宋体" w:hint="default"/>
                <w:sz w:val="21"/>
                <w:szCs w:val="21"/>
              </w:rPr>
            </w:pPr>
            <w:r>
              <w:rPr>
                <w:rFonts w:ascii="宋体"/>
                <w:w w:val="100"/>
                <w:sz w:val="21"/>
              </w:rPr>
              <w:t>0</w:t>
            </w:r>
          </w:p>
        </w:tc>
      </w:tr>
    </w:tbl>
    <w:p>
      <w:pPr>
        <w:spacing w:after="0" w:line="241" w:lineRule="exact"/>
        <w:jc w:val="right"/>
        <w:rPr>
          <w:rFonts w:ascii="宋体" w:hAnsi="宋体" w:cs="宋体" w:eastAsia="宋体" w:hint="default"/>
          <w:sz w:val="21"/>
          <w:szCs w:val="21"/>
        </w:rPr>
        <w:sectPr>
          <w:pgSz w:w="11910" w:h="16840"/>
          <w:pgMar w:header="628" w:footer="760" w:top="1080" w:bottom="960" w:left="1180" w:right="1000"/>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6"/>
          <w:szCs w:val="26"/>
        </w:rPr>
      </w:pPr>
    </w:p>
    <w:tbl>
      <w:tblPr>
        <w:tblW w:w="0" w:type="auto"/>
        <w:jc w:val="left"/>
        <w:tblInd w:w="116" w:type="dxa"/>
        <w:tblLayout w:type="fixed"/>
        <w:tblCellMar>
          <w:top w:w="0" w:type="dxa"/>
          <w:left w:w="0" w:type="dxa"/>
          <w:bottom w:w="0" w:type="dxa"/>
          <w:right w:w="0" w:type="dxa"/>
        </w:tblCellMar>
        <w:tblLook w:val="01E0"/>
      </w:tblPr>
      <w:tblGrid>
        <w:gridCol w:w="1018"/>
        <w:gridCol w:w="878"/>
        <w:gridCol w:w="1148"/>
        <w:gridCol w:w="886"/>
        <w:gridCol w:w="1008"/>
        <w:gridCol w:w="944"/>
        <w:gridCol w:w="878"/>
        <w:gridCol w:w="1347"/>
        <w:gridCol w:w="1313"/>
      </w:tblGrid>
      <w:tr>
        <w:trPr>
          <w:trHeight w:val="583" w:hRule="exact"/>
        </w:trPr>
        <w:tc>
          <w:tcPr>
            <w:tcW w:w="1018" w:type="dxa"/>
            <w:vMerge w:val="restart"/>
            <w:tcBorders>
              <w:top w:val="single" w:sz="12"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72" w:lineRule="exact" w:before="156"/>
              <w:ind w:left="283" w:right="288"/>
              <w:jc w:val="left"/>
              <w:rPr>
                <w:rFonts w:ascii="宋体" w:hAnsi="宋体" w:cs="宋体" w:eastAsia="宋体" w:hint="default"/>
                <w:sz w:val="21"/>
                <w:szCs w:val="21"/>
              </w:rPr>
            </w:pPr>
            <w:r>
              <w:rPr>
                <w:rFonts w:ascii="宋体" w:hAnsi="宋体" w:cs="宋体" w:eastAsia="宋体" w:hint="default"/>
                <w:b/>
                <w:bCs/>
                <w:sz w:val="21"/>
                <w:szCs w:val="21"/>
              </w:rPr>
              <w:t>董事</w:t>
            </w:r>
            <w:r>
              <w:rPr>
                <w:rFonts w:ascii="宋体" w:hAnsi="宋体" w:cs="宋体" w:eastAsia="宋体" w:hint="default"/>
                <w:b/>
                <w:bCs/>
                <w:w w:val="100"/>
                <w:sz w:val="21"/>
                <w:szCs w:val="21"/>
              </w:rPr>
              <w:t> </w:t>
            </w:r>
            <w:r>
              <w:rPr>
                <w:rFonts w:ascii="宋体" w:hAnsi="宋体" w:cs="宋体" w:eastAsia="宋体" w:hint="default"/>
                <w:b/>
                <w:bCs/>
                <w:sz w:val="21"/>
                <w:szCs w:val="21"/>
              </w:rPr>
              <w:t>姓名</w:t>
            </w:r>
            <w:r>
              <w:rPr>
                <w:rFonts w:ascii="宋体" w:hAnsi="宋体" w:cs="宋体" w:eastAsia="宋体" w:hint="default"/>
                <w:sz w:val="21"/>
                <w:szCs w:val="21"/>
              </w:rPr>
            </w:r>
          </w:p>
        </w:tc>
        <w:tc>
          <w:tcPr>
            <w:tcW w:w="878" w:type="dxa"/>
            <w:vMerge w:val="restart"/>
            <w:tcBorders>
              <w:top w:val="single" w:sz="12"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72" w:lineRule="exact" w:before="156"/>
              <w:ind w:left="115" w:right="113"/>
              <w:jc w:val="left"/>
              <w:rPr>
                <w:rFonts w:ascii="宋体" w:hAnsi="宋体" w:cs="宋体" w:eastAsia="宋体" w:hint="default"/>
                <w:sz w:val="21"/>
                <w:szCs w:val="21"/>
              </w:rPr>
            </w:pPr>
            <w:r>
              <w:rPr>
                <w:rFonts w:ascii="宋体" w:hAnsi="宋体" w:cs="宋体" w:eastAsia="宋体" w:hint="default"/>
                <w:b/>
                <w:bCs/>
                <w:sz w:val="21"/>
                <w:szCs w:val="21"/>
              </w:rPr>
              <w:t>是否独</w:t>
            </w:r>
            <w:r>
              <w:rPr>
                <w:rFonts w:ascii="宋体" w:hAnsi="宋体" w:cs="宋体" w:eastAsia="宋体" w:hint="default"/>
                <w:b/>
                <w:bCs/>
                <w:w w:val="100"/>
                <w:sz w:val="21"/>
                <w:szCs w:val="21"/>
              </w:rPr>
              <w:t> </w:t>
            </w:r>
            <w:r>
              <w:rPr>
                <w:rFonts w:ascii="宋体" w:hAnsi="宋体" w:cs="宋体" w:eastAsia="宋体" w:hint="default"/>
                <w:b/>
                <w:bCs/>
                <w:sz w:val="21"/>
                <w:szCs w:val="21"/>
              </w:rPr>
              <w:t>立董事</w:t>
            </w:r>
            <w:r>
              <w:rPr>
                <w:rFonts w:ascii="宋体" w:hAnsi="宋体" w:cs="宋体" w:eastAsia="宋体" w:hint="default"/>
                <w:sz w:val="21"/>
                <w:szCs w:val="21"/>
              </w:rPr>
            </w:r>
          </w:p>
        </w:tc>
        <w:tc>
          <w:tcPr>
            <w:tcW w:w="6210" w:type="dxa"/>
            <w:gridSpan w:val="6"/>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hAnsi="宋体" w:cs="宋体" w:eastAsia="宋体" w:hint="default"/>
                <w:b/>
                <w:bCs/>
                <w:sz w:val="21"/>
                <w:szCs w:val="21"/>
              </w:rPr>
              <w:t>参加董事会情况</w:t>
            </w:r>
            <w:r>
              <w:rPr>
                <w:rFonts w:ascii="宋体" w:hAnsi="宋体" w:cs="宋体" w:eastAsia="宋体" w:hint="default"/>
                <w:sz w:val="21"/>
                <w:szCs w:val="21"/>
              </w:rPr>
            </w:r>
          </w:p>
        </w:tc>
        <w:tc>
          <w:tcPr>
            <w:tcW w:w="1313" w:type="dxa"/>
            <w:tcBorders>
              <w:top w:val="single" w:sz="12" w:space="0" w:color="000000"/>
              <w:left w:val="single" w:sz="6" w:space="0" w:color="000000"/>
              <w:bottom w:val="single" w:sz="6" w:space="0" w:color="000000"/>
              <w:right w:val="single" w:sz="12" w:space="0" w:color="000000"/>
            </w:tcBorders>
          </w:tcPr>
          <w:p>
            <w:pPr>
              <w:pStyle w:val="TableParagraph"/>
              <w:spacing w:line="272" w:lineRule="exact" w:before="3"/>
              <w:ind w:left="331" w:right="110" w:hanging="209"/>
              <w:jc w:val="left"/>
              <w:rPr>
                <w:rFonts w:ascii="宋体" w:hAnsi="宋体" w:cs="宋体" w:eastAsia="宋体" w:hint="default"/>
                <w:sz w:val="21"/>
                <w:szCs w:val="21"/>
              </w:rPr>
            </w:pPr>
            <w:r>
              <w:rPr>
                <w:rFonts w:ascii="宋体" w:hAnsi="宋体" w:cs="宋体" w:eastAsia="宋体" w:hint="default"/>
                <w:b/>
                <w:bCs/>
                <w:sz w:val="21"/>
                <w:szCs w:val="21"/>
              </w:rPr>
              <w:t>参加股东大</w:t>
            </w:r>
            <w:r>
              <w:rPr>
                <w:rFonts w:ascii="宋体" w:hAnsi="宋体" w:cs="宋体" w:eastAsia="宋体" w:hint="default"/>
                <w:b/>
                <w:bCs/>
                <w:w w:val="100"/>
                <w:sz w:val="21"/>
                <w:szCs w:val="21"/>
              </w:rPr>
              <w:t> </w:t>
            </w:r>
            <w:r>
              <w:rPr>
                <w:rFonts w:ascii="宋体" w:hAnsi="宋体" w:cs="宋体" w:eastAsia="宋体" w:hint="default"/>
                <w:b/>
                <w:bCs/>
                <w:sz w:val="21"/>
                <w:szCs w:val="21"/>
              </w:rPr>
              <w:t>会情况</w:t>
            </w:r>
            <w:r>
              <w:rPr>
                <w:rFonts w:ascii="宋体" w:hAnsi="宋体" w:cs="宋体" w:eastAsia="宋体" w:hint="default"/>
                <w:sz w:val="21"/>
                <w:szCs w:val="21"/>
              </w:rPr>
            </w:r>
          </w:p>
        </w:tc>
      </w:tr>
      <w:tr>
        <w:trPr>
          <w:trHeight w:val="833" w:hRule="exact"/>
        </w:trPr>
        <w:tc>
          <w:tcPr>
            <w:tcW w:w="1018" w:type="dxa"/>
            <w:vMerge/>
            <w:tcBorders>
              <w:left w:val="single" w:sz="12" w:space="0" w:color="000000"/>
              <w:bottom w:val="single" w:sz="6" w:space="0" w:color="000000"/>
              <w:right w:val="single" w:sz="6" w:space="0" w:color="000000"/>
            </w:tcBorders>
          </w:tcPr>
          <w:p>
            <w:pPr/>
          </w:p>
        </w:tc>
        <w:tc>
          <w:tcPr>
            <w:tcW w:w="878" w:type="dxa"/>
            <w:vMerge/>
            <w:tcBorders>
              <w:left w:val="single" w:sz="6" w:space="0" w:color="000000"/>
              <w:bottom w:val="single" w:sz="6" w:space="0" w:color="000000"/>
              <w:right w:val="single" w:sz="6" w:space="0" w:color="000000"/>
            </w:tcBorders>
          </w:tcPr>
          <w:p>
            <w:pPr/>
          </w:p>
        </w:tc>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44" w:right="0"/>
              <w:jc w:val="left"/>
              <w:rPr>
                <w:rFonts w:ascii="宋体" w:hAnsi="宋体" w:cs="宋体" w:eastAsia="宋体" w:hint="default"/>
                <w:sz w:val="21"/>
                <w:szCs w:val="21"/>
              </w:rPr>
            </w:pPr>
            <w:r>
              <w:rPr>
                <w:rFonts w:ascii="宋体" w:hAnsi="宋体" w:cs="宋体" w:eastAsia="宋体" w:hint="default"/>
                <w:b/>
                <w:bCs/>
                <w:sz w:val="21"/>
                <w:szCs w:val="21"/>
              </w:rPr>
              <w:t>本年应参</w:t>
            </w:r>
            <w:r>
              <w:rPr>
                <w:rFonts w:ascii="宋体" w:hAnsi="宋体" w:cs="宋体" w:eastAsia="宋体" w:hint="default"/>
                <w:sz w:val="21"/>
                <w:szCs w:val="21"/>
              </w:rPr>
            </w:r>
          </w:p>
          <w:p>
            <w:pPr>
              <w:pStyle w:val="TableParagraph"/>
              <w:spacing w:line="272" w:lineRule="exact" w:before="27"/>
              <w:ind w:left="352" w:right="142" w:hanging="209"/>
              <w:jc w:val="left"/>
              <w:rPr>
                <w:rFonts w:ascii="宋体" w:hAnsi="宋体" w:cs="宋体" w:eastAsia="宋体" w:hint="default"/>
                <w:sz w:val="21"/>
                <w:szCs w:val="21"/>
              </w:rPr>
            </w:pPr>
            <w:r>
              <w:rPr>
                <w:rFonts w:ascii="宋体" w:hAnsi="宋体" w:cs="宋体" w:eastAsia="宋体" w:hint="default"/>
                <w:b/>
                <w:bCs/>
                <w:sz w:val="21"/>
                <w:szCs w:val="21"/>
              </w:rPr>
              <w:t>加董事会</w:t>
            </w:r>
            <w:r>
              <w:rPr>
                <w:rFonts w:ascii="宋体" w:hAnsi="宋体" w:cs="宋体" w:eastAsia="宋体" w:hint="default"/>
                <w:b/>
                <w:bCs/>
                <w:w w:val="100"/>
                <w:sz w:val="21"/>
                <w:szCs w:val="21"/>
              </w:rPr>
              <w:t> </w:t>
            </w:r>
            <w:r>
              <w:rPr>
                <w:rFonts w:ascii="宋体" w:hAnsi="宋体" w:cs="宋体" w:eastAsia="宋体" w:hint="default"/>
                <w:b/>
                <w:bCs/>
                <w:sz w:val="21"/>
                <w:szCs w:val="21"/>
              </w:rPr>
              <w:t>次数</w:t>
            </w:r>
            <w:r>
              <w:rPr>
                <w:rFonts w:ascii="宋体" w:hAnsi="宋体" w:cs="宋体" w:eastAsia="宋体" w:hint="default"/>
                <w:sz w:val="21"/>
                <w:szCs w:val="21"/>
              </w:rPr>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17" w:right="119"/>
              <w:jc w:val="left"/>
              <w:rPr>
                <w:rFonts w:ascii="宋体" w:hAnsi="宋体" w:cs="宋体" w:eastAsia="宋体" w:hint="default"/>
                <w:sz w:val="21"/>
                <w:szCs w:val="21"/>
              </w:rPr>
            </w:pPr>
            <w:r>
              <w:rPr>
                <w:rFonts w:ascii="宋体" w:hAnsi="宋体" w:cs="宋体" w:eastAsia="宋体" w:hint="default"/>
                <w:b/>
                <w:bCs/>
                <w:sz w:val="21"/>
                <w:szCs w:val="21"/>
              </w:rPr>
              <w:t>亲自出</w:t>
            </w:r>
            <w:r>
              <w:rPr>
                <w:rFonts w:ascii="宋体" w:hAnsi="宋体" w:cs="宋体" w:eastAsia="宋体" w:hint="default"/>
                <w:b/>
                <w:bCs/>
                <w:w w:val="100"/>
                <w:sz w:val="21"/>
                <w:szCs w:val="21"/>
              </w:rPr>
              <w:t> </w:t>
            </w:r>
            <w:r>
              <w:rPr>
                <w:rFonts w:ascii="宋体" w:hAnsi="宋体" w:cs="宋体" w:eastAsia="宋体" w:hint="default"/>
                <w:b/>
                <w:bCs/>
                <w:sz w:val="21"/>
                <w:szCs w:val="21"/>
              </w:rPr>
              <w:t>席次数</w:t>
            </w:r>
            <w:r>
              <w:rPr>
                <w:rFonts w:ascii="宋体" w:hAnsi="宋体" w:cs="宋体" w:eastAsia="宋体" w:hint="default"/>
                <w:sz w:val="21"/>
                <w:szCs w:val="21"/>
              </w:rPr>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80" w:right="0"/>
              <w:jc w:val="left"/>
              <w:rPr>
                <w:rFonts w:ascii="宋体" w:hAnsi="宋体" w:cs="宋体" w:eastAsia="宋体" w:hint="default"/>
                <w:sz w:val="21"/>
                <w:szCs w:val="21"/>
              </w:rPr>
            </w:pPr>
            <w:r>
              <w:rPr>
                <w:rFonts w:ascii="宋体" w:hAnsi="宋体" w:cs="宋体" w:eastAsia="宋体" w:hint="default"/>
                <w:b/>
                <w:bCs/>
                <w:sz w:val="21"/>
                <w:szCs w:val="21"/>
              </w:rPr>
              <w:t>以通讯</w:t>
            </w:r>
            <w:r>
              <w:rPr>
                <w:rFonts w:ascii="宋体" w:hAnsi="宋体" w:cs="宋体" w:eastAsia="宋体" w:hint="default"/>
                <w:sz w:val="21"/>
                <w:szCs w:val="21"/>
              </w:rPr>
            </w:r>
          </w:p>
          <w:p>
            <w:pPr>
              <w:pStyle w:val="TableParagraph"/>
              <w:spacing w:line="272" w:lineRule="exact" w:before="27"/>
              <w:ind w:left="180" w:right="179"/>
              <w:jc w:val="left"/>
              <w:rPr>
                <w:rFonts w:ascii="宋体" w:hAnsi="宋体" w:cs="宋体" w:eastAsia="宋体" w:hint="default"/>
                <w:sz w:val="21"/>
                <w:szCs w:val="21"/>
              </w:rPr>
            </w:pPr>
            <w:r>
              <w:rPr>
                <w:rFonts w:ascii="宋体" w:hAnsi="宋体" w:cs="宋体" w:eastAsia="宋体" w:hint="default"/>
                <w:b/>
                <w:bCs/>
                <w:sz w:val="21"/>
                <w:szCs w:val="21"/>
              </w:rPr>
              <w:t>方式参</w:t>
            </w:r>
            <w:r>
              <w:rPr>
                <w:rFonts w:ascii="宋体" w:hAnsi="宋体" w:cs="宋体" w:eastAsia="宋体" w:hint="default"/>
                <w:b/>
                <w:bCs/>
                <w:w w:val="100"/>
                <w:sz w:val="21"/>
                <w:szCs w:val="21"/>
              </w:rPr>
              <w:t> </w:t>
            </w:r>
            <w:r>
              <w:rPr>
                <w:rFonts w:ascii="宋体" w:hAnsi="宋体" w:cs="宋体" w:eastAsia="宋体" w:hint="default"/>
                <w:b/>
                <w:bCs/>
                <w:sz w:val="21"/>
                <w:szCs w:val="21"/>
              </w:rPr>
              <w:t>加次数</w:t>
            </w:r>
            <w:r>
              <w:rPr>
                <w:rFonts w:ascii="宋体" w:hAnsi="宋体" w:cs="宋体" w:eastAsia="宋体" w:hint="default"/>
                <w:sz w:val="21"/>
                <w:szCs w:val="21"/>
              </w:rPr>
            </w:r>
          </w:p>
        </w:tc>
        <w:tc>
          <w:tcPr>
            <w:tcW w:w="94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46" w:right="146"/>
              <w:jc w:val="left"/>
              <w:rPr>
                <w:rFonts w:ascii="宋体" w:hAnsi="宋体" w:cs="宋体" w:eastAsia="宋体" w:hint="default"/>
                <w:sz w:val="21"/>
                <w:szCs w:val="21"/>
              </w:rPr>
            </w:pPr>
            <w:r>
              <w:rPr>
                <w:rFonts w:ascii="宋体" w:hAnsi="宋体" w:cs="宋体" w:eastAsia="宋体" w:hint="default"/>
                <w:b/>
                <w:bCs/>
                <w:sz w:val="21"/>
                <w:szCs w:val="21"/>
              </w:rPr>
              <w:t>委托出</w:t>
            </w:r>
            <w:r>
              <w:rPr>
                <w:rFonts w:ascii="宋体" w:hAnsi="宋体" w:cs="宋体" w:eastAsia="宋体" w:hint="default"/>
                <w:b/>
                <w:bCs/>
                <w:w w:val="100"/>
                <w:sz w:val="21"/>
                <w:szCs w:val="21"/>
              </w:rPr>
              <w:t> </w:t>
            </w:r>
            <w:r>
              <w:rPr>
                <w:rFonts w:ascii="宋体" w:hAnsi="宋体" w:cs="宋体" w:eastAsia="宋体" w:hint="default"/>
                <w:b/>
                <w:bCs/>
                <w:sz w:val="21"/>
                <w:szCs w:val="21"/>
              </w:rPr>
              <w:t>席次数</w:t>
            </w:r>
            <w:r>
              <w:rPr>
                <w:rFonts w:ascii="宋体" w:hAnsi="宋体" w:cs="宋体" w:eastAsia="宋体" w:hint="default"/>
                <w:sz w:val="21"/>
                <w:szCs w:val="21"/>
              </w:rPr>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218" w:right="221"/>
              <w:jc w:val="left"/>
              <w:rPr>
                <w:rFonts w:ascii="宋体" w:hAnsi="宋体" w:cs="宋体" w:eastAsia="宋体" w:hint="default"/>
                <w:sz w:val="21"/>
                <w:szCs w:val="21"/>
              </w:rPr>
            </w:pPr>
            <w:r>
              <w:rPr>
                <w:rFonts w:ascii="宋体" w:hAnsi="宋体" w:cs="宋体" w:eastAsia="宋体" w:hint="default"/>
                <w:b/>
                <w:bCs/>
                <w:sz w:val="21"/>
                <w:szCs w:val="21"/>
              </w:rPr>
              <w:t>缺席</w:t>
            </w:r>
            <w:r>
              <w:rPr>
                <w:rFonts w:ascii="宋体" w:hAnsi="宋体" w:cs="宋体" w:eastAsia="宋体" w:hint="default"/>
                <w:b/>
                <w:bCs/>
                <w:w w:val="100"/>
                <w:sz w:val="21"/>
                <w:szCs w:val="21"/>
              </w:rPr>
              <w:t> </w:t>
            </w:r>
            <w:r>
              <w:rPr>
                <w:rFonts w:ascii="宋体" w:hAnsi="宋体" w:cs="宋体" w:eastAsia="宋体" w:hint="default"/>
                <w:b/>
                <w:bCs/>
                <w:sz w:val="21"/>
                <w:szCs w:val="21"/>
              </w:rPr>
              <w:t>次数</w:t>
            </w:r>
            <w:r>
              <w:rPr>
                <w:rFonts w:ascii="宋体" w:hAnsi="宋体" w:cs="宋体" w:eastAsia="宋体" w:hint="default"/>
                <w:sz w:val="21"/>
                <w:szCs w:val="21"/>
              </w:rPr>
            </w:r>
          </w:p>
        </w:tc>
        <w:tc>
          <w:tcPr>
            <w:tcW w:w="134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36" w:right="0"/>
              <w:jc w:val="left"/>
              <w:rPr>
                <w:rFonts w:ascii="宋体" w:hAnsi="宋体" w:cs="宋体" w:eastAsia="宋体" w:hint="default"/>
                <w:sz w:val="21"/>
                <w:szCs w:val="21"/>
              </w:rPr>
            </w:pPr>
            <w:r>
              <w:rPr>
                <w:rFonts w:ascii="宋体" w:hAnsi="宋体" w:cs="宋体" w:eastAsia="宋体" w:hint="default"/>
                <w:b/>
                <w:bCs/>
                <w:sz w:val="21"/>
                <w:szCs w:val="21"/>
              </w:rPr>
              <w:t>是否连续两</w:t>
            </w:r>
            <w:r>
              <w:rPr>
                <w:rFonts w:ascii="宋体" w:hAnsi="宋体" w:cs="宋体" w:eastAsia="宋体" w:hint="default"/>
                <w:sz w:val="21"/>
                <w:szCs w:val="21"/>
              </w:rPr>
            </w:r>
          </w:p>
          <w:p>
            <w:pPr>
              <w:pStyle w:val="TableParagraph"/>
              <w:spacing w:line="272" w:lineRule="exact" w:before="27"/>
              <w:ind w:left="347" w:right="137" w:hanging="212"/>
              <w:jc w:val="left"/>
              <w:rPr>
                <w:rFonts w:ascii="宋体" w:hAnsi="宋体" w:cs="宋体" w:eastAsia="宋体" w:hint="default"/>
                <w:sz w:val="21"/>
                <w:szCs w:val="21"/>
              </w:rPr>
            </w:pPr>
            <w:r>
              <w:rPr>
                <w:rFonts w:ascii="宋体" w:hAnsi="宋体" w:cs="宋体" w:eastAsia="宋体" w:hint="default"/>
                <w:b/>
                <w:bCs/>
                <w:sz w:val="21"/>
                <w:szCs w:val="21"/>
              </w:rPr>
              <w:t>次未亲自参</w:t>
            </w:r>
            <w:r>
              <w:rPr>
                <w:rFonts w:ascii="宋体" w:hAnsi="宋体" w:cs="宋体" w:eastAsia="宋体" w:hint="default"/>
                <w:b/>
                <w:bCs/>
                <w:w w:val="100"/>
                <w:sz w:val="21"/>
                <w:szCs w:val="21"/>
              </w:rPr>
              <w:t> </w:t>
            </w:r>
            <w:r>
              <w:rPr>
                <w:rFonts w:ascii="宋体" w:hAnsi="宋体" w:cs="宋体" w:eastAsia="宋体" w:hint="default"/>
                <w:b/>
                <w:bCs/>
                <w:sz w:val="21"/>
                <w:szCs w:val="21"/>
              </w:rPr>
              <w:t>加会议</w:t>
            </w:r>
            <w:r>
              <w:rPr>
                <w:rFonts w:ascii="宋体" w:hAnsi="宋体" w:cs="宋体" w:eastAsia="宋体" w:hint="default"/>
                <w:sz w:val="21"/>
                <w:szCs w:val="21"/>
              </w:rPr>
            </w:r>
          </w:p>
        </w:tc>
        <w:tc>
          <w:tcPr>
            <w:tcW w:w="1313" w:type="dxa"/>
            <w:tcBorders>
              <w:top w:val="single" w:sz="6" w:space="0" w:color="000000"/>
              <w:left w:val="single" w:sz="6" w:space="0" w:color="000000"/>
              <w:bottom w:val="single" w:sz="6" w:space="0" w:color="000000"/>
              <w:right w:val="single" w:sz="12" w:space="0" w:color="000000"/>
            </w:tcBorders>
          </w:tcPr>
          <w:p>
            <w:pPr>
              <w:pStyle w:val="TableParagraph"/>
              <w:spacing w:line="272" w:lineRule="exact" w:before="130"/>
              <w:ind w:left="227" w:right="110" w:hanging="106"/>
              <w:jc w:val="left"/>
              <w:rPr>
                <w:rFonts w:ascii="宋体" w:hAnsi="宋体" w:cs="宋体" w:eastAsia="宋体" w:hint="default"/>
                <w:sz w:val="21"/>
                <w:szCs w:val="21"/>
              </w:rPr>
            </w:pPr>
            <w:r>
              <w:rPr>
                <w:rFonts w:ascii="宋体" w:hAnsi="宋体" w:cs="宋体" w:eastAsia="宋体" w:hint="default"/>
                <w:b/>
                <w:bCs/>
                <w:sz w:val="21"/>
                <w:szCs w:val="21"/>
              </w:rPr>
              <w:t>出席股东大</w:t>
            </w:r>
            <w:r>
              <w:rPr>
                <w:rFonts w:ascii="宋体" w:hAnsi="宋体" w:cs="宋体" w:eastAsia="宋体" w:hint="default"/>
                <w:b/>
                <w:bCs/>
                <w:w w:val="100"/>
                <w:sz w:val="21"/>
                <w:szCs w:val="21"/>
              </w:rPr>
              <w:t> </w:t>
            </w:r>
            <w:r>
              <w:rPr>
                <w:rFonts w:ascii="宋体" w:hAnsi="宋体" w:cs="宋体" w:eastAsia="宋体" w:hint="default"/>
                <w:b/>
                <w:bCs/>
                <w:sz w:val="21"/>
                <w:szCs w:val="21"/>
              </w:rPr>
              <w:t>会的次数</w:t>
            </w:r>
            <w:r>
              <w:rPr>
                <w:rFonts w:ascii="宋体" w:hAnsi="宋体" w:cs="宋体" w:eastAsia="宋体" w:hint="default"/>
                <w:sz w:val="21"/>
                <w:szCs w:val="21"/>
              </w:rPr>
            </w:r>
          </w:p>
        </w:tc>
      </w:tr>
      <w:tr>
        <w:trPr>
          <w:trHeight w:val="286" w:hRule="exact"/>
        </w:trPr>
        <w:tc>
          <w:tcPr>
            <w:tcW w:w="101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陆致成</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8</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3</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5</w:t>
            </w:r>
          </w:p>
        </w:tc>
        <w:tc>
          <w:tcPr>
            <w:tcW w:w="9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34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31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right="91"/>
              <w:jc w:val="right"/>
              <w:rPr>
                <w:rFonts w:ascii="宋体" w:hAnsi="宋体" w:cs="宋体" w:eastAsia="宋体" w:hint="default"/>
                <w:sz w:val="21"/>
                <w:szCs w:val="21"/>
              </w:rPr>
            </w:pPr>
            <w:r>
              <w:rPr>
                <w:rFonts w:ascii="宋体"/>
                <w:w w:val="100"/>
                <w:sz w:val="21"/>
              </w:rPr>
              <w:t>2</w:t>
            </w:r>
          </w:p>
        </w:tc>
      </w:tr>
      <w:tr>
        <w:trPr>
          <w:trHeight w:val="288" w:hRule="exact"/>
        </w:trPr>
        <w:tc>
          <w:tcPr>
            <w:tcW w:w="1018"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赵伟国</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101"/>
              <w:jc w:val="right"/>
              <w:rPr>
                <w:rFonts w:ascii="宋体" w:hAnsi="宋体" w:cs="宋体" w:eastAsia="宋体" w:hint="default"/>
                <w:sz w:val="21"/>
                <w:szCs w:val="21"/>
              </w:rPr>
            </w:pPr>
            <w:r>
              <w:rPr>
                <w:rFonts w:ascii="宋体"/>
                <w:w w:val="100"/>
                <w:sz w:val="21"/>
              </w:rPr>
              <w:t>5</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2</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3</w:t>
            </w:r>
          </w:p>
        </w:tc>
        <w:tc>
          <w:tcPr>
            <w:tcW w:w="94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0</w:t>
            </w:r>
          </w:p>
        </w:tc>
        <w:tc>
          <w:tcPr>
            <w:tcW w:w="87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0</w:t>
            </w:r>
          </w:p>
        </w:tc>
        <w:tc>
          <w:tcPr>
            <w:tcW w:w="1347"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313" w:type="dxa"/>
            <w:tcBorders>
              <w:top w:val="single" w:sz="6" w:space="0" w:color="000000"/>
              <w:left w:val="single" w:sz="6" w:space="0" w:color="000000"/>
              <w:bottom w:val="single" w:sz="6" w:space="0" w:color="000000"/>
              <w:right w:val="single" w:sz="12" w:space="0" w:color="000000"/>
            </w:tcBorders>
          </w:tcPr>
          <w:p>
            <w:pPr>
              <w:pStyle w:val="TableParagraph"/>
              <w:spacing w:line="243" w:lineRule="exact"/>
              <w:ind w:right="91"/>
              <w:jc w:val="right"/>
              <w:rPr>
                <w:rFonts w:ascii="宋体" w:hAnsi="宋体" w:cs="宋体" w:eastAsia="宋体" w:hint="default"/>
                <w:sz w:val="21"/>
                <w:szCs w:val="21"/>
              </w:rPr>
            </w:pPr>
            <w:r>
              <w:rPr>
                <w:rFonts w:ascii="宋体"/>
                <w:w w:val="100"/>
                <w:sz w:val="21"/>
              </w:rPr>
              <w:t>1</w:t>
            </w:r>
          </w:p>
        </w:tc>
      </w:tr>
      <w:tr>
        <w:trPr>
          <w:trHeight w:val="293" w:hRule="exact"/>
        </w:trPr>
        <w:tc>
          <w:tcPr>
            <w:tcW w:w="1018"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龙大伟</w:t>
            </w:r>
          </w:p>
        </w:tc>
        <w:tc>
          <w:tcPr>
            <w:tcW w:w="878"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148"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2</w:t>
            </w:r>
          </w:p>
        </w:tc>
        <w:tc>
          <w:tcPr>
            <w:tcW w:w="886"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1</w:t>
            </w:r>
          </w:p>
        </w:tc>
        <w:tc>
          <w:tcPr>
            <w:tcW w:w="1008"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1</w:t>
            </w:r>
          </w:p>
        </w:tc>
        <w:tc>
          <w:tcPr>
            <w:tcW w:w="944"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878"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0</w:t>
            </w:r>
          </w:p>
        </w:tc>
        <w:tc>
          <w:tcPr>
            <w:tcW w:w="1347"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313"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right="91"/>
              <w:jc w:val="right"/>
              <w:rPr>
                <w:rFonts w:ascii="宋体" w:hAnsi="宋体" w:cs="宋体" w:eastAsia="宋体" w:hint="default"/>
                <w:sz w:val="21"/>
                <w:szCs w:val="21"/>
              </w:rPr>
            </w:pPr>
            <w:r>
              <w:rPr>
                <w:rFonts w:ascii="宋体"/>
                <w:w w:val="100"/>
                <w:sz w:val="21"/>
              </w:rPr>
              <w:t>0</w:t>
            </w:r>
          </w:p>
        </w:tc>
      </w:tr>
    </w:tbl>
    <w:p>
      <w:pPr>
        <w:spacing w:line="240" w:lineRule="auto" w:before="0"/>
        <w:rPr>
          <w:rFonts w:ascii="宋体" w:hAnsi="宋体" w:cs="宋体" w:eastAsia="宋体" w:hint="default"/>
          <w:b/>
          <w:bCs/>
          <w:sz w:val="24"/>
          <w:szCs w:val="24"/>
        </w:rPr>
      </w:pPr>
    </w:p>
    <w:tbl>
      <w:tblPr>
        <w:tblW w:w="0" w:type="auto"/>
        <w:jc w:val="left"/>
        <w:tblInd w:w="116" w:type="dxa"/>
        <w:tblLayout w:type="fixed"/>
        <w:tblCellMar>
          <w:top w:w="0" w:type="dxa"/>
          <w:left w:w="0" w:type="dxa"/>
          <w:bottom w:w="0" w:type="dxa"/>
          <w:right w:w="0" w:type="dxa"/>
        </w:tblCellMar>
        <w:tblLook w:val="01E0"/>
      </w:tblPr>
      <w:tblGrid>
        <w:gridCol w:w="4709"/>
        <w:gridCol w:w="4710"/>
      </w:tblGrid>
      <w:tr>
        <w:trPr>
          <w:trHeight w:val="295" w:hRule="exact"/>
        </w:trPr>
        <w:tc>
          <w:tcPr>
            <w:tcW w:w="4709" w:type="dxa"/>
            <w:tcBorders>
              <w:top w:val="single" w:sz="12" w:space="0" w:color="000000"/>
              <w:left w:val="single" w:sz="12" w:space="0" w:color="000000"/>
              <w:bottom w:val="single" w:sz="6" w:space="0" w:color="000000"/>
              <w:right w:val="single" w:sz="6"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年内召开董事会会议次数</w:t>
            </w:r>
          </w:p>
        </w:tc>
        <w:tc>
          <w:tcPr>
            <w:tcW w:w="4710" w:type="dxa"/>
            <w:tcBorders>
              <w:top w:val="single" w:sz="12" w:space="0" w:color="000000"/>
              <w:left w:val="single" w:sz="6" w:space="0" w:color="000000"/>
              <w:bottom w:val="single" w:sz="6" w:space="0" w:color="000000"/>
              <w:right w:val="single" w:sz="12"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sz w:val="21"/>
              </w:rPr>
              <w:t>10</w:t>
            </w:r>
          </w:p>
        </w:tc>
      </w:tr>
      <w:tr>
        <w:trPr>
          <w:trHeight w:val="289" w:hRule="exact"/>
        </w:trPr>
        <w:tc>
          <w:tcPr>
            <w:tcW w:w="4709"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其中：现场会议次数</w:t>
            </w:r>
          </w:p>
        </w:tc>
        <w:tc>
          <w:tcPr>
            <w:tcW w:w="471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w w:val="100"/>
                <w:sz w:val="21"/>
              </w:rPr>
              <w:t>4</w:t>
            </w:r>
          </w:p>
        </w:tc>
      </w:tr>
      <w:tr>
        <w:trPr>
          <w:trHeight w:val="286" w:hRule="exact"/>
        </w:trPr>
        <w:tc>
          <w:tcPr>
            <w:tcW w:w="4709"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724" w:right="0"/>
              <w:jc w:val="left"/>
              <w:rPr>
                <w:rFonts w:ascii="宋体" w:hAnsi="宋体" w:cs="宋体" w:eastAsia="宋体" w:hint="default"/>
                <w:sz w:val="21"/>
                <w:szCs w:val="21"/>
              </w:rPr>
            </w:pPr>
            <w:r>
              <w:rPr>
                <w:rFonts w:ascii="宋体" w:hAnsi="宋体" w:cs="宋体" w:eastAsia="宋体" w:hint="default"/>
                <w:sz w:val="21"/>
                <w:szCs w:val="21"/>
              </w:rPr>
              <w:t>通讯方式召开会议次数</w:t>
            </w:r>
          </w:p>
        </w:tc>
        <w:tc>
          <w:tcPr>
            <w:tcW w:w="471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w w:val="100"/>
                <w:sz w:val="21"/>
              </w:rPr>
              <w:t>6</w:t>
            </w:r>
          </w:p>
        </w:tc>
      </w:tr>
      <w:tr>
        <w:trPr>
          <w:trHeight w:val="295" w:hRule="exact"/>
        </w:trPr>
        <w:tc>
          <w:tcPr>
            <w:tcW w:w="4709" w:type="dxa"/>
            <w:tcBorders>
              <w:top w:val="single" w:sz="6" w:space="0" w:color="000000"/>
              <w:left w:val="single" w:sz="12" w:space="0" w:color="000000"/>
              <w:bottom w:val="single" w:sz="12" w:space="0" w:color="000000"/>
              <w:right w:val="single" w:sz="6" w:space="0" w:color="000000"/>
            </w:tcBorders>
          </w:tcPr>
          <w:p>
            <w:pPr>
              <w:pStyle w:val="TableParagraph"/>
              <w:spacing w:line="243" w:lineRule="exact"/>
              <w:ind w:left="724" w:right="0"/>
              <w:jc w:val="left"/>
              <w:rPr>
                <w:rFonts w:ascii="宋体" w:hAnsi="宋体" w:cs="宋体" w:eastAsia="宋体" w:hint="default"/>
                <w:sz w:val="21"/>
                <w:szCs w:val="21"/>
              </w:rPr>
            </w:pPr>
            <w:r>
              <w:rPr>
                <w:rFonts w:ascii="宋体" w:hAnsi="宋体" w:cs="宋体" w:eastAsia="宋体" w:hint="default"/>
                <w:sz w:val="21"/>
                <w:szCs w:val="21"/>
              </w:rPr>
              <w:t>现场结合通讯方式召开会议次数</w:t>
            </w:r>
          </w:p>
        </w:tc>
        <w:tc>
          <w:tcPr>
            <w:tcW w:w="4710" w:type="dxa"/>
            <w:tcBorders>
              <w:top w:val="single" w:sz="6" w:space="0" w:color="000000"/>
              <w:left w:val="single" w:sz="6" w:space="0" w:color="000000"/>
              <w:bottom w:val="single" w:sz="12" w:space="0" w:color="000000"/>
              <w:right w:val="single" w:sz="12"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w w:val="100"/>
                <w:sz w:val="21"/>
              </w:rPr>
              <w:t>0</w:t>
            </w:r>
          </w:p>
        </w:tc>
      </w:tr>
    </w:tbl>
    <w:p>
      <w:pPr>
        <w:spacing w:line="240" w:lineRule="auto" w:before="10"/>
        <w:rPr>
          <w:rFonts w:ascii="宋体" w:hAnsi="宋体" w:cs="宋体" w:eastAsia="宋体" w:hint="default"/>
          <w:b/>
          <w:bCs/>
          <w:sz w:val="18"/>
          <w:szCs w:val="18"/>
        </w:rPr>
      </w:pPr>
    </w:p>
    <w:p>
      <w:pPr>
        <w:spacing w:line="477" w:lineRule="auto" w:before="26"/>
        <w:ind w:left="238" w:right="110" w:firstLine="256"/>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二</w:t>
      </w:r>
      <w:r>
        <w:rPr>
          <w:rFonts w:ascii="宋体" w:hAnsi="宋体" w:cs="宋体" w:eastAsia="宋体" w:hint="default"/>
          <w:b/>
          <w:bCs/>
          <w:sz w:val="24"/>
          <w:szCs w:val="24"/>
        </w:rPr>
        <w:t>)</w:t>
      </w:r>
      <w:r>
        <w:rPr>
          <w:rFonts w:ascii="宋体" w:hAnsi="宋体" w:cs="宋体" w:eastAsia="宋体" w:hint="default"/>
          <w:b/>
          <w:bCs/>
          <w:sz w:val="24"/>
          <w:szCs w:val="24"/>
        </w:rPr>
        <w:t>独立董事对公司有关事项提出异议的情况</w:t>
      </w:r>
      <w:r>
        <w:rPr>
          <w:rFonts w:ascii="宋体" w:hAnsi="宋体" w:cs="宋体" w:eastAsia="宋体" w:hint="default"/>
          <w:b/>
          <w:bCs/>
          <w:w w:val="99"/>
          <w:sz w:val="24"/>
          <w:szCs w:val="24"/>
        </w:rPr>
        <w:t> </w:t>
      </w:r>
      <w:r>
        <w:rPr>
          <w:rFonts w:ascii="宋体" w:hAnsi="宋体" w:cs="宋体" w:eastAsia="宋体" w:hint="default"/>
          <w:sz w:val="24"/>
          <w:szCs w:val="24"/>
        </w:rPr>
        <w:t>报告期内，公司独立董事未对公司有关事项提出异议。</w:t>
      </w:r>
    </w:p>
    <w:p>
      <w:pPr>
        <w:spacing w:line="240" w:lineRule="auto" w:before="3"/>
        <w:rPr>
          <w:rFonts w:ascii="宋体" w:hAnsi="宋体" w:cs="宋体" w:eastAsia="宋体" w:hint="default"/>
          <w:sz w:val="23"/>
          <w:szCs w:val="23"/>
        </w:rPr>
      </w:pPr>
    </w:p>
    <w:p>
      <w:pPr>
        <w:pStyle w:val="Heading2"/>
        <w:spacing w:line="240" w:lineRule="auto"/>
        <w:ind w:right="0"/>
        <w:jc w:val="both"/>
      </w:pPr>
      <w:r>
        <w:rPr>
          <w:spacing w:val="-3"/>
        </w:rPr>
        <w:t>四、董事会下设专门委员会在报告期内履行职责时所提出的重要意见和建议</w:t>
      </w:r>
    </w:p>
    <w:p>
      <w:pPr>
        <w:spacing w:line="240" w:lineRule="auto" w:before="8"/>
        <w:rPr>
          <w:rFonts w:ascii="黑体" w:hAnsi="黑体" w:cs="黑体" w:eastAsia="黑体" w:hint="default"/>
          <w:sz w:val="28"/>
          <w:szCs w:val="28"/>
        </w:rPr>
      </w:pPr>
    </w:p>
    <w:p>
      <w:pPr>
        <w:pStyle w:val="Heading3"/>
        <w:spacing w:line="240" w:lineRule="auto"/>
        <w:ind w:right="110"/>
        <w:jc w:val="left"/>
        <w:rPr>
          <w:b w:val="0"/>
          <w:bCs w:val="0"/>
        </w:rPr>
      </w:pPr>
      <w:r>
        <w:rPr>
          <w:rFonts w:ascii="宋体" w:hAnsi="宋体" w:cs="宋体" w:eastAsia="宋体" w:hint="default"/>
        </w:rPr>
        <w:t>(</w:t>
      </w:r>
      <w:r>
        <w:rPr/>
        <w:t>一</w:t>
      </w:r>
      <w:r>
        <w:rPr>
          <w:rFonts w:ascii="宋体" w:hAnsi="宋体" w:cs="宋体" w:eastAsia="宋体" w:hint="default"/>
        </w:rPr>
        <w:t>)</w:t>
      </w:r>
      <w:r>
        <w:rPr/>
        <w:t>报告期内董事会审计委员会履行职责情况</w:t>
      </w:r>
      <w:r>
        <w:rPr>
          <w:b w:val="0"/>
          <w:bCs w:val="0"/>
        </w:rPr>
      </w:r>
    </w:p>
    <w:p>
      <w:pPr>
        <w:spacing w:line="240" w:lineRule="auto" w:before="12"/>
        <w:rPr>
          <w:rFonts w:ascii="宋体" w:hAnsi="宋体" w:cs="宋体" w:eastAsia="宋体" w:hint="default"/>
          <w:b/>
          <w:bCs/>
          <w:sz w:val="23"/>
          <w:szCs w:val="23"/>
        </w:rPr>
      </w:pPr>
    </w:p>
    <w:p>
      <w:pPr>
        <w:pStyle w:val="BodyText"/>
        <w:spacing w:line="237" w:lineRule="auto"/>
        <w:ind w:left="238" w:right="241"/>
        <w:jc w:val="both"/>
      </w:pPr>
      <w:r>
        <w:rPr>
          <w:rFonts w:ascii="宋体" w:hAnsi="宋体" w:cs="宋体" w:eastAsia="宋体" w:hint="default"/>
        </w:rPr>
        <w:t>1</w:t>
      </w:r>
      <w:r>
        <w:rPr/>
        <w:t>、</w:t>
      </w:r>
      <w:r>
        <w:rPr>
          <w:rFonts w:ascii="宋体" w:hAnsi="宋体" w:cs="宋体" w:eastAsia="宋体" w:hint="default"/>
        </w:rPr>
        <w:t>2015</w:t>
      </w:r>
      <w:r>
        <w:rPr>
          <w:rFonts w:ascii="宋体" w:hAnsi="宋体" w:cs="宋体" w:eastAsia="宋体" w:hint="default"/>
          <w:spacing w:val="-68"/>
        </w:rPr>
        <w:t> </w:t>
      </w:r>
      <w:r>
        <w:rPr/>
        <w:t>年</w:t>
      </w:r>
      <w:r>
        <w:rPr>
          <w:spacing w:val="-67"/>
        </w:rPr>
        <w:t> </w:t>
      </w:r>
      <w:r>
        <w:rPr>
          <w:rFonts w:ascii="宋体" w:hAnsi="宋体" w:cs="宋体" w:eastAsia="宋体" w:hint="default"/>
        </w:rPr>
        <w:t>1</w:t>
      </w:r>
      <w:r>
        <w:rPr>
          <w:rFonts w:ascii="宋体" w:hAnsi="宋体" w:cs="宋体" w:eastAsia="宋体" w:hint="default"/>
          <w:spacing w:val="-67"/>
        </w:rPr>
        <w:t> </w:t>
      </w:r>
      <w:r>
        <w:rPr/>
        <w:t>月</w:t>
      </w:r>
      <w:r>
        <w:rPr>
          <w:spacing w:val="-67"/>
        </w:rPr>
        <w:t> </w:t>
      </w:r>
      <w:r>
        <w:rPr>
          <w:rFonts w:ascii="宋体" w:hAnsi="宋体" w:cs="宋体" w:eastAsia="宋体" w:hint="default"/>
        </w:rPr>
        <w:t>28</w:t>
      </w:r>
      <w:r>
        <w:rPr>
          <w:rFonts w:ascii="宋体" w:hAnsi="宋体" w:cs="宋体" w:eastAsia="宋体" w:hint="default"/>
          <w:spacing w:val="-67"/>
        </w:rPr>
        <w:t> </w:t>
      </w:r>
      <w:r>
        <w:rPr/>
        <w:t>日，公司召开第六届董事会审计委员会第八次会议，会议审阅了</w:t>
      </w:r>
      <w:r>
        <w:rPr>
          <w:spacing w:val="-66"/>
        </w:rPr>
        <w:t> </w:t>
      </w:r>
      <w:r>
        <w:rPr>
          <w:rFonts w:ascii="宋体" w:hAnsi="宋体" w:cs="宋体" w:eastAsia="宋体" w:hint="default"/>
        </w:rPr>
        <w:t>2014 </w:t>
      </w:r>
      <w:r>
        <w:rPr/>
        <w:t>年公司编制的同方股份有限公司财务会计报表，并听取了信永中和会计师事务所关于公</w:t>
      </w:r>
      <w:r>
        <w:rPr>
          <w:spacing w:val="-51"/>
        </w:rPr>
        <w:t> </w:t>
      </w:r>
      <w:r>
        <w:rPr>
          <w:spacing w:val="-51"/>
        </w:rPr>
      </w:r>
      <w:r>
        <w:rPr/>
        <w:t>司</w:t>
      </w:r>
      <w:r>
        <w:rPr>
          <w:spacing w:val="-77"/>
        </w:rPr>
        <w:t> </w:t>
      </w:r>
      <w:r>
        <w:rPr>
          <w:rFonts w:ascii="宋体" w:hAnsi="宋体" w:cs="宋体" w:eastAsia="宋体" w:hint="default"/>
        </w:rPr>
        <w:t>2014</w:t>
      </w:r>
      <w:r>
        <w:rPr>
          <w:rFonts w:ascii="宋体" w:hAnsi="宋体" w:cs="宋体" w:eastAsia="宋体" w:hint="default"/>
          <w:spacing w:val="-78"/>
        </w:rPr>
        <w:t> </w:t>
      </w:r>
      <w:r>
        <w:rPr/>
        <w:t>年年报的审计工作计划，并进一步提出了审计时间、审计关注重点、沟通机制等 相关要求。</w:t>
      </w:r>
    </w:p>
    <w:p>
      <w:pPr>
        <w:spacing w:line="240" w:lineRule="auto" w:before="7"/>
        <w:rPr>
          <w:rFonts w:ascii="宋体" w:hAnsi="宋体" w:cs="宋体" w:eastAsia="宋体" w:hint="default"/>
          <w:sz w:val="23"/>
          <w:szCs w:val="23"/>
        </w:rPr>
      </w:pPr>
    </w:p>
    <w:p>
      <w:pPr>
        <w:pStyle w:val="BodyText"/>
        <w:spacing w:line="313" w:lineRule="exact"/>
        <w:ind w:left="238" w:right="0"/>
        <w:jc w:val="both"/>
      </w:pPr>
      <w:r>
        <w:rPr>
          <w:rFonts w:ascii="宋体" w:hAnsi="宋体" w:cs="宋体" w:eastAsia="宋体" w:hint="default"/>
        </w:rPr>
        <w:t>2</w:t>
      </w:r>
      <w:r>
        <w:rPr/>
        <w:t>、</w:t>
      </w:r>
      <w:r>
        <w:rPr>
          <w:rFonts w:ascii="宋体" w:hAnsi="宋体" w:cs="宋体" w:eastAsia="宋体" w:hint="default"/>
        </w:rPr>
        <w:t>2015</w:t>
      </w:r>
      <w:r>
        <w:rPr>
          <w:rFonts w:ascii="宋体" w:hAnsi="宋体" w:cs="宋体" w:eastAsia="宋体" w:hint="default"/>
          <w:spacing w:val="-57"/>
        </w:rPr>
        <w:t> </w:t>
      </w:r>
      <w:r>
        <w:rPr/>
        <w:t>年</w:t>
      </w:r>
      <w:r>
        <w:rPr>
          <w:spacing w:val="-57"/>
        </w:rPr>
        <w:t> </w:t>
      </w:r>
      <w:r>
        <w:rPr>
          <w:rFonts w:ascii="宋体" w:hAnsi="宋体" w:cs="宋体" w:eastAsia="宋体" w:hint="default"/>
        </w:rPr>
        <w:t>4</w:t>
      </w:r>
      <w:r>
        <w:rPr>
          <w:rFonts w:ascii="宋体" w:hAnsi="宋体" w:cs="宋体" w:eastAsia="宋体" w:hint="default"/>
          <w:spacing w:val="-57"/>
        </w:rPr>
        <w:t> </w:t>
      </w:r>
      <w:r>
        <w:rPr/>
        <w:t>月</w:t>
      </w:r>
      <w:r>
        <w:rPr>
          <w:spacing w:val="-57"/>
        </w:rPr>
        <w:t> </w:t>
      </w:r>
      <w:r>
        <w:rPr>
          <w:rFonts w:ascii="宋体" w:hAnsi="宋体" w:cs="宋体" w:eastAsia="宋体" w:hint="default"/>
        </w:rPr>
        <w:t>26</w:t>
      </w:r>
      <w:r>
        <w:rPr>
          <w:rFonts w:ascii="宋体" w:hAnsi="宋体" w:cs="宋体" w:eastAsia="宋体" w:hint="default"/>
          <w:spacing w:val="-57"/>
        </w:rPr>
        <w:t> </w:t>
      </w:r>
      <w:r>
        <w:rPr/>
        <w:t>日，公司召开第六届董事会审计委员会第九次会议，会议审阅了信永</w:t>
      </w:r>
    </w:p>
    <w:p>
      <w:pPr>
        <w:pStyle w:val="BodyText"/>
        <w:spacing w:line="311" w:lineRule="exact"/>
        <w:ind w:left="238" w:right="0"/>
        <w:jc w:val="both"/>
      </w:pPr>
      <w:r>
        <w:rPr/>
        <w:t>中和会计师事务所审计的</w:t>
      </w:r>
      <w:r>
        <w:rPr>
          <w:spacing w:val="-80"/>
        </w:rPr>
        <w:t> </w:t>
      </w:r>
      <w:r>
        <w:rPr>
          <w:rFonts w:ascii="宋体" w:hAnsi="宋体" w:cs="宋体" w:eastAsia="宋体" w:hint="default"/>
        </w:rPr>
        <w:t>2014</w:t>
      </w:r>
      <w:r>
        <w:rPr>
          <w:rFonts w:ascii="宋体" w:hAnsi="宋体" w:cs="宋体" w:eastAsia="宋体" w:hint="default"/>
          <w:spacing w:val="-80"/>
        </w:rPr>
        <w:t> </w:t>
      </w:r>
      <w:r>
        <w:rPr/>
        <w:t>年同方股份有限公司财务会计报表，审议通过了《信永中</w:t>
      </w:r>
    </w:p>
    <w:p>
      <w:pPr>
        <w:pStyle w:val="BodyText"/>
        <w:spacing w:line="311" w:lineRule="exact"/>
        <w:ind w:left="238" w:right="0"/>
        <w:jc w:val="both"/>
      </w:pPr>
      <w:r>
        <w:rPr/>
        <w:t>和会计师事务所的</w:t>
      </w:r>
      <w:r>
        <w:rPr>
          <w:spacing w:val="-61"/>
        </w:rPr>
        <w:t> </w:t>
      </w:r>
      <w:r>
        <w:rPr>
          <w:rFonts w:ascii="宋体" w:hAnsi="宋体" w:cs="宋体" w:eastAsia="宋体" w:hint="default"/>
        </w:rPr>
        <w:t>2014</w:t>
      </w:r>
      <w:r>
        <w:rPr>
          <w:rFonts w:ascii="宋体" w:hAnsi="宋体" w:cs="宋体" w:eastAsia="宋体" w:hint="default"/>
          <w:spacing w:val="-60"/>
        </w:rPr>
        <w:t> </w:t>
      </w:r>
      <w:r>
        <w:rPr/>
        <w:t>年度公司审计工作总结报告</w:t>
      </w:r>
      <w:r>
        <w:rPr>
          <w:spacing w:val="-120"/>
        </w:rPr>
        <w:t>》</w:t>
      </w:r>
      <w:r>
        <w:rPr>
          <w:spacing w:val="-159"/>
        </w:rPr>
        <w:t>、</w:t>
      </w:r>
      <w:r>
        <w:rPr/>
        <w:t>《续聘信永中和会计师事务所任公</w:t>
      </w:r>
    </w:p>
    <w:p>
      <w:pPr>
        <w:pStyle w:val="BodyText"/>
        <w:spacing w:line="312" w:lineRule="exact"/>
        <w:ind w:left="238" w:right="0"/>
        <w:jc w:val="both"/>
      </w:pPr>
      <w:r>
        <w:rPr/>
        <w:t>司</w:t>
      </w:r>
      <w:r>
        <w:rPr>
          <w:spacing w:val="-41"/>
        </w:rPr>
        <w:t> </w:t>
      </w:r>
      <w:r>
        <w:rPr>
          <w:rFonts w:ascii="宋体" w:hAnsi="宋体" w:cs="宋体" w:eastAsia="宋体" w:hint="default"/>
        </w:rPr>
        <w:t>2015</w:t>
      </w:r>
      <w:r>
        <w:rPr>
          <w:rFonts w:ascii="宋体" w:hAnsi="宋体" w:cs="宋体" w:eastAsia="宋体" w:hint="default"/>
          <w:spacing w:val="-41"/>
        </w:rPr>
        <w:t> </w:t>
      </w:r>
      <w:r>
        <w:rPr/>
        <w:t>年度财务报</w:t>
      </w:r>
      <w:r>
        <w:rPr>
          <w:spacing w:val="2"/>
        </w:rPr>
        <w:t>告</w:t>
      </w:r>
      <w:r>
        <w:rPr/>
        <w:t>审计机构和内部控制审计机构及支付其</w:t>
      </w:r>
      <w:r>
        <w:rPr>
          <w:spacing w:val="-40"/>
        </w:rPr>
        <w:t> </w:t>
      </w:r>
      <w:r>
        <w:rPr>
          <w:rFonts w:ascii="宋体" w:hAnsi="宋体" w:cs="宋体" w:eastAsia="宋体" w:hint="default"/>
        </w:rPr>
        <w:t>2014</w:t>
      </w:r>
      <w:r>
        <w:rPr>
          <w:rFonts w:ascii="宋体" w:hAnsi="宋体" w:cs="宋体" w:eastAsia="宋体" w:hint="default"/>
          <w:spacing w:val="-39"/>
        </w:rPr>
        <w:t> </w:t>
      </w:r>
      <w:r>
        <w:rPr/>
        <w:t>年审计费用的议案</w:t>
      </w:r>
      <w:r>
        <w:rPr>
          <w:spacing w:val="-120"/>
        </w:rPr>
        <w:t>》</w:t>
      </w:r>
      <w:r>
        <w:rPr/>
        <w:t>、</w:t>
      </w:r>
    </w:p>
    <w:p>
      <w:pPr>
        <w:pStyle w:val="BodyText"/>
        <w:spacing w:line="311" w:lineRule="exact"/>
        <w:ind w:left="238" w:right="0"/>
        <w:jc w:val="both"/>
      </w:pPr>
      <w:r>
        <w:rPr/>
        <w:t>《关于</w:t>
      </w:r>
      <w:r>
        <w:rPr>
          <w:spacing w:val="-59"/>
        </w:rPr>
        <w:t> </w:t>
      </w:r>
      <w:r>
        <w:rPr>
          <w:rFonts w:ascii="宋体" w:hAnsi="宋体" w:cs="宋体" w:eastAsia="宋体" w:hint="default"/>
        </w:rPr>
        <w:t>2014</w:t>
      </w:r>
      <w:r>
        <w:rPr>
          <w:rFonts w:ascii="宋体" w:hAnsi="宋体" w:cs="宋体" w:eastAsia="宋体" w:hint="default"/>
          <w:spacing w:val="-58"/>
        </w:rPr>
        <w:t> </w:t>
      </w:r>
      <w:r>
        <w:rPr/>
        <w:t>年度日常关联交易执行情况以及</w:t>
      </w:r>
      <w:r>
        <w:rPr>
          <w:spacing w:val="-58"/>
        </w:rPr>
        <w:t> </w:t>
      </w:r>
      <w:r>
        <w:rPr>
          <w:rFonts w:ascii="宋体" w:hAnsi="宋体" w:cs="宋体" w:eastAsia="宋体" w:hint="default"/>
        </w:rPr>
        <w:t>2015</w:t>
      </w:r>
      <w:r>
        <w:rPr>
          <w:rFonts w:ascii="宋体" w:hAnsi="宋体" w:cs="宋体" w:eastAsia="宋体" w:hint="default"/>
          <w:spacing w:val="-58"/>
        </w:rPr>
        <w:t> </w:t>
      </w:r>
      <w:r>
        <w:rPr>
          <w:spacing w:val="-10"/>
        </w:rPr>
        <w:t>年度日常关联交易预计的议案》和《同</w:t>
      </w:r>
    </w:p>
    <w:p>
      <w:pPr>
        <w:pStyle w:val="BodyText"/>
        <w:spacing w:line="312" w:lineRule="exact"/>
        <w:ind w:left="238" w:right="0"/>
        <w:jc w:val="both"/>
      </w:pPr>
      <w:r>
        <w:rPr/>
        <w:t>方股份有限公司</w:t>
      </w:r>
      <w:r>
        <w:rPr>
          <w:spacing w:val="-61"/>
        </w:rPr>
        <w:t> </w:t>
      </w:r>
      <w:r>
        <w:rPr>
          <w:rFonts w:ascii="宋体" w:hAnsi="宋体" w:cs="宋体" w:eastAsia="宋体" w:hint="default"/>
        </w:rPr>
        <w:t>2014</w:t>
      </w:r>
      <w:r>
        <w:rPr>
          <w:rFonts w:ascii="宋体" w:hAnsi="宋体" w:cs="宋体" w:eastAsia="宋体" w:hint="default"/>
          <w:spacing w:val="-60"/>
        </w:rPr>
        <w:t> </w:t>
      </w:r>
      <w:r>
        <w:rPr/>
        <w:t>年度内部控制评价报告</w:t>
      </w:r>
      <w:r>
        <w:rPr>
          <w:spacing w:val="-120"/>
        </w:rPr>
        <w:t>》</w:t>
      </w:r>
      <w:r>
        <w:rPr/>
        <w:t>，并同意将上述议案提交董事会审议。</w:t>
      </w:r>
    </w:p>
    <w:p>
      <w:pPr>
        <w:spacing w:line="240" w:lineRule="auto" w:before="9"/>
        <w:rPr>
          <w:rFonts w:ascii="宋体" w:hAnsi="宋体" w:cs="宋体" w:eastAsia="宋体" w:hint="default"/>
          <w:sz w:val="23"/>
          <w:szCs w:val="23"/>
        </w:rPr>
      </w:pPr>
    </w:p>
    <w:p>
      <w:pPr>
        <w:pStyle w:val="BodyText"/>
        <w:spacing w:line="312" w:lineRule="exact"/>
        <w:ind w:left="238" w:right="0"/>
        <w:jc w:val="both"/>
      </w:pPr>
      <w:r>
        <w:rPr>
          <w:rFonts w:ascii="宋体" w:hAnsi="宋体" w:cs="宋体" w:eastAsia="宋体" w:hint="default"/>
        </w:rPr>
        <w:t>3</w:t>
      </w:r>
      <w:r>
        <w:rPr/>
        <w:t>、</w:t>
      </w:r>
      <w:r>
        <w:rPr>
          <w:rFonts w:ascii="宋体" w:hAnsi="宋体" w:cs="宋体" w:eastAsia="宋体" w:hint="default"/>
        </w:rPr>
        <w:t>2015</w:t>
      </w:r>
      <w:r>
        <w:rPr>
          <w:rFonts w:ascii="宋体" w:hAnsi="宋体" w:cs="宋体" w:eastAsia="宋体" w:hint="default"/>
          <w:spacing w:val="-57"/>
        </w:rPr>
        <w:t> </w:t>
      </w:r>
      <w:r>
        <w:rPr/>
        <w:t>年</w:t>
      </w:r>
      <w:r>
        <w:rPr>
          <w:spacing w:val="-57"/>
        </w:rPr>
        <w:t> </w:t>
      </w:r>
      <w:r>
        <w:rPr>
          <w:rFonts w:ascii="宋体" w:hAnsi="宋体" w:cs="宋体" w:eastAsia="宋体" w:hint="default"/>
        </w:rPr>
        <w:t>4</w:t>
      </w:r>
      <w:r>
        <w:rPr>
          <w:rFonts w:ascii="宋体" w:hAnsi="宋体" w:cs="宋体" w:eastAsia="宋体" w:hint="default"/>
          <w:spacing w:val="-57"/>
        </w:rPr>
        <w:t> </w:t>
      </w:r>
      <w:r>
        <w:rPr/>
        <w:t>月</w:t>
      </w:r>
      <w:r>
        <w:rPr>
          <w:spacing w:val="-57"/>
        </w:rPr>
        <w:t> </w:t>
      </w:r>
      <w:r>
        <w:rPr>
          <w:rFonts w:ascii="宋体" w:hAnsi="宋体" w:cs="宋体" w:eastAsia="宋体" w:hint="default"/>
        </w:rPr>
        <w:t>29</w:t>
      </w:r>
      <w:r>
        <w:rPr>
          <w:rFonts w:ascii="宋体" w:hAnsi="宋体" w:cs="宋体" w:eastAsia="宋体" w:hint="default"/>
          <w:spacing w:val="-57"/>
        </w:rPr>
        <w:t> </w:t>
      </w:r>
      <w:r>
        <w:rPr/>
        <w:t>日，公司召开第六届董事会审计委员会第十次会议，会议通过了公司</w:t>
      </w:r>
    </w:p>
    <w:p>
      <w:pPr>
        <w:pStyle w:val="BodyText"/>
        <w:spacing w:line="312" w:lineRule="exact"/>
        <w:ind w:left="238" w:right="0"/>
        <w:jc w:val="both"/>
      </w:pPr>
      <w:r>
        <w:rPr>
          <w:rFonts w:ascii="宋体" w:hAnsi="宋体" w:cs="宋体" w:eastAsia="宋体" w:hint="default"/>
        </w:rPr>
        <w:t>2015</w:t>
      </w:r>
      <w:r>
        <w:rPr>
          <w:rFonts w:ascii="宋体" w:hAnsi="宋体" w:cs="宋体" w:eastAsia="宋体" w:hint="default"/>
          <w:spacing w:val="-60"/>
        </w:rPr>
        <w:t> </w:t>
      </w:r>
      <w:r>
        <w:rPr/>
        <w:t>年第一季度报告，并同意提交董事会审议。</w:t>
      </w:r>
    </w:p>
    <w:p>
      <w:pPr>
        <w:spacing w:line="240" w:lineRule="auto" w:before="0"/>
        <w:rPr>
          <w:rFonts w:ascii="宋体" w:hAnsi="宋体" w:cs="宋体" w:eastAsia="宋体" w:hint="default"/>
          <w:sz w:val="26"/>
          <w:szCs w:val="26"/>
        </w:rPr>
      </w:pPr>
    </w:p>
    <w:p>
      <w:pPr>
        <w:pStyle w:val="BodyText"/>
        <w:spacing w:line="312" w:lineRule="exact"/>
        <w:ind w:left="238" w:right="233"/>
        <w:jc w:val="left"/>
      </w:pPr>
      <w:r>
        <w:rPr>
          <w:rFonts w:ascii="宋体" w:hAnsi="宋体" w:cs="宋体" w:eastAsia="宋体" w:hint="default"/>
        </w:rPr>
        <w:t>4</w:t>
      </w:r>
      <w:r>
        <w:rPr/>
        <w:t>、</w:t>
      </w:r>
      <w:r>
        <w:rPr>
          <w:rFonts w:ascii="宋体" w:hAnsi="宋体" w:cs="宋体" w:eastAsia="宋体" w:hint="default"/>
        </w:rPr>
        <w:t>2015</w:t>
      </w:r>
      <w:r>
        <w:rPr>
          <w:rFonts w:ascii="宋体" w:hAnsi="宋体" w:cs="宋体" w:eastAsia="宋体" w:hint="default"/>
          <w:spacing w:val="-57"/>
        </w:rPr>
        <w:t> </w:t>
      </w:r>
      <w:r>
        <w:rPr/>
        <w:t>年</w:t>
      </w:r>
      <w:r>
        <w:rPr>
          <w:spacing w:val="-57"/>
        </w:rPr>
        <w:t> </w:t>
      </w:r>
      <w:r>
        <w:rPr>
          <w:rFonts w:ascii="宋体" w:hAnsi="宋体" w:cs="宋体" w:eastAsia="宋体" w:hint="default"/>
        </w:rPr>
        <w:t>5</w:t>
      </w:r>
      <w:r>
        <w:rPr>
          <w:rFonts w:ascii="宋体" w:hAnsi="宋体" w:cs="宋体" w:eastAsia="宋体" w:hint="default"/>
          <w:spacing w:val="-57"/>
        </w:rPr>
        <w:t> </w:t>
      </w:r>
      <w:r>
        <w:rPr/>
        <w:t>月</w:t>
      </w:r>
      <w:r>
        <w:rPr>
          <w:spacing w:val="-57"/>
        </w:rPr>
        <w:t> </w:t>
      </w:r>
      <w:r>
        <w:rPr>
          <w:rFonts w:ascii="宋体" w:hAnsi="宋体" w:cs="宋体" w:eastAsia="宋体" w:hint="default"/>
        </w:rPr>
        <w:t>21</w:t>
      </w:r>
      <w:r>
        <w:rPr>
          <w:rFonts w:ascii="宋体" w:hAnsi="宋体" w:cs="宋体" w:eastAsia="宋体" w:hint="default"/>
          <w:spacing w:val="-57"/>
        </w:rPr>
        <w:t> </w:t>
      </w:r>
      <w:r>
        <w:rPr/>
        <w:t>日，公司召开第六届董事会审计委员会第十一次会议，会议选举何佳 先生任公司第六届董事会审计委员会召集人，审议通过了《关于通过下属同方计算机公</w:t>
      </w:r>
    </w:p>
    <w:p>
      <w:pPr>
        <w:pStyle w:val="BodyText"/>
        <w:spacing w:line="281" w:lineRule="exact"/>
        <w:ind w:left="238" w:right="0"/>
        <w:jc w:val="both"/>
      </w:pPr>
      <w:r>
        <w:rPr/>
        <w:t>司出资</w:t>
      </w:r>
      <w:r>
        <w:rPr>
          <w:spacing w:val="-61"/>
        </w:rPr>
        <w:t> </w:t>
      </w:r>
      <w:r>
        <w:rPr>
          <w:rFonts w:ascii="宋体" w:hAnsi="宋体" w:cs="宋体" w:eastAsia="宋体" w:hint="default"/>
        </w:rPr>
        <w:t>8</w:t>
      </w:r>
      <w:r>
        <w:rPr>
          <w:rFonts w:ascii="宋体" w:hAnsi="宋体" w:cs="宋体" w:eastAsia="宋体" w:hint="default"/>
          <w:spacing w:val="-60"/>
        </w:rPr>
        <w:t> </w:t>
      </w:r>
      <w:r>
        <w:rPr/>
        <w:t>亿</w:t>
      </w:r>
      <w:r>
        <w:rPr>
          <w:spacing w:val="2"/>
        </w:rPr>
        <w:t>元认购紫光股份非公开发行股票的议案</w:t>
      </w:r>
      <w:r>
        <w:rPr>
          <w:spacing w:val="-118"/>
        </w:rPr>
        <w:t>》</w:t>
      </w:r>
      <w:r>
        <w:rPr>
          <w:spacing w:val="2"/>
        </w:rPr>
        <w:t>，并同意将该议案提交董事会审议</w:t>
      </w:r>
      <w:r>
        <w:rPr/>
        <w:t>。</w:t>
      </w:r>
    </w:p>
    <w:p>
      <w:pPr>
        <w:spacing w:line="240" w:lineRule="auto" w:before="9"/>
        <w:rPr>
          <w:rFonts w:ascii="宋体" w:hAnsi="宋体" w:cs="宋体" w:eastAsia="宋体" w:hint="default"/>
          <w:sz w:val="23"/>
          <w:szCs w:val="23"/>
        </w:rPr>
      </w:pPr>
    </w:p>
    <w:p>
      <w:pPr>
        <w:pStyle w:val="BodyText"/>
        <w:spacing w:line="312" w:lineRule="exact"/>
        <w:ind w:left="238" w:right="0"/>
        <w:jc w:val="both"/>
      </w:pPr>
      <w:r>
        <w:rPr>
          <w:rFonts w:ascii="宋体" w:hAnsi="宋体" w:cs="宋体" w:eastAsia="宋体" w:hint="default"/>
        </w:rPr>
        <w:t>5</w:t>
      </w:r>
      <w:r>
        <w:rPr/>
        <w:t>、</w:t>
      </w:r>
      <w:r>
        <w:rPr>
          <w:rFonts w:ascii="宋体" w:hAnsi="宋体" w:cs="宋体" w:eastAsia="宋体" w:hint="default"/>
        </w:rPr>
        <w:t>2015</w:t>
      </w:r>
      <w:r>
        <w:rPr>
          <w:rFonts w:ascii="宋体" w:hAnsi="宋体" w:cs="宋体" w:eastAsia="宋体" w:hint="default"/>
          <w:spacing w:val="-57"/>
        </w:rPr>
        <w:t> </w:t>
      </w:r>
      <w:r>
        <w:rPr/>
        <w:t>年</w:t>
      </w:r>
      <w:r>
        <w:rPr>
          <w:spacing w:val="-57"/>
        </w:rPr>
        <w:t> </w:t>
      </w:r>
      <w:r>
        <w:rPr>
          <w:rFonts w:ascii="宋体" w:hAnsi="宋体" w:cs="宋体" w:eastAsia="宋体" w:hint="default"/>
        </w:rPr>
        <w:t>8</w:t>
      </w:r>
      <w:r>
        <w:rPr>
          <w:rFonts w:ascii="宋体" w:hAnsi="宋体" w:cs="宋体" w:eastAsia="宋体" w:hint="default"/>
          <w:spacing w:val="-57"/>
        </w:rPr>
        <w:t> </w:t>
      </w:r>
      <w:r>
        <w:rPr/>
        <w:t>月</w:t>
      </w:r>
      <w:r>
        <w:rPr>
          <w:spacing w:val="-57"/>
        </w:rPr>
        <w:t> </w:t>
      </w:r>
      <w:r>
        <w:rPr>
          <w:rFonts w:ascii="宋体" w:hAnsi="宋体" w:cs="宋体" w:eastAsia="宋体" w:hint="default"/>
        </w:rPr>
        <w:t>27</w:t>
      </w:r>
      <w:r>
        <w:rPr>
          <w:rFonts w:ascii="宋体" w:hAnsi="宋体" w:cs="宋体" w:eastAsia="宋体" w:hint="default"/>
          <w:spacing w:val="-57"/>
        </w:rPr>
        <w:t> </w:t>
      </w:r>
      <w:r>
        <w:rPr/>
        <w:t>日，公司召开第六届董事会审计委员会第十二次会议，会议审议通过</w:t>
      </w:r>
    </w:p>
    <w:p>
      <w:pPr>
        <w:pStyle w:val="BodyText"/>
        <w:spacing w:line="312" w:lineRule="exact"/>
        <w:ind w:left="238" w:right="0"/>
        <w:jc w:val="both"/>
      </w:pPr>
      <w:r>
        <w:rPr/>
        <w:t>了公司</w:t>
      </w:r>
      <w:r>
        <w:rPr>
          <w:spacing w:val="-46"/>
        </w:rPr>
        <w:t> </w:t>
      </w:r>
      <w:r>
        <w:rPr>
          <w:rFonts w:ascii="宋体" w:hAnsi="宋体" w:cs="宋体" w:eastAsia="宋体" w:hint="default"/>
        </w:rPr>
        <w:t>2015</w:t>
      </w:r>
      <w:r>
        <w:rPr>
          <w:rFonts w:ascii="宋体" w:hAnsi="宋体" w:cs="宋体" w:eastAsia="宋体" w:hint="default"/>
          <w:spacing w:val="-46"/>
        </w:rPr>
        <w:t> </w:t>
      </w:r>
      <w:r>
        <w:rPr/>
        <w:t>年半年</w:t>
      </w:r>
      <w:r>
        <w:rPr>
          <w:spacing w:val="-3"/>
        </w:rPr>
        <w:t>度</w:t>
      </w:r>
      <w:r>
        <w:rPr/>
        <w:t>报告</w:t>
      </w:r>
      <w:r>
        <w:rPr>
          <w:spacing w:val="-120"/>
        </w:rPr>
        <w:t>、</w:t>
      </w:r>
      <w:r>
        <w:rPr/>
        <w:t>《公司</w:t>
      </w:r>
      <w:r>
        <w:rPr>
          <w:spacing w:val="-45"/>
        </w:rPr>
        <w:t> </w:t>
      </w:r>
      <w:r>
        <w:rPr>
          <w:rFonts w:ascii="宋体" w:hAnsi="宋体" w:cs="宋体" w:eastAsia="宋体" w:hint="default"/>
        </w:rPr>
        <w:t>2015</w:t>
      </w:r>
      <w:r>
        <w:rPr>
          <w:rFonts w:ascii="宋体" w:hAnsi="宋体" w:cs="宋体" w:eastAsia="宋体" w:hint="default"/>
          <w:spacing w:val="-46"/>
        </w:rPr>
        <w:t> </w:t>
      </w:r>
      <w:r>
        <w:rPr/>
        <w:t>年</w:t>
      </w:r>
      <w:r>
        <w:rPr>
          <w:spacing w:val="-3"/>
        </w:rPr>
        <w:t>内</w:t>
      </w:r>
      <w:r>
        <w:rPr/>
        <w:t>部审计计划</w:t>
      </w:r>
      <w:r>
        <w:rPr>
          <w:spacing w:val="-120"/>
        </w:rPr>
        <w:t>》、</w:t>
      </w:r>
      <w:r>
        <w:rPr/>
        <w:t>《公司</w:t>
      </w:r>
      <w:r>
        <w:rPr>
          <w:spacing w:val="-46"/>
        </w:rPr>
        <w:t> </w:t>
      </w:r>
      <w:r>
        <w:rPr>
          <w:rFonts w:ascii="宋体" w:hAnsi="宋体" w:cs="宋体" w:eastAsia="宋体" w:hint="default"/>
        </w:rPr>
        <w:t>2015</w:t>
      </w:r>
      <w:r>
        <w:rPr>
          <w:rFonts w:ascii="宋体" w:hAnsi="宋体" w:cs="宋体" w:eastAsia="宋体" w:hint="default"/>
          <w:spacing w:val="-45"/>
        </w:rPr>
        <w:t> </w:t>
      </w:r>
      <w:r>
        <w:rPr/>
        <w:t>年内部控制评价</w:t>
      </w:r>
    </w:p>
    <w:p>
      <w:pPr>
        <w:spacing w:after="0" w:line="312" w:lineRule="exact"/>
        <w:jc w:val="both"/>
        <w:sectPr>
          <w:headerReference w:type="default" r:id="rId23"/>
          <w:pgSz w:w="11910" w:h="16840"/>
          <w:pgMar w:header="628" w:footer="760" w:top="1080" w:bottom="960" w:left="1180" w:right="10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240" w:lineRule="auto" w:before="26"/>
        <w:ind w:right="0"/>
        <w:jc w:val="both"/>
      </w:pPr>
      <w:r>
        <w:rPr/>
        <w:t>工作计划</w:t>
      </w:r>
      <w:r>
        <w:rPr>
          <w:spacing w:val="-120"/>
        </w:rPr>
        <w:t>》</w:t>
      </w:r>
      <w:r>
        <w:rPr/>
        <w:t>。</w:t>
      </w:r>
    </w:p>
    <w:p>
      <w:pPr>
        <w:spacing w:line="240" w:lineRule="auto" w:before="7"/>
        <w:rPr>
          <w:rFonts w:ascii="宋体" w:hAnsi="宋体" w:cs="宋体" w:eastAsia="宋体" w:hint="default"/>
          <w:sz w:val="23"/>
          <w:szCs w:val="23"/>
        </w:rPr>
      </w:pPr>
    </w:p>
    <w:p>
      <w:pPr>
        <w:pStyle w:val="BodyText"/>
        <w:spacing w:line="313" w:lineRule="exact"/>
        <w:ind w:right="0"/>
        <w:jc w:val="both"/>
      </w:pPr>
      <w:r>
        <w:rPr>
          <w:rFonts w:ascii="宋体" w:hAnsi="宋体" w:cs="宋体" w:eastAsia="宋体" w:hint="default"/>
          <w:spacing w:val="-6"/>
        </w:rPr>
        <w:t>6</w:t>
      </w:r>
      <w:r>
        <w:rPr>
          <w:spacing w:val="-6"/>
        </w:rPr>
        <w:t>、</w:t>
      </w:r>
      <w:r>
        <w:rPr>
          <w:rFonts w:ascii="宋体" w:hAnsi="宋体" w:cs="宋体" w:eastAsia="宋体" w:hint="default"/>
          <w:spacing w:val="-6"/>
        </w:rPr>
        <w:t>2015</w:t>
      </w:r>
      <w:r>
        <w:rPr>
          <w:rFonts w:ascii="宋体" w:hAnsi="宋体" w:cs="宋体" w:eastAsia="宋体" w:hint="default"/>
          <w:spacing w:val="-57"/>
        </w:rPr>
        <w:t> </w:t>
      </w:r>
      <w:r>
        <w:rPr/>
        <w:t>年</w:t>
      </w:r>
      <w:r>
        <w:rPr>
          <w:spacing w:val="-56"/>
        </w:rPr>
        <w:t> </w:t>
      </w:r>
      <w:r>
        <w:rPr>
          <w:rFonts w:ascii="宋体" w:hAnsi="宋体" w:cs="宋体" w:eastAsia="宋体" w:hint="default"/>
        </w:rPr>
        <w:t>10</w:t>
      </w:r>
      <w:r>
        <w:rPr>
          <w:rFonts w:ascii="宋体" w:hAnsi="宋体" w:cs="宋体" w:eastAsia="宋体" w:hint="default"/>
          <w:spacing w:val="-56"/>
        </w:rPr>
        <w:t> </w:t>
      </w:r>
      <w:r>
        <w:rPr/>
        <w:t>月</w:t>
      </w:r>
      <w:r>
        <w:rPr>
          <w:spacing w:val="-56"/>
        </w:rPr>
        <w:t> </w:t>
      </w:r>
      <w:r>
        <w:rPr>
          <w:rFonts w:ascii="宋体" w:hAnsi="宋体" w:cs="宋体" w:eastAsia="宋体" w:hint="default"/>
        </w:rPr>
        <w:t>29</w:t>
      </w:r>
      <w:r>
        <w:rPr>
          <w:rFonts w:ascii="宋体" w:hAnsi="宋体" w:cs="宋体" w:eastAsia="宋体" w:hint="default"/>
          <w:spacing w:val="-56"/>
        </w:rPr>
        <w:t> </w:t>
      </w:r>
      <w:r>
        <w:rPr>
          <w:spacing w:val="-3"/>
        </w:rPr>
        <w:t>日，公司召开第六届董事会审计委员会第十三次会议，会议审议通过</w:t>
      </w:r>
    </w:p>
    <w:p>
      <w:pPr>
        <w:pStyle w:val="BodyText"/>
        <w:spacing w:line="313" w:lineRule="exact"/>
        <w:ind w:right="0"/>
        <w:jc w:val="both"/>
      </w:pPr>
      <w:r>
        <w:rPr/>
        <w:t>了公司</w:t>
      </w:r>
      <w:r>
        <w:rPr>
          <w:spacing w:val="-61"/>
        </w:rPr>
        <w:t> </w:t>
      </w:r>
      <w:r>
        <w:rPr>
          <w:rFonts w:ascii="宋体" w:hAnsi="宋体" w:cs="宋体" w:eastAsia="宋体" w:hint="default"/>
        </w:rPr>
        <w:t>2015</w:t>
      </w:r>
      <w:r>
        <w:rPr>
          <w:rFonts w:ascii="宋体" w:hAnsi="宋体" w:cs="宋体" w:eastAsia="宋体" w:hint="default"/>
          <w:spacing w:val="-60"/>
        </w:rPr>
        <w:t> </w:t>
      </w:r>
      <w:r>
        <w:rPr/>
        <w:t>年第三季度报告，并同意提交董事会审议。</w:t>
      </w:r>
    </w:p>
    <w:p>
      <w:pPr>
        <w:spacing w:line="240" w:lineRule="auto" w:before="11"/>
        <w:rPr>
          <w:rFonts w:ascii="宋体" w:hAnsi="宋体" w:cs="宋体" w:eastAsia="宋体" w:hint="default"/>
          <w:sz w:val="25"/>
          <w:szCs w:val="25"/>
        </w:rPr>
      </w:pPr>
    </w:p>
    <w:p>
      <w:pPr>
        <w:pStyle w:val="BodyText"/>
        <w:spacing w:line="312" w:lineRule="exact"/>
        <w:ind w:right="222"/>
        <w:jc w:val="both"/>
      </w:pPr>
      <w:r>
        <w:rPr>
          <w:rFonts w:ascii="宋体" w:hAnsi="宋体" w:cs="宋体" w:eastAsia="宋体" w:hint="default"/>
        </w:rPr>
        <w:t>7</w:t>
      </w:r>
      <w:r>
        <w:rPr/>
        <w:t>、</w:t>
      </w:r>
      <w:r>
        <w:rPr>
          <w:rFonts w:ascii="宋体" w:hAnsi="宋体" w:cs="宋体" w:eastAsia="宋体" w:hint="default"/>
        </w:rPr>
        <w:t>2015</w:t>
      </w:r>
      <w:r>
        <w:rPr>
          <w:rFonts w:ascii="宋体" w:hAnsi="宋体" w:cs="宋体" w:eastAsia="宋体" w:hint="default"/>
          <w:spacing w:val="-57"/>
        </w:rPr>
        <w:t> </w:t>
      </w:r>
      <w:r>
        <w:rPr/>
        <w:t>年</w:t>
      </w:r>
      <w:r>
        <w:rPr>
          <w:spacing w:val="-57"/>
        </w:rPr>
        <w:t> </w:t>
      </w:r>
      <w:r>
        <w:rPr>
          <w:rFonts w:ascii="宋体" w:hAnsi="宋体" w:cs="宋体" w:eastAsia="宋体" w:hint="default"/>
        </w:rPr>
        <w:t>11</w:t>
      </w:r>
      <w:r>
        <w:rPr>
          <w:rFonts w:ascii="宋体" w:hAnsi="宋体" w:cs="宋体" w:eastAsia="宋体" w:hint="default"/>
          <w:spacing w:val="-57"/>
        </w:rPr>
        <w:t> </w:t>
      </w:r>
      <w:r>
        <w:rPr/>
        <w:t>月</w:t>
      </w:r>
      <w:r>
        <w:rPr>
          <w:spacing w:val="-57"/>
        </w:rPr>
        <w:t> </w:t>
      </w:r>
      <w:r>
        <w:rPr>
          <w:rFonts w:ascii="宋体" w:hAnsi="宋体" w:cs="宋体" w:eastAsia="宋体" w:hint="default"/>
        </w:rPr>
        <w:t>2</w:t>
      </w:r>
      <w:r>
        <w:rPr>
          <w:rFonts w:ascii="宋体" w:hAnsi="宋体" w:cs="宋体" w:eastAsia="宋体" w:hint="default"/>
          <w:spacing w:val="-57"/>
        </w:rPr>
        <w:t> </w:t>
      </w:r>
      <w:r>
        <w:rPr/>
        <w:t>日，公司召开第六届董事会审计委员会第十四次会议，会议审议通过 了《关于向紫光春华转让同方国芯</w:t>
      </w:r>
      <w:r>
        <w:rPr>
          <w:spacing w:val="-38"/>
        </w:rPr>
        <w:t> </w:t>
      </w:r>
      <w:r>
        <w:rPr>
          <w:rFonts w:ascii="宋体" w:hAnsi="宋体" w:cs="宋体" w:eastAsia="宋体" w:hint="default"/>
        </w:rPr>
        <w:t>36.39%</w:t>
      </w:r>
      <w:r>
        <w:rPr/>
        <w:t>股权的关联交易暨预计新增日常关联交易的议 </w:t>
      </w:r>
      <w:r>
        <w:rPr>
          <w:spacing w:val="-12"/>
        </w:rPr>
        <w:t>案》、《关于同意与清华控股签署受让清控人居不低于</w:t>
      </w:r>
      <w:r>
        <w:rPr>
          <w:spacing w:val="-56"/>
        </w:rPr>
        <w:t> </w:t>
      </w:r>
      <w:r>
        <w:rPr>
          <w:rFonts w:ascii="宋体" w:hAnsi="宋体" w:cs="宋体" w:eastAsia="宋体" w:hint="default"/>
        </w:rPr>
        <w:t>80%</w:t>
      </w:r>
      <w:r>
        <w:rPr/>
        <w:t>的股权和深圳华融泰</w:t>
      </w:r>
      <w:r>
        <w:rPr>
          <w:spacing w:val="-56"/>
        </w:rPr>
        <w:t> </w:t>
      </w:r>
      <w:r>
        <w:rPr>
          <w:rFonts w:ascii="宋体" w:hAnsi="宋体" w:cs="宋体" w:eastAsia="宋体" w:hint="default"/>
        </w:rPr>
        <w:t>40%</w:t>
      </w:r>
      <w:r>
        <w:rPr/>
        <w:t>股权的</w:t>
      </w:r>
    </w:p>
    <w:p>
      <w:pPr>
        <w:pStyle w:val="BodyText"/>
        <w:spacing w:line="280" w:lineRule="exact"/>
        <w:ind w:right="0"/>
        <w:jc w:val="both"/>
      </w:pPr>
      <w:r>
        <w:rPr>
          <w:rFonts w:ascii="宋体" w:hAnsi="宋体" w:cs="宋体" w:eastAsia="宋体" w:hint="default"/>
          <w:spacing w:val="-4"/>
        </w:rPr>
        <w:t>&lt;</w:t>
      </w:r>
      <w:r>
        <w:rPr>
          <w:spacing w:val="-4"/>
        </w:rPr>
        <w:t>股权转让意向协议</w:t>
      </w:r>
      <w:r>
        <w:rPr>
          <w:rFonts w:ascii="宋体" w:hAnsi="宋体" w:cs="宋体" w:eastAsia="宋体" w:hint="default"/>
          <w:spacing w:val="-4"/>
        </w:rPr>
        <w:t>&gt;</w:t>
      </w:r>
      <w:r>
        <w:rPr>
          <w:spacing w:val="-4"/>
        </w:rPr>
        <w:t>的议案》和《关于修订公司</w:t>
      </w:r>
      <w:r>
        <w:rPr>
          <w:rFonts w:ascii="宋体" w:hAnsi="宋体" w:cs="宋体" w:eastAsia="宋体" w:hint="default"/>
          <w:spacing w:val="-4"/>
        </w:rPr>
        <w:t>&lt;</w:t>
      </w:r>
      <w:r>
        <w:rPr>
          <w:spacing w:val="-4"/>
        </w:rPr>
        <w:t>内部控制管理手册</w:t>
      </w:r>
      <w:r>
        <w:rPr>
          <w:rFonts w:ascii="宋体" w:hAnsi="宋体" w:cs="宋体" w:eastAsia="宋体" w:hint="default"/>
          <w:spacing w:val="-4"/>
        </w:rPr>
        <w:t>&gt;</w:t>
      </w:r>
      <w:r>
        <w:rPr>
          <w:spacing w:val="-4"/>
        </w:rPr>
        <w:t>、</w:t>
      </w:r>
      <w:r>
        <w:rPr>
          <w:rFonts w:ascii="宋体" w:hAnsi="宋体" w:cs="宋体" w:eastAsia="宋体" w:hint="default"/>
          <w:spacing w:val="-4"/>
        </w:rPr>
        <w:t>&lt;</w:t>
      </w:r>
      <w:r>
        <w:rPr>
          <w:spacing w:val="-4"/>
        </w:rPr>
        <w:t>风险控制手册</w:t>
      </w:r>
      <w:r>
        <w:rPr>
          <w:rFonts w:ascii="宋体" w:hAnsi="宋体" w:cs="宋体" w:eastAsia="宋体" w:hint="default"/>
          <w:spacing w:val="-4"/>
        </w:rPr>
        <w:t>&gt;</w:t>
      </w:r>
      <w:r>
        <w:rPr>
          <w:spacing w:val="-4"/>
        </w:rPr>
        <w:t>、</w:t>
      </w:r>
    </w:p>
    <w:p>
      <w:pPr>
        <w:spacing w:line="475" w:lineRule="auto" w:before="0"/>
        <w:ind w:left="415" w:right="2332" w:hanging="257"/>
        <w:jc w:val="left"/>
        <w:rPr>
          <w:rFonts w:ascii="宋体" w:hAnsi="宋体" w:cs="宋体" w:eastAsia="宋体" w:hint="default"/>
          <w:sz w:val="24"/>
          <w:szCs w:val="24"/>
        </w:rPr>
      </w:pPr>
      <w:r>
        <w:rPr>
          <w:rFonts w:ascii="宋体" w:hAnsi="宋体" w:cs="宋体" w:eastAsia="宋体" w:hint="default"/>
          <w:spacing w:val="-4"/>
          <w:sz w:val="24"/>
          <w:szCs w:val="24"/>
        </w:rPr>
        <w:t>&lt;</w:t>
      </w:r>
      <w:r>
        <w:rPr>
          <w:rFonts w:ascii="宋体" w:hAnsi="宋体" w:cs="宋体" w:eastAsia="宋体" w:hint="default"/>
          <w:spacing w:val="-4"/>
          <w:sz w:val="24"/>
          <w:szCs w:val="24"/>
        </w:rPr>
        <w:t>内部控制评价手册</w:t>
      </w:r>
      <w:r>
        <w:rPr>
          <w:rFonts w:ascii="宋体" w:hAnsi="宋体" w:cs="宋体" w:eastAsia="宋体" w:hint="default"/>
          <w:spacing w:val="-4"/>
          <w:sz w:val="24"/>
          <w:szCs w:val="24"/>
        </w:rPr>
        <w:t>&gt;</w:t>
      </w:r>
      <w:r>
        <w:rPr>
          <w:rFonts w:ascii="宋体" w:hAnsi="宋体" w:cs="宋体" w:eastAsia="宋体" w:hint="default"/>
          <w:spacing w:val="-4"/>
          <w:sz w:val="24"/>
          <w:szCs w:val="24"/>
        </w:rPr>
        <w:t>的议案》，并同意将上述议案提交董事会审议。</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b/>
          <w:bCs/>
          <w:sz w:val="24"/>
          <w:szCs w:val="24"/>
        </w:rPr>
        <w:t>(</w:t>
      </w:r>
      <w:r>
        <w:rPr>
          <w:rFonts w:ascii="宋体" w:hAnsi="宋体" w:cs="宋体" w:eastAsia="宋体" w:hint="default"/>
          <w:b/>
          <w:bCs/>
          <w:sz w:val="24"/>
          <w:szCs w:val="24"/>
        </w:rPr>
        <w:t>二</w:t>
      </w:r>
      <w:r>
        <w:rPr>
          <w:rFonts w:ascii="宋体" w:hAnsi="宋体" w:cs="宋体" w:eastAsia="宋体" w:hint="default"/>
          <w:b/>
          <w:bCs/>
          <w:sz w:val="24"/>
          <w:szCs w:val="24"/>
        </w:rPr>
        <w:t>)</w:t>
      </w:r>
      <w:r>
        <w:rPr>
          <w:rFonts w:ascii="宋体" w:hAnsi="宋体" w:cs="宋体" w:eastAsia="宋体" w:hint="default"/>
          <w:b/>
          <w:bCs/>
          <w:sz w:val="24"/>
          <w:szCs w:val="24"/>
        </w:rPr>
        <w:t>报告期内董事会薪酬与考核委员会履行职责情况</w:t>
      </w:r>
      <w:r>
        <w:rPr>
          <w:rFonts w:ascii="宋体" w:hAnsi="宋体" w:cs="宋体" w:eastAsia="宋体" w:hint="default"/>
          <w:sz w:val="24"/>
          <w:szCs w:val="24"/>
        </w:rPr>
      </w:r>
    </w:p>
    <w:p>
      <w:pPr>
        <w:pStyle w:val="BodyText"/>
        <w:spacing w:line="312" w:lineRule="exact" w:before="74"/>
        <w:ind w:right="0"/>
        <w:jc w:val="both"/>
      </w:pPr>
      <w:r>
        <w:rPr>
          <w:rFonts w:ascii="宋体" w:hAnsi="宋体" w:cs="宋体" w:eastAsia="宋体" w:hint="default"/>
        </w:rPr>
        <w:t>2015</w:t>
      </w:r>
      <w:r>
        <w:rPr>
          <w:rFonts w:ascii="宋体" w:hAnsi="宋体" w:cs="宋体" w:eastAsia="宋体" w:hint="default"/>
          <w:spacing w:val="-33"/>
        </w:rPr>
        <w:t> </w:t>
      </w:r>
      <w:r>
        <w:rPr/>
        <w:t>年</w:t>
      </w:r>
      <w:r>
        <w:rPr>
          <w:spacing w:val="-33"/>
        </w:rPr>
        <w:t> </w:t>
      </w:r>
      <w:r>
        <w:rPr>
          <w:rFonts w:ascii="宋体" w:hAnsi="宋体" w:cs="宋体" w:eastAsia="宋体" w:hint="default"/>
        </w:rPr>
        <w:t>4</w:t>
      </w:r>
      <w:r>
        <w:rPr>
          <w:rFonts w:ascii="宋体" w:hAnsi="宋体" w:cs="宋体" w:eastAsia="宋体" w:hint="default"/>
          <w:spacing w:val="-33"/>
        </w:rPr>
        <w:t> </w:t>
      </w:r>
      <w:r>
        <w:rPr/>
        <w:t>月</w:t>
      </w:r>
      <w:r>
        <w:rPr>
          <w:spacing w:val="-33"/>
        </w:rPr>
        <w:t> </w:t>
      </w:r>
      <w:r>
        <w:rPr>
          <w:rFonts w:ascii="宋体" w:hAnsi="宋体" w:cs="宋体" w:eastAsia="宋体" w:hint="default"/>
        </w:rPr>
        <w:t>24</w:t>
      </w:r>
      <w:r>
        <w:rPr>
          <w:rFonts w:ascii="宋体" w:hAnsi="宋体" w:cs="宋体" w:eastAsia="宋体" w:hint="default"/>
          <w:spacing w:val="-33"/>
        </w:rPr>
        <w:t> </w:t>
      </w:r>
      <w:r>
        <w:rPr/>
        <w:t>日，公司召开第六届董事会薪酬与考核委员会第二次会议，会议审阅了</w:t>
      </w:r>
    </w:p>
    <w:p>
      <w:pPr>
        <w:pStyle w:val="BodyText"/>
        <w:spacing w:line="311" w:lineRule="exact"/>
        <w:ind w:right="0"/>
        <w:jc w:val="both"/>
      </w:pPr>
      <w:r>
        <w:rPr>
          <w:rFonts w:ascii="宋体" w:hAnsi="宋体" w:cs="宋体" w:eastAsia="宋体" w:hint="default"/>
        </w:rPr>
        <w:t>2014</w:t>
      </w:r>
      <w:r>
        <w:rPr>
          <w:rFonts w:ascii="宋体" w:hAnsi="宋体" w:cs="宋体" w:eastAsia="宋体" w:hint="default"/>
          <w:spacing w:val="-39"/>
        </w:rPr>
        <w:t> </w:t>
      </w:r>
      <w:r>
        <w:rPr/>
        <w:t>年年报中披露的公司董事、监事和高级管理人员薪酬，并发表如下审核意见：公司</w:t>
      </w:r>
    </w:p>
    <w:p>
      <w:pPr>
        <w:pStyle w:val="BodyText"/>
        <w:spacing w:line="312" w:lineRule="exact"/>
        <w:ind w:right="0"/>
        <w:jc w:val="both"/>
      </w:pPr>
      <w:r>
        <w:rPr>
          <w:rFonts w:ascii="宋体" w:hAnsi="宋体" w:cs="宋体" w:eastAsia="宋体" w:hint="default"/>
        </w:rPr>
        <w:t>2014</w:t>
      </w:r>
      <w:r>
        <w:rPr>
          <w:rFonts w:ascii="宋体" w:hAnsi="宋体" w:cs="宋体" w:eastAsia="宋体" w:hint="default"/>
          <w:spacing w:val="-39"/>
        </w:rPr>
        <w:t> </w:t>
      </w:r>
      <w:r>
        <w:rPr/>
        <w:t>年度能严格按照高管薪酬和有关考核制度执行，制定的考核制度及薪酬发放的程序</w:t>
      </w:r>
    </w:p>
    <w:p>
      <w:pPr>
        <w:pStyle w:val="BodyText"/>
        <w:spacing w:line="311" w:lineRule="exact"/>
        <w:ind w:right="0"/>
        <w:jc w:val="both"/>
      </w:pPr>
      <w:r>
        <w:rPr/>
        <w:t>符合有关法律法规及公司章程的规定，同意在公司</w:t>
      </w:r>
      <w:r>
        <w:rPr>
          <w:spacing w:val="-80"/>
        </w:rPr>
        <w:t> </w:t>
      </w:r>
      <w:r>
        <w:rPr>
          <w:rFonts w:ascii="宋体" w:hAnsi="宋体" w:cs="宋体" w:eastAsia="宋体" w:hint="default"/>
        </w:rPr>
        <w:t>2014</w:t>
      </w:r>
      <w:r>
        <w:rPr>
          <w:rFonts w:ascii="宋体" w:hAnsi="宋体" w:cs="宋体" w:eastAsia="宋体" w:hint="default"/>
          <w:spacing w:val="-80"/>
        </w:rPr>
        <w:t> </w:t>
      </w:r>
      <w:r>
        <w:rPr/>
        <w:t>年年度报告中披露高管从公司领</w:t>
      </w:r>
    </w:p>
    <w:p>
      <w:pPr>
        <w:pStyle w:val="BodyText"/>
        <w:spacing w:line="311" w:lineRule="exact"/>
        <w:ind w:right="0"/>
        <w:jc w:val="both"/>
      </w:pPr>
      <w:r>
        <w:rPr/>
        <w:t>取的税前报酬总额。独立董事的薪酬仅采用津贴方式，同意在公司</w:t>
      </w:r>
      <w:r>
        <w:rPr>
          <w:spacing w:val="-80"/>
        </w:rPr>
        <w:t> </w:t>
      </w:r>
      <w:r>
        <w:rPr>
          <w:rFonts w:ascii="宋体" w:hAnsi="宋体" w:cs="宋体" w:eastAsia="宋体" w:hint="default"/>
        </w:rPr>
        <w:t>2014</w:t>
      </w:r>
      <w:r>
        <w:rPr>
          <w:rFonts w:ascii="宋体" w:hAnsi="宋体" w:cs="宋体" w:eastAsia="宋体" w:hint="default"/>
          <w:spacing w:val="-80"/>
        </w:rPr>
        <w:t> </w:t>
      </w:r>
      <w:r>
        <w:rPr/>
        <w:t>年年度报告中披</w:t>
      </w:r>
    </w:p>
    <w:p>
      <w:pPr>
        <w:spacing w:line="477" w:lineRule="auto" w:before="0"/>
        <w:ind w:left="415" w:right="88" w:hanging="257"/>
        <w:jc w:val="left"/>
        <w:rPr>
          <w:rFonts w:ascii="宋体" w:hAnsi="宋体" w:cs="宋体" w:eastAsia="宋体" w:hint="default"/>
          <w:sz w:val="24"/>
          <w:szCs w:val="24"/>
        </w:rPr>
      </w:pPr>
      <w:r>
        <w:rPr>
          <w:rFonts w:ascii="宋体" w:hAnsi="宋体" w:cs="宋体" w:eastAsia="宋体" w:hint="default"/>
          <w:spacing w:val="-5"/>
          <w:sz w:val="24"/>
          <w:szCs w:val="24"/>
        </w:rPr>
        <w:t>露独立董事从公司领取的税前报酬。委员会还审议通过了</w:t>
      </w:r>
      <w:r>
        <w:rPr>
          <w:rFonts w:ascii="宋体" w:hAnsi="宋体" w:cs="宋体" w:eastAsia="宋体" w:hint="default"/>
          <w:spacing w:val="-77"/>
          <w:sz w:val="24"/>
          <w:szCs w:val="24"/>
        </w:rPr>
        <w:t> </w:t>
      </w:r>
      <w:r>
        <w:rPr>
          <w:rFonts w:ascii="宋体" w:hAnsi="宋体" w:cs="宋体" w:eastAsia="宋体" w:hint="default"/>
          <w:sz w:val="24"/>
          <w:szCs w:val="24"/>
        </w:rPr>
        <w:t>2015</w:t>
      </w:r>
      <w:r>
        <w:rPr>
          <w:rFonts w:ascii="宋体" w:hAnsi="宋体" w:cs="宋体" w:eastAsia="宋体" w:hint="default"/>
          <w:spacing w:val="-78"/>
          <w:sz w:val="24"/>
          <w:szCs w:val="24"/>
        </w:rPr>
        <w:t> </w:t>
      </w:r>
      <w:r>
        <w:rPr>
          <w:rFonts w:ascii="宋体" w:hAnsi="宋体" w:cs="宋体" w:eastAsia="宋体" w:hint="default"/>
          <w:sz w:val="24"/>
          <w:szCs w:val="24"/>
        </w:rPr>
        <w:t>年管理层年薪的核定方案。 </w:t>
      </w:r>
      <w:r>
        <w:rPr>
          <w:rFonts w:ascii="宋体" w:hAnsi="宋体" w:cs="宋体" w:eastAsia="宋体" w:hint="default"/>
          <w:b/>
          <w:bCs/>
          <w:sz w:val="24"/>
          <w:szCs w:val="24"/>
        </w:rPr>
        <w:t>(</w:t>
      </w:r>
      <w:r>
        <w:rPr>
          <w:rFonts w:ascii="宋体" w:hAnsi="宋体" w:cs="宋体" w:eastAsia="宋体" w:hint="default"/>
          <w:b/>
          <w:bCs/>
          <w:sz w:val="24"/>
          <w:szCs w:val="24"/>
        </w:rPr>
        <w:t>三</w:t>
      </w:r>
      <w:r>
        <w:rPr>
          <w:rFonts w:ascii="宋体" w:hAnsi="宋体" w:cs="宋体" w:eastAsia="宋体" w:hint="default"/>
          <w:b/>
          <w:bCs/>
          <w:sz w:val="24"/>
          <w:szCs w:val="24"/>
        </w:rPr>
        <w:t>)</w:t>
      </w:r>
      <w:r>
        <w:rPr>
          <w:rFonts w:ascii="宋体" w:hAnsi="宋体" w:cs="宋体" w:eastAsia="宋体" w:hint="default"/>
          <w:b/>
          <w:bCs/>
          <w:sz w:val="24"/>
          <w:szCs w:val="24"/>
        </w:rPr>
        <w:t>报告期内董事会战略委员会履行职责情况</w:t>
      </w:r>
      <w:r>
        <w:rPr>
          <w:rFonts w:ascii="宋体" w:hAnsi="宋体" w:cs="宋体" w:eastAsia="宋体" w:hint="default"/>
          <w:sz w:val="24"/>
          <w:szCs w:val="24"/>
        </w:rPr>
      </w:r>
    </w:p>
    <w:p>
      <w:pPr>
        <w:pStyle w:val="BodyText"/>
        <w:spacing w:line="313" w:lineRule="exact" w:before="70"/>
        <w:ind w:right="0"/>
        <w:jc w:val="both"/>
      </w:pPr>
      <w:r>
        <w:rPr>
          <w:rFonts w:ascii="宋体" w:hAnsi="宋体" w:cs="宋体" w:eastAsia="宋体" w:hint="default"/>
        </w:rPr>
        <w:t>1</w:t>
      </w:r>
      <w:r>
        <w:rPr/>
        <w:t>、</w:t>
      </w:r>
      <w:r>
        <w:rPr>
          <w:rFonts w:ascii="宋体" w:hAnsi="宋体" w:cs="宋体" w:eastAsia="宋体" w:hint="default"/>
        </w:rPr>
        <w:t>2015</w:t>
      </w:r>
      <w:r>
        <w:rPr>
          <w:rFonts w:ascii="宋体" w:hAnsi="宋体" w:cs="宋体" w:eastAsia="宋体" w:hint="default"/>
          <w:spacing w:val="-57"/>
        </w:rPr>
        <w:t> </w:t>
      </w:r>
      <w:r>
        <w:rPr/>
        <w:t>年</w:t>
      </w:r>
      <w:r>
        <w:rPr>
          <w:spacing w:val="-57"/>
        </w:rPr>
        <w:t> </w:t>
      </w:r>
      <w:r>
        <w:rPr>
          <w:rFonts w:ascii="宋体" w:hAnsi="宋体" w:cs="宋体" w:eastAsia="宋体" w:hint="default"/>
        </w:rPr>
        <w:t>4</w:t>
      </w:r>
      <w:r>
        <w:rPr>
          <w:rFonts w:ascii="宋体" w:hAnsi="宋体" w:cs="宋体" w:eastAsia="宋体" w:hint="default"/>
          <w:spacing w:val="-57"/>
        </w:rPr>
        <w:t> </w:t>
      </w:r>
      <w:r>
        <w:rPr/>
        <w:t>月</w:t>
      </w:r>
      <w:r>
        <w:rPr>
          <w:spacing w:val="-57"/>
        </w:rPr>
        <w:t> </w:t>
      </w:r>
      <w:r>
        <w:rPr>
          <w:rFonts w:ascii="宋体" w:hAnsi="宋体" w:cs="宋体" w:eastAsia="宋体" w:hint="default"/>
        </w:rPr>
        <w:t>24</w:t>
      </w:r>
      <w:r>
        <w:rPr>
          <w:rFonts w:ascii="宋体" w:hAnsi="宋体" w:cs="宋体" w:eastAsia="宋体" w:hint="default"/>
          <w:spacing w:val="-57"/>
        </w:rPr>
        <w:t> </w:t>
      </w:r>
      <w:r>
        <w:rPr/>
        <w:t>日，公司召开第六届董事会战略委员会第四次会议，会议审议通过了</w:t>
      </w:r>
    </w:p>
    <w:p>
      <w:pPr>
        <w:pStyle w:val="BodyText"/>
        <w:spacing w:line="313" w:lineRule="exact"/>
        <w:ind w:right="0"/>
        <w:jc w:val="both"/>
      </w:pPr>
      <w:r>
        <w:rPr/>
        <w:t>《关于</w:t>
      </w:r>
      <w:r>
        <w:rPr>
          <w:spacing w:val="-61"/>
        </w:rPr>
        <w:t> </w:t>
      </w:r>
      <w:r>
        <w:rPr>
          <w:rFonts w:ascii="宋体" w:hAnsi="宋体" w:cs="宋体" w:eastAsia="宋体" w:hint="default"/>
        </w:rPr>
        <w:t>2014</w:t>
      </w:r>
      <w:r>
        <w:rPr>
          <w:rFonts w:ascii="宋体" w:hAnsi="宋体" w:cs="宋体" w:eastAsia="宋体" w:hint="default"/>
          <w:spacing w:val="-60"/>
        </w:rPr>
        <w:t> </w:t>
      </w:r>
      <w:r>
        <w:rPr/>
        <w:t>年利润分配和资本公积不转增股本的预案</w:t>
      </w:r>
      <w:r>
        <w:rPr>
          <w:spacing w:val="-120"/>
        </w:rPr>
        <w:t>》</w:t>
      </w:r>
      <w:r>
        <w:rPr/>
        <w:t>，同意提交董事会予以审议。</w:t>
      </w:r>
    </w:p>
    <w:p>
      <w:pPr>
        <w:spacing w:line="240" w:lineRule="auto" w:before="9"/>
        <w:rPr>
          <w:rFonts w:ascii="宋体" w:hAnsi="宋体" w:cs="宋体" w:eastAsia="宋体" w:hint="default"/>
          <w:sz w:val="23"/>
          <w:szCs w:val="23"/>
        </w:rPr>
      </w:pPr>
    </w:p>
    <w:p>
      <w:pPr>
        <w:pStyle w:val="BodyText"/>
        <w:spacing w:line="237" w:lineRule="auto"/>
        <w:ind w:right="221"/>
        <w:jc w:val="both"/>
      </w:pPr>
      <w:r>
        <w:rPr>
          <w:rFonts w:ascii="宋体" w:hAnsi="宋体" w:cs="宋体" w:eastAsia="宋体" w:hint="default"/>
          <w:spacing w:val="-6"/>
        </w:rPr>
        <w:t>2</w:t>
      </w:r>
      <w:r>
        <w:rPr>
          <w:spacing w:val="-6"/>
        </w:rPr>
        <w:t>、</w:t>
      </w:r>
      <w:r>
        <w:rPr>
          <w:rFonts w:ascii="宋体" w:hAnsi="宋体" w:cs="宋体" w:eastAsia="宋体" w:hint="default"/>
          <w:spacing w:val="-6"/>
        </w:rPr>
        <w:t>2015</w:t>
      </w:r>
      <w:r>
        <w:rPr>
          <w:rFonts w:ascii="宋体" w:hAnsi="宋体" w:cs="宋体" w:eastAsia="宋体" w:hint="default"/>
          <w:spacing w:val="-57"/>
        </w:rPr>
        <w:t> </w:t>
      </w:r>
      <w:r>
        <w:rPr/>
        <w:t>年</w:t>
      </w:r>
      <w:r>
        <w:rPr>
          <w:spacing w:val="-56"/>
        </w:rPr>
        <w:t> </w:t>
      </w:r>
      <w:r>
        <w:rPr>
          <w:rFonts w:ascii="宋体" w:hAnsi="宋体" w:cs="宋体" w:eastAsia="宋体" w:hint="default"/>
        </w:rPr>
        <w:t>10</w:t>
      </w:r>
      <w:r>
        <w:rPr>
          <w:rFonts w:ascii="宋体" w:hAnsi="宋体" w:cs="宋体" w:eastAsia="宋体" w:hint="default"/>
          <w:spacing w:val="-56"/>
        </w:rPr>
        <w:t> </w:t>
      </w:r>
      <w:r>
        <w:rPr/>
        <w:t>月</w:t>
      </w:r>
      <w:r>
        <w:rPr>
          <w:spacing w:val="-56"/>
        </w:rPr>
        <w:t> </w:t>
      </w:r>
      <w:r>
        <w:rPr>
          <w:rFonts w:ascii="宋体" w:hAnsi="宋体" w:cs="宋体" w:eastAsia="宋体" w:hint="default"/>
        </w:rPr>
        <w:t>27</w:t>
      </w:r>
      <w:r>
        <w:rPr>
          <w:rFonts w:ascii="宋体" w:hAnsi="宋体" w:cs="宋体" w:eastAsia="宋体" w:hint="default"/>
          <w:spacing w:val="-56"/>
        </w:rPr>
        <w:t> </w:t>
      </w:r>
      <w:r>
        <w:rPr>
          <w:spacing w:val="-3"/>
        </w:rPr>
        <w:t>日，公司召开第六届董事会战略委员会第五次会议，会议选举周立业</w:t>
      </w:r>
      <w:r>
        <w:rPr/>
        <w:t> 先生任公司第六届董事会战略委员会召集人，审议通过了《关于向紫光春华转让同方国</w:t>
      </w:r>
      <w:r>
        <w:rPr>
          <w:spacing w:val="-51"/>
        </w:rPr>
        <w:t> </w:t>
      </w:r>
      <w:r>
        <w:rPr>
          <w:spacing w:val="-51"/>
        </w:rPr>
      </w:r>
      <w:r>
        <w:rPr/>
        <w:t>芯</w:t>
      </w:r>
      <w:r>
        <w:rPr>
          <w:spacing w:val="-40"/>
        </w:rPr>
        <w:t> </w:t>
      </w:r>
      <w:r>
        <w:rPr>
          <w:rFonts w:ascii="宋体" w:hAnsi="宋体" w:cs="宋体" w:eastAsia="宋体" w:hint="default"/>
        </w:rPr>
        <w:t>36.48%</w:t>
      </w:r>
      <w:r>
        <w:rPr/>
        <w:t>股权的关联交易暨预计新增日常关联交易的议案》和《关于同意与清华控股签 署受让清控人居</w:t>
      </w:r>
      <w:r>
        <w:rPr>
          <w:spacing w:val="-57"/>
        </w:rPr>
        <w:t> </w:t>
      </w:r>
      <w:r>
        <w:rPr>
          <w:rFonts w:ascii="宋体" w:hAnsi="宋体" w:cs="宋体" w:eastAsia="宋体" w:hint="default"/>
        </w:rPr>
        <w:t>100%</w:t>
      </w:r>
      <w:r>
        <w:rPr/>
        <w:t>股权和深圳华融泰</w:t>
      </w:r>
      <w:r>
        <w:rPr>
          <w:spacing w:val="-56"/>
        </w:rPr>
        <w:t> </w:t>
      </w:r>
      <w:r>
        <w:rPr>
          <w:rFonts w:ascii="宋体" w:hAnsi="宋体" w:cs="宋体" w:eastAsia="宋体" w:hint="default"/>
          <w:spacing w:val="-7"/>
        </w:rPr>
        <w:t>40%</w:t>
      </w:r>
      <w:r>
        <w:rPr>
          <w:spacing w:val="-7"/>
        </w:rPr>
        <w:t>股权的</w:t>
      </w:r>
      <w:r>
        <w:rPr>
          <w:rFonts w:ascii="宋体" w:hAnsi="宋体" w:cs="宋体" w:eastAsia="宋体" w:hint="default"/>
          <w:spacing w:val="-7"/>
        </w:rPr>
        <w:t>&lt;</w:t>
      </w:r>
      <w:r>
        <w:rPr>
          <w:spacing w:val="-7"/>
        </w:rPr>
        <w:t>股权转让意向协议</w:t>
      </w:r>
      <w:r>
        <w:rPr>
          <w:rFonts w:ascii="宋体" w:hAnsi="宋体" w:cs="宋体" w:eastAsia="宋体" w:hint="default"/>
          <w:spacing w:val="-7"/>
        </w:rPr>
        <w:t>&gt;</w:t>
      </w:r>
      <w:r>
        <w:rPr>
          <w:spacing w:val="-7"/>
        </w:rPr>
        <w:t>的议案》，并同意</w:t>
      </w:r>
      <w:r>
        <w:rPr/>
        <w:t> 提交董事会审议。</w:t>
      </w:r>
    </w:p>
    <w:p>
      <w:pPr>
        <w:spacing w:line="240" w:lineRule="auto" w:before="7"/>
        <w:rPr>
          <w:rFonts w:ascii="宋体" w:hAnsi="宋体" w:cs="宋体" w:eastAsia="宋体" w:hint="default"/>
          <w:sz w:val="23"/>
          <w:szCs w:val="23"/>
        </w:rPr>
      </w:pPr>
    </w:p>
    <w:p>
      <w:pPr>
        <w:pStyle w:val="Heading3"/>
        <w:spacing w:line="240" w:lineRule="auto"/>
        <w:ind w:left="415" w:right="91"/>
        <w:jc w:val="left"/>
        <w:rPr>
          <w:b w:val="0"/>
          <w:bCs w:val="0"/>
        </w:rPr>
      </w:pPr>
      <w:r>
        <w:rPr>
          <w:rFonts w:ascii="宋体" w:hAnsi="宋体" w:cs="宋体" w:eastAsia="宋体" w:hint="default"/>
        </w:rPr>
        <w:t>(</w:t>
      </w:r>
      <w:r>
        <w:rPr/>
        <w:t>四</w:t>
      </w:r>
      <w:r>
        <w:rPr>
          <w:rFonts w:ascii="宋体" w:hAnsi="宋体" w:cs="宋体" w:eastAsia="宋体" w:hint="default"/>
        </w:rPr>
        <w:t>)</w:t>
      </w:r>
      <w:r>
        <w:rPr/>
        <w:t>报告期内董事会提名委员会履行职责情况</w:t>
      </w:r>
      <w:r>
        <w:rPr>
          <w:b w:val="0"/>
          <w:bCs w:val="0"/>
        </w:rPr>
      </w:r>
    </w:p>
    <w:p>
      <w:pPr>
        <w:spacing w:line="240" w:lineRule="auto" w:before="9"/>
        <w:rPr>
          <w:rFonts w:ascii="宋体" w:hAnsi="宋体" w:cs="宋体" w:eastAsia="宋体" w:hint="default"/>
          <w:b/>
          <w:bCs/>
          <w:sz w:val="23"/>
          <w:szCs w:val="23"/>
        </w:rPr>
      </w:pPr>
    </w:p>
    <w:p>
      <w:pPr>
        <w:pStyle w:val="BodyText"/>
        <w:spacing w:line="237" w:lineRule="auto"/>
        <w:ind w:right="218"/>
        <w:jc w:val="both"/>
      </w:pPr>
      <w:r>
        <w:rPr>
          <w:rFonts w:ascii="宋体" w:hAnsi="宋体" w:cs="宋体" w:eastAsia="宋体" w:hint="default"/>
        </w:rPr>
        <w:t>1</w:t>
      </w:r>
      <w:r>
        <w:rPr/>
        <w:t>、</w:t>
      </w:r>
      <w:r>
        <w:rPr>
          <w:rFonts w:ascii="宋体" w:hAnsi="宋体" w:cs="宋体" w:eastAsia="宋体" w:hint="default"/>
        </w:rPr>
        <w:t>2015</w:t>
      </w:r>
      <w:r>
        <w:rPr>
          <w:rFonts w:ascii="宋体" w:hAnsi="宋体" w:cs="宋体" w:eastAsia="宋体" w:hint="default"/>
          <w:spacing w:val="-57"/>
        </w:rPr>
        <w:t> </w:t>
      </w:r>
      <w:r>
        <w:rPr/>
        <w:t>年</w:t>
      </w:r>
      <w:r>
        <w:rPr>
          <w:spacing w:val="-57"/>
        </w:rPr>
        <w:t> </w:t>
      </w:r>
      <w:r>
        <w:rPr>
          <w:rFonts w:ascii="宋体" w:hAnsi="宋体" w:cs="宋体" w:eastAsia="宋体" w:hint="default"/>
        </w:rPr>
        <w:t>4</w:t>
      </w:r>
      <w:r>
        <w:rPr>
          <w:rFonts w:ascii="宋体" w:hAnsi="宋体" w:cs="宋体" w:eastAsia="宋体" w:hint="default"/>
          <w:spacing w:val="-57"/>
        </w:rPr>
        <w:t> </w:t>
      </w:r>
      <w:r>
        <w:rPr/>
        <w:t>月</w:t>
      </w:r>
      <w:r>
        <w:rPr>
          <w:spacing w:val="-57"/>
        </w:rPr>
        <w:t> </w:t>
      </w:r>
      <w:r>
        <w:rPr>
          <w:rFonts w:ascii="宋体" w:hAnsi="宋体" w:cs="宋体" w:eastAsia="宋体" w:hint="default"/>
        </w:rPr>
        <w:t>24</w:t>
      </w:r>
      <w:r>
        <w:rPr>
          <w:rFonts w:ascii="宋体" w:hAnsi="宋体" w:cs="宋体" w:eastAsia="宋体" w:hint="default"/>
          <w:spacing w:val="-57"/>
        </w:rPr>
        <w:t> </w:t>
      </w:r>
      <w:r>
        <w:rPr/>
        <w:t>日，公司召开第六届董事会提名委员会第一次会议，会议选举杨利女 士任公司第六届董事会提名委员会主席，并审阅了公司控股股东清华控股有限公司提名</w:t>
      </w:r>
      <w:r>
        <w:rPr>
          <w:spacing w:val="-51"/>
        </w:rPr>
        <w:t> </w:t>
      </w:r>
      <w:r>
        <w:rPr>
          <w:spacing w:val="-51"/>
        </w:rPr>
      </w:r>
      <w:r>
        <w:rPr/>
        <w:t>的何佳先生任公司独立董事的声明，经审阅何佳先生的个人履历等资料，委员会认为被</w:t>
      </w:r>
      <w:r>
        <w:rPr>
          <w:spacing w:val="-51"/>
        </w:rPr>
        <w:t> </w:t>
      </w:r>
      <w:r>
        <w:rPr>
          <w:spacing w:val="-51"/>
        </w:rPr>
      </w:r>
      <w:r>
        <w:rPr/>
        <w:t>提名人具备相关专业知识和相关决策、监督、协调能力，具备与其行使职权相应的任职</w:t>
      </w:r>
      <w:r>
        <w:rPr>
          <w:spacing w:val="-51"/>
        </w:rPr>
        <w:t> </w:t>
      </w:r>
      <w:r>
        <w:rPr>
          <w:spacing w:val="-51"/>
        </w:rPr>
      </w:r>
      <w:r>
        <w:rPr/>
        <w:t>条件，任职资格不存在《公司法》第</w:t>
      </w:r>
      <w:r>
        <w:rPr>
          <w:spacing w:val="19"/>
        </w:rPr>
        <w:t> </w:t>
      </w:r>
      <w:r>
        <w:rPr>
          <w:rFonts w:ascii="宋体" w:hAnsi="宋体" w:cs="宋体" w:eastAsia="宋体" w:hint="default"/>
        </w:rPr>
        <w:t>147</w:t>
      </w:r>
      <w:r>
        <w:rPr>
          <w:rFonts w:ascii="宋体" w:hAnsi="宋体" w:cs="宋体" w:eastAsia="宋体" w:hint="default"/>
          <w:spacing w:val="16"/>
        </w:rPr>
        <w:t> </w:t>
      </w:r>
      <w:r>
        <w:rPr/>
        <w:t>条、第</w:t>
      </w:r>
      <w:r>
        <w:rPr>
          <w:spacing w:val="19"/>
        </w:rPr>
        <w:t> </w:t>
      </w:r>
      <w:r>
        <w:rPr>
          <w:rFonts w:ascii="宋体" w:hAnsi="宋体" w:cs="宋体" w:eastAsia="宋体" w:hint="default"/>
        </w:rPr>
        <w:t>149</w:t>
      </w:r>
      <w:r>
        <w:rPr>
          <w:rFonts w:ascii="宋体" w:hAnsi="宋体" w:cs="宋体" w:eastAsia="宋体" w:hint="default"/>
          <w:spacing w:val="16"/>
        </w:rPr>
        <w:t> </w:t>
      </w:r>
      <w:r>
        <w:rPr/>
        <w:t>条规定的情形，以及被中国证监</w:t>
      </w:r>
      <w:r>
        <w:rPr>
          <w:spacing w:val="-118"/>
        </w:rPr>
        <w:t> </w:t>
      </w:r>
      <w:r>
        <w:rPr/>
        <w:t>会确定为市场禁入者且尚未解除的情况，也未曾受到中国证监会和上海证券交易所的任</w:t>
      </w:r>
      <w:r>
        <w:rPr>
          <w:spacing w:val="-52"/>
        </w:rPr>
        <w:t> </w:t>
      </w:r>
      <w:r>
        <w:rPr>
          <w:spacing w:val="-52"/>
        </w:rPr>
      </w:r>
      <w:r>
        <w:rPr/>
        <w:t>何处罚和惩戒，符合《公司法》和公司章程等有关规定。委员会同意清华控股有限公司</w:t>
      </w:r>
      <w:r>
        <w:rPr>
          <w:spacing w:val="-51"/>
        </w:rPr>
        <w:t> </w:t>
      </w:r>
      <w:r>
        <w:rPr>
          <w:spacing w:val="-51"/>
        </w:rPr>
      </w:r>
      <w:r>
        <w:rPr/>
        <w:t>提名何佳先生为公司董事会独立董事候选人，请提交董事会审议。</w:t>
      </w:r>
    </w:p>
    <w:p>
      <w:pPr>
        <w:spacing w:line="240" w:lineRule="auto" w:before="3"/>
        <w:rPr>
          <w:rFonts w:ascii="宋体" w:hAnsi="宋体" w:cs="宋体" w:eastAsia="宋体" w:hint="default"/>
          <w:sz w:val="26"/>
          <w:szCs w:val="26"/>
        </w:rPr>
      </w:pPr>
    </w:p>
    <w:p>
      <w:pPr>
        <w:pStyle w:val="BodyText"/>
        <w:spacing w:line="310" w:lineRule="exact"/>
        <w:ind w:right="221"/>
        <w:jc w:val="both"/>
      </w:pPr>
      <w:r>
        <w:rPr>
          <w:rFonts w:ascii="宋体" w:hAnsi="宋体" w:cs="宋体" w:eastAsia="宋体" w:hint="default"/>
        </w:rPr>
        <w:t>2</w:t>
      </w:r>
      <w:r>
        <w:rPr/>
        <w:t>、</w:t>
      </w:r>
      <w:r>
        <w:rPr>
          <w:rFonts w:ascii="宋体" w:hAnsi="宋体" w:cs="宋体" w:eastAsia="宋体" w:hint="default"/>
        </w:rPr>
        <w:t>2015</w:t>
      </w:r>
      <w:r>
        <w:rPr>
          <w:rFonts w:ascii="宋体" w:hAnsi="宋体" w:cs="宋体" w:eastAsia="宋体" w:hint="default"/>
          <w:spacing w:val="-57"/>
        </w:rPr>
        <w:t> </w:t>
      </w:r>
      <w:r>
        <w:rPr/>
        <w:t>年</w:t>
      </w:r>
      <w:r>
        <w:rPr>
          <w:spacing w:val="-57"/>
        </w:rPr>
        <w:t> </w:t>
      </w:r>
      <w:r>
        <w:rPr>
          <w:rFonts w:ascii="宋体" w:hAnsi="宋体" w:cs="宋体" w:eastAsia="宋体" w:hint="default"/>
        </w:rPr>
        <w:t>4</w:t>
      </w:r>
      <w:r>
        <w:rPr>
          <w:rFonts w:ascii="宋体" w:hAnsi="宋体" w:cs="宋体" w:eastAsia="宋体" w:hint="default"/>
          <w:spacing w:val="-57"/>
        </w:rPr>
        <w:t> </w:t>
      </w:r>
      <w:r>
        <w:rPr/>
        <w:t>月</w:t>
      </w:r>
      <w:r>
        <w:rPr>
          <w:spacing w:val="-57"/>
        </w:rPr>
        <w:t> </w:t>
      </w:r>
      <w:r>
        <w:rPr>
          <w:rFonts w:ascii="宋体" w:hAnsi="宋体" w:cs="宋体" w:eastAsia="宋体" w:hint="default"/>
        </w:rPr>
        <w:t>29</w:t>
      </w:r>
      <w:r>
        <w:rPr>
          <w:rFonts w:ascii="宋体" w:hAnsi="宋体" w:cs="宋体" w:eastAsia="宋体" w:hint="default"/>
          <w:spacing w:val="-57"/>
        </w:rPr>
        <w:t> </w:t>
      </w:r>
      <w:r>
        <w:rPr/>
        <w:t>日，公司召开第六届董事会提名委员会第二次会议，会议审阅了公司 控股股东清华控股有限公司提名的赵伟国先生任公司董事的声明，经审阅赵伟国先生的</w:t>
      </w:r>
    </w:p>
    <w:p>
      <w:pPr>
        <w:spacing w:after="0" w:line="310" w:lineRule="exact"/>
        <w:jc w:val="both"/>
        <w:sectPr>
          <w:pgSz w:w="11910" w:h="16840"/>
          <w:pgMar w:header="628" w:footer="760" w:top="1080" w:bottom="960" w:left="1260" w:right="10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237" w:lineRule="auto" w:before="28"/>
        <w:ind w:right="221"/>
        <w:jc w:val="both"/>
      </w:pPr>
      <w:r>
        <w:rPr>
          <w:spacing w:val="-5"/>
        </w:rPr>
        <w:t>个人履历等资料，委员会认为被提名人具备相关专业知识和相关决策、监督、协调能力，</w:t>
      </w:r>
      <w:r>
        <w:rPr>
          <w:spacing w:val="-84"/>
        </w:rPr>
        <w:t> </w:t>
      </w:r>
      <w:r>
        <w:rPr>
          <w:spacing w:val="-84"/>
        </w:rPr>
      </w:r>
      <w:r>
        <w:rPr/>
        <w:t>具备与其行使职权相应的任职条件，任职资格不存在《公司法》第</w:t>
      </w:r>
      <w:r>
        <w:rPr>
          <w:spacing w:val="17"/>
        </w:rPr>
        <w:t> </w:t>
      </w:r>
      <w:r>
        <w:rPr>
          <w:rFonts w:ascii="宋体" w:hAnsi="宋体" w:cs="宋体" w:eastAsia="宋体" w:hint="default"/>
        </w:rPr>
        <w:t>147</w:t>
      </w:r>
      <w:r>
        <w:rPr>
          <w:rFonts w:ascii="宋体" w:hAnsi="宋体" w:cs="宋体" w:eastAsia="宋体" w:hint="default"/>
          <w:spacing w:val="15"/>
        </w:rPr>
        <w:t> </w:t>
      </w:r>
      <w:r>
        <w:rPr/>
        <w:t>条、第</w:t>
      </w:r>
      <w:r>
        <w:rPr>
          <w:spacing w:val="16"/>
        </w:rPr>
        <w:t> </w:t>
      </w:r>
      <w:r>
        <w:rPr>
          <w:rFonts w:ascii="宋体" w:hAnsi="宋体" w:cs="宋体" w:eastAsia="宋体" w:hint="default"/>
        </w:rPr>
        <w:t>149</w:t>
      </w:r>
      <w:r>
        <w:rPr>
          <w:rFonts w:ascii="宋体" w:hAnsi="宋体" w:cs="宋体" w:eastAsia="宋体" w:hint="default"/>
          <w:spacing w:val="14"/>
        </w:rPr>
        <w:t> </w:t>
      </w:r>
      <w:r>
        <w:rPr/>
        <w:t>条</w:t>
      </w:r>
      <w:r>
        <w:rPr>
          <w:spacing w:val="-118"/>
        </w:rPr>
        <w:t> </w:t>
      </w:r>
      <w:r>
        <w:rPr/>
        <w:t>规定的情形，以及被中国证监会确定为市场禁入者且尚未解除的情况，也未曾受到中国</w:t>
      </w:r>
      <w:r>
        <w:rPr>
          <w:spacing w:val="-53"/>
        </w:rPr>
        <w:t> </w:t>
      </w:r>
      <w:r>
        <w:rPr>
          <w:spacing w:val="-53"/>
        </w:rPr>
      </w:r>
      <w:r>
        <w:rPr/>
        <w:t>证监会和上海证券交易所的任何处罚和惩戒，符合《公司法》和公司章程等有关规定。</w:t>
      </w:r>
      <w:r>
        <w:rPr>
          <w:spacing w:val="-51"/>
        </w:rPr>
        <w:t> </w:t>
      </w:r>
      <w:r>
        <w:rPr>
          <w:spacing w:val="-51"/>
        </w:rPr>
      </w:r>
      <w:r>
        <w:rPr/>
        <w:t>委员会同意清华控股有限公司提名赵伟国先生为公司董事会董事候选人，请提交董事会</w:t>
      </w:r>
      <w:r>
        <w:rPr>
          <w:spacing w:val="-51"/>
        </w:rPr>
        <w:t> </w:t>
      </w:r>
      <w:r>
        <w:rPr>
          <w:spacing w:val="-51"/>
        </w:rPr>
      </w:r>
      <w:r>
        <w:rPr/>
        <w:t>审议。</w:t>
      </w:r>
    </w:p>
    <w:p>
      <w:pPr>
        <w:spacing w:line="240" w:lineRule="auto" w:before="12"/>
        <w:rPr>
          <w:rFonts w:ascii="宋体" w:hAnsi="宋体" w:cs="宋体" w:eastAsia="宋体" w:hint="default"/>
          <w:sz w:val="23"/>
          <w:szCs w:val="23"/>
        </w:rPr>
      </w:pPr>
    </w:p>
    <w:p>
      <w:pPr>
        <w:pStyle w:val="BodyText"/>
        <w:spacing w:line="237" w:lineRule="auto"/>
        <w:ind w:right="220"/>
        <w:jc w:val="both"/>
      </w:pPr>
      <w:r>
        <w:rPr>
          <w:rFonts w:ascii="宋体" w:hAnsi="宋体" w:cs="宋体" w:eastAsia="宋体" w:hint="default"/>
        </w:rPr>
        <w:t>3</w:t>
      </w:r>
      <w:r>
        <w:rPr/>
        <w:t>、</w:t>
      </w:r>
      <w:r>
        <w:rPr>
          <w:rFonts w:ascii="宋体" w:hAnsi="宋体" w:cs="宋体" w:eastAsia="宋体" w:hint="default"/>
        </w:rPr>
        <w:t>2015</w:t>
      </w:r>
      <w:r>
        <w:rPr>
          <w:rFonts w:ascii="宋体" w:hAnsi="宋体" w:cs="宋体" w:eastAsia="宋体" w:hint="default"/>
          <w:spacing w:val="-57"/>
        </w:rPr>
        <w:t> </w:t>
      </w:r>
      <w:r>
        <w:rPr/>
        <w:t>年</w:t>
      </w:r>
      <w:r>
        <w:rPr>
          <w:spacing w:val="-57"/>
        </w:rPr>
        <w:t> </w:t>
      </w:r>
      <w:r>
        <w:rPr>
          <w:rFonts w:ascii="宋体" w:hAnsi="宋体" w:cs="宋体" w:eastAsia="宋体" w:hint="default"/>
        </w:rPr>
        <w:t>8</w:t>
      </w:r>
      <w:r>
        <w:rPr>
          <w:rFonts w:ascii="宋体" w:hAnsi="宋体" w:cs="宋体" w:eastAsia="宋体" w:hint="default"/>
          <w:spacing w:val="-57"/>
        </w:rPr>
        <w:t> </w:t>
      </w:r>
      <w:r>
        <w:rPr/>
        <w:t>月</w:t>
      </w:r>
      <w:r>
        <w:rPr>
          <w:spacing w:val="-57"/>
        </w:rPr>
        <w:t> </w:t>
      </w:r>
      <w:r>
        <w:rPr>
          <w:rFonts w:ascii="宋体" w:hAnsi="宋体" w:cs="宋体" w:eastAsia="宋体" w:hint="default"/>
        </w:rPr>
        <w:t>31</w:t>
      </w:r>
      <w:r>
        <w:rPr>
          <w:rFonts w:ascii="宋体" w:hAnsi="宋体" w:cs="宋体" w:eastAsia="宋体" w:hint="default"/>
          <w:spacing w:val="-57"/>
        </w:rPr>
        <w:t> </w:t>
      </w:r>
      <w:r>
        <w:rPr/>
        <w:t>日，公司召开第六届董事会提名委员会第三次会议，会议审阅了公司 控股股东清华控股有限公司提名的龙大伟先生、雷霖先生任公司董事的声明，经审阅龙</w:t>
      </w:r>
      <w:r>
        <w:rPr>
          <w:spacing w:val="-51"/>
        </w:rPr>
        <w:t> </w:t>
      </w:r>
      <w:r>
        <w:rPr>
          <w:spacing w:val="-51"/>
        </w:rPr>
      </w:r>
      <w:r>
        <w:rPr/>
        <w:t>大伟先生、雷霖先生的个人履历等资料，委员会认为被提名人具备相关专业知识和相关</w:t>
      </w:r>
      <w:r>
        <w:rPr>
          <w:spacing w:val="-51"/>
        </w:rPr>
        <w:t> </w:t>
      </w:r>
      <w:r>
        <w:rPr>
          <w:spacing w:val="-51"/>
        </w:rPr>
      </w:r>
      <w:r>
        <w:rPr>
          <w:spacing w:val="-5"/>
        </w:rPr>
        <w:t>决策、监督、协调能力，具备与其行使职权相应的任职条件，任职资格不存在《公司法》</w:t>
      </w:r>
      <w:r>
        <w:rPr>
          <w:spacing w:val="-84"/>
        </w:rPr>
        <w:t> </w:t>
      </w:r>
      <w:r>
        <w:rPr>
          <w:spacing w:val="-84"/>
        </w:rPr>
      </w:r>
      <w:r>
        <w:rPr/>
        <w:t>第</w:t>
      </w:r>
      <w:r>
        <w:rPr>
          <w:spacing w:val="17"/>
        </w:rPr>
        <w:t> </w:t>
      </w:r>
      <w:r>
        <w:rPr>
          <w:rFonts w:ascii="宋体" w:hAnsi="宋体" w:cs="宋体" w:eastAsia="宋体" w:hint="default"/>
        </w:rPr>
        <w:t>147</w:t>
      </w:r>
      <w:r>
        <w:rPr>
          <w:rFonts w:ascii="宋体" w:hAnsi="宋体" w:cs="宋体" w:eastAsia="宋体" w:hint="default"/>
          <w:spacing w:val="15"/>
        </w:rPr>
        <w:t> </w:t>
      </w:r>
      <w:r>
        <w:rPr/>
        <w:t>条、第</w:t>
      </w:r>
      <w:r>
        <w:rPr>
          <w:spacing w:val="17"/>
        </w:rPr>
        <w:t> </w:t>
      </w:r>
      <w:r>
        <w:rPr>
          <w:rFonts w:ascii="宋体" w:hAnsi="宋体" w:cs="宋体" w:eastAsia="宋体" w:hint="default"/>
        </w:rPr>
        <w:t>149</w:t>
      </w:r>
      <w:r>
        <w:rPr>
          <w:rFonts w:ascii="宋体" w:hAnsi="宋体" w:cs="宋体" w:eastAsia="宋体" w:hint="default"/>
          <w:spacing w:val="15"/>
        </w:rPr>
        <w:t> </w:t>
      </w:r>
      <w:r>
        <w:rPr/>
        <w:t>条规定的情形，以及被中国证监会确定为市场禁入者且尚未解除的</w:t>
      </w:r>
      <w:r>
        <w:rPr>
          <w:spacing w:val="-118"/>
        </w:rPr>
        <w:t> </w:t>
      </w:r>
      <w:r>
        <w:rPr>
          <w:spacing w:val="-118"/>
        </w:rPr>
      </w:r>
      <w:r>
        <w:rPr/>
        <w:t>情况，也未曾受到中国证监会和上海证券交易所的任何处罚和惩戒，符合《公司法》和</w:t>
      </w:r>
      <w:r>
        <w:rPr>
          <w:spacing w:val="-51"/>
        </w:rPr>
        <w:t> </w:t>
      </w:r>
      <w:r>
        <w:rPr>
          <w:spacing w:val="-51"/>
        </w:rPr>
      </w:r>
      <w:r>
        <w:rPr/>
        <w:t>公司章程等有关规定。委员会同意清华控股有限公司提名龙大伟先生、雷霖先生为公司</w:t>
      </w:r>
      <w:r>
        <w:rPr>
          <w:spacing w:val="-51"/>
        </w:rPr>
        <w:t> </w:t>
      </w:r>
      <w:r>
        <w:rPr>
          <w:spacing w:val="-51"/>
        </w:rPr>
      </w:r>
      <w:r>
        <w:rPr/>
        <w:t>董事会董事候选人，请提交董事会审议。</w:t>
      </w:r>
    </w:p>
    <w:p>
      <w:pPr>
        <w:spacing w:line="240" w:lineRule="auto" w:before="12"/>
        <w:rPr>
          <w:rFonts w:ascii="宋体" w:hAnsi="宋体" w:cs="宋体" w:eastAsia="宋体" w:hint="default"/>
          <w:sz w:val="23"/>
          <w:szCs w:val="23"/>
        </w:rPr>
      </w:pPr>
    </w:p>
    <w:p>
      <w:pPr>
        <w:pStyle w:val="BodyText"/>
        <w:spacing w:line="237" w:lineRule="auto"/>
        <w:ind w:right="220"/>
        <w:jc w:val="both"/>
      </w:pPr>
      <w:r>
        <w:rPr>
          <w:rFonts w:ascii="宋体" w:hAnsi="宋体" w:cs="宋体" w:eastAsia="宋体" w:hint="default"/>
        </w:rPr>
        <w:t>4</w:t>
      </w:r>
      <w:r>
        <w:rPr/>
        <w:t>、</w:t>
      </w:r>
      <w:r>
        <w:rPr>
          <w:rFonts w:ascii="宋体" w:hAnsi="宋体" w:cs="宋体" w:eastAsia="宋体" w:hint="default"/>
        </w:rPr>
        <w:t>2015</w:t>
      </w:r>
      <w:r>
        <w:rPr>
          <w:rFonts w:ascii="宋体" w:hAnsi="宋体" w:cs="宋体" w:eastAsia="宋体" w:hint="default"/>
          <w:spacing w:val="-57"/>
        </w:rPr>
        <w:t> </w:t>
      </w:r>
      <w:r>
        <w:rPr/>
        <w:t>年</w:t>
      </w:r>
      <w:r>
        <w:rPr>
          <w:spacing w:val="-57"/>
        </w:rPr>
        <w:t> </w:t>
      </w:r>
      <w:r>
        <w:rPr>
          <w:rFonts w:ascii="宋体" w:hAnsi="宋体" w:cs="宋体" w:eastAsia="宋体" w:hint="default"/>
        </w:rPr>
        <w:t>11</w:t>
      </w:r>
      <w:r>
        <w:rPr>
          <w:rFonts w:ascii="宋体" w:hAnsi="宋体" w:cs="宋体" w:eastAsia="宋体" w:hint="default"/>
          <w:spacing w:val="-57"/>
        </w:rPr>
        <w:t> </w:t>
      </w:r>
      <w:r>
        <w:rPr/>
        <w:t>月</w:t>
      </w:r>
      <w:r>
        <w:rPr>
          <w:spacing w:val="-57"/>
        </w:rPr>
        <w:t> </w:t>
      </w:r>
      <w:r>
        <w:rPr>
          <w:rFonts w:ascii="宋体" w:hAnsi="宋体" w:cs="宋体" w:eastAsia="宋体" w:hint="default"/>
        </w:rPr>
        <w:t>2</w:t>
      </w:r>
      <w:r>
        <w:rPr>
          <w:rFonts w:ascii="宋体" w:hAnsi="宋体" w:cs="宋体" w:eastAsia="宋体" w:hint="default"/>
          <w:spacing w:val="-57"/>
        </w:rPr>
        <w:t> </w:t>
      </w:r>
      <w:r>
        <w:rPr/>
        <w:t>日，公司召开第六届董事会提名委员会第四次会议，会议审阅了公司 控股股东清华控股有限公司提名的黄俞先生任公司董事的声明，经审阅黄俞先生的个人</w:t>
      </w:r>
      <w:r>
        <w:rPr>
          <w:spacing w:val="-51"/>
        </w:rPr>
        <w:t> </w:t>
      </w:r>
      <w:r>
        <w:rPr>
          <w:spacing w:val="-51"/>
        </w:rPr>
      </w:r>
      <w:r>
        <w:rPr/>
        <w:t>履历等资料，委员会认为被提名人具备相关专业知识和相关决策、监督、协调能力，具</w:t>
      </w:r>
      <w:r>
        <w:rPr>
          <w:spacing w:val="-50"/>
        </w:rPr>
        <w:t> </w:t>
      </w:r>
      <w:r>
        <w:rPr>
          <w:spacing w:val="-50"/>
        </w:rPr>
      </w:r>
      <w:r>
        <w:rPr/>
        <w:t>备与其行使职权相应的任职条件，任职资格不存在《公司法》第</w:t>
      </w:r>
      <w:r>
        <w:rPr>
          <w:spacing w:val="19"/>
        </w:rPr>
        <w:t> </w:t>
      </w:r>
      <w:r>
        <w:rPr>
          <w:rFonts w:ascii="宋体" w:hAnsi="宋体" w:cs="宋体" w:eastAsia="宋体" w:hint="default"/>
        </w:rPr>
        <w:t>147</w:t>
      </w:r>
      <w:r>
        <w:rPr>
          <w:rFonts w:ascii="宋体" w:hAnsi="宋体" w:cs="宋体" w:eastAsia="宋体" w:hint="default"/>
          <w:spacing w:val="15"/>
        </w:rPr>
        <w:t> </w:t>
      </w:r>
      <w:r>
        <w:rPr/>
        <w:t>条、第</w:t>
      </w:r>
      <w:r>
        <w:rPr>
          <w:spacing w:val="19"/>
        </w:rPr>
        <w:t> </w:t>
      </w:r>
      <w:r>
        <w:rPr>
          <w:rFonts w:ascii="宋体" w:hAnsi="宋体" w:cs="宋体" w:eastAsia="宋体" w:hint="default"/>
        </w:rPr>
        <w:t>149</w:t>
      </w:r>
      <w:r>
        <w:rPr>
          <w:rFonts w:ascii="宋体" w:hAnsi="宋体" w:cs="宋体" w:eastAsia="宋体" w:hint="default"/>
          <w:spacing w:val="15"/>
        </w:rPr>
        <w:t> </w:t>
      </w:r>
      <w:r>
        <w:rPr/>
        <w:t>条规</w:t>
      </w:r>
      <w:r>
        <w:rPr>
          <w:spacing w:val="-118"/>
        </w:rPr>
        <w:t> </w:t>
      </w:r>
      <w:r>
        <w:rPr/>
        <w:t>定的情形，以及被中国证监会确定为市场禁入者且尚未解除的情况，也未曾受到中国证</w:t>
      </w:r>
      <w:r>
        <w:rPr>
          <w:spacing w:val="-51"/>
        </w:rPr>
        <w:t> </w:t>
      </w:r>
      <w:r>
        <w:rPr>
          <w:spacing w:val="-51"/>
        </w:rPr>
      </w:r>
      <w:r>
        <w:rPr/>
        <w:t>监会和上海证券交易所的任何处罚和惩戒，符合《公司法》和公司章程等有关规定。委</w:t>
      </w:r>
    </w:p>
    <w:p>
      <w:pPr>
        <w:pStyle w:val="BodyText"/>
        <w:spacing w:line="312" w:lineRule="exact"/>
        <w:ind w:right="0"/>
        <w:jc w:val="both"/>
      </w:pPr>
      <w:r>
        <w:rPr/>
        <w:t>员会同意清华控股有限公司提名黄俞先生为公司董事会董事候选人，请提交董事会审议。</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7"/>
          <w:szCs w:val="17"/>
        </w:rPr>
      </w:pPr>
    </w:p>
    <w:p>
      <w:pPr>
        <w:pStyle w:val="Heading2"/>
        <w:spacing w:line="240" w:lineRule="auto"/>
        <w:ind w:left="158" w:right="0"/>
        <w:jc w:val="both"/>
      </w:pPr>
      <w:r>
        <w:rPr/>
        <w:t>五、监事会发现公司存在风险的说明</w:t>
      </w:r>
    </w:p>
    <w:p>
      <w:pPr>
        <w:spacing w:line="240" w:lineRule="auto" w:before="8"/>
        <w:rPr>
          <w:rFonts w:ascii="黑体" w:hAnsi="黑体" w:cs="黑体" w:eastAsia="黑体" w:hint="default"/>
          <w:sz w:val="28"/>
          <w:szCs w:val="28"/>
        </w:rPr>
      </w:pPr>
    </w:p>
    <w:p>
      <w:pPr>
        <w:pStyle w:val="BodyText"/>
        <w:spacing w:line="240" w:lineRule="auto"/>
        <w:ind w:right="0"/>
        <w:jc w:val="both"/>
      </w:pPr>
      <w:r>
        <w:rPr/>
        <w:t>监事会对报告期内的监督事项无异议。</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0"/>
          <w:szCs w:val="20"/>
        </w:rPr>
      </w:pPr>
    </w:p>
    <w:p>
      <w:pPr>
        <w:pStyle w:val="Heading2"/>
        <w:spacing w:line="362" w:lineRule="exact"/>
        <w:ind w:left="158" w:right="225"/>
        <w:jc w:val="both"/>
      </w:pPr>
      <w:r>
        <w:rPr>
          <w:spacing w:val="-3"/>
        </w:rPr>
        <w:t>六、公司就其与控股股东在业务、人员、资产、机构、财务等方面存在的不</w:t>
      </w:r>
      <w:r>
        <w:rPr>
          <w:spacing w:val="-90"/>
        </w:rPr>
        <w:t> </w:t>
      </w:r>
      <w:r>
        <w:rPr>
          <w:spacing w:val="-90"/>
        </w:rPr>
      </w:r>
      <w:r>
        <w:rPr/>
        <w:t>能保证独立性、不能保持自主经营能力的情况说明</w:t>
      </w:r>
    </w:p>
    <w:p>
      <w:pPr>
        <w:spacing w:line="240" w:lineRule="auto" w:before="5"/>
        <w:rPr>
          <w:rFonts w:ascii="黑体" w:hAnsi="黑体" w:cs="黑体" w:eastAsia="黑体" w:hint="default"/>
          <w:sz w:val="28"/>
          <w:szCs w:val="28"/>
        </w:rPr>
      </w:pPr>
    </w:p>
    <w:p>
      <w:pPr>
        <w:pStyle w:val="BodyText"/>
        <w:spacing w:line="312" w:lineRule="exact"/>
        <w:ind w:right="221"/>
        <w:jc w:val="both"/>
      </w:pPr>
      <w:r>
        <w:rPr/>
        <w:t>公司与控股股东在业务、人员、资产、机构、财务等方面不存在不能保证独立性、不能</w:t>
      </w:r>
      <w:r>
        <w:rPr>
          <w:spacing w:val="-51"/>
        </w:rPr>
        <w:t> </w:t>
      </w:r>
      <w:r>
        <w:rPr>
          <w:spacing w:val="-51"/>
        </w:rPr>
      </w:r>
      <w:r>
        <w:rPr/>
        <w:t>保持自主经营能力的情形。</w:t>
      </w:r>
    </w:p>
    <w:p>
      <w:pPr>
        <w:spacing w:line="240" w:lineRule="auto" w:before="0"/>
        <w:rPr>
          <w:rFonts w:ascii="宋体" w:hAnsi="宋体" w:cs="宋体" w:eastAsia="宋体" w:hint="default"/>
          <w:sz w:val="24"/>
          <w:szCs w:val="24"/>
        </w:rPr>
      </w:pPr>
    </w:p>
    <w:p>
      <w:pPr>
        <w:pStyle w:val="Heading2"/>
        <w:spacing w:line="240" w:lineRule="auto" w:before="199"/>
        <w:ind w:left="158" w:right="0"/>
        <w:jc w:val="both"/>
      </w:pPr>
      <w:r>
        <w:rPr>
          <w:spacing w:val="-3"/>
        </w:rPr>
        <w:t>七、报告期内对高级管理人员的考评机制，以及激励机制的建立、实施情况</w:t>
      </w:r>
    </w:p>
    <w:p>
      <w:pPr>
        <w:spacing w:line="240" w:lineRule="auto" w:before="10"/>
        <w:rPr>
          <w:rFonts w:ascii="黑体" w:hAnsi="黑体" w:cs="黑体" w:eastAsia="黑体" w:hint="default"/>
          <w:sz w:val="28"/>
          <w:szCs w:val="28"/>
        </w:rPr>
      </w:pPr>
    </w:p>
    <w:p>
      <w:pPr>
        <w:pStyle w:val="BodyText"/>
        <w:spacing w:line="237" w:lineRule="auto"/>
        <w:ind w:right="221"/>
        <w:jc w:val="both"/>
      </w:pPr>
      <w:r>
        <w:rPr/>
        <w:t>按照公司资产规模、经营业绩和承担工作的职责等考评指标公司对高级管理人员的绩效</w:t>
      </w:r>
      <w:r>
        <w:rPr>
          <w:spacing w:val="-51"/>
        </w:rPr>
        <w:t> </w:t>
      </w:r>
      <w:r>
        <w:rPr>
          <w:spacing w:val="-51"/>
        </w:rPr>
      </w:r>
      <w:r>
        <w:rPr/>
        <w:t>进行考核，薪酬体系采用年薪制。目前，公司针对公司高级管理人员和核心技术骨干拟</w:t>
      </w:r>
      <w:r>
        <w:rPr>
          <w:spacing w:val="-51"/>
        </w:rPr>
        <w:t> </w:t>
      </w:r>
      <w:r>
        <w:rPr>
          <w:spacing w:val="-51"/>
        </w:rPr>
      </w:r>
      <w:r>
        <w:rPr/>
        <w:t>定的以股票期权计划为基础的考评及激励机制尚未实施。</w:t>
      </w:r>
    </w:p>
    <w:p>
      <w:pPr>
        <w:spacing w:after="0" w:line="237" w:lineRule="auto"/>
        <w:jc w:val="both"/>
        <w:sectPr>
          <w:pgSz w:w="11910" w:h="16840"/>
          <w:pgMar w:header="628" w:footer="760" w:top="1080" w:bottom="960" w:left="1260" w:right="106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1"/>
          <w:szCs w:val="21"/>
        </w:rPr>
      </w:pPr>
    </w:p>
    <w:p>
      <w:pPr>
        <w:pStyle w:val="Heading2"/>
        <w:spacing w:line="240" w:lineRule="auto" w:before="14"/>
        <w:ind w:left="158" w:right="91"/>
        <w:jc w:val="left"/>
      </w:pPr>
      <w:r>
        <w:rPr/>
        <w:t>八、是否披露内部控制自我评价报告</w:t>
      </w:r>
    </w:p>
    <w:p>
      <w:pPr>
        <w:spacing w:line="240" w:lineRule="auto" w:before="8"/>
        <w:rPr>
          <w:rFonts w:ascii="黑体" w:hAnsi="黑体" w:cs="黑体" w:eastAsia="黑体" w:hint="default"/>
          <w:sz w:val="28"/>
          <w:szCs w:val="28"/>
        </w:rPr>
      </w:pPr>
    </w:p>
    <w:p>
      <w:pPr>
        <w:pStyle w:val="BodyText"/>
        <w:spacing w:line="240" w:lineRule="auto"/>
        <w:ind w:right="0"/>
        <w:jc w:val="left"/>
      </w:pPr>
      <w:r>
        <w:rPr/>
        <w:t>公司已于</w:t>
      </w:r>
      <w:r>
        <w:rPr>
          <w:spacing w:val="-80"/>
        </w:rPr>
        <w:t> </w:t>
      </w:r>
      <w:r>
        <w:rPr>
          <w:rFonts w:ascii="宋体" w:hAnsi="宋体" w:cs="宋体" w:eastAsia="宋体" w:hint="default"/>
        </w:rPr>
        <w:t>2016</w:t>
      </w:r>
      <w:r>
        <w:rPr>
          <w:rFonts w:ascii="宋体" w:hAnsi="宋体" w:cs="宋体" w:eastAsia="宋体" w:hint="default"/>
          <w:spacing w:val="-80"/>
        </w:rPr>
        <w:t> </w:t>
      </w:r>
      <w:r>
        <w:rPr/>
        <w:t>年</w:t>
      </w:r>
      <w:r>
        <w:rPr>
          <w:spacing w:val="-80"/>
        </w:rPr>
        <w:t> </w:t>
      </w:r>
      <w:r>
        <w:rPr>
          <w:rFonts w:ascii="宋体" w:hAnsi="宋体" w:cs="宋体" w:eastAsia="宋体" w:hint="default"/>
        </w:rPr>
        <w:t>4</w:t>
      </w:r>
      <w:r>
        <w:rPr>
          <w:rFonts w:ascii="宋体" w:hAnsi="宋体" w:cs="宋体" w:eastAsia="宋体" w:hint="default"/>
          <w:spacing w:val="-80"/>
        </w:rPr>
        <w:t> </w:t>
      </w:r>
      <w:r>
        <w:rPr/>
        <w:t>月</w:t>
      </w:r>
      <w:r>
        <w:rPr>
          <w:spacing w:val="-80"/>
        </w:rPr>
        <w:t> </w:t>
      </w:r>
      <w:r>
        <w:rPr>
          <w:rFonts w:ascii="宋体" w:hAnsi="宋体" w:cs="宋体" w:eastAsia="宋体" w:hint="default"/>
          <w:spacing w:val="-3"/>
        </w:rPr>
        <w:t>2</w:t>
      </w:r>
      <w:r>
        <w:rPr>
          <w:rFonts w:ascii="宋体" w:hAnsi="宋体" w:cs="宋体" w:eastAsia="宋体" w:hint="default"/>
        </w:rPr>
        <w:t>0</w:t>
      </w:r>
      <w:r>
        <w:rPr>
          <w:rFonts w:ascii="宋体" w:hAnsi="宋体" w:cs="宋体" w:eastAsia="宋体" w:hint="default"/>
          <w:spacing w:val="-79"/>
        </w:rPr>
        <w:t> </w:t>
      </w:r>
      <w:r>
        <w:rPr/>
        <w:t>日披露</w:t>
      </w:r>
      <w:r>
        <w:rPr>
          <w:spacing w:val="-120"/>
        </w:rPr>
        <w:t>了</w:t>
      </w:r>
      <w:r>
        <w:rPr/>
        <w:t>《同方股份有限公司</w:t>
      </w:r>
      <w:r>
        <w:rPr>
          <w:spacing w:val="-79"/>
        </w:rPr>
        <w:t> </w:t>
      </w:r>
      <w:r>
        <w:rPr>
          <w:rFonts w:ascii="宋体" w:hAnsi="宋体" w:cs="宋体" w:eastAsia="宋体" w:hint="default"/>
        </w:rPr>
        <w:t>2015</w:t>
      </w:r>
      <w:r>
        <w:rPr>
          <w:rFonts w:ascii="宋体" w:hAnsi="宋体" w:cs="宋体" w:eastAsia="宋体" w:hint="default"/>
          <w:spacing w:val="-80"/>
        </w:rPr>
        <w:t> </w:t>
      </w:r>
      <w:r>
        <w:rPr/>
        <w:t>年度内部控制自我评价报告</w:t>
      </w:r>
      <w:r>
        <w:rPr>
          <w:spacing w:val="-120"/>
        </w:rPr>
        <w:t>》</w:t>
      </w:r>
      <w:r>
        <w:rPr/>
        <w:t>。</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7"/>
          <w:szCs w:val="17"/>
        </w:rPr>
      </w:pPr>
    </w:p>
    <w:p>
      <w:pPr>
        <w:pStyle w:val="Heading2"/>
        <w:spacing w:line="240" w:lineRule="auto"/>
        <w:ind w:left="158" w:right="91"/>
        <w:jc w:val="left"/>
      </w:pPr>
      <w:r>
        <w:rPr/>
        <w:t>九、内部控制审计报告的相关情况说明</w:t>
      </w:r>
    </w:p>
    <w:p>
      <w:pPr>
        <w:spacing w:line="240" w:lineRule="auto" w:before="8"/>
        <w:rPr>
          <w:rFonts w:ascii="黑体" w:hAnsi="黑体" w:cs="黑体" w:eastAsia="黑体" w:hint="default"/>
          <w:sz w:val="28"/>
          <w:szCs w:val="28"/>
        </w:rPr>
      </w:pPr>
    </w:p>
    <w:p>
      <w:pPr>
        <w:pStyle w:val="BodyText"/>
        <w:spacing w:line="240" w:lineRule="auto"/>
        <w:ind w:right="91"/>
        <w:jc w:val="left"/>
      </w:pPr>
      <w:r>
        <w:rPr/>
        <w:t>公司已于</w:t>
      </w:r>
      <w:r>
        <w:rPr>
          <w:spacing w:val="-61"/>
        </w:rPr>
        <w:t> </w:t>
      </w:r>
      <w:r>
        <w:rPr>
          <w:rFonts w:ascii="宋体" w:hAnsi="宋体" w:cs="宋体" w:eastAsia="宋体" w:hint="default"/>
        </w:rPr>
        <w:t>2016</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20</w:t>
      </w:r>
      <w:r>
        <w:rPr>
          <w:rFonts w:ascii="宋体" w:hAnsi="宋体" w:cs="宋体" w:eastAsia="宋体" w:hint="default"/>
          <w:spacing w:val="-60"/>
        </w:rPr>
        <w:t> </w:t>
      </w:r>
      <w:r>
        <w:rPr/>
        <w:t>日披露了《同方股份有限公司</w:t>
      </w:r>
      <w:r>
        <w:rPr>
          <w:spacing w:val="-60"/>
        </w:rPr>
        <w:t> </w:t>
      </w:r>
      <w:r>
        <w:rPr>
          <w:rFonts w:ascii="宋体" w:hAnsi="宋体" w:cs="宋体" w:eastAsia="宋体" w:hint="default"/>
        </w:rPr>
        <w:t>2015</w:t>
      </w:r>
      <w:r>
        <w:rPr>
          <w:rFonts w:ascii="宋体" w:hAnsi="宋体" w:cs="宋体" w:eastAsia="宋体" w:hint="default"/>
          <w:spacing w:val="-60"/>
        </w:rPr>
        <w:t> </w:t>
      </w:r>
      <w:r>
        <w:rPr/>
        <w:t>年度内部控制审计报告</w:t>
      </w:r>
      <w:r>
        <w:rPr>
          <w:spacing w:val="-120"/>
        </w:rPr>
        <w:t>》</w:t>
      </w:r>
      <w:r>
        <w:rPr/>
        <w:t>。</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17"/>
          <w:szCs w:val="17"/>
        </w:rPr>
      </w:pPr>
    </w:p>
    <w:p>
      <w:pPr>
        <w:pStyle w:val="Heading2"/>
        <w:spacing w:line="240" w:lineRule="auto"/>
        <w:ind w:left="158" w:right="91"/>
        <w:jc w:val="left"/>
      </w:pPr>
      <w:r>
        <w:rPr/>
        <w:t>十、其他</w:t>
      </w:r>
    </w:p>
    <w:p>
      <w:pPr>
        <w:spacing w:line="240" w:lineRule="auto" w:before="8"/>
        <w:rPr>
          <w:rFonts w:ascii="黑体" w:hAnsi="黑体" w:cs="黑体" w:eastAsia="黑体" w:hint="default"/>
          <w:sz w:val="28"/>
          <w:szCs w:val="28"/>
        </w:rPr>
      </w:pPr>
    </w:p>
    <w:p>
      <w:pPr>
        <w:pStyle w:val="BodyText"/>
        <w:spacing w:line="240" w:lineRule="auto"/>
        <w:ind w:right="91"/>
        <w:jc w:val="left"/>
      </w:pPr>
      <w:r>
        <w:rPr/>
        <w:t>无。</w:t>
      </w:r>
    </w:p>
    <w:p>
      <w:pPr>
        <w:spacing w:after="0" w:line="240" w:lineRule="auto"/>
        <w:jc w:val="left"/>
        <w:sectPr>
          <w:pgSz w:w="11910" w:h="16840"/>
          <w:pgMar w:header="628" w:footer="760" w:top="1080" w:bottom="960" w:left="1260" w:right="106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pStyle w:val="Heading1"/>
        <w:tabs>
          <w:tab w:pos="4246" w:val="left" w:leader="none"/>
        </w:tabs>
        <w:spacing w:line="240" w:lineRule="auto"/>
        <w:ind w:left="2960" w:right="0"/>
        <w:jc w:val="left"/>
        <w:rPr>
          <w:b w:val="0"/>
          <w:bCs w:val="0"/>
        </w:rPr>
      </w:pPr>
      <w:bookmarkStart w:name="_TOC_250002" w:id="9"/>
      <w:r>
        <w:rPr>
          <w:w w:val="95"/>
        </w:rPr>
        <w:t>第十章</w:t>
        <w:tab/>
      </w:r>
      <w:r>
        <w:rPr/>
        <w:t>公司债券相关情况</w:t>
      </w:r>
      <w:bookmarkEnd w:id="9"/>
      <w:r>
        <w:rPr>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pStyle w:val="BodyText"/>
        <w:spacing w:line="240" w:lineRule="auto" w:before="190"/>
        <w:ind w:right="0"/>
        <w:jc w:val="left"/>
      </w:pPr>
      <w:r>
        <w:rPr/>
        <w:t>不适用。</w:t>
      </w:r>
    </w:p>
    <w:p>
      <w:pPr>
        <w:spacing w:after="0" w:line="240" w:lineRule="auto"/>
        <w:jc w:val="left"/>
        <w:sectPr>
          <w:pgSz w:w="11910" w:h="16840"/>
          <w:pgMar w:header="628" w:footer="760" w:top="1080" w:bottom="960" w:left="1260" w:right="11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Heading1"/>
        <w:spacing w:line="240" w:lineRule="auto"/>
        <w:ind w:left="3503" w:right="3238"/>
        <w:jc w:val="center"/>
        <w:rPr>
          <w:b w:val="0"/>
          <w:bCs w:val="0"/>
        </w:rPr>
      </w:pPr>
      <w:bookmarkStart w:name="_TOC_250001" w:id="10"/>
      <w:r>
        <w:rPr/>
        <w:t>第十一章</w:t>
      </w:r>
      <w:r>
        <w:rPr>
          <w:spacing w:val="-6"/>
        </w:rPr>
        <w:t> </w:t>
      </w:r>
      <w:r>
        <w:rPr/>
        <w:t>财务报告</w:t>
      </w:r>
      <w:bookmarkEnd w:id="10"/>
      <w:r>
        <w:rPr>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2"/>
        <w:rPr>
          <w:rFonts w:ascii="黑体" w:hAnsi="黑体" w:cs="黑体" w:eastAsia="黑体" w:hint="default"/>
          <w:b/>
          <w:bCs/>
          <w:sz w:val="29"/>
          <w:szCs w:val="29"/>
        </w:rPr>
      </w:pPr>
    </w:p>
    <w:p>
      <w:pPr>
        <w:spacing w:after="0" w:line="240" w:lineRule="auto"/>
        <w:rPr>
          <w:rFonts w:ascii="黑体" w:hAnsi="黑体" w:cs="黑体" w:eastAsia="黑体" w:hint="default"/>
          <w:sz w:val="29"/>
          <w:szCs w:val="29"/>
        </w:rPr>
        <w:sectPr>
          <w:pgSz w:w="11910" w:h="16840"/>
          <w:pgMar w:header="628" w:footer="760" w:top="1080" w:bottom="960" w:left="1260" w:right="1140"/>
        </w:sectPr>
      </w:pPr>
    </w:p>
    <w:p>
      <w:pPr>
        <w:pStyle w:val="Heading2"/>
        <w:spacing w:line="240" w:lineRule="auto" w:before="14"/>
        <w:ind w:left="0" w:right="0"/>
        <w:jc w:val="right"/>
      </w:pPr>
      <w:r>
        <w:rPr/>
        <w:t>审计报告</w:t>
      </w:r>
    </w:p>
    <w:p>
      <w:pPr>
        <w:spacing w:line="240" w:lineRule="auto" w:before="0"/>
        <w:rPr>
          <w:rFonts w:ascii="黑体" w:hAnsi="黑体" w:cs="黑体" w:eastAsia="黑体" w:hint="default"/>
          <w:sz w:val="22"/>
          <w:szCs w:val="22"/>
        </w:rPr>
      </w:pPr>
      <w:r>
        <w:rPr/>
        <w:br w:type="column"/>
      </w:r>
      <w:r>
        <w:rPr>
          <w:rFonts w:ascii="黑体"/>
          <w:sz w:val="22"/>
        </w:rPr>
      </w:r>
    </w:p>
    <w:p>
      <w:pPr>
        <w:spacing w:before="168"/>
        <w:ind w:left="2077" w:right="0" w:firstLine="0"/>
        <w:jc w:val="left"/>
        <w:rPr>
          <w:rFonts w:ascii="宋体" w:hAnsi="宋体" w:cs="宋体" w:eastAsia="宋体" w:hint="default"/>
          <w:sz w:val="22"/>
          <w:szCs w:val="22"/>
        </w:rPr>
      </w:pPr>
      <w:r>
        <w:rPr>
          <w:rFonts w:ascii="宋体"/>
          <w:sz w:val="22"/>
        </w:rPr>
        <w:t>XYZH/</w:t>
      </w:r>
      <w:r>
        <w:rPr>
          <w:rFonts w:ascii="宋体"/>
          <w:spacing w:val="-57"/>
          <w:sz w:val="22"/>
        </w:rPr>
        <w:t> </w:t>
      </w:r>
      <w:r>
        <w:rPr>
          <w:rFonts w:ascii="宋体"/>
          <w:sz w:val="22"/>
        </w:rPr>
        <w:t>2016BJA80165</w:t>
      </w:r>
    </w:p>
    <w:p>
      <w:pPr>
        <w:spacing w:after="0"/>
        <w:jc w:val="left"/>
        <w:rPr>
          <w:rFonts w:ascii="宋体" w:hAnsi="宋体" w:cs="宋体" w:eastAsia="宋体" w:hint="default"/>
          <w:sz w:val="22"/>
          <w:szCs w:val="22"/>
        </w:rPr>
        <w:sectPr>
          <w:type w:val="continuous"/>
          <w:pgSz w:w="11910" w:h="16840"/>
          <w:pgMar w:top="1020" w:bottom="280" w:left="1260" w:right="1140"/>
          <w:cols w:num="2" w:equalWidth="0">
            <w:col w:w="5322" w:space="40"/>
            <w:col w:w="4148"/>
          </w:cols>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3"/>
        <w:spacing w:line="240" w:lineRule="auto" w:before="26"/>
        <w:ind w:left="158" w:right="0"/>
        <w:jc w:val="left"/>
        <w:rPr>
          <w:b w:val="0"/>
          <w:bCs w:val="0"/>
        </w:rPr>
      </w:pPr>
      <w:r>
        <w:rPr/>
        <w:t>同方股份有限公司全体股东：</w:t>
      </w:r>
      <w:r>
        <w:rPr>
          <w:b w:val="0"/>
          <w:bCs w:val="0"/>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18"/>
          <w:szCs w:val="18"/>
        </w:rPr>
      </w:pPr>
    </w:p>
    <w:p>
      <w:pPr>
        <w:pStyle w:val="BodyText"/>
        <w:spacing w:line="312" w:lineRule="exact"/>
        <w:ind w:left="638" w:right="0"/>
        <w:jc w:val="left"/>
      </w:pPr>
      <w:r>
        <w:rPr/>
        <w:t>我们审计了后附的同方股份有限公司（以下简称同方股份）财务报表，包括</w:t>
      </w:r>
      <w:r>
        <w:rPr>
          <w:spacing w:val="-78"/>
        </w:rPr>
        <w:t> </w:t>
      </w:r>
      <w:r>
        <w:rPr>
          <w:rFonts w:ascii="宋体" w:hAnsi="宋体" w:cs="宋体" w:eastAsia="宋体" w:hint="default"/>
        </w:rPr>
        <w:t>2015</w:t>
      </w:r>
      <w:r>
        <w:rPr>
          <w:rFonts w:ascii="宋体" w:hAnsi="宋体" w:cs="宋体" w:eastAsia="宋体" w:hint="default"/>
          <w:spacing w:val="-78"/>
        </w:rPr>
        <w:t> </w:t>
      </w:r>
      <w:r>
        <w:rPr/>
        <w:t>年</w:t>
      </w:r>
    </w:p>
    <w:p>
      <w:pPr>
        <w:pStyle w:val="BodyText"/>
        <w:spacing w:line="312" w:lineRule="exact" w:before="28"/>
        <w:ind w:right="132"/>
        <w:jc w:val="left"/>
      </w:pPr>
      <w:r>
        <w:rPr>
          <w:rFonts w:ascii="宋体" w:hAnsi="宋体" w:cs="宋体" w:eastAsia="宋体" w:hint="default"/>
        </w:rPr>
        <w:t>12</w:t>
      </w:r>
      <w:r>
        <w:rPr>
          <w:rFonts w:ascii="宋体" w:hAnsi="宋体" w:cs="宋体" w:eastAsia="宋体" w:hint="default"/>
          <w:spacing w:val="-41"/>
        </w:rPr>
        <w:t> </w:t>
      </w:r>
      <w:r>
        <w:rPr/>
        <w:t>月</w:t>
      </w:r>
      <w:r>
        <w:rPr>
          <w:spacing w:val="-41"/>
        </w:rPr>
        <w:t> </w:t>
      </w:r>
      <w:r>
        <w:rPr>
          <w:rFonts w:ascii="宋体" w:hAnsi="宋体" w:cs="宋体" w:eastAsia="宋体" w:hint="default"/>
        </w:rPr>
        <w:t>31</w:t>
      </w:r>
      <w:r>
        <w:rPr>
          <w:rFonts w:ascii="宋体" w:hAnsi="宋体" w:cs="宋体" w:eastAsia="宋体" w:hint="default"/>
          <w:spacing w:val="-41"/>
        </w:rPr>
        <w:t> </w:t>
      </w:r>
      <w:r>
        <w:rPr/>
        <w:t>日的合并及母公司资产负债表，</w:t>
      </w:r>
      <w:r>
        <w:rPr>
          <w:rFonts w:ascii="宋体" w:hAnsi="宋体" w:cs="宋体" w:eastAsia="宋体" w:hint="default"/>
        </w:rPr>
        <w:t>2015</w:t>
      </w:r>
      <w:r>
        <w:rPr>
          <w:rFonts w:ascii="宋体" w:hAnsi="宋体" w:cs="宋体" w:eastAsia="宋体" w:hint="default"/>
          <w:spacing w:val="-41"/>
        </w:rPr>
        <w:t> </w:t>
      </w:r>
      <w:r>
        <w:rPr/>
        <w:t>年度的合并及母公司利润表、合并及母公 司现金流量表、合并及母公司股东权益变动表以及财务报表附注。</w:t>
      </w:r>
    </w:p>
    <w:p>
      <w:pPr>
        <w:spacing w:line="864" w:lineRule="exact" w:before="108"/>
        <w:ind w:left="638" w:right="0" w:hanging="120"/>
        <w:jc w:val="left"/>
        <w:rPr>
          <w:rFonts w:ascii="宋体" w:hAnsi="宋体" w:cs="宋体" w:eastAsia="宋体" w:hint="default"/>
          <w:sz w:val="24"/>
          <w:szCs w:val="24"/>
        </w:rPr>
      </w:pPr>
      <w:r>
        <w:rPr>
          <w:rFonts w:ascii="宋体" w:hAnsi="宋体" w:cs="宋体" w:eastAsia="宋体" w:hint="default"/>
          <w:b/>
          <w:bCs/>
          <w:sz w:val="24"/>
          <w:szCs w:val="24"/>
        </w:rPr>
        <w:t>一、管理层对财务报表的责任</w:t>
      </w:r>
      <w:r>
        <w:rPr>
          <w:rFonts w:ascii="宋体" w:hAnsi="宋体" w:cs="宋体" w:eastAsia="宋体" w:hint="default"/>
          <w:b/>
          <w:bCs/>
          <w:w w:val="99"/>
          <w:sz w:val="24"/>
          <w:szCs w:val="24"/>
        </w:rPr>
        <w:t> </w:t>
      </w:r>
      <w:r>
        <w:rPr>
          <w:rFonts w:ascii="宋体" w:hAnsi="宋体" w:cs="宋体" w:eastAsia="宋体" w:hint="default"/>
          <w:spacing w:val="-4"/>
          <w:sz w:val="24"/>
          <w:szCs w:val="24"/>
        </w:rPr>
        <w:t>编制和公允列报财务报表是同方股份管理层的责任，这种责任包括：（</w:t>
      </w:r>
      <w:r>
        <w:rPr>
          <w:rFonts w:ascii="宋体" w:hAnsi="宋体" w:cs="宋体" w:eastAsia="宋体" w:hint="default"/>
          <w:spacing w:val="-4"/>
          <w:sz w:val="24"/>
          <w:szCs w:val="24"/>
        </w:rPr>
        <w:t>1</w:t>
      </w:r>
      <w:r>
        <w:rPr>
          <w:rFonts w:ascii="宋体" w:hAnsi="宋体" w:cs="宋体" w:eastAsia="宋体" w:hint="default"/>
          <w:spacing w:val="-4"/>
          <w:sz w:val="24"/>
          <w:szCs w:val="24"/>
        </w:rPr>
        <w:t>）按照企业</w:t>
      </w:r>
    </w:p>
    <w:p>
      <w:pPr>
        <w:pStyle w:val="BodyText"/>
        <w:spacing w:line="171" w:lineRule="exact"/>
        <w:ind w:right="0"/>
        <w:jc w:val="left"/>
      </w:pPr>
      <w:r>
        <w:rPr/>
        <w:t>会计准则的规定编制财务报表，并使其实现公允反映</w:t>
      </w:r>
      <w:r>
        <w:rPr>
          <w:spacing w:val="-120"/>
        </w:rPr>
        <w:t>；</w:t>
      </w:r>
      <w:r>
        <w:rPr/>
        <w:t>（</w:t>
      </w:r>
      <w:r>
        <w:rPr>
          <w:rFonts w:ascii="宋体" w:hAnsi="宋体" w:cs="宋体" w:eastAsia="宋体" w:hint="default"/>
        </w:rPr>
        <w:t>2</w:t>
      </w:r>
      <w:r>
        <w:rPr/>
        <w:t>）设计、执行和维护必要的内</w:t>
      </w:r>
    </w:p>
    <w:p>
      <w:pPr>
        <w:spacing w:line="660" w:lineRule="auto" w:before="0"/>
        <w:ind w:left="518" w:right="2608" w:hanging="360"/>
        <w:jc w:val="left"/>
        <w:rPr>
          <w:rFonts w:ascii="宋体" w:hAnsi="宋体" w:cs="宋体" w:eastAsia="宋体" w:hint="default"/>
          <w:sz w:val="24"/>
          <w:szCs w:val="24"/>
        </w:rPr>
      </w:pPr>
      <w:r>
        <w:rPr>
          <w:rFonts w:ascii="宋体" w:hAnsi="宋体" w:cs="宋体" w:eastAsia="宋体" w:hint="default"/>
          <w:sz w:val="24"/>
          <w:szCs w:val="24"/>
        </w:rPr>
        <w:t>部控制，以使财务报表不存在由于舞弊或错误导致的重大错报。 </w:t>
      </w:r>
      <w:r>
        <w:rPr>
          <w:rFonts w:ascii="宋体" w:hAnsi="宋体" w:cs="宋体" w:eastAsia="宋体" w:hint="default"/>
          <w:b/>
          <w:bCs/>
          <w:sz w:val="24"/>
          <w:szCs w:val="24"/>
        </w:rPr>
        <w:t>二、注册会计师的责任</w:t>
      </w:r>
      <w:r>
        <w:rPr>
          <w:rFonts w:ascii="宋体" w:hAnsi="宋体" w:cs="宋体" w:eastAsia="宋体" w:hint="default"/>
          <w:sz w:val="24"/>
          <w:szCs w:val="24"/>
        </w:rPr>
      </w:r>
    </w:p>
    <w:p>
      <w:pPr>
        <w:pStyle w:val="BodyText"/>
        <w:spacing w:line="237" w:lineRule="auto" w:before="130"/>
        <w:ind w:right="139" w:firstLine="480"/>
        <w:jc w:val="both"/>
      </w:pPr>
      <w:r>
        <w:rPr/>
        <w:t>我们的责任是在执行审计工作的基础上对财务报表发表审计意见。我们按照中国注</w:t>
      </w:r>
      <w:r>
        <w:rPr>
          <w:spacing w:val="2"/>
        </w:rPr>
        <w:t> </w:t>
      </w:r>
      <w:r>
        <w:rPr/>
        <w:t>册会计师审计准则的规定执行了审计工作。中国注册会计师审计准则要求我们遵守职业</w:t>
      </w:r>
      <w:r>
        <w:rPr>
          <w:spacing w:val="-53"/>
        </w:rPr>
        <w:t> </w:t>
      </w:r>
      <w:r>
        <w:rPr>
          <w:spacing w:val="-53"/>
        </w:rPr>
      </w:r>
      <w:r>
        <w:rPr/>
        <w:t>道德守则，计划和执行审计工作以对财务报表是否不存在重大错报获取合理保证。</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18"/>
          <w:szCs w:val="18"/>
        </w:rPr>
      </w:pPr>
    </w:p>
    <w:p>
      <w:pPr>
        <w:pStyle w:val="BodyText"/>
        <w:spacing w:line="237" w:lineRule="auto"/>
        <w:ind w:right="139" w:firstLine="480"/>
        <w:jc w:val="both"/>
      </w:pPr>
      <w:r>
        <w:rPr/>
        <w:t>审计工作涉及实施审计程序，以获取有关财务报表金额和披露的审计证据。选择的</w:t>
      </w:r>
      <w:r>
        <w:rPr>
          <w:spacing w:val="2"/>
        </w:rPr>
        <w:t> </w:t>
      </w:r>
      <w:r>
        <w:rPr/>
        <w:t>审计程序取决于注册会计师的判断，包括对由于舞弊或错误导致的财务报表重大错报风</w:t>
      </w:r>
      <w:r>
        <w:rPr>
          <w:spacing w:val="-51"/>
        </w:rPr>
        <w:t> </w:t>
      </w:r>
      <w:r>
        <w:rPr>
          <w:spacing w:val="-51"/>
        </w:rPr>
      </w:r>
      <w:r>
        <w:rPr/>
        <w:t>险的评估。在进行风险评估时，注册会计师考虑与财务报表编制和公允列报相关的内部</w:t>
      </w:r>
      <w:r>
        <w:rPr>
          <w:spacing w:val="-51"/>
        </w:rPr>
        <w:t> </w:t>
      </w:r>
      <w:r>
        <w:rPr>
          <w:spacing w:val="-51"/>
        </w:rPr>
      </w:r>
      <w:r>
        <w:rPr/>
        <w:t>控制，以设计恰当的审计程序。审计工作还包括评价管理层选用会计政策的恰当性和作</w:t>
      </w:r>
      <w:r>
        <w:rPr>
          <w:spacing w:val="-51"/>
        </w:rPr>
        <w:t> </w:t>
      </w:r>
      <w:r>
        <w:rPr>
          <w:spacing w:val="-51"/>
        </w:rPr>
      </w:r>
      <w:r>
        <w:rPr/>
        <w:t>出会计估计的合理性，以及评价财务报表的总体列报。</w:t>
      </w: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18"/>
          <w:szCs w:val="18"/>
        </w:rPr>
      </w:pPr>
    </w:p>
    <w:p>
      <w:pPr>
        <w:pStyle w:val="BodyText"/>
        <w:tabs>
          <w:tab w:pos="1418" w:val="left" w:leader="none"/>
        </w:tabs>
        <w:spacing w:line="657" w:lineRule="auto"/>
        <w:ind w:left="578" w:right="465" w:firstLine="60"/>
        <w:jc w:val="left"/>
        <w:rPr>
          <w:rFonts w:ascii="宋体" w:hAnsi="宋体" w:cs="宋体" w:eastAsia="宋体" w:hint="default"/>
        </w:rPr>
      </w:pPr>
      <w:r>
        <w:rPr/>
        <w:t>我们相信，我们获取的审计证据是充分、适当的，为发表审计意见提供了基础。 </w:t>
      </w:r>
      <w:r>
        <w:rPr>
          <w:rFonts w:ascii="宋体" w:hAnsi="宋体" w:cs="宋体" w:eastAsia="宋体" w:hint="default"/>
          <w:b/>
          <w:bCs/>
        </w:rPr>
        <w:t>三、</w:t>
        <w:tab/>
        <w:t>审计意见</w:t>
      </w:r>
      <w:r>
        <w:rPr>
          <w:rFonts w:ascii="宋体" w:hAnsi="宋体" w:cs="宋体" w:eastAsia="宋体" w:hint="default"/>
        </w:rPr>
      </w:r>
    </w:p>
    <w:p>
      <w:pPr>
        <w:spacing w:after="0" w:line="657" w:lineRule="auto"/>
        <w:jc w:val="left"/>
        <w:rPr>
          <w:rFonts w:ascii="宋体" w:hAnsi="宋体" w:cs="宋体" w:eastAsia="宋体" w:hint="default"/>
        </w:rPr>
        <w:sectPr>
          <w:type w:val="continuous"/>
          <w:pgSz w:w="11910" w:h="16840"/>
          <w:pgMar w:top="1020" w:bottom="280" w:left="1260" w:right="114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BodyText"/>
        <w:spacing w:line="237" w:lineRule="auto" w:before="28"/>
        <w:ind w:left="318" w:right="139" w:firstLine="480"/>
        <w:jc w:val="both"/>
      </w:pPr>
      <w:r>
        <w:rPr/>
        <w:t>我们认为，同方股份财务报表在所有重大方面按照企业会计准则的规定编制，公允</w:t>
      </w:r>
      <w:r>
        <w:rPr>
          <w:spacing w:val="2"/>
        </w:rPr>
        <w:t> </w:t>
      </w:r>
      <w:r>
        <w:rPr/>
        <w:t>反映了同方股份</w:t>
      </w:r>
      <w:r>
        <w:rPr>
          <w:spacing w:val="-51"/>
        </w:rPr>
        <w:t> </w:t>
      </w:r>
      <w:r>
        <w:rPr>
          <w:rFonts w:ascii="宋体" w:hAnsi="宋体" w:cs="宋体" w:eastAsia="宋体" w:hint="default"/>
        </w:rPr>
        <w:t>2015</w:t>
      </w:r>
      <w:r>
        <w:rPr>
          <w:rFonts w:ascii="宋体" w:hAnsi="宋体" w:cs="宋体" w:eastAsia="宋体" w:hint="default"/>
          <w:spacing w:val="-48"/>
        </w:rPr>
        <w:t> </w:t>
      </w:r>
      <w:r>
        <w:rPr/>
        <w:t>年</w:t>
      </w:r>
      <w:r>
        <w:rPr>
          <w:spacing w:val="-50"/>
        </w:rPr>
        <w:t> </w:t>
      </w:r>
      <w:r>
        <w:rPr>
          <w:rFonts w:ascii="宋体" w:hAnsi="宋体" w:cs="宋体" w:eastAsia="宋体" w:hint="default"/>
        </w:rPr>
        <w:t>12</w:t>
      </w:r>
      <w:r>
        <w:rPr>
          <w:rFonts w:ascii="宋体" w:hAnsi="宋体" w:cs="宋体" w:eastAsia="宋体" w:hint="default"/>
          <w:spacing w:val="-51"/>
        </w:rPr>
        <w:t> </w:t>
      </w:r>
      <w:r>
        <w:rPr/>
        <w:t>月</w:t>
      </w:r>
      <w:r>
        <w:rPr>
          <w:spacing w:val="-51"/>
        </w:rPr>
        <w:t> </w:t>
      </w:r>
      <w:r>
        <w:rPr>
          <w:rFonts w:ascii="宋体" w:hAnsi="宋体" w:cs="宋体" w:eastAsia="宋体" w:hint="default"/>
        </w:rPr>
        <w:t>31</w:t>
      </w:r>
      <w:r>
        <w:rPr>
          <w:rFonts w:ascii="宋体" w:hAnsi="宋体" w:cs="宋体" w:eastAsia="宋体" w:hint="default"/>
          <w:spacing w:val="-51"/>
        </w:rPr>
        <w:t> </w:t>
      </w:r>
      <w:r>
        <w:rPr/>
        <w:t>日的合并及母公司财务状况以及</w:t>
      </w:r>
      <w:r>
        <w:rPr>
          <w:spacing w:val="-50"/>
        </w:rPr>
        <w:t> </w:t>
      </w:r>
      <w:r>
        <w:rPr>
          <w:rFonts w:ascii="宋体" w:hAnsi="宋体" w:cs="宋体" w:eastAsia="宋体" w:hint="default"/>
        </w:rPr>
        <w:t>2015</w:t>
      </w:r>
      <w:r>
        <w:rPr>
          <w:rFonts w:ascii="宋体" w:hAnsi="宋体" w:cs="宋体" w:eastAsia="宋体" w:hint="default"/>
          <w:spacing w:val="-50"/>
        </w:rPr>
        <w:t> </w:t>
      </w:r>
      <w:r>
        <w:rPr/>
        <w:t>年度的合并及母 公司经营成果和现金流量。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0"/>
          <w:szCs w:val="20"/>
        </w:rPr>
      </w:pPr>
    </w:p>
    <w:tbl>
      <w:tblPr>
        <w:tblW w:w="0" w:type="auto"/>
        <w:jc w:val="left"/>
        <w:tblInd w:w="118" w:type="dxa"/>
        <w:tblLayout w:type="fixed"/>
        <w:tblCellMar>
          <w:top w:w="0" w:type="dxa"/>
          <w:left w:w="0" w:type="dxa"/>
          <w:bottom w:w="0" w:type="dxa"/>
          <w:right w:w="0" w:type="dxa"/>
        </w:tblCellMar>
        <w:tblLook w:val="01E0"/>
      </w:tblPr>
      <w:tblGrid>
        <w:gridCol w:w="4920"/>
        <w:gridCol w:w="3240"/>
      </w:tblGrid>
      <w:tr>
        <w:trPr>
          <w:trHeight w:val="586" w:hRule="exact"/>
        </w:trPr>
        <w:tc>
          <w:tcPr>
            <w:tcW w:w="4920" w:type="dxa"/>
            <w:tcBorders>
              <w:top w:val="nil" w:sz="6" w:space="0" w:color="auto"/>
              <w:left w:val="nil" w:sz="6" w:space="0" w:color="auto"/>
              <w:bottom w:val="nil" w:sz="6" w:space="0" w:color="auto"/>
              <w:right w:val="nil" w:sz="6" w:space="0" w:color="auto"/>
            </w:tcBorders>
          </w:tcPr>
          <w:p>
            <w:pPr>
              <w:pStyle w:val="TableParagraph"/>
              <w:spacing w:line="240" w:lineRule="exact"/>
              <w:ind w:right="198"/>
              <w:jc w:val="center"/>
              <w:rPr>
                <w:rFonts w:ascii="宋体" w:hAnsi="宋体" w:cs="宋体" w:eastAsia="宋体" w:hint="default"/>
                <w:sz w:val="24"/>
                <w:szCs w:val="24"/>
              </w:rPr>
            </w:pPr>
            <w:r>
              <w:rPr>
                <w:rFonts w:ascii="宋体" w:hAnsi="宋体" w:cs="宋体" w:eastAsia="宋体" w:hint="default"/>
                <w:sz w:val="24"/>
                <w:szCs w:val="24"/>
              </w:rPr>
              <w:t>信永中和会计师事务所（特殊普通合伙）</w:t>
            </w:r>
          </w:p>
        </w:tc>
        <w:tc>
          <w:tcPr>
            <w:tcW w:w="3240" w:type="dxa"/>
            <w:tcBorders>
              <w:top w:val="nil" w:sz="6" w:space="0" w:color="auto"/>
              <w:left w:val="nil" w:sz="6" w:space="0" w:color="auto"/>
              <w:bottom w:val="nil" w:sz="6" w:space="0" w:color="auto"/>
              <w:right w:val="nil" w:sz="6" w:space="0" w:color="auto"/>
            </w:tcBorders>
          </w:tcPr>
          <w:p>
            <w:pPr>
              <w:pStyle w:val="TableParagraph"/>
              <w:spacing w:line="240" w:lineRule="exact"/>
              <w:ind w:left="400" w:right="0"/>
              <w:jc w:val="left"/>
              <w:rPr>
                <w:rFonts w:ascii="宋体" w:hAnsi="宋体" w:cs="宋体" w:eastAsia="宋体" w:hint="default"/>
                <w:sz w:val="24"/>
                <w:szCs w:val="24"/>
              </w:rPr>
            </w:pPr>
            <w:r>
              <w:rPr>
                <w:rFonts w:ascii="宋体" w:hAnsi="宋体" w:cs="宋体" w:eastAsia="宋体" w:hint="default"/>
                <w:sz w:val="24"/>
                <w:szCs w:val="24"/>
              </w:rPr>
              <w:t>中国注册会计师：周海涛</w:t>
            </w:r>
          </w:p>
        </w:tc>
      </w:tr>
      <w:tr>
        <w:trPr>
          <w:trHeight w:val="904" w:hRule="exact"/>
        </w:trPr>
        <w:tc>
          <w:tcPr>
            <w:tcW w:w="4920" w:type="dxa"/>
            <w:tcBorders>
              <w:top w:val="nil" w:sz="6" w:space="0" w:color="auto"/>
              <w:left w:val="nil" w:sz="6" w:space="0" w:color="auto"/>
              <w:bottom w:val="nil" w:sz="6" w:space="0" w:color="auto"/>
              <w:right w:val="nil" w:sz="6" w:space="0" w:color="auto"/>
            </w:tcBorders>
          </w:tcPr>
          <w:p>
            <w:pPr/>
          </w:p>
        </w:tc>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400" w:right="0"/>
              <w:jc w:val="left"/>
              <w:rPr>
                <w:rFonts w:ascii="宋体" w:hAnsi="宋体" w:cs="宋体" w:eastAsia="宋体" w:hint="default"/>
                <w:sz w:val="24"/>
                <w:szCs w:val="24"/>
              </w:rPr>
            </w:pPr>
            <w:r>
              <w:rPr>
                <w:rFonts w:ascii="宋体" w:hAnsi="宋体" w:cs="宋体" w:eastAsia="宋体" w:hint="default"/>
                <w:sz w:val="24"/>
                <w:szCs w:val="24"/>
              </w:rPr>
              <w:t>中国注册会计师：刘宇</w:t>
            </w:r>
          </w:p>
        </w:tc>
      </w:tr>
      <w:tr>
        <w:trPr>
          <w:trHeight w:val="558" w:hRule="exact"/>
        </w:trPr>
        <w:tc>
          <w:tcPr>
            <w:tcW w:w="492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tabs>
                <w:tab w:pos="840" w:val="left" w:leader="none"/>
              </w:tabs>
              <w:spacing w:line="240" w:lineRule="auto"/>
              <w:ind w:right="92"/>
              <w:jc w:val="center"/>
              <w:rPr>
                <w:rFonts w:ascii="宋体" w:hAnsi="宋体" w:cs="宋体" w:eastAsia="宋体" w:hint="default"/>
                <w:sz w:val="24"/>
                <w:szCs w:val="24"/>
              </w:rPr>
            </w:pPr>
            <w:r>
              <w:rPr>
                <w:rFonts w:ascii="宋体" w:hAnsi="宋体" w:cs="宋体" w:eastAsia="宋体" w:hint="default"/>
                <w:sz w:val="24"/>
                <w:szCs w:val="24"/>
              </w:rPr>
              <w:t>中国</w:t>
              <w:tab/>
              <w:t>北京</w:t>
            </w:r>
          </w:p>
        </w:tc>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400" w:right="0"/>
              <w:jc w:val="left"/>
              <w:rPr>
                <w:rFonts w:ascii="宋体" w:hAnsi="宋体" w:cs="宋体" w:eastAsia="宋体" w:hint="default"/>
                <w:sz w:val="24"/>
                <w:szCs w:val="24"/>
              </w:rPr>
            </w:pPr>
            <w:r>
              <w:rPr>
                <w:rFonts w:ascii="宋体" w:hAnsi="宋体" w:cs="宋体" w:eastAsia="宋体" w:hint="default"/>
                <w:sz w:val="24"/>
                <w:szCs w:val="24"/>
              </w:rPr>
              <w:t>二○一六年四月十八日</w:t>
            </w:r>
          </w:p>
        </w:tc>
      </w:tr>
    </w:tbl>
    <w:p>
      <w:pPr>
        <w:spacing w:after="0" w:line="240" w:lineRule="auto"/>
        <w:jc w:val="left"/>
        <w:rPr>
          <w:rFonts w:ascii="宋体" w:hAnsi="宋体" w:cs="宋体" w:eastAsia="宋体" w:hint="default"/>
          <w:sz w:val="24"/>
          <w:szCs w:val="24"/>
        </w:rPr>
        <w:sectPr>
          <w:pgSz w:w="11910" w:h="16840"/>
          <w:pgMar w:header="628" w:footer="760" w:top="1080" w:bottom="960" w:left="1100" w:right="1140"/>
        </w:sectPr>
      </w:pPr>
    </w:p>
    <w:p>
      <w:pPr>
        <w:pStyle w:val="Heading3"/>
        <w:spacing w:line="310" w:lineRule="exact"/>
        <w:ind w:left="0" w:right="7"/>
        <w:jc w:val="center"/>
        <w:rPr>
          <w:b w:val="0"/>
          <w:bCs w:val="0"/>
        </w:rPr>
      </w:pPr>
      <w:r>
        <w:rPr/>
        <w:t>合并资产负债表</w:t>
      </w:r>
      <w:r>
        <w:rPr>
          <w:b w:val="0"/>
          <w:bCs w:val="0"/>
        </w:rPr>
      </w:r>
    </w:p>
    <w:p>
      <w:pPr>
        <w:tabs>
          <w:tab w:pos="7818" w:val="left" w:leader="none"/>
        </w:tabs>
        <w:spacing w:before="6"/>
        <w:ind w:left="0" w:right="3" w:firstLine="0"/>
        <w:jc w:val="center"/>
        <w:rPr>
          <w:rFonts w:ascii="宋体" w:hAnsi="宋体" w:cs="宋体" w:eastAsia="宋体" w:hint="default"/>
          <w:sz w:val="20"/>
          <w:szCs w:val="20"/>
        </w:rPr>
      </w:pPr>
      <w:r>
        <w:rPr>
          <w:rFonts w:ascii="宋体" w:hAnsi="宋体" w:cs="宋体" w:eastAsia="宋体" w:hint="default"/>
          <w:b/>
          <w:bCs/>
          <w:spacing w:val="-1"/>
          <w:w w:val="95"/>
          <w:sz w:val="20"/>
          <w:szCs w:val="20"/>
        </w:rPr>
        <w:t>编制单位：同方股份有限公司</w:t>
        <w:tab/>
      </w:r>
      <w:r>
        <w:rPr>
          <w:rFonts w:ascii="宋体" w:hAnsi="宋体" w:cs="宋体" w:eastAsia="宋体" w:hint="default"/>
          <w:b/>
          <w:bCs/>
          <w:spacing w:val="-2"/>
          <w:sz w:val="20"/>
          <w:szCs w:val="20"/>
        </w:rPr>
        <w:t>单位：人民币元</w:t>
      </w:r>
      <w:r>
        <w:rPr>
          <w:rFonts w:ascii="宋体" w:hAnsi="宋体" w:cs="宋体" w:eastAsia="宋体" w:hint="default"/>
          <w:spacing w:val="-2"/>
          <w:sz w:val="20"/>
          <w:szCs w:val="20"/>
        </w:rPr>
      </w:r>
    </w:p>
    <w:p>
      <w:pPr>
        <w:spacing w:line="240" w:lineRule="auto" w:before="3"/>
        <w:rPr>
          <w:rFonts w:ascii="宋体" w:hAnsi="宋体" w:cs="宋体" w:eastAsia="宋体" w:hint="default"/>
          <w:b/>
          <w:bCs/>
          <w:sz w:val="2"/>
          <w:szCs w:val="2"/>
        </w:rPr>
      </w:pPr>
    </w:p>
    <w:tbl>
      <w:tblPr>
        <w:tblW w:w="0" w:type="auto"/>
        <w:jc w:val="left"/>
        <w:tblInd w:w="116" w:type="dxa"/>
        <w:tblLayout w:type="fixed"/>
        <w:tblCellMar>
          <w:top w:w="0" w:type="dxa"/>
          <w:left w:w="0" w:type="dxa"/>
          <w:bottom w:w="0" w:type="dxa"/>
          <w:right w:w="0" w:type="dxa"/>
        </w:tblCellMar>
        <w:tblLook w:val="01E0"/>
      </w:tblPr>
      <w:tblGrid>
        <w:gridCol w:w="5079"/>
        <w:gridCol w:w="2170"/>
        <w:gridCol w:w="2170"/>
      </w:tblGrid>
      <w:tr>
        <w:trPr>
          <w:trHeight w:val="338" w:hRule="exact"/>
        </w:trPr>
        <w:tc>
          <w:tcPr>
            <w:tcW w:w="5079" w:type="dxa"/>
            <w:tcBorders>
              <w:top w:val="single" w:sz="12" w:space="0" w:color="000000"/>
              <w:left w:val="single" w:sz="12" w:space="0" w:color="000000"/>
              <w:bottom w:val="single" w:sz="6" w:space="0" w:color="000000"/>
              <w:right w:val="single" w:sz="6" w:space="0" w:color="000000"/>
            </w:tcBorders>
          </w:tcPr>
          <w:p>
            <w:pPr>
              <w:pStyle w:val="TableParagraph"/>
              <w:spacing w:line="259" w:lineRule="exact"/>
              <w:ind w:right="6"/>
              <w:jc w:val="center"/>
              <w:rPr>
                <w:rFonts w:ascii="宋体" w:hAnsi="宋体" w:cs="宋体" w:eastAsia="宋体" w:hint="default"/>
                <w:sz w:val="20"/>
                <w:szCs w:val="20"/>
              </w:rPr>
            </w:pPr>
            <w:r>
              <w:rPr>
                <w:rFonts w:ascii="宋体" w:hAnsi="宋体" w:cs="宋体" w:eastAsia="宋体" w:hint="default"/>
                <w:b/>
                <w:bCs/>
                <w:sz w:val="20"/>
                <w:szCs w:val="20"/>
              </w:rPr>
              <w:t>资产</w:t>
            </w:r>
            <w:r>
              <w:rPr>
                <w:rFonts w:ascii="宋体" w:hAnsi="宋体" w:cs="宋体" w:eastAsia="宋体" w:hint="default"/>
                <w:sz w:val="20"/>
                <w:szCs w:val="20"/>
              </w:rPr>
            </w:r>
          </w:p>
        </w:tc>
        <w:tc>
          <w:tcPr>
            <w:tcW w:w="2170" w:type="dxa"/>
            <w:tcBorders>
              <w:top w:val="single" w:sz="12" w:space="0" w:color="000000"/>
              <w:left w:val="single" w:sz="6" w:space="0" w:color="000000"/>
              <w:bottom w:val="single" w:sz="6" w:space="0" w:color="000000"/>
              <w:right w:val="single" w:sz="6" w:space="0" w:color="000000"/>
            </w:tcBorders>
          </w:tcPr>
          <w:p>
            <w:pPr>
              <w:pStyle w:val="TableParagraph"/>
              <w:spacing w:line="259" w:lineRule="exact"/>
              <w:ind w:left="674"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170" w:type="dxa"/>
            <w:tcBorders>
              <w:top w:val="single" w:sz="12" w:space="0" w:color="000000"/>
              <w:left w:val="single" w:sz="6" w:space="0" w:color="000000"/>
              <w:bottom w:val="single" w:sz="6" w:space="0" w:color="000000"/>
              <w:right w:val="single" w:sz="12" w:space="0" w:color="000000"/>
            </w:tcBorders>
          </w:tcPr>
          <w:p>
            <w:pPr>
              <w:pStyle w:val="TableParagraph"/>
              <w:spacing w:line="259" w:lineRule="exact"/>
              <w:ind w:left="675"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流动资产：</w:t>
            </w:r>
            <w:r>
              <w:rPr>
                <w:rFonts w:ascii="宋体" w:hAnsi="宋体" w:cs="宋体" w:eastAsia="宋体" w:hint="default"/>
                <w:sz w:val="20"/>
                <w:szCs w:val="20"/>
              </w:rPr>
            </w:r>
          </w:p>
        </w:tc>
        <w:tc>
          <w:tcPr>
            <w:tcW w:w="2170" w:type="dxa"/>
            <w:tcBorders>
              <w:top w:val="single" w:sz="6" w:space="0" w:color="000000"/>
              <w:left w:val="single" w:sz="6" w:space="0" w:color="000000"/>
              <w:bottom w:val="single" w:sz="6" w:space="0" w:color="000000"/>
              <w:right w:val="single" w:sz="6" w:space="0" w:color="000000"/>
            </w:tcBorders>
          </w:tcPr>
          <w:p>
            <w:pPr/>
          </w:p>
        </w:tc>
        <w:tc>
          <w:tcPr>
            <w:tcW w:w="2170" w:type="dxa"/>
            <w:tcBorders>
              <w:top w:val="single" w:sz="6" w:space="0" w:color="000000"/>
              <w:left w:val="single" w:sz="6" w:space="0" w:color="000000"/>
              <w:bottom w:val="single" w:sz="6" w:space="0" w:color="000000"/>
              <w:right w:val="single" w:sz="12" w:space="0" w:color="000000"/>
            </w:tcBorders>
          </w:tcPr>
          <w:p>
            <w:pPr/>
          </w:p>
        </w:tc>
      </w:tr>
      <w:tr>
        <w:trPr>
          <w:trHeight w:val="331"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货币资金</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spacing w:val="-1"/>
                <w:sz w:val="20"/>
              </w:rPr>
              <w:t>9,859,562,531.60</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spacing w:val="-1"/>
                <w:sz w:val="20"/>
              </w:rPr>
              <w:t>6,468,361,807.09</w:t>
            </w: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以公允价值计量且其变动计入当期损益的金融资产</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spacing w:val="-1"/>
                <w:sz w:val="20"/>
              </w:rPr>
              <w:t>1,233,687,014.15</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spacing w:val="-1"/>
                <w:sz w:val="20"/>
              </w:rPr>
              <w:t>1,491,222,598.08</w:t>
            </w:r>
          </w:p>
        </w:tc>
      </w:tr>
      <w:tr>
        <w:trPr>
          <w:trHeight w:val="331"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应收票据</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w w:val="95"/>
                <w:sz w:val="20"/>
              </w:rPr>
              <w:t>285,472,593.45</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w w:val="95"/>
                <w:sz w:val="20"/>
              </w:rPr>
              <w:t>226,106,009.57</w:t>
            </w:r>
            <w:r>
              <w:rPr>
                <w:rFonts w:ascii="Times New Roman"/>
                <w:sz w:val="20"/>
              </w:rPr>
            </w: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spacing w:val="-1"/>
                <w:sz w:val="20"/>
              </w:rPr>
              <w:t>8,008,046,816.82</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spacing w:val="-1"/>
                <w:sz w:val="20"/>
              </w:rPr>
              <w:t>6,780,758,988.08</w:t>
            </w:r>
          </w:p>
        </w:tc>
      </w:tr>
      <w:tr>
        <w:trPr>
          <w:trHeight w:val="332"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预付款项</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spacing w:val="-1"/>
                <w:sz w:val="20"/>
              </w:rPr>
              <w:t>1,203,273,891.79</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spacing w:val="-1"/>
                <w:sz w:val="20"/>
              </w:rPr>
              <w:t>1,189,254,615.87</w:t>
            </w: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应收利息</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1"/>
              <w:jc w:val="right"/>
              <w:rPr>
                <w:rFonts w:ascii="Times New Roman" w:hAnsi="Times New Roman" w:cs="Times New Roman" w:eastAsia="Times New Roman" w:hint="default"/>
                <w:sz w:val="20"/>
                <w:szCs w:val="20"/>
              </w:rPr>
            </w:pPr>
            <w:r>
              <w:rPr>
                <w:rFonts w:ascii="Times New Roman"/>
                <w:w w:val="95"/>
                <w:sz w:val="20"/>
              </w:rPr>
              <w:t>134,514.92</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6"/>
              <w:jc w:val="right"/>
              <w:rPr>
                <w:rFonts w:ascii="Times New Roman" w:hAnsi="Times New Roman" w:cs="Times New Roman" w:eastAsia="Times New Roman" w:hint="default"/>
                <w:sz w:val="20"/>
                <w:szCs w:val="20"/>
              </w:rPr>
            </w:pPr>
            <w:r>
              <w:rPr>
                <w:rFonts w:ascii="Times New Roman"/>
                <w:w w:val="95"/>
                <w:sz w:val="20"/>
              </w:rPr>
              <w:t>211,162.42</w:t>
            </w:r>
            <w:r>
              <w:rPr>
                <w:rFonts w:ascii="Times New Roman"/>
                <w:sz w:val="20"/>
              </w:rPr>
            </w:r>
          </w:p>
        </w:tc>
      </w:tr>
      <w:tr>
        <w:trPr>
          <w:trHeight w:val="331"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应收股利</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w w:val="95"/>
                <w:sz w:val="20"/>
              </w:rPr>
              <w:t>107,977,090.91</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w w:val="95"/>
                <w:sz w:val="20"/>
              </w:rPr>
              <w:t>13,461,958.59</w:t>
            </w:r>
            <w:r>
              <w:rPr>
                <w:rFonts w:ascii="Times New Roman"/>
                <w:sz w:val="20"/>
              </w:rPr>
            </w: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w w:val="95"/>
                <w:sz w:val="20"/>
              </w:rPr>
              <w:t>953,854,194.17</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w w:val="95"/>
                <w:sz w:val="20"/>
              </w:rPr>
              <w:t>835,081,161.46</w:t>
            </w:r>
            <w:r>
              <w:rPr>
                <w:rFonts w:ascii="Times New Roman"/>
                <w:sz w:val="20"/>
              </w:rPr>
            </w:r>
          </w:p>
        </w:tc>
      </w:tr>
      <w:tr>
        <w:trPr>
          <w:trHeight w:val="331"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存货</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spacing w:val="-1"/>
                <w:sz w:val="20"/>
              </w:rPr>
              <w:t>9,168,374,867.43</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spacing w:val="-1"/>
                <w:sz w:val="20"/>
              </w:rPr>
              <w:t>8,261,994,457.95</w:t>
            </w: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一年内到期的非流动资产</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0"/>
              <w:jc w:val="right"/>
              <w:rPr>
                <w:rFonts w:ascii="Times New Roman" w:hAnsi="Times New Roman" w:cs="Times New Roman" w:eastAsia="Times New Roman" w:hint="default"/>
                <w:sz w:val="20"/>
                <w:szCs w:val="20"/>
              </w:rPr>
            </w:pPr>
            <w:r>
              <w:rPr>
                <w:rFonts w:ascii="Times New Roman"/>
                <w:sz w:val="20"/>
              </w:rPr>
              <w:t>0.00</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5"/>
              <w:jc w:val="right"/>
              <w:rPr>
                <w:rFonts w:ascii="Times New Roman" w:hAnsi="Times New Roman" w:cs="Times New Roman" w:eastAsia="Times New Roman" w:hint="default"/>
                <w:sz w:val="20"/>
                <w:szCs w:val="20"/>
              </w:rPr>
            </w:pPr>
            <w:r>
              <w:rPr>
                <w:rFonts w:ascii="Times New Roman"/>
                <w:sz w:val="20"/>
              </w:rPr>
              <w:t>0.00</w:t>
            </w:r>
          </w:p>
        </w:tc>
      </w:tr>
      <w:tr>
        <w:trPr>
          <w:trHeight w:val="331"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其他流动资产</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0"/>
              <w:jc w:val="right"/>
              <w:rPr>
                <w:rFonts w:ascii="Times New Roman" w:hAnsi="Times New Roman" w:cs="Times New Roman" w:eastAsia="Times New Roman" w:hint="default"/>
                <w:sz w:val="20"/>
                <w:szCs w:val="20"/>
              </w:rPr>
            </w:pPr>
            <w:r>
              <w:rPr>
                <w:rFonts w:ascii="Times New Roman"/>
                <w:sz w:val="20"/>
              </w:rPr>
              <w:t>0.00</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5"/>
              <w:jc w:val="right"/>
              <w:rPr>
                <w:rFonts w:ascii="Times New Roman" w:hAnsi="Times New Roman" w:cs="Times New Roman" w:eastAsia="Times New Roman" w:hint="default"/>
                <w:sz w:val="20"/>
                <w:szCs w:val="20"/>
              </w:rPr>
            </w:pPr>
            <w:r>
              <w:rPr>
                <w:rFonts w:ascii="Times New Roman"/>
                <w:sz w:val="20"/>
              </w:rPr>
              <w:t>0.00</w:t>
            </w: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895" w:right="0"/>
              <w:jc w:val="left"/>
              <w:rPr>
                <w:rFonts w:ascii="宋体" w:hAnsi="宋体" w:cs="宋体" w:eastAsia="宋体" w:hint="default"/>
                <w:sz w:val="20"/>
                <w:szCs w:val="20"/>
              </w:rPr>
            </w:pPr>
            <w:r>
              <w:rPr>
                <w:rFonts w:ascii="宋体" w:hAnsi="宋体" w:cs="宋体" w:eastAsia="宋体" w:hint="default"/>
                <w:sz w:val="20"/>
                <w:szCs w:val="20"/>
              </w:rPr>
              <w:t>流动资产合计</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02"/>
              <w:jc w:val="right"/>
              <w:rPr>
                <w:rFonts w:ascii="Times New Roman" w:hAnsi="Times New Roman" w:cs="Times New Roman" w:eastAsia="Times New Roman" w:hint="default"/>
                <w:sz w:val="20"/>
                <w:szCs w:val="20"/>
              </w:rPr>
            </w:pPr>
            <w:r>
              <w:rPr>
                <w:rFonts w:ascii="Times New Roman"/>
                <w:b/>
                <w:w w:val="95"/>
                <w:sz w:val="20"/>
              </w:rPr>
              <w:t>30,820,383,515.24</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right="97"/>
              <w:jc w:val="right"/>
              <w:rPr>
                <w:rFonts w:ascii="Times New Roman" w:hAnsi="Times New Roman" w:cs="Times New Roman" w:eastAsia="Times New Roman" w:hint="default"/>
                <w:sz w:val="20"/>
                <w:szCs w:val="20"/>
              </w:rPr>
            </w:pPr>
            <w:r>
              <w:rPr>
                <w:rFonts w:ascii="Times New Roman"/>
                <w:b/>
                <w:w w:val="95"/>
                <w:sz w:val="20"/>
              </w:rPr>
              <w:t>25,266,452,759.11</w:t>
            </w:r>
            <w:r>
              <w:rPr>
                <w:rFonts w:ascii="Times New Roman"/>
                <w:sz w:val="20"/>
              </w:rPr>
            </w:r>
          </w:p>
        </w:tc>
      </w:tr>
      <w:tr>
        <w:trPr>
          <w:trHeight w:val="331"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非流动资产：</w:t>
            </w:r>
            <w:r>
              <w:rPr>
                <w:rFonts w:ascii="宋体" w:hAnsi="宋体" w:cs="宋体" w:eastAsia="宋体" w:hint="default"/>
                <w:sz w:val="20"/>
                <w:szCs w:val="20"/>
              </w:rPr>
            </w:r>
          </w:p>
        </w:tc>
        <w:tc>
          <w:tcPr>
            <w:tcW w:w="2170" w:type="dxa"/>
            <w:tcBorders>
              <w:top w:val="single" w:sz="6" w:space="0" w:color="000000"/>
              <w:left w:val="single" w:sz="6" w:space="0" w:color="000000"/>
              <w:bottom w:val="single" w:sz="6" w:space="0" w:color="000000"/>
              <w:right w:val="single" w:sz="6" w:space="0" w:color="000000"/>
            </w:tcBorders>
          </w:tcPr>
          <w:p>
            <w:pPr/>
          </w:p>
        </w:tc>
        <w:tc>
          <w:tcPr>
            <w:tcW w:w="2170" w:type="dxa"/>
            <w:tcBorders>
              <w:top w:val="single" w:sz="6" w:space="0" w:color="000000"/>
              <w:left w:val="single" w:sz="6" w:space="0" w:color="000000"/>
              <w:bottom w:val="single" w:sz="6" w:space="0" w:color="000000"/>
              <w:right w:val="single" w:sz="12" w:space="0" w:color="000000"/>
            </w:tcBorders>
          </w:tcPr>
          <w:p>
            <w:pP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可供出售金融资产</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w w:val="95"/>
                <w:sz w:val="20"/>
              </w:rPr>
              <w:t>158,215,044.75</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w w:val="95"/>
                <w:sz w:val="20"/>
              </w:rPr>
              <w:t>173,341,605.13</w:t>
            </w:r>
            <w:r>
              <w:rPr>
                <w:rFonts w:ascii="Times New Roman"/>
                <w:sz w:val="20"/>
              </w:rPr>
            </w:r>
          </w:p>
        </w:tc>
      </w:tr>
      <w:tr>
        <w:trPr>
          <w:trHeight w:val="332"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持有至到期投资</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0"/>
              <w:jc w:val="right"/>
              <w:rPr>
                <w:rFonts w:ascii="Times New Roman" w:hAnsi="Times New Roman" w:cs="Times New Roman" w:eastAsia="Times New Roman" w:hint="default"/>
                <w:sz w:val="20"/>
                <w:szCs w:val="20"/>
              </w:rPr>
            </w:pPr>
            <w:r>
              <w:rPr>
                <w:rFonts w:ascii="Times New Roman"/>
                <w:sz w:val="20"/>
              </w:rPr>
              <w:t>0.00</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5"/>
              <w:jc w:val="right"/>
              <w:rPr>
                <w:rFonts w:ascii="Times New Roman" w:hAnsi="Times New Roman" w:cs="Times New Roman" w:eastAsia="Times New Roman" w:hint="default"/>
                <w:sz w:val="20"/>
                <w:szCs w:val="20"/>
              </w:rPr>
            </w:pPr>
            <w:r>
              <w:rPr>
                <w:rFonts w:ascii="Times New Roman"/>
                <w:sz w:val="20"/>
              </w:rPr>
              <w:t>0.00</w:t>
            </w: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长期应收款</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spacing w:val="-1"/>
                <w:sz w:val="20"/>
              </w:rPr>
              <w:t>3,859,957,171.15</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spacing w:val="-1"/>
                <w:sz w:val="20"/>
              </w:rPr>
              <w:t>3,445,846,928.28</w:t>
            </w:r>
          </w:p>
        </w:tc>
      </w:tr>
      <w:tr>
        <w:trPr>
          <w:trHeight w:val="331"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长期股权投资</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spacing w:val="-1"/>
                <w:sz w:val="20"/>
              </w:rPr>
              <w:t>9,489,774,271.84</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spacing w:val="-1"/>
                <w:sz w:val="20"/>
              </w:rPr>
              <w:t>8,550,039,820.36</w:t>
            </w: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投资性房地产</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1"/>
              <w:jc w:val="right"/>
              <w:rPr>
                <w:rFonts w:ascii="Times New Roman" w:hAnsi="Times New Roman" w:cs="Times New Roman" w:eastAsia="Times New Roman" w:hint="default"/>
                <w:sz w:val="20"/>
                <w:szCs w:val="20"/>
              </w:rPr>
            </w:pPr>
            <w:r>
              <w:rPr>
                <w:rFonts w:ascii="Times New Roman"/>
                <w:w w:val="95"/>
                <w:sz w:val="20"/>
              </w:rPr>
              <w:t>14,700,000.00</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w w:val="95"/>
                <w:sz w:val="20"/>
              </w:rPr>
              <w:t>15,300,000.00</w:t>
            </w:r>
            <w:r>
              <w:rPr>
                <w:rFonts w:ascii="Times New Roman"/>
                <w:sz w:val="20"/>
              </w:rPr>
            </w:r>
          </w:p>
        </w:tc>
      </w:tr>
      <w:tr>
        <w:trPr>
          <w:trHeight w:val="331"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固定资产</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spacing w:val="-1"/>
                <w:sz w:val="20"/>
              </w:rPr>
              <w:t>5,297,775,933.06</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spacing w:val="-1"/>
                <w:sz w:val="20"/>
              </w:rPr>
              <w:t>5,677,217,883.49</w:t>
            </w: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在建工程</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w w:val="95"/>
                <w:sz w:val="20"/>
              </w:rPr>
              <w:t>639,135,932.62</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w w:val="95"/>
                <w:sz w:val="20"/>
              </w:rPr>
              <w:t>869,274,299.39</w:t>
            </w:r>
            <w:r>
              <w:rPr>
                <w:rFonts w:ascii="Times New Roman"/>
                <w:sz w:val="20"/>
              </w:rPr>
            </w:r>
          </w:p>
        </w:tc>
      </w:tr>
      <w:tr>
        <w:trPr>
          <w:trHeight w:val="331"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工程物资</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0"/>
              <w:jc w:val="right"/>
              <w:rPr>
                <w:rFonts w:ascii="Times New Roman" w:hAnsi="Times New Roman" w:cs="Times New Roman" w:eastAsia="Times New Roman" w:hint="default"/>
                <w:sz w:val="20"/>
                <w:szCs w:val="20"/>
              </w:rPr>
            </w:pPr>
            <w:r>
              <w:rPr>
                <w:rFonts w:ascii="Times New Roman"/>
                <w:sz w:val="20"/>
              </w:rPr>
              <w:t>0.00</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5"/>
              <w:jc w:val="right"/>
              <w:rPr>
                <w:rFonts w:ascii="Times New Roman" w:hAnsi="Times New Roman" w:cs="Times New Roman" w:eastAsia="Times New Roman" w:hint="default"/>
                <w:sz w:val="20"/>
                <w:szCs w:val="20"/>
              </w:rPr>
            </w:pPr>
            <w:r>
              <w:rPr>
                <w:rFonts w:ascii="Times New Roman"/>
                <w:sz w:val="20"/>
              </w:rPr>
              <w:t>0.00</w:t>
            </w: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固定资产清理</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0"/>
              <w:jc w:val="right"/>
              <w:rPr>
                <w:rFonts w:ascii="Times New Roman" w:hAnsi="Times New Roman" w:cs="Times New Roman" w:eastAsia="Times New Roman" w:hint="default"/>
                <w:sz w:val="20"/>
                <w:szCs w:val="20"/>
              </w:rPr>
            </w:pPr>
            <w:r>
              <w:rPr>
                <w:rFonts w:ascii="Times New Roman"/>
                <w:sz w:val="20"/>
              </w:rPr>
              <w:t>0.00</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5"/>
              <w:jc w:val="right"/>
              <w:rPr>
                <w:rFonts w:ascii="Times New Roman" w:hAnsi="Times New Roman" w:cs="Times New Roman" w:eastAsia="Times New Roman" w:hint="default"/>
                <w:sz w:val="20"/>
                <w:szCs w:val="20"/>
              </w:rPr>
            </w:pPr>
            <w:r>
              <w:rPr>
                <w:rFonts w:ascii="Times New Roman"/>
                <w:sz w:val="20"/>
              </w:rPr>
              <w:t>0.00</w:t>
            </w:r>
          </w:p>
        </w:tc>
      </w:tr>
      <w:tr>
        <w:trPr>
          <w:trHeight w:val="331"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生产性生物资产</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0"/>
              <w:jc w:val="right"/>
              <w:rPr>
                <w:rFonts w:ascii="Times New Roman" w:hAnsi="Times New Roman" w:cs="Times New Roman" w:eastAsia="Times New Roman" w:hint="default"/>
                <w:sz w:val="20"/>
                <w:szCs w:val="20"/>
              </w:rPr>
            </w:pPr>
            <w:r>
              <w:rPr>
                <w:rFonts w:ascii="Times New Roman"/>
                <w:sz w:val="20"/>
              </w:rPr>
              <w:t>0.00</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5"/>
              <w:jc w:val="right"/>
              <w:rPr>
                <w:rFonts w:ascii="Times New Roman" w:hAnsi="Times New Roman" w:cs="Times New Roman" w:eastAsia="Times New Roman" w:hint="default"/>
                <w:sz w:val="20"/>
                <w:szCs w:val="20"/>
              </w:rPr>
            </w:pPr>
            <w:r>
              <w:rPr>
                <w:rFonts w:ascii="Times New Roman"/>
                <w:sz w:val="20"/>
              </w:rPr>
              <w:t>0.00</w:t>
            </w: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油气资产</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0"/>
              <w:jc w:val="right"/>
              <w:rPr>
                <w:rFonts w:ascii="Times New Roman" w:hAnsi="Times New Roman" w:cs="Times New Roman" w:eastAsia="Times New Roman" w:hint="default"/>
                <w:sz w:val="20"/>
                <w:szCs w:val="20"/>
              </w:rPr>
            </w:pPr>
            <w:r>
              <w:rPr>
                <w:rFonts w:ascii="Times New Roman"/>
                <w:sz w:val="20"/>
              </w:rPr>
              <w:t>0.00</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5"/>
              <w:jc w:val="right"/>
              <w:rPr>
                <w:rFonts w:ascii="Times New Roman" w:hAnsi="Times New Roman" w:cs="Times New Roman" w:eastAsia="Times New Roman" w:hint="default"/>
                <w:sz w:val="20"/>
                <w:szCs w:val="20"/>
              </w:rPr>
            </w:pPr>
            <w:r>
              <w:rPr>
                <w:rFonts w:ascii="Times New Roman"/>
                <w:sz w:val="20"/>
              </w:rPr>
              <w:t>0.00</w:t>
            </w:r>
          </w:p>
        </w:tc>
      </w:tr>
      <w:tr>
        <w:trPr>
          <w:trHeight w:val="332"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无形资产</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2"/>
              <w:jc w:val="right"/>
              <w:rPr>
                <w:rFonts w:ascii="Times New Roman" w:hAnsi="Times New Roman" w:cs="Times New Roman" w:eastAsia="Times New Roman" w:hint="default"/>
                <w:sz w:val="20"/>
                <w:szCs w:val="20"/>
              </w:rPr>
            </w:pPr>
            <w:r>
              <w:rPr>
                <w:rFonts w:ascii="Times New Roman"/>
                <w:spacing w:val="-1"/>
                <w:sz w:val="20"/>
              </w:rPr>
              <w:t>2,845,937,526.38</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7"/>
              <w:ind w:right="97"/>
              <w:jc w:val="right"/>
              <w:rPr>
                <w:rFonts w:ascii="Times New Roman" w:hAnsi="Times New Roman" w:cs="Times New Roman" w:eastAsia="Times New Roman" w:hint="default"/>
                <w:sz w:val="20"/>
                <w:szCs w:val="20"/>
              </w:rPr>
            </w:pPr>
            <w:r>
              <w:rPr>
                <w:rFonts w:ascii="Times New Roman"/>
                <w:spacing w:val="-1"/>
                <w:sz w:val="20"/>
              </w:rPr>
              <w:t>2,609,765,511.74</w:t>
            </w: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开发支出</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w w:val="95"/>
                <w:sz w:val="20"/>
              </w:rPr>
              <w:t>908,729,223.42</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w w:val="95"/>
                <w:sz w:val="20"/>
              </w:rPr>
              <w:t>726,268,545.91</w:t>
            </w:r>
            <w:r>
              <w:rPr>
                <w:rFonts w:ascii="Times New Roman"/>
                <w:sz w:val="20"/>
              </w:rPr>
            </w:r>
          </w:p>
        </w:tc>
      </w:tr>
      <w:tr>
        <w:trPr>
          <w:trHeight w:val="331"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商誉</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spacing w:val="-1"/>
                <w:sz w:val="20"/>
              </w:rPr>
              <w:t>2,064,049,695.08</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spacing w:val="-1"/>
                <w:sz w:val="20"/>
              </w:rPr>
              <w:t>2,028,038,718.73</w:t>
            </w: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长期待摊费用</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1"/>
              <w:jc w:val="right"/>
              <w:rPr>
                <w:rFonts w:ascii="Times New Roman" w:hAnsi="Times New Roman" w:cs="Times New Roman" w:eastAsia="Times New Roman" w:hint="default"/>
                <w:sz w:val="20"/>
                <w:szCs w:val="20"/>
              </w:rPr>
            </w:pPr>
            <w:r>
              <w:rPr>
                <w:rFonts w:ascii="Times New Roman"/>
                <w:w w:val="95"/>
                <w:sz w:val="20"/>
              </w:rPr>
              <w:t>86,330,225.26</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w w:val="95"/>
                <w:sz w:val="20"/>
              </w:rPr>
              <w:t>83,223,882.68</w:t>
            </w:r>
            <w:r>
              <w:rPr>
                <w:rFonts w:ascii="Times New Roman"/>
                <w:sz w:val="20"/>
              </w:rPr>
            </w:r>
          </w:p>
        </w:tc>
      </w:tr>
      <w:tr>
        <w:trPr>
          <w:trHeight w:val="331"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递延所得税资产</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w w:val="95"/>
                <w:sz w:val="20"/>
              </w:rPr>
              <w:t>227,650,030.13</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w w:val="95"/>
                <w:sz w:val="20"/>
              </w:rPr>
              <w:t>174,738,951.14</w:t>
            </w:r>
            <w:r>
              <w:rPr>
                <w:rFonts w:ascii="Times New Roman"/>
                <w:sz w:val="20"/>
              </w:rPr>
            </w: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其他非流动资产</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2"/>
              <w:jc w:val="right"/>
              <w:rPr>
                <w:rFonts w:ascii="Times New Roman" w:hAnsi="Times New Roman" w:cs="Times New Roman" w:eastAsia="Times New Roman" w:hint="default"/>
                <w:sz w:val="20"/>
                <w:szCs w:val="20"/>
              </w:rPr>
            </w:pPr>
            <w:r>
              <w:rPr>
                <w:rFonts w:ascii="Times New Roman"/>
                <w:w w:val="95"/>
                <w:sz w:val="20"/>
              </w:rPr>
              <w:t>448,197,303.66</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7"/>
              <w:jc w:val="right"/>
              <w:rPr>
                <w:rFonts w:ascii="Times New Roman" w:hAnsi="Times New Roman" w:cs="Times New Roman" w:eastAsia="Times New Roman" w:hint="default"/>
                <w:sz w:val="20"/>
                <w:szCs w:val="20"/>
              </w:rPr>
            </w:pPr>
            <w:r>
              <w:rPr>
                <w:rFonts w:ascii="Times New Roman"/>
                <w:w w:val="95"/>
                <w:sz w:val="20"/>
              </w:rPr>
              <w:t>105,500,000.00</w:t>
            </w:r>
            <w:r>
              <w:rPr>
                <w:rFonts w:ascii="Times New Roman"/>
                <w:sz w:val="20"/>
              </w:rPr>
            </w:r>
          </w:p>
        </w:tc>
      </w:tr>
      <w:tr>
        <w:trPr>
          <w:trHeight w:val="331"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895" w:right="0"/>
              <w:jc w:val="left"/>
              <w:rPr>
                <w:rFonts w:ascii="宋体" w:hAnsi="宋体" w:cs="宋体" w:eastAsia="宋体" w:hint="default"/>
                <w:sz w:val="20"/>
                <w:szCs w:val="20"/>
              </w:rPr>
            </w:pPr>
            <w:r>
              <w:rPr>
                <w:rFonts w:ascii="宋体" w:hAnsi="宋体" w:cs="宋体" w:eastAsia="宋体" w:hint="default"/>
                <w:sz w:val="20"/>
                <w:szCs w:val="20"/>
              </w:rPr>
              <w:t>非流动资产合计</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02"/>
              <w:jc w:val="right"/>
              <w:rPr>
                <w:rFonts w:ascii="Times New Roman" w:hAnsi="Times New Roman" w:cs="Times New Roman" w:eastAsia="Times New Roman" w:hint="default"/>
                <w:sz w:val="20"/>
                <w:szCs w:val="20"/>
              </w:rPr>
            </w:pPr>
            <w:r>
              <w:rPr>
                <w:rFonts w:ascii="Times New Roman"/>
                <w:b/>
                <w:w w:val="95"/>
                <w:sz w:val="20"/>
              </w:rPr>
              <w:t>26,040,452,357.35</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right="97"/>
              <w:jc w:val="right"/>
              <w:rPr>
                <w:rFonts w:ascii="Times New Roman" w:hAnsi="Times New Roman" w:cs="Times New Roman" w:eastAsia="Times New Roman" w:hint="default"/>
                <w:sz w:val="20"/>
                <w:szCs w:val="20"/>
              </w:rPr>
            </w:pPr>
            <w:r>
              <w:rPr>
                <w:rFonts w:ascii="Times New Roman"/>
                <w:b/>
                <w:w w:val="95"/>
                <w:sz w:val="20"/>
              </w:rPr>
              <w:t>24,458,556,146.85</w:t>
            </w:r>
            <w:r>
              <w:rPr>
                <w:rFonts w:ascii="Times New Roman"/>
                <w:sz w:val="20"/>
              </w:rPr>
            </w:r>
          </w:p>
        </w:tc>
      </w:tr>
      <w:tr>
        <w:trPr>
          <w:trHeight w:val="329" w:hRule="exact"/>
        </w:trPr>
        <w:tc>
          <w:tcPr>
            <w:tcW w:w="5079" w:type="dxa"/>
            <w:tcBorders>
              <w:top w:val="single" w:sz="6" w:space="0" w:color="000000"/>
              <w:left w:val="single" w:sz="12" w:space="0" w:color="000000"/>
              <w:bottom w:val="single" w:sz="6" w:space="0" w:color="000000"/>
              <w:right w:val="single" w:sz="6" w:space="0" w:color="000000"/>
            </w:tcBorders>
          </w:tcPr>
          <w:p>
            <w:pPr/>
          </w:p>
        </w:tc>
        <w:tc>
          <w:tcPr>
            <w:tcW w:w="2170" w:type="dxa"/>
            <w:tcBorders>
              <w:top w:val="single" w:sz="6" w:space="0" w:color="000000"/>
              <w:left w:val="single" w:sz="6" w:space="0" w:color="000000"/>
              <w:bottom w:val="single" w:sz="6" w:space="0" w:color="000000"/>
              <w:right w:val="single" w:sz="6" w:space="0" w:color="000000"/>
            </w:tcBorders>
          </w:tcPr>
          <w:p>
            <w:pPr/>
          </w:p>
        </w:tc>
        <w:tc>
          <w:tcPr>
            <w:tcW w:w="2170" w:type="dxa"/>
            <w:tcBorders>
              <w:top w:val="single" w:sz="6" w:space="0" w:color="000000"/>
              <w:left w:val="single" w:sz="6" w:space="0" w:color="000000"/>
              <w:bottom w:val="single" w:sz="6" w:space="0" w:color="000000"/>
              <w:right w:val="single" w:sz="12" w:space="0" w:color="000000"/>
            </w:tcBorders>
          </w:tcPr>
          <w:p>
            <w:pPr/>
          </w:p>
        </w:tc>
      </w:tr>
      <w:tr>
        <w:trPr>
          <w:trHeight w:val="336" w:hRule="exact"/>
        </w:trPr>
        <w:tc>
          <w:tcPr>
            <w:tcW w:w="5079" w:type="dxa"/>
            <w:tcBorders>
              <w:top w:val="single" w:sz="6" w:space="0" w:color="000000"/>
              <w:left w:val="single" w:sz="12" w:space="0" w:color="000000"/>
              <w:bottom w:val="single" w:sz="12" w:space="0" w:color="000000"/>
              <w:right w:val="single" w:sz="6" w:space="0" w:color="000000"/>
            </w:tcBorders>
          </w:tcPr>
          <w:p>
            <w:pPr>
              <w:pStyle w:val="TableParagraph"/>
              <w:spacing w:line="259" w:lineRule="exact"/>
              <w:ind w:left="92" w:right="0"/>
              <w:jc w:val="center"/>
              <w:rPr>
                <w:rFonts w:ascii="宋体" w:hAnsi="宋体" w:cs="宋体" w:eastAsia="宋体" w:hint="default"/>
                <w:sz w:val="20"/>
                <w:szCs w:val="20"/>
              </w:rPr>
            </w:pPr>
            <w:r>
              <w:rPr>
                <w:rFonts w:ascii="宋体" w:hAnsi="宋体" w:cs="宋体" w:eastAsia="宋体" w:hint="default"/>
                <w:b/>
                <w:bCs/>
                <w:sz w:val="20"/>
                <w:szCs w:val="20"/>
              </w:rPr>
              <w:t>资产总计</w:t>
            </w:r>
            <w:r>
              <w:rPr>
                <w:rFonts w:ascii="宋体" w:hAnsi="宋体" w:cs="宋体" w:eastAsia="宋体" w:hint="default"/>
                <w:sz w:val="20"/>
                <w:szCs w:val="20"/>
              </w:rPr>
            </w:r>
          </w:p>
        </w:tc>
        <w:tc>
          <w:tcPr>
            <w:tcW w:w="21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1"/>
              <w:ind w:right="102"/>
              <w:jc w:val="right"/>
              <w:rPr>
                <w:rFonts w:ascii="Times New Roman" w:hAnsi="Times New Roman" w:cs="Times New Roman" w:eastAsia="Times New Roman" w:hint="default"/>
                <w:sz w:val="20"/>
                <w:szCs w:val="20"/>
              </w:rPr>
            </w:pPr>
            <w:r>
              <w:rPr>
                <w:rFonts w:ascii="Times New Roman"/>
                <w:b/>
                <w:w w:val="95"/>
                <w:sz w:val="20"/>
              </w:rPr>
              <w:t>56,860,835,872.59</w:t>
            </w:r>
            <w:r>
              <w:rPr>
                <w:rFonts w:ascii="Times New Roman"/>
                <w:sz w:val="20"/>
              </w:rPr>
            </w:r>
          </w:p>
        </w:tc>
        <w:tc>
          <w:tcPr>
            <w:tcW w:w="217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1"/>
              <w:ind w:right="97"/>
              <w:jc w:val="right"/>
              <w:rPr>
                <w:rFonts w:ascii="Times New Roman" w:hAnsi="Times New Roman" w:cs="Times New Roman" w:eastAsia="Times New Roman" w:hint="default"/>
                <w:sz w:val="20"/>
                <w:szCs w:val="20"/>
              </w:rPr>
            </w:pPr>
            <w:r>
              <w:rPr>
                <w:rFonts w:ascii="Times New Roman"/>
                <w:b/>
                <w:w w:val="95"/>
                <w:sz w:val="20"/>
              </w:rPr>
              <w:t>49,725,008,905.96</w:t>
            </w:r>
            <w:r>
              <w:rPr>
                <w:rFonts w:ascii="Times New Roman"/>
                <w:sz w:val="20"/>
              </w:rPr>
            </w:r>
          </w:p>
        </w:tc>
      </w:tr>
    </w:tbl>
    <w:p>
      <w:pPr>
        <w:spacing w:after="0" w:line="240" w:lineRule="auto"/>
        <w:jc w:val="right"/>
        <w:rPr>
          <w:rFonts w:ascii="Times New Roman" w:hAnsi="Times New Roman" w:cs="Times New Roman" w:eastAsia="Times New Roman" w:hint="default"/>
          <w:sz w:val="20"/>
          <w:szCs w:val="20"/>
        </w:rPr>
        <w:sectPr>
          <w:headerReference w:type="default" r:id="rId24"/>
          <w:pgSz w:w="11910" w:h="16840"/>
          <w:pgMar w:header="628" w:footer="760" w:top="1960" w:bottom="960" w:left="1180" w:right="1040"/>
        </w:sectPr>
      </w:pPr>
    </w:p>
    <w:p>
      <w:pPr>
        <w:pStyle w:val="Heading3"/>
        <w:spacing w:line="310" w:lineRule="exact"/>
        <w:ind w:left="0" w:right="3"/>
        <w:jc w:val="center"/>
        <w:rPr>
          <w:rFonts w:ascii="宋体" w:hAnsi="宋体" w:cs="宋体" w:eastAsia="宋体" w:hint="default"/>
          <w:b w:val="0"/>
          <w:bCs w:val="0"/>
        </w:rPr>
      </w:pPr>
      <w:r>
        <w:rPr/>
        <w:t>合并资产负债表</w:t>
      </w:r>
      <w:r>
        <w:rPr>
          <w:rFonts w:ascii="宋体" w:hAnsi="宋体" w:cs="宋体" w:eastAsia="宋体" w:hint="default"/>
        </w:rPr>
        <w:t>(</w:t>
      </w:r>
      <w:r>
        <w:rPr/>
        <w:t>续</w:t>
      </w:r>
      <w:r>
        <w:rPr>
          <w:rFonts w:ascii="宋体" w:hAnsi="宋体" w:cs="宋体" w:eastAsia="宋体" w:hint="default"/>
        </w:rPr>
        <w:t>)</w:t>
      </w:r>
      <w:r>
        <w:rPr>
          <w:rFonts w:ascii="宋体" w:hAnsi="宋体" w:cs="宋体" w:eastAsia="宋体" w:hint="default"/>
          <w:b w:val="0"/>
          <w:bCs w:val="0"/>
        </w:rPr>
      </w:r>
    </w:p>
    <w:p>
      <w:pPr>
        <w:spacing w:line="240" w:lineRule="auto" w:before="4"/>
        <w:rPr>
          <w:rFonts w:ascii="宋体" w:hAnsi="宋体" w:cs="宋体" w:eastAsia="宋体" w:hint="default"/>
          <w:b/>
          <w:bCs/>
          <w:sz w:val="24"/>
          <w:szCs w:val="24"/>
        </w:rPr>
      </w:pPr>
    </w:p>
    <w:p>
      <w:pPr>
        <w:tabs>
          <w:tab w:pos="7818" w:val="left" w:leader="none"/>
        </w:tabs>
        <w:spacing w:before="0"/>
        <w:ind w:left="0" w:right="3" w:firstLine="0"/>
        <w:jc w:val="center"/>
        <w:rPr>
          <w:rFonts w:ascii="宋体" w:hAnsi="宋体" w:cs="宋体" w:eastAsia="宋体" w:hint="default"/>
          <w:sz w:val="20"/>
          <w:szCs w:val="20"/>
        </w:rPr>
      </w:pPr>
      <w:r>
        <w:rPr>
          <w:rFonts w:ascii="宋体" w:hAnsi="宋体" w:cs="宋体" w:eastAsia="宋体" w:hint="default"/>
          <w:b/>
          <w:bCs/>
          <w:spacing w:val="-1"/>
          <w:w w:val="95"/>
          <w:sz w:val="20"/>
          <w:szCs w:val="20"/>
        </w:rPr>
        <w:t>编制单位：同方股份有限公司</w:t>
        <w:tab/>
      </w:r>
      <w:r>
        <w:rPr>
          <w:rFonts w:ascii="宋体" w:hAnsi="宋体" w:cs="宋体" w:eastAsia="宋体" w:hint="default"/>
          <w:b/>
          <w:bCs/>
          <w:spacing w:val="-2"/>
          <w:sz w:val="20"/>
          <w:szCs w:val="20"/>
        </w:rPr>
        <w:t>单位：人民币元</w:t>
      </w:r>
      <w:r>
        <w:rPr>
          <w:rFonts w:ascii="宋体" w:hAnsi="宋体" w:cs="宋体" w:eastAsia="宋体" w:hint="default"/>
          <w:spacing w:val="-2"/>
          <w:sz w:val="20"/>
          <w:szCs w:val="20"/>
        </w:rPr>
      </w:r>
    </w:p>
    <w:p>
      <w:pPr>
        <w:spacing w:line="240" w:lineRule="auto" w:before="3"/>
        <w:rPr>
          <w:rFonts w:ascii="宋体" w:hAnsi="宋体" w:cs="宋体" w:eastAsia="宋体" w:hint="default"/>
          <w:b/>
          <w:bCs/>
          <w:sz w:val="2"/>
          <w:szCs w:val="2"/>
        </w:rPr>
      </w:pPr>
    </w:p>
    <w:tbl>
      <w:tblPr>
        <w:tblW w:w="0" w:type="auto"/>
        <w:jc w:val="left"/>
        <w:tblInd w:w="116" w:type="dxa"/>
        <w:tblLayout w:type="fixed"/>
        <w:tblCellMar>
          <w:top w:w="0" w:type="dxa"/>
          <w:left w:w="0" w:type="dxa"/>
          <w:bottom w:w="0" w:type="dxa"/>
          <w:right w:w="0" w:type="dxa"/>
        </w:tblCellMar>
        <w:tblLook w:val="01E0"/>
      </w:tblPr>
      <w:tblGrid>
        <w:gridCol w:w="5079"/>
        <w:gridCol w:w="2170"/>
        <w:gridCol w:w="2170"/>
      </w:tblGrid>
      <w:tr>
        <w:trPr>
          <w:trHeight w:val="307" w:hRule="exact"/>
        </w:trPr>
        <w:tc>
          <w:tcPr>
            <w:tcW w:w="5079" w:type="dxa"/>
            <w:tcBorders>
              <w:top w:val="single" w:sz="12" w:space="0" w:color="000000"/>
              <w:left w:val="single" w:sz="12" w:space="0" w:color="000000"/>
              <w:bottom w:val="single" w:sz="6" w:space="0" w:color="000000"/>
              <w:right w:val="single" w:sz="6" w:space="0" w:color="000000"/>
            </w:tcBorders>
          </w:tcPr>
          <w:p>
            <w:pPr>
              <w:pStyle w:val="TableParagraph"/>
              <w:spacing w:line="244" w:lineRule="exact"/>
              <w:ind w:right="7"/>
              <w:jc w:val="center"/>
              <w:rPr>
                <w:rFonts w:ascii="宋体" w:hAnsi="宋体" w:cs="宋体" w:eastAsia="宋体" w:hint="default"/>
                <w:sz w:val="20"/>
                <w:szCs w:val="20"/>
              </w:rPr>
            </w:pPr>
            <w:r>
              <w:rPr>
                <w:rFonts w:ascii="宋体" w:hAnsi="宋体" w:cs="宋体" w:eastAsia="宋体" w:hint="default"/>
                <w:b/>
                <w:bCs/>
                <w:sz w:val="20"/>
                <w:szCs w:val="20"/>
              </w:rPr>
              <w:t>负债和股东权益</w:t>
            </w:r>
            <w:r>
              <w:rPr>
                <w:rFonts w:ascii="宋体" w:hAnsi="宋体" w:cs="宋体" w:eastAsia="宋体" w:hint="default"/>
                <w:sz w:val="20"/>
                <w:szCs w:val="20"/>
              </w:rPr>
            </w:r>
          </w:p>
        </w:tc>
        <w:tc>
          <w:tcPr>
            <w:tcW w:w="2170" w:type="dxa"/>
            <w:tcBorders>
              <w:top w:val="single" w:sz="12" w:space="0" w:color="000000"/>
              <w:left w:val="single" w:sz="6" w:space="0" w:color="000000"/>
              <w:bottom w:val="single" w:sz="6" w:space="0" w:color="000000"/>
              <w:right w:val="single" w:sz="6" w:space="0" w:color="000000"/>
            </w:tcBorders>
          </w:tcPr>
          <w:p>
            <w:pPr>
              <w:pStyle w:val="TableParagraph"/>
              <w:spacing w:line="244" w:lineRule="exact"/>
              <w:ind w:left="674"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170" w:type="dxa"/>
            <w:tcBorders>
              <w:top w:val="single" w:sz="12" w:space="0" w:color="000000"/>
              <w:left w:val="single" w:sz="6" w:space="0" w:color="000000"/>
              <w:bottom w:val="single" w:sz="6" w:space="0" w:color="000000"/>
              <w:right w:val="single" w:sz="12" w:space="0" w:color="000000"/>
            </w:tcBorders>
          </w:tcPr>
          <w:p>
            <w:pPr>
              <w:pStyle w:val="TableParagraph"/>
              <w:spacing w:line="244" w:lineRule="exact"/>
              <w:ind w:left="675"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298"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流动负债：</w:t>
            </w:r>
            <w:r>
              <w:rPr>
                <w:rFonts w:ascii="宋体" w:hAnsi="宋体" w:cs="宋体" w:eastAsia="宋体" w:hint="default"/>
                <w:sz w:val="20"/>
                <w:szCs w:val="20"/>
              </w:rPr>
            </w:r>
          </w:p>
        </w:tc>
        <w:tc>
          <w:tcPr>
            <w:tcW w:w="2170" w:type="dxa"/>
            <w:tcBorders>
              <w:top w:val="single" w:sz="6" w:space="0" w:color="000000"/>
              <w:left w:val="single" w:sz="6" w:space="0" w:color="000000"/>
              <w:bottom w:val="single" w:sz="6" w:space="0" w:color="000000"/>
              <w:right w:val="single" w:sz="6" w:space="0" w:color="000000"/>
            </w:tcBorders>
          </w:tcPr>
          <w:p>
            <w:pPr/>
          </w:p>
        </w:tc>
        <w:tc>
          <w:tcPr>
            <w:tcW w:w="2170" w:type="dxa"/>
            <w:tcBorders>
              <w:top w:val="single" w:sz="6" w:space="0" w:color="000000"/>
              <w:left w:val="single" w:sz="6" w:space="0" w:color="000000"/>
              <w:bottom w:val="single" w:sz="6" w:space="0" w:color="000000"/>
              <w:right w:val="single" w:sz="12" w:space="0" w:color="000000"/>
            </w:tcBorders>
          </w:tcPr>
          <w:p>
            <w:pP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短期借款</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spacing w:val="-1"/>
                <w:sz w:val="20"/>
              </w:rPr>
              <w:t>7,381,530,048.58</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w w:val="95"/>
                <w:sz w:val="20"/>
              </w:rPr>
              <w:t>10,432,700,867.49</w:t>
            </w:r>
            <w:r>
              <w:rPr>
                <w:rFonts w:ascii="Times New Roman"/>
                <w:sz w:val="20"/>
              </w:rPr>
            </w:r>
          </w:p>
        </w:tc>
      </w:tr>
      <w:tr>
        <w:trPr>
          <w:trHeight w:val="298"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以公允价值计量且其变动计入当期损益的金融负债</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0"/>
              <w:jc w:val="right"/>
              <w:rPr>
                <w:rFonts w:ascii="Times New Roman" w:hAnsi="Times New Roman" w:cs="Times New Roman" w:eastAsia="Times New Roman" w:hint="default"/>
                <w:sz w:val="20"/>
                <w:szCs w:val="20"/>
              </w:rPr>
            </w:pPr>
            <w:r>
              <w:rPr>
                <w:rFonts w:ascii="Times New Roman"/>
                <w:sz w:val="20"/>
              </w:rPr>
              <w:t>0.00</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5"/>
              <w:jc w:val="right"/>
              <w:rPr>
                <w:rFonts w:ascii="Times New Roman" w:hAnsi="Times New Roman" w:cs="Times New Roman" w:eastAsia="Times New Roman" w:hint="default"/>
                <w:sz w:val="20"/>
                <w:szCs w:val="20"/>
              </w:rPr>
            </w:pPr>
            <w:r>
              <w:rPr>
                <w:rFonts w:ascii="Times New Roman"/>
                <w:sz w:val="20"/>
              </w:rPr>
              <w:t>0.00</w:t>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应付票据</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w w:val="95"/>
                <w:sz w:val="20"/>
              </w:rPr>
              <w:t>707,564,087.82</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spacing w:val="-1"/>
                <w:sz w:val="20"/>
              </w:rPr>
              <w:t>1,034,851,536.61</w:t>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spacing w:val="-1"/>
                <w:sz w:val="20"/>
              </w:rPr>
              <w:t>8,167,839,518.21</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spacing w:val="-1"/>
                <w:sz w:val="20"/>
              </w:rPr>
              <w:t>7,598,707,575.29</w:t>
            </w:r>
          </w:p>
        </w:tc>
      </w:tr>
      <w:tr>
        <w:trPr>
          <w:trHeight w:val="298"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预收款项</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2"/>
              <w:jc w:val="right"/>
              <w:rPr>
                <w:rFonts w:ascii="Times New Roman" w:hAnsi="Times New Roman" w:cs="Times New Roman" w:eastAsia="Times New Roman" w:hint="default"/>
                <w:sz w:val="20"/>
                <w:szCs w:val="20"/>
              </w:rPr>
            </w:pPr>
            <w:r>
              <w:rPr>
                <w:rFonts w:ascii="Times New Roman"/>
                <w:spacing w:val="-1"/>
                <w:sz w:val="20"/>
              </w:rPr>
              <w:t>4,603,960,489.78</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7"/>
              <w:jc w:val="right"/>
              <w:rPr>
                <w:rFonts w:ascii="Times New Roman" w:hAnsi="Times New Roman" w:cs="Times New Roman" w:eastAsia="Times New Roman" w:hint="default"/>
                <w:sz w:val="20"/>
                <w:szCs w:val="20"/>
              </w:rPr>
            </w:pPr>
            <w:r>
              <w:rPr>
                <w:rFonts w:ascii="Times New Roman"/>
                <w:spacing w:val="-1"/>
                <w:sz w:val="20"/>
              </w:rPr>
              <w:t>2,281,174,220.89</w:t>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应付职工薪酬</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w w:val="95"/>
                <w:sz w:val="20"/>
              </w:rPr>
              <w:t>462,416,146.22</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w w:val="95"/>
                <w:sz w:val="20"/>
              </w:rPr>
              <w:t>395,519,485.99</w:t>
            </w:r>
            <w:r>
              <w:rPr>
                <w:rFonts w:ascii="Times New Roman"/>
                <w:sz w:val="20"/>
              </w:rPr>
            </w:r>
          </w:p>
        </w:tc>
      </w:tr>
      <w:tr>
        <w:trPr>
          <w:trHeight w:val="298"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应交税费</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2"/>
              <w:jc w:val="right"/>
              <w:rPr>
                <w:rFonts w:ascii="Times New Roman" w:hAnsi="Times New Roman" w:cs="Times New Roman" w:eastAsia="Times New Roman" w:hint="default"/>
                <w:sz w:val="20"/>
                <w:szCs w:val="20"/>
              </w:rPr>
            </w:pPr>
            <w:r>
              <w:rPr>
                <w:rFonts w:ascii="Times New Roman"/>
                <w:w w:val="95"/>
                <w:sz w:val="20"/>
              </w:rPr>
              <w:t>187,129,298.62</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5"/>
              <w:jc w:val="right"/>
              <w:rPr>
                <w:rFonts w:ascii="Times New Roman" w:hAnsi="Times New Roman" w:cs="Times New Roman" w:eastAsia="Times New Roman" w:hint="default"/>
                <w:sz w:val="20"/>
                <w:szCs w:val="20"/>
              </w:rPr>
            </w:pPr>
            <w:r>
              <w:rPr>
                <w:rFonts w:ascii="Times New Roman"/>
                <w:w w:val="95"/>
                <w:sz w:val="20"/>
              </w:rPr>
              <w:t>-165,440,927.24</w:t>
            </w:r>
            <w:r>
              <w:rPr>
                <w:rFonts w:ascii="Times New Roman"/>
                <w:sz w:val="20"/>
              </w:rPr>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应付利息</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1"/>
              <w:jc w:val="right"/>
              <w:rPr>
                <w:rFonts w:ascii="Times New Roman" w:hAnsi="Times New Roman" w:cs="Times New Roman" w:eastAsia="Times New Roman" w:hint="default"/>
                <w:sz w:val="20"/>
                <w:szCs w:val="20"/>
              </w:rPr>
            </w:pPr>
            <w:r>
              <w:rPr>
                <w:rFonts w:ascii="Times New Roman"/>
                <w:w w:val="95"/>
                <w:sz w:val="20"/>
              </w:rPr>
              <w:t>75,756,755.59</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w w:val="95"/>
                <w:sz w:val="20"/>
              </w:rPr>
              <w:t>92,178,963.02</w:t>
            </w:r>
            <w:r>
              <w:rPr>
                <w:rFonts w:ascii="Times New Roman"/>
                <w:sz w:val="20"/>
              </w:rPr>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应付股利</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1"/>
              <w:jc w:val="right"/>
              <w:rPr>
                <w:rFonts w:ascii="Times New Roman" w:hAnsi="Times New Roman" w:cs="Times New Roman" w:eastAsia="Times New Roman" w:hint="default"/>
                <w:sz w:val="20"/>
                <w:szCs w:val="20"/>
              </w:rPr>
            </w:pPr>
            <w:r>
              <w:rPr>
                <w:rFonts w:ascii="Times New Roman"/>
                <w:w w:val="95"/>
                <w:sz w:val="20"/>
              </w:rPr>
              <w:t>73,895,834.68</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w w:val="95"/>
                <w:sz w:val="20"/>
              </w:rPr>
              <w:t>65,706,899.68</w:t>
            </w:r>
            <w:r>
              <w:rPr>
                <w:rFonts w:ascii="Times New Roman"/>
                <w:sz w:val="20"/>
              </w:rPr>
            </w:r>
          </w:p>
        </w:tc>
      </w:tr>
      <w:tr>
        <w:trPr>
          <w:trHeight w:val="298"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其他应付款</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2"/>
              <w:jc w:val="right"/>
              <w:rPr>
                <w:rFonts w:ascii="Times New Roman" w:hAnsi="Times New Roman" w:cs="Times New Roman" w:eastAsia="Times New Roman" w:hint="default"/>
                <w:sz w:val="20"/>
                <w:szCs w:val="20"/>
              </w:rPr>
            </w:pPr>
            <w:r>
              <w:rPr>
                <w:rFonts w:ascii="Times New Roman"/>
                <w:spacing w:val="-1"/>
                <w:sz w:val="20"/>
              </w:rPr>
              <w:t>2,958,592,096.96</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spacing w:val="-1"/>
                <w:sz w:val="20"/>
              </w:rPr>
              <w:t>2,708,164,205.84</w:t>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一年内到期的非流动负债</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spacing w:val="-1"/>
                <w:sz w:val="20"/>
              </w:rPr>
              <w:t>1,154,589,981.72</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spacing w:val="-1"/>
                <w:sz w:val="20"/>
              </w:rPr>
              <w:t>1,874,981,561.48</w:t>
            </w:r>
          </w:p>
        </w:tc>
      </w:tr>
      <w:tr>
        <w:trPr>
          <w:trHeight w:val="298"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其他流动负债</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2"/>
              <w:jc w:val="right"/>
              <w:rPr>
                <w:rFonts w:ascii="Times New Roman" w:hAnsi="Times New Roman" w:cs="Times New Roman" w:eastAsia="Times New Roman" w:hint="default"/>
                <w:sz w:val="20"/>
                <w:szCs w:val="20"/>
              </w:rPr>
            </w:pPr>
            <w:r>
              <w:rPr>
                <w:rFonts w:ascii="Times New Roman"/>
                <w:spacing w:val="-1"/>
                <w:sz w:val="20"/>
              </w:rPr>
              <w:t>2,019,407,123.29</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spacing w:val="-1"/>
                <w:sz w:val="20"/>
              </w:rPr>
              <w:t>1,003,164,383.56</w:t>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895" w:right="0"/>
              <w:jc w:val="left"/>
              <w:rPr>
                <w:rFonts w:ascii="宋体" w:hAnsi="宋体" w:cs="宋体" w:eastAsia="宋体" w:hint="default"/>
                <w:sz w:val="20"/>
                <w:szCs w:val="20"/>
              </w:rPr>
            </w:pPr>
            <w:r>
              <w:rPr>
                <w:rFonts w:ascii="宋体" w:hAnsi="宋体" w:cs="宋体" w:eastAsia="宋体" w:hint="default"/>
                <w:sz w:val="20"/>
                <w:szCs w:val="20"/>
              </w:rPr>
              <w:t>流动负债合计</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102"/>
              <w:jc w:val="right"/>
              <w:rPr>
                <w:rFonts w:ascii="Times New Roman" w:hAnsi="Times New Roman" w:cs="Times New Roman" w:eastAsia="Times New Roman" w:hint="default"/>
                <w:sz w:val="20"/>
                <w:szCs w:val="20"/>
              </w:rPr>
            </w:pPr>
            <w:r>
              <w:rPr>
                <w:rFonts w:ascii="Times New Roman"/>
                <w:b/>
                <w:w w:val="95"/>
                <w:sz w:val="20"/>
              </w:rPr>
              <w:t>27,792,681,381.47</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7"/>
              <w:ind w:right="97"/>
              <w:jc w:val="right"/>
              <w:rPr>
                <w:rFonts w:ascii="Times New Roman" w:hAnsi="Times New Roman" w:cs="Times New Roman" w:eastAsia="Times New Roman" w:hint="default"/>
                <w:sz w:val="20"/>
                <w:szCs w:val="20"/>
              </w:rPr>
            </w:pPr>
            <w:r>
              <w:rPr>
                <w:rFonts w:ascii="Times New Roman"/>
                <w:b/>
                <w:w w:val="95"/>
                <w:sz w:val="20"/>
              </w:rPr>
              <w:t>27,321,708,772.61</w:t>
            </w:r>
            <w:r>
              <w:rPr>
                <w:rFonts w:ascii="Times New Roman"/>
                <w:sz w:val="20"/>
              </w:rPr>
            </w:r>
          </w:p>
        </w:tc>
      </w:tr>
      <w:tr>
        <w:trPr>
          <w:trHeight w:val="298"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非流动负债：</w:t>
            </w:r>
            <w:r>
              <w:rPr>
                <w:rFonts w:ascii="宋体" w:hAnsi="宋体" w:cs="宋体" w:eastAsia="宋体" w:hint="default"/>
                <w:sz w:val="20"/>
                <w:szCs w:val="20"/>
              </w:rPr>
            </w:r>
          </w:p>
        </w:tc>
        <w:tc>
          <w:tcPr>
            <w:tcW w:w="2170" w:type="dxa"/>
            <w:tcBorders>
              <w:top w:val="single" w:sz="6" w:space="0" w:color="000000"/>
              <w:left w:val="single" w:sz="6" w:space="0" w:color="000000"/>
              <w:bottom w:val="single" w:sz="6" w:space="0" w:color="000000"/>
              <w:right w:val="single" w:sz="6" w:space="0" w:color="000000"/>
            </w:tcBorders>
          </w:tcPr>
          <w:p>
            <w:pPr/>
          </w:p>
        </w:tc>
        <w:tc>
          <w:tcPr>
            <w:tcW w:w="2170" w:type="dxa"/>
            <w:tcBorders>
              <w:top w:val="single" w:sz="6" w:space="0" w:color="000000"/>
              <w:left w:val="single" w:sz="6" w:space="0" w:color="000000"/>
              <w:bottom w:val="single" w:sz="6" w:space="0" w:color="000000"/>
              <w:right w:val="single" w:sz="12" w:space="0" w:color="000000"/>
            </w:tcBorders>
          </w:tcPr>
          <w:p>
            <w:pP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长期借款</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spacing w:val="-1"/>
                <w:sz w:val="20"/>
              </w:rPr>
              <w:t>3,541,088,094.61</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spacing w:val="-1"/>
                <w:sz w:val="20"/>
              </w:rPr>
              <w:t>4,084,258,459.42</w:t>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应付债券</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spacing w:val="-1"/>
                <w:sz w:val="20"/>
              </w:rPr>
              <w:t>1,500,000,000.00</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spacing w:val="-1"/>
                <w:sz w:val="20"/>
              </w:rPr>
              <w:t>1,500,000,000.00</w:t>
            </w:r>
          </w:p>
        </w:tc>
      </w:tr>
      <w:tr>
        <w:trPr>
          <w:trHeight w:val="298"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长期应付款</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2"/>
              <w:jc w:val="right"/>
              <w:rPr>
                <w:rFonts w:ascii="Times New Roman" w:hAnsi="Times New Roman" w:cs="Times New Roman" w:eastAsia="Times New Roman" w:hint="default"/>
                <w:sz w:val="20"/>
                <w:szCs w:val="20"/>
              </w:rPr>
            </w:pPr>
            <w:r>
              <w:rPr>
                <w:rFonts w:ascii="Times New Roman"/>
                <w:w w:val="95"/>
                <w:sz w:val="20"/>
              </w:rPr>
              <w:t>322,104,274.81</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w w:val="95"/>
                <w:sz w:val="20"/>
              </w:rPr>
              <w:t>339,518,752.01</w:t>
            </w:r>
            <w:r>
              <w:rPr>
                <w:rFonts w:ascii="Times New Roman"/>
                <w:sz w:val="20"/>
              </w:rPr>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长期应付职工薪酬</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0"/>
              <w:jc w:val="right"/>
              <w:rPr>
                <w:rFonts w:ascii="Times New Roman" w:hAnsi="Times New Roman" w:cs="Times New Roman" w:eastAsia="Times New Roman" w:hint="default"/>
                <w:sz w:val="20"/>
                <w:szCs w:val="20"/>
              </w:rPr>
            </w:pPr>
            <w:r>
              <w:rPr>
                <w:rFonts w:ascii="Times New Roman"/>
                <w:sz w:val="20"/>
              </w:rPr>
              <w:t>0.00</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5"/>
              <w:jc w:val="right"/>
              <w:rPr>
                <w:rFonts w:ascii="Times New Roman" w:hAnsi="Times New Roman" w:cs="Times New Roman" w:eastAsia="Times New Roman" w:hint="default"/>
                <w:sz w:val="20"/>
                <w:szCs w:val="20"/>
              </w:rPr>
            </w:pPr>
            <w:r>
              <w:rPr>
                <w:rFonts w:ascii="Times New Roman"/>
                <w:sz w:val="20"/>
              </w:rPr>
              <w:t>0.00</w:t>
            </w:r>
          </w:p>
        </w:tc>
      </w:tr>
      <w:tr>
        <w:trPr>
          <w:trHeight w:val="298"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专项应付款</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1"/>
              <w:jc w:val="right"/>
              <w:rPr>
                <w:rFonts w:ascii="Times New Roman" w:hAnsi="Times New Roman" w:cs="Times New Roman" w:eastAsia="Times New Roman" w:hint="default"/>
                <w:sz w:val="20"/>
                <w:szCs w:val="20"/>
              </w:rPr>
            </w:pPr>
            <w:r>
              <w:rPr>
                <w:rFonts w:ascii="Times New Roman"/>
                <w:w w:val="95"/>
                <w:sz w:val="20"/>
              </w:rPr>
              <w:t>11,359,992.00</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w w:val="95"/>
                <w:sz w:val="20"/>
              </w:rPr>
              <w:t>13,490,000.00</w:t>
            </w:r>
            <w:r>
              <w:rPr>
                <w:rFonts w:ascii="Times New Roman"/>
                <w:sz w:val="20"/>
              </w:rPr>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预计负债</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99"/>
              <w:jc w:val="right"/>
              <w:rPr>
                <w:rFonts w:ascii="Times New Roman" w:hAnsi="Times New Roman" w:cs="Times New Roman" w:eastAsia="Times New Roman" w:hint="default"/>
                <w:sz w:val="20"/>
                <w:szCs w:val="20"/>
              </w:rPr>
            </w:pPr>
            <w:r>
              <w:rPr>
                <w:rFonts w:ascii="Times New Roman"/>
                <w:w w:val="95"/>
                <w:sz w:val="20"/>
              </w:rPr>
              <w:t>2,915,029.01</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4"/>
              <w:jc w:val="right"/>
              <w:rPr>
                <w:rFonts w:ascii="Times New Roman" w:hAnsi="Times New Roman" w:cs="Times New Roman" w:eastAsia="Times New Roman" w:hint="default"/>
                <w:sz w:val="20"/>
                <w:szCs w:val="20"/>
              </w:rPr>
            </w:pPr>
            <w:r>
              <w:rPr>
                <w:rFonts w:ascii="Times New Roman"/>
                <w:w w:val="95"/>
                <w:sz w:val="20"/>
              </w:rPr>
              <w:t>3,127,733.04</w:t>
            </w:r>
            <w:r>
              <w:rPr>
                <w:rFonts w:ascii="Times New Roman"/>
                <w:sz w:val="20"/>
              </w:rPr>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递延收益</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2"/>
              <w:jc w:val="right"/>
              <w:rPr>
                <w:rFonts w:ascii="Times New Roman" w:hAnsi="Times New Roman" w:cs="Times New Roman" w:eastAsia="Times New Roman" w:hint="default"/>
                <w:sz w:val="20"/>
                <w:szCs w:val="20"/>
              </w:rPr>
            </w:pPr>
            <w:r>
              <w:rPr>
                <w:rFonts w:ascii="Times New Roman"/>
                <w:w w:val="95"/>
                <w:sz w:val="20"/>
              </w:rPr>
              <w:t>919,937,970.33</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w w:val="95"/>
                <w:sz w:val="20"/>
              </w:rPr>
              <w:t>781,541,391.34</w:t>
            </w:r>
            <w:r>
              <w:rPr>
                <w:rFonts w:ascii="Times New Roman"/>
                <w:sz w:val="20"/>
              </w:rPr>
            </w:r>
          </w:p>
        </w:tc>
      </w:tr>
      <w:tr>
        <w:trPr>
          <w:trHeight w:val="298"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递延所得税负债</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2"/>
              <w:jc w:val="right"/>
              <w:rPr>
                <w:rFonts w:ascii="Times New Roman" w:hAnsi="Times New Roman" w:cs="Times New Roman" w:eastAsia="Times New Roman" w:hint="default"/>
                <w:sz w:val="20"/>
                <w:szCs w:val="20"/>
              </w:rPr>
            </w:pPr>
            <w:r>
              <w:rPr>
                <w:rFonts w:ascii="Times New Roman"/>
                <w:w w:val="95"/>
                <w:sz w:val="20"/>
              </w:rPr>
              <w:t>114,912,656.61</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w w:val="95"/>
                <w:sz w:val="20"/>
              </w:rPr>
              <w:t>109,861,701.17</w:t>
            </w:r>
            <w:r>
              <w:rPr>
                <w:rFonts w:ascii="Times New Roman"/>
                <w:sz w:val="20"/>
              </w:rPr>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其他非流动负债</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0"/>
              <w:jc w:val="right"/>
              <w:rPr>
                <w:rFonts w:ascii="Times New Roman" w:hAnsi="Times New Roman" w:cs="Times New Roman" w:eastAsia="Times New Roman" w:hint="default"/>
                <w:sz w:val="20"/>
                <w:szCs w:val="20"/>
              </w:rPr>
            </w:pPr>
            <w:r>
              <w:rPr>
                <w:rFonts w:ascii="Times New Roman"/>
                <w:sz w:val="20"/>
              </w:rPr>
              <w:t>0.00</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w w:val="95"/>
                <w:sz w:val="20"/>
              </w:rPr>
              <w:t>207,510,517.19</w:t>
            </w:r>
            <w:r>
              <w:rPr>
                <w:rFonts w:ascii="Times New Roman"/>
                <w:sz w:val="20"/>
              </w:rPr>
            </w:r>
          </w:p>
        </w:tc>
      </w:tr>
      <w:tr>
        <w:trPr>
          <w:trHeight w:val="298"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895" w:right="0"/>
              <w:jc w:val="left"/>
              <w:rPr>
                <w:rFonts w:ascii="宋体" w:hAnsi="宋体" w:cs="宋体" w:eastAsia="宋体" w:hint="default"/>
                <w:sz w:val="20"/>
                <w:szCs w:val="20"/>
              </w:rPr>
            </w:pPr>
            <w:r>
              <w:rPr>
                <w:rFonts w:ascii="宋体" w:hAnsi="宋体" w:cs="宋体" w:eastAsia="宋体" w:hint="default"/>
                <w:sz w:val="20"/>
                <w:szCs w:val="20"/>
              </w:rPr>
              <w:t>非流动负债合计</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20"/>
                <w:szCs w:val="20"/>
              </w:rPr>
            </w:pPr>
            <w:r>
              <w:rPr>
                <w:rFonts w:ascii="Times New Roman"/>
                <w:b/>
                <w:spacing w:val="-1"/>
                <w:sz w:val="20"/>
              </w:rPr>
              <w:t>6,412,318,017.37</w:t>
            </w:r>
            <w:r>
              <w:rPr>
                <w:rFonts w:ascii="Times New Roman"/>
                <w:spacing w:val="-1"/>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7"/>
              <w:jc w:val="right"/>
              <w:rPr>
                <w:rFonts w:ascii="Times New Roman" w:hAnsi="Times New Roman" w:cs="Times New Roman" w:eastAsia="Times New Roman" w:hint="default"/>
                <w:sz w:val="20"/>
                <w:szCs w:val="20"/>
              </w:rPr>
            </w:pPr>
            <w:r>
              <w:rPr>
                <w:rFonts w:ascii="Times New Roman"/>
                <w:b/>
                <w:spacing w:val="-1"/>
                <w:sz w:val="20"/>
              </w:rPr>
              <w:t>7,039,308,554.17</w:t>
            </w:r>
            <w:r>
              <w:rPr>
                <w:rFonts w:ascii="Times New Roman"/>
                <w:spacing w:val="-1"/>
                <w:sz w:val="20"/>
              </w:rPr>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负债合计</w:t>
            </w:r>
            <w:r>
              <w:rPr>
                <w:rFonts w:ascii="宋体" w:hAnsi="宋体" w:cs="宋体" w:eastAsia="宋体" w:hint="default"/>
                <w:sz w:val="20"/>
                <w:szCs w:val="20"/>
              </w:rPr>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102"/>
              <w:jc w:val="right"/>
              <w:rPr>
                <w:rFonts w:ascii="Times New Roman" w:hAnsi="Times New Roman" w:cs="Times New Roman" w:eastAsia="Times New Roman" w:hint="default"/>
                <w:sz w:val="20"/>
                <w:szCs w:val="20"/>
              </w:rPr>
            </w:pPr>
            <w:r>
              <w:rPr>
                <w:rFonts w:ascii="Times New Roman"/>
                <w:b/>
                <w:w w:val="95"/>
                <w:sz w:val="20"/>
              </w:rPr>
              <w:t>34,204,999,398.84</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7"/>
              <w:ind w:right="97"/>
              <w:jc w:val="right"/>
              <w:rPr>
                <w:rFonts w:ascii="Times New Roman" w:hAnsi="Times New Roman" w:cs="Times New Roman" w:eastAsia="Times New Roman" w:hint="default"/>
                <w:sz w:val="20"/>
                <w:szCs w:val="20"/>
              </w:rPr>
            </w:pPr>
            <w:r>
              <w:rPr>
                <w:rFonts w:ascii="Times New Roman"/>
                <w:b/>
                <w:w w:val="95"/>
                <w:sz w:val="20"/>
              </w:rPr>
              <w:t>34,361,017,326.78</w:t>
            </w:r>
            <w:r>
              <w:rPr>
                <w:rFonts w:ascii="Times New Roman"/>
                <w:sz w:val="20"/>
              </w:rPr>
            </w:r>
          </w:p>
        </w:tc>
      </w:tr>
      <w:tr>
        <w:trPr>
          <w:trHeight w:val="298"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股东权益：</w:t>
            </w:r>
            <w:r>
              <w:rPr>
                <w:rFonts w:ascii="宋体" w:hAnsi="宋体" w:cs="宋体" w:eastAsia="宋体" w:hint="default"/>
                <w:sz w:val="20"/>
                <w:szCs w:val="20"/>
              </w:rPr>
            </w:r>
          </w:p>
        </w:tc>
        <w:tc>
          <w:tcPr>
            <w:tcW w:w="2170" w:type="dxa"/>
            <w:tcBorders>
              <w:top w:val="single" w:sz="6" w:space="0" w:color="000000"/>
              <w:left w:val="single" w:sz="6" w:space="0" w:color="000000"/>
              <w:bottom w:val="single" w:sz="6" w:space="0" w:color="000000"/>
              <w:right w:val="single" w:sz="6" w:space="0" w:color="000000"/>
            </w:tcBorders>
          </w:tcPr>
          <w:p>
            <w:pPr/>
          </w:p>
        </w:tc>
        <w:tc>
          <w:tcPr>
            <w:tcW w:w="2170" w:type="dxa"/>
            <w:tcBorders>
              <w:top w:val="single" w:sz="6" w:space="0" w:color="000000"/>
              <w:left w:val="single" w:sz="6" w:space="0" w:color="000000"/>
              <w:bottom w:val="single" w:sz="6" w:space="0" w:color="000000"/>
              <w:right w:val="single" w:sz="12" w:space="0" w:color="000000"/>
            </w:tcBorders>
          </w:tcPr>
          <w:p>
            <w:pPr/>
          </w:p>
        </w:tc>
      </w:tr>
      <w:tr>
        <w:trPr>
          <w:trHeight w:val="301"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5" w:lineRule="exact"/>
              <w:ind w:left="496" w:right="0"/>
              <w:jc w:val="left"/>
              <w:rPr>
                <w:rFonts w:ascii="宋体" w:hAnsi="宋体" w:cs="宋体" w:eastAsia="宋体" w:hint="default"/>
                <w:sz w:val="20"/>
                <w:szCs w:val="20"/>
              </w:rPr>
            </w:pPr>
            <w:r>
              <w:rPr>
                <w:rFonts w:ascii="宋体" w:hAnsi="宋体" w:cs="宋体" w:eastAsia="宋体" w:hint="default"/>
                <w:sz w:val="20"/>
                <w:szCs w:val="20"/>
              </w:rPr>
              <w:t>股本</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spacing w:val="-1"/>
                <w:sz w:val="20"/>
              </w:rPr>
              <w:t>2,963,898,951.00</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spacing w:val="-1"/>
                <w:sz w:val="20"/>
              </w:rPr>
              <w:t>2,197,882,238.00</w:t>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资本公积</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spacing w:val="-1"/>
                <w:sz w:val="20"/>
              </w:rPr>
              <w:t>9,454,639,314.91</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spacing w:val="-1"/>
                <w:sz w:val="20"/>
              </w:rPr>
              <w:t>4,815,464,376.35</w:t>
            </w:r>
          </w:p>
        </w:tc>
      </w:tr>
      <w:tr>
        <w:trPr>
          <w:trHeight w:val="298"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减：库存股</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0"/>
              <w:jc w:val="right"/>
              <w:rPr>
                <w:rFonts w:ascii="Times New Roman" w:hAnsi="Times New Roman" w:cs="Times New Roman" w:eastAsia="Times New Roman" w:hint="default"/>
                <w:sz w:val="20"/>
                <w:szCs w:val="20"/>
              </w:rPr>
            </w:pPr>
            <w:r>
              <w:rPr>
                <w:rFonts w:ascii="Times New Roman"/>
                <w:sz w:val="20"/>
              </w:rPr>
              <w:t>0.00</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5"/>
              <w:jc w:val="right"/>
              <w:rPr>
                <w:rFonts w:ascii="Times New Roman" w:hAnsi="Times New Roman" w:cs="Times New Roman" w:eastAsia="Times New Roman" w:hint="default"/>
                <w:sz w:val="20"/>
                <w:szCs w:val="20"/>
              </w:rPr>
            </w:pPr>
            <w:r>
              <w:rPr>
                <w:rFonts w:ascii="Times New Roman"/>
                <w:sz w:val="20"/>
              </w:rPr>
              <w:t>0.00</w:t>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其他综合收益</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w w:val="95"/>
                <w:sz w:val="20"/>
              </w:rPr>
              <w:t>-62,042,717.52</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w w:val="95"/>
                <w:sz w:val="20"/>
              </w:rPr>
              <w:t>259,087,330.74</w:t>
            </w:r>
            <w:r>
              <w:rPr>
                <w:rFonts w:ascii="Times New Roman"/>
                <w:sz w:val="20"/>
              </w:rPr>
            </w:r>
          </w:p>
        </w:tc>
      </w:tr>
      <w:tr>
        <w:trPr>
          <w:trHeight w:val="298"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专项储备</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0"/>
              <w:jc w:val="right"/>
              <w:rPr>
                <w:rFonts w:ascii="Times New Roman" w:hAnsi="Times New Roman" w:cs="Times New Roman" w:eastAsia="Times New Roman" w:hint="default"/>
                <w:sz w:val="20"/>
                <w:szCs w:val="20"/>
              </w:rPr>
            </w:pPr>
            <w:r>
              <w:rPr>
                <w:rFonts w:ascii="Times New Roman"/>
                <w:sz w:val="20"/>
              </w:rPr>
              <w:t>0.00</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5"/>
              <w:jc w:val="right"/>
              <w:rPr>
                <w:rFonts w:ascii="Times New Roman" w:hAnsi="Times New Roman" w:cs="Times New Roman" w:eastAsia="Times New Roman" w:hint="default"/>
                <w:sz w:val="20"/>
                <w:szCs w:val="20"/>
              </w:rPr>
            </w:pPr>
            <w:r>
              <w:rPr>
                <w:rFonts w:ascii="Times New Roman"/>
                <w:sz w:val="20"/>
              </w:rPr>
              <w:t>0.00</w:t>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盈余公积</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w w:val="95"/>
                <w:sz w:val="20"/>
              </w:rPr>
              <w:t>884,278,173.27</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w w:val="95"/>
                <w:sz w:val="20"/>
              </w:rPr>
              <w:t>758,118,836.27</w:t>
            </w:r>
            <w:r>
              <w:rPr>
                <w:rFonts w:ascii="Times New Roman"/>
                <w:sz w:val="20"/>
              </w:rPr>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未分配利润</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2"/>
              <w:jc w:val="right"/>
              <w:rPr>
                <w:rFonts w:ascii="Times New Roman" w:hAnsi="Times New Roman" w:cs="Times New Roman" w:eastAsia="Times New Roman" w:hint="default"/>
                <w:sz w:val="20"/>
                <w:szCs w:val="20"/>
              </w:rPr>
            </w:pPr>
            <w:r>
              <w:rPr>
                <w:rFonts w:ascii="Times New Roman"/>
                <w:spacing w:val="-1"/>
                <w:sz w:val="20"/>
              </w:rPr>
              <w:t>4,410,668,665.65</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spacing w:val="-1"/>
                <w:sz w:val="20"/>
              </w:rPr>
              <w:t>3,512,346,548.71</w:t>
            </w:r>
          </w:p>
        </w:tc>
      </w:tr>
      <w:tr>
        <w:trPr>
          <w:trHeight w:val="298"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1324" w:right="0"/>
              <w:jc w:val="left"/>
              <w:rPr>
                <w:rFonts w:ascii="宋体" w:hAnsi="宋体" w:cs="宋体" w:eastAsia="宋体" w:hint="default"/>
                <w:sz w:val="20"/>
                <w:szCs w:val="20"/>
              </w:rPr>
            </w:pPr>
            <w:r>
              <w:rPr>
                <w:rFonts w:ascii="宋体" w:hAnsi="宋体" w:cs="宋体" w:eastAsia="宋体" w:hint="default"/>
                <w:sz w:val="20"/>
                <w:szCs w:val="20"/>
              </w:rPr>
              <w:t>归属于母公司股东权益合计</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20"/>
                <w:szCs w:val="20"/>
              </w:rPr>
            </w:pPr>
            <w:r>
              <w:rPr>
                <w:rFonts w:ascii="Times New Roman"/>
                <w:b/>
                <w:w w:val="95"/>
                <w:sz w:val="20"/>
              </w:rPr>
              <w:t>17,651,442,387.31</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7"/>
              <w:jc w:val="right"/>
              <w:rPr>
                <w:rFonts w:ascii="Times New Roman" w:hAnsi="Times New Roman" w:cs="Times New Roman" w:eastAsia="Times New Roman" w:hint="default"/>
                <w:sz w:val="20"/>
                <w:szCs w:val="20"/>
              </w:rPr>
            </w:pPr>
            <w:r>
              <w:rPr>
                <w:rFonts w:ascii="Times New Roman"/>
                <w:b/>
                <w:w w:val="95"/>
                <w:sz w:val="20"/>
              </w:rPr>
              <w:t>11,542,899,330.07</w:t>
            </w:r>
            <w:r>
              <w:rPr>
                <w:rFonts w:ascii="Times New Roman"/>
                <w:sz w:val="20"/>
              </w:rPr>
            </w:r>
          </w:p>
        </w:tc>
      </w:tr>
      <w:tr>
        <w:trPr>
          <w:trHeight w:val="300"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少数股东权益</w:t>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spacing w:val="-1"/>
                <w:sz w:val="20"/>
              </w:rPr>
              <w:t>5,004,394,086.44</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spacing w:val="-1"/>
                <w:sz w:val="20"/>
              </w:rPr>
              <w:t>3,821,092,249.11</w:t>
            </w:r>
          </w:p>
        </w:tc>
      </w:tr>
      <w:tr>
        <w:trPr>
          <w:trHeight w:val="298" w:hRule="exact"/>
        </w:trPr>
        <w:tc>
          <w:tcPr>
            <w:tcW w:w="5079"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right="7"/>
              <w:jc w:val="center"/>
              <w:rPr>
                <w:rFonts w:ascii="宋体" w:hAnsi="宋体" w:cs="宋体" w:eastAsia="宋体" w:hint="default"/>
                <w:sz w:val="20"/>
                <w:szCs w:val="20"/>
              </w:rPr>
            </w:pPr>
            <w:r>
              <w:rPr>
                <w:rFonts w:ascii="宋体" w:hAnsi="宋体" w:cs="宋体" w:eastAsia="宋体" w:hint="default"/>
                <w:b/>
                <w:bCs/>
                <w:sz w:val="20"/>
                <w:szCs w:val="20"/>
              </w:rPr>
              <w:t>股东权益合计</w:t>
            </w:r>
            <w:r>
              <w:rPr>
                <w:rFonts w:ascii="宋体" w:hAnsi="宋体" w:cs="宋体" w:eastAsia="宋体" w:hint="default"/>
                <w:sz w:val="20"/>
                <w:szCs w:val="20"/>
              </w:rPr>
            </w:r>
          </w:p>
        </w:tc>
        <w:tc>
          <w:tcPr>
            <w:tcW w:w="2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20"/>
                <w:szCs w:val="20"/>
              </w:rPr>
            </w:pPr>
            <w:r>
              <w:rPr>
                <w:rFonts w:ascii="Times New Roman"/>
                <w:b/>
                <w:w w:val="95"/>
                <w:sz w:val="20"/>
              </w:rPr>
              <w:t>22,655,836,473.75</w:t>
            </w:r>
            <w:r>
              <w:rPr>
                <w:rFonts w:ascii="Times New Roman"/>
                <w:sz w:val="20"/>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7"/>
              <w:jc w:val="right"/>
              <w:rPr>
                <w:rFonts w:ascii="Times New Roman" w:hAnsi="Times New Roman" w:cs="Times New Roman" w:eastAsia="Times New Roman" w:hint="default"/>
                <w:sz w:val="20"/>
                <w:szCs w:val="20"/>
              </w:rPr>
            </w:pPr>
            <w:r>
              <w:rPr>
                <w:rFonts w:ascii="Times New Roman"/>
                <w:b/>
                <w:w w:val="95"/>
                <w:sz w:val="20"/>
              </w:rPr>
              <w:t>15,363,991,579.18</w:t>
            </w:r>
            <w:r>
              <w:rPr>
                <w:rFonts w:ascii="Times New Roman"/>
                <w:sz w:val="20"/>
              </w:rPr>
            </w:r>
          </w:p>
        </w:tc>
      </w:tr>
      <w:tr>
        <w:trPr>
          <w:trHeight w:val="305" w:hRule="exact"/>
        </w:trPr>
        <w:tc>
          <w:tcPr>
            <w:tcW w:w="5079" w:type="dxa"/>
            <w:tcBorders>
              <w:top w:val="single" w:sz="6" w:space="0" w:color="000000"/>
              <w:left w:val="single" w:sz="12" w:space="0" w:color="000000"/>
              <w:bottom w:val="single" w:sz="12" w:space="0" w:color="000000"/>
              <w:right w:val="single" w:sz="6" w:space="0" w:color="000000"/>
            </w:tcBorders>
          </w:tcPr>
          <w:p>
            <w:pPr>
              <w:pStyle w:val="TableParagraph"/>
              <w:spacing w:line="244" w:lineRule="exact"/>
              <w:ind w:left="1670" w:right="0"/>
              <w:jc w:val="left"/>
              <w:rPr>
                <w:rFonts w:ascii="宋体" w:hAnsi="宋体" w:cs="宋体" w:eastAsia="宋体" w:hint="default"/>
                <w:sz w:val="20"/>
                <w:szCs w:val="20"/>
              </w:rPr>
            </w:pPr>
            <w:r>
              <w:rPr>
                <w:rFonts w:ascii="宋体" w:hAnsi="宋体" w:cs="宋体" w:eastAsia="宋体" w:hint="default"/>
                <w:b/>
                <w:bCs/>
                <w:sz w:val="20"/>
                <w:szCs w:val="20"/>
              </w:rPr>
              <w:t>负债和股东权益总计</w:t>
            </w:r>
            <w:r>
              <w:rPr>
                <w:rFonts w:ascii="宋体" w:hAnsi="宋体" w:cs="宋体" w:eastAsia="宋体" w:hint="default"/>
                <w:sz w:val="20"/>
                <w:szCs w:val="20"/>
              </w:rPr>
            </w:r>
          </w:p>
        </w:tc>
        <w:tc>
          <w:tcPr>
            <w:tcW w:w="21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7"/>
              <w:ind w:right="102"/>
              <w:jc w:val="right"/>
              <w:rPr>
                <w:rFonts w:ascii="Times New Roman" w:hAnsi="Times New Roman" w:cs="Times New Roman" w:eastAsia="Times New Roman" w:hint="default"/>
                <w:sz w:val="20"/>
                <w:szCs w:val="20"/>
              </w:rPr>
            </w:pPr>
            <w:r>
              <w:rPr>
                <w:rFonts w:ascii="Times New Roman"/>
                <w:b/>
                <w:w w:val="95"/>
                <w:sz w:val="20"/>
              </w:rPr>
              <w:t>56,860,835,872.59</w:t>
            </w:r>
            <w:r>
              <w:rPr>
                <w:rFonts w:ascii="Times New Roman"/>
                <w:sz w:val="20"/>
              </w:rPr>
            </w:r>
          </w:p>
        </w:tc>
        <w:tc>
          <w:tcPr>
            <w:tcW w:w="217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7"/>
              <w:ind w:right="97"/>
              <w:jc w:val="right"/>
              <w:rPr>
                <w:rFonts w:ascii="Times New Roman" w:hAnsi="Times New Roman" w:cs="Times New Roman" w:eastAsia="Times New Roman" w:hint="default"/>
                <w:sz w:val="20"/>
                <w:szCs w:val="20"/>
              </w:rPr>
            </w:pPr>
            <w:r>
              <w:rPr>
                <w:rFonts w:ascii="Times New Roman"/>
                <w:b/>
                <w:w w:val="95"/>
                <w:sz w:val="20"/>
              </w:rPr>
              <w:t>49,725,008,905.96</w:t>
            </w:r>
            <w:r>
              <w:rPr>
                <w:rFonts w:ascii="Times New Roman"/>
                <w:sz w:val="20"/>
              </w:rPr>
            </w:r>
          </w:p>
        </w:tc>
      </w:tr>
    </w:tbl>
    <w:p>
      <w:pPr>
        <w:spacing w:line="240" w:lineRule="auto" w:before="8"/>
        <w:rPr>
          <w:rFonts w:ascii="宋体" w:hAnsi="宋体" w:cs="宋体" w:eastAsia="宋体" w:hint="default"/>
          <w:b/>
          <w:bCs/>
          <w:sz w:val="14"/>
          <w:szCs w:val="14"/>
        </w:rPr>
      </w:pPr>
    </w:p>
    <w:p>
      <w:pPr>
        <w:tabs>
          <w:tab w:pos="3810" w:val="left" w:leader="none"/>
          <w:tab w:pos="7065" w:val="left" w:leader="none"/>
        </w:tabs>
        <w:spacing w:before="36"/>
        <w:ind w:left="238" w:right="110" w:firstLine="0"/>
        <w:jc w:val="left"/>
        <w:rPr>
          <w:rFonts w:ascii="宋体" w:hAnsi="宋体" w:cs="宋体" w:eastAsia="宋体" w:hint="default"/>
          <w:sz w:val="21"/>
          <w:szCs w:val="21"/>
        </w:rPr>
      </w:pPr>
      <w:r>
        <w:rPr>
          <w:rFonts w:ascii="宋体" w:hAnsi="宋体" w:cs="宋体" w:eastAsia="宋体" w:hint="default"/>
          <w:spacing w:val="-1"/>
          <w:sz w:val="21"/>
          <w:szCs w:val="21"/>
        </w:rPr>
        <w:t>法定代表人：周立业</w:t>
        <w:tab/>
      </w:r>
      <w:r>
        <w:rPr>
          <w:rFonts w:ascii="宋体" w:hAnsi="宋体" w:cs="宋体" w:eastAsia="宋体" w:hint="default"/>
          <w:spacing w:val="-2"/>
          <w:sz w:val="21"/>
          <w:szCs w:val="21"/>
        </w:rPr>
        <w:t>财务负责人：刘卫东</w:t>
        <w:tab/>
        <w:t>会计机构负责人：王映浒</w:t>
      </w:r>
    </w:p>
    <w:p>
      <w:pPr>
        <w:spacing w:after="0"/>
        <w:jc w:val="left"/>
        <w:rPr>
          <w:rFonts w:ascii="宋体" w:hAnsi="宋体" w:cs="宋体" w:eastAsia="宋体" w:hint="default"/>
          <w:sz w:val="21"/>
          <w:szCs w:val="21"/>
        </w:rPr>
        <w:sectPr>
          <w:pgSz w:w="11910" w:h="16840"/>
          <w:pgMar w:header="628" w:footer="760" w:top="1960" w:bottom="960" w:left="1180" w:right="1040"/>
        </w:sectPr>
      </w:pPr>
    </w:p>
    <w:p>
      <w:pPr>
        <w:pStyle w:val="Heading3"/>
        <w:spacing w:line="310" w:lineRule="exact"/>
        <w:ind w:left="0" w:right="7"/>
        <w:jc w:val="center"/>
        <w:rPr>
          <w:b w:val="0"/>
          <w:bCs w:val="0"/>
        </w:rPr>
      </w:pPr>
      <w:r>
        <w:rPr/>
        <w:t>母公司资产负债表</w:t>
      </w:r>
      <w:r>
        <w:rPr>
          <w:b w:val="0"/>
          <w:bCs w:val="0"/>
        </w:rPr>
      </w:r>
    </w:p>
    <w:p>
      <w:pPr>
        <w:spacing w:line="240" w:lineRule="auto" w:before="7"/>
        <w:rPr>
          <w:rFonts w:ascii="宋体" w:hAnsi="宋体" w:cs="宋体" w:eastAsia="宋体" w:hint="default"/>
          <w:b/>
          <w:bCs/>
          <w:sz w:val="21"/>
          <w:szCs w:val="21"/>
        </w:rPr>
      </w:pPr>
    </w:p>
    <w:p>
      <w:pPr>
        <w:tabs>
          <w:tab w:pos="7818" w:val="left" w:leader="none"/>
        </w:tabs>
        <w:spacing w:before="0"/>
        <w:ind w:left="0" w:right="3" w:firstLine="0"/>
        <w:jc w:val="center"/>
        <w:rPr>
          <w:rFonts w:ascii="宋体" w:hAnsi="宋体" w:cs="宋体" w:eastAsia="宋体" w:hint="default"/>
          <w:sz w:val="20"/>
          <w:szCs w:val="20"/>
        </w:rPr>
      </w:pPr>
      <w:r>
        <w:rPr>
          <w:rFonts w:ascii="宋体" w:hAnsi="宋体" w:cs="宋体" w:eastAsia="宋体" w:hint="default"/>
          <w:b/>
          <w:bCs/>
          <w:spacing w:val="-1"/>
          <w:w w:val="95"/>
          <w:sz w:val="20"/>
          <w:szCs w:val="20"/>
        </w:rPr>
        <w:t>编制单位：同方股份有限公司</w:t>
        <w:tab/>
      </w:r>
      <w:r>
        <w:rPr>
          <w:rFonts w:ascii="宋体" w:hAnsi="宋体" w:cs="宋体" w:eastAsia="宋体" w:hint="default"/>
          <w:b/>
          <w:bCs/>
          <w:spacing w:val="-2"/>
          <w:sz w:val="20"/>
          <w:szCs w:val="20"/>
        </w:rPr>
        <w:t>单位：人民币元</w:t>
      </w:r>
      <w:r>
        <w:rPr>
          <w:rFonts w:ascii="宋体" w:hAnsi="宋体" w:cs="宋体" w:eastAsia="宋体" w:hint="default"/>
          <w:spacing w:val="-2"/>
          <w:sz w:val="20"/>
          <w:szCs w:val="20"/>
        </w:rPr>
      </w:r>
    </w:p>
    <w:p>
      <w:pPr>
        <w:spacing w:line="240" w:lineRule="auto" w:before="3"/>
        <w:rPr>
          <w:rFonts w:ascii="宋体" w:hAnsi="宋体" w:cs="宋体" w:eastAsia="宋体" w:hint="default"/>
          <w:b/>
          <w:bCs/>
          <w:sz w:val="2"/>
          <w:szCs w:val="2"/>
        </w:rPr>
      </w:pPr>
    </w:p>
    <w:tbl>
      <w:tblPr>
        <w:tblW w:w="0" w:type="auto"/>
        <w:jc w:val="left"/>
        <w:tblInd w:w="116" w:type="dxa"/>
        <w:tblLayout w:type="fixed"/>
        <w:tblCellMar>
          <w:top w:w="0" w:type="dxa"/>
          <w:left w:w="0" w:type="dxa"/>
          <w:bottom w:w="0" w:type="dxa"/>
          <w:right w:w="0" w:type="dxa"/>
        </w:tblCellMar>
        <w:tblLook w:val="01E0"/>
      </w:tblPr>
      <w:tblGrid>
        <w:gridCol w:w="5017"/>
        <w:gridCol w:w="2218"/>
        <w:gridCol w:w="2185"/>
      </w:tblGrid>
      <w:tr>
        <w:trPr>
          <w:trHeight w:val="343" w:hRule="exact"/>
        </w:trPr>
        <w:tc>
          <w:tcPr>
            <w:tcW w:w="5017" w:type="dxa"/>
            <w:tcBorders>
              <w:top w:val="single" w:sz="12" w:space="0" w:color="000000"/>
              <w:left w:val="single" w:sz="12" w:space="0" w:color="000000"/>
              <w:bottom w:val="single" w:sz="6" w:space="0" w:color="000000"/>
              <w:right w:val="single" w:sz="6" w:space="0" w:color="000000"/>
            </w:tcBorders>
          </w:tcPr>
          <w:p>
            <w:pPr>
              <w:pStyle w:val="TableParagraph"/>
              <w:spacing w:line="261" w:lineRule="exact"/>
              <w:ind w:right="5"/>
              <w:jc w:val="center"/>
              <w:rPr>
                <w:rFonts w:ascii="宋体" w:hAnsi="宋体" w:cs="宋体" w:eastAsia="宋体" w:hint="default"/>
                <w:sz w:val="20"/>
                <w:szCs w:val="20"/>
              </w:rPr>
            </w:pPr>
            <w:r>
              <w:rPr>
                <w:rFonts w:ascii="宋体" w:hAnsi="宋体" w:cs="宋体" w:eastAsia="宋体" w:hint="default"/>
                <w:b/>
                <w:bCs/>
                <w:sz w:val="20"/>
                <w:szCs w:val="20"/>
              </w:rPr>
              <w:t>资产</w:t>
            </w:r>
            <w:r>
              <w:rPr>
                <w:rFonts w:ascii="宋体" w:hAnsi="宋体" w:cs="宋体" w:eastAsia="宋体" w:hint="default"/>
                <w:sz w:val="20"/>
                <w:szCs w:val="20"/>
              </w:rPr>
            </w:r>
          </w:p>
        </w:tc>
        <w:tc>
          <w:tcPr>
            <w:tcW w:w="2218"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698"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185"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682"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流动资产：</w:t>
            </w:r>
            <w:r>
              <w:rPr>
                <w:rFonts w:ascii="宋体" w:hAnsi="宋体" w:cs="宋体" w:eastAsia="宋体" w:hint="default"/>
                <w:sz w:val="20"/>
                <w:szCs w:val="20"/>
              </w:rPr>
            </w:r>
          </w:p>
        </w:tc>
        <w:tc>
          <w:tcPr>
            <w:tcW w:w="2218" w:type="dxa"/>
            <w:tcBorders>
              <w:top w:val="single" w:sz="6" w:space="0" w:color="000000"/>
              <w:left w:val="single" w:sz="6" w:space="0" w:color="000000"/>
              <w:bottom w:val="single" w:sz="6" w:space="0" w:color="000000"/>
              <w:right w:val="single" w:sz="6" w:space="0" w:color="000000"/>
            </w:tcBorders>
          </w:tcPr>
          <w:p>
            <w:pPr/>
          </w:p>
        </w:tc>
        <w:tc>
          <w:tcPr>
            <w:tcW w:w="2185" w:type="dxa"/>
            <w:tcBorders>
              <w:top w:val="single" w:sz="6" w:space="0" w:color="000000"/>
              <w:left w:val="single" w:sz="6" w:space="0" w:color="000000"/>
              <w:bottom w:val="single" w:sz="6" w:space="0" w:color="000000"/>
              <w:right w:val="single" w:sz="12" w:space="0" w:color="000000"/>
            </w:tcBorders>
          </w:tcPr>
          <w:p>
            <w:pP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货币资金</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2"/>
              <w:jc w:val="right"/>
              <w:rPr>
                <w:rFonts w:ascii="Times New Roman" w:hAnsi="Times New Roman" w:cs="Times New Roman" w:eastAsia="Times New Roman" w:hint="default"/>
                <w:sz w:val="20"/>
                <w:szCs w:val="20"/>
              </w:rPr>
            </w:pPr>
            <w:r>
              <w:rPr>
                <w:rFonts w:ascii="Times New Roman"/>
                <w:spacing w:val="-1"/>
                <w:sz w:val="20"/>
              </w:rPr>
              <w:t>1,053,960,066.32</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827,303,750.08</w:t>
            </w:r>
            <w:r>
              <w:rPr>
                <w:rFonts w:ascii="Times New Roman"/>
                <w:sz w:val="20"/>
              </w:rPr>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以公允价值计量且其变动计入当期损益的金融资产</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2"/>
              <w:jc w:val="right"/>
              <w:rPr>
                <w:rFonts w:ascii="Times New Roman" w:hAnsi="Times New Roman" w:cs="Times New Roman" w:eastAsia="Times New Roman" w:hint="default"/>
                <w:sz w:val="20"/>
                <w:szCs w:val="20"/>
              </w:rPr>
            </w:pPr>
            <w:r>
              <w:rPr>
                <w:rFonts w:ascii="Times New Roman"/>
                <w:w w:val="95"/>
                <w:sz w:val="20"/>
              </w:rPr>
              <w:t>894,997,221.67</w:t>
            </w:r>
            <w:r>
              <w:rPr>
                <w:rFonts w:ascii="Times New Roman"/>
                <w:sz w:val="20"/>
              </w:rPr>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5"/>
              <w:jc w:val="right"/>
              <w:rPr>
                <w:rFonts w:ascii="Times New Roman" w:hAnsi="Times New Roman" w:cs="Times New Roman" w:eastAsia="Times New Roman" w:hint="default"/>
                <w:sz w:val="20"/>
                <w:szCs w:val="20"/>
              </w:rPr>
            </w:pPr>
            <w:r>
              <w:rPr>
                <w:rFonts w:ascii="Times New Roman"/>
                <w:spacing w:val="-1"/>
                <w:sz w:val="20"/>
              </w:rPr>
              <w:t>1,170,794,074.63</w:t>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应收票据</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1"/>
              <w:jc w:val="right"/>
              <w:rPr>
                <w:rFonts w:ascii="Times New Roman" w:hAnsi="Times New Roman" w:cs="Times New Roman" w:eastAsia="Times New Roman" w:hint="default"/>
                <w:sz w:val="20"/>
                <w:szCs w:val="20"/>
              </w:rPr>
            </w:pPr>
            <w:r>
              <w:rPr>
                <w:rFonts w:ascii="Times New Roman"/>
                <w:w w:val="95"/>
                <w:sz w:val="20"/>
              </w:rPr>
              <w:t>12,360,790.63</w:t>
            </w:r>
            <w:r>
              <w:rPr>
                <w:rFonts w:ascii="Times New Roman"/>
                <w:sz w:val="20"/>
              </w:rPr>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13,640,014.00</w:t>
            </w:r>
            <w:r>
              <w:rPr>
                <w:rFonts w:ascii="Times New Roman"/>
                <w:sz w:val="20"/>
              </w:rPr>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2"/>
              <w:jc w:val="right"/>
              <w:rPr>
                <w:rFonts w:ascii="Times New Roman" w:hAnsi="Times New Roman" w:cs="Times New Roman" w:eastAsia="Times New Roman" w:hint="default"/>
                <w:sz w:val="20"/>
                <w:szCs w:val="20"/>
              </w:rPr>
            </w:pPr>
            <w:r>
              <w:rPr>
                <w:rFonts w:ascii="Times New Roman"/>
                <w:spacing w:val="-1"/>
                <w:sz w:val="20"/>
              </w:rPr>
              <w:t>1,398,638,029.99</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5"/>
              <w:jc w:val="right"/>
              <w:rPr>
                <w:rFonts w:ascii="Times New Roman" w:hAnsi="Times New Roman" w:cs="Times New Roman" w:eastAsia="Times New Roman" w:hint="default"/>
                <w:sz w:val="20"/>
                <w:szCs w:val="20"/>
              </w:rPr>
            </w:pPr>
            <w:r>
              <w:rPr>
                <w:rFonts w:ascii="Times New Roman"/>
                <w:spacing w:val="-1"/>
                <w:sz w:val="20"/>
              </w:rPr>
              <w:t>1,395,682,882.60</w:t>
            </w:r>
          </w:p>
        </w:tc>
      </w:tr>
      <w:tr>
        <w:trPr>
          <w:trHeight w:val="336"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预付款项</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2"/>
              <w:jc w:val="right"/>
              <w:rPr>
                <w:rFonts w:ascii="Times New Roman" w:hAnsi="Times New Roman" w:cs="Times New Roman" w:eastAsia="Times New Roman" w:hint="default"/>
                <w:sz w:val="20"/>
                <w:szCs w:val="20"/>
              </w:rPr>
            </w:pPr>
            <w:r>
              <w:rPr>
                <w:rFonts w:ascii="Times New Roman"/>
                <w:spacing w:val="-1"/>
                <w:sz w:val="20"/>
              </w:rPr>
              <w:t>1,217,177,324.64</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5"/>
              <w:jc w:val="right"/>
              <w:rPr>
                <w:rFonts w:ascii="Times New Roman" w:hAnsi="Times New Roman" w:cs="Times New Roman" w:eastAsia="Times New Roman" w:hint="default"/>
                <w:sz w:val="20"/>
                <w:szCs w:val="20"/>
              </w:rPr>
            </w:pPr>
            <w:r>
              <w:rPr>
                <w:rFonts w:ascii="Times New Roman"/>
                <w:spacing w:val="-1"/>
                <w:sz w:val="20"/>
              </w:rPr>
              <w:t>1,352,510,620.83</w:t>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应收利息</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0"/>
              <w:jc w:val="right"/>
              <w:rPr>
                <w:rFonts w:ascii="Times New Roman" w:hAnsi="Times New Roman" w:cs="Times New Roman" w:eastAsia="Times New Roman" w:hint="default"/>
                <w:sz w:val="20"/>
                <w:szCs w:val="20"/>
              </w:rPr>
            </w:pPr>
            <w:r>
              <w:rPr>
                <w:rFonts w:ascii="Times New Roman"/>
                <w:sz w:val="20"/>
              </w:rPr>
              <w:t>0.00</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3"/>
              <w:jc w:val="right"/>
              <w:rPr>
                <w:rFonts w:ascii="Times New Roman" w:hAnsi="Times New Roman" w:cs="Times New Roman" w:eastAsia="Times New Roman" w:hint="default"/>
                <w:sz w:val="20"/>
                <w:szCs w:val="20"/>
              </w:rPr>
            </w:pPr>
            <w:r>
              <w:rPr>
                <w:rFonts w:ascii="Times New Roman"/>
                <w:sz w:val="20"/>
              </w:rPr>
              <w:t>0.00</w:t>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应收股利</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2"/>
              <w:jc w:val="right"/>
              <w:rPr>
                <w:rFonts w:ascii="Times New Roman" w:hAnsi="Times New Roman" w:cs="Times New Roman" w:eastAsia="Times New Roman" w:hint="default"/>
                <w:sz w:val="20"/>
                <w:szCs w:val="20"/>
              </w:rPr>
            </w:pPr>
            <w:r>
              <w:rPr>
                <w:rFonts w:ascii="Times New Roman"/>
                <w:w w:val="95"/>
                <w:sz w:val="20"/>
              </w:rPr>
              <w:t>326,437,138.08</w:t>
            </w:r>
            <w:r>
              <w:rPr>
                <w:rFonts w:ascii="Times New Roman"/>
                <w:sz w:val="20"/>
              </w:rPr>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165,461,734.24</w:t>
            </w:r>
            <w:r>
              <w:rPr>
                <w:rFonts w:ascii="Times New Roman"/>
                <w:sz w:val="20"/>
              </w:rPr>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2"/>
              <w:jc w:val="right"/>
              <w:rPr>
                <w:rFonts w:ascii="Times New Roman" w:hAnsi="Times New Roman" w:cs="Times New Roman" w:eastAsia="Times New Roman" w:hint="default"/>
                <w:sz w:val="20"/>
                <w:szCs w:val="20"/>
              </w:rPr>
            </w:pPr>
            <w:r>
              <w:rPr>
                <w:rFonts w:ascii="Times New Roman"/>
                <w:w w:val="95"/>
                <w:sz w:val="20"/>
              </w:rPr>
              <w:t>10,689,442,410.26</w:t>
            </w:r>
            <w:r>
              <w:rPr>
                <w:rFonts w:ascii="Times New Roman"/>
                <w:sz w:val="20"/>
              </w:rPr>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5"/>
              <w:jc w:val="right"/>
              <w:rPr>
                <w:rFonts w:ascii="Times New Roman" w:hAnsi="Times New Roman" w:cs="Times New Roman" w:eastAsia="Times New Roman" w:hint="default"/>
                <w:sz w:val="20"/>
                <w:szCs w:val="20"/>
              </w:rPr>
            </w:pPr>
            <w:r>
              <w:rPr>
                <w:rFonts w:ascii="Times New Roman"/>
                <w:spacing w:val="-1"/>
                <w:sz w:val="20"/>
              </w:rPr>
              <w:t>5,452,079,347.65</w:t>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存货</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2"/>
              <w:jc w:val="right"/>
              <w:rPr>
                <w:rFonts w:ascii="Times New Roman" w:hAnsi="Times New Roman" w:cs="Times New Roman" w:eastAsia="Times New Roman" w:hint="default"/>
                <w:sz w:val="20"/>
                <w:szCs w:val="20"/>
              </w:rPr>
            </w:pPr>
            <w:r>
              <w:rPr>
                <w:rFonts w:ascii="Times New Roman"/>
                <w:spacing w:val="-1"/>
                <w:sz w:val="20"/>
              </w:rPr>
              <w:t>1,940,500,638.14</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5"/>
              <w:jc w:val="right"/>
              <w:rPr>
                <w:rFonts w:ascii="Times New Roman" w:hAnsi="Times New Roman" w:cs="Times New Roman" w:eastAsia="Times New Roman" w:hint="default"/>
                <w:sz w:val="20"/>
                <w:szCs w:val="20"/>
              </w:rPr>
            </w:pPr>
            <w:r>
              <w:rPr>
                <w:rFonts w:ascii="Times New Roman"/>
                <w:spacing w:val="-1"/>
                <w:sz w:val="20"/>
              </w:rPr>
              <w:t>2,221,101,982.21</w:t>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一年内到期的非流动资产</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0"/>
              <w:jc w:val="right"/>
              <w:rPr>
                <w:rFonts w:ascii="Times New Roman" w:hAnsi="Times New Roman" w:cs="Times New Roman" w:eastAsia="Times New Roman" w:hint="default"/>
                <w:sz w:val="20"/>
                <w:szCs w:val="20"/>
              </w:rPr>
            </w:pPr>
            <w:r>
              <w:rPr>
                <w:rFonts w:ascii="Times New Roman"/>
                <w:sz w:val="20"/>
              </w:rPr>
              <w:t>0.00</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3"/>
              <w:jc w:val="right"/>
              <w:rPr>
                <w:rFonts w:ascii="Times New Roman" w:hAnsi="Times New Roman" w:cs="Times New Roman" w:eastAsia="Times New Roman" w:hint="default"/>
                <w:sz w:val="20"/>
                <w:szCs w:val="20"/>
              </w:rPr>
            </w:pPr>
            <w:r>
              <w:rPr>
                <w:rFonts w:ascii="Times New Roman"/>
                <w:sz w:val="20"/>
              </w:rPr>
              <w:t>0.00</w:t>
            </w:r>
          </w:p>
        </w:tc>
      </w:tr>
      <w:tr>
        <w:trPr>
          <w:trHeight w:val="336"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其他流动资产</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0"/>
              <w:jc w:val="right"/>
              <w:rPr>
                <w:rFonts w:ascii="Times New Roman" w:hAnsi="Times New Roman" w:cs="Times New Roman" w:eastAsia="Times New Roman" w:hint="default"/>
                <w:sz w:val="20"/>
                <w:szCs w:val="20"/>
              </w:rPr>
            </w:pPr>
            <w:r>
              <w:rPr>
                <w:rFonts w:ascii="Times New Roman"/>
                <w:sz w:val="20"/>
              </w:rPr>
              <w:t>0.00</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3"/>
              <w:jc w:val="right"/>
              <w:rPr>
                <w:rFonts w:ascii="Times New Roman" w:hAnsi="Times New Roman" w:cs="Times New Roman" w:eastAsia="Times New Roman" w:hint="default"/>
                <w:sz w:val="20"/>
                <w:szCs w:val="20"/>
              </w:rPr>
            </w:pPr>
            <w:r>
              <w:rPr>
                <w:rFonts w:ascii="Times New Roman"/>
                <w:sz w:val="20"/>
              </w:rPr>
              <w:t>0.00</w:t>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895" w:right="0"/>
              <w:jc w:val="left"/>
              <w:rPr>
                <w:rFonts w:ascii="宋体" w:hAnsi="宋体" w:cs="宋体" w:eastAsia="宋体" w:hint="default"/>
                <w:sz w:val="20"/>
                <w:szCs w:val="20"/>
              </w:rPr>
            </w:pPr>
            <w:r>
              <w:rPr>
                <w:rFonts w:ascii="宋体" w:hAnsi="宋体" w:cs="宋体" w:eastAsia="宋体" w:hint="default"/>
                <w:sz w:val="20"/>
                <w:szCs w:val="20"/>
              </w:rPr>
              <w:t>流动资产合计</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02"/>
              <w:jc w:val="right"/>
              <w:rPr>
                <w:rFonts w:ascii="Times New Roman" w:hAnsi="Times New Roman" w:cs="Times New Roman" w:eastAsia="Times New Roman" w:hint="default"/>
                <w:sz w:val="20"/>
                <w:szCs w:val="20"/>
              </w:rPr>
            </w:pPr>
            <w:r>
              <w:rPr>
                <w:rFonts w:ascii="Times New Roman"/>
                <w:b/>
                <w:w w:val="95"/>
                <w:sz w:val="20"/>
              </w:rPr>
              <w:t>17,533,513,619.73</w:t>
            </w:r>
            <w:r>
              <w:rPr>
                <w:rFonts w:ascii="Times New Roman"/>
                <w:sz w:val="20"/>
              </w:rPr>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right="95"/>
              <w:jc w:val="right"/>
              <w:rPr>
                <w:rFonts w:ascii="Times New Roman" w:hAnsi="Times New Roman" w:cs="Times New Roman" w:eastAsia="Times New Roman" w:hint="default"/>
                <w:sz w:val="20"/>
                <w:szCs w:val="20"/>
              </w:rPr>
            </w:pPr>
            <w:r>
              <w:rPr>
                <w:rFonts w:ascii="Times New Roman"/>
                <w:b/>
                <w:w w:val="95"/>
                <w:sz w:val="20"/>
              </w:rPr>
              <w:t>12,598,574,406.24</w:t>
            </w:r>
            <w:r>
              <w:rPr>
                <w:rFonts w:ascii="Times New Roman"/>
                <w:sz w:val="20"/>
              </w:rPr>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非流动资产：</w:t>
            </w:r>
            <w:r>
              <w:rPr>
                <w:rFonts w:ascii="宋体" w:hAnsi="宋体" w:cs="宋体" w:eastAsia="宋体" w:hint="default"/>
                <w:sz w:val="20"/>
                <w:szCs w:val="20"/>
              </w:rPr>
            </w:r>
          </w:p>
        </w:tc>
        <w:tc>
          <w:tcPr>
            <w:tcW w:w="2218" w:type="dxa"/>
            <w:tcBorders>
              <w:top w:val="single" w:sz="6" w:space="0" w:color="000000"/>
              <w:left w:val="single" w:sz="6" w:space="0" w:color="000000"/>
              <w:bottom w:val="single" w:sz="6" w:space="0" w:color="000000"/>
              <w:right w:val="single" w:sz="6" w:space="0" w:color="000000"/>
            </w:tcBorders>
          </w:tcPr>
          <w:p>
            <w:pPr/>
          </w:p>
        </w:tc>
        <w:tc>
          <w:tcPr>
            <w:tcW w:w="2185" w:type="dxa"/>
            <w:tcBorders>
              <w:top w:val="single" w:sz="6" w:space="0" w:color="000000"/>
              <w:left w:val="single" w:sz="6" w:space="0" w:color="000000"/>
              <w:bottom w:val="single" w:sz="6" w:space="0" w:color="000000"/>
              <w:right w:val="single" w:sz="12" w:space="0" w:color="000000"/>
            </w:tcBorders>
          </w:tcPr>
          <w:p>
            <w:pP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可供出售金融资产</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1"/>
              <w:jc w:val="right"/>
              <w:rPr>
                <w:rFonts w:ascii="Times New Roman" w:hAnsi="Times New Roman" w:cs="Times New Roman" w:eastAsia="Times New Roman" w:hint="default"/>
                <w:sz w:val="20"/>
                <w:szCs w:val="20"/>
              </w:rPr>
            </w:pPr>
            <w:r>
              <w:rPr>
                <w:rFonts w:ascii="Times New Roman"/>
                <w:w w:val="95"/>
                <w:sz w:val="20"/>
              </w:rPr>
              <w:t>31,605,581.32</w:t>
            </w:r>
            <w:r>
              <w:rPr>
                <w:rFonts w:ascii="Times New Roman"/>
                <w:sz w:val="20"/>
              </w:rPr>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29,581,085.99</w:t>
            </w:r>
            <w:r>
              <w:rPr>
                <w:rFonts w:ascii="Times New Roman"/>
                <w:sz w:val="20"/>
              </w:rPr>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持有至到期投资</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1"/>
              <w:jc w:val="right"/>
              <w:rPr>
                <w:rFonts w:ascii="Times New Roman" w:hAnsi="Times New Roman" w:cs="Times New Roman" w:eastAsia="Times New Roman" w:hint="default"/>
                <w:sz w:val="20"/>
                <w:szCs w:val="20"/>
              </w:rPr>
            </w:pPr>
            <w:r>
              <w:rPr>
                <w:rFonts w:ascii="Times New Roman"/>
                <w:w w:val="95"/>
                <w:sz w:val="20"/>
              </w:rPr>
              <w:t>19,000,000.00</w:t>
            </w:r>
            <w:r>
              <w:rPr>
                <w:rFonts w:ascii="Times New Roman"/>
                <w:sz w:val="20"/>
              </w:rPr>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63,867,075.00</w:t>
            </w:r>
            <w:r>
              <w:rPr>
                <w:rFonts w:ascii="Times New Roman"/>
                <w:sz w:val="20"/>
              </w:rPr>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长期应收款</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0"/>
              <w:jc w:val="right"/>
              <w:rPr>
                <w:rFonts w:ascii="Times New Roman" w:hAnsi="Times New Roman" w:cs="Times New Roman" w:eastAsia="Times New Roman" w:hint="default"/>
                <w:sz w:val="20"/>
                <w:szCs w:val="20"/>
              </w:rPr>
            </w:pPr>
            <w:r>
              <w:rPr>
                <w:rFonts w:ascii="Times New Roman"/>
                <w:sz w:val="20"/>
              </w:rPr>
              <w:t>0.00</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3"/>
              <w:jc w:val="right"/>
              <w:rPr>
                <w:rFonts w:ascii="Times New Roman" w:hAnsi="Times New Roman" w:cs="Times New Roman" w:eastAsia="Times New Roman" w:hint="default"/>
                <w:sz w:val="20"/>
                <w:szCs w:val="20"/>
              </w:rPr>
            </w:pPr>
            <w:r>
              <w:rPr>
                <w:rFonts w:ascii="Times New Roman"/>
                <w:sz w:val="20"/>
              </w:rPr>
              <w:t>0.00</w:t>
            </w:r>
          </w:p>
        </w:tc>
      </w:tr>
      <w:tr>
        <w:trPr>
          <w:trHeight w:val="336"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长期股权投资</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2"/>
              <w:jc w:val="right"/>
              <w:rPr>
                <w:rFonts w:ascii="Times New Roman" w:hAnsi="Times New Roman" w:cs="Times New Roman" w:eastAsia="Times New Roman" w:hint="default"/>
                <w:sz w:val="20"/>
                <w:szCs w:val="20"/>
              </w:rPr>
            </w:pPr>
            <w:r>
              <w:rPr>
                <w:rFonts w:ascii="Times New Roman"/>
                <w:spacing w:val="-1"/>
                <w:sz w:val="20"/>
              </w:rPr>
              <w:t>9,753,688,559.31</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5"/>
              <w:jc w:val="right"/>
              <w:rPr>
                <w:rFonts w:ascii="Times New Roman" w:hAnsi="Times New Roman" w:cs="Times New Roman" w:eastAsia="Times New Roman" w:hint="default"/>
                <w:sz w:val="20"/>
                <w:szCs w:val="20"/>
              </w:rPr>
            </w:pPr>
            <w:r>
              <w:rPr>
                <w:rFonts w:ascii="Times New Roman"/>
                <w:spacing w:val="-1"/>
                <w:sz w:val="20"/>
              </w:rPr>
              <w:t>9,594,086,365.46</w:t>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投资性房地产</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0"/>
              <w:jc w:val="right"/>
              <w:rPr>
                <w:rFonts w:ascii="Times New Roman" w:hAnsi="Times New Roman" w:cs="Times New Roman" w:eastAsia="Times New Roman" w:hint="default"/>
                <w:sz w:val="20"/>
                <w:szCs w:val="20"/>
              </w:rPr>
            </w:pPr>
            <w:r>
              <w:rPr>
                <w:rFonts w:ascii="Times New Roman"/>
                <w:sz w:val="20"/>
              </w:rPr>
              <w:t>0.00</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3"/>
              <w:jc w:val="right"/>
              <w:rPr>
                <w:rFonts w:ascii="Times New Roman" w:hAnsi="Times New Roman" w:cs="Times New Roman" w:eastAsia="Times New Roman" w:hint="default"/>
                <w:sz w:val="20"/>
                <w:szCs w:val="20"/>
              </w:rPr>
            </w:pPr>
            <w:r>
              <w:rPr>
                <w:rFonts w:ascii="Times New Roman"/>
                <w:sz w:val="20"/>
              </w:rPr>
              <w:t>0.00</w:t>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固定资产</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2"/>
              <w:jc w:val="right"/>
              <w:rPr>
                <w:rFonts w:ascii="Times New Roman" w:hAnsi="Times New Roman" w:cs="Times New Roman" w:eastAsia="Times New Roman" w:hint="default"/>
                <w:sz w:val="20"/>
                <w:szCs w:val="20"/>
              </w:rPr>
            </w:pPr>
            <w:r>
              <w:rPr>
                <w:rFonts w:ascii="Times New Roman"/>
                <w:spacing w:val="-1"/>
                <w:sz w:val="20"/>
              </w:rPr>
              <w:t>1,010,004,725.31</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5"/>
              <w:jc w:val="right"/>
              <w:rPr>
                <w:rFonts w:ascii="Times New Roman" w:hAnsi="Times New Roman" w:cs="Times New Roman" w:eastAsia="Times New Roman" w:hint="default"/>
                <w:sz w:val="20"/>
                <w:szCs w:val="20"/>
              </w:rPr>
            </w:pPr>
            <w:r>
              <w:rPr>
                <w:rFonts w:ascii="Times New Roman"/>
                <w:spacing w:val="-1"/>
                <w:sz w:val="20"/>
              </w:rPr>
              <w:t>1,092,627,418.76</w:t>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在建工程</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1"/>
              <w:jc w:val="right"/>
              <w:rPr>
                <w:rFonts w:ascii="Times New Roman" w:hAnsi="Times New Roman" w:cs="Times New Roman" w:eastAsia="Times New Roman" w:hint="default"/>
                <w:sz w:val="20"/>
                <w:szCs w:val="20"/>
              </w:rPr>
            </w:pPr>
            <w:r>
              <w:rPr>
                <w:rFonts w:ascii="Times New Roman"/>
                <w:w w:val="95"/>
                <w:sz w:val="20"/>
              </w:rPr>
              <w:t>979,000.00</w:t>
            </w:r>
            <w:r>
              <w:rPr>
                <w:rFonts w:ascii="Times New Roman"/>
                <w:sz w:val="20"/>
              </w:rPr>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3"/>
              <w:jc w:val="right"/>
              <w:rPr>
                <w:rFonts w:ascii="Times New Roman" w:hAnsi="Times New Roman" w:cs="Times New Roman" w:eastAsia="Times New Roman" w:hint="default"/>
                <w:sz w:val="20"/>
                <w:szCs w:val="20"/>
              </w:rPr>
            </w:pPr>
            <w:r>
              <w:rPr>
                <w:rFonts w:ascii="Times New Roman"/>
                <w:sz w:val="20"/>
              </w:rPr>
              <w:t>0.00</w:t>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工程物资</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0"/>
              <w:jc w:val="right"/>
              <w:rPr>
                <w:rFonts w:ascii="Times New Roman" w:hAnsi="Times New Roman" w:cs="Times New Roman" w:eastAsia="Times New Roman" w:hint="default"/>
                <w:sz w:val="20"/>
                <w:szCs w:val="20"/>
              </w:rPr>
            </w:pPr>
            <w:r>
              <w:rPr>
                <w:rFonts w:ascii="Times New Roman"/>
                <w:sz w:val="20"/>
              </w:rPr>
              <w:t>0.00</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3"/>
              <w:jc w:val="right"/>
              <w:rPr>
                <w:rFonts w:ascii="Times New Roman" w:hAnsi="Times New Roman" w:cs="Times New Roman" w:eastAsia="Times New Roman" w:hint="default"/>
                <w:sz w:val="20"/>
                <w:szCs w:val="20"/>
              </w:rPr>
            </w:pPr>
            <w:r>
              <w:rPr>
                <w:rFonts w:ascii="Times New Roman"/>
                <w:sz w:val="20"/>
              </w:rPr>
              <w:t>0.00</w:t>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固定资产清理</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0"/>
              <w:jc w:val="right"/>
              <w:rPr>
                <w:rFonts w:ascii="Times New Roman" w:hAnsi="Times New Roman" w:cs="Times New Roman" w:eastAsia="Times New Roman" w:hint="default"/>
                <w:sz w:val="20"/>
                <w:szCs w:val="20"/>
              </w:rPr>
            </w:pPr>
            <w:r>
              <w:rPr>
                <w:rFonts w:ascii="Times New Roman"/>
                <w:sz w:val="20"/>
              </w:rPr>
              <w:t>0.00</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3"/>
              <w:jc w:val="right"/>
              <w:rPr>
                <w:rFonts w:ascii="Times New Roman" w:hAnsi="Times New Roman" w:cs="Times New Roman" w:eastAsia="Times New Roman" w:hint="default"/>
                <w:sz w:val="20"/>
                <w:szCs w:val="20"/>
              </w:rPr>
            </w:pPr>
            <w:r>
              <w:rPr>
                <w:rFonts w:ascii="Times New Roman"/>
                <w:sz w:val="20"/>
              </w:rPr>
              <w:t>0.00</w:t>
            </w:r>
          </w:p>
        </w:tc>
      </w:tr>
      <w:tr>
        <w:trPr>
          <w:trHeight w:val="336"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生产性生物资产</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0"/>
              <w:jc w:val="right"/>
              <w:rPr>
                <w:rFonts w:ascii="Times New Roman" w:hAnsi="Times New Roman" w:cs="Times New Roman" w:eastAsia="Times New Roman" w:hint="default"/>
                <w:sz w:val="20"/>
                <w:szCs w:val="20"/>
              </w:rPr>
            </w:pPr>
            <w:r>
              <w:rPr>
                <w:rFonts w:ascii="Times New Roman"/>
                <w:sz w:val="20"/>
              </w:rPr>
              <w:t>0.00</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3"/>
              <w:jc w:val="right"/>
              <w:rPr>
                <w:rFonts w:ascii="Times New Roman" w:hAnsi="Times New Roman" w:cs="Times New Roman" w:eastAsia="Times New Roman" w:hint="default"/>
                <w:sz w:val="20"/>
                <w:szCs w:val="20"/>
              </w:rPr>
            </w:pPr>
            <w:r>
              <w:rPr>
                <w:rFonts w:ascii="Times New Roman"/>
                <w:sz w:val="20"/>
              </w:rPr>
              <w:t>0.00</w:t>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油气资产</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00"/>
              <w:jc w:val="right"/>
              <w:rPr>
                <w:rFonts w:ascii="Times New Roman" w:hAnsi="Times New Roman" w:cs="Times New Roman" w:eastAsia="Times New Roman" w:hint="default"/>
                <w:sz w:val="20"/>
                <w:szCs w:val="20"/>
              </w:rPr>
            </w:pPr>
            <w:r>
              <w:rPr>
                <w:rFonts w:ascii="Times New Roman"/>
                <w:sz w:val="20"/>
              </w:rPr>
              <w:t>0.00</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7"/>
              <w:ind w:right="93"/>
              <w:jc w:val="right"/>
              <w:rPr>
                <w:rFonts w:ascii="Times New Roman" w:hAnsi="Times New Roman" w:cs="Times New Roman" w:eastAsia="Times New Roman" w:hint="default"/>
                <w:sz w:val="20"/>
                <w:szCs w:val="20"/>
              </w:rPr>
            </w:pPr>
            <w:r>
              <w:rPr>
                <w:rFonts w:ascii="Times New Roman"/>
                <w:sz w:val="20"/>
              </w:rPr>
              <w:t>0.00</w:t>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无形资产</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2"/>
              <w:jc w:val="right"/>
              <w:rPr>
                <w:rFonts w:ascii="Times New Roman" w:hAnsi="Times New Roman" w:cs="Times New Roman" w:eastAsia="Times New Roman" w:hint="default"/>
                <w:sz w:val="20"/>
                <w:szCs w:val="20"/>
              </w:rPr>
            </w:pPr>
            <w:r>
              <w:rPr>
                <w:rFonts w:ascii="Times New Roman"/>
                <w:w w:val="95"/>
                <w:sz w:val="20"/>
              </w:rPr>
              <w:t>195,167,902.74</w:t>
            </w:r>
            <w:r>
              <w:rPr>
                <w:rFonts w:ascii="Times New Roman"/>
                <w:sz w:val="20"/>
              </w:rPr>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261,664,672.32</w:t>
            </w:r>
            <w:r>
              <w:rPr>
                <w:rFonts w:ascii="Times New Roman"/>
                <w:sz w:val="20"/>
              </w:rPr>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开发支出</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1"/>
              <w:jc w:val="right"/>
              <w:rPr>
                <w:rFonts w:ascii="Times New Roman" w:hAnsi="Times New Roman" w:cs="Times New Roman" w:eastAsia="Times New Roman" w:hint="default"/>
                <w:sz w:val="20"/>
                <w:szCs w:val="20"/>
              </w:rPr>
            </w:pPr>
            <w:r>
              <w:rPr>
                <w:rFonts w:ascii="Times New Roman"/>
                <w:w w:val="95"/>
                <w:sz w:val="20"/>
              </w:rPr>
              <w:t>24,369,813.90</w:t>
            </w:r>
            <w:r>
              <w:rPr>
                <w:rFonts w:ascii="Times New Roman"/>
                <w:sz w:val="20"/>
              </w:rPr>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83,923,951.79</w:t>
            </w:r>
            <w:r>
              <w:rPr>
                <w:rFonts w:ascii="Times New Roman"/>
                <w:sz w:val="20"/>
              </w:rPr>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商誉</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0"/>
              <w:jc w:val="right"/>
              <w:rPr>
                <w:rFonts w:ascii="Times New Roman" w:hAnsi="Times New Roman" w:cs="Times New Roman" w:eastAsia="Times New Roman" w:hint="default"/>
                <w:sz w:val="20"/>
                <w:szCs w:val="20"/>
              </w:rPr>
            </w:pPr>
            <w:r>
              <w:rPr>
                <w:rFonts w:ascii="Times New Roman"/>
                <w:sz w:val="20"/>
              </w:rPr>
              <w:t>0.00</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3"/>
              <w:jc w:val="right"/>
              <w:rPr>
                <w:rFonts w:ascii="Times New Roman" w:hAnsi="Times New Roman" w:cs="Times New Roman" w:eastAsia="Times New Roman" w:hint="default"/>
                <w:sz w:val="20"/>
                <w:szCs w:val="20"/>
              </w:rPr>
            </w:pPr>
            <w:r>
              <w:rPr>
                <w:rFonts w:ascii="Times New Roman"/>
                <w:sz w:val="20"/>
              </w:rPr>
              <w:t>0.00</w:t>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长期待摊费用</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1"/>
              <w:jc w:val="right"/>
              <w:rPr>
                <w:rFonts w:ascii="Times New Roman" w:hAnsi="Times New Roman" w:cs="Times New Roman" w:eastAsia="Times New Roman" w:hint="default"/>
                <w:sz w:val="20"/>
                <w:szCs w:val="20"/>
              </w:rPr>
            </w:pPr>
            <w:r>
              <w:rPr>
                <w:rFonts w:ascii="Times New Roman"/>
                <w:w w:val="95"/>
                <w:sz w:val="20"/>
              </w:rPr>
              <w:t>14,509,433.87</w:t>
            </w:r>
            <w:r>
              <w:rPr>
                <w:rFonts w:ascii="Times New Roman"/>
                <w:sz w:val="20"/>
              </w:rPr>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17,068,805.48</w:t>
            </w:r>
            <w:r>
              <w:rPr>
                <w:rFonts w:ascii="Times New Roman"/>
                <w:sz w:val="20"/>
              </w:rPr>
            </w:r>
          </w:p>
        </w:tc>
      </w:tr>
      <w:tr>
        <w:trPr>
          <w:trHeight w:val="336"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递延所得税资产</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1"/>
              <w:jc w:val="right"/>
              <w:rPr>
                <w:rFonts w:ascii="Times New Roman" w:hAnsi="Times New Roman" w:cs="Times New Roman" w:eastAsia="Times New Roman" w:hint="default"/>
                <w:sz w:val="20"/>
                <w:szCs w:val="20"/>
              </w:rPr>
            </w:pPr>
            <w:r>
              <w:rPr>
                <w:rFonts w:ascii="Times New Roman"/>
                <w:w w:val="95"/>
                <w:sz w:val="20"/>
              </w:rPr>
              <w:t>56,025,211.58</w:t>
            </w:r>
            <w:r>
              <w:rPr>
                <w:rFonts w:ascii="Times New Roman"/>
                <w:sz w:val="20"/>
              </w:rPr>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30,836,666.66</w:t>
            </w:r>
            <w:r>
              <w:rPr>
                <w:rFonts w:ascii="Times New Roman"/>
                <w:sz w:val="20"/>
              </w:rPr>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其他非流动资产</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0"/>
              <w:jc w:val="right"/>
              <w:rPr>
                <w:rFonts w:ascii="Times New Roman" w:hAnsi="Times New Roman" w:cs="Times New Roman" w:eastAsia="Times New Roman" w:hint="default"/>
                <w:sz w:val="20"/>
                <w:szCs w:val="20"/>
              </w:rPr>
            </w:pPr>
            <w:r>
              <w:rPr>
                <w:rFonts w:ascii="Times New Roman"/>
                <w:sz w:val="20"/>
              </w:rPr>
              <w:t>0.00</w:t>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3"/>
              <w:jc w:val="right"/>
              <w:rPr>
                <w:rFonts w:ascii="Times New Roman" w:hAnsi="Times New Roman" w:cs="Times New Roman" w:eastAsia="Times New Roman" w:hint="default"/>
                <w:sz w:val="20"/>
                <w:szCs w:val="20"/>
              </w:rPr>
            </w:pPr>
            <w:r>
              <w:rPr>
                <w:rFonts w:ascii="Times New Roman"/>
                <w:sz w:val="20"/>
              </w:rPr>
              <w:t>0.00</w:t>
            </w:r>
          </w:p>
        </w:tc>
      </w:tr>
      <w:tr>
        <w:trPr>
          <w:trHeight w:val="334"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895" w:right="0"/>
              <w:jc w:val="left"/>
              <w:rPr>
                <w:rFonts w:ascii="宋体" w:hAnsi="宋体" w:cs="宋体" w:eastAsia="宋体" w:hint="default"/>
                <w:sz w:val="20"/>
                <w:szCs w:val="20"/>
              </w:rPr>
            </w:pPr>
            <w:r>
              <w:rPr>
                <w:rFonts w:ascii="宋体" w:hAnsi="宋体" w:cs="宋体" w:eastAsia="宋体" w:hint="default"/>
                <w:sz w:val="20"/>
                <w:szCs w:val="20"/>
              </w:rPr>
              <w:t>非流动资产合计</w:t>
            </w:r>
          </w:p>
        </w:tc>
        <w:tc>
          <w:tcPr>
            <w:tcW w:w="2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02"/>
              <w:jc w:val="right"/>
              <w:rPr>
                <w:rFonts w:ascii="Times New Roman" w:hAnsi="Times New Roman" w:cs="Times New Roman" w:eastAsia="Times New Roman" w:hint="default"/>
                <w:sz w:val="20"/>
                <w:szCs w:val="20"/>
              </w:rPr>
            </w:pPr>
            <w:r>
              <w:rPr>
                <w:rFonts w:ascii="Times New Roman"/>
                <w:b/>
                <w:w w:val="95"/>
                <w:sz w:val="20"/>
              </w:rPr>
              <w:t>11,105,350,228.03</w:t>
            </w:r>
            <w:r>
              <w:rPr>
                <w:rFonts w:ascii="Times New Roman"/>
                <w:sz w:val="20"/>
              </w:rPr>
            </w:r>
          </w:p>
        </w:tc>
        <w:tc>
          <w:tcPr>
            <w:tcW w:w="21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3"/>
              <w:ind w:right="95"/>
              <w:jc w:val="right"/>
              <w:rPr>
                <w:rFonts w:ascii="Times New Roman" w:hAnsi="Times New Roman" w:cs="Times New Roman" w:eastAsia="Times New Roman" w:hint="default"/>
                <w:sz w:val="20"/>
                <w:szCs w:val="20"/>
              </w:rPr>
            </w:pPr>
            <w:r>
              <w:rPr>
                <w:rFonts w:ascii="Times New Roman"/>
                <w:b/>
                <w:w w:val="95"/>
                <w:sz w:val="20"/>
              </w:rPr>
              <w:t>11,173,656,041.46</w:t>
            </w:r>
            <w:r>
              <w:rPr>
                <w:rFonts w:ascii="Times New Roman"/>
                <w:sz w:val="20"/>
              </w:rPr>
            </w:r>
          </w:p>
        </w:tc>
      </w:tr>
      <w:tr>
        <w:trPr>
          <w:trHeight w:val="341" w:hRule="exact"/>
        </w:trPr>
        <w:tc>
          <w:tcPr>
            <w:tcW w:w="5017"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2" w:right="0"/>
              <w:jc w:val="center"/>
              <w:rPr>
                <w:rFonts w:ascii="宋体" w:hAnsi="宋体" w:cs="宋体" w:eastAsia="宋体" w:hint="default"/>
                <w:sz w:val="20"/>
                <w:szCs w:val="20"/>
              </w:rPr>
            </w:pPr>
            <w:r>
              <w:rPr>
                <w:rFonts w:ascii="宋体" w:hAnsi="宋体" w:cs="宋体" w:eastAsia="宋体" w:hint="default"/>
                <w:b/>
                <w:bCs/>
                <w:sz w:val="20"/>
                <w:szCs w:val="20"/>
              </w:rPr>
              <w:t>资产总计</w:t>
            </w:r>
            <w:r>
              <w:rPr>
                <w:rFonts w:ascii="宋体" w:hAnsi="宋体" w:cs="宋体" w:eastAsia="宋体" w:hint="default"/>
                <w:sz w:val="20"/>
                <w:szCs w:val="20"/>
              </w:rPr>
            </w:r>
          </w:p>
        </w:tc>
        <w:tc>
          <w:tcPr>
            <w:tcW w:w="221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3"/>
              <w:ind w:right="102"/>
              <w:jc w:val="right"/>
              <w:rPr>
                <w:rFonts w:ascii="Times New Roman" w:hAnsi="Times New Roman" w:cs="Times New Roman" w:eastAsia="Times New Roman" w:hint="default"/>
                <w:sz w:val="20"/>
                <w:szCs w:val="20"/>
              </w:rPr>
            </w:pPr>
            <w:r>
              <w:rPr>
                <w:rFonts w:ascii="Times New Roman"/>
                <w:b/>
                <w:w w:val="95"/>
                <w:sz w:val="20"/>
              </w:rPr>
              <w:t>28,638,863,847.76</w:t>
            </w:r>
            <w:r>
              <w:rPr>
                <w:rFonts w:ascii="Times New Roman"/>
                <w:sz w:val="20"/>
              </w:rPr>
            </w:r>
          </w:p>
        </w:tc>
        <w:tc>
          <w:tcPr>
            <w:tcW w:w="218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3"/>
              <w:ind w:right="95"/>
              <w:jc w:val="right"/>
              <w:rPr>
                <w:rFonts w:ascii="Times New Roman" w:hAnsi="Times New Roman" w:cs="Times New Roman" w:eastAsia="Times New Roman" w:hint="default"/>
                <w:sz w:val="20"/>
                <w:szCs w:val="20"/>
              </w:rPr>
            </w:pPr>
            <w:r>
              <w:rPr>
                <w:rFonts w:ascii="Times New Roman"/>
                <w:b/>
                <w:w w:val="95"/>
                <w:sz w:val="20"/>
              </w:rPr>
              <w:t>23,772,230,447.70</w:t>
            </w:r>
            <w:r>
              <w:rPr>
                <w:rFonts w:ascii="Times New Roman"/>
                <w:sz w:val="20"/>
              </w:rPr>
            </w:r>
          </w:p>
        </w:tc>
      </w:tr>
    </w:tbl>
    <w:p>
      <w:pPr>
        <w:spacing w:after="0" w:line="240" w:lineRule="auto"/>
        <w:jc w:val="right"/>
        <w:rPr>
          <w:rFonts w:ascii="Times New Roman" w:hAnsi="Times New Roman" w:cs="Times New Roman" w:eastAsia="Times New Roman" w:hint="default"/>
          <w:sz w:val="20"/>
          <w:szCs w:val="20"/>
        </w:rPr>
        <w:sectPr>
          <w:pgSz w:w="11910" w:h="16840"/>
          <w:pgMar w:header="628" w:footer="760" w:top="1960" w:bottom="960" w:left="1180" w:right="1040"/>
        </w:sectPr>
      </w:pPr>
    </w:p>
    <w:p>
      <w:pPr>
        <w:pStyle w:val="Heading3"/>
        <w:spacing w:line="310" w:lineRule="exact"/>
        <w:ind w:left="0" w:right="3"/>
        <w:jc w:val="center"/>
        <w:rPr>
          <w:b w:val="0"/>
          <w:bCs w:val="0"/>
        </w:rPr>
      </w:pPr>
      <w:r>
        <w:rPr/>
        <w:t>母公司资产负债表（续）</w:t>
      </w:r>
      <w:r>
        <w:rPr>
          <w:b w:val="0"/>
          <w:bCs w:val="0"/>
        </w:rPr>
      </w:r>
    </w:p>
    <w:p>
      <w:pPr>
        <w:spacing w:line="240" w:lineRule="auto" w:before="7"/>
        <w:rPr>
          <w:rFonts w:ascii="宋体" w:hAnsi="宋体" w:cs="宋体" w:eastAsia="宋体" w:hint="default"/>
          <w:b/>
          <w:bCs/>
          <w:sz w:val="21"/>
          <w:szCs w:val="21"/>
        </w:rPr>
      </w:pPr>
    </w:p>
    <w:p>
      <w:pPr>
        <w:tabs>
          <w:tab w:pos="7818" w:val="left" w:leader="none"/>
        </w:tabs>
        <w:spacing w:before="0"/>
        <w:ind w:left="0" w:right="3" w:firstLine="0"/>
        <w:jc w:val="center"/>
        <w:rPr>
          <w:rFonts w:ascii="宋体" w:hAnsi="宋体" w:cs="宋体" w:eastAsia="宋体" w:hint="default"/>
          <w:sz w:val="20"/>
          <w:szCs w:val="20"/>
        </w:rPr>
      </w:pPr>
      <w:r>
        <w:rPr>
          <w:rFonts w:ascii="宋体" w:hAnsi="宋体" w:cs="宋体" w:eastAsia="宋体" w:hint="default"/>
          <w:b/>
          <w:bCs/>
          <w:spacing w:val="-1"/>
          <w:w w:val="95"/>
          <w:sz w:val="20"/>
          <w:szCs w:val="20"/>
        </w:rPr>
        <w:t>编制单位：同方股份有限公司</w:t>
        <w:tab/>
      </w:r>
      <w:r>
        <w:rPr>
          <w:rFonts w:ascii="宋体" w:hAnsi="宋体" w:cs="宋体" w:eastAsia="宋体" w:hint="default"/>
          <w:b/>
          <w:bCs/>
          <w:spacing w:val="-2"/>
          <w:sz w:val="20"/>
          <w:szCs w:val="20"/>
        </w:rPr>
        <w:t>单位：人民币元</w:t>
      </w:r>
      <w:r>
        <w:rPr>
          <w:rFonts w:ascii="宋体" w:hAnsi="宋体" w:cs="宋体" w:eastAsia="宋体" w:hint="default"/>
          <w:spacing w:val="-2"/>
          <w:sz w:val="20"/>
          <w:szCs w:val="20"/>
        </w:rPr>
      </w:r>
    </w:p>
    <w:p>
      <w:pPr>
        <w:spacing w:line="240" w:lineRule="auto" w:before="3"/>
        <w:rPr>
          <w:rFonts w:ascii="宋体" w:hAnsi="宋体" w:cs="宋体" w:eastAsia="宋体" w:hint="default"/>
          <w:b/>
          <w:bCs/>
          <w:sz w:val="2"/>
          <w:szCs w:val="2"/>
        </w:rPr>
      </w:pPr>
    </w:p>
    <w:tbl>
      <w:tblPr>
        <w:tblW w:w="0" w:type="auto"/>
        <w:jc w:val="left"/>
        <w:tblInd w:w="116" w:type="dxa"/>
        <w:tblLayout w:type="fixed"/>
        <w:tblCellMar>
          <w:top w:w="0" w:type="dxa"/>
          <w:left w:w="0" w:type="dxa"/>
          <w:bottom w:w="0" w:type="dxa"/>
          <w:right w:w="0" w:type="dxa"/>
        </w:tblCellMar>
        <w:tblLook w:val="01E0"/>
      </w:tblPr>
      <w:tblGrid>
        <w:gridCol w:w="5017"/>
        <w:gridCol w:w="2220"/>
        <w:gridCol w:w="2182"/>
      </w:tblGrid>
      <w:tr>
        <w:trPr>
          <w:trHeight w:val="307" w:hRule="exact"/>
        </w:trPr>
        <w:tc>
          <w:tcPr>
            <w:tcW w:w="5017" w:type="dxa"/>
            <w:tcBorders>
              <w:top w:val="single" w:sz="12" w:space="0" w:color="000000"/>
              <w:left w:val="single" w:sz="12" w:space="0" w:color="000000"/>
              <w:bottom w:val="single" w:sz="6" w:space="0" w:color="000000"/>
              <w:right w:val="single" w:sz="6" w:space="0" w:color="000000"/>
            </w:tcBorders>
          </w:tcPr>
          <w:p>
            <w:pPr>
              <w:pStyle w:val="TableParagraph"/>
              <w:spacing w:line="244" w:lineRule="exact"/>
              <w:ind w:right="6"/>
              <w:jc w:val="center"/>
              <w:rPr>
                <w:rFonts w:ascii="宋体" w:hAnsi="宋体" w:cs="宋体" w:eastAsia="宋体" w:hint="default"/>
                <w:sz w:val="20"/>
                <w:szCs w:val="20"/>
              </w:rPr>
            </w:pPr>
            <w:r>
              <w:rPr>
                <w:rFonts w:ascii="宋体" w:hAnsi="宋体" w:cs="宋体" w:eastAsia="宋体" w:hint="default"/>
                <w:b/>
                <w:bCs/>
                <w:sz w:val="20"/>
                <w:szCs w:val="20"/>
              </w:rPr>
              <w:t>负债和股东权益</w:t>
            </w:r>
            <w:r>
              <w:rPr>
                <w:rFonts w:ascii="宋体" w:hAnsi="宋体" w:cs="宋体" w:eastAsia="宋体" w:hint="default"/>
                <w:sz w:val="20"/>
                <w:szCs w:val="20"/>
              </w:rPr>
            </w:r>
          </w:p>
        </w:tc>
        <w:tc>
          <w:tcPr>
            <w:tcW w:w="2220" w:type="dxa"/>
            <w:tcBorders>
              <w:top w:val="single" w:sz="12" w:space="0" w:color="000000"/>
              <w:left w:val="single" w:sz="6" w:space="0" w:color="000000"/>
              <w:bottom w:val="single" w:sz="6" w:space="0" w:color="000000"/>
              <w:right w:val="single" w:sz="6" w:space="0" w:color="000000"/>
            </w:tcBorders>
          </w:tcPr>
          <w:p>
            <w:pPr>
              <w:pStyle w:val="TableParagraph"/>
              <w:spacing w:line="244" w:lineRule="exact"/>
              <w:ind w:left="701"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182" w:type="dxa"/>
            <w:tcBorders>
              <w:top w:val="single" w:sz="12" w:space="0" w:color="000000"/>
              <w:left w:val="single" w:sz="6" w:space="0" w:color="000000"/>
              <w:bottom w:val="single" w:sz="6" w:space="0" w:color="000000"/>
              <w:right w:val="single" w:sz="12" w:space="0" w:color="000000"/>
            </w:tcBorders>
          </w:tcPr>
          <w:p>
            <w:pPr>
              <w:pStyle w:val="TableParagraph"/>
              <w:spacing w:line="244" w:lineRule="exact"/>
              <w:ind w:left="679"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流动负债：</w:t>
            </w:r>
            <w:r>
              <w:rPr>
                <w:rFonts w:ascii="宋体" w:hAnsi="宋体" w:cs="宋体" w:eastAsia="宋体" w:hint="default"/>
                <w:sz w:val="20"/>
                <w:szCs w:val="20"/>
              </w:rPr>
            </w:r>
          </w:p>
        </w:tc>
        <w:tc>
          <w:tcPr>
            <w:tcW w:w="2220" w:type="dxa"/>
            <w:tcBorders>
              <w:top w:val="single" w:sz="6" w:space="0" w:color="000000"/>
              <w:left w:val="single" w:sz="6" w:space="0" w:color="000000"/>
              <w:bottom w:val="single" w:sz="6" w:space="0" w:color="000000"/>
              <w:right w:val="single" w:sz="6" w:space="0" w:color="000000"/>
            </w:tcBorders>
          </w:tcPr>
          <w:p>
            <w:pPr/>
          </w:p>
        </w:tc>
        <w:tc>
          <w:tcPr>
            <w:tcW w:w="2182" w:type="dxa"/>
            <w:tcBorders>
              <w:top w:val="single" w:sz="6" w:space="0" w:color="000000"/>
              <w:left w:val="single" w:sz="6" w:space="0" w:color="000000"/>
              <w:bottom w:val="single" w:sz="6" w:space="0" w:color="000000"/>
              <w:right w:val="single" w:sz="12" w:space="0" w:color="000000"/>
            </w:tcBorders>
          </w:tcPr>
          <w:p>
            <w:pPr/>
          </w:p>
        </w:tc>
      </w:tr>
      <w:tr>
        <w:trPr>
          <w:trHeight w:val="298"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短期借款</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2"/>
              <w:jc w:val="right"/>
              <w:rPr>
                <w:rFonts w:ascii="Times New Roman" w:hAnsi="Times New Roman" w:cs="Times New Roman" w:eastAsia="Times New Roman" w:hint="default"/>
                <w:sz w:val="20"/>
                <w:szCs w:val="20"/>
              </w:rPr>
            </w:pPr>
            <w:r>
              <w:rPr>
                <w:rFonts w:ascii="Times New Roman"/>
                <w:spacing w:val="-1"/>
                <w:sz w:val="20"/>
              </w:rPr>
              <w:t>3,898,518,783.26</w:t>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spacing w:val="-1"/>
                <w:sz w:val="20"/>
              </w:rPr>
              <w:t>6,568,900,000.00</w:t>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以公允价值计量且其变动计入当期损益的金融负债</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0"/>
              <w:jc w:val="right"/>
              <w:rPr>
                <w:rFonts w:ascii="Times New Roman" w:hAnsi="Times New Roman" w:cs="Times New Roman" w:eastAsia="Times New Roman" w:hint="default"/>
                <w:sz w:val="20"/>
                <w:szCs w:val="20"/>
              </w:rPr>
            </w:pPr>
            <w:r>
              <w:rPr>
                <w:rFonts w:ascii="Times New Roman"/>
                <w:sz w:val="20"/>
              </w:rPr>
              <w:t>0.00</w:t>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5"/>
              <w:jc w:val="right"/>
              <w:rPr>
                <w:rFonts w:ascii="Times New Roman" w:hAnsi="Times New Roman" w:cs="Times New Roman" w:eastAsia="Times New Roman" w:hint="default"/>
                <w:sz w:val="20"/>
                <w:szCs w:val="20"/>
              </w:rPr>
            </w:pPr>
            <w:r>
              <w:rPr>
                <w:rFonts w:ascii="Times New Roman"/>
                <w:sz w:val="20"/>
              </w:rPr>
              <w:t>0.00</w:t>
            </w:r>
          </w:p>
        </w:tc>
      </w:tr>
      <w:tr>
        <w:trPr>
          <w:trHeight w:val="298"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应付票据</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2"/>
              <w:jc w:val="right"/>
              <w:rPr>
                <w:rFonts w:ascii="Times New Roman" w:hAnsi="Times New Roman" w:cs="Times New Roman" w:eastAsia="Times New Roman" w:hint="default"/>
                <w:sz w:val="20"/>
                <w:szCs w:val="20"/>
              </w:rPr>
            </w:pPr>
            <w:r>
              <w:rPr>
                <w:rFonts w:ascii="Times New Roman"/>
                <w:w w:val="95"/>
                <w:sz w:val="20"/>
              </w:rPr>
              <w:t>585,935,480.75</w:t>
            </w:r>
            <w:r>
              <w:rPr>
                <w:rFonts w:ascii="Times New Roman"/>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w w:val="95"/>
                <w:sz w:val="20"/>
              </w:rPr>
              <w:t>675,285,795.64</w:t>
            </w:r>
            <w:r>
              <w:rPr>
                <w:rFonts w:ascii="Times New Roman"/>
                <w:sz w:val="20"/>
              </w:rPr>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spacing w:val="-1"/>
                <w:sz w:val="20"/>
              </w:rPr>
              <w:t>1,874,089,426.99</w:t>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spacing w:val="-1"/>
                <w:sz w:val="20"/>
              </w:rPr>
              <w:t>1,678,023,934.35</w:t>
            </w:r>
          </w:p>
        </w:tc>
      </w:tr>
      <w:tr>
        <w:trPr>
          <w:trHeight w:val="301"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预收款项</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2"/>
              <w:jc w:val="right"/>
              <w:rPr>
                <w:rFonts w:ascii="Times New Roman" w:hAnsi="Times New Roman" w:cs="Times New Roman" w:eastAsia="Times New Roman" w:hint="default"/>
                <w:sz w:val="20"/>
                <w:szCs w:val="20"/>
              </w:rPr>
            </w:pPr>
            <w:r>
              <w:rPr>
                <w:rFonts w:ascii="Times New Roman"/>
                <w:w w:val="95"/>
                <w:sz w:val="20"/>
              </w:rPr>
              <w:t>586,916,686.43</w:t>
            </w:r>
            <w:r>
              <w:rPr>
                <w:rFonts w:ascii="Times New Roman"/>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7"/>
              <w:jc w:val="right"/>
              <w:rPr>
                <w:rFonts w:ascii="Times New Roman" w:hAnsi="Times New Roman" w:cs="Times New Roman" w:eastAsia="Times New Roman" w:hint="default"/>
                <w:sz w:val="20"/>
                <w:szCs w:val="20"/>
              </w:rPr>
            </w:pPr>
            <w:r>
              <w:rPr>
                <w:rFonts w:ascii="Times New Roman"/>
                <w:w w:val="95"/>
                <w:sz w:val="20"/>
              </w:rPr>
              <w:t>804,770,386.11</w:t>
            </w:r>
            <w:r>
              <w:rPr>
                <w:rFonts w:ascii="Times New Roman"/>
                <w:sz w:val="20"/>
              </w:rPr>
            </w:r>
          </w:p>
        </w:tc>
      </w:tr>
      <w:tr>
        <w:trPr>
          <w:trHeight w:val="298"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应付职工薪酬</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1"/>
              <w:jc w:val="right"/>
              <w:rPr>
                <w:rFonts w:ascii="Times New Roman" w:hAnsi="Times New Roman" w:cs="Times New Roman" w:eastAsia="Times New Roman" w:hint="default"/>
                <w:sz w:val="20"/>
                <w:szCs w:val="20"/>
              </w:rPr>
            </w:pPr>
            <w:r>
              <w:rPr>
                <w:rFonts w:ascii="Times New Roman"/>
                <w:w w:val="95"/>
                <w:sz w:val="20"/>
              </w:rPr>
              <w:t>57,939,514.16</w:t>
            </w:r>
            <w:r>
              <w:rPr>
                <w:rFonts w:ascii="Times New Roman"/>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w w:val="95"/>
                <w:sz w:val="20"/>
              </w:rPr>
              <w:t>38,253,264.44</w:t>
            </w:r>
            <w:r>
              <w:rPr>
                <w:rFonts w:ascii="Times New Roman"/>
                <w:sz w:val="20"/>
              </w:rPr>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应交税费</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99"/>
              <w:jc w:val="right"/>
              <w:rPr>
                <w:rFonts w:ascii="Times New Roman" w:hAnsi="Times New Roman" w:cs="Times New Roman" w:eastAsia="Times New Roman" w:hint="default"/>
                <w:sz w:val="20"/>
                <w:szCs w:val="20"/>
              </w:rPr>
            </w:pPr>
            <w:r>
              <w:rPr>
                <w:rFonts w:ascii="Times New Roman"/>
                <w:w w:val="95"/>
                <w:sz w:val="20"/>
              </w:rPr>
              <w:t>-967,454.04</w:t>
            </w:r>
            <w:r>
              <w:rPr>
                <w:rFonts w:ascii="Times New Roman"/>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w w:val="95"/>
                <w:sz w:val="20"/>
              </w:rPr>
              <w:t>26,507,353.17</w:t>
            </w:r>
            <w:r>
              <w:rPr>
                <w:rFonts w:ascii="Times New Roman"/>
                <w:sz w:val="20"/>
              </w:rPr>
            </w:r>
          </w:p>
        </w:tc>
      </w:tr>
      <w:tr>
        <w:trPr>
          <w:trHeight w:val="298"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应付利息</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1"/>
              <w:jc w:val="right"/>
              <w:rPr>
                <w:rFonts w:ascii="Times New Roman" w:hAnsi="Times New Roman" w:cs="Times New Roman" w:eastAsia="Times New Roman" w:hint="default"/>
                <w:sz w:val="20"/>
                <w:szCs w:val="20"/>
              </w:rPr>
            </w:pPr>
            <w:r>
              <w:rPr>
                <w:rFonts w:ascii="Times New Roman"/>
                <w:w w:val="95"/>
                <w:sz w:val="20"/>
              </w:rPr>
              <w:t>52,893,073.06</w:t>
            </w:r>
            <w:r>
              <w:rPr>
                <w:rFonts w:ascii="Times New Roman"/>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w w:val="95"/>
                <w:sz w:val="20"/>
              </w:rPr>
              <w:t>64,026,948.63</w:t>
            </w:r>
            <w:r>
              <w:rPr>
                <w:rFonts w:ascii="Times New Roman"/>
                <w:sz w:val="20"/>
              </w:rPr>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应付股利</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1"/>
              <w:jc w:val="right"/>
              <w:rPr>
                <w:rFonts w:ascii="Times New Roman" w:hAnsi="Times New Roman" w:cs="Times New Roman" w:eastAsia="Times New Roman" w:hint="default"/>
                <w:sz w:val="20"/>
                <w:szCs w:val="20"/>
              </w:rPr>
            </w:pPr>
            <w:r>
              <w:rPr>
                <w:rFonts w:ascii="Times New Roman"/>
                <w:w w:val="95"/>
                <w:sz w:val="20"/>
              </w:rPr>
              <w:t>60,264,872.80</w:t>
            </w:r>
            <w:r>
              <w:rPr>
                <w:rFonts w:ascii="Times New Roman"/>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w w:val="95"/>
                <w:sz w:val="20"/>
              </w:rPr>
              <w:t>47,475,937.80</w:t>
            </w:r>
            <w:r>
              <w:rPr>
                <w:rFonts w:ascii="Times New Roman"/>
                <w:sz w:val="20"/>
              </w:rPr>
            </w:r>
          </w:p>
        </w:tc>
      </w:tr>
      <w:tr>
        <w:trPr>
          <w:trHeight w:val="298"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其他应付款</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2"/>
              <w:jc w:val="right"/>
              <w:rPr>
                <w:rFonts w:ascii="Times New Roman" w:hAnsi="Times New Roman" w:cs="Times New Roman" w:eastAsia="Times New Roman" w:hint="default"/>
                <w:sz w:val="20"/>
                <w:szCs w:val="20"/>
              </w:rPr>
            </w:pPr>
            <w:r>
              <w:rPr>
                <w:rFonts w:ascii="Times New Roman"/>
                <w:spacing w:val="-1"/>
                <w:sz w:val="20"/>
              </w:rPr>
              <w:t>4,246,990,656.24</w:t>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spacing w:val="-1"/>
                <w:sz w:val="20"/>
              </w:rPr>
              <w:t>2,187,555,345.16</w:t>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一年内到期的非流动负债</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1"/>
              <w:jc w:val="right"/>
              <w:rPr>
                <w:rFonts w:ascii="Times New Roman" w:hAnsi="Times New Roman" w:cs="Times New Roman" w:eastAsia="Times New Roman" w:hint="default"/>
                <w:sz w:val="20"/>
                <w:szCs w:val="20"/>
              </w:rPr>
            </w:pPr>
            <w:r>
              <w:rPr>
                <w:rFonts w:ascii="Times New Roman"/>
                <w:w w:val="95"/>
                <w:sz w:val="20"/>
              </w:rPr>
              <w:t>61,727,600.00</w:t>
            </w:r>
            <w:r>
              <w:rPr>
                <w:rFonts w:ascii="Times New Roman"/>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w w:val="95"/>
                <w:sz w:val="20"/>
              </w:rPr>
              <w:t>766,535,500.00</w:t>
            </w:r>
            <w:r>
              <w:rPr>
                <w:rFonts w:ascii="Times New Roman"/>
                <w:sz w:val="20"/>
              </w:rPr>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其他流动负债</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spacing w:val="-1"/>
                <w:sz w:val="20"/>
              </w:rPr>
              <w:t>2,019,407,123.29</w:t>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spacing w:val="-1"/>
                <w:sz w:val="20"/>
              </w:rPr>
              <w:t>1,003,164,383.56</w:t>
            </w:r>
          </w:p>
        </w:tc>
      </w:tr>
      <w:tr>
        <w:trPr>
          <w:trHeight w:val="298"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895" w:right="0"/>
              <w:jc w:val="left"/>
              <w:rPr>
                <w:rFonts w:ascii="宋体" w:hAnsi="宋体" w:cs="宋体" w:eastAsia="宋体" w:hint="default"/>
                <w:sz w:val="20"/>
                <w:szCs w:val="20"/>
              </w:rPr>
            </w:pPr>
            <w:r>
              <w:rPr>
                <w:rFonts w:ascii="宋体" w:hAnsi="宋体" w:cs="宋体" w:eastAsia="宋体" w:hint="default"/>
                <w:sz w:val="20"/>
                <w:szCs w:val="20"/>
              </w:rPr>
              <w:t>流动负债小计</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20"/>
                <w:szCs w:val="20"/>
              </w:rPr>
            </w:pPr>
            <w:r>
              <w:rPr>
                <w:rFonts w:ascii="Times New Roman"/>
                <w:b/>
                <w:w w:val="95"/>
                <w:sz w:val="20"/>
              </w:rPr>
              <w:t>13,443,715,762.94</w:t>
            </w:r>
            <w:r>
              <w:rPr>
                <w:rFonts w:ascii="Times New Roman"/>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7"/>
              <w:jc w:val="right"/>
              <w:rPr>
                <w:rFonts w:ascii="Times New Roman" w:hAnsi="Times New Roman" w:cs="Times New Roman" w:eastAsia="Times New Roman" w:hint="default"/>
                <w:sz w:val="20"/>
                <w:szCs w:val="20"/>
              </w:rPr>
            </w:pPr>
            <w:r>
              <w:rPr>
                <w:rFonts w:ascii="Times New Roman"/>
                <w:b/>
                <w:w w:val="95"/>
                <w:sz w:val="20"/>
              </w:rPr>
              <w:t>13,860,498,848.86</w:t>
            </w:r>
            <w:r>
              <w:rPr>
                <w:rFonts w:ascii="Times New Roman"/>
                <w:sz w:val="20"/>
              </w:rPr>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非流动负债：</w:t>
            </w:r>
            <w:r>
              <w:rPr>
                <w:rFonts w:ascii="宋体" w:hAnsi="宋体" w:cs="宋体" w:eastAsia="宋体" w:hint="default"/>
                <w:sz w:val="20"/>
                <w:szCs w:val="20"/>
              </w:rPr>
            </w:r>
          </w:p>
        </w:tc>
        <w:tc>
          <w:tcPr>
            <w:tcW w:w="2220" w:type="dxa"/>
            <w:tcBorders>
              <w:top w:val="single" w:sz="6" w:space="0" w:color="000000"/>
              <w:left w:val="single" w:sz="6" w:space="0" w:color="000000"/>
              <w:bottom w:val="single" w:sz="6" w:space="0" w:color="000000"/>
              <w:right w:val="single" w:sz="6" w:space="0" w:color="000000"/>
            </w:tcBorders>
          </w:tcPr>
          <w:p>
            <w:pPr/>
          </w:p>
        </w:tc>
        <w:tc>
          <w:tcPr>
            <w:tcW w:w="2182" w:type="dxa"/>
            <w:tcBorders>
              <w:top w:val="single" w:sz="6" w:space="0" w:color="000000"/>
              <w:left w:val="single" w:sz="6" w:space="0" w:color="000000"/>
              <w:bottom w:val="single" w:sz="6" w:space="0" w:color="000000"/>
              <w:right w:val="single" w:sz="12" w:space="0" w:color="000000"/>
            </w:tcBorders>
          </w:tcPr>
          <w:p>
            <w:pPr/>
          </w:p>
        </w:tc>
      </w:tr>
      <w:tr>
        <w:trPr>
          <w:trHeight w:val="298"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长期借款</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0"/>
              <w:jc w:val="right"/>
              <w:rPr>
                <w:rFonts w:ascii="Times New Roman" w:hAnsi="Times New Roman" w:cs="Times New Roman" w:eastAsia="Times New Roman" w:hint="default"/>
                <w:sz w:val="20"/>
                <w:szCs w:val="20"/>
              </w:rPr>
            </w:pPr>
            <w:r>
              <w:rPr>
                <w:rFonts w:ascii="Times New Roman"/>
                <w:sz w:val="20"/>
              </w:rPr>
              <w:t>0.00</w:t>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w w:val="95"/>
                <w:sz w:val="20"/>
              </w:rPr>
              <w:t>60,416,500.00</w:t>
            </w:r>
            <w:r>
              <w:rPr>
                <w:rFonts w:ascii="Times New Roman"/>
                <w:sz w:val="20"/>
              </w:rPr>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5" w:lineRule="exact"/>
              <w:ind w:left="496" w:right="0"/>
              <w:jc w:val="left"/>
              <w:rPr>
                <w:rFonts w:ascii="宋体" w:hAnsi="宋体" w:cs="宋体" w:eastAsia="宋体" w:hint="default"/>
                <w:sz w:val="20"/>
                <w:szCs w:val="20"/>
              </w:rPr>
            </w:pPr>
            <w:r>
              <w:rPr>
                <w:rFonts w:ascii="宋体" w:hAnsi="宋体" w:cs="宋体" w:eastAsia="宋体" w:hint="default"/>
                <w:sz w:val="20"/>
                <w:szCs w:val="20"/>
              </w:rPr>
              <w:t>应付债券</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spacing w:val="-1"/>
                <w:sz w:val="20"/>
              </w:rPr>
              <w:t>1,500,000,000.00</w:t>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spacing w:val="-1"/>
                <w:sz w:val="20"/>
              </w:rPr>
              <w:t>1,500,000,000.00</w:t>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长期应付款</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1"/>
              <w:jc w:val="right"/>
              <w:rPr>
                <w:rFonts w:ascii="Times New Roman" w:hAnsi="Times New Roman" w:cs="Times New Roman" w:eastAsia="Times New Roman" w:hint="default"/>
                <w:sz w:val="20"/>
                <w:szCs w:val="20"/>
              </w:rPr>
            </w:pPr>
            <w:r>
              <w:rPr>
                <w:rFonts w:ascii="Times New Roman"/>
                <w:w w:val="95"/>
                <w:sz w:val="20"/>
              </w:rPr>
              <w:t>49,483.11</w:t>
            </w:r>
            <w:r>
              <w:rPr>
                <w:rFonts w:ascii="Times New Roman"/>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6"/>
              <w:jc w:val="right"/>
              <w:rPr>
                <w:rFonts w:ascii="Times New Roman" w:hAnsi="Times New Roman" w:cs="Times New Roman" w:eastAsia="Times New Roman" w:hint="default"/>
                <w:sz w:val="20"/>
                <w:szCs w:val="20"/>
              </w:rPr>
            </w:pPr>
            <w:r>
              <w:rPr>
                <w:rFonts w:ascii="Times New Roman"/>
                <w:w w:val="95"/>
                <w:sz w:val="20"/>
              </w:rPr>
              <w:t>49,483.11</w:t>
            </w:r>
            <w:r>
              <w:rPr>
                <w:rFonts w:ascii="Times New Roman"/>
                <w:sz w:val="20"/>
              </w:rPr>
            </w:r>
          </w:p>
        </w:tc>
      </w:tr>
      <w:tr>
        <w:trPr>
          <w:trHeight w:val="298"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长期应付职工薪酬</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0"/>
              <w:jc w:val="right"/>
              <w:rPr>
                <w:rFonts w:ascii="Times New Roman" w:hAnsi="Times New Roman" w:cs="Times New Roman" w:eastAsia="Times New Roman" w:hint="default"/>
                <w:sz w:val="20"/>
                <w:szCs w:val="20"/>
              </w:rPr>
            </w:pPr>
            <w:r>
              <w:rPr>
                <w:rFonts w:ascii="Times New Roman"/>
                <w:sz w:val="20"/>
              </w:rPr>
              <w:t>0.00</w:t>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5"/>
              <w:jc w:val="right"/>
              <w:rPr>
                <w:rFonts w:ascii="Times New Roman" w:hAnsi="Times New Roman" w:cs="Times New Roman" w:eastAsia="Times New Roman" w:hint="default"/>
                <w:sz w:val="20"/>
                <w:szCs w:val="20"/>
              </w:rPr>
            </w:pPr>
            <w:r>
              <w:rPr>
                <w:rFonts w:ascii="Times New Roman"/>
                <w:sz w:val="20"/>
              </w:rPr>
              <w:t>0.00</w:t>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专项应付款</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99"/>
              <w:jc w:val="right"/>
              <w:rPr>
                <w:rFonts w:ascii="Times New Roman" w:hAnsi="Times New Roman" w:cs="Times New Roman" w:eastAsia="Times New Roman" w:hint="default"/>
                <w:sz w:val="20"/>
                <w:szCs w:val="20"/>
              </w:rPr>
            </w:pPr>
            <w:r>
              <w:rPr>
                <w:rFonts w:ascii="Times New Roman"/>
                <w:w w:val="95"/>
                <w:sz w:val="20"/>
              </w:rPr>
              <w:t>8,100,000.00</w:t>
            </w:r>
            <w:r>
              <w:rPr>
                <w:rFonts w:ascii="Times New Roman"/>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4"/>
              <w:jc w:val="right"/>
              <w:rPr>
                <w:rFonts w:ascii="Times New Roman" w:hAnsi="Times New Roman" w:cs="Times New Roman" w:eastAsia="Times New Roman" w:hint="default"/>
                <w:sz w:val="20"/>
                <w:szCs w:val="20"/>
              </w:rPr>
            </w:pPr>
            <w:r>
              <w:rPr>
                <w:rFonts w:ascii="Times New Roman"/>
                <w:w w:val="95"/>
                <w:sz w:val="20"/>
              </w:rPr>
              <w:t>8,100,000.00</w:t>
            </w:r>
            <w:r>
              <w:rPr>
                <w:rFonts w:ascii="Times New Roman"/>
                <w:sz w:val="20"/>
              </w:rPr>
            </w:r>
          </w:p>
        </w:tc>
      </w:tr>
      <w:tr>
        <w:trPr>
          <w:trHeight w:val="298"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预计负债</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0"/>
              <w:jc w:val="right"/>
              <w:rPr>
                <w:rFonts w:ascii="Times New Roman" w:hAnsi="Times New Roman" w:cs="Times New Roman" w:eastAsia="Times New Roman" w:hint="default"/>
                <w:sz w:val="20"/>
                <w:szCs w:val="20"/>
              </w:rPr>
            </w:pPr>
            <w:r>
              <w:rPr>
                <w:rFonts w:ascii="Times New Roman"/>
                <w:sz w:val="20"/>
              </w:rPr>
              <w:t>0.00</w:t>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5"/>
              <w:jc w:val="right"/>
              <w:rPr>
                <w:rFonts w:ascii="Times New Roman" w:hAnsi="Times New Roman" w:cs="Times New Roman" w:eastAsia="Times New Roman" w:hint="default"/>
                <w:sz w:val="20"/>
                <w:szCs w:val="20"/>
              </w:rPr>
            </w:pPr>
            <w:r>
              <w:rPr>
                <w:rFonts w:ascii="Times New Roman"/>
                <w:sz w:val="20"/>
              </w:rPr>
              <w:t>0.00</w:t>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递延收益</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1"/>
              <w:jc w:val="right"/>
              <w:rPr>
                <w:rFonts w:ascii="Times New Roman" w:hAnsi="Times New Roman" w:cs="Times New Roman" w:eastAsia="Times New Roman" w:hint="default"/>
                <w:sz w:val="20"/>
                <w:szCs w:val="20"/>
              </w:rPr>
            </w:pPr>
            <w:r>
              <w:rPr>
                <w:rFonts w:ascii="Times New Roman"/>
                <w:w w:val="95"/>
                <w:sz w:val="20"/>
              </w:rPr>
              <w:t>51,574,988.72</w:t>
            </w:r>
            <w:r>
              <w:rPr>
                <w:rFonts w:ascii="Times New Roman"/>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w w:val="95"/>
                <w:sz w:val="20"/>
              </w:rPr>
              <w:t>65,854,855.31</w:t>
            </w:r>
            <w:r>
              <w:rPr>
                <w:rFonts w:ascii="Times New Roman"/>
                <w:sz w:val="20"/>
              </w:rPr>
            </w:r>
          </w:p>
        </w:tc>
      </w:tr>
      <w:tr>
        <w:trPr>
          <w:trHeight w:val="298"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递延所得税负债</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0"/>
              <w:jc w:val="right"/>
              <w:rPr>
                <w:rFonts w:ascii="Times New Roman" w:hAnsi="Times New Roman" w:cs="Times New Roman" w:eastAsia="Times New Roman" w:hint="default"/>
                <w:sz w:val="20"/>
                <w:szCs w:val="20"/>
              </w:rPr>
            </w:pPr>
            <w:r>
              <w:rPr>
                <w:rFonts w:ascii="Times New Roman"/>
                <w:sz w:val="20"/>
              </w:rPr>
              <w:t>0.00</w:t>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5"/>
              <w:jc w:val="right"/>
              <w:rPr>
                <w:rFonts w:ascii="Times New Roman" w:hAnsi="Times New Roman" w:cs="Times New Roman" w:eastAsia="Times New Roman" w:hint="default"/>
                <w:sz w:val="20"/>
                <w:szCs w:val="20"/>
              </w:rPr>
            </w:pPr>
            <w:r>
              <w:rPr>
                <w:rFonts w:ascii="Times New Roman"/>
                <w:sz w:val="20"/>
              </w:rPr>
              <w:t>0.00</w:t>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其他非流动负债</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0"/>
              <w:jc w:val="right"/>
              <w:rPr>
                <w:rFonts w:ascii="Times New Roman" w:hAnsi="Times New Roman" w:cs="Times New Roman" w:eastAsia="Times New Roman" w:hint="default"/>
                <w:sz w:val="20"/>
                <w:szCs w:val="20"/>
              </w:rPr>
            </w:pPr>
            <w:r>
              <w:rPr>
                <w:rFonts w:ascii="Times New Roman"/>
                <w:sz w:val="20"/>
              </w:rPr>
              <w:t>0.00</w:t>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5"/>
              <w:jc w:val="right"/>
              <w:rPr>
                <w:rFonts w:ascii="Times New Roman" w:hAnsi="Times New Roman" w:cs="Times New Roman" w:eastAsia="Times New Roman" w:hint="default"/>
                <w:sz w:val="20"/>
                <w:szCs w:val="20"/>
              </w:rPr>
            </w:pPr>
            <w:r>
              <w:rPr>
                <w:rFonts w:ascii="Times New Roman"/>
                <w:sz w:val="20"/>
              </w:rPr>
              <w:t>0.00</w:t>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895" w:right="0"/>
              <w:jc w:val="left"/>
              <w:rPr>
                <w:rFonts w:ascii="宋体" w:hAnsi="宋体" w:cs="宋体" w:eastAsia="宋体" w:hint="default"/>
                <w:sz w:val="20"/>
                <w:szCs w:val="20"/>
              </w:rPr>
            </w:pPr>
            <w:r>
              <w:rPr>
                <w:rFonts w:ascii="宋体" w:hAnsi="宋体" w:cs="宋体" w:eastAsia="宋体" w:hint="default"/>
                <w:sz w:val="20"/>
                <w:szCs w:val="20"/>
              </w:rPr>
              <w:t>非流动负债小计</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102"/>
              <w:jc w:val="right"/>
              <w:rPr>
                <w:rFonts w:ascii="Times New Roman" w:hAnsi="Times New Roman" w:cs="Times New Roman" w:eastAsia="Times New Roman" w:hint="default"/>
                <w:sz w:val="20"/>
                <w:szCs w:val="20"/>
              </w:rPr>
            </w:pPr>
            <w:r>
              <w:rPr>
                <w:rFonts w:ascii="Times New Roman"/>
                <w:b/>
                <w:spacing w:val="-1"/>
                <w:sz w:val="20"/>
              </w:rPr>
              <w:t>1,559,724,471.83</w:t>
            </w:r>
            <w:r>
              <w:rPr>
                <w:rFonts w:ascii="Times New Roman"/>
                <w:spacing w:val="-1"/>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7"/>
              <w:ind w:right="97"/>
              <w:jc w:val="right"/>
              <w:rPr>
                <w:rFonts w:ascii="Times New Roman" w:hAnsi="Times New Roman" w:cs="Times New Roman" w:eastAsia="Times New Roman" w:hint="default"/>
                <w:sz w:val="20"/>
                <w:szCs w:val="20"/>
              </w:rPr>
            </w:pPr>
            <w:r>
              <w:rPr>
                <w:rFonts w:ascii="Times New Roman"/>
                <w:b/>
                <w:spacing w:val="-1"/>
                <w:sz w:val="20"/>
              </w:rPr>
              <w:t>1,634,420,838.42</w:t>
            </w:r>
            <w:r>
              <w:rPr>
                <w:rFonts w:ascii="Times New Roman"/>
                <w:spacing w:val="-1"/>
                <w:sz w:val="20"/>
              </w:rPr>
            </w:r>
          </w:p>
        </w:tc>
      </w:tr>
      <w:tr>
        <w:trPr>
          <w:trHeight w:val="298"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负债合计</w:t>
            </w:r>
            <w:r>
              <w:rPr>
                <w:rFonts w:ascii="宋体" w:hAnsi="宋体" w:cs="宋体" w:eastAsia="宋体" w:hint="default"/>
                <w:sz w:val="20"/>
                <w:szCs w:val="20"/>
              </w:rPr>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20"/>
                <w:szCs w:val="20"/>
              </w:rPr>
            </w:pPr>
            <w:r>
              <w:rPr>
                <w:rFonts w:ascii="Times New Roman"/>
                <w:b/>
                <w:w w:val="95"/>
                <w:sz w:val="20"/>
              </w:rPr>
              <w:t>15,003,440,234.77</w:t>
            </w:r>
            <w:r>
              <w:rPr>
                <w:rFonts w:ascii="Times New Roman"/>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7"/>
              <w:jc w:val="right"/>
              <w:rPr>
                <w:rFonts w:ascii="Times New Roman" w:hAnsi="Times New Roman" w:cs="Times New Roman" w:eastAsia="Times New Roman" w:hint="default"/>
                <w:sz w:val="20"/>
                <w:szCs w:val="20"/>
              </w:rPr>
            </w:pPr>
            <w:r>
              <w:rPr>
                <w:rFonts w:ascii="Times New Roman"/>
                <w:b/>
                <w:w w:val="95"/>
                <w:sz w:val="20"/>
              </w:rPr>
              <w:t>15,494,919,687.28</w:t>
            </w:r>
            <w:r>
              <w:rPr>
                <w:rFonts w:ascii="Times New Roman"/>
                <w:sz w:val="20"/>
              </w:rPr>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股东权益：</w:t>
            </w:r>
            <w:r>
              <w:rPr>
                <w:rFonts w:ascii="宋体" w:hAnsi="宋体" w:cs="宋体" w:eastAsia="宋体" w:hint="default"/>
                <w:sz w:val="20"/>
                <w:szCs w:val="20"/>
              </w:rPr>
            </w:r>
          </w:p>
        </w:tc>
        <w:tc>
          <w:tcPr>
            <w:tcW w:w="2220" w:type="dxa"/>
            <w:tcBorders>
              <w:top w:val="single" w:sz="6" w:space="0" w:color="000000"/>
              <w:left w:val="single" w:sz="6" w:space="0" w:color="000000"/>
              <w:bottom w:val="single" w:sz="6" w:space="0" w:color="000000"/>
              <w:right w:val="single" w:sz="6" w:space="0" w:color="000000"/>
            </w:tcBorders>
          </w:tcPr>
          <w:p>
            <w:pPr/>
          </w:p>
        </w:tc>
        <w:tc>
          <w:tcPr>
            <w:tcW w:w="2182" w:type="dxa"/>
            <w:tcBorders>
              <w:top w:val="single" w:sz="6" w:space="0" w:color="000000"/>
              <w:left w:val="single" w:sz="6" w:space="0" w:color="000000"/>
              <w:bottom w:val="single" w:sz="6" w:space="0" w:color="000000"/>
              <w:right w:val="single" w:sz="12" w:space="0" w:color="000000"/>
            </w:tcBorders>
          </w:tcPr>
          <w:p>
            <w:pPr/>
          </w:p>
        </w:tc>
      </w:tr>
      <w:tr>
        <w:trPr>
          <w:trHeight w:val="298"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股本</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2"/>
              <w:jc w:val="right"/>
              <w:rPr>
                <w:rFonts w:ascii="Times New Roman" w:hAnsi="Times New Roman" w:cs="Times New Roman" w:eastAsia="Times New Roman" w:hint="default"/>
                <w:sz w:val="20"/>
                <w:szCs w:val="20"/>
              </w:rPr>
            </w:pPr>
            <w:r>
              <w:rPr>
                <w:rFonts w:ascii="Times New Roman"/>
                <w:spacing w:val="-1"/>
                <w:sz w:val="20"/>
              </w:rPr>
              <w:t>2,963,898,951.00</w:t>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7"/>
              <w:jc w:val="right"/>
              <w:rPr>
                <w:rFonts w:ascii="Times New Roman" w:hAnsi="Times New Roman" w:cs="Times New Roman" w:eastAsia="Times New Roman" w:hint="default"/>
                <w:sz w:val="20"/>
                <w:szCs w:val="20"/>
              </w:rPr>
            </w:pPr>
            <w:r>
              <w:rPr>
                <w:rFonts w:ascii="Times New Roman"/>
                <w:spacing w:val="-1"/>
                <w:sz w:val="20"/>
              </w:rPr>
              <w:t>2,197,882,238.00</w:t>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left="496" w:right="0"/>
              <w:jc w:val="left"/>
              <w:rPr>
                <w:rFonts w:ascii="宋体" w:hAnsi="宋体" w:cs="宋体" w:eastAsia="宋体" w:hint="default"/>
                <w:sz w:val="20"/>
                <w:szCs w:val="20"/>
              </w:rPr>
            </w:pPr>
            <w:r>
              <w:rPr>
                <w:rFonts w:ascii="宋体" w:hAnsi="宋体" w:cs="宋体" w:eastAsia="宋体" w:hint="default"/>
                <w:sz w:val="20"/>
                <w:szCs w:val="20"/>
              </w:rPr>
              <w:t>资本公积</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spacing w:val="-1"/>
                <w:sz w:val="20"/>
              </w:rPr>
              <w:t>9,178,270,672.12</w:t>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spacing w:val="-1"/>
                <w:sz w:val="20"/>
              </w:rPr>
              <w:t>4,431,975,989.56</w:t>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减：库存股</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0"/>
              <w:jc w:val="right"/>
              <w:rPr>
                <w:rFonts w:ascii="Times New Roman" w:hAnsi="Times New Roman" w:cs="Times New Roman" w:eastAsia="Times New Roman" w:hint="default"/>
                <w:sz w:val="20"/>
                <w:szCs w:val="20"/>
              </w:rPr>
            </w:pPr>
            <w:r>
              <w:rPr>
                <w:rFonts w:ascii="Times New Roman"/>
                <w:sz w:val="20"/>
              </w:rPr>
              <w:t>0.00</w:t>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5"/>
              <w:jc w:val="right"/>
              <w:rPr>
                <w:rFonts w:ascii="Times New Roman" w:hAnsi="Times New Roman" w:cs="Times New Roman" w:eastAsia="Times New Roman" w:hint="default"/>
                <w:sz w:val="20"/>
                <w:szCs w:val="20"/>
              </w:rPr>
            </w:pPr>
            <w:r>
              <w:rPr>
                <w:rFonts w:ascii="Times New Roman"/>
                <w:sz w:val="20"/>
              </w:rPr>
              <w:t>0.00</w:t>
            </w:r>
          </w:p>
        </w:tc>
      </w:tr>
      <w:tr>
        <w:trPr>
          <w:trHeight w:val="298"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其他综合收益</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1"/>
              <w:jc w:val="right"/>
              <w:rPr>
                <w:rFonts w:ascii="Times New Roman" w:hAnsi="Times New Roman" w:cs="Times New Roman" w:eastAsia="Times New Roman" w:hint="default"/>
                <w:sz w:val="20"/>
                <w:szCs w:val="20"/>
              </w:rPr>
            </w:pPr>
            <w:r>
              <w:rPr>
                <w:rFonts w:ascii="Times New Roman"/>
                <w:w w:val="95"/>
                <w:sz w:val="20"/>
              </w:rPr>
              <w:t>22,244,949.84</w:t>
            </w:r>
            <w:r>
              <w:rPr>
                <w:rFonts w:ascii="Times New Roman"/>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w w:val="95"/>
                <w:sz w:val="20"/>
              </w:rPr>
              <w:t>35,603,418.27</w:t>
            </w:r>
            <w:r>
              <w:rPr>
                <w:rFonts w:ascii="Times New Roman"/>
                <w:sz w:val="20"/>
              </w:rPr>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盈余公积</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02"/>
              <w:jc w:val="right"/>
              <w:rPr>
                <w:rFonts w:ascii="Times New Roman" w:hAnsi="Times New Roman" w:cs="Times New Roman" w:eastAsia="Times New Roman" w:hint="default"/>
                <w:sz w:val="20"/>
                <w:szCs w:val="20"/>
              </w:rPr>
            </w:pPr>
            <w:r>
              <w:rPr>
                <w:rFonts w:ascii="Times New Roman"/>
                <w:w w:val="95"/>
                <w:sz w:val="20"/>
              </w:rPr>
              <w:t>883,160,184.89</w:t>
            </w:r>
            <w:r>
              <w:rPr>
                <w:rFonts w:ascii="Times New Roman"/>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right="97"/>
              <w:jc w:val="right"/>
              <w:rPr>
                <w:rFonts w:ascii="Times New Roman" w:hAnsi="Times New Roman" w:cs="Times New Roman" w:eastAsia="Times New Roman" w:hint="default"/>
                <w:sz w:val="20"/>
                <w:szCs w:val="20"/>
              </w:rPr>
            </w:pPr>
            <w:r>
              <w:rPr>
                <w:rFonts w:ascii="Times New Roman"/>
                <w:w w:val="95"/>
                <w:sz w:val="20"/>
              </w:rPr>
              <w:t>756,539,965.35</w:t>
            </w:r>
            <w:r>
              <w:rPr>
                <w:rFonts w:ascii="Times New Roman"/>
                <w:sz w:val="20"/>
              </w:rPr>
            </w:r>
          </w:p>
        </w:tc>
      </w:tr>
      <w:tr>
        <w:trPr>
          <w:trHeight w:val="298"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2" w:lineRule="exact"/>
              <w:ind w:left="496" w:right="0"/>
              <w:jc w:val="left"/>
              <w:rPr>
                <w:rFonts w:ascii="宋体" w:hAnsi="宋体" w:cs="宋体" w:eastAsia="宋体" w:hint="default"/>
                <w:sz w:val="20"/>
                <w:szCs w:val="20"/>
              </w:rPr>
            </w:pPr>
            <w:r>
              <w:rPr>
                <w:rFonts w:ascii="宋体" w:hAnsi="宋体" w:cs="宋体" w:eastAsia="宋体" w:hint="default"/>
                <w:sz w:val="20"/>
                <w:szCs w:val="20"/>
              </w:rPr>
              <w:t>未分配利润</w:t>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2"/>
              <w:jc w:val="right"/>
              <w:rPr>
                <w:rFonts w:ascii="Times New Roman" w:hAnsi="Times New Roman" w:cs="Times New Roman" w:eastAsia="Times New Roman" w:hint="default"/>
                <w:sz w:val="20"/>
                <w:szCs w:val="20"/>
              </w:rPr>
            </w:pPr>
            <w:r>
              <w:rPr>
                <w:rFonts w:ascii="Times New Roman"/>
                <w:w w:val="95"/>
                <w:sz w:val="20"/>
              </w:rPr>
              <w:t>587,848,855.14</w:t>
            </w:r>
            <w:r>
              <w:rPr>
                <w:rFonts w:ascii="Times New Roman"/>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right="97"/>
              <w:jc w:val="right"/>
              <w:rPr>
                <w:rFonts w:ascii="Times New Roman" w:hAnsi="Times New Roman" w:cs="Times New Roman" w:eastAsia="Times New Roman" w:hint="default"/>
                <w:sz w:val="20"/>
                <w:szCs w:val="20"/>
              </w:rPr>
            </w:pPr>
            <w:r>
              <w:rPr>
                <w:rFonts w:ascii="Times New Roman"/>
                <w:w w:val="95"/>
                <w:sz w:val="20"/>
              </w:rPr>
              <w:t>855,309,149.24</w:t>
            </w:r>
            <w:r>
              <w:rPr>
                <w:rFonts w:ascii="Times New Roman"/>
                <w:sz w:val="20"/>
              </w:rPr>
            </w:r>
          </w:p>
        </w:tc>
      </w:tr>
      <w:tr>
        <w:trPr>
          <w:trHeight w:val="300" w:hRule="exact"/>
        </w:trPr>
        <w:tc>
          <w:tcPr>
            <w:tcW w:w="5017" w:type="dxa"/>
            <w:tcBorders>
              <w:top w:val="single" w:sz="6" w:space="0" w:color="000000"/>
              <w:left w:val="single" w:sz="12" w:space="0" w:color="000000"/>
              <w:bottom w:val="single" w:sz="6" w:space="0" w:color="000000"/>
              <w:right w:val="single" w:sz="6" w:space="0" w:color="000000"/>
            </w:tcBorders>
          </w:tcPr>
          <w:p>
            <w:pPr>
              <w:pStyle w:val="TableParagraph"/>
              <w:spacing w:line="244" w:lineRule="exact"/>
              <w:ind w:right="6"/>
              <w:jc w:val="center"/>
              <w:rPr>
                <w:rFonts w:ascii="宋体" w:hAnsi="宋体" w:cs="宋体" w:eastAsia="宋体" w:hint="default"/>
                <w:sz w:val="20"/>
                <w:szCs w:val="20"/>
              </w:rPr>
            </w:pPr>
            <w:r>
              <w:rPr>
                <w:rFonts w:ascii="宋体" w:hAnsi="宋体" w:cs="宋体" w:eastAsia="宋体" w:hint="default"/>
                <w:b/>
                <w:bCs/>
                <w:sz w:val="20"/>
                <w:szCs w:val="20"/>
              </w:rPr>
              <w:t>股东权益合计</w:t>
            </w:r>
            <w:r>
              <w:rPr>
                <w:rFonts w:ascii="宋体" w:hAnsi="宋体" w:cs="宋体" w:eastAsia="宋体" w:hint="default"/>
                <w:sz w:val="20"/>
                <w:szCs w:val="20"/>
              </w:rPr>
            </w:r>
          </w:p>
        </w:tc>
        <w:tc>
          <w:tcPr>
            <w:tcW w:w="2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102"/>
              <w:jc w:val="right"/>
              <w:rPr>
                <w:rFonts w:ascii="Times New Roman" w:hAnsi="Times New Roman" w:cs="Times New Roman" w:eastAsia="Times New Roman" w:hint="default"/>
                <w:sz w:val="20"/>
                <w:szCs w:val="20"/>
              </w:rPr>
            </w:pPr>
            <w:r>
              <w:rPr>
                <w:rFonts w:ascii="Times New Roman"/>
                <w:b/>
                <w:w w:val="95"/>
                <w:sz w:val="20"/>
              </w:rPr>
              <w:t>13,635,423,612.99</w:t>
            </w:r>
            <w:r>
              <w:rPr>
                <w:rFonts w:ascii="Times New Roman"/>
                <w:sz w:val="20"/>
              </w:rPr>
            </w:r>
          </w:p>
        </w:tc>
        <w:tc>
          <w:tcPr>
            <w:tcW w:w="21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7"/>
              <w:ind w:right="97"/>
              <w:jc w:val="right"/>
              <w:rPr>
                <w:rFonts w:ascii="Times New Roman" w:hAnsi="Times New Roman" w:cs="Times New Roman" w:eastAsia="Times New Roman" w:hint="default"/>
                <w:sz w:val="20"/>
                <w:szCs w:val="20"/>
              </w:rPr>
            </w:pPr>
            <w:r>
              <w:rPr>
                <w:rFonts w:ascii="Times New Roman"/>
                <w:b/>
                <w:spacing w:val="-1"/>
                <w:sz w:val="20"/>
              </w:rPr>
              <w:t>8,277,310,760.42</w:t>
            </w:r>
            <w:r>
              <w:rPr>
                <w:rFonts w:ascii="Times New Roman"/>
                <w:spacing w:val="-1"/>
                <w:sz w:val="20"/>
              </w:rPr>
            </w:r>
          </w:p>
        </w:tc>
      </w:tr>
      <w:tr>
        <w:trPr>
          <w:trHeight w:val="305" w:hRule="exact"/>
        </w:trPr>
        <w:tc>
          <w:tcPr>
            <w:tcW w:w="5017" w:type="dxa"/>
            <w:tcBorders>
              <w:top w:val="single" w:sz="6" w:space="0" w:color="000000"/>
              <w:left w:val="single" w:sz="12" w:space="0" w:color="000000"/>
              <w:bottom w:val="single" w:sz="12" w:space="0" w:color="000000"/>
              <w:right w:val="single" w:sz="6" w:space="0" w:color="000000"/>
            </w:tcBorders>
          </w:tcPr>
          <w:p>
            <w:pPr>
              <w:pStyle w:val="TableParagraph"/>
              <w:spacing w:line="242" w:lineRule="exact"/>
              <w:ind w:left="1639" w:right="0"/>
              <w:jc w:val="left"/>
              <w:rPr>
                <w:rFonts w:ascii="宋体" w:hAnsi="宋体" w:cs="宋体" w:eastAsia="宋体" w:hint="default"/>
                <w:sz w:val="20"/>
                <w:szCs w:val="20"/>
              </w:rPr>
            </w:pPr>
            <w:r>
              <w:rPr>
                <w:rFonts w:ascii="宋体" w:hAnsi="宋体" w:cs="宋体" w:eastAsia="宋体" w:hint="default"/>
                <w:b/>
                <w:bCs/>
                <w:sz w:val="20"/>
                <w:szCs w:val="20"/>
              </w:rPr>
              <w:t>负债和股东权益总计</w:t>
            </w:r>
            <w:r>
              <w:rPr>
                <w:rFonts w:ascii="宋体" w:hAnsi="宋体" w:cs="宋体" w:eastAsia="宋体" w:hint="default"/>
                <w:sz w:val="20"/>
                <w:szCs w:val="20"/>
              </w:rPr>
            </w:r>
          </w:p>
        </w:tc>
        <w:tc>
          <w:tcPr>
            <w:tcW w:w="222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20"/>
                <w:szCs w:val="20"/>
              </w:rPr>
            </w:pPr>
            <w:r>
              <w:rPr>
                <w:rFonts w:ascii="Times New Roman"/>
                <w:b/>
                <w:w w:val="95"/>
                <w:sz w:val="20"/>
              </w:rPr>
              <w:t>28,638,863,847.76</w:t>
            </w:r>
            <w:r>
              <w:rPr>
                <w:rFonts w:ascii="Times New Roman"/>
                <w:sz w:val="20"/>
              </w:rPr>
            </w:r>
          </w:p>
        </w:tc>
        <w:tc>
          <w:tcPr>
            <w:tcW w:w="218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4"/>
              <w:ind w:right="97"/>
              <w:jc w:val="right"/>
              <w:rPr>
                <w:rFonts w:ascii="Times New Roman" w:hAnsi="Times New Roman" w:cs="Times New Roman" w:eastAsia="Times New Roman" w:hint="default"/>
                <w:sz w:val="20"/>
                <w:szCs w:val="20"/>
              </w:rPr>
            </w:pPr>
            <w:r>
              <w:rPr>
                <w:rFonts w:ascii="Times New Roman"/>
                <w:b/>
                <w:w w:val="95"/>
                <w:sz w:val="20"/>
              </w:rPr>
              <w:t>23,772,230,447.70</w:t>
            </w:r>
            <w:r>
              <w:rPr>
                <w:rFonts w:ascii="Times New Roman"/>
                <w:sz w:val="20"/>
              </w:rPr>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8"/>
          <w:szCs w:val="18"/>
        </w:rPr>
      </w:pPr>
    </w:p>
    <w:p>
      <w:pPr>
        <w:tabs>
          <w:tab w:pos="3810" w:val="left" w:leader="none"/>
          <w:tab w:pos="7065" w:val="left" w:leader="none"/>
        </w:tabs>
        <w:spacing w:before="36"/>
        <w:ind w:left="238" w:right="110" w:firstLine="0"/>
        <w:jc w:val="left"/>
        <w:rPr>
          <w:rFonts w:ascii="宋体" w:hAnsi="宋体" w:cs="宋体" w:eastAsia="宋体" w:hint="default"/>
          <w:sz w:val="21"/>
          <w:szCs w:val="21"/>
        </w:rPr>
      </w:pPr>
      <w:r>
        <w:rPr>
          <w:rFonts w:ascii="宋体" w:hAnsi="宋体" w:cs="宋体" w:eastAsia="宋体" w:hint="default"/>
          <w:spacing w:val="-1"/>
          <w:sz w:val="21"/>
          <w:szCs w:val="21"/>
        </w:rPr>
        <w:t>法定代表人：周立业</w:t>
        <w:tab/>
      </w:r>
      <w:r>
        <w:rPr>
          <w:rFonts w:ascii="宋体" w:hAnsi="宋体" w:cs="宋体" w:eastAsia="宋体" w:hint="default"/>
          <w:spacing w:val="-2"/>
          <w:sz w:val="21"/>
          <w:szCs w:val="21"/>
        </w:rPr>
        <w:t>财务负责人：刘卫东</w:t>
        <w:tab/>
        <w:t>会计机构负责人：王映浒</w:t>
      </w:r>
    </w:p>
    <w:p>
      <w:pPr>
        <w:spacing w:after="0"/>
        <w:jc w:val="left"/>
        <w:rPr>
          <w:rFonts w:ascii="宋体" w:hAnsi="宋体" w:cs="宋体" w:eastAsia="宋体" w:hint="default"/>
          <w:sz w:val="21"/>
          <w:szCs w:val="21"/>
        </w:rPr>
        <w:sectPr>
          <w:pgSz w:w="11910" w:h="16840"/>
          <w:pgMar w:header="628" w:footer="760" w:top="1960" w:bottom="960" w:left="1180" w:right="1040"/>
        </w:sectPr>
      </w:pPr>
    </w:p>
    <w:p>
      <w:pPr>
        <w:pStyle w:val="Heading3"/>
        <w:spacing w:line="310" w:lineRule="exact"/>
        <w:ind w:left="0" w:right="3"/>
        <w:jc w:val="center"/>
        <w:rPr>
          <w:b w:val="0"/>
          <w:bCs w:val="0"/>
        </w:rPr>
      </w:pPr>
      <w:r>
        <w:rPr/>
        <w:t>合并利润表</w:t>
      </w:r>
      <w:r>
        <w:rPr>
          <w:b w:val="0"/>
          <w:bCs w:val="0"/>
        </w:rPr>
      </w:r>
    </w:p>
    <w:p>
      <w:pPr>
        <w:tabs>
          <w:tab w:pos="7818" w:val="left" w:leader="none"/>
        </w:tabs>
        <w:spacing w:before="6"/>
        <w:ind w:left="0" w:right="3" w:firstLine="0"/>
        <w:jc w:val="center"/>
        <w:rPr>
          <w:rFonts w:ascii="宋体" w:hAnsi="宋体" w:cs="宋体" w:eastAsia="宋体" w:hint="default"/>
          <w:sz w:val="20"/>
          <w:szCs w:val="20"/>
        </w:rPr>
      </w:pPr>
      <w:r>
        <w:rPr>
          <w:rFonts w:ascii="宋体" w:hAnsi="宋体" w:cs="宋体" w:eastAsia="宋体" w:hint="default"/>
          <w:b/>
          <w:bCs/>
          <w:spacing w:val="-1"/>
          <w:w w:val="95"/>
          <w:sz w:val="20"/>
          <w:szCs w:val="20"/>
        </w:rPr>
        <w:t>编制单位：同方股份有限公司</w:t>
        <w:tab/>
      </w:r>
      <w:r>
        <w:rPr>
          <w:rFonts w:ascii="宋体" w:hAnsi="宋体" w:cs="宋体" w:eastAsia="宋体" w:hint="default"/>
          <w:b/>
          <w:bCs/>
          <w:spacing w:val="-2"/>
          <w:sz w:val="20"/>
          <w:szCs w:val="20"/>
        </w:rPr>
        <w:t>单位：人民币元</w:t>
      </w:r>
      <w:r>
        <w:rPr>
          <w:rFonts w:ascii="宋体" w:hAnsi="宋体" w:cs="宋体" w:eastAsia="宋体" w:hint="default"/>
          <w:spacing w:val="-2"/>
          <w:sz w:val="20"/>
          <w:szCs w:val="20"/>
        </w:rPr>
      </w:r>
    </w:p>
    <w:p>
      <w:pPr>
        <w:spacing w:line="240" w:lineRule="auto" w:before="3"/>
        <w:rPr>
          <w:rFonts w:ascii="宋体" w:hAnsi="宋体" w:cs="宋体" w:eastAsia="宋体" w:hint="default"/>
          <w:b/>
          <w:bCs/>
          <w:sz w:val="2"/>
          <w:szCs w:val="2"/>
        </w:rPr>
      </w:pPr>
    </w:p>
    <w:tbl>
      <w:tblPr>
        <w:tblW w:w="0" w:type="auto"/>
        <w:jc w:val="left"/>
        <w:tblInd w:w="114" w:type="dxa"/>
        <w:tblLayout w:type="fixed"/>
        <w:tblCellMar>
          <w:top w:w="0" w:type="dxa"/>
          <w:left w:w="0" w:type="dxa"/>
          <w:bottom w:w="0" w:type="dxa"/>
          <w:right w:w="0" w:type="dxa"/>
        </w:tblCellMar>
        <w:tblLook w:val="01E0"/>
      </w:tblPr>
      <w:tblGrid>
        <w:gridCol w:w="5900"/>
        <w:gridCol w:w="1841"/>
        <w:gridCol w:w="1718"/>
      </w:tblGrid>
      <w:tr>
        <w:trPr>
          <w:trHeight w:val="283" w:hRule="exact"/>
        </w:trPr>
        <w:tc>
          <w:tcPr>
            <w:tcW w:w="5900" w:type="dxa"/>
            <w:tcBorders>
              <w:top w:val="single" w:sz="12" w:space="0" w:color="000000"/>
              <w:left w:val="single" w:sz="12" w:space="0" w:color="000000"/>
              <w:bottom w:val="single" w:sz="6" w:space="0" w:color="000000"/>
              <w:right w:val="single" w:sz="6" w:space="0" w:color="000000"/>
            </w:tcBorders>
          </w:tcPr>
          <w:p>
            <w:pPr>
              <w:pStyle w:val="TableParagraph"/>
              <w:spacing w:line="232" w:lineRule="exact"/>
              <w:ind w:right="5"/>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841" w:type="dxa"/>
            <w:tcBorders>
              <w:top w:val="single" w:sz="12" w:space="0" w:color="000000"/>
              <w:left w:val="single" w:sz="6" w:space="0" w:color="000000"/>
              <w:bottom w:val="single" w:sz="6" w:space="0" w:color="000000"/>
              <w:right w:val="single" w:sz="6" w:space="0" w:color="000000"/>
            </w:tcBorders>
          </w:tcPr>
          <w:p>
            <w:pPr>
              <w:pStyle w:val="TableParagraph"/>
              <w:spacing w:line="232" w:lineRule="exact"/>
              <w:ind w:left="561"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718" w:type="dxa"/>
            <w:tcBorders>
              <w:top w:val="single" w:sz="12" w:space="0" w:color="000000"/>
              <w:left w:val="single" w:sz="6" w:space="0" w:color="000000"/>
              <w:bottom w:val="single" w:sz="6" w:space="0" w:color="000000"/>
              <w:right w:val="single" w:sz="12" w:space="0" w:color="000000"/>
            </w:tcBorders>
          </w:tcPr>
          <w:p>
            <w:pPr>
              <w:pStyle w:val="TableParagraph"/>
              <w:spacing w:line="232" w:lineRule="exact"/>
              <w:ind w:left="501"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一、营业总收入</w:t>
            </w:r>
            <w:r>
              <w:rPr>
                <w:rFonts w:ascii="宋体" w:hAnsi="宋体" w:cs="宋体" w:eastAsia="宋体" w:hint="default"/>
                <w:sz w:val="20"/>
                <w:szCs w:val="20"/>
              </w:rPr>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3"/>
              <w:jc w:val="right"/>
              <w:rPr>
                <w:rFonts w:ascii="Times New Roman" w:hAnsi="Times New Roman" w:cs="Times New Roman" w:eastAsia="Times New Roman" w:hint="default"/>
                <w:sz w:val="20"/>
                <w:szCs w:val="20"/>
              </w:rPr>
            </w:pPr>
            <w:r>
              <w:rPr>
                <w:rFonts w:ascii="Times New Roman"/>
                <w:b/>
                <w:w w:val="95"/>
                <w:sz w:val="20"/>
              </w:rPr>
              <w:t>28,447,284,180.28</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5"/>
              <w:jc w:val="right"/>
              <w:rPr>
                <w:rFonts w:ascii="Times New Roman" w:hAnsi="Times New Roman" w:cs="Times New Roman" w:eastAsia="Times New Roman" w:hint="default"/>
                <w:sz w:val="20"/>
                <w:szCs w:val="20"/>
              </w:rPr>
            </w:pPr>
            <w:r>
              <w:rPr>
                <w:rFonts w:ascii="Times New Roman"/>
                <w:b/>
                <w:w w:val="95"/>
                <w:sz w:val="20"/>
              </w:rPr>
              <w:t>25,993,724,026.86</w:t>
            </w:r>
            <w:r>
              <w:rPr>
                <w:rFonts w:ascii="Times New Roman"/>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二、营业总成本</w:t>
            </w:r>
            <w:r>
              <w:rPr>
                <w:rFonts w:ascii="宋体" w:hAnsi="宋体" w:cs="宋体" w:eastAsia="宋体" w:hint="default"/>
                <w:sz w:val="20"/>
                <w:szCs w:val="20"/>
              </w:rPr>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3"/>
              <w:jc w:val="right"/>
              <w:rPr>
                <w:rFonts w:ascii="Times New Roman" w:hAnsi="Times New Roman" w:cs="Times New Roman" w:eastAsia="Times New Roman" w:hint="default"/>
                <w:sz w:val="20"/>
                <w:szCs w:val="20"/>
              </w:rPr>
            </w:pPr>
            <w:r>
              <w:rPr>
                <w:rFonts w:ascii="Times New Roman"/>
                <w:b/>
                <w:w w:val="95"/>
                <w:sz w:val="20"/>
              </w:rPr>
              <w:t>28,929,419,873.17</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5"/>
              <w:jc w:val="right"/>
              <w:rPr>
                <w:rFonts w:ascii="Times New Roman" w:hAnsi="Times New Roman" w:cs="Times New Roman" w:eastAsia="Times New Roman" w:hint="default"/>
                <w:sz w:val="20"/>
                <w:szCs w:val="20"/>
              </w:rPr>
            </w:pPr>
            <w:r>
              <w:rPr>
                <w:rFonts w:ascii="Times New Roman"/>
                <w:b/>
                <w:w w:val="95"/>
                <w:sz w:val="20"/>
              </w:rPr>
              <w:t>25,869,843,463.09</w:t>
            </w:r>
            <w:r>
              <w:rPr>
                <w:rFonts w:ascii="Times New Roman"/>
                <w:sz w:val="20"/>
              </w:rPr>
            </w:r>
          </w:p>
        </w:tc>
      </w:tr>
      <w:tr>
        <w:trPr>
          <w:trHeight w:val="276"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496" w:right="0"/>
              <w:jc w:val="left"/>
              <w:rPr>
                <w:rFonts w:ascii="宋体" w:hAnsi="宋体" w:cs="宋体" w:eastAsia="宋体" w:hint="default"/>
                <w:sz w:val="20"/>
                <w:szCs w:val="20"/>
              </w:rPr>
            </w:pPr>
            <w:r>
              <w:rPr>
                <w:rFonts w:ascii="宋体" w:hAnsi="宋体" w:cs="宋体" w:eastAsia="宋体" w:hint="default"/>
                <w:sz w:val="20"/>
                <w:szCs w:val="20"/>
              </w:rPr>
              <w:t>其中：营业成本</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3"/>
              <w:jc w:val="right"/>
              <w:rPr>
                <w:rFonts w:ascii="Times New Roman" w:hAnsi="Times New Roman" w:cs="Times New Roman" w:eastAsia="Times New Roman" w:hint="default"/>
                <w:sz w:val="20"/>
                <w:szCs w:val="20"/>
              </w:rPr>
            </w:pPr>
            <w:r>
              <w:rPr>
                <w:rFonts w:ascii="Times New Roman"/>
                <w:w w:val="95"/>
                <w:sz w:val="20"/>
              </w:rPr>
              <w:t>22,930,738,937.57</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5"/>
              <w:jc w:val="right"/>
              <w:rPr>
                <w:rFonts w:ascii="Times New Roman" w:hAnsi="Times New Roman" w:cs="Times New Roman" w:eastAsia="Times New Roman" w:hint="default"/>
                <w:sz w:val="20"/>
                <w:szCs w:val="20"/>
              </w:rPr>
            </w:pPr>
            <w:r>
              <w:rPr>
                <w:rFonts w:ascii="Times New Roman"/>
                <w:w w:val="95"/>
                <w:sz w:val="20"/>
              </w:rPr>
              <w:t>20,829,692,216.26</w:t>
            </w:r>
            <w:r>
              <w:rPr>
                <w:rFonts w:ascii="Times New Roman"/>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096" w:right="0"/>
              <w:jc w:val="left"/>
              <w:rPr>
                <w:rFonts w:ascii="宋体" w:hAnsi="宋体" w:cs="宋体" w:eastAsia="宋体" w:hint="default"/>
                <w:sz w:val="20"/>
                <w:szCs w:val="20"/>
              </w:rPr>
            </w:pPr>
            <w:r>
              <w:rPr>
                <w:rFonts w:ascii="宋体" w:hAnsi="宋体" w:cs="宋体" w:eastAsia="宋体" w:hint="default"/>
                <w:sz w:val="20"/>
                <w:szCs w:val="20"/>
              </w:rPr>
              <w:t>营业税金及附加</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2"/>
              <w:jc w:val="right"/>
              <w:rPr>
                <w:rFonts w:ascii="Times New Roman" w:hAnsi="Times New Roman" w:cs="Times New Roman" w:eastAsia="Times New Roman" w:hint="default"/>
                <w:sz w:val="20"/>
                <w:szCs w:val="20"/>
              </w:rPr>
            </w:pPr>
            <w:r>
              <w:rPr>
                <w:rFonts w:ascii="Times New Roman"/>
                <w:w w:val="95"/>
                <w:sz w:val="20"/>
              </w:rPr>
              <w:t>166,126,555.94</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107,847,318.32</w:t>
            </w:r>
            <w:r>
              <w:rPr>
                <w:rFonts w:ascii="Times New Roman"/>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096" w:right="0"/>
              <w:jc w:val="left"/>
              <w:rPr>
                <w:rFonts w:ascii="宋体" w:hAnsi="宋体" w:cs="宋体" w:eastAsia="宋体" w:hint="default"/>
                <w:sz w:val="20"/>
                <w:szCs w:val="20"/>
              </w:rPr>
            </w:pPr>
            <w:r>
              <w:rPr>
                <w:rFonts w:ascii="宋体" w:hAnsi="宋体" w:cs="宋体" w:eastAsia="宋体" w:hint="default"/>
                <w:sz w:val="20"/>
                <w:szCs w:val="20"/>
              </w:rPr>
              <w:t>销售费用</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2"/>
              <w:jc w:val="right"/>
              <w:rPr>
                <w:rFonts w:ascii="Times New Roman" w:hAnsi="Times New Roman" w:cs="Times New Roman" w:eastAsia="Times New Roman" w:hint="default"/>
                <w:sz w:val="20"/>
                <w:szCs w:val="20"/>
              </w:rPr>
            </w:pPr>
            <w:r>
              <w:rPr>
                <w:rFonts w:ascii="Times New Roman"/>
                <w:spacing w:val="-1"/>
                <w:sz w:val="20"/>
              </w:rPr>
              <w:t>1,964,452,807.79</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5"/>
              <w:jc w:val="right"/>
              <w:rPr>
                <w:rFonts w:ascii="Times New Roman" w:hAnsi="Times New Roman" w:cs="Times New Roman" w:eastAsia="Times New Roman" w:hint="default"/>
                <w:sz w:val="20"/>
                <w:szCs w:val="20"/>
              </w:rPr>
            </w:pPr>
            <w:r>
              <w:rPr>
                <w:rFonts w:ascii="Times New Roman"/>
                <w:spacing w:val="-1"/>
                <w:sz w:val="20"/>
              </w:rPr>
              <w:t>1,702,955,135.50</w:t>
            </w:r>
          </w:p>
        </w:tc>
      </w:tr>
      <w:tr>
        <w:trPr>
          <w:trHeight w:val="276"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1096"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2"/>
              <w:jc w:val="right"/>
              <w:rPr>
                <w:rFonts w:ascii="Times New Roman" w:hAnsi="Times New Roman" w:cs="Times New Roman" w:eastAsia="Times New Roman" w:hint="default"/>
                <w:sz w:val="20"/>
                <w:szCs w:val="20"/>
              </w:rPr>
            </w:pPr>
            <w:r>
              <w:rPr>
                <w:rFonts w:ascii="Times New Roman"/>
                <w:spacing w:val="-1"/>
                <w:sz w:val="20"/>
              </w:rPr>
              <w:t>2,428,925,970.20</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5"/>
              <w:jc w:val="right"/>
              <w:rPr>
                <w:rFonts w:ascii="Times New Roman" w:hAnsi="Times New Roman" w:cs="Times New Roman" w:eastAsia="Times New Roman" w:hint="default"/>
                <w:sz w:val="20"/>
                <w:szCs w:val="20"/>
              </w:rPr>
            </w:pPr>
            <w:r>
              <w:rPr>
                <w:rFonts w:ascii="Times New Roman"/>
                <w:spacing w:val="-1"/>
                <w:sz w:val="20"/>
              </w:rPr>
              <w:t>1,819,071,593.99</w:t>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096"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2"/>
              <w:jc w:val="right"/>
              <w:rPr>
                <w:rFonts w:ascii="Times New Roman" w:hAnsi="Times New Roman" w:cs="Times New Roman" w:eastAsia="Times New Roman" w:hint="default"/>
                <w:sz w:val="20"/>
                <w:szCs w:val="20"/>
              </w:rPr>
            </w:pPr>
            <w:r>
              <w:rPr>
                <w:rFonts w:ascii="Times New Roman"/>
                <w:w w:val="95"/>
                <w:sz w:val="20"/>
              </w:rPr>
              <w:t>960,733,804.39</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5"/>
              <w:jc w:val="right"/>
              <w:rPr>
                <w:rFonts w:ascii="Times New Roman" w:hAnsi="Times New Roman" w:cs="Times New Roman" w:eastAsia="Times New Roman" w:hint="default"/>
                <w:sz w:val="20"/>
                <w:szCs w:val="20"/>
              </w:rPr>
            </w:pPr>
            <w:r>
              <w:rPr>
                <w:rFonts w:ascii="Times New Roman"/>
                <w:spacing w:val="-1"/>
                <w:sz w:val="20"/>
              </w:rPr>
              <w:t>1,133,948,001.75</w:t>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096" w:right="0"/>
              <w:jc w:val="left"/>
              <w:rPr>
                <w:rFonts w:ascii="宋体" w:hAnsi="宋体" w:cs="宋体" w:eastAsia="宋体" w:hint="default"/>
                <w:sz w:val="20"/>
                <w:szCs w:val="20"/>
              </w:rPr>
            </w:pPr>
            <w:r>
              <w:rPr>
                <w:rFonts w:ascii="宋体" w:hAnsi="宋体" w:cs="宋体" w:eastAsia="宋体" w:hint="default"/>
                <w:sz w:val="20"/>
                <w:szCs w:val="20"/>
              </w:rPr>
              <w:t>资产减值损失</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2"/>
              <w:jc w:val="right"/>
              <w:rPr>
                <w:rFonts w:ascii="Times New Roman" w:hAnsi="Times New Roman" w:cs="Times New Roman" w:eastAsia="Times New Roman" w:hint="default"/>
                <w:sz w:val="20"/>
                <w:szCs w:val="20"/>
              </w:rPr>
            </w:pPr>
            <w:r>
              <w:rPr>
                <w:rFonts w:ascii="Times New Roman"/>
                <w:w w:val="95"/>
                <w:sz w:val="20"/>
              </w:rPr>
              <w:t>478,441,797.28</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4"/>
              <w:jc w:val="right"/>
              <w:rPr>
                <w:rFonts w:ascii="Times New Roman" w:hAnsi="Times New Roman" w:cs="Times New Roman" w:eastAsia="Times New Roman" w:hint="default"/>
                <w:sz w:val="20"/>
                <w:szCs w:val="20"/>
              </w:rPr>
            </w:pPr>
            <w:r>
              <w:rPr>
                <w:rFonts w:ascii="Times New Roman"/>
                <w:w w:val="95"/>
                <w:sz w:val="20"/>
              </w:rPr>
              <w:t>276,329,197.27</w:t>
            </w:r>
            <w:r>
              <w:rPr>
                <w:rFonts w:ascii="Times New Roman"/>
                <w:sz w:val="20"/>
              </w:rPr>
            </w:r>
          </w:p>
        </w:tc>
      </w:tr>
      <w:tr>
        <w:trPr>
          <w:trHeight w:val="276"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47" w:lineRule="exact"/>
              <w:ind w:left="496"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加：公允价值变动收益</w:t>
            </w:r>
            <w:r>
              <w:rPr>
                <w:rFonts w:ascii="Times New Roman" w:hAnsi="Times New Roman" w:cs="Times New Roman" w:eastAsia="Times New Roman" w:hint="default"/>
                <w:sz w:val="20"/>
                <w:szCs w:val="20"/>
              </w:rPr>
              <w:t>(</w:t>
            </w:r>
            <w:r>
              <w:rPr>
                <w:rFonts w:ascii="宋体" w:hAnsi="宋体" w:cs="宋体" w:eastAsia="宋体" w:hint="default"/>
                <w:sz w:val="20"/>
                <w:szCs w:val="20"/>
              </w:rPr>
              <w:t>损失以</w:t>
            </w:r>
            <w:r>
              <w:rPr>
                <w:rFonts w:ascii="Times New Roman" w:hAnsi="Times New Roman" w:cs="Times New Roman" w:eastAsia="Times New Roman" w:hint="default"/>
                <w:sz w:val="20"/>
                <w:szCs w:val="20"/>
              </w:rPr>
              <w:t>"-"</w:t>
            </w:r>
            <w:r>
              <w:rPr>
                <w:rFonts w:ascii="宋体" w:hAnsi="宋体" w:cs="宋体" w:eastAsia="宋体" w:hint="default"/>
                <w:sz w:val="20"/>
                <w:szCs w:val="20"/>
              </w:rPr>
              <w:t>填列</w:t>
            </w:r>
            <w:r>
              <w:rPr>
                <w:rFonts w:ascii="Times New Roman" w:hAnsi="Times New Roman" w:cs="Times New Roman" w:eastAsia="Times New Roman" w:hint="default"/>
                <w:sz w:val="20"/>
                <w:szCs w:val="20"/>
              </w:rPr>
              <w:t>)</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Times New Roman" w:hAnsi="Times New Roman" w:cs="Times New Roman" w:eastAsia="Times New Roman" w:hint="default"/>
                <w:sz w:val="20"/>
                <w:szCs w:val="20"/>
              </w:rPr>
            </w:pPr>
            <w:r>
              <w:rPr>
                <w:rFonts w:ascii="Times New Roman"/>
                <w:w w:val="95"/>
                <w:sz w:val="20"/>
              </w:rPr>
              <w:t>-229,039,605.97</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4"/>
              <w:jc w:val="right"/>
              <w:rPr>
                <w:rFonts w:ascii="Times New Roman" w:hAnsi="Times New Roman" w:cs="Times New Roman" w:eastAsia="Times New Roman" w:hint="default"/>
                <w:sz w:val="20"/>
                <w:szCs w:val="20"/>
              </w:rPr>
            </w:pPr>
            <w:r>
              <w:rPr>
                <w:rFonts w:ascii="Times New Roman"/>
                <w:w w:val="95"/>
                <w:sz w:val="20"/>
              </w:rPr>
              <w:t>128,133,757.82</w:t>
            </w:r>
            <w:r>
              <w:rPr>
                <w:rFonts w:ascii="Times New Roman"/>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45" w:lineRule="exact"/>
              <w:ind w:left="895"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投资收益</w:t>
            </w:r>
            <w:r>
              <w:rPr>
                <w:rFonts w:ascii="Times New Roman" w:hAnsi="Times New Roman" w:cs="Times New Roman" w:eastAsia="Times New Roman" w:hint="default"/>
                <w:sz w:val="20"/>
                <w:szCs w:val="20"/>
              </w:rPr>
              <w:t>(</w:t>
            </w:r>
            <w:r>
              <w:rPr>
                <w:rFonts w:ascii="宋体" w:hAnsi="宋体" w:cs="宋体" w:eastAsia="宋体" w:hint="default"/>
                <w:sz w:val="20"/>
                <w:szCs w:val="20"/>
              </w:rPr>
              <w:t>损失以</w:t>
            </w:r>
            <w:r>
              <w:rPr>
                <w:rFonts w:ascii="Times New Roman" w:hAnsi="Times New Roman" w:cs="Times New Roman" w:eastAsia="Times New Roman" w:hint="default"/>
                <w:sz w:val="20"/>
                <w:szCs w:val="20"/>
              </w:rPr>
              <w:t>"-"</w:t>
            </w:r>
            <w:r>
              <w:rPr>
                <w:rFonts w:ascii="宋体" w:hAnsi="宋体" w:cs="宋体" w:eastAsia="宋体" w:hint="default"/>
                <w:sz w:val="20"/>
                <w:szCs w:val="20"/>
              </w:rPr>
              <w:t>填列</w:t>
            </w:r>
            <w:r>
              <w:rPr>
                <w:rFonts w:ascii="Times New Roman" w:hAnsi="Times New Roman" w:cs="Times New Roman" w:eastAsia="Times New Roman" w:hint="default"/>
                <w:sz w:val="20"/>
                <w:szCs w:val="20"/>
              </w:rPr>
              <w:t>)</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2"/>
              <w:jc w:val="right"/>
              <w:rPr>
                <w:rFonts w:ascii="Times New Roman" w:hAnsi="Times New Roman" w:cs="Times New Roman" w:eastAsia="Times New Roman" w:hint="default"/>
                <w:sz w:val="20"/>
                <w:szCs w:val="20"/>
              </w:rPr>
            </w:pPr>
            <w:r>
              <w:rPr>
                <w:rFonts w:ascii="Times New Roman"/>
                <w:spacing w:val="-1"/>
                <w:sz w:val="20"/>
              </w:rPr>
              <w:t>2,641,676,433.65</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877,402,615.56</w:t>
            </w:r>
            <w:r>
              <w:rPr>
                <w:rFonts w:ascii="Times New Roman"/>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895" w:right="0"/>
              <w:jc w:val="left"/>
              <w:rPr>
                <w:rFonts w:ascii="宋体" w:hAnsi="宋体" w:cs="宋体" w:eastAsia="宋体" w:hint="default"/>
                <w:sz w:val="20"/>
                <w:szCs w:val="20"/>
              </w:rPr>
            </w:pPr>
            <w:r>
              <w:rPr>
                <w:rFonts w:ascii="宋体" w:hAnsi="宋体" w:cs="宋体" w:eastAsia="宋体" w:hint="default"/>
                <w:sz w:val="20"/>
                <w:szCs w:val="20"/>
              </w:rPr>
              <w:t>其中：对联营企业和合营企业的投资收益</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2"/>
              <w:jc w:val="right"/>
              <w:rPr>
                <w:rFonts w:ascii="Times New Roman" w:hAnsi="Times New Roman" w:cs="Times New Roman" w:eastAsia="Times New Roman" w:hint="default"/>
                <w:sz w:val="20"/>
                <w:szCs w:val="20"/>
              </w:rPr>
            </w:pPr>
            <w:r>
              <w:rPr>
                <w:rFonts w:ascii="Times New Roman"/>
                <w:spacing w:val="-1"/>
                <w:sz w:val="20"/>
              </w:rPr>
              <w:t>1,358,888,257.26</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853,612,638.62</w:t>
            </w:r>
            <w:r>
              <w:rPr>
                <w:rFonts w:ascii="Times New Roman"/>
                <w:sz w:val="20"/>
              </w:rPr>
            </w:r>
          </w:p>
        </w:tc>
      </w:tr>
      <w:tr>
        <w:trPr>
          <w:trHeight w:val="276"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47" w:lineRule="exact"/>
              <w:ind w:left="93" w:right="0"/>
              <w:jc w:val="left"/>
              <w:rPr>
                <w:rFonts w:ascii="Times New Roman" w:hAnsi="Times New Roman" w:cs="Times New Roman" w:eastAsia="Times New Roman" w:hint="default"/>
                <w:sz w:val="20"/>
                <w:szCs w:val="20"/>
              </w:rPr>
            </w:pPr>
            <w:r>
              <w:rPr>
                <w:rFonts w:ascii="宋体" w:hAnsi="宋体" w:cs="宋体" w:eastAsia="宋体" w:hint="default"/>
                <w:b/>
                <w:bCs/>
                <w:sz w:val="20"/>
                <w:szCs w:val="20"/>
              </w:rPr>
              <w:t>三、营业利润</w:t>
            </w: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亏损以</w:t>
            </w: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填列</w:t>
            </w:r>
            <w:r>
              <w:rPr>
                <w:rFonts w:ascii="Times New Roman" w:hAnsi="Times New Roman" w:cs="Times New Roman" w:eastAsia="Times New Roman" w:hint="default"/>
                <w:b/>
                <w:bCs/>
                <w:sz w:val="20"/>
                <w:szCs w:val="20"/>
              </w:rPr>
              <w:t>)</w:t>
            </w:r>
            <w:r>
              <w:rPr>
                <w:rFonts w:ascii="Times New Roman" w:hAnsi="Times New Roman" w:cs="Times New Roman" w:eastAsia="Times New Roman" w:hint="default"/>
                <w:sz w:val="20"/>
                <w:szCs w:val="20"/>
              </w:rPr>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20"/>
                <w:szCs w:val="20"/>
              </w:rPr>
            </w:pPr>
            <w:r>
              <w:rPr>
                <w:rFonts w:ascii="Times New Roman"/>
                <w:b/>
                <w:spacing w:val="-1"/>
                <w:sz w:val="20"/>
              </w:rPr>
              <w:t>1,930,501,134.79</w:t>
            </w:r>
            <w:r>
              <w:rPr>
                <w:rFonts w:ascii="Times New Roman"/>
                <w:spacing w:val="-1"/>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5"/>
              <w:jc w:val="right"/>
              <w:rPr>
                <w:rFonts w:ascii="Times New Roman" w:hAnsi="Times New Roman" w:cs="Times New Roman" w:eastAsia="Times New Roman" w:hint="default"/>
                <w:sz w:val="20"/>
                <w:szCs w:val="20"/>
              </w:rPr>
            </w:pPr>
            <w:r>
              <w:rPr>
                <w:rFonts w:ascii="Times New Roman"/>
                <w:b/>
                <w:spacing w:val="-1"/>
                <w:sz w:val="20"/>
              </w:rPr>
              <w:t>1,129,416,937.15</w:t>
            </w:r>
            <w:r>
              <w:rPr>
                <w:rFonts w:ascii="Times New Roman"/>
                <w:spacing w:val="-1"/>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加：营业外收入</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2"/>
              <w:jc w:val="right"/>
              <w:rPr>
                <w:rFonts w:ascii="Times New Roman" w:hAnsi="Times New Roman" w:cs="Times New Roman" w:eastAsia="Times New Roman" w:hint="default"/>
                <w:sz w:val="20"/>
                <w:szCs w:val="20"/>
              </w:rPr>
            </w:pPr>
            <w:r>
              <w:rPr>
                <w:rFonts w:ascii="Times New Roman"/>
                <w:w w:val="95"/>
                <w:sz w:val="20"/>
              </w:rPr>
              <w:t>454,990,629.64</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379,200,935.30</w:t>
            </w:r>
            <w:r>
              <w:rPr>
                <w:rFonts w:ascii="Times New Roman"/>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895" w:right="0"/>
              <w:jc w:val="left"/>
              <w:rPr>
                <w:rFonts w:ascii="宋体" w:hAnsi="宋体" w:cs="宋体" w:eastAsia="宋体" w:hint="default"/>
                <w:sz w:val="20"/>
                <w:szCs w:val="20"/>
              </w:rPr>
            </w:pPr>
            <w:r>
              <w:rPr>
                <w:rFonts w:ascii="宋体" w:hAnsi="宋体" w:cs="宋体" w:eastAsia="宋体" w:hint="default"/>
                <w:sz w:val="20"/>
                <w:szCs w:val="20"/>
              </w:rPr>
              <w:t>其中：非流动资产处置利得</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2"/>
              <w:jc w:val="right"/>
              <w:rPr>
                <w:rFonts w:ascii="Times New Roman" w:hAnsi="Times New Roman" w:cs="Times New Roman" w:eastAsia="Times New Roman" w:hint="default"/>
                <w:sz w:val="20"/>
                <w:szCs w:val="20"/>
              </w:rPr>
            </w:pPr>
            <w:r>
              <w:rPr>
                <w:rFonts w:ascii="Times New Roman"/>
                <w:w w:val="95"/>
                <w:sz w:val="20"/>
              </w:rPr>
              <w:t>28,138,021.22</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60,460,323.94</w:t>
            </w:r>
            <w:r>
              <w:rPr>
                <w:rFonts w:ascii="Times New Roman"/>
                <w:sz w:val="20"/>
              </w:rPr>
            </w:r>
          </w:p>
        </w:tc>
      </w:tr>
      <w:tr>
        <w:trPr>
          <w:trHeight w:val="276"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496" w:right="0"/>
              <w:jc w:val="left"/>
              <w:rPr>
                <w:rFonts w:ascii="宋体" w:hAnsi="宋体" w:cs="宋体" w:eastAsia="宋体" w:hint="default"/>
                <w:sz w:val="20"/>
                <w:szCs w:val="20"/>
              </w:rPr>
            </w:pPr>
            <w:r>
              <w:rPr>
                <w:rFonts w:ascii="宋体" w:hAnsi="宋体" w:cs="宋体" w:eastAsia="宋体" w:hint="default"/>
                <w:sz w:val="20"/>
                <w:szCs w:val="20"/>
              </w:rPr>
              <w:t>减：营业外支出</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2"/>
              <w:jc w:val="right"/>
              <w:rPr>
                <w:rFonts w:ascii="Times New Roman" w:hAnsi="Times New Roman" w:cs="Times New Roman" w:eastAsia="Times New Roman" w:hint="default"/>
                <w:sz w:val="20"/>
                <w:szCs w:val="20"/>
              </w:rPr>
            </w:pPr>
            <w:r>
              <w:rPr>
                <w:rFonts w:ascii="Times New Roman"/>
                <w:w w:val="95"/>
                <w:sz w:val="20"/>
              </w:rPr>
              <w:t>12,128,535.24</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4"/>
              <w:jc w:val="right"/>
              <w:rPr>
                <w:rFonts w:ascii="Times New Roman" w:hAnsi="Times New Roman" w:cs="Times New Roman" w:eastAsia="Times New Roman" w:hint="default"/>
                <w:sz w:val="20"/>
                <w:szCs w:val="20"/>
              </w:rPr>
            </w:pPr>
            <w:r>
              <w:rPr>
                <w:rFonts w:ascii="Times New Roman"/>
                <w:w w:val="95"/>
                <w:sz w:val="20"/>
              </w:rPr>
              <w:t>85,437,828.80</w:t>
            </w:r>
            <w:r>
              <w:rPr>
                <w:rFonts w:ascii="Times New Roman"/>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895" w:right="0"/>
              <w:jc w:val="left"/>
              <w:rPr>
                <w:rFonts w:ascii="宋体" w:hAnsi="宋体" w:cs="宋体" w:eastAsia="宋体" w:hint="default"/>
                <w:sz w:val="20"/>
                <w:szCs w:val="20"/>
              </w:rPr>
            </w:pPr>
            <w:r>
              <w:rPr>
                <w:rFonts w:ascii="宋体" w:hAnsi="宋体" w:cs="宋体" w:eastAsia="宋体" w:hint="default"/>
                <w:sz w:val="20"/>
                <w:szCs w:val="20"/>
              </w:rPr>
              <w:t>其中：非流动资产处置损失</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0"/>
              <w:jc w:val="right"/>
              <w:rPr>
                <w:rFonts w:ascii="Times New Roman" w:hAnsi="Times New Roman" w:cs="Times New Roman" w:eastAsia="Times New Roman" w:hint="default"/>
                <w:sz w:val="20"/>
                <w:szCs w:val="20"/>
              </w:rPr>
            </w:pPr>
            <w:r>
              <w:rPr>
                <w:rFonts w:ascii="Times New Roman"/>
                <w:w w:val="95"/>
                <w:sz w:val="20"/>
              </w:rPr>
              <w:t>3,440,305.08</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58,290,610.80</w:t>
            </w:r>
            <w:r>
              <w:rPr>
                <w:rFonts w:ascii="Times New Roman"/>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45" w:lineRule="exact"/>
              <w:ind w:left="93" w:right="0"/>
              <w:jc w:val="left"/>
              <w:rPr>
                <w:rFonts w:ascii="Times New Roman" w:hAnsi="Times New Roman" w:cs="Times New Roman" w:eastAsia="Times New Roman" w:hint="default"/>
                <w:sz w:val="20"/>
                <w:szCs w:val="20"/>
              </w:rPr>
            </w:pPr>
            <w:r>
              <w:rPr>
                <w:rFonts w:ascii="宋体" w:hAnsi="宋体" w:cs="宋体" w:eastAsia="宋体" w:hint="default"/>
                <w:b/>
                <w:bCs/>
                <w:sz w:val="20"/>
                <w:szCs w:val="20"/>
              </w:rPr>
              <w:t>四、利润总额</w:t>
            </w: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亏损总额以</w:t>
            </w: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填列</w:t>
            </w:r>
            <w:r>
              <w:rPr>
                <w:rFonts w:ascii="Times New Roman" w:hAnsi="Times New Roman" w:cs="Times New Roman" w:eastAsia="Times New Roman" w:hint="default"/>
                <w:b/>
                <w:bCs/>
                <w:sz w:val="20"/>
                <w:szCs w:val="20"/>
              </w:rPr>
              <w:t>)</w:t>
            </w:r>
            <w:r>
              <w:rPr>
                <w:rFonts w:ascii="Times New Roman" w:hAnsi="Times New Roman" w:cs="Times New Roman" w:eastAsia="Times New Roman" w:hint="default"/>
                <w:sz w:val="20"/>
                <w:szCs w:val="20"/>
              </w:rPr>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b/>
                <w:spacing w:val="-1"/>
                <w:sz w:val="20"/>
              </w:rPr>
              <w:t>2,373,363,229.19</w:t>
            </w:r>
            <w:r>
              <w:rPr>
                <w:rFonts w:ascii="Times New Roman"/>
                <w:spacing w:val="-1"/>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5"/>
              <w:jc w:val="right"/>
              <w:rPr>
                <w:rFonts w:ascii="Times New Roman" w:hAnsi="Times New Roman" w:cs="Times New Roman" w:eastAsia="Times New Roman" w:hint="default"/>
                <w:sz w:val="20"/>
                <w:szCs w:val="20"/>
              </w:rPr>
            </w:pPr>
            <w:r>
              <w:rPr>
                <w:rFonts w:ascii="Times New Roman"/>
                <w:b/>
                <w:spacing w:val="-1"/>
                <w:sz w:val="20"/>
              </w:rPr>
              <w:t>1,423,180,043.65</w:t>
            </w:r>
            <w:r>
              <w:rPr>
                <w:rFonts w:ascii="Times New Roman"/>
                <w:spacing w:val="-1"/>
                <w:sz w:val="20"/>
              </w:rPr>
            </w:r>
          </w:p>
        </w:tc>
      </w:tr>
      <w:tr>
        <w:trPr>
          <w:trHeight w:val="276"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496" w:right="0"/>
              <w:jc w:val="left"/>
              <w:rPr>
                <w:rFonts w:ascii="宋体" w:hAnsi="宋体" w:cs="宋体" w:eastAsia="宋体" w:hint="default"/>
                <w:sz w:val="20"/>
                <w:szCs w:val="20"/>
              </w:rPr>
            </w:pPr>
            <w:r>
              <w:rPr>
                <w:rFonts w:ascii="宋体" w:hAnsi="宋体" w:cs="宋体" w:eastAsia="宋体" w:hint="default"/>
                <w:sz w:val="20"/>
                <w:szCs w:val="20"/>
              </w:rPr>
              <w:t>减：所得税费用</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2"/>
              <w:jc w:val="right"/>
              <w:rPr>
                <w:rFonts w:ascii="Times New Roman" w:hAnsi="Times New Roman" w:cs="Times New Roman" w:eastAsia="Times New Roman" w:hint="default"/>
                <w:sz w:val="20"/>
                <w:szCs w:val="20"/>
              </w:rPr>
            </w:pPr>
            <w:r>
              <w:rPr>
                <w:rFonts w:ascii="Times New Roman"/>
                <w:w w:val="95"/>
                <w:sz w:val="20"/>
              </w:rPr>
              <w:t>210,555,970.31</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4"/>
              <w:jc w:val="right"/>
              <w:rPr>
                <w:rFonts w:ascii="Times New Roman" w:hAnsi="Times New Roman" w:cs="Times New Roman" w:eastAsia="Times New Roman" w:hint="default"/>
                <w:sz w:val="20"/>
                <w:szCs w:val="20"/>
              </w:rPr>
            </w:pPr>
            <w:r>
              <w:rPr>
                <w:rFonts w:ascii="Times New Roman"/>
                <w:w w:val="95"/>
                <w:sz w:val="20"/>
              </w:rPr>
              <w:t>209,769,351.52</w:t>
            </w:r>
            <w:r>
              <w:rPr>
                <w:rFonts w:ascii="Times New Roman"/>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45" w:lineRule="exact"/>
              <w:ind w:left="93" w:right="0"/>
              <w:jc w:val="left"/>
              <w:rPr>
                <w:rFonts w:ascii="Times New Roman" w:hAnsi="Times New Roman" w:cs="Times New Roman" w:eastAsia="Times New Roman" w:hint="default"/>
                <w:sz w:val="20"/>
                <w:szCs w:val="20"/>
              </w:rPr>
            </w:pPr>
            <w:r>
              <w:rPr>
                <w:rFonts w:ascii="宋体" w:hAnsi="宋体" w:cs="宋体" w:eastAsia="宋体" w:hint="default"/>
                <w:b/>
                <w:bCs/>
                <w:sz w:val="20"/>
                <w:szCs w:val="20"/>
              </w:rPr>
              <w:t>五、净利润</w:t>
            </w: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净亏损以</w:t>
            </w: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填列</w:t>
            </w:r>
            <w:r>
              <w:rPr>
                <w:rFonts w:ascii="Times New Roman" w:hAnsi="Times New Roman" w:cs="Times New Roman" w:eastAsia="Times New Roman" w:hint="default"/>
                <w:b/>
                <w:bCs/>
                <w:sz w:val="20"/>
                <w:szCs w:val="20"/>
              </w:rPr>
              <w:t>)</w:t>
            </w:r>
            <w:r>
              <w:rPr>
                <w:rFonts w:ascii="Times New Roman" w:hAnsi="Times New Roman" w:cs="Times New Roman" w:eastAsia="Times New Roman" w:hint="default"/>
                <w:sz w:val="20"/>
                <w:szCs w:val="20"/>
              </w:rPr>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b/>
                <w:spacing w:val="-1"/>
                <w:sz w:val="20"/>
              </w:rPr>
              <w:t>2,162,807,258.88</w:t>
            </w:r>
            <w:r>
              <w:rPr>
                <w:rFonts w:ascii="Times New Roman"/>
                <w:spacing w:val="-1"/>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5"/>
              <w:jc w:val="right"/>
              <w:rPr>
                <w:rFonts w:ascii="Times New Roman" w:hAnsi="Times New Roman" w:cs="Times New Roman" w:eastAsia="Times New Roman" w:hint="default"/>
                <w:sz w:val="20"/>
                <w:szCs w:val="20"/>
              </w:rPr>
            </w:pPr>
            <w:r>
              <w:rPr>
                <w:rFonts w:ascii="Times New Roman"/>
                <w:b/>
                <w:spacing w:val="-1"/>
                <w:sz w:val="20"/>
              </w:rPr>
              <w:t>1,213,410,692.13</w:t>
            </w:r>
            <w:r>
              <w:rPr>
                <w:rFonts w:ascii="Times New Roman"/>
                <w:spacing w:val="-1"/>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归属于母公司股东的净利润</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2"/>
              <w:jc w:val="right"/>
              <w:rPr>
                <w:rFonts w:ascii="Times New Roman" w:hAnsi="Times New Roman" w:cs="Times New Roman" w:eastAsia="Times New Roman" w:hint="default"/>
                <w:sz w:val="20"/>
                <w:szCs w:val="20"/>
              </w:rPr>
            </w:pPr>
            <w:r>
              <w:rPr>
                <w:rFonts w:ascii="Times New Roman"/>
                <w:spacing w:val="-1"/>
                <w:sz w:val="20"/>
              </w:rPr>
              <w:t>1,261,593,370.02</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4"/>
              <w:jc w:val="right"/>
              <w:rPr>
                <w:rFonts w:ascii="Times New Roman" w:hAnsi="Times New Roman" w:cs="Times New Roman" w:eastAsia="Times New Roman" w:hint="default"/>
                <w:sz w:val="20"/>
                <w:szCs w:val="20"/>
              </w:rPr>
            </w:pPr>
            <w:r>
              <w:rPr>
                <w:rFonts w:ascii="Times New Roman"/>
                <w:w w:val="95"/>
                <w:sz w:val="20"/>
              </w:rPr>
              <w:t>755,641,901.57</w:t>
            </w:r>
            <w:r>
              <w:rPr>
                <w:rFonts w:ascii="Times New Roman"/>
                <w:sz w:val="20"/>
              </w:rPr>
            </w:r>
          </w:p>
        </w:tc>
      </w:tr>
      <w:tr>
        <w:trPr>
          <w:trHeight w:val="276"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少数股东损益</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2"/>
              <w:jc w:val="right"/>
              <w:rPr>
                <w:rFonts w:ascii="Times New Roman" w:hAnsi="Times New Roman" w:cs="Times New Roman" w:eastAsia="Times New Roman" w:hint="default"/>
                <w:sz w:val="20"/>
                <w:szCs w:val="20"/>
              </w:rPr>
            </w:pPr>
            <w:r>
              <w:rPr>
                <w:rFonts w:ascii="Times New Roman"/>
                <w:w w:val="95"/>
                <w:sz w:val="20"/>
              </w:rPr>
              <w:t>901,213,888.86</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4"/>
              <w:jc w:val="right"/>
              <w:rPr>
                <w:rFonts w:ascii="Times New Roman" w:hAnsi="Times New Roman" w:cs="Times New Roman" w:eastAsia="Times New Roman" w:hint="default"/>
                <w:sz w:val="20"/>
                <w:szCs w:val="20"/>
              </w:rPr>
            </w:pPr>
            <w:r>
              <w:rPr>
                <w:rFonts w:ascii="Times New Roman"/>
                <w:w w:val="95"/>
                <w:sz w:val="20"/>
              </w:rPr>
              <w:t>457,768,790.56</w:t>
            </w:r>
            <w:r>
              <w:rPr>
                <w:rFonts w:ascii="Times New Roman"/>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六、其他综合收益的税后净额</w:t>
            </w:r>
            <w:r>
              <w:rPr>
                <w:rFonts w:ascii="宋体" w:hAnsi="宋体" w:cs="宋体" w:eastAsia="宋体" w:hint="default"/>
                <w:sz w:val="20"/>
                <w:szCs w:val="20"/>
              </w:rPr>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20"/>
                <w:szCs w:val="20"/>
              </w:rPr>
            </w:pPr>
            <w:r>
              <w:rPr>
                <w:rFonts w:ascii="Times New Roman"/>
                <w:b/>
                <w:w w:val="95"/>
                <w:sz w:val="20"/>
              </w:rPr>
              <w:t>-291,105,102.84</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4"/>
              <w:jc w:val="right"/>
              <w:rPr>
                <w:rFonts w:ascii="Times New Roman" w:hAnsi="Times New Roman" w:cs="Times New Roman" w:eastAsia="Times New Roman" w:hint="default"/>
                <w:sz w:val="20"/>
                <w:szCs w:val="20"/>
              </w:rPr>
            </w:pPr>
            <w:r>
              <w:rPr>
                <w:rFonts w:ascii="Times New Roman"/>
                <w:b/>
                <w:w w:val="95"/>
                <w:sz w:val="20"/>
              </w:rPr>
              <w:t>176,504,590.10</w:t>
            </w:r>
            <w:r>
              <w:rPr>
                <w:rFonts w:ascii="Times New Roman"/>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归属母公司所有者的其他综合收益的税后净额</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0"/>
              <w:jc w:val="right"/>
              <w:rPr>
                <w:rFonts w:ascii="Times New Roman" w:hAnsi="Times New Roman" w:cs="Times New Roman" w:eastAsia="Times New Roman" w:hint="default"/>
                <w:sz w:val="20"/>
                <w:szCs w:val="20"/>
              </w:rPr>
            </w:pPr>
            <w:r>
              <w:rPr>
                <w:rFonts w:ascii="Times New Roman"/>
                <w:w w:val="95"/>
                <w:sz w:val="20"/>
              </w:rPr>
              <w:t>-321,130,048.26</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197,717,804.70</w:t>
            </w:r>
            <w:r>
              <w:rPr>
                <w:rFonts w:ascii="Times New Roman"/>
                <w:sz w:val="20"/>
              </w:rPr>
            </w:r>
          </w:p>
        </w:tc>
      </w:tr>
      <w:tr>
        <w:trPr>
          <w:trHeight w:val="276"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696" w:right="0"/>
              <w:jc w:val="left"/>
              <w:rPr>
                <w:rFonts w:ascii="宋体" w:hAnsi="宋体" w:cs="宋体" w:eastAsia="宋体" w:hint="default"/>
                <w:sz w:val="20"/>
                <w:szCs w:val="20"/>
              </w:rPr>
            </w:pPr>
            <w:r>
              <w:rPr>
                <w:rFonts w:ascii="宋体" w:hAnsi="宋体" w:cs="宋体" w:eastAsia="宋体" w:hint="default"/>
                <w:sz w:val="20"/>
                <w:szCs w:val="20"/>
              </w:rPr>
              <w:t>（一）以后不能重分类进损益的其他综合收益</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1"/>
              <w:jc w:val="right"/>
              <w:rPr>
                <w:rFonts w:ascii="Times New Roman" w:hAnsi="Times New Roman" w:cs="Times New Roman" w:eastAsia="Times New Roman" w:hint="default"/>
                <w:sz w:val="20"/>
                <w:szCs w:val="20"/>
              </w:rPr>
            </w:pPr>
            <w:r>
              <w:rPr>
                <w:rFonts w:ascii="Times New Roman"/>
                <w:sz w:val="20"/>
              </w:rPr>
              <w:t>0.00</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0"/>
                <w:szCs w:val="20"/>
              </w:rPr>
            </w:pPr>
            <w:r>
              <w:rPr>
                <w:rFonts w:ascii="Times New Roman"/>
                <w:sz w:val="20"/>
              </w:rPr>
              <w:t>0.00</w:t>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45" w:lineRule="exact"/>
              <w:ind w:left="696"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重新计量设定受益计划净负债或净资产的变动</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1"/>
              <w:jc w:val="right"/>
              <w:rPr>
                <w:rFonts w:ascii="Times New Roman" w:hAnsi="Times New Roman" w:cs="Times New Roman" w:eastAsia="Times New Roman" w:hint="default"/>
                <w:sz w:val="20"/>
                <w:szCs w:val="20"/>
              </w:rPr>
            </w:pPr>
            <w:r>
              <w:rPr>
                <w:rFonts w:ascii="Times New Roman"/>
                <w:sz w:val="20"/>
              </w:rPr>
              <w:t>0.00</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3"/>
              <w:jc w:val="right"/>
              <w:rPr>
                <w:rFonts w:ascii="Times New Roman" w:hAnsi="Times New Roman" w:cs="Times New Roman" w:eastAsia="Times New Roman" w:hint="default"/>
                <w:sz w:val="20"/>
                <w:szCs w:val="20"/>
              </w:rPr>
            </w:pPr>
            <w:r>
              <w:rPr>
                <w:rFonts w:ascii="Times New Roman"/>
                <w:sz w:val="20"/>
              </w:rPr>
              <w:t>0.00</w:t>
            </w:r>
          </w:p>
        </w:tc>
      </w:tr>
      <w:tr>
        <w:trPr>
          <w:trHeight w:val="533"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6" w:lineRule="exact"/>
              <w:ind w:left="696"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权益法下在被投资单位不能重分类进损益的其他综合收</w:t>
            </w:r>
          </w:p>
          <w:p>
            <w:pPr>
              <w:pStyle w:val="TableParagraph"/>
              <w:spacing w:line="253" w:lineRule="exact"/>
              <w:ind w:left="93" w:right="0"/>
              <w:jc w:val="left"/>
              <w:rPr>
                <w:rFonts w:ascii="宋体" w:hAnsi="宋体" w:cs="宋体" w:eastAsia="宋体" w:hint="default"/>
                <w:sz w:val="20"/>
                <w:szCs w:val="20"/>
              </w:rPr>
            </w:pPr>
            <w:r>
              <w:rPr>
                <w:rFonts w:ascii="宋体" w:hAnsi="宋体" w:cs="宋体" w:eastAsia="宋体" w:hint="default"/>
                <w:sz w:val="20"/>
                <w:szCs w:val="20"/>
              </w:rPr>
              <w:t>益中享有的份额</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7"/>
              <w:ind w:right="101"/>
              <w:jc w:val="right"/>
              <w:rPr>
                <w:rFonts w:ascii="Times New Roman" w:hAnsi="Times New Roman" w:cs="Times New Roman" w:eastAsia="Times New Roman" w:hint="default"/>
                <w:sz w:val="20"/>
                <w:szCs w:val="20"/>
              </w:rPr>
            </w:pPr>
            <w:r>
              <w:rPr>
                <w:rFonts w:ascii="Times New Roman"/>
                <w:sz w:val="20"/>
              </w:rPr>
              <w:t>0.00</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7"/>
              <w:ind w:right="93"/>
              <w:jc w:val="right"/>
              <w:rPr>
                <w:rFonts w:ascii="Times New Roman" w:hAnsi="Times New Roman" w:cs="Times New Roman" w:eastAsia="Times New Roman" w:hint="default"/>
                <w:sz w:val="20"/>
                <w:szCs w:val="20"/>
              </w:rPr>
            </w:pPr>
            <w:r>
              <w:rPr>
                <w:rFonts w:ascii="Times New Roman"/>
                <w:sz w:val="20"/>
              </w:rPr>
              <w:t>0.00</w:t>
            </w:r>
          </w:p>
        </w:tc>
      </w:tr>
      <w:tr>
        <w:trPr>
          <w:trHeight w:val="276"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696" w:right="0"/>
              <w:jc w:val="left"/>
              <w:rPr>
                <w:rFonts w:ascii="宋体" w:hAnsi="宋体" w:cs="宋体" w:eastAsia="宋体" w:hint="default"/>
                <w:sz w:val="20"/>
                <w:szCs w:val="20"/>
              </w:rPr>
            </w:pPr>
            <w:r>
              <w:rPr>
                <w:rFonts w:ascii="宋体" w:hAnsi="宋体" w:cs="宋体" w:eastAsia="宋体" w:hint="default"/>
                <w:sz w:val="20"/>
                <w:szCs w:val="20"/>
              </w:rPr>
              <w:t>（二）以后将重分类进损益的其他综合收益</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Times New Roman" w:hAnsi="Times New Roman" w:cs="Times New Roman" w:eastAsia="Times New Roman" w:hint="default"/>
                <w:sz w:val="20"/>
                <w:szCs w:val="20"/>
              </w:rPr>
            </w:pPr>
            <w:r>
              <w:rPr>
                <w:rFonts w:ascii="Times New Roman"/>
                <w:w w:val="95"/>
                <w:sz w:val="20"/>
              </w:rPr>
              <w:t>-321,130,048.26</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4"/>
              <w:jc w:val="right"/>
              <w:rPr>
                <w:rFonts w:ascii="Times New Roman" w:hAnsi="Times New Roman" w:cs="Times New Roman" w:eastAsia="Times New Roman" w:hint="default"/>
                <w:sz w:val="20"/>
                <w:szCs w:val="20"/>
              </w:rPr>
            </w:pPr>
            <w:r>
              <w:rPr>
                <w:rFonts w:ascii="Times New Roman"/>
                <w:w w:val="95"/>
                <w:sz w:val="20"/>
              </w:rPr>
              <w:t>197,717,804.70</w:t>
            </w:r>
            <w:r>
              <w:rPr>
                <w:rFonts w:ascii="Times New Roman"/>
                <w:sz w:val="20"/>
              </w:rPr>
            </w:r>
          </w:p>
        </w:tc>
      </w:tr>
      <w:tr>
        <w:trPr>
          <w:trHeight w:val="533"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6" w:lineRule="exact"/>
              <w:ind w:left="696"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权益法下在被投资单位以后将重分类进损益的其他综合</w:t>
            </w:r>
          </w:p>
          <w:p>
            <w:pPr>
              <w:pStyle w:val="TableParagraph"/>
              <w:spacing w:line="253" w:lineRule="exact"/>
              <w:ind w:left="93" w:right="0"/>
              <w:jc w:val="left"/>
              <w:rPr>
                <w:rFonts w:ascii="宋体" w:hAnsi="宋体" w:cs="宋体" w:eastAsia="宋体" w:hint="default"/>
                <w:sz w:val="20"/>
                <w:szCs w:val="20"/>
              </w:rPr>
            </w:pPr>
            <w:r>
              <w:rPr>
                <w:rFonts w:ascii="宋体" w:hAnsi="宋体" w:cs="宋体" w:eastAsia="宋体" w:hint="default"/>
                <w:sz w:val="20"/>
                <w:szCs w:val="20"/>
              </w:rPr>
              <w:t>收益中享有的份额</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7"/>
              <w:ind w:right="100"/>
              <w:jc w:val="right"/>
              <w:rPr>
                <w:rFonts w:ascii="Times New Roman" w:hAnsi="Times New Roman" w:cs="Times New Roman" w:eastAsia="Times New Roman" w:hint="default"/>
                <w:sz w:val="20"/>
                <w:szCs w:val="20"/>
              </w:rPr>
            </w:pPr>
            <w:r>
              <w:rPr>
                <w:rFonts w:ascii="Times New Roman"/>
                <w:w w:val="95"/>
                <w:sz w:val="20"/>
              </w:rPr>
              <w:t>-293,121,344.38</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7"/>
              <w:ind w:right="94"/>
              <w:jc w:val="right"/>
              <w:rPr>
                <w:rFonts w:ascii="Times New Roman" w:hAnsi="Times New Roman" w:cs="Times New Roman" w:eastAsia="Times New Roman" w:hint="default"/>
                <w:sz w:val="20"/>
                <w:szCs w:val="20"/>
              </w:rPr>
            </w:pPr>
            <w:r>
              <w:rPr>
                <w:rFonts w:ascii="Times New Roman"/>
                <w:w w:val="95"/>
                <w:sz w:val="20"/>
              </w:rPr>
              <w:t>212,578,694.45</w:t>
            </w:r>
            <w:r>
              <w:rPr>
                <w:rFonts w:ascii="Times New Roman"/>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45" w:lineRule="exact"/>
              <w:ind w:left="696"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可供出售金融资产公允价值变动损益</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2"/>
              <w:jc w:val="right"/>
              <w:rPr>
                <w:rFonts w:ascii="Times New Roman" w:hAnsi="Times New Roman" w:cs="Times New Roman" w:eastAsia="Times New Roman" w:hint="default"/>
                <w:sz w:val="20"/>
                <w:szCs w:val="20"/>
              </w:rPr>
            </w:pPr>
            <w:r>
              <w:rPr>
                <w:rFonts w:ascii="Times New Roman"/>
                <w:w w:val="95"/>
                <w:sz w:val="20"/>
              </w:rPr>
              <w:t>-8,034,787.24</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2"/>
              <w:jc w:val="right"/>
              <w:rPr>
                <w:rFonts w:ascii="Times New Roman" w:hAnsi="Times New Roman" w:cs="Times New Roman" w:eastAsia="Times New Roman" w:hint="default"/>
                <w:sz w:val="20"/>
                <w:szCs w:val="20"/>
              </w:rPr>
            </w:pPr>
            <w:r>
              <w:rPr>
                <w:rFonts w:ascii="Times New Roman"/>
                <w:w w:val="95"/>
                <w:sz w:val="20"/>
              </w:rPr>
              <w:t>-298,193.64</w:t>
            </w:r>
            <w:r>
              <w:rPr>
                <w:rFonts w:ascii="Times New Roman"/>
                <w:sz w:val="20"/>
              </w:rPr>
            </w:r>
          </w:p>
        </w:tc>
      </w:tr>
      <w:tr>
        <w:trPr>
          <w:trHeight w:val="277"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48" w:lineRule="exact"/>
              <w:ind w:left="696"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持有至到期投资重分类为可供出售金融资产损益</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1"/>
              <w:jc w:val="right"/>
              <w:rPr>
                <w:rFonts w:ascii="Times New Roman" w:hAnsi="Times New Roman" w:cs="Times New Roman" w:eastAsia="Times New Roman" w:hint="default"/>
                <w:sz w:val="20"/>
                <w:szCs w:val="20"/>
              </w:rPr>
            </w:pPr>
            <w:r>
              <w:rPr>
                <w:rFonts w:ascii="Times New Roman"/>
                <w:sz w:val="20"/>
              </w:rPr>
              <w:t>0.00</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0"/>
                <w:szCs w:val="20"/>
              </w:rPr>
            </w:pPr>
            <w:r>
              <w:rPr>
                <w:rFonts w:ascii="Times New Roman"/>
                <w:sz w:val="20"/>
              </w:rPr>
              <w:t>0.00</w:t>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45" w:lineRule="exact"/>
              <w:ind w:left="696"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4.</w:t>
            </w:r>
            <w:r>
              <w:rPr>
                <w:rFonts w:ascii="宋体" w:hAnsi="宋体" w:cs="宋体" w:eastAsia="宋体" w:hint="default"/>
                <w:sz w:val="20"/>
                <w:szCs w:val="20"/>
              </w:rPr>
              <w:t>现金流量套期损益的有效部分</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1"/>
              <w:jc w:val="right"/>
              <w:rPr>
                <w:rFonts w:ascii="Times New Roman" w:hAnsi="Times New Roman" w:cs="Times New Roman" w:eastAsia="Times New Roman" w:hint="default"/>
                <w:sz w:val="20"/>
                <w:szCs w:val="20"/>
              </w:rPr>
            </w:pPr>
            <w:r>
              <w:rPr>
                <w:rFonts w:ascii="Times New Roman"/>
                <w:sz w:val="20"/>
              </w:rPr>
              <w:t>0.00</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3"/>
              <w:jc w:val="right"/>
              <w:rPr>
                <w:rFonts w:ascii="Times New Roman" w:hAnsi="Times New Roman" w:cs="Times New Roman" w:eastAsia="Times New Roman" w:hint="default"/>
                <w:sz w:val="20"/>
                <w:szCs w:val="20"/>
              </w:rPr>
            </w:pPr>
            <w:r>
              <w:rPr>
                <w:rFonts w:ascii="Times New Roman"/>
                <w:sz w:val="20"/>
              </w:rPr>
              <w:t>0.00</w:t>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45" w:lineRule="exact"/>
              <w:ind w:left="696"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5.</w:t>
            </w:r>
            <w:r>
              <w:rPr>
                <w:rFonts w:ascii="宋体" w:hAnsi="宋体" w:cs="宋体" w:eastAsia="宋体" w:hint="default"/>
                <w:sz w:val="20"/>
                <w:szCs w:val="20"/>
              </w:rPr>
              <w:t>外币财务报表折算差额</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2"/>
              <w:jc w:val="right"/>
              <w:rPr>
                <w:rFonts w:ascii="Times New Roman" w:hAnsi="Times New Roman" w:cs="Times New Roman" w:eastAsia="Times New Roman" w:hint="default"/>
                <w:sz w:val="20"/>
                <w:szCs w:val="20"/>
              </w:rPr>
            </w:pPr>
            <w:r>
              <w:rPr>
                <w:rFonts w:ascii="Times New Roman"/>
                <w:w w:val="95"/>
                <w:sz w:val="20"/>
              </w:rPr>
              <w:t>-19,973,916.64</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-14,562,696.11</w:t>
            </w:r>
            <w:r>
              <w:rPr>
                <w:rFonts w:ascii="Times New Roman"/>
                <w:sz w:val="20"/>
              </w:rPr>
            </w:r>
          </w:p>
        </w:tc>
      </w:tr>
      <w:tr>
        <w:trPr>
          <w:trHeight w:val="276"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47" w:lineRule="exact"/>
              <w:ind w:left="696"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6.</w:t>
            </w:r>
            <w:r>
              <w:rPr>
                <w:rFonts w:ascii="宋体" w:hAnsi="宋体" w:cs="宋体" w:eastAsia="宋体" w:hint="default"/>
                <w:sz w:val="20"/>
                <w:szCs w:val="20"/>
              </w:rPr>
              <w:t>其他</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1"/>
              <w:jc w:val="right"/>
              <w:rPr>
                <w:rFonts w:ascii="Times New Roman" w:hAnsi="Times New Roman" w:cs="Times New Roman" w:eastAsia="Times New Roman" w:hint="default"/>
                <w:sz w:val="20"/>
                <w:szCs w:val="20"/>
              </w:rPr>
            </w:pPr>
            <w:r>
              <w:rPr>
                <w:rFonts w:ascii="Times New Roman"/>
                <w:sz w:val="20"/>
              </w:rPr>
              <w:t>0.00</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0"/>
                <w:szCs w:val="20"/>
              </w:rPr>
            </w:pPr>
            <w:r>
              <w:rPr>
                <w:rFonts w:ascii="Times New Roman"/>
                <w:sz w:val="20"/>
              </w:rPr>
              <w:t>0.00</w:t>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归属于少数股东的其他综合收益的税后净额</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2"/>
              <w:jc w:val="right"/>
              <w:rPr>
                <w:rFonts w:ascii="Times New Roman" w:hAnsi="Times New Roman" w:cs="Times New Roman" w:eastAsia="Times New Roman" w:hint="default"/>
                <w:sz w:val="20"/>
                <w:szCs w:val="20"/>
              </w:rPr>
            </w:pPr>
            <w:r>
              <w:rPr>
                <w:rFonts w:ascii="Times New Roman"/>
                <w:w w:val="95"/>
                <w:sz w:val="20"/>
              </w:rPr>
              <w:t>30,024,945.42</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-21,213,214.60</w:t>
            </w:r>
            <w:r>
              <w:rPr>
                <w:rFonts w:ascii="Times New Roman"/>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七、综合收益总额</w:t>
            </w:r>
            <w:r>
              <w:rPr>
                <w:rFonts w:ascii="宋体" w:hAnsi="宋体" w:cs="宋体" w:eastAsia="宋体" w:hint="default"/>
                <w:sz w:val="20"/>
                <w:szCs w:val="20"/>
              </w:rPr>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b/>
                <w:spacing w:val="-1"/>
                <w:sz w:val="20"/>
              </w:rPr>
              <w:t>1,871,702,156.04</w:t>
            </w:r>
            <w:r>
              <w:rPr>
                <w:rFonts w:ascii="Times New Roman"/>
                <w:spacing w:val="-1"/>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5"/>
              <w:jc w:val="right"/>
              <w:rPr>
                <w:rFonts w:ascii="Times New Roman" w:hAnsi="Times New Roman" w:cs="Times New Roman" w:eastAsia="Times New Roman" w:hint="default"/>
                <w:sz w:val="20"/>
                <w:szCs w:val="20"/>
              </w:rPr>
            </w:pPr>
            <w:r>
              <w:rPr>
                <w:rFonts w:ascii="Times New Roman"/>
                <w:b/>
                <w:spacing w:val="-1"/>
                <w:sz w:val="20"/>
              </w:rPr>
              <w:t>1,389,915,282.23</w:t>
            </w:r>
            <w:r>
              <w:rPr>
                <w:rFonts w:ascii="Times New Roman"/>
                <w:spacing w:val="-1"/>
                <w:sz w:val="20"/>
              </w:rPr>
            </w:r>
          </w:p>
        </w:tc>
      </w:tr>
      <w:tr>
        <w:trPr>
          <w:trHeight w:val="276"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归属于母公司所有者的综合收益总额</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2"/>
              <w:jc w:val="right"/>
              <w:rPr>
                <w:rFonts w:ascii="Times New Roman" w:hAnsi="Times New Roman" w:cs="Times New Roman" w:eastAsia="Times New Roman" w:hint="default"/>
                <w:sz w:val="20"/>
                <w:szCs w:val="20"/>
              </w:rPr>
            </w:pPr>
            <w:r>
              <w:rPr>
                <w:rFonts w:ascii="Times New Roman"/>
                <w:w w:val="95"/>
                <w:sz w:val="20"/>
              </w:rPr>
              <w:t>940,463,321.76</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4"/>
              <w:jc w:val="right"/>
              <w:rPr>
                <w:rFonts w:ascii="Times New Roman" w:hAnsi="Times New Roman" w:cs="Times New Roman" w:eastAsia="Times New Roman" w:hint="default"/>
                <w:sz w:val="20"/>
                <w:szCs w:val="20"/>
              </w:rPr>
            </w:pPr>
            <w:r>
              <w:rPr>
                <w:rFonts w:ascii="Times New Roman"/>
                <w:w w:val="95"/>
                <w:sz w:val="20"/>
              </w:rPr>
              <w:t>953,359,706.27</w:t>
            </w:r>
            <w:r>
              <w:rPr>
                <w:rFonts w:ascii="Times New Roman"/>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归属于少数股东的综合收益总额</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2"/>
              <w:jc w:val="right"/>
              <w:rPr>
                <w:rFonts w:ascii="Times New Roman" w:hAnsi="Times New Roman" w:cs="Times New Roman" w:eastAsia="Times New Roman" w:hint="default"/>
                <w:sz w:val="20"/>
                <w:szCs w:val="20"/>
              </w:rPr>
            </w:pPr>
            <w:r>
              <w:rPr>
                <w:rFonts w:ascii="Times New Roman"/>
                <w:w w:val="95"/>
                <w:sz w:val="20"/>
              </w:rPr>
              <w:t>931,238,834.28</w:t>
            </w:r>
            <w:r>
              <w:rPr>
                <w:rFonts w:ascii="Times New Roman"/>
                <w:sz w:val="20"/>
              </w:rPr>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436,555,575.96</w:t>
            </w:r>
            <w:r>
              <w:rPr>
                <w:rFonts w:ascii="Times New Roman"/>
                <w:sz w:val="20"/>
              </w:rPr>
            </w:r>
          </w:p>
        </w:tc>
      </w:tr>
      <w:tr>
        <w:trPr>
          <w:trHeight w:val="274"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八、每股收益</w:t>
            </w:r>
            <w:r>
              <w:rPr>
                <w:rFonts w:ascii="宋体" w:hAnsi="宋体" w:cs="宋体" w:eastAsia="宋体" w:hint="default"/>
                <w:sz w:val="20"/>
                <w:szCs w:val="20"/>
              </w:rPr>
            </w:r>
          </w:p>
        </w:tc>
        <w:tc>
          <w:tcPr>
            <w:tcW w:w="1841" w:type="dxa"/>
            <w:tcBorders>
              <w:top w:val="single" w:sz="6" w:space="0" w:color="000000"/>
              <w:left w:val="single" w:sz="6" w:space="0" w:color="000000"/>
              <w:bottom w:val="single" w:sz="6" w:space="0" w:color="000000"/>
              <w:right w:val="single" w:sz="6" w:space="0" w:color="000000"/>
            </w:tcBorders>
          </w:tcPr>
          <w:p>
            <w:pPr/>
          </w:p>
        </w:tc>
        <w:tc>
          <w:tcPr>
            <w:tcW w:w="1718" w:type="dxa"/>
            <w:tcBorders>
              <w:top w:val="single" w:sz="6" w:space="0" w:color="000000"/>
              <w:left w:val="single" w:sz="6" w:space="0" w:color="000000"/>
              <w:bottom w:val="single" w:sz="6" w:space="0" w:color="000000"/>
              <w:right w:val="single" w:sz="12" w:space="0" w:color="000000"/>
            </w:tcBorders>
          </w:tcPr>
          <w:p>
            <w:pPr/>
          </w:p>
        </w:tc>
      </w:tr>
      <w:tr>
        <w:trPr>
          <w:trHeight w:val="276" w:hRule="exact"/>
        </w:trPr>
        <w:tc>
          <w:tcPr>
            <w:tcW w:w="5900"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295" w:right="0"/>
              <w:jc w:val="left"/>
              <w:rPr>
                <w:rFonts w:ascii="宋体" w:hAnsi="宋体" w:cs="宋体" w:eastAsia="宋体" w:hint="default"/>
                <w:sz w:val="20"/>
                <w:szCs w:val="20"/>
              </w:rPr>
            </w:pPr>
            <w:r>
              <w:rPr>
                <w:rFonts w:ascii="宋体" w:hAnsi="宋体" w:cs="宋体" w:eastAsia="宋体" w:hint="default"/>
                <w:sz w:val="20"/>
                <w:szCs w:val="20"/>
              </w:rPr>
              <w:t>（一）基本每股收益</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1"/>
              <w:jc w:val="right"/>
              <w:rPr>
                <w:rFonts w:ascii="Times New Roman" w:hAnsi="Times New Roman" w:cs="Times New Roman" w:eastAsia="Times New Roman" w:hint="default"/>
                <w:sz w:val="20"/>
                <w:szCs w:val="20"/>
              </w:rPr>
            </w:pPr>
            <w:r>
              <w:rPr>
                <w:rFonts w:ascii="Times New Roman"/>
                <w:sz w:val="20"/>
              </w:rPr>
              <w:t>0.44</w:t>
            </w:r>
          </w:p>
        </w:tc>
        <w:tc>
          <w:tcPr>
            <w:tcW w:w="17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3"/>
              <w:jc w:val="right"/>
              <w:rPr>
                <w:rFonts w:ascii="Times New Roman" w:hAnsi="Times New Roman" w:cs="Times New Roman" w:eastAsia="Times New Roman" w:hint="default"/>
                <w:sz w:val="20"/>
                <w:szCs w:val="20"/>
              </w:rPr>
            </w:pPr>
            <w:r>
              <w:rPr>
                <w:rFonts w:ascii="Times New Roman"/>
                <w:sz w:val="20"/>
              </w:rPr>
              <w:t>0.34</w:t>
            </w:r>
          </w:p>
        </w:tc>
      </w:tr>
      <w:tr>
        <w:trPr>
          <w:trHeight w:val="278" w:hRule="exact"/>
        </w:trPr>
        <w:tc>
          <w:tcPr>
            <w:tcW w:w="5900" w:type="dxa"/>
            <w:tcBorders>
              <w:top w:val="single" w:sz="6" w:space="0" w:color="000000"/>
              <w:left w:val="single" w:sz="12" w:space="0" w:color="000000"/>
              <w:bottom w:val="single" w:sz="12" w:space="0" w:color="000000"/>
              <w:right w:val="single" w:sz="6" w:space="0" w:color="000000"/>
            </w:tcBorders>
          </w:tcPr>
          <w:p>
            <w:pPr>
              <w:pStyle w:val="TableParagraph"/>
              <w:spacing w:line="230" w:lineRule="exact"/>
              <w:ind w:left="295" w:right="0"/>
              <w:jc w:val="left"/>
              <w:rPr>
                <w:rFonts w:ascii="宋体" w:hAnsi="宋体" w:cs="宋体" w:eastAsia="宋体" w:hint="default"/>
                <w:sz w:val="20"/>
                <w:szCs w:val="20"/>
              </w:rPr>
            </w:pPr>
            <w:r>
              <w:rPr>
                <w:rFonts w:ascii="宋体" w:hAnsi="宋体" w:cs="宋体" w:eastAsia="宋体" w:hint="default"/>
                <w:sz w:val="20"/>
                <w:szCs w:val="20"/>
              </w:rPr>
              <w:t>（二）稀释每股收益</w:t>
            </w:r>
          </w:p>
        </w:tc>
        <w:tc>
          <w:tcPr>
            <w:tcW w:w="184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
              <w:ind w:right="101"/>
              <w:jc w:val="right"/>
              <w:rPr>
                <w:rFonts w:ascii="Times New Roman" w:hAnsi="Times New Roman" w:cs="Times New Roman" w:eastAsia="Times New Roman" w:hint="default"/>
                <w:sz w:val="20"/>
                <w:szCs w:val="20"/>
              </w:rPr>
            </w:pPr>
            <w:r>
              <w:rPr>
                <w:rFonts w:ascii="Times New Roman"/>
                <w:sz w:val="20"/>
              </w:rPr>
              <w:t>0.44</w:t>
            </w:r>
          </w:p>
        </w:tc>
        <w:tc>
          <w:tcPr>
            <w:tcW w:w="171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7"/>
              <w:ind w:right="93"/>
              <w:jc w:val="right"/>
              <w:rPr>
                <w:rFonts w:ascii="Times New Roman" w:hAnsi="Times New Roman" w:cs="Times New Roman" w:eastAsia="Times New Roman" w:hint="default"/>
                <w:sz w:val="20"/>
                <w:szCs w:val="20"/>
              </w:rPr>
            </w:pPr>
            <w:r>
              <w:rPr>
                <w:rFonts w:ascii="Times New Roman"/>
                <w:sz w:val="20"/>
              </w:rPr>
              <w:t>0.34</w:t>
            </w:r>
          </w:p>
        </w:tc>
      </w:tr>
    </w:tbl>
    <w:p>
      <w:pPr>
        <w:spacing w:line="240" w:lineRule="auto" w:before="8"/>
        <w:rPr>
          <w:rFonts w:ascii="宋体" w:hAnsi="宋体" w:cs="宋体" w:eastAsia="宋体" w:hint="default"/>
          <w:b/>
          <w:bCs/>
          <w:sz w:val="14"/>
          <w:szCs w:val="14"/>
        </w:rPr>
      </w:pPr>
    </w:p>
    <w:p>
      <w:pPr>
        <w:tabs>
          <w:tab w:pos="3830" w:val="left" w:leader="none"/>
          <w:tab w:pos="7085" w:val="left" w:leader="none"/>
        </w:tabs>
        <w:spacing w:before="36"/>
        <w:ind w:left="258" w:right="0" w:firstLine="0"/>
        <w:jc w:val="left"/>
        <w:rPr>
          <w:rFonts w:ascii="宋体" w:hAnsi="宋体" w:cs="宋体" w:eastAsia="宋体" w:hint="default"/>
          <w:sz w:val="21"/>
          <w:szCs w:val="21"/>
        </w:rPr>
      </w:pPr>
      <w:r>
        <w:rPr>
          <w:rFonts w:ascii="宋体" w:hAnsi="宋体" w:cs="宋体" w:eastAsia="宋体" w:hint="default"/>
          <w:spacing w:val="-1"/>
          <w:sz w:val="21"/>
          <w:szCs w:val="21"/>
        </w:rPr>
        <w:t>法定代表人：周立业</w:t>
        <w:tab/>
      </w:r>
      <w:r>
        <w:rPr>
          <w:rFonts w:ascii="宋体" w:hAnsi="宋体" w:cs="宋体" w:eastAsia="宋体" w:hint="default"/>
          <w:spacing w:val="-2"/>
          <w:sz w:val="21"/>
          <w:szCs w:val="21"/>
        </w:rPr>
        <w:t>财务负责人：刘卫东</w:t>
        <w:tab/>
        <w:t>会计机构负责人：王映浒</w:t>
      </w:r>
    </w:p>
    <w:p>
      <w:pPr>
        <w:spacing w:after="0"/>
        <w:jc w:val="left"/>
        <w:rPr>
          <w:rFonts w:ascii="宋体" w:hAnsi="宋体" w:cs="宋体" w:eastAsia="宋体" w:hint="default"/>
          <w:sz w:val="21"/>
          <w:szCs w:val="21"/>
        </w:rPr>
        <w:sectPr>
          <w:pgSz w:w="11910" w:h="16840"/>
          <w:pgMar w:header="628" w:footer="760" w:top="1960" w:bottom="960" w:left="1160" w:right="1020"/>
        </w:sectPr>
      </w:pPr>
    </w:p>
    <w:p>
      <w:pPr>
        <w:pStyle w:val="Heading3"/>
        <w:spacing w:line="310" w:lineRule="exact"/>
        <w:ind w:left="0" w:right="3"/>
        <w:jc w:val="center"/>
        <w:rPr>
          <w:b w:val="0"/>
          <w:bCs w:val="0"/>
        </w:rPr>
      </w:pPr>
      <w:r>
        <w:rPr/>
        <w:t>母公司利润表</w:t>
      </w:r>
      <w:r>
        <w:rPr>
          <w:b w:val="0"/>
          <w:bCs w:val="0"/>
        </w:rPr>
      </w:r>
    </w:p>
    <w:p>
      <w:pPr>
        <w:spacing w:line="240" w:lineRule="auto" w:before="7"/>
        <w:rPr>
          <w:rFonts w:ascii="宋体" w:hAnsi="宋体" w:cs="宋体" w:eastAsia="宋体" w:hint="default"/>
          <w:b/>
          <w:bCs/>
          <w:sz w:val="21"/>
          <w:szCs w:val="21"/>
        </w:rPr>
      </w:pPr>
    </w:p>
    <w:p>
      <w:pPr>
        <w:tabs>
          <w:tab w:pos="7818" w:val="left" w:leader="none"/>
        </w:tabs>
        <w:spacing w:before="0"/>
        <w:ind w:left="0" w:right="3" w:firstLine="0"/>
        <w:jc w:val="center"/>
        <w:rPr>
          <w:rFonts w:ascii="宋体" w:hAnsi="宋体" w:cs="宋体" w:eastAsia="宋体" w:hint="default"/>
          <w:sz w:val="20"/>
          <w:szCs w:val="20"/>
        </w:rPr>
      </w:pPr>
      <w:r>
        <w:rPr>
          <w:rFonts w:ascii="宋体" w:hAnsi="宋体" w:cs="宋体" w:eastAsia="宋体" w:hint="default"/>
          <w:b/>
          <w:bCs/>
          <w:spacing w:val="-1"/>
          <w:w w:val="95"/>
          <w:sz w:val="20"/>
          <w:szCs w:val="20"/>
        </w:rPr>
        <w:t>编制单位：同方股份有限公司</w:t>
        <w:tab/>
      </w:r>
      <w:r>
        <w:rPr>
          <w:rFonts w:ascii="宋体" w:hAnsi="宋体" w:cs="宋体" w:eastAsia="宋体" w:hint="default"/>
          <w:b/>
          <w:bCs/>
          <w:spacing w:val="-2"/>
          <w:sz w:val="20"/>
          <w:szCs w:val="20"/>
        </w:rPr>
        <w:t>单位：人民币元</w:t>
      </w:r>
      <w:r>
        <w:rPr>
          <w:rFonts w:ascii="宋体" w:hAnsi="宋体" w:cs="宋体" w:eastAsia="宋体" w:hint="default"/>
          <w:spacing w:val="-2"/>
          <w:sz w:val="20"/>
          <w:szCs w:val="20"/>
        </w:rPr>
      </w:r>
    </w:p>
    <w:p>
      <w:pPr>
        <w:spacing w:line="240" w:lineRule="auto" w:before="3"/>
        <w:rPr>
          <w:rFonts w:ascii="宋体" w:hAnsi="宋体" w:cs="宋体" w:eastAsia="宋体" w:hint="default"/>
          <w:b/>
          <w:bCs/>
          <w:sz w:val="2"/>
          <w:szCs w:val="2"/>
        </w:rPr>
      </w:pPr>
    </w:p>
    <w:tbl>
      <w:tblPr>
        <w:tblW w:w="0" w:type="auto"/>
        <w:jc w:val="left"/>
        <w:tblInd w:w="116" w:type="dxa"/>
        <w:tblLayout w:type="fixed"/>
        <w:tblCellMar>
          <w:top w:w="0" w:type="dxa"/>
          <w:left w:w="0" w:type="dxa"/>
          <w:bottom w:w="0" w:type="dxa"/>
          <w:right w:w="0" w:type="dxa"/>
        </w:tblCellMar>
        <w:tblLook w:val="01E0"/>
      </w:tblPr>
      <w:tblGrid>
        <w:gridCol w:w="5168"/>
        <w:gridCol w:w="2143"/>
        <w:gridCol w:w="2108"/>
      </w:tblGrid>
      <w:tr>
        <w:trPr>
          <w:trHeight w:val="343" w:hRule="exact"/>
        </w:trPr>
        <w:tc>
          <w:tcPr>
            <w:tcW w:w="5168" w:type="dxa"/>
            <w:tcBorders>
              <w:top w:val="single" w:sz="12" w:space="0" w:color="000000"/>
              <w:left w:val="single" w:sz="12" w:space="0" w:color="000000"/>
              <w:bottom w:val="single" w:sz="6" w:space="0" w:color="000000"/>
              <w:right w:val="single" w:sz="6" w:space="0" w:color="000000"/>
            </w:tcBorders>
          </w:tcPr>
          <w:p>
            <w:pPr>
              <w:pStyle w:val="TableParagraph"/>
              <w:spacing w:line="261" w:lineRule="exact"/>
              <w:ind w:right="3"/>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143"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710"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108"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696"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一、营业收入</w:t>
            </w:r>
            <w:r>
              <w:rPr>
                <w:rFonts w:ascii="宋体" w:hAnsi="宋体" w:cs="宋体" w:eastAsia="宋体" w:hint="default"/>
                <w:sz w:val="20"/>
                <w:szCs w:val="20"/>
              </w:rPr>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4"/>
              <w:jc w:val="right"/>
              <w:rPr>
                <w:rFonts w:ascii="Times New Roman" w:hAnsi="Times New Roman" w:cs="Times New Roman" w:eastAsia="Times New Roman" w:hint="default"/>
                <w:sz w:val="20"/>
                <w:szCs w:val="20"/>
              </w:rPr>
            </w:pPr>
            <w:r>
              <w:rPr>
                <w:rFonts w:ascii="Times New Roman"/>
                <w:spacing w:val="-1"/>
                <w:sz w:val="20"/>
              </w:rPr>
              <w:t>6,588,458,871.13</w:t>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5"/>
              <w:jc w:val="right"/>
              <w:rPr>
                <w:rFonts w:ascii="Times New Roman" w:hAnsi="Times New Roman" w:cs="Times New Roman" w:eastAsia="Times New Roman" w:hint="default"/>
                <w:sz w:val="20"/>
                <w:szCs w:val="20"/>
              </w:rPr>
            </w:pPr>
            <w:r>
              <w:rPr>
                <w:rFonts w:ascii="Times New Roman"/>
                <w:spacing w:val="-1"/>
                <w:sz w:val="20"/>
              </w:rPr>
              <w:t>8,170,863,983.94</w:t>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93" w:right="0"/>
              <w:jc w:val="left"/>
              <w:rPr>
                <w:rFonts w:ascii="宋体" w:hAnsi="宋体" w:cs="宋体" w:eastAsia="宋体" w:hint="default"/>
                <w:sz w:val="20"/>
                <w:szCs w:val="20"/>
              </w:rPr>
            </w:pPr>
            <w:r>
              <w:rPr>
                <w:rFonts w:ascii="宋体" w:hAnsi="宋体" w:cs="宋体" w:eastAsia="宋体" w:hint="default"/>
                <w:sz w:val="20"/>
                <w:szCs w:val="20"/>
              </w:rPr>
              <w:t>减：营业成本</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4"/>
              <w:jc w:val="right"/>
              <w:rPr>
                <w:rFonts w:ascii="Times New Roman" w:hAnsi="Times New Roman" w:cs="Times New Roman" w:eastAsia="Times New Roman" w:hint="default"/>
                <w:sz w:val="20"/>
                <w:szCs w:val="20"/>
              </w:rPr>
            </w:pPr>
            <w:r>
              <w:rPr>
                <w:rFonts w:ascii="Times New Roman"/>
                <w:spacing w:val="-1"/>
                <w:sz w:val="20"/>
              </w:rPr>
              <w:t>6,089,006,778.47</w:t>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5"/>
              <w:jc w:val="right"/>
              <w:rPr>
                <w:rFonts w:ascii="Times New Roman" w:hAnsi="Times New Roman" w:cs="Times New Roman" w:eastAsia="Times New Roman" w:hint="default"/>
                <w:sz w:val="20"/>
                <w:szCs w:val="20"/>
              </w:rPr>
            </w:pPr>
            <w:r>
              <w:rPr>
                <w:rFonts w:ascii="Times New Roman"/>
                <w:spacing w:val="-1"/>
                <w:sz w:val="20"/>
              </w:rPr>
              <w:t>7,638,837,350.57</w:t>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95" w:right="0"/>
              <w:jc w:val="left"/>
              <w:rPr>
                <w:rFonts w:ascii="宋体" w:hAnsi="宋体" w:cs="宋体" w:eastAsia="宋体" w:hint="default"/>
                <w:sz w:val="20"/>
                <w:szCs w:val="20"/>
              </w:rPr>
            </w:pPr>
            <w:r>
              <w:rPr>
                <w:rFonts w:ascii="宋体" w:hAnsi="宋体" w:cs="宋体" w:eastAsia="宋体" w:hint="default"/>
                <w:sz w:val="20"/>
                <w:szCs w:val="20"/>
              </w:rPr>
              <w:t>营业税金及附加</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4"/>
              <w:jc w:val="right"/>
              <w:rPr>
                <w:rFonts w:ascii="Times New Roman" w:hAnsi="Times New Roman" w:cs="Times New Roman" w:eastAsia="Times New Roman" w:hint="default"/>
                <w:sz w:val="20"/>
                <w:szCs w:val="20"/>
              </w:rPr>
            </w:pPr>
            <w:r>
              <w:rPr>
                <w:rFonts w:ascii="Times New Roman"/>
                <w:w w:val="95"/>
                <w:sz w:val="20"/>
              </w:rPr>
              <w:t>37,051,116.90</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39,181,691.75</w:t>
            </w:r>
            <w:r>
              <w:rPr>
                <w:rFonts w:ascii="Times New Roman"/>
                <w:sz w:val="20"/>
              </w:rPr>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95" w:right="0"/>
              <w:jc w:val="left"/>
              <w:rPr>
                <w:rFonts w:ascii="宋体" w:hAnsi="宋体" w:cs="宋体" w:eastAsia="宋体" w:hint="default"/>
                <w:sz w:val="20"/>
                <w:szCs w:val="20"/>
              </w:rPr>
            </w:pPr>
            <w:r>
              <w:rPr>
                <w:rFonts w:ascii="宋体" w:hAnsi="宋体" w:cs="宋体" w:eastAsia="宋体" w:hint="default"/>
                <w:sz w:val="20"/>
                <w:szCs w:val="20"/>
              </w:rPr>
              <w:t>销售费用</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4"/>
              <w:jc w:val="right"/>
              <w:rPr>
                <w:rFonts w:ascii="Times New Roman" w:hAnsi="Times New Roman" w:cs="Times New Roman" w:eastAsia="Times New Roman" w:hint="default"/>
                <w:sz w:val="20"/>
                <w:szCs w:val="20"/>
              </w:rPr>
            </w:pPr>
            <w:r>
              <w:rPr>
                <w:rFonts w:ascii="Times New Roman"/>
                <w:w w:val="95"/>
                <w:sz w:val="20"/>
              </w:rPr>
              <w:t>214,311,106.45</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178,441,360.56</w:t>
            </w:r>
            <w:r>
              <w:rPr>
                <w:rFonts w:ascii="Times New Roman"/>
                <w:sz w:val="20"/>
              </w:rPr>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95"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4"/>
              <w:jc w:val="right"/>
              <w:rPr>
                <w:rFonts w:ascii="Times New Roman" w:hAnsi="Times New Roman" w:cs="Times New Roman" w:eastAsia="Times New Roman" w:hint="default"/>
                <w:sz w:val="20"/>
                <w:szCs w:val="20"/>
              </w:rPr>
            </w:pPr>
            <w:r>
              <w:rPr>
                <w:rFonts w:ascii="Times New Roman"/>
                <w:w w:val="95"/>
                <w:sz w:val="20"/>
              </w:rPr>
              <w:t>533,370,439.63</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242,479,170.46</w:t>
            </w:r>
            <w:r>
              <w:rPr>
                <w:rFonts w:ascii="Times New Roman"/>
                <w:sz w:val="20"/>
              </w:rPr>
            </w:r>
          </w:p>
        </w:tc>
      </w:tr>
      <w:tr>
        <w:trPr>
          <w:trHeight w:val="336"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95"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4"/>
              <w:jc w:val="right"/>
              <w:rPr>
                <w:rFonts w:ascii="Times New Roman" w:hAnsi="Times New Roman" w:cs="Times New Roman" w:eastAsia="Times New Roman" w:hint="default"/>
                <w:sz w:val="20"/>
                <w:szCs w:val="20"/>
              </w:rPr>
            </w:pPr>
            <w:r>
              <w:rPr>
                <w:rFonts w:ascii="Times New Roman"/>
                <w:w w:val="95"/>
                <w:sz w:val="20"/>
              </w:rPr>
              <w:t>447,467,690.28</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406,344,909.66</w:t>
            </w:r>
            <w:r>
              <w:rPr>
                <w:rFonts w:ascii="Times New Roman"/>
                <w:sz w:val="20"/>
              </w:rPr>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995" w:right="0"/>
              <w:jc w:val="left"/>
              <w:rPr>
                <w:rFonts w:ascii="宋体" w:hAnsi="宋体" w:cs="宋体" w:eastAsia="宋体" w:hint="default"/>
                <w:sz w:val="20"/>
                <w:szCs w:val="20"/>
              </w:rPr>
            </w:pPr>
            <w:r>
              <w:rPr>
                <w:rFonts w:ascii="宋体" w:hAnsi="宋体" w:cs="宋体" w:eastAsia="宋体" w:hint="default"/>
                <w:sz w:val="20"/>
                <w:szCs w:val="20"/>
              </w:rPr>
              <w:t>资产减值损失</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4"/>
              <w:jc w:val="right"/>
              <w:rPr>
                <w:rFonts w:ascii="Times New Roman" w:hAnsi="Times New Roman" w:cs="Times New Roman" w:eastAsia="Times New Roman" w:hint="default"/>
                <w:sz w:val="20"/>
                <w:szCs w:val="20"/>
              </w:rPr>
            </w:pPr>
            <w:r>
              <w:rPr>
                <w:rFonts w:ascii="Times New Roman"/>
                <w:w w:val="95"/>
                <w:sz w:val="20"/>
              </w:rPr>
              <w:t>111,782,778.16</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4"/>
              <w:jc w:val="right"/>
              <w:rPr>
                <w:rFonts w:ascii="Times New Roman" w:hAnsi="Times New Roman" w:cs="Times New Roman" w:eastAsia="Times New Roman" w:hint="default"/>
                <w:sz w:val="20"/>
                <w:szCs w:val="20"/>
              </w:rPr>
            </w:pPr>
            <w:r>
              <w:rPr>
                <w:rFonts w:ascii="Times New Roman"/>
                <w:w w:val="95"/>
                <w:sz w:val="20"/>
              </w:rPr>
              <w:t>62,193,601.94</w:t>
            </w:r>
            <w:r>
              <w:rPr>
                <w:rFonts w:ascii="Times New Roman"/>
                <w:sz w:val="20"/>
              </w:rPr>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加：公允价值变动收益</w:t>
            </w:r>
            <w:r>
              <w:rPr>
                <w:rFonts w:ascii="Times New Roman" w:hAnsi="Times New Roman" w:cs="Times New Roman" w:eastAsia="Times New Roman" w:hint="default"/>
                <w:sz w:val="20"/>
                <w:szCs w:val="20"/>
              </w:rPr>
              <w:t>(</w:t>
            </w:r>
            <w:r>
              <w:rPr>
                <w:rFonts w:ascii="宋体" w:hAnsi="宋体" w:cs="宋体" w:eastAsia="宋体" w:hint="default"/>
                <w:sz w:val="20"/>
                <w:szCs w:val="20"/>
              </w:rPr>
              <w:t>损失以</w:t>
            </w:r>
            <w:r>
              <w:rPr>
                <w:rFonts w:ascii="Times New Roman" w:hAnsi="Times New Roman" w:cs="Times New Roman" w:eastAsia="Times New Roman" w:hint="default"/>
                <w:sz w:val="20"/>
                <w:szCs w:val="20"/>
              </w:rPr>
              <w:t>"-"</w:t>
            </w:r>
            <w:r>
              <w:rPr>
                <w:rFonts w:ascii="宋体" w:hAnsi="宋体" w:cs="宋体" w:eastAsia="宋体" w:hint="default"/>
                <w:sz w:val="20"/>
                <w:szCs w:val="20"/>
              </w:rPr>
              <w:t>填列</w:t>
            </w:r>
            <w:r>
              <w:rPr>
                <w:rFonts w:ascii="Times New Roman" w:hAnsi="Times New Roman" w:cs="Times New Roman" w:eastAsia="Times New Roman" w:hint="default"/>
                <w:sz w:val="20"/>
                <w:szCs w:val="20"/>
              </w:rPr>
              <w:t>)</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2"/>
              <w:jc w:val="right"/>
              <w:rPr>
                <w:rFonts w:ascii="Times New Roman" w:hAnsi="Times New Roman" w:cs="Times New Roman" w:eastAsia="Times New Roman" w:hint="default"/>
                <w:sz w:val="20"/>
                <w:szCs w:val="20"/>
              </w:rPr>
            </w:pPr>
            <w:r>
              <w:rPr>
                <w:rFonts w:ascii="Times New Roman"/>
                <w:w w:val="95"/>
                <w:sz w:val="20"/>
              </w:rPr>
              <w:t>-247,627,897.51</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35,340,851.90</w:t>
            </w:r>
            <w:r>
              <w:rPr>
                <w:rFonts w:ascii="Times New Roman"/>
                <w:sz w:val="20"/>
              </w:rPr>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95"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投资收益</w:t>
            </w:r>
            <w:r>
              <w:rPr>
                <w:rFonts w:ascii="Times New Roman" w:hAnsi="Times New Roman" w:cs="Times New Roman" w:eastAsia="Times New Roman" w:hint="default"/>
                <w:sz w:val="20"/>
                <w:szCs w:val="20"/>
              </w:rPr>
              <w:t>(</w:t>
            </w:r>
            <w:r>
              <w:rPr>
                <w:rFonts w:ascii="宋体" w:hAnsi="宋体" w:cs="宋体" w:eastAsia="宋体" w:hint="default"/>
                <w:sz w:val="20"/>
                <w:szCs w:val="20"/>
              </w:rPr>
              <w:t>损失以</w:t>
            </w:r>
            <w:r>
              <w:rPr>
                <w:rFonts w:ascii="Times New Roman" w:hAnsi="Times New Roman" w:cs="Times New Roman" w:eastAsia="Times New Roman" w:hint="default"/>
                <w:sz w:val="20"/>
                <w:szCs w:val="20"/>
              </w:rPr>
              <w:t>"-"</w:t>
            </w:r>
            <w:r>
              <w:rPr>
                <w:rFonts w:ascii="宋体" w:hAnsi="宋体" w:cs="宋体" w:eastAsia="宋体" w:hint="default"/>
                <w:sz w:val="20"/>
                <w:szCs w:val="20"/>
              </w:rPr>
              <w:t>填列</w:t>
            </w:r>
            <w:r>
              <w:rPr>
                <w:rFonts w:ascii="Times New Roman" w:hAnsi="Times New Roman" w:cs="Times New Roman" w:eastAsia="Times New Roman" w:hint="default"/>
                <w:sz w:val="20"/>
                <w:szCs w:val="20"/>
              </w:rPr>
              <w:t>)</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4"/>
              <w:jc w:val="right"/>
              <w:rPr>
                <w:rFonts w:ascii="Times New Roman" w:hAnsi="Times New Roman" w:cs="Times New Roman" w:eastAsia="Times New Roman" w:hint="default"/>
                <w:sz w:val="20"/>
                <w:szCs w:val="20"/>
              </w:rPr>
            </w:pPr>
            <w:r>
              <w:rPr>
                <w:rFonts w:ascii="Times New Roman"/>
                <w:w w:val="95"/>
                <w:sz w:val="20"/>
              </w:rPr>
              <w:t>948,253,690.71</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320,925,224.24</w:t>
            </w:r>
            <w:r>
              <w:rPr>
                <w:rFonts w:ascii="Times New Roman"/>
                <w:sz w:val="20"/>
              </w:rPr>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95" w:right="0"/>
              <w:jc w:val="left"/>
              <w:rPr>
                <w:rFonts w:ascii="宋体" w:hAnsi="宋体" w:cs="宋体" w:eastAsia="宋体" w:hint="default"/>
                <w:sz w:val="20"/>
                <w:szCs w:val="20"/>
              </w:rPr>
            </w:pPr>
            <w:r>
              <w:rPr>
                <w:rFonts w:ascii="宋体" w:hAnsi="宋体" w:cs="宋体" w:eastAsia="宋体" w:hint="default"/>
                <w:sz w:val="20"/>
                <w:szCs w:val="20"/>
              </w:rPr>
              <w:t>其中：对联营企业和合营企业的投资收益</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4"/>
              <w:jc w:val="right"/>
              <w:rPr>
                <w:rFonts w:ascii="Times New Roman" w:hAnsi="Times New Roman" w:cs="Times New Roman" w:eastAsia="Times New Roman" w:hint="default"/>
                <w:sz w:val="20"/>
                <w:szCs w:val="20"/>
              </w:rPr>
            </w:pPr>
            <w:r>
              <w:rPr>
                <w:rFonts w:ascii="Times New Roman"/>
                <w:w w:val="95"/>
                <w:sz w:val="20"/>
              </w:rPr>
              <w:t>110,639,878.88</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116,850,327.54</w:t>
            </w:r>
            <w:r>
              <w:rPr>
                <w:rFonts w:ascii="Times New Roman"/>
                <w:sz w:val="20"/>
              </w:rPr>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Times New Roman" w:hAnsi="Times New Roman" w:cs="Times New Roman" w:eastAsia="Times New Roman" w:hint="default"/>
                <w:sz w:val="20"/>
                <w:szCs w:val="20"/>
              </w:rPr>
            </w:pPr>
            <w:r>
              <w:rPr>
                <w:rFonts w:ascii="宋体" w:hAnsi="宋体" w:cs="宋体" w:eastAsia="宋体" w:hint="default"/>
                <w:b/>
                <w:bCs/>
                <w:sz w:val="20"/>
                <w:szCs w:val="20"/>
              </w:rPr>
              <w:t>二、营业利润</w:t>
            </w: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亏损以</w:t>
            </w: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填列</w:t>
            </w:r>
            <w:r>
              <w:rPr>
                <w:rFonts w:ascii="Times New Roman" w:hAnsi="Times New Roman" w:cs="Times New Roman" w:eastAsia="Times New Roman" w:hint="default"/>
                <w:b/>
                <w:bCs/>
                <w:sz w:val="20"/>
                <w:szCs w:val="20"/>
              </w:rPr>
              <w:t>)</w:t>
            </w:r>
            <w:r>
              <w:rPr>
                <w:rFonts w:ascii="Times New Roman" w:hAnsi="Times New Roman" w:cs="Times New Roman" w:eastAsia="Times New Roman" w:hint="default"/>
                <w:sz w:val="20"/>
                <w:szCs w:val="20"/>
              </w:rPr>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02"/>
              <w:jc w:val="right"/>
              <w:rPr>
                <w:rFonts w:ascii="Times New Roman" w:hAnsi="Times New Roman" w:cs="Times New Roman" w:eastAsia="Times New Roman" w:hint="default"/>
                <w:sz w:val="20"/>
                <w:szCs w:val="20"/>
              </w:rPr>
            </w:pPr>
            <w:r>
              <w:rPr>
                <w:rFonts w:ascii="Times New Roman"/>
                <w:b/>
                <w:w w:val="95"/>
                <w:sz w:val="20"/>
              </w:rPr>
              <w:t>-143,905,245.56</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3"/>
              <w:ind w:right="94"/>
              <w:jc w:val="right"/>
              <w:rPr>
                <w:rFonts w:ascii="Times New Roman" w:hAnsi="Times New Roman" w:cs="Times New Roman" w:eastAsia="Times New Roman" w:hint="default"/>
                <w:sz w:val="20"/>
                <w:szCs w:val="20"/>
              </w:rPr>
            </w:pPr>
            <w:r>
              <w:rPr>
                <w:rFonts w:ascii="Times New Roman"/>
                <w:b/>
                <w:w w:val="95"/>
                <w:sz w:val="20"/>
              </w:rPr>
              <w:t>-40,348,024.86</w:t>
            </w:r>
            <w:r>
              <w:rPr>
                <w:rFonts w:ascii="Times New Roman"/>
                <w:sz w:val="20"/>
              </w:rPr>
            </w:r>
          </w:p>
        </w:tc>
      </w:tr>
      <w:tr>
        <w:trPr>
          <w:trHeight w:val="336"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加：营业外收入</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4"/>
              <w:jc w:val="right"/>
              <w:rPr>
                <w:rFonts w:ascii="Times New Roman" w:hAnsi="Times New Roman" w:cs="Times New Roman" w:eastAsia="Times New Roman" w:hint="default"/>
                <w:sz w:val="20"/>
                <w:szCs w:val="20"/>
              </w:rPr>
            </w:pPr>
            <w:r>
              <w:rPr>
                <w:rFonts w:ascii="Times New Roman"/>
                <w:w w:val="95"/>
                <w:sz w:val="20"/>
              </w:rPr>
              <w:t>227,226,813.34</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22,115,264.93</w:t>
            </w:r>
            <w:r>
              <w:rPr>
                <w:rFonts w:ascii="Times New Roman"/>
                <w:sz w:val="20"/>
              </w:rPr>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895" w:right="0"/>
              <w:jc w:val="left"/>
              <w:rPr>
                <w:rFonts w:ascii="宋体" w:hAnsi="宋体" w:cs="宋体" w:eastAsia="宋体" w:hint="default"/>
                <w:sz w:val="20"/>
                <w:szCs w:val="20"/>
              </w:rPr>
            </w:pPr>
            <w:r>
              <w:rPr>
                <w:rFonts w:ascii="宋体" w:hAnsi="宋体" w:cs="宋体" w:eastAsia="宋体" w:hint="default"/>
                <w:sz w:val="20"/>
                <w:szCs w:val="20"/>
              </w:rPr>
              <w:t>其中：非流动资产处置利得</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3"/>
              <w:jc w:val="right"/>
              <w:rPr>
                <w:rFonts w:ascii="Times New Roman" w:hAnsi="Times New Roman" w:cs="Times New Roman" w:eastAsia="Times New Roman" w:hint="default"/>
                <w:sz w:val="20"/>
                <w:szCs w:val="20"/>
              </w:rPr>
            </w:pPr>
            <w:r>
              <w:rPr>
                <w:rFonts w:ascii="Times New Roman"/>
                <w:w w:val="95"/>
                <w:sz w:val="20"/>
              </w:rPr>
              <w:t>167,293.19</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3"/>
              <w:jc w:val="right"/>
              <w:rPr>
                <w:rFonts w:ascii="Times New Roman" w:hAnsi="Times New Roman" w:cs="Times New Roman" w:eastAsia="Times New Roman" w:hint="default"/>
                <w:sz w:val="20"/>
                <w:szCs w:val="20"/>
              </w:rPr>
            </w:pPr>
            <w:r>
              <w:rPr>
                <w:rFonts w:ascii="Times New Roman"/>
                <w:sz w:val="20"/>
              </w:rPr>
              <w:t>0.00</w:t>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496" w:right="0"/>
              <w:jc w:val="left"/>
              <w:rPr>
                <w:rFonts w:ascii="宋体" w:hAnsi="宋体" w:cs="宋体" w:eastAsia="宋体" w:hint="default"/>
                <w:sz w:val="20"/>
                <w:szCs w:val="20"/>
              </w:rPr>
            </w:pPr>
            <w:r>
              <w:rPr>
                <w:rFonts w:ascii="宋体" w:hAnsi="宋体" w:cs="宋体" w:eastAsia="宋体" w:hint="default"/>
                <w:sz w:val="20"/>
                <w:szCs w:val="20"/>
              </w:rPr>
              <w:t>减：营业外支出</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4"/>
              <w:jc w:val="right"/>
              <w:rPr>
                <w:rFonts w:ascii="Times New Roman" w:hAnsi="Times New Roman" w:cs="Times New Roman" w:eastAsia="Times New Roman" w:hint="default"/>
                <w:sz w:val="20"/>
                <w:szCs w:val="20"/>
              </w:rPr>
            </w:pPr>
            <w:r>
              <w:rPr>
                <w:rFonts w:ascii="Times New Roman"/>
                <w:w w:val="95"/>
                <w:sz w:val="20"/>
              </w:rPr>
              <w:t>17,064,058.24</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28,091,719.90</w:t>
            </w:r>
            <w:r>
              <w:rPr>
                <w:rFonts w:ascii="Times New Roman"/>
                <w:sz w:val="20"/>
              </w:rPr>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895" w:right="0"/>
              <w:jc w:val="left"/>
              <w:rPr>
                <w:rFonts w:ascii="宋体" w:hAnsi="宋体" w:cs="宋体" w:eastAsia="宋体" w:hint="default"/>
                <w:sz w:val="20"/>
                <w:szCs w:val="20"/>
              </w:rPr>
            </w:pPr>
            <w:r>
              <w:rPr>
                <w:rFonts w:ascii="宋体" w:hAnsi="宋体" w:cs="宋体" w:eastAsia="宋体" w:hint="default"/>
                <w:sz w:val="20"/>
                <w:szCs w:val="20"/>
              </w:rPr>
              <w:t>其中：非流动资产处置损失</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3"/>
              <w:jc w:val="right"/>
              <w:rPr>
                <w:rFonts w:ascii="Times New Roman" w:hAnsi="Times New Roman" w:cs="Times New Roman" w:eastAsia="Times New Roman" w:hint="default"/>
                <w:sz w:val="20"/>
                <w:szCs w:val="20"/>
              </w:rPr>
            </w:pPr>
            <w:r>
              <w:rPr>
                <w:rFonts w:ascii="Times New Roman"/>
                <w:w w:val="95"/>
                <w:sz w:val="20"/>
              </w:rPr>
              <w:t>12,801.84</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27,138,090.61</w:t>
            </w:r>
            <w:r>
              <w:rPr>
                <w:rFonts w:ascii="Times New Roman"/>
                <w:sz w:val="20"/>
              </w:rPr>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Times New Roman" w:hAnsi="Times New Roman" w:cs="Times New Roman" w:eastAsia="Times New Roman" w:hint="default"/>
                <w:sz w:val="20"/>
                <w:szCs w:val="20"/>
              </w:rPr>
            </w:pPr>
            <w:r>
              <w:rPr>
                <w:rFonts w:ascii="宋体" w:hAnsi="宋体" w:cs="宋体" w:eastAsia="宋体" w:hint="default"/>
                <w:b/>
                <w:bCs/>
                <w:sz w:val="20"/>
                <w:szCs w:val="20"/>
              </w:rPr>
              <w:t>三、利润总额</w:t>
            </w: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亏损总额以</w:t>
            </w: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填列</w:t>
            </w:r>
            <w:r>
              <w:rPr>
                <w:rFonts w:ascii="Times New Roman" w:hAnsi="Times New Roman" w:cs="Times New Roman" w:eastAsia="Times New Roman" w:hint="default"/>
                <w:b/>
                <w:bCs/>
                <w:sz w:val="20"/>
                <w:szCs w:val="20"/>
              </w:rPr>
              <w:t>)</w:t>
            </w:r>
            <w:r>
              <w:rPr>
                <w:rFonts w:ascii="Times New Roman" w:hAnsi="Times New Roman" w:cs="Times New Roman" w:eastAsia="Times New Roman" w:hint="default"/>
                <w:sz w:val="20"/>
                <w:szCs w:val="20"/>
              </w:rPr>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04"/>
              <w:jc w:val="right"/>
              <w:rPr>
                <w:rFonts w:ascii="Times New Roman" w:hAnsi="Times New Roman" w:cs="Times New Roman" w:eastAsia="Times New Roman" w:hint="default"/>
                <w:sz w:val="20"/>
                <w:szCs w:val="20"/>
              </w:rPr>
            </w:pPr>
            <w:r>
              <w:rPr>
                <w:rFonts w:ascii="Times New Roman"/>
                <w:b/>
                <w:w w:val="95"/>
                <w:sz w:val="20"/>
              </w:rPr>
              <w:t>66,257,509.54</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3"/>
              <w:ind w:right="94"/>
              <w:jc w:val="right"/>
              <w:rPr>
                <w:rFonts w:ascii="Times New Roman" w:hAnsi="Times New Roman" w:cs="Times New Roman" w:eastAsia="Times New Roman" w:hint="default"/>
                <w:sz w:val="20"/>
                <w:szCs w:val="20"/>
              </w:rPr>
            </w:pPr>
            <w:r>
              <w:rPr>
                <w:rFonts w:ascii="Times New Roman"/>
                <w:b/>
                <w:w w:val="95"/>
                <w:sz w:val="20"/>
              </w:rPr>
              <w:t>-46,324,479.83</w:t>
            </w:r>
            <w:r>
              <w:rPr>
                <w:rFonts w:ascii="Times New Roman"/>
                <w:sz w:val="20"/>
              </w:rPr>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6" w:right="0"/>
              <w:jc w:val="left"/>
              <w:rPr>
                <w:rFonts w:ascii="宋体" w:hAnsi="宋体" w:cs="宋体" w:eastAsia="宋体" w:hint="default"/>
                <w:sz w:val="20"/>
                <w:szCs w:val="20"/>
              </w:rPr>
            </w:pPr>
            <w:r>
              <w:rPr>
                <w:rFonts w:ascii="宋体" w:hAnsi="宋体" w:cs="宋体" w:eastAsia="宋体" w:hint="default"/>
                <w:sz w:val="20"/>
                <w:szCs w:val="20"/>
              </w:rPr>
              <w:t>减：所得税费用</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4"/>
              <w:jc w:val="right"/>
              <w:rPr>
                <w:rFonts w:ascii="Times New Roman" w:hAnsi="Times New Roman" w:cs="Times New Roman" w:eastAsia="Times New Roman" w:hint="default"/>
                <w:sz w:val="20"/>
                <w:szCs w:val="20"/>
              </w:rPr>
            </w:pPr>
            <w:r>
              <w:rPr>
                <w:rFonts w:ascii="Times New Roman"/>
                <w:w w:val="95"/>
                <w:sz w:val="20"/>
              </w:rPr>
              <w:t>-25,405,506.54</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4"/>
              <w:jc w:val="right"/>
              <w:rPr>
                <w:rFonts w:ascii="Times New Roman" w:hAnsi="Times New Roman" w:cs="Times New Roman" w:eastAsia="Times New Roman" w:hint="default"/>
                <w:sz w:val="20"/>
                <w:szCs w:val="20"/>
              </w:rPr>
            </w:pPr>
            <w:r>
              <w:rPr>
                <w:rFonts w:ascii="Times New Roman"/>
                <w:w w:val="95"/>
                <w:sz w:val="20"/>
              </w:rPr>
              <w:t>-54,139,195.39</w:t>
            </w:r>
            <w:r>
              <w:rPr>
                <w:rFonts w:ascii="Times New Roman"/>
                <w:sz w:val="20"/>
              </w:rPr>
            </w:r>
          </w:p>
        </w:tc>
      </w:tr>
      <w:tr>
        <w:trPr>
          <w:trHeight w:val="336"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93" w:right="0"/>
              <w:jc w:val="left"/>
              <w:rPr>
                <w:rFonts w:ascii="Times New Roman" w:hAnsi="Times New Roman" w:cs="Times New Roman" w:eastAsia="Times New Roman" w:hint="default"/>
                <w:sz w:val="20"/>
                <w:szCs w:val="20"/>
              </w:rPr>
            </w:pPr>
            <w:r>
              <w:rPr>
                <w:rFonts w:ascii="宋体" w:hAnsi="宋体" w:cs="宋体" w:eastAsia="宋体" w:hint="default"/>
                <w:b/>
                <w:bCs/>
                <w:sz w:val="20"/>
                <w:szCs w:val="20"/>
              </w:rPr>
              <w:t>四、净利润</w:t>
            </w: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净亏损以</w:t>
            </w:r>
            <w:r>
              <w:rPr>
                <w:rFonts w:ascii="Times New Roman" w:hAnsi="Times New Roman" w:cs="Times New Roman" w:eastAsia="Times New Roman" w:hint="default"/>
                <w:b/>
                <w:bCs/>
                <w:sz w:val="20"/>
                <w:szCs w:val="20"/>
              </w:rPr>
              <w:t>"-"</w:t>
            </w:r>
            <w:r>
              <w:rPr>
                <w:rFonts w:ascii="宋体" w:hAnsi="宋体" w:cs="宋体" w:eastAsia="宋体" w:hint="default"/>
                <w:b/>
                <w:bCs/>
                <w:sz w:val="20"/>
                <w:szCs w:val="20"/>
              </w:rPr>
              <w:t>填列</w:t>
            </w:r>
            <w:r>
              <w:rPr>
                <w:rFonts w:ascii="Times New Roman" w:hAnsi="Times New Roman" w:cs="Times New Roman" w:eastAsia="Times New Roman" w:hint="default"/>
                <w:b/>
                <w:bCs/>
                <w:sz w:val="20"/>
                <w:szCs w:val="20"/>
              </w:rPr>
              <w:t>)</w:t>
            </w:r>
            <w:r>
              <w:rPr>
                <w:rFonts w:ascii="Times New Roman" w:hAnsi="Times New Roman" w:cs="Times New Roman" w:eastAsia="Times New Roman" w:hint="default"/>
                <w:sz w:val="20"/>
                <w:szCs w:val="20"/>
              </w:rPr>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04"/>
              <w:jc w:val="right"/>
              <w:rPr>
                <w:rFonts w:ascii="Times New Roman" w:hAnsi="Times New Roman" w:cs="Times New Roman" w:eastAsia="Times New Roman" w:hint="default"/>
                <w:sz w:val="20"/>
                <w:szCs w:val="20"/>
              </w:rPr>
            </w:pPr>
            <w:r>
              <w:rPr>
                <w:rFonts w:ascii="Times New Roman"/>
                <w:b/>
                <w:w w:val="95"/>
                <w:sz w:val="20"/>
              </w:rPr>
              <w:t>91,663,016.08</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3"/>
              <w:ind w:right="92"/>
              <w:jc w:val="right"/>
              <w:rPr>
                <w:rFonts w:ascii="Times New Roman" w:hAnsi="Times New Roman" w:cs="Times New Roman" w:eastAsia="Times New Roman" w:hint="default"/>
                <w:sz w:val="20"/>
                <w:szCs w:val="20"/>
              </w:rPr>
            </w:pPr>
            <w:r>
              <w:rPr>
                <w:rFonts w:ascii="Times New Roman"/>
                <w:b/>
                <w:w w:val="95"/>
                <w:sz w:val="20"/>
              </w:rPr>
              <w:t>7,814,715.56</w:t>
            </w:r>
            <w:r>
              <w:rPr>
                <w:rFonts w:ascii="Times New Roman"/>
                <w:sz w:val="20"/>
              </w:rPr>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五、其他综合收益的税后净额</w:t>
            </w:r>
            <w:r>
              <w:rPr>
                <w:rFonts w:ascii="宋体" w:hAnsi="宋体" w:cs="宋体" w:eastAsia="宋体" w:hint="default"/>
                <w:sz w:val="20"/>
                <w:szCs w:val="20"/>
              </w:rPr>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104"/>
              <w:jc w:val="right"/>
              <w:rPr>
                <w:rFonts w:ascii="Times New Roman" w:hAnsi="Times New Roman" w:cs="Times New Roman" w:eastAsia="Times New Roman" w:hint="default"/>
                <w:sz w:val="20"/>
                <w:szCs w:val="20"/>
              </w:rPr>
            </w:pPr>
            <w:r>
              <w:rPr>
                <w:rFonts w:ascii="Times New Roman"/>
                <w:b/>
                <w:w w:val="95"/>
                <w:sz w:val="20"/>
              </w:rPr>
              <w:t>-13,358,468.43</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right="92"/>
              <w:jc w:val="right"/>
              <w:rPr>
                <w:rFonts w:ascii="Times New Roman" w:hAnsi="Times New Roman" w:cs="Times New Roman" w:eastAsia="Times New Roman" w:hint="default"/>
                <w:sz w:val="20"/>
                <w:szCs w:val="20"/>
              </w:rPr>
            </w:pPr>
            <w:r>
              <w:rPr>
                <w:rFonts w:ascii="Times New Roman"/>
                <w:b/>
                <w:w w:val="95"/>
                <w:sz w:val="20"/>
              </w:rPr>
              <w:t>9,310,663.04</w:t>
            </w:r>
            <w:r>
              <w:rPr>
                <w:rFonts w:ascii="Times New Roman"/>
                <w:sz w:val="20"/>
              </w:rPr>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59" w:lineRule="exact"/>
              <w:ind w:left="695" w:right="0"/>
              <w:jc w:val="left"/>
              <w:rPr>
                <w:rFonts w:ascii="宋体" w:hAnsi="宋体" w:cs="宋体" w:eastAsia="宋体" w:hint="default"/>
                <w:sz w:val="20"/>
                <w:szCs w:val="20"/>
              </w:rPr>
            </w:pPr>
            <w:r>
              <w:rPr>
                <w:rFonts w:ascii="宋体" w:hAnsi="宋体" w:cs="宋体" w:eastAsia="宋体" w:hint="default"/>
                <w:sz w:val="20"/>
                <w:szCs w:val="20"/>
              </w:rPr>
              <w:t>（一）以后不能重分类进损益的其他综合收益</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3"/>
              <w:jc w:val="right"/>
              <w:rPr>
                <w:rFonts w:ascii="Times New Roman" w:hAnsi="Times New Roman" w:cs="Times New Roman" w:eastAsia="Times New Roman" w:hint="default"/>
                <w:sz w:val="20"/>
                <w:szCs w:val="20"/>
              </w:rPr>
            </w:pPr>
            <w:r>
              <w:rPr>
                <w:rFonts w:ascii="Times New Roman"/>
                <w:sz w:val="20"/>
              </w:rPr>
              <w:t>0.00</w:t>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3"/>
              <w:jc w:val="right"/>
              <w:rPr>
                <w:rFonts w:ascii="Times New Roman" w:hAnsi="Times New Roman" w:cs="Times New Roman" w:eastAsia="Times New Roman" w:hint="default"/>
                <w:sz w:val="20"/>
                <w:szCs w:val="20"/>
              </w:rPr>
            </w:pPr>
            <w:r>
              <w:rPr>
                <w:rFonts w:ascii="Times New Roman"/>
                <w:sz w:val="20"/>
              </w:rPr>
              <w:t>0.00</w:t>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695"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重新计量设定受益计划净负债或净资产的变动</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3"/>
              <w:jc w:val="right"/>
              <w:rPr>
                <w:rFonts w:ascii="Times New Roman" w:hAnsi="Times New Roman" w:cs="Times New Roman" w:eastAsia="Times New Roman" w:hint="default"/>
                <w:sz w:val="20"/>
                <w:szCs w:val="20"/>
              </w:rPr>
            </w:pPr>
            <w:r>
              <w:rPr>
                <w:rFonts w:ascii="Times New Roman"/>
                <w:sz w:val="20"/>
              </w:rPr>
              <w:t>0.00</w:t>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3"/>
              <w:jc w:val="right"/>
              <w:rPr>
                <w:rFonts w:ascii="Times New Roman" w:hAnsi="Times New Roman" w:cs="Times New Roman" w:eastAsia="Times New Roman" w:hint="default"/>
                <w:sz w:val="20"/>
                <w:szCs w:val="20"/>
              </w:rPr>
            </w:pPr>
            <w:r>
              <w:rPr>
                <w:rFonts w:ascii="Times New Roman"/>
                <w:sz w:val="20"/>
              </w:rPr>
              <w:t>0.00</w:t>
            </w:r>
          </w:p>
        </w:tc>
      </w:tr>
      <w:tr>
        <w:trPr>
          <w:trHeight w:val="533"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36" w:lineRule="exact"/>
              <w:ind w:left="695"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权益法下在被投资单位不能重分类进损益的其他</w:t>
            </w:r>
          </w:p>
          <w:p>
            <w:pPr>
              <w:pStyle w:val="TableParagraph"/>
              <w:spacing w:line="253" w:lineRule="exact"/>
              <w:ind w:left="93" w:right="0"/>
              <w:jc w:val="left"/>
              <w:rPr>
                <w:rFonts w:ascii="宋体" w:hAnsi="宋体" w:cs="宋体" w:eastAsia="宋体" w:hint="default"/>
                <w:sz w:val="20"/>
                <w:szCs w:val="20"/>
              </w:rPr>
            </w:pPr>
            <w:r>
              <w:rPr>
                <w:rFonts w:ascii="宋体" w:hAnsi="宋体" w:cs="宋体" w:eastAsia="宋体" w:hint="default"/>
                <w:sz w:val="20"/>
                <w:szCs w:val="20"/>
              </w:rPr>
              <w:t>综合收益中享有的份额</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9"/>
              <w:ind w:right="103"/>
              <w:jc w:val="right"/>
              <w:rPr>
                <w:rFonts w:ascii="Times New Roman" w:hAnsi="Times New Roman" w:cs="Times New Roman" w:eastAsia="Times New Roman" w:hint="default"/>
                <w:sz w:val="20"/>
                <w:szCs w:val="20"/>
              </w:rPr>
            </w:pPr>
            <w:r>
              <w:rPr>
                <w:rFonts w:ascii="Times New Roman"/>
                <w:sz w:val="20"/>
              </w:rPr>
              <w:t>0.00</w:t>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9"/>
              <w:ind w:right="93"/>
              <w:jc w:val="right"/>
              <w:rPr>
                <w:rFonts w:ascii="Times New Roman" w:hAnsi="Times New Roman" w:cs="Times New Roman" w:eastAsia="Times New Roman" w:hint="default"/>
                <w:sz w:val="20"/>
                <w:szCs w:val="20"/>
              </w:rPr>
            </w:pPr>
            <w:r>
              <w:rPr>
                <w:rFonts w:ascii="Times New Roman"/>
                <w:sz w:val="20"/>
              </w:rPr>
              <w:t>0.00</w:t>
            </w:r>
          </w:p>
        </w:tc>
      </w:tr>
      <w:tr>
        <w:trPr>
          <w:trHeight w:val="336"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695" w:right="0"/>
              <w:jc w:val="left"/>
              <w:rPr>
                <w:rFonts w:ascii="宋体" w:hAnsi="宋体" w:cs="宋体" w:eastAsia="宋体" w:hint="default"/>
                <w:sz w:val="20"/>
                <w:szCs w:val="20"/>
              </w:rPr>
            </w:pPr>
            <w:r>
              <w:rPr>
                <w:rFonts w:ascii="宋体" w:hAnsi="宋体" w:cs="宋体" w:eastAsia="宋体" w:hint="default"/>
                <w:sz w:val="20"/>
                <w:szCs w:val="20"/>
              </w:rPr>
              <w:t>（二）以后将重分类进损益的其他综合收益</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4"/>
              <w:jc w:val="right"/>
              <w:rPr>
                <w:rFonts w:ascii="Times New Roman" w:hAnsi="Times New Roman" w:cs="Times New Roman" w:eastAsia="Times New Roman" w:hint="default"/>
                <w:sz w:val="20"/>
                <w:szCs w:val="20"/>
              </w:rPr>
            </w:pPr>
            <w:r>
              <w:rPr>
                <w:rFonts w:ascii="Times New Roman"/>
                <w:w w:val="95"/>
                <w:sz w:val="20"/>
              </w:rPr>
              <w:t>-13,358,468.43</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2"/>
              <w:jc w:val="right"/>
              <w:rPr>
                <w:rFonts w:ascii="Times New Roman" w:hAnsi="Times New Roman" w:cs="Times New Roman" w:eastAsia="Times New Roman" w:hint="default"/>
                <w:sz w:val="20"/>
                <w:szCs w:val="20"/>
              </w:rPr>
            </w:pPr>
            <w:r>
              <w:rPr>
                <w:rFonts w:ascii="Times New Roman"/>
                <w:w w:val="95"/>
                <w:sz w:val="20"/>
              </w:rPr>
              <w:t>9,310,663.04</w:t>
            </w:r>
            <w:r>
              <w:rPr>
                <w:rFonts w:ascii="Times New Roman"/>
                <w:sz w:val="20"/>
              </w:rPr>
            </w:r>
          </w:p>
        </w:tc>
      </w:tr>
      <w:tr>
        <w:trPr>
          <w:trHeight w:val="533"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36" w:lineRule="exact"/>
              <w:ind w:left="695"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权益法下在被投资单位以后将重分类进损益的其</w:t>
            </w:r>
          </w:p>
          <w:p>
            <w:pPr>
              <w:pStyle w:val="TableParagraph"/>
              <w:spacing w:line="253" w:lineRule="exact"/>
              <w:ind w:left="93" w:right="0"/>
              <w:jc w:val="left"/>
              <w:rPr>
                <w:rFonts w:ascii="宋体" w:hAnsi="宋体" w:cs="宋体" w:eastAsia="宋体" w:hint="default"/>
                <w:sz w:val="20"/>
                <w:szCs w:val="20"/>
              </w:rPr>
            </w:pPr>
            <w:r>
              <w:rPr>
                <w:rFonts w:ascii="宋体" w:hAnsi="宋体" w:cs="宋体" w:eastAsia="宋体" w:hint="default"/>
                <w:sz w:val="20"/>
                <w:szCs w:val="20"/>
              </w:rPr>
              <w:t>他综合收益中享有的份额</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8"/>
              <w:ind w:right="104"/>
              <w:jc w:val="right"/>
              <w:rPr>
                <w:rFonts w:ascii="Times New Roman" w:hAnsi="Times New Roman" w:cs="Times New Roman" w:eastAsia="Times New Roman" w:hint="default"/>
                <w:sz w:val="20"/>
                <w:szCs w:val="20"/>
              </w:rPr>
            </w:pPr>
            <w:r>
              <w:rPr>
                <w:rFonts w:ascii="Times New Roman"/>
                <w:w w:val="95"/>
                <w:sz w:val="20"/>
              </w:rPr>
              <w:t>-14,636,942.51</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8"/>
              <w:ind w:right="92"/>
              <w:jc w:val="right"/>
              <w:rPr>
                <w:rFonts w:ascii="Times New Roman" w:hAnsi="Times New Roman" w:cs="Times New Roman" w:eastAsia="Times New Roman" w:hint="default"/>
                <w:sz w:val="20"/>
                <w:szCs w:val="20"/>
              </w:rPr>
            </w:pPr>
            <w:r>
              <w:rPr>
                <w:rFonts w:ascii="Times New Roman"/>
                <w:w w:val="95"/>
                <w:sz w:val="20"/>
              </w:rPr>
              <w:t>5,809,728.97</w:t>
            </w:r>
            <w:r>
              <w:rPr>
                <w:rFonts w:ascii="Times New Roman"/>
                <w:sz w:val="20"/>
              </w:rPr>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695"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可供出售金融资产公允价值变动损益</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1"/>
              <w:jc w:val="right"/>
              <w:rPr>
                <w:rFonts w:ascii="Times New Roman" w:hAnsi="Times New Roman" w:cs="Times New Roman" w:eastAsia="Times New Roman" w:hint="default"/>
                <w:sz w:val="20"/>
                <w:szCs w:val="20"/>
              </w:rPr>
            </w:pPr>
            <w:r>
              <w:rPr>
                <w:rFonts w:ascii="Times New Roman"/>
                <w:w w:val="95"/>
                <w:sz w:val="20"/>
              </w:rPr>
              <w:t>1,278,474.08</w:t>
            </w:r>
            <w:r>
              <w:rPr>
                <w:rFonts w:ascii="Times New Roman"/>
                <w:sz w:val="20"/>
              </w:rPr>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2"/>
              <w:jc w:val="right"/>
              <w:rPr>
                <w:rFonts w:ascii="Times New Roman" w:hAnsi="Times New Roman" w:cs="Times New Roman" w:eastAsia="Times New Roman" w:hint="default"/>
                <w:sz w:val="20"/>
                <w:szCs w:val="20"/>
              </w:rPr>
            </w:pPr>
            <w:r>
              <w:rPr>
                <w:rFonts w:ascii="Times New Roman"/>
                <w:w w:val="95"/>
                <w:sz w:val="20"/>
              </w:rPr>
              <w:t>3,500,934.07</w:t>
            </w:r>
            <w:r>
              <w:rPr>
                <w:rFonts w:ascii="Times New Roman"/>
                <w:sz w:val="20"/>
              </w:rPr>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695"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持有至到期投资重分类为可供出售金融资产损益</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3"/>
              <w:jc w:val="right"/>
              <w:rPr>
                <w:rFonts w:ascii="Times New Roman" w:hAnsi="Times New Roman" w:cs="Times New Roman" w:eastAsia="Times New Roman" w:hint="default"/>
                <w:sz w:val="20"/>
                <w:szCs w:val="20"/>
              </w:rPr>
            </w:pPr>
            <w:r>
              <w:rPr>
                <w:rFonts w:ascii="Times New Roman"/>
                <w:sz w:val="20"/>
              </w:rPr>
              <w:t>0.00</w:t>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3"/>
              <w:jc w:val="right"/>
              <w:rPr>
                <w:rFonts w:ascii="Times New Roman" w:hAnsi="Times New Roman" w:cs="Times New Roman" w:eastAsia="Times New Roman" w:hint="default"/>
                <w:sz w:val="20"/>
                <w:szCs w:val="20"/>
              </w:rPr>
            </w:pPr>
            <w:r>
              <w:rPr>
                <w:rFonts w:ascii="Times New Roman"/>
                <w:sz w:val="20"/>
              </w:rPr>
              <w:t>0.00</w:t>
            </w:r>
          </w:p>
        </w:tc>
      </w:tr>
      <w:tr>
        <w:trPr>
          <w:trHeight w:val="336"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695"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4.</w:t>
            </w:r>
            <w:r>
              <w:rPr>
                <w:rFonts w:ascii="宋体" w:hAnsi="宋体" w:cs="宋体" w:eastAsia="宋体" w:hint="default"/>
                <w:sz w:val="20"/>
                <w:szCs w:val="20"/>
              </w:rPr>
              <w:t>现金流量套期损益的有效部分</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3"/>
              <w:jc w:val="right"/>
              <w:rPr>
                <w:rFonts w:ascii="Times New Roman" w:hAnsi="Times New Roman" w:cs="Times New Roman" w:eastAsia="Times New Roman" w:hint="default"/>
                <w:sz w:val="20"/>
                <w:szCs w:val="20"/>
              </w:rPr>
            </w:pPr>
            <w:r>
              <w:rPr>
                <w:rFonts w:ascii="Times New Roman"/>
                <w:sz w:val="20"/>
              </w:rPr>
              <w:t>0.00</w:t>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3"/>
              <w:jc w:val="right"/>
              <w:rPr>
                <w:rFonts w:ascii="Times New Roman" w:hAnsi="Times New Roman" w:cs="Times New Roman" w:eastAsia="Times New Roman" w:hint="default"/>
                <w:sz w:val="20"/>
                <w:szCs w:val="20"/>
              </w:rPr>
            </w:pPr>
            <w:r>
              <w:rPr>
                <w:rFonts w:ascii="Times New Roman"/>
                <w:sz w:val="20"/>
              </w:rPr>
              <w:t>0.00</w:t>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695"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5.</w:t>
            </w:r>
            <w:r>
              <w:rPr>
                <w:rFonts w:ascii="宋体" w:hAnsi="宋体" w:cs="宋体" w:eastAsia="宋体" w:hint="default"/>
                <w:sz w:val="20"/>
                <w:szCs w:val="20"/>
              </w:rPr>
              <w:t>外币财务报表折算差额</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103"/>
              <w:jc w:val="right"/>
              <w:rPr>
                <w:rFonts w:ascii="Times New Roman" w:hAnsi="Times New Roman" w:cs="Times New Roman" w:eastAsia="Times New Roman" w:hint="default"/>
                <w:sz w:val="20"/>
                <w:szCs w:val="20"/>
              </w:rPr>
            </w:pPr>
            <w:r>
              <w:rPr>
                <w:rFonts w:ascii="Times New Roman"/>
                <w:sz w:val="20"/>
              </w:rPr>
              <w:t>0.00</w:t>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3"/>
              <w:jc w:val="right"/>
              <w:rPr>
                <w:rFonts w:ascii="Times New Roman" w:hAnsi="Times New Roman" w:cs="Times New Roman" w:eastAsia="Times New Roman" w:hint="default"/>
                <w:sz w:val="20"/>
                <w:szCs w:val="20"/>
              </w:rPr>
            </w:pPr>
            <w:r>
              <w:rPr>
                <w:rFonts w:ascii="Times New Roman"/>
                <w:sz w:val="20"/>
              </w:rPr>
              <w:t>0.00</w:t>
            </w:r>
          </w:p>
        </w:tc>
      </w:tr>
      <w:tr>
        <w:trPr>
          <w:trHeight w:val="334" w:hRule="exact"/>
        </w:trPr>
        <w:tc>
          <w:tcPr>
            <w:tcW w:w="516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695"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6.</w:t>
            </w:r>
            <w:r>
              <w:rPr>
                <w:rFonts w:ascii="宋体" w:hAnsi="宋体" w:cs="宋体" w:eastAsia="宋体" w:hint="default"/>
                <w:sz w:val="20"/>
                <w:szCs w:val="20"/>
              </w:rPr>
              <w:t>其他</w:t>
            </w:r>
          </w:p>
        </w:tc>
        <w:tc>
          <w:tcPr>
            <w:tcW w:w="2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103"/>
              <w:jc w:val="right"/>
              <w:rPr>
                <w:rFonts w:ascii="Times New Roman" w:hAnsi="Times New Roman" w:cs="Times New Roman" w:eastAsia="Times New Roman" w:hint="default"/>
                <w:sz w:val="20"/>
                <w:szCs w:val="20"/>
              </w:rPr>
            </w:pPr>
            <w:r>
              <w:rPr>
                <w:rFonts w:ascii="Times New Roman"/>
                <w:sz w:val="20"/>
              </w:rPr>
              <w:t>0.00</w:t>
            </w:r>
          </w:p>
        </w:tc>
        <w:tc>
          <w:tcPr>
            <w:tcW w:w="210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right="93"/>
              <w:jc w:val="right"/>
              <w:rPr>
                <w:rFonts w:ascii="Times New Roman" w:hAnsi="Times New Roman" w:cs="Times New Roman" w:eastAsia="Times New Roman" w:hint="default"/>
                <w:sz w:val="20"/>
                <w:szCs w:val="20"/>
              </w:rPr>
            </w:pPr>
            <w:r>
              <w:rPr>
                <w:rFonts w:ascii="Times New Roman"/>
                <w:sz w:val="20"/>
              </w:rPr>
              <w:t>0.00</w:t>
            </w:r>
          </w:p>
        </w:tc>
      </w:tr>
      <w:tr>
        <w:trPr>
          <w:trHeight w:val="341" w:hRule="exact"/>
        </w:trPr>
        <w:tc>
          <w:tcPr>
            <w:tcW w:w="5168"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六、综合收益总额</w:t>
            </w:r>
            <w:r>
              <w:rPr>
                <w:rFonts w:ascii="宋体" w:hAnsi="宋体" w:cs="宋体" w:eastAsia="宋体" w:hint="default"/>
                <w:sz w:val="20"/>
                <w:szCs w:val="20"/>
              </w:rPr>
            </w:r>
          </w:p>
        </w:tc>
        <w:tc>
          <w:tcPr>
            <w:tcW w:w="214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3"/>
              <w:ind w:right="104"/>
              <w:jc w:val="right"/>
              <w:rPr>
                <w:rFonts w:ascii="Times New Roman" w:hAnsi="Times New Roman" w:cs="Times New Roman" w:eastAsia="Times New Roman" w:hint="default"/>
                <w:sz w:val="20"/>
                <w:szCs w:val="20"/>
              </w:rPr>
            </w:pPr>
            <w:r>
              <w:rPr>
                <w:rFonts w:ascii="Times New Roman"/>
                <w:b/>
                <w:w w:val="95"/>
                <w:sz w:val="20"/>
              </w:rPr>
              <w:t>78,304,547.65</w:t>
            </w:r>
            <w:r>
              <w:rPr>
                <w:rFonts w:ascii="Times New Roman"/>
                <w:sz w:val="20"/>
              </w:rPr>
            </w:r>
          </w:p>
        </w:tc>
        <w:tc>
          <w:tcPr>
            <w:tcW w:w="210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3"/>
              <w:ind w:right="94"/>
              <w:jc w:val="right"/>
              <w:rPr>
                <w:rFonts w:ascii="Times New Roman" w:hAnsi="Times New Roman" w:cs="Times New Roman" w:eastAsia="Times New Roman" w:hint="default"/>
                <w:sz w:val="20"/>
                <w:szCs w:val="20"/>
              </w:rPr>
            </w:pPr>
            <w:r>
              <w:rPr>
                <w:rFonts w:ascii="Times New Roman"/>
                <w:b/>
                <w:w w:val="95"/>
                <w:sz w:val="20"/>
              </w:rPr>
              <w:t>17,125,378.60</w:t>
            </w:r>
            <w:r>
              <w:rPr>
                <w:rFonts w:ascii="Times New Roman"/>
                <w:sz w:val="20"/>
              </w:rPr>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8"/>
          <w:szCs w:val="18"/>
        </w:rPr>
      </w:pPr>
    </w:p>
    <w:p>
      <w:pPr>
        <w:tabs>
          <w:tab w:pos="3810" w:val="left" w:leader="none"/>
          <w:tab w:pos="7065" w:val="left" w:leader="none"/>
        </w:tabs>
        <w:spacing w:before="36"/>
        <w:ind w:left="238" w:right="110" w:firstLine="0"/>
        <w:jc w:val="left"/>
        <w:rPr>
          <w:rFonts w:ascii="宋体" w:hAnsi="宋体" w:cs="宋体" w:eastAsia="宋体" w:hint="default"/>
          <w:sz w:val="21"/>
          <w:szCs w:val="21"/>
        </w:rPr>
      </w:pPr>
      <w:r>
        <w:rPr>
          <w:rFonts w:ascii="宋体" w:hAnsi="宋体" w:cs="宋体" w:eastAsia="宋体" w:hint="default"/>
          <w:spacing w:val="-1"/>
          <w:sz w:val="21"/>
          <w:szCs w:val="21"/>
        </w:rPr>
        <w:t>法定代表人：周立业</w:t>
        <w:tab/>
      </w:r>
      <w:r>
        <w:rPr>
          <w:rFonts w:ascii="宋体" w:hAnsi="宋体" w:cs="宋体" w:eastAsia="宋体" w:hint="default"/>
          <w:spacing w:val="-2"/>
          <w:sz w:val="21"/>
          <w:szCs w:val="21"/>
        </w:rPr>
        <w:t>财务负责人：刘卫东</w:t>
        <w:tab/>
        <w:t>会计机构负责人：王映浒</w:t>
      </w:r>
    </w:p>
    <w:p>
      <w:pPr>
        <w:spacing w:after="0"/>
        <w:jc w:val="left"/>
        <w:rPr>
          <w:rFonts w:ascii="宋体" w:hAnsi="宋体" w:cs="宋体" w:eastAsia="宋体" w:hint="default"/>
          <w:sz w:val="21"/>
          <w:szCs w:val="21"/>
        </w:rPr>
        <w:sectPr>
          <w:pgSz w:w="11910" w:h="16840"/>
          <w:pgMar w:header="628" w:footer="760" w:top="1960" w:bottom="960" w:left="1180" w:right="1040"/>
        </w:sectPr>
      </w:pPr>
    </w:p>
    <w:p>
      <w:pPr>
        <w:pStyle w:val="Heading3"/>
        <w:spacing w:line="310" w:lineRule="exact"/>
        <w:ind w:left="0" w:right="6"/>
        <w:jc w:val="center"/>
        <w:rPr>
          <w:b w:val="0"/>
          <w:bCs w:val="0"/>
        </w:rPr>
      </w:pPr>
      <w:r>
        <w:rPr/>
        <w:t>合并现金流量表</w:t>
      </w:r>
      <w:r>
        <w:rPr>
          <w:b w:val="0"/>
          <w:bCs w:val="0"/>
        </w:rPr>
      </w:r>
    </w:p>
    <w:p>
      <w:pPr>
        <w:tabs>
          <w:tab w:pos="7818" w:val="left" w:leader="none"/>
        </w:tabs>
        <w:spacing w:before="6"/>
        <w:ind w:left="0" w:right="3" w:firstLine="0"/>
        <w:jc w:val="center"/>
        <w:rPr>
          <w:rFonts w:ascii="宋体" w:hAnsi="宋体" w:cs="宋体" w:eastAsia="宋体" w:hint="default"/>
          <w:sz w:val="20"/>
          <w:szCs w:val="20"/>
        </w:rPr>
      </w:pPr>
      <w:r>
        <w:rPr>
          <w:rFonts w:ascii="宋体" w:hAnsi="宋体" w:cs="宋体" w:eastAsia="宋体" w:hint="default"/>
          <w:b/>
          <w:bCs/>
          <w:spacing w:val="-1"/>
          <w:w w:val="95"/>
          <w:sz w:val="20"/>
          <w:szCs w:val="20"/>
        </w:rPr>
        <w:t>编制单位：同方股份有限公司</w:t>
        <w:tab/>
      </w:r>
      <w:r>
        <w:rPr>
          <w:rFonts w:ascii="宋体" w:hAnsi="宋体" w:cs="宋体" w:eastAsia="宋体" w:hint="default"/>
          <w:b/>
          <w:bCs/>
          <w:spacing w:val="-2"/>
          <w:sz w:val="20"/>
          <w:szCs w:val="20"/>
        </w:rPr>
        <w:t>单位：人民币元</w:t>
      </w:r>
      <w:r>
        <w:rPr>
          <w:rFonts w:ascii="宋体" w:hAnsi="宋体" w:cs="宋体" w:eastAsia="宋体" w:hint="default"/>
          <w:spacing w:val="-2"/>
          <w:sz w:val="20"/>
          <w:szCs w:val="20"/>
        </w:rPr>
      </w:r>
    </w:p>
    <w:p>
      <w:pPr>
        <w:spacing w:line="240" w:lineRule="auto" w:before="3"/>
        <w:rPr>
          <w:rFonts w:ascii="宋体" w:hAnsi="宋体" w:cs="宋体" w:eastAsia="宋体" w:hint="default"/>
          <w:b/>
          <w:bCs/>
          <w:sz w:val="2"/>
          <w:szCs w:val="2"/>
        </w:rPr>
      </w:pPr>
    </w:p>
    <w:tbl>
      <w:tblPr>
        <w:tblW w:w="0" w:type="auto"/>
        <w:jc w:val="left"/>
        <w:tblInd w:w="116" w:type="dxa"/>
        <w:tblLayout w:type="fixed"/>
        <w:tblCellMar>
          <w:top w:w="0" w:type="dxa"/>
          <w:left w:w="0" w:type="dxa"/>
          <w:bottom w:w="0" w:type="dxa"/>
          <w:right w:w="0" w:type="dxa"/>
        </w:tblCellMar>
        <w:tblLook w:val="01E0"/>
      </w:tblPr>
      <w:tblGrid>
        <w:gridCol w:w="5216"/>
        <w:gridCol w:w="2102"/>
        <w:gridCol w:w="2101"/>
      </w:tblGrid>
      <w:tr>
        <w:trPr>
          <w:trHeight w:val="283" w:hRule="exact"/>
        </w:trPr>
        <w:tc>
          <w:tcPr>
            <w:tcW w:w="5216" w:type="dxa"/>
            <w:tcBorders>
              <w:top w:val="single" w:sz="12" w:space="0" w:color="000000"/>
              <w:left w:val="single" w:sz="12" w:space="0" w:color="000000"/>
              <w:bottom w:val="single" w:sz="6" w:space="0" w:color="000000"/>
              <w:right w:val="single" w:sz="6" w:space="0" w:color="000000"/>
            </w:tcBorders>
          </w:tcPr>
          <w:p>
            <w:pPr>
              <w:pStyle w:val="TableParagraph"/>
              <w:spacing w:line="232" w:lineRule="exact"/>
              <w:ind w:right="3"/>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102" w:type="dxa"/>
            <w:tcBorders>
              <w:top w:val="single" w:sz="12" w:space="0" w:color="000000"/>
              <w:left w:val="single" w:sz="6" w:space="0" w:color="000000"/>
              <w:bottom w:val="single" w:sz="6" w:space="0" w:color="000000"/>
              <w:right w:val="single" w:sz="6" w:space="0" w:color="000000"/>
            </w:tcBorders>
          </w:tcPr>
          <w:p>
            <w:pPr>
              <w:pStyle w:val="TableParagraph"/>
              <w:spacing w:line="232" w:lineRule="exact"/>
              <w:ind w:left="691"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101" w:type="dxa"/>
            <w:tcBorders>
              <w:top w:val="single" w:sz="12" w:space="0" w:color="000000"/>
              <w:left w:val="single" w:sz="6" w:space="0" w:color="000000"/>
              <w:bottom w:val="single" w:sz="6" w:space="0" w:color="000000"/>
              <w:right w:val="single" w:sz="12" w:space="0" w:color="000000"/>
            </w:tcBorders>
          </w:tcPr>
          <w:p>
            <w:pPr>
              <w:pStyle w:val="TableParagraph"/>
              <w:spacing w:line="232" w:lineRule="exact"/>
              <w:ind w:left="691"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一、经营活动产生的现金流量：</w:t>
            </w:r>
            <w:r>
              <w:rPr>
                <w:rFonts w:ascii="宋体" w:hAnsi="宋体" w:cs="宋体" w:eastAsia="宋体" w:hint="default"/>
                <w:sz w:val="20"/>
                <w:szCs w:val="20"/>
              </w:rPr>
            </w:r>
          </w:p>
        </w:tc>
        <w:tc>
          <w:tcPr>
            <w:tcW w:w="2102" w:type="dxa"/>
            <w:tcBorders>
              <w:top w:val="single" w:sz="6" w:space="0" w:color="000000"/>
              <w:left w:val="single" w:sz="6" w:space="0" w:color="000000"/>
              <w:bottom w:val="single" w:sz="6" w:space="0" w:color="000000"/>
              <w:right w:val="single" w:sz="6" w:space="0" w:color="000000"/>
            </w:tcBorders>
          </w:tcPr>
          <w:p>
            <w:pPr/>
          </w:p>
        </w:tc>
        <w:tc>
          <w:tcPr>
            <w:tcW w:w="2101" w:type="dxa"/>
            <w:tcBorders>
              <w:top w:val="single" w:sz="6" w:space="0" w:color="000000"/>
              <w:left w:val="single" w:sz="6" w:space="0" w:color="000000"/>
              <w:bottom w:val="single" w:sz="6" w:space="0" w:color="000000"/>
              <w:right w:val="single" w:sz="12" w:space="0" w:color="000000"/>
            </w:tcBorders>
          </w:tcPr>
          <w:p>
            <w:pP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销售商品、提供劳务收到的现金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4"/>
              <w:jc w:val="right"/>
              <w:rPr>
                <w:rFonts w:ascii="Times New Roman" w:hAnsi="Times New Roman" w:cs="Times New Roman" w:eastAsia="Times New Roman" w:hint="default"/>
                <w:sz w:val="20"/>
                <w:szCs w:val="20"/>
              </w:rPr>
            </w:pPr>
            <w:r>
              <w:rPr>
                <w:rFonts w:ascii="Times New Roman"/>
                <w:w w:val="95"/>
                <w:sz w:val="20"/>
              </w:rPr>
              <w:t>30,265,730,845.07</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5"/>
              <w:jc w:val="right"/>
              <w:rPr>
                <w:rFonts w:ascii="Times New Roman" w:hAnsi="Times New Roman" w:cs="Times New Roman" w:eastAsia="Times New Roman" w:hint="default"/>
                <w:sz w:val="20"/>
                <w:szCs w:val="20"/>
              </w:rPr>
            </w:pPr>
            <w:r>
              <w:rPr>
                <w:rFonts w:ascii="Times New Roman"/>
                <w:w w:val="95"/>
                <w:sz w:val="20"/>
              </w:rPr>
              <w:t>26,565,901,992.29</w:t>
            </w:r>
            <w:r>
              <w:rPr>
                <w:rFonts w:ascii="Times New Roman"/>
                <w:sz w:val="20"/>
              </w:rPr>
            </w:r>
          </w:p>
        </w:tc>
      </w:tr>
      <w:tr>
        <w:trPr>
          <w:trHeight w:val="276"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496" w:right="0"/>
              <w:jc w:val="left"/>
              <w:rPr>
                <w:rFonts w:ascii="宋体" w:hAnsi="宋体" w:cs="宋体" w:eastAsia="宋体" w:hint="default"/>
                <w:sz w:val="20"/>
                <w:szCs w:val="20"/>
              </w:rPr>
            </w:pPr>
            <w:r>
              <w:rPr>
                <w:rFonts w:ascii="宋体" w:hAnsi="宋体" w:cs="宋体" w:eastAsia="宋体" w:hint="default"/>
                <w:sz w:val="20"/>
                <w:szCs w:val="20"/>
              </w:rPr>
              <w:t>收到的税费返还</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4"/>
              <w:jc w:val="right"/>
              <w:rPr>
                <w:rFonts w:ascii="Times New Roman" w:hAnsi="Times New Roman" w:cs="Times New Roman" w:eastAsia="Times New Roman" w:hint="default"/>
                <w:sz w:val="20"/>
                <w:szCs w:val="20"/>
              </w:rPr>
            </w:pPr>
            <w:r>
              <w:rPr>
                <w:rFonts w:ascii="Times New Roman"/>
                <w:w w:val="95"/>
                <w:sz w:val="20"/>
              </w:rPr>
              <w:t>512,391,381.59</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4"/>
              <w:jc w:val="right"/>
              <w:rPr>
                <w:rFonts w:ascii="Times New Roman" w:hAnsi="Times New Roman" w:cs="Times New Roman" w:eastAsia="Times New Roman" w:hint="default"/>
                <w:sz w:val="20"/>
                <w:szCs w:val="20"/>
              </w:rPr>
            </w:pPr>
            <w:r>
              <w:rPr>
                <w:rFonts w:ascii="Times New Roman"/>
                <w:w w:val="95"/>
                <w:sz w:val="20"/>
              </w:rPr>
              <w:t>441,609,530.93</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收到其他与经营活动有关的现金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4"/>
              <w:jc w:val="right"/>
              <w:rPr>
                <w:rFonts w:ascii="Times New Roman" w:hAnsi="Times New Roman" w:cs="Times New Roman" w:eastAsia="Times New Roman" w:hint="default"/>
                <w:sz w:val="20"/>
                <w:szCs w:val="20"/>
              </w:rPr>
            </w:pPr>
            <w:r>
              <w:rPr>
                <w:rFonts w:ascii="Times New Roman"/>
                <w:spacing w:val="-1"/>
                <w:sz w:val="20"/>
              </w:rPr>
              <w:t>1,384,444,623.43</w:t>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5"/>
              <w:jc w:val="right"/>
              <w:rPr>
                <w:rFonts w:ascii="Times New Roman" w:hAnsi="Times New Roman" w:cs="Times New Roman" w:eastAsia="Times New Roman" w:hint="default"/>
                <w:sz w:val="20"/>
                <w:szCs w:val="20"/>
              </w:rPr>
            </w:pPr>
            <w:r>
              <w:rPr>
                <w:rFonts w:ascii="Times New Roman"/>
                <w:spacing w:val="-1"/>
                <w:sz w:val="20"/>
              </w:rPr>
              <w:t>1,306,601,616.23</w:t>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593" w:right="0"/>
              <w:jc w:val="left"/>
              <w:rPr>
                <w:rFonts w:ascii="宋体" w:hAnsi="宋体" w:cs="宋体" w:eastAsia="宋体" w:hint="default"/>
                <w:sz w:val="20"/>
                <w:szCs w:val="20"/>
              </w:rPr>
            </w:pPr>
            <w:r>
              <w:rPr>
                <w:rFonts w:ascii="宋体" w:hAnsi="宋体" w:cs="宋体" w:eastAsia="宋体" w:hint="default"/>
                <w:sz w:val="20"/>
                <w:szCs w:val="20"/>
              </w:rPr>
              <w:t>经营活动现金流入小计</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b/>
                <w:w w:val="95"/>
                <w:sz w:val="20"/>
              </w:rPr>
              <w:t>32,162,566,850.09</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5"/>
              <w:jc w:val="right"/>
              <w:rPr>
                <w:rFonts w:ascii="Times New Roman" w:hAnsi="Times New Roman" w:cs="Times New Roman" w:eastAsia="Times New Roman" w:hint="default"/>
                <w:sz w:val="20"/>
                <w:szCs w:val="20"/>
              </w:rPr>
            </w:pPr>
            <w:r>
              <w:rPr>
                <w:rFonts w:ascii="Times New Roman"/>
                <w:b/>
                <w:w w:val="95"/>
                <w:sz w:val="20"/>
              </w:rPr>
              <w:t>28,314,113,139.45</w:t>
            </w:r>
            <w:r>
              <w:rPr>
                <w:rFonts w:ascii="Times New Roman"/>
                <w:sz w:val="20"/>
              </w:rPr>
            </w:r>
          </w:p>
        </w:tc>
      </w:tr>
      <w:tr>
        <w:trPr>
          <w:trHeight w:val="276"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496" w:right="0"/>
              <w:jc w:val="left"/>
              <w:rPr>
                <w:rFonts w:ascii="宋体" w:hAnsi="宋体" w:cs="宋体" w:eastAsia="宋体" w:hint="default"/>
                <w:sz w:val="20"/>
                <w:szCs w:val="20"/>
              </w:rPr>
            </w:pPr>
            <w:r>
              <w:rPr>
                <w:rFonts w:ascii="宋体" w:hAnsi="宋体" w:cs="宋体" w:eastAsia="宋体" w:hint="default"/>
                <w:sz w:val="20"/>
                <w:szCs w:val="20"/>
              </w:rPr>
              <w:t>购买商品、接受劳务支付的现金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4"/>
              <w:jc w:val="right"/>
              <w:rPr>
                <w:rFonts w:ascii="Times New Roman" w:hAnsi="Times New Roman" w:cs="Times New Roman" w:eastAsia="Times New Roman" w:hint="default"/>
                <w:sz w:val="20"/>
                <w:szCs w:val="20"/>
              </w:rPr>
            </w:pPr>
            <w:r>
              <w:rPr>
                <w:rFonts w:ascii="Times New Roman"/>
                <w:w w:val="95"/>
                <w:sz w:val="20"/>
              </w:rPr>
              <w:t>22,938,855,521.84</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5"/>
              <w:jc w:val="right"/>
              <w:rPr>
                <w:rFonts w:ascii="Times New Roman" w:hAnsi="Times New Roman" w:cs="Times New Roman" w:eastAsia="Times New Roman" w:hint="default"/>
                <w:sz w:val="20"/>
                <w:szCs w:val="20"/>
              </w:rPr>
            </w:pPr>
            <w:r>
              <w:rPr>
                <w:rFonts w:ascii="Times New Roman"/>
                <w:w w:val="95"/>
                <w:sz w:val="20"/>
              </w:rPr>
              <w:t>21,487,811,203.45</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支付给职工以及为职工支付的现金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4"/>
              <w:jc w:val="right"/>
              <w:rPr>
                <w:rFonts w:ascii="Times New Roman" w:hAnsi="Times New Roman" w:cs="Times New Roman" w:eastAsia="Times New Roman" w:hint="default"/>
                <w:sz w:val="20"/>
                <w:szCs w:val="20"/>
              </w:rPr>
            </w:pPr>
            <w:r>
              <w:rPr>
                <w:rFonts w:ascii="Times New Roman"/>
                <w:spacing w:val="-1"/>
                <w:sz w:val="20"/>
              </w:rPr>
              <w:t>2,879,508,916.09</w:t>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5"/>
              <w:jc w:val="right"/>
              <w:rPr>
                <w:rFonts w:ascii="Times New Roman" w:hAnsi="Times New Roman" w:cs="Times New Roman" w:eastAsia="Times New Roman" w:hint="default"/>
                <w:sz w:val="20"/>
                <w:szCs w:val="20"/>
              </w:rPr>
            </w:pPr>
            <w:r>
              <w:rPr>
                <w:rFonts w:ascii="Times New Roman"/>
                <w:spacing w:val="-1"/>
                <w:sz w:val="20"/>
              </w:rPr>
              <w:t>2,522,127,235.43</w:t>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支付的各项税费</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4"/>
              <w:jc w:val="right"/>
              <w:rPr>
                <w:rFonts w:ascii="Times New Roman" w:hAnsi="Times New Roman" w:cs="Times New Roman" w:eastAsia="Times New Roman" w:hint="default"/>
                <w:sz w:val="20"/>
                <w:szCs w:val="20"/>
              </w:rPr>
            </w:pPr>
            <w:r>
              <w:rPr>
                <w:rFonts w:ascii="Times New Roman"/>
                <w:spacing w:val="-1"/>
                <w:sz w:val="20"/>
              </w:rPr>
              <w:t>1,017,744,835.57</w:t>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4"/>
              <w:jc w:val="right"/>
              <w:rPr>
                <w:rFonts w:ascii="Times New Roman" w:hAnsi="Times New Roman" w:cs="Times New Roman" w:eastAsia="Times New Roman" w:hint="default"/>
                <w:sz w:val="20"/>
                <w:szCs w:val="20"/>
              </w:rPr>
            </w:pPr>
            <w:r>
              <w:rPr>
                <w:rFonts w:ascii="Times New Roman"/>
                <w:w w:val="95"/>
                <w:sz w:val="20"/>
              </w:rPr>
              <w:t>881,801,396.48</w:t>
            </w:r>
            <w:r>
              <w:rPr>
                <w:rFonts w:ascii="Times New Roman"/>
                <w:sz w:val="20"/>
              </w:rPr>
            </w:r>
          </w:p>
        </w:tc>
      </w:tr>
      <w:tr>
        <w:trPr>
          <w:trHeight w:val="276"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496" w:right="0"/>
              <w:jc w:val="left"/>
              <w:rPr>
                <w:rFonts w:ascii="宋体" w:hAnsi="宋体" w:cs="宋体" w:eastAsia="宋体" w:hint="default"/>
                <w:sz w:val="20"/>
                <w:szCs w:val="20"/>
              </w:rPr>
            </w:pPr>
            <w:r>
              <w:rPr>
                <w:rFonts w:ascii="宋体" w:hAnsi="宋体" w:cs="宋体" w:eastAsia="宋体" w:hint="default"/>
                <w:sz w:val="20"/>
                <w:szCs w:val="20"/>
              </w:rPr>
              <w:t>支付其他与经营活动有关的现金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4"/>
              <w:jc w:val="right"/>
              <w:rPr>
                <w:rFonts w:ascii="Times New Roman" w:hAnsi="Times New Roman" w:cs="Times New Roman" w:eastAsia="Times New Roman" w:hint="default"/>
                <w:sz w:val="20"/>
                <w:szCs w:val="20"/>
              </w:rPr>
            </w:pPr>
            <w:r>
              <w:rPr>
                <w:rFonts w:ascii="Times New Roman"/>
                <w:spacing w:val="-1"/>
                <w:sz w:val="20"/>
              </w:rPr>
              <w:t>2,825,692,568.27</w:t>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5"/>
              <w:jc w:val="right"/>
              <w:rPr>
                <w:rFonts w:ascii="Times New Roman" w:hAnsi="Times New Roman" w:cs="Times New Roman" w:eastAsia="Times New Roman" w:hint="default"/>
                <w:sz w:val="20"/>
                <w:szCs w:val="20"/>
              </w:rPr>
            </w:pPr>
            <w:r>
              <w:rPr>
                <w:rFonts w:ascii="Times New Roman"/>
                <w:spacing w:val="-1"/>
                <w:sz w:val="20"/>
              </w:rPr>
              <w:t>2,566,269,999.40</w:t>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593" w:right="0"/>
              <w:jc w:val="left"/>
              <w:rPr>
                <w:rFonts w:ascii="宋体" w:hAnsi="宋体" w:cs="宋体" w:eastAsia="宋体" w:hint="default"/>
                <w:sz w:val="20"/>
                <w:szCs w:val="20"/>
              </w:rPr>
            </w:pPr>
            <w:r>
              <w:rPr>
                <w:rFonts w:ascii="宋体" w:hAnsi="宋体" w:cs="宋体" w:eastAsia="宋体" w:hint="default"/>
                <w:sz w:val="20"/>
                <w:szCs w:val="20"/>
              </w:rPr>
              <w:t>经营活动现金流出小计</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b/>
                <w:w w:val="95"/>
                <w:sz w:val="20"/>
              </w:rPr>
              <w:t>29,661,801,841.77</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5"/>
              <w:jc w:val="right"/>
              <w:rPr>
                <w:rFonts w:ascii="Times New Roman" w:hAnsi="Times New Roman" w:cs="Times New Roman" w:eastAsia="Times New Roman" w:hint="default"/>
                <w:sz w:val="20"/>
                <w:szCs w:val="20"/>
              </w:rPr>
            </w:pPr>
            <w:r>
              <w:rPr>
                <w:rFonts w:ascii="Times New Roman"/>
                <w:b/>
                <w:w w:val="95"/>
                <w:sz w:val="20"/>
              </w:rPr>
              <w:t>27,458,009,834.76</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293" w:right="0"/>
              <w:jc w:val="left"/>
              <w:rPr>
                <w:rFonts w:ascii="宋体" w:hAnsi="宋体" w:cs="宋体" w:eastAsia="宋体" w:hint="default"/>
                <w:sz w:val="20"/>
                <w:szCs w:val="20"/>
              </w:rPr>
            </w:pPr>
            <w:r>
              <w:rPr>
                <w:rFonts w:ascii="宋体" w:hAnsi="宋体" w:cs="宋体" w:eastAsia="宋体" w:hint="default"/>
                <w:sz w:val="20"/>
                <w:szCs w:val="20"/>
              </w:rPr>
              <w:t>经营活动产生的现金流量净额</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b/>
                <w:spacing w:val="-1"/>
                <w:sz w:val="20"/>
              </w:rPr>
              <w:t>2,500,765,008.32</w:t>
            </w:r>
            <w:r>
              <w:rPr>
                <w:rFonts w:ascii="Times New Roman"/>
                <w:spacing w:val="-1"/>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4"/>
              <w:jc w:val="right"/>
              <w:rPr>
                <w:rFonts w:ascii="Times New Roman" w:hAnsi="Times New Roman" w:cs="Times New Roman" w:eastAsia="Times New Roman" w:hint="default"/>
                <w:sz w:val="20"/>
                <w:szCs w:val="20"/>
              </w:rPr>
            </w:pPr>
            <w:r>
              <w:rPr>
                <w:rFonts w:ascii="Times New Roman"/>
                <w:b/>
                <w:w w:val="95"/>
                <w:sz w:val="20"/>
              </w:rPr>
              <w:t>856,103,304.69</w:t>
            </w:r>
            <w:r>
              <w:rPr>
                <w:rFonts w:ascii="Times New Roman"/>
                <w:sz w:val="20"/>
              </w:rPr>
            </w:r>
          </w:p>
        </w:tc>
      </w:tr>
      <w:tr>
        <w:trPr>
          <w:trHeight w:val="276"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二、投资活动产生的现金流量：</w:t>
            </w:r>
            <w:r>
              <w:rPr>
                <w:rFonts w:ascii="宋体" w:hAnsi="宋体" w:cs="宋体" w:eastAsia="宋体" w:hint="default"/>
                <w:sz w:val="20"/>
                <w:szCs w:val="20"/>
              </w:rPr>
            </w:r>
          </w:p>
        </w:tc>
        <w:tc>
          <w:tcPr>
            <w:tcW w:w="2102" w:type="dxa"/>
            <w:tcBorders>
              <w:top w:val="single" w:sz="6" w:space="0" w:color="000000"/>
              <w:left w:val="single" w:sz="6" w:space="0" w:color="000000"/>
              <w:bottom w:val="single" w:sz="6" w:space="0" w:color="000000"/>
              <w:right w:val="single" w:sz="6" w:space="0" w:color="000000"/>
            </w:tcBorders>
          </w:tcPr>
          <w:p>
            <w:pPr/>
          </w:p>
        </w:tc>
        <w:tc>
          <w:tcPr>
            <w:tcW w:w="2101" w:type="dxa"/>
            <w:tcBorders>
              <w:top w:val="single" w:sz="6" w:space="0" w:color="000000"/>
              <w:left w:val="single" w:sz="6" w:space="0" w:color="000000"/>
              <w:bottom w:val="single" w:sz="6" w:space="0" w:color="000000"/>
              <w:right w:val="single" w:sz="12" w:space="0" w:color="000000"/>
            </w:tcBorders>
          </w:tcPr>
          <w:p>
            <w:pP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收回投资收到的现金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4"/>
              <w:jc w:val="right"/>
              <w:rPr>
                <w:rFonts w:ascii="Times New Roman" w:hAnsi="Times New Roman" w:cs="Times New Roman" w:eastAsia="Times New Roman" w:hint="default"/>
                <w:sz w:val="20"/>
                <w:szCs w:val="20"/>
              </w:rPr>
            </w:pPr>
            <w:r>
              <w:rPr>
                <w:rFonts w:ascii="Times New Roman"/>
                <w:w w:val="95"/>
                <w:sz w:val="20"/>
              </w:rPr>
              <w:t>724,963,868.36</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38,202,964.32</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取得投资收益收到的现金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4"/>
              <w:jc w:val="right"/>
              <w:rPr>
                <w:rFonts w:ascii="Times New Roman" w:hAnsi="Times New Roman" w:cs="Times New Roman" w:eastAsia="Times New Roman" w:hint="default"/>
                <w:sz w:val="20"/>
                <w:szCs w:val="20"/>
              </w:rPr>
            </w:pPr>
            <w:r>
              <w:rPr>
                <w:rFonts w:ascii="Times New Roman"/>
                <w:w w:val="95"/>
                <w:sz w:val="20"/>
              </w:rPr>
              <w:t>70,796,974.64</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25,000,133.69</w:t>
            </w:r>
            <w:r>
              <w:rPr>
                <w:rFonts w:ascii="Times New Roman"/>
                <w:sz w:val="20"/>
              </w:rPr>
            </w:r>
          </w:p>
        </w:tc>
      </w:tr>
      <w:tr>
        <w:trPr>
          <w:trHeight w:val="250"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455"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26" w:lineRule="exact"/>
              <w:ind w:right="104"/>
              <w:jc w:val="right"/>
              <w:rPr>
                <w:rFonts w:ascii="Times New Roman" w:hAnsi="Times New Roman" w:cs="Times New Roman" w:eastAsia="Times New Roman" w:hint="default"/>
                <w:sz w:val="20"/>
                <w:szCs w:val="20"/>
              </w:rPr>
            </w:pPr>
            <w:r>
              <w:rPr>
                <w:rFonts w:ascii="Times New Roman"/>
                <w:w w:val="95"/>
                <w:sz w:val="20"/>
              </w:rPr>
              <w:t>20,174,009.20</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26" w:lineRule="exact"/>
              <w:ind w:right="94"/>
              <w:jc w:val="right"/>
              <w:rPr>
                <w:rFonts w:ascii="Times New Roman" w:hAnsi="Times New Roman" w:cs="Times New Roman" w:eastAsia="Times New Roman" w:hint="default"/>
                <w:sz w:val="20"/>
                <w:szCs w:val="20"/>
              </w:rPr>
            </w:pPr>
            <w:r>
              <w:rPr>
                <w:rFonts w:ascii="Times New Roman"/>
                <w:w w:val="95"/>
                <w:sz w:val="20"/>
              </w:rPr>
              <w:t>28,823,272.49</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处置子公司及其他营业单位收到的现金净额</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4"/>
              <w:jc w:val="right"/>
              <w:rPr>
                <w:rFonts w:ascii="Times New Roman" w:hAnsi="Times New Roman" w:cs="Times New Roman" w:eastAsia="Times New Roman" w:hint="default"/>
                <w:sz w:val="20"/>
                <w:szCs w:val="20"/>
              </w:rPr>
            </w:pPr>
            <w:r>
              <w:rPr>
                <w:rFonts w:ascii="Times New Roman"/>
                <w:spacing w:val="-1"/>
                <w:sz w:val="20"/>
              </w:rPr>
              <w:t>2,748,752,737.46</w:t>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32,126,245.16</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收到其他与投资活动有关的现金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4"/>
              <w:jc w:val="right"/>
              <w:rPr>
                <w:rFonts w:ascii="Times New Roman" w:hAnsi="Times New Roman" w:cs="Times New Roman" w:eastAsia="Times New Roman" w:hint="default"/>
                <w:sz w:val="20"/>
                <w:szCs w:val="20"/>
              </w:rPr>
            </w:pPr>
            <w:r>
              <w:rPr>
                <w:rFonts w:ascii="Times New Roman"/>
                <w:w w:val="95"/>
                <w:sz w:val="20"/>
              </w:rPr>
              <w:t>43,628,703.43</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4"/>
              <w:jc w:val="right"/>
              <w:rPr>
                <w:rFonts w:ascii="Times New Roman" w:hAnsi="Times New Roman" w:cs="Times New Roman" w:eastAsia="Times New Roman" w:hint="default"/>
                <w:sz w:val="20"/>
                <w:szCs w:val="20"/>
              </w:rPr>
            </w:pPr>
            <w:r>
              <w:rPr>
                <w:rFonts w:ascii="Times New Roman"/>
                <w:w w:val="95"/>
                <w:sz w:val="20"/>
              </w:rPr>
              <w:t>234,954,374.33</w:t>
            </w:r>
            <w:r>
              <w:rPr>
                <w:rFonts w:ascii="Times New Roman"/>
                <w:sz w:val="20"/>
              </w:rPr>
            </w:r>
          </w:p>
        </w:tc>
      </w:tr>
      <w:tr>
        <w:trPr>
          <w:trHeight w:val="276"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1593" w:right="0"/>
              <w:jc w:val="left"/>
              <w:rPr>
                <w:rFonts w:ascii="宋体" w:hAnsi="宋体" w:cs="宋体" w:eastAsia="宋体" w:hint="default"/>
                <w:sz w:val="20"/>
                <w:szCs w:val="20"/>
              </w:rPr>
            </w:pPr>
            <w:r>
              <w:rPr>
                <w:rFonts w:ascii="宋体" w:hAnsi="宋体" w:cs="宋体" w:eastAsia="宋体" w:hint="default"/>
                <w:sz w:val="20"/>
                <w:szCs w:val="20"/>
              </w:rPr>
              <w:t>投资活动现金流入小计</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b/>
                <w:spacing w:val="-1"/>
                <w:sz w:val="20"/>
              </w:rPr>
              <w:t>3,608,316,293.09</w:t>
            </w:r>
            <w:r>
              <w:rPr>
                <w:rFonts w:ascii="Times New Roman"/>
                <w:spacing w:val="-1"/>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4"/>
              <w:jc w:val="right"/>
              <w:rPr>
                <w:rFonts w:ascii="Times New Roman" w:hAnsi="Times New Roman" w:cs="Times New Roman" w:eastAsia="Times New Roman" w:hint="default"/>
                <w:sz w:val="20"/>
                <w:szCs w:val="20"/>
              </w:rPr>
            </w:pPr>
            <w:r>
              <w:rPr>
                <w:rFonts w:ascii="Times New Roman"/>
                <w:b/>
                <w:w w:val="95"/>
                <w:sz w:val="20"/>
              </w:rPr>
              <w:t>359,106,989.99</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购建固定资产、无形资产和其他长期资产支付的现金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4"/>
              <w:jc w:val="right"/>
              <w:rPr>
                <w:rFonts w:ascii="Times New Roman" w:hAnsi="Times New Roman" w:cs="Times New Roman" w:eastAsia="Times New Roman" w:hint="default"/>
                <w:sz w:val="20"/>
                <w:szCs w:val="20"/>
              </w:rPr>
            </w:pPr>
            <w:r>
              <w:rPr>
                <w:rFonts w:ascii="Times New Roman"/>
                <w:spacing w:val="-1"/>
                <w:sz w:val="20"/>
              </w:rPr>
              <w:t>1,161,567,029.79</w:t>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952,919,258.89</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投资支付的现金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4"/>
              <w:jc w:val="right"/>
              <w:rPr>
                <w:rFonts w:ascii="Times New Roman" w:hAnsi="Times New Roman" w:cs="Times New Roman" w:eastAsia="Times New Roman" w:hint="default"/>
                <w:sz w:val="20"/>
                <w:szCs w:val="20"/>
              </w:rPr>
            </w:pPr>
            <w:r>
              <w:rPr>
                <w:rFonts w:ascii="Times New Roman"/>
                <w:w w:val="95"/>
                <w:sz w:val="20"/>
              </w:rPr>
              <w:t>676,568,015.19</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5"/>
              <w:jc w:val="right"/>
              <w:rPr>
                <w:rFonts w:ascii="Times New Roman" w:hAnsi="Times New Roman" w:cs="Times New Roman" w:eastAsia="Times New Roman" w:hint="default"/>
                <w:sz w:val="20"/>
                <w:szCs w:val="20"/>
              </w:rPr>
            </w:pPr>
            <w:r>
              <w:rPr>
                <w:rFonts w:ascii="Times New Roman"/>
                <w:spacing w:val="-1"/>
                <w:sz w:val="20"/>
              </w:rPr>
              <w:t>1,265,985,245.39</w:t>
            </w:r>
          </w:p>
        </w:tc>
      </w:tr>
      <w:tr>
        <w:trPr>
          <w:trHeight w:val="276"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496" w:right="0"/>
              <w:jc w:val="left"/>
              <w:rPr>
                <w:rFonts w:ascii="宋体" w:hAnsi="宋体" w:cs="宋体" w:eastAsia="宋体" w:hint="default"/>
                <w:sz w:val="20"/>
                <w:szCs w:val="20"/>
              </w:rPr>
            </w:pPr>
            <w:r>
              <w:rPr>
                <w:rFonts w:ascii="宋体" w:hAnsi="宋体" w:cs="宋体" w:eastAsia="宋体" w:hint="default"/>
                <w:sz w:val="20"/>
                <w:szCs w:val="20"/>
              </w:rPr>
              <w:t>取得子公司及其他营业单位支付的现金净额</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4"/>
              <w:jc w:val="right"/>
              <w:rPr>
                <w:rFonts w:ascii="Times New Roman" w:hAnsi="Times New Roman" w:cs="Times New Roman" w:eastAsia="Times New Roman" w:hint="default"/>
                <w:sz w:val="20"/>
                <w:szCs w:val="20"/>
              </w:rPr>
            </w:pPr>
            <w:r>
              <w:rPr>
                <w:rFonts w:ascii="Times New Roman"/>
                <w:w w:val="95"/>
                <w:sz w:val="20"/>
              </w:rPr>
              <w:t>131,643,529.22</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4"/>
              <w:jc w:val="right"/>
              <w:rPr>
                <w:rFonts w:ascii="Times New Roman" w:hAnsi="Times New Roman" w:cs="Times New Roman" w:eastAsia="Times New Roman" w:hint="default"/>
                <w:sz w:val="20"/>
                <w:szCs w:val="20"/>
              </w:rPr>
            </w:pPr>
            <w:r>
              <w:rPr>
                <w:rFonts w:ascii="Times New Roman"/>
                <w:w w:val="95"/>
                <w:sz w:val="20"/>
              </w:rPr>
              <w:t>92,676,970.94</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支付其他与投资活动有关的现金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4"/>
              <w:jc w:val="right"/>
              <w:rPr>
                <w:rFonts w:ascii="Times New Roman" w:hAnsi="Times New Roman" w:cs="Times New Roman" w:eastAsia="Times New Roman" w:hint="default"/>
                <w:sz w:val="20"/>
                <w:szCs w:val="20"/>
              </w:rPr>
            </w:pPr>
            <w:r>
              <w:rPr>
                <w:rFonts w:ascii="Times New Roman"/>
                <w:w w:val="95"/>
                <w:sz w:val="20"/>
              </w:rPr>
              <w:t>82,720,041.30</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74,695,532.15</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593" w:right="0"/>
              <w:jc w:val="left"/>
              <w:rPr>
                <w:rFonts w:ascii="宋体" w:hAnsi="宋体" w:cs="宋体" w:eastAsia="宋体" w:hint="default"/>
                <w:sz w:val="20"/>
                <w:szCs w:val="20"/>
              </w:rPr>
            </w:pPr>
            <w:r>
              <w:rPr>
                <w:rFonts w:ascii="宋体" w:hAnsi="宋体" w:cs="宋体" w:eastAsia="宋体" w:hint="default"/>
                <w:sz w:val="20"/>
                <w:szCs w:val="20"/>
              </w:rPr>
              <w:t>投资活动现金流出小计</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b/>
                <w:spacing w:val="-1"/>
                <w:sz w:val="20"/>
              </w:rPr>
              <w:t>2,052,498,615.50</w:t>
            </w:r>
            <w:r>
              <w:rPr>
                <w:rFonts w:ascii="Times New Roman"/>
                <w:spacing w:val="-1"/>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5"/>
              <w:jc w:val="right"/>
              <w:rPr>
                <w:rFonts w:ascii="Times New Roman" w:hAnsi="Times New Roman" w:cs="Times New Roman" w:eastAsia="Times New Roman" w:hint="default"/>
                <w:sz w:val="20"/>
                <w:szCs w:val="20"/>
              </w:rPr>
            </w:pPr>
            <w:r>
              <w:rPr>
                <w:rFonts w:ascii="Times New Roman"/>
                <w:b/>
                <w:spacing w:val="-1"/>
                <w:sz w:val="20"/>
              </w:rPr>
              <w:t>2,386,277,007.37</w:t>
            </w:r>
            <w:r>
              <w:rPr>
                <w:rFonts w:ascii="Times New Roman"/>
                <w:spacing w:val="-1"/>
                <w:sz w:val="20"/>
              </w:rPr>
            </w:r>
          </w:p>
        </w:tc>
      </w:tr>
      <w:tr>
        <w:trPr>
          <w:trHeight w:val="276"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1293" w:right="0"/>
              <w:jc w:val="left"/>
              <w:rPr>
                <w:rFonts w:ascii="宋体" w:hAnsi="宋体" w:cs="宋体" w:eastAsia="宋体" w:hint="default"/>
                <w:sz w:val="20"/>
                <w:szCs w:val="20"/>
              </w:rPr>
            </w:pPr>
            <w:r>
              <w:rPr>
                <w:rFonts w:ascii="宋体" w:hAnsi="宋体" w:cs="宋体" w:eastAsia="宋体" w:hint="default"/>
                <w:sz w:val="20"/>
                <w:szCs w:val="20"/>
              </w:rPr>
              <w:t>投资活动产生的现金流量净额</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b/>
                <w:spacing w:val="-1"/>
                <w:sz w:val="20"/>
              </w:rPr>
              <w:t>1,555,817,677.59</w:t>
            </w:r>
            <w:r>
              <w:rPr>
                <w:rFonts w:ascii="Times New Roman"/>
                <w:spacing w:val="-1"/>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5"/>
              <w:jc w:val="right"/>
              <w:rPr>
                <w:rFonts w:ascii="Times New Roman" w:hAnsi="Times New Roman" w:cs="Times New Roman" w:eastAsia="Times New Roman" w:hint="default"/>
                <w:sz w:val="20"/>
                <w:szCs w:val="20"/>
              </w:rPr>
            </w:pPr>
            <w:r>
              <w:rPr>
                <w:rFonts w:ascii="Times New Roman"/>
                <w:b/>
                <w:w w:val="95"/>
                <w:sz w:val="20"/>
              </w:rPr>
              <w:t>-2,027,170,017.38</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三、筹资活动产生的现金流量：</w:t>
            </w:r>
            <w:r>
              <w:rPr>
                <w:rFonts w:ascii="宋体" w:hAnsi="宋体" w:cs="宋体" w:eastAsia="宋体" w:hint="default"/>
                <w:sz w:val="20"/>
                <w:szCs w:val="20"/>
              </w:rPr>
            </w:r>
          </w:p>
        </w:tc>
        <w:tc>
          <w:tcPr>
            <w:tcW w:w="2102" w:type="dxa"/>
            <w:tcBorders>
              <w:top w:val="single" w:sz="6" w:space="0" w:color="000000"/>
              <w:left w:val="single" w:sz="6" w:space="0" w:color="000000"/>
              <w:bottom w:val="single" w:sz="6" w:space="0" w:color="000000"/>
              <w:right w:val="single" w:sz="6" w:space="0" w:color="000000"/>
            </w:tcBorders>
          </w:tcPr>
          <w:p>
            <w:pPr/>
          </w:p>
        </w:tc>
        <w:tc>
          <w:tcPr>
            <w:tcW w:w="2101" w:type="dxa"/>
            <w:tcBorders>
              <w:top w:val="single" w:sz="6" w:space="0" w:color="000000"/>
              <w:left w:val="single" w:sz="6" w:space="0" w:color="000000"/>
              <w:bottom w:val="single" w:sz="6" w:space="0" w:color="000000"/>
              <w:right w:val="single" w:sz="12" w:space="0" w:color="000000"/>
            </w:tcBorders>
          </w:tcPr>
          <w:p>
            <w:pP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吸收投资收到的现金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4"/>
              <w:jc w:val="right"/>
              <w:rPr>
                <w:rFonts w:ascii="Times New Roman" w:hAnsi="Times New Roman" w:cs="Times New Roman" w:eastAsia="Times New Roman" w:hint="default"/>
                <w:sz w:val="20"/>
                <w:szCs w:val="20"/>
              </w:rPr>
            </w:pPr>
            <w:r>
              <w:rPr>
                <w:rFonts w:ascii="Times New Roman"/>
                <w:spacing w:val="-1"/>
                <w:sz w:val="20"/>
              </w:rPr>
              <w:t>6,090,683,931.24</w:t>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2"/>
              <w:jc w:val="right"/>
              <w:rPr>
                <w:rFonts w:ascii="Times New Roman" w:hAnsi="Times New Roman" w:cs="Times New Roman" w:eastAsia="Times New Roman" w:hint="default"/>
                <w:sz w:val="20"/>
                <w:szCs w:val="20"/>
              </w:rPr>
            </w:pPr>
            <w:r>
              <w:rPr>
                <w:rFonts w:ascii="Times New Roman"/>
                <w:w w:val="95"/>
                <w:sz w:val="20"/>
              </w:rPr>
              <w:t>9,809,680.00</w:t>
            </w:r>
            <w:r>
              <w:rPr>
                <w:rFonts w:ascii="Times New Roman"/>
                <w:sz w:val="20"/>
              </w:rPr>
            </w:r>
          </w:p>
        </w:tc>
      </w:tr>
      <w:tr>
        <w:trPr>
          <w:trHeight w:val="276"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47" w:lineRule="exact"/>
              <w:ind w:left="695" w:right="0"/>
              <w:jc w:val="left"/>
              <w:rPr>
                <w:rFonts w:ascii="宋体" w:hAnsi="宋体" w:cs="宋体" w:eastAsia="宋体" w:hint="default"/>
                <w:sz w:val="20"/>
                <w:szCs w:val="20"/>
              </w:rPr>
            </w:pPr>
            <w:r>
              <w:rPr>
                <w:rFonts w:ascii="宋体" w:hAnsi="宋体" w:cs="宋体" w:eastAsia="宋体" w:hint="default"/>
                <w:sz w:val="20"/>
                <w:szCs w:val="20"/>
              </w:rPr>
              <w:t>其中</w:t>
            </w:r>
            <w:r>
              <w:rPr>
                <w:rFonts w:ascii="Times New Roman" w:hAnsi="Times New Roman" w:cs="Times New Roman" w:eastAsia="Times New Roman" w:hint="default"/>
                <w:sz w:val="20"/>
                <w:szCs w:val="20"/>
              </w:rPr>
              <w:t>:</w:t>
            </w:r>
            <w:r>
              <w:rPr>
                <w:rFonts w:ascii="宋体" w:hAnsi="宋体" w:cs="宋体" w:eastAsia="宋体" w:hint="default"/>
                <w:sz w:val="20"/>
                <w:szCs w:val="20"/>
              </w:rPr>
              <w:t>子公司吸收少数股东投资收到的现金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4"/>
              <w:jc w:val="right"/>
              <w:rPr>
                <w:rFonts w:ascii="Times New Roman" w:hAnsi="Times New Roman" w:cs="Times New Roman" w:eastAsia="Times New Roman" w:hint="default"/>
                <w:sz w:val="20"/>
                <w:szCs w:val="20"/>
              </w:rPr>
            </w:pPr>
            <w:r>
              <w:rPr>
                <w:rFonts w:ascii="Times New Roman"/>
                <w:w w:val="95"/>
                <w:sz w:val="20"/>
              </w:rPr>
              <w:t>615,483,931.90</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2"/>
              <w:jc w:val="right"/>
              <w:rPr>
                <w:rFonts w:ascii="Times New Roman" w:hAnsi="Times New Roman" w:cs="Times New Roman" w:eastAsia="Times New Roman" w:hint="default"/>
                <w:sz w:val="20"/>
                <w:szCs w:val="20"/>
              </w:rPr>
            </w:pPr>
            <w:r>
              <w:rPr>
                <w:rFonts w:ascii="Times New Roman"/>
                <w:w w:val="95"/>
                <w:sz w:val="20"/>
              </w:rPr>
              <w:t>9,809,680.00</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取得借款收到的现金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4"/>
              <w:jc w:val="right"/>
              <w:rPr>
                <w:rFonts w:ascii="Times New Roman" w:hAnsi="Times New Roman" w:cs="Times New Roman" w:eastAsia="Times New Roman" w:hint="default"/>
                <w:sz w:val="20"/>
                <w:szCs w:val="20"/>
              </w:rPr>
            </w:pPr>
            <w:r>
              <w:rPr>
                <w:rFonts w:ascii="Times New Roman"/>
                <w:w w:val="95"/>
                <w:sz w:val="20"/>
              </w:rPr>
              <w:t>14,591,080,152.40</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5"/>
              <w:jc w:val="right"/>
              <w:rPr>
                <w:rFonts w:ascii="Times New Roman" w:hAnsi="Times New Roman" w:cs="Times New Roman" w:eastAsia="Times New Roman" w:hint="default"/>
                <w:sz w:val="20"/>
                <w:szCs w:val="20"/>
              </w:rPr>
            </w:pPr>
            <w:r>
              <w:rPr>
                <w:rFonts w:ascii="Times New Roman"/>
                <w:w w:val="95"/>
                <w:sz w:val="20"/>
              </w:rPr>
              <w:t>16,973,862,949.17</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发行债券收到的现金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4"/>
              <w:jc w:val="right"/>
              <w:rPr>
                <w:rFonts w:ascii="Times New Roman" w:hAnsi="Times New Roman" w:cs="Times New Roman" w:eastAsia="Times New Roman" w:hint="default"/>
                <w:sz w:val="20"/>
                <w:szCs w:val="20"/>
              </w:rPr>
            </w:pPr>
            <w:r>
              <w:rPr>
                <w:rFonts w:ascii="Times New Roman"/>
                <w:spacing w:val="-1"/>
                <w:sz w:val="20"/>
              </w:rPr>
              <w:t>5,000,000,000.00</w:t>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5"/>
              <w:jc w:val="right"/>
              <w:rPr>
                <w:rFonts w:ascii="Times New Roman" w:hAnsi="Times New Roman" w:cs="Times New Roman" w:eastAsia="Times New Roman" w:hint="default"/>
                <w:sz w:val="20"/>
                <w:szCs w:val="20"/>
              </w:rPr>
            </w:pPr>
            <w:r>
              <w:rPr>
                <w:rFonts w:ascii="Times New Roman"/>
                <w:spacing w:val="-1"/>
                <w:sz w:val="20"/>
              </w:rPr>
              <w:t>2,500,000,000.00</w:t>
            </w:r>
          </w:p>
        </w:tc>
      </w:tr>
      <w:tr>
        <w:trPr>
          <w:trHeight w:val="276"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496" w:right="0"/>
              <w:jc w:val="left"/>
              <w:rPr>
                <w:rFonts w:ascii="宋体" w:hAnsi="宋体" w:cs="宋体" w:eastAsia="宋体" w:hint="default"/>
                <w:sz w:val="20"/>
                <w:szCs w:val="20"/>
              </w:rPr>
            </w:pPr>
            <w:r>
              <w:rPr>
                <w:rFonts w:ascii="宋体" w:hAnsi="宋体" w:cs="宋体" w:eastAsia="宋体" w:hint="default"/>
                <w:sz w:val="20"/>
                <w:szCs w:val="20"/>
              </w:rPr>
              <w:t>收到其他与筹资活动有关的现金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4"/>
              <w:jc w:val="right"/>
              <w:rPr>
                <w:rFonts w:ascii="Times New Roman" w:hAnsi="Times New Roman" w:cs="Times New Roman" w:eastAsia="Times New Roman" w:hint="default"/>
                <w:sz w:val="20"/>
                <w:szCs w:val="20"/>
              </w:rPr>
            </w:pPr>
            <w:r>
              <w:rPr>
                <w:rFonts w:ascii="Times New Roman"/>
                <w:w w:val="95"/>
                <w:sz w:val="20"/>
              </w:rPr>
              <w:t>301,088,497.54</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4"/>
              <w:jc w:val="right"/>
              <w:rPr>
                <w:rFonts w:ascii="Times New Roman" w:hAnsi="Times New Roman" w:cs="Times New Roman" w:eastAsia="Times New Roman" w:hint="default"/>
                <w:sz w:val="20"/>
                <w:szCs w:val="20"/>
              </w:rPr>
            </w:pPr>
            <w:r>
              <w:rPr>
                <w:rFonts w:ascii="Times New Roman"/>
                <w:w w:val="95"/>
                <w:sz w:val="20"/>
              </w:rPr>
              <w:t>225,404,875.47</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593" w:right="0"/>
              <w:jc w:val="left"/>
              <w:rPr>
                <w:rFonts w:ascii="宋体" w:hAnsi="宋体" w:cs="宋体" w:eastAsia="宋体" w:hint="default"/>
                <w:sz w:val="20"/>
                <w:szCs w:val="20"/>
              </w:rPr>
            </w:pPr>
            <w:r>
              <w:rPr>
                <w:rFonts w:ascii="宋体" w:hAnsi="宋体" w:cs="宋体" w:eastAsia="宋体" w:hint="default"/>
                <w:sz w:val="20"/>
                <w:szCs w:val="20"/>
              </w:rPr>
              <w:t>筹资活动现金流入小计</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b/>
                <w:w w:val="95"/>
                <w:sz w:val="20"/>
              </w:rPr>
              <w:t>25,982,852,581.18</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5"/>
              <w:jc w:val="right"/>
              <w:rPr>
                <w:rFonts w:ascii="Times New Roman" w:hAnsi="Times New Roman" w:cs="Times New Roman" w:eastAsia="Times New Roman" w:hint="default"/>
                <w:sz w:val="20"/>
                <w:szCs w:val="20"/>
              </w:rPr>
            </w:pPr>
            <w:r>
              <w:rPr>
                <w:rFonts w:ascii="Times New Roman"/>
                <w:b/>
                <w:w w:val="95"/>
                <w:sz w:val="20"/>
              </w:rPr>
              <w:t>19,709,077,504.64</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偿还债务支付的现金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04"/>
              <w:jc w:val="right"/>
              <w:rPr>
                <w:rFonts w:ascii="Times New Roman" w:hAnsi="Times New Roman" w:cs="Times New Roman" w:eastAsia="Times New Roman" w:hint="default"/>
                <w:sz w:val="20"/>
                <w:szCs w:val="20"/>
              </w:rPr>
            </w:pPr>
            <w:r>
              <w:rPr>
                <w:rFonts w:ascii="Times New Roman"/>
                <w:w w:val="95"/>
                <w:sz w:val="20"/>
              </w:rPr>
              <w:t>23,152,141,641.22</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5"/>
              <w:jc w:val="right"/>
              <w:rPr>
                <w:rFonts w:ascii="Times New Roman" w:hAnsi="Times New Roman" w:cs="Times New Roman" w:eastAsia="Times New Roman" w:hint="default"/>
                <w:sz w:val="20"/>
                <w:szCs w:val="20"/>
              </w:rPr>
            </w:pPr>
            <w:r>
              <w:rPr>
                <w:rFonts w:ascii="Times New Roman"/>
                <w:w w:val="95"/>
                <w:sz w:val="20"/>
              </w:rPr>
              <w:t>16,164,796,992.57</w:t>
            </w:r>
            <w:r>
              <w:rPr>
                <w:rFonts w:ascii="Times New Roman"/>
                <w:sz w:val="20"/>
              </w:rPr>
            </w:r>
          </w:p>
        </w:tc>
      </w:tr>
      <w:tr>
        <w:trPr>
          <w:trHeight w:val="276"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496" w:right="0"/>
              <w:jc w:val="left"/>
              <w:rPr>
                <w:rFonts w:ascii="宋体" w:hAnsi="宋体" w:cs="宋体" w:eastAsia="宋体" w:hint="default"/>
                <w:sz w:val="20"/>
                <w:szCs w:val="20"/>
              </w:rPr>
            </w:pPr>
            <w:r>
              <w:rPr>
                <w:rFonts w:ascii="宋体" w:hAnsi="宋体" w:cs="宋体" w:eastAsia="宋体" w:hint="default"/>
                <w:sz w:val="20"/>
                <w:szCs w:val="20"/>
              </w:rPr>
              <w:t>分配股利、利润或偿付利息支付的现金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4"/>
              <w:jc w:val="right"/>
              <w:rPr>
                <w:rFonts w:ascii="Times New Roman" w:hAnsi="Times New Roman" w:cs="Times New Roman" w:eastAsia="Times New Roman" w:hint="default"/>
                <w:sz w:val="20"/>
                <w:szCs w:val="20"/>
              </w:rPr>
            </w:pPr>
            <w:r>
              <w:rPr>
                <w:rFonts w:ascii="Times New Roman"/>
                <w:spacing w:val="-1"/>
                <w:sz w:val="20"/>
              </w:rPr>
              <w:t>1,349,197,171.29</w:t>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5"/>
              <w:jc w:val="right"/>
              <w:rPr>
                <w:rFonts w:ascii="Times New Roman" w:hAnsi="Times New Roman" w:cs="Times New Roman" w:eastAsia="Times New Roman" w:hint="default"/>
                <w:sz w:val="20"/>
                <w:szCs w:val="20"/>
              </w:rPr>
            </w:pPr>
            <w:r>
              <w:rPr>
                <w:rFonts w:ascii="Times New Roman"/>
                <w:spacing w:val="-1"/>
                <w:sz w:val="20"/>
              </w:rPr>
              <w:t>1,228,345,978.95</w:t>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45" w:lineRule="exact"/>
              <w:ind w:left="695" w:right="0"/>
              <w:jc w:val="left"/>
              <w:rPr>
                <w:rFonts w:ascii="宋体" w:hAnsi="宋体" w:cs="宋体" w:eastAsia="宋体" w:hint="default"/>
                <w:sz w:val="20"/>
                <w:szCs w:val="20"/>
              </w:rPr>
            </w:pPr>
            <w:r>
              <w:rPr>
                <w:rFonts w:ascii="宋体" w:hAnsi="宋体" w:cs="宋体" w:eastAsia="宋体" w:hint="default"/>
                <w:sz w:val="20"/>
                <w:szCs w:val="20"/>
              </w:rPr>
              <w:t>其中</w:t>
            </w:r>
            <w:r>
              <w:rPr>
                <w:rFonts w:ascii="Times New Roman" w:hAnsi="Times New Roman" w:cs="Times New Roman" w:eastAsia="Times New Roman" w:hint="default"/>
                <w:sz w:val="20"/>
                <w:szCs w:val="20"/>
              </w:rPr>
              <w:t>:</w:t>
            </w:r>
            <w:r>
              <w:rPr>
                <w:rFonts w:ascii="宋体" w:hAnsi="宋体" w:cs="宋体" w:eastAsia="宋体" w:hint="default"/>
                <w:sz w:val="20"/>
                <w:szCs w:val="20"/>
              </w:rPr>
              <w:t>子公司支付少数股东的股利、利润</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4"/>
              <w:jc w:val="right"/>
              <w:rPr>
                <w:rFonts w:ascii="Times New Roman" w:hAnsi="Times New Roman" w:cs="Times New Roman" w:eastAsia="Times New Roman" w:hint="default"/>
                <w:sz w:val="20"/>
                <w:szCs w:val="20"/>
              </w:rPr>
            </w:pPr>
            <w:r>
              <w:rPr>
                <w:rFonts w:ascii="Times New Roman"/>
                <w:w w:val="95"/>
                <w:sz w:val="20"/>
              </w:rPr>
              <w:t>91,870,272.40</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79,185,136.20</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支付其他与筹资活动有关的现金</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4"/>
              <w:jc w:val="right"/>
              <w:rPr>
                <w:rFonts w:ascii="Times New Roman" w:hAnsi="Times New Roman" w:cs="Times New Roman" w:eastAsia="Times New Roman" w:hint="default"/>
                <w:sz w:val="20"/>
                <w:szCs w:val="20"/>
              </w:rPr>
            </w:pPr>
            <w:r>
              <w:rPr>
                <w:rFonts w:ascii="Times New Roman"/>
                <w:spacing w:val="-1"/>
                <w:sz w:val="20"/>
              </w:rPr>
              <w:t>2,145,575,303.93</w:t>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252,188,799.67</w:t>
            </w:r>
            <w:r>
              <w:rPr>
                <w:rFonts w:ascii="Times New Roman"/>
                <w:sz w:val="20"/>
              </w:rPr>
            </w:r>
          </w:p>
        </w:tc>
      </w:tr>
      <w:tr>
        <w:trPr>
          <w:trHeight w:val="276"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1593" w:right="0"/>
              <w:jc w:val="left"/>
              <w:rPr>
                <w:rFonts w:ascii="宋体" w:hAnsi="宋体" w:cs="宋体" w:eastAsia="宋体" w:hint="default"/>
                <w:sz w:val="20"/>
                <w:szCs w:val="20"/>
              </w:rPr>
            </w:pPr>
            <w:r>
              <w:rPr>
                <w:rFonts w:ascii="宋体" w:hAnsi="宋体" w:cs="宋体" w:eastAsia="宋体" w:hint="default"/>
                <w:sz w:val="20"/>
                <w:szCs w:val="20"/>
              </w:rPr>
              <w:t>筹资活动现金流出小计</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b/>
                <w:w w:val="95"/>
                <w:sz w:val="20"/>
              </w:rPr>
              <w:t>26,646,914,116.44</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5"/>
              <w:jc w:val="right"/>
              <w:rPr>
                <w:rFonts w:ascii="Times New Roman" w:hAnsi="Times New Roman" w:cs="Times New Roman" w:eastAsia="Times New Roman" w:hint="default"/>
                <w:sz w:val="20"/>
                <w:szCs w:val="20"/>
              </w:rPr>
            </w:pPr>
            <w:r>
              <w:rPr>
                <w:rFonts w:ascii="Times New Roman"/>
                <w:b/>
                <w:w w:val="95"/>
                <w:sz w:val="20"/>
              </w:rPr>
              <w:t>17,645,331,771.19</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293" w:right="0"/>
              <w:jc w:val="left"/>
              <w:rPr>
                <w:rFonts w:ascii="宋体" w:hAnsi="宋体" w:cs="宋体" w:eastAsia="宋体" w:hint="default"/>
                <w:sz w:val="20"/>
                <w:szCs w:val="20"/>
              </w:rPr>
            </w:pPr>
            <w:r>
              <w:rPr>
                <w:rFonts w:ascii="宋体" w:hAnsi="宋体" w:cs="宋体" w:eastAsia="宋体" w:hint="default"/>
                <w:sz w:val="20"/>
                <w:szCs w:val="20"/>
              </w:rPr>
              <w:t>筹资活动产生的现金流量净额</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20"/>
                <w:szCs w:val="20"/>
              </w:rPr>
            </w:pPr>
            <w:r>
              <w:rPr>
                <w:rFonts w:ascii="Times New Roman"/>
                <w:b/>
                <w:w w:val="95"/>
                <w:sz w:val="20"/>
              </w:rPr>
              <w:t>-664,061,535.26</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5"/>
              <w:jc w:val="right"/>
              <w:rPr>
                <w:rFonts w:ascii="Times New Roman" w:hAnsi="Times New Roman" w:cs="Times New Roman" w:eastAsia="Times New Roman" w:hint="default"/>
                <w:sz w:val="20"/>
                <w:szCs w:val="20"/>
              </w:rPr>
            </w:pPr>
            <w:r>
              <w:rPr>
                <w:rFonts w:ascii="Times New Roman"/>
                <w:b/>
                <w:spacing w:val="-1"/>
                <w:sz w:val="20"/>
              </w:rPr>
              <w:t>2,063,745,733.45</w:t>
            </w:r>
            <w:r>
              <w:rPr>
                <w:rFonts w:ascii="Times New Roman"/>
                <w:spacing w:val="-1"/>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四、汇率变动对现金及现金等价物的影响</w:t>
            </w:r>
            <w:r>
              <w:rPr>
                <w:rFonts w:ascii="宋体" w:hAnsi="宋体" w:cs="宋体" w:eastAsia="宋体" w:hint="default"/>
                <w:sz w:val="20"/>
                <w:szCs w:val="20"/>
              </w:rPr>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4"/>
              <w:jc w:val="right"/>
              <w:rPr>
                <w:rFonts w:ascii="Times New Roman" w:hAnsi="Times New Roman" w:cs="Times New Roman" w:eastAsia="Times New Roman" w:hint="default"/>
                <w:sz w:val="20"/>
                <w:szCs w:val="20"/>
              </w:rPr>
            </w:pPr>
            <w:r>
              <w:rPr>
                <w:rFonts w:ascii="Times New Roman"/>
                <w:w w:val="95"/>
                <w:sz w:val="20"/>
              </w:rPr>
              <w:t>117,907,531.74</w:t>
            </w:r>
            <w:r>
              <w:rPr>
                <w:rFonts w:ascii="Times New Roman"/>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4"/>
              <w:jc w:val="right"/>
              <w:rPr>
                <w:rFonts w:ascii="Times New Roman" w:hAnsi="Times New Roman" w:cs="Times New Roman" w:eastAsia="Times New Roman" w:hint="default"/>
                <w:sz w:val="20"/>
                <w:szCs w:val="20"/>
              </w:rPr>
            </w:pPr>
            <w:r>
              <w:rPr>
                <w:rFonts w:ascii="Times New Roman"/>
                <w:w w:val="95"/>
                <w:sz w:val="20"/>
              </w:rPr>
              <w:t>-59,936,729.60</w:t>
            </w:r>
            <w:r>
              <w:rPr>
                <w:rFonts w:ascii="Times New Roman"/>
                <w:sz w:val="20"/>
              </w:rPr>
            </w:r>
          </w:p>
        </w:tc>
      </w:tr>
      <w:tr>
        <w:trPr>
          <w:trHeight w:val="276"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五、现金及现金等价物净增加额</w:t>
            </w:r>
            <w:r>
              <w:rPr>
                <w:rFonts w:ascii="宋体" w:hAnsi="宋体" w:cs="宋体" w:eastAsia="宋体" w:hint="default"/>
                <w:sz w:val="20"/>
                <w:szCs w:val="20"/>
              </w:rPr>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4"/>
              <w:jc w:val="right"/>
              <w:rPr>
                <w:rFonts w:ascii="Times New Roman" w:hAnsi="Times New Roman" w:cs="Times New Roman" w:eastAsia="Times New Roman" w:hint="default"/>
                <w:sz w:val="20"/>
                <w:szCs w:val="20"/>
              </w:rPr>
            </w:pPr>
            <w:r>
              <w:rPr>
                <w:rFonts w:ascii="Times New Roman"/>
                <w:b/>
                <w:spacing w:val="-1"/>
                <w:sz w:val="20"/>
              </w:rPr>
              <w:t>3,510,428,682.39</w:t>
            </w:r>
            <w:r>
              <w:rPr>
                <w:rFonts w:ascii="Times New Roman"/>
                <w:spacing w:val="-1"/>
                <w:sz w:val="20"/>
              </w:rPr>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4"/>
              <w:jc w:val="right"/>
              <w:rPr>
                <w:rFonts w:ascii="Times New Roman" w:hAnsi="Times New Roman" w:cs="Times New Roman" w:eastAsia="Times New Roman" w:hint="default"/>
                <w:sz w:val="20"/>
                <w:szCs w:val="20"/>
              </w:rPr>
            </w:pPr>
            <w:r>
              <w:rPr>
                <w:rFonts w:ascii="Times New Roman"/>
                <w:b/>
                <w:w w:val="95"/>
                <w:sz w:val="20"/>
              </w:rPr>
              <w:t>832,742,291.16</w:t>
            </w:r>
            <w:r>
              <w:rPr>
                <w:rFonts w:ascii="Times New Roman"/>
                <w:sz w:val="20"/>
              </w:rPr>
            </w:r>
          </w:p>
        </w:tc>
      </w:tr>
      <w:tr>
        <w:trPr>
          <w:trHeight w:val="274" w:hRule="exact"/>
        </w:trPr>
        <w:tc>
          <w:tcPr>
            <w:tcW w:w="5216"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sz w:val="20"/>
                <w:szCs w:val="20"/>
              </w:rPr>
              <w:t>加：期初现金及现金等价物余额</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4"/>
              <w:jc w:val="right"/>
              <w:rPr>
                <w:rFonts w:ascii="Times New Roman" w:hAnsi="Times New Roman" w:cs="Times New Roman" w:eastAsia="Times New Roman" w:hint="default"/>
                <w:sz w:val="20"/>
                <w:szCs w:val="20"/>
              </w:rPr>
            </w:pPr>
            <w:r>
              <w:rPr>
                <w:rFonts w:ascii="Times New Roman"/>
                <w:spacing w:val="-1"/>
                <w:sz w:val="20"/>
              </w:rPr>
              <w:t>6,177,305,953.83</w:t>
            </w:r>
          </w:p>
        </w:tc>
        <w:tc>
          <w:tcPr>
            <w:tcW w:w="21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5"/>
              <w:jc w:val="right"/>
              <w:rPr>
                <w:rFonts w:ascii="Times New Roman" w:hAnsi="Times New Roman" w:cs="Times New Roman" w:eastAsia="Times New Roman" w:hint="default"/>
                <w:sz w:val="20"/>
                <w:szCs w:val="20"/>
              </w:rPr>
            </w:pPr>
            <w:r>
              <w:rPr>
                <w:rFonts w:ascii="Times New Roman"/>
                <w:spacing w:val="-1"/>
                <w:sz w:val="20"/>
              </w:rPr>
              <w:t>5,344,563,662.67</w:t>
            </w:r>
          </w:p>
        </w:tc>
      </w:tr>
      <w:tr>
        <w:trPr>
          <w:trHeight w:val="281" w:hRule="exact"/>
        </w:trPr>
        <w:tc>
          <w:tcPr>
            <w:tcW w:w="5216" w:type="dxa"/>
            <w:tcBorders>
              <w:top w:val="single" w:sz="6" w:space="0" w:color="000000"/>
              <w:left w:val="single" w:sz="12" w:space="0" w:color="000000"/>
              <w:bottom w:val="single" w:sz="12"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六、期末现金及现金等价物余额</w:t>
            </w:r>
            <w:r>
              <w:rPr>
                <w:rFonts w:ascii="宋体" w:hAnsi="宋体" w:cs="宋体" w:eastAsia="宋体" w:hint="default"/>
                <w:sz w:val="20"/>
                <w:szCs w:val="20"/>
              </w:rPr>
            </w:r>
          </w:p>
        </w:tc>
        <w:tc>
          <w:tcPr>
            <w:tcW w:w="21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104"/>
              <w:jc w:val="right"/>
              <w:rPr>
                <w:rFonts w:ascii="Times New Roman" w:hAnsi="Times New Roman" w:cs="Times New Roman" w:eastAsia="Times New Roman" w:hint="default"/>
                <w:sz w:val="20"/>
                <w:szCs w:val="20"/>
              </w:rPr>
            </w:pPr>
            <w:r>
              <w:rPr>
                <w:rFonts w:ascii="Times New Roman"/>
                <w:b/>
                <w:spacing w:val="-1"/>
                <w:sz w:val="20"/>
              </w:rPr>
              <w:t>9,687,734,636.22</w:t>
            </w:r>
            <w:r>
              <w:rPr>
                <w:rFonts w:ascii="Times New Roman"/>
                <w:spacing w:val="-1"/>
                <w:sz w:val="20"/>
              </w:rPr>
            </w:r>
          </w:p>
        </w:tc>
        <w:tc>
          <w:tcPr>
            <w:tcW w:w="210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
              <w:ind w:right="95"/>
              <w:jc w:val="right"/>
              <w:rPr>
                <w:rFonts w:ascii="Times New Roman" w:hAnsi="Times New Roman" w:cs="Times New Roman" w:eastAsia="Times New Roman" w:hint="default"/>
                <w:sz w:val="20"/>
                <w:szCs w:val="20"/>
              </w:rPr>
            </w:pPr>
            <w:r>
              <w:rPr>
                <w:rFonts w:ascii="Times New Roman"/>
                <w:b/>
                <w:spacing w:val="-1"/>
                <w:sz w:val="20"/>
              </w:rPr>
              <w:t>6,177,305,953.83</w:t>
            </w:r>
            <w:r>
              <w:rPr>
                <w:rFonts w:ascii="Times New Roman"/>
                <w:spacing w:val="-1"/>
                <w:sz w:val="20"/>
              </w:rPr>
            </w:r>
          </w:p>
        </w:tc>
      </w:tr>
    </w:tbl>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5"/>
          <w:szCs w:val="15"/>
        </w:rPr>
      </w:pPr>
    </w:p>
    <w:p>
      <w:pPr>
        <w:tabs>
          <w:tab w:pos="3810" w:val="left" w:leader="none"/>
          <w:tab w:pos="7065" w:val="left" w:leader="none"/>
        </w:tabs>
        <w:spacing w:before="36"/>
        <w:ind w:left="238" w:right="110" w:firstLine="0"/>
        <w:jc w:val="left"/>
        <w:rPr>
          <w:rFonts w:ascii="宋体" w:hAnsi="宋体" w:cs="宋体" w:eastAsia="宋体" w:hint="default"/>
          <w:sz w:val="21"/>
          <w:szCs w:val="21"/>
        </w:rPr>
      </w:pPr>
      <w:r>
        <w:rPr>
          <w:rFonts w:ascii="宋体" w:hAnsi="宋体" w:cs="宋体" w:eastAsia="宋体" w:hint="default"/>
          <w:spacing w:val="-1"/>
          <w:sz w:val="21"/>
          <w:szCs w:val="21"/>
        </w:rPr>
        <w:t>法定代表人：周立业</w:t>
        <w:tab/>
      </w:r>
      <w:r>
        <w:rPr>
          <w:rFonts w:ascii="宋体" w:hAnsi="宋体" w:cs="宋体" w:eastAsia="宋体" w:hint="default"/>
          <w:spacing w:val="-2"/>
          <w:sz w:val="21"/>
          <w:szCs w:val="21"/>
        </w:rPr>
        <w:t>财务负责人：刘卫东</w:t>
        <w:tab/>
        <w:t>会计机构负责人：王映浒</w:t>
      </w:r>
    </w:p>
    <w:p>
      <w:pPr>
        <w:spacing w:after="0"/>
        <w:jc w:val="left"/>
        <w:rPr>
          <w:rFonts w:ascii="宋体" w:hAnsi="宋体" w:cs="宋体" w:eastAsia="宋体" w:hint="default"/>
          <w:sz w:val="21"/>
          <w:szCs w:val="21"/>
        </w:rPr>
        <w:sectPr>
          <w:pgSz w:w="11910" w:h="16840"/>
          <w:pgMar w:header="628" w:footer="760" w:top="1960" w:bottom="960" w:left="1180" w:right="1040"/>
        </w:sectPr>
      </w:pPr>
    </w:p>
    <w:p>
      <w:pPr>
        <w:pStyle w:val="Heading3"/>
        <w:spacing w:line="310" w:lineRule="exact"/>
        <w:ind w:left="0" w:right="6"/>
        <w:jc w:val="center"/>
        <w:rPr>
          <w:b w:val="0"/>
          <w:bCs w:val="0"/>
        </w:rPr>
      </w:pPr>
      <w:r>
        <w:rPr/>
        <w:t>母公司现金流量表</w:t>
      </w:r>
      <w:r>
        <w:rPr>
          <w:b w:val="0"/>
          <w:bCs w:val="0"/>
        </w:rPr>
      </w:r>
    </w:p>
    <w:p>
      <w:pPr>
        <w:spacing w:line="240" w:lineRule="auto" w:before="4"/>
        <w:rPr>
          <w:rFonts w:ascii="宋体" w:hAnsi="宋体" w:cs="宋体" w:eastAsia="宋体" w:hint="default"/>
          <w:b/>
          <w:bCs/>
          <w:sz w:val="20"/>
          <w:szCs w:val="20"/>
        </w:rPr>
      </w:pPr>
    </w:p>
    <w:p>
      <w:pPr>
        <w:tabs>
          <w:tab w:pos="7818" w:val="left" w:leader="none"/>
        </w:tabs>
        <w:spacing w:before="0"/>
        <w:ind w:left="0" w:right="3" w:firstLine="0"/>
        <w:jc w:val="center"/>
        <w:rPr>
          <w:rFonts w:ascii="宋体" w:hAnsi="宋体" w:cs="宋体" w:eastAsia="宋体" w:hint="default"/>
          <w:sz w:val="20"/>
          <w:szCs w:val="20"/>
        </w:rPr>
      </w:pPr>
      <w:r>
        <w:rPr>
          <w:rFonts w:ascii="宋体" w:hAnsi="宋体" w:cs="宋体" w:eastAsia="宋体" w:hint="default"/>
          <w:b/>
          <w:bCs/>
          <w:spacing w:val="-1"/>
          <w:w w:val="95"/>
          <w:sz w:val="20"/>
          <w:szCs w:val="20"/>
        </w:rPr>
        <w:t>编制单位：同方股份有限公司</w:t>
        <w:tab/>
      </w:r>
      <w:r>
        <w:rPr>
          <w:rFonts w:ascii="宋体" w:hAnsi="宋体" w:cs="宋体" w:eastAsia="宋体" w:hint="default"/>
          <w:b/>
          <w:bCs/>
          <w:spacing w:val="-2"/>
          <w:sz w:val="20"/>
          <w:szCs w:val="20"/>
        </w:rPr>
        <w:t>单位：人民币元</w:t>
      </w:r>
      <w:r>
        <w:rPr>
          <w:rFonts w:ascii="宋体" w:hAnsi="宋体" w:cs="宋体" w:eastAsia="宋体" w:hint="default"/>
          <w:spacing w:val="-2"/>
          <w:sz w:val="20"/>
          <w:szCs w:val="20"/>
        </w:rPr>
      </w:r>
    </w:p>
    <w:p>
      <w:pPr>
        <w:spacing w:line="240" w:lineRule="auto" w:before="3"/>
        <w:rPr>
          <w:rFonts w:ascii="宋体" w:hAnsi="宋体" w:cs="宋体" w:eastAsia="宋体" w:hint="default"/>
          <w:b/>
          <w:bCs/>
          <w:sz w:val="2"/>
          <w:szCs w:val="2"/>
        </w:rPr>
      </w:pPr>
    </w:p>
    <w:tbl>
      <w:tblPr>
        <w:tblW w:w="0" w:type="auto"/>
        <w:jc w:val="left"/>
        <w:tblInd w:w="116" w:type="dxa"/>
        <w:tblLayout w:type="fixed"/>
        <w:tblCellMar>
          <w:top w:w="0" w:type="dxa"/>
          <w:left w:w="0" w:type="dxa"/>
          <w:bottom w:w="0" w:type="dxa"/>
          <w:right w:w="0" w:type="dxa"/>
        </w:tblCellMar>
        <w:tblLook w:val="01E0"/>
      </w:tblPr>
      <w:tblGrid>
        <w:gridCol w:w="4973"/>
        <w:gridCol w:w="2240"/>
        <w:gridCol w:w="2206"/>
      </w:tblGrid>
      <w:tr>
        <w:trPr>
          <w:trHeight w:val="283" w:hRule="exact"/>
        </w:trPr>
        <w:tc>
          <w:tcPr>
            <w:tcW w:w="4973" w:type="dxa"/>
            <w:tcBorders>
              <w:top w:val="single" w:sz="12" w:space="0" w:color="000000"/>
              <w:left w:val="single" w:sz="12" w:space="0" w:color="000000"/>
              <w:bottom w:val="single" w:sz="6" w:space="0" w:color="000000"/>
              <w:right w:val="single" w:sz="6" w:space="0" w:color="000000"/>
            </w:tcBorders>
          </w:tcPr>
          <w:p>
            <w:pPr>
              <w:pStyle w:val="TableParagraph"/>
              <w:spacing w:line="232" w:lineRule="exact"/>
              <w:ind w:right="5"/>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240" w:type="dxa"/>
            <w:tcBorders>
              <w:top w:val="single" w:sz="12" w:space="0" w:color="000000"/>
              <w:left w:val="single" w:sz="6" w:space="0" w:color="000000"/>
              <w:bottom w:val="single" w:sz="6" w:space="0" w:color="000000"/>
              <w:right w:val="single" w:sz="6" w:space="0" w:color="000000"/>
            </w:tcBorders>
          </w:tcPr>
          <w:p>
            <w:pPr>
              <w:pStyle w:val="TableParagraph"/>
              <w:spacing w:line="232" w:lineRule="exact"/>
              <w:ind w:left="763"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206" w:type="dxa"/>
            <w:tcBorders>
              <w:top w:val="single" w:sz="12" w:space="0" w:color="000000"/>
              <w:left w:val="single" w:sz="6" w:space="0" w:color="000000"/>
              <w:bottom w:val="single" w:sz="6" w:space="0" w:color="000000"/>
              <w:right w:val="single" w:sz="12" w:space="0" w:color="000000"/>
            </w:tcBorders>
          </w:tcPr>
          <w:p>
            <w:pPr>
              <w:pStyle w:val="TableParagraph"/>
              <w:spacing w:line="232" w:lineRule="exact"/>
              <w:ind w:left="744"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一、经营活动产生的现金流量：</w:t>
            </w:r>
            <w:r>
              <w:rPr>
                <w:rFonts w:ascii="宋体" w:hAnsi="宋体" w:cs="宋体" w:eastAsia="宋体" w:hint="default"/>
                <w:sz w:val="20"/>
                <w:szCs w:val="20"/>
              </w:rPr>
            </w:r>
          </w:p>
        </w:tc>
        <w:tc>
          <w:tcPr>
            <w:tcW w:w="2240" w:type="dxa"/>
            <w:tcBorders>
              <w:top w:val="single" w:sz="6" w:space="0" w:color="000000"/>
              <w:left w:val="single" w:sz="6" w:space="0" w:color="000000"/>
              <w:bottom w:val="single" w:sz="6" w:space="0" w:color="000000"/>
              <w:right w:val="single" w:sz="6" w:space="0" w:color="000000"/>
            </w:tcBorders>
          </w:tcPr>
          <w:p>
            <w:pPr/>
          </w:p>
        </w:tc>
        <w:tc>
          <w:tcPr>
            <w:tcW w:w="2206" w:type="dxa"/>
            <w:tcBorders>
              <w:top w:val="single" w:sz="6" w:space="0" w:color="000000"/>
              <w:left w:val="single" w:sz="6" w:space="0" w:color="000000"/>
              <w:bottom w:val="single" w:sz="6" w:space="0" w:color="000000"/>
              <w:right w:val="single" w:sz="12" w:space="0" w:color="000000"/>
            </w:tcBorders>
          </w:tcPr>
          <w:p>
            <w:pP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销售商品、提供劳务收到的现金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0"/>
                <w:szCs w:val="20"/>
              </w:rPr>
            </w:pPr>
            <w:r>
              <w:rPr>
                <w:rFonts w:ascii="Times New Roman"/>
                <w:spacing w:val="-1"/>
                <w:sz w:val="20"/>
              </w:rPr>
              <w:t>6,893,076,160.51</w:t>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7"/>
              <w:jc w:val="right"/>
              <w:rPr>
                <w:rFonts w:ascii="Times New Roman" w:hAnsi="Times New Roman" w:cs="Times New Roman" w:eastAsia="Times New Roman" w:hint="default"/>
                <w:sz w:val="20"/>
                <w:szCs w:val="20"/>
              </w:rPr>
            </w:pPr>
            <w:r>
              <w:rPr>
                <w:rFonts w:ascii="Times New Roman"/>
                <w:spacing w:val="-1"/>
                <w:sz w:val="20"/>
              </w:rPr>
              <w:t>9,518,396,363.34</w:t>
            </w:r>
          </w:p>
        </w:tc>
      </w:tr>
      <w:tr>
        <w:trPr>
          <w:trHeight w:val="276"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496" w:right="0"/>
              <w:jc w:val="left"/>
              <w:rPr>
                <w:rFonts w:ascii="宋体" w:hAnsi="宋体" w:cs="宋体" w:eastAsia="宋体" w:hint="default"/>
                <w:sz w:val="20"/>
                <w:szCs w:val="20"/>
              </w:rPr>
            </w:pPr>
            <w:r>
              <w:rPr>
                <w:rFonts w:ascii="宋体" w:hAnsi="宋体" w:cs="宋体" w:eastAsia="宋体" w:hint="default"/>
                <w:sz w:val="20"/>
                <w:szCs w:val="20"/>
              </w:rPr>
              <w:t>收到的税费返还</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7"/>
              <w:jc w:val="right"/>
              <w:rPr>
                <w:rFonts w:ascii="Times New Roman" w:hAnsi="Times New Roman" w:cs="Times New Roman" w:eastAsia="Times New Roman" w:hint="default"/>
                <w:sz w:val="20"/>
                <w:szCs w:val="20"/>
              </w:rPr>
            </w:pPr>
            <w:r>
              <w:rPr>
                <w:rFonts w:ascii="Times New Roman"/>
                <w:w w:val="95"/>
                <w:sz w:val="20"/>
              </w:rPr>
              <w:t>1,436,592.24</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4"/>
              <w:jc w:val="right"/>
              <w:rPr>
                <w:rFonts w:ascii="Times New Roman" w:hAnsi="Times New Roman" w:cs="Times New Roman" w:eastAsia="Times New Roman" w:hint="default"/>
                <w:sz w:val="20"/>
                <w:szCs w:val="20"/>
              </w:rPr>
            </w:pPr>
            <w:r>
              <w:rPr>
                <w:rFonts w:ascii="Times New Roman"/>
                <w:w w:val="95"/>
                <w:sz w:val="20"/>
              </w:rPr>
              <w:t>1,993,847.92</w:t>
            </w:r>
            <w:r>
              <w:rPr>
                <w:rFonts w:ascii="Times New Roman"/>
                <w:sz w:val="20"/>
              </w:rPr>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收到其他与经营活动有关的现金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9"/>
              <w:jc w:val="right"/>
              <w:rPr>
                <w:rFonts w:ascii="Times New Roman" w:hAnsi="Times New Roman" w:cs="Times New Roman" w:eastAsia="Times New Roman" w:hint="default"/>
                <w:sz w:val="20"/>
                <w:szCs w:val="20"/>
              </w:rPr>
            </w:pPr>
            <w:r>
              <w:rPr>
                <w:rFonts w:ascii="Times New Roman"/>
                <w:w w:val="95"/>
                <w:sz w:val="20"/>
              </w:rPr>
              <w:t>591,613,871.60</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7"/>
              <w:jc w:val="right"/>
              <w:rPr>
                <w:rFonts w:ascii="Times New Roman" w:hAnsi="Times New Roman" w:cs="Times New Roman" w:eastAsia="Times New Roman" w:hint="default"/>
                <w:sz w:val="20"/>
                <w:szCs w:val="20"/>
              </w:rPr>
            </w:pPr>
            <w:r>
              <w:rPr>
                <w:rFonts w:ascii="Times New Roman"/>
                <w:w w:val="95"/>
                <w:sz w:val="20"/>
              </w:rPr>
              <w:t>356,258,450.38</w:t>
            </w:r>
            <w:r>
              <w:rPr>
                <w:rFonts w:ascii="Times New Roman"/>
                <w:sz w:val="20"/>
              </w:rPr>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471" w:right="0"/>
              <w:jc w:val="left"/>
              <w:rPr>
                <w:rFonts w:ascii="宋体" w:hAnsi="宋体" w:cs="宋体" w:eastAsia="宋体" w:hint="default"/>
                <w:sz w:val="20"/>
                <w:szCs w:val="20"/>
              </w:rPr>
            </w:pPr>
            <w:r>
              <w:rPr>
                <w:rFonts w:ascii="宋体" w:hAnsi="宋体" w:cs="宋体" w:eastAsia="宋体" w:hint="default"/>
                <w:sz w:val="20"/>
                <w:szCs w:val="20"/>
              </w:rPr>
              <w:t>经营活动现金流入小计</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0"/>
                <w:szCs w:val="20"/>
              </w:rPr>
            </w:pPr>
            <w:r>
              <w:rPr>
                <w:rFonts w:ascii="Times New Roman"/>
                <w:b/>
                <w:spacing w:val="-1"/>
                <w:sz w:val="20"/>
              </w:rPr>
              <w:t>7,486,126,624.35</w:t>
            </w:r>
            <w:r>
              <w:rPr>
                <w:rFonts w:ascii="Times New Roman"/>
                <w:spacing w:val="-1"/>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b/>
                <w:spacing w:val="-1"/>
                <w:sz w:val="20"/>
              </w:rPr>
              <w:t>9,876,648,661.64</w:t>
            </w:r>
            <w:r>
              <w:rPr>
                <w:rFonts w:ascii="Times New Roman"/>
                <w:spacing w:val="-1"/>
                <w:sz w:val="20"/>
              </w:rPr>
            </w:r>
          </w:p>
        </w:tc>
      </w:tr>
      <w:tr>
        <w:trPr>
          <w:trHeight w:val="276"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496" w:right="0"/>
              <w:jc w:val="left"/>
              <w:rPr>
                <w:rFonts w:ascii="宋体" w:hAnsi="宋体" w:cs="宋体" w:eastAsia="宋体" w:hint="default"/>
                <w:sz w:val="20"/>
                <w:szCs w:val="20"/>
              </w:rPr>
            </w:pPr>
            <w:r>
              <w:rPr>
                <w:rFonts w:ascii="宋体" w:hAnsi="宋体" w:cs="宋体" w:eastAsia="宋体" w:hint="default"/>
                <w:sz w:val="20"/>
                <w:szCs w:val="20"/>
              </w:rPr>
              <w:t>购买商品、接受劳务支付的现金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0"/>
                <w:szCs w:val="20"/>
              </w:rPr>
            </w:pPr>
            <w:r>
              <w:rPr>
                <w:rFonts w:ascii="Times New Roman"/>
                <w:spacing w:val="-1"/>
                <w:sz w:val="20"/>
              </w:rPr>
              <w:t>6,381,811,957.40</w:t>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7"/>
              <w:jc w:val="right"/>
              <w:rPr>
                <w:rFonts w:ascii="Times New Roman" w:hAnsi="Times New Roman" w:cs="Times New Roman" w:eastAsia="Times New Roman" w:hint="default"/>
                <w:sz w:val="20"/>
                <w:szCs w:val="20"/>
              </w:rPr>
            </w:pPr>
            <w:r>
              <w:rPr>
                <w:rFonts w:ascii="Times New Roman"/>
                <w:spacing w:val="-1"/>
                <w:sz w:val="20"/>
              </w:rPr>
              <w:t>9,044,246,022.72</w:t>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支付给职工以及为职工支付的现金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Times New Roman" w:hAnsi="Times New Roman" w:cs="Times New Roman" w:eastAsia="Times New Roman" w:hint="default"/>
                <w:sz w:val="20"/>
                <w:szCs w:val="20"/>
              </w:rPr>
            </w:pPr>
            <w:r>
              <w:rPr>
                <w:rFonts w:ascii="Times New Roman"/>
                <w:w w:val="95"/>
                <w:sz w:val="20"/>
              </w:rPr>
              <w:t>232,299,145.13</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7"/>
              <w:jc w:val="right"/>
              <w:rPr>
                <w:rFonts w:ascii="Times New Roman" w:hAnsi="Times New Roman" w:cs="Times New Roman" w:eastAsia="Times New Roman" w:hint="default"/>
                <w:sz w:val="20"/>
                <w:szCs w:val="20"/>
              </w:rPr>
            </w:pPr>
            <w:r>
              <w:rPr>
                <w:rFonts w:ascii="Times New Roman"/>
                <w:w w:val="95"/>
                <w:sz w:val="20"/>
              </w:rPr>
              <w:t>204,188,811.32</w:t>
            </w:r>
            <w:r>
              <w:rPr>
                <w:rFonts w:ascii="Times New Roman"/>
                <w:sz w:val="20"/>
              </w:rPr>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支付的各项税费</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9"/>
              <w:jc w:val="right"/>
              <w:rPr>
                <w:rFonts w:ascii="Times New Roman" w:hAnsi="Times New Roman" w:cs="Times New Roman" w:eastAsia="Times New Roman" w:hint="default"/>
                <w:sz w:val="20"/>
                <w:szCs w:val="20"/>
              </w:rPr>
            </w:pPr>
            <w:r>
              <w:rPr>
                <w:rFonts w:ascii="Times New Roman"/>
                <w:w w:val="95"/>
                <w:sz w:val="20"/>
              </w:rPr>
              <w:t>107,056,077.14</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7"/>
              <w:jc w:val="right"/>
              <w:rPr>
                <w:rFonts w:ascii="Times New Roman" w:hAnsi="Times New Roman" w:cs="Times New Roman" w:eastAsia="Times New Roman" w:hint="default"/>
                <w:sz w:val="20"/>
                <w:szCs w:val="20"/>
              </w:rPr>
            </w:pPr>
            <w:r>
              <w:rPr>
                <w:rFonts w:ascii="Times New Roman"/>
                <w:w w:val="95"/>
                <w:sz w:val="20"/>
              </w:rPr>
              <w:t>72,937,815.13</w:t>
            </w:r>
            <w:r>
              <w:rPr>
                <w:rFonts w:ascii="Times New Roman"/>
                <w:sz w:val="20"/>
              </w:rPr>
            </w:r>
          </w:p>
        </w:tc>
      </w:tr>
      <w:tr>
        <w:trPr>
          <w:trHeight w:val="276"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496" w:right="0"/>
              <w:jc w:val="left"/>
              <w:rPr>
                <w:rFonts w:ascii="宋体" w:hAnsi="宋体" w:cs="宋体" w:eastAsia="宋体" w:hint="default"/>
                <w:sz w:val="20"/>
                <w:szCs w:val="20"/>
              </w:rPr>
            </w:pPr>
            <w:r>
              <w:rPr>
                <w:rFonts w:ascii="宋体" w:hAnsi="宋体" w:cs="宋体" w:eastAsia="宋体" w:hint="default"/>
                <w:sz w:val="20"/>
                <w:szCs w:val="20"/>
              </w:rPr>
              <w:t>支付其他与经营活动有关的现金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0"/>
                <w:szCs w:val="20"/>
              </w:rPr>
            </w:pPr>
            <w:r>
              <w:rPr>
                <w:rFonts w:ascii="Times New Roman"/>
                <w:w w:val="95"/>
                <w:sz w:val="20"/>
              </w:rPr>
              <w:t>710,692,820.53</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7"/>
              <w:jc w:val="right"/>
              <w:rPr>
                <w:rFonts w:ascii="Times New Roman" w:hAnsi="Times New Roman" w:cs="Times New Roman" w:eastAsia="Times New Roman" w:hint="default"/>
                <w:sz w:val="20"/>
                <w:szCs w:val="20"/>
              </w:rPr>
            </w:pPr>
            <w:r>
              <w:rPr>
                <w:rFonts w:ascii="Times New Roman"/>
                <w:w w:val="95"/>
                <w:sz w:val="20"/>
              </w:rPr>
              <w:t>500,153,941.53</w:t>
            </w:r>
            <w:r>
              <w:rPr>
                <w:rFonts w:ascii="Times New Roman"/>
                <w:sz w:val="20"/>
              </w:rPr>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471" w:right="0"/>
              <w:jc w:val="left"/>
              <w:rPr>
                <w:rFonts w:ascii="宋体" w:hAnsi="宋体" w:cs="宋体" w:eastAsia="宋体" w:hint="default"/>
                <w:sz w:val="20"/>
                <w:szCs w:val="20"/>
              </w:rPr>
            </w:pPr>
            <w:r>
              <w:rPr>
                <w:rFonts w:ascii="宋体" w:hAnsi="宋体" w:cs="宋体" w:eastAsia="宋体" w:hint="default"/>
                <w:sz w:val="20"/>
                <w:szCs w:val="20"/>
              </w:rPr>
              <w:t>经营活动现金流出小计</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20"/>
                <w:szCs w:val="20"/>
              </w:rPr>
            </w:pPr>
            <w:r>
              <w:rPr>
                <w:rFonts w:ascii="Times New Roman"/>
                <w:b/>
                <w:spacing w:val="-1"/>
                <w:sz w:val="20"/>
              </w:rPr>
              <w:t>7,431,860,000.20</w:t>
            </w:r>
            <w:r>
              <w:rPr>
                <w:rFonts w:ascii="Times New Roman"/>
                <w:spacing w:val="-1"/>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b/>
                <w:spacing w:val="-1"/>
                <w:sz w:val="20"/>
              </w:rPr>
              <w:t>9,821,526,590.70</w:t>
            </w:r>
            <w:r>
              <w:rPr>
                <w:rFonts w:ascii="Times New Roman"/>
                <w:spacing w:val="-1"/>
                <w:sz w:val="20"/>
              </w:rPr>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171" w:right="0"/>
              <w:jc w:val="left"/>
              <w:rPr>
                <w:rFonts w:ascii="宋体" w:hAnsi="宋体" w:cs="宋体" w:eastAsia="宋体" w:hint="default"/>
                <w:sz w:val="20"/>
                <w:szCs w:val="20"/>
              </w:rPr>
            </w:pPr>
            <w:r>
              <w:rPr>
                <w:rFonts w:ascii="宋体" w:hAnsi="宋体" w:cs="宋体" w:eastAsia="宋体" w:hint="default"/>
                <w:sz w:val="20"/>
                <w:szCs w:val="20"/>
              </w:rPr>
              <w:t>经营活动产生的现金流量净额</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20"/>
                <w:szCs w:val="20"/>
              </w:rPr>
            </w:pPr>
            <w:r>
              <w:rPr>
                <w:rFonts w:ascii="Times New Roman"/>
                <w:b/>
                <w:w w:val="95"/>
                <w:sz w:val="20"/>
              </w:rPr>
              <w:t>54,266,624.15</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b/>
                <w:w w:val="95"/>
                <w:sz w:val="20"/>
              </w:rPr>
              <w:t>55,122,070.94</w:t>
            </w:r>
            <w:r>
              <w:rPr>
                <w:rFonts w:ascii="Times New Roman"/>
                <w:sz w:val="20"/>
              </w:rPr>
            </w:r>
          </w:p>
        </w:tc>
      </w:tr>
      <w:tr>
        <w:trPr>
          <w:trHeight w:val="276"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二、投资活动产生的现金流量：</w:t>
            </w:r>
            <w:r>
              <w:rPr>
                <w:rFonts w:ascii="宋体" w:hAnsi="宋体" w:cs="宋体" w:eastAsia="宋体" w:hint="default"/>
                <w:sz w:val="20"/>
                <w:szCs w:val="20"/>
              </w:rPr>
            </w:r>
          </w:p>
        </w:tc>
        <w:tc>
          <w:tcPr>
            <w:tcW w:w="2240" w:type="dxa"/>
            <w:tcBorders>
              <w:top w:val="single" w:sz="6" w:space="0" w:color="000000"/>
              <w:left w:val="single" w:sz="6" w:space="0" w:color="000000"/>
              <w:bottom w:val="single" w:sz="6" w:space="0" w:color="000000"/>
              <w:right w:val="single" w:sz="6" w:space="0" w:color="000000"/>
            </w:tcBorders>
          </w:tcPr>
          <w:p>
            <w:pPr/>
          </w:p>
        </w:tc>
        <w:tc>
          <w:tcPr>
            <w:tcW w:w="2206" w:type="dxa"/>
            <w:tcBorders>
              <w:top w:val="single" w:sz="6" w:space="0" w:color="000000"/>
              <w:left w:val="single" w:sz="6" w:space="0" w:color="000000"/>
              <w:bottom w:val="single" w:sz="6" w:space="0" w:color="000000"/>
              <w:right w:val="single" w:sz="12" w:space="0" w:color="000000"/>
            </w:tcBorders>
          </w:tcPr>
          <w:p>
            <w:pP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收回投资收到的现金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9"/>
              <w:jc w:val="right"/>
              <w:rPr>
                <w:rFonts w:ascii="Times New Roman" w:hAnsi="Times New Roman" w:cs="Times New Roman" w:eastAsia="Times New Roman" w:hint="default"/>
                <w:sz w:val="20"/>
                <w:szCs w:val="20"/>
              </w:rPr>
            </w:pPr>
            <w:r>
              <w:rPr>
                <w:rFonts w:ascii="Times New Roman"/>
                <w:spacing w:val="-1"/>
                <w:sz w:val="20"/>
              </w:rPr>
              <w:t>2,979,390,057.58</w:t>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7"/>
              <w:jc w:val="right"/>
              <w:rPr>
                <w:rFonts w:ascii="Times New Roman" w:hAnsi="Times New Roman" w:cs="Times New Roman" w:eastAsia="Times New Roman" w:hint="default"/>
                <w:sz w:val="20"/>
                <w:szCs w:val="20"/>
              </w:rPr>
            </w:pPr>
            <w:r>
              <w:rPr>
                <w:rFonts w:ascii="Times New Roman"/>
                <w:w w:val="95"/>
                <w:sz w:val="20"/>
              </w:rPr>
              <w:t>28,511,439.50</w:t>
            </w:r>
            <w:r>
              <w:rPr>
                <w:rFonts w:ascii="Times New Roman"/>
                <w:sz w:val="20"/>
              </w:rPr>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取得投资收益收到的现金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9"/>
              <w:jc w:val="right"/>
              <w:rPr>
                <w:rFonts w:ascii="Times New Roman" w:hAnsi="Times New Roman" w:cs="Times New Roman" w:eastAsia="Times New Roman" w:hint="default"/>
                <w:sz w:val="20"/>
                <w:szCs w:val="20"/>
              </w:rPr>
            </w:pPr>
            <w:r>
              <w:rPr>
                <w:rFonts w:ascii="Times New Roman"/>
                <w:w w:val="95"/>
                <w:sz w:val="20"/>
              </w:rPr>
              <w:t>150,757,483.40</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7"/>
              <w:jc w:val="right"/>
              <w:rPr>
                <w:rFonts w:ascii="Times New Roman" w:hAnsi="Times New Roman" w:cs="Times New Roman" w:eastAsia="Times New Roman" w:hint="default"/>
                <w:sz w:val="20"/>
                <w:szCs w:val="20"/>
              </w:rPr>
            </w:pPr>
            <w:r>
              <w:rPr>
                <w:rFonts w:ascii="Times New Roman"/>
                <w:w w:val="95"/>
                <w:sz w:val="20"/>
              </w:rPr>
              <w:t>171,714,328.34</w:t>
            </w:r>
            <w:r>
              <w:rPr>
                <w:rFonts w:ascii="Times New Roman"/>
                <w:sz w:val="20"/>
              </w:rPr>
            </w:r>
          </w:p>
        </w:tc>
      </w:tr>
      <w:tr>
        <w:trPr>
          <w:trHeight w:val="482"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547"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right="96"/>
              <w:jc w:val="right"/>
              <w:rPr>
                <w:rFonts w:ascii="Times New Roman" w:hAnsi="Times New Roman" w:cs="Times New Roman" w:eastAsia="Times New Roman" w:hint="default"/>
                <w:sz w:val="20"/>
                <w:szCs w:val="20"/>
              </w:rPr>
            </w:pPr>
            <w:r>
              <w:rPr>
                <w:rFonts w:ascii="Times New Roman"/>
                <w:w w:val="95"/>
                <w:sz w:val="20"/>
              </w:rPr>
              <w:t>6,000.00</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3"/>
              <w:ind w:right="94"/>
              <w:jc w:val="right"/>
              <w:rPr>
                <w:rFonts w:ascii="Times New Roman" w:hAnsi="Times New Roman" w:cs="Times New Roman" w:eastAsia="Times New Roman" w:hint="default"/>
                <w:sz w:val="20"/>
                <w:szCs w:val="20"/>
              </w:rPr>
            </w:pPr>
            <w:r>
              <w:rPr>
                <w:rFonts w:ascii="Times New Roman"/>
                <w:w w:val="95"/>
                <w:sz w:val="20"/>
              </w:rPr>
              <w:t>5,000.00</w:t>
            </w:r>
            <w:r>
              <w:rPr>
                <w:rFonts w:ascii="Times New Roman"/>
                <w:sz w:val="20"/>
              </w:rPr>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处置子公司及其他营业单位收到的现金净额</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0"/>
                <w:szCs w:val="20"/>
              </w:rPr>
            </w:pPr>
            <w:r>
              <w:rPr>
                <w:rFonts w:ascii="Times New Roman"/>
                <w:w w:val="95"/>
                <w:sz w:val="20"/>
              </w:rPr>
              <w:t>204,864,419.59</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7"/>
              <w:jc w:val="right"/>
              <w:rPr>
                <w:rFonts w:ascii="Times New Roman" w:hAnsi="Times New Roman" w:cs="Times New Roman" w:eastAsia="Times New Roman" w:hint="default"/>
                <w:sz w:val="20"/>
                <w:szCs w:val="20"/>
              </w:rPr>
            </w:pPr>
            <w:r>
              <w:rPr>
                <w:rFonts w:ascii="Times New Roman"/>
                <w:w w:val="95"/>
                <w:sz w:val="20"/>
              </w:rPr>
              <w:t>37,471,700.00</w:t>
            </w:r>
            <w:r>
              <w:rPr>
                <w:rFonts w:ascii="Times New Roman"/>
                <w:sz w:val="20"/>
              </w:rPr>
            </w:r>
          </w:p>
        </w:tc>
      </w:tr>
      <w:tr>
        <w:trPr>
          <w:trHeight w:val="276"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496" w:right="0"/>
              <w:jc w:val="left"/>
              <w:rPr>
                <w:rFonts w:ascii="宋体" w:hAnsi="宋体" w:cs="宋体" w:eastAsia="宋体" w:hint="default"/>
                <w:sz w:val="20"/>
                <w:szCs w:val="20"/>
              </w:rPr>
            </w:pPr>
            <w:r>
              <w:rPr>
                <w:rFonts w:ascii="宋体" w:hAnsi="宋体" w:cs="宋体" w:eastAsia="宋体" w:hint="default"/>
                <w:sz w:val="20"/>
                <w:szCs w:val="20"/>
              </w:rPr>
              <w:t>收到其他与投资活动有关的现金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0"/>
                <w:szCs w:val="20"/>
              </w:rPr>
            </w:pPr>
            <w:r>
              <w:rPr>
                <w:rFonts w:ascii="Times New Roman"/>
                <w:w w:val="95"/>
                <w:sz w:val="20"/>
              </w:rPr>
              <w:t>894,550,624.76</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7"/>
              <w:jc w:val="right"/>
              <w:rPr>
                <w:rFonts w:ascii="Times New Roman" w:hAnsi="Times New Roman" w:cs="Times New Roman" w:eastAsia="Times New Roman" w:hint="default"/>
                <w:sz w:val="20"/>
                <w:szCs w:val="20"/>
              </w:rPr>
            </w:pPr>
            <w:r>
              <w:rPr>
                <w:rFonts w:ascii="Times New Roman"/>
                <w:spacing w:val="-1"/>
                <w:sz w:val="20"/>
              </w:rPr>
              <w:t>1,481,435,065.48</w:t>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471" w:right="0"/>
              <w:jc w:val="left"/>
              <w:rPr>
                <w:rFonts w:ascii="宋体" w:hAnsi="宋体" w:cs="宋体" w:eastAsia="宋体" w:hint="default"/>
                <w:sz w:val="20"/>
                <w:szCs w:val="20"/>
              </w:rPr>
            </w:pPr>
            <w:r>
              <w:rPr>
                <w:rFonts w:ascii="宋体" w:hAnsi="宋体" w:cs="宋体" w:eastAsia="宋体" w:hint="default"/>
                <w:sz w:val="20"/>
                <w:szCs w:val="20"/>
              </w:rPr>
              <w:t>投资活动现金流入小计</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99"/>
              <w:jc w:val="right"/>
              <w:rPr>
                <w:rFonts w:ascii="Times New Roman" w:hAnsi="Times New Roman" w:cs="Times New Roman" w:eastAsia="Times New Roman" w:hint="default"/>
                <w:sz w:val="20"/>
                <w:szCs w:val="20"/>
              </w:rPr>
            </w:pPr>
            <w:r>
              <w:rPr>
                <w:rFonts w:ascii="Times New Roman"/>
                <w:b/>
                <w:spacing w:val="-1"/>
                <w:sz w:val="20"/>
              </w:rPr>
              <w:t>4,229,568,585.33</w:t>
            </w:r>
            <w:r>
              <w:rPr>
                <w:rFonts w:ascii="Times New Roman"/>
                <w:spacing w:val="-1"/>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right="97"/>
              <w:jc w:val="right"/>
              <w:rPr>
                <w:rFonts w:ascii="Times New Roman" w:hAnsi="Times New Roman" w:cs="Times New Roman" w:eastAsia="Times New Roman" w:hint="default"/>
                <w:sz w:val="20"/>
                <w:szCs w:val="20"/>
              </w:rPr>
            </w:pPr>
            <w:r>
              <w:rPr>
                <w:rFonts w:ascii="Times New Roman"/>
                <w:b/>
                <w:spacing w:val="-1"/>
                <w:sz w:val="20"/>
              </w:rPr>
              <w:t>1,719,137,533.32</w:t>
            </w:r>
            <w:r>
              <w:rPr>
                <w:rFonts w:ascii="Times New Roman"/>
                <w:spacing w:val="-1"/>
                <w:sz w:val="20"/>
              </w:rPr>
            </w:r>
          </w:p>
        </w:tc>
      </w:tr>
      <w:tr>
        <w:trPr>
          <w:trHeight w:val="250"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455"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26" w:lineRule="exact"/>
              <w:ind w:right="99"/>
              <w:jc w:val="right"/>
              <w:rPr>
                <w:rFonts w:ascii="Times New Roman" w:hAnsi="Times New Roman" w:cs="Times New Roman" w:eastAsia="Times New Roman" w:hint="default"/>
                <w:sz w:val="20"/>
                <w:szCs w:val="20"/>
              </w:rPr>
            </w:pPr>
            <w:r>
              <w:rPr>
                <w:rFonts w:ascii="Times New Roman"/>
                <w:w w:val="95"/>
                <w:sz w:val="20"/>
              </w:rPr>
              <w:t>94,634,006.44</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26" w:lineRule="exact"/>
              <w:ind w:right="97"/>
              <w:jc w:val="right"/>
              <w:rPr>
                <w:rFonts w:ascii="Times New Roman" w:hAnsi="Times New Roman" w:cs="Times New Roman" w:eastAsia="Times New Roman" w:hint="default"/>
                <w:sz w:val="20"/>
                <w:szCs w:val="20"/>
              </w:rPr>
            </w:pPr>
            <w:r>
              <w:rPr>
                <w:rFonts w:ascii="Times New Roman"/>
                <w:w w:val="95"/>
                <w:sz w:val="20"/>
              </w:rPr>
              <w:t>145,859,085.20</w:t>
            </w:r>
            <w:r>
              <w:rPr>
                <w:rFonts w:ascii="Times New Roman"/>
                <w:sz w:val="20"/>
              </w:rPr>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投资支付的现金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9"/>
              <w:jc w:val="right"/>
              <w:rPr>
                <w:rFonts w:ascii="Times New Roman" w:hAnsi="Times New Roman" w:cs="Times New Roman" w:eastAsia="Times New Roman" w:hint="default"/>
                <w:sz w:val="20"/>
                <w:szCs w:val="20"/>
              </w:rPr>
            </w:pPr>
            <w:r>
              <w:rPr>
                <w:rFonts w:ascii="Times New Roman"/>
                <w:w w:val="95"/>
                <w:sz w:val="20"/>
              </w:rPr>
              <w:t>301,835,793.06</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7"/>
              <w:jc w:val="right"/>
              <w:rPr>
                <w:rFonts w:ascii="Times New Roman" w:hAnsi="Times New Roman" w:cs="Times New Roman" w:eastAsia="Times New Roman" w:hint="default"/>
                <w:sz w:val="20"/>
                <w:szCs w:val="20"/>
              </w:rPr>
            </w:pPr>
            <w:r>
              <w:rPr>
                <w:rFonts w:ascii="Times New Roman"/>
                <w:spacing w:val="-1"/>
                <w:sz w:val="20"/>
              </w:rPr>
              <w:t>1,054,082,130.00</w:t>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取得子公司及其他营业单位支付的现金净额</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8"/>
              <w:jc w:val="right"/>
              <w:rPr>
                <w:rFonts w:ascii="Times New Roman" w:hAnsi="Times New Roman" w:cs="Times New Roman" w:eastAsia="Times New Roman" w:hint="default"/>
                <w:sz w:val="20"/>
                <w:szCs w:val="20"/>
              </w:rPr>
            </w:pPr>
            <w:r>
              <w:rPr>
                <w:rFonts w:ascii="Times New Roman"/>
                <w:sz w:val="20"/>
              </w:rPr>
              <w:t>0.00</w:t>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5"/>
              <w:jc w:val="right"/>
              <w:rPr>
                <w:rFonts w:ascii="Times New Roman" w:hAnsi="Times New Roman" w:cs="Times New Roman" w:eastAsia="Times New Roman" w:hint="default"/>
                <w:sz w:val="20"/>
                <w:szCs w:val="20"/>
              </w:rPr>
            </w:pPr>
            <w:r>
              <w:rPr>
                <w:rFonts w:ascii="Times New Roman"/>
                <w:sz w:val="20"/>
              </w:rPr>
              <w:t>0.00</w:t>
            </w:r>
          </w:p>
        </w:tc>
      </w:tr>
      <w:tr>
        <w:trPr>
          <w:trHeight w:val="276"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496" w:right="0"/>
              <w:jc w:val="left"/>
              <w:rPr>
                <w:rFonts w:ascii="宋体" w:hAnsi="宋体" w:cs="宋体" w:eastAsia="宋体" w:hint="default"/>
                <w:sz w:val="20"/>
                <w:szCs w:val="20"/>
              </w:rPr>
            </w:pPr>
            <w:r>
              <w:rPr>
                <w:rFonts w:ascii="宋体" w:hAnsi="宋体" w:cs="宋体" w:eastAsia="宋体" w:hint="default"/>
                <w:sz w:val="20"/>
                <w:szCs w:val="20"/>
              </w:rPr>
              <w:t>支付其他与投资活动有关的现金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0"/>
                <w:szCs w:val="20"/>
              </w:rPr>
            </w:pPr>
            <w:r>
              <w:rPr>
                <w:rFonts w:ascii="Times New Roman"/>
                <w:spacing w:val="-1"/>
                <w:sz w:val="20"/>
              </w:rPr>
              <w:t>3,832,349,406.06</w:t>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7"/>
              <w:jc w:val="right"/>
              <w:rPr>
                <w:rFonts w:ascii="Times New Roman" w:hAnsi="Times New Roman" w:cs="Times New Roman" w:eastAsia="Times New Roman" w:hint="default"/>
                <w:sz w:val="20"/>
                <w:szCs w:val="20"/>
              </w:rPr>
            </w:pPr>
            <w:r>
              <w:rPr>
                <w:rFonts w:ascii="Times New Roman"/>
                <w:spacing w:val="-1"/>
                <w:sz w:val="20"/>
              </w:rPr>
              <w:t>2,387,530,396.61</w:t>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471" w:right="0"/>
              <w:jc w:val="left"/>
              <w:rPr>
                <w:rFonts w:ascii="宋体" w:hAnsi="宋体" w:cs="宋体" w:eastAsia="宋体" w:hint="default"/>
                <w:sz w:val="20"/>
                <w:szCs w:val="20"/>
              </w:rPr>
            </w:pPr>
            <w:r>
              <w:rPr>
                <w:rFonts w:ascii="宋体" w:hAnsi="宋体" w:cs="宋体" w:eastAsia="宋体" w:hint="default"/>
                <w:sz w:val="20"/>
                <w:szCs w:val="20"/>
              </w:rPr>
              <w:t>投资活动现金流出小计</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20"/>
                <w:szCs w:val="20"/>
              </w:rPr>
            </w:pPr>
            <w:r>
              <w:rPr>
                <w:rFonts w:ascii="Times New Roman"/>
                <w:b/>
                <w:spacing w:val="-1"/>
                <w:sz w:val="20"/>
              </w:rPr>
              <w:t>4,228,819,205.56</w:t>
            </w:r>
            <w:r>
              <w:rPr>
                <w:rFonts w:ascii="Times New Roman"/>
                <w:spacing w:val="-1"/>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b/>
                <w:spacing w:val="-1"/>
                <w:sz w:val="20"/>
              </w:rPr>
              <w:t>3,587,471,611.81</w:t>
            </w:r>
            <w:r>
              <w:rPr>
                <w:rFonts w:ascii="Times New Roman"/>
                <w:spacing w:val="-1"/>
                <w:sz w:val="20"/>
              </w:rPr>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171" w:right="0"/>
              <w:jc w:val="left"/>
              <w:rPr>
                <w:rFonts w:ascii="宋体" w:hAnsi="宋体" w:cs="宋体" w:eastAsia="宋体" w:hint="default"/>
                <w:sz w:val="20"/>
                <w:szCs w:val="20"/>
              </w:rPr>
            </w:pPr>
            <w:r>
              <w:rPr>
                <w:rFonts w:ascii="宋体" w:hAnsi="宋体" w:cs="宋体" w:eastAsia="宋体" w:hint="default"/>
                <w:sz w:val="20"/>
                <w:szCs w:val="20"/>
              </w:rPr>
              <w:t>投资活动产生的现金流量净额</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20"/>
                <w:szCs w:val="20"/>
              </w:rPr>
            </w:pPr>
            <w:r>
              <w:rPr>
                <w:rFonts w:ascii="Times New Roman"/>
                <w:b/>
                <w:w w:val="95"/>
                <w:sz w:val="20"/>
              </w:rPr>
              <w:t>749,379.77</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b/>
                <w:w w:val="95"/>
                <w:sz w:val="20"/>
              </w:rPr>
              <w:t>-1,868,334,078.49</w:t>
            </w:r>
            <w:r>
              <w:rPr>
                <w:rFonts w:ascii="Times New Roman"/>
                <w:sz w:val="20"/>
              </w:rPr>
            </w:r>
          </w:p>
        </w:tc>
      </w:tr>
      <w:tr>
        <w:trPr>
          <w:trHeight w:val="276"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三、筹资活动产生的现金流量：</w:t>
            </w:r>
            <w:r>
              <w:rPr>
                <w:rFonts w:ascii="宋体" w:hAnsi="宋体" w:cs="宋体" w:eastAsia="宋体" w:hint="default"/>
                <w:sz w:val="20"/>
                <w:szCs w:val="20"/>
              </w:rPr>
            </w:r>
          </w:p>
        </w:tc>
        <w:tc>
          <w:tcPr>
            <w:tcW w:w="2240" w:type="dxa"/>
            <w:tcBorders>
              <w:top w:val="single" w:sz="6" w:space="0" w:color="000000"/>
              <w:left w:val="single" w:sz="6" w:space="0" w:color="000000"/>
              <w:bottom w:val="single" w:sz="6" w:space="0" w:color="000000"/>
              <w:right w:val="single" w:sz="6" w:space="0" w:color="000000"/>
            </w:tcBorders>
          </w:tcPr>
          <w:p>
            <w:pPr/>
          </w:p>
        </w:tc>
        <w:tc>
          <w:tcPr>
            <w:tcW w:w="2206" w:type="dxa"/>
            <w:tcBorders>
              <w:top w:val="single" w:sz="6" w:space="0" w:color="000000"/>
              <w:left w:val="single" w:sz="6" w:space="0" w:color="000000"/>
              <w:bottom w:val="single" w:sz="6" w:space="0" w:color="000000"/>
              <w:right w:val="single" w:sz="12" w:space="0" w:color="000000"/>
            </w:tcBorders>
          </w:tcPr>
          <w:p>
            <w:pP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吸收投资收到的现金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9"/>
              <w:jc w:val="right"/>
              <w:rPr>
                <w:rFonts w:ascii="Times New Roman" w:hAnsi="Times New Roman" w:cs="Times New Roman" w:eastAsia="Times New Roman" w:hint="default"/>
                <w:sz w:val="20"/>
                <w:szCs w:val="20"/>
              </w:rPr>
            </w:pPr>
            <w:r>
              <w:rPr>
                <w:rFonts w:ascii="Times New Roman"/>
                <w:spacing w:val="-1"/>
                <w:sz w:val="20"/>
              </w:rPr>
              <w:t>5,475,199,999.34</w:t>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5"/>
              <w:jc w:val="right"/>
              <w:rPr>
                <w:rFonts w:ascii="Times New Roman" w:hAnsi="Times New Roman" w:cs="Times New Roman" w:eastAsia="Times New Roman" w:hint="default"/>
                <w:sz w:val="20"/>
                <w:szCs w:val="20"/>
              </w:rPr>
            </w:pPr>
            <w:r>
              <w:rPr>
                <w:rFonts w:ascii="Times New Roman"/>
                <w:sz w:val="20"/>
              </w:rPr>
              <w:t>0.00</w:t>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取得借款收到的现金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9"/>
              <w:jc w:val="right"/>
              <w:rPr>
                <w:rFonts w:ascii="Times New Roman" w:hAnsi="Times New Roman" w:cs="Times New Roman" w:eastAsia="Times New Roman" w:hint="default"/>
                <w:sz w:val="20"/>
                <w:szCs w:val="20"/>
              </w:rPr>
            </w:pPr>
            <w:r>
              <w:rPr>
                <w:rFonts w:ascii="Times New Roman"/>
                <w:spacing w:val="-1"/>
                <w:sz w:val="20"/>
              </w:rPr>
              <w:t>5,887,800,000.00</w:t>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7"/>
              <w:jc w:val="right"/>
              <w:rPr>
                <w:rFonts w:ascii="Times New Roman" w:hAnsi="Times New Roman" w:cs="Times New Roman" w:eastAsia="Times New Roman" w:hint="default"/>
                <w:sz w:val="20"/>
                <w:szCs w:val="20"/>
              </w:rPr>
            </w:pPr>
            <w:r>
              <w:rPr>
                <w:rFonts w:ascii="Times New Roman"/>
                <w:spacing w:val="-1"/>
                <w:sz w:val="20"/>
              </w:rPr>
              <w:t>8,542,616,000.00</w:t>
            </w:r>
          </w:p>
        </w:tc>
      </w:tr>
      <w:tr>
        <w:trPr>
          <w:trHeight w:val="276"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发行债券收到的现金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0"/>
                <w:szCs w:val="20"/>
              </w:rPr>
            </w:pPr>
            <w:r>
              <w:rPr>
                <w:rFonts w:ascii="Times New Roman"/>
                <w:spacing w:val="-1"/>
                <w:sz w:val="20"/>
              </w:rPr>
              <w:t>5,000,000,000.00</w:t>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7"/>
              <w:jc w:val="right"/>
              <w:rPr>
                <w:rFonts w:ascii="Times New Roman" w:hAnsi="Times New Roman" w:cs="Times New Roman" w:eastAsia="Times New Roman" w:hint="default"/>
                <w:sz w:val="20"/>
                <w:szCs w:val="20"/>
              </w:rPr>
            </w:pPr>
            <w:r>
              <w:rPr>
                <w:rFonts w:ascii="Times New Roman"/>
                <w:spacing w:val="-1"/>
                <w:sz w:val="20"/>
              </w:rPr>
              <w:t>2,500,000,000.00</w:t>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收到其他与筹资活动有关的现金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9"/>
              <w:jc w:val="right"/>
              <w:rPr>
                <w:rFonts w:ascii="Times New Roman" w:hAnsi="Times New Roman" w:cs="Times New Roman" w:eastAsia="Times New Roman" w:hint="default"/>
                <w:sz w:val="20"/>
                <w:szCs w:val="20"/>
              </w:rPr>
            </w:pPr>
            <w:r>
              <w:rPr>
                <w:rFonts w:ascii="Times New Roman"/>
                <w:w w:val="95"/>
                <w:sz w:val="20"/>
              </w:rPr>
              <w:t>58,035,742.76</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7"/>
              <w:jc w:val="right"/>
              <w:rPr>
                <w:rFonts w:ascii="Times New Roman" w:hAnsi="Times New Roman" w:cs="Times New Roman" w:eastAsia="Times New Roman" w:hint="default"/>
                <w:sz w:val="20"/>
                <w:szCs w:val="20"/>
              </w:rPr>
            </w:pPr>
            <w:r>
              <w:rPr>
                <w:rFonts w:ascii="Times New Roman"/>
                <w:w w:val="95"/>
                <w:sz w:val="20"/>
              </w:rPr>
              <w:t>379,972,489.45</w:t>
            </w:r>
            <w:r>
              <w:rPr>
                <w:rFonts w:ascii="Times New Roman"/>
                <w:sz w:val="20"/>
              </w:rPr>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471" w:right="0"/>
              <w:jc w:val="left"/>
              <w:rPr>
                <w:rFonts w:ascii="宋体" w:hAnsi="宋体" w:cs="宋体" w:eastAsia="宋体" w:hint="default"/>
                <w:sz w:val="20"/>
                <w:szCs w:val="20"/>
              </w:rPr>
            </w:pPr>
            <w:r>
              <w:rPr>
                <w:rFonts w:ascii="宋体" w:hAnsi="宋体" w:cs="宋体" w:eastAsia="宋体" w:hint="default"/>
                <w:sz w:val="20"/>
                <w:szCs w:val="20"/>
              </w:rPr>
              <w:t>筹资活动现金流入小计</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100"/>
              <w:jc w:val="right"/>
              <w:rPr>
                <w:rFonts w:ascii="Times New Roman" w:hAnsi="Times New Roman" w:cs="Times New Roman" w:eastAsia="Times New Roman" w:hint="default"/>
                <w:sz w:val="20"/>
                <w:szCs w:val="20"/>
              </w:rPr>
            </w:pPr>
            <w:r>
              <w:rPr>
                <w:rFonts w:ascii="Times New Roman"/>
                <w:b/>
                <w:w w:val="95"/>
                <w:sz w:val="20"/>
              </w:rPr>
              <w:t>16,421,035,742.10</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right="97"/>
              <w:jc w:val="right"/>
              <w:rPr>
                <w:rFonts w:ascii="Times New Roman" w:hAnsi="Times New Roman" w:cs="Times New Roman" w:eastAsia="Times New Roman" w:hint="default"/>
                <w:sz w:val="20"/>
                <w:szCs w:val="20"/>
              </w:rPr>
            </w:pPr>
            <w:r>
              <w:rPr>
                <w:rFonts w:ascii="Times New Roman"/>
                <w:b/>
                <w:w w:val="95"/>
                <w:sz w:val="20"/>
              </w:rPr>
              <w:t>11,422,588,489.45</w:t>
            </w:r>
            <w:r>
              <w:rPr>
                <w:rFonts w:ascii="Times New Roman"/>
                <w:sz w:val="20"/>
              </w:rPr>
            </w:r>
          </w:p>
        </w:tc>
      </w:tr>
      <w:tr>
        <w:trPr>
          <w:trHeight w:val="276"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偿还债务支付的现金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Times New Roman" w:hAnsi="Times New Roman" w:cs="Times New Roman" w:eastAsia="Times New Roman" w:hint="default"/>
                <w:sz w:val="20"/>
                <w:szCs w:val="20"/>
              </w:rPr>
            </w:pPr>
            <w:r>
              <w:rPr>
                <w:rFonts w:ascii="Times New Roman"/>
                <w:w w:val="95"/>
                <w:sz w:val="20"/>
              </w:rPr>
              <w:t>13,330,269,000.00</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7"/>
              <w:jc w:val="right"/>
              <w:rPr>
                <w:rFonts w:ascii="Times New Roman" w:hAnsi="Times New Roman" w:cs="Times New Roman" w:eastAsia="Times New Roman" w:hint="default"/>
                <w:sz w:val="20"/>
                <w:szCs w:val="20"/>
              </w:rPr>
            </w:pPr>
            <w:r>
              <w:rPr>
                <w:rFonts w:ascii="Times New Roman"/>
                <w:spacing w:val="-1"/>
                <w:sz w:val="20"/>
              </w:rPr>
              <w:t>9,027,810,000.00</w:t>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分配股利、利润或偿付利息支付的现金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9"/>
              <w:jc w:val="right"/>
              <w:rPr>
                <w:rFonts w:ascii="Times New Roman" w:hAnsi="Times New Roman" w:cs="Times New Roman" w:eastAsia="Times New Roman" w:hint="default"/>
                <w:sz w:val="20"/>
                <w:szCs w:val="20"/>
              </w:rPr>
            </w:pPr>
            <w:r>
              <w:rPr>
                <w:rFonts w:ascii="Times New Roman"/>
                <w:w w:val="95"/>
                <w:sz w:val="20"/>
              </w:rPr>
              <w:t>747,089,551.89</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7"/>
              <w:jc w:val="right"/>
              <w:rPr>
                <w:rFonts w:ascii="Times New Roman" w:hAnsi="Times New Roman" w:cs="Times New Roman" w:eastAsia="Times New Roman" w:hint="default"/>
                <w:sz w:val="20"/>
                <w:szCs w:val="20"/>
              </w:rPr>
            </w:pPr>
            <w:r>
              <w:rPr>
                <w:rFonts w:ascii="Times New Roman"/>
                <w:w w:val="95"/>
                <w:sz w:val="20"/>
              </w:rPr>
              <w:t>676,515,281.89</w:t>
            </w:r>
            <w:r>
              <w:rPr>
                <w:rFonts w:ascii="Times New Roman"/>
                <w:sz w:val="20"/>
              </w:rPr>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496" w:right="0"/>
              <w:jc w:val="left"/>
              <w:rPr>
                <w:rFonts w:ascii="宋体" w:hAnsi="宋体" w:cs="宋体" w:eastAsia="宋体" w:hint="default"/>
                <w:sz w:val="20"/>
                <w:szCs w:val="20"/>
              </w:rPr>
            </w:pPr>
            <w:r>
              <w:rPr>
                <w:rFonts w:ascii="宋体" w:hAnsi="宋体" w:cs="宋体" w:eastAsia="宋体" w:hint="default"/>
                <w:sz w:val="20"/>
                <w:szCs w:val="20"/>
              </w:rPr>
              <w:t>支付其他与筹资活动有关的现金</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9"/>
              <w:jc w:val="right"/>
              <w:rPr>
                <w:rFonts w:ascii="Times New Roman" w:hAnsi="Times New Roman" w:cs="Times New Roman" w:eastAsia="Times New Roman" w:hint="default"/>
                <w:sz w:val="20"/>
                <w:szCs w:val="20"/>
              </w:rPr>
            </w:pPr>
            <w:r>
              <w:rPr>
                <w:rFonts w:ascii="Times New Roman"/>
                <w:spacing w:val="-1"/>
                <w:sz w:val="20"/>
              </w:rPr>
              <w:t>2,122,905,129.75</w:t>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7"/>
              <w:jc w:val="right"/>
              <w:rPr>
                <w:rFonts w:ascii="Times New Roman" w:hAnsi="Times New Roman" w:cs="Times New Roman" w:eastAsia="Times New Roman" w:hint="default"/>
                <w:sz w:val="20"/>
                <w:szCs w:val="20"/>
              </w:rPr>
            </w:pPr>
            <w:r>
              <w:rPr>
                <w:rFonts w:ascii="Times New Roman"/>
                <w:w w:val="95"/>
                <w:sz w:val="20"/>
              </w:rPr>
              <w:t>52,954,103.93</w:t>
            </w:r>
            <w:r>
              <w:rPr>
                <w:rFonts w:ascii="Times New Roman"/>
                <w:sz w:val="20"/>
              </w:rPr>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1471" w:right="0"/>
              <w:jc w:val="left"/>
              <w:rPr>
                <w:rFonts w:ascii="宋体" w:hAnsi="宋体" w:cs="宋体" w:eastAsia="宋体" w:hint="default"/>
                <w:sz w:val="20"/>
                <w:szCs w:val="20"/>
              </w:rPr>
            </w:pPr>
            <w:r>
              <w:rPr>
                <w:rFonts w:ascii="宋体" w:hAnsi="宋体" w:cs="宋体" w:eastAsia="宋体" w:hint="default"/>
                <w:sz w:val="20"/>
                <w:szCs w:val="20"/>
              </w:rPr>
              <w:t>筹资活动现金流出小计</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20"/>
                <w:szCs w:val="20"/>
              </w:rPr>
            </w:pPr>
            <w:r>
              <w:rPr>
                <w:rFonts w:ascii="Times New Roman"/>
                <w:b/>
                <w:w w:val="95"/>
                <w:sz w:val="20"/>
              </w:rPr>
              <w:t>16,200,263,681.64</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b/>
                <w:spacing w:val="-1"/>
                <w:sz w:val="20"/>
              </w:rPr>
              <w:t>9,757,279,385.82</w:t>
            </w:r>
            <w:r>
              <w:rPr>
                <w:rFonts w:ascii="Times New Roman"/>
                <w:spacing w:val="-1"/>
                <w:sz w:val="20"/>
              </w:rPr>
            </w:r>
          </w:p>
        </w:tc>
      </w:tr>
      <w:tr>
        <w:trPr>
          <w:trHeight w:val="276"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1171" w:right="0"/>
              <w:jc w:val="left"/>
              <w:rPr>
                <w:rFonts w:ascii="宋体" w:hAnsi="宋体" w:cs="宋体" w:eastAsia="宋体" w:hint="default"/>
                <w:sz w:val="20"/>
                <w:szCs w:val="20"/>
              </w:rPr>
            </w:pPr>
            <w:r>
              <w:rPr>
                <w:rFonts w:ascii="宋体" w:hAnsi="宋体" w:cs="宋体" w:eastAsia="宋体" w:hint="default"/>
                <w:sz w:val="20"/>
                <w:szCs w:val="20"/>
              </w:rPr>
              <w:t>筹资活动产生的现金流量净额</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0"/>
                <w:szCs w:val="20"/>
              </w:rPr>
            </w:pPr>
            <w:r>
              <w:rPr>
                <w:rFonts w:ascii="Times New Roman"/>
                <w:b/>
                <w:w w:val="95"/>
                <w:sz w:val="20"/>
              </w:rPr>
              <w:t>220,772,060.46</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7"/>
              <w:jc w:val="right"/>
              <w:rPr>
                <w:rFonts w:ascii="Times New Roman" w:hAnsi="Times New Roman" w:cs="Times New Roman" w:eastAsia="Times New Roman" w:hint="default"/>
                <w:sz w:val="20"/>
                <w:szCs w:val="20"/>
              </w:rPr>
            </w:pPr>
            <w:r>
              <w:rPr>
                <w:rFonts w:ascii="Times New Roman"/>
                <w:b/>
                <w:spacing w:val="-1"/>
                <w:sz w:val="20"/>
              </w:rPr>
              <w:t>1,665,309,103.63</w:t>
            </w:r>
            <w:r>
              <w:rPr>
                <w:rFonts w:ascii="Times New Roman"/>
                <w:spacing w:val="-1"/>
                <w:sz w:val="20"/>
              </w:rPr>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四、汇率变动对现金及现金等价物的影响</w:t>
            </w:r>
            <w:r>
              <w:rPr>
                <w:rFonts w:ascii="宋体" w:hAnsi="宋体" w:cs="宋体" w:eastAsia="宋体" w:hint="default"/>
                <w:sz w:val="20"/>
                <w:szCs w:val="20"/>
              </w:rPr>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9"/>
              <w:jc w:val="right"/>
              <w:rPr>
                <w:rFonts w:ascii="Times New Roman" w:hAnsi="Times New Roman" w:cs="Times New Roman" w:eastAsia="Times New Roman" w:hint="default"/>
                <w:sz w:val="20"/>
                <w:szCs w:val="20"/>
              </w:rPr>
            </w:pPr>
            <w:r>
              <w:rPr>
                <w:rFonts w:ascii="Times New Roman"/>
                <w:w w:val="95"/>
                <w:sz w:val="20"/>
              </w:rPr>
              <w:t>131,035.82</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96"/>
              <w:jc w:val="right"/>
              <w:rPr>
                <w:rFonts w:ascii="Times New Roman" w:hAnsi="Times New Roman" w:cs="Times New Roman" w:eastAsia="Times New Roman" w:hint="default"/>
                <w:sz w:val="20"/>
                <w:szCs w:val="20"/>
              </w:rPr>
            </w:pPr>
            <w:r>
              <w:rPr>
                <w:rFonts w:ascii="Times New Roman"/>
                <w:w w:val="95"/>
                <w:sz w:val="20"/>
              </w:rPr>
              <w:t>505,105.91</w:t>
            </w:r>
            <w:r>
              <w:rPr>
                <w:rFonts w:ascii="Times New Roman"/>
                <w:sz w:val="20"/>
              </w:rPr>
            </w:r>
          </w:p>
        </w:tc>
      </w:tr>
      <w:tr>
        <w:trPr>
          <w:trHeight w:val="274"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五、现金及现金等价物净增加额</w:t>
            </w:r>
            <w:r>
              <w:rPr>
                <w:rFonts w:ascii="宋体" w:hAnsi="宋体" w:cs="宋体" w:eastAsia="宋体" w:hint="default"/>
                <w:sz w:val="20"/>
                <w:szCs w:val="20"/>
              </w:rPr>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20"/>
                <w:szCs w:val="20"/>
              </w:rPr>
            </w:pPr>
            <w:r>
              <w:rPr>
                <w:rFonts w:ascii="Times New Roman"/>
                <w:b/>
                <w:w w:val="95"/>
                <w:sz w:val="20"/>
              </w:rPr>
              <w:t>275,919,100.20</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4"/>
              <w:jc w:val="right"/>
              <w:rPr>
                <w:rFonts w:ascii="Times New Roman" w:hAnsi="Times New Roman" w:cs="Times New Roman" w:eastAsia="Times New Roman" w:hint="default"/>
                <w:sz w:val="20"/>
                <w:szCs w:val="20"/>
              </w:rPr>
            </w:pPr>
            <w:r>
              <w:rPr>
                <w:rFonts w:ascii="Times New Roman"/>
                <w:b/>
                <w:w w:val="95"/>
                <w:sz w:val="20"/>
              </w:rPr>
              <w:t>-147,397,798.01</w:t>
            </w:r>
            <w:r>
              <w:rPr>
                <w:rFonts w:ascii="Times New Roman"/>
                <w:sz w:val="20"/>
              </w:rPr>
            </w:r>
          </w:p>
        </w:tc>
      </w:tr>
      <w:tr>
        <w:trPr>
          <w:trHeight w:val="276" w:hRule="exact"/>
        </w:trPr>
        <w:tc>
          <w:tcPr>
            <w:tcW w:w="4973"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93" w:right="0"/>
              <w:jc w:val="left"/>
              <w:rPr>
                <w:rFonts w:ascii="宋体" w:hAnsi="宋体" w:cs="宋体" w:eastAsia="宋体" w:hint="default"/>
                <w:sz w:val="20"/>
                <w:szCs w:val="20"/>
              </w:rPr>
            </w:pPr>
            <w:r>
              <w:rPr>
                <w:rFonts w:ascii="宋体" w:hAnsi="宋体" w:cs="宋体" w:eastAsia="宋体" w:hint="default"/>
                <w:sz w:val="20"/>
                <w:szCs w:val="20"/>
              </w:rPr>
              <w:t>加：期初现金及现金等价物余额</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Times New Roman" w:hAnsi="Times New Roman" w:cs="Times New Roman" w:eastAsia="Times New Roman" w:hint="default"/>
                <w:sz w:val="20"/>
                <w:szCs w:val="20"/>
              </w:rPr>
            </w:pPr>
            <w:r>
              <w:rPr>
                <w:rFonts w:ascii="Times New Roman"/>
                <w:w w:val="95"/>
                <w:sz w:val="20"/>
              </w:rPr>
              <w:t>777,666,289.84</w:t>
            </w:r>
            <w:r>
              <w:rPr>
                <w:rFonts w:ascii="Times New Roman"/>
                <w:sz w:val="20"/>
              </w:rPr>
            </w:r>
          </w:p>
        </w:tc>
        <w:tc>
          <w:tcPr>
            <w:tcW w:w="22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97"/>
              <w:jc w:val="right"/>
              <w:rPr>
                <w:rFonts w:ascii="Times New Roman" w:hAnsi="Times New Roman" w:cs="Times New Roman" w:eastAsia="Times New Roman" w:hint="default"/>
                <w:sz w:val="20"/>
                <w:szCs w:val="20"/>
              </w:rPr>
            </w:pPr>
            <w:r>
              <w:rPr>
                <w:rFonts w:ascii="Times New Roman"/>
                <w:w w:val="95"/>
                <w:sz w:val="20"/>
              </w:rPr>
              <w:t>925,064,087.85</w:t>
            </w:r>
            <w:r>
              <w:rPr>
                <w:rFonts w:ascii="Times New Roman"/>
                <w:sz w:val="20"/>
              </w:rPr>
            </w:r>
          </w:p>
        </w:tc>
      </w:tr>
      <w:tr>
        <w:trPr>
          <w:trHeight w:val="281" w:hRule="exact"/>
        </w:trPr>
        <w:tc>
          <w:tcPr>
            <w:tcW w:w="4973" w:type="dxa"/>
            <w:tcBorders>
              <w:top w:val="single" w:sz="6" w:space="0" w:color="000000"/>
              <w:left w:val="single" w:sz="12" w:space="0" w:color="000000"/>
              <w:bottom w:val="single" w:sz="12" w:space="0" w:color="000000"/>
              <w:right w:val="single" w:sz="6"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b/>
                <w:bCs/>
                <w:sz w:val="20"/>
                <w:szCs w:val="20"/>
              </w:rPr>
              <w:t>六、期末现金及现金等价物余额</w:t>
            </w:r>
            <w:r>
              <w:rPr>
                <w:rFonts w:ascii="宋体" w:hAnsi="宋体" w:cs="宋体" w:eastAsia="宋体" w:hint="default"/>
                <w:sz w:val="20"/>
                <w:szCs w:val="20"/>
              </w:rPr>
            </w:r>
          </w:p>
        </w:tc>
        <w:tc>
          <w:tcPr>
            <w:tcW w:w="22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20"/>
                <w:szCs w:val="20"/>
              </w:rPr>
            </w:pPr>
            <w:r>
              <w:rPr>
                <w:rFonts w:ascii="Times New Roman"/>
                <w:b/>
                <w:spacing w:val="-1"/>
                <w:sz w:val="20"/>
              </w:rPr>
              <w:t>1,053,585,390.04</w:t>
            </w:r>
            <w:r>
              <w:rPr>
                <w:rFonts w:ascii="Times New Roman"/>
                <w:spacing w:val="-1"/>
                <w:sz w:val="20"/>
              </w:rPr>
            </w:r>
          </w:p>
        </w:tc>
        <w:tc>
          <w:tcPr>
            <w:tcW w:w="220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
              <w:ind w:right="97"/>
              <w:jc w:val="right"/>
              <w:rPr>
                <w:rFonts w:ascii="Times New Roman" w:hAnsi="Times New Roman" w:cs="Times New Roman" w:eastAsia="Times New Roman" w:hint="default"/>
                <w:sz w:val="20"/>
                <w:szCs w:val="20"/>
              </w:rPr>
            </w:pPr>
            <w:r>
              <w:rPr>
                <w:rFonts w:ascii="Times New Roman"/>
                <w:b/>
                <w:w w:val="95"/>
                <w:sz w:val="20"/>
              </w:rPr>
              <w:t>777,666,289.84</w:t>
            </w:r>
            <w:r>
              <w:rPr>
                <w:rFonts w:ascii="Times New Roman"/>
                <w:sz w:val="20"/>
              </w:rPr>
            </w:r>
          </w:p>
        </w:tc>
      </w:tr>
    </w:tbl>
    <w:p>
      <w:pPr>
        <w:spacing w:line="240" w:lineRule="auto" w:before="8"/>
        <w:rPr>
          <w:rFonts w:ascii="宋体" w:hAnsi="宋体" w:cs="宋体" w:eastAsia="宋体" w:hint="default"/>
          <w:b/>
          <w:bCs/>
          <w:sz w:val="14"/>
          <w:szCs w:val="14"/>
        </w:rPr>
      </w:pPr>
    </w:p>
    <w:p>
      <w:pPr>
        <w:tabs>
          <w:tab w:pos="3810" w:val="left" w:leader="none"/>
          <w:tab w:pos="7065" w:val="left" w:leader="none"/>
        </w:tabs>
        <w:spacing w:before="36"/>
        <w:ind w:left="238" w:right="110" w:firstLine="0"/>
        <w:jc w:val="left"/>
        <w:rPr>
          <w:rFonts w:ascii="宋体" w:hAnsi="宋体" w:cs="宋体" w:eastAsia="宋体" w:hint="default"/>
          <w:sz w:val="21"/>
          <w:szCs w:val="21"/>
        </w:rPr>
      </w:pPr>
      <w:r>
        <w:rPr>
          <w:rFonts w:ascii="宋体" w:hAnsi="宋体" w:cs="宋体" w:eastAsia="宋体" w:hint="default"/>
          <w:spacing w:val="-1"/>
          <w:sz w:val="21"/>
          <w:szCs w:val="21"/>
        </w:rPr>
        <w:t>法定代表人：周立业</w:t>
        <w:tab/>
      </w:r>
      <w:r>
        <w:rPr>
          <w:rFonts w:ascii="宋体" w:hAnsi="宋体" w:cs="宋体" w:eastAsia="宋体" w:hint="default"/>
          <w:spacing w:val="-2"/>
          <w:sz w:val="21"/>
          <w:szCs w:val="21"/>
        </w:rPr>
        <w:t>财务负责人：刘卫东</w:t>
        <w:tab/>
        <w:t>会计机构负责人：王映浒</w:t>
      </w:r>
    </w:p>
    <w:p>
      <w:pPr>
        <w:spacing w:after="0"/>
        <w:jc w:val="left"/>
        <w:rPr>
          <w:rFonts w:ascii="宋体" w:hAnsi="宋体" w:cs="宋体" w:eastAsia="宋体" w:hint="default"/>
          <w:sz w:val="21"/>
          <w:szCs w:val="21"/>
        </w:rPr>
        <w:sectPr>
          <w:pgSz w:w="11910" w:h="16840"/>
          <w:pgMar w:header="628" w:footer="760" w:top="1960" w:bottom="960" w:left="1180" w:right="1040"/>
        </w:sectPr>
      </w:pPr>
    </w:p>
    <w:tbl>
      <w:tblPr>
        <w:tblW w:w="0" w:type="auto"/>
        <w:jc w:val="left"/>
        <w:tblInd w:w="116" w:type="dxa"/>
        <w:tblLayout w:type="fixed"/>
        <w:tblCellMar>
          <w:top w:w="0" w:type="dxa"/>
          <w:left w:w="0" w:type="dxa"/>
          <w:bottom w:w="0" w:type="dxa"/>
          <w:right w:w="0" w:type="dxa"/>
        </w:tblCellMar>
        <w:tblLook w:val="01E0"/>
      </w:tblPr>
      <w:tblGrid>
        <w:gridCol w:w="3730"/>
        <w:gridCol w:w="1477"/>
        <w:gridCol w:w="1476"/>
        <w:gridCol w:w="578"/>
        <w:gridCol w:w="1402"/>
        <w:gridCol w:w="530"/>
        <w:gridCol w:w="1342"/>
        <w:gridCol w:w="1477"/>
        <w:gridCol w:w="1476"/>
        <w:gridCol w:w="1565"/>
      </w:tblGrid>
      <w:tr>
        <w:trPr>
          <w:trHeight w:val="257" w:hRule="exact"/>
        </w:trPr>
        <w:tc>
          <w:tcPr>
            <w:tcW w:w="3730" w:type="dxa"/>
            <w:vMerge w:val="restart"/>
            <w:tcBorders>
              <w:top w:val="single" w:sz="12"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tabs>
                <w:tab w:pos="453" w:val="left" w:leader="none"/>
              </w:tabs>
              <w:spacing w:line="240" w:lineRule="auto"/>
              <w:ind w:right="4"/>
              <w:jc w:val="center"/>
              <w:rPr>
                <w:rFonts w:ascii="宋体" w:hAnsi="宋体" w:cs="宋体" w:eastAsia="宋体" w:hint="default"/>
                <w:sz w:val="18"/>
                <w:szCs w:val="18"/>
              </w:rPr>
            </w:pPr>
            <w:r>
              <w:rPr>
                <w:rFonts w:ascii="宋体" w:hAnsi="宋体" w:cs="宋体" w:eastAsia="宋体" w:hint="default"/>
                <w:b/>
                <w:bCs/>
                <w:w w:val="95"/>
                <w:sz w:val="18"/>
                <w:szCs w:val="18"/>
              </w:rPr>
              <w:t>项</w:t>
              <w:tab/>
            </w:r>
            <w:r>
              <w:rPr>
                <w:rFonts w:ascii="宋体" w:hAnsi="宋体" w:cs="宋体" w:eastAsia="宋体" w:hint="default"/>
                <w:b/>
                <w:bCs/>
                <w:sz w:val="18"/>
                <w:szCs w:val="18"/>
              </w:rPr>
              <w:t>目</w:t>
            </w:r>
            <w:r>
              <w:rPr>
                <w:rFonts w:ascii="宋体" w:hAnsi="宋体" w:cs="宋体" w:eastAsia="宋体" w:hint="default"/>
                <w:sz w:val="18"/>
                <w:szCs w:val="18"/>
              </w:rPr>
            </w:r>
          </w:p>
        </w:tc>
        <w:tc>
          <w:tcPr>
            <w:tcW w:w="8282" w:type="dxa"/>
            <w:gridSpan w:val="7"/>
            <w:tcBorders>
              <w:top w:val="single" w:sz="12" w:space="0" w:color="000000"/>
              <w:left w:val="single" w:sz="6" w:space="0" w:color="000000"/>
              <w:bottom w:val="single" w:sz="6" w:space="0" w:color="000000"/>
              <w:right w:val="single" w:sz="6"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b/>
                <w:bCs/>
                <w:sz w:val="18"/>
                <w:szCs w:val="18"/>
              </w:rPr>
              <w:t>归属于母公司股东权益</w:t>
            </w:r>
            <w:r>
              <w:rPr>
                <w:rFonts w:ascii="宋体" w:hAnsi="宋体" w:cs="宋体" w:eastAsia="宋体" w:hint="default"/>
                <w:sz w:val="18"/>
                <w:szCs w:val="18"/>
              </w:rPr>
            </w:r>
          </w:p>
        </w:tc>
        <w:tc>
          <w:tcPr>
            <w:tcW w:w="1476" w:type="dxa"/>
            <w:vMerge w:val="restart"/>
            <w:tcBorders>
              <w:top w:val="single" w:sz="12"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187"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c>
          <w:tcPr>
            <w:tcW w:w="1565" w:type="dxa"/>
            <w:vMerge w:val="restart"/>
            <w:tcBorders>
              <w:top w:val="single" w:sz="12" w:space="0" w:color="000000"/>
              <w:left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948" w:hRule="exact"/>
        </w:trPr>
        <w:tc>
          <w:tcPr>
            <w:tcW w:w="3730" w:type="dxa"/>
            <w:vMerge/>
            <w:tcBorders>
              <w:left w:val="single" w:sz="12"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69"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578"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100" w:right="96"/>
              <w:jc w:val="both"/>
              <w:rPr>
                <w:rFonts w:ascii="宋体" w:hAnsi="宋体" w:cs="宋体" w:eastAsia="宋体" w:hint="default"/>
                <w:sz w:val="18"/>
                <w:szCs w:val="18"/>
              </w:rPr>
            </w:pPr>
            <w:r>
              <w:rPr>
                <w:rFonts w:ascii="宋体" w:hAnsi="宋体" w:cs="宋体" w:eastAsia="宋体" w:hint="default"/>
                <w:b/>
                <w:bCs/>
                <w:sz w:val="18"/>
                <w:szCs w:val="18"/>
              </w:rPr>
              <w:t>减：</w:t>
            </w:r>
            <w:r>
              <w:rPr>
                <w:rFonts w:ascii="宋体" w:hAnsi="宋体" w:cs="宋体" w:eastAsia="宋体" w:hint="default"/>
                <w:b/>
                <w:bCs/>
                <w:spacing w:val="-89"/>
                <w:sz w:val="18"/>
                <w:szCs w:val="18"/>
              </w:rPr>
              <w:t> </w:t>
            </w:r>
            <w:r>
              <w:rPr>
                <w:rFonts w:ascii="宋体" w:hAnsi="宋体" w:cs="宋体" w:eastAsia="宋体" w:hint="default"/>
                <w:b/>
                <w:bCs/>
                <w:sz w:val="18"/>
                <w:szCs w:val="18"/>
              </w:rPr>
              <w:t>库存</w:t>
            </w:r>
            <w:r>
              <w:rPr>
                <w:rFonts w:ascii="宋体" w:hAnsi="宋体" w:cs="宋体" w:eastAsia="宋体" w:hint="default"/>
                <w:b/>
                <w:bCs/>
                <w:spacing w:val="-8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49"/>
              <w:jc w:val="right"/>
              <w:rPr>
                <w:rFonts w:ascii="宋体" w:hAnsi="宋体" w:cs="宋体" w:eastAsia="宋体" w:hint="default"/>
                <w:sz w:val="18"/>
                <w:szCs w:val="18"/>
              </w:rPr>
            </w:pPr>
            <w:r>
              <w:rPr>
                <w:rFonts w:ascii="宋体" w:hAnsi="宋体" w:cs="宋体" w:eastAsia="宋体" w:hint="default"/>
                <w:b/>
                <w:bCs/>
                <w:w w:val="95"/>
                <w:sz w:val="18"/>
                <w:szCs w:val="18"/>
              </w:rPr>
              <w:t>其他综合收益</w:t>
            </w:r>
            <w:r>
              <w:rPr>
                <w:rFonts w:ascii="宋体" w:hAnsi="宋体" w:cs="宋体" w:eastAsia="宋体" w:hint="default"/>
                <w:sz w:val="18"/>
                <w:szCs w:val="18"/>
              </w:rPr>
            </w:r>
          </w:p>
        </w:tc>
        <w:tc>
          <w:tcPr>
            <w:tcW w:w="530"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67" w:right="0"/>
              <w:jc w:val="both"/>
              <w:rPr>
                <w:rFonts w:ascii="宋体" w:hAnsi="宋体" w:cs="宋体" w:eastAsia="宋体" w:hint="default"/>
                <w:sz w:val="18"/>
                <w:szCs w:val="18"/>
              </w:rPr>
            </w:pPr>
            <w:r>
              <w:rPr>
                <w:rFonts w:ascii="宋体" w:hAnsi="宋体" w:cs="宋体" w:eastAsia="宋体" w:hint="default"/>
                <w:b/>
                <w:bCs/>
                <w:w w:val="99"/>
                <w:sz w:val="18"/>
                <w:szCs w:val="18"/>
              </w:rPr>
              <w:t>专</w:t>
            </w:r>
            <w:r>
              <w:rPr>
                <w:rFonts w:ascii="宋体" w:hAnsi="宋体" w:cs="宋体" w:eastAsia="宋体" w:hint="default"/>
                <w:sz w:val="18"/>
                <w:szCs w:val="18"/>
              </w:rPr>
            </w:r>
          </w:p>
          <w:p>
            <w:pPr>
              <w:pStyle w:val="TableParagraph"/>
              <w:spacing w:line="237" w:lineRule="auto"/>
              <w:ind w:left="167" w:right="167"/>
              <w:jc w:val="both"/>
              <w:rPr>
                <w:rFonts w:ascii="宋体" w:hAnsi="宋体" w:cs="宋体" w:eastAsia="宋体" w:hint="default"/>
                <w:sz w:val="18"/>
                <w:szCs w:val="18"/>
              </w:rPr>
            </w:pPr>
            <w:r>
              <w:rPr>
                <w:rFonts w:ascii="宋体" w:hAnsi="宋体" w:cs="宋体" w:eastAsia="宋体" w:hint="default"/>
                <w:b/>
                <w:bCs/>
                <w:sz w:val="18"/>
                <w:szCs w:val="18"/>
              </w:rPr>
              <w:t>项</w:t>
            </w:r>
            <w:r>
              <w:rPr>
                <w:rFonts w:ascii="宋体" w:hAnsi="宋体" w:cs="宋体" w:eastAsia="宋体" w:hint="default"/>
                <w:b/>
                <w:bCs/>
                <w:w w:val="99"/>
                <w:sz w:val="18"/>
                <w:szCs w:val="18"/>
              </w:rPr>
              <w:t> </w:t>
            </w:r>
            <w:r>
              <w:rPr>
                <w:rFonts w:ascii="宋体" w:hAnsi="宋体" w:cs="宋体" w:eastAsia="宋体" w:hint="default"/>
                <w:b/>
                <w:bCs/>
                <w:sz w:val="18"/>
                <w:szCs w:val="18"/>
              </w:rPr>
              <w:t>储</w:t>
            </w:r>
            <w:r>
              <w:rPr>
                <w:rFonts w:ascii="宋体" w:hAnsi="宋体" w:cs="宋体" w:eastAsia="宋体" w:hint="default"/>
                <w:b/>
                <w:bCs/>
                <w:w w:val="99"/>
                <w:sz w:val="18"/>
                <w:szCs w:val="18"/>
              </w:rPr>
              <w:t> </w:t>
            </w:r>
            <w:r>
              <w:rPr>
                <w:rFonts w:ascii="宋体" w:hAnsi="宋体" w:cs="宋体" w:eastAsia="宋体" w:hint="default"/>
                <w:b/>
                <w:bCs/>
                <w:sz w:val="18"/>
                <w:szCs w:val="18"/>
              </w:rPr>
              <w:t>备</w:t>
            </w:r>
            <w:r>
              <w:rPr>
                <w:rFonts w:ascii="宋体" w:hAnsi="宋体" w:cs="宋体" w:eastAsia="宋体" w:hint="default"/>
                <w:sz w:val="18"/>
                <w:szCs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79"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476" w:type="dxa"/>
            <w:vMerge/>
            <w:tcBorders>
              <w:left w:val="single" w:sz="6" w:space="0" w:color="000000"/>
              <w:bottom w:val="single" w:sz="6" w:space="0" w:color="000000"/>
              <w:right w:val="single" w:sz="6" w:space="0" w:color="000000"/>
            </w:tcBorders>
          </w:tcPr>
          <w:p>
            <w:pPr/>
          </w:p>
        </w:tc>
        <w:tc>
          <w:tcPr>
            <w:tcW w:w="1565" w:type="dxa"/>
            <w:vMerge/>
            <w:tcBorders>
              <w:left w:val="single" w:sz="6" w:space="0" w:color="000000"/>
              <w:bottom w:val="single" w:sz="6" w:space="0" w:color="000000"/>
              <w:right w:val="single" w:sz="12" w:space="0" w:color="000000"/>
            </w:tcBorders>
          </w:tcPr>
          <w:p>
            <w:pPr/>
          </w:p>
        </w:tc>
      </w:tr>
      <w:tr>
        <w:trPr>
          <w:trHeight w:val="248"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2,197,882,238.00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4,815,464,376.35</w:t>
            </w:r>
            <w:r>
              <w:rPr>
                <w:rFonts w:ascii="Times New Roman"/>
                <w:spacing w:val="-1"/>
                <w:sz w:val="18"/>
              </w:rPr>
            </w:r>
          </w:p>
        </w:tc>
        <w:tc>
          <w:tcPr>
            <w:tcW w:w="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b/>
                <w:spacing w:val="-1"/>
                <w:sz w:val="18"/>
              </w:rPr>
              <w:t>259,087,330.74</w:t>
            </w:r>
            <w:r>
              <w:rPr>
                <w:rFonts w:ascii="Times New Roman"/>
                <w:spacing w:val="-1"/>
                <w:sz w:val="18"/>
              </w:rPr>
            </w:r>
          </w:p>
        </w:tc>
        <w:tc>
          <w:tcPr>
            <w:tcW w:w="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b/>
                <w:spacing w:val="-1"/>
                <w:sz w:val="18"/>
              </w:rPr>
              <w:t>758,118,836.27</w:t>
            </w:r>
            <w:r>
              <w:rPr>
                <w:rFonts w:ascii="Times New Roman"/>
                <w:spacing w:val="-1"/>
                <w:sz w:val="18"/>
              </w:rPr>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3,512,346,548.71</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3,821,092,249.11</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15,363,991,579.18</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9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816"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816" w:right="0"/>
              <w:jc w:val="left"/>
              <w:rPr>
                <w:rFonts w:ascii="宋体" w:hAnsi="宋体" w:cs="宋体" w:eastAsia="宋体" w:hint="default"/>
                <w:sz w:val="18"/>
                <w:szCs w:val="18"/>
              </w:rPr>
            </w:pPr>
            <w:r>
              <w:rPr>
                <w:rFonts w:ascii="宋体" w:hAnsi="宋体" w:cs="宋体" w:eastAsia="宋体" w:hint="default"/>
                <w:sz w:val="18"/>
                <w:szCs w:val="18"/>
              </w:rPr>
              <w:t>同一控制下企业合并</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81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b/>
                <w:spacing w:val="-1"/>
                <w:sz w:val="18"/>
              </w:rPr>
              <w:t>2,197,882,238.00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b/>
                <w:spacing w:val="-1"/>
                <w:sz w:val="18"/>
              </w:rPr>
              <w:t>4,815,464,376.35</w:t>
            </w:r>
            <w:r>
              <w:rPr>
                <w:rFonts w:ascii="Times New Roman"/>
                <w:spacing w:val="-1"/>
                <w:sz w:val="18"/>
              </w:rPr>
            </w:r>
          </w:p>
        </w:tc>
        <w:tc>
          <w:tcPr>
            <w:tcW w:w="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b/>
                <w:spacing w:val="-1"/>
                <w:sz w:val="18"/>
              </w:rPr>
              <w:t>259,087,330.74</w:t>
            </w:r>
            <w:r>
              <w:rPr>
                <w:rFonts w:ascii="Times New Roman"/>
                <w:spacing w:val="-1"/>
                <w:sz w:val="18"/>
              </w:rPr>
            </w:r>
          </w:p>
        </w:tc>
        <w:tc>
          <w:tcPr>
            <w:tcW w:w="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b/>
                <w:spacing w:val="-1"/>
                <w:sz w:val="18"/>
              </w:rPr>
              <w:t>758,118,836.27</w:t>
            </w:r>
            <w:r>
              <w:rPr>
                <w:rFonts w:ascii="Times New Roman"/>
                <w:spacing w:val="-1"/>
                <w:sz w:val="18"/>
              </w:rPr>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b/>
                <w:spacing w:val="-1"/>
                <w:sz w:val="18"/>
              </w:rPr>
              <w:t>3,512,346,548.71</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b/>
                <w:spacing w:val="-1"/>
                <w:sz w:val="18"/>
              </w:rPr>
              <w:t>3,821,092,249.11</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0"/>
              <w:jc w:val="right"/>
              <w:rPr>
                <w:rFonts w:ascii="Times New Roman" w:hAnsi="Times New Roman" w:cs="Times New Roman" w:eastAsia="Times New Roman" w:hint="default"/>
                <w:sz w:val="18"/>
                <w:szCs w:val="18"/>
              </w:rPr>
            </w:pPr>
            <w:r>
              <w:rPr>
                <w:rFonts w:ascii="Times New Roman"/>
                <w:b/>
                <w:spacing w:val="-1"/>
                <w:sz w:val="18"/>
              </w:rPr>
              <w:t>15,363,991,579.18</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三、本期增减变动金额（减少以</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766,016,713.00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4,639,174,938.56</w:t>
            </w:r>
            <w:r>
              <w:rPr>
                <w:rFonts w:ascii="Times New Roman"/>
                <w:spacing w:val="-1"/>
                <w:sz w:val="18"/>
              </w:rPr>
            </w:r>
          </w:p>
        </w:tc>
        <w:tc>
          <w:tcPr>
            <w:tcW w:w="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-321,130,048.26</w:t>
            </w:r>
            <w:r>
              <w:rPr>
                <w:rFonts w:ascii="Times New Roman"/>
                <w:spacing w:val="-1"/>
                <w:sz w:val="18"/>
              </w:rPr>
            </w:r>
          </w:p>
        </w:tc>
        <w:tc>
          <w:tcPr>
            <w:tcW w:w="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b/>
                <w:spacing w:val="-1"/>
                <w:sz w:val="18"/>
              </w:rPr>
              <w:t>126,159,337.00</w:t>
            </w:r>
            <w:r>
              <w:rPr>
                <w:rFonts w:ascii="Times New Roman"/>
                <w:spacing w:val="-1"/>
                <w:sz w:val="18"/>
              </w:rPr>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b/>
                <w:spacing w:val="-1"/>
                <w:sz w:val="18"/>
              </w:rPr>
              <w:t>898,322,116.94</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1,183,301,837.33</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2"/>
              <w:jc w:val="right"/>
              <w:rPr>
                <w:rFonts w:ascii="Times New Roman" w:hAnsi="Times New Roman" w:cs="Times New Roman" w:eastAsia="Times New Roman" w:hint="default"/>
                <w:sz w:val="18"/>
                <w:szCs w:val="18"/>
              </w:rPr>
            </w:pPr>
            <w:r>
              <w:rPr>
                <w:rFonts w:ascii="Times New Roman"/>
                <w:b/>
                <w:spacing w:val="-1"/>
                <w:sz w:val="18"/>
              </w:rPr>
              <w:t>7,291,844,894.57</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b/>
                <w:spacing w:val="-1"/>
                <w:sz w:val="18"/>
              </w:rPr>
              <w:t>-321,130,048.26</w:t>
            </w:r>
            <w:r>
              <w:rPr>
                <w:rFonts w:ascii="Times New Roman"/>
                <w:spacing w:val="-1"/>
                <w:sz w:val="18"/>
              </w:rPr>
            </w: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b/>
                <w:spacing w:val="-1"/>
                <w:sz w:val="18"/>
              </w:rPr>
              <w:t>1,261,593,370.02</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b/>
                <w:spacing w:val="-1"/>
                <w:sz w:val="18"/>
              </w:rPr>
              <w:t>931,238,834.28</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18"/>
                <w:szCs w:val="18"/>
              </w:rPr>
            </w:pPr>
            <w:r>
              <w:rPr>
                <w:rFonts w:ascii="Times New Roman"/>
                <w:b/>
                <w:spacing w:val="-1"/>
                <w:sz w:val="18"/>
              </w:rPr>
              <w:t>1,871,702,156.04</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（二）股东投入和减少资本</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766,016,713.00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4,900,611,797.78</w:t>
            </w:r>
            <w:r>
              <w:rPr>
                <w:rFonts w:ascii="Times New Roman"/>
                <w:spacing w:val="-1"/>
                <w:sz w:val="18"/>
              </w:rPr>
            </w:r>
          </w:p>
        </w:tc>
        <w:tc>
          <w:tcPr>
            <w:tcW w:w="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b/>
                <w:spacing w:val="-1"/>
                <w:sz w:val="18"/>
              </w:rPr>
              <w:t>342,965,612.10</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2"/>
              <w:jc w:val="right"/>
              <w:rPr>
                <w:rFonts w:ascii="Times New Roman" w:hAnsi="Times New Roman" w:cs="Times New Roman" w:eastAsia="Times New Roman" w:hint="default"/>
                <w:sz w:val="18"/>
                <w:szCs w:val="18"/>
              </w:rPr>
            </w:pPr>
            <w:r>
              <w:rPr>
                <w:rFonts w:ascii="Times New Roman"/>
                <w:b/>
                <w:spacing w:val="-1"/>
                <w:sz w:val="18"/>
              </w:rPr>
              <w:t>6,009,594,122.88</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股东投入普通股</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9"/>
              <w:jc w:val="right"/>
              <w:rPr>
                <w:rFonts w:ascii="Times New Roman" w:hAnsi="Times New Roman" w:cs="Times New Roman" w:eastAsia="Times New Roman" w:hint="default"/>
                <w:sz w:val="18"/>
                <w:szCs w:val="18"/>
              </w:rPr>
            </w:pPr>
            <w:r>
              <w:rPr>
                <w:rFonts w:ascii="Times New Roman"/>
                <w:spacing w:val="-1"/>
                <w:sz w:val="18"/>
              </w:rPr>
              <w:t>766,016,713.00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9"/>
              <w:jc w:val="right"/>
              <w:rPr>
                <w:rFonts w:ascii="Times New Roman" w:hAnsi="Times New Roman" w:cs="Times New Roman" w:eastAsia="Times New Roman" w:hint="default"/>
                <w:sz w:val="18"/>
                <w:szCs w:val="18"/>
              </w:rPr>
            </w:pPr>
            <w:r>
              <w:rPr>
                <w:rFonts w:ascii="Times New Roman"/>
                <w:spacing w:val="-1"/>
                <w:sz w:val="18"/>
              </w:rPr>
              <w:t>4,691,656,684.67</w:t>
            </w: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8"/>
              <w:jc w:val="right"/>
              <w:rPr>
                <w:rFonts w:ascii="Times New Roman" w:hAnsi="Times New Roman" w:cs="Times New Roman" w:eastAsia="Times New Roman" w:hint="default"/>
                <w:sz w:val="18"/>
                <w:szCs w:val="18"/>
              </w:rPr>
            </w:pPr>
            <w:r>
              <w:rPr>
                <w:rFonts w:ascii="Times New Roman"/>
                <w:spacing w:val="-1"/>
                <w:sz w:val="18"/>
              </w:rPr>
              <w:t>601,961,799.85</w:t>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18"/>
                <w:szCs w:val="18"/>
              </w:rPr>
            </w:pPr>
            <w:r>
              <w:rPr>
                <w:rFonts w:ascii="Times New Roman"/>
                <w:b/>
                <w:spacing w:val="-1"/>
                <w:sz w:val="18"/>
              </w:rPr>
              <w:t>6,059,635,197.52</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股份支付计入股东权益的金额</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48"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8"/>
              <w:jc w:val="right"/>
              <w:rPr>
                <w:rFonts w:ascii="Times New Roman" w:hAnsi="Times New Roman" w:cs="Times New Roman" w:eastAsia="Times New Roman" w:hint="default"/>
                <w:sz w:val="18"/>
                <w:szCs w:val="18"/>
              </w:rPr>
            </w:pPr>
            <w:r>
              <w:rPr>
                <w:rFonts w:ascii="Times New Roman"/>
                <w:spacing w:val="-1"/>
                <w:sz w:val="18"/>
              </w:rPr>
              <w:t>208,955,113.11</w:t>
            </w: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9"/>
              <w:jc w:val="right"/>
              <w:rPr>
                <w:rFonts w:ascii="Times New Roman" w:hAnsi="Times New Roman" w:cs="Times New Roman" w:eastAsia="Times New Roman" w:hint="default"/>
                <w:sz w:val="18"/>
                <w:szCs w:val="18"/>
              </w:rPr>
            </w:pPr>
            <w:r>
              <w:rPr>
                <w:rFonts w:ascii="Times New Roman"/>
                <w:spacing w:val="-1"/>
                <w:sz w:val="18"/>
              </w:rPr>
              <w:t>-258,996,187.75</w:t>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18"/>
                <w:szCs w:val="18"/>
              </w:rPr>
            </w:pPr>
            <w:r>
              <w:rPr>
                <w:rFonts w:ascii="Times New Roman"/>
                <w:b/>
                <w:spacing w:val="-1"/>
                <w:sz w:val="18"/>
              </w:rPr>
              <w:t>-50,041,074.64</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b/>
                <w:spacing w:val="-1"/>
                <w:sz w:val="18"/>
              </w:rPr>
              <w:t>126,159,337.00</w:t>
            </w:r>
            <w:r>
              <w:rPr>
                <w:rFonts w:ascii="Times New Roman"/>
                <w:spacing w:val="-1"/>
                <w:sz w:val="18"/>
              </w:rPr>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-363,271,253.08</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-90,946,272.40</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89"/>
              <w:jc w:val="right"/>
              <w:rPr>
                <w:rFonts w:ascii="Times New Roman" w:hAnsi="Times New Roman" w:cs="Times New Roman" w:eastAsia="Times New Roman" w:hint="default"/>
                <w:sz w:val="18"/>
                <w:szCs w:val="18"/>
              </w:rPr>
            </w:pPr>
            <w:r>
              <w:rPr>
                <w:rFonts w:ascii="Times New Roman"/>
                <w:b/>
                <w:spacing w:val="-1"/>
                <w:sz w:val="18"/>
              </w:rPr>
              <w:t>-328,058,188.48</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8"/>
              <w:jc w:val="right"/>
              <w:rPr>
                <w:rFonts w:ascii="Times New Roman" w:hAnsi="Times New Roman" w:cs="Times New Roman" w:eastAsia="Times New Roman" w:hint="default"/>
                <w:sz w:val="18"/>
                <w:szCs w:val="18"/>
              </w:rPr>
            </w:pPr>
            <w:r>
              <w:rPr>
                <w:rFonts w:ascii="Times New Roman"/>
                <w:spacing w:val="-1"/>
                <w:sz w:val="18"/>
              </w:rPr>
              <w:t>126,159,337.00</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9"/>
              <w:jc w:val="right"/>
              <w:rPr>
                <w:rFonts w:ascii="Times New Roman" w:hAnsi="Times New Roman" w:cs="Times New Roman" w:eastAsia="Times New Roman" w:hint="default"/>
                <w:sz w:val="18"/>
                <w:szCs w:val="18"/>
              </w:rPr>
            </w:pPr>
            <w:r>
              <w:rPr>
                <w:rFonts w:ascii="Times New Roman"/>
                <w:spacing w:val="-1"/>
                <w:sz w:val="18"/>
              </w:rPr>
              <w:t>-126,159,337.00</w:t>
            </w: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对股东的分配</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99"/>
              <w:jc w:val="right"/>
              <w:rPr>
                <w:rFonts w:ascii="Times New Roman" w:hAnsi="Times New Roman" w:cs="Times New Roman" w:eastAsia="Times New Roman" w:hint="default"/>
                <w:sz w:val="18"/>
                <w:szCs w:val="18"/>
              </w:rPr>
            </w:pPr>
            <w:r>
              <w:rPr>
                <w:rFonts w:ascii="Times New Roman"/>
                <w:spacing w:val="-1"/>
                <w:sz w:val="18"/>
              </w:rPr>
              <w:t>-237,111,916.08</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-90,946,272.40</w:t>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89"/>
              <w:jc w:val="right"/>
              <w:rPr>
                <w:rFonts w:ascii="Times New Roman" w:hAnsi="Times New Roman" w:cs="Times New Roman" w:eastAsia="Times New Roman" w:hint="default"/>
                <w:sz w:val="18"/>
                <w:szCs w:val="18"/>
              </w:rPr>
            </w:pPr>
            <w:r>
              <w:rPr>
                <w:rFonts w:ascii="Times New Roman"/>
                <w:b/>
                <w:spacing w:val="-1"/>
                <w:sz w:val="18"/>
              </w:rPr>
              <w:t>-328,058,188.48</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（四）股东权益内部结转</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资本公积转增股本</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盈余公积转增股本</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48"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275"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2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本年提取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本年使用</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275"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99"/>
              <w:jc w:val="right"/>
              <w:rPr>
                <w:rFonts w:ascii="Times New Roman" w:hAnsi="Times New Roman" w:cs="Times New Roman" w:eastAsia="Times New Roman" w:hint="default"/>
                <w:sz w:val="18"/>
                <w:szCs w:val="18"/>
              </w:rPr>
            </w:pPr>
            <w:r>
              <w:rPr>
                <w:rFonts w:ascii="Times New Roman"/>
                <w:spacing w:val="-1"/>
                <w:sz w:val="18"/>
              </w:rPr>
              <w:t>-261,436,859.22</w:t>
            </w:r>
          </w:p>
        </w:tc>
        <w:tc>
          <w:tcPr>
            <w:tcW w:w="578"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100"/>
              <w:jc w:val="right"/>
              <w:rPr>
                <w:rFonts w:ascii="Times New Roman" w:hAnsi="Times New Roman" w:cs="Times New Roman" w:eastAsia="Times New Roman" w:hint="default"/>
                <w:sz w:val="18"/>
                <w:szCs w:val="18"/>
              </w:rPr>
            </w:pPr>
            <w:r>
              <w:rPr>
                <w:rFonts w:ascii="Times New Roman"/>
                <w:spacing w:val="-1"/>
                <w:sz w:val="18"/>
              </w:rPr>
              <w:t>43,663.35</w:t>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89"/>
              <w:jc w:val="right"/>
              <w:rPr>
                <w:rFonts w:ascii="Times New Roman" w:hAnsi="Times New Roman" w:cs="Times New Roman" w:eastAsia="Times New Roman" w:hint="default"/>
                <w:sz w:val="18"/>
                <w:szCs w:val="18"/>
              </w:rPr>
            </w:pPr>
            <w:r>
              <w:rPr>
                <w:rFonts w:ascii="Times New Roman"/>
                <w:b/>
                <w:spacing w:val="-1"/>
                <w:sz w:val="18"/>
              </w:rPr>
              <w:t>-261,393,195.87</w:t>
            </w:r>
            <w:r>
              <w:rPr>
                <w:rFonts w:ascii="Times New Roman"/>
                <w:spacing w:val="-1"/>
                <w:sz w:val="18"/>
              </w:rPr>
            </w:r>
          </w:p>
        </w:tc>
      </w:tr>
      <w:tr>
        <w:trPr>
          <w:trHeight w:val="254" w:hRule="exact"/>
        </w:trPr>
        <w:tc>
          <w:tcPr>
            <w:tcW w:w="3730" w:type="dxa"/>
            <w:tcBorders>
              <w:top w:val="single" w:sz="6" w:space="0" w:color="000000"/>
              <w:left w:val="single" w:sz="12" w:space="0" w:color="000000"/>
              <w:bottom w:val="single" w:sz="12"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四、本期期末余额</w:t>
            </w:r>
            <w:r>
              <w:rPr>
                <w:rFonts w:ascii="宋体" w:hAnsi="宋体" w:cs="宋体" w:eastAsia="宋体" w:hint="default"/>
                <w:sz w:val="18"/>
                <w:szCs w:val="18"/>
              </w:rPr>
            </w:r>
          </w:p>
        </w:tc>
        <w:tc>
          <w:tcPr>
            <w:tcW w:w="14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2,963,898,951.00</w:t>
            </w:r>
            <w:r>
              <w:rPr>
                <w:rFonts w:ascii="Times New Roman"/>
                <w:spacing w:val="-1"/>
                <w:sz w:val="18"/>
              </w:rPr>
            </w:r>
          </w:p>
        </w:tc>
        <w:tc>
          <w:tcPr>
            <w:tcW w:w="14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9,454,639,314.91</w:t>
            </w:r>
            <w:r>
              <w:rPr>
                <w:rFonts w:ascii="Times New Roman"/>
                <w:spacing w:val="-1"/>
                <w:sz w:val="18"/>
              </w:rPr>
            </w:r>
          </w:p>
        </w:tc>
        <w:tc>
          <w:tcPr>
            <w:tcW w:w="57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-62,042,717.52</w:t>
            </w:r>
            <w:r>
              <w:rPr>
                <w:rFonts w:ascii="Times New Roman"/>
                <w:spacing w:val="-1"/>
                <w:sz w:val="18"/>
              </w:rPr>
            </w:r>
          </w:p>
        </w:tc>
        <w:tc>
          <w:tcPr>
            <w:tcW w:w="53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3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b/>
                <w:spacing w:val="-1"/>
                <w:sz w:val="18"/>
              </w:rPr>
              <w:t>884,278,173.27</w:t>
            </w:r>
            <w:r>
              <w:rPr>
                <w:rFonts w:ascii="Times New Roman"/>
                <w:spacing w:val="-1"/>
                <w:sz w:val="18"/>
              </w:rPr>
            </w:r>
          </w:p>
        </w:tc>
        <w:tc>
          <w:tcPr>
            <w:tcW w:w="14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4,410,668,665.65</w:t>
            </w:r>
            <w:r>
              <w:rPr>
                <w:rFonts w:ascii="Times New Roman"/>
                <w:spacing w:val="-1"/>
                <w:sz w:val="18"/>
              </w:rPr>
            </w:r>
          </w:p>
        </w:tc>
        <w:tc>
          <w:tcPr>
            <w:tcW w:w="14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5,004,394,086.44</w:t>
            </w:r>
            <w:r>
              <w:rPr>
                <w:rFonts w:ascii="Times New Roman"/>
                <w:spacing w:val="-1"/>
                <w:sz w:val="18"/>
              </w:rPr>
            </w:r>
          </w:p>
        </w:tc>
        <w:tc>
          <w:tcPr>
            <w:tcW w:w="156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22,655,836,473.75</w:t>
            </w:r>
            <w:r>
              <w:rPr>
                <w:rFonts w:ascii="Times New Roman"/>
                <w:spacing w:val="-1"/>
                <w:sz w:val="18"/>
              </w:rPr>
            </w:r>
          </w:p>
        </w:tc>
      </w:tr>
    </w:tbl>
    <w:p>
      <w:pPr>
        <w:tabs>
          <w:tab w:pos="7099" w:val="left" w:leader="none"/>
          <w:tab w:pos="11720" w:val="left" w:leader="none"/>
        </w:tabs>
        <w:spacing w:line="243" w:lineRule="exact" w:before="0"/>
        <w:ind w:left="798" w:right="0" w:firstLine="0"/>
        <w:jc w:val="left"/>
        <w:rPr>
          <w:rFonts w:ascii="宋体" w:hAnsi="宋体" w:cs="宋体" w:eastAsia="宋体" w:hint="default"/>
          <w:sz w:val="21"/>
          <w:szCs w:val="21"/>
        </w:rPr>
      </w:pPr>
      <w:r>
        <w:rPr>
          <w:rFonts w:ascii="宋体" w:hAnsi="宋体" w:cs="宋体" w:eastAsia="宋体" w:hint="default"/>
          <w:spacing w:val="-1"/>
          <w:sz w:val="21"/>
          <w:szCs w:val="21"/>
        </w:rPr>
        <w:t>法定代表人：周立业</w:t>
        <w:tab/>
        <w:t>财务负责人：刘卫东</w:t>
        <w:tab/>
      </w:r>
      <w:r>
        <w:rPr>
          <w:rFonts w:ascii="宋体" w:hAnsi="宋体" w:cs="宋体" w:eastAsia="宋体" w:hint="default"/>
          <w:spacing w:val="-2"/>
          <w:sz w:val="21"/>
          <w:szCs w:val="21"/>
        </w:rPr>
        <w:t>会计机构负责人：王映浒</w:t>
      </w:r>
    </w:p>
    <w:p>
      <w:pPr>
        <w:spacing w:after="0" w:line="243" w:lineRule="exact"/>
        <w:jc w:val="left"/>
        <w:rPr>
          <w:rFonts w:ascii="宋体" w:hAnsi="宋体" w:cs="宋体" w:eastAsia="宋体" w:hint="default"/>
          <w:sz w:val="21"/>
          <w:szCs w:val="21"/>
        </w:rPr>
        <w:sectPr>
          <w:headerReference w:type="default" r:id="rId25"/>
          <w:footerReference w:type="default" r:id="rId26"/>
          <w:pgSz w:w="16840" w:h="11910" w:orient="landscape"/>
          <w:pgMar w:header="628" w:footer="781" w:top="2320" w:bottom="980" w:left="620" w:right="900"/>
          <w:pgNumType w:start="82"/>
        </w:sectPr>
      </w:pPr>
    </w:p>
    <w:tbl>
      <w:tblPr>
        <w:tblW w:w="0" w:type="auto"/>
        <w:jc w:val="left"/>
        <w:tblInd w:w="108" w:type="dxa"/>
        <w:tblLayout w:type="fixed"/>
        <w:tblCellMar>
          <w:top w:w="0" w:type="dxa"/>
          <w:left w:w="0" w:type="dxa"/>
          <w:bottom w:w="0" w:type="dxa"/>
          <w:right w:w="0" w:type="dxa"/>
        </w:tblCellMar>
        <w:tblLook w:val="01E0"/>
      </w:tblPr>
      <w:tblGrid>
        <w:gridCol w:w="3730"/>
        <w:gridCol w:w="1477"/>
        <w:gridCol w:w="1476"/>
        <w:gridCol w:w="578"/>
        <w:gridCol w:w="1340"/>
        <w:gridCol w:w="533"/>
        <w:gridCol w:w="1339"/>
        <w:gridCol w:w="1479"/>
        <w:gridCol w:w="1476"/>
        <w:gridCol w:w="1565"/>
      </w:tblGrid>
      <w:tr>
        <w:trPr>
          <w:trHeight w:val="257" w:hRule="exact"/>
        </w:trPr>
        <w:tc>
          <w:tcPr>
            <w:tcW w:w="3730" w:type="dxa"/>
            <w:vMerge w:val="restart"/>
            <w:tcBorders>
              <w:top w:val="single" w:sz="12"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tabs>
                <w:tab w:pos="453" w:val="left" w:leader="none"/>
              </w:tabs>
              <w:spacing w:line="240" w:lineRule="auto"/>
              <w:ind w:right="4"/>
              <w:jc w:val="center"/>
              <w:rPr>
                <w:rFonts w:ascii="宋体" w:hAnsi="宋体" w:cs="宋体" w:eastAsia="宋体" w:hint="default"/>
                <w:sz w:val="18"/>
                <w:szCs w:val="18"/>
              </w:rPr>
            </w:pPr>
            <w:r>
              <w:rPr>
                <w:rFonts w:ascii="宋体" w:hAnsi="宋体" w:cs="宋体" w:eastAsia="宋体" w:hint="default"/>
                <w:b/>
                <w:bCs/>
                <w:w w:val="95"/>
                <w:sz w:val="18"/>
                <w:szCs w:val="18"/>
              </w:rPr>
              <w:t>项</w:t>
              <w:tab/>
            </w:r>
            <w:r>
              <w:rPr>
                <w:rFonts w:ascii="宋体" w:hAnsi="宋体" w:cs="宋体" w:eastAsia="宋体" w:hint="default"/>
                <w:b/>
                <w:bCs/>
                <w:sz w:val="18"/>
                <w:szCs w:val="18"/>
              </w:rPr>
              <w:t>目</w:t>
            </w:r>
            <w:r>
              <w:rPr>
                <w:rFonts w:ascii="宋体" w:hAnsi="宋体" w:cs="宋体" w:eastAsia="宋体" w:hint="default"/>
                <w:sz w:val="18"/>
                <w:szCs w:val="18"/>
              </w:rPr>
            </w:r>
          </w:p>
        </w:tc>
        <w:tc>
          <w:tcPr>
            <w:tcW w:w="8222" w:type="dxa"/>
            <w:gridSpan w:val="7"/>
            <w:tcBorders>
              <w:top w:val="single" w:sz="12" w:space="0" w:color="000000"/>
              <w:left w:val="single" w:sz="6" w:space="0" w:color="000000"/>
              <w:bottom w:val="single" w:sz="6" w:space="0" w:color="000000"/>
              <w:right w:val="single" w:sz="6"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b/>
                <w:bCs/>
                <w:sz w:val="18"/>
                <w:szCs w:val="18"/>
              </w:rPr>
              <w:t>归属于母公司股东权益</w:t>
            </w:r>
            <w:r>
              <w:rPr>
                <w:rFonts w:ascii="宋体" w:hAnsi="宋体" w:cs="宋体" w:eastAsia="宋体" w:hint="default"/>
                <w:sz w:val="18"/>
                <w:szCs w:val="18"/>
              </w:rPr>
            </w:r>
          </w:p>
        </w:tc>
        <w:tc>
          <w:tcPr>
            <w:tcW w:w="1476" w:type="dxa"/>
            <w:vMerge w:val="restart"/>
            <w:tcBorders>
              <w:top w:val="single" w:sz="12"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187"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c>
          <w:tcPr>
            <w:tcW w:w="1565" w:type="dxa"/>
            <w:vMerge w:val="restart"/>
            <w:tcBorders>
              <w:top w:val="single" w:sz="12" w:space="0" w:color="000000"/>
              <w:left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948" w:hRule="exact"/>
        </w:trPr>
        <w:tc>
          <w:tcPr>
            <w:tcW w:w="3730" w:type="dxa"/>
            <w:vMerge/>
            <w:tcBorders>
              <w:left w:val="single" w:sz="12"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69"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578"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100" w:right="96"/>
              <w:jc w:val="both"/>
              <w:rPr>
                <w:rFonts w:ascii="宋体" w:hAnsi="宋体" w:cs="宋体" w:eastAsia="宋体" w:hint="default"/>
                <w:sz w:val="18"/>
                <w:szCs w:val="18"/>
              </w:rPr>
            </w:pPr>
            <w:r>
              <w:rPr>
                <w:rFonts w:ascii="宋体" w:hAnsi="宋体" w:cs="宋体" w:eastAsia="宋体" w:hint="default"/>
                <w:b/>
                <w:bCs/>
                <w:sz w:val="18"/>
                <w:szCs w:val="18"/>
              </w:rPr>
              <w:t>减：</w:t>
            </w:r>
            <w:r>
              <w:rPr>
                <w:rFonts w:ascii="宋体" w:hAnsi="宋体" w:cs="宋体" w:eastAsia="宋体" w:hint="default"/>
                <w:b/>
                <w:bCs/>
                <w:spacing w:val="-89"/>
                <w:sz w:val="18"/>
                <w:szCs w:val="18"/>
              </w:rPr>
              <w:t> </w:t>
            </w:r>
            <w:r>
              <w:rPr>
                <w:rFonts w:ascii="宋体" w:hAnsi="宋体" w:cs="宋体" w:eastAsia="宋体" w:hint="default"/>
                <w:b/>
                <w:bCs/>
                <w:sz w:val="18"/>
                <w:szCs w:val="18"/>
              </w:rPr>
              <w:t>库存</w:t>
            </w:r>
            <w:r>
              <w:rPr>
                <w:rFonts w:ascii="宋体" w:hAnsi="宋体" w:cs="宋体" w:eastAsia="宋体" w:hint="default"/>
                <w:b/>
                <w:bCs/>
                <w:spacing w:val="-8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20"/>
              <w:jc w:val="right"/>
              <w:rPr>
                <w:rFonts w:ascii="宋体" w:hAnsi="宋体" w:cs="宋体" w:eastAsia="宋体" w:hint="default"/>
                <w:sz w:val="18"/>
                <w:szCs w:val="18"/>
              </w:rPr>
            </w:pPr>
            <w:r>
              <w:rPr>
                <w:rFonts w:ascii="宋体" w:hAnsi="宋体" w:cs="宋体" w:eastAsia="宋体" w:hint="default"/>
                <w:b/>
                <w:bCs/>
                <w:w w:val="95"/>
                <w:sz w:val="18"/>
                <w:szCs w:val="18"/>
              </w:rPr>
              <w:t>其他综合收益</w:t>
            </w:r>
            <w:r>
              <w:rPr>
                <w:rFonts w:ascii="宋体" w:hAnsi="宋体" w:cs="宋体" w:eastAsia="宋体" w:hint="default"/>
                <w:sz w:val="18"/>
                <w:szCs w:val="18"/>
              </w:rPr>
            </w:r>
          </w:p>
        </w:tc>
        <w:tc>
          <w:tcPr>
            <w:tcW w:w="533"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67" w:right="0"/>
              <w:jc w:val="both"/>
              <w:rPr>
                <w:rFonts w:ascii="宋体" w:hAnsi="宋体" w:cs="宋体" w:eastAsia="宋体" w:hint="default"/>
                <w:sz w:val="18"/>
                <w:szCs w:val="18"/>
              </w:rPr>
            </w:pPr>
            <w:r>
              <w:rPr>
                <w:rFonts w:ascii="宋体" w:hAnsi="宋体" w:cs="宋体" w:eastAsia="宋体" w:hint="default"/>
                <w:b/>
                <w:bCs/>
                <w:w w:val="99"/>
                <w:sz w:val="18"/>
                <w:szCs w:val="18"/>
              </w:rPr>
              <w:t>专</w:t>
            </w:r>
            <w:r>
              <w:rPr>
                <w:rFonts w:ascii="宋体" w:hAnsi="宋体" w:cs="宋体" w:eastAsia="宋体" w:hint="default"/>
                <w:sz w:val="18"/>
                <w:szCs w:val="18"/>
              </w:rPr>
            </w:r>
          </w:p>
          <w:p>
            <w:pPr>
              <w:pStyle w:val="TableParagraph"/>
              <w:spacing w:line="237" w:lineRule="auto"/>
              <w:ind w:left="167" w:right="168"/>
              <w:jc w:val="both"/>
              <w:rPr>
                <w:rFonts w:ascii="宋体" w:hAnsi="宋体" w:cs="宋体" w:eastAsia="宋体" w:hint="default"/>
                <w:sz w:val="18"/>
                <w:szCs w:val="18"/>
              </w:rPr>
            </w:pPr>
            <w:r>
              <w:rPr>
                <w:rFonts w:ascii="宋体" w:hAnsi="宋体" w:cs="宋体" w:eastAsia="宋体" w:hint="default"/>
                <w:b/>
                <w:bCs/>
                <w:sz w:val="18"/>
                <w:szCs w:val="18"/>
              </w:rPr>
              <w:t>项</w:t>
            </w:r>
            <w:r>
              <w:rPr>
                <w:rFonts w:ascii="宋体" w:hAnsi="宋体" w:cs="宋体" w:eastAsia="宋体" w:hint="default"/>
                <w:b/>
                <w:bCs/>
                <w:w w:val="99"/>
                <w:sz w:val="18"/>
                <w:szCs w:val="18"/>
              </w:rPr>
              <w:t> </w:t>
            </w:r>
            <w:r>
              <w:rPr>
                <w:rFonts w:ascii="宋体" w:hAnsi="宋体" w:cs="宋体" w:eastAsia="宋体" w:hint="default"/>
                <w:b/>
                <w:bCs/>
                <w:sz w:val="18"/>
                <w:szCs w:val="18"/>
              </w:rPr>
              <w:t>储</w:t>
            </w:r>
            <w:r>
              <w:rPr>
                <w:rFonts w:ascii="宋体" w:hAnsi="宋体" w:cs="宋体" w:eastAsia="宋体" w:hint="default"/>
                <w:b/>
                <w:bCs/>
                <w:w w:val="99"/>
                <w:sz w:val="18"/>
                <w:szCs w:val="18"/>
              </w:rPr>
              <w:t> </w:t>
            </w:r>
            <w:r>
              <w:rPr>
                <w:rFonts w:ascii="宋体" w:hAnsi="宋体" w:cs="宋体" w:eastAsia="宋体" w:hint="default"/>
                <w:b/>
                <w:bCs/>
                <w:sz w:val="18"/>
                <w:szCs w:val="18"/>
              </w:rPr>
              <w:t>备</w:t>
            </w:r>
            <w:r>
              <w:rPr>
                <w:rFonts w:ascii="宋体" w:hAnsi="宋体" w:cs="宋体" w:eastAsia="宋体" w:hint="default"/>
                <w:sz w:val="18"/>
                <w:szCs w:val="18"/>
              </w:rPr>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99"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79"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476" w:type="dxa"/>
            <w:vMerge/>
            <w:tcBorders>
              <w:left w:val="single" w:sz="6" w:space="0" w:color="000000"/>
              <w:bottom w:val="single" w:sz="6" w:space="0" w:color="000000"/>
              <w:right w:val="single" w:sz="6" w:space="0" w:color="000000"/>
            </w:tcBorders>
          </w:tcPr>
          <w:p>
            <w:pPr/>
          </w:p>
        </w:tc>
        <w:tc>
          <w:tcPr>
            <w:tcW w:w="1565" w:type="dxa"/>
            <w:vMerge/>
            <w:tcBorders>
              <w:left w:val="single" w:sz="6" w:space="0" w:color="000000"/>
              <w:bottom w:val="single" w:sz="6" w:space="0" w:color="000000"/>
              <w:right w:val="single" w:sz="12" w:space="0" w:color="000000"/>
            </w:tcBorders>
          </w:tcPr>
          <w:p>
            <w:pPr/>
          </w:p>
        </w:tc>
      </w:tr>
      <w:tr>
        <w:trPr>
          <w:trHeight w:val="248"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2,197,882,238.00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4,764,040,871.64</w:t>
            </w:r>
            <w:r>
              <w:rPr>
                <w:rFonts w:ascii="Times New Roman"/>
                <w:spacing w:val="-1"/>
                <w:sz w:val="18"/>
              </w:rPr>
            </w:r>
          </w:p>
        </w:tc>
        <w:tc>
          <w:tcPr>
            <w:tcW w:w="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3" w:right="0"/>
              <w:jc w:val="center"/>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61,369,526.04</w:t>
            </w:r>
            <w:r>
              <w:rPr>
                <w:rFonts w:ascii="Times New Roman"/>
                <w:spacing w:val="-1"/>
                <w:sz w:val="18"/>
              </w:rPr>
            </w:r>
          </w:p>
        </w:tc>
        <w:tc>
          <w:tcPr>
            <w:tcW w:w="5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b/>
                <w:spacing w:val="-1"/>
                <w:sz w:val="18"/>
              </w:rPr>
              <w:t>682,554,646.11</w:t>
            </w:r>
            <w:r>
              <w:rPr>
                <w:rFonts w:ascii="Times New Roman"/>
                <w:spacing w:val="-1"/>
                <w:sz w:val="18"/>
              </w:rPr>
            </w:r>
          </w:p>
        </w:tc>
        <w:tc>
          <w:tcPr>
            <w:tcW w:w="1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2"/>
              <w:jc w:val="right"/>
              <w:rPr>
                <w:rFonts w:ascii="Times New Roman" w:hAnsi="Times New Roman" w:cs="Times New Roman" w:eastAsia="Times New Roman" w:hint="default"/>
                <w:sz w:val="18"/>
                <w:szCs w:val="18"/>
              </w:rPr>
            </w:pPr>
            <w:r>
              <w:rPr>
                <w:rFonts w:ascii="Times New Roman"/>
                <w:b/>
                <w:spacing w:val="-1"/>
                <w:sz w:val="18"/>
              </w:rPr>
              <w:t>3,052,057,061.10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2,916,303,308.79</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13,674,207,651.68</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9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816"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816" w:right="0"/>
              <w:jc w:val="left"/>
              <w:rPr>
                <w:rFonts w:ascii="宋体" w:hAnsi="宋体" w:cs="宋体" w:eastAsia="宋体" w:hint="default"/>
                <w:sz w:val="18"/>
                <w:szCs w:val="18"/>
              </w:rPr>
            </w:pPr>
            <w:r>
              <w:rPr>
                <w:rFonts w:ascii="宋体" w:hAnsi="宋体" w:cs="宋体" w:eastAsia="宋体" w:hint="default"/>
                <w:sz w:val="18"/>
                <w:szCs w:val="18"/>
              </w:rPr>
              <w:t>同一控制下企业合并</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81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b/>
                <w:spacing w:val="-1"/>
                <w:sz w:val="18"/>
              </w:rPr>
              <w:t>2,197,882,238.00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b/>
                <w:spacing w:val="-1"/>
                <w:sz w:val="18"/>
              </w:rPr>
              <w:t>4,764,040,871.64</w:t>
            </w:r>
            <w:r>
              <w:rPr>
                <w:rFonts w:ascii="Times New Roman"/>
                <w:spacing w:val="-1"/>
                <w:sz w:val="18"/>
              </w:rPr>
            </w:r>
          </w:p>
        </w:tc>
        <w:tc>
          <w:tcPr>
            <w:tcW w:w="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43" w:right="0"/>
              <w:jc w:val="center"/>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b/>
                <w:spacing w:val="-1"/>
                <w:sz w:val="18"/>
              </w:rPr>
              <w:t>61,369,526.04</w:t>
            </w:r>
            <w:r>
              <w:rPr>
                <w:rFonts w:ascii="Times New Roman"/>
                <w:spacing w:val="-1"/>
                <w:sz w:val="18"/>
              </w:rPr>
            </w:r>
          </w:p>
        </w:tc>
        <w:tc>
          <w:tcPr>
            <w:tcW w:w="5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b/>
                <w:spacing w:val="-1"/>
                <w:sz w:val="18"/>
              </w:rPr>
              <w:t>682,554,646.11</w:t>
            </w:r>
            <w:r>
              <w:rPr>
                <w:rFonts w:ascii="Times New Roman"/>
                <w:spacing w:val="-1"/>
                <w:sz w:val="18"/>
              </w:rPr>
            </w:r>
          </w:p>
        </w:tc>
        <w:tc>
          <w:tcPr>
            <w:tcW w:w="1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2"/>
              <w:jc w:val="right"/>
              <w:rPr>
                <w:rFonts w:ascii="Times New Roman" w:hAnsi="Times New Roman" w:cs="Times New Roman" w:eastAsia="Times New Roman" w:hint="default"/>
                <w:sz w:val="18"/>
                <w:szCs w:val="18"/>
              </w:rPr>
            </w:pPr>
            <w:r>
              <w:rPr>
                <w:rFonts w:ascii="Times New Roman"/>
                <w:b/>
                <w:spacing w:val="-1"/>
                <w:sz w:val="18"/>
              </w:rPr>
              <w:t>3,052,057,061.10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b/>
                <w:spacing w:val="-1"/>
                <w:sz w:val="18"/>
              </w:rPr>
              <w:t>2,916,303,308.79</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0"/>
              <w:jc w:val="right"/>
              <w:rPr>
                <w:rFonts w:ascii="Times New Roman" w:hAnsi="Times New Roman" w:cs="Times New Roman" w:eastAsia="Times New Roman" w:hint="default"/>
                <w:sz w:val="18"/>
                <w:szCs w:val="18"/>
              </w:rPr>
            </w:pPr>
            <w:r>
              <w:rPr>
                <w:rFonts w:ascii="Times New Roman"/>
                <w:b/>
                <w:spacing w:val="-1"/>
                <w:sz w:val="18"/>
              </w:rPr>
              <w:t>13,674,207,651.68</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三、本期增减变动金额（减少以</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51,423,504.71</w:t>
            </w:r>
            <w:r>
              <w:rPr>
                <w:rFonts w:ascii="Times New Roman"/>
                <w:spacing w:val="-1"/>
                <w:sz w:val="18"/>
              </w:rPr>
            </w:r>
          </w:p>
        </w:tc>
        <w:tc>
          <w:tcPr>
            <w:tcW w:w="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3" w:right="0"/>
              <w:jc w:val="center"/>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b/>
                <w:spacing w:val="-1"/>
                <w:sz w:val="18"/>
              </w:rPr>
              <w:t>197,717,804.70</w:t>
            </w:r>
            <w:r>
              <w:rPr>
                <w:rFonts w:ascii="Times New Roman"/>
                <w:spacing w:val="-1"/>
                <w:sz w:val="18"/>
              </w:rPr>
            </w:r>
          </w:p>
        </w:tc>
        <w:tc>
          <w:tcPr>
            <w:tcW w:w="5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75,564,190.16</w:t>
            </w:r>
            <w:r>
              <w:rPr>
                <w:rFonts w:ascii="Times New Roman"/>
                <w:spacing w:val="-1"/>
                <w:sz w:val="18"/>
              </w:rPr>
            </w:r>
          </w:p>
        </w:tc>
        <w:tc>
          <w:tcPr>
            <w:tcW w:w="1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460,289,487.61</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b/>
                <w:spacing w:val="-1"/>
                <w:sz w:val="18"/>
              </w:rPr>
              <w:t>904,788,940.32</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2"/>
              <w:jc w:val="right"/>
              <w:rPr>
                <w:rFonts w:ascii="Times New Roman" w:hAnsi="Times New Roman" w:cs="Times New Roman" w:eastAsia="Times New Roman" w:hint="default"/>
                <w:sz w:val="18"/>
                <w:szCs w:val="18"/>
              </w:rPr>
            </w:pPr>
            <w:r>
              <w:rPr>
                <w:rFonts w:ascii="Times New Roman"/>
                <w:b/>
                <w:spacing w:val="-1"/>
                <w:sz w:val="18"/>
              </w:rPr>
              <w:t>1,689,783,927.50</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b/>
                <w:spacing w:val="-1"/>
                <w:sz w:val="18"/>
              </w:rPr>
              <w:t>197,717,804.70</w:t>
            </w:r>
            <w:r>
              <w:rPr>
                <w:rFonts w:ascii="Times New Roman"/>
                <w:spacing w:val="-1"/>
                <w:sz w:val="18"/>
              </w:rPr>
            </w: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b/>
                <w:spacing w:val="-1"/>
                <w:sz w:val="18"/>
              </w:rPr>
              <w:t>755,641,901.57</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b/>
                <w:spacing w:val="-1"/>
                <w:sz w:val="18"/>
              </w:rPr>
              <w:t>436,555,575.96</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18"/>
                <w:szCs w:val="18"/>
              </w:rPr>
            </w:pPr>
            <w:r>
              <w:rPr>
                <w:rFonts w:ascii="Times New Roman"/>
                <w:b/>
                <w:spacing w:val="-1"/>
                <w:sz w:val="18"/>
              </w:rPr>
              <w:t>1,389,915,282.23</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（二）股东投入和减少资本</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39,546,592.47</w:t>
            </w:r>
            <w:r>
              <w:rPr>
                <w:rFonts w:ascii="Times New Roman"/>
                <w:spacing w:val="-1"/>
                <w:sz w:val="18"/>
              </w:rPr>
            </w:r>
          </w:p>
        </w:tc>
        <w:tc>
          <w:tcPr>
            <w:tcW w:w="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3" w:right="0"/>
              <w:jc w:val="center"/>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5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2"/>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b/>
                <w:spacing w:val="-1"/>
                <w:sz w:val="18"/>
              </w:rPr>
              <w:t>545,772,272.32</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89"/>
              <w:jc w:val="right"/>
              <w:rPr>
                <w:rFonts w:ascii="Times New Roman" w:hAnsi="Times New Roman" w:cs="Times New Roman" w:eastAsia="Times New Roman" w:hint="default"/>
                <w:sz w:val="18"/>
                <w:szCs w:val="18"/>
              </w:rPr>
            </w:pPr>
            <w:r>
              <w:rPr>
                <w:rFonts w:ascii="Times New Roman"/>
                <w:b/>
                <w:spacing w:val="-1"/>
                <w:sz w:val="18"/>
              </w:rPr>
              <w:t>585,318,864.79</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股东投入普通股</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98"/>
              <w:jc w:val="right"/>
              <w:rPr>
                <w:rFonts w:ascii="Times New Roman" w:hAnsi="Times New Roman" w:cs="Times New Roman" w:eastAsia="Times New Roman" w:hint="default"/>
                <w:sz w:val="18"/>
                <w:szCs w:val="18"/>
              </w:rPr>
            </w:pPr>
            <w:r>
              <w:rPr>
                <w:rFonts w:ascii="Times New Roman"/>
                <w:spacing w:val="-1"/>
                <w:sz w:val="18"/>
              </w:rPr>
              <w:t>556,100,246.00</w:t>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18"/>
                <w:szCs w:val="18"/>
              </w:rPr>
            </w:pPr>
            <w:r>
              <w:rPr>
                <w:rFonts w:ascii="Times New Roman"/>
                <w:b/>
                <w:spacing w:val="-1"/>
                <w:sz w:val="18"/>
              </w:rPr>
              <w:t>556,100,246.00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股份支付计入股东权益的金额</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48"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39,546,592.47</w:t>
            </w: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-10,327,973.68</w:t>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18"/>
                <w:szCs w:val="18"/>
              </w:rPr>
            </w:pPr>
            <w:r>
              <w:rPr>
                <w:rFonts w:ascii="Times New Roman"/>
                <w:b/>
                <w:spacing w:val="-1"/>
                <w:sz w:val="18"/>
              </w:rPr>
              <w:t>29,218,618.79</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3" w:right="0"/>
              <w:jc w:val="center"/>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5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75,564,190.16</w:t>
            </w:r>
            <w:r>
              <w:rPr>
                <w:rFonts w:ascii="Times New Roman"/>
                <w:spacing w:val="-1"/>
                <w:sz w:val="18"/>
              </w:rPr>
            </w:r>
          </w:p>
        </w:tc>
        <w:tc>
          <w:tcPr>
            <w:tcW w:w="1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-295,352,413.96</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-83,785,136.20</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89"/>
              <w:jc w:val="right"/>
              <w:rPr>
                <w:rFonts w:ascii="Times New Roman" w:hAnsi="Times New Roman" w:cs="Times New Roman" w:eastAsia="Times New Roman" w:hint="default"/>
                <w:sz w:val="18"/>
                <w:szCs w:val="18"/>
              </w:rPr>
            </w:pPr>
            <w:r>
              <w:rPr>
                <w:rFonts w:ascii="Times New Roman"/>
                <w:b/>
                <w:spacing w:val="-1"/>
                <w:sz w:val="18"/>
              </w:rPr>
              <w:t>-303,573,360.00</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75,564,190.16</w:t>
            </w:r>
          </w:p>
        </w:tc>
        <w:tc>
          <w:tcPr>
            <w:tcW w:w="1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03"/>
              <w:jc w:val="right"/>
              <w:rPr>
                <w:rFonts w:ascii="Times New Roman" w:hAnsi="Times New Roman" w:cs="Times New Roman" w:eastAsia="Times New Roman" w:hint="default"/>
                <w:sz w:val="18"/>
                <w:szCs w:val="18"/>
              </w:rPr>
            </w:pPr>
            <w:r>
              <w:rPr>
                <w:rFonts w:ascii="Times New Roman"/>
                <w:spacing w:val="-1"/>
                <w:sz w:val="18"/>
              </w:rPr>
              <w:t>-75,564,190.16</w:t>
            </w: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对股东的分配</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-219,788,223.80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-83,785,136.20</w:t>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89"/>
              <w:jc w:val="right"/>
              <w:rPr>
                <w:rFonts w:ascii="Times New Roman" w:hAnsi="Times New Roman" w:cs="Times New Roman" w:eastAsia="Times New Roman" w:hint="default"/>
                <w:sz w:val="18"/>
                <w:szCs w:val="18"/>
              </w:rPr>
            </w:pPr>
            <w:r>
              <w:rPr>
                <w:rFonts w:ascii="Times New Roman"/>
                <w:b/>
                <w:spacing w:val="-1"/>
                <w:sz w:val="18"/>
              </w:rPr>
              <w:t>-303,573,360.00</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（四）股东权益内部结转</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3" w:right="0"/>
              <w:jc w:val="center"/>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5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2"/>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资本公积转增股本</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盈余公积转增股本</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48"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276"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43" w:right="0"/>
              <w:jc w:val="center"/>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5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2"/>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2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本年提取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47"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本年使用</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50" w:hRule="exact"/>
        </w:trPr>
        <w:tc>
          <w:tcPr>
            <w:tcW w:w="3730" w:type="dxa"/>
            <w:tcBorders>
              <w:top w:val="single" w:sz="6" w:space="0" w:color="000000"/>
              <w:left w:val="single" w:sz="12" w:space="0" w:color="000000"/>
              <w:bottom w:val="single" w:sz="6" w:space="0" w:color="000000"/>
              <w:right w:val="single" w:sz="6" w:space="0" w:color="000000"/>
            </w:tcBorders>
          </w:tcPr>
          <w:p>
            <w:pPr>
              <w:pStyle w:val="TableParagraph"/>
              <w:spacing w:line="208" w:lineRule="exact"/>
              <w:ind w:left="276"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11,876,912.24</w:t>
            </w:r>
            <w:r>
              <w:rPr>
                <w:rFonts w:ascii="Times New Roman"/>
                <w:spacing w:val="-1"/>
                <w:sz w:val="18"/>
              </w:rPr>
            </w:r>
          </w:p>
        </w:tc>
        <w:tc>
          <w:tcPr>
            <w:tcW w:w="578"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1339" w:type="dxa"/>
            <w:tcBorders>
              <w:top w:val="single" w:sz="6" w:space="0" w:color="000000"/>
              <w:left w:val="single" w:sz="6" w:space="0" w:color="000000"/>
              <w:bottom w:val="single" w:sz="6" w:space="0" w:color="000000"/>
              <w:right w:val="single" w:sz="6" w:space="0" w:color="000000"/>
            </w:tcBorders>
          </w:tcPr>
          <w:p>
            <w:pPr/>
          </w:p>
        </w:tc>
        <w:tc>
          <w:tcPr>
            <w:tcW w:w="1479"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98"/>
              <w:jc w:val="right"/>
              <w:rPr>
                <w:rFonts w:ascii="Times New Roman" w:hAnsi="Times New Roman" w:cs="Times New Roman" w:eastAsia="Times New Roman" w:hint="default"/>
                <w:sz w:val="18"/>
                <w:szCs w:val="18"/>
              </w:rPr>
            </w:pPr>
            <w:r>
              <w:rPr>
                <w:rFonts w:ascii="Times New Roman"/>
                <w:spacing w:val="-1"/>
                <w:sz w:val="18"/>
              </w:rPr>
              <w:t>6,246,228.24</w:t>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
              <w:ind w:right="92"/>
              <w:jc w:val="right"/>
              <w:rPr>
                <w:rFonts w:ascii="Times New Roman" w:hAnsi="Times New Roman" w:cs="Times New Roman" w:eastAsia="Times New Roman" w:hint="default"/>
                <w:sz w:val="18"/>
                <w:szCs w:val="18"/>
              </w:rPr>
            </w:pPr>
            <w:r>
              <w:rPr>
                <w:rFonts w:ascii="Times New Roman"/>
                <w:b/>
                <w:spacing w:val="-1"/>
                <w:sz w:val="18"/>
              </w:rPr>
              <w:t>18,123,140.48</w:t>
            </w:r>
            <w:r>
              <w:rPr>
                <w:rFonts w:ascii="Times New Roman"/>
                <w:spacing w:val="-1"/>
                <w:sz w:val="18"/>
              </w:rPr>
            </w:r>
          </w:p>
        </w:tc>
      </w:tr>
      <w:tr>
        <w:trPr>
          <w:trHeight w:val="254" w:hRule="exact"/>
        </w:trPr>
        <w:tc>
          <w:tcPr>
            <w:tcW w:w="3730" w:type="dxa"/>
            <w:tcBorders>
              <w:top w:val="single" w:sz="6" w:space="0" w:color="000000"/>
              <w:left w:val="single" w:sz="12" w:space="0" w:color="000000"/>
              <w:bottom w:val="single" w:sz="12"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四、本期期末余额</w:t>
            </w:r>
            <w:r>
              <w:rPr>
                <w:rFonts w:ascii="宋体" w:hAnsi="宋体" w:cs="宋体" w:eastAsia="宋体" w:hint="default"/>
                <w:sz w:val="18"/>
                <w:szCs w:val="18"/>
              </w:rPr>
            </w:r>
          </w:p>
        </w:tc>
        <w:tc>
          <w:tcPr>
            <w:tcW w:w="14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2,197,882,238.00</w:t>
            </w:r>
            <w:r>
              <w:rPr>
                <w:rFonts w:ascii="Times New Roman"/>
                <w:spacing w:val="-1"/>
                <w:sz w:val="18"/>
              </w:rPr>
            </w:r>
          </w:p>
        </w:tc>
        <w:tc>
          <w:tcPr>
            <w:tcW w:w="14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4,815,464,376.35</w:t>
            </w:r>
            <w:r>
              <w:rPr>
                <w:rFonts w:ascii="Times New Roman"/>
                <w:spacing w:val="-1"/>
                <w:sz w:val="18"/>
              </w:rPr>
            </w:r>
          </w:p>
        </w:tc>
        <w:tc>
          <w:tcPr>
            <w:tcW w:w="57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
              <w:ind w:left="43" w:right="0"/>
              <w:jc w:val="center"/>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3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b/>
                <w:spacing w:val="-1"/>
                <w:sz w:val="18"/>
              </w:rPr>
              <w:t>259,087,330.74</w:t>
            </w:r>
            <w:r>
              <w:rPr>
                <w:rFonts w:ascii="Times New Roman"/>
                <w:spacing w:val="-1"/>
                <w:sz w:val="18"/>
              </w:rPr>
            </w:r>
          </w:p>
        </w:tc>
        <w:tc>
          <w:tcPr>
            <w:tcW w:w="5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3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b/>
                <w:spacing w:val="-1"/>
                <w:sz w:val="18"/>
              </w:rPr>
              <w:t>758,118,836.27</w:t>
            </w:r>
            <w:r>
              <w:rPr>
                <w:rFonts w:ascii="Times New Roman"/>
                <w:spacing w:val="-1"/>
                <w:sz w:val="18"/>
              </w:rPr>
            </w:r>
          </w:p>
        </w:tc>
        <w:tc>
          <w:tcPr>
            <w:tcW w:w="147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
              <w:ind w:right="102"/>
              <w:jc w:val="right"/>
              <w:rPr>
                <w:rFonts w:ascii="Times New Roman" w:hAnsi="Times New Roman" w:cs="Times New Roman" w:eastAsia="Times New Roman" w:hint="default"/>
                <w:sz w:val="18"/>
                <w:szCs w:val="18"/>
              </w:rPr>
            </w:pPr>
            <w:r>
              <w:rPr>
                <w:rFonts w:ascii="Times New Roman"/>
                <w:b/>
                <w:spacing w:val="-1"/>
                <w:sz w:val="18"/>
              </w:rPr>
              <w:t>3,512,346,548.71</w:t>
            </w:r>
            <w:r>
              <w:rPr>
                <w:rFonts w:ascii="Times New Roman"/>
                <w:spacing w:val="-1"/>
                <w:sz w:val="18"/>
              </w:rPr>
            </w:r>
          </w:p>
        </w:tc>
        <w:tc>
          <w:tcPr>
            <w:tcW w:w="14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b/>
                <w:spacing w:val="-1"/>
                <w:sz w:val="18"/>
              </w:rPr>
              <w:t>3,821,092,249.11</w:t>
            </w:r>
            <w:r>
              <w:rPr>
                <w:rFonts w:ascii="Times New Roman"/>
                <w:spacing w:val="-1"/>
                <w:sz w:val="18"/>
              </w:rPr>
            </w:r>
          </w:p>
        </w:tc>
        <w:tc>
          <w:tcPr>
            <w:tcW w:w="156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
              <w:ind w:right="90"/>
              <w:jc w:val="right"/>
              <w:rPr>
                <w:rFonts w:ascii="Times New Roman" w:hAnsi="Times New Roman" w:cs="Times New Roman" w:eastAsia="Times New Roman" w:hint="default"/>
                <w:sz w:val="18"/>
                <w:szCs w:val="18"/>
              </w:rPr>
            </w:pPr>
            <w:r>
              <w:rPr>
                <w:rFonts w:ascii="Times New Roman"/>
                <w:b/>
                <w:spacing w:val="-1"/>
                <w:sz w:val="18"/>
              </w:rPr>
              <w:t>15,363,991,579.18</w:t>
            </w:r>
            <w:r>
              <w:rPr>
                <w:rFonts w:ascii="Times New Roman"/>
                <w:spacing w:val="-1"/>
                <w:sz w:val="18"/>
              </w:rPr>
            </w:r>
          </w:p>
        </w:tc>
      </w:tr>
    </w:tbl>
    <w:p>
      <w:pPr>
        <w:tabs>
          <w:tab w:pos="7059" w:val="left" w:leader="none"/>
          <w:tab w:pos="11680" w:val="left" w:leader="none"/>
        </w:tabs>
        <w:spacing w:line="243" w:lineRule="exact" w:before="0"/>
        <w:ind w:left="758" w:right="0" w:firstLine="0"/>
        <w:jc w:val="left"/>
        <w:rPr>
          <w:rFonts w:ascii="宋体" w:hAnsi="宋体" w:cs="宋体" w:eastAsia="宋体" w:hint="default"/>
          <w:sz w:val="21"/>
          <w:szCs w:val="21"/>
        </w:rPr>
      </w:pPr>
      <w:r>
        <w:rPr>
          <w:rFonts w:ascii="宋体" w:hAnsi="宋体" w:cs="宋体" w:eastAsia="宋体" w:hint="default"/>
          <w:spacing w:val="-1"/>
          <w:sz w:val="21"/>
          <w:szCs w:val="21"/>
        </w:rPr>
        <w:t>法定代表人：周立业</w:t>
        <w:tab/>
        <w:t>财务负责人：刘卫东</w:t>
        <w:tab/>
      </w:r>
      <w:r>
        <w:rPr>
          <w:rFonts w:ascii="宋体" w:hAnsi="宋体" w:cs="宋体" w:eastAsia="宋体" w:hint="default"/>
          <w:spacing w:val="-2"/>
          <w:sz w:val="21"/>
          <w:szCs w:val="21"/>
        </w:rPr>
        <w:t>会计机构负责人：王映浒</w:t>
      </w:r>
    </w:p>
    <w:p>
      <w:pPr>
        <w:spacing w:after="0" w:line="243" w:lineRule="exact"/>
        <w:jc w:val="left"/>
        <w:rPr>
          <w:rFonts w:ascii="宋体" w:hAnsi="宋体" w:cs="宋体" w:eastAsia="宋体" w:hint="default"/>
          <w:sz w:val="21"/>
          <w:szCs w:val="21"/>
        </w:rPr>
        <w:sectPr>
          <w:headerReference w:type="default" r:id="rId27"/>
          <w:pgSz w:w="16840" w:h="11910" w:orient="landscape"/>
          <w:pgMar w:header="628" w:footer="781" w:top="2320" w:bottom="980" w:left="660" w:right="920"/>
        </w:sectPr>
      </w:pPr>
    </w:p>
    <w:tbl>
      <w:tblPr>
        <w:tblW w:w="0" w:type="auto"/>
        <w:jc w:val="left"/>
        <w:tblInd w:w="116" w:type="dxa"/>
        <w:tblLayout w:type="fixed"/>
        <w:tblCellMar>
          <w:top w:w="0" w:type="dxa"/>
          <w:left w:w="0" w:type="dxa"/>
          <w:bottom w:w="0" w:type="dxa"/>
          <w:right w:w="0" w:type="dxa"/>
        </w:tblCellMar>
        <w:tblLook w:val="01E0"/>
      </w:tblPr>
      <w:tblGrid>
        <w:gridCol w:w="3731"/>
        <w:gridCol w:w="1476"/>
        <w:gridCol w:w="1476"/>
        <w:gridCol w:w="816"/>
        <w:gridCol w:w="1310"/>
        <w:gridCol w:w="818"/>
        <w:gridCol w:w="1342"/>
        <w:gridCol w:w="1402"/>
        <w:gridCol w:w="1565"/>
      </w:tblGrid>
      <w:tr>
        <w:trPr>
          <w:trHeight w:val="547" w:hRule="exact"/>
        </w:trPr>
        <w:tc>
          <w:tcPr>
            <w:tcW w:w="373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16"/>
              <w:ind w:right="5"/>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6"/>
              <w:ind w:left="2"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4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6"/>
              <w:ind w:left="369"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81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left="218" w:right="128" w:hanging="90"/>
              <w:jc w:val="left"/>
              <w:rPr>
                <w:rFonts w:ascii="宋体" w:hAnsi="宋体" w:cs="宋体" w:eastAsia="宋体" w:hint="default"/>
                <w:sz w:val="18"/>
                <w:szCs w:val="18"/>
              </w:rPr>
            </w:pPr>
            <w:r>
              <w:rPr>
                <w:rFonts w:ascii="宋体" w:hAnsi="宋体" w:cs="宋体" w:eastAsia="宋体" w:hint="default"/>
                <w:b/>
                <w:bCs/>
                <w:sz w:val="18"/>
                <w:szCs w:val="18"/>
              </w:rPr>
              <w:t>减：库</w:t>
            </w:r>
            <w:r>
              <w:rPr>
                <w:rFonts w:ascii="宋体" w:hAnsi="宋体" w:cs="宋体" w:eastAsia="宋体" w:hint="default"/>
                <w:b/>
                <w:bCs/>
                <w:w w:val="99"/>
                <w:sz w:val="18"/>
                <w:szCs w:val="18"/>
              </w:rPr>
              <w:t> </w:t>
            </w:r>
            <w:r>
              <w:rPr>
                <w:rFonts w:ascii="宋体" w:hAnsi="宋体" w:cs="宋体" w:eastAsia="宋体" w:hint="default"/>
                <w:b/>
                <w:bCs/>
                <w:sz w:val="18"/>
                <w:szCs w:val="18"/>
              </w:rPr>
              <w:t>存股</w:t>
            </w:r>
            <w:r>
              <w:rPr>
                <w:rFonts w:ascii="宋体" w:hAnsi="宋体" w:cs="宋体" w:eastAsia="宋体" w:hint="default"/>
                <w:sz w:val="18"/>
                <w:szCs w:val="18"/>
              </w:rPr>
            </w:r>
          </w:p>
        </w:tc>
        <w:tc>
          <w:tcPr>
            <w:tcW w:w="131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6"/>
              <w:ind w:right="104"/>
              <w:jc w:val="right"/>
              <w:rPr>
                <w:rFonts w:ascii="宋体" w:hAnsi="宋体" w:cs="宋体" w:eastAsia="宋体" w:hint="default"/>
                <w:sz w:val="18"/>
                <w:szCs w:val="18"/>
              </w:rPr>
            </w:pPr>
            <w:r>
              <w:rPr>
                <w:rFonts w:ascii="宋体" w:hAnsi="宋体" w:cs="宋体" w:eastAsia="宋体" w:hint="default"/>
                <w:b/>
                <w:bCs/>
                <w:w w:val="95"/>
                <w:sz w:val="18"/>
                <w:szCs w:val="18"/>
              </w:rPr>
              <w:t>其他综合收益</w:t>
            </w:r>
            <w:r>
              <w:rPr>
                <w:rFonts w:ascii="宋体" w:hAnsi="宋体" w:cs="宋体" w:eastAsia="宋体" w:hint="default"/>
                <w:sz w:val="18"/>
                <w:szCs w:val="18"/>
              </w:rPr>
            </w:r>
          </w:p>
        </w:tc>
        <w:tc>
          <w:tcPr>
            <w:tcW w:w="81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left="312" w:right="130" w:hanging="183"/>
              <w:jc w:val="left"/>
              <w:rPr>
                <w:rFonts w:ascii="宋体" w:hAnsi="宋体" w:cs="宋体" w:eastAsia="宋体" w:hint="default"/>
                <w:sz w:val="18"/>
                <w:szCs w:val="18"/>
              </w:rPr>
            </w:pPr>
            <w:r>
              <w:rPr>
                <w:rFonts w:ascii="宋体" w:hAnsi="宋体" w:cs="宋体" w:eastAsia="宋体" w:hint="default"/>
                <w:b/>
                <w:bCs/>
                <w:sz w:val="18"/>
                <w:szCs w:val="18"/>
              </w:rPr>
              <w:t>专项储</w:t>
            </w:r>
            <w:r>
              <w:rPr>
                <w:rFonts w:ascii="宋体" w:hAnsi="宋体" w:cs="宋体" w:eastAsia="宋体" w:hint="default"/>
                <w:b/>
                <w:bCs/>
                <w:w w:val="99"/>
                <w:sz w:val="18"/>
                <w:szCs w:val="18"/>
              </w:rPr>
              <w:t> </w:t>
            </w:r>
            <w:r>
              <w:rPr>
                <w:rFonts w:ascii="宋体" w:hAnsi="宋体" w:cs="宋体" w:eastAsia="宋体" w:hint="default"/>
                <w:b/>
                <w:bCs/>
                <w:sz w:val="18"/>
                <w:szCs w:val="18"/>
              </w:rPr>
              <w:t>备</w:t>
            </w:r>
            <w:r>
              <w:rPr>
                <w:rFonts w:ascii="宋体" w:hAnsi="宋体" w:cs="宋体" w:eastAsia="宋体" w:hint="default"/>
                <w:sz w:val="18"/>
                <w:szCs w:val="18"/>
              </w:rPr>
            </w:r>
          </w:p>
        </w:tc>
        <w:tc>
          <w:tcPr>
            <w:tcW w:w="134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6"/>
              <w:ind w:left="302"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40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6"/>
              <w:ind w:left="240"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56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16"/>
              <w:ind w:left="232"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7"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2,197,882,238.00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4,431,975,989.56</w:t>
            </w:r>
            <w:r>
              <w:rPr>
                <w:rFonts w:ascii="Times New Roman"/>
                <w:spacing w:val="-1"/>
                <w:sz w:val="18"/>
              </w:rPr>
            </w:r>
          </w:p>
        </w:tc>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1"/>
              <w:jc w:val="right"/>
              <w:rPr>
                <w:rFonts w:ascii="Times New Roman" w:hAnsi="Times New Roman" w:cs="Times New Roman" w:eastAsia="Times New Roman" w:hint="default"/>
                <w:sz w:val="18"/>
                <w:szCs w:val="18"/>
              </w:rPr>
            </w:pPr>
            <w:r>
              <w:rPr>
                <w:rFonts w:ascii="Times New Roman"/>
                <w:b/>
                <w:spacing w:val="-1"/>
                <w:sz w:val="18"/>
              </w:rPr>
              <w:t>35,603,418.27</w:t>
            </w:r>
            <w:r>
              <w:rPr>
                <w:rFonts w:ascii="Times New Roman"/>
                <w:spacing w:val="-1"/>
                <w:sz w:val="18"/>
              </w:rPr>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756,539,965.35</w:t>
            </w:r>
            <w:r>
              <w:rPr>
                <w:rFonts w:ascii="Times New Roman"/>
                <w:spacing w:val="-1"/>
                <w:sz w:val="18"/>
              </w:rPr>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1"/>
              <w:jc w:val="right"/>
              <w:rPr>
                <w:rFonts w:ascii="Times New Roman" w:hAnsi="Times New Roman" w:cs="Times New Roman" w:eastAsia="Times New Roman" w:hint="default"/>
                <w:sz w:val="18"/>
                <w:szCs w:val="18"/>
              </w:rPr>
            </w:pPr>
            <w:r>
              <w:rPr>
                <w:rFonts w:ascii="Times New Roman"/>
                <w:b/>
                <w:spacing w:val="-1"/>
                <w:sz w:val="18"/>
              </w:rPr>
              <w:t>855,309,149.24</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2"/>
              <w:jc w:val="right"/>
              <w:rPr>
                <w:rFonts w:ascii="Times New Roman" w:hAnsi="Times New Roman" w:cs="Times New Roman" w:eastAsia="Times New Roman" w:hint="default"/>
                <w:sz w:val="18"/>
                <w:szCs w:val="18"/>
              </w:rPr>
            </w:pPr>
            <w:r>
              <w:rPr>
                <w:rFonts w:ascii="Times New Roman"/>
                <w:b/>
                <w:spacing w:val="-1"/>
                <w:sz w:val="18"/>
              </w:rPr>
              <w:t>8,277,310,760.42</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5" w:lineRule="exact"/>
              <w:ind w:left="9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7" w:lineRule="exact"/>
              <w:ind w:left="816"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6" w:lineRule="exact"/>
              <w:ind w:left="81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7"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2,197,882,238.00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4,431,975,989.56</w:t>
            </w:r>
            <w:r>
              <w:rPr>
                <w:rFonts w:ascii="Times New Roman"/>
                <w:spacing w:val="-1"/>
                <w:sz w:val="18"/>
              </w:rPr>
            </w:r>
          </w:p>
        </w:tc>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1"/>
              <w:jc w:val="right"/>
              <w:rPr>
                <w:rFonts w:ascii="Times New Roman" w:hAnsi="Times New Roman" w:cs="Times New Roman" w:eastAsia="Times New Roman" w:hint="default"/>
                <w:sz w:val="18"/>
                <w:szCs w:val="18"/>
              </w:rPr>
            </w:pPr>
            <w:r>
              <w:rPr>
                <w:rFonts w:ascii="Times New Roman"/>
                <w:b/>
                <w:spacing w:val="-1"/>
                <w:sz w:val="18"/>
              </w:rPr>
              <w:t>35,603,418.27</w:t>
            </w:r>
            <w:r>
              <w:rPr>
                <w:rFonts w:ascii="Times New Roman"/>
                <w:spacing w:val="-1"/>
                <w:sz w:val="18"/>
              </w:rPr>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756,539,965.35</w:t>
            </w:r>
            <w:r>
              <w:rPr>
                <w:rFonts w:ascii="Times New Roman"/>
                <w:spacing w:val="-1"/>
                <w:sz w:val="18"/>
              </w:rPr>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1"/>
              <w:jc w:val="right"/>
              <w:rPr>
                <w:rFonts w:ascii="Times New Roman" w:hAnsi="Times New Roman" w:cs="Times New Roman" w:eastAsia="Times New Roman" w:hint="default"/>
                <w:sz w:val="18"/>
                <w:szCs w:val="18"/>
              </w:rPr>
            </w:pPr>
            <w:r>
              <w:rPr>
                <w:rFonts w:ascii="Times New Roman"/>
                <w:b/>
                <w:spacing w:val="-1"/>
                <w:sz w:val="18"/>
              </w:rPr>
              <w:t>855,309,149.24</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2"/>
              <w:jc w:val="right"/>
              <w:rPr>
                <w:rFonts w:ascii="Times New Roman" w:hAnsi="Times New Roman" w:cs="Times New Roman" w:eastAsia="Times New Roman" w:hint="default"/>
                <w:sz w:val="18"/>
                <w:szCs w:val="18"/>
              </w:rPr>
            </w:pPr>
            <w:r>
              <w:rPr>
                <w:rFonts w:ascii="Times New Roman"/>
                <w:b/>
                <w:spacing w:val="-1"/>
                <w:sz w:val="18"/>
              </w:rPr>
              <w:t>8,277,310,760.42</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29"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三、本期增减变动金额（减少以</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Times New Roman" w:hAnsi="Times New Roman" w:cs="Times New Roman" w:eastAsia="Times New Roman" w:hint="default"/>
                <w:sz w:val="18"/>
                <w:szCs w:val="18"/>
              </w:rPr>
            </w:pPr>
            <w:r>
              <w:rPr>
                <w:rFonts w:ascii="Times New Roman"/>
                <w:b/>
                <w:spacing w:val="-1"/>
                <w:sz w:val="18"/>
              </w:rPr>
              <w:t>766,016,713.00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4,746,294,682.56</w:t>
            </w:r>
            <w:r>
              <w:rPr>
                <w:rFonts w:ascii="Times New Roman"/>
                <w:spacing w:val="-1"/>
                <w:sz w:val="18"/>
              </w:rPr>
            </w:r>
          </w:p>
        </w:tc>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Times New Roman" w:hAnsi="Times New Roman" w:cs="Times New Roman" w:eastAsia="Times New Roman" w:hint="default"/>
                <w:sz w:val="18"/>
                <w:szCs w:val="18"/>
              </w:rPr>
            </w:pPr>
            <w:r>
              <w:rPr>
                <w:rFonts w:ascii="Times New Roman"/>
                <w:b/>
                <w:spacing w:val="-1"/>
                <w:sz w:val="18"/>
              </w:rPr>
              <w:t>-13,358,468.43</w:t>
            </w:r>
            <w:r>
              <w:rPr>
                <w:rFonts w:ascii="Times New Roman"/>
                <w:spacing w:val="-1"/>
                <w:sz w:val="18"/>
              </w:rPr>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126,620,219.54</w:t>
            </w:r>
            <w:r>
              <w:rPr>
                <w:rFonts w:ascii="Times New Roman"/>
                <w:spacing w:val="-1"/>
                <w:sz w:val="18"/>
              </w:rPr>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1"/>
              <w:jc w:val="right"/>
              <w:rPr>
                <w:rFonts w:ascii="Times New Roman" w:hAnsi="Times New Roman" w:cs="Times New Roman" w:eastAsia="Times New Roman" w:hint="default"/>
                <w:sz w:val="18"/>
                <w:szCs w:val="18"/>
              </w:rPr>
            </w:pPr>
            <w:r>
              <w:rPr>
                <w:rFonts w:ascii="Times New Roman"/>
                <w:b/>
                <w:spacing w:val="-1"/>
                <w:sz w:val="18"/>
              </w:rPr>
              <w:t>-267,460,294.10</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2"/>
              <w:jc w:val="right"/>
              <w:rPr>
                <w:rFonts w:ascii="Times New Roman" w:hAnsi="Times New Roman" w:cs="Times New Roman" w:eastAsia="Times New Roman" w:hint="default"/>
                <w:sz w:val="18"/>
                <w:szCs w:val="18"/>
              </w:rPr>
            </w:pPr>
            <w:r>
              <w:rPr>
                <w:rFonts w:ascii="Times New Roman"/>
                <w:b/>
                <w:spacing w:val="-1"/>
                <w:sz w:val="18"/>
              </w:rPr>
              <w:t>5,358,112,852.57</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7" w:lineRule="exact"/>
              <w:ind w:left="93"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Times New Roman" w:hAnsi="Times New Roman" w:cs="Times New Roman" w:eastAsia="Times New Roman" w:hint="default"/>
                <w:sz w:val="18"/>
                <w:szCs w:val="18"/>
              </w:rPr>
            </w:pPr>
            <w:r>
              <w:rPr>
                <w:rFonts w:ascii="Times New Roman"/>
                <w:b/>
                <w:spacing w:val="-1"/>
                <w:sz w:val="18"/>
              </w:rPr>
              <w:t>-13,358,468.43</w:t>
            </w:r>
            <w:r>
              <w:rPr>
                <w:rFonts w:ascii="Times New Roman"/>
                <w:spacing w:val="-1"/>
                <w:sz w:val="18"/>
              </w:rPr>
            </w: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3"/>
              <w:jc w:val="right"/>
              <w:rPr>
                <w:rFonts w:ascii="Times New Roman" w:hAnsi="Times New Roman" w:cs="Times New Roman" w:eastAsia="Times New Roman" w:hint="default"/>
                <w:sz w:val="18"/>
                <w:szCs w:val="18"/>
              </w:rPr>
            </w:pPr>
            <w:r>
              <w:rPr>
                <w:rFonts w:ascii="Times New Roman"/>
                <w:b/>
                <w:spacing w:val="-1"/>
                <w:sz w:val="18"/>
              </w:rPr>
              <w:t>91,663,016.08</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2"/>
              <w:jc w:val="right"/>
              <w:rPr>
                <w:rFonts w:ascii="Times New Roman" w:hAnsi="Times New Roman" w:cs="Times New Roman" w:eastAsia="Times New Roman" w:hint="default"/>
                <w:sz w:val="18"/>
                <w:szCs w:val="18"/>
              </w:rPr>
            </w:pPr>
            <w:r>
              <w:rPr>
                <w:rFonts w:ascii="Times New Roman"/>
                <w:b/>
                <w:spacing w:val="-1"/>
                <w:sz w:val="18"/>
              </w:rPr>
              <w:t>78,304,547.65</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5" w:lineRule="exact"/>
              <w:ind w:left="93" w:right="0"/>
              <w:jc w:val="left"/>
              <w:rPr>
                <w:rFonts w:ascii="宋体" w:hAnsi="宋体" w:cs="宋体" w:eastAsia="宋体" w:hint="default"/>
                <w:sz w:val="18"/>
                <w:szCs w:val="18"/>
              </w:rPr>
            </w:pPr>
            <w:r>
              <w:rPr>
                <w:rFonts w:ascii="宋体" w:hAnsi="宋体" w:cs="宋体" w:eastAsia="宋体" w:hint="default"/>
                <w:sz w:val="18"/>
                <w:szCs w:val="18"/>
              </w:rPr>
              <w:t>（二）股东投入和减少资本</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Times New Roman" w:hAnsi="Times New Roman" w:cs="Times New Roman" w:eastAsia="Times New Roman" w:hint="default"/>
                <w:sz w:val="18"/>
                <w:szCs w:val="18"/>
              </w:rPr>
            </w:pPr>
            <w:r>
              <w:rPr>
                <w:rFonts w:ascii="Times New Roman"/>
                <w:b/>
                <w:spacing w:val="-1"/>
                <w:sz w:val="18"/>
              </w:rPr>
              <w:t>766,016,713.00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4,691,656,684.67</w:t>
            </w:r>
            <w:r>
              <w:rPr>
                <w:rFonts w:ascii="Times New Roman"/>
                <w:spacing w:val="-1"/>
                <w:sz w:val="18"/>
              </w:rPr>
            </w:r>
          </w:p>
        </w:tc>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2"/>
              <w:jc w:val="right"/>
              <w:rPr>
                <w:rFonts w:ascii="Times New Roman" w:hAnsi="Times New Roman" w:cs="Times New Roman" w:eastAsia="Times New Roman" w:hint="default"/>
                <w:sz w:val="18"/>
                <w:szCs w:val="18"/>
              </w:rPr>
            </w:pPr>
            <w:r>
              <w:rPr>
                <w:rFonts w:ascii="Times New Roman"/>
                <w:b/>
                <w:spacing w:val="-1"/>
                <w:sz w:val="18"/>
              </w:rPr>
              <w:t>5,457,673,397.67</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股东投入普通股</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98"/>
              <w:jc w:val="right"/>
              <w:rPr>
                <w:rFonts w:ascii="Times New Roman" w:hAnsi="Times New Roman" w:cs="Times New Roman" w:eastAsia="Times New Roman" w:hint="default"/>
                <w:sz w:val="18"/>
                <w:szCs w:val="18"/>
              </w:rPr>
            </w:pPr>
            <w:r>
              <w:rPr>
                <w:rFonts w:ascii="Times New Roman"/>
                <w:spacing w:val="-1"/>
                <w:sz w:val="18"/>
              </w:rPr>
              <w:t>766,016,713.00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99"/>
              <w:jc w:val="right"/>
              <w:rPr>
                <w:rFonts w:ascii="Times New Roman" w:hAnsi="Times New Roman" w:cs="Times New Roman" w:eastAsia="Times New Roman" w:hint="default"/>
                <w:sz w:val="18"/>
                <w:szCs w:val="18"/>
              </w:rPr>
            </w:pPr>
            <w:r>
              <w:rPr>
                <w:rFonts w:ascii="Times New Roman"/>
                <w:spacing w:val="-1"/>
                <w:sz w:val="18"/>
              </w:rPr>
              <w:t>4,691,656,684.67</w:t>
            </w: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2"/>
              <w:jc w:val="right"/>
              <w:rPr>
                <w:rFonts w:ascii="Times New Roman" w:hAnsi="Times New Roman" w:cs="Times New Roman" w:eastAsia="Times New Roman" w:hint="default"/>
                <w:sz w:val="18"/>
                <w:szCs w:val="18"/>
              </w:rPr>
            </w:pPr>
            <w:r>
              <w:rPr>
                <w:rFonts w:ascii="Times New Roman"/>
                <w:b/>
                <w:spacing w:val="-1"/>
                <w:sz w:val="18"/>
              </w:rPr>
              <w:t>5,457,673,397.67</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2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股份支付计入股东权益的金额</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5" w:lineRule="exact"/>
              <w:ind w:left="93"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126,159,337.00</w:t>
            </w:r>
            <w:r>
              <w:rPr>
                <w:rFonts w:ascii="Times New Roman"/>
                <w:spacing w:val="-1"/>
                <w:sz w:val="18"/>
              </w:rPr>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1"/>
              <w:jc w:val="right"/>
              <w:rPr>
                <w:rFonts w:ascii="Times New Roman" w:hAnsi="Times New Roman" w:cs="Times New Roman" w:eastAsia="Times New Roman" w:hint="default"/>
                <w:sz w:val="18"/>
                <w:szCs w:val="18"/>
              </w:rPr>
            </w:pPr>
            <w:r>
              <w:rPr>
                <w:rFonts w:ascii="Times New Roman"/>
                <w:b/>
                <w:spacing w:val="-1"/>
                <w:sz w:val="18"/>
              </w:rPr>
              <w:t>-363,271,253.08</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89"/>
              <w:jc w:val="right"/>
              <w:rPr>
                <w:rFonts w:ascii="Times New Roman" w:hAnsi="Times New Roman" w:cs="Times New Roman" w:eastAsia="Times New Roman" w:hint="default"/>
                <w:sz w:val="18"/>
                <w:szCs w:val="18"/>
              </w:rPr>
            </w:pPr>
            <w:r>
              <w:rPr>
                <w:rFonts w:ascii="Times New Roman"/>
                <w:b/>
                <w:spacing w:val="-1"/>
                <w:sz w:val="18"/>
              </w:rPr>
              <w:t>-237,111,916.08</w:t>
            </w:r>
            <w:r>
              <w:rPr>
                <w:rFonts w:ascii="Times New Roman"/>
                <w:spacing w:val="-1"/>
                <w:sz w:val="18"/>
              </w:rPr>
            </w:r>
          </w:p>
        </w:tc>
      </w:tr>
      <w:tr>
        <w:trPr>
          <w:trHeight w:val="272"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99"/>
              <w:jc w:val="right"/>
              <w:rPr>
                <w:rFonts w:ascii="Times New Roman" w:hAnsi="Times New Roman" w:cs="Times New Roman" w:eastAsia="Times New Roman" w:hint="default"/>
                <w:sz w:val="18"/>
                <w:szCs w:val="18"/>
              </w:rPr>
            </w:pPr>
            <w:r>
              <w:rPr>
                <w:rFonts w:ascii="Times New Roman"/>
                <w:spacing w:val="-1"/>
                <w:sz w:val="18"/>
              </w:rPr>
              <w:t>126,159,337.00</w:t>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spacing w:val="-1"/>
                <w:sz w:val="18"/>
              </w:rPr>
              <w:t>-126,159,337.00</w:t>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2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对股东的分配</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spacing w:val="-1"/>
                <w:sz w:val="18"/>
              </w:rPr>
              <w:t>-237,111,916.08</w:t>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89"/>
              <w:jc w:val="right"/>
              <w:rPr>
                <w:rFonts w:ascii="Times New Roman" w:hAnsi="Times New Roman" w:cs="Times New Roman" w:eastAsia="Times New Roman" w:hint="default"/>
                <w:sz w:val="18"/>
                <w:szCs w:val="18"/>
              </w:rPr>
            </w:pPr>
            <w:r>
              <w:rPr>
                <w:rFonts w:ascii="Times New Roman"/>
                <w:b/>
                <w:spacing w:val="-1"/>
                <w:sz w:val="18"/>
              </w:rPr>
              <w:t>-237,111,916.08</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5" w:lineRule="exact"/>
              <w:ind w:left="93" w:right="0"/>
              <w:jc w:val="left"/>
              <w:rPr>
                <w:rFonts w:ascii="宋体" w:hAnsi="宋体" w:cs="宋体" w:eastAsia="宋体" w:hint="default"/>
                <w:sz w:val="18"/>
                <w:szCs w:val="18"/>
              </w:rPr>
            </w:pPr>
            <w:r>
              <w:rPr>
                <w:rFonts w:ascii="宋体" w:hAnsi="宋体" w:cs="宋体" w:eastAsia="宋体" w:hint="default"/>
                <w:sz w:val="18"/>
                <w:szCs w:val="18"/>
              </w:rPr>
              <w:t>（四）股东权益内部结转</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2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2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7" w:lineRule="exact"/>
              <w:ind w:left="276"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2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本年提取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72"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本年使用</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5" w:lineRule="exact"/>
              <w:ind w:left="276"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spacing w:val="-1"/>
                <w:sz w:val="18"/>
              </w:rPr>
              <w:t>54,637,997.89</w:t>
            </w:r>
          </w:p>
        </w:tc>
        <w:tc>
          <w:tcPr>
            <w:tcW w:w="816" w:type="dxa"/>
            <w:tcBorders>
              <w:top w:val="single" w:sz="6" w:space="0" w:color="000000"/>
              <w:left w:val="single" w:sz="6" w:space="0" w:color="000000"/>
              <w:bottom w:val="single" w:sz="6" w:space="0" w:color="000000"/>
              <w:right w:val="single" w:sz="6" w:space="0" w:color="000000"/>
            </w:tcBorders>
          </w:tcPr>
          <w:p>
            <w:pPr/>
          </w:p>
        </w:tc>
        <w:tc>
          <w:tcPr>
            <w:tcW w:w="1310"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99"/>
              <w:jc w:val="right"/>
              <w:rPr>
                <w:rFonts w:ascii="Times New Roman" w:hAnsi="Times New Roman" w:cs="Times New Roman" w:eastAsia="Times New Roman" w:hint="default"/>
                <w:sz w:val="18"/>
                <w:szCs w:val="18"/>
              </w:rPr>
            </w:pPr>
            <w:r>
              <w:rPr>
                <w:rFonts w:ascii="Times New Roman"/>
                <w:spacing w:val="-1"/>
                <w:sz w:val="18"/>
              </w:rPr>
              <w:t>460,882.54</w:t>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spacing w:val="-1"/>
                <w:sz w:val="18"/>
              </w:rPr>
              <w:t>4,147,942.90</w:t>
            </w:r>
          </w:p>
        </w:tc>
        <w:tc>
          <w:tcPr>
            <w:tcW w:w="15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2"/>
              <w:jc w:val="right"/>
              <w:rPr>
                <w:rFonts w:ascii="Times New Roman" w:hAnsi="Times New Roman" w:cs="Times New Roman" w:eastAsia="Times New Roman" w:hint="default"/>
                <w:sz w:val="18"/>
                <w:szCs w:val="18"/>
              </w:rPr>
            </w:pPr>
            <w:r>
              <w:rPr>
                <w:rFonts w:ascii="Times New Roman"/>
                <w:b/>
                <w:spacing w:val="-1"/>
                <w:sz w:val="18"/>
              </w:rPr>
              <w:t>59,246,823.33</w:t>
            </w:r>
            <w:r>
              <w:rPr>
                <w:rFonts w:ascii="Times New Roman"/>
                <w:spacing w:val="-1"/>
                <w:sz w:val="18"/>
              </w:rPr>
            </w:r>
          </w:p>
        </w:tc>
      </w:tr>
      <w:tr>
        <w:trPr>
          <w:trHeight w:val="276" w:hRule="exact"/>
        </w:trPr>
        <w:tc>
          <w:tcPr>
            <w:tcW w:w="3731" w:type="dxa"/>
            <w:tcBorders>
              <w:top w:val="single" w:sz="6" w:space="0" w:color="000000"/>
              <w:left w:val="single" w:sz="12" w:space="0" w:color="000000"/>
              <w:bottom w:val="single" w:sz="12" w:space="0" w:color="000000"/>
              <w:right w:val="single" w:sz="6" w:space="0" w:color="000000"/>
            </w:tcBorders>
          </w:tcPr>
          <w:p>
            <w:pPr>
              <w:pStyle w:val="TableParagraph"/>
              <w:spacing w:line="217"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四、本期期末余额</w:t>
            </w:r>
            <w:r>
              <w:rPr>
                <w:rFonts w:ascii="宋体" w:hAnsi="宋体" w:cs="宋体" w:eastAsia="宋体" w:hint="default"/>
                <w:sz w:val="18"/>
                <w:szCs w:val="18"/>
              </w:rPr>
            </w:r>
          </w:p>
        </w:tc>
        <w:tc>
          <w:tcPr>
            <w:tcW w:w="14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2,963,898,951.00</w:t>
            </w:r>
            <w:r>
              <w:rPr>
                <w:rFonts w:ascii="Times New Roman"/>
                <w:spacing w:val="-1"/>
                <w:sz w:val="18"/>
              </w:rPr>
            </w:r>
          </w:p>
        </w:tc>
        <w:tc>
          <w:tcPr>
            <w:tcW w:w="14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9,178,270,672.12</w:t>
            </w:r>
            <w:r>
              <w:rPr>
                <w:rFonts w:ascii="Times New Roman"/>
                <w:spacing w:val="-1"/>
                <w:sz w:val="18"/>
              </w:rPr>
            </w:r>
          </w:p>
        </w:tc>
        <w:tc>
          <w:tcPr>
            <w:tcW w:w="8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1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4"/>
              <w:ind w:right="101"/>
              <w:jc w:val="right"/>
              <w:rPr>
                <w:rFonts w:ascii="Times New Roman" w:hAnsi="Times New Roman" w:cs="Times New Roman" w:eastAsia="Times New Roman" w:hint="default"/>
                <w:sz w:val="18"/>
                <w:szCs w:val="18"/>
              </w:rPr>
            </w:pPr>
            <w:r>
              <w:rPr>
                <w:rFonts w:ascii="Times New Roman"/>
                <w:b/>
                <w:spacing w:val="-1"/>
                <w:sz w:val="18"/>
              </w:rPr>
              <w:t>22,244,949.84</w:t>
            </w:r>
            <w:r>
              <w:rPr>
                <w:rFonts w:ascii="Times New Roman"/>
                <w:spacing w:val="-1"/>
                <w:sz w:val="18"/>
              </w:rPr>
            </w:r>
          </w:p>
        </w:tc>
        <w:tc>
          <w:tcPr>
            <w:tcW w:w="81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883,160,184.89</w:t>
            </w:r>
            <w:r>
              <w:rPr>
                <w:rFonts w:ascii="Times New Roman"/>
                <w:spacing w:val="-1"/>
                <w:sz w:val="18"/>
              </w:rPr>
            </w:r>
          </w:p>
        </w:tc>
        <w:tc>
          <w:tcPr>
            <w:tcW w:w="14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4"/>
              <w:ind w:right="101"/>
              <w:jc w:val="right"/>
              <w:rPr>
                <w:rFonts w:ascii="Times New Roman" w:hAnsi="Times New Roman" w:cs="Times New Roman" w:eastAsia="Times New Roman" w:hint="default"/>
                <w:sz w:val="18"/>
                <w:szCs w:val="18"/>
              </w:rPr>
            </w:pPr>
            <w:r>
              <w:rPr>
                <w:rFonts w:ascii="Times New Roman"/>
                <w:b/>
                <w:spacing w:val="-1"/>
                <w:sz w:val="18"/>
              </w:rPr>
              <w:t>587,848,855.14</w:t>
            </w:r>
            <w:r>
              <w:rPr>
                <w:rFonts w:ascii="Times New Roman"/>
                <w:spacing w:val="-1"/>
                <w:sz w:val="18"/>
              </w:rPr>
            </w:r>
          </w:p>
        </w:tc>
        <w:tc>
          <w:tcPr>
            <w:tcW w:w="156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b/>
                <w:spacing w:val="-1"/>
                <w:sz w:val="18"/>
              </w:rPr>
              <w:t>13,635,423,612.99</w:t>
            </w:r>
            <w:r>
              <w:rPr>
                <w:rFonts w:ascii="Times New Roman"/>
                <w:spacing w:val="-1"/>
                <w:sz w:val="18"/>
              </w:rPr>
            </w:r>
          </w:p>
        </w:tc>
      </w:tr>
    </w:tbl>
    <w:p>
      <w:pPr>
        <w:tabs>
          <w:tab w:pos="6539" w:val="left" w:leader="none"/>
          <w:tab w:pos="11160" w:val="left" w:leader="none"/>
        </w:tabs>
        <w:spacing w:line="243" w:lineRule="exact" w:before="0"/>
        <w:ind w:left="238" w:right="0" w:firstLine="0"/>
        <w:jc w:val="left"/>
        <w:rPr>
          <w:rFonts w:ascii="宋体" w:hAnsi="宋体" w:cs="宋体" w:eastAsia="宋体" w:hint="default"/>
          <w:sz w:val="21"/>
          <w:szCs w:val="21"/>
        </w:rPr>
      </w:pPr>
      <w:r>
        <w:rPr>
          <w:rFonts w:ascii="宋体" w:hAnsi="宋体" w:cs="宋体" w:eastAsia="宋体" w:hint="default"/>
          <w:spacing w:val="-1"/>
          <w:sz w:val="21"/>
          <w:szCs w:val="21"/>
        </w:rPr>
        <w:t>法定代表人：周立业</w:t>
        <w:tab/>
        <w:t>财务负责人：刘卫东</w:t>
        <w:tab/>
      </w:r>
      <w:r>
        <w:rPr>
          <w:rFonts w:ascii="宋体" w:hAnsi="宋体" w:cs="宋体" w:eastAsia="宋体" w:hint="default"/>
          <w:spacing w:val="-2"/>
          <w:sz w:val="21"/>
          <w:szCs w:val="21"/>
        </w:rPr>
        <w:t>会计机构负责人：王映浒</w:t>
      </w:r>
    </w:p>
    <w:p>
      <w:pPr>
        <w:spacing w:after="0" w:line="243" w:lineRule="exact"/>
        <w:jc w:val="left"/>
        <w:rPr>
          <w:rFonts w:ascii="宋体" w:hAnsi="宋体" w:cs="宋体" w:eastAsia="宋体" w:hint="default"/>
          <w:sz w:val="21"/>
          <w:szCs w:val="21"/>
        </w:rPr>
        <w:sectPr>
          <w:headerReference w:type="default" r:id="rId28"/>
          <w:pgSz w:w="16840" w:h="11910" w:orient="landscape"/>
          <w:pgMar w:header="628" w:footer="781" w:top="2320" w:bottom="980" w:left="1180" w:right="1460"/>
        </w:sectPr>
      </w:pPr>
    </w:p>
    <w:tbl>
      <w:tblPr>
        <w:tblW w:w="0" w:type="auto"/>
        <w:jc w:val="left"/>
        <w:tblInd w:w="116" w:type="dxa"/>
        <w:tblLayout w:type="fixed"/>
        <w:tblCellMar>
          <w:top w:w="0" w:type="dxa"/>
          <w:left w:w="0" w:type="dxa"/>
          <w:bottom w:w="0" w:type="dxa"/>
          <w:right w:w="0" w:type="dxa"/>
        </w:tblCellMar>
        <w:tblLook w:val="01E0"/>
      </w:tblPr>
      <w:tblGrid>
        <w:gridCol w:w="3731"/>
        <w:gridCol w:w="1476"/>
        <w:gridCol w:w="1476"/>
        <w:gridCol w:w="855"/>
        <w:gridCol w:w="1250"/>
        <w:gridCol w:w="857"/>
        <w:gridCol w:w="1340"/>
        <w:gridCol w:w="1476"/>
        <w:gridCol w:w="1476"/>
      </w:tblGrid>
      <w:tr>
        <w:trPr>
          <w:trHeight w:val="547" w:hRule="exact"/>
        </w:trPr>
        <w:tc>
          <w:tcPr>
            <w:tcW w:w="373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16"/>
              <w:ind w:right="5"/>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6"/>
              <w:ind w:left="2"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4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6"/>
              <w:ind w:left="369"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85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left="329" w:right="99" w:hanging="229"/>
              <w:jc w:val="left"/>
              <w:rPr>
                <w:rFonts w:ascii="宋体" w:hAnsi="宋体" w:cs="宋体" w:eastAsia="宋体" w:hint="default"/>
                <w:sz w:val="18"/>
                <w:szCs w:val="18"/>
              </w:rPr>
            </w:pPr>
            <w:r>
              <w:rPr>
                <w:rFonts w:ascii="宋体" w:hAnsi="宋体" w:cs="宋体" w:eastAsia="宋体" w:hint="default"/>
                <w:b/>
                <w:bCs/>
                <w:spacing w:val="-21"/>
                <w:w w:val="99"/>
                <w:sz w:val="18"/>
                <w:szCs w:val="18"/>
              </w:rPr>
              <w:t>减：库存</w:t>
            </w:r>
            <w:r>
              <w:rPr>
                <w:rFonts w:ascii="宋体" w:hAnsi="宋体" w:cs="宋体" w:eastAsia="宋体" w:hint="default"/>
                <w:b/>
                <w:bCs/>
                <w:w w:val="9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125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left="527" w:right="166" w:hanging="363"/>
              <w:jc w:val="left"/>
              <w:rPr>
                <w:rFonts w:ascii="宋体" w:hAnsi="宋体" w:cs="宋体" w:eastAsia="宋体" w:hint="default"/>
                <w:sz w:val="18"/>
                <w:szCs w:val="18"/>
              </w:rPr>
            </w:pPr>
            <w:r>
              <w:rPr>
                <w:rFonts w:ascii="宋体" w:hAnsi="宋体" w:cs="宋体" w:eastAsia="宋体" w:hint="default"/>
                <w:b/>
                <w:bCs/>
                <w:sz w:val="18"/>
                <w:szCs w:val="18"/>
              </w:rPr>
              <w:t>其他综合收</w:t>
            </w:r>
            <w:r>
              <w:rPr>
                <w:rFonts w:ascii="宋体" w:hAnsi="宋体" w:cs="宋体" w:eastAsia="宋体" w:hint="default"/>
                <w:b/>
                <w:bCs/>
                <w:w w:val="99"/>
                <w:sz w:val="18"/>
                <w:szCs w:val="18"/>
              </w:rPr>
              <w:t> </w:t>
            </w:r>
            <w:r>
              <w:rPr>
                <w:rFonts w:ascii="宋体" w:hAnsi="宋体" w:cs="宋体" w:eastAsia="宋体" w:hint="default"/>
                <w:b/>
                <w:bCs/>
                <w:sz w:val="18"/>
                <w:szCs w:val="18"/>
              </w:rPr>
              <w:t>益</w:t>
            </w:r>
            <w:r>
              <w:rPr>
                <w:rFonts w:ascii="宋体" w:hAnsi="宋体" w:cs="宋体" w:eastAsia="宋体" w:hint="default"/>
                <w:sz w:val="18"/>
                <w:szCs w:val="18"/>
              </w:rPr>
            </w:r>
          </w:p>
        </w:tc>
        <w:tc>
          <w:tcPr>
            <w:tcW w:w="85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left="328" w:right="149" w:hanging="180"/>
              <w:jc w:val="left"/>
              <w:rPr>
                <w:rFonts w:ascii="宋体" w:hAnsi="宋体" w:cs="宋体" w:eastAsia="宋体" w:hint="default"/>
                <w:sz w:val="18"/>
                <w:szCs w:val="18"/>
              </w:rPr>
            </w:pPr>
            <w:r>
              <w:rPr>
                <w:rFonts w:ascii="宋体" w:hAnsi="宋体" w:cs="宋体" w:eastAsia="宋体" w:hint="default"/>
                <w:b/>
                <w:bCs/>
                <w:sz w:val="18"/>
                <w:szCs w:val="18"/>
              </w:rPr>
              <w:t>专项储</w:t>
            </w:r>
            <w:r>
              <w:rPr>
                <w:rFonts w:ascii="宋体" w:hAnsi="宋体" w:cs="宋体" w:eastAsia="宋体" w:hint="default"/>
                <w:b/>
                <w:bCs/>
                <w:w w:val="99"/>
                <w:sz w:val="18"/>
                <w:szCs w:val="18"/>
              </w:rPr>
              <w:t> </w:t>
            </w:r>
            <w:r>
              <w:rPr>
                <w:rFonts w:ascii="宋体" w:hAnsi="宋体" w:cs="宋体" w:eastAsia="宋体" w:hint="default"/>
                <w:b/>
                <w:bCs/>
                <w:sz w:val="18"/>
                <w:szCs w:val="18"/>
              </w:rPr>
              <w:t>备</w:t>
            </w:r>
            <w:r>
              <w:rPr>
                <w:rFonts w:ascii="宋体" w:hAnsi="宋体" w:cs="宋体" w:eastAsia="宋体" w:hint="default"/>
                <w:sz w:val="18"/>
                <w:szCs w:val="18"/>
              </w:rPr>
            </w:r>
          </w:p>
        </w:tc>
        <w:tc>
          <w:tcPr>
            <w:tcW w:w="134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6"/>
              <w:ind w:left="300"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4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6"/>
              <w:ind w:left="278"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476"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16"/>
              <w:ind w:left="187"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7"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2,197,882,238.00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4,433,190,204.89</w:t>
            </w:r>
            <w:r>
              <w:rPr>
                <w:rFonts w:ascii="Times New Roman"/>
                <w:spacing w:val="-1"/>
                <w:sz w:val="18"/>
              </w:rPr>
            </w: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Times New Roman" w:hAnsi="Times New Roman" w:cs="Times New Roman" w:eastAsia="Times New Roman" w:hint="default"/>
                <w:sz w:val="18"/>
                <w:szCs w:val="18"/>
              </w:rPr>
            </w:pPr>
            <w:r>
              <w:rPr>
                <w:rFonts w:ascii="Times New Roman"/>
                <w:b/>
                <w:spacing w:val="-1"/>
                <w:sz w:val="18"/>
              </w:rPr>
              <w:t>26,292,755.23</w:t>
            </w:r>
            <w:r>
              <w:rPr>
                <w:rFonts w:ascii="Times New Roman"/>
                <w:spacing w:val="-1"/>
                <w:sz w:val="18"/>
              </w:rPr>
            </w:r>
          </w:p>
        </w:tc>
        <w:tc>
          <w:tcPr>
            <w:tcW w:w="8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680,975,775.19</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1,142,846,847.64</w:t>
            </w:r>
            <w:r>
              <w:rPr>
                <w:rFonts w:ascii="Times New Roman"/>
                <w:spacing w:val="-1"/>
                <w:sz w:val="18"/>
              </w:rPr>
            </w: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2"/>
              <w:jc w:val="right"/>
              <w:rPr>
                <w:rFonts w:ascii="Times New Roman" w:hAnsi="Times New Roman" w:cs="Times New Roman" w:eastAsia="Times New Roman" w:hint="default"/>
                <w:sz w:val="18"/>
                <w:szCs w:val="18"/>
              </w:rPr>
            </w:pPr>
            <w:r>
              <w:rPr>
                <w:rFonts w:ascii="Times New Roman"/>
                <w:b/>
                <w:spacing w:val="-1"/>
                <w:sz w:val="18"/>
              </w:rPr>
              <w:t>8,481,187,820.95</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5" w:lineRule="exact"/>
              <w:ind w:left="9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7" w:lineRule="exact"/>
              <w:ind w:left="816"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6" w:lineRule="exact"/>
              <w:ind w:left="81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7"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2,197,882,238.00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4,433,190,204.89</w:t>
            </w:r>
            <w:r>
              <w:rPr>
                <w:rFonts w:ascii="Times New Roman"/>
                <w:spacing w:val="-1"/>
                <w:sz w:val="18"/>
              </w:rPr>
            </w: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Times New Roman" w:hAnsi="Times New Roman" w:cs="Times New Roman" w:eastAsia="Times New Roman" w:hint="default"/>
                <w:sz w:val="18"/>
                <w:szCs w:val="18"/>
              </w:rPr>
            </w:pPr>
            <w:r>
              <w:rPr>
                <w:rFonts w:ascii="Times New Roman"/>
                <w:b/>
                <w:spacing w:val="-1"/>
                <w:sz w:val="18"/>
              </w:rPr>
              <w:t>26,292,755.23</w:t>
            </w:r>
            <w:r>
              <w:rPr>
                <w:rFonts w:ascii="Times New Roman"/>
                <w:spacing w:val="-1"/>
                <w:sz w:val="18"/>
              </w:rPr>
            </w:r>
          </w:p>
        </w:tc>
        <w:tc>
          <w:tcPr>
            <w:tcW w:w="8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680,975,775.19</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1,142,846,847.64</w:t>
            </w:r>
            <w:r>
              <w:rPr>
                <w:rFonts w:ascii="Times New Roman"/>
                <w:spacing w:val="-1"/>
                <w:sz w:val="18"/>
              </w:rPr>
            </w: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2"/>
              <w:jc w:val="right"/>
              <w:rPr>
                <w:rFonts w:ascii="Times New Roman" w:hAnsi="Times New Roman" w:cs="Times New Roman" w:eastAsia="Times New Roman" w:hint="default"/>
                <w:sz w:val="18"/>
                <w:szCs w:val="18"/>
              </w:rPr>
            </w:pPr>
            <w:r>
              <w:rPr>
                <w:rFonts w:ascii="Times New Roman"/>
                <w:b/>
                <w:spacing w:val="-1"/>
                <w:sz w:val="18"/>
              </w:rPr>
              <w:t>8,481,187,820.95</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29"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三、本期增减变动金额（减少以</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Times New Roman" w:hAnsi="Times New Roman" w:cs="Times New Roman" w:eastAsia="Times New Roman" w:hint="default"/>
                <w:sz w:val="18"/>
                <w:szCs w:val="18"/>
              </w:rPr>
            </w:pPr>
            <w:r>
              <w:rPr>
                <w:rFonts w:ascii="Times New Roman"/>
                <w:b/>
                <w:spacing w:val="-1"/>
                <w:sz w:val="18"/>
              </w:rPr>
              <w:t>-1,214,215.33</w:t>
            </w:r>
            <w:r>
              <w:rPr>
                <w:rFonts w:ascii="Times New Roman"/>
                <w:spacing w:val="-1"/>
                <w:sz w:val="18"/>
              </w:rPr>
            </w: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Times New Roman" w:hAnsi="Times New Roman" w:cs="Times New Roman" w:eastAsia="Times New Roman" w:hint="default"/>
                <w:sz w:val="18"/>
                <w:szCs w:val="18"/>
              </w:rPr>
            </w:pPr>
            <w:r>
              <w:rPr>
                <w:rFonts w:ascii="Times New Roman"/>
                <w:b/>
                <w:spacing w:val="-1"/>
                <w:sz w:val="18"/>
              </w:rPr>
              <w:t>9,310,663.04</w:t>
            </w:r>
            <w:r>
              <w:rPr>
                <w:rFonts w:ascii="Times New Roman"/>
                <w:spacing w:val="-1"/>
                <w:sz w:val="18"/>
              </w:rPr>
            </w:r>
          </w:p>
        </w:tc>
        <w:tc>
          <w:tcPr>
            <w:tcW w:w="8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1"/>
              <w:jc w:val="right"/>
              <w:rPr>
                <w:rFonts w:ascii="Times New Roman" w:hAnsi="Times New Roman" w:cs="Times New Roman" w:eastAsia="Times New Roman" w:hint="default"/>
                <w:sz w:val="18"/>
                <w:szCs w:val="18"/>
              </w:rPr>
            </w:pPr>
            <w:r>
              <w:rPr>
                <w:rFonts w:ascii="Times New Roman"/>
                <w:b/>
                <w:spacing w:val="-1"/>
                <w:sz w:val="18"/>
              </w:rPr>
              <w:t>75,564,190.16</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-287,537,698.40</w:t>
            </w:r>
            <w:r>
              <w:rPr>
                <w:rFonts w:ascii="Times New Roman"/>
                <w:spacing w:val="-1"/>
                <w:sz w:val="18"/>
              </w:rPr>
            </w: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2"/>
              <w:jc w:val="right"/>
              <w:rPr>
                <w:rFonts w:ascii="Times New Roman" w:hAnsi="Times New Roman" w:cs="Times New Roman" w:eastAsia="Times New Roman" w:hint="default"/>
                <w:sz w:val="18"/>
                <w:szCs w:val="18"/>
              </w:rPr>
            </w:pPr>
            <w:r>
              <w:rPr>
                <w:rFonts w:ascii="Times New Roman"/>
                <w:b/>
                <w:spacing w:val="-1"/>
                <w:sz w:val="18"/>
              </w:rPr>
              <w:t>-203,877,060.53</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7" w:lineRule="exact"/>
              <w:ind w:left="93"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Times New Roman" w:hAnsi="Times New Roman" w:cs="Times New Roman" w:eastAsia="Times New Roman" w:hint="default"/>
                <w:sz w:val="18"/>
                <w:szCs w:val="18"/>
              </w:rPr>
            </w:pPr>
            <w:r>
              <w:rPr>
                <w:rFonts w:ascii="Times New Roman"/>
                <w:b/>
                <w:spacing w:val="-1"/>
                <w:sz w:val="18"/>
              </w:rPr>
              <w:t>9,310,663.04</w:t>
            </w:r>
            <w:r>
              <w:rPr>
                <w:rFonts w:ascii="Times New Roman"/>
                <w:spacing w:val="-1"/>
                <w:sz w:val="18"/>
              </w:rPr>
            </w: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8"/>
              <w:jc w:val="right"/>
              <w:rPr>
                <w:rFonts w:ascii="Times New Roman" w:hAnsi="Times New Roman" w:cs="Times New Roman" w:eastAsia="Times New Roman" w:hint="default"/>
                <w:sz w:val="18"/>
                <w:szCs w:val="18"/>
              </w:rPr>
            </w:pPr>
            <w:r>
              <w:rPr>
                <w:rFonts w:ascii="Times New Roman"/>
                <w:b/>
                <w:spacing w:val="-1"/>
                <w:sz w:val="18"/>
              </w:rPr>
              <w:t>7,814,715.56</w:t>
            </w:r>
            <w:r>
              <w:rPr>
                <w:rFonts w:ascii="Times New Roman"/>
                <w:spacing w:val="-1"/>
                <w:sz w:val="18"/>
              </w:rPr>
            </w: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4"/>
              <w:jc w:val="right"/>
              <w:rPr>
                <w:rFonts w:ascii="Times New Roman" w:hAnsi="Times New Roman" w:cs="Times New Roman" w:eastAsia="Times New Roman" w:hint="default"/>
                <w:sz w:val="18"/>
                <w:szCs w:val="18"/>
              </w:rPr>
            </w:pPr>
            <w:r>
              <w:rPr>
                <w:rFonts w:ascii="Times New Roman"/>
                <w:b/>
                <w:spacing w:val="-1"/>
                <w:sz w:val="18"/>
              </w:rPr>
              <w:t>17,125,378.60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5" w:lineRule="exact"/>
              <w:ind w:left="93" w:right="0"/>
              <w:jc w:val="left"/>
              <w:rPr>
                <w:rFonts w:ascii="宋体" w:hAnsi="宋体" w:cs="宋体" w:eastAsia="宋体" w:hint="default"/>
                <w:sz w:val="18"/>
                <w:szCs w:val="18"/>
              </w:rPr>
            </w:pPr>
            <w:r>
              <w:rPr>
                <w:rFonts w:ascii="宋体" w:hAnsi="宋体" w:cs="宋体" w:eastAsia="宋体" w:hint="default"/>
                <w:sz w:val="18"/>
                <w:szCs w:val="18"/>
              </w:rPr>
              <w:t>（二）股东投入和减少资本</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8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股东投入普通股</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2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股份支付计入股东权益的金额</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5" w:lineRule="exact"/>
              <w:ind w:left="93"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8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1"/>
              <w:jc w:val="right"/>
              <w:rPr>
                <w:rFonts w:ascii="Times New Roman" w:hAnsi="Times New Roman" w:cs="Times New Roman" w:eastAsia="Times New Roman" w:hint="default"/>
                <w:sz w:val="18"/>
                <w:szCs w:val="18"/>
              </w:rPr>
            </w:pPr>
            <w:r>
              <w:rPr>
                <w:rFonts w:ascii="Times New Roman"/>
                <w:b/>
                <w:spacing w:val="-1"/>
                <w:sz w:val="18"/>
              </w:rPr>
              <w:t>75,564,190.16</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-295,352,413.96</w:t>
            </w:r>
            <w:r>
              <w:rPr>
                <w:rFonts w:ascii="Times New Roman"/>
                <w:spacing w:val="-1"/>
                <w:sz w:val="18"/>
              </w:rPr>
            </w: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2"/>
              <w:jc w:val="right"/>
              <w:rPr>
                <w:rFonts w:ascii="Times New Roman" w:hAnsi="Times New Roman" w:cs="Times New Roman" w:eastAsia="Times New Roman" w:hint="default"/>
                <w:sz w:val="18"/>
                <w:szCs w:val="18"/>
              </w:rPr>
            </w:pPr>
            <w:r>
              <w:rPr>
                <w:rFonts w:ascii="Times New Roman"/>
                <w:b/>
                <w:spacing w:val="-1"/>
                <w:sz w:val="18"/>
              </w:rPr>
              <w:t>-219,788,223.80</w:t>
            </w:r>
            <w:r>
              <w:rPr>
                <w:rFonts w:ascii="Times New Roman"/>
                <w:spacing w:val="-1"/>
                <w:sz w:val="18"/>
              </w:rPr>
            </w:r>
          </w:p>
        </w:tc>
      </w:tr>
      <w:tr>
        <w:trPr>
          <w:trHeight w:val="272"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spacing w:val="-1"/>
                <w:sz w:val="18"/>
              </w:rPr>
              <w:t>75,564,190.16</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spacing w:val="-1"/>
                <w:sz w:val="18"/>
              </w:rPr>
              <w:t>-75,564,190.16</w:t>
            </w: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2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对股东的分配</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99"/>
              <w:jc w:val="right"/>
              <w:rPr>
                <w:rFonts w:ascii="Times New Roman" w:hAnsi="Times New Roman" w:cs="Times New Roman" w:eastAsia="Times New Roman" w:hint="default"/>
                <w:sz w:val="18"/>
                <w:szCs w:val="18"/>
              </w:rPr>
            </w:pPr>
            <w:r>
              <w:rPr>
                <w:rFonts w:ascii="Times New Roman"/>
                <w:spacing w:val="-1"/>
                <w:sz w:val="18"/>
              </w:rPr>
              <w:t>-219,788,223.80</w:t>
            </w: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2"/>
              <w:jc w:val="right"/>
              <w:rPr>
                <w:rFonts w:ascii="Times New Roman" w:hAnsi="Times New Roman" w:cs="Times New Roman" w:eastAsia="Times New Roman" w:hint="default"/>
                <w:sz w:val="18"/>
                <w:szCs w:val="18"/>
              </w:rPr>
            </w:pPr>
            <w:r>
              <w:rPr>
                <w:rFonts w:ascii="Times New Roman"/>
                <w:b/>
                <w:spacing w:val="-1"/>
                <w:sz w:val="18"/>
              </w:rPr>
              <w:t>-219,788,223.80</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5" w:lineRule="exact"/>
              <w:ind w:left="93" w:right="0"/>
              <w:jc w:val="left"/>
              <w:rPr>
                <w:rFonts w:ascii="宋体" w:hAnsi="宋体" w:cs="宋体" w:eastAsia="宋体" w:hint="default"/>
                <w:sz w:val="18"/>
                <w:szCs w:val="18"/>
              </w:rPr>
            </w:pPr>
            <w:r>
              <w:rPr>
                <w:rFonts w:ascii="宋体" w:hAnsi="宋体" w:cs="宋体" w:eastAsia="宋体" w:hint="default"/>
                <w:sz w:val="18"/>
                <w:szCs w:val="18"/>
              </w:rPr>
              <w:t>（四）股东权益内部结转</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8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2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2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71"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7" w:lineRule="exact"/>
              <w:ind w:left="276"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8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2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本年提取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72"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本年使用</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r>
        <w:trPr>
          <w:trHeight w:val="269" w:hRule="exact"/>
        </w:trPr>
        <w:tc>
          <w:tcPr>
            <w:tcW w:w="3731" w:type="dxa"/>
            <w:tcBorders>
              <w:top w:val="single" w:sz="6" w:space="0" w:color="000000"/>
              <w:left w:val="single" w:sz="12" w:space="0" w:color="000000"/>
              <w:bottom w:val="single" w:sz="6" w:space="0" w:color="000000"/>
              <w:right w:val="single" w:sz="6" w:space="0" w:color="000000"/>
            </w:tcBorders>
          </w:tcPr>
          <w:p>
            <w:pPr>
              <w:pStyle w:val="TableParagraph"/>
              <w:spacing w:line="215" w:lineRule="exact"/>
              <w:ind w:left="276"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98"/>
              <w:jc w:val="right"/>
              <w:rPr>
                <w:rFonts w:ascii="Times New Roman" w:hAnsi="Times New Roman" w:cs="Times New Roman" w:eastAsia="Times New Roman" w:hint="default"/>
                <w:sz w:val="18"/>
                <w:szCs w:val="18"/>
              </w:rPr>
            </w:pPr>
            <w:r>
              <w:rPr>
                <w:rFonts w:ascii="Times New Roman"/>
                <w:spacing w:val="-1"/>
                <w:sz w:val="18"/>
              </w:rPr>
              <w:t>-1,214,215.33</w:t>
            </w:r>
          </w:p>
        </w:tc>
        <w:tc>
          <w:tcPr>
            <w:tcW w:w="85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6" w:space="0" w:color="000000"/>
            </w:tcBorders>
          </w:tcPr>
          <w:p>
            <w:pPr/>
          </w:p>
        </w:tc>
        <w:tc>
          <w:tcPr>
            <w:tcW w:w="857" w:type="dxa"/>
            <w:tcBorders>
              <w:top w:val="single" w:sz="6" w:space="0" w:color="000000"/>
              <w:left w:val="single" w:sz="6" w:space="0" w:color="000000"/>
              <w:bottom w:val="single" w:sz="6" w:space="0" w:color="000000"/>
              <w:right w:val="single" w:sz="6" w:space="0" w:color="000000"/>
            </w:tcBorders>
          </w:tcPr>
          <w:p>
            <w:pPr/>
          </w:p>
        </w:tc>
        <w:tc>
          <w:tcPr>
            <w:tcW w:w="134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92"/>
              <w:jc w:val="right"/>
              <w:rPr>
                <w:rFonts w:ascii="Times New Roman" w:hAnsi="Times New Roman" w:cs="Times New Roman" w:eastAsia="Times New Roman" w:hint="default"/>
                <w:sz w:val="18"/>
                <w:szCs w:val="18"/>
              </w:rPr>
            </w:pPr>
            <w:r>
              <w:rPr>
                <w:rFonts w:ascii="Times New Roman"/>
                <w:b/>
                <w:spacing w:val="-1"/>
                <w:sz w:val="18"/>
              </w:rPr>
              <w:t>-1,214,215.33</w:t>
            </w:r>
            <w:r>
              <w:rPr>
                <w:rFonts w:ascii="Times New Roman"/>
                <w:spacing w:val="-1"/>
                <w:sz w:val="18"/>
              </w:rPr>
            </w:r>
          </w:p>
        </w:tc>
      </w:tr>
      <w:tr>
        <w:trPr>
          <w:trHeight w:val="276" w:hRule="exact"/>
        </w:trPr>
        <w:tc>
          <w:tcPr>
            <w:tcW w:w="3731" w:type="dxa"/>
            <w:tcBorders>
              <w:top w:val="single" w:sz="6" w:space="0" w:color="000000"/>
              <w:left w:val="single" w:sz="12" w:space="0" w:color="000000"/>
              <w:bottom w:val="single" w:sz="12" w:space="0" w:color="000000"/>
              <w:right w:val="single" w:sz="6" w:space="0" w:color="000000"/>
            </w:tcBorders>
          </w:tcPr>
          <w:p>
            <w:pPr>
              <w:pStyle w:val="TableParagraph"/>
              <w:spacing w:line="217"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四、本期期末余额</w:t>
            </w:r>
            <w:r>
              <w:rPr>
                <w:rFonts w:ascii="宋体" w:hAnsi="宋体" w:cs="宋体" w:eastAsia="宋体" w:hint="default"/>
                <w:sz w:val="18"/>
                <w:szCs w:val="18"/>
              </w:rPr>
            </w:r>
          </w:p>
        </w:tc>
        <w:tc>
          <w:tcPr>
            <w:tcW w:w="14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2,197,882,238.00</w:t>
            </w:r>
            <w:r>
              <w:rPr>
                <w:rFonts w:ascii="Times New Roman"/>
                <w:spacing w:val="-1"/>
                <w:sz w:val="18"/>
              </w:rPr>
            </w:r>
          </w:p>
        </w:tc>
        <w:tc>
          <w:tcPr>
            <w:tcW w:w="14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4,431,975,989.56</w:t>
            </w:r>
            <w:r>
              <w:rPr>
                <w:rFonts w:ascii="Times New Roman"/>
                <w:spacing w:val="-1"/>
                <w:sz w:val="18"/>
              </w:rPr>
            </w:r>
          </w:p>
        </w:tc>
        <w:tc>
          <w:tcPr>
            <w:tcW w:w="85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25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4"/>
              <w:ind w:right="98"/>
              <w:jc w:val="right"/>
              <w:rPr>
                <w:rFonts w:ascii="Times New Roman" w:hAnsi="Times New Roman" w:cs="Times New Roman" w:eastAsia="Times New Roman" w:hint="default"/>
                <w:sz w:val="18"/>
                <w:szCs w:val="18"/>
              </w:rPr>
            </w:pPr>
            <w:r>
              <w:rPr>
                <w:rFonts w:ascii="Times New Roman"/>
                <w:b/>
                <w:spacing w:val="-1"/>
                <w:sz w:val="18"/>
              </w:rPr>
              <w:t>35,603,418.27</w:t>
            </w:r>
            <w:r>
              <w:rPr>
                <w:rFonts w:ascii="Times New Roman"/>
                <w:spacing w:val="-1"/>
                <w:sz w:val="18"/>
              </w:rPr>
            </w:r>
          </w:p>
        </w:tc>
        <w:tc>
          <w:tcPr>
            <w:tcW w:w="8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4"/>
              <w:ind w:right="102"/>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4"/>
              <w:ind w:right="99"/>
              <w:jc w:val="right"/>
              <w:rPr>
                <w:rFonts w:ascii="Times New Roman" w:hAnsi="Times New Roman" w:cs="Times New Roman" w:eastAsia="Times New Roman" w:hint="default"/>
                <w:sz w:val="18"/>
                <w:szCs w:val="18"/>
              </w:rPr>
            </w:pPr>
            <w:r>
              <w:rPr>
                <w:rFonts w:ascii="Times New Roman"/>
                <w:b/>
                <w:spacing w:val="-1"/>
                <w:sz w:val="18"/>
              </w:rPr>
              <w:t>756,539,965.35</w:t>
            </w:r>
            <w:r>
              <w:rPr>
                <w:rFonts w:ascii="Times New Roman"/>
                <w:spacing w:val="-1"/>
                <w:sz w:val="18"/>
              </w:rPr>
            </w:r>
          </w:p>
        </w:tc>
        <w:tc>
          <w:tcPr>
            <w:tcW w:w="14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4"/>
              <w:ind w:right="98"/>
              <w:jc w:val="right"/>
              <w:rPr>
                <w:rFonts w:ascii="Times New Roman" w:hAnsi="Times New Roman" w:cs="Times New Roman" w:eastAsia="Times New Roman" w:hint="default"/>
                <w:sz w:val="18"/>
                <w:szCs w:val="18"/>
              </w:rPr>
            </w:pPr>
            <w:r>
              <w:rPr>
                <w:rFonts w:ascii="Times New Roman"/>
                <w:b/>
                <w:spacing w:val="-1"/>
                <w:sz w:val="18"/>
              </w:rPr>
              <w:t>855,309,149.24</w:t>
            </w:r>
            <w:r>
              <w:rPr>
                <w:rFonts w:ascii="Times New Roman"/>
                <w:spacing w:val="-1"/>
                <w:sz w:val="18"/>
              </w:rPr>
            </w:r>
          </w:p>
        </w:tc>
        <w:tc>
          <w:tcPr>
            <w:tcW w:w="147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4"/>
              <w:ind w:right="92"/>
              <w:jc w:val="right"/>
              <w:rPr>
                <w:rFonts w:ascii="Times New Roman" w:hAnsi="Times New Roman" w:cs="Times New Roman" w:eastAsia="Times New Roman" w:hint="default"/>
                <w:sz w:val="18"/>
                <w:szCs w:val="18"/>
              </w:rPr>
            </w:pPr>
            <w:r>
              <w:rPr>
                <w:rFonts w:ascii="Times New Roman"/>
                <w:b/>
                <w:spacing w:val="-1"/>
                <w:sz w:val="18"/>
              </w:rPr>
              <w:t>8,277,310,760.42</w:t>
            </w:r>
            <w:r>
              <w:rPr>
                <w:rFonts w:ascii="Times New Roman"/>
                <w:spacing w:val="-1"/>
                <w:sz w:val="18"/>
              </w:rPr>
            </w:r>
          </w:p>
        </w:tc>
      </w:tr>
    </w:tbl>
    <w:p>
      <w:pPr>
        <w:tabs>
          <w:tab w:pos="6539" w:val="left" w:leader="none"/>
          <w:tab w:pos="11160" w:val="left" w:leader="none"/>
        </w:tabs>
        <w:spacing w:line="243" w:lineRule="exact" w:before="0"/>
        <w:ind w:left="238" w:right="0" w:firstLine="0"/>
        <w:jc w:val="left"/>
        <w:rPr>
          <w:rFonts w:ascii="宋体" w:hAnsi="宋体" w:cs="宋体" w:eastAsia="宋体" w:hint="default"/>
          <w:sz w:val="21"/>
          <w:szCs w:val="21"/>
        </w:rPr>
      </w:pPr>
      <w:r>
        <w:rPr>
          <w:rFonts w:ascii="宋体" w:hAnsi="宋体" w:cs="宋体" w:eastAsia="宋体" w:hint="default"/>
          <w:spacing w:val="-1"/>
          <w:sz w:val="21"/>
          <w:szCs w:val="21"/>
        </w:rPr>
        <w:t>法定代表人：周立业</w:t>
        <w:tab/>
        <w:t>财务负责人：刘卫东</w:t>
        <w:tab/>
      </w:r>
      <w:r>
        <w:rPr>
          <w:rFonts w:ascii="宋体" w:hAnsi="宋体" w:cs="宋体" w:eastAsia="宋体" w:hint="default"/>
          <w:spacing w:val="-2"/>
          <w:sz w:val="21"/>
          <w:szCs w:val="21"/>
        </w:rPr>
        <w:t>会计机构负责人：王映浒</w:t>
      </w:r>
    </w:p>
    <w:p>
      <w:pPr>
        <w:spacing w:after="0" w:line="243" w:lineRule="exact"/>
        <w:jc w:val="left"/>
        <w:rPr>
          <w:rFonts w:ascii="宋体" w:hAnsi="宋体" w:cs="宋体" w:eastAsia="宋体" w:hint="default"/>
          <w:sz w:val="21"/>
          <w:szCs w:val="21"/>
        </w:rPr>
        <w:sectPr>
          <w:headerReference w:type="default" r:id="rId29"/>
          <w:pgSz w:w="16840" w:h="11910" w:orient="landscape"/>
          <w:pgMar w:header="628" w:footer="781" w:top="2320" w:bottom="980" w:left="1180" w:right="146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pStyle w:val="Heading3"/>
        <w:spacing w:line="240" w:lineRule="auto" w:before="26"/>
        <w:ind w:left="202" w:right="0"/>
        <w:jc w:val="both"/>
        <w:rPr>
          <w:b w:val="0"/>
          <w:bCs w:val="0"/>
        </w:rPr>
      </w:pPr>
      <w:r>
        <w:rPr/>
        <w:t>财务报表附注</w:t>
      </w:r>
      <w:r>
        <w:rPr>
          <w:b w:val="0"/>
          <w:bCs w:val="0"/>
        </w:rPr>
      </w:r>
    </w:p>
    <w:p>
      <w:pPr>
        <w:spacing w:line="240" w:lineRule="auto" w:before="2"/>
        <w:rPr>
          <w:rFonts w:ascii="宋体" w:hAnsi="宋体" w:cs="宋体" w:eastAsia="宋体" w:hint="default"/>
          <w:b/>
          <w:bCs/>
          <w:sz w:val="31"/>
          <w:szCs w:val="31"/>
        </w:rPr>
      </w:pPr>
    </w:p>
    <w:p>
      <w:pPr>
        <w:tabs>
          <w:tab w:pos="1334" w:val="left" w:leader="none"/>
        </w:tabs>
        <w:spacing w:before="0"/>
        <w:ind w:left="665" w:right="94" w:firstLine="0"/>
        <w:jc w:val="left"/>
        <w:rPr>
          <w:rFonts w:ascii="宋体" w:hAnsi="宋体" w:cs="宋体" w:eastAsia="宋体" w:hint="default"/>
          <w:sz w:val="22"/>
          <w:szCs w:val="22"/>
        </w:rPr>
      </w:pPr>
      <w:r>
        <w:rPr>
          <w:rFonts w:ascii="Times New Roman" w:hAnsi="Times New Roman" w:cs="Times New Roman" w:eastAsia="Times New Roman" w:hint="default"/>
          <w:b/>
          <w:bCs/>
          <w:spacing w:val="9"/>
          <w:sz w:val="22"/>
          <w:szCs w:val="22"/>
        </w:rPr>
        <w:t>1.</w:t>
        <w:tab/>
      </w:r>
      <w:r>
        <w:rPr>
          <w:rFonts w:ascii="宋体" w:hAnsi="宋体" w:cs="宋体" w:eastAsia="宋体" w:hint="default"/>
          <w:b/>
          <w:bCs/>
          <w:sz w:val="22"/>
          <w:szCs w:val="22"/>
        </w:rPr>
        <w:t>公</w:t>
      </w:r>
      <w:r>
        <w:rPr>
          <w:rFonts w:ascii="宋体" w:hAnsi="宋体" w:cs="宋体" w:eastAsia="宋体" w:hint="default"/>
          <w:b/>
          <w:bCs/>
          <w:spacing w:val="-72"/>
          <w:sz w:val="22"/>
          <w:szCs w:val="22"/>
        </w:rPr>
        <w:t> </w:t>
      </w:r>
      <w:r>
        <w:rPr>
          <w:rFonts w:ascii="宋体" w:hAnsi="宋体" w:cs="宋体" w:eastAsia="宋体" w:hint="default"/>
          <w:b/>
          <w:bCs/>
          <w:sz w:val="22"/>
          <w:szCs w:val="22"/>
        </w:rPr>
        <w:t>司</w:t>
      </w:r>
      <w:r>
        <w:rPr>
          <w:rFonts w:ascii="宋体" w:hAnsi="宋体" w:cs="宋体" w:eastAsia="宋体" w:hint="default"/>
          <w:b/>
          <w:bCs/>
          <w:spacing w:val="-72"/>
          <w:sz w:val="22"/>
          <w:szCs w:val="22"/>
        </w:rPr>
        <w:t> </w:t>
      </w:r>
      <w:r>
        <w:rPr>
          <w:rFonts w:ascii="宋体" w:hAnsi="宋体" w:cs="宋体" w:eastAsia="宋体" w:hint="default"/>
          <w:b/>
          <w:bCs/>
          <w:sz w:val="22"/>
          <w:szCs w:val="22"/>
        </w:rPr>
        <w:t>的</w:t>
      </w:r>
      <w:r>
        <w:rPr>
          <w:rFonts w:ascii="宋体" w:hAnsi="宋体" w:cs="宋体" w:eastAsia="宋体" w:hint="default"/>
          <w:b/>
          <w:bCs/>
          <w:spacing w:val="-72"/>
          <w:sz w:val="22"/>
          <w:szCs w:val="22"/>
        </w:rPr>
        <w:t> </w:t>
      </w:r>
      <w:r>
        <w:rPr>
          <w:rFonts w:ascii="宋体" w:hAnsi="宋体" w:cs="宋体" w:eastAsia="宋体" w:hint="default"/>
          <w:b/>
          <w:bCs/>
          <w:sz w:val="22"/>
          <w:szCs w:val="22"/>
        </w:rPr>
        <w:t>基</w:t>
      </w:r>
      <w:r>
        <w:rPr>
          <w:rFonts w:ascii="宋体" w:hAnsi="宋体" w:cs="宋体" w:eastAsia="宋体" w:hint="default"/>
          <w:b/>
          <w:bCs/>
          <w:spacing w:val="-74"/>
          <w:sz w:val="22"/>
          <w:szCs w:val="22"/>
        </w:rPr>
        <w:t> </w:t>
      </w:r>
      <w:r>
        <w:rPr>
          <w:rFonts w:ascii="宋体" w:hAnsi="宋体" w:cs="宋体" w:eastAsia="宋体" w:hint="default"/>
          <w:b/>
          <w:bCs/>
          <w:sz w:val="22"/>
          <w:szCs w:val="22"/>
        </w:rPr>
        <w:t>本</w:t>
      </w:r>
      <w:r>
        <w:rPr>
          <w:rFonts w:ascii="宋体" w:hAnsi="宋体" w:cs="宋体" w:eastAsia="宋体" w:hint="default"/>
          <w:b/>
          <w:bCs/>
          <w:spacing w:val="-72"/>
          <w:sz w:val="22"/>
          <w:szCs w:val="22"/>
        </w:rPr>
        <w:t> </w:t>
      </w:r>
      <w:r>
        <w:rPr>
          <w:rFonts w:ascii="宋体" w:hAnsi="宋体" w:cs="宋体" w:eastAsia="宋体" w:hint="default"/>
          <w:b/>
          <w:bCs/>
          <w:sz w:val="22"/>
          <w:szCs w:val="22"/>
        </w:rPr>
        <w:t>情</w:t>
      </w:r>
      <w:r>
        <w:rPr>
          <w:rFonts w:ascii="宋体" w:hAnsi="宋体" w:cs="宋体" w:eastAsia="宋体" w:hint="default"/>
          <w:b/>
          <w:bCs/>
          <w:spacing w:val="-72"/>
          <w:sz w:val="22"/>
          <w:szCs w:val="22"/>
        </w:rPr>
        <w:t> </w:t>
      </w:r>
      <w:r>
        <w:rPr>
          <w:rFonts w:ascii="宋体" w:hAnsi="宋体" w:cs="宋体" w:eastAsia="宋体" w:hint="default"/>
          <w:b/>
          <w:bCs/>
          <w:sz w:val="22"/>
          <w:szCs w:val="22"/>
        </w:rPr>
        <w:t>况</w:t>
      </w:r>
      <w:r>
        <w:rPr>
          <w:rFonts w:ascii="宋体" w:hAnsi="宋体" w:cs="宋体" w:eastAsia="宋体" w:hint="default"/>
          <w:sz w:val="22"/>
          <w:szCs w:val="22"/>
        </w:rPr>
      </w:r>
    </w:p>
    <w:p>
      <w:pPr>
        <w:spacing w:line="288" w:lineRule="auto" w:before="110"/>
        <w:ind w:left="202" w:right="94" w:firstLine="439"/>
        <w:jc w:val="left"/>
        <w:rPr>
          <w:rFonts w:ascii="Times New Roman" w:hAnsi="Times New Roman" w:cs="Times New Roman" w:eastAsia="Times New Roman" w:hint="default"/>
          <w:sz w:val="22"/>
          <w:szCs w:val="22"/>
        </w:rPr>
      </w:pPr>
      <w:r>
        <w:rPr>
          <w:rFonts w:ascii="宋体" w:hAnsi="宋体" w:cs="宋体" w:eastAsia="宋体" w:hint="default"/>
          <w:spacing w:val="-4"/>
          <w:sz w:val="22"/>
          <w:szCs w:val="22"/>
        </w:rPr>
        <w:t>同方股份有限公司（原名“清华同方股份有限公司”，自</w:t>
      </w:r>
      <w:r>
        <w:rPr>
          <w:rFonts w:ascii="宋体" w:hAnsi="宋体" w:cs="宋体" w:eastAsia="宋体" w:hint="default"/>
          <w:spacing w:val="-51"/>
          <w:sz w:val="22"/>
          <w:szCs w:val="22"/>
        </w:rPr>
        <w:t> </w:t>
      </w:r>
      <w:r>
        <w:rPr>
          <w:rFonts w:ascii="Times New Roman" w:hAnsi="Times New Roman" w:cs="Times New Roman" w:eastAsia="Times New Roman" w:hint="default"/>
          <w:sz w:val="22"/>
          <w:szCs w:val="22"/>
        </w:rPr>
        <w:t>2006</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5</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月</w:t>
      </w:r>
      <w:r>
        <w:rPr>
          <w:rFonts w:ascii="宋体" w:hAnsi="宋体" w:cs="宋体" w:eastAsia="宋体" w:hint="default"/>
          <w:spacing w:val="-52"/>
          <w:sz w:val="22"/>
          <w:szCs w:val="22"/>
        </w:rPr>
        <w:t> </w:t>
      </w:r>
      <w:r>
        <w:rPr>
          <w:rFonts w:ascii="Times New Roman" w:hAnsi="Times New Roman" w:cs="Times New Roman" w:eastAsia="Times New Roman" w:hint="default"/>
          <w:sz w:val="22"/>
          <w:szCs w:val="22"/>
        </w:rPr>
        <w:t>30 </w:t>
      </w:r>
      <w:r>
        <w:rPr>
          <w:rFonts w:ascii="宋体" w:hAnsi="宋体" w:cs="宋体" w:eastAsia="宋体" w:hint="default"/>
          <w:sz w:val="22"/>
          <w:szCs w:val="22"/>
        </w:rPr>
        <w:t>日起更名为</w:t>
      </w:r>
      <w:r>
        <w:rPr>
          <w:rFonts w:ascii="宋体" w:hAnsi="宋体" w:cs="宋体" w:eastAsia="宋体" w:hint="default"/>
          <w:w w:val="100"/>
          <w:sz w:val="22"/>
          <w:szCs w:val="22"/>
        </w:rPr>
        <w:t> </w:t>
      </w:r>
      <w:r>
        <w:rPr>
          <w:rFonts w:ascii="宋体" w:hAnsi="宋体" w:cs="宋体" w:eastAsia="宋体" w:hint="default"/>
          <w:spacing w:val="-3"/>
          <w:sz w:val="22"/>
          <w:szCs w:val="22"/>
        </w:rPr>
        <w:t>“同方股份有限公司”，以下简称“公司”或“本公司”）是经国家体改委和国家教委批</w:t>
      </w:r>
      <w:r>
        <w:rPr>
          <w:rFonts w:ascii="宋体" w:hAnsi="宋体" w:cs="宋体" w:eastAsia="宋体" w:hint="default"/>
          <w:spacing w:val="-70"/>
          <w:sz w:val="22"/>
          <w:szCs w:val="22"/>
        </w:rPr>
        <w:t> </w:t>
      </w:r>
      <w:r>
        <w:rPr>
          <w:rFonts w:ascii="宋体" w:hAnsi="宋体" w:cs="宋体" w:eastAsia="宋体" w:hint="default"/>
          <w:spacing w:val="-70"/>
          <w:sz w:val="22"/>
          <w:szCs w:val="22"/>
        </w:rPr>
      </w:r>
      <w:r>
        <w:rPr>
          <w:rFonts w:ascii="宋体" w:hAnsi="宋体" w:cs="宋体" w:eastAsia="宋体" w:hint="default"/>
          <w:spacing w:val="-3"/>
          <w:sz w:val="22"/>
          <w:szCs w:val="22"/>
        </w:rPr>
        <w:t>准，由清华控股有限公司（原“北京清华大学企业集团”）作为主要发起人，以社会募集</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6"/>
          <w:sz w:val="22"/>
          <w:szCs w:val="22"/>
        </w:rPr>
        <w:t>方式设立的股份有限公司。公司于</w:t>
      </w:r>
      <w:r>
        <w:rPr>
          <w:rFonts w:ascii="宋体" w:hAnsi="宋体" w:cs="宋体" w:eastAsia="宋体" w:hint="default"/>
          <w:spacing w:val="-46"/>
          <w:sz w:val="22"/>
          <w:szCs w:val="22"/>
        </w:rPr>
        <w:t> </w:t>
      </w:r>
      <w:r>
        <w:rPr>
          <w:rFonts w:ascii="Times New Roman" w:hAnsi="Times New Roman" w:cs="Times New Roman" w:eastAsia="Times New Roman" w:hint="default"/>
          <w:sz w:val="22"/>
          <w:szCs w:val="22"/>
        </w:rPr>
        <w:t>1997</w:t>
      </w:r>
      <w:r>
        <w:rPr>
          <w:rFonts w:ascii="Times New Roman" w:hAnsi="Times New Roman" w:cs="Times New Roman" w:eastAsia="Times New Roman" w:hint="default"/>
          <w:spacing w:val="9"/>
          <w:sz w:val="22"/>
          <w:szCs w:val="22"/>
        </w:rPr>
        <w:t> </w:t>
      </w:r>
      <w:r>
        <w:rPr>
          <w:rFonts w:ascii="宋体" w:hAnsi="宋体" w:cs="宋体" w:eastAsia="宋体" w:hint="default"/>
          <w:sz w:val="22"/>
          <w:szCs w:val="22"/>
        </w:rPr>
        <w:t>年</w:t>
      </w:r>
      <w:r>
        <w:rPr>
          <w:rFonts w:ascii="宋体" w:hAnsi="宋体" w:cs="宋体" w:eastAsia="宋体" w:hint="default"/>
          <w:spacing w:val="-46"/>
          <w:sz w:val="22"/>
          <w:szCs w:val="22"/>
        </w:rPr>
        <w:t> </w:t>
      </w:r>
      <w:r>
        <w:rPr>
          <w:rFonts w:ascii="Times New Roman" w:hAnsi="Times New Roman" w:cs="Times New Roman" w:eastAsia="Times New Roman" w:hint="default"/>
          <w:sz w:val="22"/>
          <w:szCs w:val="22"/>
        </w:rPr>
        <w:t>6</w:t>
      </w:r>
      <w:r>
        <w:rPr>
          <w:rFonts w:ascii="Times New Roman" w:hAnsi="Times New Roman" w:cs="Times New Roman" w:eastAsia="Times New Roman" w:hint="default"/>
          <w:spacing w:val="6"/>
          <w:sz w:val="22"/>
          <w:szCs w:val="22"/>
        </w:rPr>
        <w:t> </w:t>
      </w:r>
      <w:r>
        <w:rPr>
          <w:rFonts w:ascii="宋体" w:hAnsi="宋体" w:cs="宋体" w:eastAsia="宋体" w:hint="default"/>
          <w:spacing w:val="-8"/>
          <w:sz w:val="22"/>
          <w:szCs w:val="22"/>
        </w:rPr>
        <w:t>月经中国证券监督管理委员会（以下简称“中</w:t>
      </w:r>
      <w:r>
        <w:rPr>
          <w:rFonts w:ascii="宋体" w:hAnsi="宋体" w:cs="宋体" w:eastAsia="宋体" w:hint="default"/>
          <w:spacing w:val="-88"/>
          <w:sz w:val="22"/>
          <w:szCs w:val="22"/>
        </w:rPr>
        <w:t> </w:t>
      </w:r>
      <w:r>
        <w:rPr>
          <w:rFonts w:ascii="宋体" w:hAnsi="宋体" w:cs="宋体" w:eastAsia="宋体" w:hint="default"/>
          <w:spacing w:val="-88"/>
          <w:sz w:val="22"/>
          <w:szCs w:val="22"/>
        </w:rPr>
      </w:r>
      <w:r>
        <w:rPr>
          <w:rFonts w:ascii="宋体" w:hAnsi="宋体" w:cs="宋体" w:eastAsia="宋体" w:hint="default"/>
          <w:sz w:val="22"/>
          <w:szCs w:val="22"/>
        </w:rPr>
        <w:t>国证监会”）证监发</w:t>
      </w:r>
      <w:r>
        <w:rPr>
          <w:rFonts w:ascii="Times New Roman" w:hAnsi="Times New Roman" w:cs="Times New Roman" w:eastAsia="Times New Roman" w:hint="default"/>
          <w:sz w:val="22"/>
          <w:szCs w:val="22"/>
        </w:rPr>
        <w:t>[1997]316 </w:t>
      </w:r>
      <w:r>
        <w:rPr>
          <w:rFonts w:ascii="宋体" w:hAnsi="宋体" w:cs="宋体" w:eastAsia="宋体" w:hint="default"/>
          <w:sz w:val="22"/>
          <w:szCs w:val="22"/>
        </w:rPr>
        <w:t>号文批准，首次发行人民币普通股 </w:t>
      </w:r>
      <w:r>
        <w:rPr>
          <w:rFonts w:ascii="Times New Roman" w:hAnsi="Times New Roman" w:cs="Times New Roman" w:eastAsia="Times New Roman" w:hint="default"/>
          <w:sz w:val="22"/>
          <w:szCs w:val="22"/>
        </w:rPr>
        <w:t>110,700,000</w:t>
      </w:r>
      <w:r>
        <w:rPr>
          <w:rFonts w:ascii="Times New Roman" w:hAnsi="Times New Roman" w:cs="Times New Roman" w:eastAsia="Times New Roman" w:hint="default"/>
          <w:spacing w:val="-4"/>
          <w:sz w:val="22"/>
          <w:szCs w:val="22"/>
        </w:rPr>
        <w:t> </w:t>
      </w:r>
      <w:r>
        <w:rPr>
          <w:rFonts w:ascii="宋体" w:hAnsi="宋体" w:cs="宋体" w:eastAsia="宋体" w:hint="default"/>
          <w:sz w:val="22"/>
          <w:szCs w:val="22"/>
        </w:rPr>
        <w:t>股，其中，</w:t>
      </w:r>
      <w:r>
        <w:rPr>
          <w:rFonts w:ascii="宋体" w:hAnsi="宋体" w:cs="宋体" w:eastAsia="宋体" w:hint="default"/>
          <w:w w:val="100"/>
          <w:sz w:val="22"/>
          <w:szCs w:val="22"/>
        </w:rPr>
        <w:t> </w:t>
      </w:r>
      <w:r>
        <w:rPr>
          <w:rFonts w:ascii="宋体" w:hAnsi="宋体" w:cs="宋体" w:eastAsia="宋体" w:hint="default"/>
          <w:sz w:val="22"/>
          <w:szCs w:val="22"/>
        </w:rPr>
        <w:t>发起人持有 </w:t>
      </w:r>
      <w:r>
        <w:rPr>
          <w:rFonts w:ascii="Times New Roman" w:hAnsi="Times New Roman" w:cs="Times New Roman" w:eastAsia="Times New Roman" w:hint="default"/>
          <w:sz w:val="22"/>
          <w:szCs w:val="22"/>
        </w:rPr>
        <w:t>68,700,000 </w:t>
      </w:r>
      <w:r>
        <w:rPr>
          <w:rFonts w:ascii="宋体" w:hAnsi="宋体" w:cs="宋体" w:eastAsia="宋体" w:hint="default"/>
          <w:sz w:val="22"/>
          <w:szCs w:val="22"/>
        </w:rPr>
        <w:t>股，占公司股份总数的 </w:t>
      </w:r>
      <w:r>
        <w:rPr>
          <w:rFonts w:ascii="Times New Roman" w:hAnsi="Times New Roman" w:cs="Times New Roman" w:eastAsia="Times New Roman" w:hint="default"/>
          <w:sz w:val="22"/>
          <w:szCs w:val="22"/>
        </w:rPr>
        <w:t>62.06%</w:t>
      </w:r>
      <w:r>
        <w:rPr>
          <w:rFonts w:ascii="宋体" w:hAnsi="宋体" w:cs="宋体" w:eastAsia="宋体" w:hint="default"/>
          <w:sz w:val="22"/>
          <w:szCs w:val="22"/>
        </w:rPr>
        <w:t>，向境内社会公众发行</w:t>
      </w:r>
      <w:r>
        <w:rPr>
          <w:rFonts w:ascii="宋体" w:hAnsi="宋体" w:cs="宋体" w:eastAsia="宋体" w:hint="default"/>
          <w:spacing w:val="-39"/>
          <w:sz w:val="22"/>
          <w:szCs w:val="22"/>
        </w:rPr>
        <w:t> </w:t>
      </w:r>
      <w:r>
        <w:rPr>
          <w:rFonts w:ascii="Times New Roman" w:hAnsi="Times New Roman" w:cs="Times New Roman" w:eastAsia="Times New Roman" w:hint="default"/>
          <w:sz w:val="22"/>
          <w:szCs w:val="22"/>
        </w:rPr>
        <w:t>42,000,000</w:t>
      </w:r>
    </w:p>
    <w:p>
      <w:pPr>
        <w:spacing w:before="4"/>
        <w:ind w:left="202" w:right="0" w:firstLine="0"/>
        <w:jc w:val="both"/>
        <w:rPr>
          <w:rFonts w:ascii="宋体" w:hAnsi="宋体" w:cs="宋体" w:eastAsia="宋体" w:hint="default"/>
          <w:sz w:val="22"/>
          <w:szCs w:val="22"/>
        </w:rPr>
      </w:pPr>
      <w:r>
        <w:rPr>
          <w:rFonts w:ascii="宋体" w:hAnsi="宋体" w:cs="宋体" w:eastAsia="宋体" w:hint="default"/>
          <w:sz w:val="22"/>
          <w:szCs w:val="22"/>
        </w:rPr>
        <w:t>股，占公司股份总数的</w:t>
      </w:r>
      <w:r>
        <w:rPr>
          <w:rFonts w:ascii="宋体" w:hAnsi="宋体" w:cs="宋体" w:eastAsia="宋体" w:hint="default"/>
          <w:spacing w:val="-45"/>
          <w:sz w:val="22"/>
          <w:szCs w:val="22"/>
        </w:rPr>
        <w:t> </w:t>
      </w:r>
      <w:r>
        <w:rPr>
          <w:rFonts w:ascii="Times New Roman" w:hAnsi="Times New Roman" w:cs="Times New Roman" w:eastAsia="Times New Roman" w:hint="default"/>
          <w:sz w:val="22"/>
          <w:szCs w:val="22"/>
        </w:rPr>
        <w:t>37.94%</w:t>
      </w:r>
      <w:r>
        <w:rPr>
          <w:rFonts w:ascii="宋体" w:hAnsi="宋体" w:cs="宋体" w:eastAsia="宋体" w:hint="default"/>
          <w:sz w:val="22"/>
          <w:szCs w:val="22"/>
        </w:rPr>
        <w:t>。公司于</w:t>
      </w:r>
      <w:r>
        <w:rPr>
          <w:rFonts w:ascii="宋体" w:hAnsi="宋体" w:cs="宋体" w:eastAsia="宋体" w:hint="default"/>
          <w:spacing w:val="-46"/>
          <w:sz w:val="22"/>
          <w:szCs w:val="22"/>
        </w:rPr>
        <w:t> </w:t>
      </w:r>
      <w:r>
        <w:rPr>
          <w:rFonts w:ascii="Times New Roman" w:hAnsi="Times New Roman" w:cs="Times New Roman" w:eastAsia="Times New Roman" w:hint="default"/>
          <w:sz w:val="22"/>
          <w:szCs w:val="22"/>
        </w:rPr>
        <w:t>1997</w:t>
      </w:r>
      <w:r>
        <w:rPr>
          <w:rFonts w:ascii="Times New Roman" w:hAnsi="Times New Roman" w:cs="Times New Roman" w:eastAsia="Times New Roman" w:hint="default"/>
          <w:spacing w:val="10"/>
          <w:sz w:val="22"/>
          <w:szCs w:val="22"/>
        </w:rPr>
        <w:t> </w:t>
      </w:r>
      <w:r>
        <w:rPr>
          <w:rFonts w:ascii="宋体" w:hAnsi="宋体" w:cs="宋体" w:eastAsia="宋体" w:hint="default"/>
          <w:sz w:val="22"/>
          <w:szCs w:val="22"/>
        </w:rPr>
        <w:t>年</w:t>
      </w:r>
      <w:r>
        <w:rPr>
          <w:rFonts w:ascii="宋体" w:hAnsi="宋体" w:cs="宋体" w:eastAsia="宋体" w:hint="default"/>
          <w:spacing w:val="-48"/>
          <w:sz w:val="22"/>
          <w:szCs w:val="22"/>
        </w:rPr>
        <w:t> </w:t>
      </w:r>
      <w:r>
        <w:rPr>
          <w:rFonts w:ascii="Times New Roman" w:hAnsi="Times New Roman" w:cs="Times New Roman" w:eastAsia="Times New Roman" w:hint="default"/>
          <w:sz w:val="22"/>
          <w:szCs w:val="22"/>
        </w:rPr>
        <w:t>6</w:t>
      </w:r>
      <w:r>
        <w:rPr>
          <w:rFonts w:ascii="Times New Roman" w:hAnsi="Times New Roman" w:cs="Times New Roman" w:eastAsia="Times New Roman" w:hint="default"/>
          <w:spacing w:val="9"/>
          <w:sz w:val="22"/>
          <w:szCs w:val="22"/>
        </w:rPr>
        <w:t> </w:t>
      </w:r>
      <w:r>
        <w:rPr>
          <w:rFonts w:ascii="宋体" w:hAnsi="宋体" w:cs="宋体" w:eastAsia="宋体" w:hint="default"/>
          <w:sz w:val="22"/>
          <w:szCs w:val="22"/>
        </w:rPr>
        <w:t>月</w:t>
      </w:r>
      <w:r>
        <w:rPr>
          <w:rFonts w:ascii="宋体" w:hAnsi="宋体" w:cs="宋体" w:eastAsia="宋体" w:hint="default"/>
          <w:spacing w:val="-46"/>
          <w:sz w:val="22"/>
          <w:szCs w:val="22"/>
        </w:rPr>
        <w:t> </w:t>
      </w:r>
      <w:r>
        <w:rPr>
          <w:rFonts w:ascii="Times New Roman" w:hAnsi="Times New Roman" w:cs="Times New Roman" w:eastAsia="Times New Roman" w:hint="default"/>
          <w:sz w:val="22"/>
          <w:szCs w:val="22"/>
        </w:rPr>
        <w:t>25</w:t>
      </w:r>
      <w:r>
        <w:rPr>
          <w:rFonts w:ascii="Times New Roman" w:hAnsi="Times New Roman" w:cs="Times New Roman" w:eastAsia="Times New Roman" w:hint="default"/>
          <w:spacing w:val="9"/>
          <w:sz w:val="22"/>
          <w:szCs w:val="22"/>
        </w:rPr>
        <w:t> </w:t>
      </w:r>
      <w:r>
        <w:rPr>
          <w:rFonts w:ascii="宋体" w:hAnsi="宋体" w:cs="宋体" w:eastAsia="宋体" w:hint="default"/>
          <w:sz w:val="22"/>
          <w:szCs w:val="22"/>
        </w:rPr>
        <w:t>日在国家工商行政管理局登记注</w:t>
      </w:r>
    </w:p>
    <w:p>
      <w:pPr>
        <w:spacing w:before="53"/>
        <w:ind w:left="202" w:right="0" w:firstLine="0"/>
        <w:jc w:val="both"/>
        <w:rPr>
          <w:rFonts w:ascii="宋体" w:hAnsi="宋体" w:cs="宋体" w:eastAsia="宋体" w:hint="default"/>
          <w:sz w:val="22"/>
          <w:szCs w:val="22"/>
        </w:rPr>
      </w:pPr>
      <w:r>
        <w:rPr>
          <w:rFonts w:ascii="宋体" w:hAnsi="宋体" w:cs="宋体" w:eastAsia="宋体" w:hint="default"/>
          <w:spacing w:val="-4"/>
          <w:sz w:val="22"/>
          <w:szCs w:val="22"/>
        </w:rPr>
        <w:t>册，设立时注册资本为人民币</w:t>
      </w:r>
      <w:r>
        <w:rPr>
          <w:rFonts w:ascii="宋体" w:hAnsi="宋体" w:cs="宋体" w:eastAsia="宋体" w:hint="default"/>
          <w:spacing w:val="-49"/>
          <w:sz w:val="22"/>
          <w:szCs w:val="22"/>
        </w:rPr>
        <w:t> </w:t>
      </w:r>
      <w:r>
        <w:rPr>
          <w:rFonts w:ascii="Times New Roman" w:hAnsi="Times New Roman" w:cs="Times New Roman" w:eastAsia="Times New Roman" w:hint="default"/>
          <w:sz w:val="22"/>
          <w:szCs w:val="22"/>
        </w:rPr>
        <w:t>110,700,000</w:t>
      </w:r>
      <w:r>
        <w:rPr>
          <w:rFonts w:ascii="Times New Roman" w:hAnsi="Times New Roman" w:cs="Times New Roman" w:eastAsia="Times New Roman" w:hint="default"/>
          <w:spacing w:val="2"/>
          <w:sz w:val="22"/>
          <w:szCs w:val="22"/>
        </w:rPr>
        <w:t> </w:t>
      </w:r>
      <w:r>
        <w:rPr>
          <w:rFonts w:ascii="宋体" w:hAnsi="宋体" w:cs="宋体" w:eastAsia="宋体" w:hint="default"/>
          <w:spacing w:val="-4"/>
          <w:sz w:val="22"/>
          <w:szCs w:val="22"/>
        </w:rPr>
        <w:t>元。公司首次发行的社会公众股于</w:t>
      </w:r>
      <w:r>
        <w:rPr>
          <w:rFonts w:ascii="宋体" w:hAnsi="宋体" w:cs="宋体" w:eastAsia="宋体" w:hint="default"/>
          <w:spacing w:val="-48"/>
          <w:sz w:val="22"/>
          <w:szCs w:val="22"/>
        </w:rPr>
        <w:t> </w:t>
      </w:r>
      <w:r>
        <w:rPr>
          <w:rFonts w:ascii="Times New Roman" w:hAnsi="Times New Roman" w:cs="Times New Roman" w:eastAsia="Times New Roman" w:hint="default"/>
          <w:sz w:val="22"/>
          <w:szCs w:val="22"/>
        </w:rPr>
        <w:t>1997</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年</w:t>
      </w:r>
      <w:r>
        <w:rPr>
          <w:rFonts w:ascii="宋体" w:hAnsi="宋体" w:cs="宋体" w:eastAsia="宋体" w:hint="default"/>
          <w:spacing w:val="-49"/>
          <w:sz w:val="22"/>
          <w:szCs w:val="22"/>
        </w:rPr>
        <w:t> </w:t>
      </w:r>
      <w:r>
        <w:rPr>
          <w:rFonts w:ascii="Times New Roman" w:hAnsi="Times New Roman" w:cs="Times New Roman" w:eastAsia="Times New Roman" w:hint="default"/>
          <w:sz w:val="22"/>
          <w:szCs w:val="22"/>
        </w:rPr>
        <w:t>6</w:t>
      </w:r>
      <w:r>
        <w:rPr>
          <w:rFonts w:ascii="Times New Roman" w:hAnsi="Times New Roman" w:cs="Times New Roman" w:eastAsia="Times New Roman" w:hint="default"/>
          <w:spacing w:val="6"/>
          <w:sz w:val="22"/>
          <w:szCs w:val="22"/>
        </w:rPr>
        <w:t> </w:t>
      </w:r>
      <w:r>
        <w:rPr>
          <w:rFonts w:ascii="宋体" w:hAnsi="宋体" w:cs="宋体" w:eastAsia="宋体" w:hint="default"/>
          <w:sz w:val="22"/>
          <w:szCs w:val="22"/>
        </w:rPr>
        <w:t>月</w:t>
      </w:r>
    </w:p>
    <w:p>
      <w:pPr>
        <w:spacing w:before="50"/>
        <w:ind w:left="202" w:right="0" w:firstLine="0"/>
        <w:jc w:val="both"/>
        <w:rPr>
          <w:rFonts w:ascii="宋体" w:hAnsi="宋体" w:cs="宋体" w:eastAsia="宋体" w:hint="default"/>
          <w:sz w:val="22"/>
          <w:szCs w:val="22"/>
        </w:rPr>
      </w:pPr>
      <w:r>
        <w:rPr>
          <w:rFonts w:ascii="Times New Roman" w:hAnsi="Times New Roman" w:cs="Times New Roman" w:eastAsia="Times New Roman" w:hint="default"/>
          <w:sz w:val="22"/>
          <w:szCs w:val="22"/>
        </w:rPr>
        <w:t>27 </w:t>
      </w:r>
      <w:r>
        <w:rPr>
          <w:rFonts w:ascii="宋体" w:hAnsi="宋体" w:cs="宋体" w:eastAsia="宋体" w:hint="default"/>
          <w:sz w:val="22"/>
          <w:szCs w:val="22"/>
        </w:rPr>
        <w:t>日在上海证券交易所挂牌交易。</w:t>
      </w:r>
    </w:p>
    <w:p>
      <w:pPr>
        <w:spacing w:before="113"/>
        <w:ind w:left="641" w:right="94" w:firstLine="0"/>
        <w:jc w:val="left"/>
        <w:rPr>
          <w:rFonts w:ascii="宋体" w:hAnsi="宋体" w:cs="宋体" w:eastAsia="宋体" w:hint="default"/>
          <w:sz w:val="22"/>
          <w:szCs w:val="22"/>
        </w:rPr>
      </w:pPr>
      <w:r>
        <w:rPr>
          <w:rFonts w:ascii="宋体" w:hAnsi="宋体" w:cs="宋体" w:eastAsia="宋体" w:hint="default"/>
          <w:sz w:val="22"/>
          <w:szCs w:val="22"/>
        </w:rPr>
        <w:t>公司于 </w:t>
      </w:r>
      <w:r>
        <w:rPr>
          <w:rFonts w:ascii="Times New Roman" w:hAnsi="Times New Roman" w:cs="Times New Roman" w:eastAsia="Times New Roman" w:hint="default"/>
          <w:sz w:val="22"/>
          <w:szCs w:val="22"/>
        </w:rPr>
        <w:t>1998  </w:t>
      </w:r>
      <w:r>
        <w:rPr>
          <w:rFonts w:ascii="宋体" w:hAnsi="宋体" w:cs="宋体" w:eastAsia="宋体" w:hint="default"/>
          <w:sz w:val="22"/>
          <w:szCs w:val="22"/>
        </w:rPr>
        <w:t>年 </w:t>
      </w:r>
      <w:r>
        <w:rPr>
          <w:rFonts w:ascii="Times New Roman" w:hAnsi="Times New Roman" w:cs="Times New Roman" w:eastAsia="Times New Roman" w:hint="default"/>
          <w:sz w:val="22"/>
          <w:szCs w:val="22"/>
        </w:rPr>
        <w:t>1  </w:t>
      </w:r>
      <w:r>
        <w:rPr>
          <w:rFonts w:ascii="宋体" w:hAnsi="宋体" w:cs="宋体" w:eastAsia="宋体" w:hint="default"/>
          <w:sz w:val="22"/>
          <w:szCs w:val="22"/>
        </w:rPr>
        <w:t>月以 </w:t>
      </w:r>
      <w:r>
        <w:rPr>
          <w:rFonts w:ascii="Times New Roman" w:hAnsi="Times New Roman" w:cs="Times New Roman" w:eastAsia="Times New Roman" w:hint="default"/>
          <w:sz w:val="22"/>
          <w:szCs w:val="22"/>
        </w:rPr>
        <w:t>10:5  </w:t>
      </w:r>
      <w:r>
        <w:rPr>
          <w:rFonts w:ascii="Times New Roman" w:hAnsi="Times New Roman" w:cs="Times New Roman" w:eastAsia="Times New Roman" w:hint="default"/>
          <w:spacing w:val="22"/>
          <w:sz w:val="22"/>
          <w:szCs w:val="22"/>
        </w:rPr>
        <w:t> </w:t>
      </w:r>
      <w:r>
        <w:rPr>
          <w:rFonts w:ascii="宋体" w:hAnsi="宋体" w:cs="宋体" w:eastAsia="宋体" w:hint="default"/>
          <w:sz w:val="22"/>
          <w:szCs w:val="22"/>
        </w:rPr>
        <w:t>的比例实施资本公积金转增股本，致使股份总数增至</w:t>
      </w:r>
    </w:p>
    <w:p>
      <w:pPr>
        <w:spacing w:before="50"/>
        <w:ind w:left="202" w:right="0" w:firstLine="0"/>
        <w:jc w:val="both"/>
        <w:rPr>
          <w:rFonts w:ascii="宋体" w:hAnsi="宋体" w:cs="宋体" w:eastAsia="宋体" w:hint="default"/>
          <w:sz w:val="22"/>
          <w:szCs w:val="22"/>
        </w:rPr>
      </w:pPr>
      <w:r>
        <w:rPr>
          <w:rFonts w:ascii="Times New Roman" w:hAnsi="Times New Roman" w:cs="Times New Roman" w:eastAsia="Times New Roman" w:hint="default"/>
          <w:sz w:val="22"/>
          <w:szCs w:val="22"/>
        </w:rPr>
        <w:t>166,050,000 </w:t>
      </w:r>
      <w:r>
        <w:rPr>
          <w:rFonts w:ascii="宋体" w:hAnsi="宋体" w:cs="宋体" w:eastAsia="宋体" w:hint="default"/>
          <w:sz w:val="22"/>
          <w:szCs w:val="22"/>
        </w:rPr>
        <w:t>股，其中，发起人持有 </w:t>
      </w:r>
      <w:r>
        <w:rPr>
          <w:rFonts w:ascii="Times New Roman" w:hAnsi="Times New Roman" w:cs="Times New Roman" w:eastAsia="Times New Roman" w:hint="default"/>
          <w:sz w:val="22"/>
          <w:szCs w:val="22"/>
        </w:rPr>
        <w:t>103,050,000 </w:t>
      </w:r>
      <w:r>
        <w:rPr>
          <w:rFonts w:ascii="宋体" w:hAnsi="宋体" w:cs="宋体" w:eastAsia="宋体" w:hint="default"/>
          <w:sz w:val="22"/>
          <w:szCs w:val="22"/>
        </w:rPr>
        <w:t>股，占公司股份总数的</w:t>
      </w:r>
      <w:r>
        <w:rPr>
          <w:rFonts w:ascii="宋体" w:hAnsi="宋体" w:cs="宋体" w:eastAsia="宋体" w:hint="default"/>
          <w:spacing w:val="14"/>
          <w:sz w:val="22"/>
          <w:szCs w:val="22"/>
        </w:rPr>
        <w:t> </w:t>
      </w:r>
      <w:r>
        <w:rPr>
          <w:rFonts w:ascii="Times New Roman" w:hAnsi="Times New Roman" w:cs="Times New Roman" w:eastAsia="Times New Roman" w:hint="default"/>
          <w:sz w:val="22"/>
          <w:szCs w:val="22"/>
        </w:rPr>
        <w:t>62.06%</w:t>
      </w:r>
      <w:r>
        <w:rPr>
          <w:rFonts w:ascii="宋体" w:hAnsi="宋体" w:cs="宋体" w:eastAsia="宋体" w:hint="default"/>
          <w:sz w:val="22"/>
          <w:szCs w:val="22"/>
        </w:rPr>
        <w:t>；公司于</w:t>
      </w:r>
    </w:p>
    <w:p>
      <w:pPr>
        <w:spacing w:before="53"/>
        <w:ind w:left="202" w:right="0" w:firstLine="0"/>
        <w:jc w:val="both"/>
        <w:rPr>
          <w:rFonts w:ascii="宋体" w:hAnsi="宋体" w:cs="宋体" w:eastAsia="宋体" w:hint="default"/>
          <w:sz w:val="22"/>
          <w:szCs w:val="22"/>
        </w:rPr>
      </w:pPr>
      <w:r>
        <w:rPr>
          <w:rFonts w:ascii="Times New Roman" w:hAnsi="Times New Roman" w:cs="Times New Roman" w:eastAsia="Times New Roman" w:hint="default"/>
          <w:sz w:val="22"/>
          <w:szCs w:val="22"/>
        </w:rPr>
        <w:t>1999</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6</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月以</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10:3</w:t>
      </w:r>
      <w:r>
        <w:rPr>
          <w:rFonts w:ascii="Times New Roman" w:hAnsi="Times New Roman" w:cs="Times New Roman" w:eastAsia="Times New Roman" w:hint="default"/>
          <w:spacing w:val="2"/>
          <w:sz w:val="22"/>
          <w:szCs w:val="22"/>
        </w:rPr>
        <w:t> </w:t>
      </w:r>
      <w:r>
        <w:rPr>
          <w:rFonts w:ascii="宋体" w:hAnsi="宋体" w:cs="宋体" w:eastAsia="宋体" w:hint="default"/>
          <w:spacing w:val="-3"/>
          <w:sz w:val="22"/>
          <w:szCs w:val="22"/>
        </w:rPr>
        <w:t>的比例实施配股，配股后股份总数增至</w:t>
      </w:r>
      <w:r>
        <w:rPr>
          <w:rFonts w:ascii="宋体" w:hAnsi="宋体" w:cs="宋体" w:eastAsia="宋体" w:hint="default"/>
          <w:spacing w:val="-51"/>
          <w:sz w:val="22"/>
          <w:szCs w:val="22"/>
        </w:rPr>
        <w:t> </w:t>
      </w:r>
      <w:r>
        <w:rPr>
          <w:rFonts w:ascii="Times New Roman" w:hAnsi="Times New Roman" w:cs="Times New Roman" w:eastAsia="Times New Roman" w:hint="default"/>
          <w:sz w:val="22"/>
          <w:szCs w:val="22"/>
        </w:rPr>
        <w:t>189,800,000</w:t>
      </w:r>
      <w:r>
        <w:rPr>
          <w:rFonts w:ascii="Times New Roman" w:hAnsi="Times New Roman" w:cs="Times New Roman" w:eastAsia="Times New Roman" w:hint="default"/>
          <w:spacing w:val="5"/>
          <w:sz w:val="22"/>
          <w:szCs w:val="22"/>
        </w:rPr>
        <w:t> </w:t>
      </w:r>
      <w:r>
        <w:rPr>
          <w:rFonts w:ascii="宋体" w:hAnsi="宋体" w:cs="宋体" w:eastAsia="宋体" w:hint="default"/>
          <w:spacing w:val="-8"/>
          <w:sz w:val="22"/>
          <w:szCs w:val="22"/>
        </w:rPr>
        <w:t>股，其中，发起人</w:t>
      </w:r>
    </w:p>
    <w:p>
      <w:pPr>
        <w:spacing w:line="285" w:lineRule="auto" w:before="53"/>
        <w:ind w:left="202" w:right="100" w:firstLine="0"/>
        <w:jc w:val="both"/>
        <w:rPr>
          <w:rFonts w:ascii="宋体" w:hAnsi="宋体" w:cs="宋体" w:eastAsia="宋体" w:hint="default"/>
          <w:sz w:val="22"/>
          <w:szCs w:val="22"/>
        </w:rPr>
      </w:pPr>
      <w:r>
        <w:rPr>
          <w:rFonts w:ascii="宋体" w:hAnsi="宋体" w:cs="宋体" w:eastAsia="宋体" w:hint="default"/>
          <w:sz w:val="22"/>
          <w:szCs w:val="22"/>
        </w:rPr>
        <w:t>持有</w:t>
      </w:r>
      <w:r>
        <w:rPr>
          <w:rFonts w:ascii="宋体" w:hAnsi="宋体" w:cs="宋体" w:eastAsia="宋体" w:hint="default"/>
          <w:spacing w:val="-46"/>
          <w:sz w:val="22"/>
          <w:szCs w:val="22"/>
        </w:rPr>
        <w:t> </w:t>
      </w:r>
      <w:r>
        <w:rPr>
          <w:rFonts w:ascii="Times New Roman" w:hAnsi="Times New Roman" w:cs="Times New Roman" w:eastAsia="Times New Roman" w:hint="default"/>
          <w:sz w:val="22"/>
          <w:szCs w:val="22"/>
        </w:rPr>
        <w:t>107,900,000</w:t>
      </w:r>
      <w:r>
        <w:rPr>
          <w:rFonts w:ascii="Times New Roman" w:hAnsi="Times New Roman" w:cs="Times New Roman" w:eastAsia="Times New Roman" w:hint="default"/>
          <w:spacing w:val="9"/>
          <w:sz w:val="22"/>
          <w:szCs w:val="22"/>
        </w:rPr>
        <w:t> </w:t>
      </w:r>
      <w:r>
        <w:rPr>
          <w:rFonts w:ascii="宋体" w:hAnsi="宋体" w:cs="宋体" w:eastAsia="宋体" w:hint="default"/>
          <w:sz w:val="22"/>
          <w:szCs w:val="22"/>
        </w:rPr>
        <w:t>股，占公司股份总数的</w:t>
      </w:r>
      <w:r>
        <w:rPr>
          <w:rFonts w:ascii="宋体" w:hAnsi="宋体" w:cs="宋体" w:eastAsia="宋体" w:hint="default"/>
          <w:spacing w:val="-45"/>
          <w:sz w:val="22"/>
          <w:szCs w:val="22"/>
        </w:rPr>
        <w:t> </w:t>
      </w:r>
      <w:r>
        <w:rPr>
          <w:rFonts w:ascii="Times New Roman" w:hAnsi="Times New Roman" w:cs="Times New Roman" w:eastAsia="Times New Roman" w:hint="default"/>
          <w:sz w:val="22"/>
          <w:szCs w:val="22"/>
        </w:rPr>
        <w:t>56.85%</w:t>
      </w:r>
      <w:r>
        <w:rPr>
          <w:rFonts w:ascii="宋体" w:hAnsi="宋体" w:cs="宋体" w:eastAsia="宋体" w:hint="default"/>
          <w:sz w:val="22"/>
          <w:szCs w:val="22"/>
        </w:rPr>
        <w:t>；公司于</w:t>
      </w:r>
      <w:r>
        <w:rPr>
          <w:rFonts w:ascii="宋体" w:hAnsi="宋体" w:cs="宋体" w:eastAsia="宋体" w:hint="default"/>
          <w:spacing w:val="-46"/>
          <w:sz w:val="22"/>
          <w:szCs w:val="22"/>
        </w:rPr>
        <w:t> </w:t>
      </w:r>
      <w:r>
        <w:rPr>
          <w:rFonts w:ascii="Times New Roman" w:hAnsi="Times New Roman" w:cs="Times New Roman" w:eastAsia="Times New Roman" w:hint="default"/>
          <w:sz w:val="22"/>
          <w:szCs w:val="22"/>
        </w:rPr>
        <w:t>1999</w:t>
      </w:r>
      <w:r>
        <w:rPr>
          <w:rFonts w:ascii="Times New Roman" w:hAnsi="Times New Roman" w:cs="Times New Roman" w:eastAsia="Times New Roman" w:hint="default"/>
          <w:spacing w:val="9"/>
          <w:sz w:val="22"/>
          <w:szCs w:val="22"/>
        </w:rPr>
        <w:t> </w:t>
      </w:r>
      <w:r>
        <w:rPr>
          <w:rFonts w:ascii="宋体" w:hAnsi="宋体" w:cs="宋体" w:eastAsia="宋体" w:hint="default"/>
          <w:sz w:val="22"/>
          <w:szCs w:val="22"/>
        </w:rPr>
        <w:t>年</w:t>
      </w:r>
      <w:r>
        <w:rPr>
          <w:rFonts w:ascii="宋体" w:hAnsi="宋体" w:cs="宋体" w:eastAsia="宋体" w:hint="default"/>
          <w:spacing w:val="-46"/>
          <w:sz w:val="22"/>
          <w:szCs w:val="22"/>
        </w:rPr>
        <w:t> </w:t>
      </w:r>
      <w:r>
        <w:rPr>
          <w:rFonts w:ascii="Times New Roman" w:hAnsi="Times New Roman" w:cs="Times New Roman" w:eastAsia="Times New Roman" w:hint="default"/>
          <w:sz w:val="22"/>
          <w:szCs w:val="22"/>
        </w:rPr>
        <w:t>6</w:t>
      </w:r>
      <w:r>
        <w:rPr>
          <w:rFonts w:ascii="Times New Roman" w:hAnsi="Times New Roman" w:cs="Times New Roman" w:eastAsia="Times New Roman" w:hint="default"/>
          <w:spacing w:val="7"/>
          <w:sz w:val="22"/>
          <w:szCs w:val="22"/>
        </w:rPr>
        <w:t> </w:t>
      </w:r>
      <w:r>
        <w:rPr>
          <w:rFonts w:ascii="宋体" w:hAnsi="宋体" w:cs="宋体" w:eastAsia="宋体" w:hint="default"/>
          <w:sz w:val="22"/>
          <w:szCs w:val="22"/>
        </w:rPr>
        <w:t>月经中国证监会证监</w:t>
      </w:r>
      <w:r>
        <w:rPr>
          <w:rFonts w:ascii="宋体" w:hAnsi="宋体" w:cs="宋体" w:eastAsia="宋体" w:hint="default"/>
          <w:w w:val="100"/>
          <w:sz w:val="22"/>
          <w:szCs w:val="22"/>
        </w:rPr>
        <w:t> </w:t>
      </w:r>
      <w:r>
        <w:rPr>
          <w:rFonts w:ascii="宋体" w:hAnsi="宋体" w:cs="宋体" w:eastAsia="宋体" w:hint="default"/>
          <w:sz w:val="22"/>
          <w:szCs w:val="22"/>
        </w:rPr>
        <w:t>公司</w:t>
      </w:r>
      <w:r>
        <w:rPr>
          <w:rFonts w:ascii="Times New Roman" w:hAnsi="Times New Roman" w:cs="Times New Roman" w:eastAsia="Times New Roman" w:hint="default"/>
          <w:sz w:val="22"/>
          <w:szCs w:val="22"/>
        </w:rPr>
        <w:t>[1999]23 </w:t>
      </w:r>
      <w:r>
        <w:rPr>
          <w:rFonts w:ascii="宋体" w:hAnsi="宋体" w:cs="宋体" w:eastAsia="宋体" w:hint="default"/>
          <w:spacing w:val="-3"/>
          <w:sz w:val="22"/>
          <w:szCs w:val="22"/>
        </w:rPr>
        <w:t>号文批准，以换股方式合并山东鲁颖电子股份有限公司（现已更名为“山东</w:t>
      </w:r>
      <w:r>
        <w:rPr>
          <w:rFonts w:ascii="宋体" w:hAnsi="宋体" w:cs="宋体" w:eastAsia="宋体" w:hint="default"/>
          <w:spacing w:val="-76"/>
          <w:sz w:val="22"/>
          <w:szCs w:val="22"/>
        </w:rPr>
        <w:t> </w:t>
      </w:r>
      <w:r>
        <w:rPr>
          <w:rFonts w:ascii="宋体" w:hAnsi="宋体" w:cs="宋体" w:eastAsia="宋体" w:hint="default"/>
          <w:spacing w:val="-76"/>
          <w:sz w:val="22"/>
          <w:szCs w:val="22"/>
        </w:rPr>
      </w:r>
      <w:r>
        <w:rPr>
          <w:rFonts w:ascii="宋体" w:hAnsi="宋体" w:cs="宋体" w:eastAsia="宋体" w:hint="default"/>
          <w:spacing w:val="-3"/>
          <w:sz w:val="22"/>
          <w:szCs w:val="22"/>
        </w:rPr>
        <w:t>同方鲁颖电子有限公司”），向山东鲁颖电子股份有限公司全体股东定向增发人民币普通</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z w:val="22"/>
          <w:szCs w:val="22"/>
        </w:rPr>
        <w:t>股</w:t>
      </w:r>
      <w:r>
        <w:rPr>
          <w:rFonts w:ascii="宋体" w:hAnsi="宋体" w:cs="宋体" w:eastAsia="宋体" w:hint="default"/>
          <w:spacing w:val="-49"/>
          <w:sz w:val="22"/>
          <w:szCs w:val="22"/>
        </w:rPr>
        <w:t> </w:t>
      </w:r>
      <w:r>
        <w:rPr>
          <w:rFonts w:ascii="Times New Roman" w:hAnsi="Times New Roman" w:cs="Times New Roman" w:eastAsia="Times New Roman" w:hint="default"/>
          <w:sz w:val="22"/>
          <w:szCs w:val="22"/>
        </w:rPr>
        <w:t>15,172,328</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股，致使股份总数增至</w:t>
      </w:r>
      <w:r>
        <w:rPr>
          <w:rFonts w:ascii="宋体" w:hAnsi="宋体" w:cs="宋体" w:eastAsia="宋体" w:hint="default"/>
          <w:spacing w:val="-49"/>
          <w:sz w:val="22"/>
          <w:szCs w:val="22"/>
        </w:rPr>
        <w:t> </w:t>
      </w:r>
      <w:r>
        <w:rPr>
          <w:rFonts w:ascii="Times New Roman" w:hAnsi="Times New Roman" w:cs="Times New Roman" w:eastAsia="Times New Roman" w:hint="default"/>
          <w:sz w:val="22"/>
          <w:szCs w:val="22"/>
        </w:rPr>
        <w:t>204,972,328</w:t>
      </w:r>
      <w:r>
        <w:rPr>
          <w:rFonts w:ascii="Times New Roman" w:hAnsi="Times New Roman" w:cs="Times New Roman" w:eastAsia="Times New Roman" w:hint="default"/>
          <w:spacing w:val="6"/>
          <w:sz w:val="22"/>
          <w:szCs w:val="22"/>
        </w:rPr>
        <w:t> </w:t>
      </w:r>
      <w:r>
        <w:rPr>
          <w:rFonts w:ascii="宋体" w:hAnsi="宋体" w:cs="宋体" w:eastAsia="宋体" w:hint="default"/>
          <w:sz w:val="22"/>
          <w:szCs w:val="22"/>
        </w:rPr>
        <w:t>股，其中，发起人持有</w:t>
      </w:r>
      <w:r>
        <w:rPr>
          <w:rFonts w:ascii="宋体" w:hAnsi="宋体" w:cs="宋体" w:eastAsia="宋体" w:hint="default"/>
          <w:spacing w:val="-49"/>
          <w:sz w:val="22"/>
          <w:szCs w:val="22"/>
        </w:rPr>
        <w:t> </w:t>
      </w:r>
      <w:r>
        <w:rPr>
          <w:rFonts w:ascii="Times New Roman" w:hAnsi="Times New Roman" w:cs="Times New Roman" w:eastAsia="Times New Roman" w:hint="default"/>
          <w:sz w:val="22"/>
          <w:szCs w:val="22"/>
        </w:rPr>
        <w:t>113,504,444</w:t>
      </w:r>
      <w:r>
        <w:rPr>
          <w:rFonts w:ascii="Times New Roman" w:hAnsi="Times New Roman" w:cs="Times New Roman" w:eastAsia="Times New Roman" w:hint="default"/>
          <w:spacing w:val="6"/>
          <w:sz w:val="22"/>
          <w:szCs w:val="22"/>
        </w:rPr>
        <w:t> </w:t>
      </w:r>
      <w:r>
        <w:rPr>
          <w:rFonts w:ascii="宋体" w:hAnsi="宋体" w:cs="宋体" w:eastAsia="宋体" w:hint="default"/>
          <w:sz w:val="22"/>
          <w:szCs w:val="22"/>
        </w:rPr>
        <w:t>股，</w:t>
      </w:r>
    </w:p>
    <w:p>
      <w:pPr>
        <w:spacing w:before="6"/>
        <w:ind w:left="202" w:right="0" w:firstLine="0"/>
        <w:jc w:val="both"/>
        <w:rPr>
          <w:rFonts w:ascii="宋体" w:hAnsi="宋体" w:cs="宋体" w:eastAsia="宋体" w:hint="default"/>
          <w:sz w:val="22"/>
          <w:szCs w:val="22"/>
        </w:rPr>
      </w:pPr>
      <w:r>
        <w:rPr>
          <w:rFonts w:ascii="宋体" w:hAnsi="宋体" w:cs="宋体" w:eastAsia="宋体" w:hint="default"/>
          <w:sz w:val="22"/>
          <w:szCs w:val="22"/>
        </w:rPr>
        <w:t>占公司股份总数的</w:t>
      </w:r>
      <w:r>
        <w:rPr>
          <w:rFonts w:ascii="宋体" w:hAnsi="宋体" w:cs="宋体" w:eastAsia="宋体" w:hint="default"/>
          <w:spacing w:val="-54"/>
          <w:sz w:val="22"/>
          <w:szCs w:val="22"/>
        </w:rPr>
        <w:t> </w:t>
      </w:r>
      <w:r>
        <w:rPr>
          <w:rFonts w:ascii="Times New Roman" w:hAnsi="Times New Roman" w:cs="Times New Roman" w:eastAsia="Times New Roman" w:hint="default"/>
          <w:spacing w:val="-6"/>
          <w:sz w:val="22"/>
          <w:szCs w:val="22"/>
        </w:rPr>
        <w:t>55.38%</w:t>
      </w:r>
      <w:r>
        <w:rPr>
          <w:rFonts w:ascii="宋体" w:hAnsi="宋体" w:cs="宋体" w:eastAsia="宋体" w:hint="default"/>
          <w:spacing w:val="-6"/>
          <w:sz w:val="22"/>
          <w:szCs w:val="22"/>
        </w:rPr>
        <w:t>；公司于</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1999</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9</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月以</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10:3</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的比例派送红股</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54,366,696</w:t>
      </w:r>
      <w:r>
        <w:rPr>
          <w:rFonts w:ascii="Times New Roman" w:hAnsi="Times New Roman" w:cs="Times New Roman" w:eastAsia="Times New Roman" w:hint="default"/>
          <w:spacing w:val="-2"/>
          <w:sz w:val="22"/>
          <w:szCs w:val="22"/>
        </w:rPr>
        <w:t> </w:t>
      </w:r>
      <w:r>
        <w:rPr>
          <w:rFonts w:ascii="宋体" w:hAnsi="宋体" w:cs="宋体" w:eastAsia="宋体" w:hint="default"/>
          <w:spacing w:val="-17"/>
          <w:sz w:val="22"/>
          <w:szCs w:val="22"/>
        </w:rPr>
        <w:t>股，致</w:t>
      </w:r>
    </w:p>
    <w:p>
      <w:pPr>
        <w:spacing w:before="53"/>
        <w:ind w:left="202" w:right="0" w:firstLine="0"/>
        <w:jc w:val="both"/>
        <w:rPr>
          <w:rFonts w:ascii="宋体" w:hAnsi="宋体" w:cs="宋体" w:eastAsia="宋体" w:hint="default"/>
          <w:sz w:val="22"/>
          <w:szCs w:val="22"/>
        </w:rPr>
      </w:pPr>
      <w:r>
        <w:rPr>
          <w:rFonts w:ascii="宋体" w:hAnsi="宋体" w:cs="宋体" w:eastAsia="宋体" w:hint="default"/>
          <w:sz w:val="22"/>
          <w:szCs w:val="22"/>
        </w:rPr>
        <w:t>使股份总数增至 </w:t>
      </w:r>
      <w:r>
        <w:rPr>
          <w:rFonts w:ascii="Times New Roman" w:hAnsi="Times New Roman" w:cs="Times New Roman" w:eastAsia="Times New Roman" w:hint="default"/>
          <w:sz w:val="22"/>
          <w:szCs w:val="22"/>
        </w:rPr>
        <w:t>259,339,024  </w:t>
      </w:r>
      <w:r>
        <w:rPr>
          <w:rFonts w:ascii="宋体" w:hAnsi="宋体" w:cs="宋体" w:eastAsia="宋体" w:hint="default"/>
          <w:sz w:val="22"/>
          <w:szCs w:val="22"/>
        </w:rPr>
        <w:t>股，其中，发起人持有 </w:t>
      </w:r>
      <w:r>
        <w:rPr>
          <w:rFonts w:ascii="Times New Roman" w:hAnsi="Times New Roman" w:cs="Times New Roman" w:eastAsia="Times New Roman" w:hint="default"/>
          <w:sz w:val="22"/>
          <w:szCs w:val="22"/>
        </w:rPr>
        <w:t>143,610,199</w:t>
      </w:r>
      <w:r>
        <w:rPr>
          <w:rFonts w:ascii="Times New Roman" w:hAnsi="Times New Roman" w:cs="Times New Roman" w:eastAsia="Times New Roman" w:hint="default"/>
          <w:spacing w:val="-22"/>
          <w:sz w:val="22"/>
          <w:szCs w:val="22"/>
        </w:rPr>
        <w:t> </w:t>
      </w:r>
      <w:r>
        <w:rPr>
          <w:rFonts w:ascii="宋体" w:hAnsi="宋体" w:cs="宋体" w:eastAsia="宋体" w:hint="default"/>
          <w:sz w:val="22"/>
          <w:szCs w:val="22"/>
        </w:rPr>
        <w:t>股，占公司股份总数的</w:t>
      </w:r>
    </w:p>
    <w:p>
      <w:pPr>
        <w:spacing w:before="50"/>
        <w:ind w:left="202" w:right="0" w:firstLine="0"/>
        <w:jc w:val="both"/>
        <w:rPr>
          <w:rFonts w:ascii="宋体" w:hAnsi="宋体" w:cs="宋体" w:eastAsia="宋体" w:hint="default"/>
          <w:sz w:val="22"/>
          <w:szCs w:val="22"/>
        </w:rPr>
      </w:pPr>
      <w:r>
        <w:rPr>
          <w:rFonts w:ascii="Times New Roman" w:hAnsi="Times New Roman" w:cs="Times New Roman" w:eastAsia="Times New Roman" w:hint="default"/>
          <w:spacing w:val="-3"/>
          <w:sz w:val="22"/>
          <w:szCs w:val="22"/>
        </w:rPr>
        <w:t>55.38%</w:t>
      </w:r>
      <w:r>
        <w:rPr>
          <w:rFonts w:ascii="宋体" w:hAnsi="宋体" w:cs="宋体" w:eastAsia="宋体" w:hint="default"/>
          <w:spacing w:val="-3"/>
          <w:sz w:val="22"/>
          <w:szCs w:val="22"/>
        </w:rPr>
        <w:t>；公司于</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2000</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61"/>
          <w:sz w:val="22"/>
          <w:szCs w:val="22"/>
        </w:rPr>
        <w:t> </w:t>
      </w:r>
      <w:r>
        <w:rPr>
          <w:rFonts w:ascii="Times New Roman" w:hAnsi="Times New Roman" w:cs="Times New Roman" w:eastAsia="Times New Roman" w:hint="default"/>
          <w:sz w:val="22"/>
          <w:szCs w:val="22"/>
        </w:rPr>
        <w:t>5</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月以</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10:4</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的比例实施资本公积金转增股本，致使股份总数增至</w:t>
      </w:r>
    </w:p>
    <w:p>
      <w:pPr>
        <w:spacing w:before="53"/>
        <w:ind w:left="202" w:right="0" w:firstLine="0"/>
        <w:jc w:val="both"/>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363,074,634</w:t>
      </w:r>
      <w:r>
        <w:rPr>
          <w:rFonts w:ascii="Times New Roman" w:hAnsi="Times New Roman" w:cs="Times New Roman" w:eastAsia="Times New Roman" w:hint="default"/>
          <w:spacing w:val="6"/>
          <w:sz w:val="22"/>
          <w:szCs w:val="22"/>
        </w:rPr>
        <w:t> </w:t>
      </w:r>
      <w:r>
        <w:rPr>
          <w:rFonts w:ascii="宋体" w:hAnsi="宋体" w:cs="宋体" w:eastAsia="宋体" w:hint="default"/>
          <w:spacing w:val="-7"/>
          <w:sz w:val="22"/>
          <w:szCs w:val="22"/>
        </w:rPr>
        <w:t>股，其中发起人持有</w:t>
      </w:r>
      <w:r>
        <w:rPr>
          <w:rFonts w:ascii="宋体" w:hAnsi="宋体" w:cs="宋体" w:eastAsia="宋体" w:hint="default"/>
          <w:spacing w:val="-49"/>
          <w:sz w:val="22"/>
          <w:szCs w:val="22"/>
        </w:rPr>
        <w:t> </w:t>
      </w:r>
      <w:r>
        <w:rPr>
          <w:rFonts w:ascii="Times New Roman" w:hAnsi="Times New Roman" w:cs="Times New Roman" w:eastAsia="Times New Roman" w:hint="default"/>
          <w:sz w:val="22"/>
          <w:szCs w:val="22"/>
        </w:rPr>
        <w:t>201,054,279</w:t>
      </w:r>
      <w:r>
        <w:rPr>
          <w:rFonts w:ascii="Times New Roman" w:hAnsi="Times New Roman" w:cs="Times New Roman" w:eastAsia="Times New Roman" w:hint="default"/>
          <w:spacing w:val="6"/>
          <w:sz w:val="22"/>
          <w:szCs w:val="22"/>
        </w:rPr>
        <w:t> </w:t>
      </w:r>
      <w:r>
        <w:rPr>
          <w:rFonts w:ascii="宋体" w:hAnsi="宋体" w:cs="宋体" w:eastAsia="宋体" w:hint="default"/>
          <w:spacing w:val="-6"/>
          <w:sz w:val="22"/>
          <w:szCs w:val="22"/>
        </w:rPr>
        <w:t>股，占公司股份总数的</w:t>
      </w:r>
      <w:r>
        <w:rPr>
          <w:rFonts w:ascii="宋体" w:hAnsi="宋体" w:cs="宋体" w:eastAsia="宋体" w:hint="default"/>
          <w:spacing w:val="-49"/>
          <w:sz w:val="22"/>
          <w:szCs w:val="22"/>
        </w:rPr>
        <w:t> </w:t>
      </w:r>
      <w:r>
        <w:rPr>
          <w:rFonts w:ascii="Times New Roman" w:hAnsi="Times New Roman" w:cs="Times New Roman" w:eastAsia="Times New Roman" w:hint="default"/>
          <w:spacing w:val="-6"/>
          <w:sz w:val="22"/>
          <w:szCs w:val="22"/>
        </w:rPr>
        <w:t>55.38%</w:t>
      </w:r>
      <w:r>
        <w:rPr>
          <w:rFonts w:ascii="宋体" w:hAnsi="宋体" w:cs="宋体" w:eastAsia="宋体" w:hint="default"/>
          <w:spacing w:val="-6"/>
          <w:sz w:val="22"/>
          <w:szCs w:val="22"/>
        </w:rPr>
        <w:t>；公司于</w:t>
      </w:r>
      <w:r>
        <w:rPr>
          <w:rFonts w:ascii="宋体" w:hAnsi="宋体" w:cs="宋体" w:eastAsia="宋体" w:hint="default"/>
          <w:spacing w:val="-49"/>
          <w:sz w:val="22"/>
          <w:szCs w:val="22"/>
        </w:rPr>
        <w:t> </w:t>
      </w:r>
      <w:r>
        <w:rPr>
          <w:rFonts w:ascii="Times New Roman" w:hAnsi="Times New Roman" w:cs="Times New Roman" w:eastAsia="Times New Roman" w:hint="default"/>
          <w:sz w:val="22"/>
          <w:szCs w:val="22"/>
        </w:rPr>
        <w:t>2000</w:t>
      </w:r>
    </w:p>
    <w:p>
      <w:pPr>
        <w:spacing w:before="50"/>
        <w:ind w:left="202" w:right="0" w:firstLine="0"/>
        <w:jc w:val="both"/>
        <w:rPr>
          <w:rFonts w:ascii="Times New Roman" w:hAnsi="Times New Roman" w:cs="Times New Roman" w:eastAsia="Times New Roman" w:hint="default"/>
          <w:sz w:val="22"/>
          <w:szCs w:val="22"/>
        </w:rPr>
      </w:pP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月向境内社会公众增发人民币普通股</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20,000,000</w:t>
      </w:r>
      <w:r>
        <w:rPr>
          <w:rFonts w:ascii="Times New Roman" w:hAnsi="Times New Roman" w:cs="Times New Roman" w:eastAsia="Times New Roman" w:hint="default"/>
          <w:spacing w:val="1"/>
          <w:sz w:val="22"/>
          <w:szCs w:val="22"/>
        </w:rPr>
        <w:t> </w:t>
      </w:r>
      <w:r>
        <w:rPr>
          <w:rFonts w:ascii="宋体" w:hAnsi="宋体" w:cs="宋体" w:eastAsia="宋体" w:hint="default"/>
          <w:spacing w:val="-3"/>
          <w:sz w:val="22"/>
          <w:szCs w:val="22"/>
        </w:rPr>
        <w:t>股，致使股份总数增至</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383,074,634</w:t>
      </w:r>
    </w:p>
    <w:p>
      <w:pPr>
        <w:spacing w:before="53"/>
        <w:ind w:left="202" w:right="0" w:firstLine="0"/>
        <w:jc w:val="both"/>
        <w:rPr>
          <w:rFonts w:ascii="宋体" w:hAnsi="宋体" w:cs="宋体" w:eastAsia="宋体" w:hint="default"/>
          <w:sz w:val="22"/>
          <w:szCs w:val="22"/>
        </w:rPr>
      </w:pPr>
      <w:r>
        <w:rPr>
          <w:rFonts w:ascii="宋体" w:hAnsi="宋体" w:cs="宋体" w:eastAsia="宋体" w:hint="default"/>
          <w:sz w:val="22"/>
          <w:szCs w:val="22"/>
        </w:rPr>
        <w:t>股，其中，发起人持有</w:t>
      </w:r>
      <w:r>
        <w:rPr>
          <w:rFonts w:ascii="宋体" w:hAnsi="宋体" w:cs="宋体" w:eastAsia="宋体" w:hint="default"/>
          <w:spacing w:val="-45"/>
          <w:sz w:val="22"/>
          <w:szCs w:val="22"/>
        </w:rPr>
        <w:t> </w:t>
      </w:r>
      <w:r>
        <w:rPr>
          <w:rFonts w:ascii="Times New Roman" w:hAnsi="Times New Roman" w:cs="Times New Roman" w:eastAsia="Times New Roman" w:hint="default"/>
          <w:sz w:val="22"/>
          <w:szCs w:val="22"/>
        </w:rPr>
        <w:t>201,054,279</w:t>
      </w:r>
      <w:r>
        <w:rPr>
          <w:rFonts w:ascii="Times New Roman" w:hAnsi="Times New Roman" w:cs="Times New Roman" w:eastAsia="Times New Roman" w:hint="default"/>
          <w:spacing w:val="9"/>
          <w:sz w:val="22"/>
          <w:szCs w:val="22"/>
        </w:rPr>
        <w:t> </w:t>
      </w:r>
      <w:r>
        <w:rPr>
          <w:rFonts w:ascii="宋体" w:hAnsi="宋体" w:cs="宋体" w:eastAsia="宋体" w:hint="default"/>
          <w:sz w:val="22"/>
          <w:szCs w:val="22"/>
        </w:rPr>
        <w:t>股，占公司股份总数的</w:t>
      </w:r>
      <w:r>
        <w:rPr>
          <w:rFonts w:ascii="宋体" w:hAnsi="宋体" w:cs="宋体" w:eastAsia="宋体" w:hint="default"/>
          <w:spacing w:val="-45"/>
          <w:sz w:val="22"/>
          <w:szCs w:val="22"/>
        </w:rPr>
        <w:t> </w:t>
      </w:r>
      <w:r>
        <w:rPr>
          <w:rFonts w:ascii="Times New Roman" w:hAnsi="Times New Roman" w:cs="Times New Roman" w:eastAsia="Times New Roman" w:hint="default"/>
          <w:sz w:val="22"/>
          <w:szCs w:val="22"/>
        </w:rPr>
        <w:t>52.48%</w:t>
      </w:r>
      <w:r>
        <w:rPr>
          <w:rFonts w:ascii="宋体" w:hAnsi="宋体" w:cs="宋体" w:eastAsia="宋体" w:hint="default"/>
          <w:sz w:val="22"/>
          <w:szCs w:val="22"/>
        </w:rPr>
        <w:t>；公司于</w:t>
      </w:r>
      <w:r>
        <w:rPr>
          <w:rFonts w:ascii="宋体" w:hAnsi="宋体" w:cs="宋体" w:eastAsia="宋体" w:hint="default"/>
          <w:spacing w:val="-45"/>
          <w:sz w:val="22"/>
          <w:szCs w:val="22"/>
        </w:rPr>
        <w:t> </w:t>
      </w:r>
      <w:r>
        <w:rPr>
          <w:rFonts w:ascii="Times New Roman" w:hAnsi="Times New Roman" w:cs="Times New Roman" w:eastAsia="Times New Roman" w:hint="default"/>
          <w:sz w:val="22"/>
          <w:szCs w:val="22"/>
        </w:rPr>
        <w:t>2001</w:t>
      </w:r>
      <w:r>
        <w:rPr>
          <w:rFonts w:ascii="Times New Roman" w:hAnsi="Times New Roman" w:cs="Times New Roman" w:eastAsia="Times New Roman" w:hint="default"/>
          <w:spacing w:val="9"/>
          <w:sz w:val="22"/>
          <w:szCs w:val="22"/>
        </w:rPr>
        <w:t> </w:t>
      </w:r>
      <w:r>
        <w:rPr>
          <w:rFonts w:ascii="宋体" w:hAnsi="宋体" w:cs="宋体" w:eastAsia="宋体" w:hint="default"/>
          <w:sz w:val="22"/>
          <w:szCs w:val="22"/>
        </w:rPr>
        <w:t>年</w:t>
      </w:r>
      <w:r>
        <w:rPr>
          <w:rFonts w:ascii="宋体" w:hAnsi="宋体" w:cs="宋体" w:eastAsia="宋体" w:hint="default"/>
          <w:spacing w:val="-46"/>
          <w:sz w:val="22"/>
          <w:szCs w:val="22"/>
        </w:rPr>
        <w:t> </w:t>
      </w:r>
      <w:r>
        <w:rPr>
          <w:rFonts w:ascii="Times New Roman" w:hAnsi="Times New Roman" w:cs="Times New Roman" w:eastAsia="Times New Roman" w:hint="default"/>
          <w:sz w:val="22"/>
          <w:szCs w:val="22"/>
        </w:rPr>
        <w:t>5</w:t>
      </w:r>
      <w:r>
        <w:rPr>
          <w:rFonts w:ascii="Times New Roman" w:hAnsi="Times New Roman" w:cs="Times New Roman" w:eastAsia="Times New Roman" w:hint="default"/>
          <w:spacing w:val="9"/>
          <w:sz w:val="22"/>
          <w:szCs w:val="22"/>
        </w:rPr>
        <w:t> </w:t>
      </w:r>
      <w:r>
        <w:rPr>
          <w:rFonts w:ascii="宋体" w:hAnsi="宋体" w:cs="宋体" w:eastAsia="宋体" w:hint="default"/>
          <w:sz w:val="22"/>
          <w:szCs w:val="22"/>
        </w:rPr>
        <w:t>月</w:t>
      </w:r>
    </w:p>
    <w:p>
      <w:pPr>
        <w:spacing w:line="280" w:lineRule="auto" w:before="53"/>
        <w:ind w:left="202" w:right="208" w:firstLine="0"/>
        <w:jc w:val="left"/>
        <w:rPr>
          <w:rFonts w:ascii="宋体" w:hAnsi="宋体" w:cs="宋体" w:eastAsia="宋体" w:hint="default"/>
          <w:sz w:val="22"/>
          <w:szCs w:val="22"/>
        </w:rPr>
      </w:pPr>
      <w:r>
        <w:rPr>
          <w:rFonts w:ascii="宋体" w:hAnsi="宋体" w:cs="宋体" w:eastAsia="宋体" w:hint="default"/>
          <w:sz w:val="22"/>
          <w:szCs w:val="22"/>
        </w:rPr>
        <w:t>以</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10:5 </w:t>
      </w:r>
      <w:r>
        <w:rPr>
          <w:rFonts w:ascii="宋体" w:hAnsi="宋体" w:cs="宋体" w:eastAsia="宋体" w:hint="default"/>
          <w:sz w:val="22"/>
          <w:szCs w:val="22"/>
        </w:rPr>
        <w:t>的比例实施资本公积金转增股本，使股份总数增至</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574,612,295 </w:t>
      </w:r>
      <w:r>
        <w:rPr>
          <w:rFonts w:ascii="宋体" w:hAnsi="宋体" w:cs="宋体" w:eastAsia="宋体" w:hint="default"/>
          <w:spacing w:val="-4"/>
          <w:sz w:val="22"/>
          <w:szCs w:val="22"/>
        </w:rPr>
        <w:t>股，其中，发起人</w:t>
      </w:r>
      <w:r>
        <w:rPr>
          <w:rFonts w:ascii="宋体" w:hAnsi="宋体" w:cs="宋体" w:eastAsia="宋体" w:hint="default"/>
          <w:w w:val="100"/>
          <w:sz w:val="22"/>
          <w:szCs w:val="22"/>
        </w:rPr>
        <w:t> </w:t>
      </w:r>
      <w:r>
        <w:rPr>
          <w:rFonts w:ascii="宋体" w:hAnsi="宋体" w:cs="宋体" w:eastAsia="宋体" w:hint="default"/>
          <w:sz w:val="22"/>
          <w:szCs w:val="22"/>
        </w:rPr>
        <w:t>持有</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301,581,762</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股，仍占公司股份总数的</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52.48%</w:t>
      </w:r>
      <w:r>
        <w:rPr>
          <w:rFonts w:ascii="宋体" w:hAnsi="宋体" w:cs="宋体" w:eastAsia="宋体" w:hint="default"/>
          <w:sz w:val="22"/>
          <w:szCs w:val="22"/>
        </w:rPr>
        <w:t>。</w:t>
      </w:r>
    </w:p>
    <w:p>
      <w:pPr>
        <w:spacing w:before="71"/>
        <w:ind w:left="641" w:right="94" w:firstLine="0"/>
        <w:jc w:val="left"/>
        <w:rPr>
          <w:rFonts w:ascii="宋体" w:hAnsi="宋体" w:cs="宋体" w:eastAsia="宋体" w:hint="default"/>
          <w:sz w:val="22"/>
          <w:szCs w:val="22"/>
        </w:rPr>
      </w:pPr>
      <w:r>
        <w:rPr>
          <w:rFonts w:ascii="宋体" w:hAnsi="宋体" w:cs="宋体" w:eastAsia="宋体" w:hint="default"/>
          <w:sz w:val="22"/>
          <w:szCs w:val="22"/>
        </w:rPr>
        <w:t>经国务院国有资产监督管理委员会批准，公司于</w:t>
      </w:r>
      <w:r>
        <w:rPr>
          <w:rFonts w:ascii="宋体" w:hAnsi="宋体" w:cs="宋体" w:eastAsia="宋体" w:hint="default"/>
          <w:spacing w:val="-48"/>
          <w:sz w:val="22"/>
          <w:szCs w:val="22"/>
        </w:rPr>
        <w:t> </w:t>
      </w:r>
      <w:r>
        <w:rPr>
          <w:rFonts w:ascii="Times New Roman" w:hAnsi="Times New Roman" w:cs="Times New Roman" w:eastAsia="Times New Roman" w:hint="default"/>
          <w:sz w:val="22"/>
          <w:szCs w:val="22"/>
        </w:rPr>
        <w:t>2006</w:t>
      </w:r>
      <w:r>
        <w:rPr>
          <w:rFonts w:ascii="Times New Roman" w:hAnsi="Times New Roman" w:cs="Times New Roman" w:eastAsia="Times New Roman" w:hint="default"/>
          <w:spacing w:val="8"/>
          <w:sz w:val="22"/>
          <w:szCs w:val="22"/>
        </w:rPr>
        <w:t> </w:t>
      </w:r>
      <w:r>
        <w:rPr>
          <w:rFonts w:ascii="宋体" w:hAnsi="宋体" w:cs="宋体" w:eastAsia="宋体" w:hint="default"/>
          <w:sz w:val="22"/>
          <w:szCs w:val="22"/>
        </w:rPr>
        <w:t>年</w:t>
      </w:r>
      <w:r>
        <w:rPr>
          <w:rFonts w:ascii="宋体" w:hAnsi="宋体" w:cs="宋体" w:eastAsia="宋体" w:hint="default"/>
          <w:spacing w:val="-49"/>
          <w:sz w:val="22"/>
          <w:szCs w:val="22"/>
        </w:rPr>
        <w:t> </w:t>
      </w:r>
      <w:r>
        <w:rPr>
          <w:rFonts w:ascii="Times New Roman" w:hAnsi="Times New Roman" w:cs="Times New Roman" w:eastAsia="Times New Roman" w:hint="default"/>
          <w:sz w:val="22"/>
          <w:szCs w:val="22"/>
        </w:rPr>
        <w:t>2</w:t>
      </w:r>
      <w:r>
        <w:rPr>
          <w:rFonts w:ascii="Times New Roman" w:hAnsi="Times New Roman" w:cs="Times New Roman" w:eastAsia="Times New Roman" w:hint="default"/>
          <w:spacing w:val="8"/>
          <w:sz w:val="22"/>
          <w:szCs w:val="22"/>
        </w:rPr>
        <w:t> </w:t>
      </w:r>
      <w:r>
        <w:rPr>
          <w:rFonts w:ascii="宋体" w:hAnsi="宋体" w:cs="宋体" w:eastAsia="宋体" w:hint="default"/>
          <w:sz w:val="22"/>
          <w:szCs w:val="22"/>
        </w:rPr>
        <w:t>月实施了股权分置改革，</w:t>
      </w:r>
    </w:p>
    <w:p>
      <w:pPr>
        <w:spacing w:before="50"/>
        <w:ind w:left="202" w:right="0" w:firstLine="0"/>
        <w:jc w:val="both"/>
        <w:rPr>
          <w:rFonts w:ascii="宋体" w:hAnsi="宋体" w:cs="宋体" w:eastAsia="宋体" w:hint="default"/>
          <w:sz w:val="22"/>
          <w:szCs w:val="22"/>
        </w:rPr>
      </w:pPr>
      <w:r>
        <w:rPr>
          <w:rFonts w:ascii="宋体" w:hAnsi="宋体" w:cs="宋体" w:eastAsia="宋体" w:hint="default"/>
          <w:sz w:val="22"/>
          <w:szCs w:val="22"/>
        </w:rPr>
        <w:t>由非流通股股东向流通股股东按 </w:t>
      </w:r>
      <w:r>
        <w:rPr>
          <w:rFonts w:ascii="Times New Roman" w:hAnsi="Times New Roman" w:cs="Times New Roman" w:eastAsia="Times New Roman" w:hint="default"/>
          <w:sz w:val="22"/>
          <w:szCs w:val="22"/>
        </w:rPr>
        <w:t>10:3.8 </w:t>
      </w:r>
      <w:r>
        <w:rPr>
          <w:rFonts w:ascii="Times New Roman" w:hAnsi="Times New Roman" w:cs="Times New Roman" w:eastAsia="Times New Roman" w:hint="default"/>
          <w:spacing w:val="27"/>
          <w:sz w:val="22"/>
          <w:szCs w:val="22"/>
        </w:rPr>
        <w:t> </w:t>
      </w:r>
      <w:r>
        <w:rPr>
          <w:rFonts w:ascii="宋体" w:hAnsi="宋体" w:cs="宋体" w:eastAsia="宋体" w:hint="default"/>
          <w:sz w:val="22"/>
          <w:szCs w:val="22"/>
        </w:rPr>
        <w:t>的比例支付获取非流通股份上市流通权的对价共</w:t>
      </w:r>
    </w:p>
    <w:p>
      <w:pPr>
        <w:spacing w:before="53"/>
        <w:ind w:left="202" w:right="0" w:firstLine="0"/>
        <w:jc w:val="both"/>
        <w:rPr>
          <w:rFonts w:ascii="宋体" w:hAnsi="宋体" w:cs="宋体" w:eastAsia="宋体" w:hint="default"/>
          <w:sz w:val="22"/>
          <w:szCs w:val="22"/>
        </w:rPr>
      </w:pPr>
      <w:r>
        <w:rPr>
          <w:rFonts w:ascii="宋体" w:hAnsi="宋体" w:cs="宋体" w:eastAsia="宋体" w:hint="default"/>
          <w:sz w:val="22"/>
          <w:szCs w:val="22"/>
        </w:rPr>
        <w:t>计 </w:t>
      </w:r>
      <w:r>
        <w:rPr>
          <w:rFonts w:ascii="Times New Roman" w:hAnsi="Times New Roman" w:cs="Times New Roman" w:eastAsia="Times New Roman" w:hint="default"/>
          <w:sz w:val="22"/>
          <w:szCs w:val="22"/>
        </w:rPr>
        <w:t>103,751,603</w:t>
      </w:r>
      <w:r>
        <w:rPr>
          <w:rFonts w:ascii="Times New Roman" w:hAnsi="Times New Roman" w:cs="Times New Roman" w:eastAsia="Times New Roman" w:hint="default"/>
          <w:spacing w:val="-26"/>
          <w:sz w:val="22"/>
          <w:szCs w:val="22"/>
        </w:rPr>
        <w:t> </w:t>
      </w:r>
      <w:r>
        <w:rPr>
          <w:rFonts w:ascii="宋体" w:hAnsi="宋体" w:cs="宋体" w:eastAsia="宋体" w:hint="default"/>
          <w:sz w:val="22"/>
          <w:szCs w:val="22"/>
        </w:rPr>
        <w:t>股。股权分置改革后，公司股份总数不变，其中，发起人持有股份减少至</w:t>
      </w:r>
    </w:p>
    <w:p>
      <w:pPr>
        <w:spacing w:before="53"/>
        <w:ind w:left="202" w:right="0" w:firstLine="0"/>
        <w:jc w:val="both"/>
        <w:rPr>
          <w:rFonts w:ascii="宋体" w:hAnsi="宋体" w:cs="宋体" w:eastAsia="宋体" w:hint="default"/>
          <w:sz w:val="22"/>
          <w:szCs w:val="22"/>
        </w:rPr>
      </w:pPr>
      <w:r>
        <w:rPr>
          <w:rFonts w:ascii="Times New Roman" w:hAnsi="Times New Roman" w:cs="Times New Roman" w:eastAsia="Times New Roman" w:hint="default"/>
          <w:sz w:val="22"/>
          <w:szCs w:val="22"/>
        </w:rPr>
        <w:t>197,830,159 </w:t>
      </w:r>
      <w:r>
        <w:rPr>
          <w:rFonts w:ascii="宋体" w:hAnsi="宋体" w:cs="宋体" w:eastAsia="宋体" w:hint="default"/>
          <w:sz w:val="22"/>
          <w:szCs w:val="22"/>
        </w:rPr>
        <w:t>股，占公司股份总数的</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34.43%</w:t>
      </w:r>
      <w:r>
        <w:rPr>
          <w:rFonts w:ascii="宋体" w:hAnsi="宋体" w:cs="宋体" w:eastAsia="宋体" w:hint="default"/>
          <w:sz w:val="22"/>
          <w:szCs w:val="22"/>
        </w:rPr>
        <w:t>。</w:t>
      </w:r>
    </w:p>
    <w:p>
      <w:pPr>
        <w:spacing w:before="110"/>
        <w:ind w:left="641" w:right="94"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2007 </w:t>
      </w:r>
      <w:r>
        <w:rPr>
          <w:rFonts w:ascii="宋体" w:hAnsi="宋体" w:cs="宋体" w:eastAsia="宋体" w:hint="default"/>
          <w:sz w:val="22"/>
          <w:szCs w:val="22"/>
        </w:rPr>
        <w:t>年 </w:t>
      </w:r>
      <w:r>
        <w:rPr>
          <w:rFonts w:ascii="Times New Roman" w:hAnsi="Times New Roman" w:cs="Times New Roman" w:eastAsia="Times New Roman" w:hint="default"/>
          <w:sz w:val="22"/>
          <w:szCs w:val="22"/>
        </w:rPr>
        <w:t>7 </w:t>
      </w:r>
      <w:r>
        <w:rPr>
          <w:rFonts w:ascii="宋体" w:hAnsi="宋体" w:cs="宋体" w:eastAsia="宋体" w:hint="default"/>
          <w:sz w:val="22"/>
          <w:szCs w:val="22"/>
        </w:rPr>
        <w:t>月，公司向特定对象非公开发行人民币普通股 </w:t>
      </w:r>
      <w:r>
        <w:rPr>
          <w:rFonts w:ascii="Times New Roman" w:hAnsi="Times New Roman" w:cs="Times New Roman" w:eastAsia="Times New Roman" w:hint="default"/>
          <w:sz w:val="22"/>
          <w:szCs w:val="22"/>
        </w:rPr>
        <w:t>54,000,000</w:t>
      </w:r>
      <w:r>
        <w:rPr>
          <w:rFonts w:ascii="Times New Roman" w:hAnsi="Times New Roman" w:cs="Times New Roman" w:eastAsia="Times New Roman" w:hint="default"/>
          <w:spacing w:val="-21"/>
          <w:sz w:val="22"/>
          <w:szCs w:val="22"/>
        </w:rPr>
        <w:t> </w:t>
      </w:r>
      <w:r>
        <w:rPr>
          <w:rFonts w:ascii="宋体" w:hAnsi="宋体" w:cs="宋体" w:eastAsia="宋体" w:hint="default"/>
          <w:sz w:val="22"/>
          <w:szCs w:val="22"/>
        </w:rPr>
        <w:t>股，致使股份总</w:t>
      </w:r>
    </w:p>
    <w:p>
      <w:pPr>
        <w:spacing w:before="53"/>
        <w:ind w:left="202" w:right="0" w:firstLine="0"/>
        <w:jc w:val="both"/>
        <w:rPr>
          <w:rFonts w:ascii="宋体" w:hAnsi="宋体" w:cs="宋体" w:eastAsia="宋体" w:hint="default"/>
          <w:sz w:val="22"/>
          <w:szCs w:val="22"/>
        </w:rPr>
      </w:pPr>
      <w:r>
        <w:rPr>
          <w:rFonts w:ascii="宋体" w:hAnsi="宋体" w:cs="宋体" w:eastAsia="宋体" w:hint="default"/>
          <w:sz w:val="22"/>
          <w:szCs w:val="22"/>
        </w:rPr>
        <w:t>数增至</w:t>
      </w:r>
      <w:r>
        <w:rPr>
          <w:rFonts w:ascii="宋体" w:hAnsi="宋体" w:cs="宋体" w:eastAsia="宋体" w:hint="default"/>
          <w:spacing w:val="-47"/>
          <w:sz w:val="22"/>
          <w:szCs w:val="22"/>
        </w:rPr>
        <w:t> </w:t>
      </w:r>
      <w:r>
        <w:rPr>
          <w:rFonts w:ascii="Times New Roman" w:hAnsi="Times New Roman" w:cs="Times New Roman" w:eastAsia="Times New Roman" w:hint="default"/>
          <w:sz w:val="22"/>
          <w:szCs w:val="22"/>
        </w:rPr>
        <w:t>628,612,295</w:t>
      </w:r>
      <w:r>
        <w:rPr>
          <w:rFonts w:ascii="Times New Roman" w:hAnsi="Times New Roman" w:cs="Times New Roman" w:eastAsia="Times New Roman" w:hint="default"/>
          <w:spacing w:val="8"/>
          <w:sz w:val="22"/>
          <w:szCs w:val="22"/>
        </w:rPr>
        <w:t> </w:t>
      </w:r>
      <w:r>
        <w:rPr>
          <w:rFonts w:ascii="宋体" w:hAnsi="宋体" w:cs="宋体" w:eastAsia="宋体" w:hint="default"/>
          <w:spacing w:val="-5"/>
          <w:sz w:val="22"/>
          <w:szCs w:val="22"/>
        </w:rPr>
        <w:t>股，其中：有限售条件的流通股</w:t>
      </w:r>
      <w:r>
        <w:rPr>
          <w:rFonts w:ascii="宋体" w:hAnsi="宋体" w:cs="宋体" w:eastAsia="宋体" w:hint="default"/>
          <w:spacing w:val="-47"/>
          <w:sz w:val="22"/>
          <w:szCs w:val="22"/>
        </w:rPr>
        <w:t> </w:t>
      </w:r>
      <w:r>
        <w:rPr>
          <w:rFonts w:ascii="Times New Roman" w:hAnsi="Times New Roman" w:cs="Times New Roman" w:eastAsia="Times New Roman" w:hint="default"/>
          <w:sz w:val="22"/>
          <w:szCs w:val="22"/>
        </w:rPr>
        <w:t>243,986,980</w:t>
      </w:r>
      <w:r>
        <w:rPr>
          <w:rFonts w:ascii="Times New Roman" w:hAnsi="Times New Roman" w:cs="Times New Roman" w:eastAsia="Times New Roman" w:hint="default"/>
          <w:spacing w:val="8"/>
          <w:sz w:val="22"/>
          <w:szCs w:val="22"/>
        </w:rPr>
        <w:t> </w:t>
      </w:r>
      <w:r>
        <w:rPr>
          <w:rFonts w:ascii="宋体" w:hAnsi="宋体" w:cs="宋体" w:eastAsia="宋体" w:hint="default"/>
          <w:spacing w:val="-4"/>
          <w:sz w:val="22"/>
          <w:szCs w:val="22"/>
        </w:rPr>
        <w:t>股，无限售条件的流通股</w:t>
      </w:r>
    </w:p>
    <w:p>
      <w:pPr>
        <w:spacing w:before="50"/>
        <w:ind w:left="202" w:right="0" w:firstLine="0"/>
        <w:jc w:val="both"/>
        <w:rPr>
          <w:rFonts w:ascii="宋体" w:hAnsi="宋体" w:cs="宋体" w:eastAsia="宋体" w:hint="default"/>
          <w:sz w:val="22"/>
          <w:szCs w:val="22"/>
        </w:rPr>
      </w:pPr>
      <w:r>
        <w:rPr>
          <w:rFonts w:ascii="Times New Roman" w:hAnsi="Times New Roman" w:cs="Times New Roman" w:eastAsia="Times New Roman" w:hint="default"/>
          <w:sz w:val="22"/>
          <w:szCs w:val="22"/>
        </w:rPr>
        <w:t>384,625,315</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股。</w:t>
      </w:r>
    </w:p>
    <w:p>
      <w:pPr>
        <w:spacing w:before="113"/>
        <w:ind w:left="641" w:right="94"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2008</w:t>
      </w:r>
      <w:r>
        <w:rPr>
          <w:rFonts w:ascii="Times New Roman" w:hAnsi="Times New Roman" w:cs="Times New Roman" w:eastAsia="Times New Roman" w:hint="default"/>
          <w:spacing w:val="4"/>
          <w:sz w:val="22"/>
          <w:szCs w:val="22"/>
        </w:rPr>
        <w:t> </w:t>
      </w:r>
      <w:r>
        <w:rPr>
          <w:rFonts w:ascii="宋体" w:hAnsi="宋体" w:cs="宋体" w:eastAsia="宋体" w:hint="default"/>
          <w:sz w:val="22"/>
          <w:szCs w:val="22"/>
        </w:rPr>
        <w:t>年</w:t>
      </w:r>
      <w:r>
        <w:rPr>
          <w:rFonts w:ascii="宋体" w:hAnsi="宋体" w:cs="宋体" w:eastAsia="宋体" w:hint="default"/>
          <w:spacing w:val="-51"/>
          <w:sz w:val="22"/>
          <w:szCs w:val="22"/>
        </w:rPr>
        <w:t> </w:t>
      </w:r>
      <w:r>
        <w:rPr>
          <w:rFonts w:ascii="Times New Roman" w:hAnsi="Times New Roman" w:cs="Times New Roman" w:eastAsia="Times New Roman" w:hint="default"/>
          <w:sz w:val="22"/>
          <w:szCs w:val="22"/>
        </w:rPr>
        <w:t>5</w:t>
      </w:r>
      <w:r>
        <w:rPr>
          <w:rFonts w:ascii="Times New Roman" w:hAnsi="Times New Roman" w:cs="Times New Roman" w:eastAsia="Times New Roman" w:hint="default"/>
          <w:spacing w:val="1"/>
          <w:sz w:val="22"/>
          <w:szCs w:val="22"/>
        </w:rPr>
        <w:t> </w:t>
      </w:r>
      <w:r>
        <w:rPr>
          <w:rFonts w:ascii="宋体" w:hAnsi="宋体" w:cs="宋体" w:eastAsia="宋体" w:hint="default"/>
          <w:spacing w:val="-6"/>
          <w:sz w:val="22"/>
          <w:szCs w:val="22"/>
        </w:rPr>
        <w:t>月，公司以</w:t>
      </w:r>
      <w:r>
        <w:rPr>
          <w:rFonts w:ascii="宋体" w:hAnsi="宋体" w:cs="宋体" w:eastAsia="宋体" w:hint="default"/>
          <w:spacing w:val="-51"/>
          <w:sz w:val="22"/>
          <w:szCs w:val="22"/>
        </w:rPr>
        <w:t> </w:t>
      </w:r>
      <w:r>
        <w:rPr>
          <w:rFonts w:ascii="Times New Roman" w:hAnsi="Times New Roman" w:cs="Times New Roman" w:eastAsia="Times New Roman" w:hint="default"/>
          <w:sz w:val="22"/>
          <w:szCs w:val="22"/>
        </w:rPr>
        <w:t>10:2</w:t>
      </w:r>
      <w:r>
        <w:rPr>
          <w:rFonts w:ascii="Times New Roman" w:hAnsi="Times New Roman" w:cs="Times New Roman" w:eastAsia="Times New Roman" w:hint="default"/>
          <w:spacing w:val="4"/>
          <w:sz w:val="22"/>
          <w:szCs w:val="22"/>
        </w:rPr>
        <w:t> </w:t>
      </w:r>
      <w:r>
        <w:rPr>
          <w:rFonts w:ascii="宋体" w:hAnsi="宋体" w:cs="宋体" w:eastAsia="宋体" w:hint="default"/>
          <w:spacing w:val="-3"/>
          <w:sz w:val="22"/>
          <w:szCs w:val="22"/>
        </w:rPr>
        <w:t>的比例实施配股，配股后股份总数增至</w:t>
      </w:r>
      <w:r>
        <w:rPr>
          <w:rFonts w:ascii="宋体" w:hAnsi="宋体" w:cs="宋体" w:eastAsia="宋体" w:hint="default"/>
          <w:spacing w:val="-52"/>
          <w:sz w:val="22"/>
          <w:szCs w:val="22"/>
        </w:rPr>
        <w:t> </w:t>
      </w:r>
      <w:r>
        <w:rPr>
          <w:rFonts w:ascii="Times New Roman" w:hAnsi="Times New Roman" w:cs="Times New Roman" w:eastAsia="Times New Roman" w:hint="default"/>
          <w:sz w:val="22"/>
          <w:szCs w:val="22"/>
        </w:rPr>
        <w:t>751,515,811</w:t>
      </w:r>
      <w:r>
        <w:rPr>
          <w:rFonts w:ascii="Times New Roman" w:hAnsi="Times New Roman" w:cs="Times New Roman" w:eastAsia="Times New Roman" w:hint="default"/>
          <w:spacing w:val="4"/>
          <w:sz w:val="22"/>
          <w:szCs w:val="22"/>
        </w:rPr>
        <w:t> </w:t>
      </w:r>
      <w:r>
        <w:rPr>
          <w:rFonts w:ascii="宋体" w:hAnsi="宋体" w:cs="宋体" w:eastAsia="宋体" w:hint="default"/>
          <w:spacing w:val="-10"/>
          <w:sz w:val="22"/>
          <w:szCs w:val="22"/>
        </w:rPr>
        <w:t>股，其</w:t>
      </w:r>
    </w:p>
    <w:p>
      <w:pPr>
        <w:spacing w:before="53"/>
        <w:ind w:left="202" w:right="0" w:firstLine="0"/>
        <w:jc w:val="both"/>
        <w:rPr>
          <w:rFonts w:ascii="宋体" w:hAnsi="宋体" w:cs="宋体" w:eastAsia="宋体" w:hint="default"/>
          <w:sz w:val="22"/>
          <w:szCs w:val="22"/>
        </w:rPr>
      </w:pPr>
      <w:r>
        <w:rPr>
          <w:rFonts w:ascii="宋体" w:hAnsi="宋体" w:cs="宋体" w:eastAsia="宋体" w:hint="default"/>
          <w:sz w:val="22"/>
          <w:szCs w:val="22"/>
        </w:rPr>
        <w:t>中：有限售条件的流通股</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243,986,980 </w:t>
      </w:r>
      <w:r>
        <w:rPr>
          <w:rFonts w:ascii="宋体" w:hAnsi="宋体" w:cs="宋体" w:eastAsia="宋体" w:hint="default"/>
          <w:sz w:val="22"/>
          <w:szCs w:val="22"/>
        </w:rPr>
        <w:t>股，无限售条件的流通股</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507,528,831 </w:t>
      </w:r>
      <w:r>
        <w:rPr>
          <w:rFonts w:ascii="宋体" w:hAnsi="宋体" w:cs="宋体" w:eastAsia="宋体" w:hint="default"/>
          <w:sz w:val="22"/>
          <w:szCs w:val="22"/>
        </w:rPr>
        <w:t>股。</w:t>
      </w:r>
    </w:p>
    <w:p>
      <w:pPr>
        <w:spacing w:after="0"/>
        <w:jc w:val="both"/>
        <w:rPr>
          <w:rFonts w:ascii="宋体" w:hAnsi="宋体" w:cs="宋体" w:eastAsia="宋体" w:hint="default"/>
          <w:sz w:val="22"/>
          <w:szCs w:val="22"/>
        </w:rPr>
        <w:sectPr>
          <w:headerReference w:type="default" r:id="rId30"/>
          <w:footerReference w:type="default" r:id="rId31"/>
          <w:pgSz w:w="11910" w:h="16840"/>
          <w:pgMar w:header="585" w:footer="836" w:top="1080" w:bottom="1020" w:left="1500" w:right="1480"/>
          <w:pgNumType w:start="86"/>
        </w:sectPr>
      </w:pPr>
    </w:p>
    <w:p>
      <w:pPr>
        <w:spacing w:line="240" w:lineRule="auto" w:before="1"/>
        <w:rPr>
          <w:rFonts w:ascii="宋体" w:hAnsi="宋体" w:cs="宋体" w:eastAsia="宋体" w:hint="default"/>
          <w:sz w:val="22"/>
          <w:szCs w:val="22"/>
        </w:rPr>
      </w:pPr>
    </w:p>
    <w:p>
      <w:pPr>
        <w:spacing w:before="32"/>
        <w:ind w:left="641" w:right="94"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2008 </w:t>
      </w:r>
      <w:r>
        <w:rPr>
          <w:rFonts w:ascii="宋体" w:hAnsi="宋体" w:cs="宋体" w:eastAsia="宋体" w:hint="default"/>
          <w:sz w:val="22"/>
          <w:szCs w:val="22"/>
        </w:rPr>
        <w:t>年 </w:t>
      </w:r>
      <w:r>
        <w:rPr>
          <w:rFonts w:ascii="Times New Roman" w:hAnsi="Times New Roman" w:cs="Times New Roman" w:eastAsia="Times New Roman" w:hint="default"/>
          <w:sz w:val="22"/>
          <w:szCs w:val="22"/>
        </w:rPr>
        <w:t>8 </w:t>
      </w:r>
      <w:r>
        <w:rPr>
          <w:rFonts w:ascii="宋体" w:hAnsi="宋体" w:cs="宋体" w:eastAsia="宋体" w:hint="default"/>
          <w:sz w:val="22"/>
          <w:szCs w:val="22"/>
        </w:rPr>
        <w:t>月，公司完成资本公积金转增股本，以公司 </w:t>
      </w:r>
      <w:r>
        <w:rPr>
          <w:rFonts w:ascii="Times New Roman" w:hAnsi="Times New Roman" w:cs="Times New Roman" w:eastAsia="Times New Roman" w:hint="default"/>
          <w:sz w:val="22"/>
          <w:szCs w:val="22"/>
        </w:rPr>
        <w:t>2008 </w:t>
      </w:r>
      <w:r>
        <w:rPr>
          <w:rFonts w:ascii="宋体" w:hAnsi="宋体" w:cs="宋体" w:eastAsia="宋体" w:hint="default"/>
          <w:sz w:val="22"/>
          <w:szCs w:val="22"/>
        </w:rPr>
        <w:t>年 </w:t>
      </w:r>
      <w:r>
        <w:rPr>
          <w:rFonts w:ascii="Times New Roman" w:hAnsi="Times New Roman" w:cs="Times New Roman" w:eastAsia="Times New Roman" w:hint="default"/>
          <w:sz w:val="22"/>
          <w:szCs w:val="22"/>
        </w:rPr>
        <w:t>5 </w:t>
      </w:r>
      <w:r>
        <w:rPr>
          <w:rFonts w:ascii="宋体" w:hAnsi="宋体" w:cs="宋体" w:eastAsia="宋体" w:hint="default"/>
          <w:sz w:val="22"/>
          <w:szCs w:val="22"/>
        </w:rPr>
        <w:t>月 </w:t>
      </w:r>
      <w:r>
        <w:rPr>
          <w:rFonts w:ascii="Times New Roman" w:hAnsi="Times New Roman" w:cs="Times New Roman" w:eastAsia="Times New Roman" w:hint="default"/>
          <w:sz w:val="22"/>
          <w:szCs w:val="22"/>
        </w:rPr>
        <w:t>30 </w:t>
      </w:r>
      <w:r>
        <w:rPr>
          <w:rFonts w:ascii="Times New Roman" w:hAnsi="Times New Roman" w:cs="Times New Roman" w:eastAsia="Times New Roman" w:hint="default"/>
          <w:spacing w:val="29"/>
          <w:sz w:val="22"/>
          <w:szCs w:val="22"/>
        </w:rPr>
        <w:t> </w:t>
      </w:r>
      <w:r>
        <w:rPr>
          <w:rFonts w:ascii="宋体" w:hAnsi="宋体" w:cs="宋体" w:eastAsia="宋体" w:hint="default"/>
          <w:sz w:val="22"/>
          <w:szCs w:val="22"/>
        </w:rPr>
        <w:t>日的总股本</w:t>
      </w:r>
    </w:p>
    <w:p>
      <w:pPr>
        <w:spacing w:before="53"/>
        <w:ind w:left="202" w:right="94"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751,515,811</w:t>
      </w:r>
      <w:r>
        <w:rPr>
          <w:rFonts w:ascii="Times New Roman" w:hAnsi="Times New Roman" w:cs="Times New Roman" w:eastAsia="Times New Roman" w:hint="default"/>
          <w:spacing w:val="5"/>
          <w:sz w:val="22"/>
          <w:szCs w:val="22"/>
        </w:rPr>
        <w:t> </w:t>
      </w:r>
      <w:r>
        <w:rPr>
          <w:rFonts w:ascii="宋体" w:hAnsi="宋体" w:cs="宋体" w:eastAsia="宋体" w:hint="default"/>
          <w:spacing w:val="-4"/>
          <w:sz w:val="22"/>
          <w:szCs w:val="22"/>
        </w:rPr>
        <w:t>为基数，向全体股东以</w:t>
      </w:r>
      <w:r>
        <w:rPr>
          <w:rFonts w:ascii="宋体" w:hAnsi="宋体" w:cs="宋体" w:eastAsia="宋体" w:hint="default"/>
          <w:spacing w:val="-52"/>
          <w:sz w:val="22"/>
          <w:szCs w:val="22"/>
        </w:rPr>
        <w:t> </w:t>
      </w:r>
      <w:r>
        <w:rPr>
          <w:rFonts w:ascii="Times New Roman" w:hAnsi="Times New Roman" w:cs="Times New Roman" w:eastAsia="Times New Roman" w:hint="default"/>
          <w:sz w:val="22"/>
          <w:szCs w:val="22"/>
        </w:rPr>
        <w:t>10:3</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的比例转增</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225,454,743</w:t>
      </w:r>
      <w:r>
        <w:rPr>
          <w:rFonts w:ascii="Times New Roman" w:hAnsi="Times New Roman" w:cs="Times New Roman" w:eastAsia="Times New Roman" w:hint="default"/>
          <w:spacing w:val="5"/>
          <w:sz w:val="22"/>
          <w:szCs w:val="22"/>
        </w:rPr>
        <w:t> </w:t>
      </w:r>
      <w:r>
        <w:rPr>
          <w:rFonts w:ascii="宋体" w:hAnsi="宋体" w:cs="宋体" w:eastAsia="宋体" w:hint="default"/>
          <w:spacing w:val="-6"/>
          <w:sz w:val="22"/>
          <w:szCs w:val="22"/>
        </w:rPr>
        <w:t>股，转增完成后，公司总</w:t>
      </w:r>
    </w:p>
    <w:p>
      <w:pPr>
        <w:spacing w:before="53"/>
        <w:ind w:left="202" w:right="94" w:firstLine="0"/>
        <w:jc w:val="left"/>
        <w:rPr>
          <w:rFonts w:ascii="宋体" w:hAnsi="宋体" w:cs="宋体" w:eastAsia="宋体" w:hint="default"/>
          <w:sz w:val="22"/>
          <w:szCs w:val="22"/>
        </w:rPr>
      </w:pPr>
      <w:r>
        <w:rPr>
          <w:rFonts w:ascii="宋体" w:hAnsi="宋体" w:cs="宋体" w:eastAsia="宋体" w:hint="default"/>
          <w:sz w:val="22"/>
          <w:szCs w:val="22"/>
        </w:rPr>
        <w:t>股本增至</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976,970,554</w:t>
      </w:r>
      <w:r>
        <w:rPr>
          <w:rFonts w:ascii="Times New Roman" w:hAnsi="Times New Roman" w:cs="Times New Roman" w:eastAsia="Times New Roman" w:hint="default"/>
          <w:spacing w:val="9"/>
          <w:sz w:val="22"/>
          <w:szCs w:val="22"/>
        </w:rPr>
        <w:t> </w:t>
      </w:r>
      <w:r>
        <w:rPr>
          <w:rFonts w:ascii="宋体" w:hAnsi="宋体" w:cs="宋体" w:eastAsia="宋体" w:hint="default"/>
          <w:spacing w:val="-5"/>
          <w:sz w:val="22"/>
          <w:szCs w:val="22"/>
        </w:rPr>
        <w:t>股，其中：有限售条件的流通股</w:t>
      </w:r>
      <w:r>
        <w:rPr>
          <w:rFonts w:ascii="宋体" w:hAnsi="宋体" w:cs="宋体" w:eastAsia="宋体" w:hint="default"/>
          <w:spacing w:val="-46"/>
          <w:sz w:val="22"/>
          <w:szCs w:val="22"/>
        </w:rPr>
        <w:t> </w:t>
      </w:r>
      <w:r>
        <w:rPr>
          <w:rFonts w:ascii="Times New Roman" w:hAnsi="Times New Roman" w:cs="Times New Roman" w:eastAsia="Times New Roman" w:hint="default"/>
          <w:sz w:val="22"/>
          <w:szCs w:val="22"/>
        </w:rPr>
        <w:t>246,983,074</w:t>
      </w:r>
      <w:r>
        <w:rPr>
          <w:rFonts w:ascii="Times New Roman" w:hAnsi="Times New Roman" w:cs="Times New Roman" w:eastAsia="Times New Roman" w:hint="default"/>
          <w:spacing w:val="5"/>
          <w:sz w:val="22"/>
          <w:szCs w:val="22"/>
        </w:rPr>
        <w:t> </w:t>
      </w:r>
      <w:r>
        <w:rPr>
          <w:rFonts w:ascii="宋体" w:hAnsi="宋体" w:cs="宋体" w:eastAsia="宋体" w:hint="default"/>
          <w:spacing w:val="-4"/>
          <w:sz w:val="22"/>
          <w:szCs w:val="22"/>
        </w:rPr>
        <w:t>股，无限售条件的流通</w:t>
      </w:r>
    </w:p>
    <w:p>
      <w:pPr>
        <w:spacing w:before="50"/>
        <w:ind w:left="202" w:right="94" w:firstLine="0"/>
        <w:jc w:val="left"/>
        <w:rPr>
          <w:rFonts w:ascii="宋体" w:hAnsi="宋体" w:cs="宋体" w:eastAsia="宋体" w:hint="default"/>
          <w:sz w:val="22"/>
          <w:szCs w:val="22"/>
        </w:rPr>
      </w:pPr>
      <w:r>
        <w:rPr>
          <w:rFonts w:ascii="宋体" w:hAnsi="宋体" w:cs="宋体" w:eastAsia="宋体" w:hint="default"/>
          <w:sz w:val="22"/>
          <w:szCs w:val="22"/>
        </w:rPr>
        <w:t>股</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729,987,480</w:t>
      </w:r>
      <w:r>
        <w:rPr>
          <w:rFonts w:ascii="Times New Roman" w:hAnsi="Times New Roman" w:cs="Times New Roman" w:eastAsia="Times New Roman" w:hint="default"/>
          <w:spacing w:val="1"/>
          <w:sz w:val="22"/>
          <w:szCs w:val="22"/>
        </w:rPr>
        <w:t> </w:t>
      </w:r>
      <w:r>
        <w:rPr>
          <w:rFonts w:ascii="宋体" w:hAnsi="宋体" w:cs="宋体" w:eastAsia="宋体" w:hint="default"/>
          <w:spacing w:val="-3"/>
          <w:sz w:val="22"/>
          <w:szCs w:val="22"/>
        </w:rPr>
        <w:t>股。</w:t>
      </w:r>
      <w:r>
        <w:rPr>
          <w:rFonts w:ascii="宋体" w:hAnsi="宋体" w:cs="宋体" w:eastAsia="宋体" w:hint="default"/>
          <w:sz w:val="22"/>
          <w:szCs w:val="22"/>
        </w:rPr>
      </w:r>
    </w:p>
    <w:p>
      <w:pPr>
        <w:spacing w:before="113"/>
        <w:ind w:left="641" w:right="94" w:firstLine="0"/>
        <w:jc w:val="left"/>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2009</w:t>
      </w:r>
      <w:r>
        <w:rPr>
          <w:rFonts w:ascii="Times New Roman" w:hAnsi="Times New Roman" w:cs="Times New Roman" w:eastAsia="Times New Roman" w:hint="default"/>
          <w:spacing w:val="14"/>
          <w:sz w:val="22"/>
          <w:szCs w:val="22"/>
        </w:rPr>
        <w:t> </w:t>
      </w:r>
      <w:r>
        <w:rPr>
          <w:rFonts w:ascii="宋体" w:hAnsi="宋体" w:cs="宋体" w:eastAsia="宋体" w:hint="default"/>
          <w:sz w:val="22"/>
          <w:szCs w:val="22"/>
        </w:rPr>
        <w:t>年</w:t>
      </w:r>
      <w:r>
        <w:rPr>
          <w:rFonts w:ascii="宋体" w:hAnsi="宋体" w:cs="宋体" w:eastAsia="宋体" w:hint="default"/>
          <w:spacing w:val="-41"/>
          <w:sz w:val="22"/>
          <w:szCs w:val="22"/>
        </w:rPr>
        <w:t> </w:t>
      </w:r>
      <w:r>
        <w:rPr>
          <w:rFonts w:ascii="Times New Roman" w:hAnsi="Times New Roman" w:cs="Times New Roman" w:eastAsia="Times New Roman" w:hint="default"/>
          <w:sz w:val="22"/>
          <w:szCs w:val="22"/>
        </w:rPr>
        <w:t>2</w:t>
      </w:r>
      <w:r>
        <w:rPr>
          <w:rFonts w:ascii="Times New Roman" w:hAnsi="Times New Roman" w:cs="Times New Roman" w:eastAsia="Times New Roman" w:hint="default"/>
          <w:spacing w:val="14"/>
          <w:sz w:val="22"/>
          <w:szCs w:val="22"/>
        </w:rPr>
        <w:t> </w:t>
      </w:r>
      <w:r>
        <w:rPr>
          <w:rFonts w:ascii="宋体" w:hAnsi="宋体" w:cs="宋体" w:eastAsia="宋体" w:hint="default"/>
          <w:sz w:val="22"/>
          <w:szCs w:val="22"/>
        </w:rPr>
        <w:t>月，有限售条件的流通股</w:t>
      </w:r>
      <w:r>
        <w:rPr>
          <w:rFonts w:ascii="宋体" w:hAnsi="宋体" w:cs="宋体" w:eastAsia="宋体" w:hint="default"/>
          <w:spacing w:val="-40"/>
          <w:sz w:val="22"/>
          <w:szCs w:val="22"/>
        </w:rPr>
        <w:t> </w:t>
      </w:r>
      <w:r>
        <w:rPr>
          <w:rFonts w:ascii="Times New Roman" w:hAnsi="Times New Roman" w:cs="Times New Roman" w:eastAsia="Times New Roman" w:hint="default"/>
          <w:sz w:val="22"/>
          <w:szCs w:val="22"/>
        </w:rPr>
        <w:t>246,983,074</w:t>
      </w:r>
      <w:r>
        <w:rPr>
          <w:rFonts w:ascii="Times New Roman" w:hAnsi="Times New Roman" w:cs="Times New Roman" w:eastAsia="Times New Roman" w:hint="default"/>
          <w:spacing w:val="12"/>
          <w:sz w:val="22"/>
          <w:szCs w:val="22"/>
        </w:rPr>
        <w:t> </w:t>
      </w:r>
      <w:r>
        <w:rPr>
          <w:rFonts w:ascii="宋体" w:hAnsi="宋体" w:cs="宋体" w:eastAsia="宋体" w:hint="default"/>
          <w:sz w:val="22"/>
          <w:szCs w:val="22"/>
        </w:rPr>
        <w:t>股上市流通。截至</w:t>
      </w:r>
      <w:r>
        <w:rPr>
          <w:rFonts w:ascii="宋体" w:hAnsi="宋体" w:cs="宋体" w:eastAsia="宋体" w:hint="default"/>
          <w:spacing w:val="-40"/>
          <w:sz w:val="22"/>
          <w:szCs w:val="22"/>
        </w:rPr>
        <w:t> </w:t>
      </w:r>
      <w:r>
        <w:rPr>
          <w:rFonts w:ascii="Times New Roman" w:hAnsi="Times New Roman" w:cs="Times New Roman" w:eastAsia="Times New Roman" w:hint="default"/>
          <w:sz w:val="22"/>
          <w:szCs w:val="22"/>
        </w:rPr>
        <w:t>2009</w:t>
      </w:r>
      <w:r>
        <w:rPr>
          <w:rFonts w:ascii="Times New Roman" w:hAnsi="Times New Roman" w:cs="Times New Roman" w:eastAsia="Times New Roman" w:hint="default"/>
          <w:spacing w:val="12"/>
          <w:sz w:val="22"/>
          <w:szCs w:val="22"/>
        </w:rPr>
        <w:t> </w:t>
      </w:r>
      <w:r>
        <w:rPr>
          <w:rFonts w:ascii="宋体" w:hAnsi="宋体" w:cs="宋体" w:eastAsia="宋体" w:hint="default"/>
          <w:sz w:val="22"/>
          <w:szCs w:val="22"/>
        </w:rPr>
        <w:t>年</w:t>
      </w:r>
      <w:r>
        <w:rPr>
          <w:rFonts w:ascii="宋体" w:hAnsi="宋体" w:cs="宋体" w:eastAsia="宋体" w:hint="default"/>
          <w:spacing w:val="-41"/>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14"/>
          <w:sz w:val="22"/>
          <w:szCs w:val="22"/>
        </w:rPr>
        <w:t> </w:t>
      </w:r>
      <w:r>
        <w:rPr>
          <w:rFonts w:ascii="宋体" w:hAnsi="宋体" w:cs="宋体" w:eastAsia="宋体" w:hint="default"/>
          <w:sz w:val="22"/>
          <w:szCs w:val="22"/>
        </w:rPr>
        <w:t>月</w:t>
      </w:r>
      <w:r>
        <w:rPr>
          <w:rFonts w:ascii="宋体" w:hAnsi="宋体" w:cs="宋体" w:eastAsia="宋体" w:hint="default"/>
          <w:spacing w:val="-41"/>
          <w:sz w:val="22"/>
          <w:szCs w:val="22"/>
        </w:rPr>
        <w:t> </w:t>
      </w:r>
      <w:r>
        <w:rPr>
          <w:rFonts w:ascii="Times New Roman" w:hAnsi="Times New Roman" w:cs="Times New Roman" w:eastAsia="Times New Roman" w:hint="default"/>
          <w:sz w:val="22"/>
          <w:szCs w:val="22"/>
        </w:rPr>
        <w:t>31</w:t>
      </w:r>
    </w:p>
    <w:p>
      <w:pPr>
        <w:spacing w:before="50"/>
        <w:ind w:left="202" w:right="94" w:firstLine="0"/>
        <w:jc w:val="left"/>
        <w:rPr>
          <w:rFonts w:ascii="宋体" w:hAnsi="宋体" w:cs="宋体" w:eastAsia="宋体" w:hint="default"/>
          <w:sz w:val="22"/>
          <w:szCs w:val="22"/>
        </w:rPr>
      </w:pPr>
      <w:r>
        <w:rPr>
          <w:rFonts w:ascii="宋体" w:hAnsi="宋体" w:cs="宋体" w:eastAsia="宋体" w:hint="default"/>
          <w:sz w:val="22"/>
          <w:szCs w:val="22"/>
        </w:rPr>
        <w:t>日，公司总股本</w:t>
      </w:r>
      <w:r>
        <w:rPr>
          <w:rFonts w:ascii="宋体" w:hAnsi="宋体" w:cs="宋体" w:eastAsia="宋体" w:hint="default"/>
          <w:spacing w:val="-60"/>
          <w:sz w:val="22"/>
          <w:szCs w:val="22"/>
        </w:rPr>
        <w:t> </w:t>
      </w:r>
      <w:r>
        <w:rPr>
          <w:rFonts w:ascii="Times New Roman" w:hAnsi="Times New Roman" w:cs="Times New Roman" w:eastAsia="Times New Roman" w:hint="default"/>
          <w:sz w:val="22"/>
          <w:szCs w:val="22"/>
        </w:rPr>
        <w:t>976,970,554</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股，全部为无限售条件的流通股。</w:t>
      </w:r>
    </w:p>
    <w:p>
      <w:pPr>
        <w:spacing w:before="113"/>
        <w:ind w:left="641" w:right="94"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2010  </w:t>
      </w:r>
      <w:r>
        <w:rPr>
          <w:rFonts w:ascii="宋体" w:hAnsi="宋体" w:cs="宋体" w:eastAsia="宋体" w:hint="default"/>
          <w:sz w:val="22"/>
          <w:szCs w:val="22"/>
        </w:rPr>
        <w:t>年 </w:t>
      </w:r>
      <w:r>
        <w:rPr>
          <w:rFonts w:ascii="Times New Roman" w:hAnsi="Times New Roman" w:cs="Times New Roman" w:eastAsia="Times New Roman" w:hint="default"/>
          <w:sz w:val="22"/>
          <w:szCs w:val="22"/>
        </w:rPr>
        <w:t>7</w:t>
      </w:r>
      <w:r>
        <w:rPr>
          <w:rFonts w:ascii="Times New Roman" w:hAnsi="Times New Roman" w:cs="Times New Roman" w:eastAsia="Times New Roman" w:hint="default"/>
          <w:spacing w:val="-24"/>
          <w:sz w:val="22"/>
          <w:szCs w:val="22"/>
        </w:rPr>
        <w:t> </w:t>
      </w:r>
      <w:r>
        <w:rPr>
          <w:rFonts w:ascii="宋体" w:hAnsi="宋体" w:cs="宋体" w:eastAsia="宋体" w:hint="default"/>
          <w:sz w:val="22"/>
          <w:szCs w:val="22"/>
        </w:rPr>
        <w:t>月，公司向唐山晶源电子科技有限公司（合并后更名为“同方国芯电子股</w:t>
      </w:r>
    </w:p>
    <w:p>
      <w:pPr>
        <w:spacing w:before="53"/>
        <w:ind w:left="202" w:right="94" w:firstLine="0"/>
        <w:jc w:val="left"/>
        <w:rPr>
          <w:rFonts w:ascii="宋体" w:hAnsi="宋体" w:cs="宋体" w:eastAsia="宋体" w:hint="default"/>
          <w:sz w:val="22"/>
          <w:szCs w:val="22"/>
        </w:rPr>
      </w:pPr>
      <w:r>
        <w:rPr>
          <w:rFonts w:ascii="宋体" w:hAnsi="宋体" w:cs="宋体" w:eastAsia="宋体" w:hint="default"/>
          <w:sz w:val="22"/>
          <w:szCs w:val="22"/>
        </w:rPr>
        <w:t>份有限公司”）定向增发</w:t>
      </w:r>
      <w:r>
        <w:rPr>
          <w:rFonts w:ascii="宋体" w:hAnsi="宋体" w:cs="宋体" w:eastAsia="宋体" w:hint="default"/>
          <w:spacing w:val="-45"/>
          <w:sz w:val="22"/>
          <w:szCs w:val="22"/>
        </w:rPr>
        <w:t> </w:t>
      </w:r>
      <w:r>
        <w:rPr>
          <w:rFonts w:ascii="Times New Roman" w:hAnsi="Times New Roman" w:cs="Times New Roman" w:eastAsia="Times New Roman" w:hint="default"/>
          <w:sz w:val="22"/>
          <w:szCs w:val="22"/>
        </w:rPr>
        <w:t>16,880,000</w:t>
      </w:r>
      <w:r>
        <w:rPr>
          <w:rFonts w:ascii="Times New Roman" w:hAnsi="Times New Roman" w:cs="Times New Roman" w:eastAsia="Times New Roman" w:hint="default"/>
          <w:spacing w:val="7"/>
          <w:sz w:val="22"/>
          <w:szCs w:val="22"/>
        </w:rPr>
        <w:t> </w:t>
      </w:r>
      <w:r>
        <w:rPr>
          <w:rFonts w:ascii="宋体" w:hAnsi="宋体" w:cs="宋体" w:eastAsia="宋体" w:hint="default"/>
          <w:sz w:val="22"/>
          <w:szCs w:val="22"/>
        </w:rPr>
        <w:t>股，致使股份总数增至</w:t>
      </w:r>
      <w:r>
        <w:rPr>
          <w:rFonts w:ascii="宋体" w:hAnsi="宋体" w:cs="宋体" w:eastAsia="宋体" w:hint="default"/>
          <w:spacing w:val="-45"/>
          <w:sz w:val="22"/>
          <w:szCs w:val="22"/>
        </w:rPr>
        <w:t> </w:t>
      </w:r>
      <w:r>
        <w:rPr>
          <w:rFonts w:ascii="Times New Roman" w:hAnsi="Times New Roman" w:cs="Times New Roman" w:eastAsia="Times New Roman" w:hint="default"/>
          <w:sz w:val="22"/>
          <w:szCs w:val="22"/>
        </w:rPr>
        <w:t>993,850,554</w:t>
      </w:r>
      <w:r>
        <w:rPr>
          <w:rFonts w:ascii="Times New Roman" w:hAnsi="Times New Roman" w:cs="Times New Roman" w:eastAsia="Times New Roman" w:hint="default"/>
          <w:spacing w:val="8"/>
          <w:sz w:val="22"/>
          <w:szCs w:val="22"/>
        </w:rPr>
        <w:t> </w:t>
      </w:r>
      <w:r>
        <w:rPr>
          <w:rFonts w:ascii="宋体" w:hAnsi="宋体" w:cs="宋体" w:eastAsia="宋体" w:hint="default"/>
          <w:sz w:val="22"/>
          <w:szCs w:val="22"/>
        </w:rPr>
        <w:t>股，其中：有限</w:t>
      </w:r>
    </w:p>
    <w:p>
      <w:pPr>
        <w:spacing w:before="50"/>
        <w:ind w:left="202" w:right="94" w:firstLine="0"/>
        <w:jc w:val="left"/>
        <w:rPr>
          <w:rFonts w:ascii="宋体" w:hAnsi="宋体" w:cs="宋体" w:eastAsia="宋体" w:hint="default"/>
          <w:sz w:val="22"/>
          <w:szCs w:val="22"/>
        </w:rPr>
      </w:pPr>
      <w:r>
        <w:rPr>
          <w:rFonts w:ascii="宋体" w:hAnsi="宋体" w:cs="宋体" w:eastAsia="宋体" w:hint="default"/>
          <w:sz w:val="22"/>
          <w:szCs w:val="22"/>
        </w:rPr>
        <w:t>售条件的流通股</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16,880,000 </w:t>
      </w:r>
      <w:r>
        <w:rPr>
          <w:rFonts w:ascii="宋体" w:hAnsi="宋体" w:cs="宋体" w:eastAsia="宋体" w:hint="default"/>
          <w:sz w:val="22"/>
          <w:szCs w:val="22"/>
        </w:rPr>
        <w:t>股，无限售条件的流通股</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976,970,554</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股。</w:t>
      </w:r>
    </w:p>
    <w:p>
      <w:pPr>
        <w:spacing w:before="113"/>
        <w:ind w:left="641" w:right="94"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2011 </w:t>
      </w:r>
      <w:r>
        <w:rPr>
          <w:rFonts w:ascii="宋体" w:hAnsi="宋体" w:cs="宋体" w:eastAsia="宋体" w:hint="default"/>
          <w:sz w:val="22"/>
          <w:szCs w:val="22"/>
        </w:rPr>
        <w:t>年 </w:t>
      </w:r>
      <w:r>
        <w:rPr>
          <w:rFonts w:ascii="Times New Roman" w:hAnsi="Times New Roman" w:cs="Times New Roman" w:eastAsia="Times New Roman" w:hint="default"/>
          <w:sz w:val="22"/>
          <w:szCs w:val="22"/>
        </w:rPr>
        <w:t>5 </w:t>
      </w:r>
      <w:r>
        <w:rPr>
          <w:rFonts w:ascii="宋体" w:hAnsi="宋体" w:cs="宋体" w:eastAsia="宋体" w:hint="default"/>
          <w:sz w:val="22"/>
          <w:szCs w:val="22"/>
        </w:rPr>
        <w:t>月，公司完成资本公积金转增股本，以公司 </w:t>
      </w:r>
      <w:r>
        <w:rPr>
          <w:rFonts w:ascii="Times New Roman" w:hAnsi="Times New Roman" w:cs="Times New Roman" w:eastAsia="Times New Roman" w:hint="default"/>
          <w:sz w:val="22"/>
          <w:szCs w:val="22"/>
        </w:rPr>
        <w:t>2010 </w:t>
      </w:r>
      <w:r>
        <w:rPr>
          <w:rFonts w:ascii="宋体" w:hAnsi="宋体" w:cs="宋体" w:eastAsia="宋体" w:hint="default"/>
          <w:sz w:val="22"/>
          <w:szCs w:val="22"/>
        </w:rPr>
        <w:t>年 </w:t>
      </w:r>
      <w:r>
        <w:rPr>
          <w:rFonts w:ascii="Times New Roman" w:hAnsi="Times New Roman" w:cs="Times New Roman" w:eastAsia="Times New Roman" w:hint="default"/>
          <w:sz w:val="22"/>
          <w:szCs w:val="22"/>
        </w:rPr>
        <w:t>12 </w:t>
      </w:r>
      <w:r>
        <w:rPr>
          <w:rFonts w:ascii="宋体" w:hAnsi="宋体" w:cs="宋体" w:eastAsia="宋体" w:hint="default"/>
          <w:sz w:val="22"/>
          <w:szCs w:val="22"/>
        </w:rPr>
        <w:t>月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24"/>
          <w:sz w:val="22"/>
          <w:szCs w:val="22"/>
        </w:rPr>
        <w:t> </w:t>
      </w:r>
      <w:r>
        <w:rPr>
          <w:rFonts w:ascii="宋体" w:hAnsi="宋体" w:cs="宋体" w:eastAsia="宋体" w:hint="default"/>
          <w:sz w:val="22"/>
          <w:szCs w:val="22"/>
        </w:rPr>
        <w:t>日的总股本</w:t>
      </w:r>
    </w:p>
    <w:p>
      <w:pPr>
        <w:spacing w:before="50"/>
        <w:ind w:left="202" w:right="94"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993,850,554</w:t>
      </w:r>
      <w:r>
        <w:rPr>
          <w:rFonts w:ascii="Times New Roman" w:hAnsi="Times New Roman" w:cs="Times New Roman" w:eastAsia="Times New Roman" w:hint="default"/>
          <w:spacing w:val="-1"/>
          <w:sz w:val="22"/>
          <w:szCs w:val="22"/>
        </w:rPr>
        <w:t> </w:t>
      </w:r>
      <w:r>
        <w:rPr>
          <w:rFonts w:ascii="宋体" w:hAnsi="宋体" w:cs="宋体" w:eastAsia="宋体" w:hint="default"/>
          <w:spacing w:val="-3"/>
          <w:sz w:val="22"/>
          <w:szCs w:val="22"/>
        </w:rPr>
        <w:t>股为基数，每</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10</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股转增</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10</w:t>
      </w:r>
      <w:r>
        <w:rPr>
          <w:rFonts w:ascii="Times New Roman" w:hAnsi="Times New Roman" w:cs="Times New Roman" w:eastAsia="Times New Roman" w:hint="default"/>
          <w:spacing w:val="-4"/>
          <w:sz w:val="22"/>
          <w:szCs w:val="22"/>
        </w:rPr>
        <w:t> </w:t>
      </w:r>
      <w:r>
        <w:rPr>
          <w:rFonts w:ascii="宋体" w:hAnsi="宋体" w:cs="宋体" w:eastAsia="宋体" w:hint="default"/>
          <w:sz w:val="22"/>
          <w:szCs w:val="22"/>
        </w:rPr>
        <w:t>股。实施完成后，公司总股本由</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993,850,554</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股增</w:t>
      </w:r>
    </w:p>
    <w:p>
      <w:pPr>
        <w:spacing w:before="53"/>
        <w:ind w:left="202" w:right="94" w:firstLine="0"/>
        <w:jc w:val="left"/>
        <w:rPr>
          <w:rFonts w:ascii="宋体" w:hAnsi="宋体" w:cs="宋体" w:eastAsia="宋体" w:hint="default"/>
          <w:sz w:val="22"/>
          <w:szCs w:val="22"/>
        </w:rPr>
      </w:pPr>
      <w:r>
        <w:rPr>
          <w:rFonts w:ascii="宋体" w:hAnsi="宋体" w:cs="宋体" w:eastAsia="宋体" w:hint="default"/>
          <w:sz w:val="22"/>
          <w:szCs w:val="22"/>
        </w:rPr>
        <w:t>至</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1,987,701,108</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股。</w:t>
      </w:r>
    </w:p>
    <w:p>
      <w:pPr>
        <w:spacing w:before="113"/>
        <w:ind w:left="641" w:right="94"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2013  </w:t>
      </w:r>
      <w:r>
        <w:rPr>
          <w:rFonts w:ascii="宋体" w:hAnsi="宋体" w:cs="宋体" w:eastAsia="宋体" w:hint="default"/>
          <w:sz w:val="22"/>
          <w:szCs w:val="22"/>
        </w:rPr>
        <w:t>年 </w:t>
      </w:r>
      <w:r>
        <w:rPr>
          <w:rFonts w:ascii="Times New Roman" w:hAnsi="Times New Roman" w:cs="Times New Roman" w:eastAsia="Times New Roman" w:hint="default"/>
          <w:sz w:val="22"/>
          <w:szCs w:val="22"/>
        </w:rPr>
        <w:t>8  </w:t>
      </w:r>
      <w:r>
        <w:rPr>
          <w:rFonts w:ascii="宋体" w:hAnsi="宋体" w:cs="宋体" w:eastAsia="宋体" w:hint="default"/>
          <w:spacing w:val="2"/>
          <w:sz w:val="22"/>
          <w:szCs w:val="22"/>
        </w:rPr>
        <w:t>月，公司向特定对象非公开发行人民币普通股 </w:t>
      </w:r>
      <w:r>
        <w:rPr>
          <w:rFonts w:ascii="Times New Roman" w:hAnsi="Times New Roman" w:cs="Times New Roman" w:eastAsia="Times New Roman" w:hint="default"/>
          <w:sz w:val="22"/>
          <w:szCs w:val="22"/>
        </w:rPr>
        <w:t>210,181,130  </w:t>
      </w:r>
      <w:r>
        <w:rPr>
          <w:rFonts w:ascii="Times New Roman" w:hAnsi="Times New Roman" w:cs="Times New Roman" w:eastAsia="Times New Roman" w:hint="default"/>
          <w:spacing w:val="28"/>
          <w:sz w:val="22"/>
          <w:szCs w:val="22"/>
        </w:rPr>
        <w:t> </w:t>
      </w:r>
      <w:r>
        <w:rPr>
          <w:rFonts w:ascii="宋体" w:hAnsi="宋体" w:cs="宋体" w:eastAsia="宋体" w:hint="default"/>
          <w:spacing w:val="3"/>
          <w:sz w:val="22"/>
          <w:szCs w:val="22"/>
        </w:rPr>
        <w:t>股，其中，</w:t>
      </w:r>
      <w:r>
        <w:rPr>
          <w:rFonts w:ascii="宋体" w:hAnsi="宋体" w:cs="宋体" w:eastAsia="宋体" w:hint="default"/>
          <w:sz w:val="22"/>
          <w:szCs w:val="22"/>
        </w:rPr>
      </w:r>
    </w:p>
    <w:p>
      <w:pPr>
        <w:spacing w:before="50"/>
        <w:ind w:left="202" w:right="94" w:firstLine="0"/>
        <w:jc w:val="left"/>
        <w:rPr>
          <w:rFonts w:ascii="宋体" w:hAnsi="宋体" w:cs="宋体" w:eastAsia="宋体" w:hint="default"/>
          <w:sz w:val="22"/>
          <w:szCs w:val="22"/>
        </w:rPr>
      </w:pPr>
      <w:r>
        <w:rPr>
          <w:rFonts w:ascii="Times New Roman" w:hAnsi="Times New Roman" w:cs="Times New Roman" w:eastAsia="Times New Roman" w:hint="default"/>
          <w:w w:val="100"/>
          <w:sz w:val="22"/>
          <w:szCs w:val="22"/>
        </w:rPr>
        <w:t>157,724,4</w:t>
      </w:r>
      <w:r>
        <w:rPr>
          <w:rFonts w:ascii="Times New Roman" w:hAnsi="Times New Roman" w:cs="Times New Roman" w:eastAsia="Times New Roman" w:hint="default"/>
          <w:spacing w:val="-3"/>
          <w:w w:val="100"/>
          <w:sz w:val="22"/>
          <w:szCs w:val="22"/>
        </w:rPr>
        <w:t>8</w:t>
      </w:r>
      <w:r>
        <w:rPr>
          <w:rFonts w:ascii="Times New Roman" w:hAnsi="Times New Roman" w:cs="Times New Roman" w:eastAsia="Times New Roman" w:hint="default"/>
          <w:w w:val="100"/>
          <w:sz w:val="22"/>
          <w:szCs w:val="22"/>
        </w:rPr>
        <w:t>3</w:t>
      </w:r>
      <w:r>
        <w:rPr>
          <w:rFonts w:ascii="Times New Roman" w:hAnsi="Times New Roman" w:cs="Times New Roman" w:eastAsia="Times New Roman" w:hint="default"/>
          <w:sz w:val="22"/>
          <w:szCs w:val="22"/>
        </w:rPr>
        <w:t> </w:t>
      </w:r>
      <w:r>
        <w:rPr>
          <w:rFonts w:ascii="宋体" w:hAnsi="宋体" w:cs="宋体" w:eastAsia="宋体" w:hint="default"/>
          <w:w w:val="100"/>
          <w:sz w:val="22"/>
          <w:szCs w:val="22"/>
        </w:rPr>
        <w:t>股</w:t>
      </w:r>
      <w:r>
        <w:rPr>
          <w:rFonts w:ascii="宋体" w:hAnsi="宋体" w:cs="宋体" w:eastAsia="宋体" w:hint="default"/>
          <w:spacing w:val="-3"/>
          <w:w w:val="100"/>
          <w:sz w:val="22"/>
          <w:szCs w:val="22"/>
        </w:rPr>
        <w:t>直</w:t>
      </w:r>
      <w:r>
        <w:rPr>
          <w:rFonts w:ascii="宋体" w:hAnsi="宋体" w:cs="宋体" w:eastAsia="宋体" w:hint="default"/>
          <w:w w:val="100"/>
          <w:sz w:val="22"/>
          <w:szCs w:val="22"/>
        </w:rPr>
        <w:t>接用</w:t>
      </w:r>
      <w:r>
        <w:rPr>
          <w:rFonts w:ascii="宋体" w:hAnsi="宋体" w:cs="宋体" w:eastAsia="宋体" w:hint="default"/>
          <w:spacing w:val="-3"/>
          <w:w w:val="100"/>
          <w:sz w:val="22"/>
          <w:szCs w:val="22"/>
        </w:rPr>
        <w:t>作</w:t>
      </w:r>
      <w:r>
        <w:rPr>
          <w:rFonts w:ascii="宋体" w:hAnsi="宋体" w:cs="宋体" w:eastAsia="宋体" w:hint="default"/>
          <w:w w:val="100"/>
          <w:sz w:val="22"/>
          <w:szCs w:val="22"/>
        </w:rPr>
        <w:t>北京壹</w:t>
      </w:r>
      <w:r>
        <w:rPr>
          <w:rFonts w:ascii="宋体" w:hAnsi="宋体" w:cs="宋体" w:eastAsia="宋体" w:hint="default"/>
          <w:spacing w:val="-3"/>
          <w:w w:val="100"/>
          <w:sz w:val="22"/>
          <w:szCs w:val="22"/>
        </w:rPr>
        <w:t>人</w:t>
      </w:r>
      <w:r>
        <w:rPr>
          <w:rFonts w:ascii="宋体" w:hAnsi="宋体" w:cs="宋体" w:eastAsia="宋体" w:hint="default"/>
          <w:w w:val="100"/>
          <w:sz w:val="22"/>
          <w:szCs w:val="22"/>
        </w:rPr>
        <w:t>壹本</w:t>
      </w:r>
      <w:r>
        <w:rPr>
          <w:rFonts w:ascii="宋体" w:hAnsi="宋体" w:cs="宋体" w:eastAsia="宋体" w:hint="default"/>
          <w:spacing w:val="-3"/>
          <w:w w:val="100"/>
          <w:sz w:val="22"/>
          <w:szCs w:val="22"/>
        </w:rPr>
        <w:t>信</w:t>
      </w:r>
      <w:r>
        <w:rPr>
          <w:rFonts w:ascii="宋体" w:hAnsi="宋体" w:cs="宋体" w:eastAsia="宋体" w:hint="default"/>
          <w:w w:val="100"/>
          <w:sz w:val="22"/>
          <w:szCs w:val="22"/>
        </w:rPr>
        <w:t>息科</w:t>
      </w:r>
      <w:r>
        <w:rPr>
          <w:rFonts w:ascii="宋体" w:hAnsi="宋体" w:cs="宋体" w:eastAsia="宋体" w:hint="default"/>
          <w:spacing w:val="-3"/>
          <w:w w:val="100"/>
          <w:sz w:val="22"/>
          <w:szCs w:val="22"/>
        </w:rPr>
        <w:t>技有</w:t>
      </w:r>
      <w:r>
        <w:rPr>
          <w:rFonts w:ascii="宋体" w:hAnsi="宋体" w:cs="宋体" w:eastAsia="宋体" w:hint="default"/>
          <w:w w:val="100"/>
          <w:sz w:val="22"/>
          <w:szCs w:val="22"/>
        </w:rPr>
        <w:t>限公司</w:t>
      </w:r>
      <w:r>
        <w:rPr>
          <w:rFonts w:ascii="宋体" w:hAnsi="宋体" w:cs="宋体" w:eastAsia="宋体" w:hint="default"/>
          <w:spacing w:val="-54"/>
          <w:sz w:val="22"/>
          <w:szCs w:val="22"/>
        </w:rPr>
        <w:t> </w:t>
      </w:r>
      <w:r>
        <w:rPr>
          <w:rFonts w:ascii="Times New Roman" w:hAnsi="Times New Roman" w:cs="Times New Roman" w:eastAsia="Times New Roman" w:hint="default"/>
          <w:w w:val="100"/>
          <w:sz w:val="22"/>
          <w:szCs w:val="22"/>
        </w:rPr>
        <w:t>75</w:t>
      </w:r>
      <w:r>
        <w:rPr>
          <w:rFonts w:ascii="Times New Roman" w:hAnsi="Times New Roman" w:cs="Times New Roman" w:eastAsia="Times New Roman" w:hint="default"/>
          <w:spacing w:val="-3"/>
          <w:w w:val="100"/>
          <w:sz w:val="22"/>
          <w:szCs w:val="22"/>
        </w:rPr>
        <w:t>.</w:t>
      </w:r>
      <w:r>
        <w:rPr>
          <w:rFonts w:ascii="Times New Roman" w:hAnsi="Times New Roman" w:cs="Times New Roman" w:eastAsia="Times New Roman" w:hint="default"/>
          <w:w w:val="100"/>
          <w:sz w:val="22"/>
          <w:szCs w:val="22"/>
        </w:rPr>
        <w:t>2726</w:t>
      </w:r>
      <w:r>
        <w:rPr>
          <w:rFonts w:ascii="Times New Roman" w:hAnsi="Times New Roman" w:cs="Times New Roman" w:eastAsia="Times New Roman" w:hint="default"/>
          <w:spacing w:val="-3"/>
          <w:w w:val="100"/>
          <w:sz w:val="22"/>
          <w:szCs w:val="22"/>
        </w:rPr>
        <w:t>5</w:t>
      </w:r>
      <w:r>
        <w:rPr>
          <w:rFonts w:ascii="Times New Roman" w:hAnsi="Times New Roman" w:cs="Times New Roman" w:eastAsia="Times New Roman" w:hint="default"/>
          <w:w w:val="100"/>
          <w:sz w:val="22"/>
          <w:szCs w:val="22"/>
        </w:rPr>
        <w:t>%</w:t>
      </w:r>
      <w:r>
        <w:rPr>
          <w:rFonts w:ascii="宋体" w:hAnsi="宋体" w:cs="宋体" w:eastAsia="宋体" w:hint="default"/>
          <w:spacing w:val="-3"/>
          <w:w w:val="100"/>
          <w:sz w:val="22"/>
          <w:szCs w:val="22"/>
        </w:rPr>
        <w:t>股</w:t>
      </w:r>
      <w:r>
        <w:rPr>
          <w:rFonts w:ascii="宋体" w:hAnsi="宋体" w:cs="宋体" w:eastAsia="宋体" w:hint="default"/>
          <w:w w:val="100"/>
          <w:sz w:val="22"/>
          <w:szCs w:val="22"/>
        </w:rPr>
        <w:t>权</w:t>
      </w:r>
      <w:r>
        <w:rPr>
          <w:rFonts w:ascii="宋体" w:hAnsi="宋体" w:cs="宋体" w:eastAsia="宋体" w:hint="default"/>
          <w:spacing w:val="-3"/>
          <w:w w:val="100"/>
          <w:sz w:val="22"/>
          <w:szCs w:val="22"/>
        </w:rPr>
        <w:t>的</w:t>
      </w:r>
      <w:r>
        <w:rPr>
          <w:rFonts w:ascii="宋体" w:hAnsi="宋体" w:cs="宋体" w:eastAsia="宋体" w:hint="default"/>
          <w:w w:val="100"/>
          <w:sz w:val="22"/>
          <w:szCs w:val="22"/>
        </w:rPr>
        <w:t>收购对</w:t>
      </w:r>
      <w:r>
        <w:rPr>
          <w:rFonts w:ascii="宋体" w:hAnsi="宋体" w:cs="宋体" w:eastAsia="宋体" w:hint="default"/>
          <w:spacing w:val="-3"/>
          <w:w w:val="100"/>
          <w:sz w:val="22"/>
          <w:szCs w:val="22"/>
        </w:rPr>
        <w:t>价</w:t>
      </w:r>
      <w:r>
        <w:rPr>
          <w:rFonts w:ascii="宋体" w:hAnsi="宋体" w:cs="宋体" w:eastAsia="宋体" w:hint="default"/>
          <w:spacing w:val="-92"/>
          <w:w w:val="100"/>
          <w:sz w:val="22"/>
          <w:szCs w:val="22"/>
        </w:rPr>
        <w:t>，</w:t>
      </w:r>
      <w:r>
        <w:rPr>
          <w:rFonts w:ascii="宋体" w:hAnsi="宋体" w:cs="宋体" w:eastAsia="宋体" w:hint="default"/>
          <w:w w:val="100"/>
          <w:sz w:val="22"/>
          <w:szCs w:val="22"/>
        </w:rPr>
        <w:t>其余</w:t>
      </w:r>
    </w:p>
    <w:p>
      <w:pPr>
        <w:spacing w:before="53"/>
        <w:ind w:left="202" w:right="94"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52,456,647 </w:t>
      </w:r>
      <w:r>
        <w:rPr>
          <w:rFonts w:ascii="宋体" w:hAnsi="宋体" w:cs="宋体" w:eastAsia="宋体" w:hint="default"/>
          <w:sz w:val="22"/>
          <w:szCs w:val="22"/>
        </w:rPr>
        <w:t>股所募集配套资金用于支付北京壹人壹本信息科技有限公司</w:t>
      </w:r>
      <w:r>
        <w:rPr>
          <w:rFonts w:ascii="宋体" w:hAnsi="宋体" w:cs="宋体" w:eastAsia="宋体" w:hint="default"/>
          <w:spacing w:val="-43"/>
          <w:sz w:val="22"/>
          <w:szCs w:val="22"/>
        </w:rPr>
        <w:t> </w:t>
      </w:r>
      <w:r>
        <w:rPr>
          <w:rFonts w:ascii="Times New Roman" w:hAnsi="Times New Roman" w:cs="Times New Roman" w:eastAsia="Times New Roman" w:hint="default"/>
          <w:sz w:val="22"/>
          <w:szCs w:val="22"/>
        </w:rPr>
        <w:t>24.72735%</w:t>
      </w:r>
      <w:r>
        <w:rPr>
          <w:rFonts w:ascii="宋体" w:hAnsi="宋体" w:cs="宋体" w:eastAsia="宋体" w:hint="default"/>
          <w:sz w:val="22"/>
          <w:szCs w:val="22"/>
        </w:rPr>
        <w:t>股权的</w:t>
      </w:r>
    </w:p>
    <w:p>
      <w:pPr>
        <w:spacing w:before="50"/>
        <w:ind w:left="202" w:right="94" w:firstLine="0"/>
        <w:jc w:val="left"/>
        <w:rPr>
          <w:rFonts w:ascii="宋体" w:hAnsi="宋体" w:cs="宋体" w:eastAsia="宋体" w:hint="default"/>
          <w:sz w:val="22"/>
          <w:szCs w:val="22"/>
        </w:rPr>
      </w:pPr>
      <w:r>
        <w:rPr>
          <w:rFonts w:ascii="宋体" w:hAnsi="宋体" w:cs="宋体" w:eastAsia="宋体" w:hint="default"/>
          <w:sz w:val="22"/>
          <w:szCs w:val="22"/>
        </w:rPr>
        <w:t>收购价款。本次非公开发行致使公司股份总数增至 </w:t>
      </w:r>
      <w:r>
        <w:rPr>
          <w:rFonts w:ascii="Times New Roman" w:hAnsi="Times New Roman" w:cs="Times New Roman" w:eastAsia="Times New Roman" w:hint="default"/>
          <w:sz w:val="22"/>
          <w:szCs w:val="22"/>
        </w:rPr>
        <w:t>2,197,882,238</w:t>
      </w:r>
      <w:r>
        <w:rPr>
          <w:rFonts w:ascii="Times New Roman" w:hAnsi="Times New Roman" w:cs="Times New Roman" w:eastAsia="Times New Roman" w:hint="default"/>
          <w:spacing w:val="33"/>
          <w:sz w:val="22"/>
          <w:szCs w:val="22"/>
        </w:rPr>
        <w:t> </w:t>
      </w:r>
      <w:r>
        <w:rPr>
          <w:rFonts w:ascii="宋体" w:hAnsi="宋体" w:cs="宋体" w:eastAsia="宋体" w:hint="default"/>
          <w:sz w:val="22"/>
          <w:szCs w:val="22"/>
        </w:rPr>
        <w:t>股，其中：无限售条件</w:t>
      </w:r>
    </w:p>
    <w:p>
      <w:pPr>
        <w:spacing w:before="53"/>
        <w:ind w:left="202" w:right="94" w:firstLine="0"/>
        <w:jc w:val="left"/>
        <w:rPr>
          <w:rFonts w:ascii="宋体" w:hAnsi="宋体" w:cs="宋体" w:eastAsia="宋体" w:hint="default"/>
          <w:sz w:val="22"/>
          <w:szCs w:val="22"/>
        </w:rPr>
      </w:pPr>
      <w:r>
        <w:rPr>
          <w:rFonts w:ascii="宋体" w:hAnsi="宋体" w:cs="宋体" w:eastAsia="宋体" w:hint="default"/>
          <w:sz w:val="22"/>
          <w:szCs w:val="22"/>
        </w:rPr>
        <w:t>的流通股为</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1,987,701,108</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股，有限售条件的流通股为</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210,181,130</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股。</w:t>
      </w:r>
    </w:p>
    <w:p>
      <w:pPr>
        <w:spacing w:line="280" w:lineRule="auto" w:before="113"/>
        <w:ind w:left="202" w:right="205" w:firstLine="439"/>
        <w:jc w:val="left"/>
        <w:rPr>
          <w:rFonts w:ascii="宋体" w:hAnsi="宋体" w:cs="宋体" w:eastAsia="宋体" w:hint="default"/>
          <w:sz w:val="22"/>
          <w:szCs w:val="22"/>
        </w:rPr>
      </w:pPr>
      <w:r>
        <w:rPr>
          <w:rFonts w:ascii="Times New Roman" w:hAnsi="Times New Roman" w:cs="Times New Roman" w:eastAsia="Times New Roman" w:hint="default"/>
          <w:sz w:val="22"/>
          <w:szCs w:val="22"/>
        </w:rPr>
        <w:t>2015 </w:t>
      </w:r>
      <w:r>
        <w:rPr>
          <w:rFonts w:ascii="宋体" w:hAnsi="宋体" w:cs="宋体" w:eastAsia="宋体" w:hint="default"/>
          <w:sz w:val="22"/>
          <w:szCs w:val="22"/>
        </w:rPr>
        <w:t>年</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2</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月，公司向特定对象非公开发行人民币普通股</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766,016,713 </w:t>
      </w:r>
      <w:r>
        <w:rPr>
          <w:rFonts w:ascii="宋体" w:hAnsi="宋体" w:cs="宋体" w:eastAsia="宋体" w:hint="default"/>
          <w:spacing w:val="-3"/>
          <w:sz w:val="22"/>
          <w:szCs w:val="22"/>
        </w:rPr>
        <w:t>股，全部为有限</w:t>
      </w:r>
      <w:r>
        <w:rPr>
          <w:rFonts w:ascii="宋体" w:hAnsi="宋体" w:cs="宋体" w:eastAsia="宋体" w:hint="default"/>
          <w:w w:val="100"/>
          <w:sz w:val="22"/>
          <w:szCs w:val="22"/>
        </w:rPr>
        <w:t> </w:t>
      </w:r>
      <w:r>
        <w:rPr>
          <w:rFonts w:ascii="宋体" w:hAnsi="宋体" w:cs="宋体" w:eastAsia="宋体" w:hint="default"/>
          <w:sz w:val="22"/>
          <w:szCs w:val="22"/>
        </w:rPr>
        <w:t>售条件的流通股。</w:t>
      </w:r>
    </w:p>
    <w:p>
      <w:pPr>
        <w:spacing w:before="92"/>
        <w:ind w:left="641" w:right="94" w:firstLine="0"/>
        <w:jc w:val="left"/>
        <w:rPr>
          <w:rFonts w:ascii="宋体" w:hAnsi="宋体" w:cs="宋体" w:eastAsia="宋体" w:hint="default"/>
          <w:sz w:val="22"/>
          <w:szCs w:val="22"/>
        </w:rPr>
      </w:pPr>
      <w:r>
        <w:rPr>
          <w:rFonts w:ascii="宋体" w:hAnsi="宋体" w:cs="宋体" w:eastAsia="宋体" w:hint="default"/>
          <w:sz w:val="22"/>
          <w:szCs w:val="22"/>
        </w:rPr>
        <w:t>截止</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4"/>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日，本公司股份总数</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2,963,898,951</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股，其中：无限售条件的流</w:t>
      </w:r>
    </w:p>
    <w:p>
      <w:pPr>
        <w:spacing w:line="328" w:lineRule="auto" w:before="51"/>
        <w:ind w:left="641" w:right="94" w:hanging="440"/>
        <w:jc w:val="left"/>
        <w:rPr>
          <w:rFonts w:ascii="宋体" w:hAnsi="宋体" w:cs="宋体" w:eastAsia="宋体" w:hint="default"/>
          <w:sz w:val="22"/>
          <w:szCs w:val="22"/>
        </w:rPr>
      </w:pPr>
      <w:r>
        <w:rPr>
          <w:rFonts w:ascii="宋体" w:hAnsi="宋体" w:cs="宋体" w:eastAsia="宋体" w:hint="default"/>
          <w:sz w:val="22"/>
          <w:szCs w:val="22"/>
        </w:rPr>
        <w:t>通股为</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2,070,201,441 </w:t>
      </w:r>
      <w:r>
        <w:rPr>
          <w:rFonts w:ascii="宋体" w:hAnsi="宋体" w:cs="宋体" w:eastAsia="宋体" w:hint="default"/>
          <w:sz w:val="22"/>
          <w:szCs w:val="22"/>
        </w:rPr>
        <w:t>股，有限售条件的流通股为</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893,697,510 </w:t>
      </w:r>
      <w:r>
        <w:rPr>
          <w:rFonts w:ascii="宋体" w:hAnsi="宋体" w:cs="宋体" w:eastAsia="宋体" w:hint="default"/>
          <w:spacing w:val="-3"/>
          <w:sz w:val="22"/>
          <w:szCs w:val="22"/>
        </w:rPr>
        <w:t>股。</w:t>
      </w:r>
      <w:r>
        <w:rPr>
          <w:rFonts w:ascii="宋体" w:hAnsi="宋体" w:cs="宋体" w:eastAsia="宋体" w:hint="default"/>
          <w:spacing w:val="-3"/>
          <w:w w:val="100"/>
          <w:sz w:val="22"/>
          <w:szCs w:val="22"/>
        </w:rPr>
        <w:t> </w:t>
      </w:r>
      <w:r>
        <w:rPr>
          <w:rFonts w:ascii="宋体" w:hAnsi="宋体" w:cs="宋体" w:eastAsia="宋体" w:hint="default"/>
          <w:spacing w:val="-3"/>
          <w:sz w:val="22"/>
          <w:szCs w:val="22"/>
        </w:rPr>
        <w:t>公司主要经营范围包括：许可经营项目：互联网信息服务业务不含新闻、出版、医疗</w:t>
      </w:r>
    </w:p>
    <w:p>
      <w:pPr>
        <w:spacing w:line="297" w:lineRule="auto" w:before="0"/>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保健、药品和医疗器械等内容；对外派遣实施与出口自产成套设备相关的境外工程所需的</w:t>
      </w:r>
      <w:r>
        <w:rPr>
          <w:rFonts w:ascii="宋体" w:hAnsi="宋体" w:cs="宋体" w:eastAsia="宋体" w:hint="default"/>
          <w:spacing w:val="-72"/>
          <w:sz w:val="22"/>
          <w:szCs w:val="22"/>
        </w:rPr>
        <w:t> </w:t>
      </w:r>
      <w:r>
        <w:rPr>
          <w:rFonts w:ascii="宋体" w:hAnsi="宋体" w:cs="宋体" w:eastAsia="宋体" w:hint="default"/>
          <w:spacing w:val="-72"/>
          <w:sz w:val="22"/>
          <w:szCs w:val="22"/>
        </w:rPr>
      </w:r>
      <w:r>
        <w:rPr>
          <w:rFonts w:ascii="宋体" w:hAnsi="宋体" w:cs="宋体" w:eastAsia="宋体" w:hint="default"/>
          <w:sz w:val="22"/>
          <w:szCs w:val="22"/>
        </w:rPr>
        <w:t>劳务人员；商用密码产品生产；商用密码产品销售；社会公共安全设备、交通工程设备、</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建筑智能化及市政工程机电设备、电力工程机电设备、节能；人工环境控制设备、通信电</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pacing w:val="-3"/>
          <w:sz w:val="22"/>
          <w:szCs w:val="22"/>
        </w:rPr>
        <w:t>子产品、微电子集成电路、办公设备、仪器仪表、光机电一体化设备的生产；水景喷泉制</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pacing w:val="-9"/>
          <w:w w:val="100"/>
          <w:sz w:val="22"/>
          <w:szCs w:val="22"/>
        </w:rPr>
        <w:t>造；第二类增值电信业务中的因特网接入服务业务（北京</w:t>
      </w:r>
      <w:r>
        <w:rPr>
          <w:rFonts w:ascii="宋体" w:hAnsi="宋体" w:cs="宋体" w:eastAsia="宋体" w:hint="default"/>
          <w:spacing w:val="-52"/>
          <w:w w:val="100"/>
          <w:sz w:val="22"/>
          <w:szCs w:val="22"/>
        </w:rPr>
        <w:t> </w:t>
      </w:r>
      <w:r>
        <w:rPr>
          <w:rFonts w:ascii="Times New Roman" w:hAnsi="Times New Roman" w:cs="Times New Roman" w:eastAsia="Times New Roman" w:hint="default"/>
          <w:w w:val="100"/>
          <w:sz w:val="22"/>
          <w:szCs w:val="22"/>
        </w:rPr>
        <w:t>1</w:t>
      </w:r>
      <w:r>
        <w:rPr>
          <w:rFonts w:ascii="Times New Roman" w:hAnsi="Times New Roman" w:cs="Times New Roman" w:eastAsia="Times New Roman" w:hint="default"/>
          <w:spacing w:val="2"/>
          <w:w w:val="100"/>
          <w:sz w:val="22"/>
          <w:szCs w:val="22"/>
        </w:rPr>
        <w:t> </w:t>
      </w:r>
      <w:r>
        <w:rPr>
          <w:rFonts w:ascii="宋体" w:hAnsi="宋体" w:cs="宋体" w:eastAsia="宋体" w:hint="default"/>
          <w:spacing w:val="-11"/>
          <w:w w:val="100"/>
          <w:sz w:val="22"/>
          <w:szCs w:val="22"/>
        </w:rPr>
        <w:t>直辖市以及长春、南昌</w:t>
      </w:r>
      <w:r>
        <w:rPr>
          <w:rFonts w:ascii="宋体" w:hAnsi="宋体" w:cs="宋体" w:eastAsia="宋体" w:hint="default"/>
          <w:spacing w:val="-53"/>
          <w:w w:val="100"/>
          <w:sz w:val="22"/>
          <w:szCs w:val="22"/>
        </w:rPr>
        <w:t> </w:t>
      </w:r>
      <w:r>
        <w:rPr>
          <w:rFonts w:ascii="Times New Roman" w:hAnsi="Times New Roman" w:cs="Times New Roman" w:eastAsia="Times New Roman" w:hint="default"/>
          <w:w w:val="100"/>
          <w:sz w:val="22"/>
          <w:szCs w:val="22"/>
        </w:rPr>
        <w:t>2</w:t>
      </w:r>
      <w:r>
        <w:rPr>
          <w:rFonts w:ascii="Times New Roman" w:hAnsi="Times New Roman" w:cs="Times New Roman" w:eastAsia="Times New Roman" w:hint="default"/>
          <w:spacing w:val="2"/>
          <w:w w:val="100"/>
          <w:sz w:val="22"/>
          <w:szCs w:val="22"/>
        </w:rPr>
        <w:t> </w:t>
      </w:r>
      <w:r>
        <w:rPr>
          <w:rFonts w:ascii="宋体" w:hAnsi="宋体" w:cs="宋体" w:eastAsia="宋体" w:hint="default"/>
          <w:spacing w:val="-1"/>
          <w:w w:val="100"/>
          <w:sz w:val="22"/>
          <w:szCs w:val="22"/>
        </w:rPr>
        <w:t>城市）</w:t>
      </w:r>
    </w:p>
    <w:p>
      <w:pPr>
        <w:spacing w:line="295" w:lineRule="auto" w:before="0"/>
        <w:ind w:left="202" w:right="94" w:firstLine="0"/>
        <w:jc w:val="left"/>
        <w:rPr>
          <w:rFonts w:ascii="宋体" w:hAnsi="宋体" w:cs="宋体" w:eastAsia="宋体" w:hint="default"/>
          <w:sz w:val="22"/>
          <w:szCs w:val="22"/>
        </w:rPr>
      </w:pPr>
      <w:r>
        <w:rPr>
          <w:rFonts w:ascii="宋体" w:hAnsi="宋体" w:cs="宋体" w:eastAsia="宋体" w:hint="default"/>
          <w:sz w:val="22"/>
          <w:szCs w:val="22"/>
        </w:rPr>
        <w:t>（增值电信业务经营许可证有效期至</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2017</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05</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03</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日）。一般经营项目：计算机及周</w:t>
      </w:r>
      <w:r>
        <w:rPr>
          <w:rFonts w:ascii="宋体" w:hAnsi="宋体" w:cs="宋体" w:eastAsia="宋体" w:hint="default"/>
          <w:w w:val="100"/>
          <w:sz w:val="22"/>
          <w:szCs w:val="22"/>
        </w:rPr>
        <w:t> </w:t>
      </w:r>
      <w:r>
        <w:rPr>
          <w:rFonts w:ascii="宋体" w:hAnsi="宋体" w:cs="宋体" w:eastAsia="宋体" w:hint="default"/>
          <w:spacing w:val="-3"/>
          <w:sz w:val="22"/>
          <w:szCs w:val="22"/>
        </w:rPr>
        <w:t>边设备的生产、销售、技术服务和维修；社会公共安全设备、交通工程设备、建筑智能化</w:t>
      </w:r>
      <w:r>
        <w:rPr>
          <w:rFonts w:ascii="宋体" w:hAnsi="宋体" w:cs="宋体" w:eastAsia="宋体" w:hint="default"/>
          <w:spacing w:val="-72"/>
          <w:sz w:val="22"/>
          <w:szCs w:val="22"/>
        </w:rPr>
        <w:t> </w:t>
      </w:r>
      <w:r>
        <w:rPr>
          <w:rFonts w:ascii="宋体" w:hAnsi="宋体" w:cs="宋体" w:eastAsia="宋体" w:hint="default"/>
          <w:spacing w:val="-72"/>
          <w:sz w:val="22"/>
          <w:szCs w:val="22"/>
        </w:rPr>
      </w:r>
      <w:r>
        <w:rPr>
          <w:rFonts w:ascii="宋体" w:hAnsi="宋体" w:cs="宋体" w:eastAsia="宋体" w:hint="default"/>
          <w:spacing w:val="-3"/>
          <w:sz w:val="22"/>
          <w:szCs w:val="22"/>
        </w:rPr>
        <w:t>及市政工程机电设备、电力工程机电设备、节能；人工环境控制设备、通信电子产品、微</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pacing w:val="-9"/>
          <w:sz w:val="22"/>
          <w:szCs w:val="22"/>
        </w:rPr>
        <w:t>电子集成电路、办公设备的销售及工程安装；仪器仪表、光机电一体化设备的开发、销售；</w:t>
      </w:r>
      <w:r>
        <w:rPr>
          <w:rFonts w:ascii="宋体" w:hAnsi="宋体" w:cs="宋体" w:eastAsia="宋体" w:hint="default"/>
          <w:spacing w:val="-48"/>
          <w:sz w:val="22"/>
          <w:szCs w:val="22"/>
        </w:rPr>
        <w:t> </w:t>
      </w:r>
      <w:r>
        <w:rPr>
          <w:rFonts w:ascii="宋体" w:hAnsi="宋体" w:cs="宋体" w:eastAsia="宋体" w:hint="default"/>
          <w:spacing w:val="-48"/>
          <w:sz w:val="22"/>
          <w:szCs w:val="22"/>
        </w:rPr>
      </w:r>
      <w:r>
        <w:rPr>
          <w:rFonts w:ascii="宋体" w:hAnsi="宋体" w:cs="宋体" w:eastAsia="宋体" w:hint="default"/>
          <w:sz w:val="22"/>
          <w:szCs w:val="22"/>
        </w:rPr>
        <w:t>消防产品的销售；高科技项目的咨询、高新技术的转让与服务；物业管理；进出口业务；</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机电安装工程施工总承包；建筑智能化、城市及道路照明、电子工程专业承包；室内空气</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pacing w:val="-3"/>
          <w:sz w:val="22"/>
          <w:szCs w:val="22"/>
        </w:rPr>
        <w:t>净化工程；计算机系统集成；建筑智能化系统集成（不含消防子系统）专项工程设计；水</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pacing w:val="-3"/>
          <w:sz w:val="22"/>
          <w:szCs w:val="22"/>
        </w:rPr>
        <w:t>景喷泉设计、安装、调试；安防工程（设计、施工）；有线电视共用天线设计安装；广告</w:t>
      </w:r>
      <w:r>
        <w:rPr>
          <w:rFonts w:ascii="宋体" w:hAnsi="宋体" w:cs="宋体" w:eastAsia="宋体" w:hint="default"/>
          <w:spacing w:val="-70"/>
          <w:sz w:val="22"/>
          <w:szCs w:val="22"/>
        </w:rPr>
        <w:t> </w:t>
      </w:r>
      <w:r>
        <w:rPr>
          <w:rFonts w:ascii="宋体" w:hAnsi="宋体" w:cs="宋体" w:eastAsia="宋体" w:hint="default"/>
          <w:spacing w:val="-70"/>
          <w:sz w:val="22"/>
          <w:szCs w:val="22"/>
        </w:rPr>
      </w:r>
      <w:r>
        <w:rPr>
          <w:rFonts w:ascii="宋体" w:hAnsi="宋体" w:cs="宋体" w:eastAsia="宋体" w:hint="default"/>
          <w:spacing w:val="-3"/>
          <w:sz w:val="22"/>
          <w:szCs w:val="22"/>
        </w:rPr>
        <w:t>发布与代理；船只租赁；工程勘察设计；设计、销售照明器具；基础软件服务、应用软件</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服务；销售机械设备、五金、交电、家用电器、软件及辅助设备、广播电视设备、通讯设</w:t>
      </w:r>
      <w:r>
        <w:rPr>
          <w:rFonts w:ascii="宋体" w:hAnsi="宋体" w:cs="宋体" w:eastAsia="宋体" w:hint="default"/>
          <w:spacing w:val="-70"/>
          <w:sz w:val="22"/>
          <w:szCs w:val="22"/>
        </w:rPr>
        <w:t> </w:t>
      </w:r>
      <w:r>
        <w:rPr>
          <w:rFonts w:ascii="宋体" w:hAnsi="宋体" w:cs="宋体" w:eastAsia="宋体" w:hint="default"/>
          <w:spacing w:val="-70"/>
          <w:sz w:val="22"/>
          <w:szCs w:val="22"/>
        </w:rPr>
      </w:r>
      <w:r>
        <w:rPr>
          <w:rFonts w:ascii="宋体" w:hAnsi="宋体" w:cs="宋体" w:eastAsia="宋体" w:hint="default"/>
          <w:sz w:val="22"/>
          <w:szCs w:val="22"/>
        </w:rPr>
        <w:t>备、电子产品。</w:t>
      </w:r>
    </w:p>
    <w:p>
      <w:pPr>
        <w:spacing w:after="0" w:line="295" w:lineRule="auto"/>
        <w:jc w:val="left"/>
        <w:rPr>
          <w:rFonts w:ascii="宋体" w:hAnsi="宋体" w:cs="宋体" w:eastAsia="宋体" w:hint="default"/>
          <w:sz w:val="22"/>
          <w:szCs w:val="22"/>
        </w:rPr>
        <w:sectPr>
          <w:pgSz w:w="11910" w:h="16840"/>
          <w:pgMar w:header="585" w:footer="836" w:top="1080" w:bottom="1020" w:left="1500" w:right="1480"/>
        </w:sectPr>
      </w:pPr>
    </w:p>
    <w:p>
      <w:pPr>
        <w:spacing w:line="240" w:lineRule="auto" w:before="1"/>
        <w:rPr>
          <w:rFonts w:ascii="宋体" w:hAnsi="宋体" w:cs="宋体" w:eastAsia="宋体" w:hint="default"/>
          <w:sz w:val="22"/>
          <w:szCs w:val="22"/>
        </w:rPr>
      </w:pPr>
    </w:p>
    <w:p>
      <w:pPr>
        <w:tabs>
          <w:tab w:pos="1334" w:val="left" w:leader="none"/>
        </w:tabs>
        <w:spacing w:line="328" w:lineRule="auto" w:before="32"/>
        <w:ind w:left="641" w:right="217" w:firstLine="24"/>
        <w:jc w:val="left"/>
        <w:rPr>
          <w:rFonts w:ascii="宋体" w:hAnsi="宋体" w:cs="宋体" w:eastAsia="宋体" w:hint="default"/>
          <w:sz w:val="22"/>
          <w:szCs w:val="22"/>
        </w:rPr>
      </w:pPr>
      <w:r>
        <w:rPr>
          <w:rFonts w:ascii="Times New Roman" w:hAnsi="Times New Roman" w:cs="Times New Roman" w:eastAsia="Times New Roman" w:hint="default"/>
          <w:b/>
          <w:bCs/>
          <w:spacing w:val="9"/>
          <w:sz w:val="22"/>
          <w:szCs w:val="22"/>
        </w:rPr>
        <w:t>2.</w:t>
        <w:tab/>
      </w:r>
      <w:r>
        <w:rPr>
          <w:rFonts w:ascii="宋体" w:hAnsi="宋体" w:cs="宋体" w:eastAsia="宋体" w:hint="default"/>
          <w:b/>
          <w:bCs/>
          <w:sz w:val="22"/>
          <w:szCs w:val="22"/>
        </w:rPr>
        <w:t>合</w:t>
      </w:r>
      <w:r>
        <w:rPr>
          <w:rFonts w:ascii="宋体" w:hAnsi="宋体" w:cs="宋体" w:eastAsia="宋体" w:hint="default"/>
          <w:b/>
          <w:bCs/>
          <w:spacing w:val="-72"/>
          <w:sz w:val="22"/>
          <w:szCs w:val="22"/>
        </w:rPr>
        <w:t> </w:t>
      </w:r>
      <w:r>
        <w:rPr>
          <w:rFonts w:ascii="宋体" w:hAnsi="宋体" w:cs="宋体" w:eastAsia="宋体" w:hint="default"/>
          <w:b/>
          <w:bCs/>
          <w:sz w:val="22"/>
          <w:szCs w:val="22"/>
        </w:rPr>
        <w:t>并</w:t>
      </w:r>
      <w:r>
        <w:rPr>
          <w:rFonts w:ascii="宋体" w:hAnsi="宋体" w:cs="宋体" w:eastAsia="宋体" w:hint="default"/>
          <w:b/>
          <w:bCs/>
          <w:spacing w:val="-72"/>
          <w:sz w:val="22"/>
          <w:szCs w:val="22"/>
        </w:rPr>
        <w:t> </w:t>
      </w:r>
      <w:r>
        <w:rPr>
          <w:rFonts w:ascii="宋体" w:hAnsi="宋体" w:cs="宋体" w:eastAsia="宋体" w:hint="default"/>
          <w:b/>
          <w:bCs/>
          <w:sz w:val="22"/>
          <w:szCs w:val="22"/>
        </w:rPr>
        <w:t>财</w:t>
      </w:r>
      <w:r>
        <w:rPr>
          <w:rFonts w:ascii="宋体" w:hAnsi="宋体" w:cs="宋体" w:eastAsia="宋体" w:hint="default"/>
          <w:b/>
          <w:bCs/>
          <w:spacing w:val="-72"/>
          <w:sz w:val="22"/>
          <w:szCs w:val="22"/>
        </w:rPr>
        <w:t> </w:t>
      </w:r>
      <w:r>
        <w:rPr>
          <w:rFonts w:ascii="宋体" w:hAnsi="宋体" w:cs="宋体" w:eastAsia="宋体" w:hint="default"/>
          <w:b/>
          <w:bCs/>
          <w:sz w:val="22"/>
          <w:szCs w:val="22"/>
        </w:rPr>
        <w:t>务</w:t>
      </w:r>
      <w:r>
        <w:rPr>
          <w:rFonts w:ascii="宋体" w:hAnsi="宋体" w:cs="宋体" w:eastAsia="宋体" w:hint="default"/>
          <w:b/>
          <w:bCs/>
          <w:spacing w:val="-74"/>
          <w:sz w:val="22"/>
          <w:szCs w:val="22"/>
        </w:rPr>
        <w:t> </w:t>
      </w:r>
      <w:r>
        <w:rPr>
          <w:rFonts w:ascii="宋体" w:hAnsi="宋体" w:cs="宋体" w:eastAsia="宋体" w:hint="default"/>
          <w:b/>
          <w:bCs/>
          <w:sz w:val="22"/>
          <w:szCs w:val="22"/>
        </w:rPr>
        <w:t>报</w:t>
      </w:r>
      <w:r>
        <w:rPr>
          <w:rFonts w:ascii="宋体" w:hAnsi="宋体" w:cs="宋体" w:eastAsia="宋体" w:hint="default"/>
          <w:b/>
          <w:bCs/>
          <w:spacing w:val="-72"/>
          <w:sz w:val="22"/>
          <w:szCs w:val="22"/>
        </w:rPr>
        <w:t> </w:t>
      </w:r>
      <w:r>
        <w:rPr>
          <w:rFonts w:ascii="宋体" w:hAnsi="宋体" w:cs="宋体" w:eastAsia="宋体" w:hint="default"/>
          <w:b/>
          <w:bCs/>
          <w:sz w:val="22"/>
          <w:szCs w:val="22"/>
        </w:rPr>
        <w:t>表</w:t>
      </w:r>
      <w:r>
        <w:rPr>
          <w:rFonts w:ascii="宋体" w:hAnsi="宋体" w:cs="宋体" w:eastAsia="宋体" w:hint="default"/>
          <w:b/>
          <w:bCs/>
          <w:spacing w:val="-72"/>
          <w:sz w:val="22"/>
          <w:szCs w:val="22"/>
        </w:rPr>
        <w:t> </w:t>
      </w:r>
      <w:r>
        <w:rPr>
          <w:rFonts w:ascii="宋体" w:hAnsi="宋体" w:cs="宋体" w:eastAsia="宋体" w:hint="default"/>
          <w:b/>
          <w:bCs/>
          <w:sz w:val="22"/>
          <w:szCs w:val="22"/>
        </w:rPr>
        <w:t>范</w:t>
      </w:r>
      <w:r>
        <w:rPr>
          <w:rFonts w:ascii="宋体" w:hAnsi="宋体" w:cs="宋体" w:eastAsia="宋体" w:hint="default"/>
          <w:b/>
          <w:bCs/>
          <w:spacing w:val="-72"/>
          <w:sz w:val="22"/>
          <w:szCs w:val="22"/>
        </w:rPr>
        <w:t> </w:t>
      </w:r>
      <w:r>
        <w:rPr>
          <w:rFonts w:ascii="宋体" w:hAnsi="宋体" w:cs="宋体" w:eastAsia="宋体" w:hint="default"/>
          <w:b/>
          <w:bCs/>
          <w:sz w:val="22"/>
          <w:szCs w:val="22"/>
        </w:rPr>
        <w:t>围</w:t>
      </w:r>
      <w:r>
        <w:rPr>
          <w:rFonts w:ascii="宋体" w:hAnsi="宋体" w:cs="宋体" w:eastAsia="宋体" w:hint="default"/>
          <w:b/>
          <w:bCs/>
          <w:w w:val="99"/>
          <w:sz w:val="22"/>
          <w:szCs w:val="22"/>
        </w:rPr>
        <w:t> </w:t>
      </w:r>
      <w:r>
        <w:rPr>
          <w:rFonts w:ascii="宋体" w:hAnsi="宋体" w:cs="宋体" w:eastAsia="宋体" w:hint="default"/>
          <w:spacing w:val="-3"/>
          <w:sz w:val="22"/>
          <w:szCs w:val="22"/>
        </w:rPr>
        <w:t>本公司合并财务报表范围包括同方威视技术股份有限公司、同方计算机有限公司、同</w:t>
      </w:r>
    </w:p>
    <w:p>
      <w:pPr>
        <w:spacing w:line="326" w:lineRule="auto" w:before="0"/>
        <w:ind w:left="641" w:right="202" w:hanging="440"/>
        <w:jc w:val="left"/>
        <w:rPr>
          <w:rFonts w:ascii="宋体" w:hAnsi="宋体" w:cs="宋体" w:eastAsia="宋体" w:hint="default"/>
          <w:sz w:val="22"/>
          <w:szCs w:val="22"/>
        </w:rPr>
      </w:pPr>
      <w:r>
        <w:rPr>
          <w:rFonts w:ascii="宋体" w:hAnsi="宋体" w:cs="宋体" w:eastAsia="宋体" w:hint="default"/>
          <w:sz w:val="22"/>
          <w:szCs w:val="22"/>
        </w:rPr>
        <w:t>方泰德国际科技有限公司和同方人工环境有限公司等</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214</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家公司。</w:t>
      </w:r>
      <w:r>
        <w:rPr>
          <w:rFonts w:ascii="宋体" w:hAnsi="宋体" w:cs="宋体" w:eastAsia="宋体" w:hint="default"/>
          <w:w w:val="100"/>
          <w:sz w:val="22"/>
          <w:szCs w:val="22"/>
        </w:rPr>
        <w:t> </w:t>
      </w:r>
      <w:r>
        <w:rPr>
          <w:rFonts w:ascii="宋体" w:hAnsi="宋体" w:cs="宋体" w:eastAsia="宋体" w:hint="default"/>
          <w:sz w:val="22"/>
          <w:szCs w:val="22"/>
        </w:rPr>
        <w:t>详见本附注“七、合并范围的变化”</w:t>
      </w:r>
      <w:r>
        <w:rPr>
          <w:rFonts w:ascii="宋体" w:hAnsi="宋体" w:cs="宋体" w:eastAsia="宋体" w:hint="default"/>
          <w:spacing w:val="35"/>
          <w:sz w:val="22"/>
          <w:szCs w:val="22"/>
        </w:rPr>
        <w:t> </w:t>
      </w:r>
      <w:r>
        <w:rPr>
          <w:rFonts w:ascii="宋体" w:hAnsi="宋体" w:cs="宋体" w:eastAsia="宋体" w:hint="default"/>
          <w:sz w:val="22"/>
          <w:szCs w:val="22"/>
        </w:rPr>
        <w:t>及本附注“八、在其他主体中的权益”相关内</w:t>
      </w:r>
    </w:p>
    <w:p>
      <w:pPr>
        <w:spacing w:line="278" w:lineRule="exact" w:before="0"/>
        <w:ind w:left="202" w:right="94" w:firstLine="0"/>
        <w:jc w:val="left"/>
        <w:rPr>
          <w:rFonts w:ascii="宋体" w:hAnsi="宋体" w:cs="宋体" w:eastAsia="宋体" w:hint="default"/>
          <w:sz w:val="22"/>
          <w:szCs w:val="22"/>
        </w:rPr>
      </w:pPr>
      <w:r>
        <w:rPr>
          <w:rFonts w:ascii="宋体" w:hAnsi="宋体" w:cs="宋体" w:eastAsia="宋体" w:hint="default"/>
          <w:sz w:val="22"/>
          <w:szCs w:val="22"/>
        </w:rPr>
        <w:t>容。</w:t>
      </w:r>
    </w:p>
    <w:p>
      <w:pPr>
        <w:tabs>
          <w:tab w:pos="1334" w:val="left" w:leader="none"/>
        </w:tabs>
        <w:spacing w:before="127"/>
        <w:ind w:left="665" w:right="94" w:firstLine="0"/>
        <w:jc w:val="left"/>
        <w:rPr>
          <w:rFonts w:ascii="宋体" w:hAnsi="宋体" w:cs="宋体" w:eastAsia="宋体" w:hint="default"/>
          <w:sz w:val="22"/>
          <w:szCs w:val="22"/>
        </w:rPr>
      </w:pPr>
      <w:r>
        <w:rPr>
          <w:rFonts w:ascii="Times New Roman" w:hAnsi="Times New Roman" w:cs="Times New Roman" w:eastAsia="Times New Roman" w:hint="default"/>
          <w:b/>
          <w:bCs/>
          <w:spacing w:val="9"/>
          <w:sz w:val="22"/>
          <w:szCs w:val="22"/>
        </w:rPr>
        <w:t>3.</w:t>
        <w:tab/>
      </w:r>
      <w:r>
        <w:rPr>
          <w:rFonts w:ascii="宋体" w:hAnsi="宋体" w:cs="宋体" w:eastAsia="宋体" w:hint="default"/>
          <w:b/>
          <w:bCs/>
          <w:sz w:val="22"/>
          <w:szCs w:val="22"/>
        </w:rPr>
        <w:t>财</w:t>
      </w:r>
      <w:r>
        <w:rPr>
          <w:rFonts w:ascii="宋体" w:hAnsi="宋体" w:cs="宋体" w:eastAsia="宋体" w:hint="default"/>
          <w:b/>
          <w:bCs/>
          <w:spacing w:val="-72"/>
          <w:sz w:val="22"/>
          <w:szCs w:val="22"/>
        </w:rPr>
        <w:t> </w:t>
      </w:r>
      <w:r>
        <w:rPr>
          <w:rFonts w:ascii="宋体" w:hAnsi="宋体" w:cs="宋体" w:eastAsia="宋体" w:hint="default"/>
          <w:b/>
          <w:bCs/>
          <w:sz w:val="22"/>
          <w:szCs w:val="22"/>
        </w:rPr>
        <w:t>务</w:t>
      </w:r>
      <w:r>
        <w:rPr>
          <w:rFonts w:ascii="宋体" w:hAnsi="宋体" w:cs="宋体" w:eastAsia="宋体" w:hint="default"/>
          <w:b/>
          <w:bCs/>
          <w:spacing w:val="-72"/>
          <w:sz w:val="22"/>
          <w:szCs w:val="22"/>
        </w:rPr>
        <w:t> </w:t>
      </w:r>
      <w:r>
        <w:rPr>
          <w:rFonts w:ascii="宋体" w:hAnsi="宋体" w:cs="宋体" w:eastAsia="宋体" w:hint="default"/>
          <w:b/>
          <w:bCs/>
          <w:sz w:val="22"/>
          <w:szCs w:val="22"/>
        </w:rPr>
        <w:t>报</w:t>
      </w:r>
      <w:r>
        <w:rPr>
          <w:rFonts w:ascii="宋体" w:hAnsi="宋体" w:cs="宋体" w:eastAsia="宋体" w:hint="default"/>
          <w:b/>
          <w:bCs/>
          <w:spacing w:val="-72"/>
          <w:sz w:val="22"/>
          <w:szCs w:val="22"/>
        </w:rPr>
        <w:t> </w:t>
      </w:r>
      <w:r>
        <w:rPr>
          <w:rFonts w:ascii="宋体" w:hAnsi="宋体" w:cs="宋体" w:eastAsia="宋体" w:hint="default"/>
          <w:b/>
          <w:bCs/>
          <w:sz w:val="22"/>
          <w:szCs w:val="22"/>
        </w:rPr>
        <w:t>表</w:t>
      </w:r>
      <w:r>
        <w:rPr>
          <w:rFonts w:ascii="宋体" w:hAnsi="宋体" w:cs="宋体" w:eastAsia="宋体" w:hint="default"/>
          <w:b/>
          <w:bCs/>
          <w:spacing w:val="-74"/>
          <w:sz w:val="22"/>
          <w:szCs w:val="22"/>
        </w:rPr>
        <w:t> </w:t>
      </w:r>
      <w:r>
        <w:rPr>
          <w:rFonts w:ascii="宋体" w:hAnsi="宋体" w:cs="宋体" w:eastAsia="宋体" w:hint="default"/>
          <w:b/>
          <w:bCs/>
          <w:sz w:val="22"/>
          <w:szCs w:val="22"/>
        </w:rPr>
        <w:t>的</w:t>
      </w:r>
      <w:r>
        <w:rPr>
          <w:rFonts w:ascii="宋体" w:hAnsi="宋体" w:cs="宋体" w:eastAsia="宋体" w:hint="default"/>
          <w:b/>
          <w:bCs/>
          <w:spacing w:val="-72"/>
          <w:sz w:val="22"/>
          <w:szCs w:val="22"/>
        </w:rPr>
        <w:t> </w:t>
      </w:r>
      <w:r>
        <w:rPr>
          <w:rFonts w:ascii="宋体" w:hAnsi="宋体" w:cs="宋体" w:eastAsia="宋体" w:hint="default"/>
          <w:b/>
          <w:bCs/>
          <w:sz w:val="22"/>
          <w:szCs w:val="22"/>
        </w:rPr>
        <w:t>编</w:t>
      </w:r>
      <w:r>
        <w:rPr>
          <w:rFonts w:ascii="宋体" w:hAnsi="宋体" w:cs="宋体" w:eastAsia="宋体" w:hint="default"/>
          <w:b/>
          <w:bCs/>
          <w:spacing w:val="-72"/>
          <w:sz w:val="22"/>
          <w:szCs w:val="22"/>
        </w:rPr>
        <w:t> </w:t>
      </w:r>
      <w:r>
        <w:rPr>
          <w:rFonts w:ascii="宋体" w:hAnsi="宋体" w:cs="宋体" w:eastAsia="宋体" w:hint="default"/>
          <w:b/>
          <w:bCs/>
          <w:sz w:val="22"/>
          <w:szCs w:val="22"/>
        </w:rPr>
        <w:t>制</w:t>
      </w:r>
      <w:r>
        <w:rPr>
          <w:rFonts w:ascii="宋体" w:hAnsi="宋体" w:cs="宋体" w:eastAsia="宋体" w:hint="default"/>
          <w:b/>
          <w:bCs/>
          <w:spacing w:val="-72"/>
          <w:sz w:val="22"/>
          <w:szCs w:val="22"/>
        </w:rPr>
        <w:t> </w:t>
      </w:r>
      <w:r>
        <w:rPr>
          <w:rFonts w:ascii="宋体" w:hAnsi="宋体" w:cs="宋体" w:eastAsia="宋体" w:hint="default"/>
          <w:b/>
          <w:bCs/>
          <w:sz w:val="22"/>
          <w:szCs w:val="22"/>
        </w:rPr>
        <w:t>基</w:t>
      </w:r>
      <w:r>
        <w:rPr>
          <w:rFonts w:ascii="宋体" w:hAnsi="宋体" w:cs="宋体" w:eastAsia="宋体" w:hint="default"/>
          <w:b/>
          <w:bCs/>
          <w:spacing w:val="-74"/>
          <w:sz w:val="22"/>
          <w:szCs w:val="22"/>
        </w:rPr>
        <w:t> </w:t>
      </w:r>
      <w:r>
        <w:rPr>
          <w:rFonts w:ascii="宋体" w:hAnsi="宋体" w:cs="宋体" w:eastAsia="宋体" w:hint="default"/>
          <w:b/>
          <w:bCs/>
          <w:sz w:val="22"/>
          <w:szCs w:val="22"/>
        </w:rPr>
        <w:t>础</w:t>
      </w:r>
      <w:r>
        <w:rPr>
          <w:rFonts w:ascii="宋体" w:hAnsi="宋体" w:cs="宋体" w:eastAsia="宋体" w:hint="default"/>
          <w:sz w:val="22"/>
          <w:szCs w:val="22"/>
        </w:rPr>
      </w:r>
    </w:p>
    <w:p>
      <w:pPr>
        <w:tabs>
          <w:tab w:pos="1101" w:val="left" w:leader="none"/>
        </w:tabs>
        <w:spacing w:line="328" w:lineRule="auto" w:before="113"/>
        <w:ind w:left="641" w:right="217" w:firstLine="6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tab/>
      </w:r>
      <w:r>
        <w:rPr>
          <w:rFonts w:ascii="宋体" w:hAnsi="宋体" w:cs="宋体" w:eastAsia="宋体" w:hint="default"/>
          <w:sz w:val="22"/>
          <w:szCs w:val="22"/>
        </w:rPr>
        <w:t>编制基础</w:t>
      </w:r>
      <w:r>
        <w:rPr>
          <w:rFonts w:ascii="宋体" w:hAnsi="宋体" w:cs="宋体" w:eastAsia="宋体" w:hint="default"/>
          <w:w w:val="100"/>
          <w:sz w:val="22"/>
          <w:szCs w:val="22"/>
        </w:rPr>
        <w:t> </w:t>
      </w:r>
      <w:r>
        <w:rPr>
          <w:rFonts w:ascii="宋体" w:hAnsi="宋体" w:cs="宋体" w:eastAsia="宋体" w:hint="default"/>
          <w:spacing w:val="-3"/>
          <w:sz w:val="22"/>
          <w:szCs w:val="22"/>
        </w:rPr>
        <w:t>本公司财务报表以持续经营为基础，根据实际发生的交易和事项，按照财政部颁布的</w:t>
      </w:r>
    </w:p>
    <w:p>
      <w:pPr>
        <w:spacing w:line="274" w:lineRule="exact" w:before="0"/>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《企业会计准则》及相关规定，并基于本附注“四、重要会计政策及会计估计”所述会计</w:t>
      </w:r>
    </w:p>
    <w:p>
      <w:pPr>
        <w:spacing w:before="69"/>
        <w:ind w:left="202" w:right="94" w:firstLine="0"/>
        <w:jc w:val="left"/>
        <w:rPr>
          <w:rFonts w:ascii="宋体" w:hAnsi="宋体" w:cs="宋体" w:eastAsia="宋体" w:hint="default"/>
          <w:sz w:val="22"/>
          <w:szCs w:val="22"/>
        </w:rPr>
      </w:pPr>
      <w:r>
        <w:rPr>
          <w:rFonts w:ascii="宋体" w:hAnsi="宋体" w:cs="宋体" w:eastAsia="宋体" w:hint="default"/>
          <w:sz w:val="22"/>
          <w:szCs w:val="22"/>
        </w:rPr>
        <w:t>政策和会计估计编制。</w:t>
      </w:r>
    </w:p>
    <w:p>
      <w:pPr>
        <w:tabs>
          <w:tab w:pos="1101" w:val="left" w:leader="none"/>
        </w:tabs>
        <w:spacing w:line="328" w:lineRule="auto" w:before="128"/>
        <w:ind w:left="641" w:right="106" w:firstLine="6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tab/>
      </w:r>
      <w:r>
        <w:rPr>
          <w:rFonts w:ascii="宋体" w:hAnsi="宋体" w:cs="宋体" w:eastAsia="宋体" w:hint="default"/>
          <w:sz w:val="22"/>
          <w:szCs w:val="22"/>
        </w:rPr>
        <w:t>持续经营</w:t>
      </w:r>
      <w:r>
        <w:rPr>
          <w:rFonts w:ascii="宋体" w:hAnsi="宋体" w:cs="宋体" w:eastAsia="宋体" w:hint="default"/>
          <w:w w:val="100"/>
          <w:sz w:val="22"/>
          <w:szCs w:val="22"/>
        </w:rPr>
        <w:t> </w:t>
      </w:r>
      <w:r>
        <w:rPr>
          <w:rFonts w:ascii="宋体" w:hAnsi="宋体" w:cs="宋体" w:eastAsia="宋体" w:hint="default"/>
          <w:spacing w:val="-6"/>
          <w:w w:val="100"/>
          <w:sz w:val="22"/>
          <w:szCs w:val="22"/>
        </w:rPr>
        <w:t>本公司管理层综合考虑了宏观政策风险、市场经营风险、公司目前和长期的盈利能力、</w:t>
      </w:r>
    </w:p>
    <w:p>
      <w:pPr>
        <w:spacing w:line="276" w:lineRule="exact" w:before="0"/>
        <w:ind w:left="202" w:right="94" w:firstLine="0"/>
        <w:jc w:val="left"/>
        <w:rPr>
          <w:rFonts w:ascii="宋体" w:hAnsi="宋体" w:cs="宋体" w:eastAsia="宋体" w:hint="default"/>
          <w:sz w:val="22"/>
          <w:szCs w:val="22"/>
        </w:rPr>
      </w:pPr>
      <w:r>
        <w:rPr>
          <w:rFonts w:ascii="宋体" w:hAnsi="宋体" w:cs="宋体" w:eastAsia="宋体" w:hint="default"/>
          <w:spacing w:val="2"/>
          <w:sz w:val="22"/>
          <w:szCs w:val="22"/>
        </w:rPr>
        <w:t>偿债能力、财务弹性以及管理层改变经营政策的意向等因素，认为本公司自报告期末起</w:t>
      </w:r>
    </w:p>
    <w:p>
      <w:pPr>
        <w:spacing w:before="67"/>
        <w:ind w:left="202" w:right="94"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12 </w:t>
      </w:r>
      <w:r>
        <w:rPr>
          <w:rFonts w:ascii="宋体" w:hAnsi="宋体" w:cs="宋体" w:eastAsia="宋体" w:hint="default"/>
          <w:sz w:val="22"/>
          <w:szCs w:val="22"/>
        </w:rPr>
        <w:t>个月内不存在影响持续经营能力的事项。</w:t>
      </w:r>
    </w:p>
    <w:p>
      <w:pPr>
        <w:tabs>
          <w:tab w:pos="1334" w:val="left" w:leader="none"/>
        </w:tabs>
        <w:spacing w:line="326" w:lineRule="auto" w:before="113"/>
        <w:ind w:left="641" w:right="217" w:firstLine="24"/>
        <w:jc w:val="left"/>
        <w:rPr>
          <w:rFonts w:ascii="宋体" w:hAnsi="宋体" w:cs="宋体" w:eastAsia="宋体" w:hint="default"/>
          <w:sz w:val="22"/>
          <w:szCs w:val="22"/>
        </w:rPr>
      </w:pPr>
      <w:r>
        <w:rPr>
          <w:rFonts w:ascii="Times New Roman" w:hAnsi="Times New Roman" w:cs="Times New Roman" w:eastAsia="Times New Roman" w:hint="default"/>
          <w:b/>
          <w:bCs/>
          <w:spacing w:val="9"/>
          <w:sz w:val="22"/>
          <w:szCs w:val="22"/>
        </w:rPr>
        <w:t>4.</w:t>
        <w:tab/>
      </w:r>
      <w:r>
        <w:rPr>
          <w:rFonts w:ascii="宋体" w:hAnsi="宋体" w:cs="宋体" w:eastAsia="宋体" w:hint="default"/>
          <w:b/>
          <w:bCs/>
          <w:sz w:val="22"/>
          <w:szCs w:val="22"/>
        </w:rPr>
        <w:t>重</w:t>
      </w:r>
      <w:r>
        <w:rPr>
          <w:rFonts w:ascii="宋体" w:hAnsi="宋体" w:cs="宋体" w:eastAsia="宋体" w:hint="default"/>
          <w:b/>
          <w:bCs/>
          <w:spacing w:val="-72"/>
          <w:sz w:val="22"/>
          <w:szCs w:val="22"/>
        </w:rPr>
        <w:t> </w:t>
      </w:r>
      <w:r>
        <w:rPr>
          <w:rFonts w:ascii="宋体" w:hAnsi="宋体" w:cs="宋体" w:eastAsia="宋体" w:hint="default"/>
          <w:b/>
          <w:bCs/>
          <w:sz w:val="22"/>
          <w:szCs w:val="22"/>
        </w:rPr>
        <w:t>要</w:t>
      </w:r>
      <w:r>
        <w:rPr>
          <w:rFonts w:ascii="宋体" w:hAnsi="宋体" w:cs="宋体" w:eastAsia="宋体" w:hint="default"/>
          <w:b/>
          <w:bCs/>
          <w:spacing w:val="-72"/>
          <w:sz w:val="22"/>
          <w:szCs w:val="22"/>
        </w:rPr>
        <w:t> </w:t>
      </w:r>
      <w:r>
        <w:rPr>
          <w:rFonts w:ascii="宋体" w:hAnsi="宋体" w:cs="宋体" w:eastAsia="宋体" w:hint="default"/>
          <w:b/>
          <w:bCs/>
          <w:sz w:val="22"/>
          <w:szCs w:val="22"/>
        </w:rPr>
        <w:t>会</w:t>
      </w:r>
      <w:r>
        <w:rPr>
          <w:rFonts w:ascii="宋体" w:hAnsi="宋体" w:cs="宋体" w:eastAsia="宋体" w:hint="default"/>
          <w:b/>
          <w:bCs/>
          <w:spacing w:val="-72"/>
          <w:sz w:val="22"/>
          <w:szCs w:val="22"/>
        </w:rPr>
        <w:t> </w:t>
      </w:r>
      <w:r>
        <w:rPr>
          <w:rFonts w:ascii="宋体" w:hAnsi="宋体" w:cs="宋体" w:eastAsia="宋体" w:hint="default"/>
          <w:b/>
          <w:bCs/>
          <w:sz w:val="22"/>
          <w:szCs w:val="22"/>
        </w:rPr>
        <w:t>计</w:t>
      </w:r>
      <w:r>
        <w:rPr>
          <w:rFonts w:ascii="宋体" w:hAnsi="宋体" w:cs="宋体" w:eastAsia="宋体" w:hint="default"/>
          <w:b/>
          <w:bCs/>
          <w:spacing w:val="-74"/>
          <w:sz w:val="22"/>
          <w:szCs w:val="22"/>
        </w:rPr>
        <w:t> </w:t>
      </w:r>
      <w:r>
        <w:rPr>
          <w:rFonts w:ascii="宋体" w:hAnsi="宋体" w:cs="宋体" w:eastAsia="宋体" w:hint="default"/>
          <w:b/>
          <w:bCs/>
          <w:sz w:val="22"/>
          <w:szCs w:val="22"/>
        </w:rPr>
        <w:t>政</w:t>
      </w:r>
      <w:r>
        <w:rPr>
          <w:rFonts w:ascii="宋体" w:hAnsi="宋体" w:cs="宋体" w:eastAsia="宋体" w:hint="default"/>
          <w:b/>
          <w:bCs/>
          <w:spacing w:val="-72"/>
          <w:sz w:val="22"/>
          <w:szCs w:val="22"/>
        </w:rPr>
        <w:t> </w:t>
      </w:r>
      <w:r>
        <w:rPr>
          <w:rFonts w:ascii="宋体" w:hAnsi="宋体" w:cs="宋体" w:eastAsia="宋体" w:hint="default"/>
          <w:b/>
          <w:bCs/>
          <w:sz w:val="22"/>
          <w:szCs w:val="22"/>
        </w:rPr>
        <w:t>策</w:t>
      </w:r>
      <w:r>
        <w:rPr>
          <w:rFonts w:ascii="宋体" w:hAnsi="宋体" w:cs="宋体" w:eastAsia="宋体" w:hint="default"/>
          <w:b/>
          <w:bCs/>
          <w:spacing w:val="-72"/>
          <w:sz w:val="22"/>
          <w:szCs w:val="22"/>
        </w:rPr>
        <w:t> </w:t>
      </w:r>
      <w:r>
        <w:rPr>
          <w:rFonts w:ascii="宋体" w:hAnsi="宋体" w:cs="宋体" w:eastAsia="宋体" w:hint="default"/>
          <w:b/>
          <w:bCs/>
          <w:sz w:val="22"/>
          <w:szCs w:val="22"/>
        </w:rPr>
        <w:t>及</w:t>
      </w:r>
      <w:r>
        <w:rPr>
          <w:rFonts w:ascii="宋体" w:hAnsi="宋体" w:cs="宋体" w:eastAsia="宋体" w:hint="default"/>
          <w:b/>
          <w:bCs/>
          <w:spacing w:val="-72"/>
          <w:sz w:val="22"/>
          <w:szCs w:val="22"/>
        </w:rPr>
        <w:t> </w:t>
      </w:r>
      <w:r>
        <w:rPr>
          <w:rFonts w:ascii="宋体" w:hAnsi="宋体" w:cs="宋体" w:eastAsia="宋体" w:hint="default"/>
          <w:b/>
          <w:bCs/>
          <w:sz w:val="22"/>
          <w:szCs w:val="22"/>
        </w:rPr>
        <w:t>会</w:t>
      </w:r>
      <w:r>
        <w:rPr>
          <w:rFonts w:ascii="宋体" w:hAnsi="宋体" w:cs="宋体" w:eastAsia="宋体" w:hint="default"/>
          <w:b/>
          <w:bCs/>
          <w:spacing w:val="-74"/>
          <w:sz w:val="22"/>
          <w:szCs w:val="22"/>
        </w:rPr>
        <w:t> </w:t>
      </w:r>
      <w:r>
        <w:rPr>
          <w:rFonts w:ascii="宋体" w:hAnsi="宋体" w:cs="宋体" w:eastAsia="宋体" w:hint="default"/>
          <w:b/>
          <w:bCs/>
          <w:sz w:val="22"/>
          <w:szCs w:val="22"/>
        </w:rPr>
        <w:t>计</w:t>
      </w:r>
      <w:r>
        <w:rPr>
          <w:rFonts w:ascii="宋体" w:hAnsi="宋体" w:cs="宋体" w:eastAsia="宋体" w:hint="default"/>
          <w:b/>
          <w:bCs/>
          <w:spacing w:val="-74"/>
          <w:sz w:val="22"/>
          <w:szCs w:val="22"/>
        </w:rPr>
        <w:t> </w:t>
      </w:r>
      <w:r>
        <w:rPr>
          <w:rFonts w:ascii="宋体" w:hAnsi="宋体" w:cs="宋体" w:eastAsia="宋体" w:hint="default"/>
          <w:b/>
          <w:bCs/>
          <w:sz w:val="22"/>
          <w:szCs w:val="22"/>
        </w:rPr>
        <w:t>估</w:t>
      </w:r>
      <w:r>
        <w:rPr>
          <w:rFonts w:ascii="宋体" w:hAnsi="宋体" w:cs="宋体" w:eastAsia="宋体" w:hint="default"/>
          <w:b/>
          <w:bCs/>
          <w:spacing w:val="-72"/>
          <w:sz w:val="22"/>
          <w:szCs w:val="22"/>
        </w:rPr>
        <w:t> </w:t>
      </w:r>
      <w:r>
        <w:rPr>
          <w:rFonts w:ascii="宋体" w:hAnsi="宋体" w:cs="宋体" w:eastAsia="宋体" w:hint="default"/>
          <w:b/>
          <w:bCs/>
          <w:sz w:val="22"/>
          <w:szCs w:val="22"/>
        </w:rPr>
        <w:t>计</w:t>
      </w:r>
      <w:r>
        <w:rPr>
          <w:rFonts w:ascii="宋体" w:hAnsi="宋体" w:cs="宋体" w:eastAsia="宋体" w:hint="default"/>
          <w:b/>
          <w:bCs/>
          <w:w w:val="99"/>
          <w:sz w:val="22"/>
          <w:szCs w:val="22"/>
        </w:rPr>
        <w:t> </w:t>
      </w:r>
      <w:r>
        <w:rPr>
          <w:rFonts w:ascii="宋体" w:hAnsi="宋体" w:cs="宋体" w:eastAsia="宋体" w:hint="default"/>
          <w:spacing w:val="-3"/>
          <w:sz w:val="22"/>
          <w:szCs w:val="22"/>
        </w:rPr>
        <w:t>本公司根据实际生产经营特点制定的具体会计政策和会计估计包括营业周期、应收款</w:t>
      </w:r>
    </w:p>
    <w:p>
      <w:pPr>
        <w:spacing w:line="297" w:lineRule="auto" w:before="0"/>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项坏账准备的确认和计量、发出存货计量、固定资产分类及折旧方法、无形资产摊销、研</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z w:val="22"/>
          <w:szCs w:val="22"/>
        </w:rPr>
        <w:t>发费用资本化条件、收入确认和计量等。</w:t>
      </w:r>
    </w:p>
    <w:p>
      <w:pPr>
        <w:tabs>
          <w:tab w:pos="1070" w:val="left" w:leader="none"/>
        </w:tabs>
        <w:spacing w:line="328" w:lineRule="auto" w:before="74"/>
        <w:ind w:left="641" w:right="217"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w:t>
        <w:tab/>
      </w:r>
      <w:r>
        <w:rPr>
          <w:rFonts w:ascii="宋体" w:hAnsi="宋体" w:cs="宋体" w:eastAsia="宋体" w:hint="default"/>
          <w:sz w:val="22"/>
          <w:szCs w:val="22"/>
        </w:rPr>
        <w:t>遵循企业会计准则的声明</w:t>
      </w:r>
      <w:r>
        <w:rPr>
          <w:rFonts w:ascii="宋体" w:hAnsi="宋体" w:cs="宋体" w:eastAsia="宋体" w:hint="default"/>
          <w:w w:val="100"/>
          <w:sz w:val="22"/>
          <w:szCs w:val="22"/>
        </w:rPr>
        <w:t> </w:t>
      </w:r>
      <w:r>
        <w:rPr>
          <w:rFonts w:ascii="宋体" w:hAnsi="宋体" w:cs="宋体" w:eastAsia="宋体" w:hint="default"/>
          <w:spacing w:val="-3"/>
          <w:sz w:val="22"/>
          <w:szCs w:val="22"/>
        </w:rPr>
        <w:t>本公司编制的财务报表符合企业会计准则的要求，真实、完整地反映了本公司的财务</w:t>
      </w:r>
    </w:p>
    <w:p>
      <w:pPr>
        <w:spacing w:line="274" w:lineRule="exact" w:before="0"/>
        <w:ind w:left="202" w:right="94" w:firstLine="0"/>
        <w:jc w:val="left"/>
        <w:rPr>
          <w:rFonts w:ascii="宋体" w:hAnsi="宋体" w:cs="宋体" w:eastAsia="宋体" w:hint="default"/>
          <w:sz w:val="22"/>
          <w:szCs w:val="22"/>
        </w:rPr>
      </w:pPr>
      <w:r>
        <w:rPr>
          <w:rFonts w:ascii="宋体" w:hAnsi="宋体" w:cs="宋体" w:eastAsia="宋体" w:hint="default"/>
          <w:sz w:val="22"/>
          <w:szCs w:val="22"/>
        </w:rPr>
        <w:t>状况、经营成果和现金流量等有关信息。</w:t>
      </w:r>
    </w:p>
    <w:p>
      <w:pPr>
        <w:tabs>
          <w:tab w:pos="1070" w:val="left" w:leader="none"/>
        </w:tabs>
        <w:spacing w:before="129"/>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6.</w:t>
        <w:tab/>
      </w:r>
      <w:r>
        <w:rPr>
          <w:rFonts w:ascii="宋体" w:hAnsi="宋体" w:cs="宋体" w:eastAsia="宋体" w:hint="default"/>
          <w:sz w:val="22"/>
          <w:szCs w:val="22"/>
        </w:rPr>
        <w:t>会计期间</w:t>
      </w:r>
    </w:p>
    <w:p>
      <w:pPr>
        <w:spacing w:before="113"/>
        <w:ind w:left="641" w:right="94" w:firstLine="0"/>
        <w:jc w:val="left"/>
        <w:rPr>
          <w:rFonts w:ascii="宋体" w:hAnsi="宋体" w:cs="宋体" w:eastAsia="宋体" w:hint="default"/>
          <w:sz w:val="22"/>
          <w:szCs w:val="22"/>
        </w:rPr>
      </w:pPr>
      <w:r>
        <w:rPr>
          <w:rFonts w:ascii="宋体" w:hAnsi="宋体" w:cs="宋体" w:eastAsia="宋体" w:hint="default"/>
          <w:sz w:val="22"/>
          <w:szCs w:val="22"/>
        </w:rPr>
        <w:t>本公司的会计期间为公历</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日至</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3"/>
          <w:sz w:val="22"/>
          <w:szCs w:val="22"/>
        </w:rPr>
        <w:t> </w:t>
      </w:r>
      <w:r>
        <w:rPr>
          <w:rFonts w:ascii="宋体" w:hAnsi="宋体" w:cs="宋体" w:eastAsia="宋体" w:hint="default"/>
          <w:spacing w:val="-3"/>
          <w:sz w:val="22"/>
          <w:szCs w:val="22"/>
        </w:rPr>
        <w:t>日。</w:t>
      </w:r>
      <w:r>
        <w:rPr>
          <w:rFonts w:ascii="宋体" w:hAnsi="宋体" w:cs="宋体" w:eastAsia="宋体" w:hint="default"/>
          <w:sz w:val="22"/>
          <w:szCs w:val="22"/>
        </w:rPr>
      </w:r>
    </w:p>
    <w:p>
      <w:pPr>
        <w:tabs>
          <w:tab w:pos="1070" w:val="left" w:leader="none"/>
        </w:tabs>
        <w:spacing w:before="110"/>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7.</w:t>
        <w:tab/>
      </w:r>
      <w:r>
        <w:rPr>
          <w:rFonts w:ascii="宋体" w:hAnsi="宋体" w:cs="宋体" w:eastAsia="宋体" w:hint="default"/>
          <w:sz w:val="22"/>
          <w:szCs w:val="22"/>
        </w:rPr>
        <w:t>营业周期</w:t>
      </w:r>
    </w:p>
    <w:p>
      <w:pPr>
        <w:spacing w:before="113"/>
        <w:ind w:left="641" w:right="94" w:firstLine="0"/>
        <w:jc w:val="left"/>
        <w:rPr>
          <w:rFonts w:ascii="宋体" w:hAnsi="宋体" w:cs="宋体" w:eastAsia="宋体" w:hint="default"/>
          <w:sz w:val="22"/>
          <w:szCs w:val="22"/>
        </w:rPr>
      </w:pPr>
      <w:r>
        <w:rPr>
          <w:rFonts w:ascii="宋体" w:hAnsi="宋体" w:cs="宋体" w:eastAsia="宋体" w:hint="default"/>
          <w:sz w:val="22"/>
          <w:szCs w:val="22"/>
        </w:rPr>
        <w:t>本公司以</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个月作为正常营业周期。</w:t>
      </w:r>
    </w:p>
    <w:p>
      <w:pPr>
        <w:tabs>
          <w:tab w:pos="1070" w:val="left" w:leader="none"/>
        </w:tabs>
        <w:spacing w:line="328" w:lineRule="auto" w:before="110"/>
        <w:ind w:left="641" w:right="5204"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8.</w:t>
        <w:tab/>
      </w:r>
      <w:r>
        <w:rPr>
          <w:rFonts w:ascii="宋体" w:hAnsi="宋体" w:cs="宋体" w:eastAsia="宋体" w:hint="default"/>
          <w:sz w:val="22"/>
          <w:szCs w:val="22"/>
        </w:rPr>
        <w:t>记账本位币</w:t>
      </w:r>
      <w:r>
        <w:rPr>
          <w:rFonts w:ascii="宋体" w:hAnsi="宋体" w:cs="宋体" w:eastAsia="宋体" w:hint="default"/>
          <w:w w:val="100"/>
          <w:sz w:val="22"/>
          <w:szCs w:val="22"/>
        </w:rPr>
        <w:t> </w:t>
      </w:r>
      <w:r>
        <w:rPr>
          <w:rFonts w:ascii="宋体" w:hAnsi="宋体" w:cs="宋体" w:eastAsia="宋体" w:hint="default"/>
          <w:spacing w:val="-1"/>
          <w:sz w:val="22"/>
          <w:szCs w:val="22"/>
        </w:rPr>
        <w:t>本公司以人民币为记账本位币。</w:t>
      </w:r>
    </w:p>
    <w:p>
      <w:pPr>
        <w:tabs>
          <w:tab w:pos="1070" w:val="left" w:leader="none"/>
        </w:tabs>
        <w:spacing w:before="48"/>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9.</w:t>
        <w:tab/>
      </w:r>
      <w:r>
        <w:rPr>
          <w:rFonts w:ascii="宋体" w:hAnsi="宋体" w:cs="宋体" w:eastAsia="宋体" w:hint="default"/>
          <w:sz w:val="22"/>
          <w:szCs w:val="22"/>
        </w:rPr>
        <w:t>同一控制下和非同一控制下企业合并的会计处理方法</w:t>
      </w:r>
    </w:p>
    <w:p>
      <w:pPr>
        <w:spacing w:line="297" w:lineRule="auto" w:before="111"/>
        <w:ind w:left="202" w:right="216" w:firstLine="479"/>
        <w:jc w:val="both"/>
        <w:rPr>
          <w:rFonts w:ascii="宋体" w:hAnsi="宋体" w:cs="宋体" w:eastAsia="宋体" w:hint="default"/>
          <w:sz w:val="22"/>
          <w:szCs w:val="22"/>
        </w:rPr>
      </w:pPr>
      <w:r>
        <w:rPr>
          <w:rFonts w:ascii="宋体" w:hAnsi="宋体" w:cs="宋体" w:eastAsia="宋体" w:hint="default"/>
          <w:sz w:val="22"/>
          <w:szCs w:val="22"/>
        </w:rPr>
        <w:t>本公司作为合并方，在同一控制下企业合并中取得的资产和负债，在合并日按被合</w:t>
      </w:r>
      <w:r>
        <w:rPr>
          <w:rFonts w:ascii="宋体" w:hAnsi="宋体" w:cs="宋体" w:eastAsia="宋体" w:hint="default"/>
          <w:spacing w:val="2"/>
          <w:w w:val="100"/>
          <w:sz w:val="22"/>
          <w:szCs w:val="22"/>
        </w:rPr>
        <w:t> </w:t>
      </w:r>
      <w:r>
        <w:rPr>
          <w:rFonts w:ascii="宋体" w:hAnsi="宋体" w:cs="宋体" w:eastAsia="宋体" w:hint="default"/>
          <w:spacing w:val="-3"/>
          <w:sz w:val="22"/>
          <w:szCs w:val="22"/>
        </w:rPr>
        <w:t>并方在最终控制方合并报表中的账面价值计量。取得的净资产账面价值与支付的合并对价</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账面价值的差额，调整资本公积；资本公积不足冲减的，调整留存收益。</w:t>
      </w:r>
    </w:p>
    <w:p>
      <w:pPr>
        <w:spacing w:line="297" w:lineRule="auto" w:before="77"/>
        <w:ind w:left="322" w:right="212" w:firstLine="331"/>
        <w:jc w:val="both"/>
        <w:rPr>
          <w:rFonts w:ascii="宋体" w:hAnsi="宋体" w:cs="宋体" w:eastAsia="宋体" w:hint="default"/>
          <w:sz w:val="22"/>
          <w:szCs w:val="22"/>
        </w:rPr>
      </w:pPr>
      <w:r>
        <w:rPr>
          <w:rFonts w:ascii="宋体" w:hAnsi="宋体" w:cs="宋体" w:eastAsia="宋体" w:hint="default"/>
          <w:spacing w:val="-4"/>
          <w:sz w:val="22"/>
          <w:szCs w:val="22"/>
        </w:rPr>
        <w:t>在非同一控制下企业合并中取得的被购买方可辨认资产、负债及或有负债在购买日以</w:t>
      </w:r>
      <w:r>
        <w:rPr>
          <w:rFonts w:ascii="宋体" w:hAnsi="宋体" w:cs="宋体" w:eastAsia="宋体" w:hint="default"/>
          <w:w w:val="100"/>
          <w:sz w:val="22"/>
          <w:szCs w:val="22"/>
        </w:rPr>
        <w:t> </w:t>
      </w:r>
      <w:r>
        <w:rPr>
          <w:rFonts w:ascii="宋体" w:hAnsi="宋体" w:cs="宋体" w:eastAsia="宋体" w:hint="default"/>
          <w:sz w:val="22"/>
          <w:szCs w:val="22"/>
        </w:rPr>
        <w:t>公允价值计量。合并成本为本公司在购买日为取得对被购买方的控制权而支付的现金或</w:t>
      </w:r>
      <w:r>
        <w:rPr>
          <w:rFonts w:ascii="宋体" w:hAnsi="宋体" w:cs="宋体" w:eastAsia="宋体" w:hint="default"/>
          <w:spacing w:val="-80"/>
          <w:sz w:val="22"/>
          <w:szCs w:val="22"/>
        </w:rPr>
        <w:t> </w:t>
      </w:r>
      <w:r>
        <w:rPr>
          <w:rFonts w:ascii="宋体" w:hAnsi="宋体" w:cs="宋体" w:eastAsia="宋体" w:hint="default"/>
          <w:sz w:val="22"/>
          <w:szCs w:val="22"/>
        </w:rPr>
        <w:t>非现金资产、发生或承担的负债、发行的权益性工具或债务性工具等的公允价值之和。</w:t>
      </w:r>
      <w:r>
        <w:rPr>
          <w:rFonts w:ascii="宋体" w:hAnsi="宋体" w:cs="宋体" w:eastAsia="宋体" w:hint="default"/>
          <w:spacing w:val="-81"/>
          <w:sz w:val="22"/>
          <w:szCs w:val="22"/>
        </w:rPr>
        <w:t> </w:t>
      </w:r>
      <w:r>
        <w:rPr>
          <w:rFonts w:ascii="宋体" w:hAnsi="宋体" w:cs="宋体" w:eastAsia="宋体" w:hint="default"/>
          <w:spacing w:val="-81"/>
          <w:sz w:val="22"/>
          <w:szCs w:val="22"/>
        </w:rPr>
      </w:r>
      <w:r>
        <w:rPr>
          <w:rFonts w:ascii="宋体" w:hAnsi="宋体" w:cs="宋体" w:eastAsia="宋体" w:hint="default"/>
          <w:sz w:val="22"/>
          <w:szCs w:val="22"/>
        </w:rPr>
        <w:t>合并成本大于合并中取得的被购买方可辨认净资产公允价值份额的差额，确认为商誉；</w:t>
      </w:r>
    </w:p>
    <w:p>
      <w:pPr>
        <w:spacing w:after="0" w:line="297" w:lineRule="auto"/>
        <w:jc w:val="both"/>
        <w:rPr>
          <w:rFonts w:ascii="宋体" w:hAnsi="宋体" w:cs="宋体" w:eastAsia="宋体" w:hint="default"/>
          <w:sz w:val="22"/>
          <w:szCs w:val="22"/>
        </w:rPr>
        <w:sectPr>
          <w:headerReference w:type="default" r:id="rId32"/>
          <w:pgSz w:w="11910" w:h="16840"/>
          <w:pgMar w:header="585" w:footer="836" w:top="1080" w:bottom="1020" w:left="1500" w:right="1480"/>
        </w:sectPr>
      </w:pPr>
    </w:p>
    <w:p>
      <w:pPr>
        <w:spacing w:line="240" w:lineRule="auto" w:before="1"/>
        <w:rPr>
          <w:rFonts w:ascii="宋体" w:hAnsi="宋体" w:cs="宋体" w:eastAsia="宋体" w:hint="default"/>
          <w:sz w:val="22"/>
          <w:szCs w:val="22"/>
        </w:rPr>
      </w:pPr>
    </w:p>
    <w:p>
      <w:pPr>
        <w:spacing w:line="297" w:lineRule="auto" w:before="32"/>
        <w:ind w:left="322" w:right="334" w:firstLine="0"/>
        <w:jc w:val="both"/>
        <w:rPr>
          <w:rFonts w:ascii="宋体" w:hAnsi="宋体" w:cs="宋体" w:eastAsia="宋体" w:hint="default"/>
          <w:sz w:val="22"/>
          <w:szCs w:val="22"/>
        </w:rPr>
      </w:pPr>
      <w:r>
        <w:rPr>
          <w:rFonts w:ascii="宋体" w:hAnsi="宋体" w:cs="宋体" w:eastAsia="宋体" w:hint="default"/>
          <w:sz w:val="22"/>
          <w:szCs w:val="22"/>
        </w:rPr>
        <w:t>合并成本小于合并中取得的被购买方可辨认净资产公允价值份额的，首先对合并中取得</w:t>
      </w:r>
      <w:r>
        <w:rPr>
          <w:rFonts w:ascii="宋体" w:hAnsi="宋体" w:cs="宋体" w:eastAsia="宋体" w:hint="default"/>
          <w:spacing w:val="-80"/>
          <w:sz w:val="22"/>
          <w:szCs w:val="22"/>
        </w:rPr>
        <w:t> </w:t>
      </w:r>
      <w:r>
        <w:rPr>
          <w:rFonts w:ascii="宋体" w:hAnsi="宋体" w:cs="宋体" w:eastAsia="宋体" w:hint="default"/>
          <w:sz w:val="22"/>
          <w:szCs w:val="22"/>
        </w:rPr>
        <w:t>的各项可辨认资产、负债及或有负债的公允价值、以及合并对价的非现金资产或发行的</w:t>
      </w:r>
      <w:r>
        <w:rPr>
          <w:rFonts w:ascii="宋体" w:hAnsi="宋体" w:cs="宋体" w:eastAsia="宋体" w:hint="default"/>
          <w:spacing w:val="-80"/>
          <w:sz w:val="22"/>
          <w:szCs w:val="22"/>
        </w:rPr>
        <w:t> </w:t>
      </w:r>
      <w:r>
        <w:rPr>
          <w:rFonts w:ascii="宋体" w:hAnsi="宋体" w:cs="宋体" w:eastAsia="宋体" w:hint="default"/>
          <w:sz w:val="22"/>
          <w:szCs w:val="22"/>
        </w:rPr>
        <w:t>权益性证券等的公允价值进行复核，经复核后，合并成本仍小于合并中取得的被购买方</w:t>
      </w:r>
      <w:r>
        <w:rPr>
          <w:rFonts w:ascii="宋体" w:hAnsi="宋体" w:cs="宋体" w:eastAsia="宋体" w:hint="default"/>
          <w:spacing w:val="-80"/>
          <w:sz w:val="22"/>
          <w:szCs w:val="22"/>
        </w:rPr>
        <w:t> </w:t>
      </w:r>
      <w:r>
        <w:rPr>
          <w:rFonts w:ascii="宋体" w:hAnsi="宋体" w:cs="宋体" w:eastAsia="宋体" w:hint="default"/>
          <w:sz w:val="22"/>
          <w:szCs w:val="22"/>
        </w:rPr>
        <w:t>可辨认净资产公允价值份额的，将其差额计入合并当期营业外收入。</w:t>
      </w:r>
    </w:p>
    <w:p>
      <w:pPr>
        <w:spacing w:line="326" w:lineRule="auto" w:before="77"/>
        <w:ind w:left="641" w:right="620"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10.</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合并财务报表的编制方法</w:t>
      </w:r>
      <w:r>
        <w:rPr>
          <w:rFonts w:ascii="宋体" w:hAnsi="宋体" w:cs="宋体" w:eastAsia="宋体" w:hint="default"/>
          <w:w w:val="100"/>
          <w:sz w:val="22"/>
          <w:szCs w:val="22"/>
        </w:rPr>
        <w:t> </w:t>
      </w:r>
      <w:r>
        <w:rPr>
          <w:rFonts w:ascii="宋体" w:hAnsi="宋体" w:cs="宋体" w:eastAsia="宋体" w:hint="default"/>
          <w:spacing w:val="-2"/>
          <w:sz w:val="22"/>
          <w:szCs w:val="22"/>
        </w:rPr>
        <w:t>本公司将所有控制的子公司纳入合并财务报表范围。</w:t>
      </w:r>
    </w:p>
    <w:p>
      <w:pPr>
        <w:spacing w:line="297" w:lineRule="auto" w:before="50"/>
        <w:ind w:left="202" w:right="337" w:firstLine="439"/>
        <w:jc w:val="both"/>
        <w:rPr>
          <w:rFonts w:ascii="宋体" w:hAnsi="宋体" w:cs="宋体" w:eastAsia="宋体" w:hint="default"/>
          <w:sz w:val="22"/>
          <w:szCs w:val="22"/>
        </w:rPr>
      </w:pPr>
      <w:r>
        <w:rPr>
          <w:rFonts w:ascii="宋体" w:hAnsi="宋体" w:cs="宋体" w:eastAsia="宋体" w:hint="default"/>
          <w:spacing w:val="-3"/>
          <w:sz w:val="22"/>
          <w:szCs w:val="22"/>
        </w:rPr>
        <w:t>在编制合并财务报表时，子公司与本公司采用的会计政策或会计期间不一致的，按照</w:t>
      </w:r>
      <w:r>
        <w:rPr>
          <w:rFonts w:ascii="宋体" w:hAnsi="宋体" w:cs="宋体" w:eastAsia="宋体" w:hint="default"/>
          <w:w w:val="100"/>
          <w:sz w:val="22"/>
          <w:szCs w:val="22"/>
        </w:rPr>
        <w:t> </w:t>
      </w:r>
      <w:r>
        <w:rPr>
          <w:rFonts w:ascii="宋体" w:hAnsi="宋体" w:cs="宋体" w:eastAsia="宋体" w:hint="default"/>
          <w:sz w:val="22"/>
          <w:szCs w:val="22"/>
        </w:rPr>
        <w:t>本公司的会计政策或会计期间对子公司财务报表进行必要的调整。</w:t>
      </w:r>
    </w:p>
    <w:p>
      <w:pPr>
        <w:spacing w:line="297" w:lineRule="auto" w:before="74"/>
        <w:ind w:left="202" w:right="106" w:firstLine="439"/>
        <w:jc w:val="left"/>
        <w:rPr>
          <w:rFonts w:ascii="宋体" w:hAnsi="宋体" w:cs="宋体" w:eastAsia="宋体" w:hint="default"/>
          <w:sz w:val="22"/>
          <w:szCs w:val="22"/>
        </w:rPr>
      </w:pPr>
      <w:r>
        <w:rPr>
          <w:rFonts w:ascii="宋体" w:hAnsi="宋体" w:cs="宋体" w:eastAsia="宋体" w:hint="default"/>
          <w:spacing w:val="-3"/>
          <w:sz w:val="22"/>
          <w:szCs w:val="22"/>
        </w:rPr>
        <w:t>合并范围内的所有重大内部交易、往来余额及未实现利润在合并报表编制时予以抵销。</w:t>
      </w:r>
      <w:r>
        <w:rPr>
          <w:rFonts w:ascii="宋体" w:hAnsi="宋体" w:cs="宋体" w:eastAsia="宋体" w:hint="default"/>
          <w:w w:val="100"/>
          <w:sz w:val="22"/>
          <w:szCs w:val="22"/>
        </w:rPr>
        <w:t> </w:t>
      </w:r>
      <w:r>
        <w:rPr>
          <w:rFonts w:ascii="宋体" w:hAnsi="宋体" w:cs="宋体" w:eastAsia="宋体" w:hint="default"/>
          <w:spacing w:val="-3"/>
          <w:sz w:val="22"/>
          <w:szCs w:val="22"/>
        </w:rPr>
        <w:t>子公司的所有者权益中不属于母公司的份额以及当期净损益、其他综合收益及综合收益总</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额中属于少数股东权益的份额，分别在合并财务报表“少数股东权益、少数股东损益、归</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属于少数股东的其他综合收益及归属于少数股东的综合收益总额”项目列示。</w:t>
      </w:r>
    </w:p>
    <w:p>
      <w:pPr>
        <w:spacing w:line="297" w:lineRule="auto" w:before="77"/>
        <w:ind w:left="202" w:right="335" w:firstLine="439"/>
        <w:jc w:val="both"/>
        <w:rPr>
          <w:rFonts w:ascii="宋体" w:hAnsi="宋体" w:cs="宋体" w:eastAsia="宋体" w:hint="default"/>
          <w:sz w:val="22"/>
          <w:szCs w:val="22"/>
        </w:rPr>
      </w:pPr>
      <w:r>
        <w:rPr>
          <w:rFonts w:ascii="宋体" w:hAnsi="宋体" w:cs="宋体" w:eastAsia="宋体" w:hint="default"/>
          <w:spacing w:val="-3"/>
          <w:sz w:val="22"/>
          <w:szCs w:val="22"/>
        </w:rPr>
        <w:t>对于同一控制下企业合并取得的子公司，其经营成果和现金流量自合并当期期初纳入</w:t>
      </w:r>
      <w:r>
        <w:rPr>
          <w:rFonts w:ascii="宋体" w:hAnsi="宋体" w:cs="宋体" w:eastAsia="宋体" w:hint="default"/>
          <w:w w:val="100"/>
          <w:sz w:val="22"/>
          <w:szCs w:val="22"/>
        </w:rPr>
        <w:t> </w:t>
      </w:r>
      <w:r>
        <w:rPr>
          <w:rFonts w:ascii="宋体" w:hAnsi="宋体" w:cs="宋体" w:eastAsia="宋体" w:hint="default"/>
          <w:spacing w:val="-3"/>
          <w:sz w:val="22"/>
          <w:szCs w:val="22"/>
        </w:rPr>
        <w:t>合并财务报表。编制比较合并财务报表时，对上年财务报表的相关项目进行调整，视同合</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并后形成的报告主体自最终控制方开始控制时点起一直存在。</w:t>
      </w:r>
    </w:p>
    <w:p>
      <w:pPr>
        <w:spacing w:line="297" w:lineRule="auto" w:before="74"/>
        <w:ind w:left="202" w:right="337" w:firstLine="439"/>
        <w:jc w:val="both"/>
        <w:rPr>
          <w:rFonts w:ascii="宋体" w:hAnsi="宋体" w:cs="宋体" w:eastAsia="宋体" w:hint="default"/>
          <w:sz w:val="22"/>
          <w:szCs w:val="22"/>
        </w:rPr>
      </w:pPr>
      <w:r>
        <w:rPr>
          <w:rFonts w:ascii="宋体" w:hAnsi="宋体" w:cs="宋体" w:eastAsia="宋体" w:hint="default"/>
          <w:spacing w:val="-3"/>
          <w:sz w:val="22"/>
          <w:szCs w:val="22"/>
        </w:rPr>
        <w:t>对于非同一控制下企业合并取得子公司，经营成果和现金流量自本公司取得控制权之</w:t>
      </w:r>
      <w:r>
        <w:rPr>
          <w:rFonts w:ascii="宋体" w:hAnsi="宋体" w:cs="宋体" w:eastAsia="宋体" w:hint="default"/>
          <w:w w:val="100"/>
          <w:sz w:val="22"/>
          <w:szCs w:val="22"/>
        </w:rPr>
        <w:t> </w:t>
      </w:r>
      <w:r>
        <w:rPr>
          <w:rFonts w:ascii="宋体" w:hAnsi="宋体" w:cs="宋体" w:eastAsia="宋体" w:hint="default"/>
          <w:spacing w:val="-3"/>
          <w:sz w:val="22"/>
          <w:szCs w:val="22"/>
        </w:rPr>
        <w:t>日起纳入合并财务报表。在编制合并财务报表时，以购买日确定的各项可辨认资产、负债</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及或有负债的公允价值为基础对子公司的财务报表进行调整。</w:t>
      </w:r>
    </w:p>
    <w:p>
      <w:pPr>
        <w:spacing w:line="297" w:lineRule="auto" w:before="74"/>
        <w:ind w:left="202" w:right="337" w:firstLine="439"/>
        <w:jc w:val="both"/>
        <w:rPr>
          <w:rFonts w:ascii="宋体" w:hAnsi="宋体" w:cs="宋体" w:eastAsia="宋体" w:hint="default"/>
          <w:sz w:val="22"/>
          <w:szCs w:val="22"/>
        </w:rPr>
      </w:pPr>
      <w:r>
        <w:rPr>
          <w:rFonts w:ascii="宋体" w:hAnsi="宋体" w:cs="宋体" w:eastAsia="宋体" w:hint="default"/>
          <w:spacing w:val="-3"/>
          <w:sz w:val="22"/>
          <w:szCs w:val="22"/>
        </w:rPr>
        <w:t>通过多次交易分步取得非同一控制下被投资单位的股权，最终形成企业合并，编制合</w:t>
      </w:r>
      <w:r>
        <w:rPr>
          <w:rFonts w:ascii="宋体" w:hAnsi="宋体" w:cs="宋体" w:eastAsia="宋体" w:hint="default"/>
          <w:w w:val="100"/>
          <w:sz w:val="22"/>
          <w:szCs w:val="22"/>
        </w:rPr>
        <w:t> </w:t>
      </w:r>
      <w:r>
        <w:rPr>
          <w:rFonts w:ascii="宋体" w:hAnsi="宋体" w:cs="宋体" w:eastAsia="宋体" w:hint="default"/>
          <w:spacing w:val="-3"/>
          <w:sz w:val="22"/>
          <w:szCs w:val="22"/>
        </w:rPr>
        <w:t>并报表时，应首先判断分步交易是否属于一揽子交易。如果分步取得对子公司股权投资直</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至取得控制权的各项交易属于一揽子交易，应当将各项交易作为一项取得子公司控制权的</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交易进行会计处理。如果不属于一揽子交易，对于购买日之前持有的被购买方的股权，按</w:t>
      </w:r>
      <w:r>
        <w:rPr>
          <w:rFonts w:ascii="宋体" w:hAnsi="宋体" w:cs="宋体" w:eastAsia="宋体" w:hint="default"/>
          <w:spacing w:val="-77"/>
          <w:sz w:val="22"/>
          <w:szCs w:val="22"/>
        </w:rPr>
        <w:t> </w:t>
      </w:r>
      <w:r>
        <w:rPr>
          <w:rFonts w:ascii="宋体" w:hAnsi="宋体" w:cs="宋体" w:eastAsia="宋体" w:hint="default"/>
          <w:spacing w:val="-77"/>
          <w:sz w:val="22"/>
          <w:szCs w:val="22"/>
        </w:rPr>
      </w:r>
      <w:r>
        <w:rPr>
          <w:rFonts w:ascii="宋体" w:hAnsi="宋体" w:cs="宋体" w:eastAsia="宋体" w:hint="default"/>
          <w:spacing w:val="-3"/>
          <w:sz w:val="22"/>
          <w:szCs w:val="22"/>
        </w:rPr>
        <w:t>照该股权在购买日的公允价值进行重新计量，公允价值与其账面价值的差额计入当期投资</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收益；与其相关的购买日之前持有的被购买方的股权涉及权益法核算下的其他综合收益以</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及除净损益、其他综合收益和利润分配外的其他所有者权益变动，在购买日所属当期转为</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投资损益，由于被投资方重新计量设定受益计划净负债或净资产变动而产生的其他综合收</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益除外。</w:t>
      </w:r>
    </w:p>
    <w:p>
      <w:pPr>
        <w:spacing w:line="297" w:lineRule="auto" w:before="77"/>
        <w:ind w:left="202" w:right="228" w:firstLine="439"/>
        <w:jc w:val="both"/>
        <w:rPr>
          <w:rFonts w:ascii="宋体" w:hAnsi="宋体" w:cs="宋体" w:eastAsia="宋体" w:hint="default"/>
          <w:sz w:val="22"/>
          <w:szCs w:val="22"/>
        </w:rPr>
      </w:pPr>
      <w:r>
        <w:rPr>
          <w:rFonts w:ascii="宋体" w:hAnsi="宋体" w:cs="宋体" w:eastAsia="宋体" w:hint="default"/>
          <w:spacing w:val="-3"/>
          <w:sz w:val="22"/>
          <w:szCs w:val="22"/>
        </w:rPr>
        <w:t>本公司在不丧失控制权的情况下部分处置对子公司的长期股权投资，在合并财务报表</w:t>
      </w:r>
      <w:r>
        <w:rPr>
          <w:rFonts w:ascii="宋体" w:hAnsi="宋体" w:cs="宋体" w:eastAsia="宋体" w:hint="default"/>
          <w:w w:val="100"/>
          <w:sz w:val="22"/>
          <w:szCs w:val="22"/>
        </w:rPr>
        <w:t> </w:t>
      </w:r>
      <w:r>
        <w:rPr>
          <w:rFonts w:ascii="宋体" w:hAnsi="宋体" w:cs="宋体" w:eastAsia="宋体" w:hint="default"/>
          <w:spacing w:val="-3"/>
          <w:sz w:val="22"/>
          <w:szCs w:val="22"/>
        </w:rPr>
        <w:t>中，处置价款与处置长期股权投资相对应享有子公司自购买日或合并日开始持续计算的净</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资产份额之间的差额，调整资本溢价或股本溢价，资本公积不足冲减的，调整留存收益。</w:t>
      </w:r>
    </w:p>
    <w:p>
      <w:pPr>
        <w:spacing w:line="297" w:lineRule="auto" w:before="75"/>
        <w:ind w:left="202" w:right="106" w:firstLine="439"/>
        <w:jc w:val="left"/>
        <w:rPr>
          <w:rFonts w:ascii="宋体" w:hAnsi="宋体" w:cs="宋体" w:eastAsia="宋体" w:hint="default"/>
          <w:sz w:val="22"/>
          <w:szCs w:val="22"/>
        </w:rPr>
      </w:pPr>
      <w:r>
        <w:rPr>
          <w:rFonts w:ascii="宋体" w:hAnsi="宋体" w:cs="宋体" w:eastAsia="宋体" w:hint="default"/>
          <w:spacing w:val="-3"/>
          <w:sz w:val="22"/>
          <w:szCs w:val="22"/>
        </w:rPr>
        <w:t>本公司因处置部分股权投资等原因丧失了对被投资方的控制权的，在编制合并财务报</w:t>
      </w:r>
      <w:r>
        <w:rPr>
          <w:rFonts w:ascii="宋体" w:hAnsi="宋体" w:cs="宋体" w:eastAsia="宋体" w:hint="default"/>
          <w:w w:val="100"/>
          <w:sz w:val="22"/>
          <w:szCs w:val="22"/>
        </w:rPr>
        <w:t> </w:t>
      </w:r>
      <w:r>
        <w:rPr>
          <w:rFonts w:ascii="宋体" w:hAnsi="宋体" w:cs="宋体" w:eastAsia="宋体" w:hint="default"/>
          <w:spacing w:val="-3"/>
          <w:sz w:val="22"/>
          <w:szCs w:val="22"/>
        </w:rPr>
        <w:t>表时，对于剩余股权，按照其在丧失控制权日的公允价值进行重新计量。处置股权取得的</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pacing w:val="-3"/>
          <w:sz w:val="22"/>
          <w:szCs w:val="22"/>
        </w:rPr>
        <w:t>对价与剩余股权公允价值之和，减去按原持股比例计算应享有原有子公司自购买日或合并</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日开始持续计算的净资产的份额之间的差额，计入丧失控制权当期的投资损益，同时冲减</w:t>
      </w:r>
      <w:r>
        <w:rPr>
          <w:rFonts w:ascii="宋体" w:hAnsi="宋体" w:cs="宋体" w:eastAsia="宋体" w:hint="default"/>
          <w:spacing w:val="-72"/>
          <w:sz w:val="22"/>
          <w:szCs w:val="22"/>
        </w:rPr>
        <w:t> </w:t>
      </w:r>
      <w:r>
        <w:rPr>
          <w:rFonts w:ascii="宋体" w:hAnsi="宋体" w:cs="宋体" w:eastAsia="宋体" w:hint="default"/>
          <w:spacing w:val="-72"/>
          <w:sz w:val="22"/>
          <w:szCs w:val="22"/>
        </w:rPr>
      </w:r>
      <w:r>
        <w:rPr>
          <w:rFonts w:ascii="宋体" w:hAnsi="宋体" w:cs="宋体" w:eastAsia="宋体" w:hint="default"/>
          <w:spacing w:val="-6"/>
          <w:w w:val="100"/>
          <w:sz w:val="22"/>
          <w:szCs w:val="22"/>
        </w:rPr>
        <w:t>商誉。与原有子公司股权投资相关的其他综合收益等，在丧失控制权时转为当期投资损益</w:t>
      </w:r>
      <w:r>
        <w:rPr>
          <w:rFonts w:ascii="宋体" w:hAnsi="宋体" w:cs="宋体" w:eastAsia="宋体" w:hint="default"/>
          <w:spacing w:val="12"/>
          <w:w w:val="100"/>
          <w:sz w:val="22"/>
          <w:szCs w:val="22"/>
        </w:rPr>
        <w:t> </w:t>
      </w:r>
      <w:r>
        <w:rPr>
          <w:rFonts w:ascii="宋体" w:hAnsi="宋体" w:cs="宋体" w:eastAsia="宋体" w:hint="default"/>
          <w:w w:val="100"/>
          <w:sz w:val="22"/>
          <w:szCs w:val="22"/>
        </w:rPr>
        <w:t>。</w:t>
      </w:r>
    </w:p>
    <w:p>
      <w:pPr>
        <w:spacing w:line="328" w:lineRule="auto" w:before="74"/>
        <w:ind w:left="641" w:right="620"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11.</w:t>
      </w:r>
      <w:r>
        <w:rPr>
          <w:rFonts w:ascii="Times New Roman" w:hAnsi="Times New Roman" w:cs="Times New Roman" w:eastAsia="Times New Roman" w:hint="default"/>
          <w:b/>
          <w:bCs/>
          <w:spacing w:val="28"/>
          <w:sz w:val="22"/>
          <w:szCs w:val="22"/>
        </w:rPr>
        <w:t> </w:t>
      </w:r>
      <w:r>
        <w:rPr>
          <w:rFonts w:ascii="宋体" w:hAnsi="宋体" w:cs="宋体" w:eastAsia="宋体" w:hint="default"/>
          <w:sz w:val="22"/>
          <w:szCs w:val="22"/>
        </w:rPr>
        <w:t>合营安排分类及共同经营会计处理方法</w:t>
      </w:r>
      <w:r>
        <w:rPr>
          <w:rFonts w:ascii="宋体" w:hAnsi="宋体" w:cs="宋体" w:eastAsia="宋体" w:hint="default"/>
          <w:w w:val="100"/>
          <w:sz w:val="22"/>
          <w:szCs w:val="22"/>
        </w:rPr>
        <w:t> </w:t>
      </w:r>
      <w:r>
        <w:rPr>
          <w:rFonts w:ascii="宋体" w:hAnsi="宋体" w:cs="宋体" w:eastAsia="宋体" w:hint="default"/>
          <w:spacing w:val="-1"/>
          <w:sz w:val="22"/>
          <w:szCs w:val="22"/>
        </w:rPr>
        <w:t>本公司的合营安排包括共同经营和合营企业。</w:t>
      </w:r>
    </w:p>
    <w:p>
      <w:pPr>
        <w:spacing w:after="0" w:line="328" w:lineRule="auto"/>
        <w:jc w:val="left"/>
        <w:rPr>
          <w:rFonts w:ascii="宋体" w:hAnsi="宋体" w:cs="宋体" w:eastAsia="宋体" w:hint="default"/>
          <w:sz w:val="22"/>
          <w:szCs w:val="22"/>
        </w:rPr>
        <w:sectPr>
          <w:pgSz w:w="11910" w:h="16840"/>
          <w:pgMar w:header="585" w:footer="836" w:top="1080" w:bottom="1020" w:left="1500" w:right="1360"/>
        </w:sectPr>
      </w:pPr>
    </w:p>
    <w:p>
      <w:pPr>
        <w:spacing w:line="240" w:lineRule="auto" w:before="6"/>
        <w:rPr>
          <w:rFonts w:ascii="宋体" w:hAnsi="宋体" w:cs="宋体" w:eastAsia="宋体" w:hint="default"/>
          <w:sz w:val="5"/>
          <w:szCs w:val="5"/>
        </w:rPr>
      </w:pPr>
    </w:p>
    <w:p>
      <w:pPr>
        <w:spacing w:line="417" w:lineRule="exact"/>
        <w:ind w:left="105" w:right="0" w:firstLine="0"/>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861822" cy="265175"/>
            <wp:effectExtent l="0" t="0" r="0" b="0"/>
            <wp:docPr id="11" name="image1.jpeg" descr=""/>
            <wp:cNvGraphicFramePr>
              <a:graphicFrameLocks noChangeAspect="1"/>
            </wp:cNvGraphicFramePr>
            <a:graphic>
              <a:graphicData uri="http://schemas.openxmlformats.org/drawingml/2006/picture">
                <pic:pic>
                  <pic:nvPicPr>
                    <pic:cNvPr id="12" name="image1.jpeg"/>
                    <pic:cNvPicPr/>
                  </pic:nvPicPr>
                  <pic:blipFill>
                    <a:blip r:embed="rId35" cstate="print"/>
                    <a:stretch>
                      <a:fillRect/>
                    </a:stretch>
                  </pic:blipFill>
                  <pic:spPr>
                    <a:xfrm>
                      <a:off x="0" y="0"/>
                      <a:ext cx="861822" cy="265175"/>
                    </a:xfrm>
                    <a:prstGeom prst="rect">
                      <a:avLst/>
                    </a:prstGeom>
                  </pic:spPr>
                </pic:pic>
              </a:graphicData>
            </a:graphic>
          </wp:inline>
        </w:drawing>
      </w:r>
      <w:r>
        <w:rPr>
          <w:rFonts w:ascii="宋体" w:hAnsi="宋体" w:cs="宋体" w:eastAsia="宋体" w:hint="default"/>
          <w:position w:val="-7"/>
          <w:sz w:val="20"/>
          <w:szCs w:val="20"/>
        </w:rPr>
      </w:r>
    </w:p>
    <w:p>
      <w:pPr>
        <w:spacing w:line="240" w:lineRule="auto" w:before="10"/>
        <w:rPr>
          <w:rFonts w:ascii="宋体" w:hAnsi="宋体" w:cs="宋体" w:eastAsia="宋体" w:hint="default"/>
          <w:sz w:val="5"/>
          <w:szCs w:val="5"/>
        </w:rPr>
      </w:pPr>
    </w:p>
    <w:p>
      <w:pPr>
        <w:spacing w:line="20" w:lineRule="exact"/>
        <w:ind w:left="166"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21"/>
          <w:szCs w:val="21"/>
        </w:rPr>
      </w:pPr>
    </w:p>
    <w:p>
      <w:pPr>
        <w:spacing w:line="297" w:lineRule="auto" w:before="32"/>
        <w:ind w:left="202" w:right="216" w:firstLine="439"/>
        <w:jc w:val="both"/>
        <w:rPr>
          <w:rFonts w:ascii="宋体" w:hAnsi="宋体" w:cs="宋体" w:eastAsia="宋体" w:hint="default"/>
          <w:sz w:val="22"/>
          <w:szCs w:val="22"/>
        </w:rPr>
      </w:pPr>
      <w:r>
        <w:rPr>
          <w:rFonts w:ascii="宋体" w:hAnsi="宋体" w:cs="宋体" w:eastAsia="宋体" w:hint="default"/>
          <w:spacing w:val="-3"/>
          <w:sz w:val="22"/>
          <w:szCs w:val="22"/>
        </w:rPr>
        <w:t>对于共同经营项目，本公司作为共同经营中的合营方确认单独持有的资产和承担的负</w:t>
      </w:r>
      <w:r>
        <w:rPr>
          <w:rFonts w:ascii="宋体" w:hAnsi="宋体" w:cs="宋体" w:eastAsia="宋体" w:hint="default"/>
          <w:w w:val="100"/>
          <w:sz w:val="22"/>
          <w:szCs w:val="22"/>
        </w:rPr>
        <w:t> </w:t>
      </w:r>
      <w:r>
        <w:rPr>
          <w:rFonts w:ascii="宋体" w:hAnsi="宋体" w:cs="宋体" w:eastAsia="宋体" w:hint="default"/>
          <w:spacing w:val="-3"/>
          <w:sz w:val="22"/>
          <w:szCs w:val="22"/>
        </w:rPr>
        <w:t>债，以及按份额确认持有的资产和承担的负债，根据相关约定单独或按份额确认相关的收</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入和费用。与共同经营发生购买、销售不构成业务的资产交易的，仅确认因该交易产生的</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z w:val="22"/>
          <w:szCs w:val="22"/>
        </w:rPr>
        <w:t>损益中归属于共同经营其他参与方的部分。</w:t>
      </w:r>
    </w:p>
    <w:p>
      <w:pPr>
        <w:spacing w:line="280" w:lineRule="auto" w:before="77"/>
        <w:ind w:left="202" w:right="215" w:firstLine="439"/>
        <w:jc w:val="both"/>
        <w:rPr>
          <w:rFonts w:ascii="宋体" w:hAnsi="宋体" w:cs="宋体" w:eastAsia="宋体" w:hint="default"/>
          <w:sz w:val="22"/>
          <w:szCs w:val="22"/>
        </w:rPr>
      </w:pPr>
      <w:r>
        <w:rPr>
          <w:rFonts w:ascii="宋体" w:hAnsi="宋体" w:cs="宋体" w:eastAsia="宋体" w:hint="default"/>
          <w:spacing w:val="-3"/>
          <w:sz w:val="22"/>
          <w:szCs w:val="22"/>
        </w:rPr>
        <w:t>对于合营企业，本公司作为合营方按照《企业会计准则第 </w:t>
      </w:r>
      <w:r>
        <w:rPr>
          <w:rFonts w:ascii="Times New Roman" w:hAnsi="Times New Roman" w:cs="Times New Roman" w:eastAsia="Times New Roman" w:hint="default"/>
          <w:sz w:val="22"/>
          <w:szCs w:val="22"/>
        </w:rPr>
        <w:t>2</w:t>
      </w:r>
      <w:r>
        <w:rPr>
          <w:rFonts w:ascii="Times New Roman" w:hAnsi="Times New Roman" w:cs="Times New Roman" w:eastAsia="Times New Roman" w:hint="default"/>
          <w:spacing w:val="-26"/>
          <w:sz w:val="22"/>
          <w:szCs w:val="22"/>
        </w:rPr>
        <w:t> </w:t>
      </w:r>
      <w:r>
        <w:rPr>
          <w:rFonts w:ascii="宋体" w:hAnsi="宋体" w:cs="宋体" w:eastAsia="宋体" w:hint="default"/>
          <w:spacing w:val="-3"/>
          <w:sz w:val="22"/>
          <w:szCs w:val="22"/>
        </w:rPr>
        <w:t>号</w:t>
      </w:r>
      <w:r>
        <w:rPr>
          <w:rFonts w:ascii="Times New Roman" w:hAnsi="Times New Roman" w:cs="Times New Roman" w:eastAsia="Times New Roman" w:hint="default"/>
          <w:spacing w:val="-3"/>
          <w:sz w:val="22"/>
          <w:szCs w:val="22"/>
        </w:rPr>
        <w:t>——</w:t>
      </w:r>
      <w:r>
        <w:rPr>
          <w:rFonts w:ascii="宋体" w:hAnsi="宋体" w:cs="宋体" w:eastAsia="宋体" w:hint="default"/>
          <w:spacing w:val="-3"/>
          <w:sz w:val="22"/>
          <w:szCs w:val="22"/>
        </w:rPr>
        <w:t>长期股权投资》的</w:t>
      </w:r>
      <w:r>
        <w:rPr>
          <w:rFonts w:ascii="宋体" w:hAnsi="宋体" w:cs="宋体" w:eastAsia="宋体" w:hint="default"/>
          <w:w w:val="100"/>
          <w:sz w:val="22"/>
          <w:szCs w:val="22"/>
        </w:rPr>
        <w:t> </w:t>
      </w:r>
      <w:r>
        <w:rPr>
          <w:rFonts w:ascii="宋体" w:hAnsi="宋体" w:cs="宋体" w:eastAsia="宋体" w:hint="default"/>
          <w:sz w:val="22"/>
          <w:szCs w:val="22"/>
        </w:rPr>
        <w:t>规定对合营企业的投资进行会计处理。</w:t>
      </w:r>
    </w:p>
    <w:p>
      <w:pPr>
        <w:spacing w:line="328" w:lineRule="auto" w:before="92"/>
        <w:ind w:left="641" w:right="94"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12.</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现金及现金等价物</w:t>
      </w:r>
      <w:r>
        <w:rPr>
          <w:rFonts w:ascii="宋体" w:hAnsi="宋体" w:cs="宋体" w:eastAsia="宋体" w:hint="default"/>
          <w:w w:val="100"/>
          <w:sz w:val="22"/>
          <w:szCs w:val="22"/>
        </w:rPr>
        <w:t> </w:t>
      </w:r>
      <w:r>
        <w:rPr>
          <w:rFonts w:ascii="宋体" w:hAnsi="宋体" w:cs="宋体" w:eastAsia="宋体" w:hint="default"/>
          <w:spacing w:val="-3"/>
          <w:sz w:val="22"/>
          <w:szCs w:val="22"/>
        </w:rPr>
        <w:t>本公司现金流量表之现金指库存现金以及可以随时用于支付的存款。现金流量表之现</w:t>
      </w:r>
    </w:p>
    <w:p>
      <w:pPr>
        <w:spacing w:line="290" w:lineRule="exact" w:before="0"/>
        <w:ind w:left="202" w:right="94" w:firstLine="0"/>
        <w:jc w:val="left"/>
        <w:rPr>
          <w:rFonts w:ascii="宋体" w:hAnsi="宋体" w:cs="宋体" w:eastAsia="宋体" w:hint="default"/>
          <w:sz w:val="22"/>
          <w:szCs w:val="22"/>
        </w:rPr>
      </w:pPr>
      <w:r>
        <w:rPr>
          <w:rFonts w:ascii="宋体" w:hAnsi="宋体" w:cs="宋体" w:eastAsia="宋体" w:hint="default"/>
          <w:sz w:val="22"/>
          <w:szCs w:val="22"/>
        </w:rPr>
        <w:t>金等价物指持有期限不超过 </w:t>
      </w:r>
      <w:r>
        <w:rPr>
          <w:rFonts w:ascii="Times New Roman" w:hAnsi="Times New Roman" w:cs="Times New Roman" w:eastAsia="Times New Roman" w:hint="default"/>
          <w:sz w:val="22"/>
          <w:szCs w:val="22"/>
        </w:rPr>
        <w:t>3</w:t>
      </w:r>
      <w:r>
        <w:rPr>
          <w:rFonts w:ascii="Times New Roman" w:hAnsi="Times New Roman" w:cs="Times New Roman" w:eastAsia="Times New Roman" w:hint="default"/>
          <w:spacing w:val="-32"/>
          <w:sz w:val="22"/>
          <w:szCs w:val="22"/>
        </w:rPr>
        <w:t> </w:t>
      </w:r>
      <w:r>
        <w:rPr>
          <w:rFonts w:ascii="宋体" w:hAnsi="宋体" w:cs="宋体" w:eastAsia="宋体" w:hint="default"/>
          <w:spacing w:val="-4"/>
          <w:sz w:val="22"/>
          <w:szCs w:val="22"/>
        </w:rPr>
        <w:t>个月、流动性强、易于转换为已知金额现金且价值变动风险</w:t>
      </w:r>
    </w:p>
    <w:p>
      <w:pPr>
        <w:spacing w:before="53"/>
        <w:ind w:left="202" w:right="94" w:firstLine="0"/>
        <w:jc w:val="left"/>
        <w:rPr>
          <w:rFonts w:ascii="宋体" w:hAnsi="宋体" w:cs="宋体" w:eastAsia="宋体" w:hint="default"/>
          <w:sz w:val="22"/>
          <w:szCs w:val="22"/>
        </w:rPr>
      </w:pPr>
      <w:r>
        <w:rPr>
          <w:rFonts w:ascii="宋体" w:hAnsi="宋体" w:cs="宋体" w:eastAsia="宋体" w:hint="default"/>
          <w:sz w:val="22"/>
          <w:szCs w:val="22"/>
        </w:rPr>
        <w:t>很小的投资。</w:t>
      </w:r>
    </w:p>
    <w:p>
      <w:pPr>
        <w:spacing w:before="128"/>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13. </w:t>
      </w:r>
      <w:r>
        <w:rPr>
          <w:rFonts w:ascii="Times New Roman" w:hAnsi="Times New Roman" w:cs="Times New Roman" w:eastAsia="Times New Roman" w:hint="default"/>
          <w:b/>
          <w:bCs/>
          <w:spacing w:val="28"/>
          <w:sz w:val="22"/>
          <w:szCs w:val="22"/>
        </w:rPr>
        <w:t> </w:t>
      </w:r>
      <w:r>
        <w:rPr>
          <w:rFonts w:ascii="宋体" w:hAnsi="宋体" w:cs="宋体" w:eastAsia="宋体" w:hint="default"/>
          <w:sz w:val="22"/>
          <w:szCs w:val="22"/>
        </w:rPr>
        <w:t>外币业务和外币财务报表折算</w:t>
      </w:r>
    </w:p>
    <w:p>
      <w:pPr>
        <w:spacing w:line="328" w:lineRule="auto" w:before="113"/>
        <w:ind w:left="641" w:right="94"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外币交易</w:t>
      </w:r>
      <w:r>
        <w:rPr>
          <w:rFonts w:ascii="宋体" w:hAnsi="宋体" w:cs="宋体" w:eastAsia="宋体" w:hint="default"/>
          <w:w w:val="100"/>
          <w:sz w:val="22"/>
          <w:szCs w:val="22"/>
        </w:rPr>
        <w:t> </w:t>
      </w:r>
      <w:r>
        <w:rPr>
          <w:rFonts w:ascii="宋体" w:hAnsi="宋体" w:cs="宋体" w:eastAsia="宋体" w:hint="default"/>
          <w:spacing w:val="-3"/>
          <w:sz w:val="22"/>
          <w:szCs w:val="22"/>
        </w:rPr>
        <w:t>本公司外币交易按交易发生日的即期汇率将外币金额折算为人民币金额。于资产负债</w:t>
      </w:r>
    </w:p>
    <w:p>
      <w:pPr>
        <w:spacing w:line="274" w:lineRule="exact" w:before="0"/>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表日，外币货币性项目采用资产负债表日的即期汇率折算为人民币，所产生的折算差额除</w:t>
      </w:r>
    </w:p>
    <w:p>
      <w:pPr>
        <w:spacing w:line="297" w:lineRule="auto" w:before="69"/>
        <w:ind w:left="202" w:right="215" w:firstLine="0"/>
        <w:jc w:val="both"/>
        <w:rPr>
          <w:rFonts w:ascii="宋体" w:hAnsi="宋体" w:cs="宋体" w:eastAsia="宋体" w:hint="default"/>
          <w:sz w:val="22"/>
          <w:szCs w:val="22"/>
        </w:rPr>
      </w:pPr>
      <w:r>
        <w:rPr>
          <w:rFonts w:ascii="宋体" w:hAnsi="宋体" w:cs="宋体" w:eastAsia="宋体" w:hint="default"/>
          <w:spacing w:val="2"/>
          <w:sz w:val="22"/>
          <w:szCs w:val="22"/>
        </w:rPr>
        <w:t>了为购建或生产符合资本化条件的资产而借入的外币专门借款产生的汇兑差额按资本化</w:t>
      </w:r>
      <w:r>
        <w:rPr>
          <w:rFonts w:ascii="宋体" w:hAnsi="宋体" w:cs="宋体" w:eastAsia="宋体" w:hint="default"/>
          <w:spacing w:val="-58"/>
          <w:sz w:val="22"/>
          <w:szCs w:val="22"/>
        </w:rPr>
        <w:t> </w:t>
      </w:r>
      <w:r>
        <w:rPr>
          <w:rFonts w:ascii="宋体" w:hAnsi="宋体" w:cs="宋体" w:eastAsia="宋体" w:hint="default"/>
          <w:spacing w:val="-58"/>
          <w:sz w:val="22"/>
          <w:szCs w:val="22"/>
        </w:rPr>
      </w:r>
      <w:r>
        <w:rPr>
          <w:rFonts w:ascii="宋体" w:hAnsi="宋体" w:cs="宋体" w:eastAsia="宋体" w:hint="default"/>
          <w:spacing w:val="-3"/>
          <w:sz w:val="22"/>
          <w:szCs w:val="22"/>
        </w:rPr>
        <w:t>的原则处理外，直接计入当期损益。以公允价值计量的外币非货币性项目，采用公允价值</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pacing w:val="-3"/>
          <w:sz w:val="22"/>
          <w:szCs w:val="22"/>
        </w:rPr>
        <w:t>确定日的即期汇率折算，折算后的记账本位币与原记账本位币金额的差额，属于可供出售</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金融资产的外币非货币性项目，其差额计入资本公积；属于以公允价值计量且其变动计入</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当期损益的外币非货币性项目，其差额计入当期损益。以历史成本计量的外币非货币性项</w:t>
      </w:r>
      <w:r>
        <w:rPr>
          <w:rFonts w:ascii="宋体" w:hAnsi="宋体" w:cs="宋体" w:eastAsia="宋体" w:hint="default"/>
          <w:spacing w:val="-72"/>
          <w:sz w:val="22"/>
          <w:szCs w:val="22"/>
        </w:rPr>
        <w:t> </w:t>
      </w:r>
      <w:r>
        <w:rPr>
          <w:rFonts w:ascii="宋体" w:hAnsi="宋体" w:cs="宋体" w:eastAsia="宋体" w:hint="default"/>
          <w:spacing w:val="-72"/>
          <w:sz w:val="22"/>
          <w:szCs w:val="22"/>
        </w:rPr>
      </w:r>
      <w:r>
        <w:rPr>
          <w:rFonts w:ascii="宋体" w:hAnsi="宋体" w:cs="宋体" w:eastAsia="宋体" w:hint="default"/>
          <w:sz w:val="22"/>
          <w:szCs w:val="22"/>
        </w:rPr>
        <w:t>目，仍采用交易发生日的即期汇率折算，不改变其人民币金额。</w:t>
      </w:r>
    </w:p>
    <w:p>
      <w:pPr>
        <w:spacing w:line="328" w:lineRule="auto" w:before="75"/>
        <w:ind w:left="641" w:right="94"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外币财务报表的折算</w:t>
      </w:r>
      <w:r>
        <w:rPr>
          <w:rFonts w:ascii="宋体" w:hAnsi="宋体" w:cs="宋体" w:eastAsia="宋体" w:hint="default"/>
          <w:w w:val="100"/>
          <w:sz w:val="22"/>
          <w:szCs w:val="22"/>
        </w:rPr>
        <w:t> </w:t>
      </w:r>
      <w:r>
        <w:rPr>
          <w:rFonts w:ascii="宋体" w:hAnsi="宋体" w:cs="宋体" w:eastAsia="宋体" w:hint="default"/>
          <w:spacing w:val="-3"/>
          <w:sz w:val="22"/>
          <w:szCs w:val="22"/>
        </w:rPr>
        <w:t>境外经营的资产负债表中的资产和负债项目，采用资产负债表日的即期汇率折算，股</w:t>
      </w:r>
    </w:p>
    <w:p>
      <w:pPr>
        <w:spacing w:line="297" w:lineRule="auto" w:before="0"/>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东权益项目除未分配利润项目外，其他项目采用发生时的即期汇率折算。境外经营的利润</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表中的收入与费用项目，采用交易发生日的即期汇率的近似汇率折算。上述折算产生的外</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6"/>
          <w:w w:val="100"/>
          <w:sz w:val="22"/>
          <w:szCs w:val="22"/>
        </w:rPr>
        <w:t>币报表折算差额，在其他综合收益列示。实质上构成对境外经营净投资的外币货币性项目，</w:t>
      </w:r>
      <w:r>
        <w:rPr>
          <w:rFonts w:ascii="宋体" w:hAnsi="宋体" w:cs="宋体" w:eastAsia="宋体" w:hint="default"/>
          <w:spacing w:val="-93"/>
          <w:w w:val="100"/>
          <w:sz w:val="22"/>
          <w:szCs w:val="22"/>
        </w:rPr>
        <w:t> </w:t>
      </w:r>
      <w:r>
        <w:rPr>
          <w:rFonts w:ascii="宋体" w:hAnsi="宋体" w:cs="宋体" w:eastAsia="宋体" w:hint="default"/>
          <w:spacing w:val="-93"/>
          <w:w w:val="100"/>
          <w:sz w:val="22"/>
          <w:szCs w:val="22"/>
        </w:rPr>
      </w:r>
      <w:r>
        <w:rPr>
          <w:rFonts w:ascii="宋体" w:hAnsi="宋体" w:cs="宋体" w:eastAsia="宋体" w:hint="default"/>
          <w:spacing w:val="-3"/>
          <w:sz w:val="22"/>
          <w:szCs w:val="22"/>
        </w:rPr>
        <w:t>因汇率变动而产生的汇兑差额，在编制合并财务报表时，也作为其他综合收益列示。处置</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z w:val="22"/>
          <w:szCs w:val="22"/>
        </w:rPr>
        <w:t>境外经营时，与该境外经营有关的其他综合收益，按比例转入处置当期损益。</w:t>
      </w:r>
    </w:p>
    <w:p>
      <w:pPr>
        <w:spacing w:line="295" w:lineRule="auto" w:before="77"/>
        <w:ind w:left="202" w:right="223" w:firstLine="439"/>
        <w:jc w:val="both"/>
        <w:rPr>
          <w:rFonts w:ascii="宋体" w:hAnsi="宋体" w:cs="宋体" w:eastAsia="宋体" w:hint="default"/>
          <w:sz w:val="22"/>
          <w:szCs w:val="22"/>
        </w:rPr>
      </w:pPr>
      <w:r>
        <w:rPr>
          <w:rFonts w:ascii="宋体" w:hAnsi="宋体" w:cs="宋体" w:eastAsia="宋体" w:hint="default"/>
          <w:spacing w:val="2"/>
          <w:sz w:val="22"/>
          <w:szCs w:val="22"/>
        </w:rPr>
        <w:t>外币现金流量以及境外子公司的现金流量采用现金流量发生日的即期汇率的近似汇</w:t>
      </w:r>
      <w:r>
        <w:rPr>
          <w:rFonts w:ascii="宋体" w:hAnsi="宋体" w:cs="宋体" w:eastAsia="宋体" w:hint="default"/>
          <w:w w:val="100"/>
          <w:sz w:val="22"/>
          <w:szCs w:val="22"/>
        </w:rPr>
        <w:t> </w:t>
      </w:r>
      <w:r>
        <w:rPr>
          <w:rFonts w:ascii="宋体" w:hAnsi="宋体" w:cs="宋体" w:eastAsia="宋体" w:hint="default"/>
          <w:sz w:val="22"/>
          <w:szCs w:val="22"/>
        </w:rPr>
        <w:t>率折算。汇率变动对现金的影响额，在现金流量表中单独列示。</w:t>
      </w:r>
    </w:p>
    <w:p>
      <w:pPr>
        <w:spacing w:line="338" w:lineRule="auto" w:before="79"/>
        <w:ind w:left="641" w:right="1700"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14.</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金融资产和金融负债</w:t>
      </w:r>
      <w:r>
        <w:rPr>
          <w:rFonts w:ascii="宋体" w:hAnsi="宋体" w:cs="宋体" w:eastAsia="宋体" w:hint="default"/>
          <w:w w:val="100"/>
          <w:sz w:val="22"/>
          <w:szCs w:val="22"/>
        </w:rPr>
        <w:t> </w:t>
      </w:r>
      <w:r>
        <w:rPr>
          <w:rFonts w:ascii="宋体" w:hAnsi="宋体" w:cs="宋体" w:eastAsia="宋体" w:hint="default"/>
          <w:spacing w:val="-1"/>
          <w:sz w:val="22"/>
          <w:szCs w:val="22"/>
        </w:rPr>
        <w:t>本公司成为金融工具合同的一方时确认一项金融资产或金融负债。</w:t>
      </w:r>
      <w:r>
        <w:rPr>
          <w:rFonts w:ascii="宋体" w:hAnsi="宋体" w:cs="宋体" w:eastAsia="宋体" w:hint="default"/>
          <w:spacing w:val="-85"/>
          <w:sz w:val="22"/>
          <w:szCs w:val="22"/>
        </w:rPr>
        <w:t> </w:t>
      </w:r>
      <w:r>
        <w:rPr>
          <w:rFonts w:ascii="宋体" w:hAnsi="宋体" w:cs="宋体" w:eastAsia="宋体" w:hint="default"/>
          <w:spacing w:val="-85"/>
          <w:sz w:val="22"/>
          <w:szCs w:val="22"/>
        </w:rPr>
      </w: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4"/>
          <w:sz w:val="22"/>
          <w:szCs w:val="22"/>
        </w:rPr>
        <w:t> </w:t>
      </w:r>
      <w:r>
        <w:rPr>
          <w:rFonts w:ascii="宋体" w:hAnsi="宋体" w:cs="宋体" w:eastAsia="宋体" w:hint="default"/>
          <w:sz w:val="22"/>
          <w:szCs w:val="22"/>
        </w:rPr>
        <w:t>金融资产</w:t>
      </w:r>
    </w:p>
    <w:p>
      <w:pPr>
        <w:tabs>
          <w:tab w:pos="1101" w:val="left" w:leader="none"/>
        </w:tabs>
        <w:spacing w:line="326" w:lineRule="auto" w:before="13"/>
        <w:ind w:left="641" w:right="223" w:firstLine="6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tab/>
      </w:r>
      <w:r>
        <w:rPr>
          <w:rFonts w:ascii="宋体" w:hAnsi="宋体" w:cs="宋体" w:eastAsia="宋体" w:hint="default"/>
          <w:sz w:val="22"/>
          <w:szCs w:val="22"/>
        </w:rPr>
        <w:t>金融资产分类、确认依据和计量方法</w:t>
      </w:r>
      <w:r>
        <w:rPr>
          <w:rFonts w:ascii="宋体" w:hAnsi="宋体" w:cs="宋体" w:eastAsia="宋体" w:hint="default"/>
          <w:w w:val="100"/>
          <w:sz w:val="22"/>
          <w:szCs w:val="22"/>
        </w:rPr>
        <w:t> </w:t>
      </w:r>
      <w:r>
        <w:rPr>
          <w:rFonts w:ascii="宋体" w:hAnsi="宋体" w:cs="宋体" w:eastAsia="宋体" w:hint="default"/>
          <w:spacing w:val="2"/>
          <w:sz w:val="22"/>
          <w:szCs w:val="22"/>
        </w:rPr>
        <w:t>本公司按投资目的和经济实质对拥有的金融资产分类为以公允价值计量且其变动计</w:t>
      </w:r>
    </w:p>
    <w:p>
      <w:pPr>
        <w:spacing w:line="278" w:lineRule="exact" w:before="0"/>
        <w:ind w:left="202" w:right="94" w:firstLine="0"/>
        <w:jc w:val="left"/>
        <w:rPr>
          <w:rFonts w:ascii="宋体" w:hAnsi="宋体" w:cs="宋体" w:eastAsia="宋体" w:hint="default"/>
          <w:sz w:val="22"/>
          <w:szCs w:val="22"/>
        </w:rPr>
      </w:pPr>
      <w:r>
        <w:rPr>
          <w:rFonts w:ascii="宋体" w:hAnsi="宋体" w:cs="宋体" w:eastAsia="宋体" w:hint="default"/>
          <w:sz w:val="22"/>
          <w:szCs w:val="22"/>
        </w:rPr>
        <w:t>入当期损益的金融资产、持有至到期投资、应收款项及可供出售金融资产。</w:t>
      </w:r>
    </w:p>
    <w:p>
      <w:pPr>
        <w:spacing w:after="0" w:line="278" w:lineRule="exact"/>
        <w:jc w:val="left"/>
        <w:rPr>
          <w:rFonts w:ascii="宋体" w:hAnsi="宋体" w:cs="宋体" w:eastAsia="宋体" w:hint="default"/>
          <w:sz w:val="22"/>
          <w:szCs w:val="22"/>
        </w:rPr>
        <w:sectPr>
          <w:headerReference w:type="default" r:id="rId33"/>
          <w:footerReference w:type="default" r:id="rId34"/>
          <w:pgSz w:w="11910" w:h="16840"/>
          <w:pgMar w:header="0" w:footer="836" w:top="500" w:bottom="1020" w:left="1500" w:right="1480"/>
          <w:pgNumType w:start="90"/>
        </w:sectPr>
      </w:pPr>
    </w:p>
    <w:p>
      <w:pPr>
        <w:spacing w:line="240" w:lineRule="auto" w:before="6"/>
        <w:rPr>
          <w:rFonts w:ascii="宋体" w:hAnsi="宋体" w:cs="宋体" w:eastAsia="宋体" w:hint="default"/>
          <w:sz w:val="5"/>
          <w:szCs w:val="5"/>
        </w:rPr>
      </w:pPr>
    </w:p>
    <w:p>
      <w:pPr>
        <w:spacing w:line="417" w:lineRule="exact"/>
        <w:ind w:left="105" w:right="0" w:firstLine="0"/>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861822" cy="265175"/>
            <wp:effectExtent l="0" t="0" r="0" b="0"/>
            <wp:docPr id="13" name="image1.jpeg" descr=""/>
            <wp:cNvGraphicFramePr>
              <a:graphicFrameLocks noChangeAspect="1"/>
            </wp:cNvGraphicFramePr>
            <a:graphic>
              <a:graphicData uri="http://schemas.openxmlformats.org/drawingml/2006/picture">
                <pic:pic>
                  <pic:nvPicPr>
                    <pic:cNvPr id="14" name="image1.jpeg"/>
                    <pic:cNvPicPr/>
                  </pic:nvPicPr>
                  <pic:blipFill>
                    <a:blip r:embed="rId35" cstate="print"/>
                    <a:stretch>
                      <a:fillRect/>
                    </a:stretch>
                  </pic:blipFill>
                  <pic:spPr>
                    <a:xfrm>
                      <a:off x="0" y="0"/>
                      <a:ext cx="861822" cy="265175"/>
                    </a:xfrm>
                    <a:prstGeom prst="rect">
                      <a:avLst/>
                    </a:prstGeom>
                  </pic:spPr>
                </pic:pic>
              </a:graphicData>
            </a:graphic>
          </wp:inline>
        </w:drawing>
      </w:r>
      <w:r>
        <w:rPr>
          <w:rFonts w:ascii="宋体" w:hAnsi="宋体" w:cs="宋体" w:eastAsia="宋体" w:hint="default"/>
          <w:position w:val="-7"/>
          <w:sz w:val="20"/>
          <w:szCs w:val="20"/>
        </w:rPr>
      </w:r>
    </w:p>
    <w:p>
      <w:pPr>
        <w:spacing w:line="240" w:lineRule="auto" w:before="10"/>
        <w:rPr>
          <w:rFonts w:ascii="宋体" w:hAnsi="宋体" w:cs="宋体" w:eastAsia="宋体" w:hint="default"/>
          <w:sz w:val="5"/>
          <w:szCs w:val="5"/>
        </w:rPr>
      </w:pPr>
    </w:p>
    <w:p>
      <w:pPr>
        <w:spacing w:line="20" w:lineRule="exact"/>
        <w:ind w:left="166"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21"/>
          <w:szCs w:val="21"/>
        </w:rPr>
      </w:pPr>
    </w:p>
    <w:p>
      <w:pPr>
        <w:spacing w:line="297" w:lineRule="auto" w:before="32"/>
        <w:ind w:left="202" w:right="215" w:firstLine="439"/>
        <w:jc w:val="both"/>
        <w:rPr>
          <w:rFonts w:ascii="宋体" w:hAnsi="宋体" w:cs="宋体" w:eastAsia="宋体" w:hint="default"/>
          <w:sz w:val="22"/>
          <w:szCs w:val="22"/>
        </w:rPr>
      </w:pPr>
      <w:r>
        <w:rPr>
          <w:rFonts w:ascii="宋体" w:hAnsi="宋体" w:cs="宋体" w:eastAsia="宋体" w:hint="default"/>
          <w:spacing w:val="-3"/>
          <w:sz w:val="22"/>
          <w:szCs w:val="22"/>
        </w:rPr>
        <w:t>以公允价值计量且其变动计入当期损益的金融资产，包括交易性金融资产和在初始确</w:t>
      </w:r>
      <w:r>
        <w:rPr>
          <w:rFonts w:ascii="宋体" w:hAnsi="宋体" w:cs="宋体" w:eastAsia="宋体" w:hint="default"/>
          <w:w w:val="100"/>
          <w:sz w:val="22"/>
          <w:szCs w:val="22"/>
        </w:rPr>
        <w:t> </w:t>
      </w:r>
      <w:r>
        <w:rPr>
          <w:rFonts w:ascii="宋体" w:hAnsi="宋体" w:cs="宋体" w:eastAsia="宋体" w:hint="default"/>
          <w:spacing w:val="-3"/>
          <w:sz w:val="22"/>
          <w:szCs w:val="22"/>
        </w:rPr>
        <w:t>认时指定为以公允价值计量且其变动计入当期损益的金融资产。本公司将满足下列条件之</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一的金融资产归类为交易性金融资产：取得该金融资产的目的是为了在短期内出售；属于</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进行集中管理的可辨认金融工具组合的一部分，且有客观证据表明公司近期采用短期获利</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方式对该组合进行管理；属于衍生工具，但是，被指定且为有效套期工具的衍生工具、属</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于财务担保合同的衍生工具、与在活跃市场中没有报价且其公允价值不能可靠计量的权益</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工具投资挂钩并须通过交付该权益工具结算的衍生工具除外。本公司将只有符合下列条件</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之一的金融工具，才可在初始确认时指定为以公允价值计量且其变动计入当期损益的金融</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资产：该指定可以消除或明显减少由于该金融工具的计量基础不同所导致的相关利得或损</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失在确认或计量方面不一致的情况；公司风险管理或投资策略的正式书面文件已载明，该</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金融工具组合以公允价值为基础进行管理、评价并向关键管理人员报告；包含一项或多项</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嵌入衍生工具的混合工具，除非嵌入衍生工具对混合工具的现金流量没有重大改变，或所</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嵌入的衍生工具明显不应当从相关混合工具中分拆；包含需要分拆但无法在取得时或后续</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的资产负债表日对其进行单独计量的嵌入衍生工具的混合工具。对此类金融资产，采用公</w:t>
      </w:r>
      <w:r>
        <w:rPr>
          <w:rFonts w:ascii="宋体" w:hAnsi="宋体" w:cs="宋体" w:eastAsia="宋体" w:hint="default"/>
          <w:spacing w:val="-71"/>
          <w:sz w:val="22"/>
          <w:szCs w:val="22"/>
        </w:rPr>
        <w:t> </w:t>
      </w:r>
      <w:r>
        <w:rPr>
          <w:rFonts w:ascii="宋体" w:hAnsi="宋体" w:cs="宋体" w:eastAsia="宋体" w:hint="default"/>
          <w:spacing w:val="-71"/>
          <w:sz w:val="22"/>
          <w:szCs w:val="22"/>
        </w:rPr>
      </w:r>
      <w:r>
        <w:rPr>
          <w:rFonts w:ascii="宋体" w:hAnsi="宋体" w:cs="宋体" w:eastAsia="宋体" w:hint="default"/>
          <w:spacing w:val="-3"/>
          <w:sz w:val="22"/>
          <w:szCs w:val="22"/>
        </w:rPr>
        <w:t>允价值进行后续计量。公允价值变动计入公允价值变动损益；在资产持有期间所取得的利</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息或现金股利，确认为投资收益；处置时，其公允价值与初始入账金额之间的差额确认为</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z w:val="22"/>
          <w:szCs w:val="22"/>
        </w:rPr>
        <w:t>投资损益，同时调整公允价值变动损益。</w:t>
      </w:r>
    </w:p>
    <w:p>
      <w:pPr>
        <w:spacing w:line="297" w:lineRule="auto" w:before="77"/>
        <w:ind w:left="202" w:right="217" w:firstLine="659"/>
        <w:jc w:val="both"/>
        <w:rPr>
          <w:rFonts w:ascii="宋体" w:hAnsi="宋体" w:cs="宋体" w:eastAsia="宋体" w:hint="default"/>
          <w:sz w:val="22"/>
          <w:szCs w:val="22"/>
        </w:rPr>
      </w:pPr>
      <w:r>
        <w:rPr>
          <w:rFonts w:ascii="宋体" w:hAnsi="宋体" w:cs="宋体" w:eastAsia="宋体" w:hint="default"/>
          <w:spacing w:val="-4"/>
          <w:sz w:val="22"/>
          <w:szCs w:val="22"/>
        </w:rPr>
        <w:t>持有至到期投资，是指到期日固定、回收金额固定或可确定，且本公司有明确意图</w:t>
      </w:r>
      <w:r>
        <w:rPr>
          <w:rFonts w:ascii="宋体" w:hAnsi="宋体" w:cs="宋体" w:eastAsia="宋体" w:hint="default"/>
          <w:w w:val="100"/>
          <w:sz w:val="22"/>
          <w:szCs w:val="22"/>
        </w:rPr>
        <w:t> </w:t>
      </w:r>
      <w:r>
        <w:rPr>
          <w:rFonts w:ascii="宋体" w:hAnsi="宋体" w:cs="宋体" w:eastAsia="宋体" w:hint="default"/>
          <w:spacing w:val="-3"/>
          <w:sz w:val="22"/>
          <w:szCs w:val="22"/>
        </w:rPr>
        <w:t>和能力持有至到期的非衍生金融资产。持有至到期投资采用实际利率法，按照摊余成本进</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行后续计量，其摊销或减值以及终止确认产生的利得或损失，均计入当期损益。</w:t>
      </w:r>
    </w:p>
    <w:p>
      <w:pPr>
        <w:spacing w:line="297" w:lineRule="auto" w:before="74"/>
        <w:ind w:left="202" w:right="94" w:firstLine="439"/>
        <w:jc w:val="left"/>
        <w:rPr>
          <w:rFonts w:ascii="宋体" w:hAnsi="宋体" w:cs="宋体" w:eastAsia="宋体" w:hint="default"/>
          <w:sz w:val="22"/>
          <w:szCs w:val="22"/>
        </w:rPr>
      </w:pPr>
      <w:r>
        <w:rPr>
          <w:rFonts w:ascii="宋体" w:hAnsi="宋体" w:cs="宋体" w:eastAsia="宋体" w:hint="default"/>
          <w:sz w:val="22"/>
          <w:szCs w:val="22"/>
        </w:rPr>
        <w:t>应收款项，是指在活跃市场中没有报价，回收金额固定或可确定的非衍生金融资产。</w:t>
      </w:r>
      <w:r>
        <w:rPr>
          <w:rFonts w:ascii="宋体" w:hAnsi="宋体" w:cs="宋体" w:eastAsia="宋体" w:hint="default"/>
          <w:w w:val="100"/>
          <w:sz w:val="22"/>
          <w:szCs w:val="22"/>
        </w:rPr>
        <w:t> </w:t>
      </w:r>
      <w:r>
        <w:rPr>
          <w:rFonts w:ascii="宋体" w:hAnsi="宋体" w:cs="宋体" w:eastAsia="宋体" w:hint="default"/>
          <w:spacing w:val="-3"/>
          <w:sz w:val="22"/>
          <w:szCs w:val="22"/>
        </w:rPr>
        <w:t>应收款项按照摊余成本进行后续计量，其摊销或减值以及终止确认产生的利得或损失，均</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z w:val="22"/>
          <w:szCs w:val="22"/>
        </w:rPr>
        <w:t>计入当期损益。</w:t>
      </w:r>
    </w:p>
    <w:p>
      <w:pPr>
        <w:spacing w:line="297" w:lineRule="auto" w:before="74"/>
        <w:ind w:left="202" w:right="215" w:firstLine="439"/>
        <w:jc w:val="both"/>
        <w:rPr>
          <w:rFonts w:ascii="宋体" w:hAnsi="宋体" w:cs="宋体" w:eastAsia="宋体" w:hint="default"/>
          <w:sz w:val="22"/>
          <w:szCs w:val="22"/>
        </w:rPr>
      </w:pPr>
      <w:r>
        <w:rPr>
          <w:rFonts w:ascii="宋体" w:hAnsi="宋体" w:cs="宋体" w:eastAsia="宋体" w:hint="default"/>
          <w:spacing w:val="-3"/>
          <w:sz w:val="22"/>
          <w:szCs w:val="22"/>
        </w:rPr>
        <w:t>可供出售金融资产，是指初始确认时即被指定为可供出售的非衍生金融资产，以及未</w:t>
      </w:r>
      <w:r>
        <w:rPr>
          <w:rFonts w:ascii="宋体" w:hAnsi="宋体" w:cs="宋体" w:eastAsia="宋体" w:hint="default"/>
          <w:w w:val="100"/>
          <w:sz w:val="22"/>
          <w:szCs w:val="22"/>
        </w:rPr>
        <w:t> </w:t>
      </w:r>
      <w:r>
        <w:rPr>
          <w:rFonts w:ascii="宋体" w:hAnsi="宋体" w:cs="宋体" w:eastAsia="宋体" w:hint="default"/>
          <w:spacing w:val="-3"/>
          <w:sz w:val="22"/>
          <w:szCs w:val="22"/>
        </w:rPr>
        <w:t>被划分为其他类的金融资产。这类资产中，在活跃市场中没有报价且其公允价值不能可靠</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2"/>
          <w:sz w:val="22"/>
          <w:szCs w:val="22"/>
        </w:rPr>
        <w:t>计量的权益工具投资以及与该权益工具挂钩并须通过交付该权益工具结算的衍生金融资</w:t>
      </w:r>
      <w:r>
        <w:rPr>
          <w:rFonts w:ascii="宋体" w:hAnsi="宋体" w:cs="宋体" w:eastAsia="宋体" w:hint="default"/>
          <w:spacing w:val="-58"/>
          <w:sz w:val="22"/>
          <w:szCs w:val="22"/>
        </w:rPr>
        <w:t> </w:t>
      </w:r>
      <w:r>
        <w:rPr>
          <w:rFonts w:ascii="宋体" w:hAnsi="宋体" w:cs="宋体" w:eastAsia="宋体" w:hint="default"/>
          <w:spacing w:val="-58"/>
          <w:sz w:val="22"/>
          <w:szCs w:val="22"/>
        </w:rPr>
      </w:r>
      <w:r>
        <w:rPr>
          <w:rFonts w:ascii="宋体" w:hAnsi="宋体" w:cs="宋体" w:eastAsia="宋体" w:hint="default"/>
          <w:spacing w:val="-3"/>
          <w:sz w:val="22"/>
          <w:szCs w:val="22"/>
        </w:rPr>
        <w:t>产，按成本进行计量；其他存在活跃市场报价或虽没有活跃市场报价但公允价值能够可靠</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计量的，按公允价值计量，公允价值变动计入其他综合收益。对于此类金融资产采用公允</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价值进行后续计量，除减值损失及外币货币性金融资产形成的汇兑差额外，可供出售金融</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资产公允价值变动直接计入股东权益，待该金融资产终止确认时，原直接计入权益的公允</w:t>
      </w:r>
      <w:r>
        <w:rPr>
          <w:rFonts w:ascii="宋体" w:hAnsi="宋体" w:cs="宋体" w:eastAsia="宋体" w:hint="default"/>
          <w:spacing w:val="-72"/>
          <w:sz w:val="22"/>
          <w:szCs w:val="22"/>
        </w:rPr>
        <w:t> </w:t>
      </w:r>
      <w:r>
        <w:rPr>
          <w:rFonts w:ascii="宋体" w:hAnsi="宋体" w:cs="宋体" w:eastAsia="宋体" w:hint="default"/>
          <w:spacing w:val="-72"/>
          <w:sz w:val="22"/>
          <w:szCs w:val="22"/>
        </w:rPr>
      </w:r>
      <w:r>
        <w:rPr>
          <w:rFonts w:ascii="宋体" w:hAnsi="宋体" w:cs="宋体" w:eastAsia="宋体" w:hint="default"/>
          <w:spacing w:val="-3"/>
          <w:sz w:val="22"/>
          <w:szCs w:val="22"/>
        </w:rPr>
        <w:t>价值变动累计额转入当期损益。可供出售债务工具投资在持有期间按实际利率法计算的利</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息，以及被投资单位宣告发放的与可供出售权益工具投资相关的现金股利，作为投资收益</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计入当期损益。</w:t>
      </w:r>
    </w:p>
    <w:p>
      <w:pPr>
        <w:tabs>
          <w:tab w:pos="1101" w:val="left" w:leader="none"/>
        </w:tabs>
        <w:spacing w:line="328" w:lineRule="auto" w:before="74"/>
        <w:ind w:left="641" w:right="217" w:firstLine="6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tab/>
      </w:r>
      <w:r>
        <w:rPr>
          <w:rFonts w:ascii="宋体" w:hAnsi="宋体" w:cs="宋体" w:eastAsia="宋体" w:hint="default"/>
          <w:sz w:val="22"/>
          <w:szCs w:val="22"/>
        </w:rPr>
        <w:t>金融资产转移的确认依据和计量方法</w:t>
      </w:r>
      <w:r>
        <w:rPr>
          <w:rFonts w:ascii="宋体" w:hAnsi="宋体" w:cs="宋体" w:eastAsia="宋体" w:hint="default"/>
          <w:w w:val="100"/>
          <w:sz w:val="22"/>
          <w:szCs w:val="22"/>
        </w:rPr>
        <w:t> </w:t>
      </w:r>
      <w:r>
        <w:rPr>
          <w:rFonts w:ascii="宋体" w:hAnsi="宋体" w:cs="宋体" w:eastAsia="宋体" w:hint="default"/>
          <w:spacing w:val="-3"/>
          <w:sz w:val="22"/>
          <w:szCs w:val="22"/>
        </w:rPr>
        <w:t>金融资产满足下列条件之一的，予以终止确认：①收取该金融资产现金流量的合同权</w:t>
      </w:r>
    </w:p>
    <w:p>
      <w:pPr>
        <w:spacing w:line="274" w:lineRule="exact" w:before="0"/>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利终止；②该金融资产已转移，且本公司将金融资产所有权上几乎所有的风险和报酬转移</w:t>
      </w:r>
    </w:p>
    <w:p>
      <w:pPr>
        <w:spacing w:line="297" w:lineRule="auto" w:before="69"/>
        <w:ind w:left="202" w:right="202" w:firstLine="0"/>
        <w:jc w:val="left"/>
        <w:rPr>
          <w:rFonts w:ascii="宋体" w:hAnsi="宋体" w:cs="宋体" w:eastAsia="宋体" w:hint="default"/>
          <w:sz w:val="22"/>
          <w:szCs w:val="22"/>
        </w:rPr>
      </w:pPr>
      <w:r>
        <w:rPr>
          <w:rFonts w:ascii="宋体" w:hAnsi="宋体" w:cs="宋体" w:eastAsia="宋体" w:hint="default"/>
          <w:sz w:val="22"/>
          <w:szCs w:val="22"/>
        </w:rPr>
        <w:t>给转入方；</w:t>
      </w:r>
      <w:r>
        <w:rPr>
          <w:rFonts w:ascii="宋体" w:hAnsi="宋体" w:cs="宋体" w:eastAsia="宋体" w:hint="default"/>
          <w:spacing w:val="34"/>
          <w:sz w:val="22"/>
          <w:szCs w:val="22"/>
        </w:rPr>
        <w:t> </w:t>
      </w:r>
      <w:r>
        <w:rPr>
          <w:rFonts w:ascii="宋体" w:hAnsi="宋体" w:cs="宋体" w:eastAsia="宋体" w:hint="default"/>
          <w:sz w:val="22"/>
          <w:szCs w:val="22"/>
        </w:rPr>
        <w:t>③该金融资产已转移，虽然本公司既没有转移也没有保留金融资产所有权上</w:t>
      </w:r>
      <w:r>
        <w:rPr>
          <w:rFonts w:ascii="宋体" w:hAnsi="宋体" w:cs="宋体" w:eastAsia="宋体" w:hint="default"/>
          <w:w w:val="100"/>
          <w:sz w:val="22"/>
          <w:szCs w:val="22"/>
        </w:rPr>
        <w:t> </w:t>
      </w:r>
      <w:r>
        <w:rPr>
          <w:rFonts w:ascii="宋体" w:hAnsi="宋体" w:cs="宋体" w:eastAsia="宋体" w:hint="default"/>
          <w:sz w:val="22"/>
          <w:szCs w:val="22"/>
        </w:rPr>
        <w:t>几乎所有的风险和报酬，但是放弃了对该金融资产控制。</w:t>
      </w:r>
    </w:p>
    <w:p>
      <w:pPr>
        <w:spacing w:after="0" w:line="297" w:lineRule="auto"/>
        <w:jc w:val="left"/>
        <w:rPr>
          <w:rFonts w:ascii="宋体" w:hAnsi="宋体" w:cs="宋体" w:eastAsia="宋体" w:hint="default"/>
          <w:sz w:val="22"/>
          <w:szCs w:val="22"/>
        </w:rPr>
        <w:sectPr>
          <w:headerReference w:type="default" r:id="rId36"/>
          <w:footerReference w:type="default" r:id="rId37"/>
          <w:pgSz w:w="11910" w:h="16840"/>
          <w:pgMar w:header="0" w:footer="836" w:top="500" w:bottom="1020" w:left="1500" w:right="1480"/>
          <w:pgNumType w:start="91"/>
        </w:sectPr>
      </w:pPr>
    </w:p>
    <w:p>
      <w:pPr>
        <w:spacing w:line="240" w:lineRule="auto" w:before="6"/>
        <w:rPr>
          <w:rFonts w:ascii="宋体" w:hAnsi="宋体" w:cs="宋体" w:eastAsia="宋体" w:hint="default"/>
          <w:sz w:val="5"/>
          <w:szCs w:val="5"/>
        </w:rPr>
      </w:pPr>
    </w:p>
    <w:p>
      <w:pPr>
        <w:spacing w:line="417" w:lineRule="exact"/>
        <w:ind w:left="105" w:right="0" w:firstLine="0"/>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861822" cy="265175"/>
            <wp:effectExtent l="0" t="0" r="0" b="0"/>
            <wp:docPr id="15" name="image1.jpeg" descr=""/>
            <wp:cNvGraphicFramePr>
              <a:graphicFrameLocks noChangeAspect="1"/>
            </wp:cNvGraphicFramePr>
            <a:graphic>
              <a:graphicData uri="http://schemas.openxmlformats.org/drawingml/2006/picture">
                <pic:pic>
                  <pic:nvPicPr>
                    <pic:cNvPr id="16" name="image1.jpeg"/>
                    <pic:cNvPicPr/>
                  </pic:nvPicPr>
                  <pic:blipFill>
                    <a:blip r:embed="rId35" cstate="print"/>
                    <a:stretch>
                      <a:fillRect/>
                    </a:stretch>
                  </pic:blipFill>
                  <pic:spPr>
                    <a:xfrm>
                      <a:off x="0" y="0"/>
                      <a:ext cx="861822" cy="265175"/>
                    </a:xfrm>
                    <a:prstGeom prst="rect">
                      <a:avLst/>
                    </a:prstGeom>
                  </pic:spPr>
                </pic:pic>
              </a:graphicData>
            </a:graphic>
          </wp:inline>
        </w:drawing>
      </w:r>
      <w:r>
        <w:rPr>
          <w:rFonts w:ascii="宋体" w:hAnsi="宋体" w:cs="宋体" w:eastAsia="宋体" w:hint="default"/>
          <w:position w:val="-7"/>
          <w:sz w:val="20"/>
          <w:szCs w:val="20"/>
        </w:rPr>
      </w:r>
    </w:p>
    <w:p>
      <w:pPr>
        <w:spacing w:line="240" w:lineRule="auto" w:before="10"/>
        <w:rPr>
          <w:rFonts w:ascii="宋体" w:hAnsi="宋体" w:cs="宋体" w:eastAsia="宋体" w:hint="default"/>
          <w:sz w:val="5"/>
          <w:szCs w:val="5"/>
        </w:rPr>
      </w:pPr>
    </w:p>
    <w:p>
      <w:pPr>
        <w:spacing w:line="20" w:lineRule="exact"/>
        <w:ind w:left="166"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21"/>
          <w:szCs w:val="21"/>
        </w:rPr>
      </w:pPr>
    </w:p>
    <w:p>
      <w:pPr>
        <w:spacing w:line="297" w:lineRule="auto" w:before="32"/>
        <w:ind w:left="202" w:right="337" w:firstLine="439"/>
        <w:jc w:val="both"/>
        <w:rPr>
          <w:rFonts w:ascii="宋体" w:hAnsi="宋体" w:cs="宋体" w:eastAsia="宋体" w:hint="default"/>
          <w:sz w:val="22"/>
          <w:szCs w:val="22"/>
        </w:rPr>
      </w:pPr>
      <w:r>
        <w:rPr>
          <w:rFonts w:ascii="宋体" w:hAnsi="宋体" w:cs="宋体" w:eastAsia="宋体" w:hint="default"/>
          <w:spacing w:val="-3"/>
          <w:sz w:val="22"/>
          <w:szCs w:val="22"/>
        </w:rPr>
        <w:t>企业既没有转移也没有保留金融资产所有权上几乎所有的风险和报酬，且未放弃对该</w:t>
      </w:r>
      <w:r>
        <w:rPr>
          <w:rFonts w:ascii="宋体" w:hAnsi="宋体" w:cs="宋体" w:eastAsia="宋体" w:hint="default"/>
          <w:w w:val="100"/>
          <w:sz w:val="22"/>
          <w:szCs w:val="22"/>
        </w:rPr>
        <w:t> </w:t>
      </w:r>
      <w:r>
        <w:rPr>
          <w:rFonts w:ascii="宋体" w:hAnsi="宋体" w:cs="宋体" w:eastAsia="宋体" w:hint="default"/>
          <w:spacing w:val="-3"/>
          <w:sz w:val="22"/>
          <w:szCs w:val="22"/>
        </w:rPr>
        <w:t>金融资产控制的，则按照其继续涉入所转移金融资产的程度确认有关金融资产，并相应确</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认有关负债。</w:t>
      </w:r>
    </w:p>
    <w:p>
      <w:pPr>
        <w:spacing w:line="297" w:lineRule="auto" w:before="74"/>
        <w:ind w:left="202" w:right="106" w:firstLine="439"/>
        <w:jc w:val="left"/>
        <w:rPr>
          <w:rFonts w:ascii="宋体" w:hAnsi="宋体" w:cs="宋体" w:eastAsia="宋体" w:hint="default"/>
          <w:sz w:val="22"/>
          <w:szCs w:val="22"/>
        </w:rPr>
      </w:pPr>
      <w:r>
        <w:rPr>
          <w:rFonts w:ascii="宋体" w:hAnsi="宋体" w:cs="宋体" w:eastAsia="宋体" w:hint="default"/>
          <w:spacing w:val="-3"/>
          <w:sz w:val="22"/>
          <w:szCs w:val="22"/>
        </w:rPr>
        <w:t>金融资产整体转移满足终止确认条件的，将所转移金融资产的账面价值，与因转移而</w:t>
      </w:r>
      <w:r>
        <w:rPr>
          <w:rFonts w:ascii="宋体" w:hAnsi="宋体" w:cs="宋体" w:eastAsia="宋体" w:hint="default"/>
          <w:w w:val="100"/>
          <w:sz w:val="22"/>
          <w:szCs w:val="22"/>
        </w:rPr>
        <w:t> </w:t>
      </w:r>
      <w:r>
        <w:rPr>
          <w:rFonts w:ascii="宋体" w:hAnsi="宋体" w:cs="宋体" w:eastAsia="宋体" w:hint="default"/>
          <w:sz w:val="22"/>
          <w:szCs w:val="22"/>
        </w:rPr>
        <w:t>收到的对价及原计入其他综合收益的公允价值变动累计额之和的差额计入当期损益。</w:t>
      </w:r>
    </w:p>
    <w:p>
      <w:pPr>
        <w:spacing w:line="297" w:lineRule="auto" w:before="74"/>
        <w:ind w:left="202" w:right="337" w:firstLine="439"/>
        <w:jc w:val="both"/>
        <w:rPr>
          <w:rFonts w:ascii="宋体" w:hAnsi="宋体" w:cs="宋体" w:eastAsia="宋体" w:hint="default"/>
          <w:sz w:val="22"/>
          <w:szCs w:val="22"/>
        </w:rPr>
      </w:pPr>
      <w:r>
        <w:rPr>
          <w:rFonts w:ascii="宋体" w:hAnsi="宋体" w:cs="宋体" w:eastAsia="宋体" w:hint="default"/>
          <w:spacing w:val="-3"/>
          <w:sz w:val="22"/>
          <w:szCs w:val="22"/>
        </w:rPr>
        <w:t>金融资产部分转移满足终止确认条件的，将所转移金融资产整体的账面价值，在终止</w:t>
      </w:r>
      <w:r>
        <w:rPr>
          <w:rFonts w:ascii="宋体" w:hAnsi="宋体" w:cs="宋体" w:eastAsia="宋体" w:hint="default"/>
          <w:w w:val="100"/>
          <w:sz w:val="22"/>
          <w:szCs w:val="22"/>
        </w:rPr>
        <w:t> </w:t>
      </w:r>
      <w:r>
        <w:rPr>
          <w:rFonts w:ascii="宋体" w:hAnsi="宋体" w:cs="宋体" w:eastAsia="宋体" w:hint="default"/>
          <w:spacing w:val="-3"/>
          <w:sz w:val="22"/>
          <w:szCs w:val="22"/>
        </w:rPr>
        <w:t>确认部分和未终止确认部分之间，按照各自的相对公允价值进行分摊，并将因转移而收到</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pacing w:val="-3"/>
          <w:sz w:val="22"/>
          <w:szCs w:val="22"/>
        </w:rPr>
        <w:t>的对价及应分摊至终止确认部分的原计入其他综合收益的公允价值变动累计额之和，与分</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摊的前述账面金额的差额计入当期损益。</w:t>
      </w:r>
    </w:p>
    <w:p>
      <w:pPr>
        <w:tabs>
          <w:tab w:pos="1101" w:val="left" w:leader="none"/>
        </w:tabs>
        <w:spacing w:line="328" w:lineRule="auto" w:before="77"/>
        <w:ind w:left="641" w:right="337" w:firstLine="6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w:t>
        <w:tab/>
      </w:r>
      <w:r>
        <w:rPr>
          <w:rFonts w:ascii="宋体" w:hAnsi="宋体" w:cs="宋体" w:eastAsia="宋体" w:hint="default"/>
          <w:sz w:val="22"/>
          <w:szCs w:val="22"/>
        </w:rPr>
        <w:t>金融资产减值的测试方法及会计处理方法</w:t>
      </w:r>
      <w:r>
        <w:rPr>
          <w:rFonts w:ascii="宋体" w:hAnsi="宋体" w:cs="宋体" w:eastAsia="宋体" w:hint="default"/>
          <w:w w:val="100"/>
          <w:sz w:val="22"/>
          <w:szCs w:val="22"/>
        </w:rPr>
        <w:t> </w:t>
      </w:r>
      <w:r>
        <w:rPr>
          <w:rFonts w:ascii="宋体" w:hAnsi="宋体" w:cs="宋体" w:eastAsia="宋体" w:hint="default"/>
          <w:spacing w:val="-3"/>
          <w:sz w:val="22"/>
          <w:szCs w:val="22"/>
        </w:rPr>
        <w:t>除以公允价值计量且其变动计入当期损益的金融资产外，本公司于资产负债表日对其</w:t>
      </w:r>
    </w:p>
    <w:p>
      <w:pPr>
        <w:spacing w:line="297" w:lineRule="auto" w:before="0"/>
        <w:ind w:left="202" w:right="106" w:firstLine="0"/>
        <w:jc w:val="left"/>
        <w:rPr>
          <w:rFonts w:ascii="宋体" w:hAnsi="宋体" w:cs="宋体" w:eastAsia="宋体" w:hint="default"/>
          <w:sz w:val="22"/>
          <w:szCs w:val="22"/>
        </w:rPr>
      </w:pPr>
      <w:r>
        <w:rPr>
          <w:rFonts w:ascii="宋体" w:hAnsi="宋体" w:cs="宋体" w:eastAsia="宋体" w:hint="default"/>
          <w:spacing w:val="-3"/>
          <w:sz w:val="22"/>
          <w:szCs w:val="22"/>
        </w:rPr>
        <w:t>他金融资产的账面价值进行检查，如果有客观证据表明某项金融资产发生减值的，计提减</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值准备。如果可供出售金融资产的公允价值发生较大幅度或非暂时性下降，原直接计入股</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东权益的因公允价值下降形成的累计损失计入减值损失。对已确认减值损失的可供出售债</w:t>
      </w:r>
      <w:r>
        <w:rPr>
          <w:rFonts w:ascii="宋体" w:hAnsi="宋体" w:cs="宋体" w:eastAsia="宋体" w:hint="default"/>
          <w:spacing w:val="-72"/>
          <w:sz w:val="22"/>
          <w:szCs w:val="22"/>
        </w:rPr>
        <w:t> </w:t>
      </w:r>
      <w:r>
        <w:rPr>
          <w:rFonts w:ascii="宋体" w:hAnsi="宋体" w:cs="宋体" w:eastAsia="宋体" w:hint="default"/>
          <w:spacing w:val="-72"/>
          <w:sz w:val="22"/>
          <w:szCs w:val="22"/>
        </w:rPr>
      </w:r>
      <w:r>
        <w:rPr>
          <w:rFonts w:ascii="宋体" w:hAnsi="宋体" w:cs="宋体" w:eastAsia="宋体" w:hint="default"/>
          <w:sz w:val="22"/>
          <w:szCs w:val="22"/>
        </w:rPr>
        <w:t>务工具投资，在期后公允价值上升且客观上与确认原减值损失确认后发生的事项有关的，</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6"/>
          <w:w w:val="100"/>
          <w:sz w:val="22"/>
          <w:szCs w:val="22"/>
        </w:rPr>
        <w:t>原确认的减值损失予以转回，计入当期损益。对已确认减值损失的可供出售权益工具投资，</w:t>
      </w:r>
      <w:r>
        <w:rPr>
          <w:rFonts w:ascii="宋体" w:hAnsi="宋体" w:cs="宋体" w:eastAsia="宋体" w:hint="default"/>
          <w:spacing w:val="-93"/>
          <w:w w:val="100"/>
          <w:sz w:val="22"/>
          <w:szCs w:val="22"/>
        </w:rPr>
        <w:t> </w:t>
      </w:r>
      <w:r>
        <w:rPr>
          <w:rFonts w:ascii="宋体" w:hAnsi="宋体" w:cs="宋体" w:eastAsia="宋体" w:hint="default"/>
          <w:spacing w:val="-93"/>
          <w:w w:val="100"/>
          <w:sz w:val="22"/>
          <w:szCs w:val="22"/>
        </w:rPr>
      </w:r>
      <w:r>
        <w:rPr>
          <w:rFonts w:ascii="宋体" w:hAnsi="宋体" w:cs="宋体" w:eastAsia="宋体" w:hint="default"/>
          <w:spacing w:val="-3"/>
          <w:sz w:val="22"/>
          <w:szCs w:val="22"/>
        </w:rPr>
        <w:t>在期后公允价值上升且客观上与确认原减值损失确认后发生的事项有关的，原确认的减值</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损失予以转回，计入股东权益。在活跃市场中没有报价且其公允价值不能可靠计量的权益</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工具投资发生的减值损失，不予转回。</w:t>
      </w:r>
    </w:p>
    <w:p>
      <w:pPr>
        <w:spacing w:before="77"/>
        <w:ind w:left="655" w:right="62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4"/>
          <w:sz w:val="22"/>
          <w:szCs w:val="22"/>
        </w:rPr>
        <w:t> </w:t>
      </w:r>
      <w:r>
        <w:rPr>
          <w:rFonts w:ascii="宋体" w:hAnsi="宋体" w:cs="宋体" w:eastAsia="宋体" w:hint="default"/>
          <w:sz w:val="22"/>
          <w:szCs w:val="22"/>
        </w:rPr>
        <w:t>金融负债</w:t>
      </w:r>
    </w:p>
    <w:p>
      <w:pPr>
        <w:tabs>
          <w:tab w:pos="1101" w:val="left" w:leader="none"/>
        </w:tabs>
        <w:spacing w:before="111"/>
        <w:ind w:left="655" w:right="62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tab/>
      </w:r>
      <w:r>
        <w:rPr>
          <w:rFonts w:ascii="宋体" w:hAnsi="宋体" w:cs="宋体" w:eastAsia="宋体" w:hint="default"/>
          <w:sz w:val="22"/>
          <w:szCs w:val="22"/>
        </w:rPr>
        <w:t>金融负债分类、确认依据和计量方法</w:t>
      </w:r>
    </w:p>
    <w:p>
      <w:pPr>
        <w:spacing w:line="297" w:lineRule="auto" w:before="113"/>
        <w:ind w:left="202" w:right="106" w:firstLine="465"/>
        <w:jc w:val="left"/>
        <w:rPr>
          <w:rFonts w:ascii="宋体" w:hAnsi="宋体" w:cs="宋体" w:eastAsia="宋体" w:hint="default"/>
          <w:sz w:val="22"/>
          <w:szCs w:val="22"/>
        </w:rPr>
      </w:pPr>
      <w:r>
        <w:rPr>
          <w:rFonts w:ascii="宋体" w:hAnsi="宋体" w:cs="宋体" w:eastAsia="宋体" w:hint="default"/>
          <w:spacing w:val="2"/>
          <w:sz w:val="22"/>
          <w:szCs w:val="22"/>
        </w:rPr>
        <w:t>本公司的金融负债于初始确认时分类为以公允价值计量且其变动计入当期损益的金</w:t>
      </w:r>
      <w:r>
        <w:rPr>
          <w:rFonts w:ascii="宋体" w:hAnsi="宋体" w:cs="宋体" w:eastAsia="宋体" w:hint="default"/>
          <w:w w:val="100"/>
          <w:sz w:val="22"/>
          <w:szCs w:val="22"/>
        </w:rPr>
        <w:t> </w:t>
      </w:r>
      <w:r>
        <w:rPr>
          <w:rFonts w:ascii="宋体" w:hAnsi="宋体" w:cs="宋体" w:eastAsia="宋体" w:hint="default"/>
          <w:sz w:val="22"/>
          <w:szCs w:val="22"/>
        </w:rPr>
        <w:t>融负债和其他金融负债。</w:t>
      </w:r>
    </w:p>
    <w:p>
      <w:pPr>
        <w:spacing w:line="297" w:lineRule="auto" w:before="74"/>
        <w:ind w:left="202" w:right="106" w:firstLine="465"/>
        <w:jc w:val="left"/>
        <w:rPr>
          <w:rFonts w:ascii="宋体" w:hAnsi="宋体" w:cs="宋体" w:eastAsia="宋体" w:hint="default"/>
          <w:sz w:val="22"/>
          <w:szCs w:val="22"/>
        </w:rPr>
      </w:pPr>
      <w:r>
        <w:rPr>
          <w:rFonts w:ascii="宋体" w:hAnsi="宋体" w:cs="宋体" w:eastAsia="宋体" w:hint="default"/>
          <w:spacing w:val="-4"/>
          <w:w w:val="100"/>
          <w:sz w:val="22"/>
          <w:szCs w:val="22"/>
        </w:rPr>
        <w:t>以公允价值计量且其变动计入当期损益的金融负债，包括交易性金融负债和初始确认</w:t>
      </w:r>
      <w:r>
        <w:rPr>
          <w:rFonts w:ascii="宋体" w:hAnsi="宋体" w:cs="宋体" w:eastAsia="宋体" w:hint="default"/>
          <w:w w:val="100"/>
          <w:sz w:val="22"/>
          <w:szCs w:val="22"/>
        </w:rPr>
        <w:t> </w:t>
      </w:r>
      <w:r>
        <w:rPr>
          <w:rFonts w:ascii="宋体" w:hAnsi="宋体" w:cs="宋体" w:eastAsia="宋体" w:hint="default"/>
          <w:spacing w:val="-3"/>
          <w:sz w:val="22"/>
          <w:szCs w:val="22"/>
        </w:rPr>
        <w:t>时指定为以公允价值计量且其变动计入当期损益的金融负债。按照公允价值进行后续计量，</w:t>
      </w:r>
      <w:r>
        <w:rPr>
          <w:rFonts w:ascii="宋体" w:hAnsi="宋体" w:cs="宋体" w:eastAsia="宋体" w:hint="default"/>
          <w:spacing w:val="-69"/>
          <w:sz w:val="22"/>
          <w:szCs w:val="22"/>
        </w:rPr>
        <w:t> </w:t>
      </w:r>
      <w:r>
        <w:rPr>
          <w:rFonts w:ascii="宋体" w:hAnsi="宋体" w:cs="宋体" w:eastAsia="宋体" w:hint="default"/>
          <w:spacing w:val="-69"/>
          <w:sz w:val="22"/>
          <w:szCs w:val="22"/>
        </w:rPr>
      </w:r>
      <w:r>
        <w:rPr>
          <w:rFonts w:ascii="宋体" w:hAnsi="宋体" w:cs="宋体" w:eastAsia="宋体" w:hint="default"/>
          <w:sz w:val="22"/>
          <w:szCs w:val="22"/>
        </w:rPr>
        <w:t>公允价值变动形成的利得或损失以及与该金融负债相关的股利和利息支出计入当期损益。</w:t>
      </w:r>
    </w:p>
    <w:p>
      <w:pPr>
        <w:spacing w:line="297" w:lineRule="auto" w:before="77"/>
        <w:ind w:left="202" w:right="106" w:firstLine="465"/>
        <w:jc w:val="left"/>
        <w:rPr>
          <w:rFonts w:ascii="宋体" w:hAnsi="宋体" w:cs="宋体" w:eastAsia="宋体" w:hint="default"/>
          <w:sz w:val="22"/>
          <w:szCs w:val="22"/>
        </w:rPr>
      </w:pPr>
      <w:r>
        <w:rPr>
          <w:rFonts w:ascii="宋体" w:hAnsi="宋体" w:cs="宋体" w:eastAsia="宋体" w:hint="default"/>
          <w:spacing w:val="-1"/>
          <w:sz w:val="22"/>
          <w:szCs w:val="22"/>
        </w:rPr>
        <w:t>其他金融负债，包括公司</w:t>
      </w:r>
      <w:hyperlink r:id="rId40">
        <w:r>
          <w:rPr>
            <w:rFonts w:ascii="宋体" w:hAnsi="宋体" w:cs="宋体" w:eastAsia="宋体" w:hint="default"/>
            <w:spacing w:val="-1"/>
            <w:sz w:val="22"/>
            <w:szCs w:val="22"/>
          </w:rPr>
          <w:t>发行的债券</w:t>
        </w:r>
      </w:hyperlink>
      <w:r>
        <w:rPr>
          <w:rFonts w:ascii="宋体" w:hAnsi="宋体" w:cs="宋体" w:eastAsia="宋体" w:hint="default"/>
          <w:spacing w:val="-1"/>
          <w:sz w:val="22"/>
          <w:szCs w:val="22"/>
        </w:rPr>
        <w:t>、因购买商品产生的应付账款、长期应付款等。</w:t>
      </w:r>
      <w:r>
        <w:rPr>
          <w:rFonts w:ascii="宋体" w:hAnsi="宋体" w:cs="宋体" w:eastAsia="宋体" w:hint="default"/>
          <w:w w:val="100"/>
          <w:sz w:val="22"/>
          <w:szCs w:val="22"/>
        </w:rPr>
        <w:t> </w:t>
      </w:r>
      <w:r>
        <w:rPr>
          <w:rFonts w:ascii="宋体" w:hAnsi="宋体" w:cs="宋体" w:eastAsia="宋体" w:hint="default"/>
          <w:sz w:val="22"/>
          <w:szCs w:val="22"/>
        </w:rPr>
        <w:t>采用实际利率法，按照摊余成本进行后续计量。</w:t>
      </w:r>
    </w:p>
    <w:p>
      <w:pPr>
        <w:tabs>
          <w:tab w:pos="1101" w:val="left" w:leader="none"/>
        </w:tabs>
        <w:spacing w:line="328" w:lineRule="auto" w:before="74"/>
        <w:ind w:left="667" w:right="334" w:firstLine="38"/>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tab/>
      </w:r>
      <w:r>
        <w:rPr>
          <w:rFonts w:ascii="宋体" w:hAnsi="宋体" w:cs="宋体" w:eastAsia="宋体" w:hint="default"/>
          <w:sz w:val="22"/>
          <w:szCs w:val="22"/>
        </w:rPr>
        <w:t>金融负债终止确认条件</w:t>
      </w:r>
      <w:r>
        <w:rPr>
          <w:rFonts w:ascii="宋体" w:hAnsi="宋体" w:cs="宋体" w:eastAsia="宋体" w:hint="default"/>
          <w:w w:val="100"/>
          <w:sz w:val="22"/>
          <w:szCs w:val="22"/>
        </w:rPr>
        <w:t> </w:t>
      </w:r>
      <w:r>
        <w:rPr>
          <w:rFonts w:ascii="宋体" w:hAnsi="宋体" w:cs="宋体" w:eastAsia="宋体" w:hint="default"/>
          <w:spacing w:val="-4"/>
          <w:w w:val="100"/>
          <w:sz w:val="22"/>
          <w:szCs w:val="22"/>
        </w:rPr>
        <w:t>当金融负债的现时义务全部或部分已经解除时，终止确认该金融负债或义务已解除的</w:t>
      </w:r>
    </w:p>
    <w:p>
      <w:pPr>
        <w:spacing w:line="297" w:lineRule="auto" w:before="0"/>
        <w:ind w:left="202" w:right="337" w:firstLine="0"/>
        <w:jc w:val="both"/>
        <w:rPr>
          <w:rFonts w:ascii="宋体" w:hAnsi="宋体" w:cs="宋体" w:eastAsia="宋体" w:hint="default"/>
          <w:sz w:val="22"/>
          <w:szCs w:val="22"/>
        </w:rPr>
      </w:pPr>
      <w:r>
        <w:rPr>
          <w:rFonts w:ascii="宋体" w:hAnsi="宋体" w:cs="宋体" w:eastAsia="宋体" w:hint="default"/>
          <w:spacing w:val="-3"/>
          <w:sz w:val="22"/>
          <w:szCs w:val="22"/>
        </w:rPr>
        <w:t>部分。公司与债权人之间签订协议，以承担新金融负债方式替换现存金融负债，且新金融</w:t>
      </w:r>
      <w:r>
        <w:rPr>
          <w:rFonts w:ascii="宋体" w:hAnsi="宋体" w:cs="宋体" w:eastAsia="宋体" w:hint="default"/>
          <w:spacing w:val="-76"/>
          <w:sz w:val="22"/>
          <w:szCs w:val="22"/>
        </w:rPr>
        <w:t> </w:t>
      </w:r>
      <w:r>
        <w:rPr>
          <w:rFonts w:ascii="宋体" w:hAnsi="宋体" w:cs="宋体" w:eastAsia="宋体" w:hint="default"/>
          <w:spacing w:val="-76"/>
          <w:sz w:val="22"/>
          <w:szCs w:val="22"/>
        </w:rPr>
      </w:r>
      <w:r>
        <w:rPr>
          <w:rFonts w:ascii="宋体" w:hAnsi="宋体" w:cs="宋体" w:eastAsia="宋体" w:hint="default"/>
          <w:spacing w:val="-3"/>
          <w:sz w:val="22"/>
          <w:szCs w:val="22"/>
        </w:rPr>
        <w:t>负债与现存金融负债的合同条款实质上不同的，终止确认现存金融负债，并同时确认新金</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融负债。公司对现存金融负债全部或部分的合同条款作出实质性修改的，终止确认现存金</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融负债或其一部分，同时将修改条款后的金融负债确认为一项新金融负债。终止确认部分</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的账面价值与支付的对价之间的差额，计入当期损益。</w:t>
      </w:r>
    </w:p>
    <w:p>
      <w:pPr>
        <w:spacing w:before="74"/>
        <w:ind w:left="655" w:right="62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金融资产和金融负债的公允价值确定方法</w:t>
      </w:r>
    </w:p>
    <w:p>
      <w:pPr>
        <w:spacing w:after="0"/>
        <w:jc w:val="left"/>
        <w:rPr>
          <w:rFonts w:ascii="宋体" w:hAnsi="宋体" w:cs="宋体" w:eastAsia="宋体" w:hint="default"/>
          <w:sz w:val="22"/>
          <w:szCs w:val="22"/>
        </w:rPr>
        <w:sectPr>
          <w:headerReference w:type="default" r:id="rId38"/>
          <w:footerReference w:type="default" r:id="rId39"/>
          <w:pgSz w:w="11910" w:h="16840"/>
          <w:pgMar w:header="0" w:footer="836" w:top="500" w:bottom="1020" w:left="1500" w:right="1360"/>
          <w:pgNumType w:start="92"/>
        </w:sectPr>
      </w:pPr>
    </w:p>
    <w:p>
      <w:pPr>
        <w:spacing w:line="240" w:lineRule="auto" w:before="6"/>
        <w:rPr>
          <w:rFonts w:ascii="宋体" w:hAnsi="宋体" w:cs="宋体" w:eastAsia="宋体" w:hint="default"/>
          <w:sz w:val="5"/>
          <w:szCs w:val="5"/>
        </w:rPr>
      </w:pPr>
    </w:p>
    <w:p>
      <w:pPr>
        <w:spacing w:line="417" w:lineRule="exact"/>
        <w:ind w:left="125" w:right="0" w:firstLine="0"/>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861822" cy="265175"/>
            <wp:effectExtent l="0" t="0" r="0" b="0"/>
            <wp:docPr id="17" name="image1.jpeg" descr=""/>
            <wp:cNvGraphicFramePr>
              <a:graphicFrameLocks noChangeAspect="1"/>
            </wp:cNvGraphicFramePr>
            <a:graphic>
              <a:graphicData uri="http://schemas.openxmlformats.org/drawingml/2006/picture">
                <pic:pic>
                  <pic:nvPicPr>
                    <pic:cNvPr id="18" name="image1.jpeg"/>
                    <pic:cNvPicPr/>
                  </pic:nvPicPr>
                  <pic:blipFill>
                    <a:blip r:embed="rId35" cstate="print"/>
                    <a:stretch>
                      <a:fillRect/>
                    </a:stretch>
                  </pic:blipFill>
                  <pic:spPr>
                    <a:xfrm>
                      <a:off x="0" y="0"/>
                      <a:ext cx="861822" cy="265175"/>
                    </a:xfrm>
                    <a:prstGeom prst="rect">
                      <a:avLst/>
                    </a:prstGeom>
                  </pic:spPr>
                </pic:pic>
              </a:graphicData>
            </a:graphic>
          </wp:inline>
        </w:drawing>
      </w:r>
      <w:r>
        <w:rPr>
          <w:rFonts w:ascii="宋体" w:hAnsi="宋体" w:cs="宋体" w:eastAsia="宋体" w:hint="default"/>
          <w:position w:val="-7"/>
          <w:sz w:val="20"/>
          <w:szCs w:val="20"/>
        </w:rPr>
      </w:r>
    </w:p>
    <w:p>
      <w:pPr>
        <w:spacing w:line="240" w:lineRule="auto" w:before="10"/>
        <w:rPr>
          <w:rFonts w:ascii="宋体" w:hAnsi="宋体" w:cs="宋体" w:eastAsia="宋体" w:hint="default"/>
          <w:sz w:val="5"/>
          <w:szCs w:val="5"/>
        </w:rPr>
      </w:pPr>
    </w:p>
    <w:p>
      <w:pPr>
        <w:spacing w:line="20" w:lineRule="exact"/>
        <w:ind w:left="186"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21"/>
          <w:szCs w:val="21"/>
        </w:rPr>
      </w:pPr>
    </w:p>
    <w:p>
      <w:pPr>
        <w:spacing w:line="297" w:lineRule="auto" w:before="32"/>
        <w:ind w:left="222" w:right="0" w:firstLine="439"/>
        <w:jc w:val="left"/>
        <w:rPr>
          <w:rFonts w:ascii="宋体" w:hAnsi="宋体" w:cs="宋体" w:eastAsia="宋体" w:hint="default"/>
          <w:sz w:val="22"/>
          <w:szCs w:val="22"/>
        </w:rPr>
      </w:pPr>
      <w:r>
        <w:rPr>
          <w:rFonts w:ascii="宋体" w:hAnsi="宋体" w:cs="宋体" w:eastAsia="宋体" w:hint="default"/>
          <w:sz w:val="22"/>
          <w:szCs w:val="22"/>
        </w:rPr>
        <w:t>本公司以主要市场的价格计量金融资产和金融负债的公允价值，不存在主要市场的，</w:t>
      </w:r>
      <w:r>
        <w:rPr>
          <w:rFonts w:ascii="宋体" w:hAnsi="宋体" w:cs="宋体" w:eastAsia="宋体" w:hint="default"/>
          <w:w w:val="100"/>
          <w:sz w:val="22"/>
          <w:szCs w:val="22"/>
        </w:rPr>
        <w:t> </w:t>
      </w:r>
      <w:r>
        <w:rPr>
          <w:rFonts w:ascii="宋体" w:hAnsi="宋体" w:cs="宋体" w:eastAsia="宋体" w:hint="default"/>
          <w:spacing w:val="-3"/>
          <w:sz w:val="22"/>
          <w:szCs w:val="22"/>
        </w:rPr>
        <w:t>以最有利市场的价格计量金融资产和金融负债的公允价值，并且采用当时适用并且有足够</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可利用数据和其他信息支持的估值技术。公允价值计量所使用的输入值分为三个层次，即</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第一层次输入值是计量日能够取得的相同资产或负债在活跃市场上未经调整的报价；第二</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层次输入值是除第一层次输入值外相关资产或负债直接或间接可观察的输入值；第三层次</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输入值是相关资产或负债的不可观察输入值。本公司优先使用第一层次输入值，最后再使</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用第三层次输入值，以公允价值计量且其变动计入当期损益的金融资产、其他存在活跃市</w:t>
      </w:r>
      <w:r>
        <w:rPr>
          <w:rFonts w:ascii="宋体" w:hAnsi="宋体" w:cs="宋体" w:eastAsia="宋体" w:hint="default"/>
          <w:spacing w:val="-71"/>
          <w:sz w:val="22"/>
          <w:szCs w:val="22"/>
        </w:rPr>
        <w:t> </w:t>
      </w:r>
      <w:r>
        <w:rPr>
          <w:rFonts w:ascii="宋体" w:hAnsi="宋体" w:cs="宋体" w:eastAsia="宋体" w:hint="default"/>
          <w:spacing w:val="-71"/>
          <w:sz w:val="22"/>
          <w:szCs w:val="22"/>
        </w:rPr>
      </w:r>
      <w:r>
        <w:rPr>
          <w:rFonts w:ascii="宋体" w:hAnsi="宋体" w:cs="宋体" w:eastAsia="宋体" w:hint="default"/>
          <w:spacing w:val="2"/>
          <w:sz w:val="22"/>
          <w:szCs w:val="22"/>
        </w:rPr>
        <w:t>场报价或虽没有活跃市场报价但公允价值能够可靠计量的可供出售金融资产和以公允价</w:t>
      </w:r>
      <w:r>
        <w:rPr>
          <w:rFonts w:ascii="宋体" w:hAnsi="宋体" w:cs="宋体" w:eastAsia="宋体" w:hint="default"/>
          <w:spacing w:val="-50"/>
          <w:sz w:val="22"/>
          <w:szCs w:val="22"/>
        </w:rPr>
        <w:t> </w:t>
      </w:r>
      <w:r>
        <w:rPr>
          <w:rFonts w:ascii="宋体" w:hAnsi="宋体" w:cs="宋体" w:eastAsia="宋体" w:hint="default"/>
          <w:spacing w:val="-50"/>
          <w:sz w:val="22"/>
          <w:szCs w:val="22"/>
        </w:rPr>
      </w:r>
      <w:r>
        <w:rPr>
          <w:rFonts w:ascii="宋体" w:hAnsi="宋体" w:cs="宋体" w:eastAsia="宋体" w:hint="default"/>
          <w:spacing w:val="-3"/>
          <w:sz w:val="22"/>
          <w:szCs w:val="22"/>
        </w:rPr>
        <w:t>值计量且其变动计入当期损益的金融负债使用第一层次输入值，在活跃市场中没有报价且</w:t>
      </w:r>
      <w:r>
        <w:rPr>
          <w:rFonts w:ascii="宋体" w:hAnsi="宋体" w:cs="宋体" w:eastAsia="宋体" w:hint="default"/>
          <w:spacing w:val="-72"/>
          <w:sz w:val="22"/>
          <w:szCs w:val="22"/>
        </w:rPr>
        <w:t> </w:t>
      </w:r>
      <w:r>
        <w:rPr>
          <w:rFonts w:ascii="宋体" w:hAnsi="宋体" w:cs="宋体" w:eastAsia="宋体" w:hint="default"/>
          <w:spacing w:val="-72"/>
          <w:sz w:val="22"/>
          <w:szCs w:val="22"/>
        </w:rPr>
      </w:r>
      <w:r>
        <w:rPr>
          <w:rFonts w:ascii="宋体" w:hAnsi="宋体" w:cs="宋体" w:eastAsia="宋体" w:hint="default"/>
          <w:spacing w:val="2"/>
          <w:sz w:val="22"/>
          <w:szCs w:val="22"/>
        </w:rPr>
        <w:t>其公允价值不能可靠计量的权益工具投资以及与该权益工具挂钩并须通过交付该权益工</w:t>
      </w:r>
      <w:r>
        <w:rPr>
          <w:rFonts w:ascii="宋体" w:hAnsi="宋体" w:cs="宋体" w:eastAsia="宋体" w:hint="default"/>
          <w:spacing w:val="-58"/>
          <w:sz w:val="22"/>
          <w:szCs w:val="22"/>
        </w:rPr>
        <w:t> </w:t>
      </w:r>
      <w:r>
        <w:rPr>
          <w:rFonts w:ascii="宋体" w:hAnsi="宋体" w:cs="宋体" w:eastAsia="宋体" w:hint="default"/>
          <w:spacing w:val="-58"/>
          <w:sz w:val="22"/>
          <w:szCs w:val="22"/>
        </w:rPr>
      </w:r>
      <w:r>
        <w:rPr>
          <w:rFonts w:ascii="宋体" w:hAnsi="宋体" w:cs="宋体" w:eastAsia="宋体" w:hint="default"/>
          <w:spacing w:val="-3"/>
          <w:sz w:val="22"/>
          <w:szCs w:val="22"/>
        </w:rPr>
        <w:t>具结算的衍生金融资产使用第三层次输入值。公允价值计量结果所属的层次，由对公允价</w:t>
      </w:r>
      <w:r>
        <w:rPr>
          <w:rFonts w:ascii="宋体" w:hAnsi="宋体" w:cs="宋体" w:eastAsia="宋体" w:hint="default"/>
          <w:spacing w:val="-72"/>
          <w:sz w:val="22"/>
          <w:szCs w:val="22"/>
        </w:rPr>
        <w:t> </w:t>
      </w:r>
      <w:r>
        <w:rPr>
          <w:rFonts w:ascii="宋体" w:hAnsi="宋体" w:cs="宋体" w:eastAsia="宋体" w:hint="default"/>
          <w:spacing w:val="-72"/>
          <w:sz w:val="22"/>
          <w:szCs w:val="22"/>
        </w:rPr>
      </w:r>
      <w:r>
        <w:rPr>
          <w:rFonts w:ascii="宋体" w:hAnsi="宋体" w:cs="宋体" w:eastAsia="宋体" w:hint="default"/>
          <w:sz w:val="22"/>
          <w:szCs w:val="22"/>
        </w:rPr>
        <w:t>值计量整体而言具有重大意义的输入值所属的最低层次决定。</w:t>
      </w:r>
    </w:p>
    <w:p>
      <w:pPr>
        <w:spacing w:line="326" w:lineRule="auto" w:before="77"/>
        <w:ind w:left="661" w:right="0"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15.</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应收款项坏账准备</w:t>
      </w:r>
      <w:r>
        <w:rPr>
          <w:rFonts w:ascii="宋体" w:hAnsi="宋体" w:cs="宋体" w:eastAsia="宋体" w:hint="default"/>
          <w:w w:val="100"/>
          <w:sz w:val="22"/>
          <w:szCs w:val="22"/>
        </w:rPr>
        <w:t> </w:t>
      </w:r>
      <w:r>
        <w:rPr>
          <w:rFonts w:ascii="宋体" w:hAnsi="宋体" w:cs="宋体" w:eastAsia="宋体" w:hint="default"/>
          <w:sz w:val="22"/>
          <w:szCs w:val="22"/>
        </w:rPr>
        <w:t>本公司在资产负债表日对应收款项账面价值进行检查，对存在债务单位撤销、破产、</w:t>
      </w:r>
    </w:p>
    <w:p>
      <w:pPr>
        <w:spacing w:line="297" w:lineRule="auto" w:before="0"/>
        <w:ind w:left="222" w:right="217" w:firstLine="0"/>
        <w:jc w:val="both"/>
        <w:rPr>
          <w:rFonts w:ascii="宋体" w:hAnsi="宋体" w:cs="宋体" w:eastAsia="宋体" w:hint="default"/>
          <w:sz w:val="22"/>
          <w:szCs w:val="22"/>
        </w:rPr>
      </w:pPr>
      <w:r>
        <w:rPr>
          <w:rFonts w:ascii="宋体" w:hAnsi="宋体" w:cs="宋体" w:eastAsia="宋体" w:hint="default"/>
          <w:spacing w:val="-3"/>
          <w:sz w:val="22"/>
          <w:szCs w:val="22"/>
        </w:rPr>
        <w:t>资不抵债、现金流量严重不足、发生严重自然灾害等导致停产而在可预见的时间内无法偿</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付债务等；其他确凿证据表明确实无法收回或收回的可能性不大的应收款项，计提坏账准</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备。</w:t>
      </w:r>
    </w:p>
    <w:p>
      <w:pPr>
        <w:spacing w:line="297" w:lineRule="auto" w:before="77"/>
        <w:ind w:left="222" w:right="217" w:firstLine="439"/>
        <w:jc w:val="both"/>
        <w:rPr>
          <w:rFonts w:ascii="宋体" w:hAnsi="宋体" w:cs="宋体" w:eastAsia="宋体" w:hint="default"/>
          <w:sz w:val="22"/>
          <w:szCs w:val="22"/>
        </w:rPr>
      </w:pPr>
      <w:r>
        <w:rPr>
          <w:rFonts w:ascii="宋体" w:hAnsi="宋体" w:cs="宋体" w:eastAsia="宋体" w:hint="default"/>
          <w:spacing w:val="-3"/>
          <w:sz w:val="22"/>
          <w:szCs w:val="22"/>
        </w:rPr>
        <w:t>对可能发生的坏账损失采用备抵法核算，年末单独或按组合进行减值测试，计提坏账</w:t>
      </w:r>
      <w:r>
        <w:rPr>
          <w:rFonts w:ascii="宋体" w:hAnsi="宋体" w:cs="宋体" w:eastAsia="宋体" w:hint="default"/>
          <w:w w:val="100"/>
          <w:sz w:val="22"/>
          <w:szCs w:val="22"/>
        </w:rPr>
        <w:t> </w:t>
      </w:r>
      <w:r>
        <w:rPr>
          <w:rFonts w:ascii="宋体" w:hAnsi="宋体" w:cs="宋体" w:eastAsia="宋体" w:hint="default"/>
          <w:spacing w:val="-3"/>
          <w:sz w:val="22"/>
          <w:szCs w:val="22"/>
        </w:rPr>
        <w:t>准备，计入当期损益。对于有确凿证据表明确实无法收回的应收款项，经本公司按规定程</w:t>
      </w:r>
      <w:r>
        <w:rPr>
          <w:rFonts w:ascii="宋体" w:hAnsi="宋体" w:cs="宋体" w:eastAsia="宋体" w:hint="default"/>
          <w:spacing w:val="-76"/>
          <w:sz w:val="22"/>
          <w:szCs w:val="22"/>
        </w:rPr>
        <w:t> </w:t>
      </w:r>
      <w:r>
        <w:rPr>
          <w:rFonts w:ascii="宋体" w:hAnsi="宋体" w:cs="宋体" w:eastAsia="宋体" w:hint="default"/>
          <w:spacing w:val="-76"/>
          <w:sz w:val="22"/>
          <w:szCs w:val="22"/>
        </w:rPr>
      </w:r>
      <w:r>
        <w:rPr>
          <w:rFonts w:ascii="宋体" w:hAnsi="宋体" w:cs="宋体" w:eastAsia="宋体" w:hint="default"/>
          <w:sz w:val="22"/>
          <w:szCs w:val="22"/>
        </w:rPr>
        <w:t>序批准后列作坏账损失，冲销提取的坏账准备。</w:t>
      </w:r>
    </w:p>
    <w:p>
      <w:pPr>
        <w:spacing w:before="74"/>
        <w:ind w:left="67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28"/>
          <w:sz w:val="22"/>
          <w:szCs w:val="22"/>
        </w:rPr>
        <w:t> </w:t>
      </w:r>
      <w:r>
        <w:rPr>
          <w:rFonts w:ascii="宋体" w:hAnsi="宋体" w:cs="宋体" w:eastAsia="宋体" w:hint="default"/>
          <w:sz w:val="22"/>
          <w:szCs w:val="22"/>
        </w:rPr>
        <w:t>单项金额重大并单项计提坏账准备的应收款项</w:t>
      </w:r>
    </w:p>
    <w:p>
      <w:pPr>
        <w:spacing w:line="240" w:lineRule="auto" w:before="8"/>
        <w:rPr>
          <w:rFonts w:ascii="宋体" w:hAnsi="宋体" w:cs="宋体" w:eastAsia="宋体" w:hint="default"/>
          <w:sz w:val="11"/>
          <w:szCs w:val="11"/>
        </w:rPr>
      </w:pPr>
    </w:p>
    <w:tbl>
      <w:tblPr>
        <w:tblW w:w="0" w:type="auto"/>
        <w:jc w:val="left"/>
        <w:tblInd w:w="164" w:type="dxa"/>
        <w:tblLayout w:type="fixed"/>
        <w:tblCellMar>
          <w:top w:w="0" w:type="dxa"/>
          <w:left w:w="0" w:type="dxa"/>
          <w:bottom w:w="0" w:type="dxa"/>
          <w:right w:w="0" w:type="dxa"/>
        </w:tblCellMar>
        <w:tblLook w:val="01E0"/>
      </w:tblPr>
      <w:tblGrid>
        <w:gridCol w:w="3712"/>
        <w:gridCol w:w="4910"/>
      </w:tblGrid>
      <w:tr>
        <w:trPr>
          <w:trHeight w:val="588" w:hRule="exact"/>
        </w:trPr>
        <w:tc>
          <w:tcPr>
            <w:tcW w:w="3712" w:type="dxa"/>
            <w:tcBorders>
              <w:top w:val="single" w:sz="12" w:space="0" w:color="000000"/>
              <w:left w:val="nil" w:sz="6" w:space="0" w:color="auto"/>
              <w:bottom w:val="single" w:sz="4" w:space="0" w:color="000000"/>
              <w:right w:val="nil" w:sz="6" w:space="0" w:color="auto"/>
            </w:tcBorders>
          </w:tcPr>
          <w:p>
            <w:pPr>
              <w:pStyle w:val="TableParagraph"/>
              <w:spacing w:line="240" w:lineRule="auto" w:before="137"/>
              <w:ind w:left="57"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4910" w:type="dxa"/>
            <w:tcBorders>
              <w:top w:val="single" w:sz="12" w:space="0" w:color="000000"/>
              <w:left w:val="nil" w:sz="6" w:space="0" w:color="auto"/>
              <w:bottom w:val="single" w:sz="4" w:space="0" w:color="000000"/>
              <w:right w:val="nil" w:sz="6" w:space="0" w:color="auto"/>
            </w:tcBorders>
          </w:tcPr>
          <w:p>
            <w:pPr>
              <w:pStyle w:val="TableParagraph"/>
              <w:spacing w:line="240" w:lineRule="auto" w:before="137"/>
              <w:ind w:left="51" w:right="0"/>
              <w:jc w:val="left"/>
              <w:rPr>
                <w:rFonts w:ascii="宋体" w:hAnsi="宋体" w:cs="宋体" w:eastAsia="宋体" w:hint="default"/>
                <w:sz w:val="18"/>
                <w:szCs w:val="18"/>
              </w:rPr>
            </w:pPr>
            <w:r>
              <w:rPr>
                <w:rFonts w:ascii="宋体" w:hAnsi="宋体" w:cs="宋体" w:eastAsia="宋体" w:hint="default"/>
                <w:sz w:val="18"/>
                <w:szCs w:val="18"/>
              </w:rPr>
              <w:t>将单项金额超过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 </w:t>
            </w:r>
            <w:r>
              <w:rPr>
                <w:rFonts w:ascii="宋体" w:hAnsi="宋体" w:cs="宋体" w:eastAsia="宋体" w:hint="default"/>
                <w:sz w:val="18"/>
                <w:szCs w:val="18"/>
              </w:rPr>
              <w:t>万元的应收款项视为重大应收款项</w:t>
            </w:r>
          </w:p>
        </w:tc>
      </w:tr>
      <w:tr>
        <w:trPr>
          <w:trHeight w:val="588" w:hRule="exact"/>
        </w:trPr>
        <w:tc>
          <w:tcPr>
            <w:tcW w:w="3712" w:type="dxa"/>
            <w:tcBorders>
              <w:top w:val="single" w:sz="4" w:space="0" w:color="000000"/>
              <w:left w:val="nil" w:sz="6" w:space="0" w:color="auto"/>
              <w:bottom w:val="single" w:sz="12" w:space="0" w:color="000000"/>
              <w:right w:val="nil" w:sz="6" w:space="0" w:color="auto"/>
            </w:tcBorders>
          </w:tcPr>
          <w:p>
            <w:pPr>
              <w:pStyle w:val="TableParagraph"/>
              <w:spacing w:line="232" w:lineRule="exact" w:before="45"/>
              <w:ind w:left="57" w:right="49"/>
              <w:jc w:val="left"/>
              <w:rPr>
                <w:rFonts w:ascii="宋体" w:hAnsi="宋体" w:cs="宋体" w:eastAsia="宋体" w:hint="default"/>
                <w:sz w:val="18"/>
                <w:szCs w:val="18"/>
              </w:rPr>
            </w:pPr>
            <w:r>
              <w:rPr>
                <w:rFonts w:ascii="宋体" w:hAnsi="宋体" w:cs="宋体" w:eastAsia="宋体" w:hint="default"/>
                <w:spacing w:val="9"/>
                <w:sz w:val="18"/>
                <w:szCs w:val="18"/>
              </w:rPr>
              <w:t>单项金额重大并单项计提坏账准备的计提方 </w:t>
            </w:r>
            <w:r>
              <w:rPr>
                <w:rFonts w:ascii="宋体" w:hAnsi="宋体" w:cs="宋体" w:eastAsia="宋体" w:hint="default"/>
                <w:sz w:val="18"/>
                <w:szCs w:val="18"/>
              </w:rPr>
              <w:t>法</w:t>
            </w:r>
          </w:p>
        </w:tc>
        <w:tc>
          <w:tcPr>
            <w:tcW w:w="4910" w:type="dxa"/>
            <w:tcBorders>
              <w:top w:val="single" w:sz="4" w:space="0" w:color="000000"/>
              <w:left w:val="nil" w:sz="6" w:space="0" w:color="auto"/>
              <w:bottom w:val="single" w:sz="12" w:space="0" w:color="000000"/>
              <w:right w:val="nil" w:sz="6" w:space="0" w:color="auto"/>
            </w:tcBorders>
          </w:tcPr>
          <w:p>
            <w:pPr>
              <w:pStyle w:val="TableParagraph"/>
              <w:spacing w:line="232" w:lineRule="exact" w:before="45"/>
              <w:ind w:left="51" w:right="56"/>
              <w:jc w:val="left"/>
              <w:rPr>
                <w:rFonts w:ascii="宋体" w:hAnsi="宋体" w:cs="宋体" w:eastAsia="宋体" w:hint="default"/>
                <w:sz w:val="18"/>
                <w:szCs w:val="18"/>
              </w:rPr>
            </w:pPr>
            <w:r>
              <w:rPr>
                <w:rFonts w:ascii="宋体" w:hAnsi="宋体" w:cs="宋体" w:eastAsia="宋体" w:hint="default"/>
                <w:spacing w:val="-3"/>
                <w:sz w:val="18"/>
                <w:szCs w:val="18"/>
              </w:rPr>
              <w:t>根据其未来现金流量现值低于其账面价值的差额，计提坏账准</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备</w:t>
            </w:r>
          </w:p>
        </w:tc>
      </w:tr>
    </w:tbl>
    <w:p>
      <w:pPr>
        <w:spacing w:line="326" w:lineRule="auto" w:before="21"/>
        <w:ind w:left="661" w:right="0"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按组合计提坏账准备的应收款项</w:t>
      </w:r>
      <w:r>
        <w:rPr>
          <w:rFonts w:ascii="宋体" w:hAnsi="宋体" w:cs="宋体" w:eastAsia="宋体" w:hint="default"/>
          <w:w w:val="100"/>
          <w:sz w:val="22"/>
          <w:szCs w:val="22"/>
        </w:rPr>
        <w:t> </w:t>
      </w:r>
      <w:r>
        <w:rPr>
          <w:rFonts w:ascii="宋体" w:hAnsi="宋体" w:cs="宋体" w:eastAsia="宋体" w:hint="default"/>
          <w:spacing w:val="-3"/>
          <w:sz w:val="22"/>
          <w:szCs w:val="22"/>
        </w:rPr>
        <w:t>对于单项金额非重大的应收款项，本公司将其与经单独测试后未减值的应收款项一起</w:t>
      </w:r>
    </w:p>
    <w:p>
      <w:pPr>
        <w:spacing w:line="297" w:lineRule="auto" w:before="0"/>
        <w:ind w:left="222" w:right="217" w:firstLine="0"/>
        <w:jc w:val="both"/>
        <w:rPr>
          <w:rFonts w:ascii="宋体" w:hAnsi="宋体" w:cs="宋体" w:eastAsia="宋体" w:hint="default"/>
          <w:sz w:val="22"/>
          <w:szCs w:val="22"/>
        </w:rPr>
      </w:pPr>
      <w:r>
        <w:rPr>
          <w:rFonts w:ascii="宋体" w:hAnsi="宋体" w:cs="宋体" w:eastAsia="宋体" w:hint="default"/>
          <w:spacing w:val="-3"/>
          <w:sz w:val="22"/>
          <w:szCs w:val="22"/>
        </w:rPr>
        <w:t>以应收款项的账龄、交易对象、款项性质等为信用风险特征划分组合，根据以前年度与之</w:t>
      </w:r>
      <w:r>
        <w:rPr>
          <w:rFonts w:ascii="宋体" w:hAnsi="宋体" w:cs="宋体" w:eastAsia="宋体" w:hint="default"/>
          <w:spacing w:val="-76"/>
          <w:sz w:val="22"/>
          <w:szCs w:val="22"/>
        </w:rPr>
        <w:t> </w:t>
      </w:r>
      <w:r>
        <w:rPr>
          <w:rFonts w:ascii="宋体" w:hAnsi="宋体" w:cs="宋体" w:eastAsia="宋体" w:hint="default"/>
          <w:spacing w:val="-76"/>
          <w:sz w:val="22"/>
          <w:szCs w:val="22"/>
        </w:rPr>
      </w:r>
      <w:r>
        <w:rPr>
          <w:rFonts w:ascii="宋体" w:hAnsi="宋体" w:cs="宋体" w:eastAsia="宋体" w:hint="default"/>
          <w:spacing w:val="-3"/>
          <w:sz w:val="22"/>
          <w:szCs w:val="22"/>
        </w:rPr>
        <w:t>相同或相类似的、具有类似信用风险特征的应收账款组合的实际损失率为基础，结合现时</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情况确定本年度各项组合计提坏账准备的比例，据此计算本年度应计提的坏账准备。账龄</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组合按账龄分析计提坏账准备，其他组合以其信用风险特征来确定。</w:t>
      </w:r>
    </w:p>
    <w:p>
      <w:pPr>
        <w:spacing w:before="75"/>
        <w:ind w:left="661" w:right="0" w:firstLine="0"/>
        <w:jc w:val="left"/>
        <w:rPr>
          <w:rFonts w:ascii="宋体" w:hAnsi="宋体" w:cs="宋体" w:eastAsia="宋体" w:hint="default"/>
          <w:sz w:val="22"/>
          <w:szCs w:val="22"/>
        </w:rPr>
      </w:pPr>
      <w:r>
        <w:rPr>
          <w:rFonts w:ascii="宋体" w:hAnsi="宋体" w:cs="宋体" w:eastAsia="宋体" w:hint="default"/>
          <w:sz w:val="22"/>
          <w:szCs w:val="22"/>
        </w:rPr>
        <w:t>应收款项按账龄划分组合的坏账准备计提比例如下：</w:t>
      </w:r>
    </w:p>
    <w:p>
      <w:pPr>
        <w:spacing w:line="240" w:lineRule="auto" w:before="11"/>
        <w:rPr>
          <w:rFonts w:ascii="宋体" w:hAnsi="宋体" w:cs="宋体" w:eastAsia="宋体" w:hint="default"/>
          <w:sz w:val="12"/>
          <w:szCs w:val="12"/>
        </w:rPr>
      </w:pPr>
    </w:p>
    <w:tbl>
      <w:tblPr>
        <w:tblW w:w="0" w:type="auto"/>
        <w:jc w:val="left"/>
        <w:tblInd w:w="114" w:type="dxa"/>
        <w:tblLayout w:type="fixed"/>
        <w:tblCellMar>
          <w:top w:w="0" w:type="dxa"/>
          <w:left w:w="0" w:type="dxa"/>
          <w:bottom w:w="0" w:type="dxa"/>
          <w:right w:w="0" w:type="dxa"/>
        </w:tblCellMar>
        <w:tblLook w:val="01E0"/>
      </w:tblPr>
      <w:tblGrid>
        <w:gridCol w:w="2212"/>
        <w:gridCol w:w="3558"/>
        <w:gridCol w:w="2955"/>
      </w:tblGrid>
      <w:tr>
        <w:trPr>
          <w:trHeight w:val="305" w:hRule="exact"/>
        </w:trPr>
        <w:tc>
          <w:tcPr>
            <w:tcW w:w="221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355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740" w:right="0"/>
              <w:jc w:val="center"/>
              <w:rPr>
                <w:rFonts w:ascii="宋体" w:hAnsi="宋体" w:cs="宋体" w:eastAsia="宋体" w:hint="default"/>
                <w:sz w:val="18"/>
                <w:szCs w:val="18"/>
              </w:rPr>
            </w:pPr>
            <w:r>
              <w:rPr>
                <w:rFonts w:ascii="宋体" w:hAnsi="宋体" w:cs="宋体" w:eastAsia="宋体" w:hint="default"/>
                <w:b/>
                <w:bCs/>
                <w:sz w:val="18"/>
                <w:szCs w:val="18"/>
              </w:rPr>
              <w:t>应收账款计提比例</w:t>
            </w:r>
            <w:r>
              <w:rPr>
                <w:rFonts w:ascii="宋体" w:hAnsi="宋体" w:cs="宋体" w:eastAsia="宋体" w:hint="default"/>
                <w:sz w:val="18"/>
                <w:szCs w:val="18"/>
              </w:rPr>
            </w:r>
          </w:p>
        </w:tc>
        <w:tc>
          <w:tcPr>
            <w:tcW w:w="295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44" w:right="0"/>
              <w:jc w:val="center"/>
              <w:rPr>
                <w:rFonts w:ascii="宋体" w:hAnsi="宋体" w:cs="宋体" w:eastAsia="宋体" w:hint="default"/>
                <w:sz w:val="18"/>
                <w:szCs w:val="18"/>
              </w:rPr>
            </w:pPr>
            <w:r>
              <w:rPr>
                <w:rFonts w:ascii="宋体" w:hAnsi="宋体" w:cs="宋体" w:eastAsia="宋体" w:hint="default"/>
                <w:b/>
                <w:bCs/>
                <w:sz w:val="18"/>
                <w:szCs w:val="18"/>
              </w:rPr>
              <w:t>其他应收款计提比例</w:t>
            </w:r>
            <w:r>
              <w:rPr>
                <w:rFonts w:ascii="宋体" w:hAnsi="宋体" w:cs="宋体" w:eastAsia="宋体" w:hint="default"/>
                <w:sz w:val="18"/>
                <w:szCs w:val="18"/>
              </w:rPr>
            </w:r>
          </w:p>
        </w:tc>
      </w:tr>
      <w:tr>
        <w:trPr>
          <w:trHeight w:val="325" w:hRule="exact"/>
        </w:trPr>
        <w:tc>
          <w:tcPr>
            <w:tcW w:w="2212"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355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left="743" w:right="0"/>
              <w:jc w:val="center"/>
              <w:rPr>
                <w:rFonts w:ascii="Times New Roman" w:hAnsi="Times New Roman" w:cs="Times New Roman" w:eastAsia="Times New Roman" w:hint="default"/>
                <w:sz w:val="18"/>
                <w:szCs w:val="18"/>
              </w:rPr>
            </w:pPr>
            <w:r>
              <w:rPr>
                <w:rFonts w:ascii="Times New Roman"/>
                <w:sz w:val="18"/>
              </w:rPr>
              <w:t>1%</w:t>
            </w:r>
          </w:p>
        </w:tc>
        <w:tc>
          <w:tcPr>
            <w:tcW w:w="295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left="49" w:right="0"/>
              <w:jc w:val="center"/>
              <w:rPr>
                <w:rFonts w:ascii="Times New Roman" w:hAnsi="Times New Roman" w:cs="Times New Roman" w:eastAsia="Times New Roman" w:hint="default"/>
                <w:sz w:val="18"/>
                <w:szCs w:val="18"/>
              </w:rPr>
            </w:pPr>
            <w:r>
              <w:rPr>
                <w:rFonts w:ascii="Times New Roman"/>
                <w:sz w:val="18"/>
              </w:rPr>
              <w:t>1%</w:t>
            </w:r>
          </w:p>
        </w:tc>
      </w:tr>
      <w:tr>
        <w:trPr>
          <w:trHeight w:val="284" w:hRule="exact"/>
        </w:trPr>
        <w:tc>
          <w:tcPr>
            <w:tcW w:w="2212" w:type="dxa"/>
            <w:tcBorders>
              <w:top w:val="nil" w:sz="6" w:space="0" w:color="auto"/>
              <w:left w:val="nil" w:sz="6" w:space="0" w:color="auto"/>
              <w:bottom w:val="nil" w:sz="6" w:space="0" w:color="auto"/>
              <w:right w:val="nil" w:sz="6" w:space="0" w:color="auto"/>
            </w:tcBorders>
          </w:tcPr>
          <w:p>
            <w:pPr>
              <w:pStyle w:val="TableParagraph"/>
              <w:spacing w:line="237"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55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43" w:right="0"/>
              <w:jc w:val="center"/>
              <w:rPr>
                <w:rFonts w:ascii="Times New Roman" w:hAnsi="Times New Roman" w:cs="Times New Roman" w:eastAsia="Times New Roman" w:hint="default"/>
                <w:sz w:val="18"/>
                <w:szCs w:val="18"/>
              </w:rPr>
            </w:pPr>
            <w:r>
              <w:rPr>
                <w:rFonts w:ascii="Times New Roman"/>
                <w:sz w:val="18"/>
              </w:rPr>
              <w:t>5%</w:t>
            </w:r>
          </w:p>
        </w:tc>
        <w:tc>
          <w:tcPr>
            <w:tcW w:w="295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9" w:right="0"/>
              <w:jc w:val="center"/>
              <w:rPr>
                <w:rFonts w:ascii="Times New Roman" w:hAnsi="Times New Roman" w:cs="Times New Roman" w:eastAsia="Times New Roman" w:hint="default"/>
                <w:sz w:val="18"/>
                <w:szCs w:val="18"/>
              </w:rPr>
            </w:pPr>
            <w:r>
              <w:rPr>
                <w:rFonts w:ascii="Times New Roman"/>
                <w:sz w:val="18"/>
              </w:rPr>
              <w:t>5%</w:t>
            </w:r>
          </w:p>
        </w:tc>
      </w:tr>
      <w:tr>
        <w:trPr>
          <w:trHeight w:val="284" w:hRule="exact"/>
        </w:trPr>
        <w:tc>
          <w:tcPr>
            <w:tcW w:w="2212"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55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43" w:right="0"/>
              <w:jc w:val="center"/>
              <w:rPr>
                <w:rFonts w:ascii="Times New Roman" w:hAnsi="Times New Roman" w:cs="Times New Roman" w:eastAsia="Times New Roman" w:hint="default"/>
                <w:sz w:val="18"/>
                <w:szCs w:val="18"/>
              </w:rPr>
            </w:pPr>
            <w:r>
              <w:rPr>
                <w:rFonts w:ascii="Times New Roman"/>
                <w:sz w:val="18"/>
              </w:rPr>
              <w:t>15%</w:t>
            </w:r>
          </w:p>
        </w:tc>
        <w:tc>
          <w:tcPr>
            <w:tcW w:w="295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9" w:right="0"/>
              <w:jc w:val="center"/>
              <w:rPr>
                <w:rFonts w:ascii="Times New Roman" w:hAnsi="Times New Roman" w:cs="Times New Roman" w:eastAsia="Times New Roman" w:hint="default"/>
                <w:sz w:val="18"/>
                <w:szCs w:val="18"/>
              </w:rPr>
            </w:pPr>
            <w:r>
              <w:rPr>
                <w:rFonts w:ascii="Times New Roman"/>
                <w:sz w:val="18"/>
              </w:rPr>
              <w:t>15%</w:t>
            </w:r>
          </w:p>
        </w:tc>
      </w:tr>
      <w:tr>
        <w:trPr>
          <w:trHeight w:val="286" w:hRule="exact"/>
        </w:trPr>
        <w:tc>
          <w:tcPr>
            <w:tcW w:w="2212" w:type="dxa"/>
            <w:tcBorders>
              <w:top w:val="nil" w:sz="6" w:space="0" w:color="auto"/>
              <w:left w:val="nil" w:sz="6" w:space="0" w:color="auto"/>
              <w:bottom w:val="nil" w:sz="6" w:space="0" w:color="auto"/>
              <w:right w:val="nil" w:sz="6" w:space="0" w:color="auto"/>
            </w:tcBorders>
          </w:tcPr>
          <w:p>
            <w:pPr>
              <w:pStyle w:val="TableParagraph"/>
              <w:spacing w:line="237"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55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43" w:right="0"/>
              <w:jc w:val="center"/>
              <w:rPr>
                <w:rFonts w:ascii="Times New Roman" w:hAnsi="Times New Roman" w:cs="Times New Roman" w:eastAsia="Times New Roman" w:hint="default"/>
                <w:sz w:val="18"/>
                <w:szCs w:val="18"/>
              </w:rPr>
            </w:pPr>
            <w:r>
              <w:rPr>
                <w:rFonts w:ascii="Times New Roman"/>
                <w:sz w:val="18"/>
              </w:rPr>
              <w:t>30%</w:t>
            </w:r>
          </w:p>
        </w:tc>
        <w:tc>
          <w:tcPr>
            <w:tcW w:w="295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9" w:right="0"/>
              <w:jc w:val="center"/>
              <w:rPr>
                <w:rFonts w:ascii="Times New Roman" w:hAnsi="Times New Roman" w:cs="Times New Roman" w:eastAsia="Times New Roman" w:hint="default"/>
                <w:sz w:val="18"/>
                <w:szCs w:val="18"/>
              </w:rPr>
            </w:pPr>
            <w:r>
              <w:rPr>
                <w:rFonts w:ascii="Times New Roman"/>
                <w:sz w:val="18"/>
              </w:rPr>
              <w:t>30%</w:t>
            </w:r>
          </w:p>
        </w:tc>
      </w:tr>
      <w:tr>
        <w:trPr>
          <w:trHeight w:val="286" w:hRule="exact"/>
        </w:trPr>
        <w:tc>
          <w:tcPr>
            <w:tcW w:w="2212" w:type="dxa"/>
            <w:tcBorders>
              <w:top w:val="nil" w:sz="6" w:space="0" w:color="auto"/>
              <w:left w:val="nil" w:sz="6" w:space="0" w:color="auto"/>
              <w:bottom w:val="nil" w:sz="6" w:space="0" w:color="auto"/>
              <w:right w:val="nil" w:sz="6" w:space="0" w:color="auto"/>
            </w:tcBorders>
          </w:tcPr>
          <w:p>
            <w:pPr>
              <w:pStyle w:val="TableParagraph"/>
              <w:spacing w:line="237"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55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43" w:right="0"/>
              <w:jc w:val="center"/>
              <w:rPr>
                <w:rFonts w:ascii="Times New Roman" w:hAnsi="Times New Roman" w:cs="Times New Roman" w:eastAsia="Times New Roman" w:hint="default"/>
                <w:sz w:val="18"/>
                <w:szCs w:val="18"/>
              </w:rPr>
            </w:pPr>
            <w:r>
              <w:rPr>
                <w:rFonts w:ascii="Times New Roman"/>
                <w:sz w:val="18"/>
              </w:rPr>
              <w:t>50%</w:t>
            </w:r>
          </w:p>
        </w:tc>
        <w:tc>
          <w:tcPr>
            <w:tcW w:w="295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9" w:right="0"/>
              <w:jc w:val="center"/>
              <w:rPr>
                <w:rFonts w:ascii="Times New Roman" w:hAnsi="Times New Roman" w:cs="Times New Roman" w:eastAsia="Times New Roman" w:hint="default"/>
                <w:sz w:val="18"/>
                <w:szCs w:val="18"/>
              </w:rPr>
            </w:pPr>
            <w:r>
              <w:rPr>
                <w:rFonts w:ascii="Times New Roman"/>
                <w:sz w:val="18"/>
              </w:rPr>
              <w:t>50%</w:t>
            </w:r>
          </w:p>
        </w:tc>
      </w:tr>
      <w:tr>
        <w:trPr>
          <w:trHeight w:val="265" w:hRule="exact"/>
        </w:trPr>
        <w:tc>
          <w:tcPr>
            <w:tcW w:w="2212" w:type="dxa"/>
            <w:tcBorders>
              <w:top w:val="nil" w:sz="6" w:space="0" w:color="auto"/>
              <w:left w:val="nil" w:sz="6" w:space="0" w:color="auto"/>
              <w:bottom w:val="single" w:sz="12" w:space="0" w:color="000000"/>
              <w:right w:val="nil" w:sz="6" w:space="0" w:color="auto"/>
            </w:tcBorders>
          </w:tcPr>
          <w:p>
            <w:pPr>
              <w:pStyle w:val="TableParagraph"/>
              <w:spacing w:line="237"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558"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743" w:right="0"/>
              <w:jc w:val="center"/>
              <w:rPr>
                <w:rFonts w:ascii="Times New Roman" w:hAnsi="Times New Roman" w:cs="Times New Roman" w:eastAsia="Times New Roman" w:hint="default"/>
                <w:sz w:val="18"/>
                <w:szCs w:val="18"/>
              </w:rPr>
            </w:pPr>
            <w:r>
              <w:rPr>
                <w:rFonts w:ascii="Times New Roman"/>
                <w:sz w:val="18"/>
              </w:rPr>
              <w:t>100%</w:t>
            </w:r>
          </w:p>
        </w:tc>
        <w:tc>
          <w:tcPr>
            <w:tcW w:w="295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49" w:right="0"/>
              <w:jc w:val="center"/>
              <w:rPr>
                <w:rFonts w:ascii="Times New Roman" w:hAnsi="Times New Roman" w:cs="Times New Roman" w:eastAsia="Times New Roman" w:hint="default"/>
                <w:sz w:val="18"/>
                <w:szCs w:val="18"/>
              </w:rPr>
            </w:pPr>
            <w:r>
              <w:rPr>
                <w:rFonts w:ascii="Times New Roman"/>
                <w:sz w:val="18"/>
              </w:rPr>
              <w:t>100%</w:t>
            </w:r>
          </w:p>
        </w:tc>
      </w:tr>
    </w:tbl>
    <w:p>
      <w:pPr>
        <w:spacing w:after="0" w:line="240" w:lineRule="auto"/>
        <w:jc w:val="center"/>
        <w:rPr>
          <w:rFonts w:ascii="Times New Roman" w:hAnsi="Times New Roman" w:cs="Times New Roman" w:eastAsia="Times New Roman" w:hint="default"/>
          <w:sz w:val="18"/>
          <w:szCs w:val="18"/>
        </w:rPr>
        <w:sectPr>
          <w:headerReference w:type="default" r:id="rId41"/>
          <w:footerReference w:type="default" r:id="rId42"/>
          <w:pgSz w:w="11910" w:h="16840"/>
          <w:pgMar w:header="0" w:footer="836" w:top="500" w:bottom="1020" w:left="1480" w:right="1480"/>
          <w:pgNumType w:start="93"/>
        </w:sectPr>
      </w:pPr>
    </w:p>
    <w:p>
      <w:pPr>
        <w:spacing w:line="240" w:lineRule="auto" w:before="6"/>
        <w:rPr>
          <w:rFonts w:ascii="宋体" w:hAnsi="宋体" w:cs="宋体" w:eastAsia="宋体" w:hint="default"/>
          <w:sz w:val="5"/>
          <w:szCs w:val="5"/>
        </w:rPr>
      </w:pPr>
    </w:p>
    <w:p>
      <w:pPr>
        <w:spacing w:line="417" w:lineRule="exact"/>
        <w:ind w:left="125" w:right="0" w:firstLine="0"/>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861822" cy="265175"/>
            <wp:effectExtent l="0" t="0" r="0" b="0"/>
            <wp:docPr id="19" name="image1.jpeg" descr=""/>
            <wp:cNvGraphicFramePr>
              <a:graphicFrameLocks noChangeAspect="1"/>
            </wp:cNvGraphicFramePr>
            <a:graphic>
              <a:graphicData uri="http://schemas.openxmlformats.org/drawingml/2006/picture">
                <pic:pic>
                  <pic:nvPicPr>
                    <pic:cNvPr id="20" name="image1.jpeg"/>
                    <pic:cNvPicPr/>
                  </pic:nvPicPr>
                  <pic:blipFill>
                    <a:blip r:embed="rId35" cstate="print"/>
                    <a:stretch>
                      <a:fillRect/>
                    </a:stretch>
                  </pic:blipFill>
                  <pic:spPr>
                    <a:xfrm>
                      <a:off x="0" y="0"/>
                      <a:ext cx="861822" cy="265175"/>
                    </a:xfrm>
                    <a:prstGeom prst="rect">
                      <a:avLst/>
                    </a:prstGeom>
                  </pic:spPr>
                </pic:pic>
              </a:graphicData>
            </a:graphic>
          </wp:inline>
        </w:drawing>
      </w:r>
      <w:r>
        <w:rPr>
          <w:rFonts w:ascii="宋体" w:hAnsi="宋体" w:cs="宋体" w:eastAsia="宋体" w:hint="default"/>
          <w:position w:val="-7"/>
          <w:sz w:val="20"/>
          <w:szCs w:val="20"/>
        </w:rPr>
      </w:r>
    </w:p>
    <w:p>
      <w:pPr>
        <w:spacing w:line="240" w:lineRule="auto" w:before="10"/>
        <w:rPr>
          <w:rFonts w:ascii="宋体" w:hAnsi="宋体" w:cs="宋体" w:eastAsia="宋体" w:hint="default"/>
          <w:sz w:val="5"/>
          <w:szCs w:val="5"/>
        </w:rPr>
      </w:pPr>
    </w:p>
    <w:p>
      <w:pPr>
        <w:spacing w:line="20" w:lineRule="exact"/>
        <w:ind w:left="186"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21"/>
          <w:szCs w:val="21"/>
        </w:rPr>
      </w:pPr>
    </w:p>
    <w:p>
      <w:pPr>
        <w:spacing w:before="32"/>
        <w:ind w:left="675" w:right="1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27"/>
          <w:sz w:val="22"/>
          <w:szCs w:val="22"/>
        </w:rPr>
        <w:t> </w:t>
      </w:r>
      <w:r>
        <w:rPr>
          <w:rFonts w:ascii="宋体" w:hAnsi="宋体" w:cs="宋体" w:eastAsia="宋体" w:hint="default"/>
          <w:sz w:val="22"/>
          <w:szCs w:val="22"/>
        </w:rPr>
        <w:t>单项金额虽不重大但单项计提坏账准备的应收款项</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229"/>
        <w:gridCol w:w="6497"/>
      </w:tblGrid>
      <w:tr>
        <w:trPr>
          <w:trHeight w:val="588" w:hRule="exact"/>
        </w:trPr>
        <w:tc>
          <w:tcPr>
            <w:tcW w:w="2229" w:type="dxa"/>
            <w:tcBorders>
              <w:top w:val="single" w:sz="12" w:space="0" w:color="000000"/>
              <w:left w:val="nil" w:sz="6" w:space="0" w:color="auto"/>
              <w:bottom w:val="single" w:sz="4" w:space="0" w:color="000000"/>
              <w:right w:val="nil" w:sz="6" w:space="0" w:color="auto"/>
            </w:tcBorders>
          </w:tcPr>
          <w:p>
            <w:pPr>
              <w:pStyle w:val="TableParagraph"/>
              <w:spacing w:line="240" w:lineRule="auto" w:before="137"/>
              <w:ind w:left="108"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6497" w:type="dxa"/>
            <w:tcBorders>
              <w:top w:val="single" w:sz="12" w:space="0" w:color="000000"/>
              <w:left w:val="nil" w:sz="6" w:space="0" w:color="auto"/>
              <w:bottom w:val="single" w:sz="4" w:space="0" w:color="000000"/>
              <w:right w:val="nil" w:sz="6" w:space="0" w:color="auto"/>
            </w:tcBorders>
          </w:tcPr>
          <w:p>
            <w:pPr>
              <w:pStyle w:val="TableParagraph"/>
              <w:spacing w:line="240" w:lineRule="auto" w:before="137"/>
              <w:ind w:left="140" w:right="0"/>
              <w:jc w:val="left"/>
              <w:rPr>
                <w:rFonts w:ascii="宋体" w:hAnsi="宋体" w:cs="宋体" w:eastAsia="宋体" w:hint="default"/>
                <w:sz w:val="18"/>
                <w:szCs w:val="18"/>
              </w:rPr>
            </w:pPr>
            <w:r>
              <w:rPr>
                <w:rFonts w:ascii="宋体" w:hAnsi="宋体" w:cs="宋体" w:eastAsia="宋体" w:hint="default"/>
                <w:sz w:val="18"/>
                <w:szCs w:val="18"/>
              </w:rPr>
              <w:t>单项金额不重大且按照组合计提坏账准备不能反映其风险特征的应收款项</w:t>
            </w:r>
          </w:p>
        </w:tc>
      </w:tr>
      <w:tr>
        <w:trPr>
          <w:trHeight w:val="588" w:hRule="exact"/>
        </w:trPr>
        <w:tc>
          <w:tcPr>
            <w:tcW w:w="2229" w:type="dxa"/>
            <w:tcBorders>
              <w:top w:val="single" w:sz="4" w:space="0" w:color="000000"/>
              <w:left w:val="nil" w:sz="6" w:space="0" w:color="auto"/>
              <w:bottom w:val="single" w:sz="12" w:space="0" w:color="000000"/>
              <w:right w:val="nil" w:sz="6" w:space="0" w:color="auto"/>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6497" w:type="dxa"/>
            <w:tcBorders>
              <w:top w:val="single" w:sz="4" w:space="0" w:color="000000"/>
              <w:left w:val="nil" w:sz="6" w:space="0" w:color="auto"/>
              <w:bottom w:val="single" w:sz="12" w:space="0" w:color="000000"/>
              <w:right w:val="nil" w:sz="6" w:space="0" w:color="auto"/>
            </w:tcBorders>
          </w:tcPr>
          <w:p>
            <w:pPr>
              <w:pStyle w:val="TableParagraph"/>
              <w:spacing w:line="240" w:lineRule="auto" w:before="135"/>
              <w:ind w:left="140" w:right="0"/>
              <w:jc w:val="left"/>
              <w:rPr>
                <w:rFonts w:ascii="宋体" w:hAnsi="宋体" w:cs="宋体" w:eastAsia="宋体" w:hint="default"/>
                <w:sz w:val="18"/>
                <w:szCs w:val="18"/>
              </w:rPr>
            </w:pPr>
            <w:r>
              <w:rPr>
                <w:rFonts w:ascii="宋体" w:hAnsi="宋体" w:cs="宋体" w:eastAsia="宋体" w:hint="default"/>
                <w:sz w:val="18"/>
                <w:szCs w:val="18"/>
              </w:rPr>
              <w:t>根据其未来现金流量现值低于其账面价值的差额，计提坏账准备</w:t>
            </w:r>
          </w:p>
        </w:tc>
      </w:tr>
    </w:tbl>
    <w:p>
      <w:pPr>
        <w:spacing w:line="326" w:lineRule="auto" w:before="21"/>
        <w:ind w:left="661" w:right="107"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16.</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存货</w:t>
      </w:r>
      <w:r>
        <w:rPr>
          <w:rFonts w:ascii="宋体" w:hAnsi="宋体" w:cs="宋体" w:eastAsia="宋体" w:hint="default"/>
          <w:w w:val="100"/>
          <w:sz w:val="22"/>
          <w:szCs w:val="22"/>
        </w:rPr>
        <w:t> </w:t>
      </w:r>
      <w:r>
        <w:rPr>
          <w:rFonts w:ascii="宋体" w:hAnsi="宋体" w:cs="宋体" w:eastAsia="宋体" w:hint="default"/>
          <w:spacing w:val="-3"/>
          <w:sz w:val="22"/>
          <w:szCs w:val="22"/>
        </w:rPr>
        <w:t>本公司存货主要包括在途物资、原材料、低值易耗品、包装物、委托加工物资、在产</w:t>
      </w:r>
    </w:p>
    <w:p>
      <w:pPr>
        <w:spacing w:line="295" w:lineRule="auto" w:before="0"/>
        <w:ind w:left="222" w:right="107" w:firstLine="0"/>
        <w:jc w:val="left"/>
        <w:rPr>
          <w:rFonts w:ascii="宋体" w:hAnsi="宋体" w:cs="宋体" w:eastAsia="宋体" w:hint="default"/>
          <w:sz w:val="22"/>
          <w:szCs w:val="22"/>
        </w:rPr>
      </w:pPr>
      <w:r>
        <w:rPr>
          <w:rFonts w:ascii="宋体" w:hAnsi="宋体" w:cs="宋体" w:eastAsia="宋体" w:hint="default"/>
          <w:spacing w:val="-3"/>
          <w:sz w:val="22"/>
          <w:szCs w:val="22"/>
        </w:rPr>
        <w:t>品、产成品、库存商品、委托代销商品、发出商品和工程施工等，按成本与可变现净值孰</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低列示。</w:t>
      </w:r>
    </w:p>
    <w:p>
      <w:pPr>
        <w:spacing w:line="297" w:lineRule="auto" w:before="79"/>
        <w:ind w:left="222" w:right="334" w:firstLine="439"/>
        <w:jc w:val="both"/>
        <w:rPr>
          <w:rFonts w:ascii="宋体" w:hAnsi="宋体" w:cs="宋体" w:eastAsia="宋体" w:hint="default"/>
          <w:sz w:val="22"/>
          <w:szCs w:val="22"/>
        </w:rPr>
      </w:pPr>
      <w:r>
        <w:rPr>
          <w:rFonts w:ascii="宋体" w:hAnsi="宋体" w:cs="宋体" w:eastAsia="宋体" w:hint="default"/>
          <w:spacing w:val="-9"/>
          <w:w w:val="100"/>
          <w:sz w:val="22"/>
          <w:szCs w:val="22"/>
        </w:rPr>
        <w:t>存货取得和发出的计价方法：公司存货在取得时，按实际成本入账，实行永续盘存制。</w:t>
      </w:r>
      <w:r>
        <w:rPr>
          <w:rFonts w:ascii="宋体" w:hAnsi="宋体" w:cs="宋体" w:eastAsia="宋体" w:hint="default"/>
          <w:w w:val="100"/>
          <w:sz w:val="22"/>
          <w:szCs w:val="22"/>
        </w:rPr>
        <w:t> </w:t>
      </w:r>
      <w:r>
        <w:rPr>
          <w:rFonts w:ascii="宋体" w:hAnsi="宋体" w:cs="宋体" w:eastAsia="宋体" w:hint="default"/>
          <w:spacing w:val="-3"/>
          <w:sz w:val="22"/>
          <w:szCs w:val="22"/>
        </w:rPr>
        <w:t>领用和发出时，包装物、低值易耗品采用一次摊销法，其他各类存货采用加权平均法确定</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z w:val="22"/>
          <w:szCs w:val="22"/>
        </w:rPr>
        <w:t>其实际成本。</w:t>
      </w:r>
    </w:p>
    <w:p>
      <w:pPr>
        <w:spacing w:line="297" w:lineRule="auto" w:before="77"/>
        <w:ind w:left="222" w:right="335" w:firstLine="439"/>
        <w:jc w:val="both"/>
        <w:rPr>
          <w:rFonts w:ascii="宋体" w:hAnsi="宋体" w:cs="宋体" w:eastAsia="宋体" w:hint="default"/>
          <w:sz w:val="22"/>
          <w:szCs w:val="22"/>
        </w:rPr>
      </w:pPr>
      <w:r>
        <w:rPr>
          <w:rFonts w:ascii="宋体" w:hAnsi="宋体" w:cs="宋体" w:eastAsia="宋体" w:hint="default"/>
          <w:spacing w:val="-3"/>
          <w:sz w:val="22"/>
          <w:szCs w:val="22"/>
        </w:rPr>
        <w:t>生产成本的归集和结转方法：公司主要经营业务大致划分为生产销售各类高新技术和</w:t>
      </w:r>
      <w:r>
        <w:rPr>
          <w:rFonts w:ascii="宋体" w:hAnsi="宋体" w:cs="宋体" w:eastAsia="宋体" w:hint="default"/>
          <w:w w:val="100"/>
          <w:sz w:val="22"/>
          <w:szCs w:val="22"/>
        </w:rPr>
        <w:t> </w:t>
      </w:r>
      <w:r>
        <w:rPr>
          <w:rFonts w:ascii="宋体" w:hAnsi="宋体" w:cs="宋体" w:eastAsia="宋体" w:hint="default"/>
          <w:spacing w:val="-3"/>
          <w:sz w:val="22"/>
          <w:szCs w:val="22"/>
        </w:rPr>
        <w:t>消费电子产品，承接各种信息网络、人工环境、能源环保、机电工程项目，以及提供相关</w:t>
      </w:r>
      <w:r>
        <w:rPr>
          <w:rFonts w:ascii="宋体" w:hAnsi="宋体" w:cs="宋体" w:eastAsia="宋体" w:hint="default"/>
          <w:spacing w:val="-71"/>
          <w:sz w:val="22"/>
          <w:szCs w:val="22"/>
        </w:rPr>
        <w:t> </w:t>
      </w:r>
      <w:r>
        <w:rPr>
          <w:rFonts w:ascii="宋体" w:hAnsi="宋体" w:cs="宋体" w:eastAsia="宋体" w:hint="default"/>
          <w:spacing w:val="-71"/>
          <w:sz w:val="22"/>
          <w:szCs w:val="22"/>
        </w:rPr>
      </w:r>
      <w:r>
        <w:rPr>
          <w:rFonts w:ascii="宋体" w:hAnsi="宋体" w:cs="宋体" w:eastAsia="宋体" w:hint="default"/>
          <w:spacing w:val="-3"/>
          <w:sz w:val="22"/>
          <w:szCs w:val="22"/>
        </w:rPr>
        <w:t>技术支持和咨询服务，其中，各种高新技术产品按照工业企业成本核算流程进行成本的归</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集和分配；各项工程区别工程直接与间接费用进行成本的归集和分配。</w:t>
      </w:r>
    </w:p>
    <w:p>
      <w:pPr>
        <w:spacing w:line="297" w:lineRule="auto" w:before="74"/>
        <w:ind w:left="222" w:right="337" w:firstLine="439"/>
        <w:jc w:val="both"/>
        <w:rPr>
          <w:rFonts w:ascii="宋体" w:hAnsi="宋体" w:cs="宋体" w:eastAsia="宋体" w:hint="default"/>
          <w:sz w:val="22"/>
          <w:szCs w:val="22"/>
        </w:rPr>
      </w:pPr>
      <w:r>
        <w:rPr>
          <w:rFonts w:ascii="宋体" w:hAnsi="宋体" w:cs="宋体" w:eastAsia="宋体" w:hint="default"/>
          <w:spacing w:val="-3"/>
          <w:sz w:val="22"/>
          <w:szCs w:val="22"/>
        </w:rPr>
        <w:t>年末存货计价原则及存货跌价准备确认标准和计提方法：年末存货按成本与可变现净</w:t>
      </w:r>
      <w:r>
        <w:rPr>
          <w:rFonts w:ascii="宋体" w:hAnsi="宋体" w:cs="宋体" w:eastAsia="宋体" w:hint="default"/>
          <w:w w:val="100"/>
          <w:sz w:val="22"/>
          <w:szCs w:val="22"/>
        </w:rPr>
        <w:t> </w:t>
      </w:r>
      <w:r>
        <w:rPr>
          <w:rFonts w:ascii="宋体" w:hAnsi="宋体" w:cs="宋体" w:eastAsia="宋体" w:hint="default"/>
          <w:spacing w:val="-3"/>
          <w:sz w:val="22"/>
          <w:szCs w:val="22"/>
        </w:rPr>
        <w:t>值孰低原则计价；年末，在对存货进行全面盘点的基础上，对于存货因遭受毁损、全部或</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部分陈旧过时或销售价格低于成本等原因，预计其成本不可收回的部分，提取存货跌价准</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备。产成品及大宗原材料的存货跌价准备按单个存货项目的成本高于其可变现净值的差额</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提取；其他数量繁多、单价较低的原辅材料按类别提取存货跌价准备。</w:t>
      </w:r>
    </w:p>
    <w:p>
      <w:pPr>
        <w:spacing w:line="297" w:lineRule="auto" w:before="75"/>
        <w:ind w:left="222" w:right="107" w:firstLine="439"/>
        <w:jc w:val="left"/>
        <w:rPr>
          <w:rFonts w:ascii="宋体" w:hAnsi="宋体" w:cs="宋体" w:eastAsia="宋体" w:hint="default"/>
          <w:sz w:val="22"/>
          <w:szCs w:val="22"/>
        </w:rPr>
      </w:pPr>
      <w:r>
        <w:rPr>
          <w:rFonts w:ascii="宋体" w:hAnsi="宋体" w:cs="宋体" w:eastAsia="宋体" w:hint="default"/>
          <w:spacing w:val="-3"/>
          <w:sz w:val="22"/>
          <w:szCs w:val="22"/>
        </w:rPr>
        <w:t>存货可变现净值确定方法：库存商品、在产品和用于出售的材料等直接用于出售的商</w:t>
      </w:r>
      <w:r>
        <w:rPr>
          <w:rFonts w:ascii="宋体" w:hAnsi="宋体" w:cs="宋体" w:eastAsia="宋体" w:hint="default"/>
          <w:w w:val="100"/>
          <w:sz w:val="22"/>
          <w:szCs w:val="22"/>
        </w:rPr>
        <w:t> </w:t>
      </w:r>
      <w:r>
        <w:rPr>
          <w:rFonts w:ascii="宋体" w:hAnsi="宋体" w:cs="宋体" w:eastAsia="宋体" w:hint="default"/>
          <w:spacing w:val="-3"/>
          <w:sz w:val="22"/>
          <w:szCs w:val="22"/>
        </w:rPr>
        <w:t>品存货，其可变现净值按该存货的估计售价减去估计的销售费用和相关税费后的金额确定；</w:t>
      </w:r>
      <w:r>
        <w:rPr>
          <w:rFonts w:ascii="宋体" w:hAnsi="宋体" w:cs="宋体" w:eastAsia="宋体" w:hint="default"/>
          <w:spacing w:val="-69"/>
          <w:sz w:val="22"/>
          <w:szCs w:val="22"/>
        </w:rPr>
        <w:t> </w:t>
      </w:r>
      <w:r>
        <w:rPr>
          <w:rFonts w:ascii="宋体" w:hAnsi="宋体" w:cs="宋体" w:eastAsia="宋体" w:hint="default"/>
          <w:spacing w:val="-69"/>
          <w:sz w:val="22"/>
          <w:szCs w:val="22"/>
        </w:rPr>
      </w:r>
      <w:r>
        <w:rPr>
          <w:rFonts w:ascii="宋体" w:hAnsi="宋体" w:cs="宋体" w:eastAsia="宋体" w:hint="default"/>
          <w:spacing w:val="-3"/>
          <w:sz w:val="22"/>
          <w:szCs w:val="22"/>
        </w:rPr>
        <w:t>用于生产而持有的材料存货，其可变现净值按所生产的产成品的估计售价减去至完工时估</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计将要发生的成本、估计的销售费用和相关税费后的金额确定；为执行销售合同或者劳务</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合同而持有的存货，其可变现净值以合同价格为基础计算；公司持有存货的数量多于销售</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合同订购数量的，超出部分的存货可变现净值以一般销售价格为基础计算。</w:t>
      </w:r>
    </w:p>
    <w:p>
      <w:pPr>
        <w:spacing w:line="338" w:lineRule="auto" w:before="77"/>
        <w:ind w:left="661" w:right="107"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17.</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长期股权投资</w:t>
      </w:r>
      <w:r>
        <w:rPr>
          <w:rFonts w:ascii="宋体" w:hAnsi="宋体" w:cs="宋体" w:eastAsia="宋体" w:hint="default"/>
          <w:w w:val="100"/>
          <w:sz w:val="22"/>
          <w:szCs w:val="22"/>
        </w:rPr>
        <w:t> </w:t>
      </w:r>
      <w:r>
        <w:rPr>
          <w:rFonts w:ascii="宋体" w:hAnsi="宋体" w:cs="宋体" w:eastAsia="宋体" w:hint="default"/>
          <w:spacing w:val="-3"/>
          <w:sz w:val="22"/>
          <w:szCs w:val="22"/>
        </w:rPr>
        <w:t>本公司长期股权投资主要是对子公司的投资、对联营企业的投资和对合营企业的投资。</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pacing w:val="-3"/>
          <w:sz w:val="22"/>
          <w:szCs w:val="22"/>
        </w:rPr>
        <w:t>本公司对共同控制的判断依据是所有参与方或参与方组合集体控制该安排，并且该安</w:t>
      </w:r>
    </w:p>
    <w:p>
      <w:pPr>
        <w:spacing w:line="267" w:lineRule="exact" w:before="0"/>
        <w:ind w:left="222" w:right="107" w:firstLine="0"/>
        <w:jc w:val="left"/>
        <w:rPr>
          <w:rFonts w:ascii="宋体" w:hAnsi="宋体" w:cs="宋体" w:eastAsia="宋体" w:hint="default"/>
          <w:sz w:val="22"/>
          <w:szCs w:val="22"/>
        </w:rPr>
      </w:pPr>
      <w:r>
        <w:rPr>
          <w:rFonts w:ascii="宋体" w:hAnsi="宋体" w:cs="宋体" w:eastAsia="宋体" w:hint="default"/>
          <w:sz w:val="22"/>
          <w:szCs w:val="22"/>
        </w:rPr>
        <w:t>排相关活动的政策必须经过这些集体控制该安排的参与方一致同意。</w:t>
      </w:r>
    </w:p>
    <w:p>
      <w:pPr>
        <w:spacing w:line="290" w:lineRule="auto" w:before="128"/>
        <w:ind w:left="222" w:right="217" w:firstLine="439"/>
        <w:jc w:val="left"/>
        <w:rPr>
          <w:rFonts w:ascii="宋体" w:hAnsi="宋体" w:cs="宋体" w:eastAsia="宋体" w:hint="default"/>
          <w:sz w:val="22"/>
          <w:szCs w:val="22"/>
        </w:rPr>
      </w:pPr>
      <w:r>
        <w:rPr>
          <w:rFonts w:ascii="宋体" w:hAnsi="宋体" w:cs="宋体" w:eastAsia="宋体" w:hint="default"/>
          <w:spacing w:val="-1"/>
          <w:w w:val="100"/>
          <w:sz w:val="22"/>
          <w:szCs w:val="22"/>
        </w:rPr>
        <w:t>本公司直接或通过子公司间接拥有被投资单位</w:t>
      </w:r>
      <w:r>
        <w:rPr>
          <w:rFonts w:ascii="宋体" w:hAnsi="宋体" w:cs="宋体" w:eastAsia="宋体" w:hint="default"/>
          <w:spacing w:val="-53"/>
          <w:w w:val="100"/>
          <w:sz w:val="22"/>
          <w:szCs w:val="22"/>
        </w:rPr>
        <w:t> </w:t>
      </w:r>
      <w:r>
        <w:rPr>
          <w:rFonts w:ascii="Times New Roman" w:hAnsi="Times New Roman" w:cs="Times New Roman" w:eastAsia="Times New Roman" w:hint="default"/>
          <w:spacing w:val="-21"/>
          <w:w w:val="100"/>
          <w:sz w:val="22"/>
          <w:szCs w:val="22"/>
        </w:rPr>
        <w:t>20%</w:t>
      </w:r>
      <w:r>
        <w:rPr>
          <w:rFonts w:ascii="宋体" w:hAnsi="宋体" w:cs="宋体" w:eastAsia="宋体" w:hint="default"/>
          <w:spacing w:val="-21"/>
          <w:w w:val="100"/>
          <w:sz w:val="22"/>
          <w:szCs w:val="22"/>
        </w:rPr>
        <w:t>（含）以上但低于</w:t>
      </w:r>
      <w:r>
        <w:rPr>
          <w:rFonts w:ascii="宋体" w:hAnsi="宋体" w:cs="宋体" w:eastAsia="宋体" w:hint="default"/>
          <w:spacing w:val="-54"/>
          <w:w w:val="100"/>
          <w:sz w:val="22"/>
          <w:szCs w:val="22"/>
        </w:rPr>
        <w:t> </w:t>
      </w:r>
      <w:r>
        <w:rPr>
          <w:rFonts w:ascii="Times New Roman" w:hAnsi="Times New Roman" w:cs="Times New Roman" w:eastAsia="Times New Roman" w:hint="default"/>
          <w:spacing w:val="-1"/>
          <w:w w:val="100"/>
          <w:sz w:val="22"/>
          <w:szCs w:val="22"/>
        </w:rPr>
        <w:t>50%</w:t>
      </w:r>
      <w:r>
        <w:rPr>
          <w:rFonts w:ascii="宋体" w:hAnsi="宋体" w:cs="宋体" w:eastAsia="宋体" w:hint="default"/>
          <w:spacing w:val="-1"/>
          <w:w w:val="100"/>
          <w:sz w:val="22"/>
          <w:szCs w:val="22"/>
        </w:rPr>
        <w:t>的表决权时，</w:t>
      </w:r>
      <w:r>
        <w:rPr>
          <w:rFonts w:ascii="宋体" w:hAnsi="宋体" w:cs="宋体" w:eastAsia="宋体" w:hint="default"/>
          <w:w w:val="100"/>
          <w:sz w:val="22"/>
          <w:szCs w:val="22"/>
        </w:rPr>
        <w:t> </w:t>
      </w:r>
      <w:r>
        <w:rPr>
          <w:rFonts w:ascii="宋体" w:hAnsi="宋体" w:cs="宋体" w:eastAsia="宋体" w:hint="default"/>
          <w:spacing w:val="-3"/>
          <w:sz w:val="22"/>
          <w:szCs w:val="22"/>
        </w:rPr>
        <w:t>通常认为对被投资单位具有重大影响。持有被投资单位</w:t>
      </w:r>
      <w:r>
        <w:rPr>
          <w:rFonts w:ascii="宋体" w:hAnsi="宋体" w:cs="宋体" w:eastAsia="宋体" w:hint="default"/>
          <w:spacing w:val="-43"/>
          <w:sz w:val="22"/>
          <w:szCs w:val="22"/>
        </w:rPr>
        <w:t> </w:t>
      </w:r>
      <w:r>
        <w:rPr>
          <w:rFonts w:ascii="Times New Roman" w:hAnsi="Times New Roman" w:cs="Times New Roman" w:eastAsia="Times New Roman" w:hint="default"/>
          <w:spacing w:val="-4"/>
          <w:sz w:val="22"/>
          <w:szCs w:val="22"/>
        </w:rPr>
        <w:t>20%</w:t>
      </w:r>
      <w:r>
        <w:rPr>
          <w:rFonts w:ascii="宋体" w:hAnsi="宋体" w:cs="宋体" w:eastAsia="宋体" w:hint="default"/>
          <w:spacing w:val="-4"/>
          <w:sz w:val="22"/>
          <w:szCs w:val="22"/>
        </w:rPr>
        <w:t>以下表决权的，还需要综合考</w:t>
      </w:r>
      <w:r>
        <w:rPr>
          <w:rFonts w:ascii="宋体" w:hAnsi="宋体" w:cs="宋体" w:eastAsia="宋体" w:hint="default"/>
          <w:spacing w:val="-85"/>
          <w:sz w:val="22"/>
          <w:szCs w:val="22"/>
        </w:rPr>
        <w:t> </w:t>
      </w:r>
      <w:r>
        <w:rPr>
          <w:rFonts w:ascii="宋体" w:hAnsi="宋体" w:cs="宋体" w:eastAsia="宋体" w:hint="default"/>
          <w:spacing w:val="-85"/>
          <w:sz w:val="22"/>
          <w:szCs w:val="22"/>
        </w:rPr>
      </w:r>
      <w:r>
        <w:rPr>
          <w:rFonts w:ascii="宋体" w:hAnsi="宋体" w:cs="宋体" w:eastAsia="宋体" w:hint="default"/>
          <w:spacing w:val="-3"/>
          <w:sz w:val="22"/>
          <w:szCs w:val="22"/>
        </w:rPr>
        <w:t>虑在被投资单位的董事会或类似权力机构中派有代表、或参与被投资单位财务和经营政策</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制定过程、或与被投资单位之间发生重要交易、或向被投资单位派出管理人员、或向被投</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z w:val="22"/>
          <w:szCs w:val="22"/>
        </w:rPr>
        <w:t>资单位提供关键技术资料等事实和情况判断对被投资单位具有重大影响。</w:t>
      </w:r>
    </w:p>
    <w:p>
      <w:pPr>
        <w:spacing w:after="0" w:line="290" w:lineRule="auto"/>
        <w:jc w:val="left"/>
        <w:rPr>
          <w:rFonts w:ascii="宋体" w:hAnsi="宋体" w:cs="宋体" w:eastAsia="宋体" w:hint="default"/>
          <w:sz w:val="22"/>
          <w:szCs w:val="22"/>
        </w:rPr>
        <w:sectPr>
          <w:headerReference w:type="default" r:id="rId43"/>
          <w:footerReference w:type="default" r:id="rId44"/>
          <w:pgSz w:w="11910" w:h="16840"/>
          <w:pgMar w:header="0" w:footer="836" w:top="500" w:bottom="1020" w:left="1480" w:right="1360"/>
          <w:pgNumType w:start="94"/>
        </w:sectPr>
      </w:pPr>
    </w:p>
    <w:p>
      <w:pPr>
        <w:spacing w:line="240" w:lineRule="auto" w:before="6"/>
        <w:rPr>
          <w:rFonts w:ascii="宋体" w:hAnsi="宋体" w:cs="宋体" w:eastAsia="宋体" w:hint="default"/>
          <w:sz w:val="5"/>
          <w:szCs w:val="5"/>
        </w:rPr>
      </w:pPr>
    </w:p>
    <w:p>
      <w:pPr>
        <w:spacing w:line="417" w:lineRule="exact"/>
        <w:ind w:left="105" w:right="0" w:firstLine="0"/>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861822" cy="265175"/>
            <wp:effectExtent l="0" t="0" r="0" b="0"/>
            <wp:docPr id="21" name="image1.jpeg" descr=""/>
            <wp:cNvGraphicFramePr>
              <a:graphicFrameLocks noChangeAspect="1"/>
            </wp:cNvGraphicFramePr>
            <a:graphic>
              <a:graphicData uri="http://schemas.openxmlformats.org/drawingml/2006/picture">
                <pic:pic>
                  <pic:nvPicPr>
                    <pic:cNvPr id="22" name="image1.jpeg"/>
                    <pic:cNvPicPr/>
                  </pic:nvPicPr>
                  <pic:blipFill>
                    <a:blip r:embed="rId35" cstate="print"/>
                    <a:stretch>
                      <a:fillRect/>
                    </a:stretch>
                  </pic:blipFill>
                  <pic:spPr>
                    <a:xfrm>
                      <a:off x="0" y="0"/>
                      <a:ext cx="861822" cy="265175"/>
                    </a:xfrm>
                    <a:prstGeom prst="rect">
                      <a:avLst/>
                    </a:prstGeom>
                  </pic:spPr>
                </pic:pic>
              </a:graphicData>
            </a:graphic>
          </wp:inline>
        </w:drawing>
      </w:r>
      <w:r>
        <w:rPr>
          <w:rFonts w:ascii="宋体" w:hAnsi="宋体" w:cs="宋体" w:eastAsia="宋体" w:hint="default"/>
          <w:position w:val="-7"/>
          <w:sz w:val="20"/>
          <w:szCs w:val="20"/>
        </w:rPr>
      </w:r>
    </w:p>
    <w:p>
      <w:pPr>
        <w:spacing w:line="240" w:lineRule="auto" w:before="10"/>
        <w:rPr>
          <w:rFonts w:ascii="宋体" w:hAnsi="宋体" w:cs="宋体" w:eastAsia="宋体" w:hint="default"/>
          <w:sz w:val="5"/>
          <w:szCs w:val="5"/>
        </w:rPr>
      </w:pPr>
    </w:p>
    <w:p>
      <w:pPr>
        <w:spacing w:line="20" w:lineRule="exact"/>
        <w:ind w:left="166"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21"/>
          <w:szCs w:val="21"/>
        </w:rPr>
      </w:pPr>
    </w:p>
    <w:p>
      <w:pPr>
        <w:spacing w:line="297" w:lineRule="auto" w:before="32"/>
        <w:ind w:left="202" w:right="217" w:firstLine="439"/>
        <w:jc w:val="both"/>
        <w:rPr>
          <w:rFonts w:ascii="宋体" w:hAnsi="宋体" w:cs="宋体" w:eastAsia="宋体" w:hint="default"/>
          <w:sz w:val="22"/>
          <w:szCs w:val="22"/>
        </w:rPr>
      </w:pPr>
      <w:r>
        <w:rPr>
          <w:rFonts w:ascii="宋体" w:hAnsi="宋体" w:cs="宋体" w:eastAsia="宋体" w:hint="default"/>
          <w:spacing w:val="-3"/>
          <w:sz w:val="22"/>
          <w:szCs w:val="22"/>
        </w:rPr>
        <w:t>对被投资单位形成控制的，为本公司的子公司。通过同一控制下的企业合并取得的长</w:t>
      </w:r>
      <w:r>
        <w:rPr>
          <w:rFonts w:ascii="宋体" w:hAnsi="宋体" w:cs="宋体" w:eastAsia="宋体" w:hint="default"/>
          <w:w w:val="100"/>
          <w:sz w:val="22"/>
          <w:szCs w:val="22"/>
        </w:rPr>
        <w:t> </w:t>
      </w:r>
      <w:r>
        <w:rPr>
          <w:rFonts w:ascii="宋体" w:hAnsi="宋体" w:cs="宋体" w:eastAsia="宋体" w:hint="default"/>
          <w:spacing w:val="-3"/>
          <w:sz w:val="22"/>
          <w:szCs w:val="22"/>
        </w:rPr>
        <w:t>期股权投资，在合并日按照取得被合并方在最终控制方合并报表中净资产的账面价值的份</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额作为长期股权投资的初始投资成本。被合并方在合并日的净资产账面价值为负数的，长</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期股权投资成本按零确定。</w:t>
      </w:r>
    </w:p>
    <w:p>
      <w:pPr>
        <w:spacing w:line="297" w:lineRule="auto" w:before="77"/>
        <w:ind w:left="202" w:right="94" w:firstLine="439"/>
        <w:jc w:val="left"/>
        <w:rPr>
          <w:rFonts w:ascii="宋体" w:hAnsi="宋体" w:cs="宋体" w:eastAsia="宋体" w:hint="default"/>
          <w:sz w:val="22"/>
          <w:szCs w:val="22"/>
        </w:rPr>
      </w:pPr>
      <w:r>
        <w:rPr>
          <w:rFonts w:ascii="宋体" w:hAnsi="宋体" w:cs="宋体" w:eastAsia="宋体" w:hint="default"/>
          <w:spacing w:val="-3"/>
          <w:sz w:val="22"/>
          <w:szCs w:val="22"/>
        </w:rPr>
        <w:t>通过多次交易分步取得同一控制下被投资单位的股权，最终形成企业合并，属于一揽</w:t>
      </w:r>
      <w:r>
        <w:rPr>
          <w:rFonts w:ascii="宋体" w:hAnsi="宋体" w:cs="宋体" w:eastAsia="宋体" w:hint="default"/>
          <w:w w:val="100"/>
          <w:sz w:val="22"/>
          <w:szCs w:val="22"/>
        </w:rPr>
        <w:t> </w:t>
      </w:r>
      <w:r>
        <w:rPr>
          <w:rFonts w:ascii="宋体" w:hAnsi="宋体" w:cs="宋体" w:eastAsia="宋体" w:hint="default"/>
          <w:spacing w:val="-3"/>
          <w:sz w:val="22"/>
          <w:szCs w:val="22"/>
        </w:rPr>
        <w:t>子交易的，本公司将各项交易作为一项取得控制权的交易进行会计处理。不属于一揽子交</w:t>
      </w:r>
      <w:r>
        <w:rPr>
          <w:rFonts w:ascii="宋体" w:hAnsi="宋体" w:cs="宋体" w:eastAsia="宋体" w:hint="default"/>
          <w:spacing w:val="-72"/>
          <w:sz w:val="22"/>
          <w:szCs w:val="22"/>
        </w:rPr>
        <w:t> </w:t>
      </w:r>
      <w:r>
        <w:rPr>
          <w:rFonts w:ascii="宋体" w:hAnsi="宋体" w:cs="宋体" w:eastAsia="宋体" w:hint="default"/>
          <w:spacing w:val="-72"/>
          <w:sz w:val="22"/>
          <w:szCs w:val="22"/>
        </w:rPr>
      </w:r>
      <w:r>
        <w:rPr>
          <w:rFonts w:ascii="宋体" w:hAnsi="宋体" w:cs="宋体" w:eastAsia="宋体" w:hint="default"/>
          <w:spacing w:val="-3"/>
          <w:sz w:val="22"/>
          <w:szCs w:val="22"/>
        </w:rPr>
        <w:t>易的，在合并日，根据合并后享有被合并方净资产在最终控制方合并财务报表中的账面价</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值的份额作为长期股权投资的初始投资成本。初始投资成本与达到合并前的长期股权投资</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账面价值加上合并日进一步取得股份新支付对价的账面价值之和的差额，调整资本公积，</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资本公积不足冲减的，调整留存收益。</w:t>
      </w:r>
    </w:p>
    <w:p>
      <w:pPr>
        <w:spacing w:line="348" w:lineRule="auto" w:before="74"/>
        <w:ind w:left="641" w:right="94" w:firstLine="0"/>
        <w:jc w:val="left"/>
        <w:rPr>
          <w:rFonts w:ascii="宋体" w:hAnsi="宋体" w:cs="宋体" w:eastAsia="宋体" w:hint="default"/>
          <w:sz w:val="22"/>
          <w:szCs w:val="22"/>
        </w:rPr>
      </w:pPr>
      <w:r>
        <w:rPr>
          <w:rFonts w:ascii="宋体" w:hAnsi="宋体" w:cs="宋体" w:eastAsia="宋体" w:hint="default"/>
          <w:sz w:val="22"/>
          <w:szCs w:val="22"/>
        </w:rPr>
        <w:t>通过非同一控制下的企业合并取得的长期股权投资，以合并成本作为初始投资成本。</w:t>
      </w:r>
      <w:r>
        <w:rPr>
          <w:rFonts w:ascii="宋体" w:hAnsi="宋体" w:cs="宋体" w:eastAsia="宋体" w:hint="default"/>
          <w:spacing w:val="-79"/>
          <w:sz w:val="22"/>
          <w:szCs w:val="22"/>
        </w:rPr>
        <w:t> </w:t>
      </w:r>
      <w:r>
        <w:rPr>
          <w:rFonts w:ascii="宋体" w:hAnsi="宋体" w:cs="宋体" w:eastAsia="宋体" w:hint="default"/>
          <w:spacing w:val="-79"/>
          <w:sz w:val="22"/>
          <w:szCs w:val="22"/>
        </w:rPr>
      </w:r>
      <w:r>
        <w:rPr>
          <w:rFonts w:ascii="宋体" w:hAnsi="宋体" w:cs="宋体" w:eastAsia="宋体" w:hint="default"/>
          <w:spacing w:val="-3"/>
          <w:sz w:val="22"/>
          <w:szCs w:val="22"/>
        </w:rPr>
        <w:t>通过多次交易分步取得非同一控制下被投资单位的股权，最终形成企业合并，属于一</w:t>
      </w:r>
    </w:p>
    <w:p>
      <w:pPr>
        <w:spacing w:line="259" w:lineRule="exact" w:before="0"/>
        <w:ind w:left="202" w:right="0" w:firstLine="0"/>
        <w:jc w:val="both"/>
        <w:rPr>
          <w:rFonts w:ascii="宋体" w:hAnsi="宋体" w:cs="宋体" w:eastAsia="宋体" w:hint="default"/>
          <w:sz w:val="22"/>
          <w:szCs w:val="22"/>
        </w:rPr>
      </w:pPr>
      <w:r>
        <w:rPr>
          <w:rFonts w:ascii="宋体" w:hAnsi="宋体" w:cs="宋体" w:eastAsia="宋体" w:hint="default"/>
          <w:spacing w:val="-3"/>
          <w:sz w:val="22"/>
          <w:szCs w:val="22"/>
        </w:rPr>
        <w:t>揽子交易的，本公司将各项交易作为一项取得控制权的交易进行会计处理。不属于一揽子</w:t>
      </w:r>
    </w:p>
    <w:p>
      <w:pPr>
        <w:spacing w:line="297" w:lineRule="auto" w:before="67"/>
        <w:ind w:left="202" w:right="217" w:firstLine="0"/>
        <w:jc w:val="both"/>
        <w:rPr>
          <w:rFonts w:ascii="宋体" w:hAnsi="宋体" w:cs="宋体" w:eastAsia="宋体" w:hint="default"/>
          <w:sz w:val="22"/>
          <w:szCs w:val="22"/>
        </w:rPr>
      </w:pPr>
      <w:r>
        <w:rPr>
          <w:rFonts w:ascii="宋体" w:hAnsi="宋体" w:cs="宋体" w:eastAsia="宋体" w:hint="default"/>
          <w:spacing w:val="-3"/>
          <w:sz w:val="22"/>
          <w:szCs w:val="22"/>
        </w:rPr>
        <w:t>交易的，按照原持有的股权投资账面价值加上新增投资成本之和，作为改按成本法核算的</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初始投资成本。购买日之前持有的股权采用权益法核算的，原权益法核算的相关其他综合</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收益暂不做调整，在处置该项投资时采用与被投资单位直接处置相关资产或负债相同的基</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础进行会计处理。购买日之前持有的股权在可供出售金融资产中采用公允价值核算的，原</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计入其他综合收益的累计公允价值变动在合并日转入当期投资损益。</w:t>
      </w:r>
    </w:p>
    <w:p>
      <w:pPr>
        <w:spacing w:line="297" w:lineRule="auto" w:before="74"/>
        <w:ind w:left="202" w:right="216" w:firstLine="439"/>
        <w:jc w:val="both"/>
        <w:rPr>
          <w:rFonts w:ascii="宋体" w:hAnsi="宋体" w:cs="宋体" w:eastAsia="宋体" w:hint="default"/>
          <w:sz w:val="22"/>
          <w:szCs w:val="22"/>
        </w:rPr>
      </w:pPr>
      <w:r>
        <w:rPr>
          <w:rFonts w:ascii="宋体" w:hAnsi="宋体" w:cs="宋体" w:eastAsia="宋体" w:hint="default"/>
          <w:spacing w:val="-3"/>
          <w:sz w:val="22"/>
          <w:szCs w:val="22"/>
        </w:rPr>
        <w:t>除上述通过企业合并取得的长期股权投资外，以支付现金取得的长期股权投资，按照</w:t>
      </w:r>
      <w:r>
        <w:rPr>
          <w:rFonts w:ascii="宋体" w:hAnsi="宋体" w:cs="宋体" w:eastAsia="宋体" w:hint="default"/>
          <w:w w:val="100"/>
          <w:sz w:val="22"/>
          <w:szCs w:val="22"/>
        </w:rPr>
        <w:t> </w:t>
      </w:r>
      <w:r>
        <w:rPr>
          <w:rFonts w:ascii="宋体" w:hAnsi="宋体" w:cs="宋体" w:eastAsia="宋体" w:hint="default"/>
          <w:spacing w:val="-3"/>
          <w:sz w:val="22"/>
          <w:szCs w:val="22"/>
        </w:rPr>
        <w:t>实际支付的购买价款作为投资成本；以发行权益性证券取得的长期股权投资，按照发行权</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益性证券的公允价值作为投资成本；通过非货币性资产交换取得的长期股权投资，其初始</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投资成本按照《企业会计准则第 </w:t>
      </w:r>
      <w:r>
        <w:rPr>
          <w:rFonts w:ascii="Times New Roman" w:hAnsi="Times New Roman" w:cs="Times New Roman" w:eastAsia="Times New Roman" w:hint="default"/>
          <w:sz w:val="22"/>
          <w:szCs w:val="22"/>
        </w:rPr>
        <w:t>7</w:t>
      </w:r>
      <w:r>
        <w:rPr>
          <w:rFonts w:ascii="Times New Roman" w:hAnsi="Times New Roman" w:cs="Times New Roman" w:eastAsia="Times New Roman" w:hint="default"/>
          <w:spacing w:val="2"/>
          <w:sz w:val="22"/>
          <w:szCs w:val="22"/>
        </w:rPr>
        <w:t> </w:t>
      </w:r>
      <w:r>
        <w:rPr>
          <w:rFonts w:ascii="宋体" w:hAnsi="宋体" w:cs="宋体" w:eastAsia="宋体" w:hint="default"/>
          <w:spacing w:val="-4"/>
          <w:sz w:val="22"/>
          <w:szCs w:val="22"/>
        </w:rPr>
        <w:t>号</w:t>
      </w:r>
      <w:r>
        <w:rPr>
          <w:rFonts w:ascii="Times New Roman" w:hAnsi="Times New Roman" w:cs="Times New Roman" w:eastAsia="Times New Roman" w:hint="default"/>
          <w:spacing w:val="-4"/>
          <w:sz w:val="22"/>
          <w:szCs w:val="22"/>
        </w:rPr>
        <w:t>——</w:t>
      </w:r>
      <w:r>
        <w:rPr>
          <w:rFonts w:ascii="宋体" w:hAnsi="宋体" w:cs="宋体" w:eastAsia="宋体" w:hint="default"/>
          <w:spacing w:val="-4"/>
          <w:sz w:val="22"/>
          <w:szCs w:val="22"/>
        </w:rPr>
        <w:t>非货币性资产交换》的有关规定确定；通过债务</w:t>
      </w:r>
    </w:p>
    <w:p>
      <w:pPr>
        <w:spacing w:line="280" w:lineRule="auto" w:before="0"/>
        <w:ind w:left="202" w:right="215" w:firstLine="0"/>
        <w:jc w:val="both"/>
        <w:rPr>
          <w:rFonts w:ascii="宋体" w:hAnsi="宋体" w:cs="宋体" w:eastAsia="宋体" w:hint="default"/>
          <w:sz w:val="22"/>
          <w:szCs w:val="22"/>
        </w:rPr>
      </w:pPr>
      <w:r>
        <w:rPr>
          <w:rFonts w:ascii="宋体" w:hAnsi="宋体" w:cs="宋体" w:eastAsia="宋体" w:hint="default"/>
          <w:sz w:val="22"/>
          <w:szCs w:val="22"/>
        </w:rPr>
        <w:t>重组取得的长期股权投资，其初始投资成本按照《企业会计准则第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24"/>
          <w:sz w:val="22"/>
          <w:szCs w:val="22"/>
        </w:rPr>
        <w:t> </w:t>
      </w:r>
      <w:r>
        <w:rPr>
          <w:rFonts w:ascii="宋体" w:hAnsi="宋体" w:cs="宋体" w:eastAsia="宋体" w:hint="default"/>
          <w:sz w:val="22"/>
          <w:szCs w:val="22"/>
        </w:rPr>
        <w:t>号</w:t>
      </w:r>
      <w:r>
        <w:rPr>
          <w:rFonts w:ascii="Times New Roman" w:hAnsi="Times New Roman" w:cs="Times New Roman" w:eastAsia="Times New Roman" w:hint="default"/>
          <w:sz w:val="22"/>
          <w:szCs w:val="22"/>
        </w:rPr>
        <w:t>——</w:t>
      </w:r>
      <w:r>
        <w:rPr>
          <w:rFonts w:ascii="宋体" w:hAnsi="宋体" w:cs="宋体" w:eastAsia="宋体" w:hint="default"/>
          <w:sz w:val="22"/>
          <w:szCs w:val="22"/>
        </w:rPr>
        <w:t>债务重组》</w:t>
      </w:r>
      <w:r>
        <w:rPr>
          <w:rFonts w:ascii="宋体" w:hAnsi="宋体" w:cs="宋体" w:eastAsia="宋体" w:hint="default"/>
          <w:w w:val="100"/>
          <w:sz w:val="22"/>
          <w:szCs w:val="22"/>
        </w:rPr>
        <w:t> </w:t>
      </w:r>
      <w:r>
        <w:rPr>
          <w:rFonts w:ascii="宋体" w:hAnsi="宋体" w:cs="宋体" w:eastAsia="宋体" w:hint="default"/>
          <w:sz w:val="22"/>
          <w:szCs w:val="22"/>
        </w:rPr>
        <w:t>的有关规定确定。</w:t>
      </w:r>
    </w:p>
    <w:p>
      <w:pPr>
        <w:spacing w:line="345" w:lineRule="auto" w:before="92"/>
        <w:ind w:left="641" w:right="94" w:firstLine="0"/>
        <w:jc w:val="left"/>
        <w:rPr>
          <w:rFonts w:ascii="宋体" w:hAnsi="宋体" w:cs="宋体" w:eastAsia="宋体" w:hint="default"/>
          <w:sz w:val="22"/>
          <w:szCs w:val="22"/>
        </w:rPr>
      </w:pPr>
      <w:r>
        <w:rPr>
          <w:rFonts w:ascii="宋体" w:hAnsi="宋体" w:cs="宋体" w:eastAsia="宋体" w:hint="default"/>
          <w:sz w:val="22"/>
          <w:szCs w:val="22"/>
        </w:rPr>
        <w:t>本公司对子公司投资采用成本法核算，对合营企业及联营企业投资采用权益法核算。</w:t>
      </w:r>
      <w:r>
        <w:rPr>
          <w:rFonts w:ascii="宋体" w:hAnsi="宋体" w:cs="宋体" w:eastAsia="宋体" w:hint="default"/>
          <w:spacing w:val="-79"/>
          <w:sz w:val="22"/>
          <w:szCs w:val="22"/>
        </w:rPr>
        <w:t> </w:t>
      </w:r>
      <w:r>
        <w:rPr>
          <w:rFonts w:ascii="宋体" w:hAnsi="宋体" w:cs="宋体" w:eastAsia="宋体" w:hint="default"/>
          <w:spacing w:val="-79"/>
          <w:sz w:val="22"/>
          <w:szCs w:val="22"/>
        </w:rPr>
      </w:r>
      <w:r>
        <w:rPr>
          <w:rFonts w:ascii="宋体" w:hAnsi="宋体" w:cs="宋体" w:eastAsia="宋体" w:hint="default"/>
          <w:spacing w:val="-3"/>
          <w:sz w:val="22"/>
          <w:szCs w:val="22"/>
        </w:rPr>
        <w:t>后续计量采用成本法核算的长期股权投资，在追加或收回投资时调整长期股权投资的</w:t>
      </w:r>
    </w:p>
    <w:p>
      <w:pPr>
        <w:spacing w:line="261" w:lineRule="exact" w:before="0"/>
        <w:ind w:left="202" w:right="0" w:firstLine="0"/>
        <w:jc w:val="both"/>
        <w:rPr>
          <w:rFonts w:ascii="宋体" w:hAnsi="宋体" w:cs="宋体" w:eastAsia="宋体" w:hint="default"/>
          <w:sz w:val="22"/>
          <w:szCs w:val="22"/>
        </w:rPr>
      </w:pPr>
      <w:r>
        <w:rPr>
          <w:rFonts w:ascii="宋体" w:hAnsi="宋体" w:cs="宋体" w:eastAsia="宋体" w:hint="default"/>
          <w:sz w:val="22"/>
          <w:szCs w:val="22"/>
        </w:rPr>
        <w:t>成本。被投资单位宣告分派的现金股利或利润，应当确认为当期投资收益。</w:t>
      </w:r>
    </w:p>
    <w:p>
      <w:pPr>
        <w:spacing w:line="297" w:lineRule="auto" w:before="129"/>
        <w:ind w:left="202" w:right="94" w:firstLine="439"/>
        <w:jc w:val="left"/>
        <w:rPr>
          <w:rFonts w:ascii="宋体" w:hAnsi="宋体" w:cs="宋体" w:eastAsia="宋体" w:hint="default"/>
          <w:sz w:val="22"/>
          <w:szCs w:val="22"/>
        </w:rPr>
      </w:pPr>
      <w:r>
        <w:rPr>
          <w:rFonts w:ascii="宋体" w:hAnsi="宋体" w:cs="宋体" w:eastAsia="宋体" w:hint="default"/>
          <w:spacing w:val="-3"/>
          <w:sz w:val="22"/>
          <w:szCs w:val="22"/>
        </w:rPr>
        <w:t>后续计量采用权益法核算的长期股权投资，随着被投资单位所有者权益的变动相应调</w:t>
      </w:r>
      <w:r>
        <w:rPr>
          <w:rFonts w:ascii="宋体" w:hAnsi="宋体" w:cs="宋体" w:eastAsia="宋体" w:hint="default"/>
          <w:w w:val="100"/>
          <w:sz w:val="22"/>
          <w:szCs w:val="22"/>
        </w:rPr>
        <w:t> </w:t>
      </w:r>
      <w:r>
        <w:rPr>
          <w:rFonts w:ascii="宋体" w:hAnsi="宋体" w:cs="宋体" w:eastAsia="宋体" w:hint="default"/>
          <w:sz w:val="22"/>
          <w:szCs w:val="22"/>
        </w:rPr>
        <w:t>整增加或减少长期股权投资的账面价值。其中在确认应享有被投资单位净损益的份额时，</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以取得投资时被投资单位各项可辨认净资产的公允价值为基础，按照本公司的会计政策及</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会计期间，并抵销与联营企业及合营企业之间发生的内部交易损益按照持股比例计算归属</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于本公司的部分，对被投资单位的净利润进行调整后确认。</w:t>
      </w:r>
    </w:p>
    <w:p>
      <w:pPr>
        <w:spacing w:line="297" w:lineRule="auto" w:before="77"/>
        <w:ind w:left="202" w:right="216" w:firstLine="439"/>
        <w:jc w:val="both"/>
        <w:rPr>
          <w:rFonts w:ascii="宋体" w:hAnsi="宋体" w:cs="宋体" w:eastAsia="宋体" w:hint="default"/>
          <w:sz w:val="22"/>
          <w:szCs w:val="22"/>
        </w:rPr>
      </w:pPr>
      <w:r>
        <w:rPr>
          <w:rFonts w:ascii="宋体" w:hAnsi="宋体" w:cs="宋体" w:eastAsia="宋体" w:hint="default"/>
          <w:spacing w:val="-3"/>
          <w:sz w:val="22"/>
          <w:szCs w:val="22"/>
        </w:rPr>
        <w:t>处置长期股权投资，其账面价值与实际取得价款的差额，计入当期投资收益。采用权</w:t>
      </w:r>
      <w:r>
        <w:rPr>
          <w:rFonts w:ascii="宋体" w:hAnsi="宋体" w:cs="宋体" w:eastAsia="宋体" w:hint="default"/>
          <w:w w:val="100"/>
          <w:sz w:val="22"/>
          <w:szCs w:val="22"/>
        </w:rPr>
        <w:t> </w:t>
      </w:r>
      <w:r>
        <w:rPr>
          <w:rFonts w:ascii="宋体" w:hAnsi="宋体" w:cs="宋体" w:eastAsia="宋体" w:hint="default"/>
          <w:spacing w:val="-3"/>
          <w:sz w:val="22"/>
          <w:szCs w:val="22"/>
        </w:rPr>
        <w:t>益法核算的长期股权投资，因被投资单位除净损益以外所有者权益的其他变动而计入所有</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者权益的，处置该项投资时将原计入所有者权益的部分按相应比例转入当期投资损益。</w:t>
      </w:r>
    </w:p>
    <w:p>
      <w:pPr>
        <w:spacing w:line="297" w:lineRule="auto" w:before="74"/>
        <w:ind w:left="202" w:right="217" w:firstLine="439"/>
        <w:jc w:val="both"/>
        <w:rPr>
          <w:rFonts w:ascii="宋体" w:hAnsi="宋体" w:cs="宋体" w:eastAsia="宋体" w:hint="default"/>
          <w:sz w:val="22"/>
          <w:szCs w:val="22"/>
        </w:rPr>
      </w:pPr>
      <w:r>
        <w:rPr>
          <w:rFonts w:ascii="宋体" w:hAnsi="宋体" w:cs="宋体" w:eastAsia="宋体" w:hint="default"/>
          <w:spacing w:val="-3"/>
          <w:sz w:val="22"/>
          <w:szCs w:val="22"/>
        </w:rPr>
        <w:t>因处置部分股权投资等原因丧失了对被投资单位的共同控制或重大影响的，处置后的</w:t>
      </w:r>
      <w:r>
        <w:rPr>
          <w:rFonts w:ascii="宋体" w:hAnsi="宋体" w:cs="宋体" w:eastAsia="宋体" w:hint="default"/>
          <w:w w:val="100"/>
          <w:sz w:val="22"/>
          <w:szCs w:val="22"/>
        </w:rPr>
        <w:t> </w:t>
      </w:r>
      <w:r>
        <w:rPr>
          <w:rFonts w:ascii="宋体" w:hAnsi="宋体" w:cs="宋体" w:eastAsia="宋体" w:hint="default"/>
          <w:spacing w:val="-3"/>
          <w:sz w:val="22"/>
          <w:szCs w:val="22"/>
        </w:rPr>
        <w:t>剩余股权改按可供出售金融资产核算，剩余股权在丧失共同控制或重大影响之日的公允价</w:t>
      </w:r>
    </w:p>
    <w:p>
      <w:pPr>
        <w:spacing w:after="0" w:line="297" w:lineRule="auto"/>
        <w:jc w:val="both"/>
        <w:rPr>
          <w:rFonts w:ascii="宋体" w:hAnsi="宋体" w:cs="宋体" w:eastAsia="宋体" w:hint="default"/>
          <w:sz w:val="22"/>
          <w:szCs w:val="22"/>
        </w:rPr>
        <w:sectPr>
          <w:headerReference w:type="default" r:id="rId45"/>
          <w:footerReference w:type="default" r:id="rId46"/>
          <w:pgSz w:w="11910" w:h="16840"/>
          <w:pgMar w:header="0" w:footer="836" w:top="500" w:bottom="1020" w:left="1500" w:right="1480"/>
          <w:pgNumType w:start="95"/>
        </w:sectPr>
      </w:pPr>
    </w:p>
    <w:p>
      <w:pPr>
        <w:spacing w:line="240" w:lineRule="auto" w:before="6"/>
        <w:rPr>
          <w:rFonts w:ascii="宋体" w:hAnsi="宋体" w:cs="宋体" w:eastAsia="宋体" w:hint="default"/>
          <w:sz w:val="5"/>
          <w:szCs w:val="5"/>
        </w:rPr>
      </w:pPr>
    </w:p>
    <w:p>
      <w:pPr>
        <w:spacing w:line="417" w:lineRule="exact"/>
        <w:ind w:left="125" w:right="0" w:firstLine="0"/>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861822" cy="265175"/>
            <wp:effectExtent l="0" t="0" r="0" b="0"/>
            <wp:docPr id="23" name="image1.jpeg" descr=""/>
            <wp:cNvGraphicFramePr>
              <a:graphicFrameLocks noChangeAspect="1"/>
            </wp:cNvGraphicFramePr>
            <a:graphic>
              <a:graphicData uri="http://schemas.openxmlformats.org/drawingml/2006/picture">
                <pic:pic>
                  <pic:nvPicPr>
                    <pic:cNvPr id="24" name="image1.jpeg"/>
                    <pic:cNvPicPr/>
                  </pic:nvPicPr>
                  <pic:blipFill>
                    <a:blip r:embed="rId35" cstate="print"/>
                    <a:stretch>
                      <a:fillRect/>
                    </a:stretch>
                  </pic:blipFill>
                  <pic:spPr>
                    <a:xfrm>
                      <a:off x="0" y="0"/>
                      <a:ext cx="861822" cy="265175"/>
                    </a:xfrm>
                    <a:prstGeom prst="rect">
                      <a:avLst/>
                    </a:prstGeom>
                  </pic:spPr>
                </pic:pic>
              </a:graphicData>
            </a:graphic>
          </wp:inline>
        </w:drawing>
      </w:r>
      <w:r>
        <w:rPr>
          <w:rFonts w:ascii="宋体" w:hAnsi="宋体" w:cs="宋体" w:eastAsia="宋体" w:hint="default"/>
          <w:position w:val="-7"/>
          <w:sz w:val="20"/>
          <w:szCs w:val="20"/>
        </w:rPr>
      </w:r>
    </w:p>
    <w:p>
      <w:pPr>
        <w:spacing w:line="240" w:lineRule="auto" w:before="10"/>
        <w:rPr>
          <w:rFonts w:ascii="宋体" w:hAnsi="宋体" w:cs="宋体" w:eastAsia="宋体" w:hint="default"/>
          <w:sz w:val="5"/>
          <w:szCs w:val="5"/>
        </w:rPr>
      </w:pPr>
    </w:p>
    <w:p>
      <w:pPr>
        <w:spacing w:line="20" w:lineRule="exact"/>
        <w:ind w:left="186"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21"/>
          <w:szCs w:val="21"/>
        </w:rPr>
      </w:pPr>
    </w:p>
    <w:p>
      <w:pPr>
        <w:spacing w:line="297" w:lineRule="auto" w:before="32"/>
        <w:ind w:left="222" w:right="217" w:firstLine="0"/>
        <w:jc w:val="both"/>
        <w:rPr>
          <w:rFonts w:ascii="宋体" w:hAnsi="宋体" w:cs="宋体" w:eastAsia="宋体" w:hint="default"/>
          <w:sz w:val="22"/>
          <w:szCs w:val="22"/>
        </w:rPr>
      </w:pPr>
      <w:r>
        <w:rPr>
          <w:rFonts w:ascii="宋体" w:hAnsi="宋体" w:cs="宋体" w:eastAsia="宋体" w:hint="default"/>
          <w:spacing w:val="-3"/>
          <w:sz w:val="22"/>
          <w:szCs w:val="22"/>
        </w:rPr>
        <w:t>值与账面价值之间的差额计入当期损益。原股权投资因采用权益法核算而确认的其他综合</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收益，在终止采用权益法核算时采用与被投资单位直接处置相关资产或负债相同的基础进</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行会计处理。</w:t>
      </w:r>
    </w:p>
    <w:p>
      <w:pPr>
        <w:spacing w:line="297" w:lineRule="auto" w:before="74"/>
        <w:ind w:left="222" w:right="217" w:firstLine="439"/>
        <w:jc w:val="both"/>
        <w:rPr>
          <w:rFonts w:ascii="宋体" w:hAnsi="宋体" w:cs="宋体" w:eastAsia="宋体" w:hint="default"/>
          <w:sz w:val="22"/>
          <w:szCs w:val="22"/>
        </w:rPr>
      </w:pPr>
      <w:r>
        <w:rPr>
          <w:rFonts w:ascii="宋体" w:hAnsi="宋体" w:cs="宋体" w:eastAsia="宋体" w:hint="default"/>
          <w:spacing w:val="-3"/>
          <w:sz w:val="22"/>
          <w:szCs w:val="22"/>
        </w:rPr>
        <w:t>因处置部分长期股权投资丧失了对被投资单位控制的，处置后的剩余股权能够对被投</w:t>
      </w:r>
      <w:r>
        <w:rPr>
          <w:rFonts w:ascii="宋体" w:hAnsi="宋体" w:cs="宋体" w:eastAsia="宋体" w:hint="default"/>
          <w:w w:val="100"/>
          <w:sz w:val="22"/>
          <w:szCs w:val="22"/>
        </w:rPr>
        <w:t> </w:t>
      </w:r>
      <w:r>
        <w:rPr>
          <w:rFonts w:ascii="宋体" w:hAnsi="宋体" w:cs="宋体" w:eastAsia="宋体" w:hint="default"/>
          <w:spacing w:val="-3"/>
          <w:sz w:val="22"/>
          <w:szCs w:val="22"/>
        </w:rPr>
        <w:t>资单位实施共同控制或施加重大影响的，改按权益法核算，处置股权账面价值和处置对价</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的差额计入投资收益，并对该剩余股权视同自取得时即采用权益法核算进行调整；处置后</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的剩余股权不能对被投资单位实施共同控制或施加重大影响的，改按可供出售金融资产的</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有关规定进行会计处理，处置股权账面价值和处置对价的差额计入投资收益，剩余股权在</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丧失控制之日的公允价值与账面价值间的差额计入当期投资损益。</w:t>
      </w:r>
    </w:p>
    <w:p>
      <w:pPr>
        <w:spacing w:line="297" w:lineRule="auto" w:before="77"/>
        <w:ind w:left="222" w:right="217" w:firstLine="439"/>
        <w:jc w:val="both"/>
        <w:rPr>
          <w:rFonts w:ascii="宋体" w:hAnsi="宋体" w:cs="宋体" w:eastAsia="宋体" w:hint="default"/>
          <w:sz w:val="22"/>
          <w:szCs w:val="22"/>
        </w:rPr>
      </w:pPr>
      <w:r>
        <w:rPr>
          <w:rFonts w:ascii="宋体" w:hAnsi="宋体" w:cs="宋体" w:eastAsia="宋体" w:hint="default"/>
          <w:spacing w:val="-3"/>
          <w:sz w:val="22"/>
          <w:szCs w:val="22"/>
        </w:rPr>
        <w:t>本公司对于分步处置股权至丧失控股权的各项交易不属于一揽子交易的，对每一项交</w:t>
      </w:r>
      <w:r>
        <w:rPr>
          <w:rFonts w:ascii="宋体" w:hAnsi="宋体" w:cs="宋体" w:eastAsia="宋体" w:hint="default"/>
          <w:w w:val="100"/>
          <w:sz w:val="22"/>
          <w:szCs w:val="22"/>
        </w:rPr>
        <w:t> </w:t>
      </w:r>
      <w:r>
        <w:rPr>
          <w:rFonts w:ascii="宋体" w:hAnsi="宋体" w:cs="宋体" w:eastAsia="宋体" w:hint="default"/>
          <w:spacing w:val="-3"/>
          <w:sz w:val="22"/>
          <w:szCs w:val="22"/>
        </w:rPr>
        <w:t>易分别进行会计处理。属于一揽子交易的，将各项交易作为一项处置子公司并丧失控制权</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的交易进行会计处理，但是，在丧失控制权之前每一次交易处置价款与所处置的股权对应</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的长期股权投资账面价值之间的差额，确认为其他综合收益，到丧失控制权时再一并转入</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丧失控制权的当期损益。</w:t>
      </w:r>
    </w:p>
    <w:p>
      <w:pPr>
        <w:spacing w:line="326" w:lineRule="auto" w:before="77"/>
        <w:ind w:left="661" w:right="0"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18.</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固定资产</w:t>
      </w:r>
      <w:r>
        <w:rPr>
          <w:rFonts w:ascii="宋体" w:hAnsi="宋体" w:cs="宋体" w:eastAsia="宋体" w:hint="default"/>
          <w:w w:val="100"/>
          <w:sz w:val="22"/>
          <w:szCs w:val="22"/>
        </w:rPr>
        <w:t> </w:t>
      </w:r>
      <w:r>
        <w:rPr>
          <w:rFonts w:ascii="宋体" w:hAnsi="宋体" w:cs="宋体" w:eastAsia="宋体" w:hint="default"/>
          <w:spacing w:val="-3"/>
          <w:sz w:val="22"/>
          <w:szCs w:val="22"/>
        </w:rPr>
        <w:t>本公司固定资产是指同时具有以下特征，即为生产商品、提供劳务、出租（不包括出</w:t>
      </w:r>
    </w:p>
    <w:p>
      <w:pPr>
        <w:spacing w:line="348" w:lineRule="auto" w:before="0"/>
        <w:ind w:left="661" w:right="0" w:hanging="440"/>
        <w:jc w:val="left"/>
        <w:rPr>
          <w:rFonts w:ascii="宋体" w:hAnsi="宋体" w:cs="宋体" w:eastAsia="宋体" w:hint="default"/>
          <w:sz w:val="22"/>
          <w:szCs w:val="22"/>
        </w:rPr>
      </w:pPr>
      <w:r>
        <w:rPr>
          <w:rFonts w:ascii="宋体" w:hAnsi="宋体" w:cs="宋体" w:eastAsia="宋体" w:hint="default"/>
          <w:sz w:val="22"/>
          <w:szCs w:val="22"/>
        </w:rPr>
        <w:t>租的房屋建筑物）或经营管理而持有的，使用年限超过一年的有形资产。</w:t>
      </w:r>
      <w:r>
        <w:rPr>
          <w:rFonts w:ascii="宋体" w:hAnsi="宋体" w:cs="宋体" w:eastAsia="宋体" w:hint="default"/>
          <w:w w:val="100"/>
          <w:sz w:val="22"/>
          <w:szCs w:val="22"/>
        </w:rPr>
        <w:t> </w:t>
      </w:r>
      <w:r>
        <w:rPr>
          <w:rFonts w:ascii="宋体" w:hAnsi="宋体" w:cs="宋体" w:eastAsia="宋体" w:hint="default"/>
          <w:spacing w:val="-3"/>
          <w:sz w:val="22"/>
          <w:szCs w:val="22"/>
        </w:rPr>
        <w:t>固定资产包括房屋建筑物、通用设备、专用设备、运输设备及电子设备，按其取得时</w:t>
      </w:r>
    </w:p>
    <w:p>
      <w:pPr>
        <w:spacing w:line="256" w:lineRule="exact" w:before="0"/>
        <w:ind w:left="222" w:right="0" w:firstLine="0"/>
        <w:jc w:val="both"/>
        <w:rPr>
          <w:rFonts w:ascii="宋体" w:hAnsi="宋体" w:cs="宋体" w:eastAsia="宋体" w:hint="default"/>
          <w:sz w:val="22"/>
          <w:szCs w:val="22"/>
        </w:rPr>
      </w:pPr>
      <w:r>
        <w:rPr>
          <w:rFonts w:ascii="宋体" w:hAnsi="宋体" w:cs="宋体" w:eastAsia="宋体" w:hint="default"/>
          <w:w w:val="100"/>
          <w:sz w:val="22"/>
          <w:szCs w:val="22"/>
        </w:rPr>
        <w:t>的实际</w:t>
      </w:r>
      <w:r>
        <w:rPr>
          <w:rFonts w:ascii="宋体" w:hAnsi="宋体" w:cs="宋体" w:eastAsia="宋体" w:hint="default"/>
          <w:spacing w:val="-3"/>
          <w:w w:val="100"/>
          <w:sz w:val="22"/>
          <w:szCs w:val="22"/>
        </w:rPr>
        <w:t>成</w:t>
      </w:r>
      <w:r>
        <w:rPr>
          <w:rFonts w:ascii="宋体" w:hAnsi="宋体" w:cs="宋体" w:eastAsia="宋体" w:hint="default"/>
          <w:w w:val="100"/>
          <w:sz w:val="22"/>
          <w:szCs w:val="22"/>
        </w:rPr>
        <w:t>本作</w:t>
      </w:r>
      <w:r>
        <w:rPr>
          <w:rFonts w:ascii="宋体" w:hAnsi="宋体" w:cs="宋体" w:eastAsia="宋体" w:hint="default"/>
          <w:spacing w:val="-3"/>
          <w:w w:val="100"/>
          <w:sz w:val="22"/>
          <w:szCs w:val="22"/>
        </w:rPr>
        <w:t>为</w:t>
      </w:r>
      <w:r>
        <w:rPr>
          <w:rFonts w:ascii="宋体" w:hAnsi="宋体" w:cs="宋体" w:eastAsia="宋体" w:hint="default"/>
          <w:w w:val="100"/>
          <w:sz w:val="22"/>
          <w:szCs w:val="22"/>
        </w:rPr>
        <w:t>入账</w:t>
      </w:r>
      <w:r>
        <w:rPr>
          <w:rFonts w:ascii="宋体" w:hAnsi="宋体" w:cs="宋体" w:eastAsia="宋体" w:hint="default"/>
          <w:spacing w:val="-3"/>
          <w:w w:val="100"/>
          <w:sz w:val="22"/>
          <w:szCs w:val="22"/>
        </w:rPr>
        <w:t>价值</w:t>
      </w:r>
      <w:r>
        <w:rPr>
          <w:rFonts w:ascii="宋体" w:hAnsi="宋体" w:cs="宋体" w:eastAsia="宋体" w:hint="default"/>
          <w:spacing w:val="-99"/>
          <w:w w:val="100"/>
          <w:sz w:val="22"/>
          <w:szCs w:val="22"/>
        </w:rPr>
        <w:t>，</w:t>
      </w:r>
      <w:r>
        <w:rPr>
          <w:rFonts w:ascii="宋体" w:hAnsi="宋体" w:cs="宋体" w:eastAsia="宋体" w:hint="default"/>
          <w:w w:val="100"/>
          <w:sz w:val="22"/>
          <w:szCs w:val="22"/>
        </w:rPr>
        <w:t>其中</w:t>
      </w:r>
      <w:r>
        <w:rPr>
          <w:rFonts w:ascii="宋体" w:hAnsi="宋体" w:cs="宋体" w:eastAsia="宋体" w:hint="default"/>
          <w:spacing w:val="-98"/>
          <w:w w:val="100"/>
          <w:sz w:val="22"/>
          <w:szCs w:val="22"/>
        </w:rPr>
        <w:t>，</w:t>
      </w:r>
      <w:r>
        <w:rPr>
          <w:rFonts w:ascii="宋体" w:hAnsi="宋体" w:cs="宋体" w:eastAsia="宋体" w:hint="default"/>
          <w:w w:val="100"/>
          <w:sz w:val="22"/>
          <w:szCs w:val="22"/>
        </w:rPr>
        <w:t>外</w:t>
      </w:r>
      <w:r>
        <w:rPr>
          <w:rFonts w:ascii="宋体" w:hAnsi="宋体" w:cs="宋体" w:eastAsia="宋体" w:hint="default"/>
          <w:spacing w:val="-3"/>
          <w:w w:val="100"/>
          <w:sz w:val="22"/>
          <w:szCs w:val="22"/>
        </w:rPr>
        <w:t>购</w:t>
      </w:r>
      <w:r>
        <w:rPr>
          <w:rFonts w:ascii="宋体" w:hAnsi="宋体" w:cs="宋体" w:eastAsia="宋体" w:hint="default"/>
          <w:w w:val="100"/>
          <w:sz w:val="22"/>
          <w:szCs w:val="22"/>
        </w:rPr>
        <w:t>的固</w:t>
      </w:r>
      <w:r>
        <w:rPr>
          <w:rFonts w:ascii="宋体" w:hAnsi="宋体" w:cs="宋体" w:eastAsia="宋体" w:hint="default"/>
          <w:spacing w:val="-3"/>
          <w:w w:val="100"/>
          <w:sz w:val="22"/>
          <w:szCs w:val="22"/>
        </w:rPr>
        <w:t>定</w:t>
      </w:r>
      <w:r>
        <w:rPr>
          <w:rFonts w:ascii="宋体" w:hAnsi="宋体" w:cs="宋体" w:eastAsia="宋体" w:hint="default"/>
          <w:w w:val="100"/>
          <w:sz w:val="22"/>
          <w:szCs w:val="22"/>
        </w:rPr>
        <w:t>资产</w:t>
      </w:r>
      <w:r>
        <w:rPr>
          <w:rFonts w:ascii="宋体" w:hAnsi="宋体" w:cs="宋体" w:eastAsia="宋体" w:hint="default"/>
          <w:spacing w:val="-3"/>
          <w:w w:val="100"/>
          <w:sz w:val="22"/>
          <w:szCs w:val="22"/>
        </w:rPr>
        <w:t>的</w:t>
      </w:r>
      <w:r>
        <w:rPr>
          <w:rFonts w:ascii="宋体" w:hAnsi="宋体" w:cs="宋体" w:eastAsia="宋体" w:hint="default"/>
          <w:w w:val="100"/>
          <w:sz w:val="22"/>
          <w:szCs w:val="22"/>
        </w:rPr>
        <w:t>成本包</w:t>
      </w:r>
      <w:r>
        <w:rPr>
          <w:rFonts w:ascii="宋体" w:hAnsi="宋体" w:cs="宋体" w:eastAsia="宋体" w:hint="default"/>
          <w:spacing w:val="-3"/>
          <w:w w:val="100"/>
          <w:sz w:val="22"/>
          <w:szCs w:val="22"/>
        </w:rPr>
        <w:t>括</w:t>
      </w:r>
      <w:r>
        <w:rPr>
          <w:rFonts w:ascii="宋体" w:hAnsi="宋体" w:cs="宋体" w:eastAsia="宋体" w:hint="default"/>
          <w:w w:val="100"/>
          <w:sz w:val="22"/>
          <w:szCs w:val="22"/>
        </w:rPr>
        <w:t>买价</w:t>
      </w:r>
      <w:r>
        <w:rPr>
          <w:rFonts w:ascii="宋体" w:hAnsi="宋体" w:cs="宋体" w:eastAsia="宋体" w:hint="default"/>
          <w:spacing w:val="-99"/>
          <w:w w:val="100"/>
          <w:sz w:val="22"/>
          <w:szCs w:val="22"/>
        </w:rPr>
        <w:t>、</w:t>
      </w:r>
      <w:r>
        <w:rPr>
          <w:rFonts w:ascii="宋体" w:hAnsi="宋体" w:cs="宋体" w:eastAsia="宋体" w:hint="default"/>
          <w:spacing w:val="-3"/>
          <w:w w:val="100"/>
          <w:sz w:val="22"/>
          <w:szCs w:val="22"/>
        </w:rPr>
        <w:t>进</w:t>
      </w:r>
      <w:r>
        <w:rPr>
          <w:rFonts w:ascii="宋体" w:hAnsi="宋体" w:cs="宋体" w:eastAsia="宋体" w:hint="default"/>
          <w:w w:val="100"/>
          <w:sz w:val="22"/>
          <w:szCs w:val="22"/>
        </w:rPr>
        <w:t>口关</w:t>
      </w:r>
      <w:r>
        <w:rPr>
          <w:rFonts w:ascii="宋体" w:hAnsi="宋体" w:cs="宋体" w:eastAsia="宋体" w:hint="default"/>
          <w:spacing w:val="-3"/>
          <w:w w:val="100"/>
          <w:sz w:val="22"/>
          <w:szCs w:val="22"/>
        </w:rPr>
        <w:t>税</w:t>
      </w:r>
      <w:r>
        <w:rPr>
          <w:rFonts w:ascii="宋体" w:hAnsi="宋体" w:cs="宋体" w:eastAsia="宋体" w:hint="default"/>
          <w:w w:val="100"/>
          <w:sz w:val="22"/>
          <w:szCs w:val="22"/>
        </w:rPr>
        <w:t>等相关</w:t>
      </w:r>
      <w:r>
        <w:rPr>
          <w:rFonts w:ascii="宋体" w:hAnsi="宋体" w:cs="宋体" w:eastAsia="宋体" w:hint="default"/>
          <w:spacing w:val="-3"/>
          <w:w w:val="100"/>
          <w:sz w:val="22"/>
          <w:szCs w:val="22"/>
        </w:rPr>
        <w:t>税</w:t>
      </w:r>
      <w:r>
        <w:rPr>
          <w:rFonts w:ascii="宋体" w:hAnsi="宋体" w:cs="宋体" w:eastAsia="宋体" w:hint="default"/>
          <w:w w:val="100"/>
          <w:sz w:val="22"/>
          <w:szCs w:val="22"/>
        </w:rPr>
        <w:t>费，</w:t>
      </w:r>
    </w:p>
    <w:p>
      <w:pPr>
        <w:spacing w:line="297" w:lineRule="auto" w:before="69"/>
        <w:ind w:left="222" w:right="217" w:firstLine="0"/>
        <w:jc w:val="both"/>
        <w:rPr>
          <w:rFonts w:ascii="宋体" w:hAnsi="宋体" w:cs="宋体" w:eastAsia="宋体" w:hint="default"/>
          <w:sz w:val="22"/>
          <w:szCs w:val="22"/>
        </w:rPr>
      </w:pPr>
      <w:r>
        <w:rPr>
          <w:rFonts w:ascii="宋体" w:hAnsi="宋体" w:cs="宋体" w:eastAsia="宋体" w:hint="default"/>
          <w:spacing w:val="-3"/>
          <w:sz w:val="22"/>
          <w:szCs w:val="22"/>
        </w:rPr>
        <w:t>以及为使固定资产达到预定可使用状态前所发生的可直接归属于该资产的其他支出；自行</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建造固定资产的成本，由建造该项资产达到预定可使用状态前所发生的必要支出构成；投</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资者投入的固定资产，按投资合同或协议约定的价值作为入账价值，但合同或协议约定价</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值不公允的按公允价值入账；融资租赁租入的固定资产，按租赁开始日租赁资产公允价值</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与最低租赁付款额的现值两者中较低者，作为入账价值。</w:t>
      </w:r>
    </w:p>
    <w:p>
      <w:pPr>
        <w:spacing w:line="297" w:lineRule="auto" w:before="77"/>
        <w:ind w:left="222" w:right="214" w:firstLine="439"/>
        <w:jc w:val="both"/>
        <w:rPr>
          <w:rFonts w:ascii="宋体" w:hAnsi="宋体" w:cs="宋体" w:eastAsia="宋体" w:hint="default"/>
          <w:sz w:val="22"/>
          <w:szCs w:val="22"/>
        </w:rPr>
      </w:pPr>
      <w:r>
        <w:rPr>
          <w:rFonts w:ascii="宋体" w:hAnsi="宋体" w:cs="宋体" w:eastAsia="宋体" w:hint="default"/>
          <w:spacing w:val="-3"/>
          <w:sz w:val="22"/>
          <w:szCs w:val="22"/>
        </w:rPr>
        <w:t>除已提足折旧仍继续使用的固定资产外，公司对所有固定资产计提折旧。固定资产采</w:t>
      </w:r>
      <w:r>
        <w:rPr>
          <w:rFonts w:ascii="宋体" w:hAnsi="宋体" w:cs="宋体" w:eastAsia="宋体" w:hint="default"/>
          <w:w w:val="100"/>
          <w:sz w:val="22"/>
          <w:szCs w:val="22"/>
        </w:rPr>
        <w:t> </w:t>
      </w:r>
      <w:r>
        <w:rPr>
          <w:rFonts w:ascii="宋体" w:hAnsi="宋体" w:cs="宋体" w:eastAsia="宋体" w:hint="default"/>
          <w:spacing w:val="-3"/>
          <w:sz w:val="22"/>
          <w:szCs w:val="22"/>
        </w:rPr>
        <w:t>用平均年限法计提折旧。根据固定资产的类别、估计经济使用年限、预计残值（残值率为</w:t>
      </w:r>
      <w:r>
        <w:rPr>
          <w:rFonts w:ascii="宋体" w:hAnsi="宋体" w:cs="宋体" w:eastAsia="宋体" w:hint="default"/>
          <w:spacing w:val="-70"/>
          <w:sz w:val="22"/>
          <w:szCs w:val="22"/>
        </w:rPr>
        <w:t> </w:t>
      </w:r>
      <w:r>
        <w:rPr>
          <w:rFonts w:ascii="宋体" w:hAnsi="宋体" w:cs="宋体" w:eastAsia="宋体" w:hint="default"/>
          <w:spacing w:val="-70"/>
          <w:sz w:val="22"/>
          <w:szCs w:val="22"/>
        </w:rPr>
      </w:r>
      <w:r>
        <w:rPr>
          <w:rFonts w:ascii="Times New Roman" w:hAnsi="Times New Roman" w:cs="Times New Roman" w:eastAsia="Times New Roman" w:hint="default"/>
          <w:sz w:val="22"/>
          <w:szCs w:val="22"/>
        </w:rPr>
        <w:t>3-5%</w:t>
      </w:r>
      <w:r>
        <w:rPr>
          <w:rFonts w:ascii="宋体" w:hAnsi="宋体" w:cs="宋体" w:eastAsia="宋体" w:hint="default"/>
          <w:sz w:val="22"/>
          <w:szCs w:val="22"/>
        </w:rPr>
        <w:t>）确定折旧率如下：</w:t>
      </w:r>
    </w:p>
    <w:p>
      <w:pPr>
        <w:spacing w:line="240" w:lineRule="auto" w:before="2"/>
        <w:rPr>
          <w:rFonts w:ascii="宋体" w:hAnsi="宋体" w:cs="宋体" w:eastAsia="宋体" w:hint="default"/>
          <w:sz w:val="7"/>
          <w:szCs w:val="7"/>
        </w:rPr>
      </w:pPr>
    </w:p>
    <w:tbl>
      <w:tblPr>
        <w:tblW w:w="0" w:type="auto"/>
        <w:jc w:val="left"/>
        <w:tblInd w:w="114" w:type="dxa"/>
        <w:tblLayout w:type="fixed"/>
        <w:tblCellMar>
          <w:top w:w="0" w:type="dxa"/>
          <w:left w:w="0" w:type="dxa"/>
          <w:bottom w:w="0" w:type="dxa"/>
          <w:right w:w="0" w:type="dxa"/>
        </w:tblCellMar>
        <w:tblLook w:val="01E0"/>
      </w:tblPr>
      <w:tblGrid>
        <w:gridCol w:w="2907"/>
        <w:gridCol w:w="2834"/>
        <w:gridCol w:w="2985"/>
      </w:tblGrid>
      <w:tr>
        <w:trPr>
          <w:trHeight w:val="305" w:hRule="exact"/>
        </w:trPr>
        <w:tc>
          <w:tcPr>
            <w:tcW w:w="290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b/>
                <w:bCs/>
                <w:sz w:val="18"/>
                <w:szCs w:val="18"/>
              </w:rPr>
              <w:t>资产类别</w:t>
            </w:r>
            <w:r>
              <w:rPr>
                <w:rFonts w:ascii="宋体" w:hAnsi="宋体" w:cs="宋体" w:eastAsia="宋体" w:hint="default"/>
                <w:sz w:val="18"/>
                <w:szCs w:val="18"/>
              </w:rPr>
            </w:r>
          </w:p>
        </w:tc>
        <w:tc>
          <w:tcPr>
            <w:tcW w:w="283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73" w:right="0"/>
              <w:jc w:val="center"/>
              <w:rPr>
                <w:rFonts w:ascii="宋体" w:hAnsi="宋体" w:cs="宋体" w:eastAsia="宋体" w:hint="default"/>
                <w:sz w:val="18"/>
                <w:szCs w:val="18"/>
              </w:rPr>
            </w:pPr>
            <w:r>
              <w:rPr>
                <w:rFonts w:ascii="宋体" w:hAnsi="宋体" w:cs="宋体" w:eastAsia="宋体" w:hint="default"/>
                <w:b/>
                <w:bCs/>
                <w:sz w:val="18"/>
                <w:szCs w:val="18"/>
              </w:rPr>
              <w:t>折旧年限</w:t>
            </w:r>
            <w:r>
              <w:rPr>
                <w:rFonts w:ascii="宋体" w:hAnsi="宋体" w:cs="宋体" w:eastAsia="宋体" w:hint="default"/>
                <w:sz w:val="18"/>
                <w:szCs w:val="18"/>
              </w:rPr>
            </w:r>
          </w:p>
        </w:tc>
        <w:tc>
          <w:tcPr>
            <w:tcW w:w="298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74" w:right="0"/>
              <w:jc w:val="center"/>
              <w:rPr>
                <w:rFonts w:ascii="宋体" w:hAnsi="宋体" w:cs="宋体" w:eastAsia="宋体" w:hint="default"/>
                <w:sz w:val="18"/>
                <w:szCs w:val="18"/>
              </w:rPr>
            </w:pPr>
            <w:r>
              <w:rPr>
                <w:rFonts w:ascii="宋体" w:hAnsi="宋体" w:cs="宋体" w:eastAsia="宋体" w:hint="default"/>
                <w:b/>
                <w:bCs/>
                <w:sz w:val="18"/>
                <w:szCs w:val="18"/>
              </w:rPr>
              <w:t>年折旧率</w:t>
            </w:r>
            <w:r>
              <w:rPr>
                <w:rFonts w:ascii="宋体" w:hAnsi="宋体" w:cs="宋体" w:eastAsia="宋体" w:hint="default"/>
                <w:sz w:val="18"/>
                <w:szCs w:val="18"/>
              </w:rPr>
            </w:r>
          </w:p>
        </w:tc>
      </w:tr>
      <w:tr>
        <w:trPr>
          <w:trHeight w:val="324" w:hRule="exact"/>
        </w:trPr>
        <w:tc>
          <w:tcPr>
            <w:tcW w:w="2907"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834"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7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30-50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98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left="77" w:right="0"/>
              <w:jc w:val="center"/>
              <w:rPr>
                <w:rFonts w:ascii="Times New Roman" w:hAnsi="Times New Roman" w:cs="Times New Roman" w:eastAsia="Times New Roman" w:hint="default"/>
                <w:sz w:val="18"/>
                <w:szCs w:val="18"/>
              </w:rPr>
            </w:pPr>
            <w:r>
              <w:rPr>
                <w:rFonts w:ascii="Times New Roman"/>
                <w:sz w:val="18"/>
              </w:rPr>
              <w:t>2.11-3.23%</w:t>
            </w:r>
          </w:p>
        </w:tc>
      </w:tr>
      <w:tr>
        <w:trPr>
          <w:trHeight w:val="284" w:hRule="exact"/>
        </w:trPr>
        <w:tc>
          <w:tcPr>
            <w:tcW w:w="2907"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2834" w:type="dxa"/>
            <w:tcBorders>
              <w:top w:val="nil" w:sz="6" w:space="0" w:color="auto"/>
              <w:left w:val="nil" w:sz="6" w:space="0" w:color="auto"/>
              <w:bottom w:val="nil" w:sz="6" w:space="0" w:color="auto"/>
              <w:right w:val="nil" w:sz="6" w:space="0" w:color="auto"/>
            </w:tcBorders>
          </w:tcPr>
          <w:p>
            <w:pPr>
              <w:pStyle w:val="TableParagraph"/>
              <w:spacing w:line="235" w:lineRule="exact"/>
              <w:ind w:left="7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5-10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98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7" w:right="0"/>
              <w:jc w:val="center"/>
              <w:rPr>
                <w:rFonts w:ascii="Times New Roman" w:hAnsi="Times New Roman" w:cs="Times New Roman" w:eastAsia="Times New Roman" w:hint="default"/>
                <w:sz w:val="18"/>
                <w:szCs w:val="18"/>
              </w:rPr>
            </w:pPr>
            <w:r>
              <w:rPr>
                <w:rFonts w:ascii="Times New Roman"/>
                <w:sz w:val="18"/>
              </w:rPr>
              <w:t>9.50-19.40%</w:t>
            </w:r>
          </w:p>
        </w:tc>
      </w:tr>
      <w:tr>
        <w:trPr>
          <w:trHeight w:val="286" w:hRule="exact"/>
        </w:trPr>
        <w:tc>
          <w:tcPr>
            <w:tcW w:w="290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2834" w:type="dxa"/>
            <w:tcBorders>
              <w:top w:val="nil" w:sz="6" w:space="0" w:color="auto"/>
              <w:left w:val="nil" w:sz="6" w:space="0" w:color="auto"/>
              <w:bottom w:val="nil" w:sz="6" w:space="0" w:color="auto"/>
              <w:right w:val="nil" w:sz="6" w:space="0" w:color="auto"/>
            </w:tcBorders>
          </w:tcPr>
          <w:p>
            <w:pPr>
              <w:pStyle w:val="TableParagraph"/>
              <w:spacing w:line="237" w:lineRule="exact"/>
              <w:ind w:left="7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5-10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9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7" w:right="0"/>
              <w:jc w:val="center"/>
              <w:rPr>
                <w:rFonts w:ascii="Times New Roman" w:hAnsi="Times New Roman" w:cs="Times New Roman" w:eastAsia="Times New Roman" w:hint="default"/>
                <w:sz w:val="18"/>
                <w:szCs w:val="18"/>
              </w:rPr>
            </w:pPr>
            <w:r>
              <w:rPr>
                <w:rFonts w:ascii="Times New Roman"/>
                <w:sz w:val="18"/>
              </w:rPr>
              <w:t>9.50-19.40%</w:t>
            </w:r>
          </w:p>
        </w:tc>
      </w:tr>
      <w:tr>
        <w:trPr>
          <w:trHeight w:val="286" w:hRule="exact"/>
        </w:trPr>
        <w:tc>
          <w:tcPr>
            <w:tcW w:w="290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2834" w:type="dxa"/>
            <w:tcBorders>
              <w:top w:val="nil" w:sz="6" w:space="0" w:color="auto"/>
              <w:left w:val="nil" w:sz="6" w:space="0" w:color="auto"/>
              <w:bottom w:val="nil" w:sz="6" w:space="0" w:color="auto"/>
              <w:right w:val="nil" w:sz="6" w:space="0" w:color="auto"/>
            </w:tcBorders>
          </w:tcPr>
          <w:p>
            <w:pPr>
              <w:pStyle w:val="TableParagraph"/>
              <w:spacing w:line="237" w:lineRule="exact"/>
              <w:ind w:left="7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c>
          <w:tcPr>
            <w:tcW w:w="29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7" w:right="0"/>
              <w:jc w:val="center"/>
              <w:rPr>
                <w:rFonts w:ascii="Times New Roman" w:hAnsi="Times New Roman" w:cs="Times New Roman" w:eastAsia="Times New Roman" w:hint="default"/>
                <w:sz w:val="18"/>
                <w:szCs w:val="18"/>
              </w:rPr>
            </w:pPr>
            <w:r>
              <w:rPr>
                <w:rFonts w:ascii="Times New Roman"/>
                <w:sz w:val="18"/>
              </w:rPr>
              <w:t>9.50-9.70%</w:t>
            </w:r>
          </w:p>
        </w:tc>
      </w:tr>
      <w:tr>
        <w:trPr>
          <w:trHeight w:val="265" w:hRule="exact"/>
        </w:trPr>
        <w:tc>
          <w:tcPr>
            <w:tcW w:w="2907" w:type="dxa"/>
            <w:tcBorders>
              <w:top w:val="nil" w:sz="6" w:space="0" w:color="auto"/>
              <w:left w:val="nil" w:sz="6" w:space="0" w:color="auto"/>
              <w:bottom w:val="single" w:sz="12"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2834" w:type="dxa"/>
            <w:tcBorders>
              <w:top w:val="nil" w:sz="6" w:space="0" w:color="auto"/>
              <w:left w:val="nil" w:sz="6" w:space="0" w:color="auto"/>
              <w:bottom w:val="single" w:sz="12" w:space="0" w:color="000000"/>
              <w:right w:val="nil" w:sz="6" w:space="0" w:color="auto"/>
            </w:tcBorders>
          </w:tcPr>
          <w:p>
            <w:pPr>
              <w:pStyle w:val="TableParagraph"/>
              <w:spacing w:line="237" w:lineRule="exact"/>
              <w:ind w:left="7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98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76" w:right="0"/>
              <w:jc w:val="center"/>
              <w:rPr>
                <w:rFonts w:ascii="Times New Roman" w:hAnsi="Times New Roman" w:cs="Times New Roman" w:eastAsia="Times New Roman" w:hint="default"/>
                <w:sz w:val="18"/>
                <w:szCs w:val="18"/>
              </w:rPr>
            </w:pPr>
            <w:r>
              <w:rPr>
                <w:rFonts w:ascii="Times New Roman"/>
                <w:sz w:val="18"/>
              </w:rPr>
              <w:t>19.00-19.40%</w:t>
            </w:r>
          </w:p>
        </w:tc>
      </w:tr>
    </w:tbl>
    <w:p>
      <w:pPr>
        <w:spacing w:line="297" w:lineRule="auto" w:before="21"/>
        <w:ind w:left="222" w:right="217" w:firstLine="439"/>
        <w:jc w:val="both"/>
        <w:rPr>
          <w:rFonts w:ascii="宋体" w:hAnsi="宋体" w:cs="宋体" w:eastAsia="宋体" w:hint="default"/>
          <w:sz w:val="22"/>
          <w:szCs w:val="22"/>
        </w:rPr>
      </w:pPr>
      <w:r>
        <w:rPr>
          <w:rFonts w:ascii="宋体" w:hAnsi="宋体" w:cs="宋体" w:eastAsia="宋体" w:hint="default"/>
          <w:spacing w:val="-3"/>
          <w:sz w:val="22"/>
          <w:szCs w:val="22"/>
        </w:rPr>
        <w:t>固定资产后续支出的处理：固定资产的后续支出主要包括更新改良支出、修理支出等</w:t>
      </w:r>
      <w:r>
        <w:rPr>
          <w:rFonts w:ascii="宋体" w:hAnsi="宋体" w:cs="宋体" w:eastAsia="宋体" w:hint="default"/>
          <w:w w:val="100"/>
          <w:sz w:val="22"/>
          <w:szCs w:val="22"/>
        </w:rPr>
        <w:t> </w:t>
      </w:r>
      <w:r>
        <w:rPr>
          <w:rFonts w:ascii="宋体" w:hAnsi="宋体" w:cs="宋体" w:eastAsia="宋体" w:hint="default"/>
          <w:spacing w:val="-3"/>
          <w:sz w:val="22"/>
          <w:szCs w:val="22"/>
        </w:rPr>
        <w:t>内容，在相关的经济利益很可能流入且其成本能够可靠的计量时，计入固定资产成本，对</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z w:val="22"/>
          <w:szCs w:val="22"/>
        </w:rPr>
        <w:t>于被替换的部分，终止确认其账面价值；所有其他后续支出于发生时计入当期损益。</w:t>
      </w:r>
    </w:p>
    <w:p>
      <w:pPr>
        <w:spacing w:line="297" w:lineRule="auto" w:before="77"/>
        <w:ind w:left="222" w:right="217" w:firstLine="439"/>
        <w:jc w:val="both"/>
        <w:rPr>
          <w:rFonts w:ascii="宋体" w:hAnsi="宋体" w:cs="宋体" w:eastAsia="宋体" w:hint="default"/>
          <w:sz w:val="22"/>
          <w:szCs w:val="22"/>
        </w:rPr>
      </w:pPr>
      <w:r>
        <w:rPr>
          <w:rFonts w:ascii="宋体" w:hAnsi="宋体" w:cs="宋体" w:eastAsia="宋体" w:hint="default"/>
          <w:spacing w:val="-3"/>
          <w:sz w:val="22"/>
          <w:szCs w:val="22"/>
        </w:rPr>
        <w:t>本公司于每个资产负债表日，对固定资产的预计使用寿命、预计净残值和折旧方法进</w:t>
      </w:r>
      <w:r>
        <w:rPr>
          <w:rFonts w:ascii="宋体" w:hAnsi="宋体" w:cs="宋体" w:eastAsia="宋体" w:hint="default"/>
          <w:w w:val="100"/>
          <w:sz w:val="22"/>
          <w:szCs w:val="22"/>
        </w:rPr>
        <w:t> </w:t>
      </w:r>
      <w:r>
        <w:rPr>
          <w:rFonts w:ascii="宋体" w:hAnsi="宋体" w:cs="宋体" w:eastAsia="宋体" w:hint="default"/>
          <w:sz w:val="22"/>
          <w:szCs w:val="22"/>
        </w:rPr>
        <w:t>行复核，如发生改变，则作为会计估计变更处理。</w:t>
      </w:r>
    </w:p>
    <w:p>
      <w:pPr>
        <w:spacing w:after="0" w:line="297" w:lineRule="auto"/>
        <w:jc w:val="both"/>
        <w:rPr>
          <w:rFonts w:ascii="宋体" w:hAnsi="宋体" w:cs="宋体" w:eastAsia="宋体" w:hint="default"/>
          <w:sz w:val="22"/>
          <w:szCs w:val="22"/>
        </w:rPr>
        <w:sectPr>
          <w:headerReference w:type="default" r:id="rId47"/>
          <w:footerReference w:type="default" r:id="rId48"/>
          <w:pgSz w:w="11910" w:h="16840"/>
          <w:pgMar w:header="0" w:footer="836" w:top="500" w:bottom="1020" w:left="1480" w:right="1480"/>
          <w:pgNumType w:start="96"/>
        </w:sectPr>
      </w:pPr>
    </w:p>
    <w:p>
      <w:pPr>
        <w:spacing w:line="240" w:lineRule="auto" w:before="6"/>
        <w:rPr>
          <w:rFonts w:ascii="宋体" w:hAnsi="宋体" w:cs="宋体" w:eastAsia="宋体" w:hint="default"/>
          <w:sz w:val="5"/>
          <w:szCs w:val="5"/>
        </w:rPr>
      </w:pPr>
    </w:p>
    <w:p>
      <w:pPr>
        <w:spacing w:line="417" w:lineRule="exact"/>
        <w:ind w:left="105" w:right="0" w:firstLine="0"/>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861822" cy="265175"/>
            <wp:effectExtent l="0" t="0" r="0" b="0"/>
            <wp:docPr id="25" name="image1.jpeg" descr=""/>
            <wp:cNvGraphicFramePr>
              <a:graphicFrameLocks noChangeAspect="1"/>
            </wp:cNvGraphicFramePr>
            <a:graphic>
              <a:graphicData uri="http://schemas.openxmlformats.org/drawingml/2006/picture">
                <pic:pic>
                  <pic:nvPicPr>
                    <pic:cNvPr id="26" name="image1.jpeg"/>
                    <pic:cNvPicPr/>
                  </pic:nvPicPr>
                  <pic:blipFill>
                    <a:blip r:embed="rId35" cstate="print"/>
                    <a:stretch>
                      <a:fillRect/>
                    </a:stretch>
                  </pic:blipFill>
                  <pic:spPr>
                    <a:xfrm>
                      <a:off x="0" y="0"/>
                      <a:ext cx="861822" cy="265175"/>
                    </a:xfrm>
                    <a:prstGeom prst="rect">
                      <a:avLst/>
                    </a:prstGeom>
                  </pic:spPr>
                </pic:pic>
              </a:graphicData>
            </a:graphic>
          </wp:inline>
        </w:drawing>
      </w:r>
      <w:r>
        <w:rPr>
          <w:rFonts w:ascii="宋体" w:hAnsi="宋体" w:cs="宋体" w:eastAsia="宋体" w:hint="default"/>
          <w:position w:val="-7"/>
          <w:sz w:val="20"/>
          <w:szCs w:val="20"/>
        </w:rPr>
      </w:r>
    </w:p>
    <w:p>
      <w:pPr>
        <w:spacing w:line="240" w:lineRule="auto" w:before="10"/>
        <w:rPr>
          <w:rFonts w:ascii="宋体" w:hAnsi="宋体" w:cs="宋体" w:eastAsia="宋体" w:hint="default"/>
          <w:sz w:val="5"/>
          <w:szCs w:val="5"/>
        </w:rPr>
      </w:pPr>
    </w:p>
    <w:p>
      <w:pPr>
        <w:spacing w:line="20" w:lineRule="exact"/>
        <w:ind w:left="166"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21"/>
          <w:szCs w:val="21"/>
        </w:rPr>
      </w:pPr>
    </w:p>
    <w:p>
      <w:pPr>
        <w:spacing w:line="297" w:lineRule="auto" w:before="32"/>
        <w:ind w:left="202" w:right="337" w:firstLine="439"/>
        <w:jc w:val="both"/>
        <w:rPr>
          <w:rFonts w:ascii="宋体" w:hAnsi="宋体" w:cs="宋体" w:eastAsia="宋体" w:hint="default"/>
          <w:sz w:val="22"/>
          <w:szCs w:val="22"/>
        </w:rPr>
      </w:pPr>
      <w:r>
        <w:rPr>
          <w:rFonts w:ascii="宋体" w:hAnsi="宋体" w:cs="宋体" w:eastAsia="宋体" w:hint="default"/>
          <w:spacing w:val="-3"/>
          <w:sz w:val="22"/>
          <w:szCs w:val="22"/>
        </w:rPr>
        <w:t>当固定资产被处置、或者预期通过使用或处置不能产生经济利益时，终止确认该固定</w:t>
      </w:r>
      <w:r>
        <w:rPr>
          <w:rFonts w:ascii="宋体" w:hAnsi="宋体" w:cs="宋体" w:eastAsia="宋体" w:hint="default"/>
          <w:w w:val="100"/>
          <w:sz w:val="22"/>
          <w:szCs w:val="22"/>
        </w:rPr>
        <w:t> </w:t>
      </w:r>
      <w:r>
        <w:rPr>
          <w:rFonts w:ascii="宋体" w:hAnsi="宋体" w:cs="宋体" w:eastAsia="宋体" w:hint="default"/>
          <w:spacing w:val="-3"/>
          <w:sz w:val="22"/>
          <w:szCs w:val="22"/>
        </w:rPr>
        <w:t>资产。固定资产出售、转让、报废或毁损的处置收入扣除其账面价值和相关税费后的金额</w:t>
      </w:r>
      <w:r>
        <w:rPr>
          <w:rFonts w:ascii="宋体" w:hAnsi="宋体" w:cs="宋体" w:eastAsia="宋体" w:hint="default"/>
          <w:spacing w:val="-76"/>
          <w:sz w:val="22"/>
          <w:szCs w:val="22"/>
        </w:rPr>
        <w:t> </w:t>
      </w:r>
      <w:r>
        <w:rPr>
          <w:rFonts w:ascii="宋体" w:hAnsi="宋体" w:cs="宋体" w:eastAsia="宋体" w:hint="default"/>
          <w:spacing w:val="-76"/>
          <w:sz w:val="22"/>
          <w:szCs w:val="22"/>
        </w:rPr>
      </w:r>
      <w:r>
        <w:rPr>
          <w:rFonts w:ascii="宋体" w:hAnsi="宋体" w:cs="宋体" w:eastAsia="宋体" w:hint="default"/>
          <w:sz w:val="22"/>
          <w:szCs w:val="22"/>
        </w:rPr>
        <w:t>计入当期损益。</w:t>
      </w:r>
    </w:p>
    <w:p>
      <w:pPr>
        <w:spacing w:line="328" w:lineRule="auto" w:before="74"/>
        <w:ind w:left="641" w:right="106"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19.</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在建工程</w:t>
      </w:r>
      <w:r>
        <w:rPr>
          <w:rFonts w:ascii="宋体" w:hAnsi="宋体" w:cs="宋体" w:eastAsia="宋体" w:hint="default"/>
          <w:w w:val="100"/>
          <w:sz w:val="22"/>
          <w:szCs w:val="22"/>
        </w:rPr>
        <w:t> </w:t>
      </w:r>
      <w:r>
        <w:rPr>
          <w:rFonts w:ascii="宋体" w:hAnsi="宋体" w:cs="宋体" w:eastAsia="宋体" w:hint="default"/>
          <w:spacing w:val="-3"/>
          <w:sz w:val="22"/>
          <w:szCs w:val="22"/>
        </w:rPr>
        <w:t>在建工程按实际发生的成本计量。自营工程按直接材料、直接工资、直接施工费等计</w:t>
      </w:r>
    </w:p>
    <w:p>
      <w:pPr>
        <w:spacing w:line="274" w:lineRule="exact" w:before="0"/>
        <w:ind w:left="202" w:right="0" w:firstLine="0"/>
        <w:jc w:val="both"/>
        <w:rPr>
          <w:rFonts w:ascii="宋体" w:hAnsi="宋体" w:cs="宋体" w:eastAsia="宋体" w:hint="default"/>
          <w:sz w:val="22"/>
          <w:szCs w:val="22"/>
        </w:rPr>
      </w:pPr>
      <w:r>
        <w:rPr>
          <w:rFonts w:ascii="宋体" w:hAnsi="宋体" w:cs="宋体" w:eastAsia="宋体" w:hint="default"/>
          <w:w w:val="100"/>
          <w:sz w:val="22"/>
          <w:szCs w:val="22"/>
        </w:rPr>
        <w:t>量</w:t>
      </w:r>
      <w:r>
        <w:rPr>
          <w:rFonts w:ascii="宋体" w:hAnsi="宋体" w:cs="宋体" w:eastAsia="宋体" w:hint="default"/>
          <w:spacing w:val="-99"/>
          <w:w w:val="100"/>
          <w:sz w:val="22"/>
          <w:szCs w:val="22"/>
        </w:rPr>
        <w:t>；</w:t>
      </w:r>
      <w:r>
        <w:rPr>
          <w:rFonts w:ascii="宋体" w:hAnsi="宋体" w:cs="宋体" w:eastAsia="宋体" w:hint="default"/>
          <w:w w:val="100"/>
          <w:sz w:val="22"/>
          <w:szCs w:val="22"/>
        </w:rPr>
        <w:t>出包</w:t>
      </w:r>
      <w:r>
        <w:rPr>
          <w:rFonts w:ascii="宋体" w:hAnsi="宋体" w:cs="宋体" w:eastAsia="宋体" w:hint="default"/>
          <w:spacing w:val="-3"/>
          <w:w w:val="100"/>
          <w:sz w:val="22"/>
          <w:szCs w:val="22"/>
        </w:rPr>
        <w:t>工</w:t>
      </w:r>
      <w:r>
        <w:rPr>
          <w:rFonts w:ascii="宋体" w:hAnsi="宋体" w:cs="宋体" w:eastAsia="宋体" w:hint="default"/>
          <w:w w:val="100"/>
          <w:sz w:val="22"/>
          <w:szCs w:val="22"/>
        </w:rPr>
        <w:t>程按</w:t>
      </w:r>
      <w:r>
        <w:rPr>
          <w:rFonts w:ascii="宋体" w:hAnsi="宋体" w:cs="宋体" w:eastAsia="宋体" w:hint="default"/>
          <w:spacing w:val="-3"/>
          <w:w w:val="100"/>
          <w:sz w:val="22"/>
          <w:szCs w:val="22"/>
        </w:rPr>
        <w:t>应</w:t>
      </w:r>
      <w:r>
        <w:rPr>
          <w:rFonts w:ascii="宋体" w:hAnsi="宋体" w:cs="宋体" w:eastAsia="宋体" w:hint="default"/>
          <w:w w:val="100"/>
          <w:sz w:val="22"/>
          <w:szCs w:val="22"/>
        </w:rPr>
        <w:t>支付</w:t>
      </w:r>
      <w:r>
        <w:rPr>
          <w:rFonts w:ascii="宋体" w:hAnsi="宋体" w:cs="宋体" w:eastAsia="宋体" w:hint="default"/>
          <w:spacing w:val="-3"/>
          <w:w w:val="100"/>
          <w:sz w:val="22"/>
          <w:szCs w:val="22"/>
        </w:rPr>
        <w:t>的</w:t>
      </w:r>
      <w:r>
        <w:rPr>
          <w:rFonts w:ascii="宋体" w:hAnsi="宋体" w:cs="宋体" w:eastAsia="宋体" w:hint="default"/>
          <w:w w:val="100"/>
          <w:sz w:val="22"/>
          <w:szCs w:val="22"/>
        </w:rPr>
        <w:t>工程价</w:t>
      </w:r>
      <w:r>
        <w:rPr>
          <w:rFonts w:ascii="宋体" w:hAnsi="宋体" w:cs="宋体" w:eastAsia="宋体" w:hint="default"/>
          <w:spacing w:val="-3"/>
          <w:w w:val="100"/>
          <w:sz w:val="22"/>
          <w:szCs w:val="22"/>
        </w:rPr>
        <w:t>款</w:t>
      </w:r>
      <w:r>
        <w:rPr>
          <w:rFonts w:ascii="宋体" w:hAnsi="宋体" w:cs="宋体" w:eastAsia="宋体" w:hint="default"/>
          <w:w w:val="100"/>
          <w:sz w:val="22"/>
          <w:szCs w:val="22"/>
        </w:rPr>
        <w:t>等计量</w:t>
      </w:r>
      <w:r>
        <w:rPr>
          <w:rFonts w:ascii="宋体" w:hAnsi="宋体" w:cs="宋体" w:eastAsia="宋体" w:hint="default"/>
          <w:spacing w:val="-101"/>
          <w:w w:val="100"/>
          <w:sz w:val="22"/>
          <w:szCs w:val="22"/>
        </w:rPr>
        <w:t>；</w:t>
      </w:r>
      <w:r>
        <w:rPr>
          <w:rFonts w:ascii="宋体" w:hAnsi="宋体" w:cs="宋体" w:eastAsia="宋体" w:hint="default"/>
          <w:w w:val="100"/>
          <w:sz w:val="22"/>
          <w:szCs w:val="22"/>
        </w:rPr>
        <w:t>设备</w:t>
      </w:r>
      <w:r>
        <w:rPr>
          <w:rFonts w:ascii="宋体" w:hAnsi="宋体" w:cs="宋体" w:eastAsia="宋体" w:hint="default"/>
          <w:spacing w:val="-3"/>
          <w:w w:val="100"/>
          <w:sz w:val="22"/>
          <w:szCs w:val="22"/>
        </w:rPr>
        <w:t>安</w:t>
      </w:r>
      <w:r>
        <w:rPr>
          <w:rFonts w:ascii="宋体" w:hAnsi="宋体" w:cs="宋体" w:eastAsia="宋体" w:hint="default"/>
          <w:w w:val="100"/>
          <w:sz w:val="22"/>
          <w:szCs w:val="22"/>
        </w:rPr>
        <w:t>装工程</w:t>
      </w:r>
      <w:r>
        <w:rPr>
          <w:rFonts w:ascii="宋体" w:hAnsi="宋体" w:cs="宋体" w:eastAsia="宋体" w:hint="default"/>
          <w:spacing w:val="-3"/>
          <w:w w:val="100"/>
          <w:sz w:val="22"/>
          <w:szCs w:val="22"/>
        </w:rPr>
        <w:t>按</w:t>
      </w:r>
      <w:r>
        <w:rPr>
          <w:rFonts w:ascii="宋体" w:hAnsi="宋体" w:cs="宋体" w:eastAsia="宋体" w:hint="default"/>
          <w:w w:val="100"/>
          <w:sz w:val="22"/>
          <w:szCs w:val="22"/>
        </w:rPr>
        <w:t>所安</w:t>
      </w:r>
      <w:r>
        <w:rPr>
          <w:rFonts w:ascii="宋体" w:hAnsi="宋体" w:cs="宋体" w:eastAsia="宋体" w:hint="default"/>
          <w:spacing w:val="-3"/>
          <w:w w:val="100"/>
          <w:sz w:val="22"/>
          <w:szCs w:val="22"/>
        </w:rPr>
        <w:t>装</w:t>
      </w:r>
      <w:r>
        <w:rPr>
          <w:rFonts w:ascii="宋体" w:hAnsi="宋体" w:cs="宋体" w:eastAsia="宋体" w:hint="default"/>
          <w:w w:val="100"/>
          <w:sz w:val="22"/>
          <w:szCs w:val="22"/>
        </w:rPr>
        <w:t>设备</w:t>
      </w:r>
      <w:r>
        <w:rPr>
          <w:rFonts w:ascii="宋体" w:hAnsi="宋体" w:cs="宋体" w:eastAsia="宋体" w:hint="default"/>
          <w:spacing w:val="-3"/>
          <w:w w:val="100"/>
          <w:sz w:val="22"/>
          <w:szCs w:val="22"/>
        </w:rPr>
        <w:t>的价</w:t>
      </w:r>
      <w:r>
        <w:rPr>
          <w:rFonts w:ascii="宋体" w:hAnsi="宋体" w:cs="宋体" w:eastAsia="宋体" w:hint="default"/>
          <w:w w:val="100"/>
          <w:sz w:val="22"/>
          <w:szCs w:val="22"/>
        </w:rPr>
        <w:t>值</w:t>
      </w:r>
      <w:r>
        <w:rPr>
          <w:rFonts w:ascii="宋体" w:hAnsi="宋体" w:cs="宋体" w:eastAsia="宋体" w:hint="default"/>
          <w:spacing w:val="-99"/>
          <w:w w:val="100"/>
          <w:sz w:val="22"/>
          <w:szCs w:val="22"/>
        </w:rPr>
        <w:t>、</w:t>
      </w:r>
      <w:r>
        <w:rPr>
          <w:rFonts w:ascii="宋体" w:hAnsi="宋体" w:cs="宋体" w:eastAsia="宋体" w:hint="default"/>
          <w:w w:val="100"/>
          <w:sz w:val="22"/>
          <w:szCs w:val="22"/>
        </w:rPr>
        <w:t>安装</w:t>
      </w:r>
      <w:r>
        <w:rPr>
          <w:rFonts w:ascii="宋体" w:hAnsi="宋体" w:cs="宋体" w:eastAsia="宋体" w:hint="default"/>
          <w:spacing w:val="-3"/>
          <w:w w:val="100"/>
          <w:sz w:val="22"/>
          <w:szCs w:val="22"/>
        </w:rPr>
        <w:t>费</w:t>
      </w:r>
      <w:r>
        <w:rPr>
          <w:rFonts w:ascii="宋体" w:hAnsi="宋体" w:cs="宋体" w:eastAsia="宋体" w:hint="default"/>
          <w:w w:val="100"/>
          <w:sz w:val="22"/>
          <w:szCs w:val="22"/>
        </w:rPr>
        <w:t>用、</w:t>
      </w:r>
    </w:p>
    <w:p>
      <w:pPr>
        <w:spacing w:line="348" w:lineRule="auto" w:before="69"/>
        <w:ind w:left="641" w:right="106" w:hanging="440"/>
        <w:jc w:val="left"/>
        <w:rPr>
          <w:rFonts w:ascii="宋体" w:hAnsi="宋体" w:cs="宋体" w:eastAsia="宋体" w:hint="default"/>
          <w:sz w:val="22"/>
          <w:szCs w:val="22"/>
        </w:rPr>
      </w:pPr>
      <w:r>
        <w:rPr>
          <w:rFonts w:ascii="宋体" w:hAnsi="宋体" w:cs="宋体" w:eastAsia="宋体" w:hint="default"/>
          <w:spacing w:val="-3"/>
          <w:sz w:val="22"/>
          <w:szCs w:val="22"/>
        </w:rPr>
        <w:t>工程试运转等所发生的支出等确定工程成本。在建工程成本还包括应当资本化的借款费用。</w:t>
      </w:r>
      <w:r>
        <w:rPr>
          <w:rFonts w:ascii="宋体" w:hAnsi="宋体" w:cs="宋体" w:eastAsia="宋体" w:hint="default"/>
          <w:spacing w:val="-69"/>
          <w:sz w:val="22"/>
          <w:szCs w:val="22"/>
        </w:rPr>
        <w:t> </w:t>
      </w:r>
      <w:r>
        <w:rPr>
          <w:rFonts w:ascii="宋体" w:hAnsi="宋体" w:cs="宋体" w:eastAsia="宋体" w:hint="default"/>
          <w:spacing w:val="-69"/>
          <w:sz w:val="22"/>
          <w:szCs w:val="22"/>
        </w:rPr>
      </w:r>
      <w:r>
        <w:rPr>
          <w:rFonts w:ascii="宋体" w:hAnsi="宋体" w:cs="宋体" w:eastAsia="宋体" w:hint="default"/>
          <w:spacing w:val="-3"/>
          <w:sz w:val="22"/>
          <w:szCs w:val="22"/>
        </w:rPr>
        <w:t>本公司建造的固定资产在达到预定可使用状态之日起，根据工程预算、造价或工程实</w:t>
      </w:r>
    </w:p>
    <w:p>
      <w:pPr>
        <w:spacing w:line="256" w:lineRule="exact" w:before="0"/>
        <w:ind w:left="202" w:right="0" w:firstLine="0"/>
        <w:jc w:val="both"/>
        <w:rPr>
          <w:rFonts w:ascii="宋体" w:hAnsi="宋体" w:cs="宋体" w:eastAsia="宋体" w:hint="default"/>
          <w:sz w:val="22"/>
          <w:szCs w:val="22"/>
        </w:rPr>
      </w:pPr>
      <w:r>
        <w:rPr>
          <w:rFonts w:ascii="宋体" w:hAnsi="宋体" w:cs="宋体" w:eastAsia="宋体" w:hint="default"/>
          <w:spacing w:val="-3"/>
          <w:sz w:val="22"/>
          <w:szCs w:val="22"/>
        </w:rPr>
        <w:t>际成本等，按估计的价值结转固定资产，次月起开始计提折旧。待办理了竣工决算手续后</w:t>
      </w:r>
    </w:p>
    <w:p>
      <w:pPr>
        <w:spacing w:before="69"/>
        <w:ind w:left="202" w:right="0" w:firstLine="0"/>
        <w:jc w:val="both"/>
        <w:rPr>
          <w:rFonts w:ascii="宋体" w:hAnsi="宋体" w:cs="宋体" w:eastAsia="宋体" w:hint="default"/>
          <w:sz w:val="22"/>
          <w:szCs w:val="22"/>
        </w:rPr>
      </w:pPr>
      <w:r>
        <w:rPr>
          <w:rFonts w:ascii="宋体" w:hAnsi="宋体" w:cs="宋体" w:eastAsia="宋体" w:hint="default"/>
          <w:sz w:val="22"/>
          <w:szCs w:val="22"/>
        </w:rPr>
        <w:t>再对固定资产原值差异作调整。</w:t>
      </w:r>
    </w:p>
    <w:p>
      <w:pPr>
        <w:spacing w:line="328" w:lineRule="auto" w:before="128"/>
        <w:ind w:left="641" w:right="106"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20.</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借款费用</w:t>
      </w:r>
      <w:r>
        <w:rPr>
          <w:rFonts w:ascii="宋体" w:hAnsi="宋体" w:cs="宋体" w:eastAsia="宋体" w:hint="default"/>
          <w:w w:val="100"/>
          <w:sz w:val="22"/>
          <w:szCs w:val="22"/>
        </w:rPr>
        <w:t> </w:t>
      </w:r>
      <w:r>
        <w:rPr>
          <w:rFonts w:ascii="宋体" w:hAnsi="宋体" w:cs="宋体" w:eastAsia="宋体" w:hint="default"/>
          <w:spacing w:val="-3"/>
          <w:sz w:val="22"/>
          <w:szCs w:val="22"/>
        </w:rPr>
        <w:t>借款费用资本化的确认原则：本公司将发生的、可直接归属于符合资本化条件的资产</w:t>
      </w:r>
    </w:p>
    <w:p>
      <w:pPr>
        <w:spacing w:line="290" w:lineRule="auto" w:before="0"/>
        <w:ind w:left="202" w:right="337" w:firstLine="0"/>
        <w:jc w:val="both"/>
        <w:rPr>
          <w:rFonts w:ascii="宋体" w:hAnsi="宋体" w:cs="宋体" w:eastAsia="宋体" w:hint="default"/>
          <w:sz w:val="22"/>
          <w:szCs w:val="22"/>
        </w:rPr>
      </w:pPr>
      <w:r>
        <w:rPr>
          <w:rFonts w:ascii="宋体" w:hAnsi="宋体" w:cs="宋体" w:eastAsia="宋体" w:hint="default"/>
          <w:spacing w:val="-3"/>
          <w:sz w:val="22"/>
          <w:szCs w:val="22"/>
        </w:rPr>
        <w:t>的购建或者生产的借款费用予以资本化，计入相关资产成本；其他借款费用，在发生时根</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pacing w:val="-3"/>
          <w:sz w:val="22"/>
          <w:szCs w:val="22"/>
        </w:rPr>
        <w:t>据其发生额确认为费用，计入当期损益。符合资本化条件的资产，是指需要经过相当长时</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8"/>
          <w:sz w:val="22"/>
          <w:szCs w:val="22"/>
        </w:rPr>
        <w:t>间（通常指 </w:t>
      </w:r>
      <w:r>
        <w:rPr>
          <w:rFonts w:ascii="Times New Roman" w:hAnsi="Times New Roman" w:cs="Times New Roman" w:eastAsia="Times New Roman" w:hint="default"/>
          <w:sz w:val="22"/>
          <w:szCs w:val="22"/>
        </w:rPr>
        <w:t>1 </w:t>
      </w:r>
      <w:r>
        <w:rPr>
          <w:rFonts w:ascii="宋体" w:hAnsi="宋体" w:cs="宋体" w:eastAsia="宋体" w:hint="default"/>
          <w:spacing w:val="-3"/>
          <w:sz w:val="22"/>
          <w:szCs w:val="22"/>
        </w:rPr>
        <w:t>年以上）的购建或者生产活动才能达到预定可使用或者可销售状态的固定资</w:t>
      </w:r>
      <w:r>
        <w:rPr>
          <w:rFonts w:ascii="宋体" w:hAnsi="宋体" w:cs="宋体" w:eastAsia="宋体" w:hint="default"/>
          <w:spacing w:val="-99"/>
          <w:sz w:val="22"/>
          <w:szCs w:val="22"/>
        </w:rPr>
        <w:t> </w:t>
      </w:r>
      <w:r>
        <w:rPr>
          <w:rFonts w:ascii="宋体" w:hAnsi="宋体" w:cs="宋体" w:eastAsia="宋体" w:hint="default"/>
          <w:spacing w:val="-99"/>
          <w:sz w:val="22"/>
          <w:szCs w:val="22"/>
        </w:rPr>
      </w:r>
      <w:r>
        <w:rPr>
          <w:rFonts w:ascii="宋体" w:hAnsi="宋体" w:cs="宋体" w:eastAsia="宋体" w:hint="default"/>
          <w:sz w:val="22"/>
          <w:szCs w:val="22"/>
        </w:rPr>
        <w:t>产、无形资产和存货等资产。</w:t>
      </w:r>
    </w:p>
    <w:p>
      <w:pPr>
        <w:spacing w:line="292" w:lineRule="auto" w:before="83"/>
        <w:ind w:left="202" w:right="336" w:firstLine="439"/>
        <w:jc w:val="both"/>
        <w:rPr>
          <w:rFonts w:ascii="宋体" w:hAnsi="宋体" w:cs="宋体" w:eastAsia="宋体" w:hint="default"/>
          <w:sz w:val="22"/>
          <w:szCs w:val="22"/>
        </w:rPr>
      </w:pPr>
      <w:r>
        <w:rPr>
          <w:rFonts w:ascii="宋体" w:hAnsi="宋体" w:cs="宋体" w:eastAsia="宋体" w:hint="default"/>
          <w:spacing w:val="-3"/>
          <w:sz w:val="22"/>
          <w:szCs w:val="22"/>
        </w:rPr>
        <w:t>借款费用资本化的期间：当资产支出已经发生、借款费用已经发生且为使资产达到预</w:t>
      </w:r>
      <w:r>
        <w:rPr>
          <w:rFonts w:ascii="宋体" w:hAnsi="宋体" w:cs="宋体" w:eastAsia="宋体" w:hint="default"/>
          <w:w w:val="100"/>
          <w:sz w:val="22"/>
          <w:szCs w:val="22"/>
        </w:rPr>
        <w:t> </w:t>
      </w:r>
      <w:r>
        <w:rPr>
          <w:rFonts w:ascii="宋体" w:hAnsi="宋体" w:cs="宋体" w:eastAsia="宋体" w:hint="default"/>
          <w:spacing w:val="-3"/>
          <w:sz w:val="22"/>
          <w:szCs w:val="22"/>
        </w:rPr>
        <w:t>定可使用或者可销售状态所必要的购建或者生产活动已经开始时，本公司将与符合资本化</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条件的资产相关的借款费用开始资本化。若符合资本化条件的资产在购建或者生产过程中</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发生非正常中断、且中断时间连续超过</w:t>
      </w:r>
      <w:r>
        <w:rPr>
          <w:rFonts w:ascii="宋体" w:hAnsi="宋体" w:cs="宋体" w:eastAsia="宋体" w:hint="default"/>
          <w:spacing w:val="-29"/>
          <w:sz w:val="22"/>
          <w:szCs w:val="22"/>
        </w:rPr>
        <w:t> </w:t>
      </w:r>
      <w:r>
        <w:rPr>
          <w:rFonts w:ascii="Times New Roman" w:hAnsi="Times New Roman" w:cs="Times New Roman" w:eastAsia="Times New Roman" w:hint="default"/>
          <w:sz w:val="22"/>
          <w:szCs w:val="22"/>
        </w:rPr>
        <w:t>3</w:t>
      </w:r>
      <w:r>
        <w:rPr>
          <w:rFonts w:ascii="Times New Roman" w:hAnsi="Times New Roman" w:cs="Times New Roman" w:eastAsia="Times New Roman" w:hint="default"/>
          <w:spacing w:val="21"/>
          <w:sz w:val="22"/>
          <w:szCs w:val="22"/>
        </w:rPr>
        <w:t> </w:t>
      </w:r>
      <w:r>
        <w:rPr>
          <w:rFonts w:ascii="宋体" w:hAnsi="宋体" w:cs="宋体" w:eastAsia="宋体" w:hint="default"/>
          <w:spacing w:val="-4"/>
          <w:sz w:val="22"/>
          <w:szCs w:val="22"/>
        </w:rPr>
        <w:t>个月，则暂停借款费用的资本化；当购建或者生</w:t>
      </w:r>
      <w:r>
        <w:rPr>
          <w:rFonts w:ascii="宋体" w:hAnsi="宋体" w:cs="宋体" w:eastAsia="宋体" w:hint="default"/>
          <w:spacing w:val="-104"/>
          <w:sz w:val="22"/>
          <w:szCs w:val="22"/>
        </w:rPr>
        <w:t> </w:t>
      </w:r>
      <w:r>
        <w:rPr>
          <w:rFonts w:ascii="宋体" w:hAnsi="宋体" w:cs="宋体" w:eastAsia="宋体" w:hint="default"/>
          <w:spacing w:val="-104"/>
          <w:sz w:val="22"/>
          <w:szCs w:val="22"/>
        </w:rPr>
      </w:r>
      <w:r>
        <w:rPr>
          <w:rFonts w:ascii="宋体" w:hAnsi="宋体" w:cs="宋体" w:eastAsia="宋体" w:hint="default"/>
          <w:sz w:val="22"/>
          <w:szCs w:val="22"/>
        </w:rPr>
        <w:t>产符合资本化条件的资产达到预定可使用或者可销售状态时，借款费用停止资本化。</w:t>
      </w:r>
    </w:p>
    <w:p>
      <w:pPr>
        <w:spacing w:line="297" w:lineRule="auto" w:before="81"/>
        <w:ind w:left="202" w:right="335" w:firstLine="439"/>
        <w:jc w:val="both"/>
        <w:rPr>
          <w:rFonts w:ascii="宋体" w:hAnsi="宋体" w:cs="宋体" w:eastAsia="宋体" w:hint="default"/>
          <w:sz w:val="22"/>
          <w:szCs w:val="22"/>
        </w:rPr>
      </w:pPr>
      <w:r>
        <w:rPr>
          <w:rFonts w:ascii="宋体" w:hAnsi="宋体" w:cs="宋体" w:eastAsia="宋体" w:hint="default"/>
          <w:spacing w:val="-3"/>
          <w:sz w:val="22"/>
          <w:szCs w:val="22"/>
        </w:rPr>
        <w:t>借款费用资本化金额的计算方法：为购建或者生产符合资本化条件的资产而借入专门</w:t>
      </w:r>
      <w:r>
        <w:rPr>
          <w:rFonts w:ascii="宋体" w:hAnsi="宋体" w:cs="宋体" w:eastAsia="宋体" w:hint="default"/>
          <w:w w:val="100"/>
          <w:sz w:val="22"/>
          <w:szCs w:val="22"/>
        </w:rPr>
        <w:t> </w:t>
      </w:r>
      <w:r>
        <w:rPr>
          <w:rFonts w:ascii="宋体" w:hAnsi="宋体" w:cs="宋体" w:eastAsia="宋体" w:hint="default"/>
          <w:spacing w:val="-3"/>
          <w:sz w:val="22"/>
          <w:szCs w:val="22"/>
        </w:rPr>
        <w:t>借款时，本公司以专门借款当期实际发生的利息费用扣除将尚未动用的借款资金存入银行</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2"/>
          <w:sz w:val="22"/>
          <w:szCs w:val="22"/>
        </w:rPr>
        <w:t>取得的利息收入或进行暂时性投资取得的投资收益后的差额作为专门借款利息的资本化</w:t>
      </w:r>
      <w:r>
        <w:rPr>
          <w:rFonts w:ascii="宋体" w:hAnsi="宋体" w:cs="宋体" w:eastAsia="宋体" w:hint="default"/>
          <w:spacing w:val="-58"/>
          <w:sz w:val="22"/>
          <w:szCs w:val="22"/>
        </w:rPr>
        <w:t> </w:t>
      </w:r>
      <w:r>
        <w:rPr>
          <w:rFonts w:ascii="宋体" w:hAnsi="宋体" w:cs="宋体" w:eastAsia="宋体" w:hint="default"/>
          <w:spacing w:val="-58"/>
          <w:sz w:val="22"/>
          <w:szCs w:val="22"/>
        </w:rPr>
      </w:r>
      <w:r>
        <w:rPr>
          <w:rFonts w:ascii="宋体" w:hAnsi="宋体" w:cs="宋体" w:eastAsia="宋体" w:hint="default"/>
          <w:spacing w:val="-3"/>
          <w:sz w:val="22"/>
          <w:szCs w:val="22"/>
        </w:rPr>
        <w:t>金额。为购建或者生产符合资本化条件的资产占用一般借款时，本公司根据累计资产支出</w:t>
      </w:r>
      <w:r>
        <w:rPr>
          <w:rFonts w:ascii="宋体" w:hAnsi="宋体" w:cs="宋体" w:eastAsia="宋体" w:hint="default"/>
          <w:spacing w:val="-72"/>
          <w:sz w:val="22"/>
          <w:szCs w:val="22"/>
        </w:rPr>
        <w:t> </w:t>
      </w:r>
      <w:r>
        <w:rPr>
          <w:rFonts w:ascii="宋体" w:hAnsi="宋体" w:cs="宋体" w:eastAsia="宋体" w:hint="default"/>
          <w:spacing w:val="-72"/>
          <w:sz w:val="22"/>
          <w:szCs w:val="22"/>
        </w:rPr>
      </w:r>
      <w:r>
        <w:rPr>
          <w:rFonts w:ascii="宋体" w:hAnsi="宋体" w:cs="宋体" w:eastAsia="宋体" w:hint="default"/>
          <w:spacing w:val="-3"/>
          <w:sz w:val="22"/>
          <w:szCs w:val="22"/>
        </w:rPr>
        <w:t>超过专门借款部分的资产支出加权平均数乘以所占用一般借款的加权平均利率，计算确定</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一般借款应予资本化的利息金额。</w:t>
      </w:r>
    </w:p>
    <w:p>
      <w:pPr>
        <w:spacing w:line="326" w:lineRule="auto" w:before="77"/>
        <w:ind w:left="641" w:right="106"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21.</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无形资产</w:t>
      </w:r>
      <w:r>
        <w:rPr>
          <w:rFonts w:ascii="宋体" w:hAnsi="宋体" w:cs="宋体" w:eastAsia="宋体" w:hint="default"/>
          <w:w w:val="100"/>
          <w:sz w:val="22"/>
          <w:szCs w:val="22"/>
        </w:rPr>
        <w:t> </w:t>
      </w:r>
      <w:r>
        <w:rPr>
          <w:rFonts w:ascii="宋体" w:hAnsi="宋体" w:cs="宋体" w:eastAsia="宋体" w:hint="default"/>
          <w:spacing w:val="-3"/>
          <w:sz w:val="22"/>
          <w:szCs w:val="22"/>
        </w:rPr>
        <w:t>本公司无形资产主要包括土地及房屋使用权、专利权、非专利技术、商标权、特许经</w:t>
      </w:r>
    </w:p>
    <w:p>
      <w:pPr>
        <w:spacing w:line="297" w:lineRule="auto" w:before="0"/>
        <w:ind w:left="202" w:right="337" w:firstLine="0"/>
        <w:jc w:val="both"/>
        <w:rPr>
          <w:rFonts w:ascii="宋体" w:hAnsi="宋体" w:cs="宋体" w:eastAsia="宋体" w:hint="default"/>
          <w:sz w:val="22"/>
          <w:szCs w:val="22"/>
        </w:rPr>
      </w:pPr>
      <w:r>
        <w:rPr>
          <w:rFonts w:ascii="宋体" w:hAnsi="宋体" w:cs="宋体" w:eastAsia="宋体" w:hint="default"/>
          <w:spacing w:val="-3"/>
          <w:sz w:val="22"/>
          <w:szCs w:val="22"/>
        </w:rPr>
        <w:t>营权和专用软件使用权等。购入的无形资产，按实际支付的价款和相关的其他支出作为实</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际成本。投资者投入的无形资产，按投资合同或协议约定的价值确定实际成本，但合同或</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z w:val="22"/>
          <w:szCs w:val="22"/>
        </w:rPr>
        <w:t>协议约定价值不公允的，按公允价值确定实际成本。</w:t>
      </w:r>
    </w:p>
    <w:p>
      <w:pPr>
        <w:spacing w:line="297" w:lineRule="auto" w:before="77"/>
        <w:ind w:left="202" w:right="337" w:firstLine="439"/>
        <w:jc w:val="both"/>
        <w:rPr>
          <w:rFonts w:ascii="宋体" w:hAnsi="宋体" w:cs="宋体" w:eastAsia="宋体" w:hint="default"/>
          <w:sz w:val="22"/>
          <w:szCs w:val="22"/>
        </w:rPr>
      </w:pPr>
      <w:r>
        <w:rPr>
          <w:rFonts w:ascii="宋体" w:hAnsi="宋体" w:cs="宋体" w:eastAsia="宋体" w:hint="default"/>
          <w:spacing w:val="-3"/>
          <w:sz w:val="22"/>
          <w:szCs w:val="22"/>
        </w:rPr>
        <w:t>本公司的土地使用权从出让起始日起，按其出让年限平均摊销；本公司专利权、非专</w:t>
      </w:r>
      <w:r>
        <w:rPr>
          <w:rFonts w:ascii="宋体" w:hAnsi="宋体" w:cs="宋体" w:eastAsia="宋体" w:hint="default"/>
          <w:w w:val="100"/>
          <w:sz w:val="22"/>
          <w:szCs w:val="22"/>
        </w:rPr>
        <w:t> </w:t>
      </w:r>
      <w:r>
        <w:rPr>
          <w:rFonts w:ascii="宋体" w:hAnsi="宋体" w:cs="宋体" w:eastAsia="宋体" w:hint="default"/>
          <w:spacing w:val="-3"/>
          <w:sz w:val="22"/>
          <w:szCs w:val="22"/>
        </w:rPr>
        <w:t>利技术、专用软件使用权及其他无形资产按预计使用年限、合同规定的受益年限和法律规</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定的有效年限三者中最短者分期平均摊销。摊销金额计入当期损益或按其受益对象计入相</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关资产成本。</w:t>
      </w:r>
    </w:p>
    <w:p>
      <w:pPr>
        <w:spacing w:after="0" w:line="297" w:lineRule="auto"/>
        <w:jc w:val="both"/>
        <w:rPr>
          <w:rFonts w:ascii="宋体" w:hAnsi="宋体" w:cs="宋体" w:eastAsia="宋体" w:hint="default"/>
          <w:sz w:val="22"/>
          <w:szCs w:val="22"/>
        </w:rPr>
        <w:sectPr>
          <w:headerReference w:type="default" r:id="rId49"/>
          <w:footerReference w:type="default" r:id="rId50"/>
          <w:pgSz w:w="11910" w:h="16840"/>
          <w:pgMar w:header="0" w:footer="836" w:top="500" w:bottom="1020" w:left="1500" w:right="1360"/>
          <w:pgNumType w:start="97"/>
        </w:sectPr>
      </w:pPr>
    </w:p>
    <w:p>
      <w:pPr>
        <w:spacing w:line="240" w:lineRule="auto" w:before="6"/>
        <w:rPr>
          <w:rFonts w:ascii="宋体" w:hAnsi="宋体" w:cs="宋体" w:eastAsia="宋体" w:hint="default"/>
          <w:sz w:val="5"/>
          <w:szCs w:val="5"/>
        </w:rPr>
      </w:pPr>
    </w:p>
    <w:p>
      <w:pPr>
        <w:spacing w:line="417" w:lineRule="exact"/>
        <w:ind w:left="105" w:right="0" w:firstLine="0"/>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861822" cy="265175"/>
            <wp:effectExtent l="0" t="0" r="0" b="0"/>
            <wp:docPr id="27" name="image1.jpeg" descr=""/>
            <wp:cNvGraphicFramePr>
              <a:graphicFrameLocks noChangeAspect="1"/>
            </wp:cNvGraphicFramePr>
            <a:graphic>
              <a:graphicData uri="http://schemas.openxmlformats.org/drawingml/2006/picture">
                <pic:pic>
                  <pic:nvPicPr>
                    <pic:cNvPr id="28" name="image1.jpeg"/>
                    <pic:cNvPicPr/>
                  </pic:nvPicPr>
                  <pic:blipFill>
                    <a:blip r:embed="rId35" cstate="print"/>
                    <a:stretch>
                      <a:fillRect/>
                    </a:stretch>
                  </pic:blipFill>
                  <pic:spPr>
                    <a:xfrm>
                      <a:off x="0" y="0"/>
                      <a:ext cx="861822" cy="265175"/>
                    </a:xfrm>
                    <a:prstGeom prst="rect">
                      <a:avLst/>
                    </a:prstGeom>
                  </pic:spPr>
                </pic:pic>
              </a:graphicData>
            </a:graphic>
          </wp:inline>
        </w:drawing>
      </w:r>
      <w:r>
        <w:rPr>
          <w:rFonts w:ascii="宋体" w:hAnsi="宋体" w:cs="宋体" w:eastAsia="宋体" w:hint="default"/>
          <w:position w:val="-7"/>
          <w:sz w:val="20"/>
          <w:szCs w:val="20"/>
        </w:rPr>
      </w:r>
    </w:p>
    <w:p>
      <w:pPr>
        <w:spacing w:line="240" w:lineRule="auto" w:before="10"/>
        <w:rPr>
          <w:rFonts w:ascii="宋体" w:hAnsi="宋体" w:cs="宋体" w:eastAsia="宋体" w:hint="default"/>
          <w:sz w:val="5"/>
          <w:szCs w:val="5"/>
        </w:rPr>
      </w:pPr>
    </w:p>
    <w:p>
      <w:pPr>
        <w:spacing w:line="20" w:lineRule="exact"/>
        <w:ind w:left="166"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21"/>
          <w:szCs w:val="21"/>
        </w:rPr>
      </w:pPr>
    </w:p>
    <w:p>
      <w:pPr>
        <w:spacing w:line="297" w:lineRule="auto" w:before="32"/>
        <w:ind w:left="202" w:right="137" w:firstLine="439"/>
        <w:jc w:val="both"/>
        <w:rPr>
          <w:rFonts w:ascii="宋体" w:hAnsi="宋体" w:cs="宋体" w:eastAsia="宋体" w:hint="default"/>
          <w:sz w:val="22"/>
          <w:szCs w:val="22"/>
        </w:rPr>
      </w:pPr>
      <w:r>
        <w:rPr>
          <w:rFonts w:ascii="宋体" w:hAnsi="宋体" w:cs="宋体" w:eastAsia="宋体" w:hint="default"/>
          <w:spacing w:val="-3"/>
          <w:sz w:val="22"/>
          <w:szCs w:val="22"/>
        </w:rPr>
        <w:t>本公司于每年年度终了，对使用寿命有限的无形资产的预计使用寿命及摊销方法进行</w:t>
      </w:r>
      <w:r>
        <w:rPr>
          <w:rFonts w:ascii="宋体" w:hAnsi="宋体" w:cs="宋体" w:eastAsia="宋体" w:hint="default"/>
          <w:w w:val="100"/>
          <w:sz w:val="22"/>
          <w:szCs w:val="22"/>
        </w:rPr>
        <w:t> </w:t>
      </w:r>
      <w:r>
        <w:rPr>
          <w:rFonts w:ascii="宋体" w:hAnsi="宋体" w:cs="宋体" w:eastAsia="宋体" w:hint="default"/>
          <w:spacing w:val="-3"/>
          <w:sz w:val="22"/>
          <w:szCs w:val="22"/>
        </w:rPr>
        <w:t>复核，如有改变则进行调整；于每个会计期间，对使用寿命不确定的无形资产的预计使用</w:t>
      </w:r>
      <w:r>
        <w:rPr>
          <w:rFonts w:ascii="宋体" w:hAnsi="宋体" w:cs="宋体" w:eastAsia="宋体" w:hint="default"/>
          <w:spacing w:val="-76"/>
          <w:sz w:val="22"/>
          <w:szCs w:val="22"/>
        </w:rPr>
        <w:t> </w:t>
      </w:r>
      <w:r>
        <w:rPr>
          <w:rFonts w:ascii="宋体" w:hAnsi="宋体" w:cs="宋体" w:eastAsia="宋体" w:hint="default"/>
          <w:spacing w:val="-76"/>
          <w:sz w:val="22"/>
          <w:szCs w:val="22"/>
        </w:rPr>
      </w:r>
      <w:r>
        <w:rPr>
          <w:rFonts w:ascii="宋体" w:hAnsi="宋体" w:cs="宋体" w:eastAsia="宋体" w:hint="default"/>
          <w:spacing w:val="-3"/>
          <w:sz w:val="22"/>
          <w:szCs w:val="22"/>
        </w:rPr>
        <w:t>寿命进行复核，对于有证据表明无形资产的使用寿命是有限的，则估计其使用寿命并在预</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计使用寿命内摊销。</w:t>
      </w:r>
    </w:p>
    <w:p>
      <w:pPr>
        <w:spacing w:line="295" w:lineRule="auto" w:before="77"/>
        <w:ind w:left="202" w:right="140" w:firstLine="439"/>
        <w:jc w:val="both"/>
        <w:rPr>
          <w:rFonts w:ascii="宋体" w:hAnsi="宋体" w:cs="宋体" w:eastAsia="宋体" w:hint="default"/>
          <w:sz w:val="22"/>
          <w:szCs w:val="22"/>
        </w:rPr>
      </w:pPr>
      <w:r>
        <w:rPr>
          <w:rFonts w:ascii="宋体" w:hAnsi="宋体" w:cs="宋体" w:eastAsia="宋体" w:hint="default"/>
          <w:spacing w:val="2"/>
          <w:sz w:val="22"/>
          <w:szCs w:val="22"/>
        </w:rPr>
        <w:t>本公司内部研究开发项目支出根据其性质以及研发活动最终形成无形资产是否具有</w:t>
      </w:r>
      <w:r>
        <w:rPr>
          <w:rFonts w:ascii="宋体" w:hAnsi="宋体" w:cs="宋体" w:eastAsia="宋体" w:hint="default"/>
          <w:w w:val="100"/>
          <w:sz w:val="22"/>
          <w:szCs w:val="22"/>
        </w:rPr>
        <w:t> </w:t>
      </w:r>
      <w:r>
        <w:rPr>
          <w:rFonts w:ascii="宋体" w:hAnsi="宋体" w:cs="宋体" w:eastAsia="宋体" w:hint="default"/>
          <w:sz w:val="22"/>
          <w:szCs w:val="22"/>
        </w:rPr>
        <w:t>较大不确定性，分为研究阶段支出和开发阶段支出。</w:t>
      </w:r>
    </w:p>
    <w:p>
      <w:pPr>
        <w:spacing w:line="297" w:lineRule="auto" w:before="79"/>
        <w:ind w:left="202" w:right="137" w:firstLine="439"/>
        <w:jc w:val="both"/>
        <w:rPr>
          <w:rFonts w:ascii="宋体" w:hAnsi="宋体" w:cs="宋体" w:eastAsia="宋体" w:hint="default"/>
          <w:sz w:val="22"/>
          <w:szCs w:val="22"/>
        </w:rPr>
      </w:pPr>
      <w:r>
        <w:rPr>
          <w:rFonts w:ascii="宋体" w:hAnsi="宋体" w:cs="宋体" w:eastAsia="宋体" w:hint="default"/>
          <w:spacing w:val="-3"/>
          <w:sz w:val="22"/>
          <w:szCs w:val="22"/>
        </w:rPr>
        <w:t>自行研究开发的无形资产，其研究阶段的支出，于发生时计入当期损益；其开发阶段</w:t>
      </w:r>
      <w:r>
        <w:rPr>
          <w:rFonts w:ascii="宋体" w:hAnsi="宋体" w:cs="宋体" w:eastAsia="宋体" w:hint="default"/>
          <w:w w:val="100"/>
          <w:sz w:val="22"/>
          <w:szCs w:val="22"/>
        </w:rPr>
        <w:t> </w:t>
      </w:r>
      <w:r>
        <w:rPr>
          <w:rFonts w:ascii="宋体" w:hAnsi="宋体" w:cs="宋体" w:eastAsia="宋体" w:hint="default"/>
          <w:sz w:val="22"/>
          <w:szCs w:val="22"/>
        </w:rPr>
        <w:t>的支出，同时满足下列条件的，确认为资产：</w:t>
      </w:r>
    </w:p>
    <w:p>
      <w:pPr>
        <w:spacing w:before="74"/>
        <w:ind w:left="65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25"/>
          <w:sz w:val="22"/>
          <w:szCs w:val="22"/>
        </w:rPr>
        <w:t> </w:t>
      </w:r>
      <w:r>
        <w:rPr>
          <w:rFonts w:ascii="宋体" w:hAnsi="宋体" w:cs="宋体" w:eastAsia="宋体" w:hint="default"/>
          <w:sz w:val="22"/>
          <w:szCs w:val="22"/>
        </w:rPr>
        <w:t>完成该无形资产以使其能够使用或出售在技术上具有可行性；</w:t>
      </w:r>
    </w:p>
    <w:p>
      <w:pPr>
        <w:spacing w:before="113"/>
        <w:ind w:left="65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28"/>
          <w:sz w:val="22"/>
          <w:szCs w:val="22"/>
        </w:rPr>
        <w:t> </w:t>
      </w:r>
      <w:r>
        <w:rPr>
          <w:rFonts w:ascii="宋体" w:hAnsi="宋体" w:cs="宋体" w:eastAsia="宋体" w:hint="default"/>
          <w:sz w:val="22"/>
          <w:szCs w:val="22"/>
        </w:rPr>
        <w:t>具有完成该无形资产并使用或出售的意图；</w:t>
      </w:r>
    </w:p>
    <w:p>
      <w:pPr>
        <w:spacing w:before="111"/>
        <w:ind w:left="65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26"/>
          <w:sz w:val="22"/>
          <w:szCs w:val="22"/>
        </w:rPr>
        <w:t> </w:t>
      </w:r>
      <w:r>
        <w:rPr>
          <w:rFonts w:ascii="宋体" w:hAnsi="宋体" w:cs="宋体" w:eastAsia="宋体" w:hint="default"/>
          <w:sz w:val="22"/>
          <w:szCs w:val="22"/>
        </w:rPr>
        <w:t>运用该无形资产生产的产品存在市场或无形资产自身存在市场；</w:t>
      </w:r>
    </w:p>
    <w:p>
      <w:pPr>
        <w:spacing w:line="280" w:lineRule="auto" w:before="113"/>
        <w:ind w:left="202" w:right="132" w:firstLine="453"/>
        <w:jc w:val="both"/>
        <w:rPr>
          <w:rFonts w:ascii="宋体" w:hAnsi="宋体" w:cs="宋体" w:eastAsia="宋体" w:hint="default"/>
          <w:sz w:val="22"/>
          <w:szCs w:val="22"/>
        </w:rPr>
      </w:pPr>
      <w:r>
        <w:rPr>
          <w:rFonts w:ascii="Times New Roman" w:hAnsi="Times New Roman" w:cs="Times New Roman" w:eastAsia="Times New Roman" w:hint="default"/>
          <w:b/>
          <w:bCs/>
          <w:sz w:val="22"/>
          <w:szCs w:val="22"/>
        </w:rPr>
        <w:t>(4)</w:t>
      </w:r>
      <w:r>
        <w:rPr>
          <w:rFonts w:ascii="Times New Roman" w:hAnsi="Times New Roman" w:cs="Times New Roman" w:eastAsia="Times New Roman" w:hint="default"/>
          <w:b/>
          <w:bCs/>
          <w:spacing w:val="13"/>
          <w:sz w:val="22"/>
          <w:szCs w:val="22"/>
        </w:rPr>
        <w:t> </w:t>
      </w:r>
      <w:r>
        <w:rPr>
          <w:rFonts w:ascii="宋体" w:hAnsi="宋体" w:cs="宋体" w:eastAsia="宋体" w:hint="default"/>
          <w:spacing w:val="-4"/>
          <w:sz w:val="22"/>
          <w:szCs w:val="22"/>
        </w:rPr>
        <w:t>有足够的技术、财务资源和其他资源支持，以完成该无形资产的开发，并有能力</w:t>
      </w:r>
      <w:r>
        <w:rPr>
          <w:rFonts w:ascii="宋体" w:hAnsi="宋体" w:cs="宋体" w:eastAsia="宋体" w:hint="default"/>
          <w:w w:val="100"/>
          <w:sz w:val="22"/>
          <w:szCs w:val="22"/>
        </w:rPr>
        <w:t> </w:t>
      </w:r>
      <w:r>
        <w:rPr>
          <w:rFonts w:ascii="宋体" w:hAnsi="宋体" w:cs="宋体" w:eastAsia="宋体" w:hint="default"/>
          <w:sz w:val="22"/>
          <w:szCs w:val="22"/>
        </w:rPr>
        <w:t>使用或出售该无形资产；</w:t>
      </w:r>
    </w:p>
    <w:p>
      <w:pPr>
        <w:spacing w:line="328" w:lineRule="auto" w:before="90"/>
        <w:ind w:left="641" w:right="0"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归属于该无形资产开发阶段的支出能够可靠地计量。</w:t>
      </w:r>
      <w:r>
        <w:rPr>
          <w:rFonts w:ascii="宋体" w:hAnsi="宋体" w:cs="宋体" w:eastAsia="宋体" w:hint="default"/>
          <w:w w:val="100"/>
          <w:sz w:val="22"/>
          <w:szCs w:val="22"/>
        </w:rPr>
        <w:t> </w:t>
      </w:r>
      <w:r>
        <w:rPr>
          <w:rFonts w:ascii="宋体" w:hAnsi="宋体" w:cs="宋体" w:eastAsia="宋体" w:hint="default"/>
          <w:spacing w:val="-3"/>
          <w:sz w:val="22"/>
          <w:szCs w:val="22"/>
        </w:rPr>
        <w:t>不满足上述条件的开发阶段的支出，于发生时计入当期损益。前期已计入损益的开发</w:t>
      </w:r>
    </w:p>
    <w:p>
      <w:pPr>
        <w:spacing w:line="274" w:lineRule="exact" w:before="0"/>
        <w:ind w:left="202" w:right="0" w:firstLine="0"/>
        <w:jc w:val="both"/>
        <w:rPr>
          <w:rFonts w:ascii="宋体" w:hAnsi="宋体" w:cs="宋体" w:eastAsia="宋体" w:hint="default"/>
          <w:sz w:val="22"/>
          <w:szCs w:val="22"/>
        </w:rPr>
      </w:pPr>
      <w:r>
        <w:rPr>
          <w:rFonts w:ascii="宋体" w:hAnsi="宋体" w:cs="宋体" w:eastAsia="宋体" w:hint="default"/>
          <w:spacing w:val="-3"/>
          <w:sz w:val="22"/>
          <w:szCs w:val="22"/>
        </w:rPr>
        <w:t>支出不在以后期间确认为资产。已资本化的开发阶段的支出在资产负债表上列示为开发支</w:t>
      </w:r>
    </w:p>
    <w:p>
      <w:pPr>
        <w:spacing w:before="69"/>
        <w:ind w:left="202" w:right="0" w:firstLine="0"/>
        <w:jc w:val="both"/>
        <w:rPr>
          <w:rFonts w:ascii="宋体" w:hAnsi="宋体" w:cs="宋体" w:eastAsia="宋体" w:hint="default"/>
          <w:sz w:val="22"/>
          <w:szCs w:val="22"/>
        </w:rPr>
      </w:pPr>
      <w:r>
        <w:rPr>
          <w:rFonts w:ascii="宋体" w:hAnsi="宋体" w:cs="宋体" w:eastAsia="宋体" w:hint="default"/>
          <w:sz w:val="22"/>
          <w:szCs w:val="22"/>
        </w:rPr>
        <w:t>出，自该项目达到预定可使用状态之日起转为无形资产。</w:t>
      </w:r>
    </w:p>
    <w:p>
      <w:pPr>
        <w:spacing w:line="326" w:lineRule="auto" w:before="129"/>
        <w:ind w:left="641" w:right="0"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22.</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长期资产减值</w:t>
      </w:r>
      <w:r>
        <w:rPr>
          <w:rFonts w:ascii="宋体" w:hAnsi="宋体" w:cs="宋体" w:eastAsia="宋体" w:hint="default"/>
          <w:w w:val="100"/>
          <w:sz w:val="22"/>
          <w:szCs w:val="22"/>
        </w:rPr>
        <w:t> </w:t>
      </w:r>
      <w:r>
        <w:rPr>
          <w:rFonts w:ascii="宋体" w:hAnsi="宋体" w:cs="宋体" w:eastAsia="宋体" w:hint="default"/>
          <w:spacing w:val="-3"/>
          <w:sz w:val="22"/>
          <w:szCs w:val="22"/>
        </w:rPr>
        <w:t>本公司于每一资产负债表日对子公司、合营企业和联营企业的长期股权投资、固定资</w:t>
      </w:r>
    </w:p>
    <w:p>
      <w:pPr>
        <w:spacing w:line="297" w:lineRule="auto" w:before="0"/>
        <w:ind w:left="202" w:right="135" w:firstLine="0"/>
        <w:jc w:val="both"/>
        <w:rPr>
          <w:rFonts w:ascii="宋体" w:hAnsi="宋体" w:cs="宋体" w:eastAsia="宋体" w:hint="default"/>
          <w:sz w:val="22"/>
          <w:szCs w:val="22"/>
        </w:rPr>
      </w:pPr>
      <w:r>
        <w:rPr>
          <w:rFonts w:ascii="宋体" w:hAnsi="宋体" w:cs="宋体" w:eastAsia="宋体" w:hint="default"/>
          <w:spacing w:val="-3"/>
          <w:sz w:val="22"/>
          <w:szCs w:val="22"/>
        </w:rPr>
        <w:t>产、在建工程、使用寿命确定的无形资产等项目进行检查，当存在下列迹象时，表明资产</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pacing w:val="-3"/>
          <w:sz w:val="22"/>
          <w:szCs w:val="22"/>
        </w:rPr>
        <w:t>可能发生了减值，本公司将进行减值测试；对商誉和受益年限不确定的无形资产，无论是</w:t>
      </w:r>
      <w:r>
        <w:rPr>
          <w:rFonts w:ascii="宋体" w:hAnsi="宋体" w:cs="宋体" w:eastAsia="宋体" w:hint="default"/>
          <w:spacing w:val="-76"/>
          <w:sz w:val="22"/>
          <w:szCs w:val="22"/>
        </w:rPr>
        <w:t> </w:t>
      </w:r>
      <w:r>
        <w:rPr>
          <w:rFonts w:ascii="宋体" w:hAnsi="宋体" w:cs="宋体" w:eastAsia="宋体" w:hint="default"/>
          <w:spacing w:val="-76"/>
          <w:sz w:val="22"/>
          <w:szCs w:val="22"/>
        </w:rPr>
      </w:r>
      <w:r>
        <w:rPr>
          <w:rFonts w:ascii="宋体" w:hAnsi="宋体" w:cs="宋体" w:eastAsia="宋体" w:hint="default"/>
          <w:spacing w:val="-3"/>
          <w:sz w:val="22"/>
          <w:szCs w:val="22"/>
        </w:rPr>
        <w:t>否存在减值迹象，每年末均进行减值测试。难以对单项资产的可收回金额进行测试的，以</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z w:val="22"/>
          <w:szCs w:val="22"/>
        </w:rPr>
        <w:t>该资产所属的资产组或资产组组合为基础测试。</w:t>
      </w:r>
    </w:p>
    <w:p>
      <w:pPr>
        <w:spacing w:line="297" w:lineRule="auto" w:before="74"/>
        <w:ind w:left="202" w:right="137" w:firstLine="439"/>
        <w:jc w:val="both"/>
        <w:rPr>
          <w:rFonts w:ascii="宋体" w:hAnsi="宋体" w:cs="宋体" w:eastAsia="宋体" w:hint="default"/>
          <w:sz w:val="22"/>
          <w:szCs w:val="22"/>
        </w:rPr>
      </w:pPr>
      <w:r>
        <w:rPr>
          <w:rFonts w:ascii="宋体" w:hAnsi="宋体" w:cs="宋体" w:eastAsia="宋体" w:hint="default"/>
          <w:spacing w:val="-3"/>
          <w:sz w:val="22"/>
          <w:szCs w:val="22"/>
        </w:rPr>
        <w:t>减值测试后，若该资产的账面价值超过其可收回金额，其差额确认为减值损失，上述</w:t>
      </w:r>
      <w:r>
        <w:rPr>
          <w:rFonts w:ascii="宋体" w:hAnsi="宋体" w:cs="宋体" w:eastAsia="宋体" w:hint="default"/>
          <w:w w:val="100"/>
          <w:sz w:val="22"/>
          <w:szCs w:val="22"/>
        </w:rPr>
        <w:t> </w:t>
      </w:r>
      <w:r>
        <w:rPr>
          <w:rFonts w:ascii="宋体" w:hAnsi="宋体" w:cs="宋体" w:eastAsia="宋体" w:hint="default"/>
          <w:spacing w:val="-3"/>
          <w:sz w:val="22"/>
          <w:szCs w:val="22"/>
        </w:rPr>
        <w:t>资产的减值损失一经确认，在以后会计期间不予转回。资产的可收回金额是指资产的公允</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价值减去处置费用后的净额与资产预计未来现金流量的现值两者之间的较高者。</w:t>
      </w:r>
    </w:p>
    <w:p>
      <w:pPr>
        <w:spacing w:before="77"/>
        <w:ind w:left="641" w:right="0" w:firstLine="0"/>
        <w:jc w:val="left"/>
        <w:rPr>
          <w:rFonts w:ascii="宋体" w:hAnsi="宋体" w:cs="宋体" w:eastAsia="宋体" w:hint="default"/>
          <w:sz w:val="22"/>
          <w:szCs w:val="22"/>
        </w:rPr>
      </w:pPr>
      <w:r>
        <w:rPr>
          <w:rFonts w:ascii="宋体" w:hAnsi="宋体" w:cs="宋体" w:eastAsia="宋体" w:hint="default"/>
          <w:sz w:val="22"/>
          <w:szCs w:val="22"/>
        </w:rPr>
        <w:t>出现减值的迹象如下：</w:t>
      </w:r>
    </w:p>
    <w:p>
      <w:pPr>
        <w:spacing w:line="280" w:lineRule="auto" w:before="129"/>
        <w:ind w:left="202" w:right="137" w:firstLine="453"/>
        <w:jc w:val="both"/>
        <w:rPr>
          <w:rFonts w:ascii="宋体" w:hAnsi="宋体" w:cs="宋体" w:eastAsia="宋体" w:hint="default"/>
          <w:sz w:val="22"/>
          <w:szCs w:val="22"/>
        </w:rPr>
      </w:pPr>
      <w:r>
        <w:rPr>
          <w:rFonts w:ascii="Times New Roman" w:hAnsi="Times New Roman" w:cs="Times New Roman" w:eastAsia="Times New Roman" w:hint="default"/>
          <w:b/>
          <w:bCs/>
          <w:w w:val="100"/>
          <w:sz w:val="22"/>
          <w:szCs w:val="22"/>
        </w:rPr>
        <w:t>(1)</w:t>
      </w:r>
      <w:r>
        <w:rPr>
          <w:rFonts w:ascii="Times New Roman" w:hAnsi="Times New Roman" w:cs="Times New Roman" w:eastAsia="Times New Roman" w:hint="default"/>
          <w:b/>
          <w:bCs/>
          <w:spacing w:val="35"/>
          <w:w w:val="100"/>
          <w:sz w:val="22"/>
          <w:szCs w:val="22"/>
        </w:rPr>
        <w:t> </w:t>
      </w:r>
      <w:r>
        <w:rPr>
          <w:rFonts w:ascii="宋体" w:hAnsi="宋体" w:cs="宋体" w:eastAsia="宋体" w:hint="default"/>
          <w:spacing w:val="-4"/>
          <w:w w:val="100"/>
          <w:sz w:val="22"/>
          <w:szCs w:val="22"/>
        </w:rPr>
        <w:t>资产的市价当期大幅度下跌，其跌幅明显高于因时间的推移或者正常使用而预计</w:t>
      </w:r>
      <w:r>
        <w:rPr>
          <w:rFonts w:ascii="宋体" w:hAnsi="宋体" w:cs="宋体" w:eastAsia="宋体" w:hint="default"/>
          <w:w w:val="100"/>
          <w:sz w:val="22"/>
          <w:szCs w:val="22"/>
        </w:rPr>
        <w:t> </w:t>
      </w:r>
      <w:r>
        <w:rPr>
          <w:rFonts w:ascii="宋体" w:hAnsi="宋体" w:cs="宋体" w:eastAsia="宋体" w:hint="default"/>
          <w:sz w:val="22"/>
          <w:szCs w:val="22"/>
        </w:rPr>
        <w:t>的下跌；</w:t>
      </w:r>
    </w:p>
    <w:p>
      <w:pPr>
        <w:spacing w:line="280" w:lineRule="auto" w:before="93"/>
        <w:ind w:left="202" w:right="137" w:firstLine="453"/>
        <w:jc w:val="both"/>
        <w:rPr>
          <w:rFonts w:ascii="宋体" w:hAnsi="宋体" w:cs="宋体" w:eastAsia="宋体" w:hint="default"/>
          <w:sz w:val="22"/>
          <w:szCs w:val="22"/>
        </w:rPr>
      </w:pPr>
      <w:r>
        <w:rPr>
          <w:rFonts w:ascii="Times New Roman" w:hAnsi="Times New Roman" w:cs="Times New Roman" w:eastAsia="Times New Roman" w:hint="default"/>
          <w:b/>
          <w:bCs/>
          <w:w w:val="100"/>
          <w:sz w:val="22"/>
          <w:szCs w:val="22"/>
        </w:rPr>
        <w:t>(2)</w:t>
      </w:r>
      <w:r>
        <w:rPr>
          <w:rFonts w:ascii="Times New Roman" w:hAnsi="Times New Roman" w:cs="Times New Roman" w:eastAsia="Times New Roman" w:hint="default"/>
          <w:b/>
          <w:bCs/>
          <w:spacing w:val="35"/>
          <w:w w:val="100"/>
          <w:sz w:val="22"/>
          <w:szCs w:val="22"/>
        </w:rPr>
        <w:t> </w:t>
      </w:r>
      <w:r>
        <w:rPr>
          <w:rFonts w:ascii="宋体" w:hAnsi="宋体" w:cs="宋体" w:eastAsia="宋体" w:hint="default"/>
          <w:spacing w:val="-4"/>
          <w:w w:val="100"/>
          <w:sz w:val="22"/>
          <w:szCs w:val="22"/>
        </w:rPr>
        <w:t>企业经营所处的经济、技术或者法律等环境以及资产所处的市场在当期或者将在</w:t>
      </w:r>
      <w:r>
        <w:rPr>
          <w:rFonts w:ascii="宋体" w:hAnsi="宋体" w:cs="宋体" w:eastAsia="宋体" w:hint="default"/>
          <w:w w:val="100"/>
          <w:sz w:val="22"/>
          <w:szCs w:val="22"/>
        </w:rPr>
        <w:t> </w:t>
      </w:r>
      <w:r>
        <w:rPr>
          <w:rFonts w:ascii="宋体" w:hAnsi="宋体" w:cs="宋体" w:eastAsia="宋体" w:hint="default"/>
          <w:sz w:val="22"/>
          <w:szCs w:val="22"/>
        </w:rPr>
        <w:t>近期发生重大变化，从而对企业产生不利影响；</w:t>
      </w:r>
    </w:p>
    <w:p>
      <w:pPr>
        <w:spacing w:line="280" w:lineRule="auto" w:before="92"/>
        <w:ind w:left="202" w:right="137" w:firstLine="453"/>
        <w:jc w:val="both"/>
        <w:rPr>
          <w:rFonts w:ascii="宋体" w:hAnsi="宋体" w:cs="宋体" w:eastAsia="宋体" w:hint="default"/>
          <w:sz w:val="22"/>
          <w:szCs w:val="22"/>
        </w:rPr>
      </w:pPr>
      <w:r>
        <w:rPr>
          <w:rFonts w:ascii="Times New Roman" w:hAnsi="Times New Roman" w:cs="Times New Roman" w:eastAsia="Times New Roman" w:hint="default"/>
          <w:b/>
          <w:bCs/>
          <w:w w:val="100"/>
          <w:sz w:val="22"/>
          <w:szCs w:val="22"/>
        </w:rPr>
        <w:t>(3)</w:t>
      </w:r>
      <w:r>
        <w:rPr>
          <w:rFonts w:ascii="Times New Roman" w:hAnsi="Times New Roman" w:cs="Times New Roman" w:eastAsia="Times New Roman" w:hint="default"/>
          <w:b/>
          <w:bCs/>
          <w:spacing w:val="35"/>
          <w:w w:val="100"/>
          <w:sz w:val="22"/>
          <w:szCs w:val="22"/>
        </w:rPr>
        <w:t> </w:t>
      </w:r>
      <w:r>
        <w:rPr>
          <w:rFonts w:ascii="宋体" w:hAnsi="宋体" w:cs="宋体" w:eastAsia="宋体" w:hint="default"/>
          <w:spacing w:val="-4"/>
          <w:w w:val="100"/>
          <w:sz w:val="22"/>
          <w:szCs w:val="22"/>
        </w:rPr>
        <w:t>市场利率或者其他市场投资报酬率在当期已经提高，从而影响企业计算资产预计</w:t>
      </w:r>
      <w:r>
        <w:rPr>
          <w:rFonts w:ascii="宋体" w:hAnsi="宋体" w:cs="宋体" w:eastAsia="宋体" w:hint="default"/>
          <w:w w:val="100"/>
          <w:sz w:val="22"/>
          <w:szCs w:val="22"/>
        </w:rPr>
        <w:t> </w:t>
      </w:r>
      <w:r>
        <w:rPr>
          <w:rFonts w:ascii="宋体" w:hAnsi="宋体" w:cs="宋体" w:eastAsia="宋体" w:hint="default"/>
          <w:sz w:val="22"/>
          <w:szCs w:val="22"/>
        </w:rPr>
        <w:t>未来现金流量现值的折现率，导致资产可收回金额大幅度降低；</w:t>
      </w:r>
    </w:p>
    <w:p>
      <w:pPr>
        <w:spacing w:before="90"/>
        <w:ind w:left="65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  </w:t>
      </w:r>
      <w:r>
        <w:rPr>
          <w:rFonts w:ascii="Times New Roman" w:hAnsi="Times New Roman" w:cs="Times New Roman" w:eastAsia="Times New Roman" w:hint="default"/>
          <w:b/>
          <w:bCs/>
          <w:spacing w:val="25"/>
          <w:sz w:val="22"/>
          <w:szCs w:val="22"/>
        </w:rPr>
        <w:t> </w:t>
      </w:r>
      <w:r>
        <w:rPr>
          <w:rFonts w:ascii="宋体" w:hAnsi="宋体" w:cs="宋体" w:eastAsia="宋体" w:hint="default"/>
          <w:sz w:val="22"/>
          <w:szCs w:val="22"/>
        </w:rPr>
        <w:t>有证据表明资产已经陈旧过时或者其实体已经损坏；</w:t>
      </w:r>
    </w:p>
    <w:p>
      <w:pPr>
        <w:spacing w:before="113"/>
        <w:ind w:left="65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  </w:t>
      </w:r>
      <w:r>
        <w:rPr>
          <w:rFonts w:ascii="Times New Roman" w:hAnsi="Times New Roman" w:cs="Times New Roman" w:eastAsia="Times New Roman" w:hint="default"/>
          <w:b/>
          <w:bCs/>
          <w:spacing w:val="26"/>
          <w:sz w:val="22"/>
          <w:szCs w:val="22"/>
        </w:rPr>
        <w:t> </w:t>
      </w:r>
      <w:r>
        <w:rPr>
          <w:rFonts w:ascii="宋体" w:hAnsi="宋体" w:cs="宋体" w:eastAsia="宋体" w:hint="default"/>
          <w:sz w:val="22"/>
          <w:szCs w:val="22"/>
        </w:rPr>
        <w:t>资产已经或者将被闲置、终止使用或者计划提前处置；</w:t>
      </w:r>
    </w:p>
    <w:p>
      <w:pPr>
        <w:spacing w:after="0"/>
        <w:jc w:val="left"/>
        <w:rPr>
          <w:rFonts w:ascii="宋体" w:hAnsi="宋体" w:cs="宋体" w:eastAsia="宋体" w:hint="default"/>
          <w:sz w:val="22"/>
          <w:szCs w:val="22"/>
        </w:rPr>
        <w:sectPr>
          <w:headerReference w:type="default" r:id="rId51"/>
          <w:footerReference w:type="default" r:id="rId52"/>
          <w:pgSz w:w="11910" w:h="16840"/>
          <w:pgMar w:header="0" w:footer="836" w:top="500" w:bottom="1020" w:left="1500" w:right="1560"/>
          <w:pgNumType w:start="98"/>
        </w:sectPr>
      </w:pPr>
    </w:p>
    <w:p>
      <w:pPr>
        <w:spacing w:line="240" w:lineRule="auto" w:before="6"/>
        <w:rPr>
          <w:rFonts w:ascii="宋体" w:hAnsi="宋体" w:cs="宋体" w:eastAsia="宋体" w:hint="default"/>
          <w:sz w:val="5"/>
          <w:szCs w:val="5"/>
        </w:rPr>
      </w:pPr>
    </w:p>
    <w:p>
      <w:pPr>
        <w:spacing w:line="417" w:lineRule="exact"/>
        <w:ind w:left="105" w:right="0" w:firstLine="0"/>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861822" cy="265175"/>
            <wp:effectExtent l="0" t="0" r="0" b="0"/>
            <wp:docPr id="29" name="image1.jpeg" descr=""/>
            <wp:cNvGraphicFramePr>
              <a:graphicFrameLocks noChangeAspect="1"/>
            </wp:cNvGraphicFramePr>
            <a:graphic>
              <a:graphicData uri="http://schemas.openxmlformats.org/drawingml/2006/picture">
                <pic:pic>
                  <pic:nvPicPr>
                    <pic:cNvPr id="30" name="image1.jpeg"/>
                    <pic:cNvPicPr/>
                  </pic:nvPicPr>
                  <pic:blipFill>
                    <a:blip r:embed="rId35" cstate="print"/>
                    <a:stretch>
                      <a:fillRect/>
                    </a:stretch>
                  </pic:blipFill>
                  <pic:spPr>
                    <a:xfrm>
                      <a:off x="0" y="0"/>
                      <a:ext cx="861822" cy="265175"/>
                    </a:xfrm>
                    <a:prstGeom prst="rect">
                      <a:avLst/>
                    </a:prstGeom>
                  </pic:spPr>
                </pic:pic>
              </a:graphicData>
            </a:graphic>
          </wp:inline>
        </w:drawing>
      </w:r>
      <w:r>
        <w:rPr>
          <w:rFonts w:ascii="宋体" w:hAnsi="宋体" w:cs="宋体" w:eastAsia="宋体" w:hint="default"/>
          <w:position w:val="-7"/>
          <w:sz w:val="20"/>
          <w:szCs w:val="20"/>
        </w:rPr>
      </w:r>
    </w:p>
    <w:p>
      <w:pPr>
        <w:spacing w:line="240" w:lineRule="auto" w:before="10"/>
        <w:rPr>
          <w:rFonts w:ascii="宋体" w:hAnsi="宋体" w:cs="宋体" w:eastAsia="宋体" w:hint="default"/>
          <w:sz w:val="5"/>
          <w:szCs w:val="5"/>
        </w:rPr>
      </w:pPr>
    </w:p>
    <w:p>
      <w:pPr>
        <w:spacing w:line="20" w:lineRule="exact"/>
        <w:ind w:left="166"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21"/>
          <w:szCs w:val="21"/>
        </w:rPr>
      </w:pPr>
    </w:p>
    <w:p>
      <w:pPr>
        <w:spacing w:line="283" w:lineRule="auto" w:before="32"/>
        <w:ind w:left="202" w:right="217" w:firstLine="453"/>
        <w:jc w:val="both"/>
        <w:rPr>
          <w:rFonts w:ascii="宋体" w:hAnsi="宋体" w:cs="宋体" w:eastAsia="宋体" w:hint="default"/>
          <w:sz w:val="22"/>
          <w:szCs w:val="22"/>
        </w:rPr>
      </w:pPr>
      <w:r>
        <w:rPr>
          <w:rFonts w:ascii="Times New Roman" w:hAnsi="Times New Roman" w:cs="Times New Roman" w:eastAsia="Times New Roman" w:hint="default"/>
          <w:b/>
          <w:bCs/>
          <w:w w:val="100"/>
          <w:sz w:val="22"/>
          <w:szCs w:val="22"/>
        </w:rPr>
        <w:t>(6)</w:t>
      </w:r>
      <w:r>
        <w:rPr>
          <w:rFonts w:ascii="Times New Roman" w:hAnsi="Times New Roman" w:cs="Times New Roman" w:eastAsia="Times New Roman" w:hint="default"/>
          <w:b/>
          <w:bCs/>
          <w:spacing w:val="35"/>
          <w:w w:val="100"/>
          <w:sz w:val="22"/>
          <w:szCs w:val="22"/>
        </w:rPr>
        <w:t> </w:t>
      </w:r>
      <w:r>
        <w:rPr>
          <w:rFonts w:ascii="宋体" w:hAnsi="宋体" w:cs="宋体" w:eastAsia="宋体" w:hint="default"/>
          <w:spacing w:val="-4"/>
          <w:w w:val="100"/>
          <w:sz w:val="22"/>
          <w:szCs w:val="22"/>
        </w:rPr>
        <w:t>企业内部报告的证据表明资产的经济绩效已经低于或者将低于预期，如资产所创</w:t>
      </w:r>
      <w:r>
        <w:rPr>
          <w:rFonts w:ascii="宋体" w:hAnsi="宋体" w:cs="宋体" w:eastAsia="宋体" w:hint="default"/>
          <w:w w:val="100"/>
          <w:sz w:val="22"/>
          <w:szCs w:val="22"/>
        </w:rPr>
        <w:t> </w:t>
      </w:r>
      <w:r>
        <w:rPr>
          <w:rFonts w:ascii="宋体" w:hAnsi="宋体" w:cs="宋体" w:eastAsia="宋体" w:hint="default"/>
          <w:sz w:val="22"/>
          <w:szCs w:val="22"/>
        </w:rPr>
        <w:t>造的净现金流量或者实现的营业利润（或者亏损）远远低于（或者高于）预计金额等；</w:t>
      </w:r>
    </w:p>
    <w:p>
      <w:pPr>
        <w:spacing w:before="90"/>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(7)  </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其他表明资产可能已经发生减值的迹象。</w:t>
      </w:r>
    </w:p>
    <w:p>
      <w:pPr>
        <w:spacing w:before="110"/>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23. </w:t>
      </w:r>
      <w:r>
        <w:rPr>
          <w:rFonts w:ascii="Times New Roman" w:hAnsi="Times New Roman" w:cs="Times New Roman" w:eastAsia="Times New Roman" w:hint="default"/>
          <w:b/>
          <w:bCs/>
          <w:spacing w:val="31"/>
          <w:sz w:val="22"/>
          <w:szCs w:val="22"/>
        </w:rPr>
        <w:t> </w:t>
      </w:r>
      <w:r>
        <w:rPr>
          <w:rFonts w:ascii="宋体" w:hAnsi="宋体" w:cs="宋体" w:eastAsia="宋体" w:hint="default"/>
          <w:sz w:val="22"/>
          <w:szCs w:val="22"/>
        </w:rPr>
        <w:t>长期待摊费用</w:t>
      </w:r>
    </w:p>
    <w:p>
      <w:pPr>
        <w:spacing w:before="113"/>
        <w:ind w:left="641" w:right="94" w:firstLine="0"/>
        <w:jc w:val="left"/>
        <w:rPr>
          <w:rFonts w:ascii="宋体" w:hAnsi="宋体" w:cs="宋体" w:eastAsia="宋体" w:hint="default"/>
          <w:sz w:val="22"/>
          <w:szCs w:val="22"/>
        </w:rPr>
      </w:pPr>
      <w:r>
        <w:rPr>
          <w:rFonts w:ascii="宋体" w:hAnsi="宋体" w:cs="宋体" w:eastAsia="宋体" w:hint="default"/>
          <w:spacing w:val="-4"/>
          <w:sz w:val="22"/>
          <w:szCs w:val="22"/>
        </w:rPr>
        <w:t>本公司长期待摊费用是指已经支出，但应由当期及以后各期承担的摊销期限在 </w:t>
      </w:r>
      <w:r>
        <w:rPr>
          <w:rFonts w:ascii="Times New Roman" w:hAnsi="Times New Roman" w:cs="Times New Roman" w:eastAsia="Times New Roman" w:hint="default"/>
          <w:sz w:val="22"/>
          <w:szCs w:val="22"/>
        </w:rPr>
        <w:t>1</w:t>
      </w:r>
      <w:r>
        <w:rPr>
          <w:rFonts w:ascii="Times New Roman" w:hAnsi="Times New Roman" w:cs="Times New Roman" w:eastAsia="Times New Roman" w:hint="default"/>
          <w:spacing w:val="8"/>
          <w:sz w:val="22"/>
          <w:szCs w:val="22"/>
        </w:rPr>
        <w:t> </w:t>
      </w:r>
      <w:r>
        <w:rPr>
          <w:rFonts w:ascii="宋体" w:hAnsi="宋体" w:cs="宋体" w:eastAsia="宋体" w:hint="default"/>
          <w:sz w:val="22"/>
          <w:szCs w:val="22"/>
        </w:rPr>
        <w:t>年以</w:t>
      </w:r>
    </w:p>
    <w:p>
      <w:pPr>
        <w:spacing w:line="280" w:lineRule="auto" w:before="50"/>
        <w:ind w:left="202" w:right="212" w:firstLine="0"/>
        <w:jc w:val="left"/>
        <w:rPr>
          <w:rFonts w:ascii="宋体" w:hAnsi="宋体" w:cs="宋体" w:eastAsia="宋体" w:hint="default"/>
          <w:sz w:val="22"/>
          <w:szCs w:val="22"/>
        </w:rPr>
      </w:pPr>
      <w:r>
        <w:rPr>
          <w:rFonts w:ascii="宋体" w:hAnsi="宋体" w:cs="宋体" w:eastAsia="宋体" w:hint="default"/>
          <w:spacing w:val="-6"/>
          <w:sz w:val="22"/>
          <w:szCs w:val="22"/>
        </w:rPr>
        <w:t>上（不含</w:t>
      </w:r>
      <w:r>
        <w:rPr>
          <w:rFonts w:ascii="宋体" w:hAnsi="宋体" w:cs="宋体" w:eastAsia="宋体" w:hint="default"/>
          <w:spacing w:val="-33"/>
          <w:sz w:val="22"/>
          <w:szCs w:val="22"/>
        </w:rPr>
        <w:t> </w:t>
      </w:r>
      <w:r>
        <w:rPr>
          <w:rFonts w:ascii="Times New Roman" w:hAnsi="Times New Roman" w:cs="Times New Roman" w:eastAsia="Times New Roman" w:hint="default"/>
          <w:sz w:val="22"/>
          <w:szCs w:val="22"/>
        </w:rPr>
        <w:t>1</w:t>
      </w:r>
      <w:r>
        <w:rPr>
          <w:rFonts w:ascii="Times New Roman" w:hAnsi="Times New Roman" w:cs="Times New Roman" w:eastAsia="Times New Roman" w:hint="default"/>
          <w:spacing w:val="18"/>
          <w:sz w:val="22"/>
          <w:szCs w:val="22"/>
        </w:rPr>
        <w:t> </w:t>
      </w:r>
      <w:r>
        <w:rPr>
          <w:rFonts w:ascii="宋体" w:hAnsi="宋体" w:cs="宋体" w:eastAsia="宋体" w:hint="default"/>
          <w:spacing w:val="-3"/>
          <w:sz w:val="22"/>
          <w:szCs w:val="22"/>
        </w:rPr>
        <w:t>年）的各项费用，该等费用在受益期内平均摊销。如果长期待摊费用项目不能</w:t>
      </w:r>
      <w:r>
        <w:rPr>
          <w:rFonts w:ascii="宋体" w:hAnsi="宋体" w:cs="宋体" w:eastAsia="宋体" w:hint="default"/>
          <w:spacing w:val="-105"/>
          <w:sz w:val="22"/>
          <w:szCs w:val="22"/>
        </w:rPr>
        <w:t> </w:t>
      </w:r>
      <w:r>
        <w:rPr>
          <w:rFonts w:ascii="宋体" w:hAnsi="宋体" w:cs="宋体" w:eastAsia="宋体" w:hint="default"/>
          <w:spacing w:val="-105"/>
          <w:sz w:val="22"/>
          <w:szCs w:val="22"/>
        </w:rPr>
      </w:r>
      <w:r>
        <w:rPr>
          <w:rFonts w:ascii="宋体" w:hAnsi="宋体" w:cs="宋体" w:eastAsia="宋体" w:hint="default"/>
          <w:sz w:val="22"/>
          <w:szCs w:val="22"/>
        </w:rPr>
        <w:t>使以后会计期间受益，则将尚未摊销的该项目的摊余价值全部转入当期损益。</w:t>
      </w:r>
    </w:p>
    <w:p>
      <w:pPr>
        <w:spacing w:line="338" w:lineRule="auto" w:before="92"/>
        <w:ind w:left="641" w:right="94"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24.</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职工薪酬</w:t>
      </w:r>
      <w:r>
        <w:rPr>
          <w:rFonts w:ascii="宋体" w:hAnsi="宋体" w:cs="宋体" w:eastAsia="宋体" w:hint="default"/>
          <w:w w:val="100"/>
          <w:sz w:val="22"/>
          <w:szCs w:val="22"/>
        </w:rPr>
        <w:t> </w:t>
      </w:r>
      <w:r>
        <w:rPr>
          <w:rFonts w:ascii="宋体" w:hAnsi="宋体" w:cs="宋体" w:eastAsia="宋体" w:hint="default"/>
          <w:sz w:val="22"/>
          <w:szCs w:val="22"/>
        </w:rPr>
        <w:t>本公司职工薪酬包括短期薪酬、离职后福利、辞退福利和其他长期福利。</w:t>
      </w:r>
      <w:r>
        <w:rPr>
          <w:rFonts w:ascii="宋体" w:hAnsi="宋体" w:cs="宋体" w:eastAsia="宋体" w:hint="default"/>
          <w:w w:val="100"/>
          <w:sz w:val="22"/>
          <w:szCs w:val="22"/>
        </w:rPr>
        <w:t> </w:t>
      </w:r>
      <w:r>
        <w:rPr>
          <w:rFonts w:ascii="宋体" w:hAnsi="宋体" w:cs="宋体" w:eastAsia="宋体" w:hint="default"/>
          <w:spacing w:val="-3"/>
          <w:sz w:val="22"/>
          <w:szCs w:val="22"/>
        </w:rPr>
        <w:t>短期薪酬主要包括职工工资、奖金、津贴和补贴、职工福利费、住房公积金、工会经</w:t>
      </w:r>
    </w:p>
    <w:p>
      <w:pPr>
        <w:spacing w:line="266" w:lineRule="exact" w:before="0"/>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费和职工教育经费以及医疗保险费、工伤保险费、生育保险费等社会保险费等，在职工提</w:t>
      </w:r>
    </w:p>
    <w:p>
      <w:pPr>
        <w:spacing w:line="297" w:lineRule="auto" w:before="69"/>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供服务的会计期间，将实际发生的短期薪酬确认为负债，并按照受益对象计入当期损益或</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相关资产成本。</w:t>
      </w:r>
    </w:p>
    <w:p>
      <w:pPr>
        <w:spacing w:line="297" w:lineRule="auto" w:before="74"/>
        <w:ind w:left="202" w:right="217" w:firstLine="439"/>
        <w:jc w:val="both"/>
        <w:rPr>
          <w:rFonts w:ascii="宋体" w:hAnsi="宋体" w:cs="宋体" w:eastAsia="宋体" w:hint="default"/>
          <w:sz w:val="22"/>
          <w:szCs w:val="22"/>
        </w:rPr>
      </w:pPr>
      <w:r>
        <w:rPr>
          <w:rFonts w:ascii="宋体" w:hAnsi="宋体" w:cs="宋体" w:eastAsia="宋体" w:hint="default"/>
          <w:spacing w:val="-3"/>
          <w:sz w:val="22"/>
          <w:szCs w:val="22"/>
        </w:rPr>
        <w:t>离职后福利主要包括基本养老保险费、失业保险费、企业年金缴费等，按照公司承担</w:t>
      </w:r>
      <w:r>
        <w:rPr>
          <w:rFonts w:ascii="宋体" w:hAnsi="宋体" w:cs="宋体" w:eastAsia="宋体" w:hint="default"/>
          <w:w w:val="100"/>
          <w:sz w:val="22"/>
          <w:szCs w:val="22"/>
        </w:rPr>
        <w:t> </w:t>
      </w:r>
      <w:r>
        <w:rPr>
          <w:rFonts w:ascii="宋体" w:hAnsi="宋体" w:cs="宋体" w:eastAsia="宋体" w:hint="default"/>
          <w:spacing w:val="-3"/>
          <w:sz w:val="22"/>
          <w:szCs w:val="22"/>
        </w:rPr>
        <w:t>的风险和义务，分类为设定提存计划，根据在资产负债表日为换取职工在会计期间提供的</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服务而向单独主体缴存的提存金确认为负债，并按照受益对象计入当期损益或相关资产成</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本。</w:t>
      </w:r>
    </w:p>
    <w:p>
      <w:pPr>
        <w:spacing w:line="297" w:lineRule="auto" w:before="77"/>
        <w:ind w:left="202" w:right="215" w:firstLine="439"/>
        <w:jc w:val="both"/>
        <w:rPr>
          <w:rFonts w:ascii="宋体" w:hAnsi="宋体" w:cs="宋体" w:eastAsia="宋体" w:hint="default"/>
          <w:sz w:val="22"/>
          <w:szCs w:val="22"/>
        </w:rPr>
      </w:pPr>
      <w:r>
        <w:rPr>
          <w:rFonts w:ascii="宋体" w:hAnsi="宋体" w:cs="宋体" w:eastAsia="宋体" w:hint="default"/>
          <w:spacing w:val="-3"/>
          <w:sz w:val="22"/>
          <w:szCs w:val="22"/>
        </w:rPr>
        <w:t>辞退福利是由于本公司在职工劳动合同到期之前解除与职工的劳动关系产生，在本公</w:t>
      </w:r>
      <w:r>
        <w:rPr>
          <w:rFonts w:ascii="宋体" w:hAnsi="宋体" w:cs="宋体" w:eastAsia="宋体" w:hint="default"/>
          <w:w w:val="100"/>
          <w:sz w:val="22"/>
          <w:szCs w:val="22"/>
        </w:rPr>
        <w:t> </w:t>
      </w:r>
      <w:r>
        <w:rPr>
          <w:rFonts w:ascii="宋体" w:hAnsi="宋体" w:cs="宋体" w:eastAsia="宋体" w:hint="default"/>
          <w:spacing w:val="2"/>
          <w:sz w:val="22"/>
          <w:szCs w:val="22"/>
        </w:rPr>
        <w:t>司不能单方面撤回因解除劳动关系计划或裁减建议所提供的辞退福利时和本公司确认与</w:t>
      </w:r>
      <w:r>
        <w:rPr>
          <w:rFonts w:ascii="宋体" w:hAnsi="宋体" w:cs="宋体" w:eastAsia="宋体" w:hint="default"/>
          <w:spacing w:val="-58"/>
          <w:sz w:val="22"/>
          <w:szCs w:val="22"/>
        </w:rPr>
        <w:t> </w:t>
      </w:r>
      <w:r>
        <w:rPr>
          <w:rFonts w:ascii="宋体" w:hAnsi="宋体" w:cs="宋体" w:eastAsia="宋体" w:hint="default"/>
          <w:spacing w:val="-58"/>
          <w:sz w:val="22"/>
          <w:szCs w:val="22"/>
        </w:rPr>
      </w:r>
      <w:r>
        <w:rPr>
          <w:rFonts w:ascii="宋体" w:hAnsi="宋体" w:cs="宋体" w:eastAsia="宋体" w:hint="default"/>
          <w:spacing w:val="2"/>
          <w:sz w:val="22"/>
          <w:szCs w:val="22"/>
        </w:rPr>
        <w:t>涉及支付辞退福利的重组相关的成本或费用时两者孰早日确认辞退福利产生的职工薪酬</w:t>
      </w:r>
      <w:r>
        <w:rPr>
          <w:rFonts w:ascii="宋体" w:hAnsi="宋体" w:cs="宋体" w:eastAsia="宋体" w:hint="default"/>
          <w:spacing w:val="-58"/>
          <w:sz w:val="22"/>
          <w:szCs w:val="22"/>
        </w:rPr>
        <w:t> </w:t>
      </w:r>
      <w:r>
        <w:rPr>
          <w:rFonts w:ascii="宋体" w:hAnsi="宋体" w:cs="宋体" w:eastAsia="宋体" w:hint="default"/>
          <w:spacing w:val="-58"/>
          <w:sz w:val="22"/>
          <w:szCs w:val="22"/>
        </w:rPr>
      </w:r>
      <w:r>
        <w:rPr>
          <w:rFonts w:ascii="宋体" w:hAnsi="宋体" w:cs="宋体" w:eastAsia="宋体" w:hint="default"/>
          <w:sz w:val="22"/>
          <w:szCs w:val="22"/>
        </w:rPr>
        <w:t>负债，并计入当期损益，其中对超过一年予以支付的补偿款，折现后计入当期损益。</w:t>
      </w:r>
    </w:p>
    <w:p>
      <w:pPr>
        <w:spacing w:line="297" w:lineRule="auto" w:before="77"/>
        <w:ind w:left="202" w:right="217" w:firstLine="439"/>
        <w:jc w:val="both"/>
        <w:rPr>
          <w:rFonts w:ascii="宋体" w:hAnsi="宋体" w:cs="宋体" w:eastAsia="宋体" w:hint="default"/>
          <w:sz w:val="22"/>
          <w:szCs w:val="22"/>
        </w:rPr>
      </w:pPr>
      <w:r>
        <w:rPr>
          <w:rFonts w:ascii="宋体" w:hAnsi="宋体" w:cs="宋体" w:eastAsia="宋体" w:hint="default"/>
          <w:spacing w:val="-3"/>
          <w:sz w:val="22"/>
          <w:szCs w:val="22"/>
        </w:rPr>
        <w:t>其他长期福利主要包括长期奖励计划和长期福利等，本公司按照设定提存计划的有关</w:t>
      </w:r>
      <w:r>
        <w:rPr>
          <w:rFonts w:ascii="宋体" w:hAnsi="宋体" w:cs="宋体" w:eastAsia="宋体" w:hint="default"/>
          <w:w w:val="100"/>
          <w:sz w:val="22"/>
          <w:szCs w:val="22"/>
        </w:rPr>
        <w:t> </w:t>
      </w:r>
      <w:r>
        <w:rPr>
          <w:rFonts w:ascii="宋体" w:hAnsi="宋体" w:cs="宋体" w:eastAsia="宋体" w:hint="default"/>
          <w:sz w:val="22"/>
          <w:szCs w:val="22"/>
        </w:rPr>
        <w:t>规定进行会计处理。</w:t>
      </w:r>
    </w:p>
    <w:p>
      <w:pPr>
        <w:spacing w:line="328" w:lineRule="auto" w:before="74"/>
        <w:ind w:left="641" w:right="94"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25.</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预计负债</w:t>
      </w:r>
      <w:r>
        <w:rPr>
          <w:rFonts w:ascii="宋体" w:hAnsi="宋体" w:cs="宋体" w:eastAsia="宋体" w:hint="default"/>
          <w:w w:val="100"/>
          <w:sz w:val="22"/>
          <w:szCs w:val="22"/>
        </w:rPr>
        <w:t> </w:t>
      </w:r>
      <w:r>
        <w:rPr>
          <w:rFonts w:ascii="宋体" w:hAnsi="宋体" w:cs="宋体" w:eastAsia="宋体" w:hint="default"/>
          <w:sz w:val="22"/>
          <w:szCs w:val="22"/>
        </w:rPr>
        <w:t>当与对外担保、未决诉讼或仲裁、产品质量保证、裁员计划、亏损合同、重组义务、</w:t>
      </w:r>
    </w:p>
    <w:p>
      <w:pPr>
        <w:spacing w:line="274" w:lineRule="exact" w:before="0"/>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环境污染整治、承诺、固定资产弃置义务等或有事项相关的业务同时符合以下条件时，本</w:t>
      </w:r>
    </w:p>
    <w:p>
      <w:pPr>
        <w:spacing w:line="297" w:lineRule="auto" w:before="69"/>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公司将其确认为负债：该义务是本公司承担的现时义务；该义务的履行很可能导致经济利</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益流出企业；该义务的金额能够可靠地计量。</w:t>
      </w:r>
    </w:p>
    <w:p>
      <w:pPr>
        <w:spacing w:line="297" w:lineRule="auto" w:before="74"/>
        <w:ind w:left="202" w:right="216" w:firstLine="439"/>
        <w:jc w:val="both"/>
        <w:rPr>
          <w:rFonts w:ascii="宋体" w:hAnsi="宋体" w:cs="宋体" w:eastAsia="宋体" w:hint="default"/>
          <w:sz w:val="22"/>
          <w:szCs w:val="22"/>
        </w:rPr>
      </w:pPr>
      <w:r>
        <w:rPr>
          <w:rFonts w:ascii="宋体" w:hAnsi="宋体" w:cs="宋体" w:eastAsia="宋体" w:hint="default"/>
          <w:spacing w:val="-3"/>
          <w:sz w:val="22"/>
          <w:szCs w:val="22"/>
        </w:rPr>
        <w:t>预计负债按照履行相关现时义务所需支出的最佳估计数进行初始计量，并综合考虑与</w:t>
      </w:r>
      <w:r>
        <w:rPr>
          <w:rFonts w:ascii="宋体" w:hAnsi="宋体" w:cs="宋体" w:eastAsia="宋体" w:hint="default"/>
          <w:w w:val="100"/>
          <w:sz w:val="22"/>
          <w:szCs w:val="22"/>
        </w:rPr>
        <w:t> </w:t>
      </w:r>
      <w:r>
        <w:rPr>
          <w:rFonts w:ascii="宋体" w:hAnsi="宋体" w:cs="宋体" w:eastAsia="宋体" w:hint="default"/>
          <w:spacing w:val="-3"/>
          <w:sz w:val="22"/>
          <w:szCs w:val="22"/>
        </w:rPr>
        <w:t>或有事项有关的风险、不确定性和货币时间价值等因素。货币时间价值影响重大的，通过</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对相关未来现金流出进行折现后确定最佳估计数。于资产负债表日对预计负债的账面价值</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进行复核，如有改变则对账面价值进行调整以反映当前最佳估计数。</w:t>
      </w:r>
    </w:p>
    <w:p>
      <w:pPr>
        <w:spacing w:line="297" w:lineRule="auto" w:before="77"/>
        <w:ind w:left="202" w:right="217" w:firstLine="439"/>
        <w:jc w:val="both"/>
        <w:rPr>
          <w:rFonts w:ascii="宋体" w:hAnsi="宋体" w:cs="宋体" w:eastAsia="宋体" w:hint="default"/>
          <w:sz w:val="22"/>
          <w:szCs w:val="22"/>
        </w:rPr>
      </w:pPr>
      <w:r>
        <w:rPr>
          <w:rFonts w:ascii="宋体" w:hAnsi="宋体" w:cs="宋体" w:eastAsia="宋体" w:hint="default"/>
          <w:spacing w:val="-3"/>
          <w:sz w:val="22"/>
          <w:szCs w:val="22"/>
        </w:rPr>
        <w:t>对过去的交易或事项形成的潜在义务，其存在需通过未来不确定事项的发生或不发生</w:t>
      </w:r>
      <w:r>
        <w:rPr>
          <w:rFonts w:ascii="宋体" w:hAnsi="宋体" w:cs="宋体" w:eastAsia="宋体" w:hint="default"/>
          <w:w w:val="100"/>
          <w:sz w:val="22"/>
          <w:szCs w:val="22"/>
        </w:rPr>
        <w:t> </w:t>
      </w:r>
      <w:r>
        <w:rPr>
          <w:rFonts w:ascii="宋体" w:hAnsi="宋体" w:cs="宋体" w:eastAsia="宋体" w:hint="default"/>
          <w:spacing w:val="-3"/>
          <w:sz w:val="22"/>
          <w:szCs w:val="22"/>
        </w:rPr>
        <w:t>予以证实；或过去的交易或者事项形成的现时义务，履行该义务不是很可能导致经济利益</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流出本公司或该义务的金额不能可靠计量，则本公司会将该潜在义务或现时义务披露为或</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有负债。</w:t>
      </w:r>
    </w:p>
    <w:p>
      <w:pPr>
        <w:spacing w:after="0" w:line="297" w:lineRule="auto"/>
        <w:jc w:val="both"/>
        <w:rPr>
          <w:rFonts w:ascii="宋体" w:hAnsi="宋体" w:cs="宋体" w:eastAsia="宋体" w:hint="default"/>
          <w:sz w:val="22"/>
          <w:szCs w:val="22"/>
        </w:rPr>
        <w:sectPr>
          <w:headerReference w:type="default" r:id="rId53"/>
          <w:footerReference w:type="default" r:id="rId54"/>
          <w:pgSz w:w="11910" w:h="16840"/>
          <w:pgMar w:header="0" w:footer="836" w:top="500" w:bottom="1020" w:left="1500" w:right="1480"/>
          <w:pgNumType w:start="99"/>
        </w:sectPr>
      </w:pPr>
    </w:p>
    <w:p>
      <w:pPr>
        <w:spacing w:line="240" w:lineRule="auto" w:before="1"/>
        <w:rPr>
          <w:rFonts w:ascii="宋体" w:hAnsi="宋体" w:cs="宋体" w:eastAsia="宋体" w:hint="default"/>
          <w:sz w:val="22"/>
          <w:szCs w:val="22"/>
        </w:rPr>
      </w:pPr>
    </w:p>
    <w:p>
      <w:pPr>
        <w:spacing w:line="328" w:lineRule="auto" w:before="32"/>
        <w:ind w:left="641" w:right="94"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26.</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收入确认原则和计量方法</w:t>
      </w:r>
      <w:r>
        <w:rPr>
          <w:rFonts w:ascii="宋体" w:hAnsi="宋体" w:cs="宋体" w:eastAsia="宋体" w:hint="default"/>
          <w:w w:val="100"/>
          <w:sz w:val="22"/>
          <w:szCs w:val="22"/>
        </w:rPr>
        <w:t> </w:t>
      </w:r>
      <w:r>
        <w:rPr>
          <w:rFonts w:ascii="宋体" w:hAnsi="宋体" w:cs="宋体" w:eastAsia="宋体" w:hint="default"/>
          <w:spacing w:val="-3"/>
          <w:sz w:val="22"/>
          <w:szCs w:val="22"/>
        </w:rPr>
        <w:t>本公司的营业收入主要包括销售商品收入、提供劳务收入、让渡资产使用权收入、建</w:t>
      </w:r>
    </w:p>
    <w:p>
      <w:pPr>
        <w:spacing w:line="288" w:lineRule="auto" w:before="0"/>
        <w:ind w:left="202" w:right="216" w:firstLine="0"/>
        <w:jc w:val="both"/>
        <w:rPr>
          <w:rFonts w:ascii="宋体" w:hAnsi="宋体" w:cs="宋体" w:eastAsia="宋体" w:hint="default"/>
          <w:sz w:val="22"/>
          <w:szCs w:val="22"/>
        </w:rPr>
      </w:pPr>
      <w:r>
        <w:rPr>
          <w:rFonts w:ascii="宋体" w:hAnsi="宋体" w:cs="宋体" w:eastAsia="宋体" w:hint="default"/>
          <w:spacing w:val="-3"/>
          <w:sz w:val="22"/>
          <w:szCs w:val="22"/>
        </w:rPr>
        <w:t>造合同收入和采用建设经营移交方式（</w:t>
      </w:r>
      <w:r>
        <w:rPr>
          <w:rFonts w:ascii="Times New Roman" w:hAnsi="Times New Roman" w:cs="Times New Roman" w:eastAsia="Times New Roman" w:hint="default"/>
          <w:spacing w:val="-3"/>
          <w:sz w:val="22"/>
          <w:szCs w:val="22"/>
        </w:rPr>
        <w:t>BOT</w:t>
      </w:r>
      <w:r>
        <w:rPr>
          <w:rFonts w:ascii="宋体" w:hAnsi="宋体" w:cs="宋体" w:eastAsia="宋体" w:hint="default"/>
          <w:spacing w:val="-3"/>
          <w:sz w:val="22"/>
          <w:szCs w:val="22"/>
        </w:rPr>
        <w:t>）的收入。与交易相关的经济利益能够流入本</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公司，相关的收入能够可靠计量且满足下列各项经营活动的特定收入确认标准时，确认相</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关的收入。</w:t>
      </w:r>
    </w:p>
    <w:p>
      <w:pPr>
        <w:spacing w:line="328" w:lineRule="auto" w:before="83"/>
        <w:ind w:left="641" w:right="94"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销售商品收入</w:t>
      </w:r>
      <w:r>
        <w:rPr>
          <w:rFonts w:ascii="宋体" w:hAnsi="宋体" w:cs="宋体" w:eastAsia="宋体" w:hint="default"/>
          <w:w w:val="100"/>
          <w:sz w:val="22"/>
          <w:szCs w:val="22"/>
        </w:rPr>
        <w:t> </w:t>
      </w:r>
      <w:r>
        <w:rPr>
          <w:rFonts w:ascii="宋体" w:hAnsi="宋体" w:cs="宋体" w:eastAsia="宋体" w:hint="default"/>
          <w:spacing w:val="-3"/>
          <w:sz w:val="22"/>
          <w:szCs w:val="22"/>
        </w:rPr>
        <w:t>公司在商品所有权上的主要风险和报酬转移给买方、公司不再对该商品实施继续管理</w:t>
      </w:r>
    </w:p>
    <w:p>
      <w:pPr>
        <w:spacing w:line="295" w:lineRule="auto" w:before="0"/>
        <w:ind w:left="202" w:right="217" w:firstLine="0"/>
        <w:jc w:val="both"/>
        <w:rPr>
          <w:rFonts w:ascii="宋体" w:hAnsi="宋体" w:cs="宋体" w:eastAsia="宋体" w:hint="default"/>
          <w:sz w:val="22"/>
          <w:szCs w:val="22"/>
        </w:rPr>
      </w:pPr>
      <w:r>
        <w:rPr>
          <w:rFonts w:ascii="宋体" w:hAnsi="宋体" w:cs="宋体" w:eastAsia="宋体" w:hint="default"/>
          <w:spacing w:val="-3"/>
          <w:sz w:val="22"/>
          <w:szCs w:val="22"/>
        </w:rPr>
        <w:t>权和实际控制权、与交易相关的经济利益能够流入企业、并且相关收入和成本能够可靠地</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计量时确认收入的实现。</w:t>
      </w:r>
    </w:p>
    <w:p>
      <w:pPr>
        <w:spacing w:line="328" w:lineRule="auto" w:before="79"/>
        <w:ind w:left="641" w:right="94"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提供劳务收入</w:t>
      </w:r>
      <w:r>
        <w:rPr>
          <w:rFonts w:ascii="宋体" w:hAnsi="宋体" w:cs="宋体" w:eastAsia="宋体" w:hint="default"/>
          <w:w w:val="100"/>
          <w:sz w:val="22"/>
          <w:szCs w:val="22"/>
        </w:rPr>
        <w:t> </w:t>
      </w:r>
      <w:r>
        <w:rPr>
          <w:rFonts w:ascii="宋体" w:hAnsi="宋体" w:cs="宋体" w:eastAsia="宋体" w:hint="default"/>
          <w:spacing w:val="-3"/>
          <w:sz w:val="22"/>
          <w:szCs w:val="22"/>
        </w:rPr>
        <w:t>提供劳务在同一年度内开始并完成的，应当在完成劳务时确认收入。如劳务的开始和</w:t>
      </w:r>
    </w:p>
    <w:p>
      <w:pPr>
        <w:spacing w:line="297" w:lineRule="auto" w:before="0"/>
        <w:ind w:left="202" w:right="217" w:firstLine="0"/>
        <w:jc w:val="both"/>
        <w:rPr>
          <w:rFonts w:ascii="宋体" w:hAnsi="宋体" w:cs="宋体" w:eastAsia="宋体" w:hint="default"/>
          <w:sz w:val="22"/>
          <w:szCs w:val="22"/>
        </w:rPr>
      </w:pPr>
      <w:r>
        <w:rPr>
          <w:rFonts w:ascii="宋体" w:hAnsi="宋体" w:cs="宋体" w:eastAsia="宋体" w:hint="default"/>
          <w:spacing w:val="-3"/>
          <w:sz w:val="22"/>
          <w:szCs w:val="22"/>
        </w:rPr>
        <w:t>完成分属不同的会计年度，在提供劳务交易的结果能够可靠估计的情况下，公司在资产负</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债表日按完工百分比法确认相关的劳务收入；在提供劳务交易的结果不能可靠估计的情况</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下，公司在资产负债表日对收入分别以下情况予以确认和计量：</w:t>
      </w:r>
    </w:p>
    <w:p>
      <w:pPr>
        <w:spacing w:line="280" w:lineRule="auto" w:before="77"/>
        <w:ind w:left="202" w:right="217" w:firstLine="503"/>
        <w:jc w:val="both"/>
        <w:rPr>
          <w:rFonts w:ascii="宋体" w:hAnsi="宋体" w:cs="宋体" w:eastAsia="宋体" w:hint="default"/>
          <w:sz w:val="22"/>
          <w:szCs w:val="22"/>
        </w:rPr>
      </w:pPr>
      <w:r>
        <w:rPr>
          <w:rFonts w:ascii="Times New Roman" w:hAnsi="Times New Roman" w:cs="Times New Roman" w:eastAsia="Times New Roman" w:hint="default"/>
          <w:b/>
          <w:bCs/>
          <w:w w:val="100"/>
          <w:sz w:val="22"/>
          <w:szCs w:val="22"/>
        </w:rPr>
        <w:t>1)</w:t>
      </w:r>
      <w:r>
        <w:rPr>
          <w:rFonts w:ascii="Times New Roman" w:hAnsi="Times New Roman" w:cs="Times New Roman" w:eastAsia="Times New Roman" w:hint="default"/>
          <w:b/>
          <w:bCs/>
          <w:spacing w:val="3"/>
          <w:w w:val="100"/>
          <w:sz w:val="22"/>
          <w:szCs w:val="22"/>
        </w:rPr>
        <w:t> </w:t>
      </w:r>
      <w:r>
        <w:rPr>
          <w:rFonts w:ascii="宋体" w:hAnsi="宋体" w:cs="宋体" w:eastAsia="宋体" w:hint="default"/>
          <w:spacing w:val="-4"/>
          <w:w w:val="100"/>
          <w:sz w:val="22"/>
          <w:szCs w:val="22"/>
        </w:rPr>
        <w:t>如果已经发生的劳务成本预计能够得到补偿，按已经发生的劳务成本金额确认收</w:t>
      </w:r>
      <w:r>
        <w:rPr>
          <w:rFonts w:ascii="宋体" w:hAnsi="宋体" w:cs="宋体" w:eastAsia="宋体" w:hint="default"/>
          <w:w w:val="100"/>
          <w:sz w:val="22"/>
          <w:szCs w:val="22"/>
        </w:rPr>
        <w:t> </w:t>
      </w:r>
      <w:r>
        <w:rPr>
          <w:rFonts w:ascii="宋体" w:hAnsi="宋体" w:cs="宋体" w:eastAsia="宋体" w:hint="default"/>
          <w:sz w:val="22"/>
          <w:szCs w:val="22"/>
        </w:rPr>
        <w:t>入，并按相同金额结转成本；</w:t>
      </w:r>
    </w:p>
    <w:p>
      <w:pPr>
        <w:spacing w:line="288" w:lineRule="auto" w:before="92"/>
        <w:ind w:left="202" w:right="215" w:firstLine="503"/>
        <w:jc w:val="both"/>
        <w:rPr>
          <w:rFonts w:ascii="宋体" w:hAnsi="宋体" w:cs="宋体" w:eastAsia="宋体" w:hint="default"/>
          <w:sz w:val="22"/>
          <w:szCs w:val="22"/>
        </w:rPr>
      </w:pPr>
      <w:r>
        <w:rPr>
          <w:rFonts w:ascii="Times New Roman" w:hAnsi="Times New Roman" w:cs="Times New Roman" w:eastAsia="Times New Roman" w:hint="default"/>
          <w:b/>
          <w:bCs/>
          <w:w w:val="100"/>
          <w:sz w:val="22"/>
          <w:szCs w:val="22"/>
        </w:rPr>
        <w:t>2)</w:t>
      </w:r>
      <w:r>
        <w:rPr>
          <w:rFonts w:ascii="Times New Roman" w:hAnsi="Times New Roman" w:cs="Times New Roman" w:eastAsia="Times New Roman" w:hint="default"/>
          <w:b/>
          <w:bCs/>
          <w:spacing w:val="3"/>
          <w:w w:val="100"/>
          <w:sz w:val="22"/>
          <w:szCs w:val="22"/>
        </w:rPr>
        <w:t> </w:t>
      </w:r>
      <w:r>
        <w:rPr>
          <w:rFonts w:ascii="宋体" w:hAnsi="宋体" w:cs="宋体" w:eastAsia="宋体" w:hint="default"/>
          <w:spacing w:val="-4"/>
          <w:w w:val="100"/>
          <w:sz w:val="22"/>
          <w:szCs w:val="22"/>
        </w:rPr>
        <w:t>如果已经发生的劳务成本预计不能全部得到补偿，按能够得到补偿的劳务成本金</w:t>
      </w:r>
      <w:r>
        <w:rPr>
          <w:rFonts w:ascii="宋体" w:hAnsi="宋体" w:cs="宋体" w:eastAsia="宋体" w:hint="default"/>
          <w:w w:val="100"/>
          <w:sz w:val="22"/>
          <w:szCs w:val="22"/>
        </w:rPr>
        <w:t> </w:t>
      </w:r>
      <w:r>
        <w:rPr>
          <w:rFonts w:ascii="宋体" w:hAnsi="宋体" w:cs="宋体" w:eastAsia="宋体" w:hint="default"/>
          <w:spacing w:val="-3"/>
          <w:sz w:val="22"/>
          <w:szCs w:val="22"/>
        </w:rPr>
        <w:t>额确认收入，并按已经发生的劳务成本，结转当期成本，确认的金额小于已经发生的劳务</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z w:val="22"/>
          <w:szCs w:val="22"/>
        </w:rPr>
        <w:t>成本的差额，作为当期损失；</w:t>
      </w:r>
    </w:p>
    <w:p>
      <w:pPr>
        <w:spacing w:line="280" w:lineRule="auto" w:before="85"/>
        <w:ind w:left="202" w:right="217" w:firstLine="503"/>
        <w:jc w:val="both"/>
        <w:rPr>
          <w:rFonts w:ascii="宋体" w:hAnsi="宋体" w:cs="宋体" w:eastAsia="宋体" w:hint="default"/>
          <w:sz w:val="22"/>
          <w:szCs w:val="22"/>
        </w:rPr>
      </w:pPr>
      <w:r>
        <w:rPr>
          <w:rFonts w:ascii="Times New Roman" w:hAnsi="Times New Roman" w:cs="Times New Roman" w:eastAsia="Times New Roman" w:hint="default"/>
          <w:b/>
          <w:bCs/>
          <w:w w:val="100"/>
          <w:sz w:val="22"/>
          <w:szCs w:val="22"/>
        </w:rPr>
        <w:t>3)</w:t>
      </w:r>
      <w:r>
        <w:rPr>
          <w:rFonts w:ascii="Times New Roman" w:hAnsi="Times New Roman" w:cs="Times New Roman" w:eastAsia="Times New Roman" w:hint="default"/>
          <w:b/>
          <w:bCs/>
          <w:spacing w:val="3"/>
          <w:w w:val="100"/>
          <w:sz w:val="22"/>
          <w:szCs w:val="22"/>
        </w:rPr>
        <w:t> </w:t>
      </w:r>
      <w:r>
        <w:rPr>
          <w:rFonts w:ascii="宋体" w:hAnsi="宋体" w:cs="宋体" w:eastAsia="宋体" w:hint="default"/>
          <w:spacing w:val="-4"/>
          <w:w w:val="100"/>
          <w:sz w:val="22"/>
          <w:szCs w:val="22"/>
        </w:rPr>
        <w:t>如果已经发生的劳务成本全部不能得到补偿，应按已经发生的劳务成本作为当期</w:t>
      </w:r>
      <w:r>
        <w:rPr>
          <w:rFonts w:ascii="宋体" w:hAnsi="宋体" w:cs="宋体" w:eastAsia="宋体" w:hint="default"/>
          <w:w w:val="100"/>
          <w:sz w:val="22"/>
          <w:szCs w:val="22"/>
        </w:rPr>
        <w:t> </w:t>
      </w:r>
      <w:r>
        <w:rPr>
          <w:rFonts w:ascii="宋体" w:hAnsi="宋体" w:cs="宋体" w:eastAsia="宋体" w:hint="default"/>
          <w:sz w:val="22"/>
          <w:szCs w:val="22"/>
        </w:rPr>
        <w:t>费用，不确认收入。</w:t>
      </w:r>
    </w:p>
    <w:p>
      <w:pPr>
        <w:spacing w:line="328" w:lineRule="auto" w:before="92"/>
        <w:ind w:left="641" w:right="94"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让渡资产使用权收入</w:t>
      </w:r>
      <w:r>
        <w:rPr>
          <w:rFonts w:ascii="宋体" w:hAnsi="宋体" w:cs="宋体" w:eastAsia="宋体" w:hint="default"/>
          <w:w w:val="100"/>
          <w:sz w:val="22"/>
          <w:szCs w:val="22"/>
        </w:rPr>
        <w:t> </w:t>
      </w:r>
      <w:r>
        <w:rPr>
          <w:rFonts w:ascii="宋体" w:hAnsi="宋体" w:cs="宋体" w:eastAsia="宋体" w:hint="default"/>
          <w:spacing w:val="-3"/>
          <w:sz w:val="22"/>
          <w:szCs w:val="22"/>
        </w:rPr>
        <w:t>以与交易相关的经济利益能够流入本公司，收入的金额能够可靠地计量时，确认让渡</w:t>
      </w:r>
    </w:p>
    <w:p>
      <w:pPr>
        <w:spacing w:line="274" w:lineRule="exact" w:before="0"/>
        <w:ind w:left="202" w:right="0" w:firstLine="0"/>
        <w:jc w:val="both"/>
        <w:rPr>
          <w:rFonts w:ascii="宋体" w:hAnsi="宋体" w:cs="宋体" w:eastAsia="宋体" w:hint="default"/>
          <w:sz w:val="22"/>
          <w:szCs w:val="22"/>
        </w:rPr>
      </w:pPr>
      <w:r>
        <w:rPr>
          <w:rFonts w:ascii="宋体" w:hAnsi="宋体" w:cs="宋体" w:eastAsia="宋体" w:hint="default"/>
          <w:sz w:val="22"/>
          <w:szCs w:val="22"/>
        </w:rPr>
        <w:t>资产使用权收入的实现。</w:t>
      </w:r>
    </w:p>
    <w:p>
      <w:pPr>
        <w:tabs>
          <w:tab w:pos="1101" w:val="left" w:leader="none"/>
        </w:tabs>
        <w:spacing w:before="129"/>
        <w:ind w:left="706"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tab/>
      </w:r>
      <w:r>
        <w:rPr>
          <w:rFonts w:ascii="宋体" w:hAnsi="宋体" w:cs="宋体" w:eastAsia="宋体" w:hint="default"/>
          <w:sz w:val="22"/>
          <w:szCs w:val="22"/>
        </w:rPr>
        <w:t>利息收入按照他人使用本公司货币资金的时间和实际利率计算确定；</w:t>
      </w:r>
    </w:p>
    <w:p>
      <w:pPr>
        <w:tabs>
          <w:tab w:pos="1101" w:val="left" w:leader="none"/>
        </w:tabs>
        <w:spacing w:before="110"/>
        <w:ind w:left="706"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tab/>
      </w:r>
      <w:r>
        <w:rPr>
          <w:rFonts w:ascii="宋体" w:hAnsi="宋体" w:cs="宋体" w:eastAsia="宋体" w:hint="default"/>
          <w:sz w:val="22"/>
          <w:szCs w:val="22"/>
        </w:rPr>
        <w:t>使用费收入按照有关合同或协议约定的收费时间和方法计算确定；</w:t>
      </w:r>
    </w:p>
    <w:p>
      <w:pPr>
        <w:tabs>
          <w:tab w:pos="1101" w:val="left" w:leader="none"/>
        </w:tabs>
        <w:spacing w:before="113"/>
        <w:ind w:left="706"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w:t>
        <w:tab/>
      </w:r>
      <w:r>
        <w:rPr>
          <w:rFonts w:ascii="宋体" w:hAnsi="宋体" w:cs="宋体" w:eastAsia="宋体" w:hint="default"/>
          <w:sz w:val="22"/>
          <w:szCs w:val="22"/>
        </w:rPr>
        <w:t>经营租赁收入按照直线法在租赁期内确认。</w:t>
      </w:r>
    </w:p>
    <w:p>
      <w:pPr>
        <w:spacing w:line="292" w:lineRule="auto" w:before="113"/>
        <w:ind w:left="202" w:right="216" w:firstLine="453"/>
        <w:jc w:val="both"/>
        <w:rPr>
          <w:rFonts w:ascii="宋体" w:hAnsi="宋体" w:cs="宋体" w:eastAsia="宋体" w:hint="default"/>
          <w:sz w:val="22"/>
          <w:szCs w:val="22"/>
        </w:rPr>
      </w:pPr>
      <w:r>
        <w:rPr>
          <w:rFonts w:ascii="Times New Roman" w:hAnsi="Times New Roman" w:cs="Times New Roman" w:eastAsia="Times New Roman" w:hint="default"/>
          <w:b/>
          <w:bCs/>
          <w:w w:val="100"/>
          <w:sz w:val="22"/>
          <w:szCs w:val="22"/>
        </w:rPr>
        <w:t>(4)</w:t>
      </w:r>
      <w:r>
        <w:rPr>
          <w:rFonts w:ascii="Times New Roman" w:hAnsi="Times New Roman" w:cs="Times New Roman" w:eastAsia="Times New Roman" w:hint="default"/>
          <w:b/>
          <w:bCs/>
          <w:spacing w:val="35"/>
          <w:w w:val="100"/>
          <w:sz w:val="22"/>
          <w:szCs w:val="22"/>
        </w:rPr>
        <w:t> </w:t>
      </w:r>
      <w:r>
        <w:rPr>
          <w:rFonts w:ascii="宋体" w:hAnsi="宋体" w:cs="宋体" w:eastAsia="宋体" w:hint="default"/>
          <w:spacing w:val="-4"/>
          <w:w w:val="100"/>
          <w:sz w:val="22"/>
          <w:szCs w:val="22"/>
        </w:rPr>
        <w:t>建造合同的结果能够可靠估计的，于资产负债表日按完工百分比法确认合同收入</w:t>
      </w:r>
      <w:r>
        <w:rPr>
          <w:rFonts w:ascii="宋体" w:hAnsi="宋体" w:cs="宋体" w:eastAsia="宋体" w:hint="default"/>
          <w:w w:val="100"/>
          <w:sz w:val="22"/>
          <w:szCs w:val="22"/>
        </w:rPr>
        <w:t> </w:t>
      </w:r>
      <w:r>
        <w:rPr>
          <w:rFonts w:ascii="宋体" w:hAnsi="宋体" w:cs="宋体" w:eastAsia="宋体" w:hint="default"/>
          <w:spacing w:val="-3"/>
          <w:sz w:val="22"/>
          <w:szCs w:val="22"/>
        </w:rPr>
        <w:t>和合同费用；在建造合同的结果不能可靠地估计时，如果合同成本能够收回的，合同收入</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pacing w:val="-3"/>
          <w:sz w:val="22"/>
          <w:szCs w:val="22"/>
        </w:rPr>
        <w:t>根据能够收回的实际合同成本加以确认，合同成本在其发生的当期确认为费用。如果合同</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成本不可能收回的，应在发生时立即确认为费用，不确认收入。合同预计总成本将超过合</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z w:val="22"/>
          <w:szCs w:val="22"/>
        </w:rPr>
        <w:t>同预计总收入时，将预计损失确认为当期费用。</w:t>
      </w:r>
    </w:p>
    <w:p>
      <w:pPr>
        <w:spacing w:before="81"/>
        <w:ind w:left="65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  </w:t>
      </w:r>
      <w:r>
        <w:rPr>
          <w:rFonts w:ascii="Times New Roman" w:hAnsi="Times New Roman" w:cs="Times New Roman" w:eastAsia="Times New Roman" w:hint="default"/>
          <w:b/>
          <w:bCs/>
          <w:spacing w:val="33"/>
          <w:sz w:val="22"/>
          <w:szCs w:val="22"/>
        </w:rPr>
        <w:t> </w:t>
      </w:r>
      <w:r>
        <w:rPr>
          <w:rFonts w:ascii="宋体" w:hAnsi="宋体" w:cs="宋体" w:eastAsia="宋体" w:hint="default"/>
          <w:sz w:val="22"/>
          <w:szCs w:val="22"/>
        </w:rPr>
        <w:t>采用建设经营移交方式（</w:t>
      </w:r>
      <w:r>
        <w:rPr>
          <w:rFonts w:ascii="Times New Roman" w:hAnsi="Times New Roman" w:cs="Times New Roman" w:eastAsia="Times New Roman" w:hint="default"/>
          <w:sz w:val="22"/>
          <w:szCs w:val="22"/>
        </w:rPr>
        <w:t>BOT</w:t>
      </w:r>
      <w:r>
        <w:rPr>
          <w:rFonts w:ascii="宋体" w:hAnsi="宋体" w:cs="宋体" w:eastAsia="宋体" w:hint="default"/>
          <w:sz w:val="22"/>
          <w:szCs w:val="22"/>
        </w:rPr>
        <w:t>）参与公共基础设施建设业务收入确认原则如下：</w:t>
      </w:r>
    </w:p>
    <w:p>
      <w:pPr>
        <w:spacing w:line="288" w:lineRule="auto" w:before="110"/>
        <w:ind w:left="202" w:right="215" w:firstLine="503"/>
        <w:jc w:val="both"/>
        <w:rPr>
          <w:rFonts w:ascii="宋体" w:hAnsi="宋体" w:cs="宋体" w:eastAsia="宋体" w:hint="default"/>
          <w:sz w:val="22"/>
          <w:szCs w:val="22"/>
        </w:rPr>
      </w:pPr>
      <w:r>
        <w:rPr>
          <w:rFonts w:ascii="Times New Roman" w:hAnsi="Times New Roman" w:cs="Times New Roman" w:eastAsia="Times New Roman" w:hint="default"/>
          <w:b/>
          <w:bCs/>
          <w:sz w:val="22"/>
          <w:szCs w:val="22"/>
        </w:rPr>
        <w:t>1)</w:t>
      </w:r>
      <w:r>
        <w:rPr>
          <w:rFonts w:ascii="Times New Roman" w:hAnsi="Times New Roman" w:cs="Times New Roman" w:eastAsia="Times New Roman" w:hint="default"/>
          <w:b/>
          <w:bCs/>
          <w:spacing w:val="32"/>
          <w:sz w:val="22"/>
          <w:szCs w:val="22"/>
        </w:rPr>
        <w:t> </w:t>
      </w:r>
      <w:r>
        <w:rPr>
          <w:rFonts w:ascii="宋体" w:hAnsi="宋体" w:cs="宋体" w:eastAsia="宋体" w:hint="default"/>
          <w:spacing w:val="-4"/>
          <w:sz w:val="22"/>
          <w:szCs w:val="22"/>
        </w:rPr>
        <w:t>本公司采用建设经营移交方式（</w:t>
      </w:r>
      <w:r>
        <w:rPr>
          <w:rFonts w:ascii="Times New Roman" w:hAnsi="Times New Roman" w:cs="Times New Roman" w:eastAsia="Times New Roman" w:hint="default"/>
          <w:spacing w:val="-4"/>
          <w:sz w:val="22"/>
          <w:szCs w:val="22"/>
        </w:rPr>
        <w:t>BOT</w:t>
      </w:r>
      <w:r>
        <w:rPr>
          <w:rFonts w:ascii="宋体" w:hAnsi="宋体" w:cs="宋体" w:eastAsia="宋体" w:hint="default"/>
          <w:spacing w:val="-4"/>
          <w:sz w:val="22"/>
          <w:szCs w:val="22"/>
        </w:rPr>
        <w:t>）参与公共基础设施建设业务，将基础设施</w:t>
      </w:r>
      <w:r>
        <w:rPr>
          <w:rFonts w:ascii="宋体" w:hAnsi="宋体" w:cs="宋体" w:eastAsia="宋体" w:hint="default"/>
          <w:w w:val="100"/>
          <w:sz w:val="22"/>
          <w:szCs w:val="22"/>
        </w:rPr>
        <w:t> </w:t>
      </w:r>
      <w:r>
        <w:rPr>
          <w:rFonts w:ascii="宋体" w:hAnsi="宋体" w:cs="宋体" w:eastAsia="宋体" w:hint="default"/>
          <w:spacing w:val="-3"/>
          <w:sz w:val="22"/>
          <w:szCs w:val="22"/>
        </w:rPr>
        <w:t>建造发包给其他方未提供实际建造服务的，本公司不确认建造服务收入，按照建造过程中</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支付的工程价款等考虑合同规定，确认金融资产或无形资产。合同规定本公司在有关基础</w:t>
      </w:r>
    </w:p>
    <w:p>
      <w:pPr>
        <w:spacing w:after="0" w:line="288" w:lineRule="auto"/>
        <w:jc w:val="both"/>
        <w:rPr>
          <w:rFonts w:ascii="宋体" w:hAnsi="宋体" w:cs="宋体" w:eastAsia="宋体" w:hint="default"/>
          <w:sz w:val="22"/>
          <w:szCs w:val="22"/>
        </w:rPr>
        <w:sectPr>
          <w:headerReference w:type="default" r:id="rId55"/>
          <w:footerReference w:type="default" r:id="rId56"/>
          <w:pgSz w:w="11910" w:h="16840"/>
          <w:pgMar w:header="585" w:footer="836" w:top="1080" w:bottom="1020" w:left="1500" w:right="1480"/>
        </w:sectPr>
      </w:pPr>
    </w:p>
    <w:p>
      <w:pPr>
        <w:spacing w:line="240" w:lineRule="auto" w:before="1"/>
        <w:rPr>
          <w:rFonts w:ascii="宋体" w:hAnsi="宋体" w:cs="宋体" w:eastAsia="宋体" w:hint="default"/>
          <w:sz w:val="22"/>
          <w:szCs w:val="22"/>
        </w:rPr>
      </w:pPr>
    </w:p>
    <w:p>
      <w:pPr>
        <w:spacing w:line="297" w:lineRule="auto" w:before="32"/>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设施建成后，在从事经营的一定期间内可以自合同授予方收取确定金额的货币资金或其他</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金融资产的，或在项目公司提供经营服务的收费低于某一限定金额的情况下，合同授予方</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6"/>
          <w:w w:val="100"/>
          <w:sz w:val="22"/>
          <w:szCs w:val="22"/>
        </w:rPr>
        <w:t>按照合同规定负责将有关差价补偿给项目公司的，确认为金融资产；如收费金额不确定的，</w:t>
      </w:r>
      <w:r>
        <w:rPr>
          <w:rFonts w:ascii="宋体" w:hAnsi="宋体" w:cs="宋体" w:eastAsia="宋体" w:hint="default"/>
          <w:spacing w:val="-93"/>
          <w:w w:val="100"/>
          <w:sz w:val="22"/>
          <w:szCs w:val="22"/>
        </w:rPr>
        <w:t> </w:t>
      </w:r>
      <w:r>
        <w:rPr>
          <w:rFonts w:ascii="宋体" w:hAnsi="宋体" w:cs="宋体" w:eastAsia="宋体" w:hint="default"/>
          <w:spacing w:val="-93"/>
          <w:w w:val="100"/>
          <w:sz w:val="22"/>
          <w:szCs w:val="22"/>
        </w:rPr>
      </w:r>
      <w:r>
        <w:rPr>
          <w:rFonts w:ascii="宋体" w:hAnsi="宋体" w:cs="宋体" w:eastAsia="宋体" w:hint="default"/>
          <w:sz w:val="22"/>
          <w:szCs w:val="22"/>
        </w:rPr>
        <w:t>确认为无形资产。</w:t>
      </w:r>
    </w:p>
    <w:p>
      <w:pPr>
        <w:tabs>
          <w:tab w:pos="1101" w:val="left" w:leader="none"/>
        </w:tabs>
        <w:spacing w:line="292" w:lineRule="auto" w:before="77"/>
        <w:ind w:left="202" w:right="108" w:firstLine="503"/>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tab/>
      </w:r>
      <w:r>
        <w:rPr>
          <w:rFonts w:ascii="宋体" w:hAnsi="宋体" w:cs="宋体" w:eastAsia="宋体" w:hint="default"/>
          <w:sz w:val="22"/>
          <w:szCs w:val="22"/>
        </w:rPr>
        <w:t>以 </w:t>
      </w:r>
      <w:r>
        <w:rPr>
          <w:rFonts w:ascii="Times New Roman" w:hAnsi="Times New Roman" w:cs="Times New Roman" w:eastAsia="Times New Roman" w:hint="default"/>
          <w:sz w:val="22"/>
          <w:szCs w:val="22"/>
        </w:rPr>
        <w:t>BOT</w:t>
      </w:r>
      <w:r>
        <w:rPr>
          <w:rFonts w:ascii="Times New Roman" w:hAnsi="Times New Roman" w:cs="Times New Roman" w:eastAsia="Times New Roman" w:hint="default"/>
          <w:spacing w:val="48"/>
          <w:sz w:val="22"/>
          <w:szCs w:val="22"/>
        </w:rPr>
        <w:t> </w:t>
      </w:r>
      <w:r>
        <w:rPr>
          <w:rFonts w:ascii="宋体" w:hAnsi="宋体" w:cs="宋体" w:eastAsia="宋体" w:hint="default"/>
          <w:spacing w:val="-3"/>
          <w:sz w:val="22"/>
          <w:szCs w:val="22"/>
        </w:rPr>
        <w:t>方式建设公共基础设施，基础设施建成后的会计处理，分别二种情况确</w:t>
      </w:r>
      <w:r>
        <w:rPr>
          <w:rFonts w:ascii="宋体" w:hAnsi="宋体" w:cs="宋体" w:eastAsia="宋体" w:hint="default"/>
          <w:w w:val="100"/>
          <w:sz w:val="22"/>
          <w:szCs w:val="22"/>
        </w:rPr>
        <w:t> </w:t>
      </w:r>
      <w:r>
        <w:rPr>
          <w:rFonts w:ascii="宋体" w:hAnsi="宋体" w:cs="宋体" w:eastAsia="宋体" w:hint="default"/>
          <w:sz w:val="22"/>
          <w:szCs w:val="22"/>
        </w:rPr>
        <w:t>认运营收入：特许经营权确认为无形资产的项目，运营期间内获得的收入均为运营收入；</w:t>
      </w:r>
      <w:r>
        <w:rPr>
          <w:rFonts w:ascii="宋体" w:hAnsi="宋体" w:cs="宋体" w:eastAsia="宋体" w:hint="default"/>
          <w:spacing w:val="-81"/>
          <w:sz w:val="22"/>
          <w:szCs w:val="22"/>
        </w:rPr>
        <w:t> </w:t>
      </w:r>
      <w:r>
        <w:rPr>
          <w:rFonts w:ascii="宋体" w:hAnsi="宋体" w:cs="宋体" w:eastAsia="宋体" w:hint="default"/>
          <w:spacing w:val="-81"/>
          <w:sz w:val="22"/>
          <w:szCs w:val="22"/>
        </w:rPr>
      </w:r>
      <w:r>
        <w:rPr>
          <w:rFonts w:ascii="宋体" w:hAnsi="宋体" w:cs="宋体" w:eastAsia="宋体" w:hint="default"/>
          <w:spacing w:val="-3"/>
          <w:sz w:val="22"/>
          <w:szCs w:val="22"/>
        </w:rPr>
        <w:t>运营后不直接向获取服务的对象收费而由政府偿付确认为金融资产的项目，先根据合理的</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成本、报酬率，确认该项运营收入，再采用实际利率法对长期应收款以摊余成本计量，该</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项金融资产的利息收益在投资收益中反映。</w:t>
      </w:r>
    </w:p>
    <w:p>
      <w:pPr>
        <w:tabs>
          <w:tab w:pos="1101" w:val="left" w:leader="none"/>
        </w:tabs>
        <w:spacing w:before="81"/>
        <w:ind w:left="706" w:right="94" w:firstLine="0"/>
        <w:jc w:val="left"/>
        <w:rPr>
          <w:rFonts w:ascii="宋体" w:hAnsi="宋体" w:cs="宋体" w:eastAsia="宋体" w:hint="default"/>
          <w:sz w:val="22"/>
          <w:szCs w:val="22"/>
        </w:rPr>
      </w:pPr>
      <w:r>
        <w:rPr>
          <w:rFonts w:ascii="Times New Roman" w:hAnsi="Times New Roman" w:cs="Times New Roman" w:eastAsia="Times New Roman" w:hint="default"/>
          <w:b/>
          <w:bCs/>
          <w:w w:val="100"/>
          <w:sz w:val="22"/>
          <w:szCs w:val="22"/>
        </w:rPr>
        <w:t>3)</w:t>
      </w:r>
      <w:r>
        <w:rPr>
          <w:rFonts w:ascii="Times New Roman" w:hAnsi="Times New Roman" w:cs="Times New Roman" w:eastAsia="Times New Roman" w:hint="default"/>
          <w:b/>
          <w:bCs/>
          <w:sz w:val="22"/>
          <w:szCs w:val="22"/>
        </w:rPr>
        <w:tab/>
      </w:r>
      <w:r>
        <w:rPr>
          <w:rFonts w:ascii="宋体" w:hAnsi="宋体" w:cs="宋体" w:eastAsia="宋体" w:hint="default"/>
          <w:w w:val="100"/>
          <w:sz w:val="22"/>
          <w:szCs w:val="22"/>
        </w:rPr>
        <w:t>按照合</w:t>
      </w:r>
      <w:r>
        <w:rPr>
          <w:rFonts w:ascii="宋体" w:hAnsi="宋体" w:cs="宋体" w:eastAsia="宋体" w:hint="default"/>
          <w:spacing w:val="-3"/>
          <w:w w:val="100"/>
          <w:sz w:val="22"/>
          <w:szCs w:val="22"/>
        </w:rPr>
        <w:t>同</w:t>
      </w:r>
      <w:r>
        <w:rPr>
          <w:rFonts w:ascii="宋体" w:hAnsi="宋体" w:cs="宋体" w:eastAsia="宋体" w:hint="default"/>
          <w:w w:val="100"/>
          <w:sz w:val="22"/>
          <w:szCs w:val="22"/>
        </w:rPr>
        <w:t>规定</w:t>
      </w:r>
      <w:r>
        <w:rPr>
          <w:rFonts w:ascii="宋体" w:hAnsi="宋体" w:cs="宋体" w:eastAsia="宋体" w:hint="default"/>
          <w:spacing w:val="-94"/>
          <w:w w:val="100"/>
          <w:sz w:val="22"/>
          <w:szCs w:val="22"/>
        </w:rPr>
        <w:t>，</w:t>
      </w:r>
      <w:r>
        <w:rPr>
          <w:rFonts w:ascii="宋体" w:hAnsi="宋体" w:cs="宋体" w:eastAsia="宋体" w:hint="default"/>
          <w:spacing w:val="-3"/>
          <w:w w:val="100"/>
          <w:sz w:val="22"/>
          <w:szCs w:val="22"/>
        </w:rPr>
        <w:t>本</w:t>
      </w:r>
      <w:r>
        <w:rPr>
          <w:rFonts w:ascii="宋体" w:hAnsi="宋体" w:cs="宋体" w:eastAsia="宋体" w:hint="default"/>
          <w:w w:val="100"/>
          <w:sz w:val="22"/>
          <w:szCs w:val="22"/>
        </w:rPr>
        <w:t>公司</w:t>
      </w:r>
      <w:r>
        <w:rPr>
          <w:rFonts w:ascii="宋体" w:hAnsi="宋体" w:cs="宋体" w:eastAsia="宋体" w:hint="default"/>
          <w:spacing w:val="-3"/>
          <w:w w:val="100"/>
          <w:sz w:val="22"/>
          <w:szCs w:val="22"/>
        </w:rPr>
        <w:t>为</w:t>
      </w:r>
      <w:r>
        <w:rPr>
          <w:rFonts w:ascii="宋体" w:hAnsi="宋体" w:cs="宋体" w:eastAsia="宋体" w:hint="default"/>
          <w:w w:val="100"/>
          <w:sz w:val="22"/>
          <w:szCs w:val="22"/>
        </w:rPr>
        <w:t>使有关</w:t>
      </w:r>
      <w:r>
        <w:rPr>
          <w:rFonts w:ascii="宋体" w:hAnsi="宋体" w:cs="宋体" w:eastAsia="宋体" w:hint="default"/>
          <w:spacing w:val="-3"/>
          <w:w w:val="100"/>
          <w:sz w:val="22"/>
          <w:szCs w:val="22"/>
        </w:rPr>
        <w:t>基</w:t>
      </w:r>
      <w:r>
        <w:rPr>
          <w:rFonts w:ascii="宋体" w:hAnsi="宋体" w:cs="宋体" w:eastAsia="宋体" w:hint="default"/>
          <w:w w:val="100"/>
          <w:sz w:val="22"/>
          <w:szCs w:val="22"/>
        </w:rPr>
        <w:t>础设</w:t>
      </w:r>
      <w:r>
        <w:rPr>
          <w:rFonts w:ascii="宋体" w:hAnsi="宋体" w:cs="宋体" w:eastAsia="宋体" w:hint="default"/>
          <w:spacing w:val="-3"/>
          <w:w w:val="100"/>
          <w:sz w:val="22"/>
          <w:szCs w:val="22"/>
        </w:rPr>
        <w:t>施</w:t>
      </w:r>
      <w:r>
        <w:rPr>
          <w:rFonts w:ascii="宋体" w:hAnsi="宋体" w:cs="宋体" w:eastAsia="宋体" w:hint="default"/>
          <w:w w:val="100"/>
          <w:sz w:val="22"/>
          <w:szCs w:val="22"/>
        </w:rPr>
        <w:t>保持</w:t>
      </w:r>
      <w:r>
        <w:rPr>
          <w:rFonts w:ascii="宋体" w:hAnsi="宋体" w:cs="宋体" w:eastAsia="宋体" w:hint="default"/>
          <w:spacing w:val="-3"/>
          <w:w w:val="100"/>
          <w:sz w:val="22"/>
          <w:szCs w:val="22"/>
        </w:rPr>
        <w:t>一定</w:t>
      </w:r>
      <w:r>
        <w:rPr>
          <w:rFonts w:ascii="宋体" w:hAnsi="宋体" w:cs="宋体" w:eastAsia="宋体" w:hint="default"/>
          <w:w w:val="100"/>
          <w:sz w:val="22"/>
          <w:szCs w:val="22"/>
        </w:rPr>
        <w:t>的服务</w:t>
      </w:r>
      <w:r>
        <w:rPr>
          <w:rFonts w:ascii="宋体" w:hAnsi="宋体" w:cs="宋体" w:eastAsia="宋体" w:hint="default"/>
          <w:spacing w:val="-3"/>
          <w:w w:val="100"/>
          <w:sz w:val="22"/>
          <w:szCs w:val="22"/>
        </w:rPr>
        <w:t>能</w:t>
      </w:r>
      <w:r>
        <w:rPr>
          <w:rFonts w:ascii="宋体" w:hAnsi="宋体" w:cs="宋体" w:eastAsia="宋体" w:hint="default"/>
          <w:w w:val="100"/>
          <w:sz w:val="22"/>
          <w:szCs w:val="22"/>
        </w:rPr>
        <w:t>力或</w:t>
      </w:r>
      <w:r>
        <w:rPr>
          <w:rFonts w:ascii="宋体" w:hAnsi="宋体" w:cs="宋体" w:eastAsia="宋体" w:hint="default"/>
          <w:spacing w:val="-3"/>
          <w:w w:val="100"/>
          <w:sz w:val="22"/>
          <w:szCs w:val="22"/>
        </w:rPr>
        <w:t>在</w:t>
      </w:r>
      <w:r>
        <w:rPr>
          <w:rFonts w:ascii="宋体" w:hAnsi="宋体" w:cs="宋体" w:eastAsia="宋体" w:hint="default"/>
          <w:w w:val="100"/>
          <w:sz w:val="22"/>
          <w:szCs w:val="22"/>
        </w:rPr>
        <w:t>移交</w:t>
      </w:r>
      <w:r>
        <w:rPr>
          <w:rFonts w:ascii="宋体" w:hAnsi="宋体" w:cs="宋体" w:eastAsia="宋体" w:hint="default"/>
          <w:spacing w:val="-3"/>
          <w:w w:val="100"/>
          <w:sz w:val="22"/>
          <w:szCs w:val="22"/>
        </w:rPr>
        <w:t>给合</w:t>
      </w:r>
      <w:r>
        <w:rPr>
          <w:rFonts w:ascii="宋体" w:hAnsi="宋体" w:cs="宋体" w:eastAsia="宋体" w:hint="default"/>
          <w:w w:val="100"/>
          <w:sz w:val="22"/>
          <w:szCs w:val="22"/>
        </w:rPr>
        <w:t>同授</w:t>
      </w:r>
    </w:p>
    <w:p>
      <w:pPr>
        <w:spacing w:line="283" w:lineRule="auto" w:before="50"/>
        <w:ind w:left="202" w:right="201" w:firstLine="0"/>
        <w:jc w:val="left"/>
        <w:rPr>
          <w:rFonts w:ascii="宋体" w:hAnsi="宋体" w:cs="宋体" w:eastAsia="宋体" w:hint="default"/>
          <w:sz w:val="22"/>
          <w:szCs w:val="22"/>
        </w:rPr>
      </w:pPr>
      <w:r>
        <w:rPr>
          <w:rFonts w:ascii="宋体" w:hAnsi="宋体" w:cs="宋体" w:eastAsia="宋体" w:hint="default"/>
          <w:sz w:val="22"/>
          <w:szCs w:val="22"/>
        </w:rPr>
        <w:t>予方之前保持一定的使用状态，预计将发生的支出，按照《企业会计准则第 </w:t>
      </w:r>
      <w:r>
        <w:rPr>
          <w:rFonts w:ascii="Times New Roman" w:hAnsi="Times New Roman" w:cs="Times New Roman" w:eastAsia="Times New Roman" w:hint="default"/>
          <w:sz w:val="22"/>
          <w:szCs w:val="22"/>
        </w:rPr>
        <w:t>13</w:t>
      </w:r>
      <w:r>
        <w:rPr>
          <w:rFonts w:ascii="Times New Roman" w:hAnsi="Times New Roman" w:cs="Times New Roman" w:eastAsia="Times New Roman" w:hint="default"/>
          <w:spacing w:val="-20"/>
          <w:sz w:val="22"/>
          <w:szCs w:val="22"/>
        </w:rPr>
        <w:t> </w:t>
      </w:r>
      <w:r>
        <w:rPr>
          <w:rFonts w:ascii="宋体" w:hAnsi="宋体" w:cs="宋体" w:eastAsia="宋体" w:hint="default"/>
          <w:sz w:val="22"/>
          <w:szCs w:val="22"/>
        </w:rPr>
        <w:t>号</w:t>
      </w:r>
      <w:r>
        <w:rPr>
          <w:rFonts w:ascii="Times New Roman" w:hAnsi="Times New Roman" w:cs="Times New Roman" w:eastAsia="Times New Roman" w:hint="default"/>
          <w:sz w:val="22"/>
          <w:szCs w:val="22"/>
        </w:rPr>
        <w:t>——</w:t>
      </w:r>
      <w:r>
        <w:rPr>
          <w:rFonts w:ascii="宋体" w:hAnsi="宋体" w:cs="宋体" w:eastAsia="宋体" w:hint="default"/>
          <w:sz w:val="22"/>
          <w:szCs w:val="22"/>
        </w:rPr>
        <w:t>或</w:t>
      </w:r>
      <w:r>
        <w:rPr>
          <w:rFonts w:ascii="宋体" w:hAnsi="宋体" w:cs="宋体" w:eastAsia="宋体" w:hint="default"/>
          <w:w w:val="100"/>
          <w:sz w:val="22"/>
          <w:szCs w:val="22"/>
        </w:rPr>
        <w:t> </w:t>
      </w:r>
      <w:r>
        <w:rPr>
          <w:rFonts w:ascii="宋体" w:hAnsi="宋体" w:cs="宋体" w:eastAsia="宋体" w:hint="default"/>
          <w:sz w:val="22"/>
          <w:szCs w:val="22"/>
        </w:rPr>
        <w:t>有事项》的规定确认预计负债。</w:t>
      </w:r>
    </w:p>
    <w:p>
      <w:pPr>
        <w:spacing w:line="288" w:lineRule="auto" w:before="90"/>
        <w:ind w:left="202" w:right="215" w:firstLine="503"/>
        <w:jc w:val="both"/>
        <w:rPr>
          <w:rFonts w:ascii="宋体" w:hAnsi="宋体" w:cs="宋体" w:eastAsia="宋体" w:hint="default"/>
          <w:sz w:val="22"/>
          <w:szCs w:val="22"/>
        </w:rPr>
      </w:pPr>
      <w:r>
        <w:rPr>
          <w:rFonts w:ascii="Times New Roman" w:hAnsi="Times New Roman" w:cs="Times New Roman" w:eastAsia="Times New Roman" w:hint="default"/>
          <w:b/>
          <w:bCs/>
          <w:sz w:val="22"/>
          <w:szCs w:val="22"/>
        </w:rPr>
        <w:t>4)</w:t>
      </w:r>
      <w:r>
        <w:rPr>
          <w:rFonts w:ascii="Times New Roman" w:hAnsi="Times New Roman" w:cs="Times New Roman" w:eastAsia="Times New Roman" w:hint="default"/>
          <w:b/>
          <w:bCs/>
          <w:spacing w:val="32"/>
          <w:sz w:val="22"/>
          <w:szCs w:val="22"/>
        </w:rPr>
        <w:t> </w:t>
      </w:r>
      <w:r>
        <w:rPr>
          <w:rFonts w:ascii="宋体" w:hAnsi="宋体" w:cs="宋体" w:eastAsia="宋体" w:hint="default"/>
          <w:spacing w:val="-4"/>
          <w:sz w:val="22"/>
          <w:szCs w:val="22"/>
        </w:rPr>
        <w:t>本公司对于相关服务协议规定的，属于提供日常维护管理费的，直接计入提供服</w:t>
      </w:r>
      <w:r>
        <w:rPr>
          <w:rFonts w:ascii="宋体" w:hAnsi="宋体" w:cs="宋体" w:eastAsia="宋体" w:hint="default"/>
          <w:w w:val="100"/>
          <w:sz w:val="22"/>
          <w:szCs w:val="22"/>
        </w:rPr>
        <w:t> </w:t>
      </w:r>
      <w:r>
        <w:rPr>
          <w:rFonts w:ascii="宋体" w:hAnsi="宋体" w:cs="宋体" w:eastAsia="宋体" w:hint="default"/>
          <w:spacing w:val="-3"/>
          <w:sz w:val="22"/>
          <w:szCs w:val="22"/>
        </w:rPr>
        <w:t>务期间的损益。如果确定可收到或收到政府对相关维护管理费补偿时，在提供服务时计入</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营业收人，与相关的费用配比。</w:t>
      </w:r>
    </w:p>
    <w:p>
      <w:pPr>
        <w:tabs>
          <w:tab w:pos="1101" w:val="left" w:leader="none"/>
        </w:tabs>
        <w:spacing w:line="280" w:lineRule="auto" w:before="83"/>
        <w:ind w:left="202" w:right="104" w:firstLine="503"/>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w:t>
        <w:tab/>
      </w:r>
      <w:r>
        <w:rPr>
          <w:rFonts w:ascii="宋体" w:hAnsi="宋体" w:cs="宋体" w:eastAsia="宋体" w:hint="default"/>
          <w:spacing w:val="-4"/>
          <w:sz w:val="22"/>
          <w:szCs w:val="22"/>
        </w:rPr>
        <w:t>某些情况下，本公司为了服务协议目的建造或从第三方购买的基础设施，或合同</w:t>
      </w:r>
      <w:r>
        <w:rPr>
          <w:rFonts w:ascii="宋体" w:hAnsi="宋体" w:cs="宋体" w:eastAsia="宋体" w:hint="default"/>
          <w:w w:val="100"/>
          <w:sz w:val="22"/>
          <w:szCs w:val="22"/>
        </w:rPr>
        <w:t> </w:t>
      </w:r>
      <w:r>
        <w:rPr>
          <w:rFonts w:ascii="宋体" w:hAnsi="宋体" w:cs="宋体" w:eastAsia="宋体" w:hint="default"/>
          <w:spacing w:val="-5"/>
          <w:w w:val="100"/>
          <w:sz w:val="22"/>
          <w:szCs w:val="22"/>
        </w:rPr>
        <w:t>授予方基于服务协议目的提供给本公司经营的现有基础设施，比照</w:t>
      </w:r>
      <w:r>
        <w:rPr>
          <w:rFonts w:ascii="宋体" w:hAnsi="宋体" w:cs="宋体" w:eastAsia="宋体" w:hint="default"/>
          <w:w w:val="100"/>
          <w:sz w:val="22"/>
          <w:szCs w:val="22"/>
        </w:rPr>
        <w:t> </w:t>
      </w:r>
      <w:r>
        <w:rPr>
          <w:rFonts w:ascii="Times New Roman" w:hAnsi="Times New Roman" w:cs="Times New Roman" w:eastAsia="Times New Roman" w:hint="default"/>
          <w:spacing w:val="-1"/>
          <w:w w:val="100"/>
          <w:sz w:val="22"/>
          <w:szCs w:val="22"/>
        </w:rPr>
        <w:t>BOT</w:t>
      </w:r>
      <w:r>
        <w:rPr>
          <w:rFonts w:ascii="Times New Roman" w:hAnsi="Times New Roman" w:cs="Times New Roman" w:eastAsia="Times New Roman" w:hint="default"/>
          <w:spacing w:val="-9"/>
          <w:w w:val="100"/>
          <w:sz w:val="22"/>
          <w:szCs w:val="22"/>
        </w:rPr>
        <w:t> </w:t>
      </w:r>
      <w:r>
        <w:rPr>
          <w:rFonts w:ascii="宋体" w:hAnsi="宋体" w:cs="宋体" w:eastAsia="宋体" w:hint="default"/>
          <w:spacing w:val="-1"/>
          <w:w w:val="100"/>
          <w:sz w:val="22"/>
          <w:szCs w:val="22"/>
        </w:rPr>
        <w:t>业务的处理原则。</w:t>
      </w:r>
    </w:p>
    <w:p>
      <w:pPr>
        <w:spacing w:line="326" w:lineRule="auto" w:before="71"/>
        <w:ind w:left="641" w:right="94"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27.</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政府补助</w:t>
      </w:r>
      <w:r>
        <w:rPr>
          <w:rFonts w:ascii="宋体" w:hAnsi="宋体" w:cs="宋体" w:eastAsia="宋体" w:hint="default"/>
          <w:w w:val="100"/>
          <w:sz w:val="22"/>
          <w:szCs w:val="22"/>
        </w:rPr>
        <w:t> </w:t>
      </w:r>
      <w:r>
        <w:rPr>
          <w:rFonts w:ascii="宋体" w:hAnsi="宋体" w:cs="宋体" w:eastAsia="宋体" w:hint="default"/>
          <w:spacing w:val="-3"/>
          <w:sz w:val="22"/>
          <w:szCs w:val="22"/>
        </w:rPr>
        <w:t>政府补助在本公司能够满足其所附的条件以及能够收到时，予以确认。政府补助为货</w:t>
      </w:r>
    </w:p>
    <w:p>
      <w:pPr>
        <w:spacing w:line="297" w:lineRule="auto" w:before="0"/>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币性资产的，按照实际收到的金额计量；对于按照固定的定额标准拨付的补助，按照应收</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z w:val="22"/>
          <w:szCs w:val="22"/>
        </w:rPr>
        <w:t>的金额计量。政府补助为非货币性资产的，按照公允价值计量。</w:t>
      </w:r>
    </w:p>
    <w:p>
      <w:pPr>
        <w:spacing w:line="297" w:lineRule="auto" w:before="77"/>
        <w:ind w:left="202" w:right="217" w:firstLine="439"/>
        <w:jc w:val="both"/>
        <w:rPr>
          <w:rFonts w:ascii="宋体" w:hAnsi="宋体" w:cs="宋体" w:eastAsia="宋体" w:hint="default"/>
          <w:sz w:val="22"/>
          <w:szCs w:val="22"/>
        </w:rPr>
      </w:pPr>
      <w:r>
        <w:rPr>
          <w:rFonts w:ascii="宋体" w:hAnsi="宋体" w:cs="宋体" w:eastAsia="宋体" w:hint="default"/>
          <w:spacing w:val="-3"/>
          <w:sz w:val="22"/>
          <w:szCs w:val="22"/>
        </w:rPr>
        <w:t>与资产相关的政府补助确认为递延收益，并在相关资产使用寿命内平均分配，计入当</w:t>
      </w:r>
      <w:r>
        <w:rPr>
          <w:rFonts w:ascii="宋体" w:hAnsi="宋体" w:cs="宋体" w:eastAsia="宋体" w:hint="default"/>
          <w:w w:val="100"/>
          <w:sz w:val="22"/>
          <w:szCs w:val="22"/>
        </w:rPr>
        <w:t> </w:t>
      </w:r>
      <w:r>
        <w:rPr>
          <w:rFonts w:ascii="宋体" w:hAnsi="宋体" w:cs="宋体" w:eastAsia="宋体" w:hint="default"/>
          <w:spacing w:val="-3"/>
          <w:sz w:val="22"/>
          <w:szCs w:val="22"/>
        </w:rPr>
        <w:t>期损益。与收益相关的政府补助，用于补偿本公司以后期间的相关费用或损失的，确认为</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pacing w:val="-3"/>
          <w:sz w:val="22"/>
          <w:szCs w:val="22"/>
        </w:rPr>
        <w:t>递延收益，并在确认相关费用的期间，计入当期损益；用于补偿本公司已发生的相关费用</w:t>
      </w:r>
      <w:r>
        <w:rPr>
          <w:rFonts w:ascii="宋体" w:hAnsi="宋体" w:cs="宋体" w:eastAsia="宋体" w:hint="default"/>
          <w:spacing w:val="-76"/>
          <w:sz w:val="22"/>
          <w:szCs w:val="22"/>
        </w:rPr>
        <w:t> </w:t>
      </w:r>
      <w:r>
        <w:rPr>
          <w:rFonts w:ascii="宋体" w:hAnsi="宋体" w:cs="宋体" w:eastAsia="宋体" w:hint="default"/>
          <w:spacing w:val="-76"/>
          <w:sz w:val="22"/>
          <w:szCs w:val="22"/>
        </w:rPr>
      </w:r>
      <w:r>
        <w:rPr>
          <w:rFonts w:ascii="宋体" w:hAnsi="宋体" w:cs="宋体" w:eastAsia="宋体" w:hint="default"/>
          <w:sz w:val="22"/>
          <w:szCs w:val="22"/>
        </w:rPr>
        <w:t>或损失的，直接计入当期损益。</w:t>
      </w:r>
    </w:p>
    <w:p>
      <w:pPr>
        <w:spacing w:before="74"/>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28. </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递延所得税资产和递延所得税负债</w:t>
      </w:r>
    </w:p>
    <w:p>
      <w:pPr>
        <w:spacing w:line="297" w:lineRule="auto" w:before="113"/>
        <w:ind w:left="202" w:right="94" w:firstLine="479"/>
        <w:jc w:val="left"/>
        <w:rPr>
          <w:rFonts w:ascii="宋体" w:hAnsi="宋体" w:cs="宋体" w:eastAsia="宋体" w:hint="default"/>
          <w:sz w:val="22"/>
          <w:szCs w:val="22"/>
        </w:rPr>
      </w:pPr>
      <w:r>
        <w:rPr>
          <w:rFonts w:ascii="宋体" w:hAnsi="宋体" w:cs="宋体" w:eastAsia="宋体" w:hint="default"/>
          <w:sz w:val="22"/>
          <w:szCs w:val="22"/>
        </w:rPr>
        <w:t>本公司递延所得税资产和递延所得税负债根据资产和负债的计税基础与其账面价值</w:t>
      </w:r>
      <w:r>
        <w:rPr>
          <w:rFonts w:ascii="宋体" w:hAnsi="宋体" w:cs="宋体" w:eastAsia="宋体" w:hint="default"/>
          <w:spacing w:val="2"/>
          <w:w w:val="100"/>
          <w:sz w:val="22"/>
          <w:szCs w:val="22"/>
        </w:rPr>
        <w:t> </w:t>
      </w:r>
      <w:r>
        <w:rPr>
          <w:rFonts w:ascii="宋体" w:hAnsi="宋体" w:cs="宋体" w:eastAsia="宋体" w:hint="default"/>
          <w:spacing w:val="-3"/>
          <w:sz w:val="22"/>
          <w:szCs w:val="22"/>
        </w:rPr>
        <w:t>的差额（暂时性差异）计算确认。对于按照税法规定能够于以后年度抵减应纳税所得额的</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可抵扣亏损，确认相应的递延所得税资产。对于商誉的初始确认产生的暂时性差异，不确</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6"/>
          <w:w w:val="100"/>
          <w:sz w:val="22"/>
          <w:szCs w:val="22"/>
        </w:rPr>
        <w:t>认相应的递延所得税负债。对于既不影响会计利润也不影响应纳税所得额（或可抵扣亏损）</w:t>
      </w:r>
      <w:r>
        <w:rPr>
          <w:rFonts w:ascii="宋体" w:hAnsi="宋体" w:cs="宋体" w:eastAsia="宋体" w:hint="default"/>
          <w:spacing w:val="-91"/>
          <w:w w:val="100"/>
          <w:sz w:val="22"/>
          <w:szCs w:val="22"/>
        </w:rPr>
        <w:t> </w:t>
      </w:r>
      <w:r>
        <w:rPr>
          <w:rFonts w:ascii="宋体" w:hAnsi="宋体" w:cs="宋体" w:eastAsia="宋体" w:hint="default"/>
          <w:spacing w:val="-91"/>
          <w:w w:val="100"/>
          <w:sz w:val="22"/>
          <w:szCs w:val="22"/>
        </w:rPr>
      </w:r>
      <w:r>
        <w:rPr>
          <w:rFonts w:ascii="宋体" w:hAnsi="宋体" w:cs="宋体" w:eastAsia="宋体" w:hint="default"/>
          <w:spacing w:val="-3"/>
          <w:sz w:val="22"/>
          <w:szCs w:val="22"/>
        </w:rPr>
        <w:t>的非企业合并的交易中产生的资产或负债的初始确认形成的暂时性差异，不确认相应的递</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延所得税资产和递延所得税负债。于资产负债表日，递延所得税资产和递延所得税负债，</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按照预期收回该资产或清偿该负债期间的适用税率计量。</w:t>
      </w:r>
    </w:p>
    <w:p>
      <w:pPr>
        <w:spacing w:line="297" w:lineRule="auto" w:before="74"/>
        <w:ind w:left="202" w:right="94" w:firstLine="439"/>
        <w:jc w:val="left"/>
        <w:rPr>
          <w:rFonts w:ascii="宋体" w:hAnsi="宋体" w:cs="宋体" w:eastAsia="宋体" w:hint="default"/>
          <w:sz w:val="22"/>
          <w:szCs w:val="22"/>
        </w:rPr>
      </w:pPr>
      <w:r>
        <w:rPr>
          <w:rFonts w:ascii="宋体" w:hAnsi="宋体" w:cs="宋体" w:eastAsia="宋体" w:hint="default"/>
          <w:spacing w:val="-3"/>
          <w:sz w:val="22"/>
          <w:szCs w:val="22"/>
        </w:rPr>
        <w:t>本公司以很可能取得用来抵扣可抵扣暂时性差异、可抵扣亏损和税款抵减的未来应纳</w:t>
      </w:r>
      <w:r>
        <w:rPr>
          <w:rFonts w:ascii="宋体" w:hAnsi="宋体" w:cs="宋体" w:eastAsia="宋体" w:hint="default"/>
          <w:w w:val="100"/>
          <w:sz w:val="22"/>
          <w:szCs w:val="22"/>
        </w:rPr>
        <w:t> </w:t>
      </w:r>
      <w:r>
        <w:rPr>
          <w:rFonts w:ascii="宋体" w:hAnsi="宋体" w:cs="宋体" w:eastAsia="宋体" w:hint="default"/>
          <w:sz w:val="22"/>
          <w:szCs w:val="22"/>
        </w:rPr>
        <w:t>税所得额为限，确认递延所得税资产。</w:t>
      </w:r>
    </w:p>
    <w:p>
      <w:pPr>
        <w:spacing w:after="0" w:line="297" w:lineRule="auto"/>
        <w:jc w:val="left"/>
        <w:rPr>
          <w:rFonts w:ascii="宋体" w:hAnsi="宋体" w:cs="宋体" w:eastAsia="宋体" w:hint="default"/>
          <w:sz w:val="22"/>
          <w:szCs w:val="22"/>
        </w:rPr>
        <w:sectPr>
          <w:footerReference w:type="default" r:id="rId57"/>
          <w:pgSz w:w="11910" w:h="16840"/>
          <w:pgMar w:footer="836" w:header="585" w:top="1080" w:bottom="1020" w:left="1500" w:right="1480"/>
          <w:pgNumType w:start="101"/>
        </w:sectPr>
      </w:pPr>
    </w:p>
    <w:p>
      <w:pPr>
        <w:spacing w:line="240" w:lineRule="auto" w:before="1"/>
        <w:rPr>
          <w:rFonts w:ascii="宋体" w:hAnsi="宋体" w:cs="宋体" w:eastAsia="宋体" w:hint="default"/>
          <w:sz w:val="22"/>
          <w:szCs w:val="22"/>
        </w:rPr>
      </w:pPr>
    </w:p>
    <w:p>
      <w:pPr>
        <w:spacing w:line="328" w:lineRule="auto" w:before="32"/>
        <w:ind w:left="641" w:right="0"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29.</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租赁</w:t>
      </w:r>
      <w:r>
        <w:rPr>
          <w:rFonts w:ascii="宋体" w:hAnsi="宋体" w:cs="宋体" w:eastAsia="宋体" w:hint="default"/>
          <w:w w:val="100"/>
          <w:sz w:val="22"/>
          <w:szCs w:val="22"/>
        </w:rPr>
        <w:t> </w:t>
      </w:r>
      <w:r>
        <w:rPr>
          <w:rFonts w:ascii="宋体" w:hAnsi="宋体" w:cs="宋体" w:eastAsia="宋体" w:hint="default"/>
          <w:spacing w:val="-3"/>
          <w:sz w:val="22"/>
          <w:szCs w:val="22"/>
        </w:rPr>
        <w:t>本公司租赁分为经营租赁和融资租赁。实质上转移了与资产所有权有关的全部风险和</w:t>
      </w:r>
    </w:p>
    <w:p>
      <w:pPr>
        <w:spacing w:line="348" w:lineRule="auto" w:before="0"/>
        <w:ind w:left="641" w:right="0" w:hanging="440"/>
        <w:jc w:val="left"/>
        <w:rPr>
          <w:rFonts w:ascii="宋体" w:hAnsi="宋体" w:cs="宋体" w:eastAsia="宋体" w:hint="default"/>
          <w:sz w:val="22"/>
          <w:szCs w:val="22"/>
        </w:rPr>
      </w:pPr>
      <w:r>
        <w:rPr>
          <w:rFonts w:ascii="宋体" w:hAnsi="宋体" w:cs="宋体" w:eastAsia="宋体" w:hint="default"/>
          <w:sz w:val="22"/>
          <w:szCs w:val="22"/>
        </w:rPr>
        <w:t>报酬的租赁为融资租赁。其他的租赁为经营租赁。</w:t>
      </w:r>
      <w:r>
        <w:rPr>
          <w:rFonts w:ascii="宋体" w:hAnsi="宋体" w:cs="宋体" w:eastAsia="宋体" w:hint="default"/>
          <w:w w:val="100"/>
          <w:sz w:val="22"/>
          <w:szCs w:val="22"/>
        </w:rPr>
        <w:t> </w:t>
      </w:r>
      <w:r>
        <w:rPr>
          <w:rFonts w:ascii="宋体" w:hAnsi="宋体" w:cs="宋体" w:eastAsia="宋体" w:hint="default"/>
          <w:sz w:val="22"/>
          <w:szCs w:val="22"/>
        </w:rPr>
        <w:t>经营租赁的租金收入或支出在租赁期内按照直线法计入相关资产成本或当期损益。</w:t>
      </w:r>
      <w:r>
        <w:rPr>
          <w:rFonts w:ascii="宋体" w:hAnsi="宋体" w:cs="宋体" w:eastAsia="宋体" w:hint="default"/>
          <w:w w:val="100"/>
          <w:sz w:val="22"/>
          <w:szCs w:val="22"/>
        </w:rPr>
        <w:t> </w:t>
      </w:r>
      <w:r>
        <w:rPr>
          <w:rFonts w:ascii="宋体" w:hAnsi="宋体" w:cs="宋体" w:eastAsia="宋体" w:hint="default"/>
          <w:spacing w:val="2"/>
          <w:sz w:val="22"/>
          <w:szCs w:val="22"/>
        </w:rPr>
        <w:t>融资租赁按租赁资产的公允价值与最低租赁付款额的现值两者中较低者作为租入资</w:t>
      </w:r>
    </w:p>
    <w:p>
      <w:pPr>
        <w:spacing w:line="256" w:lineRule="exact" w:before="0"/>
        <w:ind w:left="202" w:right="0" w:firstLine="0"/>
        <w:jc w:val="left"/>
        <w:rPr>
          <w:rFonts w:ascii="宋体" w:hAnsi="宋体" w:cs="宋体" w:eastAsia="宋体" w:hint="default"/>
          <w:sz w:val="22"/>
          <w:szCs w:val="22"/>
        </w:rPr>
      </w:pPr>
      <w:r>
        <w:rPr>
          <w:rFonts w:ascii="宋体" w:hAnsi="宋体" w:cs="宋体" w:eastAsia="宋体" w:hint="default"/>
          <w:spacing w:val="-3"/>
          <w:sz w:val="22"/>
          <w:szCs w:val="22"/>
        </w:rPr>
        <w:t>产的入账价值，租入资产的入账价值与最低租赁付款额之间的差额为未确认融资费用，在</w:t>
      </w:r>
    </w:p>
    <w:p>
      <w:pPr>
        <w:spacing w:line="297" w:lineRule="auto" w:before="69"/>
        <w:ind w:left="202" w:right="0" w:firstLine="0"/>
        <w:jc w:val="left"/>
        <w:rPr>
          <w:rFonts w:ascii="宋体" w:hAnsi="宋体" w:cs="宋体" w:eastAsia="宋体" w:hint="default"/>
          <w:sz w:val="22"/>
          <w:szCs w:val="22"/>
        </w:rPr>
      </w:pPr>
      <w:r>
        <w:rPr>
          <w:rFonts w:ascii="宋体" w:hAnsi="宋体" w:cs="宋体" w:eastAsia="宋体" w:hint="default"/>
          <w:spacing w:val="-3"/>
          <w:sz w:val="22"/>
          <w:szCs w:val="22"/>
        </w:rPr>
        <w:t>租赁期内按实际利率法摊销。最低租赁付款额扣除未确认融资费用后的余额以长期应付款</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列示。</w:t>
      </w:r>
    </w:p>
    <w:p>
      <w:pPr>
        <w:spacing w:before="74"/>
        <w:ind w:left="65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30. </w:t>
      </w:r>
      <w:r>
        <w:rPr>
          <w:rFonts w:ascii="Times New Roman" w:hAnsi="Times New Roman" w:cs="Times New Roman" w:eastAsia="Times New Roman" w:hint="default"/>
          <w:b/>
          <w:bCs/>
          <w:spacing w:val="28"/>
          <w:sz w:val="22"/>
          <w:szCs w:val="22"/>
        </w:rPr>
        <w:t> </w:t>
      </w:r>
      <w:r>
        <w:rPr>
          <w:rFonts w:ascii="宋体" w:hAnsi="宋体" w:cs="宋体" w:eastAsia="宋体" w:hint="default"/>
          <w:sz w:val="22"/>
          <w:szCs w:val="22"/>
        </w:rPr>
        <w:t>重要会计政策和会计估计变更</w:t>
      </w:r>
    </w:p>
    <w:p>
      <w:pPr>
        <w:spacing w:line="336" w:lineRule="auto" w:before="113"/>
        <w:ind w:left="655" w:right="4453"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重要会计政策变更</w:t>
      </w:r>
      <w:r>
        <w:rPr>
          <w:rFonts w:ascii="宋体" w:hAnsi="宋体" w:cs="宋体" w:eastAsia="宋体" w:hint="default"/>
          <w:w w:val="100"/>
          <w:sz w:val="22"/>
          <w:szCs w:val="22"/>
        </w:rPr>
        <w:t> </w:t>
      </w:r>
      <w:r>
        <w:rPr>
          <w:rFonts w:ascii="宋体" w:hAnsi="宋体" w:cs="宋体" w:eastAsia="宋体" w:hint="default"/>
          <w:spacing w:val="-1"/>
          <w:sz w:val="22"/>
          <w:szCs w:val="22"/>
        </w:rPr>
        <w:t>本公司本年度无重要会计政策变更。</w:t>
      </w:r>
      <w:r>
        <w:rPr>
          <w:rFonts w:ascii="宋体" w:hAnsi="宋体" w:cs="宋体" w:eastAsia="宋体" w:hint="default"/>
          <w:spacing w:val="-96"/>
          <w:sz w:val="22"/>
          <w:szCs w:val="22"/>
        </w:rPr>
        <w:t> </w:t>
      </w:r>
      <w:r>
        <w:rPr>
          <w:rFonts w:ascii="宋体" w:hAnsi="宋体" w:cs="宋体" w:eastAsia="宋体" w:hint="default"/>
          <w:spacing w:val="-96"/>
          <w:sz w:val="22"/>
          <w:szCs w:val="22"/>
        </w:rPr>
      </w:r>
      <w:r>
        <w:rPr>
          <w:rFonts w:ascii="Times New Roman" w:hAnsi="Times New Roman" w:cs="Times New Roman" w:eastAsia="Times New Roman" w:hint="default"/>
          <w:b/>
          <w:bCs/>
          <w:sz w:val="22"/>
          <w:szCs w:val="22"/>
        </w:rPr>
        <w:t>(2)</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重要会计估计变更</w:t>
      </w:r>
      <w:r>
        <w:rPr>
          <w:rFonts w:ascii="宋体" w:hAnsi="宋体" w:cs="宋体" w:eastAsia="宋体" w:hint="default"/>
          <w:w w:val="100"/>
          <w:sz w:val="22"/>
          <w:szCs w:val="22"/>
        </w:rPr>
        <w:t> </w:t>
      </w:r>
      <w:r>
        <w:rPr>
          <w:rFonts w:ascii="宋体" w:hAnsi="宋体" w:cs="宋体" w:eastAsia="宋体" w:hint="default"/>
          <w:spacing w:val="-1"/>
          <w:sz w:val="22"/>
          <w:szCs w:val="22"/>
        </w:rPr>
        <w:t>本公司本年度无重要会计估计变更。</w:t>
      </w:r>
    </w:p>
    <w:p>
      <w:pPr>
        <w:spacing w:after="0" w:line="336" w:lineRule="auto"/>
        <w:jc w:val="left"/>
        <w:rPr>
          <w:rFonts w:ascii="宋体" w:hAnsi="宋体" w:cs="宋体" w:eastAsia="宋体" w:hint="default"/>
          <w:sz w:val="22"/>
          <w:szCs w:val="22"/>
        </w:rPr>
        <w:sectPr>
          <w:pgSz w:w="11910" w:h="16840"/>
          <w:pgMar w:header="585" w:footer="836" w:top="1080" w:bottom="1020" w:left="1500" w:right="1560"/>
        </w:sectPr>
      </w:pPr>
    </w:p>
    <w:p>
      <w:pPr>
        <w:spacing w:line="240" w:lineRule="auto" w:before="1"/>
        <w:rPr>
          <w:rFonts w:ascii="宋体" w:hAnsi="宋体" w:cs="宋体" w:eastAsia="宋体" w:hint="default"/>
          <w:sz w:val="22"/>
          <w:szCs w:val="22"/>
        </w:rPr>
      </w:pPr>
    </w:p>
    <w:p>
      <w:pPr>
        <w:tabs>
          <w:tab w:pos="1021" w:val="left" w:leader="none"/>
          <w:tab w:pos="1354" w:val="left" w:leader="none"/>
        </w:tabs>
        <w:spacing w:line="338" w:lineRule="auto" w:before="32"/>
        <w:ind w:left="625" w:right="4884" w:firstLine="55"/>
        <w:jc w:val="left"/>
        <w:rPr>
          <w:rFonts w:ascii="宋体" w:hAnsi="宋体" w:cs="宋体" w:eastAsia="宋体" w:hint="default"/>
          <w:sz w:val="22"/>
          <w:szCs w:val="22"/>
        </w:rPr>
      </w:pPr>
      <w:r>
        <w:rPr>
          <w:rFonts w:ascii="Times New Roman" w:hAnsi="Times New Roman" w:cs="Times New Roman" w:eastAsia="Times New Roman" w:hint="default"/>
          <w:b/>
          <w:bCs/>
          <w:spacing w:val="12"/>
          <w:sz w:val="22"/>
          <w:szCs w:val="22"/>
        </w:rPr>
        <w:t>31.</w:t>
        <w:tab/>
        <w:tab/>
      </w:r>
      <w:r>
        <w:rPr>
          <w:rFonts w:ascii="宋体" w:hAnsi="宋体" w:cs="宋体" w:eastAsia="宋体" w:hint="default"/>
          <w:b/>
          <w:bCs/>
          <w:spacing w:val="20"/>
          <w:sz w:val="22"/>
          <w:szCs w:val="22"/>
        </w:rPr>
        <w:t>税项</w:t>
      </w:r>
      <w:r>
        <w:rPr>
          <w:rFonts w:ascii="宋体" w:hAnsi="宋体" w:cs="宋体" w:eastAsia="宋体" w:hint="default"/>
          <w:b/>
          <w:bCs/>
          <w:spacing w:val="-71"/>
          <w:sz w:val="22"/>
          <w:szCs w:val="22"/>
        </w:rPr>
        <w:t> </w:t>
      </w:r>
      <w:r>
        <w:rPr>
          <w:rFonts w:ascii="宋体" w:hAnsi="宋体" w:cs="宋体" w:eastAsia="宋体" w:hint="default"/>
          <w:sz w:val="22"/>
          <w:szCs w:val="22"/>
        </w:rPr>
        <w:t>本公司适用的主要税种及税率如下：</w:t>
      </w:r>
      <w:r>
        <w:rPr>
          <w:rFonts w:ascii="宋体" w:hAnsi="宋体" w:cs="宋体" w:eastAsia="宋体" w:hint="default"/>
          <w:w w:val="100"/>
          <w:sz w:val="22"/>
          <w:szCs w:val="22"/>
        </w:rPr>
        <w:t> </w:t>
      </w:r>
      <w:r>
        <w:rPr>
          <w:rFonts w:ascii="Times New Roman" w:hAnsi="Times New Roman" w:cs="Times New Roman" w:eastAsia="Times New Roman" w:hint="default"/>
          <w:b/>
          <w:bCs/>
          <w:sz w:val="22"/>
          <w:szCs w:val="22"/>
        </w:rPr>
        <w:t>1.</w:t>
        <w:tab/>
      </w:r>
      <w:r>
        <w:rPr>
          <w:rFonts w:ascii="宋体" w:hAnsi="宋体" w:cs="宋体" w:eastAsia="宋体" w:hint="default"/>
          <w:sz w:val="22"/>
          <w:szCs w:val="22"/>
        </w:rPr>
        <w:t>企业所得税</w:t>
      </w:r>
    </w:p>
    <w:p>
      <w:pPr>
        <w:spacing w:before="10"/>
        <w:ind w:left="675" w:right="107" w:firstLine="0"/>
        <w:jc w:val="left"/>
        <w:rPr>
          <w:rFonts w:ascii="宋体" w:hAnsi="宋体" w:cs="宋体" w:eastAsia="宋体" w:hint="default"/>
          <w:sz w:val="22"/>
          <w:szCs w:val="22"/>
        </w:rPr>
      </w:pPr>
      <w:r>
        <w:rPr>
          <w:rFonts w:ascii="宋体" w:hAnsi="宋体" w:cs="宋体" w:eastAsia="宋体" w:hint="default"/>
          <w:sz w:val="22"/>
          <w:szCs w:val="22"/>
        </w:rPr>
        <w:t>除下述公司外，本公司之境内各子公司适用的所得税率为</w:t>
      </w:r>
      <w:r>
        <w:rPr>
          <w:rFonts w:ascii="宋体" w:hAnsi="宋体" w:cs="宋体" w:eastAsia="宋体" w:hint="default"/>
          <w:spacing w:val="-59"/>
          <w:sz w:val="22"/>
          <w:szCs w:val="22"/>
        </w:rPr>
        <w:t> </w:t>
      </w:r>
      <w:r>
        <w:rPr>
          <w:rFonts w:ascii="Times New Roman" w:hAnsi="Times New Roman" w:cs="Times New Roman" w:eastAsia="Times New Roman" w:hint="default"/>
          <w:sz w:val="22"/>
          <w:szCs w:val="22"/>
        </w:rPr>
        <w:t>25%</w:t>
      </w:r>
      <w:r>
        <w:rPr>
          <w:rFonts w:ascii="宋体" w:hAnsi="宋体" w:cs="宋体" w:eastAsia="宋体" w:hint="default"/>
          <w:sz w:val="22"/>
          <w:szCs w:val="22"/>
        </w:rPr>
        <w:t>。</w:t>
      </w:r>
    </w:p>
    <w:p>
      <w:pPr>
        <w:spacing w:before="113"/>
        <w:ind w:left="675" w:right="1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宋体" w:hAnsi="宋体" w:cs="宋体" w:eastAsia="宋体" w:hint="default"/>
          <w:sz w:val="22"/>
          <w:szCs w:val="22"/>
        </w:rPr>
        <w:t>根据《高新技术企业认定管理办法》（国科发火</w:t>
      </w:r>
      <w:r>
        <w:rPr>
          <w:rFonts w:ascii="Times New Roman" w:hAnsi="Times New Roman" w:cs="Times New Roman" w:eastAsia="Times New Roman" w:hint="default"/>
          <w:sz w:val="22"/>
          <w:szCs w:val="22"/>
        </w:rPr>
        <w:t>[2008]172</w:t>
      </w:r>
      <w:r>
        <w:rPr>
          <w:rFonts w:ascii="Times New Roman" w:hAnsi="Times New Roman" w:cs="Times New Roman" w:eastAsia="Times New Roman" w:hint="default"/>
          <w:spacing w:val="23"/>
          <w:sz w:val="22"/>
          <w:szCs w:val="22"/>
        </w:rPr>
        <w:t> </w:t>
      </w:r>
      <w:r>
        <w:rPr>
          <w:rFonts w:ascii="宋体" w:hAnsi="宋体" w:cs="宋体" w:eastAsia="宋体" w:hint="default"/>
          <w:sz w:val="22"/>
          <w:szCs w:val="22"/>
        </w:rPr>
        <w:t>号），国家发展和改</w:t>
      </w:r>
    </w:p>
    <w:p>
      <w:pPr>
        <w:spacing w:line="280" w:lineRule="auto" w:before="50"/>
        <w:ind w:left="222" w:right="107" w:firstLine="0"/>
        <w:jc w:val="left"/>
        <w:rPr>
          <w:rFonts w:ascii="宋体" w:hAnsi="宋体" w:cs="宋体" w:eastAsia="宋体" w:hint="default"/>
          <w:sz w:val="22"/>
          <w:szCs w:val="22"/>
        </w:rPr>
      </w:pPr>
      <w:r>
        <w:rPr>
          <w:rFonts w:ascii="宋体" w:hAnsi="宋体" w:cs="宋体" w:eastAsia="宋体" w:hint="default"/>
          <w:spacing w:val="-3"/>
          <w:sz w:val="22"/>
          <w:szCs w:val="22"/>
        </w:rPr>
        <w:t>革委员会、工业和信息化部、财政部、商务部、国家税务总局《关于印发</w:t>
      </w:r>
      <w:r>
        <w:rPr>
          <w:rFonts w:ascii="宋体" w:hAnsi="宋体" w:cs="宋体" w:eastAsia="宋体" w:hint="default"/>
          <w:spacing w:val="-49"/>
          <w:sz w:val="22"/>
          <w:szCs w:val="22"/>
        </w:rPr>
        <w:t> </w:t>
      </w:r>
      <w:r>
        <w:rPr>
          <w:rFonts w:ascii="Times New Roman" w:hAnsi="Times New Roman" w:cs="Times New Roman" w:eastAsia="Times New Roman" w:hint="default"/>
          <w:sz w:val="22"/>
          <w:szCs w:val="22"/>
        </w:rPr>
        <w:t>2013-2014</w:t>
      </w:r>
      <w:r>
        <w:rPr>
          <w:rFonts w:ascii="Times New Roman" w:hAnsi="Times New Roman" w:cs="Times New Roman" w:eastAsia="Times New Roman" w:hint="default"/>
          <w:spacing w:val="8"/>
          <w:sz w:val="22"/>
          <w:szCs w:val="22"/>
        </w:rPr>
        <w:t> </w:t>
      </w:r>
      <w:r>
        <w:rPr>
          <w:rFonts w:ascii="宋体" w:hAnsi="宋体" w:cs="宋体" w:eastAsia="宋体" w:hint="default"/>
          <w:sz w:val="22"/>
          <w:szCs w:val="22"/>
        </w:rPr>
        <w:t>年度</w:t>
      </w:r>
      <w:r>
        <w:rPr>
          <w:rFonts w:ascii="宋体" w:hAnsi="宋体" w:cs="宋体" w:eastAsia="宋体" w:hint="default"/>
          <w:spacing w:val="-76"/>
          <w:sz w:val="22"/>
          <w:szCs w:val="22"/>
        </w:rPr>
        <w:t> </w:t>
      </w:r>
      <w:r>
        <w:rPr>
          <w:rFonts w:ascii="宋体" w:hAnsi="宋体" w:cs="宋体" w:eastAsia="宋体" w:hint="default"/>
          <w:spacing w:val="-6"/>
          <w:w w:val="100"/>
          <w:sz w:val="22"/>
          <w:szCs w:val="22"/>
        </w:rPr>
        <w:t>国家规划布局内重点软件企业和集成电路设计企业名单的通知》（发改高技</w:t>
      </w:r>
      <w:r>
        <w:rPr>
          <w:rFonts w:ascii="Times New Roman" w:hAnsi="Times New Roman" w:cs="Times New Roman" w:eastAsia="Times New Roman" w:hint="default"/>
          <w:spacing w:val="-6"/>
          <w:w w:val="100"/>
          <w:sz w:val="22"/>
          <w:szCs w:val="22"/>
        </w:rPr>
        <w:t>[2013]2458</w:t>
      </w:r>
      <w:r>
        <w:rPr>
          <w:rFonts w:ascii="Times New Roman" w:hAnsi="Times New Roman" w:cs="Times New Roman" w:eastAsia="Times New Roman" w:hint="default"/>
          <w:spacing w:val="39"/>
          <w:w w:val="100"/>
          <w:sz w:val="22"/>
          <w:szCs w:val="22"/>
        </w:rPr>
        <w:t> </w:t>
      </w:r>
      <w:r>
        <w:rPr>
          <w:rFonts w:ascii="宋体" w:hAnsi="宋体" w:cs="宋体" w:eastAsia="宋体" w:hint="default"/>
          <w:spacing w:val="-32"/>
          <w:w w:val="100"/>
          <w:sz w:val="22"/>
          <w:szCs w:val="22"/>
        </w:rPr>
        <w:t>号）、</w:t>
      </w:r>
    </w:p>
    <w:p>
      <w:pPr>
        <w:spacing w:line="288" w:lineRule="auto" w:before="11"/>
        <w:ind w:left="222" w:right="334" w:firstLine="0"/>
        <w:jc w:val="both"/>
        <w:rPr>
          <w:rFonts w:ascii="宋体" w:hAnsi="宋体" w:cs="宋体" w:eastAsia="宋体" w:hint="default"/>
          <w:sz w:val="22"/>
          <w:szCs w:val="22"/>
        </w:rPr>
      </w:pPr>
      <w:r>
        <w:rPr>
          <w:rFonts w:ascii="宋体" w:hAnsi="宋体" w:cs="宋体" w:eastAsia="宋体" w:hint="default"/>
          <w:spacing w:val="-1"/>
          <w:sz w:val="22"/>
          <w:szCs w:val="22"/>
        </w:rPr>
        <w:t>《关于进一步鼓励软件产业和集成电路产业发展企业所得税政策的通知》（财税</w:t>
      </w:r>
      <w:r>
        <w:rPr>
          <w:rFonts w:ascii="Times New Roman" w:hAnsi="Times New Roman" w:cs="Times New Roman" w:eastAsia="Times New Roman" w:hint="default"/>
          <w:spacing w:val="-1"/>
          <w:sz w:val="22"/>
          <w:szCs w:val="22"/>
        </w:rPr>
        <w:t>[2012]27</w:t>
      </w:r>
      <w:r>
        <w:rPr>
          <w:rFonts w:ascii="Times New Roman" w:hAnsi="Times New Roman" w:cs="Times New Roman" w:eastAsia="Times New Roman" w:hint="default"/>
          <w:spacing w:val="-22"/>
          <w:sz w:val="22"/>
          <w:szCs w:val="22"/>
        </w:rPr>
        <w:t> </w:t>
      </w:r>
      <w:r>
        <w:rPr>
          <w:rFonts w:ascii="Times New Roman" w:hAnsi="Times New Roman" w:cs="Times New Roman" w:eastAsia="Times New Roman" w:hint="default"/>
          <w:spacing w:val="-22"/>
          <w:sz w:val="22"/>
          <w:szCs w:val="22"/>
        </w:rPr>
      </w:r>
      <w:r>
        <w:rPr>
          <w:rFonts w:ascii="宋体" w:hAnsi="宋体" w:cs="宋体" w:eastAsia="宋体" w:hint="default"/>
          <w:spacing w:val="-3"/>
          <w:sz w:val="22"/>
          <w:szCs w:val="22"/>
        </w:rPr>
        <w:t>号）和《财政部、国家税务总局、海关总署关于鼓励软件产业和集成电路产业发展有关税</w:t>
      </w:r>
      <w:r>
        <w:rPr>
          <w:rFonts w:ascii="宋体" w:hAnsi="宋体" w:cs="宋体" w:eastAsia="宋体" w:hint="default"/>
          <w:spacing w:val="-71"/>
          <w:sz w:val="22"/>
          <w:szCs w:val="22"/>
        </w:rPr>
        <w:t> </w:t>
      </w:r>
      <w:r>
        <w:rPr>
          <w:rFonts w:ascii="宋体" w:hAnsi="宋体" w:cs="宋体" w:eastAsia="宋体" w:hint="default"/>
          <w:spacing w:val="-71"/>
          <w:sz w:val="22"/>
          <w:szCs w:val="22"/>
        </w:rPr>
      </w:r>
      <w:r>
        <w:rPr>
          <w:rFonts w:ascii="宋体" w:hAnsi="宋体" w:cs="宋体" w:eastAsia="宋体" w:hint="default"/>
          <w:sz w:val="22"/>
          <w:szCs w:val="22"/>
        </w:rPr>
        <w:t>收政策问题的通知》（财税</w:t>
      </w:r>
      <w:r>
        <w:rPr>
          <w:rFonts w:ascii="Times New Roman" w:hAnsi="Times New Roman" w:cs="Times New Roman" w:eastAsia="Times New Roman" w:hint="default"/>
          <w:sz w:val="22"/>
          <w:szCs w:val="22"/>
        </w:rPr>
        <w:t>[2000]25</w:t>
      </w:r>
      <w:r>
        <w:rPr>
          <w:rFonts w:ascii="Times New Roman" w:hAnsi="Times New Roman" w:cs="Times New Roman" w:eastAsia="Times New Roman" w:hint="default"/>
          <w:spacing w:val="-6"/>
          <w:sz w:val="22"/>
          <w:szCs w:val="22"/>
        </w:rPr>
        <w:t> </w:t>
      </w:r>
      <w:r>
        <w:rPr>
          <w:rFonts w:ascii="宋体" w:hAnsi="宋体" w:cs="宋体" w:eastAsia="宋体" w:hint="default"/>
          <w:sz w:val="22"/>
          <w:szCs w:val="22"/>
        </w:rPr>
        <w:t>号）之规定。享受税收优惠情况如下：</w:t>
      </w:r>
    </w:p>
    <w:p>
      <w:pPr>
        <w:spacing w:line="240" w:lineRule="auto" w:before="9"/>
        <w:rPr>
          <w:rFonts w:ascii="宋体" w:hAnsi="宋体" w:cs="宋体" w:eastAsia="宋体" w:hint="default"/>
          <w:sz w:val="7"/>
          <w:szCs w:val="7"/>
        </w:rPr>
      </w:pPr>
    </w:p>
    <w:tbl>
      <w:tblPr>
        <w:tblW w:w="0" w:type="auto"/>
        <w:jc w:val="left"/>
        <w:tblInd w:w="114" w:type="dxa"/>
        <w:tblLayout w:type="fixed"/>
        <w:tblCellMar>
          <w:top w:w="0" w:type="dxa"/>
          <w:left w:w="0" w:type="dxa"/>
          <w:bottom w:w="0" w:type="dxa"/>
          <w:right w:w="0" w:type="dxa"/>
        </w:tblCellMar>
        <w:tblLook w:val="01E0"/>
      </w:tblPr>
      <w:tblGrid>
        <w:gridCol w:w="3545"/>
        <w:gridCol w:w="1934"/>
        <w:gridCol w:w="3246"/>
      </w:tblGrid>
      <w:tr>
        <w:trPr>
          <w:trHeight w:val="308" w:hRule="exact"/>
        </w:trPr>
        <w:tc>
          <w:tcPr>
            <w:tcW w:w="3545"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right="142"/>
              <w:jc w:val="center"/>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1934"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right="96"/>
              <w:jc w:val="center"/>
              <w:rPr>
                <w:rFonts w:ascii="宋体" w:hAnsi="宋体" w:cs="宋体" w:eastAsia="宋体" w:hint="default"/>
                <w:sz w:val="18"/>
                <w:szCs w:val="18"/>
              </w:rPr>
            </w:pPr>
            <w:r>
              <w:rPr>
                <w:rFonts w:ascii="宋体" w:hAnsi="宋体" w:cs="宋体" w:eastAsia="宋体" w:hint="default"/>
                <w:b/>
                <w:bCs/>
                <w:sz w:val="18"/>
                <w:szCs w:val="18"/>
              </w:rPr>
              <w:t>优惠税率</w:t>
            </w:r>
            <w:r>
              <w:rPr>
                <w:rFonts w:ascii="宋体" w:hAnsi="宋体" w:cs="宋体" w:eastAsia="宋体" w:hint="default"/>
                <w:sz w:val="18"/>
                <w:szCs w:val="18"/>
              </w:rPr>
            </w:r>
          </w:p>
        </w:tc>
        <w:tc>
          <w:tcPr>
            <w:tcW w:w="3246"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left="45" w:right="0"/>
              <w:jc w:val="center"/>
              <w:rPr>
                <w:rFonts w:ascii="宋体" w:hAnsi="宋体" w:cs="宋体" w:eastAsia="宋体" w:hint="default"/>
                <w:sz w:val="18"/>
                <w:szCs w:val="18"/>
              </w:rPr>
            </w:pPr>
            <w:r>
              <w:rPr>
                <w:rFonts w:ascii="宋体" w:hAnsi="宋体" w:cs="宋体" w:eastAsia="宋体" w:hint="default"/>
                <w:b/>
                <w:bCs/>
                <w:sz w:val="18"/>
                <w:szCs w:val="18"/>
              </w:rPr>
              <w:t>优惠原因</w:t>
            </w:r>
            <w:r>
              <w:rPr>
                <w:rFonts w:ascii="宋体" w:hAnsi="宋体" w:cs="宋体" w:eastAsia="宋体" w:hint="default"/>
                <w:sz w:val="18"/>
                <w:szCs w:val="18"/>
              </w:rPr>
            </w:r>
          </w:p>
        </w:tc>
      </w:tr>
      <w:tr>
        <w:trPr>
          <w:trHeight w:val="323" w:hRule="exact"/>
        </w:trPr>
        <w:tc>
          <w:tcPr>
            <w:tcW w:w="3545"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1934"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91"/>
              <w:jc w:val="center"/>
              <w:rPr>
                <w:rFonts w:ascii="Times New Roman" w:hAnsi="Times New Roman" w:cs="Times New Roman" w:eastAsia="Times New Roman" w:hint="default"/>
                <w:sz w:val="18"/>
                <w:szCs w:val="18"/>
              </w:rPr>
            </w:pPr>
            <w:r>
              <w:rPr>
                <w:rFonts w:ascii="Times New Roman"/>
                <w:sz w:val="18"/>
              </w:rPr>
              <w:t>15%</w:t>
            </w:r>
          </w:p>
        </w:tc>
        <w:tc>
          <w:tcPr>
            <w:tcW w:w="3246"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47"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286"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同方人工环境有限公司</w:t>
            </w: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1"/>
              <w:jc w:val="center"/>
              <w:rPr>
                <w:rFonts w:ascii="Times New Roman" w:hAnsi="Times New Roman" w:cs="Times New Roman" w:eastAsia="Times New Roman" w:hint="default"/>
                <w:sz w:val="18"/>
                <w:szCs w:val="18"/>
              </w:rPr>
            </w:pPr>
            <w:r>
              <w:rPr>
                <w:rFonts w:ascii="Times New Roman"/>
                <w:sz w:val="18"/>
              </w:rPr>
              <w:t>15%</w:t>
            </w:r>
          </w:p>
        </w:tc>
        <w:tc>
          <w:tcPr>
            <w:tcW w:w="3246" w:type="dxa"/>
            <w:tcBorders>
              <w:top w:val="nil" w:sz="6" w:space="0" w:color="auto"/>
              <w:left w:val="nil" w:sz="6" w:space="0" w:color="auto"/>
              <w:bottom w:val="nil" w:sz="6" w:space="0" w:color="auto"/>
              <w:right w:val="nil" w:sz="6" w:space="0" w:color="auto"/>
            </w:tcBorders>
          </w:tcPr>
          <w:p>
            <w:pPr>
              <w:pStyle w:val="TableParagraph"/>
              <w:spacing w:line="223" w:lineRule="exact"/>
              <w:ind w:left="47"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286"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同方国芯电子股份有限公司</w:t>
            </w: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1"/>
              <w:jc w:val="center"/>
              <w:rPr>
                <w:rFonts w:ascii="Times New Roman" w:hAnsi="Times New Roman" w:cs="Times New Roman" w:eastAsia="Times New Roman" w:hint="default"/>
                <w:sz w:val="18"/>
                <w:szCs w:val="18"/>
              </w:rPr>
            </w:pPr>
            <w:r>
              <w:rPr>
                <w:rFonts w:ascii="Times New Roman"/>
                <w:sz w:val="18"/>
              </w:rPr>
              <w:t>15%</w:t>
            </w:r>
          </w:p>
        </w:tc>
        <w:tc>
          <w:tcPr>
            <w:tcW w:w="3246" w:type="dxa"/>
            <w:tcBorders>
              <w:top w:val="nil" w:sz="6" w:space="0" w:color="auto"/>
              <w:left w:val="nil" w:sz="6" w:space="0" w:color="auto"/>
              <w:bottom w:val="nil" w:sz="6" w:space="0" w:color="auto"/>
              <w:right w:val="nil" w:sz="6" w:space="0" w:color="auto"/>
            </w:tcBorders>
          </w:tcPr>
          <w:p>
            <w:pPr>
              <w:pStyle w:val="TableParagraph"/>
              <w:spacing w:line="223" w:lineRule="exact"/>
              <w:ind w:left="47"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284"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同方威视技术股份有限公司</w:t>
            </w: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1"/>
              <w:jc w:val="center"/>
              <w:rPr>
                <w:rFonts w:ascii="Times New Roman" w:hAnsi="Times New Roman" w:cs="Times New Roman" w:eastAsia="Times New Roman" w:hint="default"/>
                <w:sz w:val="18"/>
                <w:szCs w:val="18"/>
              </w:rPr>
            </w:pPr>
            <w:r>
              <w:rPr>
                <w:rFonts w:ascii="Times New Roman"/>
                <w:sz w:val="18"/>
              </w:rPr>
              <w:t>15%</w:t>
            </w:r>
          </w:p>
        </w:tc>
        <w:tc>
          <w:tcPr>
            <w:tcW w:w="3246" w:type="dxa"/>
            <w:tcBorders>
              <w:top w:val="nil" w:sz="6" w:space="0" w:color="auto"/>
              <w:left w:val="nil" w:sz="6" w:space="0" w:color="auto"/>
              <w:bottom w:val="nil" w:sz="6" w:space="0" w:color="auto"/>
              <w:right w:val="nil" w:sz="6" w:space="0" w:color="auto"/>
            </w:tcBorders>
          </w:tcPr>
          <w:p>
            <w:pPr>
              <w:pStyle w:val="TableParagraph"/>
              <w:spacing w:line="223" w:lineRule="exact"/>
              <w:ind w:left="47"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284"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同方知网（北京）技术有限公司</w:t>
            </w: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1"/>
              <w:jc w:val="center"/>
              <w:rPr>
                <w:rFonts w:ascii="Times New Roman" w:hAnsi="Times New Roman" w:cs="Times New Roman" w:eastAsia="Times New Roman" w:hint="default"/>
                <w:sz w:val="18"/>
                <w:szCs w:val="18"/>
              </w:rPr>
            </w:pPr>
            <w:r>
              <w:rPr>
                <w:rFonts w:ascii="Times New Roman"/>
                <w:sz w:val="18"/>
              </w:rPr>
              <w:t>15%</w:t>
            </w:r>
          </w:p>
        </w:tc>
        <w:tc>
          <w:tcPr>
            <w:tcW w:w="3246" w:type="dxa"/>
            <w:tcBorders>
              <w:top w:val="nil" w:sz="6" w:space="0" w:color="auto"/>
              <w:left w:val="nil" w:sz="6" w:space="0" w:color="auto"/>
              <w:bottom w:val="nil" w:sz="6" w:space="0" w:color="auto"/>
              <w:right w:val="nil" w:sz="6" w:space="0" w:color="auto"/>
            </w:tcBorders>
          </w:tcPr>
          <w:p>
            <w:pPr>
              <w:pStyle w:val="TableParagraph"/>
              <w:spacing w:line="222" w:lineRule="exact"/>
              <w:ind w:left="47"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286"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同方知网数字出版股份有限公司</w:t>
            </w: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1"/>
              <w:jc w:val="center"/>
              <w:rPr>
                <w:rFonts w:ascii="Times New Roman" w:hAnsi="Times New Roman" w:cs="Times New Roman" w:eastAsia="Times New Roman" w:hint="default"/>
                <w:sz w:val="18"/>
                <w:szCs w:val="18"/>
              </w:rPr>
            </w:pPr>
            <w:r>
              <w:rPr>
                <w:rFonts w:ascii="Times New Roman"/>
                <w:sz w:val="18"/>
              </w:rPr>
              <w:t>15%</w:t>
            </w:r>
          </w:p>
        </w:tc>
        <w:tc>
          <w:tcPr>
            <w:tcW w:w="3246" w:type="dxa"/>
            <w:tcBorders>
              <w:top w:val="nil" w:sz="6" w:space="0" w:color="auto"/>
              <w:left w:val="nil" w:sz="6" w:space="0" w:color="auto"/>
              <w:bottom w:val="nil" w:sz="6" w:space="0" w:color="auto"/>
              <w:right w:val="nil" w:sz="6" w:space="0" w:color="auto"/>
            </w:tcBorders>
          </w:tcPr>
          <w:p>
            <w:pPr>
              <w:pStyle w:val="TableParagraph"/>
              <w:spacing w:line="223" w:lineRule="exact"/>
              <w:ind w:left="47"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286"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北京同方光盘股份有限公司</w:t>
            </w: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1"/>
              <w:jc w:val="center"/>
              <w:rPr>
                <w:rFonts w:ascii="Times New Roman" w:hAnsi="Times New Roman" w:cs="Times New Roman" w:eastAsia="Times New Roman" w:hint="default"/>
                <w:sz w:val="18"/>
                <w:szCs w:val="18"/>
              </w:rPr>
            </w:pPr>
            <w:r>
              <w:rPr>
                <w:rFonts w:ascii="Times New Roman"/>
                <w:sz w:val="18"/>
              </w:rPr>
              <w:t>15%</w:t>
            </w:r>
          </w:p>
        </w:tc>
        <w:tc>
          <w:tcPr>
            <w:tcW w:w="3246" w:type="dxa"/>
            <w:tcBorders>
              <w:top w:val="nil" w:sz="6" w:space="0" w:color="auto"/>
              <w:left w:val="nil" w:sz="6" w:space="0" w:color="auto"/>
              <w:bottom w:val="nil" w:sz="6" w:space="0" w:color="auto"/>
              <w:right w:val="nil" w:sz="6" w:space="0" w:color="auto"/>
            </w:tcBorders>
          </w:tcPr>
          <w:p>
            <w:pPr>
              <w:pStyle w:val="TableParagraph"/>
              <w:spacing w:line="223" w:lineRule="exact"/>
              <w:ind w:left="47"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284"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同方健康科技（北京）股份有限公司</w:t>
            </w: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1"/>
              <w:jc w:val="center"/>
              <w:rPr>
                <w:rFonts w:ascii="Times New Roman" w:hAnsi="Times New Roman" w:cs="Times New Roman" w:eastAsia="Times New Roman" w:hint="default"/>
                <w:sz w:val="18"/>
                <w:szCs w:val="18"/>
              </w:rPr>
            </w:pPr>
            <w:r>
              <w:rPr>
                <w:rFonts w:ascii="Times New Roman"/>
                <w:sz w:val="18"/>
              </w:rPr>
              <w:t>15%</w:t>
            </w:r>
          </w:p>
        </w:tc>
        <w:tc>
          <w:tcPr>
            <w:tcW w:w="3246" w:type="dxa"/>
            <w:tcBorders>
              <w:top w:val="nil" w:sz="6" w:space="0" w:color="auto"/>
              <w:left w:val="nil" w:sz="6" w:space="0" w:color="auto"/>
              <w:bottom w:val="nil" w:sz="6" w:space="0" w:color="auto"/>
              <w:right w:val="nil" w:sz="6" w:space="0" w:color="auto"/>
            </w:tcBorders>
          </w:tcPr>
          <w:p>
            <w:pPr>
              <w:pStyle w:val="TableParagraph"/>
              <w:spacing w:line="223" w:lineRule="exact"/>
              <w:ind w:left="47"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284"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山东同方鲁颖电子有限公司</w:t>
            </w: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1"/>
              <w:jc w:val="center"/>
              <w:rPr>
                <w:rFonts w:ascii="Times New Roman" w:hAnsi="Times New Roman" w:cs="Times New Roman" w:eastAsia="Times New Roman" w:hint="default"/>
                <w:sz w:val="18"/>
                <w:szCs w:val="18"/>
              </w:rPr>
            </w:pPr>
            <w:r>
              <w:rPr>
                <w:rFonts w:ascii="Times New Roman"/>
                <w:sz w:val="18"/>
              </w:rPr>
              <w:t>15%</w:t>
            </w:r>
          </w:p>
        </w:tc>
        <w:tc>
          <w:tcPr>
            <w:tcW w:w="3246" w:type="dxa"/>
            <w:tcBorders>
              <w:top w:val="nil" w:sz="6" w:space="0" w:color="auto"/>
              <w:left w:val="nil" w:sz="6" w:space="0" w:color="auto"/>
              <w:bottom w:val="nil" w:sz="6" w:space="0" w:color="auto"/>
              <w:right w:val="nil" w:sz="6" w:space="0" w:color="auto"/>
            </w:tcBorders>
          </w:tcPr>
          <w:p>
            <w:pPr>
              <w:pStyle w:val="TableParagraph"/>
              <w:spacing w:line="222" w:lineRule="exact"/>
              <w:ind w:left="47"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286"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北京同方软件股份有限公司</w:t>
            </w: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1"/>
              <w:jc w:val="center"/>
              <w:rPr>
                <w:rFonts w:ascii="Times New Roman" w:hAnsi="Times New Roman" w:cs="Times New Roman" w:eastAsia="Times New Roman" w:hint="default"/>
                <w:sz w:val="18"/>
                <w:szCs w:val="18"/>
              </w:rPr>
            </w:pPr>
            <w:r>
              <w:rPr>
                <w:rFonts w:ascii="Times New Roman"/>
                <w:sz w:val="18"/>
              </w:rPr>
              <w:t>15%</w:t>
            </w:r>
          </w:p>
        </w:tc>
        <w:tc>
          <w:tcPr>
            <w:tcW w:w="3246" w:type="dxa"/>
            <w:tcBorders>
              <w:top w:val="nil" w:sz="6" w:space="0" w:color="auto"/>
              <w:left w:val="nil" w:sz="6" w:space="0" w:color="auto"/>
              <w:bottom w:val="nil" w:sz="6" w:space="0" w:color="auto"/>
              <w:right w:val="nil" w:sz="6" w:space="0" w:color="auto"/>
            </w:tcBorders>
          </w:tcPr>
          <w:p>
            <w:pPr>
              <w:pStyle w:val="TableParagraph"/>
              <w:spacing w:line="223" w:lineRule="exact"/>
              <w:ind w:left="47"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286"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北京同方吉兆科技有限公司</w:t>
            </w: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1"/>
              <w:jc w:val="center"/>
              <w:rPr>
                <w:rFonts w:ascii="Times New Roman" w:hAnsi="Times New Roman" w:cs="Times New Roman" w:eastAsia="Times New Roman" w:hint="default"/>
                <w:sz w:val="18"/>
                <w:szCs w:val="18"/>
              </w:rPr>
            </w:pPr>
            <w:r>
              <w:rPr>
                <w:rFonts w:ascii="Times New Roman"/>
                <w:sz w:val="18"/>
              </w:rPr>
              <w:t>15%</w:t>
            </w:r>
          </w:p>
        </w:tc>
        <w:tc>
          <w:tcPr>
            <w:tcW w:w="3246" w:type="dxa"/>
            <w:tcBorders>
              <w:top w:val="nil" w:sz="6" w:space="0" w:color="auto"/>
              <w:left w:val="nil" w:sz="6" w:space="0" w:color="auto"/>
              <w:bottom w:val="nil" w:sz="6" w:space="0" w:color="auto"/>
              <w:right w:val="nil" w:sz="6" w:space="0" w:color="auto"/>
            </w:tcBorders>
          </w:tcPr>
          <w:p>
            <w:pPr>
              <w:pStyle w:val="TableParagraph"/>
              <w:spacing w:line="223" w:lineRule="exact"/>
              <w:ind w:left="47"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285"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沈阳同方多媒体科技有限公司</w:t>
            </w: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1"/>
              <w:jc w:val="center"/>
              <w:rPr>
                <w:rFonts w:ascii="Times New Roman" w:hAnsi="Times New Roman" w:cs="Times New Roman" w:eastAsia="Times New Roman" w:hint="default"/>
                <w:sz w:val="18"/>
                <w:szCs w:val="18"/>
              </w:rPr>
            </w:pPr>
            <w:r>
              <w:rPr>
                <w:rFonts w:ascii="Times New Roman"/>
                <w:sz w:val="18"/>
              </w:rPr>
              <w:t>15%</w:t>
            </w:r>
          </w:p>
        </w:tc>
        <w:tc>
          <w:tcPr>
            <w:tcW w:w="3246" w:type="dxa"/>
            <w:tcBorders>
              <w:top w:val="nil" w:sz="6" w:space="0" w:color="auto"/>
              <w:left w:val="nil" w:sz="6" w:space="0" w:color="auto"/>
              <w:bottom w:val="nil" w:sz="6" w:space="0" w:color="auto"/>
              <w:right w:val="nil" w:sz="6" w:space="0" w:color="auto"/>
            </w:tcBorders>
          </w:tcPr>
          <w:p>
            <w:pPr>
              <w:pStyle w:val="TableParagraph"/>
              <w:spacing w:line="223" w:lineRule="exact"/>
              <w:ind w:left="47"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285"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同方锐安科技有限公司</w:t>
            </w: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1"/>
              <w:jc w:val="center"/>
              <w:rPr>
                <w:rFonts w:ascii="Times New Roman" w:hAnsi="Times New Roman" w:cs="Times New Roman" w:eastAsia="Times New Roman" w:hint="default"/>
                <w:sz w:val="18"/>
                <w:szCs w:val="18"/>
              </w:rPr>
            </w:pPr>
            <w:r>
              <w:rPr>
                <w:rFonts w:ascii="Times New Roman"/>
                <w:sz w:val="18"/>
              </w:rPr>
              <w:t>15%</w:t>
            </w:r>
          </w:p>
        </w:tc>
        <w:tc>
          <w:tcPr>
            <w:tcW w:w="3246" w:type="dxa"/>
            <w:tcBorders>
              <w:top w:val="nil" w:sz="6" w:space="0" w:color="auto"/>
              <w:left w:val="nil" w:sz="6" w:space="0" w:color="auto"/>
              <w:bottom w:val="nil" w:sz="6" w:space="0" w:color="auto"/>
              <w:right w:val="nil" w:sz="6" w:space="0" w:color="auto"/>
            </w:tcBorders>
          </w:tcPr>
          <w:p>
            <w:pPr>
              <w:pStyle w:val="TableParagraph"/>
              <w:spacing w:line="222" w:lineRule="exact"/>
              <w:ind w:left="47"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286"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南通同方半导体有限公司</w:t>
            </w: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1"/>
              <w:jc w:val="center"/>
              <w:rPr>
                <w:rFonts w:ascii="Times New Roman" w:hAnsi="Times New Roman" w:cs="Times New Roman" w:eastAsia="Times New Roman" w:hint="default"/>
                <w:sz w:val="18"/>
                <w:szCs w:val="18"/>
              </w:rPr>
            </w:pPr>
            <w:r>
              <w:rPr>
                <w:rFonts w:ascii="Times New Roman"/>
                <w:sz w:val="18"/>
              </w:rPr>
              <w:t>15%</w:t>
            </w:r>
          </w:p>
        </w:tc>
        <w:tc>
          <w:tcPr>
            <w:tcW w:w="3246" w:type="dxa"/>
            <w:tcBorders>
              <w:top w:val="nil" w:sz="6" w:space="0" w:color="auto"/>
              <w:left w:val="nil" w:sz="6" w:space="0" w:color="auto"/>
              <w:bottom w:val="nil" w:sz="6" w:space="0" w:color="auto"/>
              <w:right w:val="nil" w:sz="6" w:space="0" w:color="auto"/>
            </w:tcBorders>
          </w:tcPr>
          <w:p>
            <w:pPr>
              <w:pStyle w:val="TableParagraph"/>
              <w:spacing w:line="223" w:lineRule="exact"/>
              <w:ind w:left="47"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286"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同方工业有限公司</w:t>
            </w: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1"/>
              <w:jc w:val="center"/>
              <w:rPr>
                <w:rFonts w:ascii="Times New Roman" w:hAnsi="Times New Roman" w:cs="Times New Roman" w:eastAsia="Times New Roman" w:hint="default"/>
                <w:sz w:val="18"/>
                <w:szCs w:val="18"/>
              </w:rPr>
            </w:pPr>
            <w:r>
              <w:rPr>
                <w:rFonts w:ascii="Times New Roman"/>
                <w:sz w:val="18"/>
              </w:rPr>
              <w:t>15%</w:t>
            </w:r>
          </w:p>
        </w:tc>
        <w:tc>
          <w:tcPr>
            <w:tcW w:w="3246" w:type="dxa"/>
            <w:tcBorders>
              <w:top w:val="nil" w:sz="6" w:space="0" w:color="auto"/>
              <w:left w:val="nil" w:sz="6" w:space="0" w:color="auto"/>
              <w:bottom w:val="nil" w:sz="6" w:space="0" w:color="auto"/>
              <w:right w:val="nil" w:sz="6" w:space="0" w:color="auto"/>
            </w:tcBorders>
          </w:tcPr>
          <w:p>
            <w:pPr>
              <w:pStyle w:val="TableParagraph"/>
              <w:spacing w:line="223" w:lineRule="exact"/>
              <w:ind w:left="47"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265" w:hRule="exact"/>
        </w:trPr>
        <w:tc>
          <w:tcPr>
            <w:tcW w:w="3545" w:type="dxa"/>
            <w:tcBorders>
              <w:top w:val="nil" w:sz="6" w:space="0" w:color="auto"/>
              <w:left w:val="nil" w:sz="6" w:space="0" w:color="auto"/>
              <w:bottom w:val="single" w:sz="12"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北京壹人壹本信息科技有限公司</w:t>
            </w:r>
          </w:p>
        </w:tc>
        <w:tc>
          <w:tcPr>
            <w:tcW w:w="1934"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91"/>
              <w:jc w:val="center"/>
              <w:rPr>
                <w:rFonts w:ascii="Times New Roman" w:hAnsi="Times New Roman" w:cs="Times New Roman" w:eastAsia="Times New Roman" w:hint="default"/>
                <w:sz w:val="18"/>
                <w:szCs w:val="18"/>
              </w:rPr>
            </w:pPr>
            <w:r>
              <w:rPr>
                <w:rFonts w:ascii="Times New Roman"/>
                <w:sz w:val="18"/>
              </w:rPr>
              <w:t>15%</w:t>
            </w:r>
          </w:p>
        </w:tc>
        <w:tc>
          <w:tcPr>
            <w:tcW w:w="3246" w:type="dxa"/>
            <w:tcBorders>
              <w:top w:val="nil" w:sz="6" w:space="0" w:color="auto"/>
              <w:left w:val="nil" w:sz="6" w:space="0" w:color="auto"/>
              <w:bottom w:val="single" w:sz="12" w:space="0" w:color="000000"/>
              <w:right w:val="nil" w:sz="6" w:space="0" w:color="auto"/>
            </w:tcBorders>
          </w:tcPr>
          <w:p>
            <w:pPr>
              <w:pStyle w:val="TableParagraph"/>
              <w:spacing w:line="223" w:lineRule="exact"/>
              <w:ind w:left="45" w:right="0"/>
              <w:jc w:val="center"/>
              <w:rPr>
                <w:rFonts w:ascii="宋体" w:hAnsi="宋体" w:cs="宋体" w:eastAsia="宋体" w:hint="default"/>
                <w:sz w:val="18"/>
                <w:szCs w:val="18"/>
              </w:rPr>
            </w:pPr>
            <w:r>
              <w:rPr>
                <w:rFonts w:ascii="宋体" w:hAnsi="宋体" w:cs="宋体" w:eastAsia="宋体" w:hint="default"/>
                <w:sz w:val="18"/>
                <w:szCs w:val="18"/>
              </w:rPr>
              <w:t>高新技术企业、软件企业</w:t>
            </w:r>
          </w:p>
        </w:tc>
      </w:tr>
    </w:tbl>
    <w:p>
      <w:pPr>
        <w:spacing w:before="21"/>
        <w:ind w:left="675" w:right="1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25"/>
          <w:sz w:val="22"/>
          <w:szCs w:val="22"/>
        </w:rPr>
        <w:t> </w:t>
      </w:r>
      <w:r>
        <w:rPr>
          <w:rFonts w:ascii="宋体" w:hAnsi="宋体" w:cs="宋体" w:eastAsia="宋体" w:hint="default"/>
          <w:sz w:val="22"/>
          <w:szCs w:val="22"/>
        </w:rPr>
        <w:t>本公司本报告期内境外子公司所得税税率列示如下：</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5623"/>
        <w:gridCol w:w="3103"/>
      </w:tblGrid>
      <w:tr>
        <w:trPr>
          <w:trHeight w:val="310" w:hRule="exact"/>
        </w:trPr>
        <w:tc>
          <w:tcPr>
            <w:tcW w:w="5623"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left="3038"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3103"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right="779"/>
              <w:jc w:val="right"/>
              <w:rPr>
                <w:rFonts w:ascii="宋体" w:hAnsi="宋体" w:cs="宋体" w:eastAsia="宋体" w:hint="default"/>
                <w:sz w:val="18"/>
                <w:szCs w:val="18"/>
              </w:rPr>
            </w:pPr>
            <w:r>
              <w:rPr>
                <w:rFonts w:ascii="宋体" w:hAnsi="宋体" w:cs="宋体" w:eastAsia="宋体" w:hint="default"/>
                <w:b/>
                <w:bCs/>
                <w:sz w:val="18"/>
                <w:szCs w:val="18"/>
              </w:rPr>
              <w:t>税率</w:t>
            </w:r>
            <w:r>
              <w:rPr>
                <w:rFonts w:ascii="宋体" w:hAnsi="宋体" w:cs="宋体" w:eastAsia="宋体" w:hint="default"/>
                <w:sz w:val="18"/>
                <w:szCs w:val="18"/>
              </w:rPr>
            </w:r>
          </w:p>
        </w:tc>
      </w:tr>
      <w:tr>
        <w:trPr>
          <w:trHeight w:val="330" w:hRule="exact"/>
        </w:trPr>
        <w:tc>
          <w:tcPr>
            <w:tcW w:w="5623" w:type="dxa"/>
            <w:tcBorders>
              <w:top w:val="single" w:sz="8" w:space="0" w:color="000000"/>
              <w:left w:val="nil" w:sz="6" w:space="0" w:color="auto"/>
              <w:bottom w:val="nil" w:sz="6" w:space="0" w:color="auto"/>
              <w:right w:val="nil" w:sz="6" w:space="0" w:color="auto"/>
            </w:tcBorders>
          </w:tcPr>
          <w:p>
            <w:pPr>
              <w:pStyle w:val="TableParagraph"/>
              <w:spacing w:line="240" w:lineRule="auto" w:before="74"/>
              <w:ind w:left="108" w:right="0"/>
              <w:jc w:val="left"/>
              <w:rPr>
                <w:rFonts w:ascii="Times New Roman" w:hAnsi="Times New Roman" w:cs="Times New Roman" w:eastAsia="Times New Roman" w:hint="default"/>
                <w:sz w:val="18"/>
                <w:szCs w:val="18"/>
              </w:rPr>
            </w:pPr>
            <w:r>
              <w:rPr>
                <w:rFonts w:ascii="Times New Roman"/>
                <w:sz w:val="18"/>
              </w:rPr>
              <w:t>Resuccess Investments</w:t>
            </w:r>
            <w:r>
              <w:rPr>
                <w:rFonts w:ascii="Times New Roman"/>
                <w:spacing w:val="-12"/>
                <w:sz w:val="18"/>
              </w:rPr>
              <w:t> </w:t>
            </w:r>
            <w:r>
              <w:rPr>
                <w:rFonts w:ascii="Times New Roman"/>
                <w:sz w:val="18"/>
              </w:rPr>
              <w:t>Limited</w:t>
            </w:r>
          </w:p>
        </w:tc>
        <w:tc>
          <w:tcPr>
            <w:tcW w:w="3103" w:type="dxa"/>
            <w:tcBorders>
              <w:top w:val="single" w:sz="8" w:space="0" w:color="000000"/>
              <w:left w:val="nil" w:sz="6" w:space="0" w:color="auto"/>
              <w:bottom w:val="nil" w:sz="6" w:space="0" w:color="auto"/>
              <w:right w:val="nil" w:sz="6" w:space="0" w:color="auto"/>
            </w:tcBorders>
          </w:tcPr>
          <w:p>
            <w:pPr>
              <w:pStyle w:val="TableParagraph"/>
              <w:spacing w:line="240" w:lineRule="auto" w:before="74"/>
              <w:ind w:left="2020" w:right="0"/>
              <w:jc w:val="left"/>
              <w:rPr>
                <w:rFonts w:ascii="Times New Roman" w:hAnsi="Times New Roman" w:cs="Times New Roman" w:eastAsia="Times New Roman" w:hint="default"/>
                <w:sz w:val="18"/>
                <w:szCs w:val="18"/>
              </w:rPr>
            </w:pPr>
            <w:r>
              <w:rPr>
                <w:rFonts w:ascii="Times New Roman"/>
                <w:sz w:val="18"/>
              </w:rPr>
              <w:t>0%</w:t>
            </w:r>
          </w:p>
        </w:tc>
      </w:tr>
      <w:tr>
        <w:trPr>
          <w:trHeight w:val="284" w:hRule="exact"/>
        </w:trPr>
        <w:tc>
          <w:tcPr>
            <w:tcW w:w="5623"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同方泰德国际科技有限公司</w:t>
            </w:r>
          </w:p>
        </w:tc>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92"/>
              <w:jc w:val="right"/>
              <w:rPr>
                <w:rFonts w:ascii="Times New Roman" w:hAnsi="Times New Roman" w:cs="Times New Roman" w:eastAsia="Times New Roman" w:hint="default"/>
                <w:sz w:val="18"/>
                <w:szCs w:val="18"/>
              </w:rPr>
            </w:pPr>
            <w:r>
              <w:rPr>
                <w:rFonts w:ascii="Times New Roman"/>
                <w:sz w:val="18"/>
              </w:rPr>
              <w:t>17%</w:t>
            </w:r>
          </w:p>
        </w:tc>
      </w:tr>
      <w:tr>
        <w:trPr>
          <w:trHeight w:val="295" w:hRule="exact"/>
        </w:trPr>
        <w:tc>
          <w:tcPr>
            <w:tcW w:w="5623"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同方光电（香港）有限公司</w:t>
            </w:r>
          </w:p>
        </w:tc>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681"/>
              <w:jc w:val="right"/>
              <w:rPr>
                <w:rFonts w:ascii="Times New Roman" w:hAnsi="Times New Roman" w:cs="Times New Roman" w:eastAsia="Times New Roman" w:hint="default"/>
                <w:sz w:val="18"/>
                <w:szCs w:val="18"/>
              </w:rPr>
            </w:pPr>
            <w:r>
              <w:rPr>
                <w:rFonts w:ascii="Times New Roman"/>
                <w:sz w:val="18"/>
              </w:rPr>
              <w:t>16.50%</w:t>
            </w:r>
          </w:p>
        </w:tc>
      </w:tr>
      <w:tr>
        <w:trPr>
          <w:trHeight w:val="284" w:hRule="exact"/>
        </w:trPr>
        <w:tc>
          <w:tcPr>
            <w:tcW w:w="562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8" w:right="0"/>
              <w:jc w:val="left"/>
              <w:rPr>
                <w:rFonts w:ascii="Times New Roman" w:hAnsi="Times New Roman" w:cs="Times New Roman" w:eastAsia="Times New Roman" w:hint="default"/>
                <w:sz w:val="18"/>
                <w:szCs w:val="18"/>
              </w:rPr>
            </w:pPr>
            <w:r>
              <w:rPr>
                <w:rFonts w:ascii="Times New Roman"/>
                <w:sz w:val="18"/>
              </w:rPr>
              <w:t>Tongfang HongKong</w:t>
            </w:r>
            <w:r>
              <w:rPr>
                <w:rFonts w:ascii="Times New Roman"/>
                <w:spacing w:val="-11"/>
                <w:sz w:val="18"/>
              </w:rPr>
              <w:t> </w:t>
            </w:r>
            <w:r>
              <w:rPr>
                <w:rFonts w:ascii="Times New Roman"/>
                <w:sz w:val="18"/>
              </w:rPr>
              <w:t>Limited</w:t>
            </w:r>
          </w:p>
        </w:tc>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81"/>
              <w:jc w:val="right"/>
              <w:rPr>
                <w:rFonts w:ascii="Times New Roman" w:hAnsi="Times New Roman" w:cs="Times New Roman" w:eastAsia="Times New Roman" w:hint="default"/>
                <w:sz w:val="18"/>
                <w:szCs w:val="18"/>
              </w:rPr>
            </w:pPr>
            <w:r>
              <w:rPr>
                <w:rFonts w:ascii="Times New Roman"/>
                <w:sz w:val="18"/>
              </w:rPr>
              <w:t>16.50%</w:t>
            </w:r>
          </w:p>
        </w:tc>
      </w:tr>
      <w:tr>
        <w:trPr>
          <w:trHeight w:val="286" w:hRule="exact"/>
        </w:trPr>
        <w:tc>
          <w:tcPr>
            <w:tcW w:w="562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Times New Roman" w:hAnsi="Times New Roman" w:cs="Times New Roman" w:eastAsia="Times New Roman" w:hint="default"/>
                <w:sz w:val="18"/>
                <w:szCs w:val="18"/>
              </w:rPr>
            </w:pPr>
            <w:r>
              <w:rPr>
                <w:rFonts w:ascii="Times New Roman"/>
                <w:sz w:val="18"/>
              </w:rPr>
              <w:t>Tongfang Global</w:t>
            </w:r>
            <w:r>
              <w:rPr>
                <w:rFonts w:ascii="Times New Roman"/>
                <w:spacing w:val="-9"/>
                <w:sz w:val="18"/>
              </w:rPr>
              <w:t> </w:t>
            </w:r>
            <w:r>
              <w:rPr>
                <w:rFonts w:ascii="Times New Roman"/>
                <w:sz w:val="18"/>
              </w:rPr>
              <w:t>Limited</w:t>
            </w:r>
          </w:p>
        </w:tc>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681"/>
              <w:jc w:val="right"/>
              <w:rPr>
                <w:rFonts w:ascii="Times New Roman" w:hAnsi="Times New Roman" w:cs="Times New Roman" w:eastAsia="Times New Roman" w:hint="default"/>
                <w:sz w:val="18"/>
                <w:szCs w:val="18"/>
              </w:rPr>
            </w:pPr>
            <w:r>
              <w:rPr>
                <w:rFonts w:ascii="Times New Roman"/>
                <w:sz w:val="18"/>
              </w:rPr>
              <w:t>16.50%</w:t>
            </w:r>
          </w:p>
        </w:tc>
      </w:tr>
      <w:tr>
        <w:trPr>
          <w:trHeight w:val="286" w:hRule="exact"/>
        </w:trPr>
        <w:tc>
          <w:tcPr>
            <w:tcW w:w="562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Times New Roman" w:hAnsi="Times New Roman" w:cs="Times New Roman" w:eastAsia="Times New Roman" w:hint="default"/>
                <w:sz w:val="18"/>
                <w:szCs w:val="18"/>
              </w:rPr>
            </w:pPr>
            <w:r>
              <w:rPr>
                <w:rFonts w:ascii="Times New Roman"/>
                <w:sz w:val="18"/>
              </w:rPr>
              <w:t>THTF USA,</w:t>
            </w:r>
            <w:r>
              <w:rPr>
                <w:rFonts w:ascii="Times New Roman"/>
                <w:spacing w:val="-7"/>
                <w:sz w:val="18"/>
              </w:rPr>
              <w:t> </w:t>
            </w:r>
            <w:r>
              <w:rPr>
                <w:rFonts w:ascii="Times New Roman"/>
                <w:sz w:val="18"/>
              </w:rPr>
              <w:t>Inc.</w:t>
            </w:r>
          </w:p>
        </w:tc>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792"/>
              <w:jc w:val="right"/>
              <w:rPr>
                <w:rFonts w:ascii="Times New Roman" w:hAnsi="Times New Roman" w:cs="Times New Roman" w:eastAsia="Times New Roman" w:hint="default"/>
                <w:sz w:val="18"/>
                <w:szCs w:val="18"/>
              </w:rPr>
            </w:pPr>
            <w:r>
              <w:rPr>
                <w:rFonts w:ascii="Times New Roman"/>
                <w:sz w:val="18"/>
              </w:rPr>
              <w:t>31%</w:t>
            </w:r>
          </w:p>
        </w:tc>
      </w:tr>
      <w:tr>
        <w:trPr>
          <w:trHeight w:val="256" w:hRule="exact"/>
        </w:trPr>
        <w:tc>
          <w:tcPr>
            <w:tcW w:w="5623" w:type="dxa"/>
            <w:tcBorders>
              <w:top w:val="nil" w:sz="6" w:space="0" w:color="auto"/>
              <w:left w:val="nil" w:sz="6" w:space="0" w:color="auto"/>
              <w:bottom w:val="single" w:sz="12" w:space="0" w:color="000000"/>
              <w:right w:val="nil" w:sz="6" w:space="0" w:color="auto"/>
            </w:tcBorders>
          </w:tcPr>
          <w:p>
            <w:pPr>
              <w:pStyle w:val="TableParagraph"/>
              <w:spacing w:line="240" w:lineRule="auto" w:before="30"/>
              <w:ind w:left="108" w:right="0"/>
              <w:jc w:val="left"/>
              <w:rPr>
                <w:rFonts w:ascii="Times New Roman" w:hAnsi="Times New Roman" w:cs="Times New Roman" w:eastAsia="Times New Roman" w:hint="default"/>
                <w:sz w:val="18"/>
                <w:szCs w:val="18"/>
              </w:rPr>
            </w:pPr>
            <w:r>
              <w:rPr>
                <w:rFonts w:ascii="Times New Roman"/>
                <w:sz w:val="18"/>
              </w:rPr>
              <w:t>Tongfang Asia Pacific (R&amp;D Center) Pte.</w:t>
            </w:r>
            <w:r>
              <w:rPr>
                <w:rFonts w:ascii="Times New Roman"/>
                <w:spacing w:val="-9"/>
                <w:sz w:val="18"/>
              </w:rPr>
              <w:t> </w:t>
            </w:r>
            <w:r>
              <w:rPr>
                <w:rFonts w:ascii="Times New Roman"/>
                <w:sz w:val="18"/>
              </w:rPr>
              <w:t>Ltd.</w:t>
            </w:r>
          </w:p>
        </w:tc>
        <w:tc>
          <w:tcPr>
            <w:tcW w:w="3103" w:type="dxa"/>
            <w:tcBorders>
              <w:top w:val="nil" w:sz="6" w:space="0" w:color="auto"/>
              <w:left w:val="nil" w:sz="6" w:space="0" w:color="auto"/>
              <w:bottom w:val="single" w:sz="12" w:space="0" w:color="000000"/>
              <w:right w:val="nil" w:sz="6" w:space="0" w:color="auto"/>
            </w:tcBorders>
          </w:tcPr>
          <w:p>
            <w:pPr>
              <w:pStyle w:val="TableParagraph"/>
              <w:spacing w:line="240" w:lineRule="auto" w:before="30"/>
              <w:ind w:right="792"/>
              <w:jc w:val="right"/>
              <w:rPr>
                <w:rFonts w:ascii="Times New Roman" w:hAnsi="Times New Roman" w:cs="Times New Roman" w:eastAsia="Times New Roman" w:hint="default"/>
                <w:sz w:val="18"/>
                <w:szCs w:val="18"/>
              </w:rPr>
            </w:pPr>
            <w:r>
              <w:rPr>
                <w:rFonts w:ascii="Times New Roman"/>
                <w:sz w:val="18"/>
              </w:rPr>
              <w:t>17%</w:t>
            </w:r>
          </w:p>
        </w:tc>
      </w:tr>
    </w:tbl>
    <w:p>
      <w:pPr>
        <w:tabs>
          <w:tab w:pos="1021" w:val="left" w:leader="none"/>
        </w:tabs>
        <w:spacing w:line="328" w:lineRule="auto" w:before="21"/>
        <w:ind w:left="661" w:right="1784" w:hanging="36"/>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tab/>
      </w:r>
      <w:r>
        <w:rPr>
          <w:rFonts w:ascii="宋体" w:hAnsi="宋体" w:cs="宋体" w:eastAsia="宋体" w:hint="default"/>
          <w:sz w:val="22"/>
          <w:szCs w:val="22"/>
        </w:rPr>
        <w:t>增值税</w:t>
      </w:r>
      <w:r>
        <w:rPr>
          <w:rFonts w:ascii="宋体" w:hAnsi="宋体" w:cs="宋体" w:eastAsia="宋体" w:hint="default"/>
          <w:spacing w:val="-108"/>
          <w:sz w:val="22"/>
          <w:szCs w:val="22"/>
        </w:rPr>
        <w:t> </w:t>
      </w:r>
      <w:r>
        <w:rPr>
          <w:rFonts w:ascii="宋体" w:hAnsi="宋体" w:cs="宋体" w:eastAsia="宋体" w:hint="default"/>
          <w:sz w:val="22"/>
          <w:szCs w:val="22"/>
        </w:rPr>
        <w:t>本公司商品销售收入适用增值税。其中：内销商品销项税率为</w:t>
      </w:r>
      <w:r>
        <w:rPr>
          <w:rFonts w:ascii="宋体" w:hAnsi="宋体" w:cs="宋体" w:eastAsia="宋体" w:hint="default"/>
          <w:spacing w:val="-60"/>
          <w:sz w:val="22"/>
          <w:szCs w:val="22"/>
        </w:rPr>
        <w:t> </w:t>
      </w:r>
      <w:r>
        <w:rPr>
          <w:rFonts w:ascii="Times New Roman" w:hAnsi="Times New Roman" w:cs="Times New Roman" w:eastAsia="Times New Roman" w:hint="default"/>
          <w:sz w:val="22"/>
          <w:szCs w:val="22"/>
        </w:rPr>
        <w:t>17%</w:t>
      </w:r>
      <w:r>
        <w:rPr>
          <w:rFonts w:ascii="宋体" w:hAnsi="宋体" w:cs="宋体" w:eastAsia="宋体" w:hint="default"/>
          <w:sz w:val="22"/>
          <w:szCs w:val="22"/>
        </w:rPr>
        <w:t>。</w:t>
      </w:r>
    </w:p>
    <w:p>
      <w:pPr>
        <w:spacing w:line="280" w:lineRule="auto" w:before="20"/>
        <w:ind w:left="222" w:right="216" w:firstLine="439"/>
        <w:jc w:val="left"/>
        <w:rPr>
          <w:rFonts w:ascii="宋体" w:hAnsi="宋体" w:cs="宋体" w:eastAsia="宋体" w:hint="default"/>
          <w:sz w:val="22"/>
          <w:szCs w:val="22"/>
        </w:rPr>
      </w:pPr>
      <w:r>
        <w:rPr>
          <w:rFonts w:ascii="宋体" w:hAnsi="宋体" w:cs="宋体" w:eastAsia="宋体" w:hint="default"/>
          <w:sz w:val="22"/>
          <w:szCs w:val="22"/>
        </w:rPr>
        <w:t>购买原材料等所支付的增值税进项税额可以抵扣销项税，税率为</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13%</w:t>
      </w:r>
      <w:r>
        <w:rPr>
          <w:rFonts w:ascii="宋体" w:hAnsi="宋体" w:cs="宋体" w:eastAsia="宋体" w:hint="default"/>
          <w:sz w:val="22"/>
          <w:szCs w:val="22"/>
        </w:rPr>
        <w:t>或</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17%</w:t>
      </w:r>
      <w:r>
        <w:rPr>
          <w:rFonts w:ascii="宋体" w:hAnsi="宋体" w:cs="宋体" w:eastAsia="宋体" w:hint="default"/>
          <w:sz w:val="22"/>
          <w:szCs w:val="22"/>
        </w:rPr>
        <w:t>。其中：</w:t>
      </w:r>
      <w:r>
        <w:rPr>
          <w:rFonts w:ascii="宋体" w:hAnsi="宋体" w:cs="宋体" w:eastAsia="宋体" w:hint="default"/>
          <w:w w:val="100"/>
          <w:sz w:val="22"/>
          <w:szCs w:val="22"/>
        </w:rPr>
        <w:t> </w:t>
      </w:r>
      <w:r>
        <w:rPr>
          <w:rFonts w:ascii="宋体" w:hAnsi="宋体" w:cs="宋体" w:eastAsia="宋体" w:hint="default"/>
          <w:sz w:val="22"/>
          <w:szCs w:val="22"/>
        </w:rPr>
        <w:t>为出口产品而支付的进项税可以申请退税。</w:t>
      </w:r>
    </w:p>
    <w:p>
      <w:pPr>
        <w:spacing w:line="295" w:lineRule="auto" w:before="92"/>
        <w:ind w:left="222" w:right="326" w:firstLine="439"/>
        <w:jc w:val="left"/>
        <w:rPr>
          <w:rFonts w:ascii="宋体" w:hAnsi="宋体" w:cs="宋体" w:eastAsia="宋体" w:hint="default"/>
          <w:sz w:val="22"/>
          <w:szCs w:val="22"/>
        </w:rPr>
      </w:pPr>
      <w:r>
        <w:rPr>
          <w:rFonts w:ascii="宋体" w:hAnsi="宋体" w:cs="宋体" w:eastAsia="宋体" w:hint="default"/>
          <w:spacing w:val="-3"/>
          <w:sz w:val="22"/>
          <w:szCs w:val="22"/>
        </w:rPr>
        <w:t>根据财政部、国家税务总局《关于在全国开展交通运输业和部分现代服务业营业税改</w:t>
      </w:r>
      <w:r>
        <w:rPr>
          <w:rFonts w:ascii="宋体" w:hAnsi="宋体" w:cs="宋体" w:eastAsia="宋体" w:hint="default"/>
          <w:w w:val="100"/>
          <w:sz w:val="22"/>
          <w:szCs w:val="22"/>
        </w:rPr>
        <w:t> </w:t>
      </w:r>
      <w:r>
        <w:rPr>
          <w:rFonts w:ascii="宋体" w:hAnsi="宋体" w:cs="宋体" w:eastAsia="宋体" w:hint="default"/>
          <w:spacing w:val="-2"/>
          <w:sz w:val="22"/>
          <w:szCs w:val="22"/>
        </w:rPr>
        <w:t>征增值税试点税收政策的通知》（财税</w:t>
      </w:r>
      <w:r>
        <w:rPr>
          <w:rFonts w:ascii="Times New Roman" w:hAnsi="Times New Roman" w:cs="Times New Roman" w:eastAsia="Times New Roman" w:hint="default"/>
          <w:spacing w:val="-2"/>
          <w:sz w:val="22"/>
          <w:szCs w:val="22"/>
        </w:rPr>
        <w:t>[2013]37</w:t>
      </w:r>
      <w:r>
        <w:rPr>
          <w:rFonts w:ascii="Times New Roman" w:hAnsi="Times New Roman" w:cs="Times New Roman" w:eastAsia="Times New Roman" w:hint="default"/>
          <w:spacing w:val="43"/>
          <w:sz w:val="22"/>
          <w:szCs w:val="22"/>
        </w:rPr>
        <w:t> </w:t>
      </w:r>
      <w:r>
        <w:rPr>
          <w:rFonts w:ascii="宋体" w:hAnsi="宋体" w:cs="宋体" w:eastAsia="宋体" w:hint="default"/>
          <w:spacing w:val="-3"/>
          <w:sz w:val="22"/>
          <w:szCs w:val="22"/>
        </w:rPr>
        <w:t>号）有关规定，本公司的软件开发、网络</w:t>
      </w:r>
    </w:p>
    <w:p>
      <w:pPr>
        <w:spacing w:after="0" w:line="295" w:lineRule="auto"/>
        <w:jc w:val="left"/>
        <w:rPr>
          <w:rFonts w:ascii="宋体" w:hAnsi="宋体" w:cs="宋体" w:eastAsia="宋体" w:hint="default"/>
          <w:sz w:val="22"/>
          <w:szCs w:val="22"/>
        </w:rPr>
        <w:sectPr>
          <w:headerReference w:type="default" r:id="rId58"/>
          <w:pgSz w:w="11910" w:h="16840"/>
          <w:pgMar w:header="585" w:footer="836" w:top="1080" w:bottom="1020" w:left="1480" w:right="1360"/>
        </w:sectPr>
      </w:pPr>
    </w:p>
    <w:p>
      <w:pPr>
        <w:spacing w:line="240" w:lineRule="auto" w:before="1"/>
        <w:rPr>
          <w:rFonts w:ascii="宋体" w:hAnsi="宋体" w:cs="宋体" w:eastAsia="宋体" w:hint="default"/>
          <w:sz w:val="22"/>
          <w:szCs w:val="22"/>
        </w:rPr>
      </w:pPr>
    </w:p>
    <w:p>
      <w:pPr>
        <w:spacing w:line="297" w:lineRule="auto" w:before="32"/>
        <w:ind w:left="222" w:right="0" w:firstLine="0"/>
        <w:jc w:val="left"/>
        <w:rPr>
          <w:rFonts w:ascii="宋体" w:hAnsi="宋体" w:cs="宋体" w:eastAsia="宋体" w:hint="default"/>
          <w:sz w:val="22"/>
          <w:szCs w:val="22"/>
        </w:rPr>
      </w:pPr>
      <w:r>
        <w:rPr>
          <w:rFonts w:ascii="宋体" w:hAnsi="宋体" w:cs="宋体" w:eastAsia="宋体" w:hint="default"/>
          <w:spacing w:val="-3"/>
          <w:sz w:val="22"/>
          <w:szCs w:val="22"/>
        </w:rPr>
        <w:t>数据信息加工与服务收入、技术开发、技术转让、技术咨询和技术培训收入根据文件规定</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z w:val="22"/>
          <w:szCs w:val="22"/>
        </w:rPr>
        <w:t>的日期按照</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6%</w:t>
      </w:r>
      <w:r>
        <w:rPr>
          <w:rFonts w:ascii="宋体" w:hAnsi="宋体" w:cs="宋体" w:eastAsia="宋体" w:hint="default"/>
          <w:sz w:val="22"/>
          <w:szCs w:val="22"/>
        </w:rPr>
        <w:t>计征增值税。</w:t>
      </w:r>
    </w:p>
    <w:p>
      <w:pPr>
        <w:spacing w:before="54"/>
        <w:ind w:left="661" w:right="0" w:firstLine="0"/>
        <w:jc w:val="left"/>
        <w:rPr>
          <w:rFonts w:ascii="宋体" w:hAnsi="宋体" w:cs="宋体" w:eastAsia="宋体" w:hint="default"/>
          <w:sz w:val="22"/>
          <w:szCs w:val="22"/>
        </w:rPr>
      </w:pPr>
      <w:r>
        <w:rPr>
          <w:rFonts w:ascii="宋体" w:hAnsi="宋体" w:cs="宋体" w:eastAsia="宋体" w:hint="default"/>
          <w:sz w:val="22"/>
          <w:szCs w:val="22"/>
        </w:rPr>
        <w:t>增值税应纳税额为当期销项税抵减当期进项税后的余额。</w:t>
      </w:r>
    </w:p>
    <w:p>
      <w:pPr>
        <w:tabs>
          <w:tab w:pos="1021" w:val="left" w:leader="none"/>
        </w:tabs>
        <w:spacing w:before="127"/>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w:t>
        <w:tab/>
      </w:r>
      <w:r>
        <w:rPr>
          <w:rFonts w:ascii="宋体" w:hAnsi="宋体" w:cs="宋体" w:eastAsia="宋体" w:hint="default"/>
          <w:sz w:val="22"/>
          <w:szCs w:val="22"/>
        </w:rPr>
        <w:t>营业税</w:t>
      </w:r>
    </w:p>
    <w:p>
      <w:pPr>
        <w:tabs>
          <w:tab w:pos="1021" w:val="left" w:leader="none"/>
        </w:tabs>
        <w:spacing w:line="328" w:lineRule="auto" w:before="113"/>
        <w:ind w:left="625" w:right="3095" w:firstLine="36"/>
        <w:jc w:val="left"/>
        <w:rPr>
          <w:rFonts w:ascii="宋体" w:hAnsi="宋体" w:cs="宋体" w:eastAsia="宋体" w:hint="default"/>
          <w:sz w:val="22"/>
          <w:szCs w:val="22"/>
        </w:rPr>
      </w:pPr>
      <w:r>
        <w:rPr>
          <w:rFonts w:ascii="宋体" w:hAnsi="宋体" w:cs="宋体" w:eastAsia="宋体" w:hint="default"/>
          <w:sz w:val="22"/>
          <w:szCs w:val="22"/>
        </w:rPr>
        <w:t>本公司的工程收入按应税收入的</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3%</w:t>
      </w:r>
      <w:r>
        <w:rPr>
          <w:rFonts w:ascii="宋体" w:hAnsi="宋体" w:cs="宋体" w:eastAsia="宋体" w:hint="default"/>
          <w:sz w:val="22"/>
          <w:szCs w:val="22"/>
        </w:rPr>
        <w:t>计缴营业税；</w:t>
      </w:r>
      <w:r>
        <w:rPr>
          <w:rFonts w:ascii="宋体" w:hAnsi="宋体" w:cs="宋体" w:eastAsia="宋体" w:hint="default"/>
          <w:w w:val="100"/>
          <w:sz w:val="22"/>
          <w:szCs w:val="22"/>
        </w:rPr>
        <w:t> </w:t>
      </w:r>
      <w:r>
        <w:rPr>
          <w:rFonts w:ascii="宋体" w:hAnsi="宋体" w:cs="宋体" w:eastAsia="宋体" w:hint="default"/>
          <w:sz w:val="22"/>
          <w:szCs w:val="22"/>
        </w:rPr>
        <w:t>本公司的房屋租赁收入按应税收入的</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5%</w:t>
      </w:r>
      <w:r>
        <w:rPr>
          <w:rFonts w:ascii="宋体" w:hAnsi="宋体" w:cs="宋体" w:eastAsia="宋体" w:hint="default"/>
          <w:sz w:val="22"/>
          <w:szCs w:val="22"/>
        </w:rPr>
        <w:t>计缴营业税。</w:t>
      </w:r>
      <w:r>
        <w:rPr>
          <w:rFonts w:ascii="宋体" w:hAnsi="宋体" w:cs="宋体" w:eastAsia="宋体" w:hint="default"/>
          <w:w w:val="100"/>
          <w:sz w:val="22"/>
          <w:szCs w:val="22"/>
        </w:rPr>
        <w:t> </w:t>
      </w:r>
      <w:r>
        <w:rPr>
          <w:rFonts w:ascii="Times New Roman" w:hAnsi="Times New Roman" w:cs="Times New Roman" w:eastAsia="Times New Roman" w:hint="default"/>
          <w:b/>
          <w:bCs/>
          <w:sz w:val="22"/>
          <w:szCs w:val="22"/>
        </w:rPr>
        <w:t>4.</w:t>
        <w:tab/>
      </w:r>
      <w:r>
        <w:rPr>
          <w:rFonts w:ascii="宋体" w:hAnsi="宋体" w:cs="宋体" w:eastAsia="宋体" w:hint="default"/>
          <w:sz w:val="22"/>
          <w:szCs w:val="22"/>
        </w:rPr>
        <w:t>城建税及教育费附加</w:t>
      </w:r>
    </w:p>
    <w:p>
      <w:pPr>
        <w:spacing w:before="23"/>
        <w:ind w:left="661" w:right="0" w:firstLine="0"/>
        <w:jc w:val="left"/>
        <w:rPr>
          <w:rFonts w:ascii="宋体" w:hAnsi="宋体" w:cs="宋体" w:eastAsia="宋体" w:hint="default"/>
          <w:sz w:val="22"/>
          <w:szCs w:val="22"/>
        </w:rPr>
      </w:pPr>
      <w:r>
        <w:rPr>
          <w:rFonts w:ascii="宋体" w:hAnsi="宋体" w:cs="宋体" w:eastAsia="宋体" w:hint="default"/>
          <w:spacing w:val="-3"/>
          <w:sz w:val="22"/>
          <w:szCs w:val="22"/>
        </w:rPr>
        <w:t>本公司城建税、教育费附加均以应纳增值税、营业税额为计税依据，适用税率分别为</w:t>
      </w:r>
    </w:p>
    <w:p>
      <w:pPr>
        <w:spacing w:before="67"/>
        <w:ind w:left="222" w:right="0"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1%-7%</w:t>
      </w:r>
      <w:r>
        <w:rPr>
          <w:rFonts w:ascii="宋体" w:hAnsi="宋体" w:cs="宋体" w:eastAsia="宋体" w:hint="default"/>
          <w:sz w:val="22"/>
          <w:szCs w:val="22"/>
        </w:rPr>
        <w:t>和</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3%</w:t>
      </w:r>
      <w:r>
        <w:rPr>
          <w:rFonts w:ascii="宋体" w:hAnsi="宋体" w:cs="宋体" w:eastAsia="宋体" w:hint="default"/>
          <w:sz w:val="22"/>
          <w:szCs w:val="22"/>
        </w:rPr>
        <w:t>，地方教育费附加税率为</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2%</w:t>
      </w:r>
      <w:r>
        <w:rPr>
          <w:rFonts w:ascii="宋体" w:hAnsi="宋体" w:cs="宋体" w:eastAsia="宋体" w:hint="default"/>
          <w:sz w:val="22"/>
          <w:szCs w:val="22"/>
        </w:rPr>
        <w:t>。</w:t>
      </w:r>
    </w:p>
    <w:p>
      <w:pPr>
        <w:tabs>
          <w:tab w:pos="1021" w:val="left" w:leader="none"/>
        </w:tabs>
        <w:spacing w:before="113"/>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w:t>
        <w:tab/>
      </w:r>
      <w:r>
        <w:rPr>
          <w:rFonts w:ascii="宋体" w:hAnsi="宋体" w:cs="宋体" w:eastAsia="宋体" w:hint="default"/>
          <w:sz w:val="22"/>
          <w:szCs w:val="22"/>
        </w:rPr>
        <w:t>房产税</w:t>
      </w:r>
    </w:p>
    <w:p>
      <w:pPr>
        <w:spacing w:line="328" w:lineRule="auto" w:before="111"/>
        <w:ind w:left="661" w:right="1142" w:firstLine="0"/>
        <w:jc w:val="left"/>
        <w:rPr>
          <w:rFonts w:ascii="宋体" w:hAnsi="宋体" w:cs="宋体" w:eastAsia="宋体" w:hint="default"/>
          <w:sz w:val="22"/>
          <w:szCs w:val="22"/>
        </w:rPr>
      </w:pPr>
      <w:r>
        <w:rPr>
          <w:rFonts w:ascii="宋体" w:hAnsi="宋体" w:cs="宋体" w:eastAsia="宋体" w:hint="default"/>
          <w:sz w:val="22"/>
          <w:szCs w:val="22"/>
        </w:rPr>
        <w:t>公司自用房产以房产原值的</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70%</w:t>
      </w:r>
      <w:r>
        <w:rPr>
          <w:rFonts w:ascii="宋体" w:hAnsi="宋体" w:cs="宋体" w:eastAsia="宋体" w:hint="default"/>
          <w:sz w:val="22"/>
          <w:szCs w:val="22"/>
        </w:rPr>
        <w:t>为计税依据，按</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1.2%</w:t>
      </w:r>
      <w:r>
        <w:rPr>
          <w:rFonts w:ascii="宋体" w:hAnsi="宋体" w:cs="宋体" w:eastAsia="宋体" w:hint="default"/>
          <w:sz w:val="22"/>
          <w:szCs w:val="22"/>
        </w:rPr>
        <w:t>的税率计缴房产税。</w:t>
      </w:r>
      <w:r>
        <w:rPr>
          <w:rFonts w:ascii="宋体" w:hAnsi="宋体" w:cs="宋体" w:eastAsia="宋体" w:hint="default"/>
          <w:w w:val="100"/>
          <w:sz w:val="22"/>
          <w:szCs w:val="22"/>
        </w:rPr>
        <w:t> </w:t>
      </w:r>
      <w:r>
        <w:rPr>
          <w:rFonts w:ascii="宋体" w:hAnsi="宋体" w:cs="宋体" w:eastAsia="宋体" w:hint="default"/>
          <w:sz w:val="22"/>
          <w:szCs w:val="22"/>
        </w:rPr>
        <w:t>公司出租房产以租金为计税依据，按</w:t>
      </w:r>
      <w:r>
        <w:rPr>
          <w:rFonts w:ascii="宋体" w:hAnsi="宋体" w:cs="宋体" w:eastAsia="宋体" w:hint="default"/>
          <w:spacing w:val="-60"/>
          <w:sz w:val="22"/>
          <w:szCs w:val="22"/>
        </w:rPr>
        <w:t> </w:t>
      </w:r>
      <w:r>
        <w:rPr>
          <w:rFonts w:ascii="Times New Roman" w:hAnsi="Times New Roman" w:cs="Times New Roman" w:eastAsia="Times New Roman" w:hint="default"/>
          <w:sz w:val="22"/>
          <w:szCs w:val="22"/>
        </w:rPr>
        <w:t>12%</w:t>
      </w:r>
      <w:r>
        <w:rPr>
          <w:rFonts w:ascii="宋体" w:hAnsi="宋体" w:cs="宋体" w:eastAsia="宋体" w:hint="default"/>
          <w:sz w:val="22"/>
          <w:szCs w:val="22"/>
        </w:rPr>
        <w:t>的税率计缴房产税。</w:t>
      </w:r>
    </w:p>
    <w:p>
      <w:pPr>
        <w:tabs>
          <w:tab w:pos="1021" w:val="left" w:leader="none"/>
          <w:tab w:pos="1330" w:val="left" w:leader="none"/>
        </w:tabs>
        <w:spacing w:line="338" w:lineRule="auto" w:before="23"/>
        <w:ind w:left="661" w:right="4104" w:hanging="36"/>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6.</w:t>
        <w:tab/>
      </w:r>
      <w:r>
        <w:rPr>
          <w:rFonts w:ascii="宋体" w:hAnsi="宋体" w:cs="宋体" w:eastAsia="宋体" w:hint="default"/>
          <w:sz w:val="22"/>
          <w:szCs w:val="22"/>
        </w:rPr>
        <w:t>其他税项</w:t>
      </w:r>
      <w:r>
        <w:rPr>
          <w:rFonts w:ascii="宋体" w:hAnsi="宋体" w:cs="宋体" w:eastAsia="宋体" w:hint="default"/>
          <w:spacing w:val="-107"/>
          <w:sz w:val="22"/>
          <w:szCs w:val="22"/>
        </w:rPr>
        <w:t> </w:t>
      </w:r>
      <w:r>
        <w:rPr>
          <w:rFonts w:ascii="宋体" w:hAnsi="宋体" w:cs="宋体" w:eastAsia="宋体" w:hint="default"/>
          <w:spacing w:val="-1"/>
          <w:sz w:val="22"/>
          <w:szCs w:val="22"/>
        </w:rPr>
        <w:t>公司的其他税项按国家有关规定计算缴纳。</w:t>
      </w:r>
      <w:r>
        <w:rPr>
          <w:rFonts w:ascii="宋体" w:hAnsi="宋体" w:cs="宋体" w:eastAsia="宋体" w:hint="default"/>
          <w:w w:val="100"/>
          <w:sz w:val="22"/>
          <w:szCs w:val="22"/>
        </w:rPr>
        <w:t> </w:t>
      </w:r>
      <w:r>
        <w:rPr>
          <w:rFonts w:ascii="Times New Roman" w:hAnsi="Times New Roman" w:cs="Times New Roman" w:eastAsia="Times New Roman" w:hint="default"/>
          <w:b/>
          <w:bCs/>
          <w:spacing w:val="12"/>
          <w:sz w:val="22"/>
          <w:szCs w:val="22"/>
        </w:rPr>
        <w:t>32.</w:t>
        <w:tab/>
        <w:tab/>
      </w:r>
      <w:r>
        <w:rPr>
          <w:rFonts w:ascii="宋体" w:hAnsi="宋体" w:cs="宋体" w:eastAsia="宋体" w:hint="default"/>
          <w:b/>
          <w:bCs/>
          <w:sz w:val="22"/>
          <w:szCs w:val="22"/>
        </w:rPr>
        <w:t>合</w:t>
      </w:r>
      <w:r>
        <w:rPr>
          <w:rFonts w:ascii="宋体" w:hAnsi="宋体" w:cs="宋体" w:eastAsia="宋体" w:hint="default"/>
          <w:b/>
          <w:bCs/>
          <w:spacing w:val="-72"/>
          <w:sz w:val="22"/>
          <w:szCs w:val="22"/>
        </w:rPr>
        <w:t> </w:t>
      </w:r>
      <w:r>
        <w:rPr>
          <w:rFonts w:ascii="宋体" w:hAnsi="宋体" w:cs="宋体" w:eastAsia="宋体" w:hint="default"/>
          <w:b/>
          <w:bCs/>
          <w:sz w:val="22"/>
          <w:szCs w:val="22"/>
        </w:rPr>
        <w:t>并</w:t>
      </w:r>
      <w:r>
        <w:rPr>
          <w:rFonts w:ascii="宋体" w:hAnsi="宋体" w:cs="宋体" w:eastAsia="宋体" w:hint="default"/>
          <w:b/>
          <w:bCs/>
          <w:spacing w:val="-72"/>
          <w:sz w:val="22"/>
          <w:szCs w:val="22"/>
        </w:rPr>
        <w:t> </w:t>
      </w:r>
      <w:r>
        <w:rPr>
          <w:rFonts w:ascii="宋体" w:hAnsi="宋体" w:cs="宋体" w:eastAsia="宋体" w:hint="default"/>
          <w:b/>
          <w:bCs/>
          <w:sz w:val="22"/>
          <w:szCs w:val="22"/>
        </w:rPr>
        <w:t>财</w:t>
      </w:r>
      <w:r>
        <w:rPr>
          <w:rFonts w:ascii="宋体" w:hAnsi="宋体" w:cs="宋体" w:eastAsia="宋体" w:hint="default"/>
          <w:b/>
          <w:bCs/>
          <w:spacing w:val="-72"/>
          <w:sz w:val="22"/>
          <w:szCs w:val="22"/>
        </w:rPr>
        <w:t> </w:t>
      </w:r>
      <w:r>
        <w:rPr>
          <w:rFonts w:ascii="宋体" w:hAnsi="宋体" w:cs="宋体" w:eastAsia="宋体" w:hint="default"/>
          <w:b/>
          <w:bCs/>
          <w:sz w:val="22"/>
          <w:szCs w:val="22"/>
        </w:rPr>
        <w:t>务</w:t>
      </w:r>
      <w:r>
        <w:rPr>
          <w:rFonts w:ascii="宋体" w:hAnsi="宋体" w:cs="宋体" w:eastAsia="宋体" w:hint="default"/>
          <w:b/>
          <w:bCs/>
          <w:spacing w:val="-74"/>
          <w:sz w:val="22"/>
          <w:szCs w:val="22"/>
        </w:rPr>
        <w:t> </w:t>
      </w:r>
      <w:r>
        <w:rPr>
          <w:rFonts w:ascii="宋体" w:hAnsi="宋体" w:cs="宋体" w:eastAsia="宋体" w:hint="default"/>
          <w:b/>
          <w:bCs/>
          <w:sz w:val="22"/>
          <w:szCs w:val="22"/>
        </w:rPr>
        <w:t>报</w:t>
      </w:r>
      <w:r>
        <w:rPr>
          <w:rFonts w:ascii="宋体" w:hAnsi="宋体" w:cs="宋体" w:eastAsia="宋体" w:hint="default"/>
          <w:b/>
          <w:bCs/>
          <w:spacing w:val="-72"/>
          <w:sz w:val="22"/>
          <w:szCs w:val="22"/>
        </w:rPr>
        <w:t> </w:t>
      </w:r>
      <w:r>
        <w:rPr>
          <w:rFonts w:ascii="宋体" w:hAnsi="宋体" w:cs="宋体" w:eastAsia="宋体" w:hint="default"/>
          <w:b/>
          <w:bCs/>
          <w:sz w:val="22"/>
          <w:szCs w:val="22"/>
        </w:rPr>
        <w:t>表</w:t>
      </w:r>
      <w:r>
        <w:rPr>
          <w:rFonts w:ascii="宋体" w:hAnsi="宋体" w:cs="宋体" w:eastAsia="宋体" w:hint="default"/>
          <w:b/>
          <w:bCs/>
          <w:spacing w:val="-72"/>
          <w:sz w:val="22"/>
          <w:szCs w:val="22"/>
        </w:rPr>
        <w:t> </w:t>
      </w:r>
      <w:r>
        <w:rPr>
          <w:rFonts w:ascii="宋体" w:hAnsi="宋体" w:cs="宋体" w:eastAsia="宋体" w:hint="default"/>
          <w:b/>
          <w:bCs/>
          <w:sz w:val="22"/>
          <w:szCs w:val="22"/>
        </w:rPr>
        <w:t>主</w:t>
      </w:r>
      <w:r>
        <w:rPr>
          <w:rFonts w:ascii="宋体" w:hAnsi="宋体" w:cs="宋体" w:eastAsia="宋体" w:hint="default"/>
          <w:b/>
          <w:bCs/>
          <w:spacing w:val="-72"/>
          <w:sz w:val="22"/>
          <w:szCs w:val="22"/>
        </w:rPr>
        <w:t> </w:t>
      </w:r>
      <w:r>
        <w:rPr>
          <w:rFonts w:ascii="宋体" w:hAnsi="宋体" w:cs="宋体" w:eastAsia="宋体" w:hint="default"/>
          <w:b/>
          <w:bCs/>
          <w:sz w:val="22"/>
          <w:szCs w:val="22"/>
        </w:rPr>
        <w:t>要</w:t>
      </w:r>
      <w:r>
        <w:rPr>
          <w:rFonts w:ascii="宋体" w:hAnsi="宋体" w:cs="宋体" w:eastAsia="宋体" w:hint="default"/>
          <w:b/>
          <w:bCs/>
          <w:spacing w:val="-74"/>
          <w:sz w:val="22"/>
          <w:szCs w:val="22"/>
        </w:rPr>
        <w:t> </w:t>
      </w:r>
      <w:r>
        <w:rPr>
          <w:rFonts w:ascii="宋体" w:hAnsi="宋体" w:cs="宋体" w:eastAsia="宋体" w:hint="default"/>
          <w:b/>
          <w:bCs/>
          <w:sz w:val="22"/>
          <w:szCs w:val="22"/>
        </w:rPr>
        <w:t>项</w:t>
      </w:r>
      <w:r>
        <w:rPr>
          <w:rFonts w:ascii="宋体" w:hAnsi="宋体" w:cs="宋体" w:eastAsia="宋体" w:hint="default"/>
          <w:b/>
          <w:bCs/>
          <w:spacing w:val="-74"/>
          <w:sz w:val="22"/>
          <w:szCs w:val="22"/>
        </w:rPr>
        <w:t> </w:t>
      </w:r>
      <w:r>
        <w:rPr>
          <w:rFonts w:ascii="宋体" w:hAnsi="宋体" w:cs="宋体" w:eastAsia="宋体" w:hint="default"/>
          <w:b/>
          <w:bCs/>
          <w:sz w:val="22"/>
          <w:szCs w:val="22"/>
        </w:rPr>
        <w:t>目</w:t>
      </w:r>
      <w:r>
        <w:rPr>
          <w:rFonts w:ascii="宋体" w:hAnsi="宋体" w:cs="宋体" w:eastAsia="宋体" w:hint="default"/>
          <w:b/>
          <w:bCs/>
          <w:spacing w:val="-72"/>
          <w:sz w:val="22"/>
          <w:szCs w:val="22"/>
        </w:rPr>
        <w:t> </w:t>
      </w:r>
      <w:r>
        <w:rPr>
          <w:rFonts w:ascii="宋体" w:hAnsi="宋体" w:cs="宋体" w:eastAsia="宋体" w:hint="default"/>
          <w:b/>
          <w:bCs/>
          <w:sz w:val="22"/>
          <w:szCs w:val="22"/>
        </w:rPr>
        <w:t>注</w:t>
      </w:r>
      <w:r>
        <w:rPr>
          <w:rFonts w:ascii="宋体" w:hAnsi="宋体" w:cs="宋体" w:eastAsia="宋体" w:hint="default"/>
          <w:b/>
          <w:bCs/>
          <w:spacing w:val="-72"/>
          <w:sz w:val="22"/>
          <w:szCs w:val="22"/>
        </w:rPr>
        <w:t> </w:t>
      </w:r>
      <w:r>
        <w:rPr>
          <w:rFonts w:ascii="宋体" w:hAnsi="宋体" w:cs="宋体" w:eastAsia="宋体" w:hint="default"/>
          <w:b/>
          <w:bCs/>
          <w:sz w:val="22"/>
          <w:szCs w:val="22"/>
        </w:rPr>
        <w:t>释</w:t>
      </w:r>
      <w:r>
        <w:rPr>
          <w:rFonts w:ascii="宋体" w:hAnsi="宋体" w:cs="宋体" w:eastAsia="宋体" w:hint="default"/>
          <w:sz w:val="22"/>
          <w:szCs w:val="22"/>
        </w:rPr>
      </w:r>
    </w:p>
    <w:p>
      <w:pPr>
        <w:spacing w:before="10"/>
        <w:ind w:left="661" w:right="0" w:firstLine="0"/>
        <w:jc w:val="left"/>
        <w:rPr>
          <w:rFonts w:ascii="宋体" w:hAnsi="宋体" w:cs="宋体" w:eastAsia="宋体" w:hint="default"/>
          <w:sz w:val="22"/>
          <w:szCs w:val="22"/>
        </w:rPr>
      </w:pPr>
      <w:r>
        <w:rPr>
          <w:rFonts w:ascii="宋体" w:hAnsi="宋体" w:cs="宋体" w:eastAsia="宋体" w:hint="default"/>
          <w:spacing w:val="-6"/>
          <w:sz w:val="22"/>
          <w:szCs w:val="22"/>
        </w:rPr>
        <w:t>下列所披露的财务报表数据，除特别注明之外，“年初”系指</w:t>
      </w:r>
      <w:r>
        <w:rPr>
          <w:rFonts w:ascii="宋体" w:hAnsi="宋体" w:cs="宋体" w:eastAsia="宋体" w:hint="default"/>
          <w:spacing w:val="-51"/>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48"/>
          <w:sz w:val="22"/>
          <w:szCs w:val="22"/>
        </w:rPr>
        <w:t> </w:t>
      </w:r>
      <w:r>
        <w:rPr>
          <w:rFonts w:ascii="Times New Roman" w:hAnsi="Times New Roman" w:cs="Times New Roman" w:eastAsia="Times New Roman" w:hint="default"/>
          <w:sz w:val="22"/>
          <w:szCs w:val="22"/>
        </w:rPr>
        <w:t>1</w:t>
      </w:r>
      <w:r>
        <w:rPr>
          <w:rFonts w:ascii="Times New Roman" w:hAnsi="Times New Roman" w:cs="Times New Roman" w:eastAsia="Times New Roman"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1"/>
          <w:sz w:val="22"/>
          <w:szCs w:val="22"/>
        </w:rPr>
        <w:t> </w:t>
      </w:r>
      <w:r>
        <w:rPr>
          <w:rFonts w:ascii="Times New Roman" w:hAnsi="Times New Roman" w:cs="Times New Roman" w:eastAsia="Times New Roman" w:hint="default"/>
          <w:sz w:val="22"/>
          <w:szCs w:val="22"/>
        </w:rPr>
        <w:t>1</w:t>
      </w:r>
      <w:r>
        <w:rPr>
          <w:rFonts w:ascii="Times New Roman" w:hAnsi="Times New Roman" w:cs="Times New Roman" w:eastAsia="Times New Roman" w:hint="default"/>
          <w:spacing w:val="7"/>
          <w:sz w:val="22"/>
          <w:szCs w:val="22"/>
        </w:rPr>
        <w:t> </w:t>
      </w:r>
      <w:r>
        <w:rPr>
          <w:rFonts w:ascii="宋体" w:hAnsi="宋体" w:cs="宋体" w:eastAsia="宋体" w:hint="default"/>
          <w:spacing w:val="-16"/>
          <w:sz w:val="22"/>
          <w:szCs w:val="22"/>
        </w:rPr>
        <w:t>日，“年</w:t>
      </w:r>
    </w:p>
    <w:p>
      <w:pPr>
        <w:spacing w:before="53"/>
        <w:ind w:left="222" w:right="0" w:firstLine="0"/>
        <w:jc w:val="left"/>
        <w:rPr>
          <w:rFonts w:ascii="宋体" w:hAnsi="宋体" w:cs="宋体" w:eastAsia="宋体" w:hint="default"/>
          <w:sz w:val="22"/>
          <w:szCs w:val="22"/>
        </w:rPr>
      </w:pPr>
      <w:r>
        <w:rPr>
          <w:rFonts w:ascii="宋体" w:hAnsi="宋体" w:cs="宋体" w:eastAsia="宋体" w:hint="default"/>
          <w:spacing w:val="-7"/>
          <w:sz w:val="22"/>
          <w:szCs w:val="22"/>
        </w:rPr>
        <w:t>末”系指</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1"/>
          <w:sz w:val="22"/>
          <w:szCs w:val="22"/>
        </w:rPr>
        <w:t> </w:t>
      </w:r>
      <w:r>
        <w:rPr>
          <w:rFonts w:ascii="宋体" w:hAnsi="宋体" w:cs="宋体" w:eastAsia="宋体" w:hint="default"/>
          <w:spacing w:val="-11"/>
          <w:sz w:val="22"/>
          <w:szCs w:val="22"/>
        </w:rPr>
        <w:t>日，“本年”系指</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1</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1</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日至</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1"/>
          <w:sz w:val="22"/>
          <w:szCs w:val="22"/>
        </w:rPr>
        <w:t> </w:t>
      </w:r>
      <w:r>
        <w:rPr>
          <w:rFonts w:ascii="宋体" w:hAnsi="宋体" w:cs="宋体" w:eastAsia="宋体" w:hint="default"/>
          <w:spacing w:val="-10"/>
          <w:sz w:val="22"/>
          <w:szCs w:val="22"/>
        </w:rPr>
        <w:t>日，“上年”</w:t>
      </w:r>
      <w:r>
        <w:rPr>
          <w:rFonts w:ascii="宋体" w:hAnsi="宋体" w:cs="宋体" w:eastAsia="宋体" w:hint="default"/>
          <w:spacing w:val="-27"/>
          <w:sz w:val="22"/>
          <w:szCs w:val="22"/>
        </w:rPr>
        <w:t> </w:t>
      </w:r>
      <w:r>
        <w:rPr>
          <w:rFonts w:ascii="宋体" w:hAnsi="宋体" w:cs="宋体" w:eastAsia="宋体" w:hint="default"/>
          <w:sz w:val="22"/>
          <w:szCs w:val="22"/>
        </w:rPr>
        <w:t>系</w:t>
      </w:r>
    </w:p>
    <w:p>
      <w:pPr>
        <w:spacing w:before="53"/>
        <w:ind w:left="222" w:right="0" w:firstLine="0"/>
        <w:jc w:val="left"/>
        <w:rPr>
          <w:rFonts w:ascii="宋体" w:hAnsi="宋体" w:cs="宋体" w:eastAsia="宋体" w:hint="default"/>
          <w:sz w:val="22"/>
          <w:szCs w:val="22"/>
        </w:rPr>
      </w:pPr>
      <w:r>
        <w:rPr>
          <w:rFonts w:ascii="宋体" w:hAnsi="宋体" w:cs="宋体" w:eastAsia="宋体" w:hint="default"/>
          <w:sz w:val="22"/>
          <w:szCs w:val="22"/>
        </w:rPr>
        <w:t>指</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2014</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年</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日至</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31 </w:t>
      </w:r>
      <w:r>
        <w:rPr>
          <w:rFonts w:ascii="宋体" w:hAnsi="宋体" w:cs="宋体" w:eastAsia="宋体" w:hint="default"/>
          <w:sz w:val="22"/>
          <w:szCs w:val="22"/>
        </w:rPr>
        <w:t>日，货币单位为人民币元。</w:t>
      </w:r>
    </w:p>
    <w:p>
      <w:pPr>
        <w:spacing w:before="110"/>
        <w:ind w:left="67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18"/>
          <w:sz w:val="22"/>
          <w:szCs w:val="22"/>
        </w:rPr>
        <w:t> </w:t>
      </w:r>
      <w:r>
        <w:rPr>
          <w:rFonts w:ascii="宋体" w:hAnsi="宋体" w:cs="宋体" w:eastAsia="宋体" w:hint="default"/>
          <w:sz w:val="22"/>
          <w:szCs w:val="22"/>
        </w:rPr>
        <w:t>货币资金</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3822"/>
        <w:gridCol w:w="3084"/>
        <w:gridCol w:w="1819"/>
      </w:tblGrid>
      <w:tr>
        <w:trPr>
          <w:trHeight w:val="305" w:hRule="exact"/>
        </w:trPr>
        <w:tc>
          <w:tcPr>
            <w:tcW w:w="382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08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447"/>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181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4" w:hRule="exact"/>
        </w:trPr>
        <w:tc>
          <w:tcPr>
            <w:tcW w:w="3822"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308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447"/>
              <w:jc w:val="right"/>
              <w:rPr>
                <w:rFonts w:ascii="Times New Roman" w:hAnsi="Times New Roman" w:cs="Times New Roman" w:eastAsia="Times New Roman" w:hint="default"/>
                <w:sz w:val="18"/>
                <w:szCs w:val="18"/>
              </w:rPr>
            </w:pPr>
            <w:r>
              <w:rPr>
                <w:rFonts w:ascii="Times New Roman"/>
                <w:spacing w:val="-1"/>
                <w:sz w:val="18"/>
              </w:rPr>
              <w:t>8,998,325.07</w:t>
            </w:r>
          </w:p>
        </w:tc>
        <w:tc>
          <w:tcPr>
            <w:tcW w:w="1819"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8,056,069.65</w:t>
            </w:r>
          </w:p>
        </w:tc>
      </w:tr>
      <w:tr>
        <w:trPr>
          <w:trHeight w:val="284" w:hRule="exact"/>
        </w:trPr>
        <w:tc>
          <w:tcPr>
            <w:tcW w:w="3822"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08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47"/>
              <w:jc w:val="right"/>
              <w:rPr>
                <w:rFonts w:ascii="Times New Roman" w:hAnsi="Times New Roman" w:cs="Times New Roman" w:eastAsia="Times New Roman" w:hint="default"/>
                <w:sz w:val="18"/>
                <w:szCs w:val="18"/>
              </w:rPr>
            </w:pPr>
            <w:r>
              <w:rPr>
                <w:rFonts w:ascii="Times New Roman"/>
                <w:spacing w:val="-1"/>
                <w:sz w:val="18"/>
              </w:rPr>
              <w:t>9,596,645,056.04</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6,154,575,512.64</w:t>
            </w:r>
          </w:p>
        </w:tc>
      </w:tr>
      <w:tr>
        <w:trPr>
          <w:trHeight w:val="255" w:hRule="exact"/>
        </w:trPr>
        <w:tc>
          <w:tcPr>
            <w:tcW w:w="3822"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08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447"/>
              <w:jc w:val="right"/>
              <w:rPr>
                <w:rFonts w:ascii="Times New Roman" w:hAnsi="Times New Roman" w:cs="Times New Roman" w:eastAsia="Times New Roman" w:hint="default"/>
                <w:sz w:val="18"/>
                <w:szCs w:val="18"/>
              </w:rPr>
            </w:pPr>
            <w:r>
              <w:rPr>
                <w:rFonts w:ascii="Times New Roman"/>
                <w:spacing w:val="-1"/>
                <w:sz w:val="18"/>
              </w:rPr>
              <w:t>253,919,150.49</w:t>
            </w:r>
          </w:p>
        </w:tc>
        <w:tc>
          <w:tcPr>
            <w:tcW w:w="1819"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305,730,224.80</w:t>
            </w:r>
          </w:p>
        </w:tc>
      </w:tr>
      <w:tr>
        <w:trPr>
          <w:trHeight w:val="295" w:hRule="exact"/>
        </w:trPr>
        <w:tc>
          <w:tcPr>
            <w:tcW w:w="3822"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084" w:type="dxa"/>
            <w:tcBorders>
              <w:top w:val="single" w:sz="4" w:space="0" w:color="000000"/>
              <w:left w:val="nil" w:sz="6" w:space="0" w:color="auto"/>
              <w:bottom w:val="single" w:sz="4" w:space="0" w:color="000000"/>
              <w:right w:val="nil" w:sz="6" w:space="0" w:color="auto"/>
            </w:tcBorders>
          </w:tcPr>
          <w:p>
            <w:pPr>
              <w:pStyle w:val="TableParagraph"/>
              <w:spacing w:line="240" w:lineRule="auto" w:before="79"/>
              <w:ind w:right="447"/>
              <w:jc w:val="right"/>
              <w:rPr>
                <w:rFonts w:ascii="Times New Roman" w:hAnsi="Times New Roman" w:cs="Times New Roman" w:eastAsia="Times New Roman" w:hint="default"/>
                <w:sz w:val="18"/>
                <w:szCs w:val="18"/>
              </w:rPr>
            </w:pPr>
            <w:r>
              <w:rPr>
                <w:rFonts w:ascii="Times New Roman"/>
                <w:b/>
                <w:spacing w:val="-1"/>
                <w:sz w:val="18"/>
              </w:rPr>
              <w:t>9,859,562,531.60</w:t>
            </w:r>
            <w:r>
              <w:rPr>
                <w:rFonts w:ascii="Times New Roman"/>
                <w:spacing w:val="-1"/>
                <w:sz w:val="18"/>
              </w:rPr>
            </w:r>
          </w:p>
        </w:tc>
        <w:tc>
          <w:tcPr>
            <w:tcW w:w="1819" w:type="dxa"/>
            <w:tcBorders>
              <w:top w:val="single" w:sz="4" w:space="0" w:color="000000"/>
              <w:left w:val="nil" w:sz="6" w:space="0" w:color="auto"/>
              <w:bottom w:val="single" w:sz="4"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6,468,361,807.09</w:t>
            </w:r>
            <w:r>
              <w:rPr>
                <w:rFonts w:ascii="Times New Roman"/>
                <w:spacing w:val="-1"/>
                <w:sz w:val="18"/>
              </w:rPr>
            </w:r>
          </w:p>
        </w:tc>
      </w:tr>
      <w:tr>
        <w:trPr>
          <w:trHeight w:val="307" w:hRule="exact"/>
        </w:trPr>
        <w:tc>
          <w:tcPr>
            <w:tcW w:w="3822"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其中：存放在境外的款项总额</w:t>
            </w:r>
          </w:p>
        </w:tc>
        <w:tc>
          <w:tcPr>
            <w:tcW w:w="3084" w:type="dxa"/>
            <w:tcBorders>
              <w:top w:val="single" w:sz="4" w:space="0" w:color="000000"/>
              <w:left w:val="nil" w:sz="6" w:space="0" w:color="auto"/>
              <w:bottom w:val="single" w:sz="12" w:space="0" w:color="000000"/>
              <w:right w:val="nil" w:sz="6" w:space="0" w:color="auto"/>
            </w:tcBorders>
          </w:tcPr>
          <w:p>
            <w:pPr>
              <w:pStyle w:val="TableParagraph"/>
              <w:spacing w:line="240" w:lineRule="auto" w:before="74"/>
              <w:ind w:right="447"/>
              <w:jc w:val="right"/>
              <w:rPr>
                <w:rFonts w:ascii="Times New Roman" w:hAnsi="Times New Roman" w:cs="Times New Roman" w:eastAsia="Times New Roman" w:hint="default"/>
                <w:sz w:val="18"/>
                <w:szCs w:val="18"/>
              </w:rPr>
            </w:pPr>
            <w:r>
              <w:rPr>
                <w:rFonts w:ascii="Times New Roman"/>
                <w:spacing w:val="-1"/>
                <w:sz w:val="18"/>
              </w:rPr>
              <w:t>1,989,964,563.21</w:t>
            </w:r>
          </w:p>
        </w:tc>
        <w:tc>
          <w:tcPr>
            <w:tcW w:w="1819" w:type="dxa"/>
            <w:tcBorders>
              <w:top w:val="single" w:sz="4" w:space="0" w:color="000000"/>
              <w:left w:val="nil" w:sz="6" w:space="0" w:color="auto"/>
              <w:bottom w:val="single" w:sz="12" w:space="0" w:color="000000"/>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1,534,047,289.03</w:t>
            </w:r>
          </w:p>
        </w:tc>
      </w:tr>
    </w:tbl>
    <w:p>
      <w:pPr>
        <w:spacing w:before="81"/>
        <w:ind w:left="661" w:right="0" w:firstLine="0"/>
        <w:jc w:val="left"/>
        <w:rPr>
          <w:rFonts w:ascii="宋体" w:hAnsi="宋体" w:cs="宋体" w:eastAsia="宋体" w:hint="default"/>
          <w:sz w:val="22"/>
          <w:szCs w:val="22"/>
        </w:rPr>
      </w:pPr>
      <w:r>
        <w:rPr>
          <w:rFonts w:ascii="宋体" w:hAnsi="宋体" w:cs="宋体" w:eastAsia="宋体" w:hint="default"/>
          <w:sz w:val="22"/>
          <w:szCs w:val="22"/>
        </w:rPr>
        <w:t>截止</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年</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31 </w:t>
      </w:r>
      <w:r>
        <w:rPr>
          <w:rFonts w:ascii="宋体" w:hAnsi="宋体" w:cs="宋体" w:eastAsia="宋体" w:hint="default"/>
          <w:sz w:val="22"/>
          <w:szCs w:val="22"/>
        </w:rPr>
        <w:t>日，货币资金中包含受限资金</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171,827,895.38 </w:t>
      </w:r>
      <w:r>
        <w:rPr>
          <w:rFonts w:ascii="宋体" w:hAnsi="宋体" w:cs="宋体" w:eastAsia="宋体" w:hint="default"/>
          <w:sz w:val="22"/>
          <w:szCs w:val="22"/>
        </w:rPr>
        <w:t>元。</w:t>
      </w:r>
    </w:p>
    <w:p>
      <w:pPr>
        <w:tabs>
          <w:tab w:pos="1021" w:val="left" w:leader="none"/>
        </w:tabs>
        <w:spacing w:before="110"/>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tab/>
      </w:r>
      <w:r>
        <w:rPr>
          <w:rFonts w:ascii="宋体" w:hAnsi="宋体" w:cs="宋体" w:eastAsia="宋体" w:hint="default"/>
          <w:sz w:val="22"/>
          <w:szCs w:val="22"/>
        </w:rPr>
        <w:t>以公允价值计量且其变动计入当期损益的金融资产</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4845"/>
        <w:gridCol w:w="2002"/>
        <w:gridCol w:w="1878"/>
      </w:tblGrid>
      <w:tr>
        <w:trPr>
          <w:trHeight w:val="305" w:hRule="exact"/>
        </w:trPr>
        <w:tc>
          <w:tcPr>
            <w:tcW w:w="484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00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503"/>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187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5" w:hRule="exact"/>
        </w:trPr>
        <w:tc>
          <w:tcPr>
            <w:tcW w:w="4845"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2002"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503"/>
              <w:jc w:val="right"/>
              <w:rPr>
                <w:rFonts w:ascii="Times New Roman" w:hAnsi="Times New Roman" w:cs="Times New Roman" w:eastAsia="Times New Roman" w:hint="default"/>
                <w:sz w:val="18"/>
                <w:szCs w:val="18"/>
              </w:rPr>
            </w:pPr>
            <w:r>
              <w:rPr>
                <w:rFonts w:ascii="Times New Roman"/>
                <w:spacing w:val="-1"/>
                <w:sz w:val="18"/>
              </w:rPr>
              <w:t>138,887,759.80</w:t>
            </w:r>
          </w:p>
        </w:tc>
        <w:tc>
          <w:tcPr>
            <w:tcW w:w="187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111,192,819.99</w:t>
            </w:r>
          </w:p>
        </w:tc>
      </w:tr>
      <w:tr>
        <w:trPr>
          <w:trHeight w:val="285" w:hRule="exact"/>
        </w:trPr>
        <w:tc>
          <w:tcPr>
            <w:tcW w:w="484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color w:val="212121"/>
                <w:sz w:val="18"/>
                <w:szCs w:val="18"/>
              </w:rPr>
              <w:t>其中：权益工具投资</w:t>
            </w:r>
            <w:r>
              <w:rPr>
                <w:rFonts w:ascii="宋体" w:hAnsi="宋体" w:cs="宋体" w:eastAsia="宋体" w:hint="default"/>
                <w:sz w:val="18"/>
                <w:szCs w:val="18"/>
              </w:rPr>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03"/>
              <w:jc w:val="right"/>
              <w:rPr>
                <w:rFonts w:ascii="Times New Roman" w:hAnsi="Times New Roman" w:cs="Times New Roman" w:eastAsia="Times New Roman" w:hint="default"/>
                <w:sz w:val="18"/>
                <w:szCs w:val="18"/>
              </w:rPr>
            </w:pPr>
            <w:r>
              <w:rPr>
                <w:rFonts w:ascii="Times New Roman"/>
                <w:spacing w:val="-1"/>
                <w:sz w:val="18"/>
              </w:rPr>
              <w:t>138,887,759.80</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111,192,819.99</w:t>
            </w:r>
          </w:p>
        </w:tc>
      </w:tr>
      <w:tr>
        <w:trPr>
          <w:trHeight w:val="285" w:hRule="exact"/>
        </w:trPr>
        <w:tc>
          <w:tcPr>
            <w:tcW w:w="4845"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color w:val="212121"/>
                <w:sz w:val="18"/>
                <w:szCs w:val="18"/>
              </w:rPr>
              <w:t>指定为以公允价值计量且其变动计入当期损益的金融资产</w:t>
            </w:r>
            <w:r>
              <w:rPr>
                <w:rFonts w:ascii="宋体" w:hAnsi="宋体" w:cs="宋体" w:eastAsia="宋体" w:hint="default"/>
                <w:sz w:val="18"/>
                <w:szCs w:val="18"/>
              </w:rPr>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03"/>
              <w:jc w:val="right"/>
              <w:rPr>
                <w:rFonts w:ascii="Times New Roman" w:hAnsi="Times New Roman" w:cs="Times New Roman" w:eastAsia="Times New Roman" w:hint="default"/>
                <w:sz w:val="18"/>
                <w:szCs w:val="18"/>
              </w:rPr>
            </w:pPr>
            <w:r>
              <w:rPr>
                <w:rFonts w:ascii="Times New Roman"/>
                <w:spacing w:val="-1"/>
                <w:sz w:val="18"/>
              </w:rPr>
              <w:t>1,094,799,254.35</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1,380,029,778.09</w:t>
            </w:r>
          </w:p>
        </w:tc>
      </w:tr>
      <w:tr>
        <w:trPr>
          <w:trHeight w:val="255" w:hRule="exact"/>
        </w:trPr>
        <w:tc>
          <w:tcPr>
            <w:tcW w:w="4845"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color w:val="212121"/>
                <w:sz w:val="18"/>
                <w:szCs w:val="18"/>
              </w:rPr>
              <w:t>其中：权益工具投资</w:t>
            </w:r>
            <w:r>
              <w:rPr>
                <w:rFonts w:ascii="宋体" w:hAnsi="宋体" w:cs="宋体" w:eastAsia="宋体" w:hint="default"/>
                <w:sz w:val="18"/>
                <w:szCs w:val="18"/>
              </w:rPr>
            </w:r>
          </w:p>
        </w:tc>
        <w:tc>
          <w:tcPr>
            <w:tcW w:w="2002"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503"/>
              <w:jc w:val="right"/>
              <w:rPr>
                <w:rFonts w:ascii="Times New Roman" w:hAnsi="Times New Roman" w:cs="Times New Roman" w:eastAsia="Times New Roman" w:hint="default"/>
                <w:sz w:val="18"/>
                <w:szCs w:val="18"/>
              </w:rPr>
            </w:pPr>
            <w:r>
              <w:rPr>
                <w:rFonts w:ascii="Times New Roman"/>
                <w:spacing w:val="-1"/>
                <w:sz w:val="18"/>
              </w:rPr>
              <w:t>1,094,799,254.35</w:t>
            </w:r>
          </w:p>
        </w:tc>
        <w:tc>
          <w:tcPr>
            <w:tcW w:w="187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1,380,029,778.09</w:t>
            </w:r>
          </w:p>
        </w:tc>
      </w:tr>
      <w:tr>
        <w:trPr>
          <w:trHeight w:val="307" w:hRule="exact"/>
        </w:trPr>
        <w:tc>
          <w:tcPr>
            <w:tcW w:w="4845"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00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503"/>
              <w:jc w:val="right"/>
              <w:rPr>
                <w:rFonts w:ascii="Times New Roman" w:hAnsi="Times New Roman" w:cs="Times New Roman" w:eastAsia="Times New Roman" w:hint="default"/>
                <w:sz w:val="18"/>
                <w:szCs w:val="18"/>
              </w:rPr>
            </w:pPr>
            <w:r>
              <w:rPr>
                <w:rFonts w:ascii="Times New Roman"/>
                <w:b/>
                <w:spacing w:val="-1"/>
                <w:sz w:val="18"/>
              </w:rPr>
              <w:t>1,233,687,014.15</w:t>
            </w:r>
            <w:r>
              <w:rPr>
                <w:rFonts w:ascii="Times New Roman"/>
                <w:spacing w:val="-1"/>
                <w:sz w:val="18"/>
              </w:rPr>
            </w:r>
          </w:p>
        </w:tc>
        <w:tc>
          <w:tcPr>
            <w:tcW w:w="1878"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10"/>
              <w:jc w:val="right"/>
              <w:rPr>
                <w:rFonts w:ascii="Times New Roman" w:hAnsi="Times New Roman" w:cs="Times New Roman" w:eastAsia="Times New Roman" w:hint="default"/>
                <w:sz w:val="18"/>
                <w:szCs w:val="18"/>
              </w:rPr>
            </w:pPr>
            <w:r>
              <w:rPr>
                <w:rFonts w:ascii="Times New Roman"/>
                <w:b/>
                <w:spacing w:val="-1"/>
                <w:sz w:val="18"/>
              </w:rPr>
              <w:t>1,491,222,598.08</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585" w:footer="836" w:top="1080" w:bottom="1020" w:left="1480" w:right="1480"/>
        </w:sectPr>
      </w:pPr>
    </w:p>
    <w:p>
      <w:pPr>
        <w:spacing w:line="240" w:lineRule="auto" w:before="0"/>
        <w:rPr>
          <w:rFonts w:ascii="宋体" w:hAnsi="宋体" w:cs="宋体" w:eastAsia="宋体" w:hint="default"/>
          <w:sz w:val="20"/>
          <w:szCs w:val="20"/>
        </w:rPr>
      </w:pPr>
    </w:p>
    <w:p>
      <w:pPr>
        <w:tabs>
          <w:tab w:pos="1041" w:val="left" w:leader="none"/>
        </w:tabs>
        <w:spacing w:before="179"/>
        <w:ind w:left="64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w:t>
        <w:tab/>
      </w:r>
      <w:r>
        <w:rPr>
          <w:rFonts w:ascii="宋体" w:hAnsi="宋体" w:cs="宋体" w:eastAsia="宋体" w:hint="default"/>
          <w:sz w:val="22"/>
          <w:szCs w:val="22"/>
        </w:rPr>
        <w:t>应收票据</w:t>
      </w:r>
    </w:p>
    <w:p>
      <w:pPr>
        <w:spacing w:line="240" w:lineRule="auto" w:before="8"/>
        <w:rPr>
          <w:rFonts w:ascii="宋体" w:hAnsi="宋体" w:cs="宋体" w:eastAsia="宋体" w:hint="default"/>
          <w:sz w:val="11"/>
          <w:szCs w:val="11"/>
        </w:rPr>
      </w:pPr>
    </w:p>
    <w:tbl>
      <w:tblPr>
        <w:tblW w:w="0" w:type="auto"/>
        <w:jc w:val="left"/>
        <w:tblInd w:w="134" w:type="dxa"/>
        <w:tblLayout w:type="fixed"/>
        <w:tblCellMar>
          <w:top w:w="0" w:type="dxa"/>
          <w:left w:w="0" w:type="dxa"/>
          <w:bottom w:w="0" w:type="dxa"/>
          <w:right w:w="0" w:type="dxa"/>
        </w:tblCellMar>
        <w:tblLook w:val="01E0"/>
      </w:tblPr>
      <w:tblGrid>
        <w:gridCol w:w="3221"/>
        <w:gridCol w:w="3714"/>
        <w:gridCol w:w="1791"/>
      </w:tblGrid>
      <w:tr>
        <w:trPr>
          <w:trHeight w:val="305" w:hRule="exact"/>
        </w:trPr>
        <w:tc>
          <w:tcPr>
            <w:tcW w:w="322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71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552"/>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179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5" w:hRule="exact"/>
        </w:trPr>
        <w:tc>
          <w:tcPr>
            <w:tcW w:w="3221"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71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552"/>
              <w:jc w:val="right"/>
              <w:rPr>
                <w:rFonts w:ascii="Times New Roman" w:hAnsi="Times New Roman" w:cs="Times New Roman" w:eastAsia="Times New Roman" w:hint="default"/>
                <w:sz w:val="18"/>
                <w:szCs w:val="18"/>
              </w:rPr>
            </w:pPr>
            <w:r>
              <w:rPr>
                <w:rFonts w:ascii="Times New Roman"/>
                <w:spacing w:val="-1"/>
                <w:sz w:val="18"/>
              </w:rPr>
              <w:t>137,376,849.00</w:t>
            </w:r>
          </w:p>
        </w:tc>
        <w:tc>
          <w:tcPr>
            <w:tcW w:w="1791"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154,680,687.87</w:t>
            </w:r>
          </w:p>
        </w:tc>
      </w:tr>
      <w:tr>
        <w:trPr>
          <w:trHeight w:val="255" w:hRule="exact"/>
        </w:trPr>
        <w:tc>
          <w:tcPr>
            <w:tcW w:w="3221"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371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552"/>
              <w:jc w:val="right"/>
              <w:rPr>
                <w:rFonts w:ascii="Times New Roman" w:hAnsi="Times New Roman" w:cs="Times New Roman" w:eastAsia="Times New Roman" w:hint="default"/>
                <w:sz w:val="18"/>
                <w:szCs w:val="18"/>
              </w:rPr>
            </w:pPr>
            <w:r>
              <w:rPr>
                <w:rFonts w:ascii="Times New Roman"/>
                <w:spacing w:val="-1"/>
                <w:sz w:val="18"/>
              </w:rPr>
              <w:t>148,095,744.45</w:t>
            </w:r>
          </w:p>
        </w:tc>
        <w:tc>
          <w:tcPr>
            <w:tcW w:w="1791"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71,425,321.70</w:t>
            </w:r>
          </w:p>
        </w:tc>
      </w:tr>
      <w:tr>
        <w:trPr>
          <w:trHeight w:val="305" w:hRule="exact"/>
        </w:trPr>
        <w:tc>
          <w:tcPr>
            <w:tcW w:w="3221"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71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552"/>
              <w:jc w:val="right"/>
              <w:rPr>
                <w:rFonts w:ascii="Times New Roman" w:hAnsi="Times New Roman" w:cs="Times New Roman" w:eastAsia="Times New Roman" w:hint="default"/>
                <w:sz w:val="18"/>
                <w:szCs w:val="18"/>
              </w:rPr>
            </w:pPr>
            <w:r>
              <w:rPr>
                <w:rFonts w:ascii="Times New Roman"/>
                <w:b/>
                <w:spacing w:val="-1"/>
                <w:sz w:val="18"/>
              </w:rPr>
              <w:t>285,472,593.45</w:t>
            </w:r>
            <w:r>
              <w:rPr>
                <w:rFonts w:ascii="Times New Roman"/>
                <w:spacing w:val="-1"/>
                <w:sz w:val="18"/>
              </w:rPr>
            </w:r>
          </w:p>
        </w:tc>
        <w:tc>
          <w:tcPr>
            <w:tcW w:w="1791"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226,106,009.57</w:t>
            </w:r>
            <w:r>
              <w:rPr>
                <w:rFonts w:ascii="Times New Roman"/>
                <w:spacing w:val="-1"/>
                <w:sz w:val="18"/>
              </w:rPr>
            </w:r>
          </w:p>
        </w:tc>
      </w:tr>
    </w:tbl>
    <w:p>
      <w:pPr>
        <w:tabs>
          <w:tab w:pos="1041" w:val="left" w:leader="none"/>
        </w:tabs>
        <w:spacing w:before="81"/>
        <w:ind w:left="64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w:t>
        <w:tab/>
      </w:r>
      <w:r>
        <w:rPr>
          <w:rFonts w:ascii="宋体" w:hAnsi="宋体" w:cs="宋体" w:eastAsia="宋体" w:hint="default"/>
          <w:sz w:val="22"/>
          <w:szCs w:val="22"/>
        </w:rPr>
        <w:t>应收账款</w:t>
      </w:r>
    </w:p>
    <w:p>
      <w:pPr>
        <w:spacing w:before="113"/>
        <w:ind w:left="695" w:right="207" w:firstLine="0"/>
        <w:jc w:val="left"/>
        <w:rPr>
          <w:rFonts w:ascii="宋体" w:hAnsi="宋体" w:cs="宋体" w:eastAsia="宋体" w:hint="default"/>
          <w:sz w:val="22"/>
          <w:szCs w:val="22"/>
        </w:rPr>
      </w:pPr>
      <w:r>
        <w:rPr/>
        <w:pict>
          <v:group style="position:absolute;margin-left:199.48999pt;margin-top:58.93763pt;width:240.45pt;height:.5pt;mso-position-horizontal-relative:page;mso-position-vertical-relative:paragraph;z-index:-1197760" coordorigin="3990,1179" coordsize="4809,10">
            <v:group style="position:absolute;left:3995;top:1184;width:1488;height:2" coordorigin="3995,1184" coordsize="1488,2">
              <v:shape style="position:absolute;left:3995;top:1184;width:1488;height:2" coordorigin="3995,1184" coordsize="1488,0" path="m3995,1184l5483,1184e" filled="false" stroked="true" strokeweight=".48001pt" strokecolor="#000000">
                <v:path arrowok="t"/>
              </v:shape>
            </v:group>
            <v:group style="position:absolute;left:5483;top:1184;width:10;height:2" coordorigin="5483,1184" coordsize="10,2">
              <v:shape style="position:absolute;left:5483;top:1184;width:10;height:2" coordorigin="5483,1184" coordsize="10,0" path="m5483,1184l5492,1184e" filled="false" stroked="true" strokeweight=".48001pt" strokecolor="#000000">
                <v:path arrowok="t"/>
              </v:shape>
            </v:group>
            <v:group style="position:absolute;left:5492;top:1184;width:889;height:2" coordorigin="5492,1184" coordsize="889,2">
              <v:shape style="position:absolute;left:5492;top:1184;width:889;height:2" coordorigin="5492,1184" coordsize="889,0" path="m5492,1184l6381,1184e" filled="false" stroked="true" strokeweight=".48001pt" strokecolor="#000000">
                <v:path arrowok="t"/>
              </v:shape>
            </v:group>
            <v:group style="position:absolute;left:6381;top:1184;width:10;height:2" coordorigin="6381,1184" coordsize="10,2">
              <v:shape style="position:absolute;left:6381;top:1184;width:10;height:2" coordorigin="6381,1184" coordsize="10,0" path="m6381,1184l6390,1184e" filled="false" stroked="true" strokeweight=".48001pt" strokecolor="#000000">
                <v:path arrowok="t"/>
              </v:shape>
            </v:group>
            <v:group style="position:absolute;left:6390;top:1184;width:1361;height:2" coordorigin="6390,1184" coordsize="1361,2">
              <v:shape style="position:absolute;left:6390;top:1184;width:1361;height:2" coordorigin="6390,1184" coordsize="1361,0" path="m6390,1184l7751,1184e" filled="false" stroked="true" strokeweight=".48001pt" strokecolor="#000000">
                <v:path arrowok="t"/>
              </v:shape>
            </v:group>
            <v:group style="position:absolute;left:7751;top:1184;width:10;height:2" coordorigin="7751,1184" coordsize="10,2">
              <v:shape style="position:absolute;left:7751;top:1184;width:10;height:2" coordorigin="7751,1184" coordsize="10,0" path="m7751,1184l7761,1184e" filled="false" stroked="true" strokeweight=".48001pt" strokecolor="#000000">
                <v:path arrowok="t"/>
              </v:shape>
            </v:group>
            <v:group style="position:absolute;left:7761;top:1184;width:1033;height:2" coordorigin="7761,1184" coordsize="1033,2">
              <v:shape style="position:absolute;left:7761;top:1184;width:1033;height:2" coordorigin="7761,1184" coordsize="1033,0" path="m7761,1184l8793,1184e" filled="false" stroked="true" strokeweight=".48001pt" strokecolor="#000000">
                <v:path arrowok="t"/>
              </v:shape>
            </v:group>
            <w10:wrap type="none"/>
          </v:group>
        </w:pict>
      </w: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应收账款分类</w:t>
      </w:r>
    </w:p>
    <w:p>
      <w:pPr>
        <w:spacing w:line="240" w:lineRule="auto" w:before="8"/>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2415"/>
        <w:gridCol w:w="1578"/>
        <w:gridCol w:w="824"/>
        <w:gridCol w:w="1532"/>
        <w:gridCol w:w="889"/>
        <w:gridCol w:w="1502"/>
      </w:tblGrid>
      <w:tr>
        <w:trPr>
          <w:trHeight w:val="305" w:hRule="exact"/>
        </w:trPr>
        <w:tc>
          <w:tcPr>
            <w:tcW w:w="2415" w:type="dxa"/>
            <w:tcBorders>
              <w:top w:val="single" w:sz="12" w:space="0" w:color="000000"/>
              <w:left w:val="nil" w:sz="6" w:space="0" w:color="auto"/>
              <w:bottom w:val="nil" w:sz="6" w:space="0" w:color="auto"/>
              <w:right w:val="nil" w:sz="6" w:space="0" w:color="auto"/>
            </w:tcBorders>
          </w:tcPr>
          <w:p>
            <w:pPr/>
          </w:p>
        </w:tc>
        <w:tc>
          <w:tcPr>
            <w:tcW w:w="1578" w:type="dxa"/>
            <w:tcBorders>
              <w:top w:val="single" w:sz="12" w:space="0" w:color="000000"/>
              <w:left w:val="nil" w:sz="6" w:space="0" w:color="auto"/>
              <w:bottom w:val="single" w:sz="4" w:space="0" w:color="000000"/>
              <w:right w:val="nil" w:sz="6" w:space="0" w:color="auto"/>
            </w:tcBorders>
          </w:tcPr>
          <w:p>
            <w:pPr/>
          </w:p>
        </w:tc>
        <w:tc>
          <w:tcPr>
            <w:tcW w:w="824" w:type="dxa"/>
            <w:tcBorders>
              <w:top w:val="single" w:sz="12" w:space="0" w:color="000000"/>
              <w:left w:val="nil" w:sz="6" w:space="0" w:color="auto"/>
              <w:bottom w:val="single" w:sz="4" w:space="0" w:color="000000"/>
              <w:right w:val="nil" w:sz="6" w:space="0" w:color="auto"/>
            </w:tcBorders>
          </w:tcPr>
          <w:p>
            <w:pPr/>
          </w:p>
        </w:tc>
        <w:tc>
          <w:tcPr>
            <w:tcW w:w="153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399"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889" w:type="dxa"/>
            <w:tcBorders>
              <w:top w:val="single" w:sz="12" w:space="0" w:color="000000"/>
              <w:left w:val="nil" w:sz="6" w:space="0" w:color="auto"/>
              <w:bottom w:val="single" w:sz="4" w:space="0" w:color="000000"/>
              <w:right w:val="nil" w:sz="6" w:space="0" w:color="auto"/>
            </w:tcBorders>
          </w:tcPr>
          <w:p>
            <w:pPr/>
          </w:p>
        </w:tc>
        <w:tc>
          <w:tcPr>
            <w:tcW w:w="1502" w:type="dxa"/>
            <w:tcBorders>
              <w:top w:val="single" w:sz="12" w:space="0" w:color="000000"/>
              <w:left w:val="nil" w:sz="6" w:space="0" w:color="auto"/>
              <w:bottom w:val="single" w:sz="4" w:space="0" w:color="000000"/>
              <w:right w:val="nil" w:sz="6" w:space="0" w:color="auto"/>
            </w:tcBorders>
          </w:tcPr>
          <w:p>
            <w:pPr/>
          </w:p>
        </w:tc>
      </w:tr>
      <w:tr>
        <w:trPr>
          <w:trHeight w:val="240" w:hRule="exact"/>
        </w:trPr>
        <w:tc>
          <w:tcPr>
            <w:tcW w:w="2415" w:type="dxa"/>
            <w:tcBorders>
              <w:top w:val="nil" w:sz="6" w:space="0" w:color="auto"/>
              <w:left w:val="nil" w:sz="6" w:space="0" w:color="auto"/>
              <w:bottom w:val="nil" w:sz="6" w:space="0" w:color="auto"/>
              <w:right w:val="nil" w:sz="6" w:space="0" w:color="auto"/>
            </w:tcBorders>
          </w:tcPr>
          <w:p>
            <w:pPr>
              <w:pStyle w:val="TableParagraph"/>
              <w:spacing w:line="240" w:lineRule="auto" w:before="1"/>
              <w:ind w:left="13" w:right="0"/>
              <w:jc w:val="center"/>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1578"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830"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824" w:type="dxa"/>
            <w:tcBorders>
              <w:top w:val="single" w:sz="4" w:space="0" w:color="000000"/>
              <w:left w:val="nil" w:sz="6" w:space="0" w:color="auto"/>
              <w:bottom w:val="nil" w:sz="6" w:space="0" w:color="auto"/>
              <w:right w:val="nil" w:sz="6" w:space="0" w:color="auto"/>
            </w:tcBorders>
          </w:tcPr>
          <w:p>
            <w:pPr/>
          </w:p>
        </w:tc>
        <w:tc>
          <w:tcPr>
            <w:tcW w:w="1532"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829" w:right="-2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c>
        <w:tc>
          <w:tcPr>
            <w:tcW w:w="889" w:type="dxa"/>
            <w:tcBorders>
              <w:top w:val="single" w:sz="4" w:space="0" w:color="000000"/>
              <w:left w:val="nil" w:sz="6" w:space="0" w:color="auto"/>
              <w:bottom w:val="nil" w:sz="6" w:space="0" w:color="auto"/>
              <w:right w:val="nil" w:sz="6" w:space="0" w:color="auto"/>
            </w:tcBorders>
          </w:tcPr>
          <w:p>
            <w:pPr/>
          </w:p>
        </w:tc>
        <w:tc>
          <w:tcPr>
            <w:tcW w:w="1502" w:type="dxa"/>
            <w:tcBorders>
              <w:top w:val="single" w:sz="4" w:space="0" w:color="000000"/>
              <w:left w:val="nil" w:sz="6" w:space="0" w:color="auto"/>
              <w:bottom w:val="nil" w:sz="6" w:space="0" w:color="auto"/>
              <w:right w:val="nil" w:sz="6" w:space="0" w:color="auto"/>
            </w:tcBorders>
          </w:tcPr>
          <w:p>
            <w:pPr/>
          </w:p>
        </w:tc>
      </w:tr>
      <w:tr>
        <w:trPr>
          <w:trHeight w:val="139" w:hRule="exact"/>
        </w:trPr>
        <w:tc>
          <w:tcPr>
            <w:tcW w:w="2415" w:type="dxa"/>
            <w:tcBorders>
              <w:top w:val="nil" w:sz="6" w:space="0" w:color="auto"/>
              <w:left w:val="nil" w:sz="6" w:space="0" w:color="auto"/>
              <w:bottom w:val="nil" w:sz="6" w:space="0" w:color="auto"/>
              <w:right w:val="nil" w:sz="6" w:space="0" w:color="auto"/>
            </w:tcBorders>
          </w:tcPr>
          <w:p>
            <w:pPr/>
          </w:p>
        </w:tc>
        <w:tc>
          <w:tcPr>
            <w:tcW w:w="1578" w:type="dxa"/>
            <w:tcBorders>
              <w:top w:val="nil" w:sz="6" w:space="0" w:color="auto"/>
              <w:left w:val="nil" w:sz="6" w:space="0" w:color="auto"/>
              <w:bottom w:val="nil" w:sz="6" w:space="0" w:color="auto"/>
              <w:right w:val="nil" w:sz="6" w:space="0" w:color="auto"/>
            </w:tcBorders>
          </w:tcPr>
          <w:p>
            <w:pPr/>
          </w:p>
        </w:tc>
        <w:tc>
          <w:tcPr>
            <w:tcW w:w="824"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
        </w:tc>
        <w:tc>
          <w:tcPr>
            <w:tcW w:w="88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Style w:val="TableParagraph"/>
              <w:spacing w:line="143" w:lineRule="exact"/>
              <w:ind w:left="376"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211" w:hRule="exact"/>
        </w:trPr>
        <w:tc>
          <w:tcPr>
            <w:tcW w:w="2415" w:type="dxa"/>
            <w:tcBorders>
              <w:top w:val="nil" w:sz="6" w:space="0" w:color="auto"/>
              <w:left w:val="nil" w:sz="6" w:space="0" w:color="auto"/>
              <w:bottom w:val="single" w:sz="4" w:space="0" w:color="000000"/>
              <w:right w:val="nil" w:sz="6" w:space="0" w:color="auto"/>
            </w:tcBorders>
          </w:tcPr>
          <w:p>
            <w:pPr/>
          </w:p>
        </w:tc>
        <w:tc>
          <w:tcPr>
            <w:tcW w:w="1578" w:type="dxa"/>
            <w:tcBorders>
              <w:top w:val="nil" w:sz="6" w:space="0" w:color="auto"/>
              <w:left w:val="nil" w:sz="6" w:space="0" w:color="auto"/>
              <w:bottom w:val="single" w:sz="4" w:space="0" w:color="000000"/>
              <w:right w:val="nil" w:sz="6" w:space="0" w:color="auto"/>
            </w:tcBorders>
          </w:tcPr>
          <w:p>
            <w:pPr>
              <w:pStyle w:val="TableParagraph"/>
              <w:spacing w:line="176" w:lineRule="exact"/>
              <w:ind w:right="87"/>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24" w:type="dxa"/>
            <w:tcBorders>
              <w:top w:val="nil" w:sz="6" w:space="0" w:color="auto"/>
              <w:left w:val="nil" w:sz="6" w:space="0" w:color="auto"/>
              <w:bottom w:val="single" w:sz="4" w:space="0" w:color="000000"/>
              <w:right w:val="nil" w:sz="6" w:space="0" w:color="auto"/>
            </w:tcBorders>
          </w:tcPr>
          <w:p>
            <w:pPr>
              <w:pStyle w:val="TableParagraph"/>
              <w:spacing w:line="176" w:lineRule="exact"/>
              <w:ind w:left="176"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532" w:type="dxa"/>
            <w:tcBorders>
              <w:top w:val="nil" w:sz="6" w:space="0" w:color="auto"/>
              <w:left w:val="nil" w:sz="6" w:space="0" w:color="auto"/>
              <w:bottom w:val="single" w:sz="4" w:space="0" w:color="000000"/>
              <w:right w:val="nil" w:sz="6" w:space="0" w:color="auto"/>
            </w:tcBorders>
          </w:tcPr>
          <w:p>
            <w:pPr>
              <w:pStyle w:val="TableParagraph"/>
              <w:spacing w:line="176" w:lineRule="exact"/>
              <w:ind w:left="488"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89" w:type="dxa"/>
            <w:tcBorders>
              <w:top w:val="nil" w:sz="6" w:space="0" w:color="auto"/>
              <w:left w:val="nil" w:sz="6" w:space="0" w:color="auto"/>
              <w:bottom w:val="single" w:sz="4" w:space="0" w:color="000000"/>
              <w:right w:val="nil" w:sz="6" w:space="0" w:color="auto"/>
            </w:tcBorders>
          </w:tcPr>
          <w:p>
            <w:pPr>
              <w:pStyle w:val="TableParagraph"/>
              <w:spacing w:line="176" w:lineRule="exact"/>
              <w:ind w:left="-20" w:right="0"/>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sz w:val="18"/>
                <w:szCs w:val="18"/>
              </w:rPr>
            </w:r>
          </w:p>
        </w:tc>
        <w:tc>
          <w:tcPr>
            <w:tcW w:w="1502" w:type="dxa"/>
            <w:tcBorders>
              <w:top w:val="nil" w:sz="6" w:space="0" w:color="auto"/>
              <w:left w:val="nil" w:sz="6" w:space="0" w:color="auto"/>
              <w:bottom w:val="single" w:sz="4" w:space="0" w:color="000000"/>
              <w:right w:val="nil" w:sz="6" w:space="0" w:color="auto"/>
            </w:tcBorders>
          </w:tcPr>
          <w:p>
            <w:pPr/>
          </w:p>
        </w:tc>
      </w:tr>
      <w:tr>
        <w:trPr>
          <w:trHeight w:val="574" w:hRule="exact"/>
        </w:trPr>
        <w:tc>
          <w:tcPr>
            <w:tcW w:w="2415"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22" w:right="101"/>
              <w:jc w:val="left"/>
              <w:rPr>
                <w:rFonts w:ascii="宋体" w:hAnsi="宋体" w:cs="宋体" w:eastAsia="宋体" w:hint="default"/>
                <w:sz w:val="18"/>
                <w:szCs w:val="18"/>
              </w:rPr>
            </w:pPr>
            <w:r>
              <w:rPr>
                <w:rFonts w:ascii="宋体" w:hAnsi="宋体" w:cs="宋体" w:eastAsia="宋体" w:hint="default"/>
                <w:spacing w:val="2"/>
                <w:sz w:val="18"/>
                <w:szCs w:val="18"/>
              </w:rPr>
              <w:t>单项金额重大并单项计提坏 </w:t>
            </w:r>
            <w:r>
              <w:rPr>
                <w:rFonts w:ascii="宋体" w:hAnsi="宋体" w:cs="宋体" w:eastAsia="宋体" w:hint="default"/>
                <w:sz w:val="18"/>
                <w:szCs w:val="18"/>
              </w:rPr>
              <w:t>账准备的应收账款</w:t>
            </w:r>
          </w:p>
        </w:tc>
        <w:tc>
          <w:tcPr>
            <w:tcW w:w="1578" w:type="dxa"/>
            <w:tcBorders>
              <w:top w:val="single" w:sz="4"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96"/>
              <w:jc w:val="right"/>
              <w:rPr>
                <w:rFonts w:ascii="Times New Roman" w:hAnsi="Times New Roman" w:cs="Times New Roman" w:eastAsia="Times New Roman" w:hint="default"/>
                <w:sz w:val="18"/>
                <w:szCs w:val="18"/>
              </w:rPr>
            </w:pPr>
            <w:r>
              <w:rPr>
                <w:rFonts w:ascii="Times New Roman"/>
                <w:spacing w:val="-1"/>
                <w:sz w:val="18"/>
              </w:rPr>
              <w:t>0.00</w:t>
            </w:r>
          </w:p>
        </w:tc>
        <w:tc>
          <w:tcPr>
            <w:tcW w:w="824" w:type="dxa"/>
            <w:tcBorders>
              <w:top w:val="single" w:sz="4"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21"/>
              <w:jc w:val="right"/>
              <w:rPr>
                <w:rFonts w:ascii="Times New Roman" w:hAnsi="Times New Roman" w:cs="Times New Roman" w:eastAsia="Times New Roman" w:hint="default"/>
                <w:sz w:val="18"/>
                <w:szCs w:val="18"/>
              </w:rPr>
            </w:pPr>
            <w:r>
              <w:rPr>
                <w:rFonts w:ascii="Times New Roman"/>
                <w:sz w:val="18"/>
              </w:rPr>
              <w:t>0.00%</w:t>
            </w:r>
          </w:p>
        </w:tc>
        <w:tc>
          <w:tcPr>
            <w:tcW w:w="1532" w:type="dxa"/>
            <w:tcBorders>
              <w:top w:val="single" w:sz="4"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932" w:right="0"/>
              <w:jc w:val="left"/>
              <w:rPr>
                <w:rFonts w:ascii="Times New Roman" w:hAnsi="Times New Roman" w:cs="Times New Roman" w:eastAsia="Times New Roman" w:hint="default"/>
                <w:sz w:val="18"/>
                <w:szCs w:val="18"/>
              </w:rPr>
            </w:pPr>
            <w:r>
              <w:rPr>
                <w:rFonts w:ascii="Times New Roman"/>
                <w:sz w:val="18"/>
              </w:rPr>
              <w:t>0.00</w:t>
            </w:r>
          </w:p>
        </w:tc>
        <w:tc>
          <w:tcPr>
            <w:tcW w:w="889" w:type="dxa"/>
            <w:tcBorders>
              <w:top w:val="single" w:sz="4"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30"/>
              <w:jc w:val="right"/>
              <w:rPr>
                <w:rFonts w:ascii="Times New Roman" w:hAnsi="Times New Roman" w:cs="Times New Roman" w:eastAsia="Times New Roman" w:hint="default"/>
                <w:sz w:val="18"/>
                <w:szCs w:val="18"/>
              </w:rPr>
            </w:pPr>
            <w:r>
              <w:rPr>
                <w:rFonts w:ascii="Times New Roman"/>
                <w:sz w:val="18"/>
              </w:rPr>
              <w:t>0.00%</w:t>
            </w:r>
          </w:p>
        </w:tc>
        <w:tc>
          <w:tcPr>
            <w:tcW w:w="1502" w:type="dxa"/>
            <w:tcBorders>
              <w:top w:val="single" w:sz="4"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569" w:hRule="exact"/>
        </w:trPr>
        <w:tc>
          <w:tcPr>
            <w:tcW w:w="2415" w:type="dxa"/>
            <w:tcBorders>
              <w:top w:val="nil" w:sz="6" w:space="0" w:color="auto"/>
              <w:left w:val="nil" w:sz="6" w:space="0" w:color="auto"/>
              <w:bottom w:val="nil" w:sz="6" w:space="0" w:color="auto"/>
              <w:right w:val="nil" w:sz="6" w:space="0" w:color="auto"/>
            </w:tcBorders>
          </w:tcPr>
          <w:p>
            <w:pPr>
              <w:pStyle w:val="TableParagraph"/>
              <w:spacing w:line="232" w:lineRule="exact" w:before="47"/>
              <w:ind w:left="122" w:right="101"/>
              <w:jc w:val="left"/>
              <w:rPr>
                <w:rFonts w:ascii="宋体" w:hAnsi="宋体" w:cs="宋体" w:eastAsia="宋体" w:hint="default"/>
                <w:sz w:val="18"/>
                <w:szCs w:val="18"/>
              </w:rPr>
            </w:pPr>
            <w:r>
              <w:rPr>
                <w:rFonts w:ascii="宋体" w:hAnsi="宋体" w:cs="宋体" w:eastAsia="宋体" w:hint="default"/>
                <w:spacing w:val="2"/>
                <w:sz w:val="18"/>
                <w:szCs w:val="18"/>
              </w:rPr>
              <w:t>按信用风险特征组合计提坏 </w:t>
            </w:r>
            <w:r>
              <w:rPr>
                <w:rFonts w:ascii="宋体" w:hAnsi="宋体" w:cs="宋体" w:eastAsia="宋体" w:hint="default"/>
                <w:sz w:val="18"/>
                <w:szCs w:val="18"/>
              </w:rPr>
              <w:t>账准备的应收账款</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8,851,866,785.93</w:t>
            </w:r>
          </w:p>
        </w:tc>
        <w:tc>
          <w:tcPr>
            <w:tcW w:w="82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19"/>
              <w:jc w:val="right"/>
              <w:rPr>
                <w:rFonts w:ascii="Times New Roman" w:hAnsi="Times New Roman" w:cs="Times New Roman" w:eastAsia="Times New Roman" w:hint="default"/>
                <w:sz w:val="18"/>
                <w:szCs w:val="18"/>
              </w:rPr>
            </w:pPr>
            <w:r>
              <w:rPr>
                <w:rFonts w:ascii="Times New Roman"/>
                <w:sz w:val="18"/>
              </w:rPr>
              <w:t>99.19%</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121" w:right="0"/>
              <w:jc w:val="left"/>
              <w:rPr>
                <w:rFonts w:ascii="Times New Roman" w:hAnsi="Times New Roman" w:cs="Times New Roman" w:eastAsia="Times New Roman" w:hint="default"/>
                <w:sz w:val="18"/>
                <w:szCs w:val="18"/>
              </w:rPr>
            </w:pPr>
            <w:r>
              <w:rPr>
                <w:rFonts w:ascii="Times New Roman"/>
                <w:sz w:val="18"/>
              </w:rPr>
              <w:t>843,819,969.11</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30"/>
              <w:jc w:val="right"/>
              <w:rPr>
                <w:rFonts w:ascii="Times New Roman" w:hAnsi="Times New Roman" w:cs="Times New Roman" w:eastAsia="Times New Roman" w:hint="default"/>
                <w:sz w:val="18"/>
                <w:szCs w:val="18"/>
              </w:rPr>
            </w:pPr>
            <w:r>
              <w:rPr>
                <w:rFonts w:ascii="Times New Roman"/>
                <w:sz w:val="18"/>
              </w:rPr>
              <w:t>9.53%</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8,008,046,816.82</w:t>
            </w:r>
          </w:p>
        </w:tc>
      </w:tr>
      <w:tr>
        <w:trPr>
          <w:trHeight w:val="576" w:hRule="exact"/>
        </w:trPr>
        <w:tc>
          <w:tcPr>
            <w:tcW w:w="2415" w:type="dxa"/>
            <w:tcBorders>
              <w:top w:val="nil" w:sz="6" w:space="0" w:color="auto"/>
              <w:left w:val="nil" w:sz="6" w:space="0" w:color="auto"/>
              <w:bottom w:val="single" w:sz="4" w:space="0" w:color="000000"/>
              <w:right w:val="nil" w:sz="6" w:space="0" w:color="auto"/>
            </w:tcBorders>
          </w:tcPr>
          <w:p>
            <w:pPr>
              <w:pStyle w:val="TableParagraph"/>
              <w:spacing w:line="240" w:lineRule="auto" w:before="22"/>
              <w:ind w:left="122" w:right="101"/>
              <w:jc w:val="left"/>
              <w:rPr>
                <w:rFonts w:ascii="宋体" w:hAnsi="宋体" w:cs="宋体" w:eastAsia="宋体" w:hint="default"/>
                <w:sz w:val="18"/>
                <w:szCs w:val="18"/>
              </w:rPr>
            </w:pPr>
            <w:r>
              <w:rPr>
                <w:rFonts w:ascii="宋体" w:hAnsi="宋体" w:cs="宋体" w:eastAsia="宋体" w:hint="default"/>
                <w:spacing w:val="2"/>
                <w:sz w:val="18"/>
                <w:szCs w:val="18"/>
              </w:rPr>
              <w:t>单项金额不重大但单项计提 </w:t>
            </w:r>
            <w:r>
              <w:rPr>
                <w:rFonts w:ascii="宋体" w:hAnsi="宋体" w:cs="宋体" w:eastAsia="宋体" w:hint="default"/>
                <w:sz w:val="18"/>
                <w:szCs w:val="18"/>
              </w:rPr>
              <w:t>坏账准备的应收账款</w:t>
            </w:r>
          </w:p>
        </w:tc>
        <w:tc>
          <w:tcPr>
            <w:tcW w:w="1578"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345" w:right="0"/>
              <w:jc w:val="left"/>
              <w:rPr>
                <w:rFonts w:ascii="Times New Roman" w:hAnsi="Times New Roman" w:cs="Times New Roman" w:eastAsia="Times New Roman" w:hint="default"/>
                <w:sz w:val="18"/>
                <w:szCs w:val="18"/>
              </w:rPr>
            </w:pPr>
            <w:r>
              <w:rPr>
                <w:rFonts w:ascii="Times New Roman"/>
                <w:sz w:val="18"/>
              </w:rPr>
              <w:t>72,664,520.62</w:t>
            </w:r>
          </w:p>
        </w:tc>
        <w:tc>
          <w:tcPr>
            <w:tcW w:w="824"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21"/>
              <w:jc w:val="right"/>
              <w:rPr>
                <w:rFonts w:ascii="Times New Roman" w:hAnsi="Times New Roman" w:cs="Times New Roman" w:eastAsia="Times New Roman" w:hint="default"/>
                <w:sz w:val="18"/>
                <w:szCs w:val="18"/>
              </w:rPr>
            </w:pPr>
            <w:r>
              <w:rPr>
                <w:rFonts w:ascii="Times New Roman"/>
                <w:sz w:val="18"/>
              </w:rPr>
              <w:t>0.81%</w:t>
            </w:r>
          </w:p>
        </w:tc>
        <w:tc>
          <w:tcPr>
            <w:tcW w:w="1532"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212" w:right="0"/>
              <w:jc w:val="left"/>
              <w:rPr>
                <w:rFonts w:ascii="Times New Roman" w:hAnsi="Times New Roman" w:cs="Times New Roman" w:eastAsia="Times New Roman" w:hint="default"/>
                <w:sz w:val="18"/>
                <w:szCs w:val="18"/>
              </w:rPr>
            </w:pPr>
            <w:r>
              <w:rPr>
                <w:rFonts w:ascii="Times New Roman"/>
                <w:sz w:val="18"/>
              </w:rPr>
              <w:t>72,664,520.62</w:t>
            </w:r>
          </w:p>
        </w:tc>
        <w:tc>
          <w:tcPr>
            <w:tcW w:w="889"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30"/>
              <w:jc w:val="right"/>
              <w:rPr>
                <w:rFonts w:ascii="Times New Roman" w:hAnsi="Times New Roman" w:cs="Times New Roman" w:eastAsia="Times New Roman" w:hint="default"/>
                <w:sz w:val="18"/>
                <w:szCs w:val="18"/>
              </w:rPr>
            </w:pPr>
            <w:r>
              <w:rPr>
                <w:rFonts w:ascii="Times New Roman"/>
                <w:spacing w:val="-1"/>
                <w:sz w:val="18"/>
              </w:rPr>
              <w:t>100.00%</w:t>
            </w:r>
          </w:p>
        </w:tc>
        <w:tc>
          <w:tcPr>
            <w:tcW w:w="1502"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307" w:hRule="exact"/>
        </w:trPr>
        <w:tc>
          <w:tcPr>
            <w:tcW w:w="2415"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78"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120" w:right="0"/>
              <w:jc w:val="left"/>
              <w:rPr>
                <w:rFonts w:ascii="Times New Roman" w:hAnsi="Times New Roman" w:cs="Times New Roman" w:eastAsia="Times New Roman" w:hint="default"/>
                <w:sz w:val="18"/>
                <w:szCs w:val="18"/>
              </w:rPr>
            </w:pPr>
            <w:r>
              <w:rPr>
                <w:rFonts w:ascii="Times New Roman"/>
                <w:b/>
                <w:sz w:val="18"/>
              </w:rPr>
              <w:t>8,924,531,306.55</w:t>
            </w:r>
            <w:r>
              <w:rPr>
                <w:rFonts w:ascii="Times New Roman"/>
                <w:sz w:val="18"/>
              </w:rPr>
            </w:r>
          </w:p>
        </w:tc>
        <w:tc>
          <w:tcPr>
            <w:tcW w:w="82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20"/>
              <w:jc w:val="right"/>
              <w:rPr>
                <w:rFonts w:ascii="Times New Roman" w:hAnsi="Times New Roman" w:cs="Times New Roman" w:eastAsia="Times New Roman" w:hint="default"/>
                <w:sz w:val="18"/>
                <w:szCs w:val="18"/>
              </w:rPr>
            </w:pPr>
            <w:r>
              <w:rPr>
                <w:rFonts w:ascii="Times New Roman"/>
                <w:b/>
                <w:spacing w:val="-1"/>
                <w:sz w:val="18"/>
              </w:rPr>
              <w:t>100.00%</w:t>
            </w:r>
            <w:r>
              <w:rPr>
                <w:rFonts w:ascii="Times New Roman"/>
                <w:spacing w:val="-1"/>
                <w:sz w:val="18"/>
              </w:rPr>
            </w:r>
          </w:p>
        </w:tc>
        <w:tc>
          <w:tcPr>
            <w:tcW w:w="153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121" w:right="0"/>
              <w:jc w:val="left"/>
              <w:rPr>
                <w:rFonts w:ascii="Times New Roman" w:hAnsi="Times New Roman" w:cs="Times New Roman" w:eastAsia="Times New Roman" w:hint="default"/>
                <w:sz w:val="18"/>
                <w:szCs w:val="18"/>
              </w:rPr>
            </w:pPr>
            <w:r>
              <w:rPr>
                <w:rFonts w:ascii="Times New Roman"/>
                <w:b/>
                <w:sz w:val="18"/>
              </w:rPr>
              <w:t>916,484,489.73</w:t>
            </w:r>
            <w:r>
              <w:rPr>
                <w:rFonts w:ascii="Times New Roman"/>
                <w:sz w:val="18"/>
              </w:rPr>
            </w:r>
          </w:p>
        </w:tc>
        <w:tc>
          <w:tcPr>
            <w:tcW w:w="88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29"/>
              <w:jc w:val="right"/>
              <w:rPr>
                <w:rFonts w:ascii="Times New Roman" w:hAnsi="Times New Roman" w:cs="Times New Roman" w:eastAsia="Times New Roman" w:hint="default"/>
                <w:sz w:val="18"/>
                <w:szCs w:val="18"/>
              </w:rPr>
            </w:pPr>
            <w:r>
              <w:rPr>
                <w:rFonts w:ascii="Times New Roman"/>
                <w:b/>
                <w:sz w:val="18"/>
              </w:rPr>
              <w:t>10.27%</w:t>
            </w:r>
            <w:r>
              <w:rPr>
                <w:rFonts w:ascii="Times New Roman"/>
                <w:sz w:val="18"/>
              </w:rPr>
            </w:r>
          </w:p>
        </w:tc>
        <w:tc>
          <w:tcPr>
            <w:tcW w:w="150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8,008,046,816.82</w:t>
            </w:r>
            <w:r>
              <w:rPr>
                <w:rFonts w:ascii="Times New Roman"/>
                <w:spacing w:val="-1"/>
                <w:sz w:val="18"/>
              </w:rPr>
            </w:r>
          </w:p>
        </w:tc>
      </w:tr>
    </w:tbl>
    <w:p>
      <w:pPr>
        <w:spacing w:before="81"/>
        <w:ind w:left="242" w:right="207" w:firstLine="0"/>
        <w:jc w:val="left"/>
        <w:rPr>
          <w:rFonts w:ascii="宋体" w:hAnsi="宋体" w:cs="宋体" w:eastAsia="宋体" w:hint="default"/>
          <w:sz w:val="22"/>
          <w:szCs w:val="22"/>
        </w:rPr>
      </w:pPr>
      <w:r>
        <w:rPr>
          <w:rFonts w:ascii="宋体" w:hAnsi="宋体" w:cs="宋体" w:eastAsia="宋体" w:hint="default"/>
          <w:sz w:val="22"/>
          <w:szCs w:val="22"/>
        </w:rPr>
        <w:t>（续）</w:t>
      </w:r>
    </w:p>
    <w:p>
      <w:pPr>
        <w:spacing w:line="240" w:lineRule="auto" w:before="9"/>
        <w:rPr>
          <w:rFonts w:ascii="宋体" w:hAnsi="宋体" w:cs="宋体" w:eastAsia="宋体" w:hint="default"/>
          <w:sz w:val="12"/>
          <w:szCs w:val="12"/>
        </w:rPr>
      </w:pPr>
    </w:p>
    <w:p>
      <w:pPr>
        <w:spacing w:line="28" w:lineRule="exact"/>
        <w:ind w:left="119" w:right="0" w:firstLine="0"/>
        <w:rPr>
          <w:rFonts w:ascii="宋体" w:hAnsi="宋体" w:cs="宋体" w:eastAsia="宋体" w:hint="default"/>
          <w:sz w:val="2"/>
          <w:szCs w:val="2"/>
        </w:rPr>
      </w:pPr>
      <w:r>
        <w:rPr>
          <w:rFonts w:ascii="宋体" w:hAnsi="宋体" w:cs="宋体" w:eastAsia="宋体" w:hint="default"/>
          <w:position w:val="0"/>
          <w:sz w:val="2"/>
          <w:szCs w:val="2"/>
        </w:rPr>
        <w:pict>
          <v:group style="width:437.75pt;height:1.45pt;mso-position-horizontal-relative:char;mso-position-vertical-relative:line" coordorigin="0,0" coordsize="8755,29">
            <v:group style="position:absolute;left:14;top:14;width:2377;height:2" coordorigin="14,14" coordsize="2377,2">
              <v:shape style="position:absolute;left:14;top:14;width:2377;height:2" coordorigin="14,14" coordsize="2377,0" path="m14,14l2391,14e" filled="false" stroked="true" strokeweight="1.44pt" strokecolor="#000000">
                <v:path arrowok="t"/>
              </v:shape>
            </v:group>
            <v:group style="position:absolute;left:2391;top:14;width:29;height:2" coordorigin="2391,14" coordsize="29,2">
              <v:shape style="position:absolute;left:2391;top:14;width:29;height:2" coordorigin="2391,14" coordsize="29,0" path="m2391,14l2420,14e" filled="false" stroked="true" strokeweight="1.44pt" strokecolor="#000000">
                <v:path arrowok="t"/>
              </v:shape>
            </v:group>
            <v:group style="position:absolute;left:2420;top:14;width:6321;height:2" coordorigin="2420,14" coordsize="6321,2">
              <v:shape style="position:absolute;left:2420;top:14;width:6321;height:2" coordorigin="2420,14" coordsize="6321,0" path="m2420,14l8740,14e" filled="false" stroked="true" strokeweight="1.44pt" strokecolor="#000000">
                <v:path arrowok="t"/>
              </v:shape>
            </v:group>
          </v:group>
        </w:pict>
      </w:r>
      <w:r>
        <w:rPr>
          <w:rFonts w:ascii="宋体" w:hAnsi="宋体" w:cs="宋体" w:eastAsia="宋体" w:hint="default"/>
          <w:position w:val="0"/>
          <w:sz w:val="2"/>
          <w:szCs w:val="2"/>
        </w:rPr>
      </w:r>
    </w:p>
    <w:p>
      <w:pPr>
        <w:spacing w:after="0" w:line="28" w:lineRule="exact"/>
        <w:rPr>
          <w:rFonts w:ascii="宋体" w:hAnsi="宋体" w:cs="宋体" w:eastAsia="宋体" w:hint="default"/>
          <w:sz w:val="2"/>
          <w:szCs w:val="2"/>
        </w:rPr>
        <w:sectPr>
          <w:pgSz w:w="11910" w:h="16840"/>
          <w:pgMar w:header="585" w:footer="836" w:top="1080" w:bottom="1020" w:left="1460" w:right="1460"/>
        </w:sectPr>
      </w:pPr>
    </w:p>
    <w:p>
      <w:pPr>
        <w:spacing w:line="240" w:lineRule="auto" w:before="4"/>
        <w:rPr>
          <w:rFonts w:ascii="宋体" w:hAnsi="宋体" w:cs="宋体" w:eastAsia="宋体" w:hint="default"/>
          <w:sz w:val="22"/>
          <w:szCs w:val="22"/>
        </w:rPr>
      </w:pPr>
    </w:p>
    <w:p>
      <w:pPr>
        <w:spacing w:before="0"/>
        <w:ind w:left="246" w:right="0" w:firstLine="0"/>
        <w:jc w:val="center"/>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before="145"/>
        <w:ind w:left="242" w:right="0" w:firstLine="0"/>
        <w:jc w:val="center"/>
        <w:rPr>
          <w:rFonts w:ascii="宋体" w:hAnsi="宋体" w:cs="宋体" w:eastAsia="宋体" w:hint="default"/>
          <w:sz w:val="18"/>
          <w:szCs w:val="18"/>
        </w:rPr>
      </w:pPr>
      <w:r>
        <w:rPr/>
        <w:pict>
          <v:group style="position:absolute;margin-left:79.463997pt;margin-top:5.641695pt;width:436.8pt;height:.5pt;mso-position-horizontal-relative:page;mso-position-vertical-relative:paragraph;z-index:1456" coordorigin="1589,113" coordsize="8736,10">
            <v:group style="position:absolute;left:1594;top:118;width:2377;height:2" coordorigin="1594,118" coordsize="2377,2">
              <v:shape style="position:absolute;left:1594;top:118;width:2377;height:2" coordorigin="1594,118" coordsize="2377,0" path="m1594,118l3970,118e" filled="false" stroked="true" strokeweight=".48001pt" strokecolor="#000000">
                <v:path arrowok="t"/>
              </v:shape>
            </v:group>
            <v:group style="position:absolute;left:3971;top:118;width:10;height:2" coordorigin="3971,118" coordsize="10,2">
              <v:shape style="position:absolute;left:3971;top:118;width:10;height:2" coordorigin="3971,118" coordsize="10,0" path="m3971,118l3980,118e" filled="false" stroked="true" strokeweight=".48001pt" strokecolor="#000000">
                <v:path arrowok="t"/>
              </v:shape>
            </v:group>
            <v:group style="position:absolute;left:3980;top:118;width:1503;height:2" coordorigin="3980,118" coordsize="1503,2">
              <v:shape style="position:absolute;left:3980;top:118;width:1503;height:2" coordorigin="3980,118" coordsize="1503,0" path="m3980,118l5483,118e" filled="false" stroked="true" strokeweight=".48001pt" strokecolor="#000000">
                <v:path arrowok="t"/>
              </v:shape>
            </v:group>
            <v:group style="position:absolute;left:5483;top:118;width:10;height:2" coordorigin="5483,118" coordsize="10,2">
              <v:shape style="position:absolute;left:5483;top:118;width:10;height:2" coordorigin="5483,118" coordsize="10,0" path="m5483,118l5492,118e" filled="false" stroked="true" strokeweight=".48001pt" strokecolor="#000000">
                <v:path arrowok="t"/>
              </v:shape>
            </v:group>
            <v:group style="position:absolute;left:5492;top:118;width:889;height:2" coordorigin="5492,118" coordsize="889,2">
              <v:shape style="position:absolute;left:5492;top:118;width:889;height:2" coordorigin="5492,118" coordsize="889,0" path="m5492,118l6381,118e" filled="false" stroked="true" strokeweight=".48001pt" strokecolor="#000000">
                <v:path arrowok="t"/>
              </v:shape>
            </v:group>
            <v:group style="position:absolute;left:6381;top:118;width:10;height:2" coordorigin="6381,118" coordsize="10,2">
              <v:shape style="position:absolute;left:6381;top:118;width:10;height:2" coordorigin="6381,118" coordsize="10,0" path="m6381,118l6390,118e" filled="false" stroked="true" strokeweight=".48001pt" strokecolor="#000000">
                <v:path arrowok="t"/>
              </v:shape>
            </v:group>
            <v:group style="position:absolute;left:6390;top:118;width:1409;height:2" coordorigin="6390,118" coordsize="1409,2">
              <v:shape style="position:absolute;left:6390;top:118;width:1409;height:2" coordorigin="6390,118" coordsize="1409,0" path="m6390,118l7799,118e" filled="false" stroked="true" strokeweight=".48001pt" strokecolor="#000000">
                <v:path arrowok="t"/>
              </v:shape>
            </v:group>
            <v:group style="position:absolute;left:7799;top:118;width:10;height:2" coordorigin="7799,118" coordsize="10,2">
              <v:shape style="position:absolute;left:7799;top:118;width:10;height:2" coordorigin="7799,118" coordsize="10,0" path="m7799,118l7809,118e" filled="false" stroked="true" strokeweight=".48001pt" strokecolor="#000000">
                <v:path arrowok="t"/>
              </v:shape>
            </v:group>
            <v:group style="position:absolute;left:7809;top:118;width:1007;height:2" coordorigin="7809,118" coordsize="1007,2">
              <v:shape style="position:absolute;left:7809;top:118;width:1007;height:2" coordorigin="7809,118" coordsize="1007,0" path="m7809,118l8815,118e" filled="false" stroked="true" strokeweight=".48001pt" strokecolor="#000000">
                <v:path arrowok="t"/>
              </v:shape>
            </v:group>
            <v:group style="position:absolute;left:8815;top:118;width:10;height:2" coordorigin="8815,118" coordsize="10,2">
              <v:shape style="position:absolute;left:8815;top:118;width:10;height:2" coordorigin="8815,118" coordsize="10,0" path="m8815,118l8824,118e" filled="false" stroked="true" strokeweight=".48001pt" strokecolor="#000000">
                <v:path arrowok="t"/>
              </v:shape>
            </v:group>
            <v:group style="position:absolute;left:8824;top:118;width:1496;height:2" coordorigin="8824,118" coordsize="1496,2">
              <v:shape style="position:absolute;left:8824;top:118;width:1496;height:2" coordorigin="8824,118" coordsize="1496,0" path="m8824,118l10320,118e" filled="false" stroked="true" strokeweight=".48001pt" strokecolor="#000000">
                <v:path arrowok="t"/>
              </v:shape>
            </v:group>
            <w10:wrap type="none"/>
          </v:group>
        </w:pict>
      </w:r>
      <w:r>
        <w:rPr/>
        <w:pict>
          <v:shape style="position:absolute;margin-left:79.704002pt;margin-top:16.159641pt;width:436.3pt;height:253.2pt;mso-position-horizontal-relative:page;mso-position-vertical-relative:paragraph;z-index:14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15"/>
                    <w:gridCol w:w="2176"/>
                    <w:gridCol w:w="935"/>
                    <w:gridCol w:w="1456"/>
                    <w:gridCol w:w="892"/>
                    <w:gridCol w:w="1551"/>
                  </w:tblGrid>
                  <w:tr>
                    <w:trPr>
                      <w:trHeight w:val="376" w:hRule="exact"/>
                    </w:trPr>
                    <w:tc>
                      <w:tcPr>
                        <w:tcW w:w="3891" w:type="dxa"/>
                        <w:gridSpan w:val="2"/>
                        <w:tcBorders>
                          <w:top w:val="nil" w:sz="6" w:space="0" w:color="auto"/>
                          <w:left w:val="nil" w:sz="6" w:space="0" w:color="auto"/>
                          <w:bottom w:val="nil" w:sz="6" w:space="0" w:color="auto"/>
                          <w:right w:val="nil" w:sz="6" w:space="0" w:color="auto"/>
                        </w:tcBorders>
                      </w:tcPr>
                      <w:p>
                        <w:pPr>
                          <w:pStyle w:val="TableParagraph"/>
                          <w:tabs>
                            <w:tab w:pos="3463" w:val="left" w:leader="none"/>
                          </w:tabs>
                          <w:spacing w:line="290" w:lineRule="exact"/>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坏账准备的应收账款</w:t>
                        </w:r>
                        <w:r>
                          <w:rPr>
                            <w:rFonts w:ascii="Times New Roman" w:hAnsi="Times New Roman" w:cs="Times New Roman" w:eastAsia="Times New Roman" w:hint="default"/>
                            <w:position w:val="12"/>
                            <w:sz w:val="18"/>
                            <w:szCs w:val="18"/>
                          </w:rPr>
                          <w:tab/>
                          <w:t>0.00</w:t>
                        </w:r>
                        <w:r>
                          <w:rPr>
                            <w:rFonts w:ascii="Times New Roman" w:hAnsi="Times New Roman" w:cs="Times New Roman" w:eastAsia="Times New Roman" w:hint="default"/>
                            <w:sz w:val="18"/>
                            <w:szCs w:val="18"/>
                          </w:rPr>
                        </w:r>
                      </w:p>
                    </w:tc>
                    <w:tc>
                      <w:tcPr>
                        <w:tcW w:w="935" w:type="dxa"/>
                        <w:tcBorders>
                          <w:top w:val="nil" w:sz="6" w:space="0" w:color="auto"/>
                          <w:left w:val="nil" w:sz="6" w:space="0" w:color="auto"/>
                          <w:bottom w:val="nil" w:sz="6" w:space="0" w:color="auto"/>
                          <w:right w:val="nil" w:sz="6" w:space="0" w:color="auto"/>
                        </w:tcBorders>
                      </w:tcPr>
                      <w:p>
                        <w:pPr>
                          <w:pStyle w:val="TableParagraph"/>
                          <w:spacing w:line="184" w:lineRule="exact"/>
                          <w:ind w:right="145"/>
                          <w:jc w:val="right"/>
                          <w:rPr>
                            <w:rFonts w:ascii="Times New Roman" w:hAnsi="Times New Roman" w:cs="Times New Roman" w:eastAsia="Times New Roman" w:hint="default"/>
                            <w:sz w:val="18"/>
                            <w:szCs w:val="18"/>
                          </w:rPr>
                        </w:pPr>
                        <w:r>
                          <w:rPr>
                            <w:rFonts w:ascii="Times New Roman"/>
                            <w:sz w:val="18"/>
                          </w:rPr>
                          <w:t>0.00%</w:t>
                        </w:r>
                      </w:p>
                    </w:tc>
                    <w:tc>
                      <w:tcPr>
                        <w:tcW w:w="1456" w:type="dxa"/>
                        <w:tcBorders>
                          <w:top w:val="nil" w:sz="6" w:space="0" w:color="auto"/>
                          <w:left w:val="nil" w:sz="6" w:space="0" w:color="auto"/>
                          <w:bottom w:val="nil" w:sz="6" w:space="0" w:color="auto"/>
                          <w:right w:val="nil" w:sz="6" w:space="0" w:color="auto"/>
                        </w:tcBorders>
                      </w:tcPr>
                      <w:p>
                        <w:pPr>
                          <w:pStyle w:val="TableParagraph"/>
                          <w:spacing w:line="184" w:lineRule="exact"/>
                          <w:ind w:right="182"/>
                          <w:jc w:val="right"/>
                          <w:rPr>
                            <w:rFonts w:ascii="Times New Roman" w:hAnsi="Times New Roman" w:cs="Times New Roman" w:eastAsia="Times New Roman" w:hint="default"/>
                            <w:sz w:val="18"/>
                            <w:szCs w:val="18"/>
                          </w:rPr>
                        </w:pPr>
                        <w:r>
                          <w:rPr>
                            <w:rFonts w:ascii="Times New Roman"/>
                            <w:spacing w:val="-1"/>
                            <w:sz w:val="18"/>
                          </w:rPr>
                          <w:t>0.00</w:t>
                        </w:r>
                      </w:p>
                    </w:tc>
                    <w:tc>
                      <w:tcPr>
                        <w:tcW w:w="892" w:type="dxa"/>
                        <w:tcBorders>
                          <w:top w:val="nil" w:sz="6" w:space="0" w:color="auto"/>
                          <w:left w:val="nil" w:sz="6" w:space="0" w:color="auto"/>
                          <w:bottom w:val="nil" w:sz="6" w:space="0" w:color="auto"/>
                          <w:right w:val="nil" w:sz="6" w:space="0" w:color="auto"/>
                        </w:tcBorders>
                      </w:tcPr>
                      <w:p>
                        <w:pPr>
                          <w:pStyle w:val="TableParagraph"/>
                          <w:spacing w:line="184" w:lineRule="exact"/>
                          <w:ind w:right="59"/>
                          <w:jc w:val="right"/>
                          <w:rPr>
                            <w:rFonts w:ascii="Times New Roman" w:hAnsi="Times New Roman" w:cs="Times New Roman" w:eastAsia="Times New Roman" w:hint="default"/>
                            <w:sz w:val="18"/>
                            <w:szCs w:val="18"/>
                          </w:rPr>
                        </w:pPr>
                        <w:r>
                          <w:rPr>
                            <w:rFonts w:ascii="Times New Roman"/>
                            <w:sz w:val="18"/>
                          </w:rPr>
                          <w:t>0.00%</w:t>
                        </w:r>
                      </w:p>
                    </w:tc>
                    <w:tc>
                      <w:tcPr>
                        <w:tcW w:w="1551" w:type="dxa"/>
                        <w:tcBorders>
                          <w:top w:val="nil" w:sz="6" w:space="0" w:color="auto"/>
                          <w:left w:val="nil" w:sz="6" w:space="0" w:color="auto"/>
                          <w:bottom w:val="nil" w:sz="6" w:space="0" w:color="auto"/>
                          <w:right w:val="nil" w:sz="6" w:space="0" w:color="auto"/>
                        </w:tcBorders>
                      </w:tcPr>
                      <w:p>
                        <w:pPr>
                          <w:pStyle w:val="TableParagraph"/>
                          <w:spacing w:line="184" w:lineRule="exact"/>
                          <w:ind w:right="105"/>
                          <w:jc w:val="right"/>
                          <w:rPr>
                            <w:rFonts w:ascii="Times New Roman" w:hAnsi="Times New Roman" w:cs="Times New Roman" w:eastAsia="Times New Roman" w:hint="default"/>
                            <w:sz w:val="18"/>
                            <w:szCs w:val="18"/>
                          </w:rPr>
                        </w:pPr>
                        <w:r>
                          <w:rPr>
                            <w:rFonts w:ascii="Times New Roman"/>
                            <w:spacing w:val="-1"/>
                            <w:sz w:val="18"/>
                          </w:rPr>
                          <w:t>0.00</w:t>
                        </w:r>
                      </w:p>
                    </w:tc>
                  </w:tr>
                  <w:tr>
                    <w:trPr>
                      <w:trHeight w:val="570" w:hRule="exact"/>
                    </w:trPr>
                    <w:tc>
                      <w:tcPr>
                        <w:tcW w:w="3891" w:type="dxa"/>
                        <w:gridSpan w:val="2"/>
                        <w:tcBorders>
                          <w:top w:val="nil" w:sz="6" w:space="0" w:color="auto"/>
                          <w:left w:val="nil" w:sz="6" w:space="0" w:color="auto"/>
                          <w:bottom w:val="nil" w:sz="6" w:space="0" w:color="auto"/>
                          <w:right w:val="nil" w:sz="6" w:space="0" w:color="auto"/>
                        </w:tcBorders>
                      </w:tcPr>
                      <w:p>
                        <w:pPr>
                          <w:pStyle w:val="TableParagraph"/>
                          <w:tabs>
                            <w:tab w:pos="2518" w:val="left" w:leader="none"/>
                          </w:tabs>
                          <w:spacing w:line="158" w:lineRule="auto" w:before="89"/>
                          <w:ind w:left="108" w:right="111"/>
                          <w:jc w:val="left"/>
                          <w:rPr>
                            <w:rFonts w:ascii="Times New Roman" w:hAnsi="Times New Roman" w:cs="Times New Roman" w:eastAsia="Times New Roman" w:hint="default"/>
                            <w:sz w:val="18"/>
                            <w:szCs w:val="18"/>
                          </w:rPr>
                        </w:pPr>
                        <w:r>
                          <w:rPr>
                            <w:rFonts w:ascii="宋体" w:hAnsi="宋体" w:cs="宋体" w:eastAsia="宋体" w:hint="default"/>
                            <w:spacing w:val="15"/>
                            <w:sz w:val="18"/>
                            <w:szCs w:val="18"/>
                          </w:rPr>
                          <w:t>按信用风险特征组合计提</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position w:val="-11"/>
                            <w:sz w:val="18"/>
                            <w:szCs w:val="18"/>
                          </w:rPr>
                          <w:t>坏账准备的应收账款</w:t>
                          <w:tab/>
                        </w:r>
                        <w:r>
                          <w:rPr>
                            <w:rFonts w:ascii="Times New Roman" w:hAnsi="Times New Roman" w:cs="Times New Roman" w:eastAsia="Times New Roman" w:hint="default"/>
                            <w:spacing w:val="-1"/>
                            <w:sz w:val="18"/>
                            <w:szCs w:val="18"/>
                          </w:rPr>
                          <w:t>7,504,538,131.81</w:t>
                        </w:r>
                      </w:p>
                    </w:tc>
                    <w:tc>
                      <w:tcPr>
                        <w:tcW w:w="9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43"/>
                          <w:jc w:val="right"/>
                          <w:rPr>
                            <w:rFonts w:ascii="Times New Roman" w:hAnsi="Times New Roman" w:cs="Times New Roman" w:eastAsia="Times New Roman" w:hint="default"/>
                            <w:sz w:val="18"/>
                            <w:szCs w:val="18"/>
                          </w:rPr>
                        </w:pPr>
                        <w:r>
                          <w:rPr>
                            <w:rFonts w:ascii="Times New Roman"/>
                            <w:sz w:val="18"/>
                          </w:rPr>
                          <w:t>99.70%</w:t>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723,779,143.73</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59"/>
                          <w:jc w:val="right"/>
                          <w:rPr>
                            <w:rFonts w:ascii="Times New Roman" w:hAnsi="Times New Roman" w:cs="Times New Roman" w:eastAsia="Times New Roman" w:hint="default"/>
                            <w:sz w:val="18"/>
                            <w:szCs w:val="18"/>
                          </w:rPr>
                        </w:pPr>
                        <w:r>
                          <w:rPr>
                            <w:rFonts w:ascii="Times New Roman"/>
                            <w:sz w:val="18"/>
                          </w:rPr>
                          <w:t>9.64%</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6,780,758,988.08</w:t>
                        </w:r>
                      </w:p>
                    </w:tc>
                  </w:tr>
                  <w:tr>
                    <w:trPr>
                      <w:trHeight w:val="570" w:hRule="exact"/>
                    </w:trPr>
                    <w:tc>
                      <w:tcPr>
                        <w:tcW w:w="3891" w:type="dxa"/>
                        <w:gridSpan w:val="2"/>
                        <w:tcBorders>
                          <w:top w:val="nil" w:sz="6" w:space="0" w:color="auto"/>
                          <w:left w:val="nil" w:sz="6" w:space="0" w:color="auto"/>
                          <w:bottom w:val="single" w:sz="4" w:space="0" w:color="000000"/>
                          <w:right w:val="nil" w:sz="6" w:space="0" w:color="auto"/>
                        </w:tcBorders>
                      </w:tcPr>
                      <w:p>
                        <w:pPr>
                          <w:pStyle w:val="TableParagraph"/>
                          <w:tabs>
                            <w:tab w:pos="2743" w:val="left" w:leader="none"/>
                          </w:tabs>
                          <w:spacing w:line="158" w:lineRule="auto" w:before="87"/>
                          <w:ind w:left="108" w:right="111"/>
                          <w:jc w:val="left"/>
                          <w:rPr>
                            <w:rFonts w:ascii="Times New Roman" w:hAnsi="Times New Roman" w:cs="Times New Roman" w:eastAsia="Times New Roman" w:hint="default"/>
                            <w:sz w:val="18"/>
                            <w:szCs w:val="18"/>
                          </w:rPr>
                        </w:pPr>
                        <w:r>
                          <w:rPr>
                            <w:rFonts w:ascii="宋体" w:hAnsi="宋体" w:cs="宋体" w:eastAsia="宋体" w:hint="default"/>
                            <w:spacing w:val="15"/>
                            <w:sz w:val="18"/>
                            <w:szCs w:val="18"/>
                          </w:rPr>
                          <w:t>单项金额不重大但单项计</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position w:val="-11"/>
                            <w:sz w:val="18"/>
                            <w:szCs w:val="18"/>
                          </w:rPr>
                          <w:t>提坏账准备的应收账款</w:t>
                          <w:tab/>
                        </w:r>
                        <w:r>
                          <w:rPr>
                            <w:rFonts w:ascii="Times New Roman" w:hAnsi="Times New Roman" w:cs="Times New Roman" w:eastAsia="Times New Roman" w:hint="default"/>
                            <w:spacing w:val="-1"/>
                            <w:sz w:val="18"/>
                            <w:szCs w:val="18"/>
                          </w:rPr>
                          <w:t>22,353,189.00</w:t>
                        </w:r>
                      </w:p>
                    </w:tc>
                    <w:tc>
                      <w:tcPr>
                        <w:tcW w:w="935"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sz w:val="18"/>
                          </w:rPr>
                          <w:t>0.30%</w:t>
                        </w:r>
                      </w:p>
                    </w:tc>
                    <w:tc>
                      <w:tcPr>
                        <w:tcW w:w="1456"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83"/>
                          <w:jc w:val="right"/>
                          <w:rPr>
                            <w:rFonts w:ascii="Times New Roman" w:hAnsi="Times New Roman" w:cs="Times New Roman" w:eastAsia="Times New Roman" w:hint="default"/>
                            <w:sz w:val="18"/>
                            <w:szCs w:val="18"/>
                          </w:rPr>
                        </w:pPr>
                        <w:r>
                          <w:rPr>
                            <w:rFonts w:ascii="Times New Roman"/>
                            <w:spacing w:val="-1"/>
                            <w:sz w:val="18"/>
                          </w:rPr>
                          <w:t>22,353,189.00</w:t>
                        </w:r>
                      </w:p>
                    </w:tc>
                    <w:tc>
                      <w:tcPr>
                        <w:tcW w:w="892"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60"/>
                          <w:jc w:val="right"/>
                          <w:rPr>
                            <w:rFonts w:ascii="Times New Roman" w:hAnsi="Times New Roman" w:cs="Times New Roman" w:eastAsia="Times New Roman" w:hint="default"/>
                            <w:sz w:val="18"/>
                            <w:szCs w:val="18"/>
                          </w:rPr>
                        </w:pPr>
                        <w:r>
                          <w:rPr>
                            <w:rFonts w:ascii="Times New Roman"/>
                            <w:spacing w:val="-1"/>
                            <w:sz w:val="18"/>
                          </w:rPr>
                          <w:t>100.00%</w:t>
                        </w:r>
                      </w:p>
                    </w:tc>
                    <w:tc>
                      <w:tcPr>
                        <w:tcW w:w="1551"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0.00</w:t>
                        </w:r>
                      </w:p>
                    </w:tc>
                  </w:tr>
                  <w:tr>
                    <w:trPr>
                      <w:trHeight w:val="305" w:hRule="exact"/>
                    </w:trPr>
                    <w:tc>
                      <w:tcPr>
                        <w:tcW w:w="3891" w:type="dxa"/>
                        <w:gridSpan w:val="2"/>
                        <w:tcBorders>
                          <w:top w:val="single" w:sz="4" w:space="0" w:color="000000"/>
                          <w:left w:val="nil" w:sz="6" w:space="0" w:color="auto"/>
                          <w:bottom w:val="single" w:sz="12" w:space="0" w:color="000000"/>
                          <w:right w:val="nil" w:sz="6" w:space="0" w:color="auto"/>
                        </w:tcBorders>
                      </w:tcPr>
                      <w:p>
                        <w:pPr>
                          <w:pStyle w:val="TableParagraph"/>
                          <w:tabs>
                            <w:tab w:pos="2518" w:val="left" w:leader="none"/>
                          </w:tabs>
                          <w:spacing w:line="240" w:lineRule="auto" w:before="27"/>
                          <w:ind w:left="108" w:right="0"/>
                          <w:jc w:val="left"/>
                          <w:rPr>
                            <w:rFonts w:ascii="Times New Roman" w:hAnsi="Times New Roman" w:cs="Times New Roman" w:eastAsia="Times New Roman" w:hint="default"/>
                            <w:sz w:val="18"/>
                            <w:szCs w:val="18"/>
                          </w:rPr>
                        </w:pPr>
                        <w:r>
                          <w:rPr>
                            <w:rFonts w:ascii="宋体" w:hAnsi="宋体" w:cs="宋体" w:eastAsia="宋体" w:hint="default"/>
                            <w:b/>
                            <w:bCs/>
                            <w:position w:val="1"/>
                            <w:sz w:val="18"/>
                            <w:szCs w:val="18"/>
                          </w:rPr>
                          <w:t>合计</w:t>
                          <w:tab/>
                        </w:r>
                        <w:r>
                          <w:rPr>
                            <w:rFonts w:ascii="Times New Roman" w:hAnsi="Times New Roman" w:cs="Times New Roman" w:eastAsia="Times New Roman" w:hint="default"/>
                            <w:b/>
                            <w:bCs/>
                            <w:sz w:val="18"/>
                            <w:szCs w:val="18"/>
                          </w:rPr>
                          <w:t>7,526,891,320.81</w:t>
                        </w:r>
                        <w:r>
                          <w:rPr>
                            <w:rFonts w:ascii="Times New Roman" w:hAnsi="Times New Roman" w:cs="Times New Roman" w:eastAsia="Times New Roman" w:hint="default"/>
                            <w:sz w:val="18"/>
                            <w:szCs w:val="18"/>
                          </w:rPr>
                        </w:r>
                      </w:p>
                    </w:tc>
                    <w:tc>
                      <w:tcPr>
                        <w:tcW w:w="93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44"/>
                          <w:jc w:val="right"/>
                          <w:rPr>
                            <w:rFonts w:ascii="Times New Roman" w:hAnsi="Times New Roman" w:cs="Times New Roman" w:eastAsia="Times New Roman" w:hint="default"/>
                            <w:sz w:val="18"/>
                            <w:szCs w:val="18"/>
                          </w:rPr>
                        </w:pPr>
                        <w:r>
                          <w:rPr>
                            <w:rFonts w:ascii="Times New Roman"/>
                            <w:b/>
                            <w:spacing w:val="-1"/>
                            <w:sz w:val="18"/>
                          </w:rPr>
                          <w:t>100.00%</w:t>
                        </w:r>
                        <w:r>
                          <w:rPr>
                            <w:rFonts w:ascii="Times New Roman"/>
                            <w:spacing w:val="-1"/>
                            <w:sz w:val="18"/>
                          </w:rPr>
                        </w:r>
                      </w:p>
                    </w:tc>
                    <w:tc>
                      <w:tcPr>
                        <w:tcW w:w="1456"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145" w:right="0"/>
                          <w:jc w:val="left"/>
                          <w:rPr>
                            <w:rFonts w:ascii="Times New Roman" w:hAnsi="Times New Roman" w:cs="Times New Roman" w:eastAsia="Times New Roman" w:hint="default"/>
                            <w:sz w:val="18"/>
                            <w:szCs w:val="18"/>
                          </w:rPr>
                        </w:pPr>
                        <w:r>
                          <w:rPr>
                            <w:rFonts w:ascii="Times New Roman"/>
                            <w:b/>
                            <w:sz w:val="18"/>
                          </w:rPr>
                          <w:t>746,132,332.73</w:t>
                        </w:r>
                        <w:r>
                          <w:rPr>
                            <w:rFonts w:ascii="Times New Roman"/>
                            <w:sz w:val="18"/>
                          </w:rPr>
                        </w:r>
                      </w:p>
                    </w:tc>
                    <w:tc>
                      <w:tcPr>
                        <w:tcW w:w="89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58"/>
                          <w:jc w:val="right"/>
                          <w:rPr>
                            <w:rFonts w:ascii="Times New Roman" w:hAnsi="Times New Roman" w:cs="Times New Roman" w:eastAsia="Times New Roman" w:hint="default"/>
                            <w:sz w:val="18"/>
                            <w:szCs w:val="18"/>
                          </w:rPr>
                        </w:pPr>
                        <w:r>
                          <w:rPr>
                            <w:rFonts w:ascii="Times New Roman"/>
                            <w:b/>
                            <w:sz w:val="18"/>
                          </w:rPr>
                          <w:t>9.91%</w:t>
                        </w:r>
                        <w:r>
                          <w:rPr>
                            <w:rFonts w:ascii="Times New Roman"/>
                            <w:sz w:val="18"/>
                          </w:rPr>
                        </w:r>
                      </w:p>
                    </w:tc>
                    <w:tc>
                      <w:tcPr>
                        <w:tcW w:w="1551"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6,780,758,988.08</w:t>
                        </w:r>
                        <w:r>
                          <w:rPr>
                            <w:rFonts w:ascii="Times New Roman"/>
                            <w:spacing w:val="-1"/>
                            <w:sz w:val="18"/>
                          </w:rPr>
                        </w:r>
                      </w:p>
                    </w:tc>
                  </w:tr>
                  <w:tr>
                    <w:trPr>
                      <w:trHeight w:val="815" w:hRule="exact"/>
                    </w:trPr>
                    <w:tc>
                      <w:tcPr>
                        <w:tcW w:w="8726"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96"/>
                          <w:ind w:left="561" w:right="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r>
                        <w:r>
                          <w:rPr>
                            <w:rFonts w:ascii="Times New Roman" w:hAnsi="Times New Roman" w:cs="Times New Roman" w:eastAsia="Times New Roman" w:hint="default"/>
                            <w:b/>
                            <w:bCs/>
                            <w:spacing w:val="7"/>
                            <w:sz w:val="22"/>
                            <w:szCs w:val="22"/>
                          </w:rPr>
                          <w:t> </w:t>
                        </w:r>
                        <w:r>
                          <w:rPr>
                            <w:rFonts w:ascii="宋体" w:hAnsi="宋体" w:cs="宋体" w:eastAsia="宋体" w:hint="default"/>
                            <w:sz w:val="22"/>
                            <w:szCs w:val="22"/>
                          </w:rPr>
                          <w:t>组合中，按账龄分析法计提坏账准备的应收账款</w:t>
                        </w:r>
                      </w:p>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761"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157"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156" w:lineRule="exact"/>
                          <w:ind w:left="108" w:right="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3111" w:type="dxa"/>
                        <w:gridSpan w:val="2"/>
                        <w:tcBorders>
                          <w:top w:val="nil" w:sz="6" w:space="0" w:color="auto"/>
                          <w:left w:val="nil" w:sz="6" w:space="0" w:color="auto"/>
                          <w:bottom w:val="nil" w:sz="6" w:space="0" w:color="auto"/>
                          <w:right w:val="nil" w:sz="6" w:space="0" w:color="auto"/>
                        </w:tcBorders>
                      </w:tcPr>
                      <w:p>
                        <w:pPr/>
                      </w:p>
                    </w:tc>
                    <w:tc>
                      <w:tcPr>
                        <w:tcW w:w="1456" w:type="dxa"/>
                        <w:tcBorders>
                          <w:top w:val="nil" w:sz="6" w:space="0" w:color="auto"/>
                          <w:left w:val="nil" w:sz="6" w:space="0" w:color="auto"/>
                          <w:bottom w:val="nil" w:sz="6" w:space="0" w:color="auto"/>
                          <w:right w:val="nil" w:sz="6" w:space="0" w:color="auto"/>
                        </w:tcBorders>
                      </w:tcPr>
                      <w:p>
                        <w:pPr/>
                      </w:p>
                    </w:tc>
                    <w:tc>
                      <w:tcPr>
                        <w:tcW w:w="2443" w:type="dxa"/>
                        <w:gridSpan w:val="2"/>
                        <w:tcBorders>
                          <w:top w:val="nil" w:sz="6" w:space="0" w:color="auto"/>
                          <w:left w:val="nil" w:sz="6" w:space="0" w:color="auto"/>
                          <w:bottom w:val="nil" w:sz="6" w:space="0" w:color="auto"/>
                          <w:right w:val="nil" w:sz="6" w:space="0" w:color="auto"/>
                        </w:tcBorders>
                      </w:tcPr>
                      <w:p>
                        <w:pPr/>
                      </w:p>
                    </w:tc>
                  </w:tr>
                  <w:tr>
                    <w:trPr>
                      <w:trHeight w:val="216" w:hRule="exact"/>
                    </w:trPr>
                    <w:tc>
                      <w:tcPr>
                        <w:tcW w:w="1715" w:type="dxa"/>
                        <w:tcBorders>
                          <w:top w:val="nil" w:sz="6" w:space="0" w:color="auto"/>
                          <w:left w:val="nil" w:sz="6" w:space="0" w:color="auto"/>
                          <w:bottom w:val="single" w:sz="4" w:space="0" w:color="000000"/>
                          <w:right w:val="nil" w:sz="6" w:space="0" w:color="auto"/>
                        </w:tcBorders>
                      </w:tcPr>
                      <w:p>
                        <w:pPr/>
                      </w:p>
                    </w:tc>
                    <w:tc>
                      <w:tcPr>
                        <w:tcW w:w="3111" w:type="dxa"/>
                        <w:gridSpan w:val="2"/>
                        <w:tcBorders>
                          <w:top w:val="nil" w:sz="6" w:space="0" w:color="auto"/>
                          <w:left w:val="nil" w:sz="6" w:space="0" w:color="auto"/>
                          <w:bottom w:val="single" w:sz="4" w:space="0" w:color="000000"/>
                          <w:right w:val="nil" w:sz="6" w:space="0" w:color="auto"/>
                        </w:tcBorders>
                      </w:tcPr>
                      <w:p>
                        <w:pPr>
                          <w:pStyle w:val="TableParagraph"/>
                          <w:spacing w:line="181" w:lineRule="exact"/>
                          <w:ind w:left="930" w:right="0"/>
                          <w:jc w:val="left"/>
                          <w:rPr>
                            <w:rFonts w:ascii="宋体" w:hAnsi="宋体" w:cs="宋体" w:eastAsia="宋体" w:hint="default"/>
                            <w:sz w:val="18"/>
                            <w:szCs w:val="18"/>
                          </w:rPr>
                        </w:pPr>
                        <w:r>
                          <w:rPr>
                            <w:rFonts w:ascii="宋体" w:hAnsi="宋体" w:cs="宋体" w:eastAsia="宋体" w:hint="default"/>
                            <w:b/>
                            <w:bCs/>
                            <w:sz w:val="18"/>
                            <w:szCs w:val="18"/>
                          </w:rPr>
                          <w:t>应收账款</w:t>
                        </w:r>
                        <w:r>
                          <w:rPr>
                            <w:rFonts w:ascii="宋体" w:hAnsi="宋体" w:cs="宋体" w:eastAsia="宋体" w:hint="default"/>
                            <w:sz w:val="18"/>
                            <w:szCs w:val="18"/>
                          </w:rPr>
                        </w:r>
                      </w:p>
                    </w:tc>
                    <w:tc>
                      <w:tcPr>
                        <w:tcW w:w="1456" w:type="dxa"/>
                        <w:tcBorders>
                          <w:top w:val="nil" w:sz="6" w:space="0" w:color="auto"/>
                          <w:left w:val="nil" w:sz="6" w:space="0" w:color="auto"/>
                          <w:bottom w:val="single" w:sz="4" w:space="0" w:color="000000"/>
                          <w:right w:val="nil" w:sz="6" w:space="0" w:color="auto"/>
                        </w:tcBorders>
                      </w:tcPr>
                      <w:p>
                        <w:pPr>
                          <w:pStyle w:val="TableParagraph"/>
                          <w:spacing w:line="181" w:lineRule="exact"/>
                          <w:ind w:left="351" w:right="0"/>
                          <w:jc w:val="left"/>
                          <w:rPr>
                            <w:rFonts w:ascii="宋体" w:hAnsi="宋体" w:cs="宋体" w:eastAsia="宋体" w:hint="default"/>
                            <w:sz w:val="18"/>
                            <w:szCs w:val="18"/>
                          </w:rPr>
                        </w:pPr>
                        <w:r>
                          <w:rPr>
                            <w:rFonts w:ascii="宋体" w:hAnsi="宋体" w:cs="宋体" w:eastAsia="宋体" w:hint="default"/>
                            <w:b/>
                            <w:bCs/>
                            <w:sz w:val="18"/>
                            <w:szCs w:val="18"/>
                          </w:rPr>
                          <w:t>比重</w:t>
                        </w:r>
                        <w:r>
                          <w:rPr>
                            <w:rFonts w:ascii="宋体" w:hAnsi="宋体" w:cs="宋体" w:eastAsia="宋体" w:hint="default"/>
                            <w:sz w:val="18"/>
                            <w:szCs w:val="18"/>
                          </w:rPr>
                        </w:r>
                      </w:p>
                    </w:tc>
                    <w:tc>
                      <w:tcPr>
                        <w:tcW w:w="2443" w:type="dxa"/>
                        <w:gridSpan w:val="2"/>
                        <w:tcBorders>
                          <w:top w:val="nil" w:sz="6" w:space="0" w:color="auto"/>
                          <w:left w:val="nil" w:sz="6" w:space="0" w:color="auto"/>
                          <w:bottom w:val="single" w:sz="4" w:space="0" w:color="000000"/>
                          <w:right w:val="nil" w:sz="6" w:space="0" w:color="auto"/>
                        </w:tcBorders>
                      </w:tcPr>
                      <w:p>
                        <w:pPr>
                          <w:pStyle w:val="TableParagraph"/>
                          <w:spacing w:line="181" w:lineRule="exact"/>
                          <w:ind w:left="953"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323" w:hRule="exact"/>
                    </w:trPr>
                    <w:tc>
                      <w:tcPr>
                        <w:tcW w:w="1715"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3111"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72"/>
                          <w:ind w:left="1165" w:right="0"/>
                          <w:jc w:val="left"/>
                          <w:rPr>
                            <w:rFonts w:ascii="Times New Roman" w:hAnsi="Times New Roman" w:cs="Times New Roman" w:eastAsia="Times New Roman" w:hint="default"/>
                            <w:sz w:val="18"/>
                            <w:szCs w:val="18"/>
                          </w:rPr>
                        </w:pPr>
                        <w:r>
                          <w:rPr>
                            <w:rFonts w:ascii="Times New Roman"/>
                            <w:sz w:val="18"/>
                          </w:rPr>
                          <w:t>6,361,009,879.03</w:t>
                        </w:r>
                      </w:p>
                    </w:tc>
                    <w:tc>
                      <w:tcPr>
                        <w:tcW w:w="1456"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left="255" w:right="0"/>
                          <w:jc w:val="left"/>
                          <w:rPr>
                            <w:rFonts w:ascii="Times New Roman" w:hAnsi="Times New Roman" w:cs="Times New Roman" w:eastAsia="Times New Roman" w:hint="default"/>
                            <w:sz w:val="18"/>
                            <w:szCs w:val="18"/>
                          </w:rPr>
                        </w:pPr>
                        <w:r>
                          <w:rPr>
                            <w:rFonts w:ascii="Times New Roman"/>
                            <w:sz w:val="18"/>
                          </w:rPr>
                          <w:t>71.86%</w:t>
                        </w:r>
                      </w:p>
                    </w:tc>
                    <w:tc>
                      <w:tcPr>
                        <w:tcW w:w="2443"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72"/>
                          <w:ind w:left="1298" w:right="0"/>
                          <w:jc w:val="left"/>
                          <w:rPr>
                            <w:rFonts w:ascii="Times New Roman" w:hAnsi="Times New Roman" w:cs="Times New Roman" w:eastAsia="Times New Roman" w:hint="default"/>
                            <w:sz w:val="18"/>
                            <w:szCs w:val="18"/>
                          </w:rPr>
                        </w:pPr>
                        <w:r>
                          <w:rPr>
                            <w:rFonts w:ascii="Times New Roman"/>
                            <w:sz w:val="18"/>
                          </w:rPr>
                          <w:t>67,138,039.50</w:t>
                        </w:r>
                      </w:p>
                    </w:tc>
                  </w:tr>
                  <w:tr>
                    <w:trPr>
                      <w:trHeight w:val="286"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37"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9"/>
                          <w:ind w:left="1299" w:right="0"/>
                          <w:jc w:val="left"/>
                          <w:rPr>
                            <w:rFonts w:ascii="Times New Roman" w:hAnsi="Times New Roman" w:cs="Times New Roman" w:eastAsia="Times New Roman" w:hint="default"/>
                            <w:sz w:val="18"/>
                            <w:szCs w:val="18"/>
                          </w:rPr>
                        </w:pPr>
                        <w:r>
                          <w:rPr>
                            <w:rFonts w:ascii="Times New Roman"/>
                            <w:sz w:val="18"/>
                          </w:rPr>
                          <w:t>884,019,679.41</w:t>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98" w:right="0"/>
                          <w:jc w:val="left"/>
                          <w:rPr>
                            <w:rFonts w:ascii="Times New Roman" w:hAnsi="Times New Roman" w:cs="Times New Roman" w:eastAsia="Times New Roman" w:hint="default"/>
                            <w:sz w:val="18"/>
                            <w:szCs w:val="18"/>
                          </w:rPr>
                        </w:pPr>
                        <w:r>
                          <w:rPr>
                            <w:rFonts w:ascii="Times New Roman"/>
                            <w:sz w:val="18"/>
                          </w:rPr>
                          <w:t>9.99%</w:t>
                        </w:r>
                      </w:p>
                    </w:tc>
                    <w:tc>
                      <w:tcPr>
                        <w:tcW w:w="244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9"/>
                          <w:ind w:left="1298" w:right="0"/>
                          <w:jc w:val="left"/>
                          <w:rPr>
                            <w:rFonts w:ascii="Times New Roman" w:hAnsi="Times New Roman" w:cs="Times New Roman" w:eastAsia="Times New Roman" w:hint="default"/>
                            <w:sz w:val="18"/>
                            <w:szCs w:val="18"/>
                          </w:rPr>
                        </w:pPr>
                        <w:r>
                          <w:rPr>
                            <w:rFonts w:ascii="Times New Roman"/>
                            <w:sz w:val="18"/>
                          </w:rPr>
                          <w:t>45,247,772.76</w:t>
                        </w:r>
                      </w:p>
                    </w:tc>
                  </w:tr>
                  <w:tr>
                    <w:trPr>
                      <w:trHeight w:val="285"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37"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9"/>
                          <w:ind w:left="1299" w:right="0"/>
                          <w:jc w:val="left"/>
                          <w:rPr>
                            <w:rFonts w:ascii="Times New Roman" w:hAnsi="Times New Roman" w:cs="Times New Roman" w:eastAsia="Times New Roman" w:hint="default"/>
                            <w:sz w:val="18"/>
                            <w:szCs w:val="18"/>
                          </w:rPr>
                        </w:pPr>
                        <w:r>
                          <w:rPr>
                            <w:rFonts w:ascii="Times New Roman"/>
                            <w:sz w:val="18"/>
                          </w:rPr>
                          <w:t>764,837,567.89</w:t>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98" w:right="0"/>
                          <w:jc w:val="left"/>
                          <w:rPr>
                            <w:rFonts w:ascii="Times New Roman" w:hAnsi="Times New Roman" w:cs="Times New Roman" w:eastAsia="Times New Roman" w:hint="default"/>
                            <w:sz w:val="18"/>
                            <w:szCs w:val="18"/>
                          </w:rPr>
                        </w:pPr>
                        <w:r>
                          <w:rPr>
                            <w:rFonts w:ascii="Times New Roman"/>
                            <w:sz w:val="18"/>
                          </w:rPr>
                          <w:t>8.64%</w:t>
                        </w:r>
                      </w:p>
                    </w:tc>
                    <w:tc>
                      <w:tcPr>
                        <w:tcW w:w="244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9"/>
                          <w:ind w:left="1207" w:right="0"/>
                          <w:jc w:val="left"/>
                          <w:rPr>
                            <w:rFonts w:ascii="Times New Roman" w:hAnsi="Times New Roman" w:cs="Times New Roman" w:eastAsia="Times New Roman" w:hint="default"/>
                            <w:sz w:val="18"/>
                            <w:szCs w:val="18"/>
                          </w:rPr>
                        </w:pPr>
                        <w:r>
                          <w:rPr>
                            <w:rFonts w:ascii="Times New Roman"/>
                            <w:sz w:val="18"/>
                          </w:rPr>
                          <w:t>114,725,635.18</w:t>
                        </w:r>
                      </w:p>
                    </w:tc>
                  </w:tr>
                  <w:tr>
                    <w:trPr>
                      <w:trHeight w:val="286"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36"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1"/>
                          <w:ind w:left="1299" w:right="0"/>
                          <w:jc w:val="left"/>
                          <w:rPr>
                            <w:rFonts w:ascii="Times New Roman" w:hAnsi="Times New Roman" w:cs="Times New Roman" w:eastAsia="Times New Roman" w:hint="default"/>
                            <w:sz w:val="18"/>
                            <w:szCs w:val="18"/>
                          </w:rPr>
                        </w:pPr>
                        <w:r>
                          <w:rPr>
                            <w:rFonts w:ascii="Times New Roman"/>
                            <w:sz w:val="18"/>
                          </w:rPr>
                          <w:t>200,096,165.09</w:t>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98" w:right="0"/>
                          <w:jc w:val="left"/>
                          <w:rPr>
                            <w:rFonts w:ascii="Times New Roman" w:hAnsi="Times New Roman" w:cs="Times New Roman" w:eastAsia="Times New Roman" w:hint="default"/>
                            <w:sz w:val="18"/>
                            <w:szCs w:val="18"/>
                          </w:rPr>
                        </w:pPr>
                        <w:r>
                          <w:rPr>
                            <w:rFonts w:ascii="Times New Roman"/>
                            <w:sz w:val="18"/>
                          </w:rPr>
                          <w:t>2.26%</w:t>
                        </w:r>
                      </w:p>
                    </w:tc>
                    <w:tc>
                      <w:tcPr>
                        <w:tcW w:w="244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1"/>
                          <w:ind w:left="1298" w:right="0"/>
                          <w:jc w:val="left"/>
                          <w:rPr>
                            <w:rFonts w:ascii="Times New Roman" w:hAnsi="Times New Roman" w:cs="Times New Roman" w:eastAsia="Times New Roman" w:hint="default"/>
                            <w:sz w:val="18"/>
                            <w:szCs w:val="18"/>
                          </w:rPr>
                        </w:pPr>
                        <w:r>
                          <w:rPr>
                            <w:rFonts w:ascii="Times New Roman"/>
                            <w:sz w:val="18"/>
                          </w:rPr>
                          <w:t>60,028,849.53</w:t>
                        </w:r>
                      </w:p>
                    </w:tc>
                  </w:tr>
                  <w:tr>
                    <w:trPr>
                      <w:trHeight w:val="284"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8"/>
                          <w:ind w:left="1299" w:right="0"/>
                          <w:jc w:val="left"/>
                          <w:rPr>
                            <w:rFonts w:ascii="Times New Roman" w:hAnsi="Times New Roman" w:cs="Times New Roman" w:eastAsia="Times New Roman" w:hint="default"/>
                            <w:sz w:val="18"/>
                            <w:szCs w:val="18"/>
                          </w:rPr>
                        </w:pPr>
                        <w:r>
                          <w:rPr>
                            <w:rFonts w:ascii="Times New Roman"/>
                            <w:sz w:val="18"/>
                          </w:rPr>
                          <w:t>170,447,644.75</w:t>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98" w:right="0"/>
                          <w:jc w:val="left"/>
                          <w:rPr>
                            <w:rFonts w:ascii="Times New Roman" w:hAnsi="Times New Roman" w:cs="Times New Roman" w:eastAsia="Times New Roman" w:hint="default"/>
                            <w:sz w:val="18"/>
                            <w:szCs w:val="18"/>
                          </w:rPr>
                        </w:pPr>
                        <w:r>
                          <w:rPr>
                            <w:rFonts w:ascii="Times New Roman"/>
                            <w:sz w:val="18"/>
                          </w:rPr>
                          <w:t>1.92%</w:t>
                        </w:r>
                      </w:p>
                    </w:tc>
                    <w:tc>
                      <w:tcPr>
                        <w:tcW w:w="244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8"/>
                          <w:ind w:left="1298" w:right="0"/>
                          <w:jc w:val="left"/>
                          <w:rPr>
                            <w:rFonts w:ascii="Times New Roman" w:hAnsi="Times New Roman" w:cs="Times New Roman" w:eastAsia="Times New Roman" w:hint="default"/>
                            <w:sz w:val="18"/>
                            <w:szCs w:val="18"/>
                          </w:rPr>
                        </w:pPr>
                        <w:r>
                          <w:rPr>
                            <w:rFonts w:ascii="Times New Roman"/>
                            <w:sz w:val="18"/>
                          </w:rPr>
                          <w:t>85,223,822.38</w:t>
                        </w:r>
                      </w:p>
                    </w:tc>
                  </w:tr>
                  <w:tr>
                    <w:trPr>
                      <w:trHeight w:val="255" w:hRule="exact"/>
                    </w:trPr>
                    <w:tc>
                      <w:tcPr>
                        <w:tcW w:w="1715" w:type="dxa"/>
                        <w:tcBorders>
                          <w:top w:val="nil" w:sz="6" w:space="0" w:color="auto"/>
                          <w:left w:val="nil" w:sz="6" w:space="0" w:color="auto"/>
                          <w:bottom w:val="single" w:sz="4" w:space="0" w:color="000000"/>
                          <w:right w:val="nil" w:sz="6" w:space="0" w:color="auto"/>
                        </w:tcBorders>
                      </w:tcPr>
                      <w:p>
                        <w:pPr>
                          <w:pStyle w:val="TableParagraph"/>
                          <w:spacing w:line="237"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11" w:type="dxa"/>
                        <w:gridSpan w:val="2"/>
                        <w:tcBorders>
                          <w:top w:val="nil" w:sz="6" w:space="0" w:color="auto"/>
                          <w:left w:val="nil" w:sz="6" w:space="0" w:color="auto"/>
                          <w:bottom w:val="single" w:sz="4" w:space="0" w:color="000000"/>
                          <w:right w:val="nil" w:sz="6" w:space="0" w:color="auto"/>
                        </w:tcBorders>
                      </w:tcPr>
                      <w:p>
                        <w:pPr>
                          <w:pStyle w:val="TableParagraph"/>
                          <w:spacing w:line="240" w:lineRule="auto" w:before="39"/>
                          <w:ind w:left="1299" w:right="0"/>
                          <w:jc w:val="left"/>
                          <w:rPr>
                            <w:rFonts w:ascii="Times New Roman" w:hAnsi="Times New Roman" w:cs="Times New Roman" w:eastAsia="Times New Roman" w:hint="default"/>
                            <w:sz w:val="18"/>
                            <w:szCs w:val="18"/>
                          </w:rPr>
                        </w:pPr>
                        <w:r>
                          <w:rPr>
                            <w:rFonts w:ascii="Times New Roman"/>
                            <w:sz w:val="18"/>
                          </w:rPr>
                          <w:t>471,455,849.76</w:t>
                        </w:r>
                      </w:p>
                    </w:tc>
                    <w:tc>
                      <w:tcPr>
                        <w:tcW w:w="1456"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left="298" w:right="0"/>
                          <w:jc w:val="left"/>
                          <w:rPr>
                            <w:rFonts w:ascii="Times New Roman" w:hAnsi="Times New Roman" w:cs="Times New Roman" w:eastAsia="Times New Roman" w:hint="default"/>
                            <w:sz w:val="18"/>
                            <w:szCs w:val="18"/>
                          </w:rPr>
                        </w:pPr>
                        <w:r>
                          <w:rPr>
                            <w:rFonts w:ascii="Times New Roman"/>
                            <w:sz w:val="18"/>
                          </w:rPr>
                          <w:t>5.33%</w:t>
                        </w:r>
                      </w:p>
                    </w:tc>
                    <w:tc>
                      <w:tcPr>
                        <w:tcW w:w="2443" w:type="dxa"/>
                        <w:gridSpan w:val="2"/>
                        <w:tcBorders>
                          <w:top w:val="nil" w:sz="6" w:space="0" w:color="auto"/>
                          <w:left w:val="nil" w:sz="6" w:space="0" w:color="auto"/>
                          <w:bottom w:val="single" w:sz="4" w:space="0" w:color="000000"/>
                          <w:right w:val="nil" w:sz="6" w:space="0" w:color="auto"/>
                        </w:tcBorders>
                      </w:tcPr>
                      <w:p>
                        <w:pPr>
                          <w:pStyle w:val="TableParagraph"/>
                          <w:spacing w:line="240" w:lineRule="auto" w:before="39"/>
                          <w:ind w:left="1207" w:right="0"/>
                          <w:jc w:val="left"/>
                          <w:rPr>
                            <w:rFonts w:ascii="Times New Roman" w:hAnsi="Times New Roman" w:cs="Times New Roman" w:eastAsia="Times New Roman" w:hint="default"/>
                            <w:sz w:val="18"/>
                            <w:szCs w:val="18"/>
                          </w:rPr>
                        </w:pPr>
                        <w:r>
                          <w:rPr>
                            <w:rFonts w:ascii="Times New Roman"/>
                            <w:sz w:val="18"/>
                          </w:rPr>
                          <w:t>471,455,849.76</w:t>
                        </w:r>
                      </w:p>
                    </w:tc>
                  </w:tr>
                  <w:tr>
                    <w:trPr>
                      <w:trHeight w:val="307" w:hRule="exact"/>
                    </w:trPr>
                    <w:tc>
                      <w:tcPr>
                        <w:tcW w:w="1715"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111" w:type="dxa"/>
                        <w:gridSpan w:val="2"/>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1165" w:right="0"/>
                          <w:jc w:val="left"/>
                          <w:rPr>
                            <w:rFonts w:ascii="Times New Roman" w:hAnsi="Times New Roman" w:cs="Times New Roman" w:eastAsia="Times New Roman" w:hint="default"/>
                            <w:sz w:val="18"/>
                            <w:szCs w:val="18"/>
                          </w:rPr>
                        </w:pPr>
                        <w:r>
                          <w:rPr>
                            <w:rFonts w:ascii="Times New Roman"/>
                            <w:b/>
                            <w:sz w:val="18"/>
                          </w:rPr>
                          <w:t>8,851,866,785.93</w:t>
                        </w:r>
                        <w:r>
                          <w:rPr>
                            <w:rFonts w:ascii="Times New Roman"/>
                            <w:sz w:val="18"/>
                          </w:rPr>
                        </w:r>
                      </w:p>
                    </w:tc>
                    <w:tc>
                      <w:tcPr>
                        <w:tcW w:w="1456"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195" w:right="0"/>
                          <w:jc w:val="lef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2443" w:type="dxa"/>
                        <w:gridSpan w:val="2"/>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1207" w:right="0"/>
                          <w:jc w:val="left"/>
                          <w:rPr>
                            <w:rFonts w:ascii="Times New Roman" w:hAnsi="Times New Roman" w:cs="Times New Roman" w:eastAsia="Times New Roman" w:hint="default"/>
                            <w:sz w:val="18"/>
                            <w:szCs w:val="18"/>
                          </w:rPr>
                        </w:pPr>
                        <w:r>
                          <w:rPr>
                            <w:rFonts w:ascii="Times New Roman"/>
                            <w:b/>
                            <w:sz w:val="18"/>
                          </w:rPr>
                          <w:t>843,819,969.11</w:t>
                        </w:r>
                        <w:r>
                          <w:rPr>
                            <w:rFonts w:ascii="Times New Roman"/>
                            <w:sz w:val="18"/>
                          </w:rPr>
                        </w:r>
                      </w:p>
                    </w:tc>
                  </w:tr>
                </w:tbl>
                <w:p>
                  <w:pPr/>
                </w:p>
              </w:txbxContent>
            </v:textbox>
            <w10:wrap type="none"/>
          </v:shape>
        </w:pict>
      </w:r>
      <w:r>
        <w:rPr>
          <w:rFonts w:ascii="宋体" w:hAnsi="宋体" w:cs="宋体" w:eastAsia="宋体" w:hint="default"/>
          <w:spacing w:val="15"/>
          <w:sz w:val="18"/>
          <w:szCs w:val="18"/>
        </w:rPr>
        <w:t>单项金额重大并单项计提</w:t>
      </w:r>
    </w:p>
    <w:p>
      <w:pPr>
        <w:spacing w:before="23"/>
        <w:ind w:left="2481" w:right="0" w:firstLine="0"/>
        <w:jc w:val="left"/>
        <w:rPr>
          <w:rFonts w:ascii="宋体" w:hAnsi="宋体" w:cs="宋体" w:eastAsia="宋体" w:hint="default"/>
          <w:sz w:val="18"/>
          <w:szCs w:val="18"/>
        </w:rPr>
      </w:pPr>
      <w:r>
        <w:rPr/>
        <w:br w:type="column"/>
      </w:r>
      <w:r>
        <w:rPr>
          <w:rFonts w:ascii="宋体" w:hAnsi="宋体" w:cs="宋体" w:eastAsia="宋体" w:hint="default"/>
          <w:b/>
          <w:bCs/>
          <w:sz w:val="18"/>
          <w:szCs w:val="18"/>
        </w:rPr>
        <w:t>年初余额</w:t>
      </w:r>
      <w:r>
        <w:rPr>
          <w:rFonts w:ascii="宋体" w:hAnsi="宋体" w:cs="宋体" w:eastAsia="宋体" w:hint="default"/>
          <w:sz w:val="18"/>
          <w:szCs w:val="18"/>
        </w:rPr>
      </w:r>
    </w:p>
    <w:p>
      <w:pPr>
        <w:tabs>
          <w:tab w:pos="2935" w:val="left" w:leader="none"/>
        </w:tabs>
        <w:spacing w:before="59"/>
        <w:ind w:left="513" w:right="0" w:firstLine="0"/>
        <w:jc w:val="left"/>
        <w:rPr>
          <w:rFonts w:ascii="宋体" w:hAnsi="宋体" w:cs="宋体" w:eastAsia="宋体" w:hint="default"/>
          <w:sz w:val="18"/>
          <w:szCs w:val="18"/>
        </w:rPr>
      </w:pPr>
      <w:r>
        <w:rPr/>
        <w:pict>
          <v:group style="position:absolute;margin-left:198.289993pt;margin-top:1.461715pt;width:317.95pt;height:.5pt;mso-position-horizontal-relative:page;mso-position-vertical-relative:paragraph;z-index:1408" coordorigin="3966,29" coordsize="6359,10">
            <v:group style="position:absolute;left:3971;top:34;width:2410;height:2" coordorigin="3971,34" coordsize="2410,2">
              <v:shape style="position:absolute;left:3971;top:34;width:2410;height:2" coordorigin="3971,34" coordsize="2410,0" path="m3971,34l6381,34e" filled="false" stroked="true" strokeweight=".48001pt" strokecolor="#000000">
                <v:path arrowok="t"/>
              </v:shape>
            </v:group>
            <v:group style="position:absolute;left:6381;top:34;width:10;height:2" coordorigin="6381,34" coordsize="10,2">
              <v:shape style="position:absolute;left:6381;top:34;width:10;height:2" coordorigin="6381,34" coordsize="10,0" path="m6381,34l6390,34e" filled="false" stroked="true" strokeweight=".48001pt" strokecolor="#000000">
                <v:path arrowok="t"/>
              </v:shape>
            </v:group>
            <v:group style="position:absolute;left:6390;top:34;width:2425;height:2" coordorigin="6390,34" coordsize="2425,2">
              <v:shape style="position:absolute;left:6390;top:34;width:2425;height:2" coordorigin="6390,34" coordsize="2425,0" path="m6390,34l8815,34e" filled="false" stroked="true" strokeweight=".48001pt" strokecolor="#000000">
                <v:path arrowok="t"/>
              </v:shape>
            </v:group>
            <v:group style="position:absolute;left:8815;top:34;width:10;height:2" coordorigin="8815,34" coordsize="10,2">
              <v:shape style="position:absolute;left:8815;top:34;width:10;height:2" coordorigin="8815,34" coordsize="10,0" path="m8815,34l8824,34e" filled="false" stroked="true" strokeweight=".48001pt" strokecolor="#000000">
                <v:path arrowok="t"/>
              </v:shape>
            </v:group>
            <v:group style="position:absolute;left:8824;top:34;width:1496;height:2" coordorigin="8824,34" coordsize="1496,2">
              <v:shape style="position:absolute;left:8824;top:34;width:1496;height:2" coordorigin="8824,34" coordsize="1496,0" path="m8824,34l10320,34e" filled="false" stroked="true" strokeweight=".48001pt" strokecolor="#000000">
                <v:path arrowok="t"/>
              </v:shape>
            </v:group>
            <w10:wrap type="none"/>
          </v:group>
        </w:pict>
      </w:r>
      <w:r>
        <w:rPr/>
        <w:pict>
          <v:group style="position:absolute;margin-left:198.290009pt;margin-top:16.101746pt;width:242.7pt;height:.5pt;mso-position-horizontal-relative:page;mso-position-vertical-relative:paragraph;z-index:1432" coordorigin="3966,322" coordsize="4854,10">
            <v:group style="position:absolute;left:3971;top:327;width:1512;height:2" coordorigin="3971,327" coordsize="1512,2">
              <v:shape style="position:absolute;left:3971;top:327;width:1512;height:2" coordorigin="3971,327" coordsize="1512,0" path="m3971,327l5483,327e" filled="false" stroked="true" strokeweight=".47998pt" strokecolor="#000000">
                <v:path arrowok="t"/>
              </v:shape>
            </v:group>
            <v:group style="position:absolute;left:5483;top:327;width:10;height:2" coordorigin="5483,327" coordsize="10,2">
              <v:shape style="position:absolute;left:5483;top:327;width:10;height:2" coordorigin="5483,327" coordsize="10,0" path="m5483,327l5492,327e" filled="false" stroked="true" strokeweight=".47998pt" strokecolor="#000000">
                <v:path arrowok="t"/>
              </v:shape>
            </v:group>
            <v:group style="position:absolute;left:5492;top:327;width:889;height:2" coordorigin="5492,327" coordsize="889,2">
              <v:shape style="position:absolute;left:5492;top:327;width:889;height:2" coordorigin="5492,327" coordsize="889,0" path="m5492,327l6381,327e" filled="false" stroked="true" strokeweight=".47998pt" strokecolor="#000000">
                <v:path arrowok="t"/>
              </v:shape>
            </v:group>
            <v:group style="position:absolute;left:6381;top:327;width:10;height:2" coordorigin="6381,327" coordsize="10,2">
              <v:shape style="position:absolute;left:6381;top:327;width:10;height:2" coordorigin="6381,327" coordsize="10,0" path="m6381,327l6390,327e" filled="false" stroked="true" strokeweight=".47998pt" strokecolor="#000000">
                <v:path arrowok="t"/>
              </v:shape>
            </v:group>
            <v:group style="position:absolute;left:6390;top:327;width:1409;height:2" coordorigin="6390,327" coordsize="1409,2">
              <v:shape style="position:absolute;left:6390;top:327;width:1409;height:2" coordorigin="6390,327" coordsize="1409,0" path="m6390,327l7799,327e" filled="false" stroked="true" strokeweight=".47998pt" strokecolor="#000000">
                <v:path arrowok="t"/>
              </v:shape>
            </v:group>
            <v:group style="position:absolute;left:7799;top:327;width:10;height:2" coordorigin="7799,327" coordsize="10,2">
              <v:shape style="position:absolute;left:7799;top:327;width:10;height:2" coordorigin="7799,327" coordsize="10,0" path="m7799,327l7809,327e" filled="false" stroked="true" strokeweight=".47998pt" strokecolor="#000000">
                <v:path arrowok="t"/>
              </v:shape>
            </v:group>
            <v:group style="position:absolute;left:7809;top:327;width:1007;height:2" coordorigin="7809,327" coordsize="1007,2">
              <v:shape style="position:absolute;left:7809;top:327;width:1007;height:2" coordorigin="7809,327" coordsize="1007,0" path="m7809,327l8815,327e" filled="false" stroked="true" strokeweight=".47998pt" strokecolor="#000000">
                <v:path arrowok="t"/>
              </v:shape>
            </v:group>
            <w10:wrap type="none"/>
          </v:group>
        </w:pict>
      </w:r>
      <w:r>
        <w:rPr>
          <w:rFonts w:ascii="宋体" w:hAnsi="宋体" w:cs="宋体" w:eastAsia="宋体" w:hint="default"/>
          <w:b/>
          <w:bCs/>
          <w:w w:val="95"/>
          <w:sz w:val="18"/>
          <w:szCs w:val="18"/>
        </w:rPr>
        <w:t>账面余额</w:t>
        <w:tab/>
      </w:r>
      <w:r>
        <w:rPr>
          <w:rFonts w:ascii="宋体" w:hAnsi="宋体" w:cs="宋体" w:eastAsia="宋体" w:hint="default"/>
          <w:b/>
          <w:bCs/>
          <w:sz w:val="18"/>
          <w:szCs w:val="18"/>
        </w:rPr>
        <w:t>坏账准备</w:t>
      </w:r>
      <w:r>
        <w:rPr>
          <w:rFonts w:ascii="宋体" w:hAnsi="宋体" w:cs="宋体" w:eastAsia="宋体" w:hint="default"/>
          <w:sz w:val="18"/>
          <w:szCs w:val="18"/>
        </w:rPr>
      </w:r>
    </w:p>
    <w:p>
      <w:pPr>
        <w:tabs>
          <w:tab w:pos="1449" w:val="left" w:leader="none"/>
          <w:tab w:pos="2608" w:val="left" w:leader="none"/>
          <w:tab w:pos="3645" w:val="left" w:leader="none"/>
        </w:tabs>
        <w:spacing w:before="59"/>
        <w:ind w:left="242" w:right="0" w:firstLine="0"/>
        <w:jc w:val="left"/>
        <w:rPr>
          <w:rFonts w:ascii="宋体" w:hAnsi="宋体" w:cs="宋体" w:eastAsia="宋体" w:hint="default"/>
          <w:sz w:val="18"/>
          <w:szCs w:val="18"/>
        </w:rPr>
      </w:pPr>
      <w:r>
        <w:rPr>
          <w:rFonts w:ascii="宋体" w:hAnsi="宋体" w:cs="宋体" w:eastAsia="宋体" w:hint="default"/>
          <w:b/>
          <w:bCs/>
          <w:sz w:val="18"/>
          <w:szCs w:val="18"/>
        </w:rPr>
        <w:t>金额</w:t>
        <w:tab/>
        <w:t>比例</w:t>
        <w:tab/>
        <w:t>金额</w:t>
        <w:tab/>
      </w:r>
      <w:r>
        <w:rPr>
          <w:rFonts w:ascii="宋体" w:hAnsi="宋体" w:cs="宋体" w:eastAsia="宋体" w:hint="default"/>
          <w:b/>
          <w:bCs/>
          <w:w w:val="95"/>
          <w:sz w:val="18"/>
          <w:szCs w:val="18"/>
        </w:rPr>
        <w:t>计提比例</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9"/>
        <w:rPr>
          <w:rFonts w:ascii="宋体" w:hAnsi="宋体" w:cs="宋体" w:eastAsia="宋体" w:hint="default"/>
          <w:b/>
          <w:bCs/>
          <w:sz w:val="15"/>
          <w:szCs w:val="15"/>
        </w:rPr>
      </w:pPr>
    </w:p>
    <w:p>
      <w:pPr>
        <w:spacing w:before="0"/>
        <w:ind w:left="242" w:right="0" w:firstLine="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1910" w:h="16840"/>
          <w:pgMar w:top="1020" w:bottom="280" w:left="1460" w:right="1460"/>
          <w:cols w:num="3" w:equalWidth="0">
            <w:col w:w="2398" w:space="441"/>
            <w:col w:w="4368" w:space="296"/>
            <w:col w:w="1487"/>
          </w:cols>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spacing w:line="28" w:lineRule="exact"/>
        <w:ind w:left="119" w:right="0" w:firstLine="0"/>
        <w:rPr>
          <w:rFonts w:ascii="宋体" w:hAnsi="宋体" w:cs="宋体" w:eastAsia="宋体" w:hint="default"/>
          <w:sz w:val="2"/>
          <w:szCs w:val="2"/>
        </w:rPr>
      </w:pPr>
      <w:r>
        <w:rPr>
          <w:rFonts w:ascii="宋体" w:hAnsi="宋体" w:cs="宋体" w:eastAsia="宋体" w:hint="default"/>
          <w:position w:val="0"/>
          <w:sz w:val="2"/>
          <w:szCs w:val="2"/>
        </w:rPr>
        <w:pict>
          <v:group style="width:437.75pt;height:1.45pt;mso-position-horizontal-relative:char;mso-position-vertical-relative:line" coordorigin="0,0" coordsize="8755,29">
            <v:group style="position:absolute;left:14;top:14;width:1767;height:2" coordorigin="14,14" coordsize="1767,2">
              <v:shape style="position:absolute;left:14;top:14;width:1767;height:2" coordorigin="14,14" coordsize="1767,0" path="m14,14l1781,14e" filled="false" stroked="true" strokeweight="1.44pt" strokecolor="#000000">
                <v:path arrowok="t"/>
              </v:shape>
            </v:group>
            <v:group style="position:absolute;left:1781;top:14;width:29;height:2" coordorigin="1781,14" coordsize="29,2">
              <v:shape style="position:absolute;left:1781;top:14;width:29;height:2" coordorigin="1781,14" coordsize="29,0" path="m1781,14l1810,14e" filled="false" stroked="true" strokeweight="1.44pt" strokecolor="#000000">
                <v:path arrowok="t"/>
              </v:shape>
            </v:group>
            <v:group style="position:absolute;left:1810;top:14;width:6931;height:2" coordorigin="1810,14" coordsize="6931,2">
              <v:shape style="position:absolute;left:1810;top:14;width:6931;height:2" coordorigin="1810,14" coordsize="6931,0" path="m1810,14l8740,14e" filled="false" stroked="true" strokeweight="1.44pt" strokecolor="#000000">
                <v:path arrowok="t"/>
              </v:shape>
            </v:group>
          </v:group>
        </w:pict>
      </w:r>
      <w:r>
        <w:rPr>
          <w:rFonts w:ascii="宋体" w:hAnsi="宋体" w:cs="宋体" w:eastAsia="宋体" w:hint="default"/>
          <w:position w:val="0"/>
          <w:sz w:val="2"/>
          <w:szCs w:val="2"/>
        </w:rPr>
      </w:r>
    </w:p>
    <w:p>
      <w:pPr>
        <w:spacing w:line="240" w:lineRule="auto" w:before="12"/>
        <w:rPr>
          <w:rFonts w:ascii="宋体" w:hAnsi="宋体" w:cs="宋体" w:eastAsia="宋体" w:hint="default"/>
          <w:b/>
          <w:bCs/>
          <w:sz w:val="21"/>
          <w:szCs w:val="21"/>
        </w:rPr>
      </w:pPr>
    </w:p>
    <w:p>
      <w:pPr>
        <w:spacing w:line="20" w:lineRule="exact"/>
        <w:ind w:left="1895" w:right="0" w:firstLine="0"/>
        <w:rPr>
          <w:rFonts w:ascii="宋体" w:hAnsi="宋体" w:cs="宋体" w:eastAsia="宋体" w:hint="default"/>
          <w:sz w:val="2"/>
          <w:szCs w:val="2"/>
        </w:rPr>
      </w:pPr>
      <w:r>
        <w:rPr>
          <w:rFonts w:ascii="宋体" w:hAnsi="宋体" w:cs="宋体" w:eastAsia="宋体" w:hint="default"/>
          <w:sz w:val="2"/>
          <w:szCs w:val="2"/>
        </w:rPr>
        <w:pict>
          <v:group style="width:348.45pt;height:.5pt;mso-position-horizontal-relative:char;mso-position-vertical-relative:line" coordorigin="0,0" coordsize="6969,10">
            <v:group style="position:absolute;left:5;top:5;width:2482;height:2" coordorigin="5,5" coordsize="2482,2">
              <v:shape style="position:absolute;left:5;top:5;width:2482;height:2" coordorigin="5,5" coordsize="2482,0" path="m5,5l2487,5e" filled="false" stroked="true" strokeweight=".48004pt" strokecolor="#000000">
                <v:path arrowok="t"/>
              </v:shape>
            </v:group>
            <v:group style="position:absolute;left:2487;top:5;width:10;height:2" coordorigin="2487,5" coordsize="10,2">
              <v:shape style="position:absolute;left:2487;top:5;width:10;height:2" coordorigin="2487,5" coordsize="10,0" path="m2487,5l2497,5e" filled="false" stroked="true" strokeweight=".48004pt" strokecolor="#000000">
                <v:path arrowok="t"/>
              </v:shape>
            </v:group>
            <v:group style="position:absolute;left:2497;top:5;width:2211;height:2" coordorigin="2497,5" coordsize="2211,2">
              <v:shape style="position:absolute;left:2497;top:5;width:2211;height:2" coordorigin="2497,5" coordsize="2211,0" path="m2497,5l4707,5e" filled="false" stroked="true" strokeweight=".48004pt" strokecolor="#000000">
                <v:path arrowok="t"/>
              </v:shape>
            </v:group>
            <v:group style="position:absolute;left:4707;top:5;width:10;height:2" coordorigin="4707,5" coordsize="10,2">
              <v:shape style="position:absolute;left:4707;top:5;width:10;height:2" coordorigin="4707,5" coordsize="10,0" path="m4707,5l4717,5e" filled="false" stroked="true" strokeweight=".48004pt" strokecolor="#000000">
                <v:path arrowok="t"/>
              </v:shape>
            </v:group>
            <v:group style="position:absolute;left:4717;top:5;width:2247;height:2" coordorigin="4717,5" coordsize="2247,2">
              <v:shape style="position:absolute;left:4717;top:5;width:2247;height:2" coordorigin="4717,5" coordsize="2247,0" path="m4717,5l6964,5e" filled="false" stroked="true" strokeweight=".48004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1910" w:h="16840"/>
          <w:pgMar w:top="1020" w:bottom="280" w:left="1460" w:right="1460"/>
        </w:sectPr>
      </w:pPr>
    </w:p>
    <w:p>
      <w:pPr>
        <w:spacing w:line="240" w:lineRule="auto" w:before="13"/>
        <w:rPr>
          <w:rFonts w:ascii="宋体" w:hAnsi="宋体" w:cs="宋体" w:eastAsia="宋体" w:hint="default"/>
          <w:b/>
          <w:bCs/>
          <w:sz w:val="11"/>
          <w:szCs w:val="11"/>
        </w:rPr>
      </w:pPr>
    </w:p>
    <w:tbl>
      <w:tblPr>
        <w:tblW w:w="0" w:type="auto"/>
        <w:jc w:val="left"/>
        <w:tblInd w:w="119" w:type="dxa"/>
        <w:tblLayout w:type="fixed"/>
        <w:tblCellMar>
          <w:top w:w="0" w:type="dxa"/>
          <w:left w:w="0" w:type="dxa"/>
          <w:bottom w:w="0" w:type="dxa"/>
          <w:right w:w="0" w:type="dxa"/>
        </w:tblCellMar>
        <w:tblLook w:val="01E0"/>
      </w:tblPr>
      <w:tblGrid>
        <w:gridCol w:w="2925"/>
        <w:gridCol w:w="1638"/>
        <w:gridCol w:w="1482"/>
        <w:gridCol w:w="1131"/>
        <w:gridCol w:w="1564"/>
      </w:tblGrid>
      <w:tr>
        <w:trPr>
          <w:trHeight w:val="310" w:hRule="exact"/>
        </w:trPr>
        <w:tc>
          <w:tcPr>
            <w:tcW w:w="2925"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1638"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right="233"/>
              <w:jc w:val="righ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c>
        <w:tc>
          <w:tcPr>
            <w:tcW w:w="1482"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right="210"/>
              <w:jc w:val="right"/>
              <w:rPr>
                <w:rFonts w:ascii="宋体" w:hAnsi="宋体" w:cs="宋体" w:eastAsia="宋体" w:hint="default"/>
                <w:sz w:val="18"/>
                <w:szCs w:val="18"/>
              </w:rPr>
            </w:pPr>
            <w:r>
              <w:rPr>
                <w:rFonts w:ascii="宋体" w:hAnsi="宋体" w:cs="宋体" w:eastAsia="宋体" w:hint="default"/>
                <w:b/>
                <w:bCs/>
                <w:w w:val="95"/>
                <w:sz w:val="18"/>
                <w:szCs w:val="18"/>
              </w:rPr>
              <w:t>坏账金额</w:t>
            </w:r>
            <w:r>
              <w:rPr>
                <w:rFonts w:ascii="宋体" w:hAnsi="宋体" w:cs="宋体" w:eastAsia="宋体" w:hint="default"/>
                <w:sz w:val="18"/>
                <w:szCs w:val="18"/>
              </w:rPr>
            </w:r>
          </w:p>
        </w:tc>
        <w:tc>
          <w:tcPr>
            <w:tcW w:w="1131"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right="194"/>
              <w:jc w:val="right"/>
              <w:rPr>
                <w:rFonts w:ascii="宋体" w:hAnsi="宋体" w:cs="宋体" w:eastAsia="宋体" w:hint="default"/>
                <w:sz w:val="18"/>
                <w:szCs w:val="18"/>
              </w:rPr>
            </w:pPr>
            <w:r>
              <w:rPr>
                <w:rFonts w:ascii="宋体" w:hAnsi="宋体" w:cs="宋体" w:eastAsia="宋体" w:hint="default"/>
                <w:b/>
                <w:bCs/>
                <w:w w:val="95"/>
                <w:sz w:val="18"/>
                <w:szCs w:val="18"/>
              </w:rPr>
              <w:t>计提比例</w:t>
            </w:r>
            <w:r>
              <w:rPr>
                <w:rFonts w:ascii="宋体" w:hAnsi="宋体" w:cs="宋体" w:eastAsia="宋体" w:hint="default"/>
                <w:sz w:val="18"/>
                <w:szCs w:val="18"/>
              </w:rPr>
            </w:r>
          </w:p>
        </w:tc>
        <w:tc>
          <w:tcPr>
            <w:tcW w:w="1564"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right="92"/>
              <w:jc w:val="center"/>
              <w:rPr>
                <w:rFonts w:ascii="宋体" w:hAnsi="宋体" w:cs="宋体" w:eastAsia="宋体" w:hint="default"/>
                <w:sz w:val="18"/>
                <w:szCs w:val="18"/>
              </w:rPr>
            </w:pPr>
            <w:r>
              <w:rPr>
                <w:rFonts w:ascii="宋体" w:hAnsi="宋体" w:cs="宋体" w:eastAsia="宋体" w:hint="default"/>
                <w:b/>
                <w:bCs/>
                <w:sz w:val="18"/>
                <w:szCs w:val="18"/>
              </w:rPr>
              <w:t>计提原因</w:t>
            </w:r>
            <w:r>
              <w:rPr>
                <w:rFonts w:ascii="宋体" w:hAnsi="宋体" w:cs="宋体" w:eastAsia="宋体" w:hint="default"/>
                <w:sz w:val="18"/>
                <w:szCs w:val="18"/>
              </w:rPr>
            </w:r>
          </w:p>
        </w:tc>
      </w:tr>
      <w:tr>
        <w:trPr>
          <w:trHeight w:val="305" w:hRule="exact"/>
        </w:trPr>
        <w:tc>
          <w:tcPr>
            <w:tcW w:w="2925" w:type="dxa"/>
            <w:tcBorders>
              <w:top w:val="single" w:sz="8" w:space="0" w:color="000000"/>
              <w:left w:val="nil" w:sz="6" w:space="0" w:color="auto"/>
              <w:bottom w:val="single" w:sz="8"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牡丹江江南新区管委会等</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91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家</w:t>
            </w:r>
          </w:p>
        </w:tc>
        <w:tc>
          <w:tcPr>
            <w:tcW w:w="1638" w:type="dxa"/>
            <w:tcBorders>
              <w:top w:val="single" w:sz="8" w:space="0" w:color="000000"/>
              <w:left w:val="nil" w:sz="6" w:space="0" w:color="auto"/>
              <w:bottom w:val="single" w:sz="8" w:space="0" w:color="000000"/>
              <w:right w:val="nil" w:sz="6" w:space="0" w:color="auto"/>
            </w:tcBorders>
          </w:tcPr>
          <w:p>
            <w:pPr>
              <w:pStyle w:val="TableParagraph"/>
              <w:spacing w:line="240" w:lineRule="auto" w:before="74"/>
              <w:ind w:right="233"/>
              <w:jc w:val="right"/>
              <w:rPr>
                <w:rFonts w:ascii="Times New Roman" w:hAnsi="Times New Roman" w:cs="Times New Roman" w:eastAsia="Times New Roman" w:hint="default"/>
                <w:sz w:val="18"/>
                <w:szCs w:val="18"/>
              </w:rPr>
            </w:pPr>
            <w:r>
              <w:rPr>
                <w:rFonts w:ascii="Times New Roman"/>
                <w:spacing w:val="-1"/>
                <w:sz w:val="18"/>
              </w:rPr>
              <w:t>72,664,520.62</w:t>
            </w:r>
          </w:p>
        </w:tc>
        <w:tc>
          <w:tcPr>
            <w:tcW w:w="1482" w:type="dxa"/>
            <w:tcBorders>
              <w:top w:val="single" w:sz="8" w:space="0" w:color="000000"/>
              <w:left w:val="nil" w:sz="6" w:space="0" w:color="auto"/>
              <w:bottom w:val="single" w:sz="8" w:space="0" w:color="000000"/>
              <w:right w:val="nil" w:sz="6" w:space="0" w:color="auto"/>
            </w:tcBorders>
          </w:tcPr>
          <w:p>
            <w:pPr>
              <w:pStyle w:val="TableParagraph"/>
              <w:spacing w:line="240" w:lineRule="auto" w:before="74"/>
              <w:ind w:right="210"/>
              <w:jc w:val="right"/>
              <w:rPr>
                <w:rFonts w:ascii="Times New Roman" w:hAnsi="Times New Roman" w:cs="Times New Roman" w:eastAsia="Times New Roman" w:hint="default"/>
                <w:sz w:val="18"/>
                <w:szCs w:val="18"/>
              </w:rPr>
            </w:pPr>
            <w:r>
              <w:rPr>
                <w:rFonts w:ascii="Times New Roman"/>
                <w:spacing w:val="-1"/>
                <w:sz w:val="18"/>
              </w:rPr>
              <w:t>72,664,520.62</w:t>
            </w:r>
          </w:p>
        </w:tc>
        <w:tc>
          <w:tcPr>
            <w:tcW w:w="1131" w:type="dxa"/>
            <w:tcBorders>
              <w:top w:val="single" w:sz="8" w:space="0" w:color="000000"/>
              <w:left w:val="nil" w:sz="6" w:space="0" w:color="auto"/>
              <w:bottom w:val="single" w:sz="8" w:space="0" w:color="000000"/>
              <w:right w:val="nil" w:sz="6" w:space="0" w:color="auto"/>
            </w:tcBorders>
          </w:tcPr>
          <w:p>
            <w:pPr>
              <w:pStyle w:val="TableParagraph"/>
              <w:spacing w:line="240" w:lineRule="auto" w:before="74"/>
              <w:ind w:right="193"/>
              <w:jc w:val="right"/>
              <w:rPr>
                <w:rFonts w:ascii="Times New Roman" w:hAnsi="Times New Roman" w:cs="Times New Roman" w:eastAsia="Times New Roman" w:hint="default"/>
                <w:sz w:val="18"/>
                <w:szCs w:val="18"/>
              </w:rPr>
            </w:pPr>
            <w:r>
              <w:rPr>
                <w:rFonts w:ascii="Times New Roman"/>
                <w:spacing w:val="-1"/>
                <w:sz w:val="18"/>
              </w:rPr>
              <w:t>100.00%</w:t>
            </w:r>
          </w:p>
        </w:tc>
        <w:tc>
          <w:tcPr>
            <w:tcW w:w="1564" w:type="dxa"/>
            <w:tcBorders>
              <w:top w:val="single" w:sz="8" w:space="0" w:color="000000"/>
              <w:left w:val="nil" w:sz="6" w:space="0" w:color="auto"/>
              <w:bottom w:val="single" w:sz="8" w:space="0" w:color="000000"/>
              <w:right w:val="nil" w:sz="6" w:space="0" w:color="auto"/>
            </w:tcBorders>
          </w:tcPr>
          <w:p>
            <w:pPr>
              <w:pStyle w:val="TableParagraph"/>
              <w:spacing w:line="240" w:lineRule="auto" w:before="22"/>
              <w:ind w:right="90"/>
              <w:jc w:val="center"/>
              <w:rPr>
                <w:rFonts w:ascii="宋体" w:hAnsi="宋体" w:cs="宋体" w:eastAsia="宋体" w:hint="default"/>
                <w:sz w:val="18"/>
                <w:szCs w:val="18"/>
              </w:rPr>
            </w:pPr>
            <w:r>
              <w:rPr>
                <w:rFonts w:ascii="宋体" w:hAnsi="宋体" w:cs="宋体" w:eastAsia="宋体" w:hint="default"/>
                <w:sz w:val="18"/>
                <w:szCs w:val="18"/>
              </w:rPr>
              <w:t>款项无法收回</w:t>
            </w:r>
          </w:p>
        </w:tc>
      </w:tr>
      <w:tr>
        <w:trPr>
          <w:trHeight w:val="312" w:hRule="exact"/>
        </w:trPr>
        <w:tc>
          <w:tcPr>
            <w:tcW w:w="2925" w:type="dxa"/>
            <w:tcBorders>
              <w:top w:val="single" w:sz="8"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38" w:type="dxa"/>
            <w:tcBorders>
              <w:top w:val="single" w:sz="8" w:space="0" w:color="000000"/>
              <w:left w:val="nil" w:sz="6" w:space="0" w:color="auto"/>
              <w:bottom w:val="single" w:sz="12" w:space="0" w:color="000000"/>
              <w:right w:val="nil" w:sz="6" w:space="0" w:color="auto"/>
            </w:tcBorders>
          </w:tcPr>
          <w:p>
            <w:pPr>
              <w:pStyle w:val="TableParagraph"/>
              <w:spacing w:line="240" w:lineRule="auto" w:before="79"/>
              <w:ind w:right="233"/>
              <w:jc w:val="right"/>
              <w:rPr>
                <w:rFonts w:ascii="Times New Roman" w:hAnsi="Times New Roman" w:cs="Times New Roman" w:eastAsia="Times New Roman" w:hint="default"/>
                <w:sz w:val="18"/>
                <w:szCs w:val="18"/>
              </w:rPr>
            </w:pPr>
            <w:r>
              <w:rPr>
                <w:rFonts w:ascii="Times New Roman"/>
                <w:b/>
                <w:spacing w:val="-1"/>
                <w:sz w:val="18"/>
              </w:rPr>
              <w:t>72,664,520.62</w:t>
            </w:r>
            <w:r>
              <w:rPr>
                <w:rFonts w:ascii="Times New Roman"/>
                <w:spacing w:val="-1"/>
                <w:sz w:val="18"/>
              </w:rPr>
            </w:r>
          </w:p>
        </w:tc>
        <w:tc>
          <w:tcPr>
            <w:tcW w:w="1482" w:type="dxa"/>
            <w:tcBorders>
              <w:top w:val="single" w:sz="8" w:space="0" w:color="000000"/>
              <w:left w:val="nil" w:sz="6" w:space="0" w:color="auto"/>
              <w:bottom w:val="single" w:sz="12" w:space="0" w:color="000000"/>
              <w:right w:val="nil" w:sz="6" w:space="0" w:color="auto"/>
            </w:tcBorders>
          </w:tcPr>
          <w:p>
            <w:pPr>
              <w:pStyle w:val="TableParagraph"/>
              <w:spacing w:line="240" w:lineRule="auto" w:before="79"/>
              <w:ind w:right="210"/>
              <w:jc w:val="right"/>
              <w:rPr>
                <w:rFonts w:ascii="Times New Roman" w:hAnsi="Times New Roman" w:cs="Times New Roman" w:eastAsia="Times New Roman" w:hint="default"/>
                <w:sz w:val="18"/>
                <w:szCs w:val="18"/>
              </w:rPr>
            </w:pPr>
            <w:r>
              <w:rPr>
                <w:rFonts w:ascii="Times New Roman"/>
                <w:b/>
                <w:spacing w:val="-1"/>
                <w:sz w:val="18"/>
              </w:rPr>
              <w:t>72,664,520.62</w:t>
            </w:r>
            <w:r>
              <w:rPr>
                <w:rFonts w:ascii="Times New Roman"/>
                <w:spacing w:val="-1"/>
                <w:sz w:val="18"/>
              </w:rPr>
            </w:r>
          </w:p>
        </w:tc>
        <w:tc>
          <w:tcPr>
            <w:tcW w:w="1131" w:type="dxa"/>
            <w:tcBorders>
              <w:top w:val="single" w:sz="8" w:space="0" w:color="000000"/>
              <w:left w:val="nil" w:sz="6" w:space="0" w:color="auto"/>
              <w:bottom w:val="single" w:sz="12" w:space="0" w:color="000000"/>
              <w:right w:val="nil" w:sz="6" w:space="0" w:color="auto"/>
            </w:tcBorders>
          </w:tcPr>
          <w:p>
            <w:pPr>
              <w:pStyle w:val="TableParagraph"/>
              <w:spacing w:line="240" w:lineRule="auto" w:before="79"/>
              <w:ind w:right="192"/>
              <w:jc w:val="right"/>
              <w:rPr>
                <w:rFonts w:ascii="Times New Roman" w:hAnsi="Times New Roman" w:cs="Times New Roman" w:eastAsia="Times New Roman" w:hint="default"/>
                <w:sz w:val="18"/>
                <w:szCs w:val="18"/>
              </w:rPr>
            </w:pPr>
            <w:r>
              <w:rPr>
                <w:rFonts w:ascii="Times New Roman"/>
                <w:b/>
                <w:spacing w:val="-1"/>
                <w:sz w:val="18"/>
              </w:rPr>
              <w:t>100.00%</w:t>
            </w:r>
            <w:r>
              <w:rPr>
                <w:rFonts w:ascii="Times New Roman"/>
                <w:spacing w:val="-1"/>
                <w:sz w:val="18"/>
              </w:rPr>
            </w:r>
          </w:p>
        </w:tc>
        <w:tc>
          <w:tcPr>
            <w:tcW w:w="1564" w:type="dxa"/>
            <w:tcBorders>
              <w:top w:val="single" w:sz="8" w:space="0" w:color="000000"/>
              <w:left w:val="nil" w:sz="6" w:space="0" w:color="auto"/>
              <w:bottom w:val="single" w:sz="12" w:space="0" w:color="000000"/>
              <w:right w:val="nil" w:sz="6" w:space="0" w:color="auto"/>
            </w:tcBorders>
          </w:tcPr>
          <w:p>
            <w:pPr/>
          </w:p>
        </w:tc>
      </w:tr>
    </w:tbl>
    <w:p>
      <w:pPr>
        <w:spacing w:line="280" w:lineRule="auto" w:before="81"/>
        <w:ind w:left="242" w:right="207" w:firstLine="453"/>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宋体" w:hAnsi="宋体" w:cs="宋体" w:eastAsia="宋体" w:hint="default"/>
          <w:sz w:val="22"/>
          <w:szCs w:val="22"/>
        </w:rPr>
        <w:t>本年按欠款方归集的年末余额前五名应收账款汇总金额为 </w:t>
      </w:r>
      <w:r>
        <w:rPr>
          <w:rFonts w:ascii="Times New Roman" w:hAnsi="Times New Roman" w:cs="Times New Roman" w:eastAsia="Times New Roman" w:hint="default"/>
          <w:sz w:val="22"/>
          <w:szCs w:val="22"/>
        </w:rPr>
        <w:t>1,713,607,872.87</w:t>
      </w:r>
      <w:r>
        <w:rPr>
          <w:rFonts w:ascii="Times New Roman" w:hAnsi="Times New Roman" w:cs="Times New Roman" w:eastAsia="Times New Roman" w:hint="default"/>
          <w:spacing w:val="-29"/>
          <w:sz w:val="22"/>
          <w:szCs w:val="22"/>
        </w:rPr>
        <w:t> </w:t>
      </w:r>
      <w:r>
        <w:rPr>
          <w:rFonts w:ascii="宋体" w:hAnsi="宋体" w:cs="宋体" w:eastAsia="宋体" w:hint="default"/>
          <w:sz w:val="22"/>
          <w:szCs w:val="22"/>
        </w:rPr>
        <w:t>元，</w:t>
      </w:r>
      <w:r>
        <w:rPr>
          <w:rFonts w:ascii="宋体" w:hAnsi="宋体" w:cs="宋体" w:eastAsia="宋体" w:hint="default"/>
          <w:w w:val="100"/>
          <w:sz w:val="22"/>
          <w:szCs w:val="22"/>
        </w:rPr>
        <w:t> </w:t>
      </w:r>
      <w:r>
        <w:rPr>
          <w:rFonts w:ascii="宋体" w:hAnsi="宋体" w:cs="宋体" w:eastAsia="宋体" w:hint="default"/>
          <w:sz w:val="22"/>
          <w:szCs w:val="22"/>
        </w:rPr>
        <w:t>占应收账款年末余额合计数的比例</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19.20%</w:t>
      </w:r>
      <w:r>
        <w:rPr>
          <w:rFonts w:ascii="宋体" w:hAnsi="宋体" w:cs="宋体" w:eastAsia="宋体" w:hint="default"/>
          <w:sz w:val="22"/>
          <w:szCs w:val="22"/>
        </w:rPr>
        <w:t>，相应计提的坏账准备年末余额汇总金额为</w:t>
      </w:r>
      <w:r>
        <w:rPr>
          <w:rFonts w:ascii="宋体" w:hAnsi="宋体" w:cs="宋体" w:eastAsia="宋体" w:hint="default"/>
          <w:w w:val="100"/>
          <w:sz w:val="22"/>
          <w:szCs w:val="22"/>
        </w:rPr>
        <w:t> </w:t>
      </w:r>
      <w:r>
        <w:rPr>
          <w:rFonts w:ascii="Times New Roman" w:hAnsi="Times New Roman" w:cs="Times New Roman" w:eastAsia="Times New Roman" w:hint="default"/>
          <w:sz w:val="22"/>
          <w:szCs w:val="22"/>
        </w:rPr>
        <w:t>78,931,140.96</w:t>
      </w:r>
      <w:r>
        <w:rPr>
          <w:rFonts w:ascii="Times New Roman" w:hAnsi="Times New Roman" w:cs="Times New Roman" w:eastAsia="Times New Roman" w:hint="default"/>
          <w:spacing w:val="3"/>
          <w:sz w:val="22"/>
          <w:szCs w:val="22"/>
        </w:rPr>
        <w:t> </w:t>
      </w:r>
      <w:r>
        <w:rPr>
          <w:rFonts w:ascii="宋体" w:hAnsi="宋体" w:cs="宋体" w:eastAsia="宋体" w:hint="default"/>
          <w:spacing w:val="-3"/>
          <w:sz w:val="22"/>
          <w:szCs w:val="22"/>
        </w:rPr>
        <w:t>元。</w:t>
      </w:r>
      <w:r>
        <w:rPr>
          <w:rFonts w:ascii="宋体" w:hAnsi="宋体" w:cs="宋体" w:eastAsia="宋体" w:hint="default"/>
          <w:sz w:val="22"/>
          <w:szCs w:val="22"/>
        </w:rPr>
      </w:r>
    </w:p>
    <w:p>
      <w:pPr>
        <w:tabs>
          <w:tab w:pos="1041" w:val="left" w:leader="none"/>
        </w:tabs>
        <w:spacing w:before="71"/>
        <w:ind w:left="64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w:t>
        <w:tab/>
      </w:r>
      <w:r>
        <w:rPr>
          <w:rFonts w:ascii="宋体" w:hAnsi="宋体" w:cs="宋体" w:eastAsia="宋体" w:hint="default"/>
          <w:sz w:val="22"/>
          <w:szCs w:val="22"/>
        </w:rPr>
        <w:t>预付款项</w:t>
      </w:r>
    </w:p>
    <w:p>
      <w:pPr>
        <w:spacing w:before="110"/>
        <w:ind w:left="69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预付款项账龄</w:t>
      </w:r>
    </w:p>
    <w:p>
      <w:pPr>
        <w:spacing w:line="240" w:lineRule="auto" w:before="8"/>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1824"/>
        <w:gridCol w:w="2357"/>
        <w:gridCol w:w="1372"/>
        <w:gridCol w:w="1895"/>
        <w:gridCol w:w="1292"/>
      </w:tblGrid>
      <w:tr>
        <w:trPr>
          <w:trHeight w:val="305" w:hRule="exact"/>
        </w:trPr>
        <w:tc>
          <w:tcPr>
            <w:tcW w:w="1824" w:type="dxa"/>
            <w:vMerge w:val="restart"/>
            <w:tcBorders>
              <w:top w:val="single" w:sz="12" w:space="0" w:color="000000"/>
              <w:left w:val="nil" w:sz="6" w:space="0" w:color="auto"/>
              <w:right w:val="nil" w:sz="6" w:space="0" w:color="auto"/>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35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411"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372" w:type="dxa"/>
            <w:tcBorders>
              <w:top w:val="single" w:sz="12" w:space="0" w:color="000000"/>
              <w:left w:val="nil" w:sz="6" w:space="0" w:color="auto"/>
              <w:bottom w:val="single" w:sz="4" w:space="0" w:color="000000"/>
              <w:right w:val="nil" w:sz="6" w:space="0" w:color="auto"/>
            </w:tcBorders>
          </w:tcPr>
          <w:p>
            <w:pPr/>
          </w:p>
        </w:tc>
        <w:tc>
          <w:tcPr>
            <w:tcW w:w="189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138"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292" w:type="dxa"/>
            <w:tcBorders>
              <w:top w:val="single" w:sz="12" w:space="0" w:color="000000"/>
              <w:left w:val="nil" w:sz="6" w:space="0" w:color="auto"/>
              <w:bottom w:val="single" w:sz="4" w:space="0" w:color="000000"/>
              <w:right w:val="nil" w:sz="6" w:space="0" w:color="auto"/>
            </w:tcBorders>
          </w:tcPr>
          <w:p>
            <w:pPr/>
          </w:p>
        </w:tc>
      </w:tr>
      <w:tr>
        <w:trPr>
          <w:trHeight w:val="296" w:hRule="exact"/>
        </w:trPr>
        <w:tc>
          <w:tcPr>
            <w:tcW w:w="1824" w:type="dxa"/>
            <w:vMerge/>
            <w:tcBorders>
              <w:left w:val="nil" w:sz="6" w:space="0" w:color="auto"/>
              <w:bottom w:val="single" w:sz="4" w:space="0" w:color="000000"/>
              <w:right w:val="nil" w:sz="6" w:space="0" w:color="auto"/>
            </w:tcBorders>
          </w:tcPr>
          <w:p>
            <w:pPr/>
          </w:p>
        </w:tc>
        <w:tc>
          <w:tcPr>
            <w:tcW w:w="2357"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right="367"/>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372"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223"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895"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555"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292"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343"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r>
      <w:tr>
        <w:trPr>
          <w:trHeight w:val="324" w:hRule="exact"/>
        </w:trPr>
        <w:tc>
          <w:tcPr>
            <w:tcW w:w="1824"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357"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left="751" w:right="0"/>
              <w:jc w:val="left"/>
              <w:rPr>
                <w:rFonts w:ascii="Times New Roman" w:hAnsi="Times New Roman" w:cs="Times New Roman" w:eastAsia="Times New Roman" w:hint="default"/>
                <w:sz w:val="18"/>
                <w:szCs w:val="18"/>
              </w:rPr>
            </w:pPr>
            <w:r>
              <w:rPr>
                <w:rFonts w:ascii="Times New Roman"/>
                <w:sz w:val="18"/>
              </w:rPr>
              <w:t>848,777,177.63</w:t>
            </w:r>
          </w:p>
        </w:tc>
        <w:tc>
          <w:tcPr>
            <w:tcW w:w="1372"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289"/>
              <w:jc w:val="right"/>
              <w:rPr>
                <w:rFonts w:ascii="Times New Roman" w:hAnsi="Times New Roman" w:cs="Times New Roman" w:eastAsia="Times New Roman" w:hint="default"/>
                <w:sz w:val="18"/>
                <w:szCs w:val="18"/>
              </w:rPr>
            </w:pPr>
            <w:r>
              <w:rPr>
                <w:rFonts w:ascii="Times New Roman"/>
                <w:sz w:val="18"/>
              </w:rPr>
              <w:t>70.54%</w:t>
            </w:r>
          </w:p>
        </w:tc>
        <w:tc>
          <w:tcPr>
            <w:tcW w:w="189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left="425" w:right="0"/>
              <w:jc w:val="left"/>
              <w:rPr>
                <w:rFonts w:ascii="Times New Roman" w:hAnsi="Times New Roman" w:cs="Times New Roman" w:eastAsia="Times New Roman" w:hint="default"/>
                <w:sz w:val="18"/>
                <w:szCs w:val="18"/>
              </w:rPr>
            </w:pPr>
            <w:r>
              <w:rPr>
                <w:rFonts w:ascii="Times New Roman"/>
                <w:sz w:val="18"/>
              </w:rPr>
              <w:t>899,940,137.80</w:t>
            </w:r>
          </w:p>
        </w:tc>
        <w:tc>
          <w:tcPr>
            <w:tcW w:w="1292"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z w:val="18"/>
              </w:rPr>
              <w:t>75.67%</w:t>
            </w:r>
          </w:p>
        </w:tc>
      </w:tr>
      <w:tr>
        <w:trPr>
          <w:trHeight w:val="286" w:hRule="exact"/>
        </w:trPr>
        <w:tc>
          <w:tcPr>
            <w:tcW w:w="1824" w:type="dxa"/>
            <w:tcBorders>
              <w:top w:val="nil" w:sz="6" w:space="0" w:color="auto"/>
              <w:left w:val="nil" w:sz="6" w:space="0" w:color="auto"/>
              <w:bottom w:val="nil" w:sz="6" w:space="0" w:color="auto"/>
              <w:right w:val="nil" w:sz="6" w:space="0" w:color="auto"/>
            </w:tcBorders>
          </w:tcPr>
          <w:p>
            <w:pPr>
              <w:pStyle w:val="TableParagraph"/>
              <w:spacing w:line="236"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5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1" w:right="0"/>
              <w:jc w:val="left"/>
              <w:rPr>
                <w:rFonts w:ascii="Times New Roman" w:hAnsi="Times New Roman" w:cs="Times New Roman" w:eastAsia="Times New Roman" w:hint="default"/>
                <w:sz w:val="18"/>
                <w:szCs w:val="18"/>
              </w:rPr>
            </w:pPr>
            <w:r>
              <w:rPr>
                <w:rFonts w:ascii="Times New Roman"/>
                <w:sz w:val="18"/>
              </w:rPr>
              <w:t>197,144,174.97</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89"/>
              <w:jc w:val="right"/>
              <w:rPr>
                <w:rFonts w:ascii="Times New Roman" w:hAnsi="Times New Roman" w:cs="Times New Roman" w:eastAsia="Times New Roman" w:hint="default"/>
                <w:sz w:val="18"/>
                <w:szCs w:val="18"/>
              </w:rPr>
            </w:pPr>
            <w:r>
              <w:rPr>
                <w:rFonts w:ascii="Times New Roman"/>
                <w:sz w:val="18"/>
              </w:rPr>
              <w:t>16.38%</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425" w:right="0"/>
              <w:jc w:val="left"/>
              <w:rPr>
                <w:rFonts w:ascii="Times New Roman" w:hAnsi="Times New Roman" w:cs="Times New Roman" w:eastAsia="Times New Roman" w:hint="default"/>
                <w:sz w:val="18"/>
                <w:szCs w:val="18"/>
              </w:rPr>
            </w:pPr>
            <w:r>
              <w:rPr>
                <w:rFonts w:ascii="Times New Roman"/>
                <w:sz w:val="18"/>
              </w:rPr>
              <w:t>137,033,223.31</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Times New Roman" w:hAnsi="Times New Roman" w:cs="Times New Roman" w:eastAsia="Times New Roman" w:hint="default"/>
                <w:sz w:val="18"/>
                <w:szCs w:val="18"/>
              </w:rPr>
            </w:pPr>
            <w:r>
              <w:rPr>
                <w:rFonts w:ascii="Times New Roman"/>
                <w:sz w:val="18"/>
              </w:rPr>
              <w:t>11.52%</w:t>
            </w:r>
          </w:p>
        </w:tc>
      </w:tr>
      <w:tr>
        <w:trPr>
          <w:trHeight w:val="284" w:hRule="exact"/>
        </w:trPr>
        <w:tc>
          <w:tcPr>
            <w:tcW w:w="1824"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5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43" w:right="0"/>
              <w:jc w:val="left"/>
              <w:rPr>
                <w:rFonts w:ascii="Times New Roman" w:hAnsi="Times New Roman" w:cs="Times New Roman" w:eastAsia="Times New Roman" w:hint="default"/>
                <w:sz w:val="18"/>
                <w:szCs w:val="18"/>
              </w:rPr>
            </w:pPr>
            <w:r>
              <w:rPr>
                <w:rFonts w:ascii="Times New Roman"/>
                <w:sz w:val="18"/>
              </w:rPr>
              <w:t>79,500,201.38</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91"/>
              <w:jc w:val="right"/>
              <w:rPr>
                <w:rFonts w:ascii="Times New Roman" w:hAnsi="Times New Roman" w:cs="Times New Roman" w:eastAsia="Times New Roman" w:hint="default"/>
                <w:sz w:val="18"/>
                <w:szCs w:val="18"/>
              </w:rPr>
            </w:pPr>
            <w:r>
              <w:rPr>
                <w:rFonts w:ascii="Times New Roman"/>
                <w:sz w:val="18"/>
              </w:rPr>
              <w:t>6.61%</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16" w:right="0"/>
              <w:jc w:val="left"/>
              <w:rPr>
                <w:rFonts w:ascii="Times New Roman" w:hAnsi="Times New Roman" w:cs="Times New Roman" w:eastAsia="Times New Roman" w:hint="default"/>
                <w:sz w:val="18"/>
                <w:szCs w:val="18"/>
              </w:rPr>
            </w:pPr>
            <w:r>
              <w:rPr>
                <w:rFonts w:ascii="Times New Roman"/>
                <w:sz w:val="18"/>
              </w:rPr>
              <w:t>68,509,348.97</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z w:val="18"/>
              </w:rPr>
              <w:t>5.76%</w:t>
            </w:r>
          </w:p>
        </w:tc>
      </w:tr>
      <w:tr>
        <w:trPr>
          <w:trHeight w:val="255" w:hRule="exact"/>
        </w:trPr>
        <w:tc>
          <w:tcPr>
            <w:tcW w:w="1824" w:type="dxa"/>
            <w:tcBorders>
              <w:top w:val="nil" w:sz="6" w:space="0" w:color="auto"/>
              <w:left w:val="nil" w:sz="6" w:space="0" w:color="auto"/>
              <w:bottom w:val="single" w:sz="4" w:space="0" w:color="000000"/>
              <w:right w:val="nil" w:sz="6" w:space="0" w:color="auto"/>
            </w:tcBorders>
          </w:tcPr>
          <w:p>
            <w:pPr>
              <w:pStyle w:val="TableParagraph"/>
              <w:spacing w:line="237"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57"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left="843" w:right="0"/>
              <w:jc w:val="left"/>
              <w:rPr>
                <w:rFonts w:ascii="Times New Roman" w:hAnsi="Times New Roman" w:cs="Times New Roman" w:eastAsia="Times New Roman" w:hint="default"/>
                <w:sz w:val="18"/>
                <w:szCs w:val="18"/>
              </w:rPr>
            </w:pPr>
            <w:r>
              <w:rPr>
                <w:rFonts w:ascii="Times New Roman"/>
                <w:sz w:val="18"/>
              </w:rPr>
              <w:t>77,852,337.81</w:t>
            </w:r>
          </w:p>
        </w:tc>
        <w:tc>
          <w:tcPr>
            <w:tcW w:w="1372"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291"/>
              <w:jc w:val="right"/>
              <w:rPr>
                <w:rFonts w:ascii="Times New Roman" w:hAnsi="Times New Roman" w:cs="Times New Roman" w:eastAsia="Times New Roman" w:hint="default"/>
                <w:sz w:val="18"/>
                <w:szCs w:val="18"/>
              </w:rPr>
            </w:pPr>
            <w:r>
              <w:rPr>
                <w:rFonts w:ascii="Times New Roman"/>
                <w:sz w:val="18"/>
              </w:rPr>
              <w:t>6.47%</w:t>
            </w:r>
          </w:p>
        </w:tc>
        <w:tc>
          <w:tcPr>
            <w:tcW w:w="189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left="516" w:right="0"/>
              <w:jc w:val="left"/>
              <w:rPr>
                <w:rFonts w:ascii="Times New Roman" w:hAnsi="Times New Roman" w:cs="Times New Roman" w:eastAsia="Times New Roman" w:hint="default"/>
                <w:sz w:val="18"/>
                <w:szCs w:val="18"/>
              </w:rPr>
            </w:pPr>
            <w:r>
              <w:rPr>
                <w:rFonts w:ascii="Times New Roman"/>
                <w:sz w:val="18"/>
              </w:rPr>
              <w:t>83,771,905.79</w:t>
            </w:r>
          </w:p>
        </w:tc>
        <w:tc>
          <w:tcPr>
            <w:tcW w:w="1292"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z w:val="18"/>
              </w:rPr>
              <w:t>7.05%</w:t>
            </w:r>
          </w:p>
        </w:tc>
      </w:tr>
      <w:tr>
        <w:trPr>
          <w:trHeight w:val="307" w:hRule="exact"/>
        </w:trPr>
        <w:tc>
          <w:tcPr>
            <w:tcW w:w="1824"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57"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617" w:right="0"/>
              <w:jc w:val="left"/>
              <w:rPr>
                <w:rFonts w:ascii="Times New Roman" w:hAnsi="Times New Roman" w:cs="Times New Roman" w:eastAsia="Times New Roman" w:hint="default"/>
                <w:sz w:val="18"/>
                <w:szCs w:val="18"/>
              </w:rPr>
            </w:pPr>
            <w:r>
              <w:rPr>
                <w:rFonts w:ascii="Times New Roman"/>
                <w:b/>
                <w:sz w:val="18"/>
              </w:rPr>
              <w:t>1,203,273,891.79</w:t>
            </w:r>
            <w:r>
              <w:rPr>
                <w:rFonts w:ascii="Times New Roman"/>
                <w:sz w:val="18"/>
              </w:rPr>
            </w:r>
          </w:p>
        </w:tc>
        <w:tc>
          <w:tcPr>
            <w:tcW w:w="137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290"/>
              <w:jc w:val="right"/>
              <w:rPr>
                <w:rFonts w:ascii="Times New Roman" w:hAnsi="Times New Roman" w:cs="Times New Roman" w:eastAsia="Times New Roman" w:hint="default"/>
                <w:sz w:val="18"/>
                <w:szCs w:val="18"/>
              </w:rPr>
            </w:pPr>
            <w:r>
              <w:rPr>
                <w:rFonts w:ascii="Times New Roman"/>
                <w:b/>
                <w:spacing w:val="-1"/>
                <w:sz w:val="18"/>
              </w:rPr>
              <w:t>100.00%</w:t>
            </w:r>
            <w:r>
              <w:rPr>
                <w:rFonts w:ascii="Times New Roman"/>
                <w:spacing w:val="-1"/>
                <w:sz w:val="18"/>
              </w:rPr>
            </w:r>
          </w:p>
        </w:tc>
        <w:tc>
          <w:tcPr>
            <w:tcW w:w="189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291" w:right="0"/>
              <w:jc w:val="left"/>
              <w:rPr>
                <w:rFonts w:ascii="Times New Roman" w:hAnsi="Times New Roman" w:cs="Times New Roman" w:eastAsia="Times New Roman" w:hint="default"/>
                <w:sz w:val="18"/>
                <w:szCs w:val="18"/>
              </w:rPr>
            </w:pPr>
            <w:r>
              <w:rPr>
                <w:rFonts w:ascii="Times New Roman"/>
                <w:b/>
                <w:sz w:val="18"/>
              </w:rPr>
              <w:t>1,189,254,615.87</w:t>
            </w:r>
            <w:r>
              <w:rPr>
                <w:rFonts w:ascii="Times New Roman"/>
                <w:sz w:val="18"/>
              </w:rPr>
            </w:r>
          </w:p>
        </w:tc>
        <w:tc>
          <w:tcPr>
            <w:tcW w:w="129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100.00%</w:t>
            </w:r>
            <w:r>
              <w:rPr>
                <w:rFonts w:ascii="Times New Roman"/>
                <w:spacing w:val="-1"/>
                <w:sz w:val="18"/>
              </w:rPr>
            </w:r>
          </w:p>
        </w:tc>
      </w:tr>
    </w:tbl>
    <w:p>
      <w:pPr>
        <w:spacing w:line="280" w:lineRule="auto" w:before="21"/>
        <w:ind w:left="242" w:right="207" w:firstLine="453"/>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宋体" w:hAnsi="宋体" w:cs="宋体" w:eastAsia="宋体" w:hint="default"/>
          <w:sz w:val="22"/>
          <w:szCs w:val="22"/>
        </w:rPr>
        <w:t>本年按预付对象归集的年末余额前五名预付款项汇总金额为 </w:t>
      </w:r>
      <w:r>
        <w:rPr>
          <w:rFonts w:ascii="Times New Roman" w:hAnsi="Times New Roman" w:cs="Times New Roman" w:eastAsia="Times New Roman" w:hint="default"/>
          <w:sz w:val="22"/>
          <w:szCs w:val="22"/>
        </w:rPr>
        <w:t>164,250,240.06</w:t>
      </w:r>
      <w:r>
        <w:rPr>
          <w:rFonts w:ascii="Times New Roman" w:hAnsi="Times New Roman" w:cs="Times New Roman" w:eastAsia="Times New Roman" w:hint="default"/>
          <w:spacing w:val="-22"/>
          <w:sz w:val="22"/>
          <w:szCs w:val="22"/>
        </w:rPr>
        <w:t> </w:t>
      </w:r>
      <w:r>
        <w:rPr>
          <w:rFonts w:ascii="宋体" w:hAnsi="宋体" w:cs="宋体" w:eastAsia="宋体" w:hint="default"/>
          <w:sz w:val="22"/>
          <w:szCs w:val="22"/>
        </w:rPr>
        <w:t>元，</w:t>
      </w:r>
      <w:r>
        <w:rPr>
          <w:rFonts w:ascii="宋体" w:hAnsi="宋体" w:cs="宋体" w:eastAsia="宋体" w:hint="default"/>
          <w:spacing w:val="2"/>
          <w:w w:val="100"/>
          <w:sz w:val="22"/>
          <w:szCs w:val="22"/>
        </w:rPr>
        <w:t> </w:t>
      </w:r>
      <w:r>
        <w:rPr>
          <w:rFonts w:ascii="宋体" w:hAnsi="宋体" w:cs="宋体" w:eastAsia="宋体" w:hint="default"/>
          <w:sz w:val="22"/>
          <w:szCs w:val="22"/>
        </w:rPr>
        <w:t>占预付款项年末余额合计数的比例</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13.65%</w:t>
      </w:r>
      <w:r>
        <w:rPr>
          <w:rFonts w:ascii="宋体" w:hAnsi="宋体" w:cs="宋体" w:eastAsia="宋体" w:hint="default"/>
          <w:sz w:val="22"/>
          <w:szCs w:val="22"/>
        </w:rPr>
        <w:t>。</w:t>
      </w:r>
    </w:p>
    <w:p>
      <w:pPr>
        <w:tabs>
          <w:tab w:pos="1041" w:val="left" w:leader="none"/>
        </w:tabs>
        <w:spacing w:before="71"/>
        <w:ind w:left="64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6.</w:t>
        <w:tab/>
      </w:r>
      <w:r>
        <w:rPr>
          <w:rFonts w:ascii="宋体" w:hAnsi="宋体" w:cs="宋体" w:eastAsia="宋体" w:hint="default"/>
          <w:sz w:val="22"/>
          <w:szCs w:val="22"/>
        </w:rPr>
        <w:t>应收股利</w:t>
      </w:r>
    </w:p>
    <w:p>
      <w:pPr>
        <w:spacing w:line="240" w:lineRule="auto" w:before="5"/>
        <w:rPr>
          <w:rFonts w:ascii="宋体" w:hAnsi="宋体" w:cs="宋体" w:eastAsia="宋体" w:hint="default"/>
          <w:sz w:val="11"/>
          <w:szCs w:val="11"/>
        </w:rPr>
      </w:pPr>
    </w:p>
    <w:tbl>
      <w:tblPr>
        <w:tblW w:w="0" w:type="auto"/>
        <w:jc w:val="left"/>
        <w:tblInd w:w="134" w:type="dxa"/>
        <w:tblLayout w:type="fixed"/>
        <w:tblCellMar>
          <w:top w:w="0" w:type="dxa"/>
          <w:left w:w="0" w:type="dxa"/>
          <w:bottom w:w="0" w:type="dxa"/>
          <w:right w:w="0" w:type="dxa"/>
        </w:tblCellMar>
        <w:tblLook w:val="01E0"/>
      </w:tblPr>
      <w:tblGrid>
        <w:gridCol w:w="3425"/>
        <w:gridCol w:w="3218"/>
        <w:gridCol w:w="2082"/>
      </w:tblGrid>
      <w:tr>
        <w:trPr>
          <w:trHeight w:val="307" w:hRule="exact"/>
        </w:trPr>
        <w:tc>
          <w:tcPr>
            <w:tcW w:w="342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c>
        <w:tc>
          <w:tcPr>
            <w:tcW w:w="321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933"/>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08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3" w:hRule="exact"/>
        </w:trPr>
        <w:tc>
          <w:tcPr>
            <w:tcW w:w="3425"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同方投资有限公司</w:t>
            </w:r>
          </w:p>
        </w:tc>
        <w:tc>
          <w:tcPr>
            <w:tcW w:w="3218"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933"/>
              <w:jc w:val="right"/>
              <w:rPr>
                <w:rFonts w:ascii="Times New Roman" w:hAnsi="Times New Roman" w:cs="Times New Roman" w:eastAsia="Times New Roman" w:hint="default"/>
                <w:sz w:val="18"/>
                <w:szCs w:val="18"/>
              </w:rPr>
            </w:pPr>
            <w:r>
              <w:rPr>
                <w:rFonts w:ascii="Times New Roman"/>
                <w:spacing w:val="-1"/>
                <w:sz w:val="18"/>
              </w:rPr>
              <w:t>90,909,090.91</w:t>
            </w:r>
          </w:p>
        </w:tc>
        <w:tc>
          <w:tcPr>
            <w:tcW w:w="2082"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342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同方鼎欣科技股份有限公司</w:t>
            </w:r>
          </w:p>
        </w:tc>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33"/>
              <w:jc w:val="right"/>
              <w:rPr>
                <w:rFonts w:ascii="Times New Roman" w:hAnsi="Times New Roman" w:cs="Times New Roman" w:eastAsia="Times New Roman" w:hint="default"/>
                <w:sz w:val="18"/>
                <w:szCs w:val="18"/>
              </w:rPr>
            </w:pPr>
            <w:r>
              <w:rPr>
                <w:rFonts w:ascii="Times New Roman"/>
                <w:spacing w:val="-1"/>
                <w:sz w:val="18"/>
              </w:rPr>
              <w:t>17,068,000.00</w:t>
            </w:r>
          </w:p>
        </w:tc>
        <w:tc>
          <w:tcPr>
            <w:tcW w:w="208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342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云南云电同方科技有限公司</w:t>
            </w:r>
          </w:p>
        </w:tc>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32"/>
              <w:jc w:val="right"/>
              <w:rPr>
                <w:rFonts w:ascii="Times New Roman" w:hAnsi="Times New Roman" w:cs="Times New Roman" w:eastAsia="Times New Roman" w:hint="default"/>
                <w:sz w:val="18"/>
                <w:szCs w:val="18"/>
              </w:rPr>
            </w:pPr>
            <w:r>
              <w:rPr>
                <w:rFonts w:ascii="Times New Roman"/>
                <w:spacing w:val="-1"/>
                <w:sz w:val="18"/>
              </w:rPr>
              <w:t>0.00</w:t>
            </w:r>
          </w:p>
        </w:tc>
        <w:tc>
          <w:tcPr>
            <w:tcW w:w="208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5,344,868.89</w:t>
            </w:r>
          </w:p>
        </w:tc>
      </w:tr>
      <w:tr>
        <w:trPr>
          <w:trHeight w:val="284" w:hRule="exact"/>
        </w:trPr>
        <w:tc>
          <w:tcPr>
            <w:tcW w:w="342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上海东方希杰商务有限公司</w:t>
            </w:r>
          </w:p>
        </w:tc>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32"/>
              <w:jc w:val="right"/>
              <w:rPr>
                <w:rFonts w:ascii="Times New Roman" w:hAnsi="Times New Roman" w:cs="Times New Roman" w:eastAsia="Times New Roman" w:hint="default"/>
                <w:sz w:val="18"/>
                <w:szCs w:val="18"/>
              </w:rPr>
            </w:pPr>
            <w:r>
              <w:rPr>
                <w:rFonts w:ascii="Times New Roman"/>
                <w:spacing w:val="-1"/>
                <w:sz w:val="18"/>
              </w:rPr>
              <w:t>0.00</w:t>
            </w:r>
          </w:p>
        </w:tc>
        <w:tc>
          <w:tcPr>
            <w:tcW w:w="208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3,934,800.00</w:t>
            </w:r>
          </w:p>
        </w:tc>
      </w:tr>
      <w:tr>
        <w:trPr>
          <w:trHeight w:val="284" w:hRule="exact"/>
        </w:trPr>
        <w:tc>
          <w:tcPr>
            <w:tcW w:w="3425"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北京科技园置地有限公司</w:t>
            </w:r>
          </w:p>
        </w:tc>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32"/>
              <w:jc w:val="right"/>
              <w:rPr>
                <w:rFonts w:ascii="Times New Roman" w:hAnsi="Times New Roman" w:cs="Times New Roman" w:eastAsia="Times New Roman" w:hint="default"/>
                <w:sz w:val="18"/>
                <w:szCs w:val="18"/>
              </w:rPr>
            </w:pPr>
            <w:r>
              <w:rPr>
                <w:rFonts w:ascii="Times New Roman"/>
                <w:spacing w:val="-1"/>
                <w:sz w:val="18"/>
              </w:rPr>
              <w:t>0.00</w:t>
            </w:r>
          </w:p>
        </w:tc>
        <w:tc>
          <w:tcPr>
            <w:tcW w:w="208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286" w:hRule="exact"/>
        </w:trPr>
        <w:tc>
          <w:tcPr>
            <w:tcW w:w="342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北京辰安科技股份有限公司</w:t>
            </w:r>
          </w:p>
        </w:tc>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32"/>
              <w:jc w:val="right"/>
              <w:rPr>
                <w:rFonts w:ascii="Times New Roman" w:hAnsi="Times New Roman" w:cs="Times New Roman" w:eastAsia="Times New Roman" w:hint="default"/>
                <w:sz w:val="18"/>
                <w:szCs w:val="18"/>
              </w:rPr>
            </w:pPr>
            <w:r>
              <w:rPr>
                <w:rFonts w:ascii="Times New Roman"/>
                <w:spacing w:val="-1"/>
                <w:sz w:val="18"/>
              </w:rPr>
              <w:t>0.00</w:t>
            </w:r>
          </w:p>
        </w:tc>
        <w:tc>
          <w:tcPr>
            <w:tcW w:w="208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675,000.00</w:t>
            </w:r>
          </w:p>
        </w:tc>
      </w:tr>
      <w:tr>
        <w:trPr>
          <w:trHeight w:val="255" w:hRule="exact"/>
        </w:trPr>
        <w:tc>
          <w:tcPr>
            <w:tcW w:w="3425"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重庆银行股份有限公司</w:t>
            </w:r>
          </w:p>
        </w:tc>
        <w:tc>
          <w:tcPr>
            <w:tcW w:w="321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932"/>
              <w:jc w:val="right"/>
              <w:rPr>
                <w:rFonts w:ascii="Times New Roman" w:hAnsi="Times New Roman" w:cs="Times New Roman" w:eastAsia="Times New Roman" w:hint="default"/>
                <w:sz w:val="18"/>
                <w:szCs w:val="18"/>
              </w:rPr>
            </w:pPr>
            <w:r>
              <w:rPr>
                <w:rFonts w:ascii="Times New Roman"/>
                <w:spacing w:val="-1"/>
                <w:sz w:val="18"/>
              </w:rPr>
              <w:t>0.00</w:t>
            </w:r>
          </w:p>
        </w:tc>
        <w:tc>
          <w:tcPr>
            <w:tcW w:w="2082"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507,289.70</w:t>
            </w:r>
          </w:p>
        </w:tc>
      </w:tr>
      <w:tr>
        <w:trPr>
          <w:trHeight w:val="307" w:hRule="exact"/>
        </w:trPr>
        <w:tc>
          <w:tcPr>
            <w:tcW w:w="3425"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218"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933"/>
              <w:jc w:val="right"/>
              <w:rPr>
                <w:rFonts w:ascii="Times New Roman" w:hAnsi="Times New Roman" w:cs="Times New Roman" w:eastAsia="Times New Roman" w:hint="default"/>
                <w:sz w:val="18"/>
                <w:szCs w:val="18"/>
              </w:rPr>
            </w:pPr>
            <w:r>
              <w:rPr>
                <w:rFonts w:ascii="Times New Roman"/>
                <w:b/>
                <w:spacing w:val="-1"/>
                <w:sz w:val="18"/>
              </w:rPr>
              <w:t>107,977,090.91</w:t>
            </w:r>
            <w:r>
              <w:rPr>
                <w:rFonts w:ascii="Times New Roman"/>
                <w:spacing w:val="-1"/>
                <w:sz w:val="18"/>
              </w:rPr>
            </w:r>
          </w:p>
        </w:tc>
        <w:tc>
          <w:tcPr>
            <w:tcW w:w="208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10"/>
              <w:jc w:val="right"/>
              <w:rPr>
                <w:rFonts w:ascii="Times New Roman" w:hAnsi="Times New Roman" w:cs="Times New Roman" w:eastAsia="Times New Roman" w:hint="default"/>
                <w:sz w:val="18"/>
                <w:szCs w:val="18"/>
              </w:rPr>
            </w:pPr>
            <w:r>
              <w:rPr>
                <w:rFonts w:ascii="Times New Roman"/>
                <w:b/>
                <w:spacing w:val="-1"/>
                <w:sz w:val="18"/>
              </w:rPr>
              <w:t>13,461,958.59</w:t>
            </w:r>
            <w:r>
              <w:rPr>
                <w:rFonts w:ascii="Times New Roman"/>
                <w:spacing w:val="-1"/>
                <w:sz w:val="18"/>
              </w:rPr>
            </w:r>
          </w:p>
        </w:tc>
      </w:tr>
    </w:tbl>
    <w:p>
      <w:pPr>
        <w:tabs>
          <w:tab w:pos="1041" w:val="left" w:leader="none"/>
        </w:tabs>
        <w:spacing w:before="21"/>
        <w:ind w:left="64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7.</w:t>
        <w:tab/>
      </w:r>
      <w:r>
        <w:rPr>
          <w:rFonts w:ascii="宋体" w:hAnsi="宋体" w:cs="宋体" w:eastAsia="宋体" w:hint="default"/>
          <w:sz w:val="22"/>
          <w:szCs w:val="22"/>
        </w:rPr>
        <w:t>其他应收款</w:t>
      </w:r>
    </w:p>
    <w:p>
      <w:pPr>
        <w:spacing w:before="110"/>
        <w:ind w:left="52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52"/>
          <w:sz w:val="22"/>
          <w:szCs w:val="22"/>
        </w:rPr>
        <w:t> </w:t>
      </w:r>
      <w:r>
        <w:rPr>
          <w:rFonts w:ascii="宋体" w:hAnsi="宋体" w:cs="宋体" w:eastAsia="宋体" w:hint="default"/>
          <w:sz w:val="22"/>
          <w:szCs w:val="22"/>
        </w:rPr>
        <w:t>其他应收款分类</w:t>
      </w:r>
    </w:p>
    <w:p>
      <w:pPr>
        <w:spacing w:line="240" w:lineRule="auto" w:before="8"/>
        <w:rPr>
          <w:rFonts w:ascii="宋体" w:hAnsi="宋体" w:cs="宋体" w:eastAsia="宋体" w:hint="default"/>
          <w:sz w:val="11"/>
          <w:szCs w:val="11"/>
        </w:rPr>
      </w:pPr>
    </w:p>
    <w:p>
      <w:pPr>
        <w:spacing w:line="28" w:lineRule="exact"/>
        <w:ind w:left="119" w:right="0" w:firstLine="0"/>
        <w:rPr>
          <w:rFonts w:ascii="宋体" w:hAnsi="宋体" w:cs="宋体" w:eastAsia="宋体" w:hint="default"/>
          <w:sz w:val="2"/>
          <w:szCs w:val="2"/>
        </w:rPr>
      </w:pPr>
      <w:r>
        <w:rPr>
          <w:rFonts w:ascii="宋体" w:hAnsi="宋体" w:cs="宋体" w:eastAsia="宋体" w:hint="default"/>
          <w:position w:val="0"/>
          <w:sz w:val="2"/>
          <w:szCs w:val="2"/>
        </w:rPr>
        <w:pict>
          <v:group style="width:437.75pt;height:1.45pt;mso-position-horizontal-relative:char;mso-position-vertical-relative:line" coordorigin="0,0" coordsize="8755,29">
            <v:group style="position:absolute;left:14;top:14;width:2458;height:2" coordorigin="14,14" coordsize="2458,2">
              <v:shape style="position:absolute;left:14;top:14;width:2458;height:2" coordorigin="14,14" coordsize="2458,0" path="m14,14l2472,14e" filled="false" stroked="true" strokeweight="1.44pt" strokecolor="#000000">
                <v:path arrowok="t"/>
              </v:shape>
            </v:group>
            <v:group style="position:absolute;left:2473;top:14;width:29;height:2" coordorigin="2473,14" coordsize="29,2">
              <v:shape style="position:absolute;left:2473;top:14;width:29;height:2" coordorigin="2473,14" coordsize="29,0" path="m2473,14l2501,14e" filled="false" stroked="true" strokeweight="1.44pt" strokecolor="#000000">
                <v:path arrowok="t"/>
              </v:shape>
            </v:group>
            <v:group style="position:absolute;left:2501;top:14;width:6239;height:2" coordorigin="2501,14" coordsize="6239,2">
              <v:shape style="position:absolute;left:2501;top:14;width:6239;height:2" coordorigin="2501,14" coordsize="6239,0" path="m2501,14l8740,14e" filled="false" stroked="true" strokeweight="1.44pt" strokecolor="#000000">
                <v:path arrowok="t"/>
              </v:shape>
            </v:group>
          </v:group>
        </w:pict>
      </w:r>
      <w:r>
        <w:rPr>
          <w:rFonts w:ascii="宋体" w:hAnsi="宋体" w:cs="宋体" w:eastAsia="宋体" w:hint="default"/>
          <w:position w:val="0"/>
          <w:sz w:val="2"/>
          <w:szCs w:val="2"/>
        </w:rPr>
      </w:r>
    </w:p>
    <w:p>
      <w:pPr>
        <w:spacing w:after="0" w:line="28" w:lineRule="exact"/>
        <w:rPr>
          <w:rFonts w:ascii="宋体" w:hAnsi="宋体" w:cs="宋体" w:eastAsia="宋体" w:hint="default"/>
          <w:sz w:val="2"/>
          <w:szCs w:val="2"/>
        </w:rPr>
        <w:sectPr>
          <w:headerReference w:type="default" r:id="rId59"/>
          <w:pgSz w:w="11910" w:h="16840"/>
          <w:pgMar w:header="585" w:footer="836" w:top="1820" w:bottom="1020" w:left="1460" w:right="1460"/>
        </w:sectPr>
      </w:pPr>
    </w:p>
    <w:p>
      <w:pPr>
        <w:spacing w:line="240" w:lineRule="auto" w:before="4"/>
        <w:rPr>
          <w:rFonts w:ascii="宋体" w:hAnsi="宋体" w:cs="宋体" w:eastAsia="宋体" w:hint="default"/>
          <w:sz w:val="22"/>
          <w:szCs w:val="22"/>
        </w:rPr>
      </w:pPr>
    </w:p>
    <w:p>
      <w:pPr>
        <w:spacing w:before="0"/>
        <w:ind w:left="237" w:right="0" w:firstLine="0"/>
        <w:jc w:val="center"/>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before="144"/>
        <w:ind w:left="242" w:right="0" w:firstLine="0"/>
        <w:jc w:val="center"/>
        <w:rPr>
          <w:rFonts w:ascii="宋体" w:hAnsi="宋体" w:cs="宋体" w:eastAsia="宋体" w:hint="default"/>
          <w:sz w:val="18"/>
          <w:szCs w:val="18"/>
        </w:rPr>
      </w:pPr>
      <w:r>
        <w:rPr/>
        <w:pict>
          <v:group style="position:absolute;margin-left:79.464012pt;margin-top:5.711733pt;width:436.8pt;height:.5pt;mso-position-horizontal-relative:page;mso-position-vertical-relative:paragraph;z-index:1576" coordorigin="1589,114" coordsize="8736,10">
            <v:group style="position:absolute;left:1594;top:119;width:2458;height:2" coordorigin="1594,119" coordsize="2458,2">
              <v:shape style="position:absolute;left:1594;top:119;width:2458;height:2" coordorigin="1594,119" coordsize="2458,0" path="m1594,119l4052,119e" filled="false" stroked="true" strokeweight=".47998pt" strokecolor="#000000">
                <v:path arrowok="t"/>
              </v:shape>
            </v:group>
            <v:group style="position:absolute;left:4052;top:119;width:10;height:2" coordorigin="4052,119" coordsize="10,2">
              <v:shape style="position:absolute;left:4052;top:119;width:10;height:2" coordorigin="4052,119" coordsize="10,0" path="m4052,119l4062,119e" filled="false" stroked="true" strokeweight=".47998pt" strokecolor="#000000">
                <v:path arrowok="t"/>
              </v:shape>
            </v:group>
            <v:group style="position:absolute;left:4062;top:119;width:1467;height:2" coordorigin="4062,119" coordsize="1467,2">
              <v:shape style="position:absolute;left:4062;top:119;width:1467;height:2" coordorigin="4062,119" coordsize="1467,0" path="m4062,119l5528,119e" filled="false" stroked="true" strokeweight=".47998pt" strokecolor="#000000">
                <v:path arrowok="t"/>
              </v:shape>
            </v:group>
            <v:group style="position:absolute;left:5528;top:119;width:10;height:2" coordorigin="5528,119" coordsize="10,2">
              <v:shape style="position:absolute;left:5528;top:119;width:10;height:2" coordorigin="5528,119" coordsize="10,0" path="m5528,119l5538,119e" filled="false" stroked="true" strokeweight=".47998pt" strokecolor="#000000">
                <v:path arrowok="t"/>
              </v:shape>
            </v:group>
            <v:group style="position:absolute;left:5538;top:119;width:985;height:2" coordorigin="5538,119" coordsize="985,2">
              <v:shape style="position:absolute;left:5538;top:119;width:985;height:2" coordorigin="5538,119" coordsize="985,0" path="m5538,119l6522,119e" filled="false" stroked="true" strokeweight=".47998pt" strokecolor="#000000">
                <v:path arrowok="t"/>
              </v:shape>
            </v:group>
            <v:group style="position:absolute;left:6522;top:119;width:10;height:2" coordorigin="6522,119" coordsize="10,2">
              <v:shape style="position:absolute;left:6522;top:119;width:10;height:2" coordorigin="6522,119" coordsize="10,0" path="m6522,119l6532,119e" filled="false" stroked="true" strokeweight=".47998pt" strokecolor="#000000">
                <v:path arrowok="t"/>
              </v:shape>
            </v:group>
            <v:group style="position:absolute;left:6532;top:119;width:1409;height:2" coordorigin="6532,119" coordsize="1409,2">
              <v:shape style="position:absolute;left:6532;top:119;width:1409;height:2" coordorigin="6532,119" coordsize="1409,0" path="m6532,119l7941,119e" filled="false" stroked="true" strokeweight=".47998pt" strokecolor="#000000">
                <v:path arrowok="t"/>
              </v:shape>
            </v:group>
            <v:group style="position:absolute;left:7941;top:119;width:10;height:2" coordorigin="7941,119" coordsize="10,2">
              <v:shape style="position:absolute;left:7941;top:119;width:10;height:2" coordorigin="7941,119" coordsize="10,0" path="m7941,119l7950,119e" filled="false" stroked="true" strokeweight=".47998pt" strokecolor="#000000">
                <v:path arrowok="t"/>
              </v:shape>
            </v:group>
            <v:group style="position:absolute;left:7950;top:119;width:1026;height:2" coordorigin="7950,119" coordsize="1026,2">
              <v:shape style="position:absolute;left:7950;top:119;width:1026;height:2" coordorigin="7950,119" coordsize="1026,0" path="m7950,119l8975,119e" filled="false" stroked="true" strokeweight=".47998pt" strokecolor="#000000">
                <v:path arrowok="t"/>
              </v:shape>
            </v:group>
            <v:group style="position:absolute;left:8976;top:119;width:10;height:2" coordorigin="8976,119" coordsize="10,2">
              <v:shape style="position:absolute;left:8976;top:119;width:10;height:2" coordorigin="8976,119" coordsize="10,0" path="m8976,119l8985,119e" filled="false" stroked="true" strokeweight=".47998pt" strokecolor="#000000">
                <v:path arrowok="t"/>
              </v:shape>
            </v:group>
            <v:group style="position:absolute;left:8985;top:119;width:1335;height:2" coordorigin="8985,119" coordsize="1335,2">
              <v:shape style="position:absolute;left:8985;top:119;width:1335;height:2" coordorigin="8985,119" coordsize="1335,0" path="m8985,119l10320,119e" filled="false" stroked="true" strokeweight=".47998pt" strokecolor="#000000">
                <v:path arrowok="t"/>
              </v:shape>
            </v:group>
            <w10:wrap type="none"/>
          </v:group>
        </w:pict>
      </w:r>
      <w:r>
        <w:rPr/>
        <w:pict>
          <v:shape style="position:absolute;margin-left:79.704002pt;margin-top:16.22965pt;width:436.3pt;height:92.45pt;mso-position-horizontal-relative:page;mso-position-vertical-relative:paragraph;z-index:16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86"/>
                    <w:gridCol w:w="982"/>
                    <w:gridCol w:w="1466"/>
                    <w:gridCol w:w="950"/>
                    <w:gridCol w:w="1342"/>
                  </w:tblGrid>
                  <w:tr>
                    <w:trPr>
                      <w:trHeight w:val="374" w:hRule="exact"/>
                    </w:trPr>
                    <w:tc>
                      <w:tcPr>
                        <w:tcW w:w="3986" w:type="dxa"/>
                        <w:tcBorders>
                          <w:top w:val="nil" w:sz="6" w:space="0" w:color="auto"/>
                          <w:left w:val="nil" w:sz="6" w:space="0" w:color="auto"/>
                          <w:bottom w:val="nil" w:sz="6" w:space="0" w:color="auto"/>
                          <w:right w:val="nil" w:sz="6" w:space="0" w:color="auto"/>
                        </w:tcBorders>
                      </w:tcPr>
                      <w:p>
                        <w:pPr>
                          <w:pStyle w:val="TableParagraph"/>
                          <w:tabs>
                            <w:tab w:pos="2789" w:val="left" w:leader="none"/>
                          </w:tabs>
                          <w:spacing w:line="290" w:lineRule="exact"/>
                          <w:ind w:left="108" w:right="0"/>
                          <w:jc w:val="left"/>
                          <w:rPr>
                            <w:rFonts w:ascii="Times New Roman" w:hAnsi="Times New Roman" w:cs="Times New Roman" w:eastAsia="Times New Roman" w:hint="default"/>
                            <w:sz w:val="18"/>
                            <w:szCs w:val="18"/>
                          </w:rPr>
                        </w:pPr>
                        <w:r>
                          <w:rPr>
                            <w:rFonts w:ascii="宋体" w:hAnsi="宋体" w:cs="宋体" w:eastAsia="宋体" w:hint="default"/>
                            <w:position w:val="-11"/>
                            <w:sz w:val="18"/>
                            <w:szCs w:val="18"/>
                          </w:rPr>
                          <w:t>账准备的其他应收款</w:t>
                          <w:tab/>
                        </w:r>
                        <w:r>
                          <w:rPr>
                            <w:rFonts w:ascii="Times New Roman" w:hAnsi="Times New Roman" w:cs="Times New Roman" w:eastAsia="Times New Roman" w:hint="default"/>
                            <w:sz w:val="18"/>
                            <w:szCs w:val="18"/>
                          </w:rPr>
                          <w:t>45,325,348.76</w:t>
                        </w:r>
                      </w:p>
                    </w:tc>
                    <w:tc>
                      <w:tcPr>
                        <w:tcW w:w="982" w:type="dxa"/>
                        <w:tcBorders>
                          <w:top w:val="nil" w:sz="6" w:space="0" w:color="auto"/>
                          <w:left w:val="nil" w:sz="6" w:space="0" w:color="auto"/>
                          <w:bottom w:val="nil" w:sz="6" w:space="0" w:color="auto"/>
                          <w:right w:val="nil" w:sz="6" w:space="0" w:color="auto"/>
                        </w:tcBorders>
                      </w:tcPr>
                      <w:p>
                        <w:pPr>
                          <w:pStyle w:val="TableParagraph"/>
                          <w:spacing w:line="184" w:lineRule="exact"/>
                          <w:ind w:right="145"/>
                          <w:jc w:val="right"/>
                          <w:rPr>
                            <w:rFonts w:ascii="Times New Roman" w:hAnsi="Times New Roman" w:cs="Times New Roman" w:eastAsia="Times New Roman" w:hint="default"/>
                            <w:sz w:val="18"/>
                            <w:szCs w:val="18"/>
                          </w:rPr>
                        </w:pPr>
                        <w:r>
                          <w:rPr>
                            <w:rFonts w:ascii="Times New Roman"/>
                            <w:sz w:val="18"/>
                          </w:rPr>
                          <w:t>3.54%</w:t>
                        </w:r>
                      </w:p>
                    </w:tc>
                    <w:tc>
                      <w:tcPr>
                        <w:tcW w:w="1466" w:type="dxa"/>
                        <w:tcBorders>
                          <w:top w:val="nil" w:sz="6" w:space="0" w:color="auto"/>
                          <w:left w:val="nil" w:sz="6" w:space="0" w:color="auto"/>
                          <w:bottom w:val="nil" w:sz="6" w:space="0" w:color="auto"/>
                          <w:right w:val="nil" w:sz="6" w:space="0" w:color="auto"/>
                        </w:tcBorders>
                      </w:tcPr>
                      <w:p>
                        <w:pPr>
                          <w:pStyle w:val="TableParagraph"/>
                          <w:spacing w:line="184" w:lineRule="exact"/>
                          <w:ind w:left="35" w:right="0"/>
                          <w:jc w:val="center"/>
                          <w:rPr>
                            <w:rFonts w:ascii="Times New Roman" w:hAnsi="Times New Roman" w:cs="Times New Roman" w:eastAsia="Times New Roman" w:hint="default"/>
                            <w:sz w:val="18"/>
                            <w:szCs w:val="18"/>
                          </w:rPr>
                        </w:pPr>
                        <w:r>
                          <w:rPr>
                            <w:rFonts w:ascii="Times New Roman"/>
                            <w:sz w:val="18"/>
                          </w:rPr>
                          <w:t>45,325,348.76</w:t>
                        </w:r>
                      </w:p>
                    </w:tc>
                    <w:tc>
                      <w:tcPr>
                        <w:tcW w:w="950" w:type="dxa"/>
                        <w:tcBorders>
                          <w:top w:val="nil" w:sz="6" w:space="0" w:color="auto"/>
                          <w:left w:val="nil" w:sz="6" w:space="0" w:color="auto"/>
                          <w:bottom w:val="nil" w:sz="6" w:space="0" w:color="auto"/>
                          <w:right w:val="nil" w:sz="6" w:space="0" w:color="auto"/>
                        </w:tcBorders>
                      </w:tcPr>
                      <w:p>
                        <w:pPr>
                          <w:pStyle w:val="TableParagraph"/>
                          <w:spacing w:line="184" w:lineRule="exact"/>
                          <w:ind w:right="106"/>
                          <w:jc w:val="right"/>
                          <w:rPr>
                            <w:rFonts w:ascii="Times New Roman" w:hAnsi="Times New Roman" w:cs="Times New Roman" w:eastAsia="Times New Roman" w:hint="default"/>
                            <w:sz w:val="18"/>
                            <w:szCs w:val="18"/>
                          </w:rPr>
                        </w:pPr>
                        <w:r>
                          <w:rPr>
                            <w:rFonts w:ascii="Times New Roman"/>
                            <w:spacing w:val="-1"/>
                            <w:sz w:val="18"/>
                          </w:rPr>
                          <w:t>100.00%</w:t>
                        </w:r>
                      </w:p>
                    </w:tc>
                    <w:tc>
                      <w:tcPr>
                        <w:tcW w:w="1342" w:type="dxa"/>
                        <w:tcBorders>
                          <w:top w:val="nil" w:sz="6" w:space="0" w:color="auto"/>
                          <w:left w:val="nil" w:sz="6" w:space="0" w:color="auto"/>
                          <w:bottom w:val="nil" w:sz="6" w:space="0" w:color="auto"/>
                          <w:right w:val="nil" w:sz="6" w:space="0" w:color="auto"/>
                        </w:tcBorders>
                      </w:tcPr>
                      <w:p>
                        <w:pPr>
                          <w:pStyle w:val="TableParagraph"/>
                          <w:spacing w:line="184" w:lineRule="exact"/>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570" w:hRule="exact"/>
                    </w:trPr>
                    <w:tc>
                      <w:tcPr>
                        <w:tcW w:w="3986" w:type="dxa"/>
                        <w:tcBorders>
                          <w:top w:val="nil" w:sz="6" w:space="0" w:color="auto"/>
                          <w:left w:val="nil" w:sz="6" w:space="0" w:color="auto"/>
                          <w:bottom w:val="nil" w:sz="6" w:space="0" w:color="auto"/>
                          <w:right w:val="nil" w:sz="6" w:space="0" w:color="auto"/>
                        </w:tcBorders>
                      </w:tcPr>
                      <w:p>
                        <w:pPr>
                          <w:pStyle w:val="TableParagraph"/>
                          <w:tabs>
                            <w:tab w:pos="2566" w:val="left" w:leader="none"/>
                          </w:tabs>
                          <w:spacing w:line="158" w:lineRule="auto" w:before="87"/>
                          <w:ind w:left="108" w:right="158"/>
                          <w:jc w:val="left"/>
                          <w:rPr>
                            <w:rFonts w:ascii="Times New Roman" w:hAnsi="Times New Roman" w:cs="Times New Roman" w:eastAsia="Times New Roman" w:hint="default"/>
                            <w:sz w:val="18"/>
                            <w:szCs w:val="18"/>
                          </w:rPr>
                        </w:pPr>
                        <w:r>
                          <w:rPr>
                            <w:rFonts w:ascii="宋体" w:hAnsi="宋体" w:cs="宋体" w:eastAsia="宋体" w:hint="default"/>
                            <w:spacing w:val="7"/>
                            <w:sz w:val="18"/>
                            <w:szCs w:val="18"/>
                          </w:rPr>
                          <w:t>按信用风险特征组合计提坏 </w:t>
                        </w:r>
                        <w:r>
                          <w:rPr>
                            <w:rFonts w:ascii="宋体" w:hAnsi="宋体" w:cs="宋体" w:eastAsia="宋体" w:hint="default"/>
                            <w:position w:val="-11"/>
                            <w:sz w:val="18"/>
                            <w:szCs w:val="18"/>
                          </w:rPr>
                          <w:t>账准备的其他应收款</w:t>
                          <w:tab/>
                        </w:r>
                        <w:r>
                          <w:rPr>
                            <w:rFonts w:ascii="Times New Roman" w:hAnsi="Times New Roman" w:cs="Times New Roman" w:eastAsia="Times New Roman" w:hint="default"/>
                            <w:spacing w:val="-1"/>
                            <w:sz w:val="18"/>
                            <w:szCs w:val="18"/>
                          </w:rPr>
                          <w:t>1,230,551,197.59</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43"/>
                          <w:jc w:val="right"/>
                          <w:rPr>
                            <w:rFonts w:ascii="Times New Roman" w:hAnsi="Times New Roman" w:cs="Times New Roman" w:eastAsia="Times New Roman" w:hint="default"/>
                            <w:sz w:val="18"/>
                            <w:szCs w:val="18"/>
                          </w:rPr>
                        </w:pPr>
                        <w:r>
                          <w:rPr>
                            <w:rFonts w:ascii="Times New Roman"/>
                            <w:sz w:val="18"/>
                          </w:rPr>
                          <w:t>96.28%</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48"/>
                          <w:jc w:val="center"/>
                          <w:rPr>
                            <w:rFonts w:ascii="Times New Roman" w:hAnsi="Times New Roman" w:cs="Times New Roman" w:eastAsia="Times New Roman" w:hint="default"/>
                            <w:sz w:val="18"/>
                            <w:szCs w:val="18"/>
                          </w:rPr>
                        </w:pPr>
                        <w:r>
                          <w:rPr>
                            <w:rFonts w:ascii="Times New Roman"/>
                            <w:sz w:val="18"/>
                          </w:rPr>
                          <w:t>277,154,517.47</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22.52%</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953,396,680.12</w:t>
                        </w:r>
                      </w:p>
                    </w:tc>
                  </w:tr>
                  <w:tr>
                    <w:trPr>
                      <w:trHeight w:val="571" w:hRule="exact"/>
                    </w:trPr>
                    <w:tc>
                      <w:tcPr>
                        <w:tcW w:w="3986" w:type="dxa"/>
                        <w:tcBorders>
                          <w:top w:val="nil" w:sz="6" w:space="0" w:color="auto"/>
                          <w:left w:val="nil" w:sz="6" w:space="0" w:color="auto"/>
                          <w:bottom w:val="single" w:sz="4" w:space="0" w:color="000000"/>
                          <w:right w:val="nil" w:sz="6" w:space="0" w:color="auto"/>
                        </w:tcBorders>
                      </w:tcPr>
                      <w:p>
                        <w:pPr>
                          <w:pStyle w:val="TableParagraph"/>
                          <w:tabs>
                            <w:tab w:pos="2880" w:val="left" w:leader="none"/>
                          </w:tabs>
                          <w:spacing w:line="160" w:lineRule="auto" w:before="84"/>
                          <w:ind w:left="108" w:right="157"/>
                          <w:jc w:val="left"/>
                          <w:rPr>
                            <w:rFonts w:ascii="Times New Roman" w:hAnsi="Times New Roman" w:cs="Times New Roman" w:eastAsia="Times New Roman" w:hint="default"/>
                            <w:sz w:val="18"/>
                            <w:szCs w:val="18"/>
                          </w:rPr>
                        </w:pPr>
                        <w:r>
                          <w:rPr>
                            <w:rFonts w:ascii="宋体" w:hAnsi="宋体" w:cs="宋体" w:eastAsia="宋体" w:hint="default"/>
                            <w:spacing w:val="7"/>
                            <w:sz w:val="18"/>
                            <w:szCs w:val="18"/>
                          </w:rPr>
                          <w:t>单项金额不重大但单项计提 </w:t>
                        </w:r>
                        <w:r>
                          <w:rPr>
                            <w:rFonts w:ascii="宋体" w:hAnsi="宋体" w:cs="宋体" w:eastAsia="宋体" w:hint="default"/>
                            <w:position w:val="-11"/>
                            <w:sz w:val="18"/>
                            <w:szCs w:val="18"/>
                          </w:rPr>
                          <w:t>坏账准备的其他应收款</w:t>
                          <w:tab/>
                        </w:r>
                        <w:r>
                          <w:rPr>
                            <w:rFonts w:ascii="Times New Roman" w:hAnsi="Times New Roman" w:cs="Times New Roman" w:eastAsia="Times New Roman" w:hint="default"/>
                            <w:sz w:val="18"/>
                            <w:szCs w:val="18"/>
                          </w:rPr>
                          <w:t>2,263,560.94</w:t>
                        </w:r>
                      </w:p>
                    </w:tc>
                    <w:tc>
                      <w:tcPr>
                        <w:tcW w:w="982"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sz w:val="18"/>
                          </w:rPr>
                          <w:t>0.18%</w:t>
                        </w:r>
                      </w:p>
                    </w:tc>
                    <w:tc>
                      <w:tcPr>
                        <w:tcW w:w="1466"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29" w:right="0"/>
                          <w:jc w:val="center"/>
                          <w:rPr>
                            <w:rFonts w:ascii="Times New Roman" w:hAnsi="Times New Roman" w:cs="Times New Roman" w:eastAsia="Times New Roman" w:hint="default"/>
                            <w:sz w:val="18"/>
                            <w:szCs w:val="18"/>
                          </w:rPr>
                        </w:pPr>
                        <w:r>
                          <w:rPr>
                            <w:rFonts w:ascii="Times New Roman"/>
                            <w:sz w:val="18"/>
                          </w:rPr>
                          <w:t>1,806,046.89</w:t>
                        </w:r>
                      </w:p>
                    </w:tc>
                    <w:tc>
                      <w:tcPr>
                        <w:tcW w:w="950"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79.79%</w:t>
                        </w:r>
                      </w:p>
                    </w:tc>
                    <w:tc>
                      <w:tcPr>
                        <w:tcW w:w="1342"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457,514.05</w:t>
                        </w:r>
                      </w:p>
                    </w:tc>
                  </w:tr>
                  <w:tr>
                    <w:trPr>
                      <w:trHeight w:val="305" w:hRule="exact"/>
                    </w:trPr>
                    <w:tc>
                      <w:tcPr>
                        <w:tcW w:w="3986" w:type="dxa"/>
                        <w:tcBorders>
                          <w:top w:val="single" w:sz="4" w:space="0" w:color="000000"/>
                          <w:left w:val="nil" w:sz="6" w:space="0" w:color="auto"/>
                          <w:bottom w:val="single" w:sz="12" w:space="0" w:color="000000"/>
                          <w:right w:val="nil" w:sz="6" w:space="0" w:color="auto"/>
                        </w:tcBorders>
                      </w:tcPr>
                      <w:p>
                        <w:pPr>
                          <w:pStyle w:val="TableParagraph"/>
                          <w:tabs>
                            <w:tab w:pos="2566" w:val="left" w:leader="none"/>
                          </w:tabs>
                          <w:spacing w:line="240" w:lineRule="auto" w:before="24"/>
                          <w:ind w:left="108" w:right="0"/>
                          <w:jc w:val="left"/>
                          <w:rPr>
                            <w:rFonts w:ascii="Times New Roman" w:hAnsi="Times New Roman" w:cs="Times New Roman" w:eastAsia="Times New Roman" w:hint="default"/>
                            <w:sz w:val="18"/>
                            <w:szCs w:val="18"/>
                          </w:rPr>
                        </w:pPr>
                        <w:r>
                          <w:rPr>
                            <w:rFonts w:ascii="宋体" w:hAnsi="宋体" w:cs="宋体" w:eastAsia="宋体" w:hint="default"/>
                            <w:b/>
                            <w:bCs/>
                            <w:position w:val="1"/>
                            <w:sz w:val="18"/>
                            <w:szCs w:val="18"/>
                          </w:rPr>
                          <w:t>合计</w:t>
                          <w:tab/>
                        </w:r>
                        <w:r>
                          <w:rPr>
                            <w:rFonts w:ascii="Times New Roman" w:hAnsi="Times New Roman" w:cs="Times New Roman" w:eastAsia="Times New Roman" w:hint="default"/>
                            <w:b/>
                            <w:bCs/>
                            <w:sz w:val="18"/>
                            <w:szCs w:val="18"/>
                          </w:rPr>
                          <w:t>1,278,140,107.29</w:t>
                        </w:r>
                        <w:r>
                          <w:rPr>
                            <w:rFonts w:ascii="Times New Roman" w:hAnsi="Times New Roman" w:cs="Times New Roman" w:eastAsia="Times New Roman" w:hint="default"/>
                            <w:sz w:val="18"/>
                            <w:szCs w:val="18"/>
                          </w:rPr>
                        </w:r>
                      </w:p>
                    </w:tc>
                    <w:tc>
                      <w:tcPr>
                        <w:tcW w:w="982"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44"/>
                          <w:jc w:val="right"/>
                          <w:rPr>
                            <w:rFonts w:ascii="Times New Roman" w:hAnsi="Times New Roman" w:cs="Times New Roman" w:eastAsia="Times New Roman" w:hint="default"/>
                            <w:sz w:val="18"/>
                            <w:szCs w:val="18"/>
                          </w:rPr>
                        </w:pPr>
                        <w:r>
                          <w:rPr>
                            <w:rFonts w:ascii="Times New Roman"/>
                            <w:b/>
                            <w:spacing w:val="-1"/>
                            <w:sz w:val="18"/>
                          </w:rPr>
                          <w:t>100.00%</w:t>
                        </w:r>
                        <w:r>
                          <w:rPr>
                            <w:rFonts w:ascii="Times New Roman"/>
                            <w:spacing w:val="-1"/>
                            <w:sz w:val="18"/>
                          </w:rPr>
                        </w:r>
                      </w:p>
                    </w:tc>
                    <w:tc>
                      <w:tcPr>
                        <w:tcW w:w="1466"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48"/>
                          <w:jc w:val="center"/>
                          <w:rPr>
                            <w:rFonts w:ascii="Times New Roman" w:hAnsi="Times New Roman" w:cs="Times New Roman" w:eastAsia="Times New Roman" w:hint="default"/>
                            <w:sz w:val="18"/>
                            <w:szCs w:val="18"/>
                          </w:rPr>
                        </w:pPr>
                        <w:r>
                          <w:rPr>
                            <w:rFonts w:ascii="Times New Roman"/>
                            <w:b/>
                            <w:sz w:val="18"/>
                          </w:rPr>
                          <w:t>324,285,913.12</w:t>
                        </w:r>
                        <w:r>
                          <w:rPr>
                            <w:rFonts w:ascii="Times New Roman"/>
                            <w:sz w:val="18"/>
                          </w:rPr>
                        </w:r>
                      </w:p>
                    </w:tc>
                    <w:tc>
                      <w:tcPr>
                        <w:tcW w:w="950"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4"/>
                          <w:jc w:val="right"/>
                          <w:rPr>
                            <w:rFonts w:ascii="Times New Roman" w:hAnsi="Times New Roman" w:cs="Times New Roman" w:eastAsia="Times New Roman" w:hint="default"/>
                            <w:sz w:val="18"/>
                            <w:szCs w:val="18"/>
                          </w:rPr>
                        </w:pPr>
                        <w:r>
                          <w:rPr>
                            <w:rFonts w:ascii="Times New Roman"/>
                            <w:b/>
                            <w:sz w:val="18"/>
                          </w:rPr>
                          <w:t>25.37%</w:t>
                        </w:r>
                        <w:r>
                          <w:rPr>
                            <w:rFonts w:ascii="Times New Roman"/>
                            <w:sz w:val="18"/>
                          </w:rPr>
                        </w:r>
                      </w:p>
                    </w:tc>
                    <w:tc>
                      <w:tcPr>
                        <w:tcW w:w="1342"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8"/>
                          <w:jc w:val="right"/>
                          <w:rPr>
                            <w:rFonts w:ascii="Times New Roman" w:hAnsi="Times New Roman" w:cs="Times New Roman" w:eastAsia="Times New Roman" w:hint="default"/>
                            <w:sz w:val="18"/>
                            <w:szCs w:val="18"/>
                          </w:rPr>
                        </w:pPr>
                        <w:r>
                          <w:rPr>
                            <w:rFonts w:ascii="Times New Roman"/>
                            <w:b/>
                            <w:spacing w:val="-1"/>
                            <w:sz w:val="18"/>
                          </w:rPr>
                          <w:t>953,854,194.17</w:t>
                        </w:r>
                        <w:r>
                          <w:rPr>
                            <w:rFonts w:ascii="Times New Roman"/>
                            <w:spacing w:val="-1"/>
                            <w:sz w:val="18"/>
                          </w:rPr>
                        </w:r>
                      </w:p>
                    </w:tc>
                  </w:tr>
                </w:tbl>
                <w:p>
                  <w:pPr/>
                </w:p>
              </w:txbxContent>
            </v:textbox>
            <w10:wrap type="none"/>
          </v:shape>
        </w:pict>
      </w:r>
      <w:r>
        <w:rPr>
          <w:rFonts w:ascii="宋体" w:hAnsi="宋体" w:cs="宋体" w:eastAsia="宋体" w:hint="default"/>
          <w:spacing w:val="7"/>
          <w:sz w:val="18"/>
          <w:szCs w:val="18"/>
        </w:rPr>
        <w:t>单项金额重大并单项计提坏</w:t>
      </w:r>
      <w:r>
        <w:rPr>
          <w:rFonts w:ascii="宋体" w:hAnsi="宋体" w:cs="宋体" w:eastAsia="宋体" w:hint="default"/>
          <w:sz w:val="18"/>
          <w:szCs w:val="18"/>
        </w:rPr>
      </w:r>
    </w:p>
    <w:p>
      <w:pPr>
        <w:spacing w:before="23"/>
        <w:ind w:left="2455" w:right="0" w:firstLine="0"/>
        <w:jc w:val="left"/>
        <w:rPr>
          <w:rFonts w:ascii="宋体" w:hAnsi="宋体" w:cs="宋体" w:eastAsia="宋体" w:hint="default"/>
          <w:sz w:val="18"/>
          <w:szCs w:val="18"/>
        </w:rPr>
      </w:pPr>
      <w:r>
        <w:rPr/>
        <w:br w:type="column"/>
      </w:r>
      <w:r>
        <w:rPr>
          <w:rFonts w:ascii="宋体" w:hAnsi="宋体" w:cs="宋体" w:eastAsia="宋体" w:hint="default"/>
          <w:b/>
          <w:bCs/>
          <w:sz w:val="18"/>
          <w:szCs w:val="18"/>
        </w:rPr>
        <w:t>年末余额</w:t>
      </w:r>
      <w:r>
        <w:rPr>
          <w:rFonts w:ascii="宋体" w:hAnsi="宋体" w:cs="宋体" w:eastAsia="宋体" w:hint="default"/>
          <w:sz w:val="18"/>
          <w:szCs w:val="18"/>
        </w:rPr>
      </w:r>
    </w:p>
    <w:p>
      <w:pPr>
        <w:tabs>
          <w:tab w:pos="3019" w:val="left" w:leader="none"/>
        </w:tabs>
        <w:spacing w:before="59"/>
        <w:ind w:left="558" w:right="0" w:firstLine="0"/>
        <w:jc w:val="left"/>
        <w:rPr>
          <w:rFonts w:ascii="宋体" w:hAnsi="宋体" w:cs="宋体" w:eastAsia="宋体" w:hint="default"/>
          <w:sz w:val="18"/>
          <w:szCs w:val="18"/>
        </w:rPr>
      </w:pPr>
      <w:r>
        <w:rPr/>
        <w:pict>
          <v:group style="position:absolute;margin-left:202.37001pt;margin-top:1.341741pt;width:313.850pt;height:.5pt;mso-position-horizontal-relative:page;mso-position-vertical-relative:paragraph;z-index:1528" coordorigin="4047,27" coordsize="6277,10">
            <v:group style="position:absolute;left:4052;top:32;width:2470;height:2" coordorigin="4052,32" coordsize="2470,2">
              <v:shape style="position:absolute;left:4052;top:32;width:2470;height:2" coordorigin="4052,32" coordsize="2470,0" path="m4052,32l6522,32e" filled="false" stroked="true" strokeweight=".47998pt" strokecolor="#000000">
                <v:path arrowok="t"/>
              </v:shape>
            </v:group>
            <v:group style="position:absolute;left:6522;top:32;width:10;height:2" coordorigin="6522,32" coordsize="10,2">
              <v:shape style="position:absolute;left:6522;top:32;width:10;height:2" coordorigin="6522,32" coordsize="10,0" path="m6522,32l6532,32e" filled="false" stroked="true" strokeweight=".47998pt" strokecolor="#000000">
                <v:path arrowok="t"/>
              </v:shape>
            </v:group>
            <v:group style="position:absolute;left:6532;top:32;width:2444;height:2" coordorigin="6532,32" coordsize="2444,2">
              <v:shape style="position:absolute;left:6532;top:32;width:2444;height:2" coordorigin="6532,32" coordsize="2444,0" path="m6532,32l8975,32e" filled="false" stroked="true" strokeweight=".47998pt" strokecolor="#000000">
                <v:path arrowok="t"/>
              </v:shape>
            </v:group>
            <v:group style="position:absolute;left:8976;top:32;width:10;height:2" coordorigin="8976,32" coordsize="10,2">
              <v:shape style="position:absolute;left:8976;top:32;width:10;height:2" coordorigin="8976,32" coordsize="10,0" path="m8976,32l8985,32e" filled="false" stroked="true" strokeweight=".47998pt" strokecolor="#000000">
                <v:path arrowok="t"/>
              </v:shape>
            </v:group>
            <v:group style="position:absolute;left:8985;top:32;width:1335;height:2" coordorigin="8985,32" coordsize="1335,2">
              <v:shape style="position:absolute;left:8985;top:32;width:1335;height:2" coordorigin="8985,32" coordsize="1335,0" path="m8985,32l10320,32e" filled="false" stroked="true" strokeweight=".47998pt" strokecolor="#000000">
                <v:path arrowok="t"/>
              </v:shape>
            </v:group>
            <w10:wrap type="none"/>
          </v:group>
        </w:pict>
      </w:r>
      <w:r>
        <w:rPr/>
        <w:pict>
          <v:group style="position:absolute;margin-left:202.37001pt;margin-top:16.101742pt;width:246.65pt;height:.5pt;mso-position-horizontal-relative:page;mso-position-vertical-relative:paragraph;z-index:1552" coordorigin="4047,322" coordsize="4933,10">
            <v:group style="position:absolute;left:4052;top:327;width:1476;height:2" coordorigin="4052,327" coordsize="1476,2">
              <v:shape style="position:absolute;left:4052;top:327;width:1476;height:2" coordorigin="4052,327" coordsize="1476,0" path="m4052,327l5528,327e" filled="false" stroked="true" strokeweight=".47998pt" strokecolor="#000000">
                <v:path arrowok="t"/>
              </v:shape>
            </v:group>
            <v:group style="position:absolute;left:5528;top:327;width:10;height:2" coordorigin="5528,327" coordsize="10,2">
              <v:shape style="position:absolute;left:5528;top:327;width:10;height:2" coordorigin="5528,327" coordsize="10,0" path="m5528,327l5538,327e" filled="false" stroked="true" strokeweight=".47998pt" strokecolor="#000000">
                <v:path arrowok="t"/>
              </v:shape>
            </v:group>
            <v:group style="position:absolute;left:5538;top:327;width:985;height:2" coordorigin="5538,327" coordsize="985,2">
              <v:shape style="position:absolute;left:5538;top:327;width:985;height:2" coordorigin="5538,327" coordsize="985,0" path="m5538,327l6522,327e" filled="false" stroked="true" strokeweight=".47998pt" strokecolor="#000000">
                <v:path arrowok="t"/>
              </v:shape>
            </v:group>
            <v:group style="position:absolute;left:6522;top:327;width:10;height:2" coordorigin="6522,327" coordsize="10,2">
              <v:shape style="position:absolute;left:6522;top:327;width:10;height:2" coordorigin="6522,327" coordsize="10,0" path="m6522,327l6532,327e" filled="false" stroked="true" strokeweight=".47998pt" strokecolor="#000000">
                <v:path arrowok="t"/>
              </v:shape>
            </v:group>
            <v:group style="position:absolute;left:6532;top:327;width:1409;height:2" coordorigin="6532,327" coordsize="1409,2">
              <v:shape style="position:absolute;left:6532;top:327;width:1409;height:2" coordorigin="6532,327" coordsize="1409,0" path="m6532,327l7941,327e" filled="false" stroked="true" strokeweight=".47998pt" strokecolor="#000000">
                <v:path arrowok="t"/>
              </v:shape>
            </v:group>
            <v:group style="position:absolute;left:7941;top:327;width:10;height:2" coordorigin="7941,327" coordsize="10,2">
              <v:shape style="position:absolute;left:7941;top:327;width:10;height:2" coordorigin="7941,327" coordsize="10,0" path="m7941,327l7950,327e" filled="false" stroked="true" strokeweight=".47998pt" strokecolor="#000000">
                <v:path arrowok="t"/>
              </v:shape>
            </v:group>
            <v:group style="position:absolute;left:7950;top:327;width:1026;height:2" coordorigin="7950,327" coordsize="1026,2">
              <v:shape style="position:absolute;left:7950;top:327;width:1026;height:2" coordorigin="7950,327" coordsize="1026,0" path="m7950,327l8975,327e" filled="false" stroked="true" strokeweight=".47998pt" strokecolor="#000000">
                <v:path arrowok="t"/>
              </v:shape>
            </v:group>
            <w10:wrap type="none"/>
          </v:group>
        </w:pict>
      </w:r>
      <w:r>
        <w:rPr>
          <w:rFonts w:ascii="宋体" w:hAnsi="宋体" w:cs="宋体" w:eastAsia="宋体" w:hint="default"/>
          <w:b/>
          <w:bCs/>
          <w:w w:val="95"/>
          <w:sz w:val="18"/>
          <w:szCs w:val="18"/>
        </w:rPr>
        <w:t>账面余额</w:t>
        <w:tab/>
      </w:r>
      <w:r>
        <w:rPr>
          <w:rFonts w:ascii="宋体" w:hAnsi="宋体" w:cs="宋体" w:eastAsia="宋体" w:hint="default"/>
          <w:b/>
          <w:bCs/>
          <w:sz w:val="18"/>
          <w:szCs w:val="18"/>
        </w:rPr>
        <w:t>坏账准备</w:t>
      </w:r>
      <w:r>
        <w:rPr>
          <w:rFonts w:ascii="宋体" w:hAnsi="宋体" w:cs="宋体" w:eastAsia="宋体" w:hint="default"/>
          <w:sz w:val="18"/>
          <w:szCs w:val="18"/>
        </w:rPr>
      </w:r>
    </w:p>
    <w:p>
      <w:pPr>
        <w:tabs>
          <w:tab w:pos="1475" w:val="left" w:leader="none"/>
          <w:tab w:pos="2683" w:val="left" w:leader="none"/>
          <w:tab w:pos="3729" w:val="left" w:leader="none"/>
        </w:tabs>
        <w:spacing w:before="59"/>
        <w:ind w:left="242" w:right="0" w:firstLine="0"/>
        <w:jc w:val="left"/>
        <w:rPr>
          <w:rFonts w:ascii="宋体" w:hAnsi="宋体" w:cs="宋体" w:eastAsia="宋体" w:hint="default"/>
          <w:sz w:val="18"/>
          <w:szCs w:val="18"/>
        </w:rPr>
      </w:pPr>
      <w:r>
        <w:rPr>
          <w:rFonts w:ascii="宋体" w:hAnsi="宋体" w:cs="宋体" w:eastAsia="宋体" w:hint="default"/>
          <w:b/>
          <w:bCs/>
          <w:sz w:val="18"/>
          <w:szCs w:val="18"/>
        </w:rPr>
        <w:t>金额</w:t>
        <w:tab/>
        <w:t>比例</w:t>
        <w:tab/>
        <w:t>金额</w:t>
        <w:tab/>
      </w:r>
      <w:r>
        <w:rPr>
          <w:rFonts w:ascii="宋体" w:hAnsi="宋体" w:cs="宋体" w:eastAsia="宋体" w:hint="default"/>
          <w:b/>
          <w:bCs/>
          <w:w w:val="95"/>
          <w:sz w:val="18"/>
          <w:szCs w:val="18"/>
        </w:rPr>
        <w:t>计提比例</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7"/>
        <w:rPr>
          <w:rFonts w:ascii="宋体" w:hAnsi="宋体" w:cs="宋体" w:eastAsia="宋体" w:hint="default"/>
          <w:b/>
          <w:bCs/>
          <w:sz w:val="15"/>
          <w:szCs w:val="15"/>
        </w:rPr>
      </w:pPr>
    </w:p>
    <w:p>
      <w:pPr>
        <w:spacing w:before="0"/>
        <w:ind w:left="242" w:right="0" w:firstLine="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1910" w:h="16840"/>
          <w:pgMar w:top="1020" w:bottom="280" w:left="1460" w:right="1460"/>
          <w:cols w:num="3" w:equalWidth="0">
            <w:col w:w="2489" w:space="418"/>
            <w:col w:w="4452" w:space="224"/>
            <w:col w:w="1407"/>
          </w:cols>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9"/>
          <w:szCs w:val="19"/>
        </w:rPr>
      </w:pPr>
    </w:p>
    <w:p>
      <w:pPr>
        <w:spacing w:before="32"/>
        <w:ind w:left="242" w:right="207" w:firstLine="0"/>
        <w:jc w:val="left"/>
        <w:rPr>
          <w:rFonts w:ascii="宋体" w:hAnsi="宋体" w:cs="宋体" w:eastAsia="宋体" w:hint="default"/>
          <w:sz w:val="22"/>
          <w:szCs w:val="22"/>
        </w:rPr>
      </w:pPr>
      <w:r>
        <w:rPr>
          <w:rFonts w:ascii="宋体" w:hAnsi="宋体" w:cs="宋体" w:eastAsia="宋体" w:hint="default"/>
          <w:sz w:val="22"/>
          <w:szCs w:val="22"/>
        </w:rPr>
        <w:t>（续）</w:t>
      </w:r>
    </w:p>
    <w:p>
      <w:pPr>
        <w:spacing w:after="0"/>
        <w:jc w:val="left"/>
        <w:rPr>
          <w:rFonts w:ascii="宋体" w:hAnsi="宋体" w:cs="宋体" w:eastAsia="宋体" w:hint="default"/>
          <w:sz w:val="22"/>
          <w:szCs w:val="22"/>
        </w:rPr>
        <w:sectPr>
          <w:type w:val="continuous"/>
          <w:pgSz w:w="11910" w:h="16840"/>
          <w:pgMar w:top="1020" w:bottom="280" w:left="1460" w:right="1460"/>
        </w:sectPr>
      </w:pPr>
    </w:p>
    <w:p>
      <w:pPr>
        <w:spacing w:line="240" w:lineRule="auto" w:before="7"/>
        <w:rPr>
          <w:rFonts w:ascii="宋体" w:hAnsi="宋体" w:cs="宋体" w:eastAsia="宋体" w:hint="default"/>
          <w:sz w:val="27"/>
          <w:szCs w:val="27"/>
        </w:rPr>
      </w:pPr>
    </w:p>
    <w:p>
      <w:pPr>
        <w:spacing w:line="28" w:lineRule="exact"/>
        <w:ind w:left="119" w:right="0" w:firstLine="0"/>
        <w:rPr>
          <w:rFonts w:ascii="宋体" w:hAnsi="宋体" w:cs="宋体" w:eastAsia="宋体" w:hint="default"/>
          <w:sz w:val="2"/>
          <w:szCs w:val="2"/>
        </w:rPr>
      </w:pPr>
      <w:r>
        <w:rPr>
          <w:rFonts w:ascii="宋体" w:hAnsi="宋体" w:cs="宋体" w:eastAsia="宋体" w:hint="default"/>
          <w:position w:val="0"/>
          <w:sz w:val="2"/>
          <w:szCs w:val="2"/>
        </w:rPr>
        <w:pict>
          <v:group style="width:437.75pt;height:1.45pt;mso-position-horizontal-relative:char;mso-position-vertical-relative:line" coordorigin="0,0" coordsize="8755,29">
            <v:group style="position:absolute;left:14;top:14;width:2458;height:2" coordorigin="14,14" coordsize="2458,2">
              <v:shape style="position:absolute;left:14;top:14;width:2458;height:2" coordorigin="14,14" coordsize="2458,0" path="m14,14l2472,14e" filled="false" stroked="true" strokeweight="1.44pt" strokecolor="#000000">
                <v:path arrowok="t"/>
              </v:shape>
            </v:group>
            <v:group style="position:absolute;left:2473;top:14;width:29;height:2" coordorigin="2473,14" coordsize="29,2">
              <v:shape style="position:absolute;left:2473;top:14;width:29;height:2" coordorigin="2473,14" coordsize="29,0" path="m2473,14l2501,14e" filled="false" stroked="true" strokeweight="1.44pt" strokecolor="#000000">
                <v:path arrowok="t"/>
              </v:shape>
            </v:group>
            <v:group style="position:absolute;left:2501;top:14;width:6239;height:2" coordorigin="2501,14" coordsize="6239,2">
              <v:shape style="position:absolute;left:2501;top:14;width:6239;height:2" coordorigin="2501,14" coordsize="6239,0" path="m2501,14l8740,14e" filled="false" stroked="true" strokeweight="1.44pt" strokecolor="#000000">
                <v:path arrowok="t"/>
              </v:shape>
            </v:group>
          </v:group>
        </w:pict>
      </w:r>
      <w:r>
        <w:rPr>
          <w:rFonts w:ascii="宋体" w:hAnsi="宋体" w:cs="宋体" w:eastAsia="宋体" w:hint="default"/>
          <w:position w:val="0"/>
          <w:sz w:val="2"/>
          <w:szCs w:val="2"/>
        </w:rPr>
      </w:r>
    </w:p>
    <w:p>
      <w:pPr>
        <w:spacing w:after="0" w:line="28" w:lineRule="exact"/>
        <w:rPr>
          <w:rFonts w:ascii="宋体" w:hAnsi="宋体" w:cs="宋体" w:eastAsia="宋体" w:hint="default"/>
          <w:sz w:val="2"/>
          <w:szCs w:val="2"/>
        </w:rPr>
        <w:sectPr>
          <w:headerReference w:type="default" r:id="rId60"/>
          <w:pgSz w:w="11910" w:h="16840"/>
          <w:pgMar w:header="585" w:footer="836" w:top="1080" w:bottom="1020" w:left="1460" w:right="1460"/>
        </w:sectPr>
      </w:pPr>
    </w:p>
    <w:p>
      <w:pPr>
        <w:spacing w:line="240" w:lineRule="auto" w:before="7"/>
        <w:rPr>
          <w:rFonts w:ascii="宋体" w:hAnsi="宋体" w:cs="宋体" w:eastAsia="宋体" w:hint="default"/>
          <w:sz w:val="22"/>
          <w:szCs w:val="22"/>
        </w:rPr>
      </w:pPr>
    </w:p>
    <w:p>
      <w:pPr>
        <w:spacing w:before="0"/>
        <w:ind w:left="237" w:right="0" w:firstLine="0"/>
        <w:jc w:val="center"/>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before="143"/>
        <w:ind w:left="242" w:right="0" w:firstLine="0"/>
        <w:jc w:val="center"/>
        <w:rPr>
          <w:rFonts w:ascii="宋体" w:hAnsi="宋体" w:cs="宋体" w:eastAsia="宋体" w:hint="default"/>
          <w:sz w:val="18"/>
          <w:szCs w:val="18"/>
        </w:rPr>
      </w:pPr>
      <w:r>
        <w:rPr/>
        <w:pict>
          <v:group style="position:absolute;margin-left:79.463997pt;margin-top:5.541731pt;width:436.8pt;height:.5pt;mso-position-horizontal-relative:page;mso-position-vertical-relative:paragraph;z-index:1696" coordorigin="1589,111" coordsize="8736,10">
            <v:group style="position:absolute;left:1594;top:116;width:2458;height:2" coordorigin="1594,116" coordsize="2458,2">
              <v:shape style="position:absolute;left:1594;top:116;width:2458;height:2" coordorigin="1594,116" coordsize="2458,0" path="m1594,116l4052,116e" filled="false" stroked="true" strokeweight=".48pt" strokecolor="#000000">
                <v:path arrowok="t"/>
              </v:shape>
            </v:group>
            <v:group style="position:absolute;left:4052;top:116;width:10;height:2" coordorigin="4052,116" coordsize="10,2">
              <v:shape style="position:absolute;left:4052;top:116;width:10;height:2" coordorigin="4052,116" coordsize="10,0" path="m4052,116l4062,116e" filled="false" stroked="true" strokeweight=".48pt" strokecolor="#000000">
                <v:path arrowok="t"/>
              </v:shape>
            </v:group>
            <v:group style="position:absolute;left:4062;top:116;width:1467;height:2" coordorigin="4062,116" coordsize="1467,2">
              <v:shape style="position:absolute;left:4062;top:116;width:1467;height:2" coordorigin="4062,116" coordsize="1467,0" path="m4062,116l5528,116e" filled="false" stroked="true" strokeweight=".48pt" strokecolor="#000000">
                <v:path arrowok="t"/>
              </v:shape>
            </v:group>
            <v:group style="position:absolute;left:5528;top:116;width:10;height:2" coordorigin="5528,116" coordsize="10,2">
              <v:shape style="position:absolute;left:5528;top:116;width:10;height:2" coordorigin="5528,116" coordsize="10,0" path="m5528,116l5538,116e" filled="false" stroked="true" strokeweight=".48pt" strokecolor="#000000">
                <v:path arrowok="t"/>
              </v:shape>
            </v:group>
            <v:group style="position:absolute;left:5538;top:116;width:985;height:2" coordorigin="5538,116" coordsize="985,2">
              <v:shape style="position:absolute;left:5538;top:116;width:985;height:2" coordorigin="5538,116" coordsize="985,0" path="m5538,116l6522,116e" filled="false" stroked="true" strokeweight=".48pt" strokecolor="#000000">
                <v:path arrowok="t"/>
              </v:shape>
            </v:group>
            <v:group style="position:absolute;left:6522;top:116;width:10;height:2" coordorigin="6522,116" coordsize="10,2">
              <v:shape style="position:absolute;left:6522;top:116;width:10;height:2" coordorigin="6522,116" coordsize="10,0" path="m6522,116l6532,116e" filled="false" stroked="true" strokeweight=".48pt" strokecolor="#000000">
                <v:path arrowok="t"/>
              </v:shape>
            </v:group>
            <v:group style="position:absolute;left:6532;top:116;width:1409;height:2" coordorigin="6532,116" coordsize="1409,2">
              <v:shape style="position:absolute;left:6532;top:116;width:1409;height:2" coordorigin="6532,116" coordsize="1409,0" path="m6532,116l7941,116e" filled="false" stroked="true" strokeweight=".48pt" strokecolor="#000000">
                <v:path arrowok="t"/>
              </v:shape>
            </v:group>
            <v:group style="position:absolute;left:7941;top:116;width:10;height:2" coordorigin="7941,116" coordsize="10,2">
              <v:shape style="position:absolute;left:7941;top:116;width:10;height:2" coordorigin="7941,116" coordsize="10,0" path="m7941,116l7950,116e" filled="false" stroked="true" strokeweight=".48pt" strokecolor="#000000">
                <v:path arrowok="t"/>
              </v:shape>
            </v:group>
            <v:group style="position:absolute;left:7950;top:116;width:1026;height:2" coordorigin="7950,116" coordsize="1026,2">
              <v:shape style="position:absolute;left:7950;top:116;width:1026;height:2" coordorigin="7950,116" coordsize="1026,0" path="m7950,116l8975,116e" filled="false" stroked="true" strokeweight=".48pt" strokecolor="#000000">
                <v:path arrowok="t"/>
              </v:shape>
            </v:group>
            <v:group style="position:absolute;left:8976;top:116;width:10;height:2" coordorigin="8976,116" coordsize="10,2">
              <v:shape style="position:absolute;left:8976;top:116;width:10;height:2" coordorigin="8976,116" coordsize="10,0" path="m8976,116l8985,116e" filled="false" stroked="true" strokeweight=".48pt" strokecolor="#000000">
                <v:path arrowok="t"/>
              </v:shape>
            </v:group>
            <v:group style="position:absolute;left:8985;top:116;width:1335;height:2" coordorigin="8985,116" coordsize="1335,2">
              <v:shape style="position:absolute;left:8985;top:116;width:1335;height:2" coordorigin="8985,116" coordsize="1335,0" path="m8985,116l10320,116e" filled="false" stroked="true" strokeweight=".48pt" strokecolor="#000000">
                <v:path arrowok="t"/>
              </v:shape>
            </v:group>
            <w10:wrap type="none"/>
          </v:group>
        </w:pict>
      </w:r>
      <w:r>
        <w:rPr/>
        <w:pict>
          <v:shape style="position:absolute;margin-left:79.704002pt;margin-top:16.059668pt;width:436.3pt;height:92.6pt;mso-position-horizontal-relative:page;mso-position-vertical-relative:paragraph;z-index:17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87"/>
                    <w:gridCol w:w="981"/>
                    <w:gridCol w:w="1466"/>
                    <w:gridCol w:w="949"/>
                    <w:gridCol w:w="1342"/>
                  </w:tblGrid>
                  <w:tr>
                    <w:trPr>
                      <w:trHeight w:val="376" w:hRule="exact"/>
                    </w:trPr>
                    <w:tc>
                      <w:tcPr>
                        <w:tcW w:w="3987" w:type="dxa"/>
                        <w:tcBorders>
                          <w:top w:val="nil" w:sz="6" w:space="0" w:color="auto"/>
                          <w:left w:val="nil" w:sz="6" w:space="0" w:color="auto"/>
                          <w:bottom w:val="nil" w:sz="6" w:space="0" w:color="auto"/>
                          <w:right w:val="nil" w:sz="6" w:space="0" w:color="auto"/>
                        </w:tcBorders>
                      </w:tcPr>
                      <w:p>
                        <w:pPr>
                          <w:pStyle w:val="TableParagraph"/>
                          <w:tabs>
                            <w:tab w:pos="3511" w:val="left" w:leader="none"/>
                          </w:tabs>
                          <w:spacing w:line="290" w:lineRule="exact"/>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账准备的其他应收款</w:t>
                        </w:r>
                        <w:r>
                          <w:rPr>
                            <w:rFonts w:ascii="Times New Roman" w:hAnsi="Times New Roman" w:cs="Times New Roman" w:eastAsia="Times New Roman" w:hint="default"/>
                            <w:position w:val="12"/>
                            <w:sz w:val="18"/>
                            <w:szCs w:val="18"/>
                          </w:rPr>
                          <w:tab/>
                          <w:t>0.00</w:t>
                        </w:r>
                        <w:r>
                          <w:rPr>
                            <w:rFonts w:ascii="Times New Roman" w:hAnsi="Times New Roman" w:cs="Times New Roman" w:eastAsia="Times New Roman" w:hint="default"/>
                            <w:sz w:val="18"/>
                            <w:szCs w:val="18"/>
                          </w:rPr>
                        </w:r>
                      </w:p>
                    </w:tc>
                    <w:tc>
                      <w:tcPr>
                        <w:tcW w:w="981" w:type="dxa"/>
                        <w:tcBorders>
                          <w:top w:val="nil" w:sz="6" w:space="0" w:color="auto"/>
                          <w:left w:val="nil" w:sz="6" w:space="0" w:color="auto"/>
                          <w:bottom w:val="nil" w:sz="6" w:space="0" w:color="auto"/>
                          <w:right w:val="nil" w:sz="6" w:space="0" w:color="auto"/>
                        </w:tcBorders>
                      </w:tcPr>
                      <w:p>
                        <w:pPr>
                          <w:pStyle w:val="TableParagraph"/>
                          <w:spacing w:line="184" w:lineRule="exact"/>
                          <w:ind w:right="146"/>
                          <w:jc w:val="right"/>
                          <w:rPr>
                            <w:rFonts w:ascii="Times New Roman" w:hAnsi="Times New Roman" w:cs="Times New Roman" w:eastAsia="Times New Roman" w:hint="default"/>
                            <w:sz w:val="18"/>
                            <w:szCs w:val="18"/>
                          </w:rPr>
                        </w:pPr>
                        <w:r>
                          <w:rPr>
                            <w:rFonts w:ascii="Times New Roman"/>
                            <w:sz w:val="18"/>
                          </w:rPr>
                          <w:t>0.00%</w:t>
                        </w:r>
                      </w:p>
                    </w:tc>
                    <w:tc>
                      <w:tcPr>
                        <w:tcW w:w="1466" w:type="dxa"/>
                        <w:tcBorders>
                          <w:top w:val="nil" w:sz="6" w:space="0" w:color="auto"/>
                          <w:left w:val="nil" w:sz="6" w:space="0" w:color="auto"/>
                          <w:bottom w:val="nil" w:sz="6" w:space="0" w:color="auto"/>
                          <w:right w:val="nil" w:sz="6" w:space="0" w:color="auto"/>
                        </w:tcBorders>
                      </w:tcPr>
                      <w:p>
                        <w:pPr>
                          <w:pStyle w:val="TableParagraph"/>
                          <w:spacing w:line="184" w:lineRule="exact"/>
                          <w:ind w:right="193"/>
                          <w:jc w:val="right"/>
                          <w:rPr>
                            <w:rFonts w:ascii="Times New Roman" w:hAnsi="Times New Roman" w:cs="Times New Roman" w:eastAsia="Times New Roman" w:hint="default"/>
                            <w:sz w:val="18"/>
                            <w:szCs w:val="18"/>
                          </w:rPr>
                        </w:pPr>
                        <w:r>
                          <w:rPr>
                            <w:rFonts w:ascii="Times New Roman"/>
                            <w:spacing w:val="-1"/>
                            <w:sz w:val="18"/>
                          </w:rPr>
                          <w:t>0.00</w:t>
                        </w:r>
                      </w:p>
                    </w:tc>
                    <w:tc>
                      <w:tcPr>
                        <w:tcW w:w="949" w:type="dxa"/>
                        <w:tcBorders>
                          <w:top w:val="nil" w:sz="6" w:space="0" w:color="auto"/>
                          <w:left w:val="nil" w:sz="6" w:space="0" w:color="auto"/>
                          <w:bottom w:val="nil" w:sz="6" w:space="0" w:color="auto"/>
                          <w:right w:val="nil" w:sz="6" w:space="0" w:color="auto"/>
                        </w:tcBorders>
                      </w:tcPr>
                      <w:p>
                        <w:pPr>
                          <w:pStyle w:val="TableParagraph"/>
                          <w:spacing w:line="184" w:lineRule="exact"/>
                          <w:ind w:right="105"/>
                          <w:jc w:val="right"/>
                          <w:rPr>
                            <w:rFonts w:ascii="Times New Roman" w:hAnsi="Times New Roman" w:cs="Times New Roman" w:eastAsia="Times New Roman" w:hint="default"/>
                            <w:sz w:val="18"/>
                            <w:szCs w:val="18"/>
                          </w:rPr>
                        </w:pPr>
                        <w:r>
                          <w:rPr>
                            <w:rFonts w:ascii="Times New Roman"/>
                            <w:sz w:val="18"/>
                          </w:rPr>
                          <w:t>0.00%</w:t>
                        </w:r>
                      </w:p>
                    </w:tc>
                    <w:tc>
                      <w:tcPr>
                        <w:tcW w:w="1342" w:type="dxa"/>
                        <w:tcBorders>
                          <w:top w:val="nil" w:sz="6" w:space="0" w:color="auto"/>
                          <w:left w:val="nil" w:sz="6" w:space="0" w:color="auto"/>
                          <w:bottom w:val="nil" w:sz="6" w:space="0" w:color="auto"/>
                          <w:right w:val="nil" w:sz="6" w:space="0" w:color="auto"/>
                        </w:tcBorders>
                      </w:tcPr>
                      <w:p>
                        <w:pPr>
                          <w:pStyle w:val="TableParagraph"/>
                          <w:spacing w:line="184" w:lineRule="exact"/>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570" w:hRule="exact"/>
                    </w:trPr>
                    <w:tc>
                      <w:tcPr>
                        <w:tcW w:w="3987" w:type="dxa"/>
                        <w:tcBorders>
                          <w:top w:val="nil" w:sz="6" w:space="0" w:color="auto"/>
                          <w:left w:val="nil" w:sz="6" w:space="0" w:color="auto"/>
                          <w:bottom w:val="nil" w:sz="6" w:space="0" w:color="auto"/>
                          <w:right w:val="nil" w:sz="6" w:space="0" w:color="auto"/>
                        </w:tcBorders>
                      </w:tcPr>
                      <w:p>
                        <w:pPr>
                          <w:pStyle w:val="TableParagraph"/>
                          <w:tabs>
                            <w:tab w:pos="2566" w:val="left" w:leader="none"/>
                          </w:tabs>
                          <w:spacing w:line="158" w:lineRule="auto" w:before="89"/>
                          <w:ind w:left="108" w:right="159"/>
                          <w:jc w:val="left"/>
                          <w:rPr>
                            <w:rFonts w:ascii="Times New Roman" w:hAnsi="Times New Roman" w:cs="Times New Roman" w:eastAsia="Times New Roman" w:hint="default"/>
                            <w:sz w:val="18"/>
                            <w:szCs w:val="18"/>
                          </w:rPr>
                        </w:pPr>
                        <w:r>
                          <w:rPr>
                            <w:rFonts w:ascii="宋体" w:hAnsi="宋体" w:cs="宋体" w:eastAsia="宋体" w:hint="default"/>
                            <w:spacing w:val="7"/>
                            <w:sz w:val="18"/>
                            <w:szCs w:val="18"/>
                          </w:rPr>
                          <w:t>按信用风险特征组合计提坏 </w:t>
                        </w:r>
                        <w:r>
                          <w:rPr>
                            <w:rFonts w:ascii="宋体" w:hAnsi="宋体" w:cs="宋体" w:eastAsia="宋体" w:hint="default"/>
                            <w:position w:val="-11"/>
                            <w:sz w:val="18"/>
                            <w:szCs w:val="18"/>
                          </w:rPr>
                          <w:t>账准备的其他应收款</w:t>
                          <w:tab/>
                        </w:r>
                        <w:r>
                          <w:rPr>
                            <w:rFonts w:ascii="Times New Roman" w:hAnsi="Times New Roman" w:cs="Times New Roman" w:eastAsia="Times New Roman" w:hint="default"/>
                            <w:spacing w:val="-1"/>
                            <w:sz w:val="18"/>
                            <w:szCs w:val="18"/>
                          </w:rPr>
                          <w:t>1,096,338,857.26</w:t>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43"/>
                          <w:jc w:val="right"/>
                          <w:rPr>
                            <w:rFonts w:ascii="Times New Roman" w:hAnsi="Times New Roman" w:cs="Times New Roman" w:eastAsia="Times New Roman" w:hint="default"/>
                            <w:sz w:val="18"/>
                            <w:szCs w:val="18"/>
                          </w:rPr>
                        </w:pPr>
                        <w:r>
                          <w:rPr>
                            <w:rFonts w:ascii="Times New Roman"/>
                            <w:sz w:val="18"/>
                          </w:rPr>
                          <w:t>99.82%</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94"/>
                          <w:jc w:val="right"/>
                          <w:rPr>
                            <w:rFonts w:ascii="Times New Roman" w:hAnsi="Times New Roman" w:cs="Times New Roman" w:eastAsia="Times New Roman" w:hint="default"/>
                            <w:sz w:val="18"/>
                            <w:szCs w:val="18"/>
                          </w:rPr>
                        </w:pPr>
                        <w:r>
                          <w:rPr>
                            <w:rFonts w:ascii="Times New Roman"/>
                            <w:spacing w:val="-1"/>
                            <w:sz w:val="18"/>
                          </w:rPr>
                          <w:t>261,257,695.80</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23.83%</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835,081,161.46</w:t>
                        </w:r>
                      </w:p>
                    </w:tc>
                  </w:tr>
                  <w:tr>
                    <w:trPr>
                      <w:trHeight w:val="570" w:hRule="exact"/>
                    </w:trPr>
                    <w:tc>
                      <w:tcPr>
                        <w:tcW w:w="3987" w:type="dxa"/>
                        <w:tcBorders>
                          <w:top w:val="nil" w:sz="6" w:space="0" w:color="auto"/>
                          <w:left w:val="nil" w:sz="6" w:space="0" w:color="auto"/>
                          <w:bottom w:val="single" w:sz="4" w:space="0" w:color="000000"/>
                          <w:right w:val="nil" w:sz="6" w:space="0" w:color="auto"/>
                        </w:tcBorders>
                      </w:tcPr>
                      <w:p>
                        <w:pPr>
                          <w:pStyle w:val="TableParagraph"/>
                          <w:tabs>
                            <w:tab w:pos="2880" w:val="left" w:leader="none"/>
                          </w:tabs>
                          <w:spacing w:line="158" w:lineRule="auto" w:before="87"/>
                          <w:ind w:left="108" w:right="159"/>
                          <w:jc w:val="left"/>
                          <w:rPr>
                            <w:rFonts w:ascii="Times New Roman" w:hAnsi="Times New Roman" w:cs="Times New Roman" w:eastAsia="Times New Roman" w:hint="default"/>
                            <w:sz w:val="18"/>
                            <w:szCs w:val="18"/>
                          </w:rPr>
                        </w:pPr>
                        <w:r>
                          <w:rPr>
                            <w:rFonts w:ascii="宋体" w:hAnsi="宋体" w:cs="宋体" w:eastAsia="宋体" w:hint="default"/>
                            <w:spacing w:val="7"/>
                            <w:sz w:val="18"/>
                            <w:szCs w:val="18"/>
                          </w:rPr>
                          <w:t>单项金额不重大但单项计提 </w:t>
                        </w:r>
                        <w:r>
                          <w:rPr>
                            <w:rFonts w:ascii="宋体" w:hAnsi="宋体" w:cs="宋体" w:eastAsia="宋体" w:hint="default"/>
                            <w:position w:val="-11"/>
                            <w:sz w:val="18"/>
                            <w:szCs w:val="18"/>
                          </w:rPr>
                          <w:t>坏账准备的其他应收款</w:t>
                          <w:tab/>
                        </w:r>
                        <w:r>
                          <w:rPr>
                            <w:rFonts w:ascii="Times New Roman" w:hAnsi="Times New Roman" w:cs="Times New Roman" w:eastAsia="Times New Roman" w:hint="default"/>
                            <w:sz w:val="18"/>
                            <w:szCs w:val="18"/>
                          </w:rPr>
                          <w:t>1,932,546.89</w:t>
                        </w:r>
                      </w:p>
                    </w:tc>
                    <w:tc>
                      <w:tcPr>
                        <w:tcW w:w="981"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sz w:val="18"/>
                          </w:rPr>
                          <w:t>0.18%</w:t>
                        </w:r>
                      </w:p>
                    </w:tc>
                    <w:tc>
                      <w:tcPr>
                        <w:tcW w:w="1466"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93"/>
                          <w:jc w:val="right"/>
                          <w:rPr>
                            <w:rFonts w:ascii="Times New Roman" w:hAnsi="Times New Roman" w:cs="Times New Roman" w:eastAsia="Times New Roman" w:hint="default"/>
                            <w:sz w:val="18"/>
                            <w:szCs w:val="18"/>
                          </w:rPr>
                        </w:pPr>
                        <w:r>
                          <w:rPr>
                            <w:rFonts w:ascii="Times New Roman"/>
                            <w:spacing w:val="-1"/>
                            <w:sz w:val="18"/>
                          </w:rPr>
                          <w:t>1,932,546.89</w:t>
                        </w:r>
                      </w:p>
                    </w:tc>
                    <w:tc>
                      <w:tcPr>
                        <w:tcW w:w="949"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100.00%</w:t>
                        </w:r>
                      </w:p>
                    </w:tc>
                    <w:tc>
                      <w:tcPr>
                        <w:tcW w:w="1342"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307" w:hRule="exact"/>
                    </w:trPr>
                    <w:tc>
                      <w:tcPr>
                        <w:tcW w:w="3987" w:type="dxa"/>
                        <w:tcBorders>
                          <w:top w:val="single" w:sz="4" w:space="0" w:color="000000"/>
                          <w:left w:val="nil" w:sz="6" w:space="0" w:color="auto"/>
                          <w:bottom w:val="single" w:sz="12" w:space="0" w:color="000000"/>
                          <w:right w:val="nil" w:sz="6" w:space="0" w:color="auto"/>
                        </w:tcBorders>
                      </w:tcPr>
                      <w:p>
                        <w:pPr>
                          <w:pStyle w:val="TableParagraph"/>
                          <w:tabs>
                            <w:tab w:pos="2566" w:val="left" w:leader="none"/>
                          </w:tabs>
                          <w:spacing w:line="240" w:lineRule="auto" w:before="27"/>
                          <w:ind w:left="108" w:right="0"/>
                          <w:jc w:val="left"/>
                          <w:rPr>
                            <w:rFonts w:ascii="Times New Roman" w:hAnsi="Times New Roman" w:cs="Times New Roman" w:eastAsia="Times New Roman" w:hint="default"/>
                            <w:sz w:val="18"/>
                            <w:szCs w:val="18"/>
                          </w:rPr>
                        </w:pPr>
                        <w:r>
                          <w:rPr>
                            <w:rFonts w:ascii="宋体" w:hAnsi="宋体" w:cs="宋体" w:eastAsia="宋体" w:hint="default"/>
                            <w:b/>
                            <w:bCs/>
                            <w:position w:val="1"/>
                            <w:sz w:val="18"/>
                            <w:szCs w:val="18"/>
                          </w:rPr>
                          <w:t>合计</w:t>
                          <w:tab/>
                        </w:r>
                        <w:r>
                          <w:rPr>
                            <w:rFonts w:ascii="Times New Roman" w:hAnsi="Times New Roman" w:cs="Times New Roman" w:eastAsia="Times New Roman" w:hint="default"/>
                            <w:b/>
                            <w:bCs/>
                            <w:sz w:val="18"/>
                            <w:szCs w:val="18"/>
                          </w:rPr>
                          <w:t>1,098,271,404.15</w:t>
                        </w:r>
                        <w:r>
                          <w:rPr>
                            <w:rFonts w:ascii="Times New Roman" w:hAnsi="Times New Roman" w:cs="Times New Roman" w:eastAsia="Times New Roman" w:hint="default"/>
                            <w:sz w:val="18"/>
                            <w:szCs w:val="18"/>
                          </w:rPr>
                        </w:r>
                      </w:p>
                    </w:tc>
                    <w:tc>
                      <w:tcPr>
                        <w:tcW w:w="981"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42"/>
                          <w:jc w:val="right"/>
                          <w:rPr>
                            <w:rFonts w:ascii="Times New Roman" w:hAnsi="Times New Roman" w:cs="Times New Roman" w:eastAsia="Times New Roman" w:hint="default"/>
                            <w:sz w:val="18"/>
                            <w:szCs w:val="18"/>
                          </w:rPr>
                        </w:pPr>
                        <w:r>
                          <w:rPr>
                            <w:rFonts w:ascii="Times New Roman"/>
                            <w:b/>
                            <w:spacing w:val="-1"/>
                            <w:sz w:val="18"/>
                          </w:rPr>
                          <w:t>100.00%</w:t>
                        </w:r>
                        <w:r>
                          <w:rPr>
                            <w:rFonts w:ascii="Times New Roman"/>
                            <w:spacing w:val="-1"/>
                            <w:sz w:val="18"/>
                          </w:rPr>
                        </w:r>
                      </w:p>
                    </w:tc>
                    <w:tc>
                      <w:tcPr>
                        <w:tcW w:w="1466"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94"/>
                          <w:jc w:val="right"/>
                          <w:rPr>
                            <w:rFonts w:ascii="Times New Roman" w:hAnsi="Times New Roman" w:cs="Times New Roman" w:eastAsia="Times New Roman" w:hint="default"/>
                            <w:sz w:val="18"/>
                            <w:szCs w:val="18"/>
                          </w:rPr>
                        </w:pPr>
                        <w:r>
                          <w:rPr>
                            <w:rFonts w:ascii="Times New Roman"/>
                            <w:b/>
                            <w:spacing w:val="-1"/>
                            <w:sz w:val="18"/>
                          </w:rPr>
                          <w:t>263,190,242.69</w:t>
                        </w:r>
                        <w:r>
                          <w:rPr>
                            <w:rFonts w:ascii="Times New Roman"/>
                            <w:spacing w:val="-1"/>
                            <w:sz w:val="18"/>
                          </w:rPr>
                        </w:r>
                      </w:p>
                    </w:tc>
                    <w:tc>
                      <w:tcPr>
                        <w:tcW w:w="94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4"/>
                          <w:jc w:val="right"/>
                          <w:rPr>
                            <w:rFonts w:ascii="Times New Roman" w:hAnsi="Times New Roman" w:cs="Times New Roman" w:eastAsia="Times New Roman" w:hint="default"/>
                            <w:sz w:val="18"/>
                            <w:szCs w:val="18"/>
                          </w:rPr>
                        </w:pPr>
                        <w:r>
                          <w:rPr>
                            <w:rFonts w:ascii="Times New Roman"/>
                            <w:b/>
                            <w:sz w:val="18"/>
                          </w:rPr>
                          <w:t>23.96%</w:t>
                        </w:r>
                        <w:r>
                          <w:rPr>
                            <w:rFonts w:ascii="Times New Roman"/>
                            <w:sz w:val="18"/>
                          </w:rPr>
                        </w:r>
                      </w:p>
                    </w:tc>
                    <w:tc>
                      <w:tcPr>
                        <w:tcW w:w="134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835,081,161.46</w:t>
                        </w:r>
                        <w:r>
                          <w:rPr>
                            <w:rFonts w:ascii="Times New Roman"/>
                            <w:spacing w:val="-1"/>
                            <w:sz w:val="18"/>
                          </w:rPr>
                        </w:r>
                      </w:p>
                    </w:tc>
                  </w:tr>
                </w:tbl>
                <w:p>
                  <w:pPr/>
                </w:p>
              </w:txbxContent>
            </v:textbox>
            <w10:wrap type="none"/>
          </v:shape>
        </w:pict>
      </w:r>
      <w:r>
        <w:rPr>
          <w:rFonts w:ascii="宋体" w:hAnsi="宋体" w:cs="宋体" w:eastAsia="宋体" w:hint="default"/>
          <w:spacing w:val="7"/>
          <w:sz w:val="18"/>
          <w:szCs w:val="18"/>
        </w:rPr>
        <w:t>单项金额重大并单项计提坏</w:t>
      </w:r>
      <w:r>
        <w:rPr>
          <w:rFonts w:ascii="宋体" w:hAnsi="宋体" w:cs="宋体" w:eastAsia="宋体" w:hint="default"/>
          <w:sz w:val="18"/>
          <w:szCs w:val="18"/>
        </w:rPr>
      </w:r>
    </w:p>
    <w:p>
      <w:pPr>
        <w:spacing w:before="23"/>
        <w:ind w:left="2455" w:right="0" w:firstLine="0"/>
        <w:jc w:val="left"/>
        <w:rPr>
          <w:rFonts w:ascii="宋体" w:hAnsi="宋体" w:cs="宋体" w:eastAsia="宋体" w:hint="default"/>
          <w:sz w:val="18"/>
          <w:szCs w:val="18"/>
        </w:rPr>
      </w:pPr>
      <w:r>
        <w:rPr/>
        <w:br w:type="column"/>
      </w:r>
      <w:r>
        <w:rPr>
          <w:rFonts w:ascii="宋体" w:hAnsi="宋体" w:cs="宋体" w:eastAsia="宋体" w:hint="default"/>
          <w:b/>
          <w:bCs/>
          <w:sz w:val="18"/>
          <w:szCs w:val="18"/>
        </w:rPr>
        <w:t>年初余额</w:t>
      </w:r>
      <w:r>
        <w:rPr>
          <w:rFonts w:ascii="宋体" w:hAnsi="宋体" w:cs="宋体" w:eastAsia="宋体" w:hint="default"/>
          <w:sz w:val="18"/>
          <w:szCs w:val="18"/>
        </w:rPr>
      </w:r>
    </w:p>
    <w:p>
      <w:pPr>
        <w:tabs>
          <w:tab w:pos="3019" w:val="left" w:leader="none"/>
        </w:tabs>
        <w:spacing w:before="60"/>
        <w:ind w:left="558" w:right="0" w:firstLine="0"/>
        <w:jc w:val="left"/>
        <w:rPr>
          <w:rFonts w:ascii="宋体" w:hAnsi="宋体" w:cs="宋体" w:eastAsia="宋体" w:hint="default"/>
          <w:sz w:val="18"/>
          <w:szCs w:val="18"/>
        </w:rPr>
      </w:pPr>
      <w:r>
        <w:rPr/>
        <w:pict>
          <v:group style="position:absolute;margin-left:202.369995pt;margin-top:1.491689pt;width:313.850pt;height:.5pt;mso-position-horizontal-relative:page;mso-position-vertical-relative:paragraph;z-index:1648" coordorigin="4047,30" coordsize="6277,10">
            <v:group style="position:absolute;left:4052;top:35;width:2470;height:2" coordorigin="4052,35" coordsize="2470,2">
              <v:shape style="position:absolute;left:4052;top:35;width:2470;height:2" coordorigin="4052,35" coordsize="2470,0" path="m4052,35l6522,35e" filled="false" stroked="true" strokeweight=".48pt" strokecolor="#000000">
                <v:path arrowok="t"/>
              </v:shape>
            </v:group>
            <v:group style="position:absolute;left:6522;top:35;width:10;height:2" coordorigin="6522,35" coordsize="10,2">
              <v:shape style="position:absolute;left:6522;top:35;width:10;height:2" coordorigin="6522,35" coordsize="10,0" path="m6522,35l6532,35e" filled="false" stroked="true" strokeweight=".48pt" strokecolor="#000000">
                <v:path arrowok="t"/>
              </v:shape>
            </v:group>
            <v:group style="position:absolute;left:6532;top:35;width:2444;height:2" coordorigin="6532,35" coordsize="2444,2">
              <v:shape style="position:absolute;left:6532;top:35;width:2444;height:2" coordorigin="6532,35" coordsize="2444,0" path="m6532,35l8975,35e" filled="false" stroked="true" strokeweight=".48pt" strokecolor="#000000">
                <v:path arrowok="t"/>
              </v:shape>
            </v:group>
            <v:group style="position:absolute;left:8976;top:35;width:10;height:2" coordorigin="8976,35" coordsize="10,2">
              <v:shape style="position:absolute;left:8976;top:35;width:10;height:2" coordorigin="8976,35" coordsize="10,0" path="m8976,35l8985,35e" filled="false" stroked="true" strokeweight=".48pt" strokecolor="#000000">
                <v:path arrowok="t"/>
              </v:shape>
            </v:group>
            <v:group style="position:absolute;left:8985;top:35;width:1335;height:2" coordorigin="8985,35" coordsize="1335,2">
              <v:shape style="position:absolute;left:8985;top:35;width:1335;height:2" coordorigin="8985,35" coordsize="1335,0" path="m8985,35l10320,35e" filled="false" stroked="true" strokeweight=".48pt" strokecolor="#000000">
                <v:path arrowok="t"/>
              </v:shape>
            </v:group>
            <w10:wrap type="none"/>
          </v:group>
        </w:pict>
      </w:r>
      <w:r>
        <w:rPr>
          <w:rFonts w:ascii="宋体" w:hAnsi="宋体" w:cs="宋体" w:eastAsia="宋体" w:hint="default"/>
          <w:b/>
          <w:bCs/>
          <w:w w:val="95"/>
          <w:sz w:val="18"/>
          <w:szCs w:val="18"/>
        </w:rPr>
        <w:t>账面余额</w:t>
        <w:tab/>
      </w:r>
      <w:r>
        <w:rPr>
          <w:rFonts w:ascii="宋体" w:hAnsi="宋体" w:cs="宋体" w:eastAsia="宋体" w:hint="default"/>
          <w:b/>
          <w:bCs/>
          <w:sz w:val="18"/>
          <w:szCs w:val="18"/>
        </w:rPr>
        <w:t>坏账准备</w:t>
      </w:r>
      <w:r>
        <w:rPr>
          <w:rFonts w:ascii="宋体" w:hAnsi="宋体" w:cs="宋体" w:eastAsia="宋体" w:hint="default"/>
          <w:sz w:val="18"/>
          <w:szCs w:val="18"/>
        </w:rPr>
      </w:r>
    </w:p>
    <w:p>
      <w:pPr>
        <w:tabs>
          <w:tab w:pos="1475" w:val="left" w:leader="none"/>
          <w:tab w:pos="2683" w:val="left" w:leader="none"/>
          <w:tab w:pos="3729" w:val="left" w:leader="none"/>
        </w:tabs>
        <w:spacing w:before="59"/>
        <w:ind w:left="242" w:right="0" w:firstLine="0"/>
        <w:jc w:val="left"/>
        <w:rPr>
          <w:rFonts w:ascii="宋体" w:hAnsi="宋体" w:cs="宋体" w:eastAsia="宋体" w:hint="default"/>
          <w:sz w:val="18"/>
          <w:szCs w:val="18"/>
        </w:rPr>
      </w:pPr>
      <w:r>
        <w:rPr/>
        <w:pict>
          <v:group style="position:absolute;margin-left:202.369995pt;margin-top:1.461741pt;width:246.65pt;height:.5pt;mso-position-horizontal-relative:page;mso-position-vertical-relative:paragraph;z-index:1672" coordorigin="4047,29" coordsize="4933,10">
            <v:group style="position:absolute;left:4052;top:34;width:1476;height:2" coordorigin="4052,34" coordsize="1476,2">
              <v:shape style="position:absolute;left:4052;top:34;width:1476;height:2" coordorigin="4052,34" coordsize="1476,0" path="m4052,34l5528,34e" filled="false" stroked="true" strokeweight=".48pt" strokecolor="#000000">
                <v:path arrowok="t"/>
              </v:shape>
            </v:group>
            <v:group style="position:absolute;left:5528;top:34;width:10;height:2" coordorigin="5528,34" coordsize="10,2">
              <v:shape style="position:absolute;left:5528;top:34;width:10;height:2" coordorigin="5528,34" coordsize="10,0" path="m5528,34l5538,34e" filled="false" stroked="true" strokeweight=".48pt" strokecolor="#000000">
                <v:path arrowok="t"/>
              </v:shape>
            </v:group>
            <v:group style="position:absolute;left:5538;top:34;width:985;height:2" coordorigin="5538,34" coordsize="985,2">
              <v:shape style="position:absolute;left:5538;top:34;width:985;height:2" coordorigin="5538,34" coordsize="985,0" path="m5538,34l6522,34e" filled="false" stroked="true" strokeweight=".48pt" strokecolor="#000000">
                <v:path arrowok="t"/>
              </v:shape>
            </v:group>
            <v:group style="position:absolute;left:6522;top:34;width:10;height:2" coordorigin="6522,34" coordsize="10,2">
              <v:shape style="position:absolute;left:6522;top:34;width:10;height:2" coordorigin="6522,34" coordsize="10,0" path="m6522,34l6532,34e" filled="false" stroked="true" strokeweight=".48pt" strokecolor="#000000">
                <v:path arrowok="t"/>
              </v:shape>
            </v:group>
            <v:group style="position:absolute;left:6532;top:34;width:1409;height:2" coordorigin="6532,34" coordsize="1409,2">
              <v:shape style="position:absolute;left:6532;top:34;width:1409;height:2" coordorigin="6532,34" coordsize="1409,0" path="m6532,34l7941,34e" filled="false" stroked="true" strokeweight=".48pt" strokecolor="#000000">
                <v:path arrowok="t"/>
              </v:shape>
            </v:group>
            <v:group style="position:absolute;left:7941;top:34;width:10;height:2" coordorigin="7941,34" coordsize="10,2">
              <v:shape style="position:absolute;left:7941;top:34;width:10;height:2" coordorigin="7941,34" coordsize="10,0" path="m7941,34l7950,34e" filled="false" stroked="true" strokeweight=".48pt" strokecolor="#000000">
                <v:path arrowok="t"/>
              </v:shape>
            </v:group>
            <v:group style="position:absolute;left:7950;top:34;width:1026;height:2" coordorigin="7950,34" coordsize="1026,2">
              <v:shape style="position:absolute;left:7950;top:34;width:1026;height:2" coordorigin="7950,34" coordsize="1026,0" path="m7950,34l8975,34e" filled="false" stroked="true" strokeweight=".48pt" strokecolor="#000000">
                <v:path arrowok="t"/>
              </v:shape>
            </v:group>
            <w10:wrap type="none"/>
          </v:group>
        </w:pict>
      </w:r>
      <w:r>
        <w:rPr>
          <w:rFonts w:ascii="宋体" w:hAnsi="宋体" w:cs="宋体" w:eastAsia="宋体" w:hint="default"/>
          <w:b/>
          <w:bCs/>
          <w:sz w:val="18"/>
          <w:szCs w:val="18"/>
        </w:rPr>
        <w:t>金额</w:t>
        <w:tab/>
        <w:t>比例</w:t>
        <w:tab/>
        <w:t>金额</w:t>
        <w:tab/>
      </w:r>
      <w:r>
        <w:rPr>
          <w:rFonts w:ascii="宋体" w:hAnsi="宋体" w:cs="宋体" w:eastAsia="宋体" w:hint="default"/>
          <w:b/>
          <w:bCs/>
          <w:w w:val="95"/>
          <w:sz w:val="18"/>
          <w:szCs w:val="18"/>
        </w:rPr>
        <w:t>计提比例</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10"/>
        <w:rPr>
          <w:rFonts w:ascii="宋体" w:hAnsi="宋体" w:cs="宋体" w:eastAsia="宋体" w:hint="default"/>
          <w:b/>
          <w:bCs/>
          <w:sz w:val="15"/>
          <w:szCs w:val="15"/>
        </w:rPr>
      </w:pPr>
    </w:p>
    <w:p>
      <w:pPr>
        <w:spacing w:before="0"/>
        <w:ind w:left="242" w:right="0" w:firstLine="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1910" w:h="16840"/>
          <w:pgMar w:top="1020" w:bottom="280" w:left="1460" w:right="1460"/>
          <w:cols w:num="3" w:equalWidth="0">
            <w:col w:w="2489" w:space="418"/>
            <w:col w:w="4452" w:space="224"/>
            <w:col w:w="1407"/>
          </w:cols>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9"/>
          <w:szCs w:val="19"/>
        </w:rPr>
      </w:pPr>
    </w:p>
    <w:p>
      <w:pPr>
        <w:spacing w:before="32"/>
        <w:ind w:left="808"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4"/>
          <w:sz w:val="22"/>
          <w:szCs w:val="22"/>
        </w:rPr>
        <w:t> </w:t>
      </w:r>
      <w:r>
        <w:rPr>
          <w:rFonts w:ascii="宋体" w:hAnsi="宋体" w:cs="宋体" w:eastAsia="宋体" w:hint="default"/>
          <w:sz w:val="22"/>
          <w:szCs w:val="22"/>
        </w:rPr>
        <w:t>年末单项金额重大并单独计提坏账准备的其他应收款</w:t>
      </w:r>
    </w:p>
    <w:p>
      <w:pPr>
        <w:spacing w:line="240" w:lineRule="auto" w:before="5"/>
        <w:rPr>
          <w:rFonts w:ascii="宋体" w:hAnsi="宋体" w:cs="宋体" w:eastAsia="宋体" w:hint="default"/>
          <w:sz w:val="11"/>
          <w:szCs w:val="11"/>
        </w:rPr>
      </w:pPr>
    </w:p>
    <w:tbl>
      <w:tblPr>
        <w:tblW w:w="0" w:type="auto"/>
        <w:jc w:val="left"/>
        <w:tblInd w:w="134" w:type="dxa"/>
        <w:tblLayout w:type="fixed"/>
        <w:tblCellMar>
          <w:top w:w="0" w:type="dxa"/>
          <w:left w:w="0" w:type="dxa"/>
          <w:bottom w:w="0" w:type="dxa"/>
          <w:right w:w="0" w:type="dxa"/>
        </w:tblCellMar>
        <w:tblLook w:val="01E0"/>
      </w:tblPr>
      <w:tblGrid>
        <w:gridCol w:w="3426"/>
        <w:gridCol w:w="1449"/>
        <w:gridCol w:w="1342"/>
        <w:gridCol w:w="1104"/>
        <w:gridCol w:w="1405"/>
      </w:tblGrid>
      <w:tr>
        <w:trPr>
          <w:trHeight w:val="305" w:hRule="exact"/>
        </w:trPr>
        <w:tc>
          <w:tcPr>
            <w:tcW w:w="342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144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5"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134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9"/>
              <w:jc w:val="center"/>
              <w:rPr>
                <w:rFonts w:ascii="宋体" w:hAnsi="宋体" w:cs="宋体" w:eastAsia="宋体" w:hint="default"/>
                <w:sz w:val="18"/>
                <w:szCs w:val="18"/>
              </w:rPr>
            </w:pPr>
            <w:r>
              <w:rPr>
                <w:rFonts w:ascii="宋体" w:hAnsi="宋体" w:cs="宋体" w:eastAsia="宋体" w:hint="default"/>
                <w:b/>
                <w:bCs/>
                <w:sz w:val="18"/>
                <w:szCs w:val="18"/>
              </w:rPr>
              <w:t>坏账金额</w:t>
            </w:r>
            <w:r>
              <w:rPr>
                <w:rFonts w:ascii="宋体" w:hAnsi="宋体" w:cs="宋体" w:eastAsia="宋体" w:hint="default"/>
                <w:sz w:val="18"/>
                <w:szCs w:val="18"/>
              </w:rPr>
            </w:r>
          </w:p>
        </w:tc>
        <w:tc>
          <w:tcPr>
            <w:tcW w:w="110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51" w:right="0"/>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sz w:val="18"/>
                <w:szCs w:val="18"/>
              </w:rPr>
            </w:r>
          </w:p>
        </w:tc>
        <w:tc>
          <w:tcPr>
            <w:tcW w:w="140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35"/>
              <w:jc w:val="center"/>
              <w:rPr>
                <w:rFonts w:ascii="宋体" w:hAnsi="宋体" w:cs="宋体" w:eastAsia="宋体" w:hint="default"/>
                <w:sz w:val="18"/>
                <w:szCs w:val="18"/>
              </w:rPr>
            </w:pPr>
            <w:r>
              <w:rPr>
                <w:rFonts w:ascii="宋体" w:hAnsi="宋体" w:cs="宋体" w:eastAsia="宋体" w:hint="default"/>
                <w:b/>
                <w:bCs/>
                <w:sz w:val="18"/>
                <w:szCs w:val="18"/>
              </w:rPr>
              <w:t>计提原因</w:t>
            </w:r>
            <w:r>
              <w:rPr>
                <w:rFonts w:ascii="宋体" w:hAnsi="宋体" w:cs="宋体" w:eastAsia="宋体" w:hint="default"/>
                <w:sz w:val="18"/>
                <w:szCs w:val="18"/>
              </w:rPr>
            </w:r>
          </w:p>
        </w:tc>
      </w:tr>
      <w:tr>
        <w:trPr>
          <w:trHeight w:val="296" w:hRule="exact"/>
        </w:trPr>
        <w:tc>
          <w:tcPr>
            <w:tcW w:w="3426"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108" w:right="0"/>
              <w:jc w:val="left"/>
              <w:rPr>
                <w:rFonts w:ascii="宋体" w:hAnsi="宋体" w:cs="宋体" w:eastAsia="宋体" w:hint="default"/>
                <w:sz w:val="18"/>
                <w:szCs w:val="18"/>
              </w:rPr>
            </w:pPr>
            <w:r>
              <w:rPr>
                <w:rFonts w:ascii="宋体" w:hAnsi="宋体" w:cs="宋体" w:eastAsia="宋体" w:hint="default"/>
                <w:sz w:val="18"/>
                <w:szCs w:val="18"/>
              </w:rPr>
              <w:t>钦州市同方和宸精密电子科技有限公司</w:t>
            </w:r>
          </w:p>
        </w:tc>
        <w:tc>
          <w:tcPr>
            <w:tcW w:w="1449" w:type="dxa"/>
            <w:tcBorders>
              <w:top w:val="single" w:sz="4" w:space="0" w:color="000000"/>
              <w:left w:val="nil" w:sz="6" w:space="0" w:color="auto"/>
              <w:bottom w:val="single" w:sz="4" w:space="0" w:color="000000"/>
              <w:right w:val="nil" w:sz="6" w:space="0" w:color="auto"/>
            </w:tcBorders>
          </w:tcPr>
          <w:p>
            <w:pPr>
              <w:pStyle w:val="TableParagraph"/>
              <w:spacing w:line="240" w:lineRule="auto" w:before="75"/>
              <w:ind w:left="101" w:right="0"/>
              <w:jc w:val="center"/>
              <w:rPr>
                <w:rFonts w:ascii="Times New Roman" w:hAnsi="Times New Roman" w:cs="Times New Roman" w:eastAsia="Times New Roman" w:hint="default"/>
                <w:sz w:val="18"/>
                <w:szCs w:val="18"/>
              </w:rPr>
            </w:pPr>
            <w:r>
              <w:rPr>
                <w:rFonts w:ascii="Times New Roman"/>
                <w:sz w:val="18"/>
              </w:rPr>
              <w:t>45,325,348.76</w:t>
            </w:r>
          </w:p>
        </w:tc>
        <w:tc>
          <w:tcPr>
            <w:tcW w:w="1342" w:type="dxa"/>
            <w:tcBorders>
              <w:top w:val="single" w:sz="4" w:space="0" w:color="000000"/>
              <w:left w:val="nil" w:sz="6" w:space="0" w:color="auto"/>
              <w:bottom w:val="single" w:sz="4" w:space="0" w:color="000000"/>
              <w:right w:val="nil" w:sz="6" w:space="0" w:color="auto"/>
            </w:tcBorders>
          </w:tcPr>
          <w:p>
            <w:pPr>
              <w:pStyle w:val="TableParagraph"/>
              <w:spacing w:line="240" w:lineRule="auto" w:before="75"/>
              <w:ind w:left="5" w:right="0"/>
              <w:jc w:val="center"/>
              <w:rPr>
                <w:rFonts w:ascii="Times New Roman" w:hAnsi="Times New Roman" w:cs="Times New Roman" w:eastAsia="Times New Roman" w:hint="default"/>
                <w:sz w:val="18"/>
                <w:szCs w:val="18"/>
              </w:rPr>
            </w:pPr>
            <w:r>
              <w:rPr>
                <w:rFonts w:ascii="Times New Roman"/>
                <w:sz w:val="18"/>
              </w:rPr>
              <w:t>45,325,348.76</w:t>
            </w:r>
          </w:p>
        </w:tc>
        <w:tc>
          <w:tcPr>
            <w:tcW w:w="1104" w:type="dxa"/>
            <w:tcBorders>
              <w:top w:val="single" w:sz="4" w:space="0" w:color="000000"/>
              <w:left w:val="nil" w:sz="6" w:space="0" w:color="auto"/>
              <w:bottom w:val="single" w:sz="4" w:space="0" w:color="000000"/>
              <w:right w:val="nil" w:sz="6" w:space="0" w:color="auto"/>
            </w:tcBorders>
          </w:tcPr>
          <w:p>
            <w:pPr>
              <w:pStyle w:val="TableParagraph"/>
              <w:spacing w:line="240" w:lineRule="auto" w:before="75"/>
              <w:ind w:right="141"/>
              <w:jc w:val="right"/>
              <w:rPr>
                <w:rFonts w:ascii="Times New Roman" w:hAnsi="Times New Roman" w:cs="Times New Roman" w:eastAsia="Times New Roman" w:hint="default"/>
                <w:sz w:val="18"/>
                <w:szCs w:val="18"/>
              </w:rPr>
            </w:pPr>
            <w:r>
              <w:rPr>
                <w:rFonts w:ascii="Times New Roman"/>
                <w:spacing w:val="-1"/>
                <w:sz w:val="18"/>
              </w:rPr>
              <w:t>100.00%</w:t>
            </w:r>
          </w:p>
        </w:tc>
        <w:tc>
          <w:tcPr>
            <w:tcW w:w="1405"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right="38"/>
              <w:jc w:val="center"/>
              <w:rPr>
                <w:rFonts w:ascii="宋体" w:hAnsi="宋体" w:cs="宋体" w:eastAsia="宋体" w:hint="default"/>
                <w:sz w:val="18"/>
                <w:szCs w:val="18"/>
              </w:rPr>
            </w:pPr>
            <w:r>
              <w:rPr>
                <w:rFonts w:ascii="宋体" w:hAnsi="宋体" w:cs="宋体" w:eastAsia="宋体" w:hint="default"/>
                <w:sz w:val="18"/>
                <w:szCs w:val="18"/>
              </w:rPr>
              <w:t>企业信用异常</w:t>
            </w:r>
          </w:p>
        </w:tc>
      </w:tr>
      <w:tr>
        <w:trPr>
          <w:trHeight w:val="307" w:hRule="exact"/>
        </w:trPr>
        <w:tc>
          <w:tcPr>
            <w:tcW w:w="3426"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44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101" w:right="0"/>
              <w:jc w:val="center"/>
              <w:rPr>
                <w:rFonts w:ascii="Times New Roman" w:hAnsi="Times New Roman" w:cs="Times New Roman" w:eastAsia="Times New Roman" w:hint="default"/>
                <w:sz w:val="18"/>
                <w:szCs w:val="18"/>
              </w:rPr>
            </w:pPr>
            <w:r>
              <w:rPr>
                <w:rFonts w:ascii="Times New Roman"/>
                <w:b/>
                <w:sz w:val="18"/>
              </w:rPr>
              <w:t>45,325,348.76</w:t>
            </w:r>
            <w:r>
              <w:rPr>
                <w:rFonts w:ascii="Times New Roman"/>
                <w:sz w:val="18"/>
              </w:rPr>
            </w:r>
          </w:p>
        </w:tc>
        <w:tc>
          <w:tcPr>
            <w:tcW w:w="134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5" w:right="0"/>
              <w:jc w:val="center"/>
              <w:rPr>
                <w:rFonts w:ascii="Times New Roman" w:hAnsi="Times New Roman" w:cs="Times New Roman" w:eastAsia="Times New Roman" w:hint="default"/>
                <w:sz w:val="18"/>
                <w:szCs w:val="18"/>
              </w:rPr>
            </w:pPr>
            <w:r>
              <w:rPr>
                <w:rFonts w:ascii="Times New Roman"/>
                <w:b/>
                <w:sz w:val="18"/>
              </w:rPr>
              <w:t>45,325,348.76</w:t>
            </w:r>
            <w:r>
              <w:rPr>
                <w:rFonts w:ascii="Times New Roman"/>
                <w:sz w:val="18"/>
              </w:rPr>
            </w:r>
          </w:p>
        </w:tc>
        <w:tc>
          <w:tcPr>
            <w:tcW w:w="110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40"/>
              <w:jc w:val="right"/>
              <w:rPr>
                <w:rFonts w:ascii="Times New Roman" w:hAnsi="Times New Roman" w:cs="Times New Roman" w:eastAsia="Times New Roman" w:hint="default"/>
                <w:sz w:val="18"/>
                <w:szCs w:val="18"/>
              </w:rPr>
            </w:pPr>
            <w:r>
              <w:rPr>
                <w:rFonts w:ascii="Times New Roman"/>
                <w:b/>
                <w:spacing w:val="-1"/>
                <w:sz w:val="18"/>
              </w:rPr>
              <w:t>100.00%</w:t>
            </w:r>
            <w:r>
              <w:rPr>
                <w:rFonts w:ascii="Times New Roman"/>
                <w:spacing w:val="-1"/>
                <w:sz w:val="18"/>
              </w:rPr>
            </w:r>
          </w:p>
        </w:tc>
        <w:tc>
          <w:tcPr>
            <w:tcW w:w="1405" w:type="dxa"/>
            <w:tcBorders>
              <w:top w:val="single" w:sz="4" w:space="0" w:color="000000"/>
              <w:left w:val="nil" w:sz="6" w:space="0" w:color="auto"/>
              <w:bottom w:val="single" w:sz="12" w:space="0" w:color="000000"/>
              <w:right w:val="nil" w:sz="6" w:space="0" w:color="auto"/>
            </w:tcBorders>
          </w:tcPr>
          <w:p>
            <w:pPr>
              <w:pStyle w:val="TableParagraph"/>
              <w:spacing w:line="240" w:lineRule="auto" w:before="74"/>
              <w:ind w:right="35"/>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before="81"/>
        <w:ind w:left="808"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6"/>
          <w:sz w:val="22"/>
          <w:szCs w:val="22"/>
        </w:rPr>
        <w:t> </w:t>
      </w:r>
      <w:r>
        <w:rPr>
          <w:rFonts w:ascii="宋体" w:hAnsi="宋体" w:cs="宋体" w:eastAsia="宋体" w:hint="default"/>
          <w:sz w:val="22"/>
          <w:szCs w:val="22"/>
        </w:rPr>
        <w:t>组合中，按账龄分析法计提坏账准备的其他应收款</w:t>
      </w:r>
    </w:p>
    <w:p>
      <w:pPr>
        <w:spacing w:line="240" w:lineRule="auto" w:before="5"/>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1774"/>
        <w:gridCol w:w="2894"/>
        <w:gridCol w:w="1727"/>
        <w:gridCol w:w="2345"/>
      </w:tblGrid>
      <w:tr>
        <w:trPr>
          <w:trHeight w:val="307" w:hRule="exact"/>
        </w:trPr>
        <w:tc>
          <w:tcPr>
            <w:tcW w:w="1774" w:type="dxa"/>
            <w:vMerge w:val="restart"/>
            <w:tcBorders>
              <w:top w:val="single" w:sz="12" w:space="0" w:color="000000"/>
              <w:left w:val="nil" w:sz="6" w:space="0" w:color="auto"/>
              <w:right w:val="nil" w:sz="6" w:space="0" w:color="auto"/>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2894" w:type="dxa"/>
            <w:tcBorders>
              <w:top w:val="single" w:sz="12" w:space="0" w:color="000000"/>
              <w:left w:val="nil" w:sz="6" w:space="0" w:color="auto"/>
              <w:bottom w:val="single" w:sz="4" w:space="0" w:color="000000"/>
              <w:right w:val="nil" w:sz="6" w:space="0" w:color="auto"/>
            </w:tcBorders>
          </w:tcPr>
          <w:p>
            <w:pPr/>
          </w:p>
        </w:tc>
        <w:tc>
          <w:tcPr>
            <w:tcW w:w="172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27"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345" w:type="dxa"/>
            <w:tcBorders>
              <w:top w:val="single" w:sz="12" w:space="0" w:color="000000"/>
              <w:left w:val="nil" w:sz="6" w:space="0" w:color="auto"/>
              <w:bottom w:val="single" w:sz="4" w:space="0" w:color="000000"/>
              <w:right w:val="nil" w:sz="6" w:space="0" w:color="auto"/>
            </w:tcBorders>
          </w:tcPr>
          <w:p>
            <w:pPr/>
          </w:p>
        </w:tc>
      </w:tr>
      <w:tr>
        <w:trPr>
          <w:trHeight w:val="295" w:hRule="exact"/>
        </w:trPr>
        <w:tc>
          <w:tcPr>
            <w:tcW w:w="1774" w:type="dxa"/>
            <w:vMerge/>
            <w:tcBorders>
              <w:left w:val="nil" w:sz="6" w:space="0" w:color="auto"/>
              <w:bottom w:val="single" w:sz="4" w:space="0" w:color="000000"/>
              <w:right w:val="nil" w:sz="6" w:space="0" w:color="auto"/>
            </w:tcBorders>
          </w:tcPr>
          <w:p>
            <w:pPr/>
          </w:p>
        </w:tc>
        <w:tc>
          <w:tcPr>
            <w:tcW w:w="2894"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886" w:right="0"/>
              <w:jc w:val="left"/>
              <w:rPr>
                <w:rFonts w:ascii="宋体" w:hAnsi="宋体" w:cs="宋体" w:eastAsia="宋体" w:hint="default"/>
                <w:sz w:val="18"/>
                <w:szCs w:val="18"/>
              </w:rPr>
            </w:pPr>
            <w:r>
              <w:rPr>
                <w:rFonts w:ascii="宋体" w:hAnsi="宋体" w:cs="宋体" w:eastAsia="宋体" w:hint="default"/>
                <w:b/>
                <w:bCs/>
                <w:sz w:val="18"/>
                <w:szCs w:val="18"/>
              </w:rPr>
              <w:t>其他应收款</w:t>
            </w:r>
            <w:r>
              <w:rPr>
                <w:rFonts w:ascii="宋体" w:hAnsi="宋体" w:cs="宋体" w:eastAsia="宋体" w:hint="default"/>
                <w:sz w:val="18"/>
                <w:szCs w:val="18"/>
              </w:rPr>
            </w:r>
          </w:p>
        </w:tc>
        <w:tc>
          <w:tcPr>
            <w:tcW w:w="1727"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483" w:right="0"/>
              <w:jc w:val="left"/>
              <w:rPr>
                <w:rFonts w:ascii="宋体" w:hAnsi="宋体" w:cs="宋体" w:eastAsia="宋体" w:hint="default"/>
                <w:sz w:val="18"/>
                <w:szCs w:val="18"/>
              </w:rPr>
            </w:pPr>
            <w:r>
              <w:rPr>
                <w:rFonts w:ascii="宋体" w:hAnsi="宋体" w:cs="宋体" w:eastAsia="宋体" w:hint="default"/>
                <w:b/>
                <w:bCs/>
                <w:sz w:val="18"/>
                <w:szCs w:val="18"/>
              </w:rPr>
              <w:t>比重</w:t>
            </w:r>
            <w:r>
              <w:rPr>
                <w:rFonts w:ascii="宋体" w:hAnsi="宋体" w:cs="宋体" w:eastAsia="宋体" w:hint="default"/>
                <w:sz w:val="18"/>
                <w:szCs w:val="18"/>
              </w:rPr>
            </w:r>
          </w:p>
        </w:tc>
        <w:tc>
          <w:tcPr>
            <w:tcW w:w="2345"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723"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323" w:hRule="exact"/>
        </w:trPr>
        <w:tc>
          <w:tcPr>
            <w:tcW w:w="1774"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894"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325"/>
              <w:jc w:val="right"/>
              <w:rPr>
                <w:rFonts w:ascii="Times New Roman" w:hAnsi="Times New Roman" w:cs="Times New Roman" w:eastAsia="Times New Roman" w:hint="default"/>
                <w:sz w:val="18"/>
                <w:szCs w:val="18"/>
              </w:rPr>
            </w:pPr>
            <w:r>
              <w:rPr>
                <w:rFonts w:ascii="Times New Roman"/>
                <w:spacing w:val="-1"/>
                <w:sz w:val="18"/>
              </w:rPr>
              <w:t>640,781,205.46</w:t>
            </w:r>
          </w:p>
        </w:tc>
        <w:tc>
          <w:tcPr>
            <w:tcW w:w="1727"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left="387" w:right="0"/>
              <w:jc w:val="left"/>
              <w:rPr>
                <w:rFonts w:ascii="Times New Roman" w:hAnsi="Times New Roman" w:cs="Times New Roman" w:eastAsia="Times New Roman" w:hint="default"/>
                <w:sz w:val="18"/>
                <w:szCs w:val="18"/>
              </w:rPr>
            </w:pPr>
            <w:r>
              <w:rPr>
                <w:rFonts w:ascii="Times New Roman"/>
                <w:sz w:val="18"/>
              </w:rPr>
              <w:t>52.07%</w:t>
            </w:r>
          </w:p>
        </w:tc>
        <w:tc>
          <w:tcPr>
            <w:tcW w:w="2345"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6,407,812.05</w:t>
            </w:r>
          </w:p>
        </w:tc>
      </w:tr>
      <w:tr>
        <w:trPr>
          <w:trHeight w:val="286" w:hRule="exact"/>
        </w:trPr>
        <w:tc>
          <w:tcPr>
            <w:tcW w:w="1774" w:type="dxa"/>
            <w:tcBorders>
              <w:top w:val="nil" w:sz="6" w:space="0" w:color="auto"/>
              <w:left w:val="nil" w:sz="6" w:space="0" w:color="auto"/>
              <w:bottom w:val="nil" w:sz="6" w:space="0" w:color="auto"/>
              <w:right w:val="nil" w:sz="6" w:space="0" w:color="auto"/>
            </w:tcBorders>
          </w:tcPr>
          <w:p>
            <w:pPr>
              <w:pStyle w:val="TableParagraph"/>
              <w:spacing w:line="237"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8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25"/>
              <w:jc w:val="right"/>
              <w:rPr>
                <w:rFonts w:ascii="Times New Roman" w:hAnsi="Times New Roman" w:cs="Times New Roman" w:eastAsia="Times New Roman" w:hint="default"/>
                <w:sz w:val="18"/>
                <w:szCs w:val="18"/>
              </w:rPr>
            </w:pPr>
            <w:r>
              <w:rPr>
                <w:rFonts w:ascii="Times New Roman"/>
                <w:spacing w:val="-1"/>
                <w:sz w:val="18"/>
              </w:rPr>
              <w:t>220,449,084.78</w:t>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87" w:right="0"/>
              <w:jc w:val="left"/>
              <w:rPr>
                <w:rFonts w:ascii="Times New Roman" w:hAnsi="Times New Roman" w:cs="Times New Roman" w:eastAsia="Times New Roman" w:hint="default"/>
                <w:sz w:val="18"/>
                <w:szCs w:val="18"/>
              </w:rPr>
            </w:pPr>
            <w:r>
              <w:rPr>
                <w:rFonts w:ascii="Times New Roman"/>
                <w:sz w:val="18"/>
              </w:rPr>
              <w:t>17.91%</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11,022,454.24</w:t>
            </w:r>
          </w:p>
        </w:tc>
      </w:tr>
      <w:tr>
        <w:trPr>
          <w:trHeight w:val="284" w:hRule="exact"/>
        </w:trPr>
        <w:tc>
          <w:tcPr>
            <w:tcW w:w="1774" w:type="dxa"/>
            <w:tcBorders>
              <w:top w:val="nil" w:sz="6" w:space="0" w:color="auto"/>
              <w:left w:val="nil" w:sz="6" w:space="0" w:color="auto"/>
              <w:bottom w:val="nil" w:sz="6" w:space="0" w:color="auto"/>
              <w:right w:val="nil" w:sz="6" w:space="0" w:color="auto"/>
            </w:tcBorders>
          </w:tcPr>
          <w:p>
            <w:pPr>
              <w:pStyle w:val="TableParagraph"/>
              <w:spacing w:line="237"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8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25"/>
              <w:jc w:val="right"/>
              <w:rPr>
                <w:rFonts w:ascii="Times New Roman" w:hAnsi="Times New Roman" w:cs="Times New Roman" w:eastAsia="Times New Roman" w:hint="default"/>
                <w:sz w:val="18"/>
                <w:szCs w:val="18"/>
              </w:rPr>
            </w:pPr>
            <w:r>
              <w:rPr>
                <w:rFonts w:ascii="Times New Roman"/>
                <w:spacing w:val="-1"/>
                <w:sz w:val="18"/>
              </w:rPr>
              <w:t>95,634,781.11</w:t>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33" w:right="0"/>
              <w:jc w:val="left"/>
              <w:rPr>
                <w:rFonts w:ascii="Times New Roman" w:hAnsi="Times New Roman" w:cs="Times New Roman" w:eastAsia="Times New Roman" w:hint="default"/>
                <w:sz w:val="18"/>
                <w:szCs w:val="18"/>
              </w:rPr>
            </w:pPr>
            <w:r>
              <w:rPr>
                <w:rFonts w:ascii="Times New Roman"/>
                <w:sz w:val="18"/>
              </w:rPr>
              <w:t>7.77%</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14,345,217.17</w:t>
            </w:r>
          </w:p>
        </w:tc>
      </w:tr>
      <w:tr>
        <w:trPr>
          <w:trHeight w:val="284" w:hRule="exact"/>
        </w:trPr>
        <w:tc>
          <w:tcPr>
            <w:tcW w:w="1774"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8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25"/>
              <w:jc w:val="right"/>
              <w:rPr>
                <w:rFonts w:ascii="Times New Roman" w:hAnsi="Times New Roman" w:cs="Times New Roman" w:eastAsia="Times New Roman" w:hint="default"/>
                <w:sz w:val="18"/>
                <w:szCs w:val="18"/>
              </w:rPr>
            </w:pPr>
            <w:r>
              <w:rPr>
                <w:rFonts w:ascii="Times New Roman"/>
                <w:spacing w:val="-1"/>
                <w:sz w:val="18"/>
              </w:rPr>
              <w:t>21,843,315.02</w:t>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33" w:right="0"/>
              <w:jc w:val="left"/>
              <w:rPr>
                <w:rFonts w:ascii="Times New Roman" w:hAnsi="Times New Roman" w:cs="Times New Roman" w:eastAsia="Times New Roman" w:hint="default"/>
                <w:sz w:val="18"/>
                <w:szCs w:val="18"/>
              </w:rPr>
            </w:pPr>
            <w:r>
              <w:rPr>
                <w:rFonts w:ascii="Times New Roman"/>
                <w:sz w:val="18"/>
              </w:rPr>
              <w:t>1.78%</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6,552,994.51</w:t>
            </w:r>
          </w:p>
        </w:tc>
      </w:tr>
      <w:tr>
        <w:trPr>
          <w:trHeight w:val="286" w:hRule="exact"/>
        </w:trPr>
        <w:tc>
          <w:tcPr>
            <w:tcW w:w="1774" w:type="dxa"/>
            <w:tcBorders>
              <w:top w:val="nil" w:sz="6" w:space="0" w:color="auto"/>
              <w:left w:val="nil" w:sz="6" w:space="0" w:color="auto"/>
              <w:bottom w:val="nil" w:sz="6" w:space="0" w:color="auto"/>
              <w:right w:val="nil" w:sz="6" w:space="0" w:color="auto"/>
            </w:tcBorders>
          </w:tcPr>
          <w:p>
            <w:pPr>
              <w:pStyle w:val="TableParagraph"/>
              <w:spacing w:line="237"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8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25"/>
              <w:jc w:val="right"/>
              <w:rPr>
                <w:rFonts w:ascii="Times New Roman" w:hAnsi="Times New Roman" w:cs="Times New Roman" w:eastAsia="Times New Roman" w:hint="default"/>
                <w:sz w:val="18"/>
                <w:szCs w:val="18"/>
              </w:rPr>
            </w:pPr>
            <w:r>
              <w:rPr>
                <w:rFonts w:ascii="Times New Roman"/>
                <w:spacing w:val="-1"/>
                <w:sz w:val="18"/>
              </w:rPr>
              <w:t>26,033,543.44</w:t>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33" w:right="0"/>
              <w:jc w:val="left"/>
              <w:rPr>
                <w:rFonts w:ascii="Times New Roman" w:hAnsi="Times New Roman" w:cs="Times New Roman" w:eastAsia="Times New Roman" w:hint="default"/>
                <w:sz w:val="18"/>
                <w:szCs w:val="18"/>
              </w:rPr>
            </w:pPr>
            <w:r>
              <w:rPr>
                <w:rFonts w:ascii="Times New Roman"/>
                <w:sz w:val="18"/>
              </w:rPr>
              <w:t>2.12%</w:t>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13,016,771.72</w:t>
            </w:r>
          </w:p>
        </w:tc>
      </w:tr>
      <w:tr>
        <w:trPr>
          <w:trHeight w:val="255" w:hRule="exact"/>
        </w:trPr>
        <w:tc>
          <w:tcPr>
            <w:tcW w:w="1774" w:type="dxa"/>
            <w:tcBorders>
              <w:top w:val="nil" w:sz="6" w:space="0" w:color="auto"/>
              <w:left w:val="nil" w:sz="6" w:space="0" w:color="auto"/>
              <w:bottom w:val="single" w:sz="4" w:space="0" w:color="000000"/>
              <w:right w:val="nil" w:sz="6" w:space="0" w:color="auto"/>
            </w:tcBorders>
          </w:tcPr>
          <w:p>
            <w:pPr>
              <w:pStyle w:val="TableParagraph"/>
              <w:spacing w:line="237"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89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325"/>
              <w:jc w:val="right"/>
              <w:rPr>
                <w:rFonts w:ascii="Times New Roman" w:hAnsi="Times New Roman" w:cs="Times New Roman" w:eastAsia="Times New Roman" w:hint="default"/>
                <w:sz w:val="18"/>
                <w:szCs w:val="18"/>
              </w:rPr>
            </w:pPr>
            <w:r>
              <w:rPr>
                <w:rFonts w:ascii="Times New Roman"/>
                <w:spacing w:val="-1"/>
                <w:sz w:val="18"/>
              </w:rPr>
              <w:t>225,809,267.78</w:t>
            </w:r>
          </w:p>
        </w:tc>
        <w:tc>
          <w:tcPr>
            <w:tcW w:w="1727"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left="387" w:right="0"/>
              <w:jc w:val="left"/>
              <w:rPr>
                <w:rFonts w:ascii="Times New Roman" w:hAnsi="Times New Roman" w:cs="Times New Roman" w:eastAsia="Times New Roman" w:hint="default"/>
                <w:sz w:val="18"/>
                <w:szCs w:val="18"/>
              </w:rPr>
            </w:pPr>
            <w:r>
              <w:rPr>
                <w:rFonts w:ascii="Times New Roman"/>
                <w:sz w:val="18"/>
              </w:rPr>
              <w:t>18.35%</w:t>
            </w:r>
          </w:p>
        </w:tc>
        <w:tc>
          <w:tcPr>
            <w:tcW w:w="234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225,809,267.78</w:t>
            </w:r>
          </w:p>
        </w:tc>
      </w:tr>
      <w:tr>
        <w:trPr>
          <w:trHeight w:val="307" w:hRule="exact"/>
        </w:trPr>
        <w:tc>
          <w:tcPr>
            <w:tcW w:w="1774"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89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326"/>
              <w:jc w:val="right"/>
              <w:rPr>
                <w:rFonts w:ascii="Times New Roman" w:hAnsi="Times New Roman" w:cs="Times New Roman" w:eastAsia="Times New Roman" w:hint="default"/>
                <w:sz w:val="18"/>
                <w:szCs w:val="18"/>
              </w:rPr>
            </w:pPr>
            <w:r>
              <w:rPr>
                <w:rFonts w:ascii="Times New Roman"/>
                <w:b/>
                <w:spacing w:val="-1"/>
                <w:sz w:val="18"/>
              </w:rPr>
              <w:t>1,230,551,197.59</w:t>
            </w:r>
            <w:r>
              <w:rPr>
                <w:rFonts w:ascii="Times New Roman"/>
                <w:spacing w:val="-1"/>
                <w:sz w:val="18"/>
              </w:rPr>
            </w:r>
          </w:p>
        </w:tc>
        <w:tc>
          <w:tcPr>
            <w:tcW w:w="1727"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327" w:right="0"/>
              <w:jc w:val="lef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234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b/>
                <w:spacing w:val="-1"/>
                <w:sz w:val="18"/>
              </w:rPr>
              <w:t>277,154,517.47</w:t>
            </w:r>
            <w:r>
              <w:rPr>
                <w:rFonts w:ascii="Times New Roman"/>
                <w:spacing w:val="-1"/>
                <w:sz w:val="18"/>
              </w:rPr>
            </w:r>
          </w:p>
        </w:tc>
      </w:tr>
    </w:tbl>
    <w:p>
      <w:pPr>
        <w:spacing w:before="82"/>
        <w:ind w:left="808"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35"/>
          <w:sz w:val="22"/>
          <w:szCs w:val="22"/>
        </w:rPr>
        <w:t> </w:t>
      </w:r>
      <w:r>
        <w:rPr>
          <w:rFonts w:ascii="宋体" w:hAnsi="宋体" w:cs="宋体" w:eastAsia="宋体" w:hint="default"/>
          <w:sz w:val="22"/>
          <w:szCs w:val="22"/>
        </w:rPr>
        <w:t>年末单项金额虽不重大但单独计提坏账准备的其他应收款</w:t>
      </w:r>
    </w:p>
    <w:p>
      <w:pPr>
        <w:spacing w:line="240" w:lineRule="auto" w:before="5"/>
        <w:rPr>
          <w:rFonts w:ascii="宋体" w:hAnsi="宋体" w:cs="宋体" w:eastAsia="宋体" w:hint="default"/>
          <w:sz w:val="11"/>
          <w:szCs w:val="11"/>
        </w:rPr>
      </w:pPr>
    </w:p>
    <w:tbl>
      <w:tblPr>
        <w:tblW w:w="0" w:type="auto"/>
        <w:jc w:val="left"/>
        <w:tblInd w:w="134" w:type="dxa"/>
        <w:tblLayout w:type="fixed"/>
        <w:tblCellMar>
          <w:top w:w="0" w:type="dxa"/>
          <w:left w:w="0" w:type="dxa"/>
          <w:bottom w:w="0" w:type="dxa"/>
          <w:right w:w="0" w:type="dxa"/>
        </w:tblCellMar>
        <w:tblLook w:val="01E0"/>
      </w:tblPr>
      <w:tblGrid>
        <w:gridCol w:w="3562"/>
        <w:gridCol w:w="1357"/>
        <w:gridCol w:w="1341"/>
        <w:gridCol w:w="1059"/>
        <w:gridCol w:w="1406"/>
      </w:tblGrid>
      <w:tr>
        <w:trPr>
          <w:trHeight w:val="305" w:hRule="exact"/>
        </w:trPr>
        <w:tc>
          <w:tcPr>
            <w:tcW w:w="356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135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98"/>
              <w:jc w:val="righ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c>
        <w:tc>
          <w:tcPr>
            <w:tcW w:w="134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92"/>
              <w:jc w:val="right"/>
              <w:rPr>
                <w:rFonts w:ascii="宋体" w:hAnsi="宋体" w:cs="宋体" w:eastAsia="宋体" w:hint="default"/>
                <w:sz w:val="18"/>
                <w:szCs w:val="18"/>
              </w:rPr>
            </w:pPr>
            <w:r>
              <w:rPr>
                <w:rFonts w:ascii="宋体" w:hAnsi="宋体" w:cs="宋体" w:eastAsia="宋体" w:hint="default"/>
                <w:b/>
                <w:bCs/>
                <w:w w:val="95"/>
                <w:sz w:val="18"/>
                <w:szCs w:val="18"/>
              </w:rPr>
              <w:t>坏账金额</w:t>
            </w:r>
            <w:r>
              <w:rPr>
                <w:rFonts w:ascii="宋体" w:hAnsi="宋体" w:cs="宋体" w:eastAsia="宋体" w:hint="default"/>
                <w:sz w:val="18"/>
                <w:szCs w:val="18"/>
              </w:rPr>
            </w:r>
          </w:p>
        </w:tc>
        <w:tc>
          <w:tcPr>
            <w:tcW w:w="105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40"/>
              <w:jc w:val="right"/>
              <w:rPr>
                <w:rFonts w:ascii="宋体" w:hAnsi="宋体" w:cs="宋体" w:eastAsia="宋体" w:hint="default"/>
                <w:sz w:val="18"/>
                <w:szCs w:val="18"/>
              </w:rPr>
            </w:pPr>
            <w:r>
              <w:rPr>
                <w:rFonts w:ascii="宋体" w:hAnsi="宋体" w:cs="宋体" w:eastAsia="宋体" w:hint="default"/>
                <w:b/>
                <w:bCs/>
                <w:w w:val="95"/>
                <w:sz w:val="18"/>
                <w:szCs w:val="18"/>
              </w:rPr>
              <w:t>计提比例</w:t>
            </w:r>
            <w:r>
              <w:rPr>
                <w:rFonts w:ascii="宋体" w:hAnsi="宋体" w:cs="宋体" w:eastAsia="宋体" w:hint="default"/>
                <w:sz w:val="18"/>
                <w:szCs w:val="18"/>
              </w:rPr>
            </w:r>
          </w:p>
        </w:tc>
        <w:tc>
          <w:tcPr>
            <w:tcW w:w="140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34"/>
              <w:jc w:val="center"/>
              <w:rPr>
                <w:rFonts w:ascii="宋体" w:hAnsi="宋体" w:cs="宋体" w:eastAsia="宋体" w:hint="default"/>
                <w:sz w:val="18"/>
                <w:szCs w:val="18"/>
              </w:rPr>
            </w:pPr>
            <w:r>
              <w:rPr>
                <w:rFonts w:ascii="宋体" w:hAnsi="宋体" w:cs="宋体" w:eastAsia="宋体" w:hint="default"/>
                <w:b/>
                <w:bCs/>
                <w:sz w:val="18"/>
                <w:szCs w:val="18"/>
              </w:rPr>
              <w:t>计提原因</w:t>
            </w:r>
            <w:r>
              <w:rPr>
                <w:rFonts w:ascii="宋体" w:hAnsi="宋体" w:cs="宋体" w:eastAsia="宋体" w:hint="default"/>
                <w:sz w:val="18"/>
                <w:szCs w:val="18"/>
              </w:rPr>
            </w:r>
          </w:p>
        </w:tc>
      </w:tr>
      <w:tr>
        <w:trPr>
          <w:trHeight w:val="295" w:hRule="exact"/>
        </w:trPr>
        <w:tc>
          <w:tcPr>
            <w:tcW w:w="3562"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新曙光城市建设投资开发有限公司等</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家</w:t>
            </w:r>
          </w:p>
        </w:tc>
        <w:tc>
          <w:tcPr>
            <w:tcW w:w="1357"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98"/>
              <w:jc w:val="right"/>
              <w:rPr>
                <w:rFonts w:ascii="Times New Roman" w:hAnsi="Times New Roman" w:cs="Times New Roman" w:eastAsia="Times New Roman" w:hint="default"/>
                <w:sz w:val="18"/>
                <w:szCs w:val="18"/>
              </w:rPr>
            </w:pPr>
            <w:r>
              <w:rPr>
                <w:rFonts w:ascii="Times New Roman"/>
                <w:spacing w:val="-1"/>
                <w:sz w:val="18"/>
              </w:rPr>
              <w:t>2,263,560.94</w:t>
            </w:r>
          </w:p>
        </w:tc>
        <w:tc>
          <w:tcPr>
            <w:tcW w:w="1341"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92"/>
              <w:jc w:val="right"/>
              <w:rPr>
                <w:rFonts w:ascii="Times New Roman" w:hAnsi="Times New Roman" w:cs="Times New Roman" w:eastAsia="Times New Roman" w:hint="default"/>
                <w:sz w:val="18"/>
                <w:szCs w:val="18"/>
              </w:rPr>
            </w:pPr>
            <w:r>
              <w:rPr>
                <w:rFonts w:ascii="Times New Roman"/>
                <w:spacing w:val="-1"/>
                <w:sz w:val="18"/>
              </w:rPr>
              <w:t>1,806,046.89</w:t>
            </w:r>
          </w:p>
        </w:tc>
        <w:tc>
          <w:tcPr>
            <w:tcW w:w="105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37"/>
              <w:jc w:val="right"/>
              <w:rPr>
                <w:rFonts w:ascii="Times New Roman" w:hAnsi="Times New Roman" w:cs="Times New Roman" w:eastAsia="Times New Roman" w:hint="default"/>
                <w:sz w:val="18"/>
                <w:szCs w:val="18"/>
              </w:rPr>
            </w:pPr>
            <w:r>
              <w:rPr>
                <w:rFonts w:ascii="Times New Roman"/>
                <w:sz w:val="18"/>
              </w:rPr>
              <w:t>79.79%</w:t>
            </w:r>
          </w:p>
        </w:tc>
        <w:tc>
          <w:tcPr>
            <w:tcW w:w="140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34"/>
              <w:jc w:val="center"/>
              <w:rPr>
                <w:rFonts w:ascii="宋体" w:hAnsi="宋体" w:cs="宋体" w:eastAsia="宋体" w:hint="default"/>
                <w:sz w:val="18"/>
                <w:szCs w:val="18"/>
              </w:rPr>
            </w:pPr>
            <w:r>
              <w:rPr>
                <w:rFonts w:ascii="宋体" w:hAnsi="宋体" w:cs="宋体" w:eastAsia="宋体" w:hint="default"/>
                <w:spacing w:val="-24"/>
                <w:sz w:val="18"/>
                <w:szCs w:val="18"/>
              </w:rPr>
              <w:t>大部分无法收回</w:t>
            </w:r>
            <w:r>
              <w:rPr>
                <w:rFonts w:ascii="宋体" w:hAnsi="宋体" w:cs="宋体" w:eastAsia="宋体" w:hint="default"/>
                <w:sz w:val="18"/>
                <w:szCs w:val="18"/>
              </w:rPr>
            </w:r>
          </w:p>
        </w:tc>
      </w:tr>
      <w:tr>
        <w:trPr>
          <w:trHeight w:val="307" w:hRule="exact"/>
        </w:trPr>
        <w:tc>
          <w:tcPr>
            <w:tcW w:w="3562"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57"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98"/>
              <w:jc w:val="right"/>
              <w:rPr>
                <w:rFonts w:ascii="Times New Roman" w:hAnsi="Times New Roman" w:cs="Times New Roman" w:eastAsia="Times New Roman" w:hint="default"/>
                <w:sz w:val="18"/>
                <w:szCs w:val="18"/>
              </w:rPr>
            </w:pPr>
            <w:r>
              <w:rPr>
                <w:rFonts w:ascii="Times New Roman"/>
                <w:b/>
                <w:spacing w:val="-1"/>
                <w:sz w:val="18"/>
              </w:rPr>
              <w:t>2,263,560.94</w:t>
            </w:r>
            <w:r>
              <w:rPr>
                <w:rFonts w:ascii="Times New Roman"/>
                <w:spacing w:val="-1"/>
                <w:sz w:val="18"/>
              </w:rPr>
            </w:r>
          </w:p>
        </w:tc>
        <w:tc>
          <w:tcPr>
            <w:tcW w:w="1341"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92"/>
              <w:jc w:val="right"/>
              <w:rPr>
                <w:rFonts w:ascii="Times New Roman" w:hAnsi="Times New Roman" w:cs="Times New Roman" w:eastAsia="Times New Roman" w:hint="default"/>
                <w:sz w:val="18"/>
                <w:szCs w:val="18"/>
              </w:rPr>
            </w:pPr>
            <w:r>
              <w:rPr>
                <w:rFonts w:ascii="Times New Roman"/>
                <w:b/>
                <w:spacing w:val="-1"/>
                <w:sz w:val="18"/>
              </w:rPr>
              <w:t>1,806,046.89</w:t>
            </w:r>
            <w:r>
              <w:rPr>
                <w:rFonts w:ascii="Times New Roman"/>
                <w:spacing w:val="-1"/>
                <w:sz w:val="18"/>
              </w:rPr>
            </w:r>
          </w:p>
        </w:tc>
        <w:tc>
          <w:tcPr>
            <w:tcW w:w="105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38"/>
              <w:jc w:val="right"/>
              <w:rPr>
                <w:rFonts w:ascii="Times New Roman" w:hAnsi="Times New Roman" w:cs="Times New Roman" w:eastAsia="Times New Roman" w:hint="default"/>
                <w:sz w:val="18"/>
                <w:szCs w:val="18"/>
              </w:rPr>
            </w:pPr>
            <w:r>
              <w:rPr>
                <w:rFonts w:ascii="Times New Roman"/>
                <w:b/>
                <w:sz w:val="18"/>
              </w:rPr>
              <w:t>79.79%</w:t>
            </w:r>
            <w:r>
              <w:rPr>
                <w:rFonts w:ascii="Times New Roman"/>
                <w:sz w:val="18"/>
              </w:rPr>
            </w:r>
          </w:p>
        </w:tc>
        <w:tc>
          <w:tcPr>
            <w:tcW w:w="1406" w:type="dxa"/>
            <w:tcBorders>
              <w:top w:val="single" w:sz="4" w:space="0" w:color="000000"/>
              <w:left w:val="nil" w:sz="6" w:space="0" w:color="auto"/>
              <w:bottom w:val="single" w:sz="12" w:space="0" w:color="000000"/>
              <w:right w:val="nil" w:sz="6" w:space="0" w:color="auto"/>
            </w:tcBorders>
          </w:tcPr>
          <w:p>
            <w:pPr>
              <w:pStyle w:val="TableParagraph"/>
              <w:spacing w:line="240" w:lineRule="auto" w:before="74"/>
              <w:ind w:right="34"/>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before="21"/>
        <w:ind w:left="52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49"/>
          <w:sz w:val="22"/>
          <w:szCs w:val="22"/>
        </w:rPr>
        <w:t> </w:t>
      </w:r>
      <w:r>
        <w:rPr>
          <w:rFonts w:ascii="宋体" w:hAnsi="宋体" w:cs="宋体" w:eastAsia="宋体" w:hint="default"/>
          <w:sz w:val="22"/>
          <w:szCs w:val="22"/>
        </w:rPr>
        <w:t>其他应收款按款项性质分类情况</w:t>
      </w:r>
    </w:p>
    <w:p>
      <w:pPr>
        <w:spacing w:line="240" w:lineRule="auto" w:before="5"/>
        <w:rPr>
          <w:rFonts w:ascii="宋体" w:hAnsi="宋体" w:cs="宋体" w:eastAsia="宋体" w:hint="default"/>
          <w:sz w:val="11"/>
          <w:szCs w:val="11"/>
        </w:rPr>
      </w:pPr>
    </w:p>
    <w:tbl>
      <w:tblPr>
        <w:tblW w:w="0" w:type="auto"/>
        <w:jc w:val="left"/>
        <w:tblInd w:w="134" w:type="dxa"/>
        <w:tblLayout w:type="fixed"/>
        <w:tblCellMar>
          <w:top w:w="0" w:type="dxa"/>
          <w:left w:w="0" w:type="dxa"/>
          <w:bottom w:w="0" w:type="dxa"/>
          <w:right w:w="0" w:type="dxa"/>
        </w:tblCellMar>
        <w:tblLook w:val="01E0"/>
      </w:tblPr>
      <w:tblGrid>
        <w:gridCol w:w="3088"/>
        <w:gridCol w:w="3444"/>
        <w:gridCol w:w="2194"/>
      </w:tblGrid>
      <w:tr>
        <w:trPr>
          <w:trHeight w:val="307" w:hRule="exact"/>
        </w:trPr>
        <w:tc>
          <w:tcPr>
            <w:tcW w:w="308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款项性质</w:t>
            </w:r>
            <w:r>
              <w:rPr>
                <w:rFonts w:ascii="宋体" w:hAnsi="宋体" w:cs="宋体" w:eastAsia="宋体" w:hint="default"/>
                <w:sz w:val="18"/>
                <w:szCs w:val="18"/>
              </w:rPr>
            </w:r>
          </w:p>
        </w:tc>
        <w:tc>
          <w:tcPr>
            <w:tcW w:w="344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21"/>
              <w:jc w:val="right"/>
              <w:rPr>
                <w:rFonts w:ascii="宋体" w:hAnsi="宋体" w:cs="宋体" w:eastAsia="宋体" w:hint="default"/>
                <w:sz w:val="18"/>
                <w:szCs w:val="18"/>
              </w:rPr>
            </w:pPr>
            <w:r>
              <w:rPr>
                <w:rFonts w:ascii="宋体" w:hAnsi="宋体" w:cs="宋体" w:eastAsia="宋体" w:hint="default"/>
                <w:b/>
                <w:bCs/>
                <w:w w:val="95"/>
                <w:sz w:val="18"/>
                <w:szCs w:val="18"/>
              </w:rPr>
              <w:t>年末账面余额</w:t>
            </w:r>
            <w:r>
              <w:rPr>
                <w:rFonts w:ascii="宋体" w:hAnsi="宋体" w:cs="宋体" w:eastAsia="宋体" w:hint="default"/>
                <w:sz w:val="18"/>
                <w:szCs w:val="18"/>
              </w:rPr>
            </w:r>
          </w:p>
        </w:tc>
        <w:tc>
          <w:tcPr>
            <w:tcW w:w="219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年初账面余额</w:t>
            </w:r>
            <w:r>
              <w:rPr>
                <w:rFonts w:ascii="宋体" w:hAnsi="宋体" w:cs="宋体" w:eastAsia="宋体" w:hint="default"/>
                <w:sz w:val="18"/>
                <w:szCs w:val="18"/>
              </w:rPr>
            </w:r>
          </w:p>
        </w:tc>
      </w:tr>
      <w:tr>
        <w:trPr>
          <w:trHeight w:val="323" w:hRule="exact"/>
        </w:trPr>
        <w:tc>
          <w:tcPr>
            <w:tcW w:w="3088"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444"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821"/>
              <w:jc w:val="right"/>
              <w:rPr>
                <w:rFonts w:ascii="Times New Roman" w:hAnsi="Times New Roman" w:cs="Times New Roman" w:eastAsia="Times New Roman" w:hint="default"/>
                <w:sz w:val="18"/>
                <w:szCs w:val="18"/>
              </w:rPr>
            </w:pPr>
            <w:r>
              <w:rPr>
                <w:rFonts w:ascii="Times New Roman"/>
                <w:spacing w:val="-1"/>
                <w:sz w:val="18"/>
              </w:rPr>
              <w:t>415,744,836.95</w:t>
            </w:r>
          </w:p>
        </w:tc>
        <w:tc>
          <w:tcPr>
            <w:tcW w:w="2194"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385,809,324.24</w:t>
            </w:r>
          </w:p>
        </w:tc>
      </w:tr>
      <w:tr>
        <w:trPr>
          <w:trHeight w:val="286"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保证金、押金</w:t>
            </w:r>
          </w:p>
        </w:tc>
        <w:tc>
          <w:tcPr>
            <w:tcW w:w="344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1"/>
              <w:jc w:val="right"/>
              <w:rPr>
                <w:rFonts w:ascii="Times New Roman" w:hAnsi="Times New Roman" w:cs="Times New Roman" w:eastAsia="Times New Roman" w:hint="default"/>
                <w:sz w:val="18"/>
                <w:szCs w:val="18"/>
              </w:rPr>
            </w:pPr>
            <w:r>
              <w:rPr>
                <w:rFonts w:ascii="Times New Roman"/>
                <w:spacing w:val="-1"/>
                <w:sz w:val="18"/>
              </w:rPr>
              <w:t>372,304,299.75</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261,558,705.04</w:t>
            </w:r>
          </w:p>
        </w:tc>
      </w:tr>
      <w:tr>
        <w:trPr>
          <w:trHeight w:val="286"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44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1"/>
              <w:jc w:val="right"/>
              <w:rPr>
                <w:rFonts w:ascii="Times New Roman" w:hAnsi="Times New Roman" w:cs="Times New Roman" w:eastAsia="Times New Roman" w:hint="default"/>
                <w:sz w:val="18"/>
                <w:szCs w:val="18"/>
              </w:rPr>
            </w:pPr>
            <w:r>
              <w:rPr>
                <w:rFonts w:ascii="Times New Roman"/>
                <w:spacing w:val="-1"/>
                <w:sz w:val="18"/>
              </w:rPr>
              <w:t>119,637,436.19</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133,180,674.67</w:t>
            </w:r>
          </w:p>
        </w:tc>
      </w:tr>
      <w:tr>
        <w:trPr>
          <w:trHeight w:val="284"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股权转让款</w:t>
            </w:r>
          </w:p>
        </w:tc>
        <w:tc>
          <w:tcPr>
            <w:tcW w:w="344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1"/>
              <w:jc w:val="right"/>
              <w:rPr>
                <w:rFonts w:ascii="Times New Roman" w:hAnsi="Times New Roman" w:cs="Times New Roman" w:eastAsia="Times New Roman" w:hint="default"/>
                <w:sz w:val="18"/>
                <w:szCs w:val="18"/>
              </w:rPr>
            </w:pPr>
            <w:r>
              <w:rPr>
                <w:rFonts w:ascii="Times New Roman"/>
                <w:spacing w:val="-1"/>
                <w:sz w:val="18"/>
              </w:rPr>
              <w:t>107,612,062.90</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18,341,948.39</w:t>
            </w:r>
          </w:p>
        </w:tc>
      </w:tr>
      <w:tr>
        <w:trPr>
          <w:trHeight w:val="285"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节能家电补贴</w:t>
            </w:r>
          </w:p>
        </w:tc>
        <w:tc>
          <w:tcPr>
            <w:tcW w:w="344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21"/>
              <w:jc w:val="right"/>
              <w:rPr>
                <w:rFonts w:ascii="Times New Roman" w:hAnsi="Times New Roman" w:cs="Times New Roman" w:eastAsia="Times New Roman" w:hint="default"/>
                <w:sz w:val="18"/>
                <w:szCs w:val="18"/>
              </w:rPr>
            </w:pPr>
            <w:r>
              <w:rPr>
                <w:rFonts w:ascii="Times New Roman"/>
                <w:spacing w:val="-1"/>
                <w:sz w:val="18"/>
              </w:rPr>
              <w:t>21,883,831.00</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63,651,091.00</w:t>
            </w:r>
          </w:p>
        </w:tc>
      </w:tr>
      <w:tr>
        <w:trPr>
          <w:trHeight w:val="286"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应收补贴款</w:t>
            </w:r>
          </w:p>
        </w:tc>
        <w:tc>
          <w:tcPr>
            <w:tcW w:w="344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1"/>
              <w:jc w:val="right"/>
              <w:rPr>
                <w:rFonts w:ascii="Times New Roman" w:hAnsi="Times New Roman" w:cs="Times New Roman" w:eastAsia="Times New Roman" w:hint="default"/>
                <w:sz w:val="18"/>
                <w:szCs w:val="18"/>
              </w:rPr>
            </w:pPr>
            <w:r>
              <w:rPr>
                <w:rFonts w:ascii="Times New Roman"/>
                <w:spacing w:val="-1"/>
                <w:sz w:val="18"/>
              </w:rPr>
              <w:t>66,900,000.00</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59,986,300.00</w:t>
            </w:r>
          </w:p>
        </w:tc>
      </w:tr>
      <w:tr>
        <w:trPr>
          <w:trHeight w:val="286"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代垫款项</w:t>
            </w:r>
          </w:p>
        </w:tc>
        <w:tc>
          <w:tcPr>
            <w:tcW w:w="344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1"/>
              <w:jc w:val="right"/>
              <w:rPr>
                <w:rFonts w:ascii="Times New Roman" w:hAnsi="Times New Roman" w:cs="Times New Roman" w:eastAsia="Times New Roman" w:hint="default"/>
                <w:sz w:val="18"/>
                <w:szCs w:val="18"/>
              </w:rPr>
            </w:pPr>
            <w:r>
              <w:rPr>
                <w:rFonts w:ascii="Times New Roman"/>
                <w:spacing w:val="-1"/>
                <w:sz w:val="18"/>
              </w:rPr>
              <w:t>59,678,552.83</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37,761,502.44</w:t>
            </w:r>
          </w:p>
        </w:tc>
      </w:tr>
      <w:tr>
        <w:trPr>
          <w:trHeight w:val="284"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预缴税金</w:t>
            </w:r>
          </w:p>
        </w:tc>
        <w:tc>
          <w:tcPr>
            <w:tcW w:w="344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1"/>
              <w:jc w:val="right"/>
              <w:rPr>
                <w:rFonts w:ascii="Times New Roman" w:hAnsi="Times New Roman" w:cs="Times New Roman" w:eastAsia="Times New Roman" w:hint="default"/>
                <w:sz w:val="18"/>
                <w:szCs w:val="18"/>
              </w:rPr>
            </w:pPr>
            <w:r>
              <w:rPr>
                <w:rFonts w:ascii="Times New Roman"/>
                <w:spacing w:val="-1"/>
                <w:sz w:val="18"/>
              </w:rPr>
              <w:t>55,335,031.82</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33,688,619.29</w:t>
            </w:r>
          </w:p>
        </w:tc>
      </w:tr>
      <w:tr>
        <w:trPr>
          <w:trHeight w:val="284"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税费返还、出口退税</w:t>
            </w:r>
          </w:p>
        </w:tc>
        <w:tc>
          <w:tcPr>
            <w:tcW w:w="344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21"/>
              <w:jc w:val="right"/>
              <w:rPr>
                <w:rFonts w:ascii="Times New Roman" w:hAnsi="Times New Roman" w:cs="Times New Roman" w:eastAsia="Times New Roman" w:hint="default"/>
                <w:sz w:val="18"/>
                <w:szCs w:val="18"/>
              </w:rPr>
            </w:pPr>
            <w:r>
              <w:rPr>
                <w:rFonts w:ascii="Times New Roman"/>
                <w:spacing w:val="-1"/>
                <w:sz w:val="18"/>
              </w:rPr>
              <w:t>17,693,335.78</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24,571,484.56</w:t>
            </w:r>
          </w:p>
        </w:tc>
      </w:tr>
      <w:tr>
        <w:trPr>
          <w:trHeight w:val="255" w:hRule="exact"/>
        </w:trPr>
        <w:tc>
          <w:tcPr>
            <w:tcW w:w="3088"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其他款项</w:t>
            </w:r>
          </w:p>
        </w:tc>
        <w:tc>
          <w:tcPr>
            <w:tcW w:w="344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821"/>
              <w:jc w:val="right"/>
              <w:rPr>
                <w:rFonts w:ascii="Times New Roman" w:hAnsi="Times New Roman" w:cs="Times New Roman" w:eastAsia="Times New Roman" w:hint="default"/>
                <w:sz w:val="18"/>
                <w:szCs w:val="18"/>
              </w:rPr>
            </w:pPr>
            <w:r>
              <w:rPr>
                <w:rFonts w:ascii="Times New Roman"/>
                <w:spacing w:val="-1"/>
                <w:sz w:val="18"/>
              </w:rPr>
              <w:t>41,350,720.07</w:t>
            </w:r>
          </w:p>
        </w:tc>
        <w:tc>
          <w:tcPr>
            <w:tcW w:w="219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79,721,754.52</w:t>
            </w:r>
          </w:p>
        </w:tc>
      </w:tr>
      <w:tr>
        <w:trPr>
          <w:trHeight w:val="307" w:hRule="exact"/>
        </w:trPr>
        <w:tc>
          <w:tcPr>
            <w:tcW w:w="3088"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44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821"/>
              <w:jc w:val="right"/>
              <w:rPr>
                <w:rFonts w:ascii="Times New Roman" w:hAnsi="Times New Roman" w:cs="Times New Roman" w:eastAsia="Times New Roman" w:hint="default"/>
                <w:sz w:val="18"/>
                <w:szCs w:val="18"/>
              </w:rPr>
            </w:pPr>
            <w:r>
              <w:rPr>
                <w:rFonts w:ascii="Times New Roman"/>
                <w:b/>
                <w:spacing w:val="-1"/>
                <w:sz w:val="18"/>
              </w:rPr>
              <w:t>1,278,140,107.29</w:t>
            </w:r>
            <w:r>
              <w:rPr>
                <w:rFonts w:ascii="Times New Roman"/>
                <w:spacing w:val="-1"/>
                <w:sz w:val="18"/>
              </w:rPr>
            </w:r>
          </w:p>
        </w:tc>
        <w:tc>
          <w:tcPr>
            <w:tcW w:w="219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1,098,271,404.15</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20" w:bottom="280" w:left="1460" w:right="1460"/>
        </w:sectPr>
      </w:pPr>
    </w:p>
    <w:p>
      <w:pPr>
        <w:spacing w:line="240" w:lineRule="auto" w:before="1"/>
        <w:rPr>
          <w:rFonts w:ascii="宋体" w:hAnsi="宋体" w:cs="宋体" w:eastAsia="宋体" w:hint="default"/>
          <w:sz w:val="22"/>
          <w:szCs w:val="22"/>
        </w:rPr>
      </w:pPr>
    </w:p>
    <w:p>
      <w:pPr>
        <w:spacing w:line="280" w:lineRule="auto" w:before="32"/>
        <w:ind w:left="202" w:right="267" w:firstLine="453"/>
        <w:jc w:val="both"/>
        <w:rPr>
          <w:rFonts w:ascii="宋体" w:hAnsi="宋体" w:cs="宋体" w:eastAsia="宋体" w:hint="default"/>
          <w:sz w:val="22"/>
          <w:szCs w:val="22"/>
        </w:rPr>
      </w:pPr>
      <w:r>
        <w:rPr>
          <w:rFonts w:ascii="Times New Roman" w:hAnsi="Times New Roman" w:cs="Times New Roman" w:eastAsia="Times New Roman" w:hint="default"/>
          <w:b/>
          <w:bCs/>
          <w:sz w:val="22"/>
          <w:szCs w:val="22"/>
        </w:rPr>
        <w:t>(3) </w:t>
      </w:r>
      <w:r>
        <w:rPr>
          <w:rFonts w:ascii="宋体" w:hAnsi="宋体" w:cs="宋体" w:eastAsia="宋体" w:hint="default"/>
          <w:sz w:val="22"/>
          <w:szCs w:val="22"/>
        </w:rPr>
        <w:t>本年按欠款方归集的年末余额前五名其他应收款汇总金额为 </w:t>
      </w:r>
      <w:r>
        <w:rPr>
          <w:rFonts w:ascii="Times New Roman" w:hAnsi="Times New Roman" w:cs="Times New Roman" w:eastAsia="Times New Roman" w:hint="default"/>
          <w:sz w:val="22"/>
          <w:szCs w:val="22"/>
        </w:rPr>
        <w:t>310,120,250.47</w:t>
      </w:r>
      <w:r>
        <w:rPr>
          <w:rFonts w:ascii="Times New Roman" w:hAnsi="Times New Roman" w:cs="Times New Roman" w:eastAsia="Times New Roman" w:hint="default"/>
          <w:spacing w:val="-31"/>
          <w:sz w:val="22"/>
          <w:szCs w:val="22"/>
        </w:rPr>
        <w:t> </w:t>
      </w:r>
      <w:r>
        <w:rPr>
          <w:rFonts w:ascii="宋体" w:hAnsi="宋体" w:cs="宋体" w:eastAsia="宋体" w:hint="default"/>
          <w:sz w:val="22"/>
          <w:szCs w:val="22"/>
        </w:rPr>
        <w:t>元，</w:t>
      </w:r>
      <w:r>
        <w:rPr>
          <w:rFonts w:ascii="宋体" w:hAnsi="宋体" w:cs="宋体" w:eastAsia="宋体" w:hint="default"/>
          <w:w w:val="100"/>
          <w:sz w:val="22"/>
          <w:szCs w:val="22"/>
        </w:rPr>
        <w:t> </w:t>
      </w:r>
      <w:r>
        <w:rPr>
          <w:rFonts w:ascii="宋体" w:hAnsi="宋体" w:cs="宋体" w:eastAsia="宋体" w:hint="default"/>
          <w:sz w:val="22"/>
          <w:szCs w:val="22"/>
        </w:rPr>
        <w:t>占其他应收款年末余额合计数的比例</w:t>
      </w:r>
      <w:r>
        <w:rPr>
          <w:rFonts w:ascii="宋体" w:hAnsi="宋体" w:cs="宋体" w:eastAsia="宋体" w:hint="default"/>
          <w:spacing w:val="-59"/>
          <w:sz w:val="22"/>
          <w:szCs w:val="22"/>
        </w:rPr>
        <w:t> </w:t>
      </w:r>
      <w:r>
        <w:rPr>
          <w:rFonts w:ascii="Times New Roman" w:hAnsi="Times New Roman" w:cs="Times New Roman" w:eastAsia="Times New Roman" w:hint="default"/>
          <w:sz w:val="22"/>
          <w:szCs w:val="22"/>
        </w:rPr>
        <w:t>24.26%</w:t>
      </w:r>
      <w:r>
        <w:rPr>
          <w:rFonts w:ascii="宋体" w:hAnsi="宋体" w:cs="宋体" w:eastAsia="宋体" w:hint="default"/>
          <w:sz w:val="22"/>
          <w:szCs w:val="22"/>
        </w:rPr>
        <w:t>，相应计提的坏账准备年末余额汇总金额为</w:t>
      </w:r>
      <w:r>
        <w:rPr>
          <w:rFonts w:ascii="宋体" w:hAnsi="宋体" w:cs="宋体" w:eastAsia="宋体" w:hint="default"/>
          <w:w w:val="100"/>
          <w:sz w:val="22"/>
          <w:szCs w:val="22"/>
        </w:rPr>
        <w:t> </w:t>
      </w:r>
      <w:r>
        <w:rPr>
          <w:rFonts w:ascii="Times New Roman" w:hAnsi="Times New Roman" w:cs="Times New Roman" w:eastAsia="Times New Roman" w:hint="default"/>
          <w:sz w:val="22"/>
          <w:szCs w:val="22"/>
        </w:rPr>
        <w:t>92,191,746.74</w:t>
      </w:r>
      <w:r>
        <w:rPr>
          <w:rFonts w:ascii="Times New Roman" w:hAnsi="Times New Roman" w:cs="Times New Roman" w:eastAsia="Times New Roman" w:hint="default"/>
          <w:spacing w:val="2"/>
          <w:sz w:val="22"/>
          <w:szCs w:val="22"/>
        </w:rPr>
        <w:t> </w:t>
      </w:r>
      <w:r>
        <w:rPr>
          <w:rFonts w:ascii="宋体" w:hAnsi="宋体" w:cs="宋体" w:eastAsia="宋体" w:hint="default"/>
          <w:spacing w:val="-3"/>
          <w:sz w:val="22"/>
          <w:szCs w:val="22"/>
        </w:rPr>
        <w:t>元。</w:t>
      </w:r>
      <w:r>
        <w:rPr>
          <w:rFonts w:ascii="宋体" w:hAnsi="宋体" w:cs="宋体" w:eastAsia="宋体" w:hint="default"/>
          <w:sz w:val="22"/>
          <w:szCs w:val="22"/>
        </w:rPr>
      </w:r>
    </w:p>
    <w:p>
      <w:pPr>
        <w:spacing w:before="69"/>
        <w:ind w:left="65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 </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涉及政府补助的应收款项</w:t>
      </w:r>
    </w:p>
    <w:p>
      <w:pPr>
        <w:spacing w:line="240" w:lineRule="auto" w:before="8"/>
        <w:rPr>
          <w:rFonts w:ascii="宋体" w:hAnsi="宋体" w:cs="宋体" w:eastAsia="宋体" w:hint="default"/>
          <w:sz w:val="11"/>
          <w:szCs w:val="11"/>
        </w:rPr>
      </w:pPr>
    </w:p>
    <w:tbl>
      <w:tblPr>
        <w:tblW w:w="0" w:type="auto"/>
        <w:jc w:val="left"/>
        <w:tblInd w:w="130" w:type="dxa"/>
        <w:tblLayout w:type="fixed"/>
        <w:tblCellMar>
          <w:top w:w="0" w:type="dxa"/>
          <w:left w:w="0" w:type="dxa"/>
          <w:bottom w:w="0" w:type="dxa"/>
          <w:right w:w="0" w:type="dxa"/>
        </w:tblCellMar>
        <w:tblLook w:val="01E0"/>
      </w:tblPr>
      <w:tblGrid>
        <w:gridCol w:w="1651"/>
        <w:gridCol w:w="936"/>
        <w:gridCol w:w="1172"/>
        <w:gridCol w:w="1275"/>
        <w:gridCol w:w="762"/>
        <w:gridCol w:w="1096"/>
        <w:gridCol w:w="1829"/>
      </w:tblGrid>
      <w:tr>
        <w:trPr>
          <w:trHeight w:val="305" w:hRule="exact"/>
        </w:trPr>
        <w:tc>
          <w:tcPr>
            <w:tcW w:w="1651" w:type="dxa"/>
            <w:vMerge w:val="restart"/>
            <w:tcBorders>
              <w:top w:val="single" w:sz="12" w:space="0" w:color="000000"/>
              <w:left w:val="nil" w:sz="6" w:space="0" w:color="auto"/>
              <w:right w:val="nil" w:sz="6" w:space="0" w:color="auto"/>
            </w:tcBorders>
          </w:tcPr>
          <w:p>
            <w:pPr>
              <w:pStyle w:val="TableParagraph"/>
              <w:spacing w:line="240" w:lineRule="auto" w:before="145"/>
              <w:ind w:left="71"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936" w:type="dxa"/>
            <w:vMerge w:val="restart"/>
            <w:tcBorders>
              <w:top w:val="single" w:sz="12" w:space="0" w:color="000000"/>
              <w:left w:val="nil" w:sz="6" w:space="0" w:color="auto"/>
              <w:right w:val="nil" w:sz="6" w:space="0" w:color="auto"/>
            </w:tcBorders>
          </w:tcPr>
          <w:p>
            <w:pPr>
              <w:pStyle w:val="TableParagraph"/>
              <w:spacing w:line="240" w:lineRule="auto" w:before="145"/>
              <w:ind w:left="43" w:right="0"/>
              <w:jc w:val="left"/>
              <w:rPr>
                <w:rFonts w:ascii="宋体" w:hAnsi="宋体" w:cs="宋体" w:eastAsia="宋体" w:hint="default"/>
                <w:sz w:val="18"/>
                <w:szCs w:val="18"/>
              </w:rPr>
            </w:pPr>
            <w:r>
              <w:rPr>
                <w:rFonts w:ascii="宋体" w:hAnsi="宋体" w:cs="宋体" w:eastAsia="宋体" w:hint="default"/>
                <w:b/>
                <w:bCs/>
                <w:sz w:val="18"/>
                <w:szCs w:val="18"/>
              </w:rPr>
              <w:t>补助项目</w:t>
            </w:r>
            <w:r>
              <w:rPr>
                <w:rFonts w:ascii="宋体" w:hAnsi="宋体" w:cs="宋体" w:eastAsia="宋体" w:hint="default"/>
                <w:sz w:val="18"/>
                <w:szCs w:val="18"/>
              </w:rPr>
            </w:r>
          </w:p>
        </w:tc>
        <w:tc>
          <w:tcPr>
            <w:tcW w:w="1172" w:type="dxa"/>
            <w:vMerge w:val="restart"/>
            <w:tcBorders>
              <w:top w:val="single" w:sz="12" w:space="0" w:color="000000"/>
              <w:left w:val="nil" w:sz="6" w:space="0" w:color="auto"/>
              <w:right w:val="nil" w:sz="6" w:space="0" w:color="auto"/>
            </w:tcBorders>
          </w:tcPr>
          <w:p>
            <w:pPr>
              <w:pStyle w:val="TableParagraph"/>
              <w:spacing w:line="240" w:lineRule="auto" w:before="145"/>
              <w:ind w:left="170"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275" w:type="dxa"/>
            <w:vMerge w:val="restart"/>
            <w:tcBorders>
              <w:top w:val="single" w:sz="12" w:space="0" w:color="000000"/>
              <w:left w:val="nil" w:sz="6" w:space="0" w:color="auto"/>
              <w:right w:val="nil" w:sz="6" w:space="0" w:color="auto"/>
            </w:tcBorders>
          </w:tcPr>
          <w:p>
            <w:pPr>
              <w:pStyle w:val="TableParagraph"/>
              <w:spacing w:line="240" w:lineRule="auto" w:before="145"/>
              <w:ind w:left="1" w:right="0"/>
              <w:jc w:val="center"/>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3687" w:type="dxa"/>
            <w:gridSpan w:val="3"/>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b/>
                <w:bCs/>
                <w:sz w:val="18"/>
                <w:szCs w:val="18"/>
              </w:rPr>
              <w:t>预计收取</w:t>
            </w:r>
            <w:r>
              <w:rPr>
                <w:rFonts w:ascii="宋体" w:hAnsi="宋体" w:cs="宋体" w:eastAsia="宋体" w:hint="default"/>
                <w:sz w:val="18"/>
                <w:szCs w:val="18"/>
              </w:rPr>
            </w:r>
          </w:p>
        </w:tc>
      </w:tr>
      <w:tr>
        <w:trPr>
          <w:trHeight w:val="295" w:hRule="exact"/>
        </w:trPr>
        <w:tc>
          <w:tcPr>
            <w:tcW w:w="1651" w:type="dxa"/>
            <w:vMerge/>
            <w:tcBorders>
              <w:left w:val="nil" w:sz="6" w:space="0" w:color="auto"/>
              <w:bottom w:val="single" w:sz="4" w:space="0" w:color="000000"/>
              <w:right w:val="nil" w:sz="6" w:space="0" w:color="auto"/>
            </w:tcBorders>
          </w:tcPr>
          <w:p>
            <w:pPr/>
          </w:p>
        </w:tc>
        <w:tc>
          <w:tcPr>
            <w:tcW w:w="936" w:type="dxa"/>
            <w:vMerge/>
            <w:tcBorders>
              <w:left w:val="nil" w:sz="6" w:space="0" w:color="auto"/>
              <w:bottom w:val="single" w:sz="4" w:space="0" w:color="000000"/>
              <w:right w:val="nil" w:sz="6" w:space="0" w:color="auto"/>
            </w:tcBorders>
          </w:tcPr>
          <w:p>
            <w:pPr/>
          </w:p>
        </w:tc>
        <w:tc>
          <w:tcPr>
            <w:tcW w:w="1172" w:type="dxa"/>
            <w:vMerge/>
            <w:tcBorders>
              <w:left w:val="nil" w:sz="6" w:space="0" w:color="auto"/>
              <w:bottom w:val="single" w:sz="4" w:space="0" w:color="000000"/>
              <w:right w:val="nil" w:sz="6" w:space="0" w:color="auto"/>
            </w:tcBorders>
          </w:tcPr>
          <w:p>
            <w:pPr/>
          </w:p>
        </w:tc>
        <w:tc>
          <w:tcPr>
            <w:tcW w:w="1275" w:type="dxa"/>
            <w:vMerge/>
            <w:tcBorders>
              <w:left w:val="nil" w:sz="6" w:space="0" w:color="auto"/>
              <w:bottom w:val="single" w:sz="4" w:space="0" w:color="000000"/>
              <w:right w:val="nil" w:sz="6" w:space="0" w:color="auto"/>
            </w:tcBorders>
          </w:tcPr>
          <w:p>
            <w:pPr/>
          </w:p>
        </w:tc>
        <w:tc>
          <w:tcPr>
            <w:tcW w:w="762"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72" w:right="0"/>
              <w:jc w:val="left"/>
              <w:rPr>
                <w:rFonts w:ascii="宋体" w:hAnsi="宋体" w:cs="宋体" w:eastAsia="宋体" w:hint="default"/>
                <w:sz w:val="18"/>
                <w:szCs w:val="18"/>
              </w:rPr>
            </w:pPr>
            <w:r>
              <w:rPr>
                <w:rFonts w:ascii="宋体" w:hAnsi="宋体" w:cs="宋体" w:eastAsia="宋体" w:hint="default"/>
                <w:b/>
                <w:bCs/>
                <w:sz w:val="18"/>
                <w:szCs w:val="18"/>
              </w:rPr>
              <w:t>时间</w:t>
            </w:r>
            <w:r>
              <w:rPr>
                <w:rFonts w:ascii="宋体" w:hAnsi="宋体" w:cs="宋体" w:eastAsia="宋体" w:hint="default"/>
                <w:sz w:val="18"/>
                <w:szCs w:val="18"/>
              </w:rPr>
            </w:r>
          </w:p>
        </w:tc>
        <w:tc>
          <w:tcPr>
            <w:tcW w:w="109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339"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829"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b/>
                <w:bCs/>
                <w:sz w:val="18"/>
                <w:szCs w:val="18"/>
              </w:rPr>
              <w:t>依据</w:t>
            </w:r>
            <w:r>
              <w:rPr>
                <w:rFonts w:ascii="宋体" w:hAnsi="宋体" w:cs="宋体" w:eastAsia="宋体" w:hint="default"/>
                <w:sz w:val="18"/>
                <w:szCs w:val="18"/>
              </w:rPr>
            </w:r>
          </w:p>
        </w:tc>
      </w:tr>
      <w:tr>
        <w:trPr>
          <w:trHeight w:val="627" w:hRule="exact"/>
        </w:trPr>
        <w:tc>
          <w:tcPr>
            <w:tcW w:w="1651" w:type="dxa"/>
            <w:tcBorders>
              <w:top w:val="single" w:sz="4" w:space="0" w:color="000000"/>
              <w:left w:val="nil" w:sz="6" w:space="0" w:color="auto"/>
              <w:bottom w:val="nil" w:sz="6" w:space="0" w:color="auto"/>
              <w:right w:val="nil" w:sz="6" w:space="0" w:color="auto"/>
            </w:tcBorders>
          </w:tcPr>
          <w:p>
            <w:pPr>
              <w:pStyle w:val="TableParagraph"/>
              <w:spacing w:line="183" w:lineRule="exact"/>
              <w:ind w:left="71" w:right="0"/>
              <w:jc w:val="left"/>
              <w:rPr>
                <w:rFonts w:ascii="宋体" w:hAnsi="宋体" w:cs="宋体" w:eastAsia="宋体" w:hint="default"/>
                <w:sz w:val="16"/>
                <w:szCs w:val="16"/>
              </w:rPr>
            </w:pPr>
            <w:r>
              <w:rPr>
                <w:rFonts w:ascii="宋体" w:hAnsi="宋体" w:cs="宋体" w:eastAsia="宋体" w:hint="default"/>
                <w:spacing w:val="6"/>
                <w:sz w:val="16"/>
                <w:szCs w:val="16"/>
              </w:rPr>
              <w:t>佳木斯市新时代城市</w:t>
            </w:r>
            <w:r>
              <w:rPr>
                <w:rFonts w:ascii="宋体" w:hAnsi="宋体" w:cs="宋体" w:eastAsia="宋体" w:hint="default"/>
                <w:sz w:val="16"/>
                <w:szCs w:val="16"/>
              </w:rPr>
            </w:r>
          </w:p>
          <w:p>
            <w:pPr>
              <w:pStyle w:val="TableParagraph"/>
              <w:spacing w:line="208" w:lineRule="exact"/>
              <w:ind w:left="71" w:right="0"/>
              <w:jc w:val="left"/>
              <w:rPr>
                <w:rFonts w:ascii="宋体" w:hAnsi="宋体" w:cs="宋体" w:eastAsia="宋体" w:hint="default"/>
                <w:sz w:val="16"/>
                <w:szCs w:val="16"/>
              </w:rPr>
            </w:pPr>
            <w:r>
              <w:rPr>
                <w:rFonts w:ascii="宋体" w:hAnsi="宋体" w:cs="宋体" w:eastAsia="宋体" w:hint="default"/>
                <w:spacing w:val="26"/>
                <w:sz w:val="16"/>
                <w:szCs w:val="16"/>
              </w:rPr>
              <w:t>基础设施建设投资</w:t>
            </w:r>
            <w:r>
              <w:rPr>
                <w:rFonts w:ascii="宋体" w:hAnsi="宋体" w:cs="宋体" w:eastAsia="宋体" w:hint="default"/>
                <w:spacing w:val="-49"/>
                <w:sz w:val="16"/>
                <w:szCs w:val="16"/>
              </w:rPr>
              <w:t> </w:t>
            </w:r>
            <w:r>
              <w:rPr>
                <w:rFonts w:ascii="宋体" w:hAnsi="宋体" w:cs="宋体" w:eastAsia="宋体" w:hint="default"/>
                <w:sz w:val="16"/>
                <w:szCs w:val="16"/>
              </w:rPr>
            </w:r>
          </w:p>
          <w:p>
            <w:pPr>
              <w:pStyle w:val="TableParagraph"/>
              <w:spacing w:line="208" w:lineRule="exact"/>
              <w:ind w:left="71" w:right="0"/>
              <w:jc w:val="left"/>
              <w:rPr>
                <w:rFonts w:ascii="宋体" w:hAnsi="宋体" w:cs="宋体" w:eastAsia="宋体" w:hint="default"/>
                <w:sz w:val="16"/>
                <w:szCs w:val="16"/>
              </w:rPr>
            </w:pPr>
            <w:r>
              <w:rPr>
                <w:rFonts w:ascii="宋体" w:hAnsi="宋体" w:cs="宋体" w:eastAsia="宋体" w:hint="default"/>
                <w:sz w:val="16"/>
                <w:szCs w:val="16"/>
              </w:rPr>
              <w:t>（集团）有限公司</w:t>
            </w:r>
          </w:p>
        </w:tc>
        <w:tc>
          <w:tcPr>
            <w:tcW w:w="936" w:type="dxa"/>
            <w:tcBorders>
              <w:top w:val="single" w:sz="4" w:space="0" w:color="000000"/>
              <w:left w:val="nil" w:sz="6" w:space="0" w:color="auto"/>
              <w:bottom w:val="nil" w:sz="6" w:space="0" w:color="auto"/>
              <w:right w:val="nil" w:sz="6" w:space="0" w:color="auto"/>
            </w:tcBorders>
          </w:tcPr>
          <w:p>
            <w:pPr>
              <w:pStyle w:val="TableParagraph"/>
              <w:spacing w:line="240" w:lineRule="auto" w:before="77"/>
              <w:ind w:left="83" w:right="206"/>
              <w:jc w:val="left"/>
              <w:rPr>
                <w:rFonts w:ascii="宋体" w:hAnsi="宋体" w:cs="宋体" w:eastAsia="宋体" w:hint="default"/>
                <w:sz w:val="16"/>
                <w:szCs w:val="16"/>
              </w:rPr>
            </w:pPr>
            <w:r>
              <w:rPr>
                <w:rFonts w:ascii="宋体" w:hAnsi="宋体" w:cs="宋体" w:eastAsia="宋体" w:hint="default"/>
                <w:sz w:val="16"/>
                <w:szCs w:val="16"/>
              </w:rPr>
              <w:t>自来水水</w:t>
            </w:r>
            <w:r>
              <w:rPr>
                <w:rFonts w:ascii="宋体" w:hAnsi="宋体" w:cs="宋体" w:eastAsia="宋体" w:hint="default"/>
                <w:spacing w:val="-77"/>
                <w:sz w:val="16"/>
                <w:szCs w:val="16"/>
              </w:rPr>
              <w:t> </w:t>
            </w:r>
            <w:r>
              <w:rPr>
                <w:rFonts w:ascii="宋体" w:hAnsi="宋体" w:cs="宋体" w:eastAsia="宋体" w:hint="default"/>
                <w:sz w:val="16"/>
                <w:szCs w:val="16"/>
              </w:rPr>
              <w:t>价补偿款</w:t>
            </w:r>
          </w:p>
        </w:tc>
        <w:tc>
          <w:tcPr>
            <w:tcW w:w="1172" w:type="dxa"/>
            <w:tcBorders>
              <w:top w:val="single" w:sz="4"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55"/>
              <w:jc w:val="right"/>
              <w:rPr>
                <w:rFonts w:ascii="Times New Roman" w:hAnsi="Times New Roman" w:cs="Times New Roman" w:eastAsia="Times New Roman" w:hint="default"/>
                <w:sz w:val="16"/>
                <w:szCs w:val="16"/>
              </w:rPr>
            </w:pPr>
            <w:r>
              <w:rPr>
                <w:rFonts w:ascii="Times New Roman"/>
                <w:spacing w:val="-2"/>
                <w:sz w:val="16"/>
              </w:rPr>
              <w:t>61,500,000.00</w:t>
            </w:r>
          </w:p>
        </w:tc>
        <w:tc>
          <w:tcPr>
            <w:tcW w:w="1275"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2"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1 </w:t>
            </w:r>
            <w:r>
              <w:rPr>
                <w:rFonts w:ascii="宋体" w:hAnsi="宋体" w:cs="宋体" w:eastAsia="宋体" w:hint="default"/>
                <w:spacing w:val="-3"/>
                <w:sz w:val="16"/>
                <w:szCs w:val="16"/>
              </w:rPr>
              <w:t>年以内、</w:t>
            </w:r>
            <w:r>
              <w:rPr>
                <w:rFonts w:ascii="Times New Roman" w:hAnsi="Times New Roman" w:cs="Times New Roman" w:eastAsia="Times New Roman" w:hint="default"/>
                <w:spacing w:val="-3"/>
                <w:sz w:val="16"/>
                <w:szCs w:val="16"/>
              </w:rPr>
              <w:t>1-2</w:t>
            </w:r>
            <w:r>
              <w:rPr>
                <w:rFonts w:ascii="Times New Roman" w:hAnsi="Times New Roman" w:cs="Times New Roman" w:eastAsia="Times New Roman" w:hint="default"/>
                <w:spacing w:val="7"/>
                <w:sz w:val="16"/>
                <w:szCs w:val="16"/>
              </w:rPr>
              <w:t> </w:t>
            </w:r>
            <w:r>
              <w:rPr>
                <w:rFonts w:ascii="宋体" w:hAnsi="宋体" w:cs="宋体" w:eastAsia="宋体" w:hint="default"/>
                <w:sz w:val="16"/>
                <w:szCs w:val="16"/>
              </w:rPr>
              <w:t>年</w:t>
            </w:r>
          </w:p>
        </w:tc>
        <w:tc>
          <w:tcPr>
            <w:tcW w:w="762" w:type="dxa"/>
            <w:tcBorders>
              <w:top w:val="single" w:sz="4" w:space="0" w:color="000000"/>
              <w:left w:val="nil" w:sz="6" w:space="0" w:color="auto"/>
              <w:bottom w:val="nil" w:sz="6" w:space="0" w:color="auto"/>
              <w:right w:val="nil" w:sz="6" w:space="0" w:color="auto"/>
            </w:tcBorders>
          </w:tcPr>
          <w:p>
            <w:pPr>
              <w:pStyle w:val="TableParagraph"/>
              <w:spacing w:line="215" w:lineRule="exact" w:before="77"/>
              <w:ind w:left="93"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2016 </w:t>
            </w:r>
            <w:r>
              <w:rPr>
                <w:rFonts w:ascii="宋体" w:hAnsi="宋体" w:cs="宋体" w:eastAsia="宋体" w:hint="default"/>
                <w:sz w:val="16"/>
                <w:szCs w:val="16"/>
              </w:rPr>
              <w:t>年</w:t>
            </w:r>
          </w:p>
          <w:p>
            <w:pPr>
              <w:pStyle w:val="TableParagraph"/>
              <w:spacing w:line="215" w:lineRule="exact"/>
              <w:ind w:left="6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-2017</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c>
        <w:tc>
          <w:tcPr>
            <w:tcW w:w="1096" w:type="dxa"/>
            <w:tcBorders>
              <w:top w:val="single" w:sz="4"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55"/>
              <w:jc w:val="right"/>
              <w:rPr>
                <w:rFonts w:ascii="Times New Roman" w:hAnsi="Times New Roman" w:cs="Times New Roman" w:eastAsia="Times New Roman" w:hint="default"/>
                <w:sz w:val="16"/>
                <w:szCs w:val="16"/>
              </w:rPr>
            </w:pPr>
            <w:r>
              <w:rPr>
                <w:rFonts w:ascii="Times New Roman"/>
                <w:spacing w:val="-2"/>
                <w:sz w:val="16"/>
              </w:rPr>
              <w:t>61,500,000.00</w:t>
            </w:r>
          </w:p>
        </w:tc>
        <w:tc>
          <w:tcPr>
            <w:tcW w:w="1829" w:type="dxa"/>
            <w:tcBorders>
              <w:top w:val="single" w:sz="4" w:space="0" w:color="000000"/>
              <w:left w:val="nil" w:sz="6" w:space="0" w:color="auto"/>
              <w:bottom w:val="nil" w:sz="6" w:space="0" w:color="auto"/>
              <w:right w:val="nil" w:sz="6" w:space="0" w:color="auto"/>
            </w:tcBorders>
          </w:tcPr>
          <w:p>
            <w:pPr>
              <w:pStyle w:val="TableParagraph"/>
              <w:spacing w:line="189" w:lineRule="exact"/>
              <w:ind w:left="57" w:right="0"/>
              <w:jc w:val="left"/>
              <w:rPr>
                <w:rFonts w:ascii="宋体" w:hAnsi="宋体" w:cs="宋体" w:eastAsia="宋体" w:hint="default"/>
                <w:sz w:val="16"/>
                <w:szCs w:val="16"/>
              </w:rPr>
            </w:pPr>
            <w:r>
              <w:rPr>
                <w:rFonts w:ascii="宋体" w:hAnsi="宋体" w:cs="宋体" w:eastAsia="宋体" w:hint="default"/>
                <w:sz w:val="16"/>
                <w:szCs w:val="16"/>
              </w:rPr>
              <w:t>佳新城投函</w:t>
            </w:r>
            <w:r>
              <w:rPr>
                <w:rFonts w:ascii="Times New Roman" w:hAnsi="Times New Roman" w:cs="Times New Roman" w:eastAsia="Times New Roman" w:hint="default"/>
                <w:sz w:val="16"/>
                <w:szCs w:val="16"/>
              </w:rPr>
              <w:t>[2015]21</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号</w:t>
            </w:r>
          </w:p>
          <w:p>
            <w:pPr>
              <w:pStyle w:val="TableParagraph"/>
              <w:spacing w:line="206" w:lineRule="exact" w:before="15"/>
              <w:ind w:left="57" w:right="53"/>
              <w:jc w:val="left"/>
              <w:rPr>
                <w:rFonts w:ascii="宋体" w:hAnsi="宋体" w:cs="宋体" w:eastAsia="宋体" w:hint="default"/>
                <w:sz w:val="16"/>
                <w:szCs w:val="16"/>
              </w:rPr>
            </w:pPr>
            <w:r>
              <w:rPr>
                <w:rFonts w:ascii="宋体" w:hAnsi="宋体" w:cs="宋体" w:eastAsia="宋体" w:hint="default"/>
                <w:spacing w:val="-5"/>
                <w:sz w:val="16"/>
                <w:szCs w:val="16"/>
              </w:rPr>
              <w:t>文件《关于佳木斯供水公</w:t>
            </w:r>
            <w:r>
              <w:rPr>
                <w:rFonts w:ascii="宋体" w:hAnsi="宋体" w:cs="宋体" w:eastAsia="宋体" w:hint="default"/>
                <w:spacing w:val="-72"/>
                <w:sz w:val="16"/>
                <w:szCs w:val="16"/>
              </w:rPr>
              <w:t> </w:t>
            </w:r>
            <w:r>
              <w:rPr>
                <w:rFonts w:ascii="宋体" w:hAnsi="宋体" w:cs="宋体" w:eastAsia="宋体" w:hint="default"/>
                <w:spacing w:val="-72"/>
                <w:sz w:val="16"/>
                <w:szCs w:val="16"/>
              </w:rPr>
            </w:r>
            <w:r>
              <w:rPr>
                <w:rFonts w:ascii="宋体" w:hAnsi="宋体" w:cs="宋体" w:eastAsia="宋体" w:hint="default"/>
                <w:sz w:val="16"/>
                <w:szCs w:val="16"/>
              </w:rPr>
              <w:t>司供水补偿款的通知》</w:t>
            </w:r>
          </w:p>
        </w:tc>
      </w:tr>
      <w:tr>
        <w:trPr>
          <w:trHeight w:val="419" w:hRule="exact"/>
        </w:trPr>
        <w:tc>
          <w:tcPr>
            <w:tcW w:w="1651" w:type="dxa"/>
            <w:tcBorders>
              <w:top w:val="nil" w:sz="6" w:space="0" w:color="auto"/>
              <w:left w:val="nil" w:sz="6" w:space="0" w:color="auto"/>
              <w:bottom w:val="single" w:sz="4" w:space="0" w:color="000000"/>
              <w:right w:val="nil" w:sz="6" w:space="0" w:color="auto"/>
            </w:tcBorders>
          </w:tcPr>
          <w:p>
            <w:pPr>
              <w:pStyle w:val="TableParagraph"/>
              <w:spacing w:line="240" w:lineRule="auto" w:before="78"/>
              <w:ind w:left="71" w:right="0"/>
              <w:jc w:val="left"/>
              <w:rPr>
                <w:rFonts w:ascii="宋体" w:hAnsi="宋体" w:cs="宋体" w:eastAsia="宋体" w:hint="default"/>
                <w:sz w:val="16"/>
                <w:szCs w:val="16"/>
              </w:rPr>
            </w:pPr>
            <w:r>
              <w:rPr>
                <w:rFonts w:ascii="宋体" w:hAnsi="宋体" w:cs="宋体" w:eastAsia="宋体" w:hint="default"/>
                <w:sz w:val="16"/>
                <w:szCs w:val="16"/>
              </w:rPr>
              <w:t>牡丹江市财政局</w:t>
            </w:r>
          </w:p>
        </w:tc>
        <w:tc>
          <w:tcPr>
            <w:tcW w:w="936" w:type="dxa"/>
            <w:tcBorders>
              <w:top w:val="nil" w:sz="6" w:space="0" w:color="auto"/>
              <w:left w:val="nil" w:sz="6" w:space="0" w:color="auto"/>
              <w:bottom w:val="single" w:sz="4" w:space="0" w:color="000000"/>
              <w:right w:val="nil" w:sz="6" w:space="0" w:color="auto"/>
            </w:tcBorders>
          </w:tcPr>
          <w:p>
            <w:pPr>
              <w:pStyle w:val="TableParagraph"/>
              <w:spacing w:line="183" w:lineRule="exact"/>
              <w:ind w:left="83" w:right="0"/>
              <w:jc w:val="left"/>
              <w:rPr>
                <w:rFonts w:ascii="宋体" w:hAnsi="宋体" w:cs="宋体" w:eastAsia="宋体" w:hint="default"/>
                <w:sz w:val="16"/>
                <w:szCs w:val="16"/>
              </w:rPr>
            </w:pPr>
            <w:r>
              <w:rPr>
                <w:rFonts w:ascii="宋体" w:hAnsi="宋体" w:cs="宋体" w:eastAsia="宋体" w:hint="default"/>
                <w:sz w:val="16"/>
                <w:szCs w:val="16"/>
              </w:rPr>
              <w:t>自来水水</w:t>
            </w:r>
          </w:p>
          <w:p>
            <w:pPr>
              <w:pStyle w:val="TableParagraph"/>
              <w:spacing w:line="208" w:lineRule="exact"/>
              <w:ind w:left="83" w:right="0"/>
              <w:jc w:val="left"/>
              <w:rPr>
                <w:rFonts w:ascii="宋体" w:hAnsi="宋体" w:cs="宋体" w:eastAsia="宋体" w:hint="default"/>
                <w:sz w:val="16"/>
                <w:szCs w:val="16"/>
              </w:rPr>
            </w:pPr>
            <w:r>
              <w:rPr>
                <w:rFonts w:ascii="宋体" w:hAnsi="宋体" w:cs="宋体" w:eastAsia="宋体" w:hint="default"/>
                <w:sz w:val="16"/>
                <w:szCs w:val="16"/>
              </w:rPr>
              <w:t>价补偿款</w:t>
            </w:r>
          </w:p>
        </w:tc>
        <w:tc>
          <w:tcPr>
            <w:tcW w:w="1172" w:type="dxa"/>
            <w:tcBorders>
              <w:top w:val="nil" w:sz="6" w:space="0" w:color="auto"/>
              <w:left w:val="nil" w:sz="6" w:space="0" w:color="auto"/>
              <w:bottom w:val="single" w:sz="4" w:space="0" w:color="000000"/>
              <w:right w:val="nil" w:sz="6" w:space="0" w:color="auto"/>
            </w:tcBorders>
          </w:tcPr>
          <w:p>
            <w:pPr>
              <w:pStyle w:val="TableParagraph"/>
              <w:spacing w:line="240" w:lineRule="auto" w:before="111"/>
              <w:ind w:right="55"/>
              <w:jc w:val="right"/>
              <w:rPr>
                <w:rFonts w:ascii="Times New Roman" w:hAnsi="Times New Roman" w:cs="Times New Roman" w:eastAsia="Times New Roman" w:hint="default"/>
                <w:sz w:val="16"/>
                <w:szCs w:val="16"/>
              </w:rPr>
            </w:pPr>
            <w:r>
              <w:rPr>
                <w:rFonts w:ascii="Times New Roman"/>
                <w:spacing w:val="-1"/>
                <w:sz w:val="16"/>
              </w:rPr>
              <w:t>5,400,000.00</w:t>
            </w:r>
          </w:p>
        </w:tc>
        <w:tc>
          <w:tcPr>
            <w:tcW w:w="1275" w:type="dxa"/>
            <w:tcBorders>
              <w:top w:val="nil" w:sz="6" w:space="0" w:color="auto"/>
              <w:left w:val="nil" w:sz="6" w:space="0" w:color="auto"/>
              <w:bottom w:val="single" w:sz="4" w:space="0" w:color="000000"/>
              <w:right w:val="nil" w:sz="6" w:space="0" w:color="auto"/>
            </w:tcBorders>
          </w:tcPr>
          <w:p>
            <w:pPr>
              <w:pStyle w:val="TableParagraph"/>
              <w:spacing w:line="240" w:lineRule="auto" w:before="78"/>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1-2</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c>
        <w:tc>
          <w:tcPr>
            <w:tcW w:w="762" w:type="dxa"/>
            <w:tcBorders>
              <w:top w:val="nil" w:sz="6" w:space="0" w:color="auto"/>
              <w:left w:val="nil" w:sz="6" w:space="0" w:color="auto"/>
              <w:bottom w:val="single" w:sz="4" w:space="0" w:color="000000"/>
              <w:right w:val="nil" w:sz="6" w:space="0" w:color="auto"/>
            </w:tcBorders>
          </w:tcPr>
          <w:p>
            <w:pPr>
              <w:pStyle w:val="TableParagraph"/>
              <w:spacing w:line="189" w:lineRule="exact"/>
              <w:ind w:left="93"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2016 </w:t>
            </w:r>
            <w:r>
              <w:rPr>
                <w:rFonts w:ascii="宋体" w:hAnsi="宋体" w:cs="宋体" w:eastAsia="宋体" w:hint="default"/>
                <w:sz w:val="16"/>
                <w:szCs w:val="16"/>
              </w:rPr>
              <w:t>年</w:t>
            </w:r>
          </w:p>
          <w:p>
            <w:pPr>
              <w:pStyle w:val="TableParagraph"/>
              <w:spacing w:line="214" w:lineRule="exact"/>
              <w:ind w:left="6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-2017</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c>
        <w:tc>
          <w:tcPr>
            <w:tcW w:w="1096" w:type="dxa"/>
            <w:tcBorders>
              <w:top w:val="nil" w:sz="6" w:space="0" w:color="auto"/>
              <w:left w:val="nil" w:sz="6" w:space="0" w:color="auto"/>
              <w:bottom w:val="single" w:sz="4" w:space="0" w:color="000000"/>
              <w:right w:val="nil" w:sz="6" w:space="0" w:color="auto"/>
            </w:tcBorders>
          </w:tcPr>
          <w:p>
            <w:pPr>
              <w:pStyle w:val="TableParagraph"/>
              <w:spacing w:line="240" w:lineRule="auto" w:before="111"/>
              <w:ind w:right="55"/>
              <w:jc w:val="right"/>
              <w:rPr>
                <w:rFonts w:ascii="Times New Roman" w:hAnsi="Times New Roman" w:cs="Times New Roman" w:eastAsia="Times New Roman" w:hint="default"/>
                <w:sz w:val="16"/>
                <w:szCs w:val="16"/>
              </w:rPr>
            </w:pPr>
            <w:r>
              <w:rPr>
                <w:rFonts w:ascii="Times New Roman"/>
                <w:spacing w:val="-1"/>
                <w:sz w:val="16"/>
              </w:rPr>
              <w:t>5,400,000.00</w:t>
            </w:r>
          </w:p>
        </w:tc>
        <w:tc>
          <w:tcPr>
            <w:tcW w:w="1829" w:type="dxa"/>
            <w:tcBorders>
              <w:top w:val="nil" w:sz="6" w:space="0" w:color="auto"/>
              <w:left w:val="nil" w:sz="6" w:space="0" w:color="auto"/>
              <w:bottom w:val="single" w:sz="4" w:space="0" w:color="000000"/>
              <w:right w:val="nil" w:sz="6" w:space="0" w:color="auto"/>
            </w:tcBorders>
          </w:tcPr>
          <w:p>
            <w:pPr>
              <w:pStyle w:val="TableParagraph"/>
              <w:spacing w:line="183" w:lineRule="exact"/>
              <w:ind w:left="57" w:right="0"/>
              <w:jc w:val="left"/>
              <w:rPr>
                <w:rFonts w:ascii="宋体" w:hAnsi="宋体" w:cs="宋体" w:eastAsia="宋体" w:hint="default"/>
                <w:sz w:val="16"/>
                <w:szCs w:val="16"/>
              </w:rPr>
            </w:pPr>
            <w:r>
              <w:rPr>
                <w:rFonts w:ascii="宋体" w:hAnsi="宋体" w:cs="宋体" w:eastAsia="宋体" w:hint="default"/>
                <w:sz w:val="16"/>
                <w:szCs w:val="16"/>
              </w:rPr>
              <w:t>牡丹江市财政局牡财建</w:t>
            </w:r>
          </w:p>
          <w:p>
            <w:pPr>
              <w:pStyle w:val="TableParagraph"/>
              <w:spacing w:line="220" w:lineRule="exact"/>
              <w:ind w:left="5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[2011]38</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号文件</w:t>
            </w:r>
          </w:p>
        </w:tc>
      </w:tr>
      <w:tr>
        <w:trPr>
          <w:trHeight w:val="307" w:hRule="exact"/>
        </w:trPr>
        <w:tc>
          <w:tcPr>
            <w:tcW w:w="1651" w:type="dxa"/>
            <w:tcBorders>
              <w:top w:val="single" w:sz="4" w:space="0" w:color="000000"/>
              <w:left w:val="nil" w:sz="6" w:space="0" w:color="auto"/>
              <w:bottom w:val="single" w:sz="12" w:space="0" w:color="000000"/>
              <w:right w:val="nil" w:sz="6" w:space="0" w:color="auto"/>
            </w:tcBorders>
          </w:tcPr>
          <w:p>
            <w:pPr>
              <w:pStyle w:val="TableParagraph"/>
              <w:spacing w:line="232" w:lineRule="exact"/>
              <w:ind w:left="71"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936" w:type="dxa"/>
            <w:tcBorders>
              <w:top w:val="single" w:sz="4" w:space="0" w:color="000000"/>
              <w:left w:val="nil" w:sz="6" w:space="0" w:color="auto"/>
              <w:bottom w:val="single" w:sz="12" w:space="0" w:color="000000"/>
              <w:right w:val="nil" w:sz="6" w:space="0" w:color="auto"/>
            </w:tcBorders>
          </w:tcPr>
          <w:p>
            <w:pPr/>
          </w:p>
        </w:tc>
        <w:tc>
          <w:tcPr>
            <w:tcW w:w="1172" w:type="dxa"/>
            <w:tcBorders>
              <w:top w:val="single" w:sz="4" w:space="0" w:color="000000"/>
              <w:left w:val="nil" w:sz="6" w:space="0" w:color="auto"/>
              <w:bottom w:val="single" w:sz="12" w:space="0" w:color="000000"/>
              <w:right w:val="nil" w:sz="6" w:space="0" w:color="auto"/>
            </w:tcBorders>
          </w:tcPr>
          <w:p>
            <w:pPr>
              <w:pStyle w:val="TableParagraph"/>
              <w:spacing w:line="240" w:lineRule="auto" w:before="40"/>
              <w:ind w:right="56"/>
              <w:jc w:val="right"/>
              <w:rPr>
                <w:rFonts w:ascii="Times New Roman" w:hAnsi="Times New Roman" w:cs="Times New Roman" w:eastAsia="Times New Roman" w:hint="default"/>
                <w:sz w:val="18"/>
                <w:szCs w:val="18"/>
              </w:rPr>
            </w:pPr>
            <w:r>
              <w:rPr>
                <w:rFonts w:ascii="Times New Roman"/>
                <w:b/>
                <w:spacing w:val="-1"/>
                <w:sz w:val="18"/>
              </w:rPr>
              <w:t>66,900,000.00</w:t>
            </w:r>
            <w:r>
              <w:rPr>
                <w:rFonts w:ascii="Times New Roman"/>
                <w:spacing w:val="-1"/>
                <w:sz w:val="18"/>
              </w:rPr>
            </w:r>
          </w:p>
        </w:tc>
        <w:tc>
          <w:tcPr>
            <w:tcW w:w="1275" w:type="dxa"/>
            <w:tcBorders>
              <w:top w:val="single" w:sz="4" w:space="0" w:color="000000"/>
              <w:left w:val="nil" w:sz="6" w:space="0" w:color="auto"/>
              <w:bottom w:val="single" w:sz="12" w:space="0" w:color="000000"/>
              <w:right w:val="nil" w:sz="6" w:space="0" w:color="auto"/>
            </w:tcBorders>
          </w:tcPr>
          <w:p>
            <w:pPr/>
          </w:p>
        </w:tc>
        <w:tc>
          <w:tcPr>
            <w:tcW w:w="762" w:type="dxa"/>
            <w:tcBorders>
              <w:top w:val="single" w:sz="4" w:space="0" w:color="000000"/>
              <w:left w:val="nil" w:sz="6" w:space="0" w:color="auto"/>
              <w:bottom w:val="single" w:sz="12" w:space="0" w:color="000000"/>
              <w:right w:val="nil" w:sz="6" w:space="0" w:color="auto"/>
            </w:tcBorders>
          </w:tcPr>
          <w:p>
            <w:pPr/>
          </w:p>
        </w:tc>
        <w:tc>
          <w:tcPr>
            <w:tcW w:w="1096" w:type="dxa"/>
            <w:tcBorders>
              <w:top w:val="single" w:sz="4" w:space="0" w:color="000000"/>
              <w:left w:val="nil" w:sz="6" w:space="0" w:color="auto"/>
              <w:bottom w:val="single" w:sz="12" w:space="0" w:color="000000"/>
              <w:right w:val="nil" w:sz="6" w:space="0" w:color="auto"/>
            </w:tcBorders>
          </w:tcPr>
          <w:p>
            <w:pPr>
              <w:pStyle w:val="TableParagraph"/>
              <w:spacing w:line="240" w:lineRule="auto" w:before="40"/>
              <w:ind w:right="56"/>
              <w:jc w:val="right"/>
              <w:rPr>
                <w:rFonts w:ascii="Times New Roman" w:hAnsi="Times New Roman" w:cs="Times New Roman" w:eastAsia="Times New Roman" w:hint="default"/>
                <w:sz w:val="18"/>
                <w:szCs w:val="18"/>
              </w:rPr>
            </w:pPr>
            <w:r>
              <w:rPr>
                <w:rFonts w:ascii="Times New Roman"/>
                <w:b/>
                <w:spacing w:val="-1"/>
                <w:sz w:val="18"/>
              </w:rPr>
              <w:t>66,900,000.00</w:t>
            </w:r>
            <w:r>
              <w:rPr>
                <w:rFonts w:ascii="Times New Roman"/>
                <w:spacing w:val="-1"/>
                <w:sz w:val="18"/>
              </w:rPr>
            </w:r>
          </w:p>
        </w:tc>
        <w:tc>
          <w:tcPr>
            <w:tcW w:w="1829" w:type="dxa"/>
            <w:tcBorders>
              <w:top w:val="single" w:sz="4" w:space="0" w:color="000000"/>
              <w:left w:val="nil" w:sz="6" w:space="0" w:color="auto"/>
              <w:bottom w:val="single" w:sz="12" w:space="0" w:color="000000"/>
              <w:right w:val="nil" w:sz="6" w:space="0" w:color="auto"/>
            </w:tcBorders>
          </w:tcPr>
          <w:p>
            <w:pPr/>
          </w:p>
        </w:tc>
      </w:tr>
    </w:tbl>
    <w:p>
      <w:pPr>
        <w:tabs>
          <w:tab w:pos="1001" w:val="left" w:leader="none"/>
        </w:tabs>
        <w:spacing w:before="21"/>
        <w:ind w:left="60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8.</w:t>
        <w:tab/>
      </w:r>
      <w:r>
        <w:rPr>
          <w:rFonts w:ascii="宋体" w:hAnsi="宋体" w:cs="宋体" w:eastAsia="宋体" w:hint="default"/>
          <w:sz w:val="22"/>
          <w:szCs w:val="22"/>
        </w:rPr>
        <w:t>存货</w:t>
      </w:r>
    </w:p>
    <w:p>
      <w:pPr>
        <w:spacing w:before="111"/>
        <w:ind w:left="65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4"/>
          <w:sz w:val="22"/>
          <w:szCs w:val="22"/>
        </w:rPr>
        <w:t> </w:t>
      </w:r>
      <w:r>
        <w:rPr>
          <w:rFonts w:ascii="宋体" w:hAnsi="宋体" w:cs="宋体" w:eastAsia="宋体" w:hint="default"/>
          <w:sz w:val="22"/>
          <w:szCs w:val="22"/>
        </w:rPr>
        <w:t>存货分类</w:t>
      </w:r>
    </w:p>
    <w:p>
      <w:pPr>
        <w:spacing w:line="240" w:lineRule="auto" w:before="8"/>
        <w:rPr>
          <w:rFonts w:ascii="宋体" w:hAnsi="宋体" w:cs="宋体" w:eastAsia="宋体" w:hint="default"/>
          <w:sz w:val="11"/>
          <w:szCs w:val="11"/>
        </w:rPr>
      </w:pPr>
    </w:p>
    <w:tbl>
      <w:tblPr>
        <w:tblW w:w="0" w:type="auto"/>
        <w:jc w:val="left"/>
        <w:tblInd w:w="130" w:type="dxa"/>
        <w:tblLayout w:type="fixed"/>
        <w:tblCellMar>
          <w:top w:w="0" w:type="dxa"/>
          <w:left w:w="0" w:type="dxa"/>
          <w:bottom w:w="0" w:type="dxa"/>
          <w:right w:w="0" w:type="dxa"/>
        </w:tblCellMar>
        <w:tblLook w:val="01E0"/>
      </w:tblPr>
      <w:tblGrid>
        <w:gridCol w:w="1267"/>
        <w:gridCol w:w="1374"/>
        <w:gridCol w:w="1171"/>
        <w:gridCol w:w="1251"/>
        <w:gridCol w:w="1248"/>
        <w:gridCol w:w="1127"/>
        <w:gridCol w:w="1244"/>
      </w:tblGrid>
      <w:tr>
        <w:trPr>
          <w:trHeight w:val="305" w:hRule="exact"/>
        </w:trPr>
        <w:tc>
          <w:tcPr>
            <w:tcW w:w="1267" w:type="dxa"/>
            <w:vMerge w:val="restart"/>
            <w:tcBorders>
              <w:top w:val="single" w:sz="12" w:space="0" w:color="000000"/>
              <w:left w:val="nil" w:sz="6" w:space="0" w:color="auto"/>
              <w:right w:val="nil" w:sz="6" w:space="0" w:color="auto"/>
            </w:tcBorders>
          </w:tcPr>
          <w:p>
            <w:pPr>
              <w:pStyle w:val="TableParagraph"/>
              <w:spacing w:line="240" w:lineRule="auto" w:before="145"/>
              <w:ind w:left="71" w:right="0"/>
              <w:jc w:val="left"/>
              <w:rPr>
                <w:rFonts w:ascii="宋体" w:hAnsi="宋体" w:cs="宋体" w:eastAsia="宋体" w:hint="default"/>
                <w:sz w:val="18"/>
                <w:szCs w:val="18"/>
              </w:rPr>
            </w:pPr>
            <w:r>
              <w:rPr>
                <w:rFonts w:ascii="宋体" w:hAnsi="宋体" w:cs="宋体" w:eastAsia="宋体" w:hint="default"/>
                <w:b/>
                <w:bCs/>
                <w:spacing w:val="-16"/>
                <w:sz w:val="18"/>
                <w:szCs w:val="18"/>
              </w:rPr>
              <w:t>项目</w:t>
            </w:r>
            <w:r>
              <w:rPr>
                <w:rFonts w:ascii="宋体" w:hAnsi="宋体" w:cs="宋体" w:eastAsia="宋体" w:hint="default"/>
                <w:sz w:val="18"/>
                <w:szCs w:val="18"/>
              </w:rPr>
            </w:r>
          </w:p>
        </w:tc>
        <w:tc>
          <w:tcPr>
            <w:tcW w:w="1374" w:type="dxa"/>
            <w:tcBorders>
              <w:top w:val="single" w:sz="12" w:space="0" w:color="000000"/>
              <w:left w:val="nil" w:sz="6" w:space="0" w:color="auto"/>
              <w:bottom w:val="single" w:sz="4" w:space="0" w:color="000000"/>
              <w:right w:val="nil" w:sz="6" w:space="0" w:color="auto"/>
            </w:tcBorders>
          </w:tcPr>
          <w:p>
            <w:pPr/>
          </w:p>
        </w:tc>
        <w:tc>
          <w:tcPr>
            <w:tcW w:w="117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89" w:right="0"/>
              <w:jc w:val="left"/>
              <w:rPr>
                <w:rFonts w:ascii="宋体" w:hAnsi="宋体" w:cs="宋体" w:eastAsia="宋体" w:hint="default"/>
                <w:sz w:val="18"/>
                <w:szCs w:val="18"/>
              </w:rPr>
            </w:pPr>
            <w:r>
              <w:rPr>
                <w:rFonts w:ascii="宋体" w:hAnsi="宋体" w:cs="宋体" w:eastAsia="宋体" w:hint="default"/>
                <w:b/>
                <w:bCs/>
                <w:spacing w:val="-16"/>
                <w:sz w:val="18"/>
                <w:szCs w:val="18"/>
              </w:rPr>
              <w:t>年末余额</w:t>
            </w:r>
            <w:r>
              <w:rPr>
                <w:rFonts w:ascii="宋体" w:hAnsi="宋体" w:cs="宋体" w:eastAsia="宋体" w:hint="default"/>
                <w:sz w:val="18"/>
                <w:szCs w:val="18"/>
              </w:rPr>
            </w:r>
          </w:p>
        </w:tc>
        <w:tc>
          <w:tcPr>
            <w:tcW w:w="1251" w:type="dxa"/>
            <w:tcBorders>
              <w:top w:val="single" w:sz="12" w:space="0" w:color="000000"/>
              <w:left w:val="nil" w:sz="6" w:space="0" w:color="auto"/>
              <w:bottom w:val="single" w:sz="4" w:space="0" w:color="000000"/>
              <w:right w:val="nil" w:sz="6" w:space="0" w:color="auto"/>
            </w:tcBorders>
          </w:tcPr>
          <w:p>
            <w:pPr/>
          </w:p>
        </w:tc>
        <w:tc>
          <w:tcPr>
            <w:tcW w:w="1248" w:type="dxa"/>
            <w:tcBorders>
              <w:top w:val="single" w:sz="12" w:space="0" w:color="000000"/>
              <w:left w:val="nil" w:sz="6" w:space="0" w:color="auto"/>
              <w:bottom w:val="single" w:sz="4" w:space="0" w:color="000000"/>
              <w:right w:val="nil" w:sz="6" w:space="0" w:color="auto"/>
            </w:tcBorders>
          </w:tcPr>
          <w:p>
            <w:pPr/>
          </w:p>
        </w:tc>
        <w:tc>
          <w:tcPr>
            <w:tcW w:w="112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29" w:right="0"/>
              <w:jc w:val="left"/>
              <w:rPr>
                <w:rFonts w:ascii="宋体" w:hAnsi="宋体" w:cs="宋体" w:eastAsia="宋体" w:hint="default"/>
                <w:sz w:val="18"/>
                <w:szCs w:val="18"/>
              </w:rPr>
            </w:pPr>
            <w:r>
              <w:rPr>
                <w:rFonts w:ascii="宋体" w:hAnsi="宋体" w:cs="宋体" w:eastAsia="宋体" w:hint="default"/>
                <w:b/>
                <w:bCs/>
                <w:spacing w:val="-16"/>
                <w:sz w:val="18"/>
                <w:szCs w:val="18"/>
              </w:rPr>
              <w:t>年初余额</w:t>
            </w:r>
            <w:r>
              <w:rPr>
                <w:rFonts w:ascii="宋体" w:hAnsi="宋体" w:cs="宋体" w:eastAsia="宋体" w:hint="default"/>
                <w:sz w:val="18"/>
                <w:szCs w:val="18"/>
              </w:rPr>
            </w:r>
          </w:p>
        </w:tc>
        <w:tc>
          <w:tcPr>
            <w:tcW w:w="1244" w:type="dxa"/>
            <w:tcBorders>
              <w:top w:val="single" w:sz="12" w:space="0" w:color="000000"/>
              <w:left w:val="nil" w:sz="6" w:space="0" w:color="auto"/>
              <w:bottom w:val="single" w:sz="4" w:space="0" w:color="000000"/>
              <w:right w:val="nil" w:sz="6" w:space="0" w:color="auto"/>
            </w:tcBorders>
          </w:tcPr>
          <w:p>
            <w:pPr/>
          </w:p>
        </w:tc>
      </w:tr>
      <w:tr>
        <w:trPr>
          <w:trHeight w:val="295" w:hRule="exact"/>
        </w:trPr>
        <w:tc>
          <w:tcPr>
            <w:tcW w:w="1267" w:type="dxa"/>
            <w:vMerge/>
            <w:tcBorders>
              <w:left w:val="nil" w:sz="6" w:space="0" w:color="auto"/>
              <w:bottom w:val="single" w:sz="4" w:space="0" w:color="000000"/>
              <w:right w:val="nil" w:sz="6" w:space="0" w:color="auto"/>
            </w:tcBorders>
          </w:tcPr>
          <w:p>
            <w:pPr/>
          </w:p>
        </w:tc>
        <w:tc>
          <w:tcPr>
            <w:tcW w:w="1374"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331" w:right="0"/>
              <w:jc w:val="left"/>
              <w:rPr>
                <w:rFonts w:ascii="宋体" w:hAnsi="宋体" w:cs="宋体" w:eastAsia="宋体" w:hint="default"/>
                <w:sz w:val="18"/>
                <w:szCs w:val="18"/>
              </w:rPr>
            </w:pPr>
            <w:r>
              <w:rPr>
                <w:rFonts w:ascii="宋体" w:hAnsi="宋体" w:cs="宋体" w:eastAsia="宋体" w:hint="default"/>
                <w:b/>
                <w:bCs/>
                <w:spacing w:val="-16"/>
                <w:sz w:val="18"/>
                <w:szCs w:val="18"/>
              </w:rPr>
              <w:t>账面余额</w:t>
            </w:r>
            <w:r>
              <w:rPr>
                <w:rFonts w:ascii="宋体" w:hAnsi="宋体" w:cs="宋体" w:eastAsia="宋体" w:hint="default"/>
                <w:sz w:val="18"/>
                <w:szCs w:val="18"/>
              </w:rPr>
            </w:r>
          </w:p>
        </w:tc>
        <w:tc>
          <w:tcPr>
            <w:tcW w:w="1171"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229" w:right="0"/>
              <w:jc w:val="left"/>
              <w:rPr>
                <w:rFonts w:ascii="宋体" w:hAnsi="宋体" w:cs="宋体" w:eastAsia="宋体" w:hint="default"/>
                <w:sz w:val="18"/>
                <w:szCs w:val="18"/>
              </w:rPr>
            </w:pPr>
            <w:r>
              <w:rPr>
                <w:rFonts w:ascii="宋体" w:hAnsi="宋体" w:cs="宋体" w:eastAsia="宋体" w:hint="default"/>
                <w:b/>
                <w:bCs/>
                <w:spacing w:val="-16"/>
                <w:sz w:val="18"/>
                <w:szCs w:val="18"/>
              </w:rPr>
              <w:t>跌价准备</w:t>
            </w:r>
            <w:r>
              <w:rPr>
                <w:rFonts w:ascii="宋体" w:hAnsi="宋体" w:cs="宋体" w:eastAsia="宋体" w:hint="default"/>
                <w:sz w:val="18"/>
                <w:szCs w:val="18"/>
              </w:rPr>
            </w:r>
          </w:p>
        </w:tc>
        <w:tc>
          <w:tcPr>
            <w:tcW w:w="1251"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287" w:right="0"/>
              <w:jc w:val="left"/>
              <w:rPr>
                <w:rFonts w:ascii="宋体" w:hAnsi="宋体" w:cs="宋体" w:eastAsia="宋体" w:hint="default"/>
                <w:sz w:val="18"/>
                <w:szCs w:val="18"/>
              </w:rPr>
            </w:pPr>
            <w:r>
              <w:rPr>
                <w:rFonts w:ascii="宋体" w:hAnsi="宋体" w:cs="宋体" w:eastAsia="宋体" w:hint="default"/>
                <w:b/>
                <w:bCs/>
                <w:spacing w:val="-16"/>
                <w:sz w:val="18"/>
                <w:szCs w:val="18"/>
              </w:rPr>
              <w:t>账面价值</w:t>
            </w:r>
            <w:r>
              <w:rPr>
                <w:rFonts w:ascii="宋体" w:hAnsi="宋体" w:cs="宋体" w:eastAsia="宋体" w:hint="default"/>
                <w:sz w:val="18"/>
                <w:szCs w:val="18"/>
              </w:rPr>
            </w:r>
          </w:p>
        </w:tc>
        <w:tc>
          <w:tcPr>
            <w:tcW w:w="1248"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289" w:right="0"/>
              <w:jc w:val="left"/>
              <w:rPr>
                <w:rFonts w:ascii="宋体" w:hAnsi="宋体" w:cs="宋体" w:eastAsia="宋体" w:hint="default"/>
                <w:sz w:val="18"/>
                <w:szCs w:val="18"/>
              </w:rPr>
            </w:pPr>
            <w:r>
              <w:rPr>
                <w:rFonts w:ascii="宋体" w:hAnsi="宋体" w:cs="宋体" w:eastAsia="宋体" w:hint="default"/>
                <w:b/>
                <w:bCs/>
                <w:spacing w:val="-16"/>
                <w:sz w:val="18"/>
                <w:szCs w:val="18"/>
              </w:rPr>
              <w:t>账面余额</w:t>
            </w:r>
            <w:r>
              <w:rPr>
                <w:rFonts w:ascii="宋体" w:hAnsi="宋体" w:cs="宋体" w:eastAsia="宋体" w:hint="default"/>
                <w:sz w:val="18"/>
                <w:szCs w:val="18"/>
              </w:rPr>
            </w:r>
          </w:p>
        </w:tc>
        <w:tc>
          <w:tcPr>
            <w:tcW w:w="1127"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227" w:right="0"/>
              <w:jc w:val="left"/>
              <w:rPr>
                <w:rFonts w:ascii="宋体" w:hAnsi="宋体" w:cs="宋体" w:eastAsia="宋体" w:hint="default"/>
                <w:sz w:val="18"/>
                <w:szCs w:val="18"/>
              </w:rPr>
            </w:pPr>
            <w:r>
              <w:rPr>
                <w:rFonts w:ascii="宋体" w:hAnsi="宋体" w:cs="宋体" w:eastAsia="宋体" w:hint="default"/>
                <w:b/>
                <w:bCs/>
                <w:spacing w:val="-16"/>
                <w:sz w:val="18"/>
                <w:szCs w:val="18"/>
              </w:rPr>
              <w:t>跌价准备</w:t>
            </w:r>
            <w:r>
              <w:rPr>
                <w:rFonts w:ascii="宋体" w:hAnsi="宋体" w:cs="宋体" w:eastAsia="宋体" w:hint="default"/>
                <w:sz w:val="18"/>
                <w:szCs w:val="18"/>
              </w:rPr>
            </w:r>
          </w:p>
        </w:tc>
        <w:tc>
          <w:tcPr>
            <w:tcW w:w="1244"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288" w:right="0"/>
              <w:jc w:val="left"/>
              <w:rPr>
                <w:rFonts w:ascii="宋体" w:hAnsi="宋体" w:cs="宋体" w:eastAsia="宋体" w:hint="default"/>
                <w:sz w:val="18"/>
                <w:szCs w:val="18"/>
              </w:rPr>
            </w:pPr>
            <w:r>
              <w:rPr>
                <w:rFonts w:ascii="宋体" w:hAnsi="宋体" w:cs="宋体" w:eastAsia="宋体" w:hint="default"/>
                <w:b/>
                <w:bCs/>
                <w:spacing w:val="-16"/>
                <w:sz w:val="18"/>
                <w:szCs w:val="18"/>
              </w:rPr>
              <w:t>账面价值</w:t>
            </w:r>
            <w:r>
              <w:rPr>
                <w:rFonts w:ascii="宋体" w:hAnsi="宋体" w:cs="宋体" w:eastAsia="宋体" w:hint="default"/>
                <w:sz w:val="18"/>
                <w:szCs w:val="18"/>
              </w:rPr>
            </w:r>
          </w:p>
        </w:tc>
      </w:tr>
      <w:tr>
        <w:trPr>
          <w:trHeight w:val="325" w:hRule="exact"/>
        </w:trPr>
        <w:tc>
          <w:tcPr>
            <w:tcW w:w="1267"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71" w:right="0"/>
              <w:jc w:val="left"/>
              <w:rPr>
                <w:rFonts w:ascii="宋体" w:hAnsi="宋体" w:cs="宋体" w:eastAsia="宋体" w:hint="default"/>
                <w:sz w:val="18"/>
                <w:szCs w:val="18"/>
              </w:rPr>
            </w:pPr>
            <w:r>
              <w:rPr>
                <w:rFonts w:ascii="宋体" w:hAnsi="宋体" w:cs="宋体" w:eastAsia="宋体" w:hint="default"/>
                <w:spacing w:val="-17"/>
                <w:sz w:val="18"/>
                <w:szCs w:val="18"/>
              </w:rPr>
              <w:t>库存商品</w:t>
            </w:r>
            <w:r>
              <w:rPr>
                <w:rFonts w:ascii="宋体" w:hAnsi="宋体" w:cs="宋体" w:eastAsia="宋体" w:hint="default"/>
                <w:sz w:val="18"/>
                <w:szCs w:val="18"/>
              </w:rPr>
            </w:r>
          </w:p>
        </w:tc>
        <w:tc>
          <w:tcPr>
            <w:tcW w:w="1374"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93"/>
              <w:jc w:val="right"/>
              <w:rPr>
                <w:rFonts w:ascii="Times New Roman" w:hAnsi="Times New Roman" w:cs="Times New Roman" w:eastAsia="Times New Roman" w:hint="default"/>
                <w:sz w:val="16"/>
                <w:szCs w:val="16"/>
              </w:rPr>
            </w:pPr>
            <w:r>
              <w:rPr>
                <w:rFonts w:ascii="Times New Roman"/>
                <w:spacing w:val="-9"/>
                <w:sz w:val="16"/>
              </w:rPr>
              <w:t>2,385,047,710.52</w:t>
            </w:r>
          </w:p>
        </w:tc>
        <w:tc>
          <w:tcPr>
            <w:tcW w:w="1171"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52"/>
              <w:jc w:val="right"/>
              <w:rPr>
                <w:rFonts w:ascii="Times New Roman" w:hAnsi="Times New Roman" w:cs="Times New Roman" w:eastAsia="Times New Roman" w:hint="default"/>
                <w:sz w:val="16"/>
                <w:szCs w:val="16"/>
              </w:rPr>
            </w:pPr>
            <w:r>
              <w:rPr>
                <w:rFonts w:ascii="Times New Roman"/>
                <w:spacing w:val="-9"/>
                <w:sz w:val="16"/>
              </w:rPr>
              <w:t>163,103,385.45</w:t>
            </w:r>
          </w:p>
        </w:tc>
        <w:tc>
          <w:tcPr>
            <w:tcW w:w="1251"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52"/>
              <w:jc w:val="right"/>
              <w:rPr>
                <w:rFonts w:ascii="Times New Roman" w:hAnsi="Times New Roman" w:cs="Times New Roman" w:eastAsia="Times New Roman" w:hint="default"/>
                <w:sz w:val="16"/>
                <w:szCs w:val="16"/>
              </w:rPr>
            </w:pPr>
            <w:r>
              <w:rPr>
                <w:rFonts w:ascii="Times New Roman"/>
                <w:spacing w:val="-9"/>
                <w:sz w:val="16"/>
              </w:rPr>
              <w:t>2,221,944,325.07</w:t>
            </w:r>
          </w:p>
        </w:tc>
        <w:tc>
          <w:tcPr>
            <w:tcW w:w="1248"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51"/>
              <w:jc w:val="right"/>
              <w:rPr>
                <w:rFonts w:ascii="Times New Roman" w:hAnsi="Times New Roman" w:cs="Times New Roman" w:eastAsia="Times New Roman" w:hint="default"/>
                <w:sz w:val="16"/>
                <w:szCs w:val="16"/>
              </w:rPr>
            </w:pPr>
            <w:r>
              <w:rPr>
                <w:rFonts w:ascii="Times New Roman"/>
                <w:spacing w:val="-9"/>
                <w:sz w:val="16"/>
              </w:rPr>
              <w:t>2,192,146,705.34</w:t>
            </w:r>
          </w:p>
        </w:tc>
        <w:tc>
          <w:tcPr>
            <w:tcW w:w="1127"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51"/>
              <w:jc w:val="right"/>
              <w:rPr>
                <w:rFonts w:ascii="Times New Roman" w:hAnsi="Times New Roman" w:cs="Times New Roman" w:eastAsia="Times New Roman" w:hint="default"/>
                <w:sz w:val="16"/>
                <w:szCs w:val="16"/>
              </w:rPr>
            </w:pPr>
            <w:r>
              <w:rPr>
                <w:rFonts w:ascii="Times New Roman"/>
                <w:spacing w:val="-9"/>
                <w:sz w:val="16"/>
              </w:rPr>
              <w:t>149,472,610.80</w:t>
            </w:r>
          </w:p>
        </w:tc>
        <w:tc>
          <w:tcPr>
            <w:tcW w:w="1244"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46"/>
              <w:jc w:val="right"/>
              <w:rPr>
                <w:rFonts w:ascii="Times New Roman" w:hAnsi="Times New Roman" w:cs="Times New Roman" w:eastAsia="Times New Roman" w:hint="default"/>
                <w:sz w:val="16"/>
                <w:szCs w:val="16"/>
              </w:rPr>
            </w:pPr>
            <w:r>
              <w:rPr>
                <w:rFonts w:ascii="Times New Roman"/>
                <w:spacing w:val="-9"/>
                <w:sz w:val="16"/>
              </w:rPr>
              <w:t>2,042,674,094.54</w:t>
            </w:r>
          </w:p>
        </w:tc>
      </w:tr>
      <w:tr>
        <w:trPr>
          <w:trHeight w:val="284"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224" w:lineRule="exact"/>
              <w:ind w:left="71" w:right="0"/>
              <w:jc w:val="left"/>
              <w:rPr>
                <w:rFonts w:ascii="宋体" w:hAnsi="宋体" w:cs="宋体" w:eastAsia="宋体" w:hint="default"/>
                <w:sz w:val="18"/>
                <w:szCs w:val="18"/>
              </w:rPr>
            </w:pPr>
            <w:r>
              <w:rPr>
                <w:rFonts w:ascii="宋体" w:hAnsi="宋体" w:cs="宋体" w:eastAsia="宋体" w:hint="default"/>
                <w:spacing w:val="-11"/>
                <w:sz w:val="18"/>
                <w:szCs w:val="18"/>
              </w:rPr>
              <w:t>在产品</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3"/>
              <w:jc w:val="right"/>
              <w:rPr>
                <w:rFonts w:ascii="Times New Roman" w:hAnsi="Times New Roman" w:cs="Times New Roman" w:eastAsia="Times New Roman" w:hint="default"/>
                <w:sz w:val="16"/>
                <w:szCs w:val="16"/>
              </w:rPr>
            </w:pPr>
            <w:r>
              <w:rPr>
                <w:rFonts w:ascii="Times New Roman"/>
                <w:spacing w:val="-9"/>
                <w:sz w:val="16"/>
              </w:rPr>
              <w:t>2,193,967,061.81</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2"/>
              <w:jc w:val="right"/>
              <w:rPr>
                <w:rFonts w:ascii="Times New Roman" w:hAnsi="Times New Roman" w:cs="Times New Roman" w:eastAsia="Times New Roman" w:hint="default"/>
                <w:sz w:val="16"/>
                <w:szCs w:val="16"/>
              </w:rPr>
            </w:pPr>
            <w:r>
              <w:rPr>
                <w:rFonts w:ascii="Times New Roman"/>
                <w:spacing w:val="-9"/>
                <w:sz w:val="16"/>
              </w:rPr>
              <w:t>246,450,665.44</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2"/>
              <w:jc w:val="right"/>
              <w:rPr>
                <w:rFonts w:ascii="Times New Roman" w:hAnsi="Times New Roman" w:cs="Times New Roman" w:eastAsia="Times New Roman" w:hint="default"/>
                <w:sz w:val="16"/>
                <w:szCs w:val="16"/>
              </w:rPr>
            </w:pPr>
            <w:r>
              <w:rPr>
                <w:rFonts w:ascii="Times New Roman"/>
                <w:spacing w:val="-9"/>
                <w:sz w:val="16"/>
              </w:rPr>
              <w:t>1,947,516,396.37</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1"/>
              <w:jc w:val="right"/>
              <w:rPr>
                <w:rFonts w:ascii="Times New Roman" w:hAnsi="Times New Roman" w:cs="Times New Roman" w:eastAsia="Times New Roman" w:hint="default"/>
                <w:sz w:val="16"/>
                <w:szCs w:val="16"/>
              </w:rPr>
            </w:pPr>
            <w:r>
              <w:rPr>
                <w:rFonts w:ascii="Times New Roman"/>
                <w:spacing w:val="-9"/>
                <w:sz w:val="16"/>
              </w:rPr>
              <w:t>1,687,951,611.18</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1"/>
              <w:jc w:val="right"/>
              <w:rPr>
                <w:rFonts w:ascii="Times New Roman" w:hAnsi="Times New Roman" w:cs="Times New Roman" w:eastAsia="Times New Roman" w:hint="default"/>
                <w:sz w:val="16"/>
                <w:szCs w:val="16"/>
              </w:rPr>
            </w:pPr>
            <w:r>
              <w:rPr>
                <w:rFonts w:ascii="Times New Roman"/>
                <w:spacing w:val="-9"/>
                <w:sz w:val="16"/>
              </w:rPr>
              <w:t>259,026,837.26</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46"/>
              <w:jc w:val="right"/>
              <w:rPr>
                <w:rFonts w:ascii="Times New Roman" w:hAnsi="Times New Roman" w:cs="Times New Roman" w:eastAsia="Times New Roman" w:hint="default"/>
                <w:sz w:val="16"/>
                <w:szCs w:val="16"/>
              </w:rPr>
            </w:pPr>
            <w:r>
              <w:rPr>
                <w:rFonts w:ascii="Times New Roman"/>
                <w:spacing w:val="-9"/>
                <w:sz w:val="16"/>
              </w:rPr>
              <w:t>1,428,924,773.92</w:t>
            </w:r>
          </w:p>
        </w:tc>
      </w:tr>
      <w:tr>
        <w:trPr>
          <w:trHeight w:val="286"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pacing w:val="-11"/>
                <w:sz w:val="18"/>
                <w:szCs w:val="18"/>
              </w:rPr>
              <w:t>原材料</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3"/>
              <w:jc w:val="right"/>
              <w:rPr>
                <w:rFonts w:ascii="Times New Roman" w:hAnsi="Times New Roman" w:cs="Times New Roman" w:eastAsia="Times New Roman" w:hint="default"/>
                <w:sz w:val="16"/>
                <w:szCs w:val="16"/>
              </w:rPr>
            </w:pPr>
            <w:r>
              <w:rPr>
                <w:rFonts w:ascii="Times New Roman"/>
                <w:spacing w:val="-9"/>
                <w:sz w:val="16"/>
              </w:rPr>
              <w:t>2,177,147,301.40</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2"/>
              <w:jc w:val="right"/>
              <w:rPr>
                <w:rFonts w:ascii="Times New Roman" w:hAnsi="Times New Roman" w:cs="Times New Roman" w:eastAsia="Times New Roman" w:hint="default"/>
                <w:sz w:val="16"/>
                <w:szCs w:val="16"/>
              </w:rPr>
            </w:pPr>
            <w:r>
              <w:rPr>
                <w:rFonts w:ascii="Times New Roman"/>
                <w:spacing w:val="-9"/>
                <w:sz w:val="16"/>
              </w:rPr>
              <w:t>104,463,852.68</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2"/>
              <w:jc w:val="right"/>
              <w:rPr>
                <w:rFonts w:ascii="Times New Roman" w:hAnsi="Times New Roman" w:cs="Times New Roman" w:eastAsia="Times New Roman" w:hint="default"/>
                <w:sz w:val="16"/>
                <w:szCs w:val="16"/>
              </w:rPr>
            </w:pPr>
            <w:r>
              <w:rPr>
                <w:rFonts w:ascii="Times New Roman"/>
                <w:spacing w:val="-9"/>
                <w:sz w:val="16"/>
              </w:rPr>
              <w:t>2,072,683,448.72</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1"/>
              <w:jc w:val="right"/>
              <w:rPr>
                <w:rFonts w:ascii="Times New Roman" w:hAnsi="Times New Roman" w:cs="Times New Roman" w:eastAsia="Times New Roman" w:hint="default"/>
                <w:sz w:val="16"/>
                <w:szCs w:val="16"/>
              </w:rPr>
            </w:pPr>
            <w:r>
              <w:rPr>
                <w:rFonts w:ascii="Times New Roman"/>
                <w:spacing w:val="-9"/>
                <w:sz w:val="16"/>
              </w:rPr>
              <w:t>2,050,175,591.61</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1"/>
              <w:jc w:val="right"/>
              <w:rPr>
                <w:rFonts w:ascii="Times New Roman" w:hAnsi="Times New Roman" w:cs="Times New Roman" w:eastAsia="Times New Roman" w:hint="default"/>
                <w:sz w:val="16"/>
                <w:szCs w:val="16"/>
              </w:rPr>
            </w:pPr>
            <w:r>
              <w:rPr>
                <w:rFonts w:ascii="Times New Roman"/>
                <w:spacing w:val="-9"/>
                <w:sz w:val="16"/>
              </w:rPr>
              <w:t>94,712,193.80</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46"/>
              <w:jc w:val="right"/>
              <w:rPr>
                <w:rFonts w:ascii="Times New Roman" w:hAnsi="Times New Roman" w:cs="Times New Roman" w:eastAsia="Times New Roman" w:hint="default"/>
                <w:sz w:val="16"/>
                <w:szCs w:val="16"/>
              </w:rPr>
            </w:pPr>
            <w:r>
              <w:rPr>
                <w:rFonts w:ascii="Times New Roman"/>
                <w:spacing w:val="-9"/>
                <w:sz w:val="16"/>
              </w:rPr>
              <w:t>1,955,463,397.81</w:t>
            </w:r>
          </w:p>
        </w:tc>
      </w:tr>
      <w:tr>
        <w:trPr>
          <w:trHeight w:val="286"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pacing w:val="-13"/>
                <w:sz w:val="18"/>
                <w:szCs w:val="18"/>
              </w:rPr>
              <w:t>工程施工</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3"/>
              <w:jc w:val="right"/>
              <w:rPr>
                <w:rFonts w:ascii="Times New Roman" w:hAnsi="Times New Roman" w:cs="Times New Roman" w:eastAsia="Times New Roman" w:hint="default"/>
                <w:sz w:val="16"/>
                <w:szCs w:val="16"/>
              </w:rPr>
            </w:pPr>
            <w:r>
              <w:rPr>
                <w:rFonts w:ascii="Times New Roman"/>
                <w:spacing w:val="-9"/>
                <w:sz w:val="16"/>
              </w:rPr>
              <w:t>1,222,211,560.93</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2"/>
              <w:jc w:val="right"/>
              <w:rPr>
                <w:rFonts w:ascii="Times New Roman" w:hAnsi="Times New Roman" w:cs="Times New Roman" w:eastAsia="Times New Roman" w:hint="default"/>
                <w:sz w:val="16"/>
                <w:szCs w:val="16"/>
              </w:rPr>
            </w:pPr>
            <w:r>
              <w:rPr>
                <w:rFonts w:ascii="Times New Roman"/>
                <w:spacing w:val="-9"/>
                <w:sz w:val="16"/>
              </w:rPr>
              <w:t>61,919,628.24</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2"/>
              <w:jc w:val="right"/>
              <w:rPr>
                <w:rFonts w:ascii="Times New Roman" w:hAnsi="Times New Roman" w:cs="Times New Roman" w:eastAsia="Times New Roman" w:hint="default"/>
                <w:sz w:val="16"/>
                <w:szCs w:val="16"/>
              </w:rPr>
            </w:pPr>
            <w:r>
              <w:rPr>
                <w:rFonts w:ascii="Times New Roman"/>
                <w:spacing w:val="-9"/>
                <w:sz w:val="16"/>
              </w:rPr>
              <w:t>1,160,291,932.69</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0"/>
              <w:jc w:val="right"/>
              <w:rPr>
                <w:rFonts w:ascii="Times New Roman" w:hAnsi="Times New Roman" w:cs="Times New Roman" w:eastAsia="Times New Roman" w:hint="default"/>
                <w:sz w:val="16"/>
                <w:szCs w:val="16"/>
              </w:rPr>
            </w:pPr>
            <w:r>
              <w:rPr>
                <w:rFonts w:ascii="Times New Roman"/>
                <w:spacing w:val="-9"/>
                <w:sz w:val="16"/>
              </w:rPr>
              <w:t>971,405,067.92</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1"/>
              <w:jc w:val="right"/>
              <w:rPr>
                <w:rFonts w:ascii="Times New Roman" w:hAnsi="Times New Roman" w:cs="Times New Roman" w:eastAsia="Times New Roman" w:hint="default"/>
                <w:sz w:val="16"/>
                <w:szCs w:val="16"/>
              </w:rPr>
            </w:pPr>
            <w:r>
              <w:rPr>
                <w:rFonts w:ascii="Times New Roman"/>
                <w:spacing w:val="-9"/>
                <w:sz w:val="16"/>
              </w:rPr>
              <w:t>23,586,258.53</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46"/>
              <w:jc w:val="right"/>
              <w:rPr>
                <w:rFonts w:ascii="Times New Roman" w:hAnsi="Times New Roman" w:cs="Times New Roman" w:eastAsia="Times New Roman" w:hint="default"/>
                <w:sz w:val="16"/>
                <w:szCs w:val="16"/>
              </w:rPr>
            </w:pPr>
            <w:r>
              <w:rPr>
                <w:rFonts w:ascii="Times New Roman"/>
                <w:spacing w:val="-9"/>
                <w:sz w:val="16"/>
              </w:rPr>
              <w:t>947,818,809.39</w:t>
            </w:r>
          </w:p>
        </w:tc>
      </w:tr>
      <w:tr>
        <w:trPr>
          <w:trHeight w:val="284"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pacing w:val="-13"/>
                <w:sz w:val="18"/>
                <w:szCs w:val="18"/>
              </w:rPr>
              <w:t>发出商品</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3"/>
              <w:jc w:val="right"/>
              <w:rPr>
                <w:rFonts w:ascii="Times New Roman" w:hAnsi="Times New Roman" w:cs="Times New Roman" w:eastAsia="Times New Roman" w:hint="default"/>
                <w:sz w:val="16"/>
                <w:szCs w:val="16"/>
              </w:rPr>
            </w:pPr>
            <w:r>
              <w:rPr>
                <w:rFonts w:ascii="Times New Roman"/>
                <w:spacing w:val="-9"/>
                <w:sz w:val="16"/>
              </w:rPr>
              <w:t>1,006,262,033.01</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2"/>
              <w:jc w:val="right"/>
              <w:rPr>
                <w:rFonts w:ascii="Times New Roman" w:hAnsi="Times New Roman" w:cs="Times New Roman" w:eastAsia="Times New Roman" w:hint="default"/>
                <w:sz w:val="16"/>
                <w:szCs w:val="16"/>
              </w:rPr>
            </w:pPr>
            <w:r>
              <w:rPr>
                <w:rFonts w:ascii="Times New Roman"/>
                <w:spacing w:val="-9"/>
                <w:sz w:val="16"/>
              </w:rPr>
              <w:t>54,648,024.70</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2"/>
              <w:jc w:val="right"/>
              <w:rPr>
                <w:rFonts w:ascii="Times New Roman" w:hAnsi="Times New Roman" w:cs="Times New Roman" w:eastAsia="Times New Roman" w:hint="default"/>
                <w:sz w:val="16"/>
                <w:szCs w:val="16"/>
              </w:rPr>
            </w:pPr>
            <w:r>
              <w:rPr>
                <w:rFonts w:ascii="Times New Roman"/>
                <w:spacing w:val="-9"/>
                <w:sz w:val="16"/>
              </w:rPr>
              <w:t>951,614,008.31</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1"/>
              <w:jc w:val="right"/>
              <w:rPr>
                <w:rFonts w:ascii="Times New Roman" w:hAnsi="Times New Roman" w:cs="Times New Roman" w:eastAsia="Times New Roman" w:hint="default"/>
                <w:sz w:val="16"/>
                <w:szCs w:val="16"/>
              </w:rPr>
            </w:pPr>
            <w:r>
              <w:rPr>
                <w:rFonts w:ascii="Times New Roman"/>
                <w:spacing w:val="-9"/>
                <w:sz w:val="16"/>
              </w:rPr>
              <w:t>1,073,594,845.29</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1"/>
              <w:jc w:val="right"/>
              <w:rPr>
                <w:rFonts w:ascii="Times New Roman" w:hAnsi="Times New Roman" w:cs="Times New Roman" w:eastAsia="Times New Roman" w:hint="default"/>
                <w:sz w:val="16"/>
                <w:szCs w:val="16"/>
              </w:rPr>
            </w:pPr>
            <w:r>
              <w:rPr>
                <w:rFonts w:ascii="Times New Roman"/>
                <w:spacing w:val="-9"/>
                <w:sz w:val="16"/>
              </w:rPr>
              <w:t>45,720,362.56</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46"/>
              <w:jc w:val="right"/>
              <w:rPr>
                <w:rFonts w:ascii="Times New Roman" w:hAnsi="Times New Roman" w:cs="Times New Roman" w:eastAsia="Times New Roman" w:hint="default"/>
                <w:sz w:val="16"/>
                <w:szCs w:val="16"/>
              </w:rPr>
            </w:pPr>
            <w:r>
              <w:rPr>
                <w:rFonts w:ascii="Times New Roman"/>
                <w:spacing w:val="-9"/>
                <w:sz w:val="16"/>
              </w:rPr>
              <w:t>1,027,874,482.73</w:t>
            </w:r>
          </w:p>
        </w:tc>
      </w:tr>
      <w:tr>
        <w:trPr>
          <w:trHeight w:val="284"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224" w:lineRule="exact"/>
              <w:ind w:left="71" w:right="0"/>
              <w:jc w:val="left"/>
              <w:rPr>
                <w:rFonts w:ascii="宋体" w:hAnsi="宋体" w:cs="宋体" w:eastAsia="宋体" w:hint="default"/>
                <w:sz w:val="18"/>
                <w:szCs w:val="18"/>
              </w:rPr>
            </w:pPr>
            <w:r>
              <w:rPr>
                <w:rFonts w:ascii="宋体" w:hAnsi="宋体" w:cs="宋体" w:eastAsia="宋体" w:hint="default"/>
                <w:spacing w:val="-11"/>
                <w:sz w:val="18"/>
                <w:szCs w:val="18"/>
              </w:rPr>
              <w:t>产成品</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3"/>
              <w:jc w:val="right"/>
              <w:rPr>
                <w:rFonts w:ascii="Times New Roman" w:hAnsi="Times New Roman" w:cs="Times New Roman" w:eastAsia="Times New Roman" w:hint="default"/>
                <w:sz w:val="16"/>
                <w:szCs w:val="16"/>
              </w:rPr>
            </w:pPr>
            <w:r>
              <w:rPr>
                <w:rFonts w:ascii="Times New Roman"/>
                <w:spacing w:val="-9"/>
                <w:sz w:val="16"/>
              </w:rPr>
              <w:t>833,741,836.85</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2"/>
              <w:jc w:val="right"/>
              <w:rPr>
                <w:rFonts w:ascii="Times New Roman" w:hAnsi="Times New Roman" w:cs="Times New Roman" w:eastAsia="Times New Roman" w:hint="default"/>
                <w:sz w:val="16"/>
                <w:szCs w:val="16"/>
              </w:rPr>
            </w:pPr>
            <w:r>
              <w:rPr>
                <w:rFonts w:ascii="Times New Roman"/>
                <w:spacing w:val="-9"/>
                <w:sz w:val="16"/>
              </w:rPr>
              <w:t>202,259,594.46</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2"/>
              <w:jc w:val="right"/>
              <w:rPr>
                <w:rFonts w:ascii="Times New Roman" w:hAnsi="Times New Roman" w:cs="Times New Roman" w:eastAsia="Times New Roman" w:hint="default"/>
                <w:sz w:val="16"/>
                <w:szCs w:val="16"/>
              </w:rPr>
            </w:pPr>
            <w:r>
              <w:rPr>
                <w:rFonts w:ascii="Times New Roman"/>
                <w:spacing w:val="-9"/>
                <w:sz w:val="16"/>
              </w:rPr>
              <w:t>631,482,242.39</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0"/>
              <w:jc w:val="right"/>
              <w:rPr>
                <w:rFonts w:ascii="Times New Roman" w:hAnsi="Times New Roman" w:cs="Times New Roman" w:eastAsia="Times New Roman" w:hint="default"/>
                <w:sz w:val="16"/>
                <w:szCs w:val="16"/>
              </w:rPr>
            </w:pPr>
            <w:r>
              <w:rPr>
                <w:rFonts w:ascii="Times New Roman"/>
                <w:spacing w:val="-9"/>
                <w:sz w:val="16"/>
              </w:rPr>
              <w:t>878,495,472.38</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1"/>
              <w:jc w:val="right"/>
              <w:rPr>
                <w:rFonts w:ascii="Times New Roman" w:hAnsi="Times New Roman" w:cs="Times New Roman" w:eastAsia="Times New Roman" w:hint="default"/>
                <w:sz w:val="16"/>
                <w:szCs w:val="16"/>
              </w:rPr>
            </w:pPr>
            <w:r>
              <w:rPr>
                <w:rFonts w:ascii="Times New Roman"/>
                <w:spacing w:val="-9"/>
                <w:sz w:val="16"/>
              </w:rPr>
              <w:t>195,623,434.76</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46"/>
              <w:jc w:val="right"/>
              <w:rPr>
                <w:rFonts w:ascii="Times New Roman" w:hAnsi="Times New Roman" w:cs="Times New Roman" w:eastAsia="Times New Roman" w:hint="default"/>
                <w:sz w:val="16"/>
                <w:szCs w:val="16"/>
              </w:rPr>
            </w:pPr>
            <w:r>
              <w:rPr>
                <w:rFonts w:ascii="Times New Roman"/>
                <w:spacing w:val="-9"/>
                <w:sz w:val="16"/>
              </w:rPr>
              <w:t>682,872,037.62</w:t>
            </w:r>
          </w:p>
        </w:tc>
      </w:tr>
      <w:tr>
        <w:trPr>
          <w:trHeight w:val="286"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pacing w:val="-14"/>
                <w:sz w:val="18"/>
                <w:szCs w:val="18"/>
              </w:rPr>
              <w:t>委托加工物资</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3"/>
              <w:jc w:val="right"/>
              <w:rPr>
                <w:rFonts w:ascii="Times New Roman" w:hAnsi="Times New Roman" w:cs="Times New Roman" w:eastAsia="Times New Roman" w:hint="default"/>
                <w:sz w:val="16"/>
                <w:szCs w:val="16"/>
              </w:rPr>
            </w:pPr>
            <w:r>
              <w:rPr>
                <w:rFonts w:ascii="Times New Roman"/>
                <w:spacing w:val="-9"/>
                <w:sz w:val="16"/>
              </w:rPr>
              <w:t>107,688,911.99</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2"/>
              <w:jc w:val="right"/>
              <w:rPr>
                <w:rFonts w:ascii="Times New Roman" w:hAnsi="Times New Roman" w:cs="Times New Roman" w:eastAsia="Times New Roman" w:hint="default"/>
                <w:sz w:val="16"/>
                <w:szCs w:val="16"/>
              </w:rPr>
            </w:pPr>
            <w:r>
              <w:rPr>
                <w:rFonts w:ascii="Times New Roman"/>
                <w:spacing w:val="-8"/>
                <w:sz w:val="16"/>
              </w:rPr>
              <w:t>176,888.99</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2"/>
              <w:jc w:val="right"/>
              <w:rPr>
                <w:rFonts w:ascii="Times New Roman" w:hAnsi="Times New Roman" w:cs="Times New Roman" w:eastAsia="Times New Roman" w:hint="default"/>
                <w:sz w:val="16"/>
                <w:szCs w:val="16"/>
              </w:rPr>
            </w:pPr>
            <w:r>
              <w:rPr>
                <w:rFonts w:ascii="Times New Roman"/>
                <w:spacing w:val="-9"/>
                <w:sz w:val="16"/>
              </w:rPr>
              <w:t>107,512,023.00</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0"/>
              <w:jc w:val="right"/>
              <w:rPr>
                <w:rFonts w:ascii="Times New Roman" w:hAnsi="Times New Roman" w:cs="Times New Roman" w:eastAsia="Times New Roman" w:hint="default"/>
                <w:sz w:val="16"/>
                <w:szCs w:val="16"/>
              </w:rPr>
            </w:pPr>
            <w:r>
              <w:rPr>
                <w:rFonts w:ascii="Times New Roman"/>
                <w:spacing w:val="-9"/>
                <w:sz w:val="16"/>
              </w:rPr>
              <w:t>79,566,992.56</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1"/>
              <w:jc w:val="right"/>
              <w:rPr>
                <w:rFonts w:ascii="Times New Roman" w:hAnsi="Times New Roman" w:cs="Times New Roman" w:eastAsia="Times New Roman" w:hint="default"/>
                <w:sz w:val="16"/>
                <w:szCs w:val="16"/>
              </w:rPr>
            </w:pPr>
            <w:r>
              <w:rPr>
                <w:rFonts w:ascii="Times New Roman"/>
                <w:spacing w:val="-8"/>
                <w:sz w:val="16"/>
              </w:rPr>
              <w:t>57.66</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46"/>
              <w:jc w:val="right"/>
              <w:rPr>
                <w:rFonts w:ascii="Times New Roman" w:hAnsi="Times New Roman" w:cs="Times New Roman" w:eastAsia="Times New Roman" w:hint="default"/>
                <w:sz w:val="16"/>
                <w:szCs w:val="16"/>
              </w:rPr>
            </w:pPr>
            <w:r>
              <w:rPr>
                <w:rFonts w:ascii="Times New Roman"/>
                <w:spacing w:val="-9"/>
                <w:sz w:val="16"/>
              </w:rPr>
              <w:t>79,566,934.90</w:t>
            </w:r>
          </w:p>
        </w:tc>
      </w:tr>
      <w:tr>
        <w:trPr>
          <w:trHeight w:val="286"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pacing w:val="-13"/>
                <w:sz w:val="18"/>
                <w:szCs w:val="18"/>
              </w:rPr>
              <w:t>在途物资</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3"/>
              <w:jc w:val="right"/>
              <w:rPr>
                <w:rFonts w:ascii="Times New Roman" w:hAnsi="Times New Roman" w:cs="Times New Roman" w:eastAsia="Times New Roman" w:hint="default"/>
                <w:sz w:val="16"/>
                <w:szCs w:val="16"/>
              </w:rPr>
            </w:pPr>
            <w:r>
              <w:rPr>
                <w:rFonts w:ascii="Times New Roman"/>
                <w:spacing w:val="-9"/>
                <w:sz w:val="16"/>
              </w:rPr>
              <w:t>73,747,967.39</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2"/>
              <w:jc w:val="right"/>
              <w:rPr>
                <w:rFonts w:ascii="Times New Roman" w:hAnsi="Times New Roman" w:cs="Times New Roman" w:eastAsia="Times New Roman" w:hint="default"/>
                <w:sz w:val="16"/>
                <w:szCs w:val="16"/>
              </w:rPr>
            </w:pPr>
            <w:r>
              <w:rPr>
                <w:rFonts w:ascii="Times New Roman"/>
                <w:spacing w:val="-7"/>
                <w:sz w:val="16"/>
              </w:rPr>
              <w:t>0.00</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2"/>
              <w:jc w:val="right"/>
              <w:rPr>
                <w:rFonts w:ascii="Times New Roman" w:hAnsi="Times New Roman" w:cs="Times New Roman" w:eastAsia="Times New Roman" w:hint="default"/>
                <w:sz w:val="16"/>
                <w:szCs w:val="16"/>
              </w:rPr>
            </w:pPr>
            <w:r>
              <w:rPr>
                <w:rFonts w:ascii="Times New Roman"/>
                <w:spacing w:val="-9"/>
                <w:sz w:val="16"/>
              </w:rPr>
              <w:t>73,747,967.39</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0"/>
              <w:jc w:val="right"/>
              <w:rPr>
                <w:rFonts w:ascii="Times New Roman" w:hAnsi="Times New Roman" w:cs="Times New Roman" w:eastAsia="Times New Roman" w:hint="default"/>
                <w:sz w:val="16"/>
                <w:szCs w:val="16"/>
              </w:rPr>
            </w:pPr>
            <w:r>
              <w:rPr>
                <w:rFonts w:ascii="Times New Roman"/>
                <w:spacing w:val="-9"/>
                <w:sz w:val="16"/>
              </w:rPr>
              <w:t>94,828,357.31</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1"/>
              <w:jc w:val="right"/>
              <w:rPr>
                <w:rFonts w:ascii="Times New Roman" w:hAnsi="Times New Roman" w:cs="Times New Roman" w:eastAsia="Times New Roman" w:hint="default"/>
                <w:sz w:val="16"/>
                <w:szCs w:val="16"/>
              </w:rPr>
            </w:pPr>
            <w:r>
              <w:rPr>
                <w:rFonts w:ascii="Times New Roman"/>
                <w:spacing w:val="-7"/>
                <w:sz w:val="16"/>
              </w:rPr>
              <w:t>0.00</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46"/>
              <w:jc w:val="right"/>
              <w:rPr>
                <w:rFonts w:ascii="Times New Roman" w:hAnsi="Times New Roman" w:cs="Times New Roman" w:eastAsia="Times New Roman" w:hint="default"/>
                <w:sz w:val="16"/>
                <w:szCs w:val="16"/>
              </w:rPr>
            </w:pPr>
            <w:r>
              <w:rPr>
                <w:rFonts w:ascii="Times New Roman"/>
                <w:spacing w:val="-9"/>
                <w:sz w:val="16"/>
              </w:rPr>
              <w:t>94,828,357.31</w:t>
            </w:r>
          </w:p>
        </w:tc>
      </w:tr>
      <w:tr>
        <w:trPr>
          <w:trHeight w:val="285"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pacing w:val="-13"/>
                <w:sz w:val="18"/>
                <w:szCs w:val="18"/>
              </w:rPr>
              <w:t>低值易耗品</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3"/>
              <w:jc w:val="right"/>
              <w:rPr>
                <w:rFonts w:ascii="Times New Roman" w:hAnsi="Times New Roman" w:cs="Times New Roman" w:eastAsia="Times New Roman" w:hint="default"/>
                <w:sz w:val="16"/>
                <w:szCs w:val="16"/>
              </w:rPr>
            </w:pPr>
            <w:r>
              <w:rPr>
                <w:rFonts w:ascii="Times New Roman"/>
                <w:spacing w:val="-8"/>
                <w:sz w:val="16"/>
              </w:rPr>
              <w:t>1,581,983.27</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2"/>
              <w:jc w:val="right"/>
              <w:rPr>
                <w:rFonts w:ascii="Times New Roman" w:hAnsi="Times New Roman" w:cs="Times New Roman" w:eastAsia="Times New Roman" w:hint="default"/>
                <w:sz w:val="16"/>
                <w:szCs w:val="16"/>
              </w:rPr>
            </w:pPr>
            <w:r>
              <w:rPr>
                <w:rFonts w:ascii="Times New Roman"/>
                <w:spacing w:val="-8"/>
                <w:sz w:val="16"/>
              </w:rPr>
              <w:t>219,562.49</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2"/>
              <w:jc w:val="right"/>
              <w:rPr>
                <w:rFonts w:ascii="Times New Roman" w:hAnsi="Times New Roman" w:cs="Times New Roman" w:eastAsia="Times New Roman" w:hint="default"/>
                <w:sz w:val="16"/>
                <w:szCs w:val="16"/>
              </w:rPr>
            </w:pPr>
            <w:r>
              <w:rPr>
                <w:rFonts w:ascii="Times New Roman"/>
                <w:spacing w:val="-8"/>
                <w:sz w:val="16"/>
              </w:rPr>
              <w:t>1,362,420.78</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0"/>
              <w:jc w:val="right"/>
              <w:rPr>
                <w:rFonts w:ascii="Times New Roman" w:hAnsi="Times New Roman" w:cs="Times New Roman" w:eastAsia="Times New Roman" w:hint="default"/>
                <w:sz w:val="16"/>
                <w:szCs w:val="16"/>
              </w:rPr>
            </w:pPr>
            <w:r>
              <w:rPr>
                <w:rFonts w:ascii="Times New Roman"/>
                <w:spacing w:val="-8"/>
                <w:sz w:val="16"/>
              </w:rPr>
              <w:t>1,745,889.22</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1"/>
              <w:jc w:val="right"/>
              <w:rPr>
                <w:rFonts w:ascii="Times New Roman" w:hAnsi="Times New Roman" w:cs="Times New Roman" w:eastAsia="Times New Roman" w:hint="default"/>
                <w:sz w:val="16"/>
                <w:szCs w:val="16"/>
              </w:rPr>
            </w:pPr>
            <w:r>
              <w:rPr>
                <w:rFonts w:ascii="Times New Roman"/>
                <w:spacing w:val="-7"/>
                <w:sz w:val="16"/>
              </w:rPr>
              <w:t>0.00</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46"/>
              <w:jc w:val="right"/>
              <w:rPr>
                <w:rFonts w:ascii="Times New Roman" w:hAnsi="Times New Roman" w:cs="Times New Roman" w:eastAsia="Times New Roman" w:hint="default"/>
                <w:sz w:val="16"/>
                <w:szCs w:val="16"/>
              </w:rPr>
            </w:pPr>
            <w:r>
              <w:rPr>
                <w:rFonts w:ascii="Times New Roman"/>
                <w:spacing w:val="-8"/>
                <w:sz w:val="16"/>
              </w:rPr>
              <w:t>1,745,889.22</w:t>
            </w:r>
          </w:p>
        </w:tc>
      </w:tr>
      <w:tr>
        <w:trPr>
          <w:trHeight w:val="285"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224" w:lineRule="exact"/>
              <w:ind w:left="71" w:right="0"/>
              <w:jc w:val="left"/>
              <w:rPr>
                <w:rFonts w:ascii="宋体" w:hAnsi="宋体" w:cs="宋体" w:eastAsia="宋体" w:hint="default"/>
                <w:sz w:val="18"/>
                <w:szCs w:val="18"/>
              </w:rPr>
            </w:pPr>
            <w:r>
              <w:rPr>
                <w:rFonts w:ascii="宋体" w:hAnsi="宋体" w:cs="宋体" w:eastAsia="宋体" w:hint="default"/>
                <w:spacing w:val="-11"/>
                <w:sz w:val="18"/>
                <w:szCs w:val="18"/>
              </w:rPr>
              <w:t>包装物</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3"/>
              <w:jc w:val="right"/>
              <w:rPr>
                <w:rFonts w:ascii="Times New Roman" w:hAnsi="Times New Roman" w:cs="Times New Roman" w:eastAsia="Times New Roman" w:hint="default"/>
                <w:sz w:val="16"/>
                <w:szCs w:val="16"/>
              </w:rPr>
            </w:pPr>
            <w:r>
              <w:rPr>
                <w:rFonts w:ascii="Times New Roman"/>
                <w:spacing w:val="-8"/>
                <w:sz w:val="16"/>
              </w:rPr>
              <w:t>224,174.15</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2"/>
              <w:jc w:val="right"/>
              <w:rPr>
                <w:rFonts w:ascii="Times New Roman" w:hAnsi="Times New Roman" w:cs="Times New Roman" w:eastAsia="Times New Roman" w:hint="default"/>
                <w:sz w:val="16"/>
                <w:szCs w:val="16"/>
              </w:rPr>
            </w:pPr>
            <w:r>
              <w:rPr>
                <w:rFonts w:ascii="Times New Roman"/>
                <w:spacing w:val="-8"/>
                <w:sz w:val="16"/>
              </w:rPr>
              <w:t>4,071.44</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2"/>
              <w:jc w:val="right"/>
              <w:rPr>
                <w:rFonts w:ascii="Times New Roman" w:hAnsi="Times New Roman" w:cs="Times New Roman" w:eastAsia="Times New Roman" w:hint="default"/>
                <w:sz w:val="16"/>
                <w:szCs w:val="16"/>
              </w:rPr>
            </w:pPr>
            <w:r>
              <w:rPr>
                <w:rFonts w:ascii="Times New Roman"/>
                <w:spacing w:val="-8"/>
                <w:sz w:val="16"/>
              </w:rPr>
              <w:t>220,102.71</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0"/>
              <w:jc w:val="right"/>
              <w:rPr>
                <w:rFonts w:ascii="Times New Roman" w:hAnsi="Times New Roman" w:cs="Times New Roman" w:eastAsia="Times New Roman" w:hint="default"/>
                <w:sz w:val="16"/>
                <w:szCs w:val="16"/>
              </w:rPr>
            </w:pPr>
            <w:r>
              <w:rPr>
                <w:rFonts w:ascii="Times New Roman"/>
                <w:spacing w:val="-8"/>
                <w:sz w:val="16"/>
              </w:rPr>
              <w:t>225,680.51</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1"/>
              <w:jc w:val="right"/>
              <w:rPr>
                <w:rFonts w:ascii="Times New Roman" w:hAnsi="Times New Roman" w:cs="Times New Roman" w:eastAsia="Times New Roman" w:hint="default"/>
                <w:sz w:val="16"/>
                <w:szCs w:val="16"/>
              </w:rPr>
            </w:pPr>
            <w:r>
              <w:rPr>
                <w:rFonts w:ascii="Times New Roman"/>
                <w:spacing w:val="-7"/>
                <w:sz w:val="16"/>
              </w:rPr>
              <w:t>0.00</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46"/>
              <w:jc w:val="right"/>
              <w:rPr>
                <w:rFonts w:ascii="Times New Roman" w:hAnsi="Times New Roman" w:cs="Times New Roman" w:eastAsia="Times New Roman" w:hint="default"/>
                <w:sz w:val="16"/>
                <w:szCs w:val="16"/>
              </w:rPr>
            </w:pPr>
            <w:r>
              <w:rPr>
                <w:rFonts w:ascii="Times New Roman"/>
                <w:spacing w:val="-8"/>
                <w:sz w:val="16"/>
              </w:rPr>
              <w:t>225,680.51</w:t>
            </w:r>
          </w:p>
        </w:tc>
      </w:tr>
      <w:tr>
        <w:trPr>
          <w:trHeight w:val="257" w:hRule="exact"/>
        </w:trPr>
        <w:tc>
          <w:tcPr>
            <w:tcW w:w="1267" w:type="dxa"/>
            <w:tcBorders>
              <w:top w:val="nil" w:sz="6" w:space="0" w:color="auto"/>
              <w:left w:val="nil" w:sz="6" w:space="0" w:color="auto"/>
              <w:bottom w:val="single" w:sz="4" w:space="0" w:color="000000"/>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pacing w:val="-14"/>
                <w:sz w:val="18"/>
                <w:szCs w:val="18"/>
              </w:rPr>
              <w:t>委托代销商品</w:t>
            </w:r>
          </w:p>
        </w:tc>
        <w:tc>
          <w:tcPr>
            <w:tcW w:w="1374"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93"/>
              <w:jc w:val="right"/>
              <w:rPr>
                <w:rFonts w:ascii="Times New Roman" w:hAnsi="Times New Roman" w:cs="Times New Roman" w:eastAsia="Times New Roman" w:hint="default"/>
                <w:sz w:val="16"/>
                <w:szCs w:val="16"/>
              </w:rPr>
            </w:pPr>
            <w:r>
              <w:rPr>
                <w:rFonts w:ascii="Times New Roman"/>
                <w:spacing w:val="-8"/>
                <w:sz w:val="16"/>
              </w:rPr>
              <w:t>167,203.56</w:t>
            </w:r>
          </w:p>
        </w:tc>
        <w:tc>
          <w:tcPr>
            <w:tcW w:w="1171"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52"/>
              <w:jc w:val="right"/>
              <w:rPr>
                <w:rFonts w:ascii="Times New Roman" w:hAnsi="Times New Roman" w:cs="Times New Roman" w:eastAsia="Times New Roman" w:hint="default"/>
                <w:sz w:val="16"/>
                <w:szCs w:val="16"/>
              </w:rPr>
            </w:pPr>
            <w:r>
              <w:rPr>
                <w:rFonts w:ascii="Times New Roman"/>
                <w:spacing w:val="-8"/>
                <w:sz w:val="16"/>
              </w:rPr>
              <w:t>167,203.56</w:t>
            </w:r>
          </w:p>
        </w:tc>
        <w:tc>
          <w:tcPr>
            <w:tcW w:w="1251"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52"/>
              <w:jc w:val="right"/>
              <w:rPr>
                <w:rFonts w:ascii="Times New Roman" w:hAnsi="Times New Roman" w:cs="Times New Roman" w:eastAsia="Times New Roman" w:hint="default"/>
                <w:sz w:val="16"/>
                <w:szCs w:val="16"/>
              </w:rPr>
            </w:pPr>
            <w:r>
              <w:rPr>
                <w:rFonts w:ascii="Times New Roman"/>
                <w:spacing w:val="-7"/>
                <w:sz w:val="16"/>
              </w:rPr>
              <w:t>0.00</w:t>
            </w:r>
          </w:p>
        </w:tc>
        <w:tc>
          <w:tcPr>
            <w:tcW w:w="1248"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50"/>
              <w:jc w:val="right"/>
              <w:rPr>
                <w:rFonts w:ascii="Times New Roman" w:hAnsi="Times New Roman" w:cs="Times New Roman" w:eastAsia="Times New Roman" w:hint="default"/>
                <w:sz w:val="16"/>
                <w:szCs w:val="16"/>
              </w:rPr>
            </w:pPr>
            <w:r>
              <w:rPr>
                <w:rFonts w:ascii="Times New Roman"/>
                <w:spacing w:val="-8"/>
                <w:sz w:val="16"/>
              </w:rPr>
              <w:t>345,203.30</w:t>
            </w:r>
          </w:p>
        </w:tc>
        <w:tc>
          <w:tcPr>
            <w:tcW w:w="1127"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51"/>
              <w:jc w:val="right"/>
              <w:rPr>
                <w:rFonts w:ascii="Times New Roman" w:hAnsi="Times New Roman" w:cs="Times New Roman" w:eastAsia="Times New Roman" w:hint="default"/>
                <w:sz w:val="16"/>
                <w:szCs w:val="16"/>
              </w:rPr>
            </w:pPr>
            <w:r>
              <w:rPr>
                <w:rFonts w:ascii="Times New Roman"/>
                <w:spacing w:val="-8"/>
                <w:sz w:val="16"/>
              </w:rPr>
              <w:t>345,203.30</w:t>
            </w:r>
          </w:p>
        </w:tc>
        <w:tc>
          <w:tcPr>
            <w:tcW w:w="1244"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47"/>
              <w:jc w:val="right"/>
              <w:rPr>
                <w:rFonts w:ascii="Times New Roman" w:hAnsi="Times New Roman" w:cs="Times New Roman" w:eastAsia="Times New Roman" w:hint="default"/>
                <w:sz w:val="16"/>
                <w:szCs w:val="16"/>
              </w:rPr>
            </w:pPr>
            <w:r>
              <w:rPr>
                <w:rFonts w:ascii="Times New Roman"/>
                <w:spacing w:val="-7"/>
                <w:sz w:val="16"/>
              </w:rPr>
              <w:t>0.00</w:t>
            </w:r>
          </w:p>
        </w:tc>
      </w:tr>
      <w:tr>
        <w:trPr>
          <w:trHeight w:val="305" w:hRule="exact"/>
        </w:trPr>
        <w:tc>
          <w:tcPr>
            <w:tcW w:w="1267"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71" w:right="0"/>
              <w:jc w:val="left"/>
              <w:rPr>
                <w:rFonts w:ascii="宋体" w:hAnsi="宋体" w:cs="宋体" w:eastAsia="宋体" w:hint="default"/>
                <w:sz w:val="18"/>
                <w:szCs w:val="18"/>
              </w:rPr>
            </w:pPr>
            <w:r>
              <w:rPr>
                <w:rFonts w:ascii="宋体" w:hAnsi="宋体" w:cs="宋体" w:eastAsia="宋体" w:hint="default"/>
                <w:b/>
                <w:bCs/>
                <w:spacing w:val="-16"/>
                <w:sz w:val="18"/>
                <w:szCs w:val="18"/>
              </w:rPr>
              <w:t>合计</w:t>
            </w:r>
            <w:r>
              <w:rPr>
                <w:rFonts w:ascii="宋体" w:hAnsi="宋体" w:cs="宋体" w:eastAsia="宋体" w:hint="default"/>
                <w:sz w:val="18"/>
                <w:szCs w:val="18"/>
              </w:rPr>
            </w:r>
          </w:p>
        </w:tc>
        <w:tc>
          <w:tcPr>
            <w:tcW w:w="1374"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94"/>
              <w:jc w:val="right"/>
              <w:rPr>
                <w:rFonts w:ascii="Times New Roman" w:hAnsi="Times New Roman" w:cs="Times New Roman" w:eastAsia="Times New Roman" w:hint="default"/>
                <w:sz w:val="18"/>
                <w:szCs w:val="18"/>
              </w:rPr>
            </w:pPr>
            <w:r>
              <w:rPr>
                <w:rFonts w:ascii="Times New Roman"/>
                <w:b/>
                <w:spacing w:val="-8"/>
                <w:sz w:val="18"/>
              </w:rPr>
              <w:t>10,001,787,744.88</w:t>
            </w:r>
            <w:r>
              <w:rPr>
                <w:rFonts w:ascii="Times New Roman"/>
                <w:spacing w:val="-8"/>
                <w:sz w:val="18"/>
              </w:rPr>
            </w:r>
          </w:p>
        </w:tc>
        <w:tc>
          <w:tcPr>
            <w:tcW w:w="1171"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53"/>
              <w:jc w:val="right"/>
              <w:rPr>
                <w:rFonts w:ascii="Times New Roman" w:hAnsi="Times New Roman" w:cs="Times New Roman" w:eastAsia="Times New Roman" w:hint="default"/>
                <w:sz w:val="18"/>
                <w:szCs w:val="18"/>
              </w:rPr>
            </w:pPr>
            <w:r>
              <w:rPr>
                <w:rFonts w:ascii="Times New Roman"/>
                <w:b/>
                <w:spacing w:val="-8"/>
                <w:sz w:val="18"/>
              </w:rPr>
              <w:t>833,412,877.45</w:t>
            </w:r>
            <w:r>
              <w:rPr>
                <w:rFonts w:ascii="Times New Roman"/>
                <w:spacing w:val="-8"/>
                <w:sz w:val="18"/>
              </w:rPr>
            </w:r>
          </w:p>
        </w:tc>
        <w:tc>
          <w:tcPr>
            <w:tcW w:w="1251"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53"/>
              <w:jc w:val="right"/>
              <w:rPr>
                <w:rFonts w:ascii="Times New Roman" w:hAnsi="Times New Roman" w:cs="Times New Roman" w:eastAsia="Times New Roman" w:hint="default"/>
                <w:sz w:val="18"/>
                <w:szCs w:val="18"/>
              </w:rPr>
            </w:pPr>
            <w:r>
              <w:rPr>
                <w:rFonts w:ascii="Times New Roman"/>
                <w:b/>
                <w:spacing w:val="-8"/>
                <w:sz w:val="18"/>
              </w:rPr>
              <w:t>9,168,374,867.43</w:t>
            </w:r>
            <w:r>
              <w:rPr>
                <w:rFonts w:ascii="Times New Roman"/>
                <w:spacing w:val="-8"/>
                <w:sz w:val="18"/>
              </w:rPr>
            </w:r>
          </w:p>
        </w:tc>
        <w:tc>
          <w:tcPr>
            <w:tcW w:w="1248"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50"/>
              <w:jc w:val="right"/>
              <w:rPr>
                <w:rFonts w:ascii="Times New Roman" w:hAnsi="Times New Roman" w:cs="Times New Roman" w:eastAsia="Times New Roman" w:hint="default"/>
                <w:sz w:val="18"/>
                <w:szCs w:val="18"/>
              </w:rPr>
            </w:pPr>
            <w:r>
              <w:rPr>
                <w:rFonts w:ascii="Times New Roman"/>
                <w:b/>
                <w:spacing w:val="-8"/>
                <w:sz w:val="18"/>
              </w:rPr>
              <w:t>9,030,481,416.62</w:t>
            </w:r>
            <w:r>
              <w:rPr>
                <w:rFonts w:ascii="Times New Roman"/>
                <w:spacing w:val="-8"/>
                <w:sz w:val="18"/>
              </w:rPr>
            </w:r>
          </w:p>
        </w:tc>
        <w:tc>
          <w:tcPr>
            <w:tcW w:w="1127"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52"/>
              <w:jc w:val="right"/>
              <w:rPr>
                <w:rFonts w:ascii="Times New Roman" w:hAnsi="Times New Roman" w:cs="Times New Roman" w:eastAsia="Times New Roman" w:hint="default"/>
                <w:sz w:val="18"/>
                <w:szCs w:val="18"/>
              </w:rPr>
            </w:pPr>
            <w:r>
              <w:rPr>
                <w:rFonts w:ascii="Times New Roman"/>
                <w:b/>
                <w:spacing w:val="-8"/>
                <w:sz w:val="18"/>
              </w:rPr>
              <w:t>768,486,958.67</w:t>
            </w:r>
            <w:r>
              <w:rPr>
                <w:rFonts w:ascii="Times New Roman"/>
                <w:spacing w:val="-8"/>
                <w:sz w:val="18"/>
              </w:rPr>
            </w:r>
          </w:p>
        </w:tc>
        <w:tc>
          <w:tcPr>
            <w:tcW w:w="1244"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47"/>
              <w:jc w:val="right"/>
              <w:rPr>
                <w:rFonts w:ascii="Times New Roman" w:hAnsi="Times New Roman" w:cs="Times New Roman" w:eastAsia="Times New Roman" w:hint="default"/>
                <w:sz w:val="18"/>
                <w:szCs w:val="18"/>
              </w:rPr>
            </w:pPr>
            <w:r>
              <w:rPr>
                <w:rFonts w:ascii="Times New Roman"/>
                <w:b/>
                <w:spacing w:val="-8"/>
                <w:sz w:val="18"/>
              </w:rPr>
              <w:t>8,261,994,457.95</w:t>
            </w:r>
            <w:r>
              <w:rPr>
                <w:rFonts w:ascii="Times New Roman"/>
                <w:spacing w:val="-8"/>
                <w:sz w:val="18"/>
              </w:rPr>
            </w:r>
          </w:p>
        </w:tc>
      </w:tr>
    </w:tbl>
    <w:p>
      <w:pPr>
        <w:spacing w:before="81"/>
        <w:ind w:left="655" w:right="0" w:firstLine="0"/>
        <w:jc w:val="left"/>
        <w:rPr>
          <w:rFonts w:ascii="宋体" w:hAnsi="宋体" w:cs="宋体" w:eastAsia="宋体" w:hint="default"/>
          <w:sz w:val="22"/>
          <w:szCs w:val="22"/>
        </w:rPr>
      </w:pPr>
      <w:r>
        <w:rPr/>
        <w:pict>
          <v:group style="position:absolute;margin-left:211.730011pt;margin-top:42.577667pt;width:242.35pt;height:.5pt;mso-position-horizontal-relative:page;mso-position-vertical-relative:paragraph;z-index:-1197400" coordorigin="4235,852" coordsize="4847,10">
            <v:group style="position:absolute;left:4239;top:856;width:1150;height:2" coordorigin="4239,856" coordsize="1150,2">
              <v:shape style="position:absolute;left:4239;top:856;width:1150;height:2" coordorigin="4239,856" coordsize="1150,0" path="m4239,856l5389,856e" filled="false" stroked="true" strokeweight=".47998pt" strokecolor="#000000">
                <v:path arrowok="t"/>
              </v:shape>
            </v:group>
            <v:group style="position:absolute;left:5389;top:856;width:10;height:2" coordorigin="5389,856" coordsize="10,2">
              <v:shape style="position:absolute;left:5389;top:856;width:10;height:2" coordorigin="5389,856" coordsize="10,0" path="m5389,856l5399,856e" filled="false" stroked="true" strokeweight=".47998pt" strokecolor="#000000">
                <v:path arrowok="t"/>
              </v:shape>
            </v:group>
            <v:group style="position:absolute;left:5399;top:856;width:1268;height:2" coordorigin="5399,856" coordsize="1268,2">
              <v:shape style="position:absolute;left:5399;top:856;width:1268;height:2" coordorigin="5399,856" coordsize="1268,0" path="m5399,856l6666,856e" filled="false" stroked="true" strokeweight=".47998pt" strokecolor="#000000">
                <v:path arrowok="t"/>
              </v:shape>
            </v:group>
            <v:group style="position:absolute;left:6666;top:856;width:10;height:2" coordorigin="6666,856" coordsize="10,2">
              <v:shape style="position:absolute;left:6666;top:856;width:10;height:2" coordorigin="6666,856" coordsize="10,0" path="m6666,856l6676,856e" filled="false" stroked="true" strokeweight=".47998pt" strokecolor="#000000">
                <v:path arrowok="t"/>
              </v:shape>
            </v:group>
            <v:group style="position:absolute;left:6676;top:856;width:1251;height:2" coordorigin="6676,856" coordsize="1251,2">
              <v:shape style="position:absolute;left:6676;top:856;width:1251;height:2" coordorigin="6676,856" coordsize="1251,0" path="m6676,856l7926,856e" filled="false" stroked="true" strokeweight=".47998pt" strokecolor="#000000">
                <v:path arrowok="t"/>
              </v:shape>
            </v:group>
            <v:group style="position:absolute;left:7926;top:856;width:10;height:2" coordorigin="7926,856" coordsize="10,2">
              <v:shape style="position:absolute;left:7926;top:856;width:10;height:2" coordorigin="7926,856" coordsize="10,0" path="m7926,856l7936,856e" filled="false" stroked="true" strokeweight=".47998pt" strokecolor="#000000">
                <v:path arrowok="t"/>
              </v:shape>
            </v:group>
            <v:group style="position:absolute;left:7936;top:856;width:1141;height:2" coordorigin="7936,856" coordsize="1141,2">
              <v:shape style="position:absolute;left:7936;top:856;width:1141;height:2" coordorigin="7936,856" coordsize="1141,0" path="m7936,856l9076,856e" filled="false" stroked="true" strokeweight=".47998pt" strokecolor="#000000">
                <v:path arrowok="t"/>
              </v:shape>
            </v:group>
            <w10:wrap type="none"/>
          </v:group>
        </w:pict>
      </w: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存货跌价准备</w:t>
      </w:r>
    </w:p>
    <w:p>
      <w:pPr>
        <w:spacing w:line="240" w:lineRule="auto" w:before="8"/>
        <w:rPr>
          <w:rFonts w:ascii="宋体" w:hAnsi="宋体" w:cs="宋体" w:eastAsia="宋体" w:hint="default"/>
          <w:sz w:val="11"/>
          <w:szCs w:val="11"/>
        </w:rPr>
      </w:pPr>
    </w:p>
    <w:tbl>
      <w:tblPr>
        <w:tblW w:w="0" w:type="auto"/>
        <w:jc w:val="left"/>
        <w:tblInd w:w="130" w:type="dxa"/>
        <w:tblLayout w:type="fixed"/>
        <w:tblCellMar>
          <w:top w:w="0" w:type="dxa"/>
          <w:left w:w="0" w:type="dxa"/>
          <w:bottom w:w="0" w:type="dxa"/>
          <w:right w:w="0" w:type="dxa"/>
        </w:tblCellMar>
        <w:tblLook w:val="01E0"/>
      </w:tblPr>
      <w:tblGrid>
        <w:gridCol w:w="1352"/>
        <w:gridCol w:w="1275"/>
        <w:gridCol w:w="1533"/>
        <w:gridCol w:w="990"/>
        <w:gridCol w:w="1164"/>
        <w:gridCol w:w="1211"/>
        <w:gridCol w:w="1195"/>
      </w:tblGrid>
      <w:tr>
        <w:trPr>
          <w:trHeight w:val="249" w:hRule="exact"/>
        </w:trPr>
        <w:tc>
          <w:tcPr>
            <w:tcW w:w="1352" w:type="dxa"/>
            <w:tcBorders>
              <w:top w:val="single" w:sz="12" w:space="0" w:color="000000"/>
              <w:left w:val="nil" w:sz="6" w:space="0" w:color="auto"/>
              <w:bottom w:val="nil" w:sz="6" w:space="0" w:color="auto"/>
              <w:right w:val="nil" w:sz="6" w:space="0" w:color="auto"/>
            </w:tcBorders>
          </w:tcPr>
          <w:p>
            <w:pPr/>
          </w:p>
        </w:tc>
        <w:tc>
          <w:tcPr>
            <w:tcW w:w="1275" w:type="dxa"/>
            <w:tcBorders>
              <w:top w:val="single" w:sz="12" w:space="0" w:color="000000"/>
              <w:left w:val="nil" w:sz="6" w:space="0" w:color="auto"/>
              <w:bottom w:val="nil" w:sz="6" w:space="0" w:color="auto"/>
              <w:right w:val="nil" w:sz="6" w:space="0" w:color="auto"/>
            </w:tcBorders>
          </w:tcPr>
          <w:p>
            <w:pPr/>
          </w:p>
        </w:tc>
        <w:tc>
          <w:tcPr>
            <w:tcW w:w="1533" w:type="dxa"/>
            <w:tcBorders>
              <w:top w:val="single" w:sz="12" w:space="0" w:color="000000"/>
              <w:left w:val="nil" w:sz="6" w:space="0" w:color="auto"/>
              <w:bottom w:val="nil" w:sz="6" w:space="0" w:color="auto"/>
              <w:right w:val="nil" w:sz="6" w:space="0" w:color="auto"/>
            </w:tcBorders>
          </w:tcPr>
          <w:p>
            <w:pPr>
              <w:pStyle w:val="TableParagraph"/>
              <w:spacing w:line="240" w:lineRule="auto" w:before="22"/>
              <w:ind w:left="833" w:right="-23"/>
              <w:jc w:val="left"/>
              <w:rPr>
                <w:rFonts w:ascii="宋体" w:hAnsi="宋体" w:cs="宋体" w:eastAsia="宋体" w:hint="default"/>
                <w:sz w:val="18"/>
                <w:szCs w:val="18"/>
              </w:rPr>
            </w:pPr>
            <w:r>
              <w:rPr>
                <w:rFonts w:ascii="宋体" w:hAnsi="宋体" w:cs="宋体" w:eastAsia="宋体" w:hint="default"/>
                <w:b/>
                <w:bCs/>
                <w:w w:val="95"/>
                <w:sz w:val="18"/>
                <w:szCs w:val="18"/>
              </w:rPr>
              <w:t>本年增加</w:t>
            </w:r>
            <w:r>
              <w:rPr>
                <w:rFonts w:ascii="宋体" w:hAnsi="宋体" w:cs="宋体" w:eastAsia="宋体" w:hint="default"/>
                <w:sz w:val="18"/>
                <w:szCs w:val="18"/>
              </w:rPr>
            </w:r>
          </w:p>
        </w:tc>
        <w:tc>
          <w:tcPr>
            <w:tcW w:w="990" w:type="dxa"/>
            <w:tcBorders>
              <w:top w:val="single" w:sz="12" w:space="0" w:color="000000"/>
              <w:left w:val="nil" w:sz="6" w:space="0" w:color="auto"/>
              <w:bottom w:val="nil" w:sz="6" w:space="0" w:color="auto"/>
              <w:right w:val="nil" w:sz="6" w:space="0" w:color="auto"/>
            </w:tcBorders>
          </w:tcPr>
          <w:p>
            <w:pPr/>
          </w:p>
        </w:tc>
        <w:tc>
          <w:tcPr>
            <w:tcW w:w="2375"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22"/>
              <w:ind w:left="728"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195" w:type="dxa"/>
            <w:tcBorders>
              <w:top w:val="single" w:sz="12" w:space="0" w:color="000000"/>
              <w:left w:val="nil" w:sz="6" w:space="0" w:color="auto"/>
              <w:bottom w:val="nil" w:sz="6" w:space="0" w:color="auto"/>
              <w:right w:val="nil" w:sz="6" w:space="0" w:color="auto"/>
            </w:tcBorders>
          </w:tcPr>
          <w:p>
            <w:pPr/>
          </w:p>
        </w:tc>
      </w:tr>
      <w:tr>
        <w:trPr>
          <w:trHeight w:val="159" w:hRule="exact"/>
        </w:trPr>
        <w:tc>
          <w:tcPr>
            <w:tcW w:w="1352" w:type="dxa"/>
            <w:tcBorders>
              <w:top w:val="nil" w:sz="6" w:space="0" w:color="auto"/>
              <w:left w:val="nil" w:sz="6" w:space="0" w:color="auto"/>
              <w:bottom w:val="nil" w:sz="6" w:space="0" w:color="auto"/>
              <w:right w:val="nil" w:sz="6" w:space="0" w:color="auto"/>
            </w:tcBorders>
          </w:tcPr>
          <w:p>
            <w:pPr>
              <w:pStyle w:val="TableParagraph"/>
              <w:spacing w:line="161" w:lineRule="exact"/>
              <w:ind w:left="71"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275" w:type="dxa"/>
            <w:tcBorders>
              <w:top w:val="nil" w:sz="6" w:space="0" w:color="auto"/>
              <w:left w:val="nil" w:sz="6" w:space="0" w:color="auto"/>
              <w:bottom w:val="nil" w:sz="6" w:space="0" w:color="auto"/>
              <w:right w:val="nil" w:sz="6" w:space="0" w:color="auto"/>
            </w:tcBorders>
          </w:tcPr>
          <w:p>
            <w:pPr>
              <w:pStyle w:val="TableParagraph"/>
              <w:spacing w:line="156" w:lineRule="exact"/>
              <w:ind w:left="265"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533" w:type="dxa"/>
            <w:tcBorders>
              <w:top w:val="nil" w:sz="6" w:space="0" w:color="auto"/>
              <w:left w:val="nil" w:sz="6" w:space="0" w:color="auto"/>
              <w:bottom w:val="nil" w:sz="6" w:space="0" w:color="auto"/>
              <w:right w:val="nil" w:sz="6" w:space="0" w:color="auto"/>
            </w:tcBorders>
          </w:tcPr>
          <w:p>
            <w:pPr/>
          </w:p>
        </w:tc>
        <w:tc>
          <w:tcPr>
            <w:tcW w:w="990"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Style w:val="TableParagraph"/>
              <w:spacing w:line="156" w:lineRule="exact"/>
              <w:ind w:left="196"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212" w:hRule="exact"/>
        </w:trPr>
        <w:tc>
          <w:tcPr>
            <w:tcW w:w="1352" w:type="dxa"/>
            <w:tcBorders>
              <w:top w:val="nil" w:sz="6" w:space="0" w:color="auto"/>
              <w:left w:val="nil" w:sz="6" w:space="0" w:color="auto"/>
              <w:bottom w:val="single" w:sz="4" w:space="0" w:color="000000"/>
              <w:right w:val="nil" w:sz="6" w:space="0" w:color="auto"/>
            </w:tcBorders>
          </w:tcPr>
          <w:p>
            <w:pPr/>
          </w:p>
        </w:tc>
        <w:tc>
          <w:tcPr>
            <w:tcW w:w="1275" w:type="dxa"/>
            <w:tcBorders>
              <w:top w:val="nil" w:sz="6" w:space="0" w:color="auto"/>
              <w:left w:val="nil" w:sz="6" w:space="0" w:color="auto"/>
              <w:bottom w:val="single" w:sz="4" w:space="0" w:color="000000"/>
              <w:right w:val="nil" w:sz="6" w:space="0" w:color="auto"/>
            </w:tcBorders>
          </w:tcPr>
          <w:p>
            <w:pPr/>
          </w:p>
        </w:tc>
        <w:tc>
          <w:tcPr>
            <w:tcW w:w="1533" w:type="dxa"/>
            <w:tcBorders>
              <w:top w:val="nil" w:sz="6" w:space="0" w:color="auto"/>
              <w:left w:val="nil" w:sz="6" w:space="0" w:color="auto"/>
              <w:bottom w:val="single" w:sz="4" w:space="0" w:color="000000"/>
              <w:right w:val="nil" w:sz="6" w:space="0" w:color="auto"/>
            </w:tcBorders>
          </w:tcPr>
          <w:p>
            <w:pPr>
              <w:pStyle w:val="TableParagraph"/>
              <w:spacing w:line="179" w:lineRule="exact"/>
              <w:ind w:left="375" w:right="0"/>
              <w:jc w:val="left"/>
              <w:rPr>
                <w:rFonts w:ascii="宋体" w:hAnsi="宋体" w:cs="宋体" w:eastAsia="宋体" w:hint="default"/>
                <w:sz w:val="18"/>
                <w:szCs w:val="18"/>
              </w:rPr>
            </w:pPr>
            <w:r>
              <w:rPr>
                <w:rFonts w:ascii="宋体" w:hAnsi="宋体" w:cs="宋体" w:eastAsia="宋体" w:hint="default"/>
                <w:b/>
                <w:bCs/>
                <w:sz w:val="18"/>
                <w:szCs w:val="18"/>
              </w:rPr>
              <w:t>计提</w:t>
            </w:r>
            <w:r>
              <w:rPr>
                <w:rFonts w:ascii="宋体" w:hAnsi="宋体" w:cs="宋体" w:eastAsia="宋体" w:hint="default"/>
                <w:sz w:val="18"/>
                <w:szCs w:val="18"/>
              </w:rPr>
            </w:r>
          </w:p>
        </w:tc>
        <w:tc>
          <w:tcPr>
            <w:tcW w:w="990" w:type="dxa"/>
            <w:tcBorders>
              <w:top w:val="nil" w:sz="6" w:space="0" w:color="auto"/>
              <w:left w:val="nil" w:sz="6" w:space="0" w:color="auto"/>
              <w:bottom w:val="single" w:sz="4" w:space="0" w:color="000000"/>
              <w:right w:val="nil" w:sz="6" w:space="0" w:color="auto"/>
            </w:tcBorders>
          </w:tcPr>
          <w:p>
            <w:pPr>
              <w:pStyle w:val="TableParagraph"/>
              <w:spacing w:line="179" w:lineRule="exact"/>
              <w:ind w:left="54" w:right="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164" w:type="dxa"/>
            <w:tcBorders>
              <w:top w:val="nil" w:sz="6" w:space="0" w:color="auto"/>
              <w:left w:val="nil" w:sz="6" w:space="0" w:color="auto"/>
              <w:bottom w:val="single" w:sz="4" w:space="0" w:color="000000"/>
              <w:right w:val="nil" w:sz="6" w:space="0" w:color="auto"/>
            </w:tcBorders>
          </w:tcPr>
          <w:p>
            <w:pPr>
              <w:pStyle w:val="TableParagraph"/>
              <w:spacing w:line="179" w:lineRule="exact"/>
              <w:ind w:left="334" w:right="0"/>
              <w:jc w:val="left"/>
              <w:rPr>
                <w:rFonts w:ascii="宋体" w:hAnsi="宋体" w:cs="宋体" w:eastAsia="宋体" w:hint="default"/>
                <w:sz w:val="18"/>
                <w:szCs w:val="18"/>
              </w:rPr>
            </w:pPr>
            <w:r>
              <w:rPr>
                <w:rFonts w:ascii="宋体" w:hAnsi="宋体" w:cs="宋体" w:eastAsia="宋体" w:hint="default"/>
                <w:b/>
                <w:bCs/>
                <w:sz w:val="18"/>
                <w:szCs w:val="18"/>
              </w:rPr>
              <w:t>转回</w:t>
            </w:r>
            <w:r>
              <w:rPr>
                <w:rFonts w:ascii="宋体" w:hAnsi="宋体" w:cs="宋体" w:eastAsia="宋体" w:hint="default"/>
                <w:sz w:val="18"/>
                <w:szCs w:val="18"/>
              </w:rPr>
            </w:r>
          </w:p>
        </w:tc>
        <w:tc>
          <w:tcPr>
            <w:tcW w:w="1211" w:type="dxa"/>
            <w:tcBorders>
              <w:top w:val="nil" w:sz="6" w:space="0" w:color="auto"/>
              <w:left w:val="nil" w:sz="6" w:space="0" w:color="auto"/>
              <w:bottom w:val="single" w:sz="4" w:space="0" w:color="000000"/>
              <w:right w:val="nil" w:sz="6" w:space="0" w:color="auto"/>
            </w:tcBorders>
          </w:tcPr>
          <w:p>
            <w:pPr>
              <w:pStyle w:val="TableParagraph"/>
              <w:spacing w:line="179" w:lineRule="exact"/>
              <w:ind w:left="195" w:right="0"/>
              <w:jc w:val="left"/>
              <w:rPr>
                <w:rFonts w:ascii="宋体" w:hAnsi="宋体" w:cs="宋体" w:eastAsia="宋体" w:hint="default"/>
                <w:sz w:val="18"/>
                <w:szCs w:val="18"/>
              </w:rPr>
            </w:pPr>
            <w:r>
              <w:rPr>
                <w:rFonts w:ascii="宋体" w:hAnsi="宋体" w:cs="宋体" w:eastAsia="宋体" w:hint="default"/>
                <w:b/>
                <w:bCs/>
                <w:sz w:val="18"/>
                <w:szCs w:val="18"/>
              </w:rPr>
              <w:t>其他转出</w:t>
            </w:r>
            <w:r>
              <w:rPr>
                <w:rFonts w:ascii="宋体" w:hAnsi="宋体" w:cs="宋体" w:eastAsia="宋体" w:hint="default"/>
                <w:sz w:val="18"/>
                <w:szCs w:val="18"/>
              </w:rPr>
            </w:r>
          </w:p>
        </w:tc>
        <w:tc>
          <w:tcPr>
            <w:tcW w:w="1195" w:type="dxa"/>
            <w:tcBorders>
              <w:top w:val="nil" w:sz="6" w:space="0" w:color="auto"/>
              <w:left w:val="nil" w:sz="6" w:space="0" w:color="auto"/>
              <w:bottom w:val="single" w:sz="4" w:space="0" w:color="000000"/>
              <w:right w:val="nil" w:sz="6" w:space="0" w:color="auto"/>
            </w:tcBorders>
          </w:tcPr>
          <w:p>
            <w:pPr/>
          </w:p>
        </w:tc>
      </w:tr>
      <w:tr>
        <w:trPr>
          <w:trHeight w:val="325" w:hRule="exact"/>
        </w:trPr>
        <w:tc>
          <w:tcPr>
            <w:tcW w:w="1352"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71"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275"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71"/>
              <w:jc w:val="right"/>
              <w:rPr>
                <w:rFonts w:ascii="Times New Roman" w:hAnsi="Times New Roman" w:cs="Times New Roman" w:eastAsia="Times New Roman" w:hint="default"/>
                <w:sz w:val="16"/>
                <w:szCs w:val="16"/>
              </w:rPr>
            </w:pPr>
            <w:r>
              <w:rPr>
                <w:rFonts w:ascii="Times New Roman"/>
                <w:spacing w:val="-1"/>
                <w:sz w:val="16"/>
              </w:rPr>
              <w:t>149,472,610.80</w:t>
            </w:r>
          </w:p>
        </w:tc>
        <w:tc>
          <w:tcPr>
            <w:tcW w:w="1533"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left="154" w:right="0"/>
              <w:jc w:val="left"/>
              <w:rPr>
                <w:rFonts w:ascii="Times New Roman" w:hAnsi="Times New Roman" w:cs="Times New Roman" w:eastAsia="Times New Roman" w:hint="default"/>
                <w:sz w:val="16"/>
                <w:szCs w:val="16"/>
              </w:rPr>
            </w:pPr>
            <w:r>
              <w:rPr>
                <w:rFonts w:ascii="Times New Roman"/>
                <w:sz w:val="16"/>
              </w:rPr>
              <w:t>46,755,049.76</w:t>
            </w:r>
          </w:p>
        </w:tc>
        <w:tc>
          <w:tcPr>
            <w:tcW w:w="990"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169"/>
              <w:jc w:val="right"/>
              <w:rPr>
                <w:rFonts w:ascii="Times New Roman" w:hAnsi="Times New Roman" w:cs="Times New Roman" w:eastAsia="Times New Roman" w:hint="default"/>
                <w:sz w:val="16"/>
                <w:szCs w:val="16"/>
              </w:rPr>
            </w:pPr>
            <w:r>
              <w:rPr>
                <w:rFonts w:ascii="Times New Roman"/>
                <w:spacing w:val="-1"/>
                <w:sz w:val="16"/>
              </w:rPr>
              <w:t>705,946.52</w:t>
            </w:r>
          </w:p>
        </w:tc>
        <w:tc>
          <w:tcPr>
            <w:tcW w:w="1164"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71"/>
              <w:jc w:val="right"/>
              <w:rPr>
                <w:rFonts w:ascii="Times New Roman" w:hAnsi="Times New Roman" w:cs="Times New Roman" w:eastAsia="Times New Roman" w:hint="default"/>
                <w:sz w:val="16"/>
                <w:szCs w:val="16"/>
              </w:rPr>
            </w:pPr>
            <w:r>
              <w:rPr>
                <w:rFonts w:ascii="Times New Roman"/>
                <w:spacing w:val="-2"/>
                <w:sz w:val="16"/>
              </w:rPr>
              <w:t>33,666,366.73</w:t>
            </w:r>
          </w:p>
        </w:tc>
        <w:tc>
          <w:tcPr>
            <w:tcW w:w="1211"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135"/>
              <w:jc w:val="right"/>
              <w:rPr>
                <w:rFonts w:ascii="Times New Roman" w:hAnsi="Times New Roman" w:cs="Times New Roman" w:eastAsia="Times New Roman" w:hint="default"/>
                <w:sz w:val="16"/>
                <w:szCs w:val="16"/>
              </w:rPr>
            </w:pPr>
            <w:r>
              <w:rPr>
                <w:rFonts w:ascii="Times New Roman"/>
                <w:spacing w:val="-1"/>
                <w:sz w:val="16"/>
              </w:rPr>
              <w:t>163,854.90</w:t>
            </w:r>
          </w:p>
        </w:tc>
        <w:tc>
          <w:tcPr>
            <w:tcW w:w="1195"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55"/>
              <w:jc w:val="right"/>
              <w:rPr>
                <w:rFonts w:ascii="Times New Roman" w:hAnsi="Times New Roman" w:cs="Times New Roman" w:eastAsia="Times New Roman" w:hint="default"/>
                <w:sz w:val="16"/>
                <w:szCs w:val="16"/>
              </w:rPr>
            </w:pPr>
            <w:r>
              <w:rPr>
                <w:rFonts w:ascii="Times New Roman"/>
                <w:spacing w:val="-1"/>
                <w:sz w:val="16"/>
              </w:rPr>
              <w:t>163,103,385.45</w:t>
            </w:r>
          </w:p>
        </w:tc>
      </w:tr>
      <w:tr>
        <w:trPr>
          <w:trHeight w:val="284" w:hRule="exact"/>
        </w:trPr>
        <w:tc>
          <w:tcPr>
            <w:tcW w:w="1352" w:type="dxa"/>
            <w:tcBorders>
              <w:top w:val="nil" w:sz="6" w:space="0" w:color="auto"/>
              <w:left w:val="nil" w:sz="6" w:space="0" w:color="auto"/>
              <w:bottom w:val="nil" w:sz="6" w:space="0" w:color="auto"/>
              <w:right w:val="nil" w:sz="6" w:space="0" w:color="auto"/>
            </w:tcBorders>
          </w:tcPr>
          <w:p>
            <w:pPr>
              <w:pStyle w:val="TableParagraph"/>
              <w:spacing w:line="224" w:lineRule="exact"/>
              <w:ind w:left="71"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71"/>
              <w:jc w:val="right"/>
              <w:rPr>
                <w:rFonts w:ascii="Times New Roman" w:hAnsi="Times New Roman" w:cs="Times New Roman" w:eastAsia="Times New Roman" w:hint="default"/>
                <w:sz w:val="16"/>
                <w:szCs w:val="16"/>
              </w:rPr>
            </w:pPr>
            <w:r>
              <w:rPr>
                <w:rFonts w:ascii="Times New Roman"/>
                <w:spacing w:val="-1"/>
                <w:sz w:val="16"/>
              </w:rPr>
              <w:t>259,026,837.26</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54" w:right="0"/>
              <w:jc w:val="left"/>
              <w:rPr>
                <w:rFonts w:ascii="Times New Roman" w:hAnsi="Times New Roman" w:cs="Times New Roman" w:eastAsia="Times New Roman" w:hint="default"/>
                <w:sz w:val="16"/>
                <w:szCs w:val="16"/>
              </w:rPr>
            </w:pPr>
            <w:r>
              <w:rPr>
                <w:rFonts w:ascii="Times New Roman"/>
                <w:sz w:val="16"/>
              </w:rPr>
              <w:t>10,575,669.42</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69"/>
              <w:jc w:val="right"/>
              <w:rPr>
                <w:rFonts w:ascii="Times New Roman" w:hAnsi="Times New Roman" w:cs="Times New Roman" w:eastAsia="Times New Roman" w:hint="default"/>
                <w:sz w:val="16"/>
                <w:szCs w:val="16"/>
              </w:rPr>
            </w:pPr>
            <w:r>
              <w:rPr>
                <w:rFonts w:ascii="Times New Roman"/>
                <w:spacing w:val="-1"/>
                <w:sz w:val="16"/>
              </w:rPr>
              <w:t>251,408.67</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71"/>
              <w:jc w:val="right"/>
              <w:rPr>
                <w:rFonts w:ascii="Times New Roman" w:hAnsi="Times New Roman" w:cs="Times New Roman" w:eastAsia="Times New Roman" w:hint="default"/>
                <w:sz w:val="16"/>
                <w:szCs w:val="16"/>
              </w:rPr>
            </w:pPr>
            <w:r>
              <w:rPr>
                <w:rFonts w:ascii="Times New Roman"/>
                <w:spacing w:val="-1"/>
                <w:sz w:val="16"/>
              </w:rPr>
              <w:t>8,112,023.71</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35"/>
              <w:jc w:val="right"/>
              <w:rPr>
                <w:rFonts w:ascii="Times New Roman" w:hAnsi="Times New Roman" w:cs="Times New Roman" w:eastAsia="Times New Roman" w:hint="default"/>
                <w:sz w:val="16"/>
                <w:szCs w:val="16"/>
              </w:rPr>
            </w:pPr>
            <w:r>
              <w:rPr>
                <w:rFonts w:ascii="Times New Roman"/>
                <w:spacing w:val="-2"/>
                <w:sz w:val="16"/>
              </w:rPr>
              <w:t>15,291,226.20</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5"/>
              <w:jc w:val="right"/>
              <w:rPr>
                <w:rFonts w:ascii="Times New Roman" w:hAnsi="Times New Roman" w:cs="Times New Roman" w:eastAsia="Times New Roman" w:hint="default"/>
                <w:sz w:val="16"/>
                <w:szCs w:val="16"/>
              </w:rPr>
            </w:pPr>
            <w:r>
              <w:rPr>
                <w:rFonts w:ascii="Times New Roman"/>
                <w:spacing w:val="-1"/>
                <w:sz w:val="16"/>
              </w:rPr>
              <w:t>246,450,665.44</w:t>
            </w:r>
          </w:p>
        </w:tc>
      </w:tr>
      <w:tr>
        <w:trPr>
          <w:trHeight w:val="286" w:hRule="exact"/>
        </w:trPr>
        <w:tc>
          <w:tcPr>
            <w:tcW w:w="1352"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74"/>
              <w:jc w:val="right"/>
              <w:rPr>
                <w:rFonts w:ascii="Times New Roman" w:hAnsi="Times New Roman" w:cs="Times New Roman" w:eastAsia="Times New Roman" w:hint="default"/>
                <w:sz w:val="16"/>
                <w:szCs w:val="16"/>
              </w:rPr>
            </w:pPr>
            <w:r>
              <w:rPr>
                <w:rFonts w:ascii="Times New Roman"/>
                <w:spacing w:val="-2"/>
                <w:sz w:val="16"/>
              </w:rPr>
              <w:t>94,712,193.80</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54" w:right="0"/>
              <w:jc w:val="left"/>
              <w:rPr>
                <w:rFonts w:ascii="Times New Roman" w:hAnsi="Times New Roman" w:cs="Times New Roman" w:eastAsia="Times New Roman" w:hint="default"/>
                <w:sz w:val="16"/>
                <w:szCs w:val="16"/>
              </w:rPr>
            </w:pPr>
            <w:r>
              <w:rPr>
                <w:rFonts w:ascii="Times New Roman"/>
                <w:sz w:val="16"/>
              </w:rPr>
              <w:t>26,986,309.17</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69"/>
              <w:jc w:val="right"/>
              <w:rPr>
                <w:rFonts w:ascii="Times New Roman" w:hAnsi="Times New Roman" w:cs="Times New Roman" w:eastAsia="Times New Roman" w:hint="default"/>
                <w:sz w:val="16"/>
                <w:szCs w:val="16"/>
              </w:rPr>
            </w:pPr>
            <w:r>
              <w:rPr>
                <w:rFonts w:ascii="Times New Roman"/>
                <w:spacing w:val="-1"/>
                <w:sz w:val="16"/>
              </w:rPr>
              <w:t>98,996.45</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71"/>
              <w:jc w:val="right"/>
              <w:rPr>
                <w:rFonts w:ascii="Times New Roman" w:hAnsi="Times New Roman" w:cs="Times New Roman" w:eastAsia="Times New Roman" w:hint="default"/>
                <w:sz w:val="16"/>
                <w:szCs w:val="16"/>
              </w:rPr>
            </w:pPr>
            <w:r>
              <w:rPr>
                <w:rFonts w:ascii="Times New Roman"/>
                <w:spacing w:val="-1"/>
                <w:sz w:val="16"/>
              </w:rPr>
              <w:t>2,511,802.52</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35"/>
              <w:jc w:val="right"/>
              <w:rPr>
                <w:rFonts w:ascii="Times New Roman" w:hAnsi="Times New Roman" w:cs="Times New Roman" w:eastAsia="Times New Roman" w:hint="default"/>
                <w:sz w:val="16"/>
                <w:szCs w:val="16"/>
              </w:rPr>
            </w:pPr>
            <w:r>
              <w:rPr>
                <w:rFonts w:ascii="Times New Roman"/>
                <w:spacing w:val="-2"/>
                <w:sz w:val="16"/>
              </w:rPr>
              <w:t>14,821,844.22</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5"/>
              <w:jc w:val="right"/>
              <w:rPr>
                <w:rFonts w:ascii="Times New Roman" w:hAnsi="Times New Roman" w:cs="Times New Roman" w:eastAsia="Times New Roman" w:hint="default"/>
                <w:sz w:val="16"/>
                <w:szCs w:val="16"/>
              </w:rPr>
            </w:pPr>
            <w:r>
              <w:rPr>
                <w:rFonts w:ascii="Times New Roman"/>
                <w:spacing w:val="-1"/>
                <w:sz w:val="16"/>
              </w:rPr>
              <w:t>104,463,852.68</w:t>
            </w:r>
          </w:p>
        </w:tc>
      </w:tr>
      <w:tr>
        <w:trPr>
          <w:trHeight w:val="286" w:hRule="exact"/>
        </w:trPr>
        <w:tc>
          <w:tcPr>
            <w:tcW w:w="1352"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z w:val="18"/>
                <w:szCs w:val="18"/>
              </w:rPr>
              <w:t>工程施工</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74"/>
              <w:jc w:val="right"/>
              <w:rPr>
                <w:rFonts w:ascii="Times New Roman" w:hAnsi="Times New Roman" w:cs="Times New Roman" w:eastAsia="Times New Roman" w:hint="default"/>
                <w:sz w:val="16"/>
                <w:szCs w:val="16"/>
              </w:rPr>
            </w:pPr>
            <w:r>
              <w:rPr>
                <w:rFonts w:ascii="Times New Roman"/>
                <w:spacing w:val="-2"/>
                <w:sz w:val="16"/>
              </w:rPr>
              <w:t>23,586,258.53</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54" w:right="0"/>
              <w:jc w:val="left"/>
              <w:rPr>
                <w:rFonts w:ascii="Times New Roman" w:hAnsi="Times New Roman" w:cs="Times New Roman" w:eastAsia="Times New Roman" w:hint="default"/>
                <w:sz w:val="16"/>
                <w:szCs w:val="16"/>
              </w:rPr>
            </w:pPr>
            <w:r>
              <w:rPr>
                <w:rFonts w:ascii="Times New Roman"/>
                <w:sz w:val="16"/>
              </w:rPr>
              <w:t>38,341,725.25</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70"/>
              <w:jc w:val="right"/>
              <w:rPr>
                <w:rFonts w:ascii="Times New Roman" w:hAnsi="Times New Roman" w:cs="Times New Roman" w:eastAsia="Times New Roman" w:hint="default"/>
                <w:sz w:val="16"/>
                <w:szCs w:val="16"/>
              </w:rPr>
            </w:pPr>
            <w:r>
              <w:rPr>
                <w:rFonts w:ascii="Times New Roman"/>
                <w:spacing w:val="-1"/>
                <w:sz w:val="16"/>
              </w:rPr>
              <w:t>8,355.54</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34"/>
              <w:jc w:val="right"/>
              <w:rPr>
                <w:rFonts w:ascii="Times New Roman" w:hAnsi="Times New Roman" w:cs="Times New Roman" w:eastAsia="Times New Roman" w:hint="default"/>
                <w:sz w:val="16"/>
                <w:szCs w:val="16"/>
              </w:rPr>
            </w:pPr>
            <w:r>
              <w:rPr>
                <w:rFonts w:ascii="Times New Roman"/>
                <w:spacing w:val="-1"/>
                <w:sz w:val="16"/>
              </w:rPr>
              <w:t>0.00</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5"/>
              <w:jc w:val="right"/>
              <w:rPr>
                <w:rFonts w:ascii="Times New Roman" w:hAnsi="Times New Roman" w:cs="Times New Roman" w:eastAsia="Times New Roman" w:hint="default"/>
                <w:sz w:val="16"/>
                <w:szCs w:val="16"/>
              </w:rPr>
            </w:pPr>
            <w:r>
              <w:rPr>
                <w:rFonts w:ascii="Times New Roman"/>
                <w:spacing w:val="-2"/>
                <w:sz w:val="16"/>
              </w:rPr>
              <w:t>61,919,628.24</w:t>
            </w:r>
          </w:p>
        </w:tc>
      </w:tr>
      <w:tr>
        <w:trPr>
          <w:trHeight w:val="285" w:hRule="exact"/>
        </w:trPr>
        <w:tc>
          <w:tcPr>
            <w:tcW w:w="1352"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74"/>
              <w:jc w:val="right"/>
              <w:rPr>
                <w:rFonts w:ascii="Times New Roman" w:hAnsi="Times New Roman" w:cs="Times New Roman" w:eastAsia="Times New Roman" w:hint="default"/>
                <w:sz w:val="16"/>
                <w:szCs w:val="16"/>
              </w:rPr>
            </w:pPr>
            <w:r>
              <w:rPr>
                <w:rFonts w:ascii="Times New Roman"/>
                <w:spacing w:val="-2"/>
                <w:sz w:val="16"/>
              </w:rPr>
              <w:t>45,720,362.56</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33" w:right="0"/>
              <w:jc w:val="left"/>
              <w:rPr>
                <w:rFonts w:ascii="Times New Roman" w:hAnsi="Times New Roman" w:cs="Times New Roman" w:eastAsia="Times New Roman" w:hint="default"/>
                <w:sz w:val="16"/>
                <w:szCs w:val="16"/>
              </w:rPr>
            </w:pPr>
            <w:r>
              <w:rPr>
                <w:rFonts w:ascii="Times New Roman"/>
                <w:sz w:val="16"/>
              </w:rPr>
              <w:t>9,032,735.30</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70"/>
              <w:jc w:val="right"/>
              <w:rPr>
                <w:rFonts w:ascii="Times New Roman" w:hAnsi="Times New Roman" w:cs="Times New Roman" w:eastAsia="Times New Roman" w:hint="default"/>
                <w:sz w:val="16"/>
                <w:szCs w:val="16"/>
              </w:rPr>
            </w:pPr>
            <w:r>
              <w:rPr>
                <w:rFonts w:ascii="Times New Roman"/>
                <w:spacing w:val="-1"/>
                <w:sz w:val="16"/>
              </w:rPr>
              <w:t>3,501.68</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35"/>
              <w:jc w:val="right"/>
              <w:rPr>
                <w:rFonts w:ascii="Times New Roman" w:hAnsi="Times New Roman" w:cs="Times New Roman" w:eastAsia="Times New Roman" w:hint="default"/>
                <w:sz w:val="16"/>
                <w:szCs w:val="16"/>
              </w:rPr>
            </w:pPr>
            <w:r>
              <w:rPr>
                <w:rFonts w:ascii="Times New Roman"/>
                <w:spacing w:val="-1"/>
                <w:sz w:val="16"/>
              </w:rPr>
              <w:t>101,571.48</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5"/>
              <w:jc w:val="right"/>
              <w:rPr>
                <w:rFonts w:ascii="Times New Roman" w:hAnsi="Times New Roman" w:cs="Times New Roman" w:eastAsia="Times New Roman" w:hint="default"/>
                <w:sz w:val="16"/>
                <w:szCs w:val="16"/>
              </w:rPr>
            </w:pPr>
            <w:r>
              <w:rPr>
                <w:rFonts w:ascii="Times New Roman"/>
                <w:spacing w:val="-2"/>
                <w:sz w:val="16"/>
              </w:rPr>
              <w:t>54,648,024.70</w:t>
            </w:r>
          </w:p>
        </w:tc>
      </w:tr>
      <w:tr>
        <w:trPr>
          <w:trHeight w:val="285" w:hRule="exact"/>
        </w:trPr>
        <w:tc>
          <w:tcPr>
            <w:tcW w:w="1352" w:type="dxa"/>
            <w:tcBorders>
              <w:top w:val="nil" w:sz="6" w:space="0" w:color="auto"/>
              <w:left w:val="nil" w:sz="6" w:space="0" w:color="auto"/>
              <w:bottom w:val="nil" w:sz="6" w:space="0" w:color="auto"/>
              <w:right w:val="nil" w:sz="6" w:space="0" w:color="auto"/>
            </w:tcBorders>
          </w:tcPr>
          <w:p>
            <w:pPr>
              <w:pStyle w:val="TableParagraph"/>
              <w:spacing w:line="224" w:lineRule="exact"/>
              <w:ind w:left="71" w:right="0"/>
              <w:jc w:val="left"/>
              <w:rPr>
                <w:rFonts w:ascii="宋体" w:hAnsi="宋体" w:cs="宋体" w:eastAsia="宋体" w:hint="default"/>
                <w:sz w:val="18"/>
                <w:szCs w:val="18"/>
              </w:rPr>
            </w:pPr>
            <w:r>
              <w:rPr>
                <w:rFonts w:ascii="宋体" w:hAnsi="宋体" w:cs="宋体" w:eastAsia="宋体" w:hint="default"/>
                <w:sz w:val="18"/>
                <w:szCs w:val="18"/>
              </w:rPr>
              <w:t>产成品</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71"/>
              <w:jc w:val="right"/>
              <w:rPr>
                <w:rFonts w:ascii="Times New Roman" w:hAnsi="Times New Roman" w:cs="Times New Roman" w:eastAsia="Times New Roman" w:hint="default"/>
                <w:sz w:val="16"/>
                <w:szCs w:val="16"/>
              </w:rPr>
            </w:pPr>
            <w:r>
              <w:rPr>
                <w:rFonts w:ascii="Times New Roman"/>
                <w:spacing w:val="-1"/>
                <w:sz w:val="16"/>
              </w:rPr>
              <w:t>195,623,434.76</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54" w:right="0"/>
              <w:jc w:val="left"/>
              <w:rPr>
                <w:rFonts w:ascii="Times New Roman" w:hAnsi="Times New Roman" w:cs="Times New Roman" w:eastAsia="Times New Roman" w:hint="default"/>
                <w:sz w:val="16"/>
                <w:szCs w:val="16"/>
              </w:rPr>
            </w:pPr>
            <w:r>
              <w:rPr>
                <w:rFonts w:ascii="Times New Roman"/>
                <w:sz w:val="16"/>
              </w:rPr>
              <w:t>78,280,208.17</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 w:right="0"/>
              <w:jc w:val="left"/>
              <w:rPr>
                <w:rFonts w:ascii="Times New Roman" w:hAnsi="Times New Roman" w:cs="Times New Roman" w:eastAsia="Times New Roman" w:hint="default"/>
                <w:sz w:val="16"/>
                <w:szCs w:val="16"/>
              </w:rPr>
            </w:pPr>
            <w:r>
              <w:rPr>
                <w:rFonts w:ascii="Times New Roman"/>
                <w:sz w:val="16"/>
              </w:rPr>
              <w:t>3,819,879.16</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71"/>
              <w:jc w:val="right"/>
              <w:rPr>
                <w:rFonts w:ascii="Times New Roman" w:hAnsi="Times New Roman" w:cs="Times New Roman" w:eastAsia="Times New Roman" w:hint="default"/>
                <w:sz w:val="16"/>
                <w:szCs w:val="16"/>
              </w:rPr>
            </w:pPr>
            <w:r>
              <w:rPr>
                <w:rFonts w:ascii="Times New Roman"/>
                <w:spacing w:val="-1"/>
                <w:sz w:val="16"/>
              </w:rPr>
              <w:t>5,331,522.63</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35"/>
              <w:jc w:val="right"/>
              <w:rPr>
                <w:rFonts w:ascii="Times New Roman" w:hAnsi="Times New Roman" w:cs="Times New Roman" w:eastAsia="Times New Roman" w:hint="default"/>
                <w:sz w:val="16"/>
                <w:szCs w:val="16"/>
              </w:rPr>
            </w:pPr>
            <w:r>
              <w:rPr>
                <w:rFonts w:ascii="Times New Roman"/>
                <w:spacing w:val="-2"/>
                <w:sz w:val="16"/>
              </w:rPr>
              <w:t>70,132,405.00</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5"/>
              <w:jc w:val="right"/>
              <w:rPr>
                <w:rFonts w:ascii="Times New Roman" w:hAnsi="Times New Roman" w:cs="Times New Roman" w:eastAsia="Times New Roman" w:hint="default"/>
                <w:sz w:val="16"/>
                <w:szCs w:val="16"/>
              </w:rPr>
            </w:pPr>
            <w:r>
              <w:rPr>
                <w:rFonts w:ascii="Times New Roman"/>
                <w:spacing w:val="-1"/>
                <w:sz w:val="16"/>
              </w:rPr>
              <w:t>202,259,594.46</w:t>
            </w:r>
          </w:p>
        </w:tc>
      </w:tr>
      <w:tr>
        <w:trPr>
          <w:trHeight w:val="286" w:hRule="exact"/>
        </w:trPr>
        <w:tc>
          <w:tcPr>
            <w:tcW w:w="1352"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z w:val="18"/>
                <w:szCs w:val="18"/>
              </w:rPr>
              <w:t>委托加工物资</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70"/>
              <w:jc w:val="right"/>
              <w:rPr>
                <w:rFonts w:ascii="Times New Roman" w:hAnsi="Times New Roman" w:cs="Times New Roman" w:eastAsia="Times New Roman" w:hint="default"/>
                <w:sz w:val="16"/>
                <w:szCs w:val="16"/>
              </w:rPr>
            </w:pPr>
            <w:r>
              <w:rPr>
                <w:rFonts w:ascii="Times New Roman"/>
                <w:spacing w:val="-1"/>
                <w:sz w:val="16"/>
              </w:rPr>
              <w:t>57.66</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353" w:right="0"/>
              <w:jc w:val="left"/>
              <w:rPr>
                <w:rFonts w:ascii="Times New Roman" w:hAnsi="Times New Roman" w:cs="Times New Roman" w:eastAsia="Times New Roman" w:hint="default"/>
                <w:sz w:val="16"/>
                <w:szCs w:val="16"/>
              </w:rPr>
            </w:pPr>
            <w:r>
              <w:rPr>
                <w:rFonts w:ascii="Times New Roman"/>
                <w:sz w:val="16"/>
              </w:rPr>
              <w:t>176,831.33</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70"/>
              <w:jc w:val="right"/>
              <w:rPr>
                <w:rFonts w:ascii="Times New Roman" w:hAnsi="Times New Roman" w:cs="Times New Roman" w:eastAsia="Times New Roman" w:hint="default"/>
                <w:sz w:val="16"/>
                <w:szCs w:val="16"/>
              </w:rPr>
            </w:pPr>
            <w:r>
              <w:rPr>
                <w:rFonts w:ascii="Times New Roman"/>
                <w:spacing w:val="-1"/>
                <w:sz w:val="16"/>
              </w:rPr>
              <w:t>0.00</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34"/>
              <w:jc w:val="right"/>
              <w:rPr>
                <w:rFonts w:ascii="Times New Roman" w:hAnsi="Times New Roman" w:cs="Times New Roman" w:eastAsia="Times New Roman" w:hint="default"/>
                <w:sz w:val="16"/>
                <w:szCs w:val="16"/>
              </w:rPr>
            </w:pPr>
            <w:r>
              <w:rPr>
                <w:rFonts w:ascii="Times New Roman"/>
                <w:spacing w:val="-1"/>
                <w:sz w:val="16"/>
              </w:rPr>
              <w:t>0.00</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4"/>
              <w:jc w:val="right"/>
              <w:rPr>
                <w:rFonts w:ascii="Times New Roman" w:hAnsi="Times New Roman" w:cs="Times New Roman" w:eastAsia="Times New Roman" w:hint="default"/>
                <w:sz w:val="16"/>
                <w:szCs w:val="16"/>
              </w:rPr>
            </w:pPr>
            <w:r>
              <w:rPr>
                <w:rFonts w:ascii="Times New Roman"/>
                <w:spacing w:val="-1"/>
                <w:sz w:val="16"/>
              </w:rPr>
              <w:t>176,888.99</w:t>
            </w:r>
          </w:p>
        </w:tc>
      </w:tr>
      <w:tr>
        <w:trPr>
          <w:trHeight w:val="286" w:hRule="exact"/>
        </w:trPr>
        <w:tc>
          <w:tcPr>
            <w:tcW w:w="1352"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70"/>
              <w:jc w:val="right"/>
              <w:rPr>
                <w:rFonts w:ascii="Times New Roman" w:hAnsi="Times New Roman" w:cs="Times New Roman" w:eastAsia="Times New Roman" w:hint="default"/>
                <w:sz w:val="16"/>
                <w:szCs w:val="16"/>
              </w:rPr>
            </w:pPr>
            <w:r>
              <w:rPr>
                <w:rFonts w:ascii="Times New Roman"/>
                <w:spacing w:val="-1"/>
                <w:sz w:val="16"/>
              </w:rPr>
              <w:t>0.00</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353" w:right="0"/>
              <w:jc w:val="left"/>
              <w:rPr>
                <w:rFonts w:ascii="Times New Roman" w:hAnsi="Times New Roman" w:cs="Times New Roman" w:eastAsia="Times New Roman" w:hint="default"/>
                <w:sz w:val="16"/>
                <w:szCs w:val="16"/>
              </w:rPr>
            </w:pPr>
            <w:r>
              <w:rPr>
                <w:rFonts w:ascii="Times New Roman"/>
                <w:sz w:val="16"/>
              </w:rPr>
              <w:t>219,562.49</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70"/>
              <w:jc w:val="right"/>
              <w:rPr>
                <w:rFonts w:ascii="Times New Roman" w:hAnsi="Times New Roman" w:cs="Times New Roman" w:eastAsia="Times New Roman" w:hint="default"/>
                <w:sz w:val="16"/>
                <w:szCs w:val="16"/>
              </w:rPr>
            </w:pPr>
            <w:r>
              <w:rPr>
                <w:rFonts w:ascii="Times New Roman"/>
                <w:spacing w:val="-1"/>
                <w:sz w:val="16"/>
              </w:rPr>
              <w:t>0.00</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34"/>
              <w:jc w:val="right"/>
              <w:rPr>
                <w:rFonts w:ascii="Times New Roman" w:hAnsi="Times New Roman" w:cs="Times New Roman" w:eastAsia="Times New Roman" w:hint="default"/>
                <w:sz w:val="16"/>
                <w:szCs w:val="16"/>
              </w:rPr>
            </w:pPr>
            <w:r>
              <w:rPr>
                <w:rFonts w:ascii="Times New Roman"/>
                <w:spacing w:val="-1"/>
                <w:sz w:val="16"/>
              </w:rPr>
              <w:t>0.00</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4"/>
              <w:jc w:val="right"/>
              <w:rPr>
                <w:rFonts w:ascii="Times New Roman" w:hAnsi="Times New Roman" w:cs="Times New Roman" w:eastAsia="Times New Roman" w:hint="default"/>
                <w:sz w:val="16"/>
                <w:szCs w:val="16"/>
              </w:rPr>
            </w:pPr>
            <w:r>
              <w:rPr>
                <w:rFonts w:ascii="Times New Roman"/>
                <w:spacing w:val="-1"/>
                <w:sz w:val="16"/>
              </w:rPr>
              <w:t>219,562.49</w:t>
            </w:r>
          </w:p>
        </w:tc>
      </w:tr>
      <w:tr>
        <w:trPr>
          <w:trHeight w:val="284" w:hRule="exact"/>
        </w:trPr>
        <w:tc>
          <w:tcPr>
            <w:tcW w:w="1352"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z w:val="18"/>
                <w:szCs w:val="18"/>
              </w:rPr>
              <w:t>包装物</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70"/>
              <w:jc w:val="right"/>
              <w:rPr>
                <w:rFonts w:ascii="Times New Roman" w:hAnsi="Times New Roman" w:cs="Times New Roman" w:eastAsia="Times New Roman" w:hint="default"/>
                <w:sz w:val="16"/>
                <w:szCs w:val="16"/>
              </w:rPr>
            </w:pPr>
            <w:r>
              <w:rPr>
                <w:rFonts w:ascii="Times New Roman"/>
                <w:spacing w:val="-1"/>
                <w:sz w:val="16"/>
              </w:rPr>
              <w:t>0.00</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60"/>
              <w:ind w:left="514" w:right="0"/>
              <w:jc w:val="left"/>
              <w:rPr>
                <w:rFonts w:ascii="Times New Roman" w:hAnsi="Times New Roman" w:cs="Times New Roman" w:eastAsia="Times New Roman" w:hint="default"/>
                <w:sz w:val="16"/>
                <w:szCs w:val="16"/>
              </w:rPr>
            </w:pPr>
            <w:r>
              <w:rPr>
                <w:rFonts w:ascii="Times New Roman"/>
                <w:sz w:val="16"/>
              </w:rPr>
              <w:t>4,071.44</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70"/>
              <w:jc w:val="right"/>
              <w:rPr>
                <w:rFonts w:ascii="Times New Roman" w:hAnsi="Times New Roman" w:cs="Times New Roman" w:eastAsia="Times New Roman" w:hint="default"/>
                <w:sz w:val="16"/>
                <w:szCs w:val="16"/>
              </w:rPr>
            </w:pPr>
            <w:r>
              <w:rPr>
                <w:rFonts w:ascii="Times New Roman"/>
                <w:spacing w:val="-1"/>
                <w:sz w:val="16"/>
              </w:rPr>
              <w:t>0.00</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34"/>
              <w:jc w:val="right"/>
              <w:rPr>
                <w:rFonts w:ascii="Times New Roman" w:hAnsi="Times New Roman" w:cs="Times New Roman" w:eastAsia="Times New Roman" w:hint="default"/>
                <w:sz w:val="16"/>
                <w:szCs w:val="16"/>
              </w:rPr>
            </w:pPr>
            <w:r>
              <w:rPr>
                <w:rFonts w:ascii="Times New Roman"/>
                <w:spacing w:val="-1"/>
                <w:sz w:val="16"/>
              </w:rPr>
              <w:t>0.00</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4"/>
              <w:jc w:val="right"/>
              <w:rPr>
                <w:rFonts w:ascii="Times New Roman" w:hAnsi="Times New Roman" w:cs="Times New Roman" w:eastAsia="Times New Roman" w:hint="default"/>
                <w:sz w:val="16"/>
                <w:szCs w:val="16"/>
              </w:rPr>
            </w:pPr>
            <w:r>
              <w:rPr>
                <w:rFonts w:ascii="Times New Roman"/>
                <w:spacing w:val="-1"/>
                <w:sz w:val="16"/>
              </w:rPr>
              <w:t>4,071.44</w:t>
            </w:r>
          </w:p>
        </w:tc>
      </w:tr>
      <w:tr>
        <w:trPr>
          <w:trHeight w:val="256" w:hRule="exact"/>
        </w:trPr>
        <w:tc>
          <w:tcPr>
            <w:tcW w:w="1352" w:type="dxa"/>
            <w:tcBorders>
              <w:top w:val="nil" w:sz="6" w:space="0" w:color="auto"/>
              <w:left w:val="nil" w:sz="6" w:space="0" w:color="auto"/>
              <w:bottom w:val="single" w:sz="4" w:space="0" w:color="000000"/>
              <w:right w:val="nil" w:sz="6" w:space="0" w:color="auto"/>
            </w:tcBorders>
          </w:tcPr>
          <w:p>
            <w:pPr>
              <w:pStyle w:val="TableParagraph"/>
              <w:spacing w:line="224" w:lineRule="exact"/>
              <w:ind w:left="71" w:right="0"/>
              <w:jc w:val="left"/>
              <w:rPr>
                <w:rFonts w:ascii="宋体" w:hAnsi="宋体" w:cs="宋体" w:eastAsia="宋体" w:hint="default"/>
                <w:sz w:val="18"/>
                <w:szCs w:val="18"/>
              </w:rPr>
            </w:pPr>
            <w:r>
              <w:rPr>
                <w:rFonts w:ascii="宋体" w:hAnsi="宋体" w:cs="宋体" w:eastAsia="宋体" w:hint="default"/>
                <w:sz w:val="18"/>
                <w:szCs w:val="18"/>
              </w:rPr>
              <w:t>委托代销商品</w:t>
            </w:r>
          </w:p>
        </w:tc>
        <w:tc>
          <w:tcPr>
            <w:tcW w:w="1275"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71"/>
              <w:jc w:val="right"/>
              <w:rPr>
                <w:rFonts w:ascii="Times New Roman" w:hAnsi="Times New Roman" w:cs="Times New Roman" w:eastAsia="Times New Roman" w:hint="default"/>
                <w:sz w:val="16"/>
                <w:szCs w:val="16"/>
              </w:rPr>
            </w:pPr>
            <w:r>
              <w:rPr>
                <w:rFonts w:ascii="Times New Roman"/>
                <w:spacing w:val="-1"/>
                <w:sz w:val="16"/>
              </w:rPr>
              <w:t>345,203.30</w:t>
            </w:r>
          </w:p>
        </w:tc>
        <w:tc>
          <w:tcPr>
            <w:tcW w:w="1533"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left="792" w:right="0"/>
              <w:jc w:val="left"/>
              <w:rPr>
                <w:rFonts w:ascii="Times New Roman" w:hAnsi="Times New Roman" w:cs="Times New Roman" w:eastAsia="Times New Roman" w:hint="default"/>
                <w:sz w:val="16"/>
                <w:szCs w:val="16"/>
              </w:rPr>
            </w:pPr>
            <w:r>
              <w:rPr>
                <w:rFonts w:ascii="Times New Roman"/>
                <w:sz w:val="16"/>
              </w:rPr>
              <w:t>0.00</w:t>
            </w:r>
          </w:p>
        </w:tc>
        <w:tc>
          <w:tcPr>
            <w:tcW w:w="990"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164"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70"/>
              <w:jc w:val="right"/>
              <w:rPr>
                <w:rFonts w:ascii="Times New Roman" w:hAnsi="Times New Roman" w:cs="Times New Roman" w:eastAsia="Times New Roman" w:hint="default"/>
                <w:sz w:val="16"/>
                <w:szCs w:val="16"/>
              </w:rPr>
            </w:pPr>
            <w:r>
              <w:rPr>
                <w:rFonts w:ascii="Times New Roman"/>
                <w:spacing w:val="-1"/>
                <w:sz w:val="16"/>
              </w:rPr>
              <w:t>177,999.74</w:t>
            </w:r>
          </w:p>
        </w:tc>
        <w:tc>
          <w:tcPr>
            <w:tcW w:w="1211"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134"/>
              <w:jc w:val="right"/>
              <w:rPr>
                <w:rFonts w:ascii="Times New Roman" w:hAnsi="Times New Roman" w:cs="Times New Roman" w:eastAsia="Times New Roman" w:hint="default"/>
                <w:sz w:val="16"/>
                <w:szCs w:val="16"/>
              </w:rPr>
            </w:pPr>
            <w:r>
              <w:rPr>
                <w:rFonts w:ascii="Times New Roman"/>
                <w:spacing w:val="-1"/>
                <w:sz w:val="16"/>
              </w:rPr>
              <w:t>0.00</w:t>
            </w:r>
          </w:p>
        </w:tc>
        <w:tc>
          <w:tcPr>
            <w:tcW w:w="1195"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54"/>
              <w:jc w:val="right"/>
              <w:rPr>
                <w:rFonts w:ascii="Times New Roman" w:hAnsi="Times New Roman" w:cs="Times New Roman" w:eastAsia="Times New Roman" w:hint="default"/>
                <w:sz w:val="16"/>
                <w:szCs w:val="16"/>
              </w:rPr>
            </w:pPr>
            <w:r>
              <w:rPr>
                <w:rFonts w:ascii="Times New Roman"/>
                <w:spacing w:val="-1"/>
                <w:sz w:val="16"/>
              </w:rPr>
              <w:t>167,203.56</w:t>
            </w:r>
          </w:p>
        </w:tc>
      </w:tr>
      <w:tr>
        <w:trPr>
          <w:trHeight w:val="305" w:hRule="exact"/>
        </w:trPr>
        <w:tc>
          <w:tcPr>
            <w:tcW w:w="1352" w:type="dxa"/>
            <w:tcBorders>
              <w:top w:val="single" w:sz="4" w:space="0" w:color="000000"/>
              <w:left w:val="nil" w:sz="6" w:space="0" w:color="auto"/>
              <w:bottom w:val="single" w:sz="12" w:space="0" w:color="000000"/>
              <w:right w:val="nil" w:sz="6" w:space="0" w:color="auto"/>
            </w:tcBorders>
          </w:tcPr>
          <w:p>
            <w:pPr>
              <w:pStyle w:val="TableParagraph"/>
              <w:spacing w:line="240" w:lineRule="auto" w:before="50"/>
              <w:ind w:left="71" w:right="0"/>
              <w:jc w:val="left"/>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c>
        <w:tc>
          <w:tcPr>
            <w:tcW w:w="1275"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71"/>
              <w:jc w:val="right"/>
              <w:rPr>
                <w:rFonts w:ascii="Times New Roman" w:hAnsi="Times New Roman" w:cs="Times New Roman" w:eastAsia="Times New Roman" w:hint="default"/>
                <w:sz w:val="16"/>
                <w:szCs w:val="16"/>
              </w:rPr>
            </w:pPr>
            <w:r>
              <w:rPr>
                <w:rFonts w:ascii="Times New Roman"/>
                <w:b/>
                <w:spacing w:val="-1"/>
                <w:sz w:val="16"/>
              </w:rPr>
              <w:t>768,486,958.67</w:t>
            </w:r>
            <w:r>
              <w:rPr>
                <w:rFonts w:ascii="Times New Roman"/>
                <w:spacing w:val="-1"/>
                <w:sz w:val="16"/>
              </w:rPr>
            </w:r>
          </w:p>
        </w:tc>
        <w:tc>
          <w:tcPr>
            <w:tcW w:w="1533"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left="72" w:right="0"/>
              <w:jc w:val="left"/>
              <w:rPr>
                <w:rFonts w:ascii="Times New Roman" w:hAnsi="Times New Roman" w:cs="Times New Roman" w:eastAsia="Times New Roman" w:hint="default"/>
                <w:sz w:val="16"/>
                <w:szCs w:val="16"/>
              </w:rPr>
            </w:pPr>
            <w:r>
              <w:rPr>
                <w:rFonts w:ascii="Times New Roman"/>
                <w:b/>
                <w:sz w:val="16"/>
              </w:rPr>
              <w:t>210,372,162.33</w:t>
            </w:r>
            <w:r>
              <w:rPr>
                <w:rFonts w:ascii="Times New Roman"/>
                <w:sz w:val="16"/>
              </w:rPr>
            </w:r>
          </w:p>
        </w:tc>
        <w:tc>
          <w:tcPr>
            <w:tcW w:w="990"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left="-23" w:right="0"/>
              <w:jc w:val="left"/>
              <w:rPr>
                <w:rFonts w:ascii="Times New Roman" w:hAnsi="Times New Roman" w:cs="Times New Roman" w:eastAsia="Times New Roman" w:hint="default"/>
                <w:sz w:val="16"/>
                <w:szCs w:val="16"/>
              </w:rPr>
            </w:pPr>
            <w:r>
              <w:rPr>
                <w:rFonts w:ascii="Times New Roman"/>
                <w:b/>
                <w:sz w:val="16"/>
              </w:rPr>
              <w:t>4,876,230.80</w:t>
            </w:r>
            <w:r>
              <w:rPr>
                <w:rFonts w:ascii="Times New Roman"/>
                <w:sz w:val="16"/>
              </w:rPr>
            </w:r>
          </w:p>
        </w:tc>
        <w:tc>
          <w:tcPr>
            <w:tcW w:w="1164"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71"/>
              <w:jc w:val="right"/>
              <w:rPr>
                <w:rFonts w:ascii="Times New Roman" w:hAnsi="Times New Roman" w:cs="Times New Roman" w:eastAsia="Times New Roman" w:hint="default"/>
                <w:sz w:val="16"/>
                <w:szCs w:val="16"/>
              </w:rPr>
            </w:pPr>
            <w:r>
              <w:rPr>
                <w:rFonts w:ascii="Times New Roman"/>
                <w:b/>
                <w:spacing w:val="-2"/>
                <w:sz w:val="16"/>
              </w:rPr>
              <w:t>49,811,572.55</w:t>
            </w:r>
            <w:r>
              <w:rPr>
                <w:rFonts w:ascii="Times New Roman"/>
                <w:spacing w:val="-2"/>
                <w:sz w:val="16"/>
              </w:rPr>
            </w:r>
          </w:p>
        </w:tc>
        <w:tc>
          <w:tcPr>
            <w:tcW w:w="1211"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135"/>
              <w:jc w:val="right"/>
              <w:rPr>
                <w:rFonts w:ascii="Times New Roman" w:hAnsi="Times New Roman" w:cs="Times New Roman" w:eastAsia="Times New Roman" w:hint="default"/>
                <w:sz w:val="16"/>
                <w:szCs w:val="16"/>
              </w:rPr>
            </w:pPr>
            <w:r>
              <w:rPr>
                <w:rFonts w:ascii="Times New Roman"/>
                <w:b/>
                <w:spacing w:val="-1"/>
                <w:sz w:val="16"/>
              </w:rPr>
              <w:t>100,510,901.80</w:t>
            </w:r>
            <w:r>
              <w:rPr>
                <w:rFonts w:ascii="Times New Roman"/>
                <w:spacing w:val="-1"/>
                <w:sz w:val="16"/>
              </w:rPr>
            </w:r>
          </w:p>
        </w:tc>
        <w:tc>
          <w:tcPr>
            <w:tcW w:w="1195"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55"/>
              <w:jc w:val="right"/>
              <w:rPr>
                <w:rFonts w:ascii="Times New Roman" w:hAnsi="Times New Roman" w:cs="Times New Roman" w:eastAsia="Times New Roman" w:hint="default"/>
                <w:sz w:val="16"/>
                <w:szCs w:val="16"/>
              </w:rPr>
            </w:pPr>
            <w:r>
              <w:rPr>
                <w:rFonts w:ascii="Times New Roman"/>
                <w:b/>
                <w:spacing w:val="-1"/>
                <w:sz w:val="16"/>
              </w:rPr>
              <w:t>833,412,877.45</w:t>
            </w:r>
            <w:r>
              <w:rPr>
                <w:rFonts w:ascii="Times New Roman"/>
                <w:spacing w:val="-1"/>
                <w:sz w:val="16"/>
              </w:rPr>
            </w:r>
          </w:p>
        </w:tc>
      </w:tr>
    </w:tbl>
    <w:p>
      <w:pPr>
        <w:spacing w:after="0" w:line="240" w:lineRule="auto"/>
        <w:jc w:val="right"/>
        <w:rPr>
          <w:rFonts w:ascii="Times New Roman" w:hAnsi="Times New Roman" w:cs="Times New Roman" w:eastAsia="Times New Roman" w:hint="default"/>
          <w:sz w:val="16"/>
          <w:szCs w:val="16"/>
        </w:rPr>
        <w:sectPr>
          <w:pgSz w:w="11910" w:h="16840"/>
          <w:pgMar w:header="585" w:footer="836" w:top="1080" w:bottom="1020" w:left="1500" w:right="1440"/>
        </w:sectPr>
      </w:pPr>
    </w:p>
    <w:p>
      <w:pPr>
        <w:spacing w:line="240" w:lineRule="auto" w:before="0"/>
        <w:rPr>
          <w:rFonts w:ascii="宋体" w:hAnsi="宋体" w:cs="宋体" w:eastAsia="宋体" w:hint="default"/>
          <w:sz w:val="20"/>
          <w:szCs w:val="20"/>
        </w:rPr>
      </w:pPr>
    </w:p>
    <w:p>
      <w:pPr>
        <w:tabs>
          <w:tab w:pos="1021" w:val="left" w:leader="none"/>
        </w:tabs>
        <w:spacing w:before="179"/>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9.</w:t>
        <w:tab/>
      </w:r>
      <w:r>
        <w:rPr>
          <w:rFonts w:ascii="宋体" w:hAnsi="宋体" w:cs="宋体" w:eastAsia="宋体" w:hint="default"/>
          <w:sz w:val="22"/>
          <w:szCs w:val="22"/>
        </w:rPr>
        <w:t>可供出售金融资产</w:t>
      </w:r>
    </w:p>
    <w:p>
      <w:pPr>
        <w:tabs>
          <w:tab w:pos="1201" w:val="left" w:leader="none"/>
        </w:tabs>
        <w:spacing w:before="113"/>
        <w:ind w:left="649" w:right="0" w:firstLine="0"/>
        <w:jc w:val="left"/>
        <w:rPr>
          <w:rFonts w:ascii="宋体" w:hAnsi="宋体" w:cs="宋体" w:eastAsia="宋体" w:hint="default"/>
          <w:sz w:val="22"/>
          <w:szCs w:val="22"/>
        </w:rPr>
      </w:pPr>
      <w:r>
        <w:rPr/>
        <w:pict>
          <v:group style="position:absolute;margin-left:180.050003pt;margin-top:44.177666pt;width:332.1pt;height:.5pt;mso-position-horizontal-relative:page;mso-position-vertical-relative:paragraph;z-index:-1197376" coordorigin="3601,884" coordsize="6642,10">
            <v:group style="position:absolute;left:3606;top:888;width:1128;height:2" coordorigin="3606,888" coordsize="1128,2">
              <v:shape style="position:absolute;left:3606;top:888;width:1128;height:2" coordorigin="3606,888" coordsize="1128,0" path="m3606,888l4734,888e" filled="false" stroked="true" strokeweight=".48pt" strokecolor="#000000">
                <v:path arrowok="t"/>
              </v:shape>
            </v:group>
            <v:group style="position:absolute;left:4734;top:888;width:10;height:2" coordorigin="4734,888" coordsize="10,2">
              <v:shape style="position:absolute;left:4734;top:888;width:10;height:2" coordorigin="4734,888" coordsize="10,0" path="m4734,888l4743,888e" filled="false" stroked="true" strokeweight=".48pt" strokecolor="#000000">
                <v:path arrowok="t"/>
              </v:shape>
            </v:group>
            <v:group style="position:absolute;left:4743;top:888;width:1068;height:2" coordorigin="4743,888" coordsize="1068,2">
              <v:shape style="position:absolute;left:4743;top:888;width:1068;height:2" coordorigin="4743,888" coordsize="1068,0" path="m4743,888l5811,888e" filled="false" stroked="true" strokeweight=".48pt" strokecolor="#000000">
                <v:path arrowok="t"/>
              </v:shape>
            </v:group>
            <v:group style="position:absolute;left:5811;top:888;width:10;height:2" coordorigin="5811,888" coordsize="10,2">
              <v:shape style="position:absolute;left:5811;top:888;width:10;height:2" coordorigin="5811,888" coordsize="10,0" path="m5811,888l5821,888e" filled="false" stroked="true" strokeweight=".48pt" strokecolor="#000000">
                <v:path arrowok="t"/>
              </v:shape>
            </v:group>
            <v:group style="position:absolute;left:5821;top:888;width:1055;height:2" coordorigin="5821,888" coordsize="1055,2">
              <v:shape style="position:absolute;left:5821;top:888;width:1055;height:2" coordorigin="5821,888" coordsize="1055,0" path="m5821,888l6875,888e" filled="false" stroked="true" strokeweight=".48pt" strokecolor="#000000">
                <v:path arrowok="t"/>
              </v:shape>
            </v:group>
            <v:group style="position:absolute;left:6875;top:888;width:10;height:2" coordorigin="6875,888" coordsize="10,2">
              <v:shape style="position:absolute;left:6875;top:888;width:10;height:2" coordorigin="6875,888" coordsize="10,0" path="m6875,888l6885,888e" filled="false" stroked="true" strokeweight=".48pt" strokecolor="#000000">
                <v:path arrowok="t"/>
              </v:shape>
            </v:group>
            <v:group style="position:absolute;left:6885;top:888;width:1162;height:2" coordorigin="6885,888" coordsize="1162,2">
              <v:shape style="position:absolute;left:6885;top:888;width:1162;height:2" coordorigin="6885,888" coordsize="1162,0" path="m6885,888l8046,888e" filled="false" stroked="true" strokeweight=".48pt" strokecolor="#000000">
                <v:path arrowok="t"/>
              </v:shape>
            </v:group>
            <v:group style="position:absolute;left:8046;top:888;width:10;height:2" coordorigin="8046,888" coordsize="10,2">
              <v:shape style="position:absolute;left:8046;top:888;width:10;height:2" coordorigin="8046,888" coordsize="10,0" path="m8046,888l8056,888e" filled="false" stroked="true" strokeweight=".48pt" strokecolor="#000000">
                <v:path arrowok="t"/>
              </v:shape>
            </v:group>
            <v:group style="position:absolute;left:8056;top:888;width:1127;height:2" coordorigin="8056,888" coordsize="1127,2">
              <v:shape style="position:absolute;left:8056;top:888;width:1127;height:2" coordorigin="8056,888" coordsize="1127,0" path="m8056,888l9182,888e" filled="false" stroked="true" strokeweight=".48pt" strokecolor="#000000">
                <v:path arrowok="t"/>
              </v:shape>
            </v:group>
            <v:group style="position:absolute;left:9182;top:888;width:10;height:2" coordorigin="9182,888" coordsize="10,2">
              <v:shape style="position:absolute;left:9182;top:888;width:10;height:2" coordorigin="9182,888" coordsize="10,0" path="m9182,888l9192,888e" filled="false" stroked="true" strokeweight=".48pt" strokecolor="#000000">
                <v:path arrowok="t"/>
              </v:shape>
            </v:group>
            <v:group style="position:absolute;left:9192;top:888;width:1047;height:2" coordorigin="9192,888" coordsize="1047,2">
              <v:shape style="position:absolute;left:9192;top:888;width:1047;height:2" coordorigin="9192,888" coordsize="1047,0" path="m9192,888l10238,888e" filled="false" stroked="true" strokeweight=".48pt" strokecolor="#000000">
                <v:path arrowok="t"/>
              </v:shape>
            </v:group>
            <w10:wrap type="none"/>
          </v:group>
        </w:pict>
      </w:r>
      <w:r>
        <w:rPr>
          <w:rFonts w:ascii="Times New Roman" w:hAnsi="Times New Roman" w:cs="Times New Roman" w:eastAsia="Times New Roman" w:hint="default"/>
          <w:b/>
          <w:bCs/>
          <w:sz w:val="22"/>
          <w:szCs w:val="22"/>
        </w:rPr>
        <w:t>(1)</w:t>
        <w:tab/>
      </w:r>
      <w:r>
        <w:rPr>
          <w:rFonts w:ascii="宋体" w:hAnsi="宋体" w:cs="宋体" w:eastAsia="宋体" w:hint="default"/>
          <w:sz w:val="22"/>
          <w:szCs w:val="22"/>
        </w:rPr>
        <w:t>可供出售金融资产情况</w:t>
      </w:r>
    </w:p>
    <w:p>
      <w:pPr>
        <w:spacing w:line="240" w:lineRule="auto" w:before="8"/>
        <w:rPr>
          <w:rFonts w:ascii="宋体" w:hAnsi="宋体" w:cs="宋体" w:eastAsia="宋体" w:hint="default"/>
          <w:sz w:val="11"/>
          <w:szCs w:val="11"/>
        </w:rPr>
      </w:pPr>
    </w:p>
    <w:tbl>
      <w:tblPr>
        <w:tblW w:w="0" w:type="auto"/>
        <w:jc w:val="left"/>
        <w:tblInd w:w="178" w:type="dxa"/>
        <w:tblLayout w:type="fixed"/>
        <w:tblCellMar>
          <w:top w:w="0" w:type="dxa"/>
          <w:left w:w="0" w:type="dxa"/>
          <w:bottom w:w="0" w:type="dxa"/>
          <w:right w:w="0" w:type="dxa"/>
        </w:tblCellMar>
        <w:tblLook w:val="01E0"/>
      </w:tblPr>
      <w:tblGrid>
        <w:gridCol w:w="1925"/>
        <w:gridCol w:w="1240"/>
        <w:gridCol w:w="990"/>
        <w:gridCol w:w="1118"/>
        <w:gridCol w:w="1223"/>
        <w:gridCol w:w="1025"/>
        <w:gridCol w:w="1057"/>
      </w:tblGrid>
      <w:tr>
        <w:trPr>
          <w:trHeight w:val="397" w:hRule="exact"/>
        </w:trPr>
        <w:tc>
          <w:tcPr>
            <w:tcW w:w="1925"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left="43" w:right="0"/>
              <w:jc w:val="left"/>
              <w:rPr>
                <w:rFonts w:ascii="宋体" w:hAnsi="宋体" w:cs="宋体" w:eastAsia="宋体" w:hint="default"/>
                <w:sz w:val="16"/>
                <w:szCs w:val="16"/>
              </w:rPr>
            </w:pPr>
            <w:r>
              <w:rPr>
                <w:rFonts w:ascii="宋体" w:hAnsi="宋体" w:cs="宋体" w:eastAsia="宋体" w:hint="default"/>
                <w:b/>
                <w:bCs/>
                <w:sz w:val="16"/>
                <w:szCs w:val="16"/>
              </w:rPr>
              <w:t>项目</w:t>
            </w:r>
            <w:r>
              <w:rPr>
                <w:rFonts w:ascii="宋体" w:hAnsi="宋体" w:cs="宋体" w:eastAsia="宋体" w:hint="default"/>
                <w:sz w:val="16"/>
                <w:szCs w:val="16"/>
              </w:rPr>
            </w:r>
          </w:p>
        </w:tc>
        <w:tc>
          <w:tcPr>
            <w:tcW w:w="1240" w:type="dxa"/>
            <w:tcBorders>
              <w:top w:val="single" w:sz="12" w:space="0" w:color="000000"/>
              <w:left w:val="nil" w:sz="6" w:space="0" w:color="auto"/>
              <w:bottom w:val="nil" w:sz="6" w:space="0" w:color="auto"/>
              <w:right w:val="nil" w:sz="6" w:space="0" w:color="auto"/>
            </w:tcBorders>
          </w:tcPr>
          <w:p>
            <w:pPr/>
          </w:p>
        </w:tc>
        <w:tc>
          <w:tcPr>
            <w:tcW w:w="990"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left="92" w:right="0"/>
              <w:jc w:val="left"/>
              <w:rPr>
                <w:rFonts w:ascii="宋体" w:hAnsi="宋体" w:cs="宋体" w:eastAsia="宋体" w:hint="default"/>
                <w:sz w:val="16"/>
                <w:szCs w:val="16"/>
              </w:rPr>
            </w:pPr>
            <w:r>
              <w:rPr>
                <w:rFonts w:ascii="宋体" w:hAnsi="宋体" w:cs="宋体" w:eastAsia="宋体" w:hint="default"/>
                <w:b/>
                <w:bCs/>
                <w:sz w:val="16"/>
                <w:szCs w:val="16"/>
              </w:rPr>
              <w:t>年末余额</w:t>
            </w:r>
            <w:r>
              <w:rPr>
                <w:rFonts w:ascii="宋体" w:hAnsi="宋体" w:cs="宋体" w:eastAsia="宋体" w:hint="default"/>
                <w:sz w:val="16"/>
                <w:szCs w:val="16"/>
              </w:rPr>
            </w:r>
          </w:p>
        </w:tc>
        <w:tc>
          <w:tcPr>
            <w:tcW w:w="1118" w:type="dxa"/>
            <w:tcBorders>
              <w:top w:val="single" w:sz="12" w:space="0" w:color="000000"/>
              <w:left w:val="nil" w:sz="6" w:space="0" w:color="auto"/>
              <w:bottom w:val="nil" w:sz="6" w:space="0" w:color="auto"/>
              <w:right w:val="nil" w:sz="6" w:space="0" w:color="auto"/>
            </w:tcBorders>
          </w:tcPr>
          <w:p>
            <w:pPr/>
          </w:p>
        </w:tc>
        <w:tc>
          <w:tcPr>
            <w:tcW w:w="1223" w:type="dxa"/>
            <w:tcBorders>
              <w:top w:val="single" w:sz="12" w:space="0" w:color="000000"/>
              <w:left w:val="nil" w:sz="6" w:space="0" w:color="auto"/>
              <w:bottom w:val="nil" w:sz="6" w:space="0" w:color="auto"/>
              <w:right w:val="nil" w:sz="6" w:space="0" w:color="auto"/>
            </w:tcBorders>
          </w:tcPr>
          <w:p>
            <w:pPr/>
          </w:p>
        </w:tc>
        <w:tc>
          <w:tcPr>
            <w:tcW w:w="1025"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left="80" w:right="0"/>
              <w:jc w:val="left"/>
              <w:rPr>
                <w:rFonts w:ascii="宋体" w:hAnsi="宋体" w:cs="宋体" w:eastAsia="宋体" w:hint="default"/>
                <w:sz w:val="16"/>
                <w:szCs w:val="16"/>
              </w:rPr>
            </w:pPr>
            <w:r>
              <w:rPr>
                <w:rFonts w:ascii="宋体" w:hAnsi="宋体" w:cs="宋体" w:eastAsia="宋体" w:hint="default"/>
                <w:b/>
                <w:bCs/>
                <w:sz w:val="16"/>
                <w:szCs w:val="16"/>
              </w:rPr>
              <w:t>年初余额</w:t>
            </w:r>
            <w:r>
              <w:rPr>
                <w:rFonts w:ascii="宋体" w:hAnsi="宋体" w:cs="宋体" w:eastAsia="宋体" w:hint="default"/>
                <w:sz w:val="16"/>
                <w:szCs w:val="16"/>
              </w:rPr>
            </w:r>
          </w:p>
        </w:tc>
        <w:tc>
          <w:tcPr>
            <w:tcW w:w="1057" w:type="dxa"/>
            <w:tcBorders>
              <w:top w:val="single" w:sz="12" w:space="0" w:color="000000"/>
              <w:left w:val="nil" w:sz="6" w:space="0" w:color="auto"/>
              <w:bottom w:val="nil" w:sz="6" w:space="0" w:color="auto"/>
              <w:right w:val="nil" w:sz="6" w:space="0" w:color="auto"/>
            </w:tcBorders>
          </w:tcPr>
          <w:p>
            <w:pPr/>
          </w:p>
        </w:tc>
      </w:tr>
      <w:tr>
        <w:trPr>
          <w:trHeight w:val="203" w:hRule="exact"/>
        </w:trPr>
        <w:tc>
          <w:tcPr>
            <w:tcW w:w="1925" w:type="dxa"/>
            <w:tcBorders>
              <w:top w:val="nil" w:sz="6" w:space="0" w:color="auto"/>
              <w:left w:val="nil" w:sz="6" w:space="0" w:color="auto"/>
              <w:bottom w:val="single" w:sz="4" w:space="0" w:color="000000"/>
              <w:right w:val="nil" w:sz="6" w:space="0" w:color="auto"/>
            </w:tcBorders>
          </w:tcPr>
          <w:p>
            <w:pPr/>
          </w:p>
        </w:tc>
        <w:tc>
          <w:tcPr>
            <w:tcW w:w="1240" w:type="dxa"/>
            <w:tcBorders>
              <w:top w:val="nil" w:sz="6" w:space="0" w:color="auto"/>
              <w:left w:val="nil" w:sz="6" w:space="0" w:color="auto"/>
              <w:bottom w:val="single" w:sz="4" w:space="0" w:color="000000"/>
              <w:right w:val="nil" w:sz="6" w:space="0" w:color="auto"/>
            </w:tcBorders>
          </w:tcPr>
          <w:p>
            <w:pPr>
              <w:pStyle w:val="TableParagraph"/>
              <w:spacing w:line="173" w:lineRule="exact"/>
              <w:ind w:left="261" w:right="0"/>
              <w:jc w:val="left"/>
              <w:rPr>
                <w:rFonts w:ascii="宋体" w:hAnsi="宋体" w:cs="宋体" w:eastAsia="宋体" w:hint="default"/>
                <w:sz w:val="16"/>
                <w:szCs w:val="16"/>
              </w:rPr>
            </w:pPr>
            <w:r>
              <w:rPr>
                <w:rFonts w:ascii="宋体" w:hAnsi="宋体" w:cs="宋体" w:eastAsia="宋体" w:hint="default"/>
                <w:b/>
                <w:bCs/>
                <w:sz w:val="16"/>
                <w:szCs w:val="16"/>
              </w:rPr>
              <w:t>账面余额</w:t>
            </w:r>
            <w:r>
              <w:rPr>
                <w:rFonts w:ascii="宋体" w:hAnsi="宋体" w:cs="宋体" w:eastAsia="宋体" w:hint="default"/>
                <w:sz w:val="16"/>
                <w:szCs w:val="16"/>
              </w:rPr>
            </w:r>
          </w:p>
        </w:tc>
        <w:tc>
          <w:tcPr>
            <w:tcW w:w="990" w:type="dxa"/>
            <w:tcBorders>
              <w:top w:val="nil" w:sz="6" w:space="0" w:color="auto"/>
              <w:left w:val="nil" w:sz="6" w:space="0" w:color="auto"/>
              <w:bottom w:val="single" w:sz="4" w:space="0" w:color="000000"/>
              <w:right w:val="nil" w:sz="6" w:space="0" w:color="auto"/>
            </w:tcBorders>
          </w:tcPr>
          <w:p>
            <w:pPr>
              <w:pStyle w:val="TableParagraph"/>
              <w:spacing w:line="173" w:lineRule="exact"/>
              <w:ind w:left="125" w:right="0"/>
              <w:jc w:val="left"/>
              <w:rPr>
                <w:rFonts w:ascii="宋体" w:hAnsi="宋体" w:cs="宋体" w:eastAsia="宋体" w:hint="default"/>
                <w:sz w:val="16"/>
                <w:szCs w:val="16"/>
              </w:rPr>
            </w:pPr>
            <w:r>
              <w:rPr>
                <w:rFonts w:ascii="宋体" w:hAnsi="宋体" w:cs="宋体" w:eastAsia="宋体" w:hint="default"/>
                <w:b/>
                <w:bCs/>
                <w:sz w:val="16"/>
                <w:szCs w:val="16"/>
              </w:rPr>
              <w:t>减值准备</w:t>
            </w:r>
            <w:r>
              <w:rPr>
                <w:rFonts w:ascii="宋体" w:hAnsi="宋体" w:cs="宋体" w:eastAsia="宋体" w:hint="default"/>
                <w:sz w:val="16"/>
                <w:szCs w:val="16"/>
              </w:rPr>
            </w:r>
          </w:p>
        </w:tc>
        <w:tc>
          <w:tcPr>
            <w:tcW w:w="1118" w:type="dxa"/>
            <w:tcBorders>
              <w:top w:val="nil" w:sz="6" w:space="0" w:color="auto"/>
              <w:left w:val="nil" w:sz="6" w:space="0" w:color="auto"/>
              <w:bottom w:val="single" w:sz="4" w:space="0" w:color="000000"/>
              <w:right w:val="nil" w:sz="6" w:space="0" w:color="auto"/>
            </w:tcBorders>
          </w:tcPr>
          <w:p>
            <w:pPr>
              <w:pStyle w:val="TableParagraph"/>
              <w:spacing w:line="173" w:lineRule="exact"/>
              <w:ind w:left="206" w:right="0"/>
              <w:jc w:val="left"/>
              <w:rPr>
                <w:rFonts w:ascii="宋体" w:hAnsi="宋体" w:cs="宋体" w:eastAsia="宋体" w:hint="default"/>
                <w:sz w:val="16"/>
                <w:szCs w:val="16"/>
              </w:rPr>
            </w:pPr>
            <w:r>
              <w:rPr>
                <w:rFonts w:ascii="宋体" w:hAnsi="宋体" w:cs="宋体" w:eastAsia="宋体" w:hint="default"/>
                <w:b/>
                <w:bCs/>
                <w:sz w:val="16"/>
                <w:szCs w:val="16"/>
              </w:rPr>
              <w:t>账面价值</w:t>
            </w:r>
            <w:r>
              <w:rPr>
                <w:rFonts w:ascii="宋体" w:hAnsi="宋体" w:cs="宋体" w:eastAsia="宋体" w:hint="default"/>
                <w:sz w:val="16"/>
                <w:szCs w:val="16"/>
              </w:rPr>
            </w:r>
          </w:p>
        </w:tc>
        <w:tc>
          <w:tcPr>
            <w:tcW w:w="1223" w:type="dxa"/>
            <w:tcBorders>
              <w:top w:val="nil" w:sz="6" w:space="0" w:color="auto"/>
              <w:left w:val="nil" w:sz="6" w:space="0" w:color="auto"/>
              <w:bottom w:val="single" w:sz="4" w:space="0" w:color="000000"/>
              <w:right w:val="nil" w:sz="6" w:space="0" w:color="auto"/>
            </w:tcBorders>
          </w:tcPr>
          <w:p>
            <w:pPr>
              <w:pStyle w:val="TableParagraph"/>
              <w:spacing w:line="173" w:lineRule="exact"/>
              <w:ind w:left="206" w:right="0"/>
              <w:jc w:val="left"/>
              <w:rPr>
                <w:rFonts w:ascii="宋体" w:hAnsi="宋体" w:cs="宋体" w:eastAsia="宋体" w:hint="default"/>
                <w:sz w:val="16"/>
                <w:szCs w:val="16"/>
              </w:rPr>
            </w:pPr>
            <w:r>
              <w:rPr>
                <w:rFonts w:ascii="宋体" w:hAnsi="宋体" w:cs="宋体" w:eastAsia="宋体" w:hint="default"/>
                <w:b/>
                <w:bCs/>
                <w:sz w:val="16"/>
                <w:szCs w:val="16"/>
              </w:rPr>
              <w:t>账面余额</w:t>
            </w:r>
            <w:r>
              <w:rPr>
                <w:rFonts w:ascii="宋体" w:hAnsi="宋体" w:cs="宋体" w:eastAsia="宋体" w:hint="default"/>
                <w:sz w:val="16"/>
                <w:szCs w:val="16"/>
              </w:rPr>
            </w:r>
          </w:p>
        </w:tc>
        <w:tc>
          <w:tcPr>
            <w:tcW w:w="1025" w:type="dxa"/>
            <w:tcBorders>
              <w:top w:val="nil" w:sz="6" w:space="0" w:color="auto"/>
              <w:left w:val="nil" w:sz="6" w:space="0" w:color="auto"/>
              <w:bottom w:val="single" w:sz="4" w:space="0" w:color="000000"/>
              <w:right w:val="nil" w:sz="6" w:space="0" w:color="auto"/>
            </w:tcBorders>
          </w:tcPr>
          <w:p>
            <w:pPr>
              <w:pStyle w:val="TableParagraph"/>
              <w:spacing w:line="173" w:lineRule="exact"/>
              <w:ind w:left="135" w:right="0"/>
              <w:jc w:val="left"/>
              <w:rPr>
                <w:rFonts w:ascii="宋体" w:hAnsi="宋体" w:cs="宋体" w:eastAsia="宋体" w:hint="default"/>
                <w:sz w:val="16"/>
                <w:szCs w:val="16"/>
              </w:rPr>
            </w:pPr>
            <w:r>
              <w:rPr>
                <w:rFonts w:ascii="宋体" w:hAnsi="宋体" w:cs="宋体" w:eastAsia="宋体" w:hint="default"/>
                <w:b/>
                <w:bCs/>
                <w:sz w:val="16"/>
                <w:szCs w:val="16"/>
              </w:rPr>
              <w:t>减值准备</w:t>
            </w:r>
            <w:r>
              <w:rPr>
                <w:rFonts w:ascii="宋体" w:hAnsi="宋体" w:cs="宋体" w:eastAsia="宋体" w:hint="default"/>
                <w:sz w:val="16"/>
                <w:szCs w:val="16"/>
              </w:rPr>
            </w:r>
          </w:p>
        </w:tc>
        <w:tc>
          <w:tcPr>
            <w:tcW w:w="1057" w:type="dxa"/>
            <w:tcBorders>
              <w:top w:val="nil" w:sz="6" w:space="0" w:color="auto"/>
              <w:left w:val="nil" w:sz="6" w:space="0" w:color="auto"/>
              <w:bottom w:val="single" w:sz="4" w:space="0" w:color="000000"/>
              <w:right w:val="nil" w:sz="6" w:space="0" w:color="auto"/>
            </w:tcBorders>
          </w:tcPr>
          <w:p>
            <w:pPr>
              <w:pStyle w:val="TableParagraph"/>
              <w:spacing w:line="173" w:lineRule="exact"/>
              <w:ind w:right="3"/>
              <w:jc w:val="center"/>
              <w:rPr>
                <w:rFonts w:ascii="宋体" w:hAnsi="宋体" w:cs="宋体" w:eastAsia="宋体" w:hint="default"/>
                <w:sz w:val="16"/>
                <w:szCs w:val="16"/>
              </w:rPr>
            </w:pPr>
            <w:r>
              <w:rPr>
                <w:rFonts w:ascii="宋体" w:hAnsi="宋体" w:cs="宋体" w:eastAsia="宋体" w:hint="default"/>
                <w:b/>
                <w:bCs/>
                <w:sz w:val="16"/>
                <w:szCs w:val="16"/>
              </w:rPr>
              <w:t>账面价值</w:t>
            </w:r>
            <w:r>
              <w:rPr>
                <w:rFonts w:ascii="宋体" w:hAnsi="宋体" w:cs="宋体" w:eastAsia="宋体" w:hint="default"/>
                <w:sz w:val="16"/>
                <w:szCs w:val="16"/>
              </w:rPr>
            </w:r>
          </w:p>
        </w:tc>
      </w:tr>
      <w:tr>
        <w:trPr>
          <w:trHeight w:val="335" w:hRule="exact"/>
        </w:trPr>
        <w:tc>
          <w:tcPr>
            <w:tcW w:w="1925" w:type="dxa"/>
            <w:tcBorders>
              <w:top w:val="single" w:sz="4" w:space="0" w:color="000000"/>
              <w:left w:val="nil" w:sz="6" w:space="0" w:color="auto"/>
              <w:bottom w:val="nil" w:sz="6" w:space="0" w:color="auto"/>
              <w:right w:val="nil" w:sz="6" w:space="0" w:color="auto"/>
            </w:tcBorders>
          </w:tcPr>
          <w:p>
            <w:pPr>
              <w:pStyle w:val="TableParagraph"/>
              <w:spacing w:line="240" w:lineRule="auto" w:before="50"/>
              <w:ind w:left="43" w:right="0"/>
              <w:jc w:val="left"/>
              <w:rPr>
                <w:rFonts w:ascii="宋体" w:hAnsi="宋体" w:cs="宋体" w:eastAsia="宋体" w:hint="default"/>
                <w:sz w:val="16"/>
                <w:szCs w:val="16"/>
              </w:rPr>
            </w:pPr>
            <w:r>
              <w:rPr>
                <w:rFonts w:ascii="宋体" w:hAnsi="宋体" w:cs="宋体" w:eastAsia="宋体" w:hint="default"/>
                <w:sz w:val="16"/>
                <w:szCs w:val="16"/>
              </w:rPr>
              <w:t>可供出售权益工具</w:t>
            </w:r>
          </w:p>
        </w:tc>
        <w:tc>
          <w:tcPr>
            <w:tcW w:w="1240"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116"/>
              <w:jc w:val="right"/>
              <w:rPr>
                <w:rFonts w:ascii="Times New Roman" w:hAnsi="Times New Roman" w:cs="Times New Roman" w:eastAsia="Times New Roman" w:hint="default"/>
                <w:sz w:val="16"/>
                <w:szCs w:val="16"/>
              </w:rPr>
            </w:pPr>
            <w:r>
              <w:rPr>
                <w:rFonts w:ascii="Times New Roman"/>
                <w:spacing w:val="-1"/>
                <w:sz w:val="16"/>
              </w:rPr>
              <w:t>161,678,330.46</w:t>
            </w:r>
          </w:p>
        </w:tc>
        <w:tc>
          <w:tcPr>
            <w:tcW w:w="990"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left="118" w:right="0"/>
              <w:jc w:val="left"/>
              <w:rPr>
                <w:rFonts w:ascii="Times New Roman" w:hAnsi="Times New Roman" w:cs="Times New Roman" w:eastAsia="Times New Roman" w:hint="default"/>
                <w:sz w:val="16"/>
                <w:szCs w:val="16"/>
              </w:rPr>
            </w:pPr>
            <w:r>
              <w:rPr>
                <w:rFonts w:ascii="Times New Roman"/>
                <w:sz w:val="16"/>
              </w:rPr>
              <w:t>3,463,285.71</w:t>
            </w:r>
          </w:p>
        </w:tc>
        <w:tc>
          <w:tcPr>
            <w:tcW w:w="1118"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84"/>
              <w:jc w:val="right"/>
              <w:rPr>
                <w:rFonts w:ascii="Times New Roman" w:hAnsi="Times New Roman" w:cs="Times New Roman" w:eastAsia="Times New Roman" w:hint="default"/>
                <w:sz w:val="16"/>
                <w:szCs w:val="16"/>
              </w:rPr>
            </w:pPr>
            <w:r>
              <w:rPr>
                <w:rFonts w:ascii="Times New Roman"/>
                <w:spacing w:val="-1"/>
                <w:sz w:val="16"/>
              </w:rPr>
              <w:t>158,215,044.75</w:t>
            </w:r>
          </w:p>
        </w:tc>
        <w:tc>
          <w:tcPr>
            <w:tcW w:w="1223"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133"/>
              <w:jc w:val="right"/>
              <w:rPr>
                <w:rFonts w:ascii="Times New Roman" w:hAnsi="Times New Roman" w:cs="Times New Roman" w:eastAsia="Times New Roman" w:hint="default"/>
                <w:sz w:val="16"/>
                <w:szCs w:val="16"/>
              </w:rPr>
            </w:pPr>
            <w:r>
              <w:rPr>
                <w:rFonts w:ascii="Times New Roman"/>
                <w:spacing w:val="-1"/>
                <w:sz w:val="16"/>
              </w:rPr>
              <w:t>176,987,626.34</w:t>
            </w:r>
          </w:p>
        </w:tc>
        <w:tc>
          <w:tcPr>
            <w:tcW w:w="1025"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26"/>
              <w:jc w:val="right"/>
              <w:rPr>
                <w:rFonts w:ascii="Times New Roman" w:hAnsi="Times New Roman" w:cs="Times New Roman" w:eastAsia="Times New Roman" w:hint="default"/>
                <w:sz w:val="16"/>
                <w:szCs w:val="16"/>
              </w:rPr>
            </w:pPr>
            <w:r>
              <w:rPr>
                <w:rFonts w:ascii="Times New Roman"/>
                <w:spacing w:val="-1"/>
                <w:sz w:val="16"/>
              </w:rPr>
              <w:t>3,646,021.21</w:t>
            </w:r>
          </w:p>
        </w:tc>
        <w:tc>
          <w:tcPr>
            <w:tcW w:w="1057"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1"/>
              <w:jc w:val="center"/>
              <w:rPr>
                <w:rFonts w:ascii="Times New Roman" w:hAnsi="Times New Roman" w:cs="Times New Roman" w:eastAsia="Times New Roman" w:hint="default"/>
                <w:sz w:val="16"/>
                <w:szCs w:val="16"/>
              </w:rPr>
            </w:pPr>
            <w:r>
              <w:rPr>
                <w:rFonts w:ascii="Times New Roman"/>
                <w:sz w:val="16"/>
              </w:rPr>
              <w:t>173,341,605.13</w:t>
            </w:r>
          </w:p>
        </w:tc>
      </w:tr>
      <w:tr>
        <w:trPr>
          <w:trHeight w:val="286" w:hRule="exact"/>
        </w:trPr>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5"/>
              <w:ind w:left="43" w:right="0"/>
              <w:jc w:val="left"/>
              <w:rPr>
                <w:rFonts w:ascii="宋体" w:hAnsi="宋体" w:cs="宋体" w:eastAsia="宋体" w:hint="default"/>
                <w:sz w:val="16"/>
                <w:szCs w:val="16"/>
              </w:rPr>
            </w:pPr>
            <w:r>
              <w:rPr>
                <w:rFonts w:ascii="宋体" w:hAnsi="宋体" w:cs="宋体" w:eastAsia="宋体" w:hint="default"/>
                <w:sz w:val="16"/>
                <w:szCs w:val="16"/>
              </w:rPr>
              <w:t>其中：按公允价值计量的</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8"/>
              <w:jc w:val="right"/>
              <w:rPr>
                <w:rFonts w:ascii="Times New Roman" w:hAnsi="Times New Roman" w:cs="Times New Roman" w:eastAsia="Times New Roman" w:hint="default"/>
                <w:sz w:val="16"/>
                <w:szCs w:val="16"/>
              </w:rPr>
            </w:pPr>
            <w:r>
              <w:rPr>
                <w:rFonts w:ascii="Times New Roman"/>
                <w:spacing w:val="-2"/>
                <w:sz w:val="16"/>
              </w:rPr>
              <w:t>76,326,004.13</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8"/>
              <w:jc w:val="right"/>
              <w:rPr>
                <w:rFonts w:ascii="Times New Roman" w:hAnsi="Times New Roman" w:cs="Times New Roman" w:eastAsia="Times New Roman" w:hint="default"/>
                <w:sz w:val="16"/>
                <w:szCs w:val="16"/>
              </w:rPr>
            </w:pPr>
            <w:r>
              <w:rPr>
                <w:rFonts w:ascii="Times New Roman"/>
                <w:spacing w:val="-1"/>
                <w:sz w:val="16"/>
              </w:rPr>
              <w:t>0.00</w:t>
            </w:r>
          </w:p>
        </w:tc>
        <w:tc>
          <w:tcPr>
            <w:tcW w:w="111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6"/>
              <w:jc w:val="right"/>
              <w:rPr>
                <w:rFonts w:ascii="Times New Roman" w:hAnsi="Times New Roman" w:cs="Times New Roman" w:eastAsia="Times New Roman" w:hint="default"/>
                <w:sz w:val="16"/>
                <w:szCs w:val="16"/>
              </w:rPr>
            </w:pPr>
            <w:r>
              <w:rPr>
                <w:rFonts w:ascii="Times New Roman"/>
                <w:spacing w:val="-2"/>
                <w:sz w:val="16"/>
              </w:rPr>
              <w:t>76,326,004.13</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5"/>
              <w:jc w:val="right"/>
              <w:rPr>
                <w:rFonts w:ascii="Times New Roman" w:hAnsi="Times New Roman" w:cs="Times New Roman" w:eastAsia="Times New Roman" w:hint="default"/>
                <w:sz w:val="16"/>
                <w:szCs w:val="16"/>
              </w:rPr>
            </w:pPr>
            <w:r>
              <w:rPr>
                <w:rFonts w:ascii="Times New Roman"/>
                <w:spacing w:val="-2"/>
                <w:sz w:val="16"/>
              </w:rPr>
              <w:t>93,106,629.58</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5"/>
              <w:jc w:val="right"/>
              <w:rPr>
                <w:rFonts w:ascii="Times New Roman" w:hAnsi="Times New Roman" w:cs="Times New Roman" w:eastAsia="Times New Roman" w:hint="default"/>
                <w:sz w:val="16"/>
                <w:szCs w:val="16"/>
              </w:rPr>
            </w:pPr>
            <w:r>
              <w:rPr>
                <w:rFonts w:ascii="Times New Roman"/>
                <w:spacing w:val="-1"/>
                <w:sz w:val="16"/>
              </w:rPr>
              <w:t>0.00</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5" w:right="0"/>
              <w:jc w:val="center"/>
              <w:rPr>
                <w:rFonts w:ascii="Times New Roman" w:hAnsi="Times New Roman" w:cs="Times New Roman" w:eastAsia="Times New Roman" w:hint="default"/>
                <w:sz w:val="16"/>
                <w:szCs w:val="16"/>
              </w:rPr>
            </w:pPr>
            <w:r>
              <w:rPr>
                <w:rFonts w:ascii="Times New Roman"/>
                <w:sz w:val="16"/>
              </w:rPr>
              <w:t>93,106,629.58</w:t>
            </w:r>
          </w:p>
        </w:tc>
      </w:tr>
      <w:tr>
        <w:trPr>
          <w:trHeight w:val="243" w:hRule="exact"/>
        </w:trPr>
        <w:tc>
          <w:tcPr>
            <w:tcW w:w="1925" w:type="dxa"/>
            <w:tcBorders>
              <w:top w:val="nil" w:sz="6" w:space="0" w:color="auto"/>
              <w:left w:val="nil" w:sz="6" w:space="0" w:color="auto"/>
              <w:bottom w:val="single" w:sz="4" w:space="0" w:color="000000"/>
              <w:right w:val="nil" w:sz="6" w:space="0" w:color="auto"/>
            </w:tcBorders>
          </w:tcPr>
          <w:p>
            <w:pPr>
              <w:pStyle w:val="TableParagraph"/>
              <w:spacing w:line="240" w:lineRule="auto" w:before="5"/>
              <w:ind w:left="523" w:right="0"/>
              <w:jc w:val="left"/>
              <w:rPr>
                <w:rFonts w:ascii="宋体" w:hAnsi="宋体" w:cs="宋体" w:eastAsia="宋体" w:hint="default"/>
                <w:sz w:val="16"/>
                <w:szCs w:val="16"/>
              </w:rPr>
            </w:pPr>
            <w:r>
              <w:rPr>
                <w:rFonts w:ascii="宋体" w:hAnsi="宋体" w:cs="宋体" w:eastAsia="宋体" w:hint="default"/>
                <w:sz w:val="16"/>
                <w:szCs w:val="16"/>
              </w:rPr>
              <w:t>按成本计量的</w:t>
            </w:r>
          </w:p>
        </w:tc>
        <w:tc>
          <w:tcPr>
            <w:tcW w:w="1240"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118"/>
              <w:jc w:val="right"/>
              <w:rPr>
                <w:rFonts w:ascii="Times New Roman" w:hAnsi="Times New Roman" w:cs="Times New Roman" w:eastAsia="Times New Roman" w:hint="default"/>
                <w:sz w:val="16"/>
                <w:szCs w:val="16"/>
              </w:rPr>
            </w:pPr>
            <w:r>
              <w:rPr>
                <w:rFonts w:ascii="Times New Roman"/>
                <w:spacing w:val="-2"/>
                <w:sz w:val="16"/>
              </w:rPr>
              <w:t>85,352,326.33</w:t>
            </w:r>
          </w:p>
        </w:tc>
        <w:tc>
          <w:tcPr>
            <w:tcW w:w="990"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left="118" w:right="0"/>
              <w:jc w:val="left"/>
              <w:rPr>
                <w:rFonts w:ascii="Times New Roman" w:hAnsi="Times New Roman" w:cs="Times New Roman" w:eastAsia="Times New Roman" w:hint="default"/>
                <w:sz w:val="16"/>
                <w:szCs w:val="16"/>
              </w:rPr>
            </w:pPr>
            <w:r>
              <w:rPr>
                <w:rFonts w:ascii="Times New Roman"/>
                <w:sz w:val="16"/>
              </w:rPr>
              <w:t>3,463,285.71</w:t>
            </w:r>
          </w:p>
        </w:tc>
        <w:tc>
          <w:tcPr>
            <w:tcW w:w="1118"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86"/>
              <w:jc w:val="right"/>
              <w:rPr>
                <w:rFonts w:ascii="Times New Roman" w:hAnsi="Times New Roman" w:cs="Times New Roman" w:eastAsia="Times New Roman" w:hint="default"/>
                <w:sz w:val="16"/>
                <w:szCs w:val="16"/>
              </w:rPr>
            </w:pPr>
            <w:r>
              <w:rPr>
                <w:rFonts w:ascii="Times New Roman"/>
                <w:spacing w:val="-2"/>
                <w:sz w:val="16"/>
              </w:rPr>
              <w:t>81,889,040.62</w:t>
            </w:r>
          </w:p>
        </w:tc>
        <w:tc>
          <w:tcPr>
            <w:tcW w:w="1223"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133"/>
              <w:jc w:val="right"/>
              <w:rPr>
                <w:rFonts w:ascii="Times New Roman" w:hAnsi="Times New Roman" w:cs="Times New Roman" w:eastAsia="Times New Roman" w:hint="default"/>
                <w:sz w:val="16"/>
                <w:szCs w:val="16"/>
              </w:rPr>
            </w:pPr>
            <w:r>
              <w:rPr>
                <w:rFonts w:ascii="Times New Roman"/>
                <w:spacing w:val="-2"/>
                <w:sz w:val="16"/>
              </w:rPr>
              <w:t>83,880,996.76</w:t>
            </w:r>
          </w:p>
        </w:tc>
        <w:tc>
          <w:tcPr>
            <w:tcW w:w="1025"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26"/>
              <w:jc w:val="right"/>
              <w:rPr>
                <w:rFonts w:ascii="Times New Roman" w:hAnsi="Times New Roman" w:cs="Times New Roman" w:eastAsia="Times New Roman" w:hint="default"/>
                <w:sz w:val="16"/>
                <w:szCs w:val="16"/>
              </w:rPr>
            </w:pPr>
            <w:r>
              <w:rPr>
                <w:rFonts w:ascii="Times New Roman"/>
                <w:spacing w:val="-1"/>
                <w:sz w:val="16"/>
              </w:rPr>
              <w:t>3,646,021.21</w:t>
            </w:r>
          </w:p>
        </w:tc>
        <w:tc>
          <w:tcPr>
            <w:tcW w:w="1057"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left="80" w:right="0"/>
              <w:jc w:val="center"/>
              <w:rPr>
                <w:rFonts w:ascii="Times New Roman" w:hAnsi="Times New Roman" w:cs="Times New Roman" w:eastAsia="Times New Roman" w:hint="default"/>
                <w:sz w:val="16"/>
                <w:szCs w:val="16"/>
              </w:rPr>
            </w:pPr>
            <w:r>
              <w:rPr>
                <w:rFonts w:ascii="Times New Roman"/>
                <w:sz w:val="16"/>
              </w:rPr>
              <w:t>80,234,975.55</w:t>
            </w:r>
          </w:p>
        </w:tc>
      </w:tr>
      <w:tr>
        <w:trPr>
          <w:trHeight w:val="307" w:hRule="exact"/>
        </w:trPr>
        <w:tc>
          <w:tcPr>
            <w:tcW w:w="1925" w:type="dxa"/>
            <w:tcBorders>
              <w:top w:val="single" w:sz="4" w:space="0" w:color="000000"/>
              <w:left w:val="nil" w:sz="6" w:space="0" w:color="auto"/>
              <w:bottom w:val="single" w:sz="12" w:space="0" w:color="000000"/>
              <w:right w:val="nil" w:sz="6" w:space="0" w:color="auto"/>
            </w:tcBorders>
          </w:tcPr>
          <w:p>
            <w:pPr>
              <w:pStyle w:val="TableParagraph"/>
              <w:spacing w:line="240" w:lineRule="auto" w:before="53"/>
              <w:ind w:left="43" w:right="0"/>
              <w:jc w:val="left"/>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c>
        <w:tc>
          <w:tcPr>
            <w:tcW w:w="1240"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116"/>
              <w:jc w:val="right"/>
              <w:rPr>
                <w:rFonts w:ascii="Times New Roman" w:hAnsi="Times New Roman" w:cs="Times New Roman" w:eastAsia="Times New Roman" w:hint="default"/>
                <w:sz w:val="16"/>
                <w:szCs w:val="16"/>
              </w:rPr>
            </w:pPr>
            <w:r>
              <w:rPr>
                <w:rFonts w:ascii="Times New Roman"/>
                <w:b/>
                <w:spacing w:val="-1"/>
                <w:sz w:val="16"/>
              </w:rPr>
              <w:t>161,678,330.46</w:t>
            </w:r>
            <w:r>
              <w:rPr>
                <w:rFonts w:ascii="Times New Roman"/>
                <w:spacing w:val="-1"/>
                <w:sz w:val="16"/>
              </w:rPr>
            </w:r>
          </w:p>
        </w:tc>
        <w:tc>
          <w:tcPr>
            <w:tcW w:w="990"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left="118" w:right="0"/>
              <w:jc w:val="left"/>
              <w:rPr>
                <w:rFonts w:ascii="Times New Roman" w:hAnsi="Times New Roman" w:cs="Times New Roman" w:eastAsia="Times New Roman" w:hint="default"/>
                <w:sz w:val="16"/>
                <w:szCs w:val="16"/>
              </w:rPr>
            </w:pPr>
            <w:r>
              <w:rPr>
                <w:rFonts w:ascii="Times New Roman"/>
                <w:b/>
                <w:sz w:val="16"/>
              </w:rPr>
              <w:t>3,463,285.71</w:t>
            </w:r>
            <w:r>
              <w:rPr>
                <w:rFonts w:ascii="Times New Roman"/>
                <w:sz w:val="16"/>
              </w:rPr>
            </w:r>
          </w:p>
        </w:tc>
        <w:tc>
          <w:tcPr>
            <w:tcW w:w="1118"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84"/>
              <w:jc w:val="right"/>
              <w:rPr>
                <w:rFonts w:ascii="Times New Roman" w:hAnsi="Times New Roman" w:cs="Times New Roman" w:eastAsia="Times New Roman" w:hint="default"/>
                <w:sz w:val="16"/>
                <w:szCs w:val="16"/>
              </w:rPr>
            </w:pPr>
            <w:r>
              <w:rPr>
                <w:rFonts w:ascii="Times New Roman"/>
                <w:b/>
                <w:spacing w:val="-1"/>
                <w:sz w:val="16"/>
              </w:rPr>
              <w:t>158,215,044.75</w:t>
            </w:r>
            <w:r>
              <w:rPr>
                <w:rFonts w:ascii="Times New Roman"/>
                <w:spacing w:val="-1"/>
                <w:sz w:val="16"/>
              </w:rPr>
            </w:r>
          </w:p>
        </w:tc>
        <w:tc>
          <w:tcPr>
            <w:tcW w:w="1223"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133"/>
              <w:jc w:val="right"/>
              <w:rPr>
                <w:rFonts w:ascii="Times New Roman" w:hAnsi="Times New Roman" w:cs="Times New Roman" w:eastAsia="Times New Roman" w:hint="default"/>
                <w:sz w:val="16"/>
                <w:szCs w:val="16"/>
              </w:rPr>
            </w:pPr>
            <w:r>
              <w:rPr>
                <w:rFonts w:ascii="Times New Roman"/>
                <w:b/>
                <w:spacing w:val="-1"/>
                <w:sz w:val="16"/>
              </w:rPr>
              <w:t>176,987,626.34</w:t>
            </w:r>
            <w:r>
              <w:rPr>
                <w:rFonts w:ascii="Times New Roman"/>
                <w:spacing w:val="-1"/>
                <w:sz w:val="16"/>
              </w:rPr>
            </w:r>
          </w:p>
        </w:tc>
        <w:tc>
          <w:tcPr>
            <w:tcW w:w="1025"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26"/>
              <w:jc w:val="right"/>
              <w:rPr>
                <w:rFonts w:ascii="Times New Roman" w:hAnsi="Times New Roman" w:cs="Times New Roman" w:eastAsia="Times New Roman" w:hint="default"/>
                <w:sz w:val="16"/>
                <w:szCs w:val="16"/>
              </w:rPr>
            </w:pPr>
            <w:r>
              <w:rPr>
                <w:rFonts w:ascii="Times New Roman"/>
                <w:b/>
                <w:spacing w:val="-1"/>
                <w:sz w:val="16"/>
              </w:rPr>
              <w:t>3,646,021.21</w:t>
            </w:r>
            <w:r>
              <w:rPr>
                <w:rFonts w:ascii="Times New Roman"/>
                <w:spacing w:val="-1"/>
                <w:sz w:val="16"/>
              </w:rPr>
            </w:r>
          </w:p>
        </w:tc>
        <w:tc>
          <w:tcPr>
            <w:tcW w:w="1057"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1"/>
              <w:jc w:val="center"/>
              <w:rPr>
                <w:rFonts w:ascii="Times New Roman" w:hAnsi="Times New Roman" w:cs="Times New Roman" w:eastAsia="Times New Roman" w:hint="default"/>
                <w:sz w:val="16"/>
                <w:szCs w:val="16"/>
              </w:rPr>
            </w:pPr>
            <w:r>
              <w:rPr>
                <w:rFonts w:ascii="Times New Roman"/>
                <w:b/>
                <w:sz w:val="16"/>
              </w:rPr>
              <w:t>173,341,605.13</w:t>
            </w:r>
            <w:r>
              <w:rPr>
                <w:rFonts w:ascii="Times New Roman"/>
                <w:sz w:val="16"/>
              </w:rPr>
            </w:r>
          </w:p>
        </w:tc>
      </w:tr>
    </w:tbl>
    <w:p>
      <w:pPr>
        <w:spacing w:before="81"/>
        <w:ind w:left="67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1"/>
          <w:sz w:val="22"/>
          <w:szCs w:val="22"/>
        </w:rPr>
        <w:t> </w:t>
      </w:r>
      <w:r>
        <w:rPr>
          <w:rFonts w:ascii="宋体" w:hAnsi="宋体" w:cs="宋体" w:eastAsia="宋体" w:hint="default"/>
          <w:sz w:val="22"/>
          <w:szCs w:val="22"/>
        </w:rPr>
        <w:t>年末按公允价值计量的可供出售金融资产</w:t>
      </w:r>
    </w:p>
    <w:p>
      <w:pPr>
        <w:spacing w:line="240" w:lineRule="auto" w:before="5"/>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5294"/>
        <w:gridCol w:w="3321"/>
      </w:tblGrid>
      <w:tr>
        <w:trPr>
          <w:trHeight w:val="305" w:hRule="exact"/>
        </w:trPr>
        <w:tc>
          <w:tcPr>
            <w:tcW w:w="529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2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可供出售权益工具</w:t>
            </w:r>
            <w:r>
              <w:rPr>
                <w:rFonts w:ascii="宋体" w:hAnsi="宋体" w:cs="宋体" w:eastAsia="宋体" w:hint="default"/>
                <w:sz w:val="18"/>
                <w:szCs w:val="18"/>
              </w:rPr>
            </w:r>
          </w:p>
        </w:tc>
      </w:tr>
      <w:tr>
        <w:trPr>
          <w:trHeight w:val="326" w:hRule="exact"/>
        </w:trPr>
        <w:tc>
          <w:tcPr>
            <w:tcW w:w="5294"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权益工具的成本</w:t>
            </w:r>
          </w:p>
        </w:tc>
        <w:tc>
          <w:tcPr>
            <w:tcW w:w="3321"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93,491,686.66</w:t>
            </w:r>
          </w:p>
        </w:tc>
      </w:tr>
      <w:tr>
        <w:trPr>
          <w:trHeight w:val="286" w:hRule="exact"/>
        </w:trPr>
        <w:tc>
          <w:tcPr>
            <w:tcW w:w="529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332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76,326,004.13</w:t>
            </w:r>
          </w:p>
        </w:tc>
      </w:tr>
      <w:tr>
        <w:trPr>
          <w:trHeight w:val="284" w:hRule="exact"/>
        </w:trPr>
        <w:tc>
          <w:tcPr>
            <w:tcW w:w="529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332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3,936,947.68</w:t>
            </w:r>
          </w:p>
        </w:tc>
      </w:tr>
      <w:tr>
        <w:trPr>
          <w:trHeight w:val="284" w:hRule="exact"/>
        </w:trPr>
        <w:tc>
          <w:tcPr>
            <w:tcW w:w="5294"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累计计入其他综合收益的公允价值变动金额</w:t>
            </w:r>
          </w:p>
        </w:tc>
        <w:tc>
          <w:tcPr>
            <w:tcW w:w="332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-21,102,630.21</w:t>
            </w:r>
          </w:p>
        </w:tc>
      </w:tr>
      <w:tr>
        <w:trPr>
          <w:trHeight w:val="267" w:hRule="exact"/>
        </w:trPr>
        <w:tc>
          <w:tcPr>
            <w:tcW w:w="5294" w:type="dxa"/>
            <w:tcBorders>
              <w:top w:val="nil" w:sz="6" w:space="0" w:color="auto"/>
              <w:left w:val="nil" w:sz="6" w:space="0" w:color="auto"/>
              <w:bottom w:val="single" w:sz="12"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已计提减值金额</w:t>
            </w:r>
          </w:p>
        </w:tc>
        <w:tc>
          <w:tcPr>
            <w:tcW w:w="3321"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headerReference w:type="default" r:id="rId61"/>
          <w:pgSz w:w="11910" w:h="16840"/>
          <w:pgMar w:header="585" w:footer="836" w:top="1080" w:bottom="1020" w:left="1480" w:right="1560"/>
        </w:sectPr>
      </w:pPr>
    </w:p>
    <w:p>
      <w:pPr>
        <w:spacing w:line="240" w:lineRule="auto" w:before="8"/>
        <w:rPr>
          <w:rFonts w:ascii="宋体" w:hAnsi="宋体" w:cs="宋体" w:eastAsia="宋体" w:hint="default"/>
          <w:sz w:val="6"/>
          <w:szCs w:val="6"/>
        </w:rPr>
      </w:pPr>
    </w:p>
    <w:p>
      <w:pPr>
        <w:spacing w:line="477" w:lineRule="exact"/>
        <w:ind w:left="142"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703.7pt;height:23.85pt;mso-position-horizontal-relative:char;mso-position-vertical-relative:line" coordorigin="0,0" coordsize="14074,477">
            <v:group style="position:absolute;left:7;top:470;width:14059;height:2" coordorigin="7,470" coordsize="14059,2">
              <v:shape style="position:absolute;left:7;top:470;width:14059;height:2" coordorigin="7,470" coordsize="14059,0" path="m7,470l14066,470e" filled="false" stroked="true" strokeweight=".72pt" strokecolor="#000000">
                <v:path arrowok="t"/>
              </v:shape>
              <v:shape style="position:absolute;left:28;top:0;width:1365;height:420" type="#_x0000_t75" stroked="false">
                <v:imagedata r:id="rId35" o:title=""/>
              </v:shape>
            </v:group>
          </v:group>
        </w:pict>
      </w:r>
      <w:r>
        <w:rPr>
          <w:rFonts w:ascii="宋体" w:hAnsi="宋体" w:cs="宋体" w:eastAsia="宋体" w:hint="default"/>
          <w:position w:val="-9"/>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8"/>
        <w:ind w:left="632"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54"/>
          <w:sz w:val="22"/>
          <w:szCs w:val="22"/>
        </w:rPr>
        <w:t> </w:t>
      </w:r>
      <w:r>
        <w:rPr>
          <w:rFonts w:ascii="宋体" w:hAnsi="宋体" w:cs="宋体" w:eastAsia="宋体" w:hint="default"/>
          <w:sz w:val="22"/>
          <w:szCs w:val="22"/>
        </w:rPr>
        <w:t>年末按成本计量的可供出售金融资产</w:t>
      </w:r>
    </w:p>
    <w:p>
      <w:pPr>
        <w:spacing w:line="240" w:lineRule="auto" w:before="5"/>
        <w:rPr>
          <w:rFonts w:ascii="宋体" w:hAnsi="宋体" w:cs="宋体" w:eastAsia="宋体" w:hint="default"/>
          <w:sz w:val="11"/>
          <w:szCs w:val="11"/>
        </w:rPr>
      </w:pPr>
    </w:p>
    <w:tbl>
      <w:tblPr>
        <w:tblW w:w="0" w:type="auto"/>
        <w:jc w:val="left"/>
        <w:tblInd w:w="106" w:type="dxa"/>
        <w:tblLayout w:type="fixed"/>
        <w:tblCellMar>
          <w:top w:w="0" w:type="dxa"/>
          <w:left w:w="0" w:type="dxa"/>
          <w:bottom w:w="0" w:type="dxa"/>
          <w:right w:w="0" w:type="dxa"/>
        </w:tblCellMar>
        <w:tblLook w:val="01E0"/>
      </w:tblPr>
      <w:tblGrid>
        <w:gridCol w:w="3598"/>
        <w:gridCol w:w="1265"/>
        <w:gridCol w:w="1111"/>
        <w:gridCol w:w="1060"/>
        <w:gridCol w:w="1149"/>
        <w:gridCol w:w="1094"/>
        <w:gridCol w:w="971"/>
        <w:gridCol w:w="967"/>
        <w:gridCol w:w="1075"/>
        <w:gridCol w:w="1145"/>
        <w:gridCol w:w="1058"/>
      </w:tblGrid>
      <w:tr>
        <w:trPr>
          <w:trHeight w:val="307" w:hRule="exact"/>
        </w:trPr>
        <w:tc>
          <w:tcPr>
            <w:tcW w:w="3598" w:type="dxa"/>
            <w:vMerge w:val="restart"/>
            <w:tcBorders>
              <w:top w:val="single" w:sz="12" w:space="0" w:color="000000"/>
              <w:left w:val="nil" w:sz="6" w:space="0" w:color="auto"/>
              <w:right w:val="nil" w:sz="6" w:space="0" w:color="auto"/>
            </w:tcBorders>
          </w:tcPr>
          <w:p>
            <w:pPr>
              <w:pStyle w:val="TableParagraph"/>
              <w:spacing w:line="240" w:lineRule="auto" w:before="145"/>
              <w:ind w:left="72" w:right="0"/>
              <w:jc w:val="left"/>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c>
        <w:tc>
          <w:tcPr>
            <w:tcW w:w="1265" w:type="dxa"/>
            <w:tcBorders>
              <w:top w:val="single" w:sz="12" w:space="0" w:color="000000"/>
              <w:left w:val="nil" w:sz="6" w:space="0" w:color="auto"/>
              <w:bottom w:val="single" w:sz="4" w:space="0" w:color="000000"/>
              <w:right w:val="nil" w:sz="6" w:space="0" w:color="auto"/>
            </w:tcBorders>
          </w:tcPr>
          <w:p>
            <w:pPr/>
          </w:p>
        </w:tc>
        <w:tc>
          <w:tcPr>
            <w:tcW w:w="2171" w:type="dxa"/>
            <w:gridSpan w:val="2"/>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665"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1149" w:type="dxa"/>
            <w:tcBorders>
              <w:top w:val="single" w:sz="12" w:space="0" w:color="000000"/>
              <w:left w:val="nil" w:sz="6" w:space="0" w:color="auto"/>
              <w:bottom w:val="single" w:sz="4" w:space="0" w:color="000000"/>
              <w:right w:val="nil" w:sz="6" w:space="0" w:color="auto"/>
            </w:tcBorders>
          </w:tcPr>
          <w:p>
            <w:pPr/>
          </w:p>
        </w:tc>
        <w:tc>
          <w:tcPr>
            <w:tcW w:w="1094" w:type="dxa"/>
            <w:tcBorders>
              <w:top w:val="single" w:sz="12" w:space="0" w:color="000000"/>
              <w:left w:val="nil" w:sz="6" w:space="0" w:color="auto"/>
              <w:bottom w:val="single" w:sz="4" w:space="0" w:color="000000"/>
              <w:right w:val="nil" w:sz="6" w:space="0" w:color="auto"/>
            </w:tcBorders>
          </w:tcPr>
          <w:p>
            <w:pPr/>
          </w:p>
        </w:tc>
        <w:tc>
          <w:tcPr>
            <w:tcW w:w="1938" w:type="dxa"/>
            <w:gridSpan w:val="2"/>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596" w:right="0"/>
              <w:jc w:val="left"/>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c>
        <w:tc>
          <w:tcPr>
            <w:tcW w:w="1075" w:type="dxa"/>
            <w:tcBorders>
              <w:top w:val="single" w:sz="12" w:space="0" w:color="000000"/>
              <w:left w:val="nil" w:sz="6" w:space="0" w:color="auto"/>
              <w:bottom w:val="single" w:sz="4" w:space="0" w:color="000000"/>
              <w:right w:val="nil" w:sz="6" w:space="0" w:color="auto"/>
            </w:tcBorders>
          </w:tcPr>
          <w:p>
            <w:pPr/>
          </w:p>
        </w:tc>
        <w:tc>
          <w:tcPr>
            <w:tcW w:w="1145" w:type="dxa"/>
            <w:vMerge w:val="restart"/>
            <w:tcBorders>
              <w:top w:val="single" w:sz="12" w:space="0" w:color="000000"/>
              <w:left w:val="nil" w:sz="6" w:space="0" w:color="auto"/>
              <w:right w:val="nil" w:sz="6" w:space="0" w:color="auto"/>
            </w:tcBorders>
          </w:tcPr>
          <w:p>
            <w:pPr>
              <w:pStyle w:val="TableParagraph"/>
              <w:spacing w:line="240" w:lineRule="auto" w:before="27"/>
              <w:ind w:left="120" w:right="120"/>
              <w:jc w:val="left"/>
              <w:rPr>
                <w:rFonts w:ascii="宋体" w:hAnsi="宋体" w:cs="宋体" w:eastAsia="宋体" w:hint="default"/>
                <w:sz w:val="18"/>
                <w:szCs w:val="18"/>
              </w:rPr>
            </w:pPr>
            <w:r>
              <w:rPr>
                <w:rFonts w:ascii="宋体" w:hAnsi="宋体" w:cs="宋体" w:eastAsia="宋体" w:hint="default"/>
                <w:b/>
                <w:bCs/>
                <w:sz w:val="18"/>
                <w:szCs w:val="18"/>
              </w:rPr>
              <w:t>在被投资单</w:t>
            </w:r>
            <w:r>
              <w:rPr>
                <w:rFonts w:ascii="宋体" w:hAnsi="宋体" w:cs="宋体" w:eastAsia="宋体" w:hint="default"/>
                <w:b/>
                <w:bCs/>
                <w:w w:val="99"/>
                <w:sz w:val="18"/>
                <w:szCs w:val="18"/>
              </w:rPr>
              <w:t> </w:t>
            </w:r>
            <w:r>
              <w:rPr>
                <w:rFonts w:ascii="宋体" w:hAnsi="宋体" w:cs="宋体" w:eastAsia="宋体" w:hint="default"/>
                <w:b/>
                <w:bCs/>
                <w:sz w:val="18"/>
                <w:szCs w:val="18"/>
              </w:rPr>
              <w:t>位持股比例</w:t>
            </w:r>
            <w:r>
              <w:rPr>
                <w:rFonts w:ascii="宋体" w:hAnsi="宋体" w:cs="宋体" w:eastAsia="宋体" w:hint="default"/>
                <w:sz w:val="18"/>
                <w:szCs w:val="18"/>
              </w:rPr>
            </w:r>
          </w:p>
        </w:tc>
        <w:tc>
          <w:tcPr>
            <w:tcW w:w="1058" w:type="dxa"/>
            <w:vMerge w:val="restart"/>
            <w:tcBorders>
              <w:top w:val="single" w:sz="12" w:space="0" w:color="000000"/>
              <w:left w:val="nil" w:sz="6" w:space="0" w:color="auto"/>
              <w:right w:val="nil" w:sz="6" w:space="0" w:color="auto"/>
            </w:tcBorders>
          </w:tcPr>
          <w:p>
            <w:pPr>
              <w:pStyle w:val="TableParagraph"/>
              <w:spacing w:line="240" w:lineRule="auto" w:before="27"/>
              <w:ind w:left="436" w:right="77" w:hanging="360"/>
              <w:jc w:val="left"/>
              <w:rPr>
                <w:rFonts w:ascii="宋体" w:hAnsi="宋体" w:cs="宋体" w:eastAsia="宋体" w:hint="default"/>
                <w:sz w:val="18"/>
                <w:szCs w:val="18"/>
              </w:rPr>
            </w:pPr>
            <w:r>
              <w:rPr>
                <w:rFonts w:ascii="宋体" w:hAnsi="宋体" w:cs="宋体" w:eastAsia="宋体" w:hint="default"/>
                <w:b/>
                <w:bCs/>
                <w:sz w:val="18"/>
                <w:szCs w:val="18"/>
              </w:rPr>
              <w:t>本年现金红</w:t>
            </w:r>
            <w:r>
              <w:rPr>
                <w:rFonts w:ascii="宋体" w:hAnsi="宋体" w:cs="宋体" w:eastAsia="宋体" w:hint="default"/>
                <w:b/>
                <w:bCs/>
                <w:w w:val="99"/>
                <w:sz w:val="18"/>
                <w:szCs w:val="18"/>
              </w:rPr>
              <w:t> </w:t>
            </w:r>
            <w:r>
              <w:rPr>
                <w:rFonts w:ascii="宋体" w:hAnsi="宋体" w:cs="宋体" w:eastAsia="宋体" w:hint="default"/>
                <w:b/>
                <w:bCs/>
                <w:sz w:val="18"/>
                <w:szCs w:val="18"/>
              </w:rPr>
              <w:t>利</w:t>
            </w:r>
            <w:r>
              <w:rPr>
                <w:rFonts w:ascii="宋体" w:hAnsi="宋体" w:cs="宋体" w:eastAsia="宋体" w:hint="default"/>
                <w:sz w:val="18"/>
                <w:szCs w:val="18"/>
              </w:rPr>
            </w:r>
          </w:p>
        </w:tc>
      </w:tr>
      <w:tr>
        <w:trPr>
          <w:trHeight w:val="295" w:hRule="exact"/>
        </w:trPr>
        <w:tc>
          <w:tcPr>
            <w:tcW w:w="3598" w:type="dxa"/>
            <w:vMerge/>
            <w:tcBorders>
              <w:left w:val="nil" w:sz="6" w:space="0" w:color="auto"/>
              <w:bottom w:val="single" w:sz="4" w:space="0" w:color="000000"/>
              <w:right w:val="nil" w:sz="6" w:space="0" w:color="auto"/>
            </w:tcBorders>
          </w:tcPr>
          <w:p>
            <w:pPr/>
          </w:p>
        </w:tc>
        <w:tc>
          <w:tcPr>
            <w:tcW w:w="1265"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242"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111"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168"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060"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166"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149"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213"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094"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166"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971"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92"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967"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100"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167"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145" w:type="dxa"/>
            <w:vMerge/>
            <w:tcBorders>
              <w:left w:val="nil" w:sz="6" w:space="0" w:color="auto"/>
              <w:bottom w:val="single" w:sz="4" w:space="0" w:color="000000"/>
              <w:right w:val="nil" w:sz="6" w:space="0" w:color="auto"/>
            </w:tcBorders>
          </w:tcPr>
          <w:p>
            <w:pPr/>
          </w:p>
        </w:tc>
        <w:tc>
          <w:tcPr>
            <w:tcW w:w="1058" w:type="dxa"/>
            <w:vMerge/>
            <w:tcBorders>
              <w:left w:val="nil" w:sz="6" w:space="0" w:color="auto"/>
              <w:bottom w:val="single" w:sz="4" w:space="0" w:color="000000"/>
              <w:right w:val="nil" w:sz="6" w:space="0" w:color="auto"/>
            </w:tcBorders>
          </w:tcPr>
          <w:p>
            <w:pPr/>
          </w:p>
        </w:tc>
      </w:tr>
      <w:tr>
        <w:trPr>
          <w:trHeight w:val="323" w:hRule="exact"/>
        </w:trPr>
        <w:tc>
          <w:tcPr>
            <w:tcW w:w="3598"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left="72" w:right="0"/>
              <w:jc w:val="left"/>
              <w:rPr>
                <w:rFonts w:ascii="Times New Roman" w:hAnsi="Times New Roman" w:cs="Times New Roman" w:eastAsia="Times New Roman" w:hint="default"/>
                <w:sz w:val="18"/>
                <w:szCs w:val="18"/>
              </w:rPr>
            </w:pPr>
            <w:r>
              <w:rPr>
                <w:rFonts w:ascii="Times New Roman"/>
                <w:sz w:val="18"/>
              </w:rPr>
              <w:t>Legend Silicon</w:t>
            </w:r>
            <w:r>
              <w:rPr>
                <w:rFonts w:ascii="Times New Roman"/>
                <w:spacing w:val="-4"/>
                <w:sz w:val="18"/>
              </w:rPr>
              <w:t> </w:t>
            </w:r>
            <w:r>
              <w:rPr>
                <w:rFonts w:ascii="Times New Roman"/>
                <w:sz w:val="18"/>
              </w:rPr>
              <w:t>Corp.</w:t>
            </w:r>
          </w:p>
        </w:tc>
        <w:tc>
          <w:tcPr>
            <w:tcW w:w="1265"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8"/>
              <w:jc w:val="right"/>
              <w:rPr>
                <w:rFonts w:ascii="Times New Roman" w:hAnsi="Times New Roman" w:cs="Times New Roman" w:eastAsia="Times New Roman" w:hint="default"/>
                <w:sz w:val="18"/>
                <w:szCs w:val="18"/>
              </w:rPr>
            </w:pPr>
            <w:r>
              <w:rPr>
                <w:rFonts w:ascii="Times New Roman"/>
                <w:spacing w:val="-1"/>
                <w:sz w:val="18"/>
              </w:rPr>
              <w:t>18,404,728.00</w:t>
            </w:r>
          </w:p>
        </w:tc>
        <w:tc>
          <w:tcPr>
            <w:tcW w:w="1111"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55"/>
              <w:jc w:val="right"/>
              <w:rPr>
                <w:rFonts w:ascii="Times New Roman" w:hAnsi="Times New Roman" w:cs="Times New Roman" w:eastAsia="Times New Roman" w:hint="default"/>
                <w:sz w:val="18"/>
                <w:szCs w:val="18"/>
              </w:rPr>
            </w:pPr>
            <w:r>
              <w:rPr>
                <w:rFonts w:ascii="Times New Roman"/>
                <w:spacing w:val="-1"/>
                <w:sz w:val="18"/>
              </w:rPr>
              <w:t>18,404,728.00</w:t>
            </w:r>
          </w:p>
        </w:tc>
        <w:tc>
          <w:tcPr>
            <w:tcW w:w="1094"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55"/>
              <w:jc w:val="right"/>
              <w:rPr>
                <w:rFonts w:ascii="Times New Roman" w:hAnsi="Times New Roman" w:cs="Times New Roman" w:eastAsia="Times New Roman" w:hint="default"/>
                <w:sz w:val="18"/>
                <w:szCs w:val="18"/>
              </w:rPr>
            </w:pPr>
            <w:r>
              <w:rPr>
                <w:rFonts w:ascii="Times New Roman"/>
                <w:sz w:val="18"/>
              </w:rPr>
              <w:t>3.66%</w:t>
            </w:r>
          </w:p>
        </w:tc>
        <w:tc>
          <w:tcPr>
            <w:tcW w:w="1058"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3" w:lineRule="exact"/>
              <w:ind w:left="72" w:right="0"/>
              <w:jc w:val="left"/>
              <w:rPr>
                <w:rFonts w:ascii="宋体" w:hAnsi="宋体" w:cs="宋体" w:eastAsia="宋体" w:hint="default"/>
                <w:sz w:val="18"/>
                <w:szCs w:val="18"/>
              </w:rPr>
            </w:pPr>
            <w:r>
              <w:rPr>
                <w:rFonts w:ascii="宋体" w:hAnsi="宋体" w:cs="宋体" w:eastAsia="宋体" w:hint="default"/>
                <w:sz w:val="18"/>
                <w:szCs w:val="18"/>
              </w:rPr>
              <w:t>哈尔滨龙江百晟再生资源有限公司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10,400,000.00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10,400,000.00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2"/>
              <w:jc w:val="right"/>
              <w:rPr>
                <w:rFonts w:ascii="Times New Roman" w:hAnsi="Times New Roman" w:cs="Times New Roman" w:eastAsia="Times New Roman" w:hint="default"/>
                <w:sz w:val="18"/>
                <w:szCs w:val="18"/>
              </w:rPr>
            </w:pPr>
            <w:r>
              <w:rPr>
                <w:rFonts w:ascii="Times New Roman"/>
                <w:sz w:val="18"/>
              </w:rPr>
              <w:t>17.33%</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5"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3" w:lineRule="exact"/>
              <w:ind w:left="72" w:right="0"/>
              <w:jc w:val="left"/>
              <w:rPr>
                <w:rFonts w:ascii="宋体" w:hAnsi="宋体" w:cs="宋体" w:eastAsia="宋体" w:hint="default"/>
                <w:sz w:val="18"/>
                <w:szCs w:val="18"/>
              </w:rPr>
            </w:pPr>
            <w:r>
              <w:rPr>
                <w:rFonts w:ascii="宋体" w:hAnsi="宋体" w:cs="宋体" w:eastAsia="宋体" w:hint="default"/>
                <w:sz w:val="18"/>
                <w:szCs w:val="18"/>
              </w:rPr>
              <w:t>华清农业开发有限公司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10,000,000.00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10,000,000.00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z w:val="18"/>
              </w:rPr>
              <w:t>5.00%</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2" w:lineRule="exact"/>
              <w:ind w:left="72" w:right="0"/>
              <w:jc w:val="left"/>
              <w:rPr>
                <w:rFonts w:ascii="宋体" w:hAnsi="宋体" w:cs="宋体" w:eastAsia="宋体" w:hint="default"/>
                <w:sz w:val="18"/>
                <w:szCs w:val="18"/>
              </w:rPr>
            </w:pPr>
            <w:r>
              <w:rPr>
                <w:rFonts w:ascii="宋体" w:hAnsi="宋体" w:cs="宋体" w:eastAsia="宋体" w:hint="default"/>
                <w:sz w:val="18"/>
                <w:szCs w:val="18"/>
              </w:rPr>
              <w:t>中投信用担保有限公司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10,000,000.00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5"/>
              <w:jc w:val="right"/>
              <w:rPr>
                <w:rFonts w:ascii="Times New Roman" w:hAnsi="Times New Roman" w:cs="Times New Roman" w:eastAsia="Times New Roman" w:hint="default"/>
                <w:sz w:val="18"/>
                <w:szCs w:val="18"/>
              </w:rPr>
            </w:pPr>
            <w:r>
              <w:rPr>
                <w:rFonts w:ascii="Times New Roman"/>
                <w:spacing w:val="-1"/>
                <w:sz w:val="18"/>
              </w:rPr>
              <w:t>10,000,000.00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5"/>
              <w:jc w:val="right"/>
              <w:rPr>
                <w:rFonts w:ascii="Times New Roman" w:hAnsi="Times New Roman" w:cs="Times New Roman" w:eastAsia="Times New Roman" w:hint="default"/>
                <w:sz w:val="18"/>
                <w:szCs w:val="18"/>
              </w:rPr>
            </w:pPr>
            <w:r>
              <w:rPr>
                <w:rFonts w:ascii="Times New Roman"/>
                <w:sz w:val="18"/>
              </w:rPr>
              <w:t>1.00%</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3" w:lineRule="exact"/>
              <w:ind w:left="72" w:right="0"/>
              <w:jc w:val="left"/>
              <w:rPr>
                <w:rFonts w:ascii="宋体" w:hAnsi="宋体" w:cs="宋体" w:eastAsia="宋体" w:hint="default"/>
                <w:sz w:val="18"/>
                <w:szCs w:val="18"/>
              </w:rPr>
            </w:pPr>
            <w:r>
              <w:rPr>
                <w:rFonts w:ascii="宋体" w:hAnsi="宋体" w:cs="宋体" w:eastAsia="宋体" w:hint="default"/>
                <w:sz w:val="18"/>
                <w:szCs w:val="18"/>
              </w:rPr>
              <w:t>北京数字电视国家工程实验室有限公司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6,250,000.00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6,250,000.00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2"/>
              <w:jc w:val="right"/>
              <w:rPr>
                <w:rFonts w:ascii="Times New Roman" w:hAnsi="Times New Roman" w:cs="Times New Roman" w:eastAsia="Times New Roman" w:hint="default"/>
                <w:sz w:val="18"/>
                <w:szCs w:val="18"/>
              </w:rPr>
            </w:pPr>
            <w:r>
              <w:rPr>
                <w:rFonts w:ascii="Times New Roman"/>
                <w:sz w:val="18"/>
              </w:rPr>
              <w:t>12.50%</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3" w:lineRule="exact"/>
              <w:ind w:left="72" w:right="0"/>
              <w:jc w:val="left"/>
              <w:rPr>
                <w:rFonts w:ascii="宋体" w:hAnsi="宋体" w:cs="宋体" w:eastAsia="宋体" w:hint="default"/>
                <w:sz w:val="18"/>
                <w:szCs w:val="18"/>
              </w:rPr>
            </w:pPr>
            <w:r>
              <w:rPr>
                <w:rFonts w:ascii="宋体" w:hAnsi="宋体" w:cs="宋体" w:eastAsia="宋体" w:hint="default"/>
                <w:sz w:val="18"/>
                <w:szCs w:val="18"/>
              </w:rPr>
              <w:t>北京科技园置地有限公司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5,000,000.00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5,000,000.00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z w:val="18"/>
              </w:rPr>
              <w:t>1.00%</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284"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3" w:lineRule="exact"/>
              <w:ind w:left="72" w:right="0"/>
              <w:jc w:val="left"/>
              <w:rPr>
                <w:rFonts w:ascii="宋体" w:hAnsi="宋体" w:cs="宋体" w:eastAsia="宋体" w:hint="default"/>
                <w:sz w:val="18"/>
                <w:szCs w:val="18"/>
              </w:rPr>
            </w:pPr>
            <w:r>
              <w:rPr>
                <w:rFonts w:ascii="宋体" w:hAnsi="宋体" w:cs="宋体" w:eastAsia="宋体" w:hint="default"/>
                <w:sz w:val="18"/>
                <w:szCs w:val="18"/>
              </w:rPr>
              <w:t>武汉国际会展中心股份有限公司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5,000,000.00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5,000,000.00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z w:val="18"/>
              </w:rPr>
              <w:t>2.21%</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2" w:lineRule="exact"/>
              <w:ind w:left="72" w:right="0"/>
              <w:jc w:val="left"/>
              <w:rPr>
                <w:rFonts w:ascii="宋体" w:hAnsi="宋体" w:cs="宋体" w:eastAsia="宋体" w:hint="default"/>
                <w:sz w:val="18"/>
                <w:szCs w:val="18"/>
              </w:rPr>
            </w:pPr>
            <w:r>
              <w:rPr>
                <w:rFonts w:ascii="宋体" w:hAnsi="宋体" w:cs="宋体" w:eastAsia="宋体" w:hint="default"/>
                <w:sz w:val="18"/>
                <w:szCs w:val="18"/>
              </w:rPr>
              <w:t>北京中铁亿品旅客信息服务有限公司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3,000,000.00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5"/>
              <w:jc w:val="right"/>
              <w:rPr>
                <w:rFonts w:ascii="Times New Roman" w:hAnsi="Times New Roman" w:cs="Times New Roman" w:eastAsia="Times New Roman" w:hint="default"/>
                <w:sz w:val="18"/>
                <w:szCs w:val="18"/>
              </w:rPr>
            </w:pPr>
            <w:r>
              <w:rPr>
                <w:rFonts w:ascii="Times New Roman"/>
                <w:spacing w:val="-1"/>
                <w:sz w:val="18"/>
              </w:rPr>
              <w:t>3,000,000.00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2"/>
              <w:jc w:val="right"/>
              <w:rPr>
                <w:rFonts w:ascii="Times New Roman" w:hAnsi="Times New Roman" w:cs="Times New Roman" w:eastAsia="Times New Roman" w:hint="default"/>
                <w:sz w:val="18"/>
                <w:szCs w:val="18"/>
              </w:rPr>
            </w:pPr>
            <w:r>
              <w:rPr>
                <w:rFonts w:ascii="Times New Roman"/>
                <w:sz w:val="18"/>
              </w:rPr>
              <w:t>10.00%</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3" w:lineRule="exact"/>
              <w:ind w:left="72" w:right="0"/>
              <w:jc w:val="left"/>
              <w:rPr>
                <w:rFonts w:ascii="宋体" w:hAnsi="宋体" w:cs="宋体" w:eastAsia="宋体" w:hint="default"/>
                <w:sz w:val="18"/>
                <w:szCs w:val="18"/>
              </w:rPr>
            </w:pPr>
            <w:r>
              <w:rPr>
                <w:rFonts w:ascii="宋体" w:hAnsi="宋体" w:cs="宋体" w:eastAsia="宋体" w:hint="default"/>
                <w:sz w:val="18"/>
                <w:szCs w:val="18"/>
              </w:rPr>
              <w:t>佛山市南海区联合广东新光源产业创新中心</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3,000,000.00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3,000,000.00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0"/>
              <w:jc w:val="right"/>
              <w:rPr>
                <w:rFonts w:ascii="Times New Roman" w:hAnsi="Times New Roman" w:cs="Times New Roman" w:eastAsia="Times New Roman" w:hint="default"/>
                <w:sz w:val="18"/>
                <w:szCs w:val="18"/>
              </w:rPr>
            </w:pPr>
            <w:r>
              <w:rPr>
                <w:rFonts w:ascii="Times New Roman"/>
                <w:spacing w:val="-1"/>
                <w:sz w:val="18"/>
              </w:rPr>
              <w:t>691,735.71</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691,735.71</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z w:val="18"/>
              </w:rPr>
              <w:t>4.76%</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3" w:lineRule="exact"/>
              <w:ind w:left="72" w:right="0"/>
              <w:jc w:val="left"/>
              <w:rPr>
                <w:rFonts w:ascii="宋体" w:hAnsi="宋体" w:cs="宋体" w:eastAsia="宋体" w:hint="default"/>
                <w:sz w:val="18"/>
                <w:szCs w:val="18"/>
              </w:rPr>
            </w:pPr>
            <w:r>
              <w:rPr>
                <w:rFonts w:ascii="宋体" w:hAnsi="宋体" w:cs="宋体" w:eastAsia="宋体" w:hint="default"/>
                <w:sz w:val="18"/>
                <w:szCs w:val="18"/>
              </w:rPr>
              <w:t>江西万德福磁带有限公司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2,741,550.00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2,741,550.00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0"/>
              <w:jc w:val="right"/>
              <w:rPr>
                <w:rFonts w:ascii="Times New Roman" w:hAnsi="Times New Roman" w:cs="Times New Roman" w:eastAsia="Times New Roman" w:hint="default"/>
                <w:sz w:val="18"/>
                <w:szCs w:val="18"/>
              </w:rPr>
            </w:pPr>
            <w:r>
              <w:rPr>
                <w:rFonts w:ascii="Times New Roman"/>
                <w:spacing w:val="-1"/>
                <w:sz w:val="18"/>
              </w:rPr>
              <w:t>2,741,550.00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2,741,550.00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2"/>
              <w:jc w:val="right"/>
              <w:rPr>
                <w:rFonts w:ascii="Times New Roman" w:hAnsi="Times New Roman" w:cs="Times New Roman" w:eastAsia="Times New Roman" w:hint="default"/>
                <w:sz w:val="18"/>
                <w:szCs w:val="18"/>
              </w:rPr>
            </w:pPr>
            <w:r>
              <w:rPr>
                <w:rFonts w:ascii="Times New Roman"/>
                <w:sz w:val="18"/>
              </w:rPr>
              <w:t>35.00%</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5"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3" w:lineRule="exact"/>
              <w:ind w:left="72" w:right="0"/>
              <w:jc w:val="left"/>
              <w:rPr>
                <w:rFonts w:ascii="宋体" w:hAnsi="宋体" w:cs="宋体" w:eastAsia="宋体" w:hint="default"/>
                <w:sz w:val="18"/>
                <w:szCs w:val="18"/>
              </w:rPr>
            </w:pPr>
            <w:r>
              <w:rPr>
                <w:rFonts w:ascii="宋体" w:hAnsi="宋体" w:cs="宋体" w:eastAsia="宋体" w:hint="default"/>
                <w:sz w:val="18"/>
                <w:szCs w:val="18"/>
              </w:rPr>
              <w:t>广州辛耕普华医疗科技有限公司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2,000,000.00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2,000,000.00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2"/>
              <w:jc w:val="right"/>
              <w:rPr>
                <w:rFonts w:ascii="Times New Roman" w:hAnsi="Times New Roman" w:cs="Times New Roman" w:eastAsia="Times New Roman" w:hint="default"/>
                <w:sz w:val="18"/>
                <w:szCs w:val="18"/>
              </w:rPr>
            </w:pPr>
            <w:r>
              <w:rPr>
                <w:rFonts w:ascii="Times New Roman"/>
                <w:sz w:val="18"/>
              </w:rPr>
              <w:t>20.00%</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5"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2" w:lineRule="exact"/>
              <w:ind w:left="72" w:right="0"/>
              <w:jc w:val="left"/>
              <w:rPr>
                <w:rFonts w:ascii="宋体" w:hAnsi="宋体" w:cs="宋体" w:eastAsia="宋体" w:hint="default"/>
                <w:sz w:val="18"/>
                <w:szCs w:val="18"/>
              </w:rPr>
            </w:pPr>
            <w:r>
              <w:rPr>
                <w:rFonts w:ascii="宋体" w:hAnsi="宋体" w:cs="宋体" w:eastAsia="宋体" w:hint="default"/>
                <w:sz w:val="18"/>
                <w:szCs w:val="18"/>
              </w:rPr>
              <w:t>北京高校创业股份有限公司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2,000,000.00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5"/>
              <w:jc w:val="right"/>
              <w:rPr>
                <w:rFonts w:ascii="Times New Roman" w:hAnsi="Times New Roman" w:cs="Times New Roman" w:eastAsia="Times New Roman" w:hint="default"/>
                <w:sz w:val="18"/>
                <w:szCs w:val="18"/>
              </w:rPr>
            </w:pPr>
            <w:r>
              <w:rPr>
                <w:rFonts w:ascii="Times New Roman"/>
                <w:spacing w:val="-1"/>
                <w:sz w:val="18"/>
              </w:rPr>
              <w:t>2,000,000.00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5"/>
              <w:jc w:val="right"/>
              <w:rPr>
                <w:rFonts w:ascii="Times New Roman" w:hAnsi="Times New Roman" w:cs="Times New Roman" w:eastAsia="Times New Roman" w:hint="default"/>
                <w:sz w:val="18"/>
                <w:szCs w:val="18"/>
              </w:rPr>
            </w:pPr>
            <w:r>
              <w:rPr>
                <w:rFonts w:ascii="Times New Roman"/>
                <w:sz w:val="18"/>
              </w:rPr>
              <w:t>2.30%</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3" w:lineRule="exact"/>
              <w:ind w:left="72" w:right="0"/>
              <w:jc w:val="left"/>
              <w:rPr>
                <w:rFonts w:ascii="宋体" w:hAnsi="宋体" w:cs="宋体" w:eastAsia="宋体" w:hint="default"/>
                <w:sz w:val="18"/>
                <w:szCs w:val="18"/>
              </w:rPr>
            </w:pPr>
            <w:r>
              <w:rPr>
                <w:rFonts w:ascii="宋体" w:hAnsi="宋体" w:cs="宋体" w:eastAsia="宋体" w:hint="default"/>
                <w:sz w:val="18"/>
                <w:szCs w:val="18"/>
              </w:rPr>
              <w:t>广州电蟒信息技术有限公司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Times New Roman" w:hAnsi="Times New Roman" w:cs="Times New Roman" w:eastAsia="Times New Roman" w:hint="default"/>
                <w:sz w:val="18"/>
                <w:szCs w:val="18"/>
              </w:rPr>
            </w:pPr>
            <w:r>
              <w:rPr>
                <w:rFonts w:ascii="Times New Roman"/>
                <w:spacing w:val="-1"/>
                <w:sz w:val="18"/>
              </w:rPr>
              <w:t>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2,000,000.00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2,000,000.00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z w:val="18"/>
              </w:rPr>
              <w:t>6.25%</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3" w:lineRule="exact"/>
              <w:ind w:left="72" w:right="0"/>
              <w:jc w:val="left"/>
              <w:rPr>
                <w:rFonts w:ascii="宋体" w:hAnsi="宋体" w:cs="宋体" w:eastAsia="宋体" w:hint="default"/>
                <w:sz w:val="18"/>
                <w:szCs w:val="18"/>
              </w:rPr>
            </w:pPr>
            <w:r>
              <w:rPr>
                <w:rFonts w:ascii="宋体" w:hAnsi="宋体" w:cs="宋体" w:eastAsia="宋体" w:hint="default"/>
                <w:sz w:val="18"/>
                <w:szCs w:val="18"/>
              </w:rPr>
              <w:t>北京首开亿信置业股份有限公司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1,540,000.00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1,540,000.00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z w:val="18"/>
              </w:rPr>
              <w:t>0.31%</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3" w:lineRule="exact"/>
              <w:ind w:left="72" w:right="0"/>
              <w:jc w:val="left"/>
              <w:rPr>
                <w:rFonts w:ascii="宋体" w:hAnsi="宋体" w:cs="宋体" w:eastAsia="宋体" w:hint="default"/>
                <w:sz w:val="18"/>
                <w:szCs w:val="18"/>
              </w:rPr>
            </w:pPr>
            <w:r>
              <w:rPr>
                <w:rFonts w:ascii="宋体" w:hAnsi="宋体" w:cs="宋体" w:eastAsia="宋体" w:hint="default"/>
                <w:sz w:val="18"/>
                <w:szCs w:val="18"/>
              </w:rPr>
              <w:t>太极华方（北京）系统工程有限公司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1,000,000.00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1,000,000.00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2"/>
              <w:jc w:val="right"/>
              <w:rPr>
                <w:rFonts w:ascii="Times New Roman" w:hAnsi="Times New Roman" w:cs="Times New Roman" w:eastAsia="Times New Roman" w:hint="default"/>
                <w:sz w:val="18"/>
                <w:szCs w:val="18"/>
              </w:rPr>
            </w:pPr>
            <w:r>
              <w:rPr>
                <w:rFonts w:ascii="Times New Roman"/>
                <w:sz w:val="18"/>
              </w:rPr>
              <w:t>10.00%</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2" w:lineRule="exact"/>
              <w:ind w:left="72" w:right="0"/>
              <w:jc w:val="left"/>
              <w:rPr>
                <w:rFonts w:ascii="宋体" w:hAnsi="宋体" w:cs="宋体" w:eastAsia="宋体" w:hint="default"/>
                <w:sz w:val="18"/>
                <w:szCs w:val="18"/>
              </w:rPr>
            </w:pPr>
            <w:r>
              <w:rPr>
                <w:rFonts w:ascii="宋体" w:hAnsi="宋体" w:cs="宋体" w:eastAsia="宋体" w:hint="default"/>
                <w:sz w:val="18"/>
                <w:szCs w:val="18"/>
              </w:rPr>
              <w:t>光浦节能科技（上海）有限公司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1,000,000.00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5"/>
              <w:jc w:val="right"/>
              <w:rPr>
                <w:rFonts w:ascii="Times New Roman" w:hAnsi="Times New Roman" w:cs="Times New Roman" w:eastAsia="Times New Roman" w:hint="default"/>
                <w:sz w:val="18"/>
                <w:szCs w:val="18"/>
              </w:rPr>
            </w:pPr>
            <w:r>
              <w:rPr>
                <w:rFonts w:ascii="Times New Roman"/>
                <w:spacing w:val="-1"/>
                <w:sz w:val="18"/>
              </w:rPr>
              <w:t>1,000,000.00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0"/>
              <w:jc w:val="right"/>
              <w:rPr>
                <w:rFonts w:ascii="Times New Roman" w:hAnsi="Times New Roman" w:cs="Times New Roman" w:eastAsia="Times New Roman" w:hint="default"/>
                <w:sz w:val="18"/>
                <w:szCs w:val="18"/>
              </w:rPr>
            </w:pPr>
            <w:r>
              <w:rPr>
                <w:rFonts w:ascii="Times New Roman"/>
                <w:spacing w:val="-1"/>
                <w:sz w:val="18"/>
              </w:rPr>
              <w:t>182,735.50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3" w:right="0"/>
              <w:jc w:val="left"/>
              <w:rPr>
                <w:rFonts w:ascii="Times New Roman" w:hAnsi="Times New Roman" w:cs="Times New Roman" w:eastAsia="Times New Roman" w:hint="default"/>
                <w:sz w:val="18"/>
                <w:szCs w:val="18"/>
              </w:rPr>
            </w:pPr>
            <w:r>
              <w:rPr>
                <w:rFonts w:ascii="Times New Roman"/>
                <w:sz w:val="18"/>
              </w:rPr>
              <w:t>182,735.50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5"/>
              <w:jc w:val="right"/>
              <w:rPr>
                <w:rFonts w:ascii="Times New Roman" w:hAnsi="Times New Roman" w:cs="Times New Roman" w:eastAsia="Times New Roman" w:hint="default"/>
                <w:sz w:val="18"/>
                <w:szCs w:val="18"/>
              </w:rPr>
            </w:pPr>
            <w:r>
              <w:rPr>
                <w:rFonts w:ascii="Times New Roman"/>
                <w:sz w:val="18"/>
              </w:rPr>
              <w:t>0.00%</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3" w:lineRule="exact"/>
              <w:ind w:left="72" w:right="0"/>
              <w:jc w:val="left"/>
              <w:rPr>
                <w:rFonts w:ascii="宋体" w:hAnsi="宋体" w:cs="宋体" w:eastAsia="宋体" w:hint="default"/>
                <w:sz w:val="18"/>
                <w:szCs w:val="18"/>
              </w:rPr>
            </w:pPr>
            <w:r>
              <w:rPr>
                <w:rFonts w:ascii="宋体" w:hAnsi="宋体" w:cs="宋体" w:eastAsia="宋体" w:hint="default"/>
                <w:sz w:val="18"/>
                <w:szCs w:val="18"/>
              </w:rPr>
              <w:t>北京卓凯生物技术有限公司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915,847.70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915,847.70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z w:val="18"/>
              </w:rPr>
              <w:t>0.00%</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3" w:lineRule="exact"/>
              <w:ind w:left="72" w:right="0"/>
              <w:jc w:val="left"/>
              <w:rPr>
                <w:rFonts w:ascii="宋体" w:hAnsi="宋体" w:cs="宋体" w:eastAsia="宋体" w:hint="default"/>
                <w:sz w:val="18"/>
                <w:szCs w:val="18"/>
              </w:rPr>
            </w:pPr>
            <w:r>
              <w:rPr>
                <w:rFonts w:ascii="宋体" w:hAnsi="宋体" w:cs="宋体" w:eastAsia="宋体" w:hint="default"/>
                <w:sz w:val="18"/>
                <w:szCs w:val="18"/>
              </w:rPr>
              <w:t>苏州卓凯生物技术有限公司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878,385.00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866,769.11</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1,745,154.11</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2"/>
              <w:jc w:val="right"/>
              <w:rPr>
                <w:rFonts w:ascii="Times New Roman" w:hAnsi="Times New Roman" w:cs="Times New Roman" w:eastAsia="Times New Roman" w:hint="default"/>
                <w:sz w:val="18"/>
                <w:szCs w:val="18"/>
              </w:rPr>
            </w:pPr>
            <w:r>
              <w:rPr>
                <w:rFonts w:ascii="Times New Roman"/>
                <w:sz w:val="18"/>
              </w:rPr>
              <w:t>18.17%</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59"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3" w:lineRule="exact"/>
              <w:ind w:left="72" w:right="0"/>
              <w:jc w:val="left"/>
              <w:rPr>
                <w:rFonts w:ascii="宋体" w:hAnsi="宋体" w:cs="宋体" w:eastAsia="宋体" w:hint="default"/>
                <w:sz w:val="18"/>
                <w:szCs w:val="18"/>
              </w:rPr>
            </w:pPr>
            <w:r>
              <w:rPr>
                <w:rFonts w:ascii="宋体" w:hAnsi="宋体" w:cs="宋体" w:eastAsia="宋体" w:hint="default"/>
                <w:sz w:val="18"/>
                <w:szCs w:val="18"/>
              </w:rPr>
              <w:t>扬州华建同方水务有限公司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700,000.00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700,000.00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2"/>
              <w:jc w:val="right"/>
              <w:rPr>
                <w:rFonts w:ascii="Times New Roman" w:hAnsi="Times New Roman" w:cs="Times New Roman" w:eastAsia="Times New Roman" w:hint="default"/>
                <w:sz w:val="18"/>
                <w:szCs w:val="18"/>
              </w:rPr>
            </w:pPr>
            <w:r>
              <w:rPr>
                <w:rFonts w:ascii="Times New Roman"/>
                <w:sz w:val="18"/>
              </w:rPr>
              <w:t>10.00%</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483"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196" w:lineRule="exact"/>
              <w:ind w:left="72" w:right="0"/>
              <w:jc w:val="left"/>
              <w:rPr>
                <w:rFonts w:ascii="宋体" w:hAnsi="宋体" w:cs="宋体" w:eastAsia="宋体" w:hint="default"/>
                <w:sz w:val="18"/>
                <w:szCs w:val="18"/>
              </w:rPr>
            </w:pPr>
            <w:r>
              <w:rPr>
                <w:rFonts w:ascii="宋体" w:hAnsi="宋体" w:cs="宋体" w:eastAsia="宋体" w:hint="default"/>
                <w:spacing w:val="2"/>
                <w:sz w:val="18"/>
                <w:szCs w:val="18"/>
              </w:rPr>
              <w:t>东方欢旅科技有限公司（原北京同方易豪科</w:t>
            </w:r>
            <w:r>
              <w:rPr>
                <w:rFonts w:ascii="宋体" w:hAnsi="宋体" w:cs="宋体" w:eastAsia="宋体" w:hint="default"/>
                <w:sz w:val="18"/>
                <w:szCs w:val="18"/>
              </w:rPr>
            </w:r>
          </w:p>
          <w:p>
            <w:pPr>
              <w:pStyle w:val="TableParagraph"/>
              <w:spacing w:line="234" w:lineRule="exact"/>
              <w:ind w:left="72" w:right="0"/>
              <w:jc w:val="left"/>
              <w:rPr>
                <w:rFonts w:ascii="宋体" w:hAnsi="宋体" w:cs="宋体" w:eastAsia="宋体" w:hint="default"/>
                <w:sz w:val="18"/>
                <w:szCs w:val="18"/>
              </w:rPr>
            </w:pPr>
            <w:r>
              <w:rPr>
                <w:rFonts w:ascii="宋体" w:hAnsi="宋体" w:cs="宋体" w:eastAsia="宋体" w:hint="default"/>
                <w:sz w:val="18"/>
                <w:szCs w:val="18"/>
              </w:rPr>
              <w:t>技有限公司）</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06"/>
              <w:jc w:val="right"/>
              <w:rPr>
                <w:rFonts w:ascii="Times New Roman" w:hAnsi="Times New Roman" w:cs="Times New Roman" w:eastAsia="Times New Roman" w:hint="default"/>
                <w:sz w:val="18"/>
                <w:szCs w:val="18"/>
              </w:rPr>
            </w:pPr>
            <w:r>
              <w:rPr>
                <w:rFonts w:ascii="Times New Roman"/>
                <w:spacing w:val="-1"/>
                <w:sz w:val="18"/>
              </w:rPr>
              <w:t>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4"/>
              <w:jc w:val="right"/>
              <w:rPr>
                <w:rFonts w:ascii="Times New Roman" w:hAnsi="Times New Roman" w:cs="Times New Roman" w:eastAsia="Times New Roman" w:hint="default"/>
                <w:sz w:val="18"/>
                <w:szCs w:val="18"/>
              </w:rPr>
            </w:pPr>
            <w:r>
              <w:rPr>
                <w:rFonts w:ascii="Times New Roman"/>
                <w:spacing w:val="-1"/>
                <w:sz w:val="18"/>
              </w:rPr>
              <w:t>520,408.16</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4"/>
              <w:jc w:val="right"/>
              <w:rPr>
                <w:rFonts w:ascii="Times New Roman" w:hAnsi="Times New Roman" w:cs="Times New Roman" w:eastAsia="Times New Roman" w:hint="default"/>
                <w:sz w:val="18"/>
                <w:szCs w:val="18"/>
              </w:rPr>
            </w:pPr>
            <w:r>
              <w:rPr>
                <w:rFonts w:ascii="Times New Roman"/>
                <w:spacing w:val="-1"/>
                <w:sz w:val="18"/>
              </w:rPr>
              <w:t>520,408.16</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5"/>
              <w:jc w:val="right"/>
              <w:rPr>
                <w:rFonts w:ascii="Times New Roman" w:hAnsi="Times New Roman" w:cs="Times New Roman" w:eastAsia="Times New Roman" w:hint="default"/>
                <w:sz w:val="18"/>
                <w:szCs w:val="18"/>
              </w:rPr>
            </w:pPr>
            <w:r>
              <w:rPr>
                <w:rFonts w:ascii="Times New Roman"/>
                <w:sz w:val="18"/>
              </w:rPr>
              <w:t>5.10%</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95"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33" w:lineRule="exact"/>
              <w:ind w:left="72" w:right="0"/>
              <w:jc w:val="left"/>
              <w:rPr>
                <w:rFonts w:ascii="宋体" w:hAnsi="宋体" w:cs="宋体" w:eastAsia="宋体" w:hint="default"/>
                <w:sz w:val="18"/>
                <w:szCs w:val="18"/>
              </w:rPr>
            </w:pPr>
            <w:r>
              <w:rPr>
                <w:rFonts w:ascii="宋体" w:hAnsi="宋体" w:cs="宋体" w:eastAsia="宋体" w:hint="default"/>
                <w:sz w:val="18"/>
                <w:szCs w:val="18"/>
              </w:rPr>
              <w:t>太原五一百货大楼</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Times New Roman" w:hAnsi="Times New Roman" w:cs="Times New Roman" w:eastAsia="Times New Roman" w:hint="default"/>
                <w:sz w:val="18"/>
                <w:szCs w:val="18"/>
              </w:rPr>
            </w:pPr>
            <w:r>
              <w:rPr>
                <w:rFonts w:ascii="Times New Roman"/>
                <w:spacing w:val="-1"/>
                <w:sz w:val="18"/>
              </w:rPr>
              <w:t>30,000.00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4"/>
              <w:jc w:val="right"/>
              <w:rPr>
                <w:rFonts w:ascii="Times New Roman" w:hAnsi="Times New Roman" w:cs="Times New Roman" w:eastAsia="Times New Roman" w:hint="default"/>
                <w:sz w:val="18"/>
                <w:szCs w:val="18"/>
              </w:rPr>
            </w:pPr>
            <w:r>
              <w:rPr>
                <w:rFonts w:ascii="Times New Roman"/>
                <w:spacing w:val="-1"/>
                <w:sz w:val="18"/>
              </w:rPr>
              <w:t>30,000.00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90"/>
              <w:jc w:val="right"/>
              <w:rPr>
                <w:rFonts w:ascii="Times New Roman" w:hAnsi="Times New Roman" w:cs="Times New Roman" w:eastAsia="Times New Roman" w:hint="default"/>
                <w:sz w:val="18"/>
                <w:szCs w:val="18"/>
              </w:rPr>
            </w:pPr>
            <w:r>
              <w:rPr>
                <w:rFonts w:ascii="Times New Roman"/>
                <w:spacing w:val="-1"/>
                <w:sz w:val="18"/>
              </w:rPr>
              <w:t>30,000.00</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5"/>
              <w:jc w:val="right"/>
              <w:rPr>
                <w:rFonts w:ascii="Times New Roman" w:hAnsi="Times New Roman" w:cs="Times New Roman" w:eastAsia="Times New Roman" w:hint="default"/>
                <w:sz w:val="18"/>
                <w:szCs w:val="18"/>
              </w:rPr>
            </w:pPr>
            <w:r>
              <w:rPr>
                <w:rFonts w:ascii="Times New Roman"/>
                <w:spacing w:val="-1"/>
                <w:sz w:val="18"/>
              </w:rPr>
              <w:t>30,000.00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5"/>
              <w:jc w:val="right"/>
              <w:rPr>
                <w:rFonts w:ascii="Times New Roman" w:hAnsi="Times New Roman" w:cs="Times New Roman" w:eastAsia="Times New Roman" w:hint="default"/>
                <w:sz w:val="18"/>
                <w:szCs w:val="18"/>
              </w:rPr>
            </w:pPr>
            <w:r>
              <w:rPr>
                <w:rFonts w:ascii="Times New Roman"/>
                <w:sz w:val="18"/>
              </w:rPr>
              <w:t>0.15%</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55" w:hRule="exact"/>
        </w:trPr>
        <w:tc>
          <w:tcPr>
            <w:tcW w:w="3598" w:type="dxa"/>
            <w:tcBorders>
              <w:top w:val="nil" w:sz="6" w:space="0" w:color="auto"/>
              <w:left w:val="nil" w:sz="6" w:space="0" w:color="auto"/>
              <w:bottom w:val="single" w:sz="4" w:space="0" w:color="000000"/>
              <w:right w:val="nil" w:sz="6" w:space="0" w:color="auto"/>
            </w:tcBorders>
          </w:tcPr>
          <w:p>
            <w:pPr>
              <w:pStyle w:val="TableParagraph"/>
              <w:spacing w:line="223" w:lineRule="exact"/>
              <w:ind w:left="72" w:right="0"/>
              <w:jc w:val="left"/>
              <w:rPr>
                <w:rFonts w:ascii="宋体" w:hAnsi="宋体" w:cs="宋体" w:eastAsia="宋体" w:hint="default"/>
                <w:sz w:val="18"/>
                <w:szCs w:val="18"/>
              </w:rPr>
            </w:pPr>
            <w:r>
              <w:rPr>
                <w:rFonts w:ascii="宋体" w:hAnsi="宋体" w:cs="宋体" w:eastAsia="宋体" w:hint="default"/>
                <w:sz w:val="18"/>
                <w:szCs w:val="18"/>
              </w:rPr>
              <w:t>同方知好乐教育科技（北京）有限公司</w:t>
            </w:r>
          </w:p>
        </w:tc>
        <w:tc>
          <w:tcPr>
            <w:tcW w:w="126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20,486.06</w:t>
            </w:r>
          </w:p>
        </w:tc>
        <w:tc>
          <w:tcPr>
            <w:tcW w:w="1111"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060"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20,486.06</w:t>
            </w:r>
          </w:p>
        </w:tc>
        <w:tc>
          <w:tcPr>
            <w:tcW w:w="109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90"/>
              <w:jc w:val="right"/>
              <w:rPr>
                <w:rFonts w:ascii="Times New Roman" w:hAnsi="Times New Roman" w:cs="Times New Roman" w:eastAsia="Times New Roman" w:hint="default"/>
                <w:sz w:val="18"/>
                <w:szCs w:val="18"/>
              </w:rPr>
            </w:pPr>
            <w:r>
              <w:rPr>
                <w:rFonts w:ascii="Times New Roman"/>
                <w:spacing w:val="-1"/>
                <w:sz w:val="18"/>
              </w:rPr>
              <w:t>0.00</w:t>
            </w:r>
          </w:p>
        </w:tc>
        <w:tc>
          <w:tcPr>
            <w:tcW w:w="971"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0.00</w:t>
            </w:r>
          </w:p>
        </w:tc>
        <w:tc>
          <w:tcPr>
            <w:tcW w:w="107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c>
          <w:tcPr>
            <w:tcW w:w="114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z w:val="18"/>
              </w:rPr>
              <w:t>2.03%</w:t>
            </w:r>
          </w:p>
        </w:tc>
        <w:tc>
          <w:tcPr>
            <w:tcW w:w="105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305" w:hRule="exact"/>
        </w:trPr>
        <w:tc>
          <w:tcPr>
            <w:tcW w:w="3598"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7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26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10"/>
              <w:jc w:val="right"/>
              <w:rPr>
                <w:rFonts w:ascii="Times New Roman" w:hAnsi="Times New Roman" w:cs="Times New Roman" w:eastAsia="Times New Roman" w:hint="default"/>
                <w:sz w:val="18"/>
                <w:szCs w:val="18"/>
              </w:rPr>
            </w:pPr>
            <w:r>
              <w:rPr>
                <w:rFonts w:ascii="Times New Roman"/>
                <w:b/>
                <w:spacing w:val="-1"/>
                <w:sz w:val="18"/>
              </w:rPr>
              <w:t>83,880,996.76</w:t>
            </w:r>
            <w:r>
              <w:rPr>
                <w:rFonts w:ascii="Times New Roman"/>
                <w:spacing w:val="-1"/>
                <w:sz w:val="18"/>
              </w:rPr>
            </w:r>
          </w:p>
        </w:tc>
        <w:tc>
          <w:tcPr>
            <w:tcW w:w="1111"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54"/>
              <w:jc w:val="right"/>
              <w:rPr>
                <w:rFonts w:ascii="Times New Roman" w:hAnsi="Times New Roman" w:cs="Times New Roman" w:eastAsia="Times New Roman" w:hint="default"/>
                <w:sz w:val="18"/>
                <w:szCs w:val="18"/>
              </w:rPr>
            </w:pPr>
            <w:r>
              <w:rPr>
                <w:rFonts w:ascii="Times New Roman"/>
                <w:b/>
                <w:spacing w:val="-1"/>
                <w:sz w:val="18"/>
              </w:rPr>
              <w:t>3,387,177.27</w:t>
            </w:r>
            <w:r>
              <w:rPr>
                <w:rFonts w:ascii="Times New Roman"/>
                <w:spacing w:val="-1"/>
                <w:sz w:val="18"/>
              </w:rPr>
            </w:r>
          </w:p>
        </w:tc>
        <w:tc>
          <w:tcPr>
            <w:tcW w:w="1060"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55"/>
              <w:jc w:val="right"/>
              <w:rPr>
                <w:rFonts w:ascii="Times New Roman" w:hAnsi="Times New Roman" w:cs="Times New Roman" w:eastAsia="Times New Roman" w:hint="default"/>
                <w:sz w:val="18"/>
                <w:szCs w:val="18"/>
              </w:rPr>
            </w:pPr>
            <w:r>
              <w:rPr>
                <w:rFonts w:ascii="Times New Roman"/>
                <w:b/>
                <w:spacing w:val="-1"/>
                <w:sz w:val="18"/>
              </w:rPr>
              <w:t>1,915,847.70</w:t>
            </w:r>
            <w:r>
              <w:rPr>
                <w:rFonts w:ascii="Times New Roman"/>
                <w:spacing w:val="-1"/>
                <w:sz w:val="18"/>
              </w:rPr>
            </w:r>
          </w:p>
        </w:tc>
        <w:tc>
          <w:tcPr>
            <w:tcW w:w="114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55"/>
              <w:jc w:val="right"/>
              <w:rPr>
                <w:rFonts w:ascii="Times New Roman" w:hAnsi="Times New Roman" w:cs="Times New Roman" w:eastAsia="Times New Roman" w:hint="default"/>
                <w:sz w:val="18"/>
                <w:szCs w:val="18"/>
              </w:rPr>
            </w:pPr>
            <w:r>
              <w:rPr>
                <w:rFonts w:ascii="Times New Roman"/>
                <w:b/>
                <w:spacing w:val="-1"/>
                <w:sz w:val="18"/>
              </w:rPr>
              <w:t>85,352,326.33</w:t>
            </w:r>
            <w:r>
              <w:rPr>
                <w:rFonts w:ascii="Times New Roman"/>
                <w:spacing w:val="-1"/>
                <w:sz w:val="18"/>
              </w:rPr>
            </w:r>
          </w:p>
        </w:tc>
        <w:tc>
          <w:tcPr>
            <w:tcW w:w="109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90"/>
              <w:jc w:val="right"/>
              <w:rPr>
                <w:rFonts w:ascii="Times New Roman" w:hAnsi="Times New Roman" w:cs="Times New Roman" w:eastAsia="Times New Roman" w:hint="default"/>
                <w:sz w:val="18"/>
                <w:szCs w:val="18"/>
              </w:rPr>
            </w:pPr>
            <w:r>
              <w:rPr>
                <w:rFonts w:ascii="Times New Roman"/>
                <w:b/>
                <w:spacing w:val="-1"/>
                <w:sz w:val="18"/>
              </w:rPr>
              <w:t>3,646,021.21</w:t>
            </w:r>
            <w:r>
              <w:rPr>
                <w:rFonts w:ascii="Times New Roman"/>
                <w:spacing w:val="-1"/>
                <w:sz w:val="18"/>
              </w:rPr>
            </w:r>
          </w:p>
        </w:tc>
        <w:tc>
          <w:tcPr>
            <w:tcW w:w="971"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84"/>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967"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83" w:right="0"/>
              <w:jc w:val="left"/>
              <w:rPr>
                <w:rFonts w:ascii="Times New Roman" w:hAnsi="Times New Roman" w:cs="Times New Roman" w:eastAsia="Times New Roman" w:hint="default"/>
                <w:sz w:val="18"/>
                <w:szCs w:val="18"/>
              </w:rPr>
            </w:pPr>
            <w:r>
              <w:rPr>
                <w:rFonts w:ascii="Times New Roman"/>
                <w:b/>
                <w:sz w:val="18"/>
              </w:rPr>
              <w:t>182,735.50</w:t>
            </w:r>
            <w:r>
              <w:rPr>
                <w:rFonts w:ascii="Times New Roman"/>
                <w:sz w:val="18"/>
              </w:rPr>
            </w:r>
          </w:p>
        </w:tc>
        <w:tc>
          <w:tcPr>
            <w:tcW w:w="107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55"/>
              <w:jc w:val="right"/>
              <w:rPr>
                <w:rFonts w:ascii="Times New Roman" w:hAnsi="Times New Roman" w:cs="Times New Roman" w:eastAsia="Times New Roman" w:hint="default"/>
                <w:sz w:val="18"/>
                <w:szCs w:val="18"/>
              </w:rPr>
            </w:pPr>
            <w:r>
              <w:rPr>
                <w:rFonts w:ascii="Times New Roman"/>
                <w:b/>
                <w:spacing w:val="-1"/>
                <w:sz w:val="18"/>
              </w:rPr>
              <w:t>3,463,285.71</w:t>
            </w:r>
            <w:r>
              <w:rPr>
                <w:rFonts w:ascii="Times New Roman"/>
                <w:spacing w:val="-1"/>
                <w:sz w:val="18"/>
              </w:rPr>
            </w:r>
          </w:p>
        </w:tc>
        <w:tc>
          <w:tcPr>
            <w:tcW w:w="114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058"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55"/>
              <w:jc w:val="right"/>
              <w:rPr>
                <w:rFonts w:ascii="Times New Roman" w:hAnsi="Times New Roman" w:cs="Times New Roman" w:eastAsia="Times New Roman" w:hint="default"/>
                <w:sz w:val="18"/>
                <w:szCs w:val="18"/>
              </w:rPr>
            </w:pPr>
            <w:r>
              <w:rPr>
                <w:rFonts w:ascii="Times New Roman"/>
                <w:b/>
                <w:spacing w:val="-1"/>
                <w:sz w:val="18"/>
              </w:rPr>
              <w:t>1,000,000.00</w:t>
            </w:r>
            <w:r>
              <w:rPr>
                <w:rFonts w:ascii="Times New Roman"/>
                <w:spacing w:val="-1"/>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6"/>
          <w:szCs w:val="26"/>
        </w:rPr>
      </w:pPr>
    </w:p>
    <w:p>
      <w:pPr>
        <w:spacing w:before="76"/>
        <w:ind w:left="7024" w:right="7378" w:firstLine="0"/>
        <w:jc w:val="center"/>
        <w:rPr>
          <w:rFonts w:ascii="Times New Roman" w:hAnsi="Times New Roman" w:cs="Times New Roman" w:eastAsia="Times New Roman" w:hint="default"/>
          <w:sz w:val="18"/>
          <w:szCs w:val="18"/>
        </w:rPr>
      </w:pPr>
      <w:r>
        <w:rPr>
          <w:rFonts w:ascii="Times New Roman"/>
          <w:sz w:val="18"/>
        </w:rPr>
        <w:t>110</w:t>
      </w:r>
    </w:p>
    <w:p>
      <w:pPr>
        <w:spacing w:after="0"/>
        <w:jc w:val="center"/>
        <w:rPr>
          <w:rFonts w:ascii="Times New Roman" w:hAnsi="Times New Roman" w:cs="Times New Roman" w:eastAsia="Times New Roman" w:hint="default"/>
          <w:sz w:val="18"/>
          <w:szCs w:val="18"/>
        </w:rPr>
        <w:sectPr>
          <w:headerReference w:type="default" r:id="rId62"/>
          <w:footerReference w:type="default" r:id="rId63"/>
          <w:pgSz w:w="16840" w:h="11910" w:orient="landscape"/>
          <w:pgMar w:header="0" w:footer="0" w:top="520" w:bottom="280" w:left="1240" w:right="88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8"/>
          <w:szCs w:val="18"/>
        </w:rPr>
      </w:pPr>
    </w:p>
    <w:p>
      <w:pPr>
        <w:spacing w:before="0"/>
        <w:ind w:left="715" w:right="142"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 </w:t>
      </w:r>
      <w:r>
        <w:rPr>
          <w:rFonts w:ascii="Times New Roman" w:hAnsi="Times New Roman" w:cs="Times New Roman" w:eastAsia="Times New Roman" w:hint="default"/>
          <w:b/>
          <w:bCs/>
          <w:spacing w:val="54"/>
          <w:sz w:val="22"/>
          <w:szCs w:val="22"/>
        </w:rPr>
        <w:t> </w:t>
      </w:r>
      <w:r>
        <w:rPr>
          <w:rFonts w:ascii="宋体" w:hAnsi="宋体" w:cs="宋体" w:eastAsia="宋体" w:hint="default"/>
          <w:sz w:val="22"/>
          <w:szCs w:val="22"/>
        </w:rPr>
        <w:t>可供出售金融资产减值准备</w:t>
      </w:r>
    </w:p>
    <w:p>
      <w:pPr>
        <w:spacing w:line="240" w:lineRule="auto" w:before="8"/>
        <w:rPr>
          <w:rFonts w:ascii="宋体" w:hAnsi="宋体" w:cs="宋体" w:eastAsia="宋体" w:hint="default"/>
          <w:sz w:val="11"/>
          <w:szCs w:val="11"/>
        </w:rPr>
      </w:pPr>
    </w:p>
    <w:tbl>
      <w:tblPr>
        <w:tblW w:w="0" w:type="auto"/>
        <w:jc w:val="left"/>
        <w:tblInd w:w="154" w:type="dxa"/>
        <w:tblLayout w:type="fixed"/>
        <w:tblCellMar>
          <w:top w:w="0" w:type="dxa"/>
          <w:left w:w="0" w:type="dxa"/>
          <w:bottom w:w="0" w:type="dxa"/>
          <w:right w:w="0" w:type="dxa"/>
        </w:tblCellMar>
        <w:tblLook w:val="01E0"/>
      </w:tblPr>
      <w:tblGrid>
        <w:gridCol w:w="4810"/>
        <w:gridCol w:w="3915"/>
      </w:tblGrid>
      <w:tr>
        <w:trPr>
          <w:trHeight w:val="305" w:hRule="exact"/>
        </w:trPr>
        <w:tc>
          <w:tcPr>
            <w:tcW w:w="481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可供出售金融资产分类</w:t>
            </w:r>
            <w:r>
              <w:rPr>
                <w:rFonts w:ascii="宋体" w:hAnsi="宋体" w:cs="宋体" w:eastAsia="宋体" w:hint="default"/>
                <w:sz w:val="18"/>
                <w:szCs w:val="18"/>
              </w:rPr>
            </w:r>
          </w:p>
        </w:tc>
        <w:tc>
          <w:tcPr>
            <w:tcW w:w="391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可供出售权益工具</w:t>
            </w:r>
            <w:r>
              <w:rPr>
                <w:rFonts w:ascii="宋体" w:hAnsi="宋体" w:cs="宋体" w:eastAsia="宋体" w:hint="default"/>
                <w:sz w:val="18"/>
                <w:szCs w:val="18"/>
              </w:rPr>
            </w:r>
          </w:p>
        </w:tc>
      </w:tr>
      <w:tr>
        <w:trPr>
          <w:trHeight w:val="325" w:hRule="exact"/>
        </w:trPr>
        <w:tc>
          <w:tcPr>
            <w:tcW w:w="4810"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年初已计提减值金额</w:t>
            </w:r>
          </w:p>
        </w:tc>
        <w:tc>
          <w:tcPr>
            <w:tcW w:w="391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3,646,021.21</w:t>
            </w:r>
          </w:p>
        </w:tc>
      </w:tr>
      <w:tr>
        <w:trPr>
          <w:trHeight w:val="284" w:hRule="exact"/>
        </w:trPr>
        <w:tc>
          <w:tcPr>
            <w:tcW w:w="4810"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391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4810"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391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182,735.50</w:t>
            </w:r>
          </w:p>
        </w:tc>
      </w:tr>
      <w:tr>
        <w:trPr>
          <w:trHeight w:val="286" w:hRule="exact"/>
        </w:trPr>
        <w:tc>
          <w:tcPr>
            <w:tcW w:w="4810"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其中：期后公允价值回升转回</w:t>
            </w:r>
          </w:p>
        </w:tc>
        <w:tc>
          <w:tcPr>
            <w:tcW w:w="391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0.00</w:t>
            </w:r>
          </w:p>
        </w:tc>
      </w:tr>
      <w:tr>
        <w:trPr>
          <w:trHeight w:val="267" w:hRule="exact"/>
        </w:trPr>
        <w:tc>
          <w:tcPr>
            <w:tcW w:w="4810" w:type="dxa"/>
            <w:tcBorders>
              <w:top w:val="nil" w:sz="6" w:space="0" w:color="auto"/>
              <w:left w:val="nil" w:sz="6" w:space="0" w:color="auto"/>
              <w:bottom w:val="single" w:sz="12"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年末已计提减值金额</w:t>
            </w:r>
          </w:p>
        </w:tc>
        <w:tc>
          <w:tcPr>
            <w:tcW w:w="391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3,463,285.71</w:t>
            </w:r>
          </w:p>
        </w:tc>
      </w:tr>
    </w:tbl>
    <w:p>
      <w:pPr>
        <w:spacing w:before="21"/>
        <w:ind w:left="665" w:right="142"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10.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长期应收款</w:t>
      </w:r>
    </w:p>
    <w:p>
      <w:pPr>
        <w:spacing w:line="240" w:lineRule="auto" w:before="5"/>
        <w:rPr>
          <w:rFonts w:ascii="宋体" w:hAnsi="宋体" w:cs="宋体" w:eastAsia="宋体" w:hint="default"/>
          <w:sz w:val="11"/>
          <w:szCs w:val="11"/>
        </w:rPr>
      </w:pPr>
    </w:p>
    <w:tbl>
      <w:tblPr>
        <w:tblW w:w="0" w:type="auto"/>
        <w:jc w:val="left"/>
        <w:tblInd w:w="106" w:type="dxa"/>
        <w:tblLayout w:type="fixed"/>
        <w:tblCellMar>
          <w:top w:w="0" w:type="dxa"/>
          <w:left w:w="0" w:type="dxa"/>
          <w:bottom w:w="0" w:type="dxa"/>
          <w:right w:w="0" w:type="dxa"/>
        </w:tblCellMar>
        <w:tblLook w:val="01E0"/>
      </w:tblPr>
      <w:tblGrid>
        <w:gridCol w:w="1548"/>
        <w:gridCol w:w="1330"/>
        <w:gridCol w:w="837"/>
        <w:gridCol w:w="1416"/>
        <w:gridCol w:w="1424"/>
        <w:gridCol w:w="883"/>
        <w:gridCol w:w="1365"/>
      </w:tblGrid>
      <w:tr>
        <w:trPr>
          <w:trHeight w:val="307" w:hRule="exact"/>
        </w:trPr>
        <w:tc>
          <w:tcPr>
            <w:tcW w:w="1548" w:type="dxa"/>
            <w:vMerge w:val="restart"/>
            <w:tcBorders>
              <w:top w:val="single" w:sz="12" w:space="0" w:color="000000"/>
              <w:left w:val="nil" w:sz="6" w:space="0" w:color="auto"/>
              <w:right w:val="nil" w:sz="6" w:space="0" w:color="auto"/>
            </w:tcBorders>
          </w:tcPr>
          <w:p>
            <w:pPr>
              <w:pStyle w:val="TableParagraph"/>
              <w:spacing w:line="240" w:lineRule="auto" w:before="145"/>
              <w:ind w:left="40"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330" w:type="dxa"/>
            <w:tcBorders>
              <w:top w:val="single" w:sz="12" w:space="0" w:color="000000"/>
              <w:left w:val="nil" w:sz="6" w:space="0" w:color="auto"/>
              <w:bottom w:val="single" w:sz="4" w:space="0" w:color="000000"/>
              <w:right w:val="nil" w:sz="6" w:space="0" w:color="auto"/>
            </w:tcBorders>
          </w:tcPr>
          <w:p>
            <w:pPr/>
          </w:p>
        </w:tc>
        <w:tc>
          <w:tcPr>
            <w:tcW w:w="83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57"/>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1416" w:type="dxa"/>
            <w:tcBorders>
              <w:top w:val="single" w:sz="12" w:space="0" w:color="000000"/>
              <w:left w:val="nil" w:sz="6" w:space="0" w:color="auto"/>
              <w:bottom w:val="single" w:sz="4" w:space="0" w:color="000000"/>
              <w:right w:val="nil" w:sz="6" w:space="0" w:color="auto"/>
            </w:tcBorders>
          </w:tcPr>
          <w:p>
            <w:pPr/>
          </w:p>
        </w:tc>
        <w:tc>
          <w:tcPr>
            <w:tcW w:w="1424" w:type="dxa"/>
            <w:tcBorders>
              <w:top w:val="single" w:sz="12" w:space="0" w:color="000000"/>
              <w:left w:val="nil" w:sz="6" w:space="0" w:color="auto"/>
              <w:bottom w:val="single" w:sz="4" w:space="0" w:color="000000"/>
              <w:right w:val="nil" w:sz="6" w:space="0" w:color="auto"/>
            </w:tcBorders>
          </w:tcPr>
          <w:p>
            <w:pPr/>
          </w:p>
        </w:tc>
        <w:tc>
          <w:tcPr>
            <w:tcW w:w="88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5"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365" w:type="dxa"/>
            <w:tcBorders>
              <w:top w:val="single" w:sz="12" w:space="0" w:color="000000"/>
              <w:left w:val="nil" w:sz="6" w:space="0" w:color="auto"/>
              <w:bottom w:val="single" w:sz="4" w:space="0" w:color="000000"/>
              <w:right w:val="nil" w:sz="6" w:space="0" w:color="auto"/>
            </w:tcBorders>
          </w:tcPr>
          <w:p>
            <w:pPr/>
          </w:p>
        </w:tc>
      </w:tr>
      <w:tr>
        <w:trPr>
          <w:trHeight w:val="293" w:hRule="exact"/>
        </w:trPr>
        <w:tc>
          <w:tcPr>
            <w:tcW w:w="1548" w:type="dxa"/>
            <w:vMerge/>
            <w:tcBorders>
              <w:left w:val="nil" w:sz="6" w:space="0" w:color="auto"/>
              <w:bottom w:val="single" w:sz="4" w:space="0" w:color="000000"/>
              <w:right w:val="nil" w:sz="6" w:space="0" w:color="auto"/>
            </w:tcBorders>
          </w:tcPr>
          <w:p>
            <w:pPr/>
          </w:p>
        </w:tc>
        <w:tc>
          <w:tcPr>
            <w:tcW w:w="1330"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295"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837"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right="69"/>
              <w:jc w:val="right"/>
              <w:rPr>
                <w:rFonts w:ascii="宋体" w:hAnsi="宋体" w:cs="宋体" w:eastAsia="宋体" w:hint="default"/>
                <w:sz w:val="18"/>
                <w:szCs w:val="18"/>
              </w:rPr>
            </w:pPr>
            <w:r>
              <w:rPr>
                <w:rFonts w:ascii="宋体" w:hAnsi="宋体" w:cs="宋体" w:eastAsia="宋体" w:hint="default"/>
                <w:b/>
                <w:bCs/>
                <w:w w:val="95"/>
                <w:sz w:val="18"/>
                <w:szCs w:val="18"/>
              </w:rPr>
              <w:t>减值准备</w:t>
            </w:r>
            <w:r>
              <w:rPr>
                <w:rFonts w:ascii="宋体" w:hAnsi="宋体" w:cs="宋体" w:eastAsia="宋体" w:hint="default"/>
                <w:sz w:val="18"/>
                <w:szCs w:val="18"/>
              </w:rPr>
            </w:r>
          </w:p>
        </w:tc>
        <w:tc>
          <w:tcPr>
            <w:tcW w:w="1416"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c>
          <w:tcPr>
            <w:tcW w:w="1424"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883"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46" w:right="0"/>
              <w:jc w:val="left"/>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c>
        <w:tc>
          <w:tcPr>
            <w:tcW w:w="1365"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297"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503" w:hRule="exact"/>
        </w:trPr>
        <w:tc>
          <w:tcPr>
            <w:tcW w:w="1548" w:type="dxa"/>
            <w:tcBorders>
              <w:top w:val="single" w:sz="4" w:space="0" w:color="000000"/>
              <w:left w:val="nil" w:sz="6" w:space="0" w:color="auto"/>
              <w:bottom w:val="nil" w:sz="6" w:space="0" w:color="auto"/>
              <w:right w:val="nil" w:sz="6" w:space="0" w:color="auto"/>
            </w:tcBorders>
          </w:tcPr>
          <w:p>
            <w:pPr>
              <w:pStyle w:val="TableParagraph"/>
              <w:spacing w:line="206" w:lineRule="exact"/>
              <w:ind w:left="40" w:right="0"/>
              <w:jc w:val="left"/>
              <w:rPr>
                <w:rFonts w:ascii="宋体" w:hAnsi="宋体" w:cs="宋体" w:eastAsia="宋体" w:hint="default"/>
                <w:sz w:val="18"/>
                <w:szCs w:val="18"/>
              </w:rPr>
            </w:pPr>
            <w:r>
              <w:rPr>
                <w:rFonts w:ascii="宋体" w:hAnsi="宋体" w:cs="宋体" w:eastAsia="宋体" w:hint="default"/>
                <w:spacing w:val="4"/>
                <w:sz w:val="18"/>
                <w:szCs w:val="18"/>
              </w:rPr>
              <w:t>污水、污泥处理项</w:t>
            </w:r>
            <w:r>
              <w:rPr>
                <w:rFonts w:ascii="宋体" w:hAnsi="宋体" w:cs="宋体" w:eastAsia="宋体" w:hint="default"/>
                <w:sz w:val="18"/>
                <w:szCs w:val="18"/>
              </w:rPr>
            </w:r>
          </w:p>
          <w:p>
            <w:pPr>
              <w:pStyle w:val="TableParagraph"/>
              <w:spacing w:line="248" w:lineRule="exact"/>
              <w:ind w:left="40" w:right="0"/>
              <w:jc w:val="left"/>
              <w:rPr>
                <w:rFonts w:ascii="宋体" w:hAnsi="宋体" w:cs="宋体" w:eastAsia="宋体" w:hint="default"/>
                <w:sz w:val="18"/>
                <w:szCs w:val="18"/>
              </w:rPr>
            </w:pPr>
            <w:r>
              <w:rPr>
                <w:rFonts w:ascii="宋体" w:hAnsi="宋体" w:cs="宋体" w:eastAsia="宋体" w:hint="default"/>
                <w:sz w:val="18"/>
                <w:szCs w:val="18"/>
              </w:rPr>
              <w:t>目（</w:t>
            </w:r>
            <w:r>
              <w:rPr>
                <w:rFonts w:ascii="Times New Roman" w:hAnsi="Times New Roman" w:cs="Times New Roman" w:eastAsia="Times New Roman" w:hint="default"/>
                <w:sz w:val="18"/>
                <w:szCs w:val="18"/>
              </w:rPr>
              <w:t>BOT</w:t>
            </w:r>
            <w:r>
              <w:rPr>
                <w:rFonts w:ascii="宋体" w:hAnsi="宋体" w:cs="宋体" w:eastAsia="宋体" w:hint="default"/>
                <w:sz w:val="18"/>
                <w:szCs w:val="18"/>
              </w:rPr>
              <w:t>、</w:t>
            </w:r>
            <w:r>
              <w:rPr>
                <w:rFonts w:ascii="Times New Roman" w:hAnsi="Times New Roman" w:cs="Times New Roman" w:eastAsia="Times New Roman" w:hint="default"/>
                <w:sz w:val="18"/>
                <w:szCs w:val="18"/>
              </w:rPr>
              <w:t>TOT</w:t>
            </w:r>
            <w:r>
              <w:rPr>
                <w:rFonts w:ascii="宋体" w:hAnsi="宋体" w:cs="宋体" w:eastAsia="宋体" w:hint="default"/>
                <w:sz w:val="18"/>
                <w:szCs w:val="18"/>
              </w:rPr>
              <w:t>）</w:t>
            </w:r>
          </w:p>
        </w:tc>
        <w:tc>
          <w:tcPr>
            <w:tcW w:w="1330" w:type="dxa"/>
            <w:tcBorders>
              <w:top w:val="single" w:sz="4" w:space="0" w:color="000000"/>
              <w:left w:val="nil" w:sz="6" w:space="0" w:color="auto"/>
              <w:bottom w:val="nil" w:sz="6" w:space="0" w:color="auto"/>
              <w:right w:val="nil" w:sz="6" w:space="0" w:color="auto"/>
            </w:tcBorders>
          </w:tcPr>
          <w:p>
            <w:pPr>
              <w:pStyle w:val="TableParagraph"/>
              <w:spacing w:line="240" w:lineRule="auto" w:before="127"/>
              <w:ind w:right="41"/>
              <w:jc w:val="right"/>
              <w:rPr>
                <w:rFonts w:ascii="Times New Roman" w:hAnsi="Times New Roman" w:cs="Times New Roman" w:eastAsia="Times New Roman" w:hint="default"/>
                <w:sz w:val="18"/>
                <w:szCs w:val="18"/>
              </w:rPr>
            </w:pPr>
            <w:r>
              <w:rPr>
                <w:rFonts w:ascii="Times New Roman"/>
                <w:spacing w:val="-1"/>
                <w:sz w:val="18"/>
              </w:rPr>
              <w:t>3,567,660,198.21</w:t>
            </w:r>
          </w:p>
        </w:tc>
        <w:tc>
          <w:tcPr>
            <w:tcW w:w="837" w:type="dxa"/>
            <w:tcBorders>
              <w:top w:val="single" w:sz="4" w:space="0" w:color="000000"/>
              <w:left w:val="nil" w:sz="6" w:space="0" w:color="auto"/>
              <w:bottom w:val="nil" w:sz="6" w:space="0" w:color="auto"/>
              <w:right w:val="nil" w:sz="6" w:space="0" w:color="auto"/>
            </w:tcBorders>
          </w:tcPr>
          <w:p>
            <w:pPr>
              <w:pStyle w:val="TableParagraph"/>
              <w:spacing w:line="240" w:lineRule="auto" w:before="127"/>
              <w:ind w:right="39"/>
              <w:jc w:val="right"/>
              <w:rPr>
                <w:rFonts w:ascii="Times New Roman" w:hAnsi="Times New Roman" w:cs="Times New Roman" w:eastAsia="Times New Roman" w:hint="default"/>
                <w:sz w:val="18"/>
                <w:szCs w:val="18"/>
              </w:rPr>
            </w:pPr>
            <w:r>
              <w:rPr>
                <w:rFonts w:ascii="Times New Roman"/>
                <w:spacing w:val="-1"/>
                <w:sz w:val="18"/>
              </w:rPr>
              <w:t>0.00</w:t>
            </w:r>
          </w:p>
        </w:tc>
        <w:tc>
          <w:tcPr>
            <w:tcW w:w="1416" w:type="dxa"/>
            <w:tcBorders>
              <w:top w:val="single" w:sz="4" w:space="0" w:color="000000"/>
              <w:left w:val="nil" w:sz="6" w:space="0" w:color="auto"/>
              <w:bottom w:val="nil" w:sz="6" w:space="0" w:color="auto"/>
              <w:right w:val="nil" w:sz="6" w:space="0" w:color="auto"/>
            </w:tcBorders>
          </w:tcPr>
          <w:p>
            <w:pPr>
              <w:pStyle w:val="TableParagraph"/>
              <w:spacing w:line="240" w:lineRule="auto" w:before="127"/>
              <w:ind w:right="114"/>
              <w:jc w:val="right"/>
              <w:rPr>
                <w:rFonts w:ascii="Times New Roman" w:hAnsi="Times New Roman" w:cs="Times New Roman" w:eastAsia="Times New Roman" w:hint="default"/>
                <w:sz w:val="18"/>
                <w:szCs w:val="18"/>
              </w:rPr>
            </w:pPr>
            <w:r>
              <w:rPr>
                <w:rFonts w:ascii="Times New Roman"/>
                <w:spacing w:val="-1"/>
                <w:sz w:val="18"/>
              </w:rPr>
              <w:t>3,567,660,198.21</w:t>
            </w:r>
          </w:p>
        </w:tc>
        <w:tc>
          <w:tcPr>
            <w:tcW w:w="1424" w:type="dxa"/>
            <w:tcBorders>
              <w:top w:val="single" w:sz="4" w:space="0" w:color="000000"/>
              <w:left w:val="nil" w:sz="6" w:space="0" w:color="auto"/>
              <w:bottom w:val="nil" w:sz="6" w:space="0" w:color="auto"/>
              <w:right w:val="nil" w:sz="6" w:space="0" w:color="auto"/>
            </w:tcBorders>
          </w:tcPr>
          <w:p>
            <w:pPr>
              <w:pStyle w:val="TableParagraph"/>
              <w:spacing w:line="240" w:lineRule="auto" w:before="127"/>
              <w:ind w:right="45"/>
              <w:jc w:val="right"/>
              <w:rPr>
                <w:rFonts w:ascii="Times New Roman" w:hAnsi="Times New Roman" w:cs="Times New Roman" w:eastAsia="Times New Roman" w:hint="default"/>
                <w:sz w:val="18"/>
                <w:szCs w:val="18"/>
              </w:rPr>
            </w:pPr>
            <w:r>
              <w:rPr>
                <w:rFonts w:ascii="Times New Roman"/>
                <w:spacing w:val="-1"/>
                <w:sz w:val="18"/>
              </w:rPr>
              <w:t>3,146,914,230.90</w:t>
            </w:r>
          </w:p>
        </w:tc>
        <w:tc>
          <w:tcPr>
            <w:tcW w:w="883" w:type="dxa"/>
            <w:tcBorders>
              <w:top w:val="single" w:sz="4" w:space="0" w:color="000000"/>
              <w:left w:val="nil" w:sz="6" w:space="0" w:color="auto"/>
              <w:bottom w:val="nil" w:sz="6" w:space="0" w:color="auto"/>
              <w:right w:val="nil" w:sz="6" w:space="0" w:color="auto"/>
            </w:tcBorders>
          </w:tcPr>
          <w:p>
            <w:pPr>
              <w:pStyle w:val="TableParagraph"/>
              <w:spacing w:line="240" w:lineRule="auto" w:before="127"/>
              <w:ind w:right="74"/>
              <w:jc w:val="right"/>
              <w:rPr>
                <w:rFonts w:ascii="Times New Roman" w:hAnsi="Times New Roman" w:cs="Times New Roman" w:eastAsia="Times New Roman" w:hint="default"/>
                <w:sz w:val="18"/>
                <w:szCs w:val="18"/>
              </w:rPr>
            </w:pPr>
            <w:r>
              <w:rPr>
                <w:rFonts w:ascii="Times New Roman"/>
                <w:spacing w:val="-1"/>
                <w:sz w:val="18"/>
              </w:rPr>
              <w:t>0.00</w:t>
            </w:r>
          </w:p>
        </w:tc>
        <w:tc>
          <w:tcPr>
            <w:tcW w:w="1365" w:type="dxa"/>
            <w:tcBorders>
              <w:top w:val="single" w:sz="4" w:space="0" w:color="000000"/>
              <w:left w:val="nil" w:sz="6" w:space="0" w:color="auto"/>
              <w:bottom w:val="nil" w:sz="6" w:space="0" w:color="auto"/>
              <w:right w:val="nil" w:sz="6" w:space="0" w:color="auto"/>
            </w:tcBorders>
          </w:tcPr>
          <w:p>
            <w:pPr>
              <w:pStyle w:val="TableParagraph"/>
              <w:spacing w:line="240" w:lineRule="auto" w:before="127"/>
              <w:ind w:right="27"/>
              <w:jc w:val="right"/>
              <w:rPr>
                <w:rFonts w:ascii="Times New Roman" w:hAnsi="Times New Roman" w:cs="Times New Roman" w:eastAsia="Times New Roman" w:hint="default"/>
                <w:sz w:val="18"/>
                <w:szCs w:val="18"/>
              </w:rPr>
            </w:pPr>
            <w:r>
              <w:rPr>
                <w:rFonts w:ascii="Times New Roman"/>
                <w:spacing w:val="-1"/>
                <w:sz w:val="18"/>
              </w:rPr>
              <w:t>3,146,914,230.90</w:t>
            </w:r>
          </w:p>
        </w:tc>
      </w:tr>
      <w:tr>
        <w:trPr>
          <w:trHeight w:val="289" w:hRule="exact"/>
        </w:trPr>
        <w:tc>
          <w:tcPr>
            <w:tcW w:w="1548" w:type="dxa"/>
            <w:tcBorders>
              <w:top w:val="nil" w:sz="6" w:space="0" w:color="auto"/>
              <w:left w:val="nil" w:sz="6" w:space="0" w:color="auto"/>
              <w:bottom w:val="nil" w:sz="6" w:space="0" w:color="auto"/>
              <w:right w:val="nil" w:sz="6" w:space="0" w:color="auto"/>
            </w:tcBorders>
          </w:tcPr>
          <w:p>
            <w:pPr>
              <w:pStyle w:val="TableParagraph"/>
              <w:spacing w:line="228" w:lineRule="exact"/>
              <w:ind w:left="40" w:right="0"/>
              <w:jc w:val="left"/>
              <w:rPr>
                <w:rFonts w:ascii="宋体" w:hAnsi="宋体" w:cs="宋体" w:eastAsia="宋体" w:hint="default"/>
                <w:sz w:val="18"/>
                <w:szCs w:val="18"/>
              </w:rPr>
            </w:pPr>
            <w:r>
              <w:rPr>
                <w:rFonts w:ascii="宋体" w:hAnsi="宋体" w:cs="宋体" w:eastAsia="宋体" w:hint="default"/>
                <w:sz w:val="18"/>
                <w:szCs w:val="18"/>
              </w:rPr>
              <w:t>分期收款提供劳务</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1"/>
              <w:jc w:val="right"/>
              <w:rPr>
                <w:rFonts w:ascii="Times New Roman" w:hAnsi="Times New Roman" w:cs="Times New Roman" w:eastAsia="Times New Roman" w:hint="default"/>
                <w:sz w:val="18"/>
                <w:szCs w:val="18"/>
              </w:rPr>
            </w:pPr>
            <w:r>
              <w:rPr>
                <w:rFonts w:ascii="Times New Roman"/>
                <w:spacing w:val="-1"/>
                <w:sz w:val="18"/>
              </w:rPr>
              <w:t>254,635,372.94</w:t>
            </w:r>
          </w:p>
        </w:tc>
        <w:tc>
          <w:tcPr>
            <w:tcW w:w="83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9"/>
              <w:jc w:val="right"/>
              <w:rPr>
                <w:rFonts w:ascii="Times New Roman" w:hAnsi="Times New Roman" w:cs="Times New Roman" w:eastAsia="Times New Roman" w:hint="default"/>
                <w:sz w:val="18"/>
                <w:szCs w:val="18"/>
              </w:rPr>
            </w:pPr>
            <w:r>
              <w:rPr>
                <w:rFonts w:ascii="Times New Roman"/>
                <w:spacing w:val="-1"/>
                <w:sz w:val="18"/>
              </w:rPr>
              <w:t>0.00</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4"/>
              <w:jc w:val="right"/>
              <w:rPr>
                <w:rFonts w:ascii="Times New Roman" w:hAnsi="Times New Roman" w:cs="Times New Roman" w:eastAsia="Times New Roman" w:hint="default"/>
                <w:sz w:val="18"/>
                <w:szCs w:val="18"/>
              </w:rPr>
            </w:pPr>
            <w:r>
              <w:rPr>
                <w:rFonts w:ascii="Times New Roman"/>
                <w:spacing w:val="-1"/>
                <w:sz w:val="18"/>
              </w:rPr>
              <w:t>254,635,372.94</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5"/>
              <w:jc w:val="right"/>
              <w:rPr>
                <w:rFonts w:ascii="Times New Roman" w:hAnsi="Times New Roman" w:cs="Times New Roman" w:eastAsia="Times New Roman" w:hint="default"/>
                <w:sz w:val="18"/>
                <w:szCs w:val="18"/>
              </w:rPr>
            </w:pPr>
            <w:r>
              <w:rPr>
                <w:rFonts w:ascii="Times New Roman"/>
                <w:spacing w:val="-1"/>
                <w:sz w:val="18"/>
              </w:rPr>
              <w:t>298,932,697.38</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74"/>
              <w:jc w:val="right"/>
              <w:rPr>
                <w:rFonts w:ascii="Times New Roman" w:hAnsi="Times New Roman" w:cs="Times New Roman" w:eastAsia="Times New Roman" w:hint="default"/>
                <w:sz w:val="18"/>
                <w:szCs w:val="18"/>
              </w:rPr>
            </w:pPr>
            <w:r>
              <w:rPr>
                <w:rFonts w:ascii="Times New Roman"/>
                <w:spacing w:val="-1"/>
                <w:sz w:val="18"/>
              </w:rPr>
              <w:t>0.00</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6"/>
              <w:jc w:val="right"/>
              <w:rPr>
                <w:rFonts w:ascii="Times New Roman" w:hAnsi="Times New Roman" w:cs="Times New Roman" w:eastAsia="Times New Roman" w:hint="default"/>
                <w:sz w:val="18"/>
                <w:szCs w:val="18"/>
              </w:rPr>
            </w:pPr>
            <w:r>
              <w:rPr>
                <w:rFonts w:ascii="Times New Roman"/>
                <w:spacing w:val="-1"/>
                <w:sz w:val="18"/>
              </w:rPr>
              <w:t>298,932,697.38</w:t>
            </w:r>
          </w:p>
        </w:tc>
      </w:tr>
      <w:tr>
        <w:trPr>
          <w:trHeight w:val="257" w:hRule="exact"/>
        </w:trPr>
        <w:tc>
          <w:tcPr>
            <w:tcW w:w="1548" w:type="dxa"/>
            <w:tcBorders>
              <w:top w:val="nil" w:sz="6" w:space="0" w:color="auto"/>
              <w:left w:val="nil" w:sz="6" w:space="0" w:color="auto"/>
              <w:bottom w:val="single" w:sz="4" w:space="0" w:color="000000"/>
              <w:right w:val="nil" w:sz="6" w:space="0" w:color="auto"/>
            </w:tcBorders>
          </w:tcPr>
          <w:p>
            <w:pPr>
              <w:pStyle w:val="TableParagraph"/>
              <w:spacing w:line="222" w:lineRule="exact"/>
              <w:ind w:left="40" w:right="0"/>
              <w:jc w:val="left"/>
              <w:rPr>
                <w:rFonts w:ascii="宋体" w:hAnsi="宋体" w:cs="宋体" w:eastAsia="宋体" w:hint="default"/>
                <w:sz w:val="18"/>
                <w:szCs w:val="18"/>
              </w:rPr>
            </w:pPr>
            <w:r>
              <w:rPr>
                <w:rFonts w:ascii="宋体" w:hAnsi="宋体" w:cs="宋体" w:eastAsia="宋体" w:hint="default"/>
                <w:sz w:val="18"/>
                <w:szCs w:val="18"/>
              </w:rPr>
              <w:t>分期收款销售商品</w:t>
            </w:r>
          </w:p>
        </w:tc>
        <w:tc>
          <w:tcPr>
            <w:tcW w:w="1330"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41"/>
              <w:jc w:val="right"/>
              <w:rPr>
                <w:rFonts w:ascii="Times New Roman" w:hAnsi="Times New Roman" w:cs="Times New Roman" w:eastAsia="Times New Roman" w:hint="default"/>
                <w:sz w:val="18"/>
                <w:szCs w:val="18"/>
              </w:rPr>
            </w:pPr>
            <w:r>
              <w:rPr>
                <w:rFonts w:ascii="Times New Roman"/>
                <w:spacing w:val="-1"/>
                <w:sz w:val="18"/>
              </w:rPr>
              <w:t>37,661,600.00</w:t>
            </w:r>
          </w:p>
        </w:tc>
        <w:tc>
          <w:tcPr>
            <w:tcW w:w="83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37"/>
              <w:jc w:val="right"/>
              <w:rPr>
                <w:rFonts w:ascii="Times New Roman" w:hAnsi="Times New Roman" w:cs="Times New Roman" w:eastAsia="Times New Roman" w:hint="default"/>
                <w:sz w:val="18"/>
                <w:szCs w:val="18"/>
              </w:rPr>
            </w:pPr>
            <w:r>
              <w:rPr>
                <w:rFonts w:ascii="Times New Roman"/>
                <w:spacing w:val="-1"/>
                <w:sz w:val="18"/>
              </w:rPr>
              <w:t>0.00</w:t>
            </w:r>
          </w:p>
        </w:tc>
        <w:tc>
          <w:tcPr>
            <w:tcW w:w="1416"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14"/>
              <w:jc w:val="right"/>
              <w:rPr>
                <w:rFonts w:ascii="Times New Roman" w:hAnsi="Times New Roman" w:cs="Times New Roman" w:eastAsia="Times New Roman" w:hint="default"/>
                <w:sz w:val="18"/>
                <w:szCs w:val="18"/>
              </w:rPr>
            </w:pPr>
            <w:r>
              <w:rPr>
                <w:rFonts w:ascii="Times New Roman"/>
                <w:spacing w:val="-1"/>
                <w:sz w:val="18"/>
              </w:rPr>
              <w:t>37,661,600.00</w:t>
            </w:r>
          </w:p>
        </w:tc>
        <w:tc>
          <w:tcPr>
            <w:tcW w:w="1424"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44"/>
              <w:jc w:val="right"/>
              <w:rPr>
                <w:rFonts w:ascii="Times New Roman" w:hAnsi="Times New Roman" w:cs="Times New Roman" w:eastAsia="Times New Roman" w:hint="default"/>
                <w:sz w:val="18"/>
                <w:szCs w:val="18"/>
              </w:rPr>
            </w:pPr>
            <w:r>
              <w:rPr>
                <w:rFonts w:ascii="Times New Roman"/>
                <w:spacing w:val="-1"/>
                <w:sz w:val="18"/>
              </w:rPr>
              <w:t>0.00</w:t>
            </w:r>
          </w:p>
        </w:tc>
        <w:tc>
          <w:tcPr>
            <w:tcW w:w="883"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72"/>
              <w:jc w:val="right"/>
              <w:rPr>
                <w:rFonts w:ascii="Times New Roman" w:hAnsi="Times New Roman" w:cs="Times New Roman" w:eastAsia="Times New Roman" w:hint="default"/>
                <w:sz w:val="18"/>
                <w:szCs w:val="18"/>
              </w:rPr>
            </w:pPr>
            <w:r>
              <w:rPr>
                <w:rFonts w:ascii="Times New Roman"/>
                <w:spacing w:val="-1"/>
                <w:sz w:val="18"/>
              </w:rPr>
              <w:t>0.00</w:t>
            </w:r>
          </w:p>
        </w:tc>
        <w:tc>
          <w:tcPr>
            <w:tcW w:w="1365"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0.00</w:t>
            </w:r>
          </w:p>
        </w:tc>
      </w:tr>
      <w:tr>
        <w:trPr>
          <w:trHeight w:val="305" w:hRule="exact"/>
        </w:trPr>
        <w:tc>
          <w:tcPr>
            <w:tcW w:w="1548"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40"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30"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41"/>
              <w:jc w:val="right"/>
              <w:rPr>
                <w:rFonts w:ascii="Times New Roman" w:hAnsi="Times New Roman" w:cs="Times New Roman" w:eastAsia="Times New Roman" w:hint="default"/>
                <w:sz w:val="18"/>
                <w:szCs w:val="18"/>
              </w:rPr>
            </w:pPr>
            <w:r>
              <w:rPr>
                <w:rFonts w:ascii="Times New Roman"/>
                <w:b/>
                <w:spacing w:val="-1"/>
                <w:sz w:val="18"/>
              </w:rPr>
              <w:t>3,859,957,171.15</w:t>
            </w:r>
            <w:r>
              <w:rPr>
                <w:rFonts w:ascii="Times New Roman"/>
                <w:spacing w:val="-1"/>
                <w:sz w:val="18"/>
              </w:rPr>
            </w:r>
          </w:p>
        </w:tc>
        <w:tc>
          <w:tcPr>
            <w:tcW w:w="837"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39"/>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16"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14"/>
              <w:jc w:val="right"/>
              <w:rPr>
                <w:rFonts w:ascii="Times New Roman" w:hAnsi="Times New Roman" w:cs="Times New Roman" w:eastAsia="Times New Roman" w:hint="default"/>
                <w:sz w:val="18"/>
                <w:szCs w:val="18"/>
              </w:rPr>
            </w:pPr>
            <w:r>
              <w:rPr>
                <w:rFonts w:ascii="Times New Roman"/>
                <w:b/>
                <w:spacing w:val="-1"/>
                <w:sz w:val="18"/>
              </w:rPr>
              <w:t>3,859,957,171.15</w:t>
            </w:r>
            <w:r>
              <w:rPr>
                <w:rFonts w:ascii="Times New Roman"/>
                <w:spacing w:val="-1"/>
                <w:sz w:val="18"/>
              </w:rPr>
            </w:r>
          </w:p>
        </w:tc>
        <w:tc>
          <w:tcPr>
            <w:tcW w:w="1424"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45"/>
              <w:jc w:val="right"/>
              <w:rPr>
                <w:rFonts w:ascii="Times New Roman" w:hAnsi="Times New Roman" w:cs="Times New Roman" w:eastAsia="Times New Roman" w:hint="default"/>
                <w:sz w:val="18"/>
                <w:szCs w:val="18"/>
              </w:rPr>
            </w:pPr>
            <w:r>
              <w:rPr>
                <w:rFonts w:ascii="Times New Roman"/>
                <w:b/>
                <w:spacing w:val="-1"/>
                <w:sz w:val="18"/>
              </w:rPr>
              <w:t>3,445,846,928.28</w:t>
            </w:r>
            <w:r>
              <w:rPr>
                <w:rFonts w:ascii="Times New Roman"/>
                <w:spacing w:val="-1"/>
                <w:sz w:val="18"/>
              </w:rPr>
            </w:r>
          </w:p>
        </w:tc>
        <w:tc>
          <w:tcPr>
            <w:tcW w:w="883"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74"/>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65"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29"/>
              <w:jc w:val="right"/>
              <w:rPr>
                <w:rFonts w:ascii="Times New Roman" w:hAnsi="Times New Roman" w:cs="Times New Roman" w:eastAsia="Times New Roman" w:hint="default"/>
                <w:sz w:val="18"/>
                <w:szCs w:val="18"/>
              </w:rPr>
            </w:pPr>
            <w:r>
              <w:rPr>
                <w:rFonts w:ascii="Times New Roman"/>
                <w:b/>
                <w:spacing w:val="-1"/>
                <w:sz w:val="18"/>
              </w:rPr>
              <w:t>3,445,846,928.28</w:t>
            </w:r>
            <w:r>
              <w:rPr>
                <w:rFonts w:ascii="Times New Roman"/>
                <w:spacing w:val="-1"/>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before="76"/>
        <w:ind w:left="4365" w:right="4351" w:firstLine="0"/>
        <w:jc w:val="center"/>
        <w:rPr>
          <w:rFonts w:ascii="Times New Roman" w:hAnsi="Times New Roman" w:cs="Times New Roman" w:eastAsia="Times New Roman" w:hint="default"/>
          <w:sz w:val="18"/>
          <w:szCs w:val="18"/>
        </w:rPr>
      </w:pPr>
      <w:r>
        <w:rPr>
          <w:rFonts w:ascii="Times New Roman"/>
          <w:spacing w:val="-6"/>
          <w:sz w:val="18"/>
        </w:rPr>
        <w:t>111</w:t>
      </w:r>
      <w:r>
        <w:rPr>
          <w:rFonts w:ascii="Times New Roman"/>
          <w:sz w:val="18"/>
        </w:rPr>
      </w:r>
    </w:p>
    <w:p>
      <w:pPr>
        <w:spacing w:after="0"/>
        <w:jc w:val="center"/>
        <w:rPr>
          <w:rFonts w:ascii="Times New Roman" w:hAnsi="Times New Roman" w:cs="Times New Roman" w:eastAsia="Times New Roman" w:hint="default"/>
          <w:sz w:val="18"/>
          <w:szCs w:val="18"/>
        </w:rPr>
        <w:sectPr>
          <w:headerReference w:type="default" r:id="rId64"/>
          <w:footerReference w:type="default" r:id="rId65"/>
          <w:pgSz w:w="11910" w:h="16840"/>
          <w:pgMar w:header="585" w:footer="0" w:top="1080" w:bottom="280" w:left="1440" w:right="14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171"/>
        <w:ind w:left="581"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11.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长期股权投资</w:t>
      </w:r>
    </w:p>
    <w:p>
      <w:pPr>
        <w:tabs>
          <w:tab w:pos="1100" w:val="left" w:leader="none"/>
        </w:tabs>
        <w:spacing w:before="110"/>
        <w:ind w:left="53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tab/>
      </w:r>
      <w:r>
        <w:rPr>
          <w:rFonts w:ascii="宋体" w:hAnsi="宋体" w:cs="宋体" w:eastAsia="宋体" w:hint="default"/>
          <w:sz w:val="22"/>
          <w:szCs w:val="22"/>
        </w:rPr>
        <w:t>长期股权投资明细</w:t>
      </w:r>
    </w:p>
    <w:p>
      <w:pPr>
        <w:spacing w:line="240" w:lineRule="auto" w:before="8"/>
        <w:rPr>
          <w:rFonts w:ascii="宋体" w:hAnsi="宋体" w:cs="宋体" w:eastAsia="宋体" w:hint="default"/>
          <w:sz w:val="11"/>
          <w:szCs w:val="11"/>
        </w:rPr>
      </w:pPr>
    </w:p>
    <w:p>
      <w:pPr>
        <w:spacing w:line="28" w:lineRule="exact"/>
        <w:ind w:left="106" w:right="0" w:firstLine="0"/>
        <w:rPr>
          <w:rFonts w:ascii="宋体" w:hAnsi="宋体" w:cs="宋体" w:eastAsia="宋体" w:hint="default"/>
          <w:sz w:val="2"/>
          <w:szCs w:val="2"/>
        </w:rPr>
      </w:pPr>
      <w:r>
        <w:rPr>
          <w:rFonts w:ascii="宋体" w:hAnsi="宋体" w:cs="宋体" w:eastAsia="宋体" w:hint="default"/>
          <w:position w:val="0"/>
          <w:sz w:val="2"/>
          <w:szCs w:val="2"/>
        </w:rPr>
        <w:pict>
          <v:group style="width:741.5pt;height:1.45pt;mso-position-horizontal-relative:char;mso-position-vertical-relative:line" coordorigin="0,0" coordsize="14830,29">
            <v:group style="position:absolute;left:14;top:14;width:2754;height:2" coordorigin="14,14" coordsize="2754,2">
              <v:shape style="position:absolute;left:14;top:14;width:2754;height:2" coordorigin="14,14" coordsize="2754,0" path="m14,14l2768,14e" filled="false" stroked="true" strokeweight="1.44pt" strokecolor="#000000">
                <v:path arrowok="t"/>
              </v:shape>
            </v:group>
            <v:group style="position:absolute;left:2768;top:14;width:29;height:2" coordorigin="2768,14" coordsize="29,2">
              <v:shape style="position:absolute;left:2768;top:14;width:29;height:2" coordorigin="2768,14" coordsize="29,0" path="m2768,14l2796,14e" filled="false" stroked="true" strokeweight="1.44pt" strokecolor="#000000">
                <v:path arrowok="t"/>
              </v:shape>
            </v:group>
            <v:group style="position:absolute;left:2796;top:14;width:1244;height:2" coordorigin="2796,14" coordsize="1244,2">
              <v:shape style="position:absolute;left:2796;top:14;width:1244;height:2" coordorigin="2796,14" coordsize="1244,0" path="m2796,14l4040,14e" filled="false" stroked="true" strokeweight="1.44pt" strokecolor="#000000">
                <v:path arrowok="t"/>
              </v:shape>
            </v:group>
            <v:group style="position:absolute;left:4040;top:14;width:29;height:2" coordorigin="4040,14" coordsize="29,2">
              <v:shape style="position:absolute;left:4040;top:14;width:29;height:2" coordorigin="4040,14" coordsize="29,0" path="m4040,14l4068,14e" filled="false" stroked="true" strokeweight="1.44pt" strokecolor="#000000">
                <v:path arrowok="t"/>
              </v:shape>
            </v:group>
            <v:group style="position:absolute;left:4068;top:14;width:8339;height:2" coordorigin="4068,14" coordsize="8339,2">
              <v:shape style="position:absolute;left:4068;top:14;width:8339;height:2" coordorigin="4068,14" coordsize="8339,0" path="m4068,14l12407,14e" filled="false" stroked="true" strokeweight="1.44pt" strokecolor="#000000">
                <v:path arrowok="t"/>
              </v:shape>
            </v:group>
            <v:group style="position:absolute;left:12408;top:14;width:29;height:2" coordorigin="12408,14" coordsize="29,2">
              <v:shape style="position:absolute;left:12408;top:14;width:29;height:2" coordorigin="12408,14" coordsize="29,0" path="m12408,14l12436,14e" filled="false" stroked="true" strokeweight="1.44pt" strokecolor="#000000">
                <v:path arrowok="t"/>
              </v:shape>
            </v:group>
            <v:group style="position:absolute;left:12436;top:14;width:1246;height:2" coordorigin="12436,14" coordsize="1246,2">
              <v:shape style="position:absolute;left:12436;top:14;width:1246;height:2" coordorigin="12436,14" coordsize="1246,0" path="m12436,14l13682,14e" filled="false" stroked="true" strokeweight="1.44pt" strokecolor="#000000">
                <v:path arrowok="t"/>
              </v:shape>
            </v:group>
            <v:group style="position:absolute;left:13682;top:14;width:29;height:2" coordorigin="13682,14" coordsize="29,2">
              <v:shape style="position:absolute;left:13682;top:14;width:29;height:2" coordorigin="13682,14" coordsize="29,0" path="m13682,14l13711,14e" filled="false" stroked="true" strokeweight="1.44pt" strokecolor="#000000">
                <v:path arrowok="t"/>
              </v:shape>
            </v:group>
            <v:group style="position:absolute;left:13711;top:14;width:1104;height:2" coordorigin="13711,14" coordsize="1104,2">
              <v:shape style="position:absolute;left:13711;top:14;width:1104;height:2" coordorigin="13711,14" coordsize="1104,0" path="m13711,14l14815,14e" filled="false" stroked="true" strokeweight="1.44pt" strokecolor="#000000">
                <v:path arrowok="t"/>
              </v:shape>
            </v:group>
          </v:group>
        </w:pict>
      </w:r>
      <w:r>
        <w:rPr>
          <w:rFonts w:ascii="宋体" w:hAnsi="宋体" w:cs="宋体" w:eastAsia="宋体" w:hint="default"/>
          <w:position w:val="0"/>
          <w:sz w:val="2"/>
          <w:szCs w:val="2"/>
        </w:rPr>
      </w:r>
    </w:p>
    <w:p>
      <w:pPr>
        <w:spacing w:after="0" w:line="28" w:lineRule="exact"/>
        <w:rPr>
          <w:rFonts w:ascii="宋体" w:hAnsi="宋体" w:cs="宋体" w:eastAsia="宋体" w:hint="default"/>
          <w:sz w:val="2"/>
          <w:szCs w:val="2"/>
        </w:rPr>
        <w:sectPr>
          <w:headerReference w:type="default" r:id="rId66"/>
          <w:footerReference w:type="default" r:id="rId67"/>
          <w:pgSz w:w="16840" w:h="11910" w:orient="landscape"/>
          <w:pgMar w:header="585" w:footer="835" w:top="1080" w:bottom="1020" w:left="1240" w:right="540"/>
          <w:pgNumType w:start="112"/>
        </w:sectPr>
      </w:pPr>
    </w:p>
    <w:p>
      <w:pPr>
        <w:spacing w:line="240" w:lineRule="auto" w:before="4"/>
        <w:rPr>
          <w:rFonts w:ascii="宋体" w:hAnsi="宋体" w:cs="宋体" w:eastAsia="宋体" w:hint="default"/>
          <w:sz w:val="17"/>
          <w:szCs w:val="17"/>
        </w:rPr>
      </w:pPr>
    </w:p>
    <w:p>
      <w:pPr>
        <w:tabs>
          <w:tab w:pos="3185" w:val="left" w:leader="none"/>
        </w:tabs>
        <w:spacing w:before="0"/>
        <w:ind w:left="1095" w:right="-19" w:firstLine="0"/>
        <w:jc w:val="left"/>
        <w:rPr>
          <w:rFonts w:ascii="宋体" w:hAnsi="宋体" w:cs="宋体" w:eastAsia="宋体" w:hint="default"/>
          <w:sz w:val="16"/>
          <w:szCs w:val="16"/>
        </w:rPr>
      </w:pPr>
      <w:r>
        <w:rPr>
          <w:rFonts w:ascii="宋体" w:hAnsi="宋体" w:cs="宋体" w:eastAsia="宋体" w:hint="default"/>
          <w:b/>
          <w:bCs/>
          <w:sz w:val="16"/>
          <w:szCs w:val="16"/>
        </w:rPr>
        <w:t>被投资单位</w:t>
        <w:tab/>
        <w:t>年初余额</w:t>
      </w:r>
      <w:r>
        <w:rPr>
          <w:rFonts w:ascii="宋体" w:hAnsi="宋体" w:cs="宋体" w:eastAsia="宋体" w:hint="default"/>
          <w:sz w:val="16"/>
          <w:szCs w:val="16"/>
        </w:rPr>
      </w:r>
    </w:p>
    <w:p>
      <w:pPr>
        <w:spacing w:line="240" w:lineRule="auto" w:before="4"/>
        <w:rPr>
          <w:rFonts w:ascii="宋体" w:hAnsi="宋体" w:cs="宋体" w:eastAsia="宋体" w:hint="default"/>
          <w:b/>
          <w:bCs/>
          <w:sz w:val="20"/>
          <w:szCs w:val="20"/>
        </w:rPr>
      </w:pPr>
      <w:r>
        <w:rPr/>
        <w:br w:type="column"/>
      </w:r>
      <w:r>
        <w:rPr>
          <w:rFonts w:ascii="宋体"/>
          <w:b/>
          <w:sz w:val="20"/>
        </w:rPr>
      </w:r>
    </w:p>
    <w:p>
      <w:pPr>
        <w:tabs>
          <w:tab w:pos="1654" w:val="left" w:leader="none"/>
          <w:tab w:pos="2629" w:val="left" w:leader="none"/>
        </w:tabs>
        <w:spacing w:line="266" w:lineRule="exact" w:before="0"/>
        <w:ind w:left="522" w:right="-19" w:firstLine="0"/>
        <w:jc w:val="left"/>
        <w:rPr>
          <w:rFonts w:ascii="宋体" w:hAnsi="宋体" w:cs="宋体" w:eastAsia="宋体" w:hint="default"/>
          <w:sz w:val="16"/>
          <w:szCs w:val="16"/>
        </w:rPr>
      </w:pPr>
      <w:r>
        <w:rPr>
          <w:rFonts w:ascii="宋体" w:hAnsi="宋体" w:cs="宋体" w:eastAsia="宋体" w:hint="default"/>
          <w:b/>
          <w:bCs/>
          <w:sz w:val="16"/>
          <w:szCs w:val="16"/>
        </w:rPr>
        <w:t>追加投资</w:t>
        <w:tab/>
        <w:t>减少投资</w:t>
        <w:tab/>
      </w:r>
      <w:r>
        <w:rPr>
          <w:rFonts w:ascii="宋体" w:hAnsi="宋体" w:cs="宋体" w:eastAsia="宋体" w:hint="default"/>
          <w:b/>
          <w:bCs/>
          <w:position w:val="11"/>
          <w:sz w:val="16"/>
          <w:szCs w:val="16"/>
        </w:rPr>
        <w:t>权益法下确认的</w:t>
      </w:r>
      <w:r>
        <w:rPr>
          <w:rFonts w:ascii="宋体" w:hAnsi="宋体" w:cs="宋体" w:eastAsia="宋体" w:hint="default"/>
          <w:sz w:val="16"/>
          <w:szCs w:val="16"/>
        </w:rPr>
      </w:r>
    </w:p>
    <w:p>
      <w:pPr>
        <w:spacing w:line="156" w:lineRule="exact" w:before="0"/>
        <w:ind w:left="0" w:right="240" w:firstLine="0"/>
        <w:jc w:val="right"/>
        <w:rPr>
          <w:rFonts w:ascii="宋体" w:hAnsi="宋体" w:cs="宋体" w:eastAsia="宋体" w:hint="default"/>
          <w:sz w:val="16"/>
          <w:szCs w:val="16"/>
        </w:rPr>
      </w:pPr>
      <w:r>
        <w:rPr>
          <w:rFonts w:ascii="宋体" w:hAnsi="宋体" w:cs="宋体" w:eastAsia="宋体" w:hint="default"/>
          <w:b/>
          <w:bCs/>
          <w:sz w:val="16"/>
          <w:szCs w:val="16"/>
        </w:rPr>
        <w:t>投资损益</w:t>
      </w:r>
      <w:r>
        <w:rPr>
          <w:rFonts w:ascii="宋体" w:hAnsi="宋体" w:cs="宋体" w:eastAsia="宋体" w:hint="default"/>
          <w:sz w:val="16"/>
          <w:szCs w:val="16"/>
        </w:rPr>
      </w:r>
    </w:p>
    <w:p>
      <w:pPr>
        <w:spacing w:line="210" w:lineRule="atLeast" w:before="53"/>
        <w:ind w:left="168" w:right="1165" w:firstLine="14"/>
        <w:jc w:val="left"/>
        <w:rPr>
          <w:rFonts w:ascii="宋体" w:hAnsi="宋体" w:cs="宋体" w:eastAsia="宋体" w:hint="default"/>
          <w:sz w:val="16"/>
          <w:szCs w:val="16"/>
        </w:rPr>
      </w:pPr>
      <w:r>
        <w:rPr/>
        <w:br w:type="column"/>
      </w:r>
      <w:r>
        <w:rPr>
          <w:rFonts w:ascii="宋体" w:hAnsi="宋体" w:cs="宋体" w:eastAsia="宋体" w:hint="default"/>
          <w:b/>
          <w:bCs/>
          <w:sz w:val="16"/>
          <w:szCs w:val="16"/>
        </w:rPr>
        <w:t>本年增减变动</w:t>
      </w:r>
      <w:r>
        <w:rPr>
          <w:rFonts w:ascii="宋体" w:hAnsi="宋体" w:cs="宋体" w:eastAsia="宋体" w:hint="default"/>
          <w:b/>
          <w:bCs/>
          <w:w w:val="100"/>
          <w:sz w:val="16"/>
          <w:szCs w:val="16"/>
        </w:rPr>
        <w:t> </w:t>
      </w:r>
      <w:r>
        <w:rPr>
          <w:rFonts w:ascii="宋体" w:hAnsi="宋体" w:cs="宋体" w:eastAsia="宋体" w:hint="default"/>
          <w:b/>
          <w:bCs/>
          <w:sz w:val="16"/>
          <w:szCs w:val="16"/>
        </w:rPr>
        <w:t>其他综合收益</w:t>
      </w:r>
      <w:r>
        <w:rPr>
          <w:rFonts w:ascii="宋体" w:hAnsi="宋体" w:cs="宋体" w:eastAsia="宋体" w:hint="default"/>
          <w:sz w:val="16"/>
          <w:szCs w:val="16"/>
        </w:rPr>
      </w:r>
    </w:p>
    <w:p>
      <w:pPr>
        <w:tabs>
          <w:tab w:pos="1366" w:val="left" w:leader="none"/>
        </w:tabs>
        <w:spacing w:line="206" w:lineRule="exact" w:before="0"/>
        <w:ind w:left="490" w:right="-19" w:firstLine="0"/>
        <w:jc w:val="left"/>
        <w:rPr>
          <w:rFonts w:ascii="宋体" w:hAnsi="宋体" w:cs="宋体" w:eastAsia="宋体" w:hint="default"/>
          <w:sz w:val="16"/>
          <w:szCs w:val="16"/>
        </w:rPr>
      </w:pPr>
      <w:r>
        <w:rPr/>
        <w:pict>
          <v:group style="position:absolute;margin-left:269.059998pt;margin-top:-9.645008pt;width:418.9pt;height:.5pt;mso-position-horizontal-relative:page;mso-position-vertical-relative:paragraph;z-index:-1197280" coordorigin="5381,-193" coordsize="8378,10">
            <v:group style="position:absolute;left:5386;top:-188;width:1134;height:2" coordorigin="5386,-188" coordsize="1134,2">
              <v:shape style="position:absolute;left:5386;top:-188;width:1134;height:2" coordorigin="5386,-188" coordsize="1134,0" path="m5386,-188l6519,-188e" filled="false" stroked="true" strokeweight=".48pt" strokecolor="#000000">
                <v:path arrowok="t"/>
              </v:shape>
            </v:group>
            <v:group style="position:absolute;left:6519;top:-188;width:10;height:2" coordorigin="6519,-188" coordsize="10,2">
              <v:shape style="position:absolute;left:6519;top:-188;width:10;height:2" coordorigin="6519,-188" coordsize="10,0" path="m6519,-188l6529,-188e" filled="false" stroked="true" strokeweight=".48pt" strokecolor="#000000">
                <v:path arrowok="t"/>
              </v:shape>
            </v:group>
            <v:group style="position:absolute;left:6529;top:-188;width:1126;height:2" coordorigin="6529,-188" coordsize="1126,2">
              <v:shape style="position:absolute;left:6529;top:-188;width:1126;height:2" coordorigin="6529,-188" coordsize="1126,0" path="m6529,-188l7655,-188e" filled="false" stroked="true" strokeweight=".48pt" strokecolor="#000000">
                <v:path arrowok="t"/>
              </v:shape>
            </v:group>
            <v:group style="position:absolute;left:7655;top:-188;width:10;height:2" coordorigin="7655,-188" coordsize="10,2">
              <v:shape style="position:absolute;left:7655;top:-188;width:10;height:2" coordorigin="7655,-188" coordsize="10,0" path="m7655,-188l7664,-188e" filled="false" stroked="true" strokeweight=".48pt" strokecolor="#000000">
                <v:path arrowok="t"/>
              </v:shape>
            </v:group>
            <v:group style="position:absolute;left:7664;top:-188;width:1284;height:2" coordorigin="7664,-188" coordsize="1284,2">
              <v:shape style="position:absolute;left:7664;top:-188;width:1284;height:2" coordorigin="7664,-188" coordsize="1284,0" path="m7664,-188l8948,-188e" filled="false" stroked="true" strokeweight=".48pt" strokecolor="#000000">
                <v:path arrowok="t"/>
              </v:shape>
            </v:group>
            <v:group style="position:absolute;left:8948;top:-188;width:10;height:2" coordorigin="8948,-188" coordsize="10,2">
              <v:shape style="position:absolute;left:8948;top:-188;width:10;height:2" coordorigin="8948,-188" coordsize="10,0" path="m8948,-188l8958,-188e" filled="false" stroked="true" strokeweight=".48pt" strokecolor="#000000">
                <v:path arrowok="t"/>
              </v:shape>
            </v:group>
            <v:group style="position:absolute;left:8958;top:-188;width:1211;height:2" coordorigin="8958,-188" coordsize="1211,2">
              <v:shape style="position:absolute;left:8958;top:-188;width:1211;height:2" coordorigin="8958,-188" coordsize="1211,0" path="m8958,-188l10168,-188e" filled="false" stroked="true" strokeweight=".48pt" strokecolor="#000000">
                <v:path arrowok="t"/>
              </v:shape>
            </v:group>
            <v:group style="position:absolute;left:10168;top:-188;width:10;height:2" coordorigin="10168,-188" coordsize="10,2">
              <v:shape style="position:absolute;left:10168;top:-188;width:10;height:2" coordorigin="10168,-188" coordsize="10,0" path="m10168,-188l10177,-188e" filled="false" stroked="true" strokeweight=".48pt" strokecolor="#000000">
                <v:path arrowok="t"/>
              </v:shape>
            </v:group>
            <v:group style="position:absolute;left:10177;top:-188;width:1164;height:2" coordorigin="10177,-188" coordsize="1164,2">
              <v:shape style="position:absolute;left:10177;top:-188;width:1164;height:2" coordorigin="10177,-188" coordsize="1164,0" path="m10177,-188l11341,-188e" filled="false" stroked="true" strokeweight=".48pt" strokecolor="#000000">
                <v:path arrowok="t"/>
              </v:shape>
            </v:group>
            <v:group style="position:absolute;left:11341;top:-188;width:10;height:2" coordorigin="11341,-188" coordsize="10,2">
              <v:shape style="position:absolute;left:11341;top:-188;width:10;height:2" coordorigin="11341,-188" coordsize="10,0" path="m11341,-188l11351,-188e" filled="false" stroked="true" strokeweight=".48pt" strokecolor="#000000">
                <v:path arrowok="t"/>
              </v:shape>
            </v:group>
            <v:group style="position:absolute;left:11351;top:-188;width:1268;height:2" coordorigin="11351,-188" coordsize="1268,2">
              <v:shape style="position:absolute;left:11351;top:-188;width:1268;height:2" coordorigin="11351,-188" coordsize="1268,0" path="m11351,-188l12618,-188e" filled="false" stroked="true" strokeweight=".48pt" strokecolor="#000000">
                <v:path arrowok="t"/>
              </v:shape>
            </v:group>
            <v:group style="position:absolute;left:12618;top:-188;width:10;height:2" coordorigin="12618,-188" coordsize="10,2">
              <v:shape style="position:absolute;left:12618;top:-188;width:10;height:2" coordorigin="12618,-188" coordsize="10,0" path="m12618,-188l12628,-188e" filled="false" stroked="true" strokeweight=".48pt" strokecolor="#000000">
                <v:path arrowok="t"/>
              </v:shape>
            </v:group>
            <v:group style="position:absolute;left:12628;top:-188;width:1127;height:2" coordorigin="12628,-188" coordsize="1127,2">
              <v:shape style="position:absolute;left:12628;top:-188;width:1127;height:2" coordorigin="12628,-188" coordsize="1127,0" path="m12628,-188l13754,-188e" filled="false" stroked="true" strokeweight=".48pt" strokecolor="#000000">
                <v:path arrowok="t"/>
              </v:shape>
            </v:group>
            <w10:wrap type="none"/>
          </v:group>
        </w:pict>
      </w:r>
      <w:r>
        <w:rPr>
          <w:rFonts w:ascii="宋体" w:hAnsi="宋体" w:cs="宋体" w:eastAsia="宋体" w:hint="default"/>
          <w:b/>
          <w:bCs/>
          <w:position w:val="-9"/>
          <w:sz w:val="16"/>
          <w:szCs w:val="16"/>
        </w:rPr>
        <w:t>调整</w:t>
        <w:tab/>
      </w:r>
      <w:r>
        <w:rPr>
          <w:rFonts w:ascii="宋体" w:hAnsi="宋体" w:cs="宋体" w:eastAsia="宋体" w:hint="default"/>
          <w:b/>
          <w:bCs/>
          <w:sz w:val="16"/>
          <w:szCs w:val="16"/>
        </w:rPr>
        <w:t>其他权益变动</w:t>
      </w:r>
      <w:r>
        <w:rPr>
          <w:rFonts w:ascii="宋体" w:hAnsi="宋体" w:cs="宋体" w:eastAsia="宋体" w:hint="default"/>
          <w:sz w:val="16"/>
          <w:szCs w:val="16"/>
        </w:rPr>
      </w:r>
    </w:p>
    <w:p>
      <w:pPr>
        <w:spacing w:line="240" w:lineRule="auto" w:before="8"/>
        <w:rPr>
          <w:rFonts w:ascii="宋体" w:hAnsi="宋体" w:cs="宋体" w:eastAsia="宋体" w:hint="default"/>
          <w:b/>
          <w:bCs/>
          <w:sz w:val="20"/>
          <w:szCs w:val="20"/>
        </w:rPr>
      </w:pPr>
      <w:r>
        <w:rPr/>
        <w:br w:type="column"/>
      </w:r>
      <w:r>
        <w:rPr>
          <w:rFonts w:ascii="宋体"/>
          <w:b/>
          <w:sz w:val="20"/>
        </w:rPr>
      </w:r>
    </w:p>
    <w:p>
      <w:pPr>
        <w:spacing w:line="159" w:lineRule="exact" w:before="0"/>
        <w:ind w:left="139" w:right="-20" w:firstLine="0"/>
        <w:jc w:val="left"/>
        <w:rPr>
          <w:rFonts w:ascii="宋体" w:hAnsi="宋体" w:cs="宋体" w:eastAsia="宋体" w:hint="default"/>
          <w:sz w:val="16"/>
          <w:szCs w:val="16"/>
        </w:rPr>
      </w:pPr>
      <w:r>
        <w:rPr>
          <w:rFonts w:ascii="宋体" w:hAnsi="宋体" w:cs="宋体" w:eastAsia="宋体" w:hint="default"/>
          <w:b/>
          <w:bCs/>
          <w:sz w:val="16"/>
          <w:szCs w:val="16"/>
        </w:rPr>
        <w:t>宣告发放现金股</w:t>
      </w:r>
      <w:r>
        <w:rPr>
          <w:rFonts w:ascii="宋体" w:hAnsi="宋体" w:cs="宋体" w:eastAsia="宋体" w:hint="default"/>
          <w:sz w:val="16"/>
          <w:szCs w:val="16"/>
        </w:rPr>
      </w:r>
    </w:p>
    <w:p>
      <w:pPr>
        <w:tabs>
          <w:tab w:pos="1748" w:val="left" w:leader="none"/>
        </w:tabs>
        <w:spacing w:line="259" w:lineRule="exact" w:before="0"/>
        <w:ind w:left="382" w:right="-20" w:firstLine="0"/>
        <w:jc w:val="left"/>
        <w:rPr>
          <w:rFonts w:ascii="宋体" w:hAnsi="宋体" w:cs="宋体" w:eastAsia="宋体" w:hint="default"/>
          <w:sz w:val="16"/>
          <w:szCs w:val="16"/>
        </w:rPr>
      </w:pPr>
      <w:r>
        <w:rPr>
          <w:rFonts w:ascii="宋体" w:hAnsi="宋体" w:cs="宋体" w:eastAsia="宋体" w:hint="default"/>
          <w:b/>
          <w:bCs/>
          <w:sz w:val="16"/>
          <w:szCs w:val="16"/>
        </w:rPr>
        <w:t>利或利润</w:t>
        <w:tab/>
      </w:r>
      <w:r>
        <w:rPr>
          <w:rFonts w:ascii="宋体" w:hAnsi="宋体" w:cs="宋体" w:eastAsia="宋体" w:hint="default"/>
          <w:b/>
          <w:bCs/>
          <w:position w:val="10"/>
          <w:sz w:val="16"/>
          <w:szCs w:val="16"/>
        </w:rPr>
        <w:t>其他</w:t>
      </w:r>
      <w:r>
        <w:rPr>
          <w:rFonts w:ascii="宋体" w:hAnsi="宋体" w:cs="宋体" w:eastAsia="宋体" w:hint="default"/>
          <w:sz w:val="16"/>
          <w:szCs w:val="16"/>
        </w:rPr>
      </w:r>
    </w:p>
    <w:p>
      <w:pPr>
        <w:tabs>
          <w:tab w:pos="1723" w:val="left" w:leader="none"/>
        </w:tabs>
        <w:spacing w:line="258" w:lineRule="exact" w:before="123"/>
        <w:ind w:left="682" w:right="0" w:firstLine="0"/>
        <w:jc w:val="left"/>
        <w:rPr>
          <w:rFonts w:ascii="宋体" w:hAnsi="宋体" w:cs="宋体" w:eastAsia="宋体" w:hint="default"/>
          <w:sz w:val="16"/>
          <w:szCs w:val="16"/>
        </w:rPr>
      </w:pPr>
      <w:r>
        <w:rPr/>
        <w:br w:type="column"/>
      </w:r>
      <w:r>
        <w:rPr>
          <w:rFonts w:ascii="宋体" w:hAnsi="宋体" w:cs="宋体" w:eastAsia="宋体" w:hint="default"/>
          <w:b/>
          <w:bCs/>
          <w:position w:val="-9"/>
          <w:sz w:val="16"/>
          <w:szCs w:val="16"/>
        </w:rPr>
        <w:t>年末余额</w:t>
        <w:tab/>
      </w:r>
      <w:r>
        <w:rPr>
          <w:rFonts w:ascii="宋体" w:hAnsi="宋体" w:cs="宋体" w:eastAsia="宋体" w:hint="default"/>
          <w:b/>
          <w:bCs/>
          <w:sz w:val="16"/>
          <w:szCs w:val="16"/>
        </w:rPr>
        <w:t>减值准备年末</w:t>
      </w:r>
      <w:r>
        <w:rPr>
          <w:rFonts w:ascii="宋体" w:hAnsi="宋体" w:cs="宋体" w:eastAsia="宋体" w:hint="default"/>
          <w:sz w:val="16"/>
          <w:szCs w:val="16"/>
        </w:rPr>
      </w:r>
    </w:p>
    <w:p>
      <w:pPr>
        <w:spacing w:line="158" w:lineRule="exact" w:before="0"/>
        <w:ind w:left="0" w:right="538" w:firstLine="0"/>
        <w:jc w:val="right"/>
        <w:rPr>
          <w:rFonts w:ascii="宋体" w:hAnsi="宋体" w:cs="宋体" w:eastAsia="宋体" w:hint="default"/>
          <w:sz w:val="16"/>
          <w:szCs w:val="16"/>
        </w:rPr>
      </w:pPr>
      <w:r>
        <w:rPr>
          <w:rFonts w:ascii="宋体" w:hAnsi="宋体" w:cs="宋体" w:eastAsia="宋体" w:hint="default"/>
          <w:b/>
          <w:bCs/>
          <w:sz w:val="16"/>
          <w:szCs w:val="16"/>
        </w:rPr>
        <w:t>余额</w:t>
      </w:r>
      <w:r>
        <w:rPr>
          <w:rFonts w:ascii="宋体" w:hAnsi="宋体" w:cs="宋体" w:eastAsia="宋体" w:hint="default"/>
          <w:sz w:val="16"/>
          <w:szCs w:val="16"/>
        </w:rPr>
      </w:r>
    </w:p>
    <w:p>
      <w:pPr>
        <w:spacing w:after="0" w:line="158" w:lineRule="exact"/>
        <w:jc w:val="right"/>
        <w:rPr>
          <w:rFonts w:ascii="宋体" w:hAnsi="宋体" w:cs="宋体" w:eastAsia="宋体" w:hint="default"/>
          <w:sz w:val="16"/>
          <w:szCs w:val="16"/>
        </w:rPr>
        <w:sectPr>
          <w:type w:val="continuous"/>
          <w:pgSz w:w="16840" w:h="11910" w:orient="landscape"/>
          <w:pgMar w:top="1020" w:bottom="280" w:left="1240" w:right="540"/>
          <w:cols w:num="5" w:equalWidth="0">
            <w:col w:w="3830" w:space="40"/>
            <w:col w:w="3756" w:space="40"/>
            <w:col w:w="2332" w:space="40"/>
            <w:col w:w="2071" w:space="40"/>
            <w:col w:w="2911"/>
          </w:cols>
        </w:sect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740.5pt;height:.5pt;mso-position-horizontal-relative:char;mso-position-vertical-relative:line" coordorigin="0,0" coordsize="14810,10">
            <v:group style="position:absolute;left:5;top:5;width:2754;height:2" coordorigin="5,5" coordsize="2754,2">
              <v:shape style="position:absolute;left:5;top:5;width:2754;height:2" coordorigin="5,5" coordsize="2754,0" path="m5,5l2758,5e" filled="false" stroked="true" strokeweight=".48001pt" strokecolor="#000000">
                <v:path arrowok="t"/>
              </v:shape>
            </v:group>
            <v:group style="position:absolute;left:2758;top:5;width:10;height:2" coordorigin="2758,5" coordsize="10,2">
              <v:shape style="position:absolute;left:2758;top:5;width:10;height:2" coordorigin="2758,5" coordsize="10,0" path="m2758,5l2768,5e" filled="false" stroked="true" strokeweight=".48001pt" strokecolor="#000000">
                <v:path arrowok="t"/>
              </v:shape>
            </v:group>
            <v:group style="position:absolute;left:2768;top:5;width:1263;height:2" coordorigin="2768,5" coordsize="1263,2">
              <v:shape style="position:absolute;left:2768;top:5;width:1263;height:2" coordorigin="2768,5" coordsize="1263,0" path="m2768,5l4030,5e" filled="false" stroked="true" strokeweight=".48001pt" strokecolor="#000000">
                <v:path arrowok="t"/>
              </v:shape>
            </v:group>
            <v:group style="position:absolute;left:4030;top:5;width:10;height:2" coordorigin="4030,5" coordsize="10,2">
              <v:shape style="position:absolute;left:4030;top:5;width:10;height:2" coordorigin="4030,5" coordsize="10,0" path="m4030,5l4040,5e" filled="false" stroked="true" strokeweight=".48001pt" strokecolor="#000000">
                <v:path arrowok="t"/>
              </v:shape>
            </v:group>
            <v:group style="position:absolute;left:4040;top:5;width:1124;height:2" coordorigin="4040,5" coordsize="1124,2">
              <v:shape style="position:absolute;left:4040;top:5;width:1124;height:2" coordorigin="4040,5" coordsize="1124,0" path="m4040,5l5163,5e" filled="false" stroked="true" strokeweight=".48001pt" strokecolor="#000000">
                <v:path arrowok="t"/>
              </v:shape>
            </v:group>
            <v:group style="position:absolute;left:5163;top:5;width:10;height:2" coordorigin="5163,5" coordsize="10,2">
              <v:shape style="position:absolute;left:5163;top:5;width:10;height:2" coordorigin="5163,5" coordsize="10,0" path="m5163,5l5173,5e" filled="false" stroked="true" strokeweight=".48001pt" strokecolor="#000000">
                <v:path arrowok="t"/>
              </v:shape>
            </v:group>
            <v:group style="position:absolute;left:5173;top:5;width:1126;height:2" coordorigin="5173,5" coordsize="1126,2">
              <v:shape style="position:absolute;left:5173;top:5;width:1126;height:2" coordorigin="5173,5" coordsize="1126,0" path="m5173,5l6299,5e" filled="false" stroked="true" strokeweight=".48001pt" strokecolor="#000000">
                <v:path arrowok="t"/>
              </v:shape>
            </v:group>
            <v:group style="position:absolute;left:6299;top:5;width:10;height:2" coordorigin="6299,5" coordsize="10,2">
              <v:shape style="position:absolute;left:6299;top:5;width:10;height:2" coordorigin="6299,5" coordsize="10,0" path="m6299,5l6308,5e" filled="false" stroked="true" strokeweight=".48001pt" strokecolor="#000000">
                <v:path arrowok="t"/>
              </v:shape>
            </v:group>
            <v:group style="position:absolute;left:6308;top:5;width:1284;height:2" coordorigin="6308,5" coordsize="1284,2">
              <v:shape style="position:absolute;left:6308;top:5;width:1284;height:2" coordorigin="6308,5" coordsize="1284,0" path="m6308,5l7592,5e" filled="false" stroked="true" strokeweight=".48001pt" strokecolor="#000000">
                <v:path arrowok="t"/>
              </v:shape>
            </v:group>
            <v:group style="position:absolute;left:7592;top:5;width:10;height:2" coordorigin="7592,5" coordsize="10,2">
              <v:shape style="position:absolute;left:7592;top:5;width:10;height:2" coordorigin="7592,5" coordsize="10,0" path="m7592,5l7602,5e" filled="false" stroked="true" strokeweight=".48001pt" strokecolor="#000000">
                <v:path arrowok="t"/>
              </v:shape>
            </v:group>
            <v:group style="position:absolute;left:7602;top:5;width:1211;height:2" coordorigin="7602,5" coordsize="1211,2">
              <v:shape style="position:absolute;left:7602;top:5;width:1211;height:2" coordorigin="7602,5" coordsize="1211,0" path="m7602,5l8812,5e" filled="false" stroked="true" strokeweight=".48001pt" strokecolor="#000000">
                <v:path arrowok="t"/>
              </v:shape>
            </v:group>
            <v:group style="position:absolute;left:8812;top:5;width:10;height:2" coordorigin="8812,5" coordsize="10,2">
              <v:shape style="position:absolute;left:8812;top:5;width:10;height:2" coordorigin="8812,5" coordsize="10,0" path="m8812,5l8821,5e" filled="false" stroked="true" strokeweight=".48001pt" strokecolor="#000000">
                <v:path arrowok="t"/>
              </v:shape>
            </v:group>
            <v:group style="position:absolute;left:8821;top:5;width:1164;height:2" coordorigin="8821,5" coordsize="1164,2">
              <v:shape style="position:absolute;left:8821;top:5;width:1164;height:2" coordorigin="8821,5" coordsize="1164,0" path="m8821,5l9985,5e" filled="false" stroked="true" strokeweight=".48001pt" strokecolor="#000000">
                <v:path arrowok="t"/>
              </v:shape>
            </v:group>
            <v:group style="position:absolute;left:9985;top:5;width:10;height:2" coordorigin="9985,5" coordsize="10,2">
              <v:shape style="position:absolute;left:9985;top:5;width:10;height:2" coordorigin="9985,5" coordsize="10,0" path="m9985,5l9995,5e" filled="false" stroked="true" strokeweight=".48001pt" strokecolor="#000000">
                <v:path arrowok="t"/>
              </v:shape>
            </v:group>
            <v:group style="position:absolute;left:9995;top:5;width:1268;height:2" coordorigin="9995,5" coordsize="1268,2">
              <v:shape style="position:absolute;left:9995;top:5;width:1268;height:2" coordorigin="9995,5" coordsize="1268,0" path="m9995,5l11262,5e" filled="false" stroked="true" strokeweight=".48001pt" strokecolor="#000000">
                <v:path arrowok="t"/>
              </v:shape>
            </v:group>
            <v:group style="position:absolute;left:11262;top:5;width:10;height:2" coordorigin="11262,5" coordsize="10,2">
              <v:shape style="position:absolute;left:11262;top:5;width:10;height:2" coordorigin="11262,5" coordsize="10,0" path="m11262,5l11272,5e" filled="false" stroked="true" strokeweight=".48001pt" strokecolor="#000000">
                <v:path arrowok="t"/>
              </v:shape>
            </v:group>
            <v:group style="position:absolute;left:11272;top:5;width:1127;height:2" coordorigin="11272,5" coordsize="1127,2">
              <v:shape style="position:absolute;left:11272;top:5;width:1127;height:2" coordorigin="11272,5" coordsize="1127,0" path="m11272,5l12398,5e" filled="false" stroked="true" strokeweight=".48001pt" strokecolor="#000000">
                <v:path arrowok="t"/>
              </v:shape>
            </v:group>
            <v:group style="position:absolute;left:12398;top:5;width:10;height:2" coordorigin="12398,5" coordsize="10,2">
              <v:shape style="position:absolute;left:12398;top:5;width:10;height:2" coordorigin="12398,5" coordsize="10,0" path="m12398,5l12408,5e" filled="false" stroked="true" strokeweight=".48001pt" strokecolor="#000000">
                <v:path arrowok="t"/>
              </v:shape>
            </v:group>
            <v:group style="position:absolute;left:12408;top:5;width:1265;height:2" coordorigin="12408,5" coordsize="1265,2">
              <v:shape style="position:absolute;left:12408;top:5;width:1265;height:2" coordorigin="12408,5" coordsize="1265,0" path="m12408,5l13672,5e" filled="false" stroked="true" strokeweight=".48001pt" strokecolor="#000000">
                <v:path arrowok="t"/>
              </v:shape>
            </v:group>
            <v:group style="position:absolute;left:13672;top:5;width:10;height:2" coordorigin="13672,5" coordsize="10,2">
              <v:shape style="position:absolute;left:13672;top:5;width:10;height:2" coordorigin="13672,5" coordsize="10,0" path="m13672,5l13682,5e" filled="false" stroked="true" strokeweight=".48001pt" strokecolor="#000000">
                <v:path arrowok="t"/>
              </v:shape>
            </v:group>
            <v:group style="position:absolute;left:13682;top:5;width:1124;height:2" coordorigin="13682,5" coordsize="1124,2">
              <v:shape style="position:absolute;left:13682;top:5;width:1124;height:2" coordorigin="13682,5" coordsize="1124,0" path="m13682,5l14805,5e" filled="false" stroked="true" strokeweight=".48001pt" strokecolor="#000000">
                <v:path arrowok="t"/>
              </v:shape>
            </v:group>
          </v:group>
        </w:pict>
      </w:r>
      <w:r>
        <w:rPr>
          <w:rFonts w:ascii="宋体" w:hAnsi="宋体" w:cs="宋体" w:eastAsia="宋体" w:hint="default"/>
          <w:sz w:val="2"/>
          <w:szCs w:val="2"/>
        </w:rPr>
      </w:r>
    </w:p>
    <w:tbl>
      <w:tblPr>
        <w:tblW w:w="0" w:type="auto"/>
        <w:jc w:val="left"/>
        <w:tblInd w:w="120" w:type="dxa"/>
        <w:tblLayout w:type="fixed"/>
        <w:tblCellMar>
          <w:top w:w="0" w:type="dxa"/>
          <w:left w:w="0" w:type="dxa"/>
          <w:bottom w:w="0" w:type="dxa"/>
          <w:right w:w="0" w:type="dxa"/>
        </w:tblCellMar>
        <w:tblLook w:val="01E0"/>
      </w:tblPr>
      <w:tblGrid>
        <w:gridCol w:w="2733"/>
        <w:gridCol w:w="1303"/>
        <w:gridCol w:w="1215"/>
        <w:gridCol w:w="1073"/>
        <w:gridCol w:w="1289"/>
        <w:gridCol w:w="1197"/>
        <w:gridCol w:w="1292"/>
        <w:gridCol w:w="1527"/>
        <w:gridCol w:w="785"/>
        <w:gridCol w:w="1303"/>
        <w:gridCol w:w="1084"/>
      </w:tblGrid>
      <w:tr>
        <w:trPr>
          <w:trHeight w:val="609"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326" w:lineRule="auto" w:before="45"/>
              <w:ind w:left="57" w:right="750"/>
              <w:jc w:val="left"/>
              <w:rPr>
                <w:rFonts w:ascii="宋体" w:hAnsi="宋体" w:cs="宋体" w:eastAsia="宋体" w:hint="default"/>
                <w:sz w:val="16"/>
                <w:szCs w:val="16"/>
              </w:rPr>
            </w:pPr>
            <w:r>
              <w:rPr>
                <w:rFonts w:ascii="宋体" w:hAnsi="宋体" w:cs="宋体" w:eastAsia="宋体" w:hint="default"/>
                <w:sz w:val="16"/>
                <w:szCs w:val="16"/>
              </w:rPr>
              <w:t>一、合营企业</w:t>
            </w:r>
            <w:r>
              <w:rPr>
                <w:rFonts w:ascii="宋体" w:hAnsi="宋体" w:cs="宋体" w:eastAsia="宋体" w:hint="default"/>
                <w:w w:val="100"/>
                <w:sz w:val="16"/>
                <w:szCs w:val="16"/>
              </w:rPr>
              <w:t> </w:t>
            </w:r>
            <w:r>
              <w:rPr>
                <w:rFonts w:ascii="宋体" w:hAnsi="宋体" w:cs="宋体" w:eastAsia="宋体" w:hint="default"/>
                <w:spacing w:val="-1"/>
                <w:sz w:val="16"/>
                <w:szCs w:val="16"/>
              </w:rPr>
              <w:t>同方全球人寿保险有限公司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65"/>
              <w:jc w:val="right"/>
              <w:rPr>
                <w:rFonts w:ascii="Times New Roman" w:hAnsi="Times New Roman" w:cs="Times New Roman" w:eastAsia="Times New Roman" w:hint="default"/>
                <w:sz w:val="16"/>
                <w:szCs w:val="16"/>
              </w:rPr>
            </w:pPr>
            <w:r>
              <w:rPr>
                <w:rFonts w:ascii="Times New Roman"/>
                <w:spacing w:val="-1"/>
                <w:sz w:val="16"/>
              </w:rPr>
              <w:t>1,036,388,956.78</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145"/>
              <w:jc w:val="right"/>
              <w:rPr>
                <w:rFonts w:ascii="Times New Roman" w:hAnsi="Times New Roman" w:cs="Times New Roman" w:eastAsia="Times New Roman" w:hint="default"/>
                <w:sz w:val="16"/>
                <w:szCs w:val="16"/>
              </w:rPr>
            </w:pPr>
            <w:r>
              <w:rPr>
                <w:rFonts w:ascii="Times New Roman"/>
                <w:spacing w:val="-1"/>
                <w:sz w:val="16"/>
              </w:rPr>
              <w:t>151,700,943.40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81"/>
              <w:jc w:val="right"/>
              <w:rPr>
                <w:rFonts w:ascii="Times New Roman" w:hAnsi="Times New Roman" w:cs="Times New Roman" w:eastAsia="Times New Roman" w:hint="default"/>
                <w:sz w:val="16"/>
                <w:szCs w:val="16"/>
              </w:rPr>
            </w:pPr>
            <w:r>
              <w:rPr>
                <w:rFonts w:ascii="Times New Roman"/>
                <w:spacing w:val="-1"/>
                <w:sz w:val="16"/>
              </w:rPr>
              <w:t>-7,166,491.48</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59"/>
              <w:jc w:val="right"/>
              <w:rPr>
                <w:rFonts w:ascii="Times New Roman" w:hAnsi="Times New Roman" w:cs="Times New Roman" w:eastAsia="Times New Roman" w:hint="default"/>
                <w:sz w:val="16"/>
                <w:szCs w:val="16"/>
              </w:rPr>
            </w:pPr>
            <w:r>
              <w:rPr>
                <w:rFonts w:ascii="Times New Roman"/>
                <w:spacing w:val="-1"/>
                <w:sz w:val="16"/>
              </w:rPr>
              <w:t>9,647,181.29</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425"/>
              <w:jc w:val="right"/>
              <w:rPr>
                <w:rFonts w:ascii="Times New Roman" w:hAnsi="Times New Roman" w:cs="Times New Roman" w:eastAsia="Times New Roman" w:hint="default"/>
                <w:sz w:val="16"/>
                <w:szCs w:val="16"/>
              </w:rPr>
            </w:pPr>
            <w:r>
              <w:rPr>
                <w:rFonts w:ascii="Times New Roman"/>
                <w:spacing w:val="-1"/>
                <w:sz w:val="16"/>
              </w:rPr>
              <w:t>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6"/>
                <w:szCs w:val="16"/>
              </w:rPr>
            </w:pPr>
            <w:r>
              <w:rPr>
                <w:rFonts w:ascii="Times New Roman"/>
                <w:spacing w:val="-1"/>
                <w:sz w:val="16"/>
              </w:rPr>
              <w:t>1,190,570,589.99</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同方川崎节能设备有限公司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7"/>
              <w:jc w:val="right"/>
              <w:rPr>
                <w:rFonts w:ascii="Times New Roman" w:hAnsi="Times New Roman" w:cs="Times New Roman" w:eastAsia="Times New Roman" w:hint="default"/>
                <w:sz w:val="16"/>
                <w:szCs w:val="16"/>
              </w:rPr>
            </w:pPr>
            <w:r>
              <w:rPr>
                <w:rFonts w:ascii="Times New Roman"/>
                <w:spacing w:val="-2"/>
                <w:sz w:val="16"/>
              </w:rPr>
              <w:t>96,766,535.73</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1"/>
              <w:jc w:val="right"/>
              <w:rPr>
                <w:rFonts w:ascii="Times New Roman" w:hAnsi="Times New Roman" w:cs="Times New Roman" w:eastAsia="Times New Roman" w:hint="default"/>
                <w:sz w:val="16"/>
                <w:szCs w:val="16"/>
              </w:rPr>
            </w:pPr>
            <w:r>
              <w:rPr>
                <w:rFonts w:ascii="Times New Roman"/>
                <w:spacing w:val="-1"/>
                <w:sz w:val="16"/>
              </w:rPr>
              <w:t>-4,483,157.66</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5"/>
              <w:jc w:val="right"/>
              <w:rPr>
                <w:rFonts w:ascii="Times New Roman" w:hAnsi="Times New Roman" w:cs="Times New Roman" w:eastAsia="Times New Roman" w:hint="default"/>
                <w:sz w:val="16"/>
                <w:szCs w:val="16"/>
              </w:rPr>
            </w:pPr>
            <w:r>
              <w:rPr>
                <w:rFonts w:ascii="Times New Roman"/>
                <w:spacing w:val="-1"/>
                <w:sz w:val="16"/>
              </w:rPr>
              <w:t>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6"/>
                <w:szCs w:val="16"/>
              </w:rPr>
            </w:pPr>
            <w:r>
              <w:rPr>
                <w:rFonts w:ascii="Times New Roman"/>
                <w:spacing w:val="-2"/>
                <w:sz w:val="16"/>
              </w:rPr>
              <w:t>92,283,378.07</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同方恩欧凯（无锡）膜技术有限公司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5"/>
              <w:jc w:val="right"/>
              <w:rPr>
                <w:rFonts w:ascii="Times New Roman" w:hAnsi="Times New Roman" w:cs="Times New Roman" w:eastAsia="Times New Roman" w:hint="default"/>
                <w:sz w:val="16"/>
                <w:szCs w:val="16"/>
              </w:rPr>
            </w:pPr>
            <w:r>
              <w:rPr>
                <w:rFonts w:ascii="Times New Roman"/>
                <w:spacing w:val="-1"/>
                <w:sz w:val="16"/>
              </w:rPr>
              <w:t>7,679,070.10</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6,826,972.97</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1"/>
              <w:jc w:val="right"/>
              <w:rPr>
                <w:rFonts w:ascii="Times New Roman" w:hAnsi="Times New Roman" w:cs="Times New Roman" w:eastAsia="Times New Roman" w:hint="default"/>
                <w:sz w:val="16"/>
                <w:szCs w:val="16"/>
              </w:rPr>
            </w:pPr>
            <w:r>
              <w:rPr>
                <w:rFonts w:ascii="Times New Roman"/>
                <w:spacing w:val="-1"/>
                <w:sz w:val="16"/>
              </w:rPr>
              <w:t>-852,097.13</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5"/>
              <w:jc w:val="right"/>
              <w:rPr>
                <w:rFonts w:ascii="Times New Roman" w:hAnsi="Times New Roman" w:cs="Times New Roman" w:eastAsia="Times New Roman" w:hint="default"/>
                <w:sz w:val="16"/>
                <w:szCs w:val="16"/>
              </w:rPr>
            </w:pPr>
            <w:r>
              <w:rPr>
                <w:rFonts w:ascii="Times New Roman"/>
                <w:spacing w:val="-1"/>
                <w:sz w:val="16"/>
              </w:rPr>
              <w:t>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16"/>
                <w:szCs w:val="16"/>
              </w:rPr>
            </w:pPr>
            <w:r>
              <w:rPr>
                <w:rFonts w:ascii="Times New Roman"/>
                <w:spacing w:val="-1"/>
                <w:sz w:val="16"/>
              </w:rPr>
              <w:t>0.00</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43" w:hRule="exact"/>
        </w:trPr>
        <w:tc>
          <w:tcPr>
            <w:tcW w:w="2733" w:type="dxa"/>
            <w:tcBorders>
              <w:top w:val="nil" w:sz="6" w:space="0" w:color="auto"/>
              <w:left w:val="nil" w:sz="6" w:space="0" w:color="auto"/>
              <w:bottom w:val="single" w:sz="4" w:space="0" w:color="000000"/>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新鸿电子有限公司</w:t>
            </w:r>
          </w:p>
        </w:tc>
        <w:tc>
          <w:tcPr>
            <w:tcW w:w="1303"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64"/>
              <w:jc w:val="right"/>
              <w:rPr>
                <w:rFonts w:ascii="Times New Roman" w:hAnsi="Times New Roman" w:cs="Times New Roman" w:eastAsia="Times New Roman" w:hint="default"/>
                <w:sz w:val="16"/>
                <w:szCs w:val="16"/>
              </w:rPr>
            </w:pPr>
            <w:r>
              <w:rPr>
                <w:rFonts w:ascii="Times New Roman"/>
                <w:spacing w:val="-1"/>
                <w:sz w:val="16"/>
              </w:rPr>
              <w:t>0.00</w:t>
            </w:r>
          </w:p>
        </w:tc>
        <w:tc>
          <w:tcPr>
            <w:tcW w:w="1215"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146"/>
              <w:jc w:val="right"/>
              <w:rPr>
                <w:rFonts w:ascii="Times New Roman" w:hAnsi="Times New Roman" w:cs="Times New Roman" w:eastAsia="Times New Roman" w:hint="default"/>
                <w:sz w:val="16"/>
                <w:szCs w:val="16"/>
              </w:rPr>
            </w:pPr>
            <w:r>
              <w:rPr>
                <w:rFonts w:ascii="Times New Roman"/>
                <w:spacing w:val="-2"/>
                <w:sz w:val="16"/>
              </w:rPr>
              <w:t>33,635,250.00</w:t>
            </w:r>
          </w:p>
        </w:tc>
        <w:tc>
          <w:tcPr>
            <w:tcW w:w="1073"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81"/>
              <w:jc w:val="right"/>
              <w:rPr>
                <w:rFonts w:ascii="Times New Roman" w:hAnsi="Times New Roman" w:cs="Times New Roman" w:eastAsia="Times New Roman" w:hint="default"/>
                <w:sz w:val="16"/>
                <w:szCs w:val="16"/>
              </w:rPr>
            </w:pPr>
            <w:r>
              <w:rPr>
                <w:rFonts w:ascii="Times New Roman"/>
                <w:spacing w:val="-1"/>
                <w:sz w:val="16"/>
              </w:rPr>
              <w:t>-1,263,493.50</w:t>
            </w:r>
          </w:p>
        </w:tc>
        <w:tc>
          <w:tcPr>
            <w:tcW w:w="1197"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425"/>
              <w:jc w:val="right"/>
              <w:rPr>
                <w:rFonts w:ascii="Times New Roman" w:hAnsi="Times New Roman" w:cs="Times New Roman" w:eastAsia="Times New Roman" w:hint="default"/>
                <w:sz w:val="16"/>
                <w:szCs w:val="16"/>
              </w:rPr>
            </w:pPr>
            <w:r>
              <w:rPr>
                <w:rFonts w:ascii="Times New Roman"/>
                <w:spacing w:val="-1"/>
                <w:sz w:val="16"/>
              </w:rPr>
              <w:t>0.00</w:t>
            </w:r>
          </w:p>
        </w:tc>
        <w:tc>
          <w:tcPr>
            <w:tcW w:w="785"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6"/>
                <w:szCs w:val="16"/>
              </w:rPr>
            </w:pPr>
            <w:r>
              <w:rPr>
                <w:rFonts w:ascii="Times New Roman"/>
                <w:spacing w:val="-2"/>
                <w:sz w:val="16"/>
              </w:rPr>
              <w:t>32,371,756.50</w:t>
            </w:r>
          </w:p>
        </w:tc>
        <w:tc>
          <w:tcPr>
            <w:tcW w:w="1084"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329" w:hRule="exact"/>
        </w:trPr>
        <w:tc>
          <w:tcPr>
            <w:tcW w:w="2733" w:type="dxa"/>
            <w:tcBorders>
              <w:top w:val="single" w:sz="4" w:space="0" w:color="000000"/>
              <w:left w:val="nil" w:sz="6" w:space="0" w:color="auto"/>
              <w:bottom w:val="nil" w:sz="6" w:space="0" w:color="auto"/>
              <w:right w:val="nil" w:sz="6" w:space="0" w:color="auto"/>
            </w:tcBorders>
          </w:tcPr>
          <w:p>
            <w:pPr>
              <w:pStyle w:val="TableParagraph"/>
              <w:spacing w:line="240" w:lineRule="auto" w:before="53"/>
              <w:ind w:left="57" w:right="0"/>
              <w:jc w:val="left"/>
              <w:rPr>
                <w:rFonts w:ascii="宋体" w:hAnsi="宋体" w:cs="宋体" w:eastAsia="宋体" w:hint="default"/>
                <w:sz w:val="16"/>
                <w:szCs w:val="16"/>
              </w:rPr>
            </w:pPr>
            <w:r>
              <w:rPr>
                <w:rFonts w:ascii="宋体" w:hAnsi="宋体" w:cs="宋体" w:eastAsia="宋体" w:hint="default"/>
                <w:sz w:val="16"/>
                <w:szCs w:val="16"/>
              </w:rPr>
              <w:t>二、联营企业</w:t>
            </w:r>
          </w:p>
        </w:tc>
        <w:tc>
          <w:tcPr>
            <w:tcW w:w="1303" w:type="dxa"/>
            <w:tcBorders>
              <w:top w:val="single" w:sz="4" w:space="0" w:color="000000"/>
              <w:left w:val="nil" w:sz="6" w:space="0" w:color="auto"/>
              <w:bottom w:val="nil" w:sz="6" w:space="0" w:color="auto"/>
              <w:right w:val="nil" w:sz="6" w:space="0" w:color="auto"/>
            </w:tcBorders>
          </w:tcPr>
          <w:p>
            <w:pPr/>
          </w:p>
        </w:tc>
        <w:tc>
          <w:tcPr>
            <w:tcW w:w="1215" w:type="dxa"/>
            <w:tcBorders>
              <w:top w:val="single" w:sz="4" w:space="0" w:color="000000"/>
              <w:left w:val="nil" w:sz="6" w:space="0" w:color="auto"/>
              <w:bottom w:val="nil" w:sz="6" w:space="0" w:color="auto"/>
              <w:right w:val="nil" w:sz="6" w:space="0" w:color="auto"/>
            </w:tcBorders>
          </w:tcPr>
          <w:p>
            <w:pPr/>
          </w:p>
        </w:tc>
        <w:tc>
          <w:tcPr>
            <w:tcW w:w="1073" w:type="dxa"/>
            <w:tcBorders>
              <w:top w:val="single" w:sz="4" w:space="0" w:color="000000"/>
              <w:left w:val="nil" w:sz="6" w:space="0" w:color="auto"/>
              <w:bottom w:val="nil" w:sz="6" w:space="0" w:color="auto"/>
              <w:right w:val="nil" w:sz="6" w:space="0" w:color="auto"/>
            </w:tcBorders>
          </w:tcPr>
          <w:p>
            <w:pPr/>
          </w:p>
        </w:tc>
        <w:tc>
          <w:tcPr>
            <w:tcW w:w="1289" w:type="dxa"/>
            <w:tcBorders>
              <w:top w:val="single" w:sz="4" w:space="0" w:color="000000"/>
              <w:left w:val="nil" w:sz="6" w:space="0" w:color="auto"/>
              <w:bottom w:val="nil" w:sz="6" w:space="0" w:color="auto"/>
              <w:right w:val="nil" w:sz="6" w:space="0" w:color="auto"/>
            </w:tcBorders>
          </w:tcPr>
          <w:p>
            <w:pPr/>
          </w:p>
        </w:tc>
        <w:tc>
          <w:tcPr>
            <w:tcW w:w="1197" w:type="dxa"/>
            <w:tcBorders>
              <w:top w:val="single" w:sz="4" w:space="0" w:color="000000"/>
              <w:left w:val="nil" w:sz="6" w:space="0" w:color="auto"/>
              <w:bottom w:val="nil" w:sz="6" w:space="0" w:color="auto"/>
              <w:right w:val="nil" w:sz="6" w:space="0" w:color="auto"/>
            </w:tcBorders>
          </w:tcPr>
          <w:p>
            <w:pPr/>
          </w:p>
        </w:tc>
        <w:tc>
          <w:tcPr>
            <w:tcW w:w="1292" w:type="dxa"/>
            <w:tcBorders>
              <w:top w:val="single" w:sz="4" w:space="0" w:color="000000"/>
              <w:left w:val="nil" w:sz="6" w:space="0" w:color="auto"/>
              <w:bottom w:val="nil" w:sz="6" w:space="0" w:color="auto"/>
              <w:right w:val="nil" w:sz="6" w:space="0" w:color="auto"/>
            </w:tcBorders>
          </w:tcPr>
          <w:p>
            <w:pPr/>
          </w:p>
        </w:tc>
        <w:tc>
          <w:tcPr>
            <w:tcW w:w="1527" w:type="dxa"/>
            <w:tcBorders>
              <w:top w:val="single" w:sz="4" w:space="0" w:color="000000"/>
              <w:left w:val="nil" w:sz="6" w:space="0" w:color="auto"/>
              <w:bottom w:val="nil" w:sz="6" w:space="0" w:color="auto"/>
              <w:right w:val="nil" w:sz="6" w:space="0" w:color="auto"/>
            </w:tcBorders>
          </w:tcPr>
          <w:p>
            <w:pPr/>
          </w:p>
        </w:tc>
        <w:tc>
          <w:tcPr>
            <w:tcW w:w="785" w:type="dxa"/>
            <w:tcBorders>
              <w:top w:val="single" w:sz="4" w:space="0" w:color="000000"/>
              <w:left w:val="nil" w:sz="6" w:space="0" w:color="auto"/>
              <w:bottom w:val="nil" w:sz="6" w:space="0" w:color="auto"/>
              <w:right w:val="nil" w:sz="6" w:space="0" w:color="auto"/>
            </w:tcBorders>
          </w:tcPr>
          <w:p>
            <w:pPr/>
          </w:p>
        </w:tc>
        <w:tc>
          <w:tcPr>
            <w:tcW w:w="1303" w:type="dxa"/>
            <w:tcBorders>
              <w:top w:val="single" w:sz="4" w:space="0" w:color="000000"/>
              <w:left w:val="nil" w:sz="6" w:space="0" w:color="auto"/>
              <w:bottom w:val="nil" w:sz="6" w:space="0" w:color="auto"/>
              <w:right w:val="nil" w:sz="6" w:space="0" w:color="auto"/>
            </w:tcBorders>
          </w:tcPr>
          <w:p>
            <w:pPr/>
          </w:p>
        </w:tc>
        <w:tc>
          <w:tcPr>
            <w:tcW w:w="1084" w:type="dxa"/>
            <w:tcBorders>
              <w:top w:val="single" w:sz="4" w:space="0" w:color="000000"/>
              <w:left w:val="nil" w:sz="6" w:space="0" w:color="auto"/>
              <w:bottom w:val="nil" w:sz="6" w:space="0" w:color="auto"/>
              <w:right w:val="nil" w:sz="6" w:space="0" w:color="auto"/>
            </w:tcBorders>
          </w:tcPr>
          <w:p>
            <w:pPr/>
          </w:p>
        </w:tc>
      </w:tr>
      <w:tr>
        <w:trPr>
          <w:trHeight w:val="292"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7" w:right="0"/>
              <w:jc w:val="left"/>
              <w:rPr>
                <w:rFonts w:ascii="宋体" w:hAnsi="宋体" w:cs="宋体" w:eastAsia="宋体" w:hint="default"/>
                <w:sz w:val="16"/>
                <w:szCs w:val="16"/>
              </w:rPr>
            </w:pPr>
            <w:r>
              <w:rPr>
                <w:rFonts w:ascii="宋体" w:hAnsi="宋体" w:cs="宋体" w:eastAsia="宋体" w:hint="default"/>
                <w:sz w:val="16"/>
                <w:szCs w:val="16"/>
              </w:rPr>
              <w:t>重庆国信投资控股有限公司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65"/>
              <w:jc w:val="right"/>
              <w:rPr>
                <w:rFonts w:ascii="Times New Roman" w:hAnsi="Times New Roman" w:cs="Times New Roman" w:eastAsia="Times New Roman" w:hint="default"/>
                <w:sz w:val="16"/>
                <w:szCs w:val="16"/>
              </w:rPr>
            </w:pPr>
            <w:r>
              <w:rPr>
                <w:rFonts w:ascii="Times New Roman"/>
                <w:spacing w:val="-1"/>
                <w:sz w:val="16"/>
              </w:rPr>
              <w:t>5,411,123,975.39</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79"/>
              <w:jc w:val="right"/>
              <w:rPr>
                <w:rFonts w:ascii="Times New Roman" w:hAnsi="Times New Roman" w:cs="Times New Roman" w:eastAsia="Times New Roman" w:hint="default"/>
                <w:sz w:val="16"/>
                <w:szCs w:val="16"/>
              </w:rPr>
            </w:pPr>
            <w:r>
              <w:rPr>
                <w:rFonts w:ascii="Times New Roman"/>
                <w:spacing w:val="-1"/>
                <w:sz w:val="16"/>
              </w:rPr>
              <w:t>1,229,200,518.11</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59"/>
              <w:jc w:val="right"/>
              <w:rPr>
                <w:rFonts w:ascii="Times New Roman" w:hAnsi="Times New Roman" w:cs="Times New Roman" w:eastAsia="Times New Roman" w:hint="default"/>
                <w:sz w:val="16"/>
                <w:szCs w:val="16"/>
              </w:rPr>
            </w:pPr>
            <w:r>
              <w:rPr>
                <w:rFonts w:ascii="Times New Roman"/>
                <w:spacing w:val="-1"/>
                <w:sz w:val="16"/>
              </w:rPr>
              <w:t>-285,388,975.36</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75"/>
              <w:jc w:val="right"/>
              <w:rPr>
                <w:rFonts w:ascii="Times New Roman" w:hAnsi="Times New Roman" w:cs="Times New Roman" w:eastAsia="Times New Roman" w:hint="default"/>
                <w:sz w:val="16"/>
                <w:szCs w:val="16"/>
              </w:rPr>
            </w:pPr>
            <w:r>
              <w:rPr>
                <w:rFonts w:ascii="Times New Roman"/>
                <w:spacing w:val="-1"/>
                <w:sz w:val="16"/>
              </w:rPr>
              <w:t>-324,633,521.16</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425"/>
              <w:jc w:val="right"/>
              <w:rPr>
                <w:rFonts w:ascii="Times New Roman" w:hAnsi="Times New Roman" w:cs="Times New Roman" w:eastAsia="Times New Roman" w:hint="default"/>
                <w:sz w:val="16"/>
                <w:szCs w:val="16"/>
              </w:rPr>
            </w:pPr>
            <w:r>
              <w:rPr>
                <w:rFonts w:ascii="Times New Roman"/>
                <w:spacing w:val="-1"/>
                <w:sz w:val="16"/>
              </w:rPr>
              <w:t>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3"/>
              <w:jc w:val="right"/>
              <w:rPr>
                <w:rFonts w:ascii="Times New Roman" w:hAnsi="Times New Roman" w:cs="Times New Roman" w:eastAsia="Times New Roman" w:hint="default"/>
                <w:sz w:val="16"/>
                <w:szCs w:val="16"/>
              </w:rPr>
            </w:pPr>
            <w:r>
              <w:rPr>
                <w:rFonts w:ascii="Times New Roman"/>
                <w:spacing w:val="-1"/>
                <w:sz w:val="16"/>
              </w:rPr>
              <w:t>6,030,301,996.98</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同方投资有限公司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5"/>
              <w:jc w:val="right"/>
              <w:rPr>
                <w:rFonts w:ascii="Times New Roman" w:hAnsi="Times New Roman" w:cs="Times New Roman" w:eastAsia="Times New Roman" w:hint="default"/>
                <w:sz w:val="16"/>
                <w:szCs w:val="16"/>
              </w:rPr>
            </w:pPr>
            <w:r>
              <w:rPr>
                <w:rFonts w:ascii="Times New Roman"/>
                <w:spacing w:val="-1"/>
                <w:sz w:val="16"/>
              </w:rPr>
              <w:t>495,202,032.83</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1"/>
              <w:jc w:val="right"/>
              <w:rPr>
                <w:rFonts w:ascii="Times New Roman" w:hAnsi="Times New Roman" w:cs="Times New Roman" w:eastAsia="Times New Roman" w:hint="default"/>
                <w:sz w:val="16"/>
                <w:szCs w:val="16"/>
              </w:rPr>
            </w:pPr>
            <w:r>
              <w:rPr>
                <w:rFonts w:ascii="Times New Roman"/>
                <w:spacing w:val="-2"/>
                <w:sz w:val="16"/>
              </w:rPr>
              <w:t>81,276,462.90</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9"/>
              <w:jc w:val="right"/>
              <w:rPr>
                <w:rFonts w:ascii="Times New Roman" w:hAnsi="Times New Roman" w:cs="Times New Roman" w:eastAsia="Times New Roman" w:hint="default"/>
                <w:sz w:val="16"/>
                <w:szCs w:val="16"/>
              </w:rPr>
            </w:pPr>
            <w:r>
              <w:rPr>
                <w:rFonts w:ascii="Times New Roman"/>
                <w:spacing w:val="-1"/>
                <w:sz w:val="16"/>
              </w:rPr>
              <w:t>-30,361,953.79</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5"/>
              <w:jc w:val="right"/>
              <w:rPr>
                <w:rFonts w:ascii="Times New Roman" w:hAnsi="Times New Roman" w:cs="Times New Roman" w:eastAsia="Times New Roman" w:hint="default"/>
                <w:sz w:val="16"/>
                <w:szCs w:val="16"/>
              </w:rPr>
            </w:pPr>
            <w:r>
              <w:rPr>
                <w:rFonts w:ascii="Times New Roman"/>
                <w:spacing w:val="-1"/>
                <w:sz w:val="16"/>
              </w:rPr>
              <w:t>706,298.04</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7"/>
              <w:jc w:val="right"/>
              <w:rPr>
                <w:rFonts w:ascii="Times New Roman" w:hAnsi="Times New Roman" w:cs="Times New Roman" w:eastAsia="Times New Roman" w:hint="default"/>
                <w:sz w:val="16"/>
                <w:szCs w:val="16"/>
              </w:rPr>
            </w:pPr>
            <w:r>
              <w:rPr>
                <w:rFonts w:ascii="Times New Roman"/>
                <w:spacing w:val="-2"/>
                <w:sz w:val="16"/>
              </w:rPr>
              <w:t>90,909,090.91</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16"/>
                <w:szCs w:val="16"/>
              </w:rPr>
            </w:pPr>
            <w:r>
              <w:rPr>
                <w:rFonts w:ascii="Times New Roman"/>
                <w:spacing w:val="-1"/>
                <w:sz w:val="16"/>
              </w:rPr>
              <w:t>455,913,749.07</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泰豪科技股份有限公司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5"/>
              <w:jc w:val="right"/>
              <w:rPr>
                <w:rFonts w:ascii="Times New Roman" w:hAnsi="Times New Roman" w:cs="Times New Roman" w:eastAsia="Times New Roman" w:hint="default"/>
                <w:sz w:val="16"/>
                <w:szCs w:val="16"/>
              </w:rPr>
            </w:pPr>
            <w:r>
              <w:rPr>
                <w:rFonts w:ascii="Times New Roman"/>
                <w:spacing w:val="-1"/>
                <w:sz w:val="16"/>
              </w:rPr>
              <w:t>493,748,179.15</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4,326,445.43</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1"/>
              <w:jc w:val="right"/>
              <w:rPr>
                <w:rFonts w:ascii="Times New Roman" w:hAnsi="Times New Roman" w:cs="Times New Roman" w:eastAsia="Times New Roman" w:hint="default"/>
                <w:sz w:val="16"/>
                <w:szCs w:val="16"/>
              </w:rPr>
            </w:pPr>
            <w:r>
              <w:rPr>
                <w:rFonts w:ascii="Times New Roman"/>
                <w:spacing w:val="-2"/>
                <w:sz w:val="16"/>
              </w:rPr>
              <w:t>14,901,794.26</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7"/>
              <w:jc w:val="right"/>
              <w:rPr>
                <w:rFonts w:ascii="Times New Roman" w:hAnsi="Times New Roman" w:cs="Times New Roman" w:eastAsia="Times New Roman" w:hint="default"/>
                <w:sz w:val="16"/>
                <w:szCs w:val="16"/>
              </w:rPr>
            </w:pPr>
            <w:r>
              <w:rPr>
                <w:rFonts w:ascii="Times New Roman"/>
                <w:spacing w:val="-2"/>
                <w:sz w:val="16"/>
              </w:rPr>
              <w:t>52,611,495.83</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5"/>
              <w:jc w:val="right"/>
              <w:rPr>
                <w:rFonts w:ascii="Times New Roman" w:hAnsi="Times New Roman" w:cs="Times New Roman" w:eastAsia="Times New Roman" w:hint="default"/>
                <w:sz w:val="16"/>
                <w:szCs w:val="16"/>
              </w:rPr>
            </w:pPr>
            <w:r>
              <w:rPr>
                <w:rFonts w:ascii="Times New Roman"/>
                <w:spacing w:val="-1"/>
                <w:sz w:val="16"/>
              </w:rPr>
              <w:t>6,150,740.70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16"/>
                <w:szCs w:val="16"/>
              </w:rPr>
            </w:pPr>
            <w:r>
              <w:rPr>
                <w:rFonts w:ascii="Times New Roman"/>
                <w:spacing w:val="-1"/>
                <w:sz w:val="16"/>
              </w:rPr>
              <w:t>550,784,283.11</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3"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6"/>
              <w:ind w:left="57" w:right="0"/>
              <w:jc w:val="left"/>
              <w:rPr>
                <w:rFonts w:ascii="宋体" w:hAnsi="宋体" w:cs="宋体" w:eastAsia="宋体" w:hint="default"/>
                <w:sz w:val="16"/>
                <w:szCs w:val="16"/>
              </w:rPr>
            </w:pPr>
            <w:r>
              <w:rPr>
                <w:rFonts w:ascii="宋体" w:hAnsi="宋体" w:cs="宋体" w:eastAsia="宋体" w:hint="default"/>
                <w:sz w:val="16"/>
                <w:szCs w:val="16"/>
              </w:rPr>
              <w:t>嘉融投资有限公司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65"/>
              <w:jc w:val="right"/>
              <w:rPr>
                <w:rFonts w:ascii="Times New Roman" w:hAnsi="Times New Roman" w:cs="Times New Roman" w:eastAsia="Times New Roman" w:hint="default"/>
                <w:sz w:val="16"/>
                <w:szCs w:val="16"/>
              </w:rPr>
            </w:pPr>
            <w:r>
              <w:rPr>
                <w:rFonts w:ascii="Times New Roman"/>
                <w:spacing w:val="-1"/>
                <w:sz w:val="16"/>
              </w:rPr>
              <w:t>327,203,081.27</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79"/>
              <w:jc w:val="right"/>
              <w:rPr>
                <w:rFonts w:ascii="Times New Roman" w:hAnsi="Times New Roman" w:cs="Times New Roman" w:eastAsia="Times New Roman" w:hint="default"/>
                <w:sz w:val="16"/>
                <w:szCs w:val="16"/>
              </w:rPr>
            </w:pPr>
            <w:r>
              <w:rPr>
                <w:rFonts w:ascii="Times New Roman"/>
                <w:spacing w:val="-1"/>
                <w:sz w:val="16"/>
              </w:rPr>
              <w:t>4,539,585.41</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425"/>
              <w:jc w:val="right"/>
              <w:rPr>
                <w:rFonts w:ascii="Times New Roman" w:hAnsi="Times New Roman" w:cs="Times New Roman" w:eastAsia="Times New Roman" w:hint="default"/>
                <w:sz w:val="16"/>
                <w:szCs w:val="16"/>
              </w:rPr>
            </w:pPr>
            <w:r>
              <w:rPr>
                <w:rFonts w:ascii="Times New Roman"/>
                <w:spacing w:val="-1"/>
                <w:sz w:val="16"/>
              </w:rPr>
              <w:t>8,684,390.00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3"/>
              <w:jc w:val="right"/>
              <w:rPr>
                <w:rFonts w:ascii="Times New Roman" w:hAnsi="Times New Roman" w:cs="Times New Roman" w:eastAsia="Times New Roman" w:hint="default"/>
                <w:sz w:val="16"/>
                <w:szCs w:val="16"/>
              </w:rPr>
            </w:pPr>
            <w:r>
              <w:rPr>
                <w:rFonts w:ascii="Times New Roman"/>
                <w:spacing w:val="-1"/>
                <w:sz w:val="16"/>
              </w:rPr>
              <w:t>323,058,276.68</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同方环境股份有限公司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5"/>
              <w:jc w:val="right"/>
              <w:rPr>
                <w:rFonts w:ascii="Times New Roman" w:hAnsi="Times New Roman" w:cs="Times New Roman" w:eastAsia="Times New Roman" w:hint="default"/>
                <w:sz w:val="16"/>
                <w:szCs w:val="16"/>
              </w:rPr>
            </w:pPr>
            <w:r>
              <w:rPr>
                <w:rFonts w:ascii="Times New Roman"/>
                <w:spacing w:val="-1"/>
                <w:sz w:val="16"/>
              </w:rPr>
              <w:t>165,895,326.10</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1"/>
              <w:jc w:val="right"/>
              <w:rPr>
                <w:rFonts w:ascii="Times New Roman" w:hAnsi="Times New Roman" w:cs="Times New Roman" w:eastAsia="Times New Roman" w:hint="default"/>
                <w:sz w:val="16"/>
                <w:szCs w:val="16"/>
              </w:rPr>
            </w:pPr>
            <w:r>
              <w:rPr>
                <w:rFonts w:ascii="Times New Roman"/>
                <w:spacing w:val="-2"/>
                <w:sz w:val="16"/>
              </w:rPr>
              <w:t>13,098,166.44</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8"/>
              <w:jc w:val="right"/>
              <w:rPr>
                <w:rFonts w:ascii="Times New Roman" w:hAnsi="Times New Roman" w:cs="Times New Roman" w:eastAsia="Times New Roman" w:hint="default"/>
                <w:sz w:val="16"/>
                <w:szCs w:val="16"/>
              </w:rPr>
            </w:pPr>
            <w:r>
              <w:rPr>
                <w:rFonts w:ascii="Times New Roman"/>
                <w:spacing w:val="-1"/>
                <w:sz w:val="16"/>
              </w:rPr>
              <w:t>86,029.79</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5"/>
              <w:jc w:val="right"/>
              <w:rPr>
                <w:rFonts w:ascii="Times New Roman" w:hAnsi="Times New Roman" w:cs="Times New Roman" w:eastAsia="Times New Roman" w:hint="default"/>
                <w:sz w:val="16"/>
                <w:szCs w:val="16"/>
              </w:rPr>
            </w:pPr>
            <w:r>
              <w:rPr>
                <w:rFonts w:ascii="Times New Roman"/>
                <w:spacing w:val="-1"/>
                <w:sz w:val="16"/>
              </w:rPr>
              <w:t>-10,904.16</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7"/>
              <w:jc w:val="right"/>
              <w:rPr>
                <w:rFonts w:ascii="Times New Roman" w:hAnsi="Times New Roman" w:cs="Times New Roman" w:eastAsia="Times New Roman" w:hint="default"/>
                <w:sz w:val="16"/>
                <w:szCs w:val="16"/>
              </w:rPr>
            </w:pPr>
            <w:r>
              <w:rPr>
                <w:rFonts w:ascii="Times New Roman"/>
                <w:spacing w:val="-2"/>
                <w:sz w:val="16"/>
              </w:rPr>
              <w:t>33,626,880.00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16"/>
                <w:szCs w:val="16"/>
              </w:rPr>
            </w:pPr>
            <w:r>
              <w:rPr>
                <w:rFonts w:ascii="Times New Roman"/>
                <w:spacing w:val="-1"/>
                <w:sz w:val="16"/>
              </w:rPr>
              <w:t>145,441,738.17</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易程科技股份有限公司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5"/>
              <w:jc w:val="right"/>
              <w:rPr>
                <w:rFonts w:ascii="Times New Roman" w:hAnsi="Times New Roman" w:cs="Times New Roman" w:eastAsia="Times New Roman" w:hint="default"/>
                <w:sz w:val="16"/>
                <w:szCs w:val="16"/>
              </w:rPr>
            </w:pPr>
            <w:r>
              <w:rPr>
                <w:rFonts w:ascii="Times New Roman"/>
                <w:spacing w:val="-1"/>
                <w:sz w:val="16"/>
              </w:rPr>
              <w:t>112,645,446.10</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1"/>
              <w:jc w:val="right"/>
              <w:rPr>
                <w:rFonts w:ascii="Times New Roman" w:hAnsi="Times New Roman" w:cs="Times New Roman" w:eastAsia="Times New Roman" w:hint="default"/>
                <w:sz w:val="16"/>
                <w:szCs w:val="16"/>
              </w:rPr>
            </w:pPr>
            <w:r>
              <w:rPr>
                <w:rFonts w:ascii="Times New Roman"/>
                <w:spacing w:val="-2"/>
                <w:sz w:val="16"/>
              </w:rPr>
              <w:t>16,669,541.23</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5"/>
              <w:jc w:val="right"/>
              <w:rPr>
                <w:rFonts w:ascii="Times New Roman" w:hAnsi="Times New Roman" w:cs="Times New Roman" w:eastAsia="Times New Roman" w:hint="default"/>
                <w:sz w:val="16"/>
                <w:szCs w:val="16"/>
              </w:rPr>
            </w:pPr>
            <w:r>
              <w:rPr>
                <w:rFonts w:ascii="Times New Roman"/>
                <w:spacing w:val="-1"/>
                <w:sz w:val="16"/>
              </w:rPr>
              <w:t>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16"/>
                <w:szCs w:val="16"/>
              </w:rPr>
            </w:pPr>
            <w:r>
              <w:rPr>
                <w:rFonts w:ascii="Times New Roman"/>
                <w:spacing w:val="-1"/>
                <w:sz w:val="16"/>
              </w:rPr>
              <w:t>129,314,987.33</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同方泰豪动漫产业投资有限公司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7"/>
              <w:jc w:val="right"/>
              <w:rPr>
                <w:rFonts w:ascii="Times New Roman" w:hAnsi="Times New Roman" w:cs="Times New Roman" w:eastAsia="Times New Roman" w:hint="default"/>
                <w:sz w:val="16"/>
                <w:szCs w:val="16"/>
              </w:rPr>
            </w:pPr>
            <w:r>
              <w:rPr>
                <w:rFonts w:ascii="Times New Roman"/>
                <w:spacing w:val="-2"/>
                <w:sz w:val="16"/>
              </w:rPr>
              <w:t>79,615,482.24</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6"/>
              <w:jc w:val="right"/>
              <w:rPr>
                <w:rFonts w:ascii="Times New Roman" w:hAnsi="Times New Roman" w:cs="Times New Roman" w:eastAsia="Times New Roman" w:hint="default"/>
                <w:sz w:val="16"/>
                <w:szCs w:val="16"/>
              </w:rPr>
            </w:pPr>
            <w:r>
              <w:rPr>
                <w:rFonts w:ascii="Times New Roman"/>
                <w:spacing w:val="-2"/>
                <w:sz w:val="16"/>
              </w:rPr>
              <w:t>80,000,000.00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1"/>
              <w:jc w:val="right"/>
              <w:rPr>
                <w:rFonts w:ascii="Times New Roman" w:hAnsi="Times New Roman" w:cs="Times New Roman" w:eastAsia="Times New Roman" w:hint="default"/>
                <w:sz w:val="16"/>
                <w:szCs w:val="16"/>
              </w:rPr>
            </w:pPr>
            <w:r>
              <w:rPr>
                <w:rFonts w:ascii="Times New Roman"/>
                <w:spacing w:val="-1"/>
                <w:sz w:val="16"/>
              </w:rPr>
              <w:t>-2,643,846.68</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5"/>
              <w:jc w:val="right"/>
              <w:rPr>
                <w:rFonts w:ascii="Times New Roman" w:hAnsi="Times New Roman" w:cs="Times New Roman" w:eastAsia="Times New Roman" w:hint="default"/>
                <w:sz w:val="16"/>
                <w:szCs w:val="16"/>
              </w:rPr>
            </w:pPr>
            <w:r>
              <w:rPr>
                <w:rFonts w:ascii="Times New Roman"/>
                <w:spacing w:val="-1"/>
                <w:sz w:val="16"/>
              </w:rPr>
              <w:t>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16"/>
                <w:szCs w:val="16"/>
              </w:rPr>
            </w:pPr>
            <w:r>
              <w:rPr>
                <w:rFonts w:ascii="Times New Roman"/>
                <w:spacing w:val="-1"/>
                <w:sz w:val="16"/>
              </w:rPr>
              <w:t>156,971,635.56</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3"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云南云电同方科技有限公司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67"/>
              <w:jc w:val="right"/>
              <w:rPr>
                <w:rFonts w:ascii="Times New Roman" w:hAnsi="Times New Roman" w:cs="Times New Roman" w:eastAsia="Times New Roman" w:hint="default"/>
                <w:sz w:val="16"/>
                <w:szCs w:val="16"/>
              </w:rPr>
            </w:pPr>
            <w:r>
              <w:rPr>
                <w:rFonts w:ascii="Times New Roman"/>
                <w:spacing w:val="-2"/>
                <w:sz w:val="16"/>
              </w:rPr>
              <w:t>72,256,643.04</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81"/>
              <w:jc w:val="right"/>
              <w:rPr>
                <w:rFonts w:ascii="Times New Roman" w:hAnsi="Times New Roman" w:cs="Times New Roman" w:eastAsia="Times New Roman" w:hint="default"/>
                <w:sz w:val="16"/>
                <w:szCs w:val="16"/>
              </w:rPr>
            </w:pPr>
            <w:r>
              <w:rPr>
                <w:rFonts w:ascii="Times New Roman"/>
                <w:spacing w:val="-2"/>
                <w:sz w:val="16"/>
              </w:rPr>
              <w:t>11,717,014.01</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425"/>
              <w:jc w:val="right"/>
              <w:rPr>
                <w:rFonts w:ascii="Times New Roman" w:hAnsi="Times New Roman" w:cs="Times New Roman" w:eastAsia="Times New Roman" w:hint="default"/>
                <w:sz w:val="16"/>
                <w:szCs w:val="16"/>
              </w:rPr>
            </w:pPr>
            <w:r>
              <w:rPr>
                <w:rFonts w:ascii="Times New Roman"/>
                <w:spacing w:val="-1"/>
                <w:sz w:val="16"/>
              </w:rPr>
              <w:t>2,316,469.28</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6"/>
                <w:szCs w:val="16"/>
              </w:rPr>
            </w:pPr>
            <w:r>
              <w:rPr>
                <w:rFonts w:ascii="Times New Roman"/>
                <w:spacing w:val="-2"/>
                <w:sz w:val="16"/>
              </w:rPr>
              <w:t>81,657,187.77</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北京辰安科技股份有限公司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7"/>
              <w:jc w:val="right"/>
              <w:rPr>
                <w:rFonts w:ascii="Times New Roman" w:hAnsi="Times New Roman" w:cs="Times New Roman" w:eastAsia="Times New Roman" w:hint="default"/>
                <w:sz w:val="16"/>
                <w:szCs w:val="16"/>
              </w:rPr>
            </w:pPr>
            <w:r>
              <w:rPr>
                <w:rFonts w:ascii="Times New Roman"/>
                <w:spacing w:val="-2"/>
                <w:sz w:val="16"/>
              </w:rPr>
              <w:t>38,921,149.94</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9"/>
              <w:jc w:val="right"/>
              <w:rPr>
                <w:rFonts w:ascii="Times New Roman" w:hAnsi="Times New Roman" w:cs="Times New Roman" w:eastAsia="Times New Roman" w:hint="default"/>
                <w:sz w:val="16"/>
                <w:szCs w:val="16"/>
              </w:rPr>
            </w:pPr>
            <w:r>
              <w:rPr>
                <w:rFonts w:ascii="Times New Roman"/>
                <w:spacing w:val="-1"/>
                <w:sz w:val="16"/>
              </w:rPr>
              <w:t>8,752,242.67</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9"/>
              <w:jc w:val="right"/>
              <w:rPr>
                <w:rFonts w:ascii="Times New Roman" w:hAnsi="Times New Roman" w:cs="Times New Roman" w:eastAsia="Times New Roman" w:hint="default"/>
                <w:sz w:val="16"/>
                <w:szCs w:val="16"/>
              </w:rPr>
            </w:pPr>
            <w:r>
              <w:rPr>
                <w:rFonts w:ascii="Times New Roman"/>
                <w:spacing w:val="-1"/>
                <w:sz w:val="16"/>
              </w:rPr>
              <w:t>-1,359.46</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5"/>
              <w:jc w:val="right"/>
              <w:rPr>
                <w:rFonts w:ascii="Times New Roman" w:hAnsi="Times New Roman" w:cs="Times New Roman" w:eastAsia="Times New Roman" w:hint="default"/>
                <w:sz w:val="16"/>
                <w:szCs w:val="16"/>
              </w:rPr>
            </w:pPr>
            <w:r>
              <w:rPr>
                <w:rFonts w:ascii="Times New Roman"/>
                <w:spacing w:val="-1"/>
                <w:sz w:val="16"/>
              </w:rPr>
              <w:t>-15,097.71</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5"/>
              <w:jc w:val="right"/>
              <w:rPr>
                <w:rFonts w:ascii="Times New Roman" w:hAnsi="Times New Roman" w:cs="Times New Roman" w:eastAsia="Times New Roman" w:hint="default"/>
                <w:sz w:val="16"/>
                <w:szCs w:val="16"/>
              </w:rPr>
            </w:pPr>
            <w:r>
              <w:rPr>
                <w:rFonts w:ascii="Times New Roman"/>
                <w:spacing w:val="-1"/>
                <w:sz w:val="16"/>
              </w:rPr>
              <w:t>675,000.00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6"/>
                <w:szCs w:val="16"/>
              </w:rPr>
            </w:pPr>
            <w:r>
              <w:rPr>
                <w:rFonts w:ascii="Times New Roman"/>
                <w:spacing w:val="-2"/>
                <w:sz w:val="16"/>
              </w:rPr>
              <w:t>46,981,935.44</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天津北方移动传媒有限公司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7"/>
              <w:jc w:val="right"/>
              <w:rPr>
                <w:rFonts w:ascii="Times New Roman" w:hAnsi="Times New Roman" w:cs="Times New Roman" w:eastAsia="Times New Roman" w:hint="default"/>
                <w:sz w:val="16"/>
                <w:szCs w:val="16"/>
              </w:rPr>
            </w:pPr>
            <w:r>
              <w:rPr>
                <w:rFonts w:ascii="Times New Roman"/>
                <w:spacing w:val="-2"/>
                <w:sz w:val="16"/>
              </w:rPr>
              <w:t>37,051,101.79</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1"/>
              <w:jc w:val="right"/>
              <w:rPr>
                <w:rFonts w:ascii="Times New Roman" w:hAnsi="Times New Roman" w:cs="Times New Roman" w:eastAsia="Times New Roman" w:hint="default"/>
                <w:sz w:val="16"/>
                <w:szCs w:val="16"/>
              </w:rPr>
            </w:pPr>
            <w:r>
              <w:rPr>
                <w:rFonts w:ascii="Times New Roman"/>
                <w:spacing w:val="-1"/>
                <w:sz w:val="16"/>
              </w:rPr>
              <w:t>-1,580,644.38</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5"/>
              <w:jc w:val="right"/>
              <w:rPr>
                <w:rFonts w:ascii="Times New Roman" w:hAnsi="Times New Roman" w:cs="Times New Roman" w:eastAsia="Times New Roman" w:hint="default"/>
                <w:sz w:val="16"/>
                <w:szCs w:val="16"/>
              </w:rPr>
            </w:pPr>
            <w:r>
              <w:rPr>
                <w:rFonts w:ascii="Times New Roman"/>
                <w:spacing w:val="-1"/>
                <w:sz w:val="16"/>
              </w:rPr>
              <w:t>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6"/>
                <w:szCs w:val="16"/>
              </w:rPr>
            </w:pPr>
            <w:r>
              <w:rPr>
                <w:rFonts w:ascii="Times New Roman"/>
                <w:spacing w:val="-2"/>
                <w:sz w:val="16"/>
              </w:rPr>
              <w:t>35,470,457.41</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山西左云晋能新能源发电有限公司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7"/>
              <w:jc w:val="right"/>
              <w:rPr>
                <w:rFonts w:ascii="Times New Roman" w:hAnsi="Times New Roman" w:cs="Times New Roman" w:eastAsia="Times New Roman" w:hint="default"/>
                <w:sz w:val="16"/>
                <w:szCs w:val="16"/>
              </w:rPr>
            </w:pPr>
            <w:r>
              <w:rPr>
                <w:rFonts w:ascii="Times New Roman"/>
                <w:spacing w:val="-2"/>
                <w:sz w:val="16"/>
              </w:rPr>
              <w:t>21,153,563.00</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9"/>
              <w:jc w:val="right"/>
              <w:rPr>
                <w:rFonts w:ascii="Times New Roman" w:hAnsi="Times New Roman" w:cs="Times New Roman" w:eastAsia="Times New Roman" w:hint="default"/>
                <w:sz w:val="16"/>
                <w:szCs w:val="16"/>
              </w:rPr>
            </w:pPr>
            <w:r>
              <w:rPr>
                <w:rFonts w:ascii="Times New Roman"/>
                <w:spacing w:val="-1"/>
                <w:sz w:val="16"/>
              </w:rPr>
              <w:t>0.00</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5"/>
              <w:jc w:val="right"/>
              <w:rPr>
                <w:rFonts w:ascii="Times New Roman" w:hAnsi="Times New Roman" w:cs="Times New Roman" w:eastAsia="Times New Roman" w:hint="default"/>
                <w:sz w:val="16"/>
                <w:szCs w:val="16"/>
              </w:rPr>
            </w:pPr>
            <w:r>
              <w:rPr>
                <w:rFonts w:ascii="Times New Roman"/>
                <w:spacing w:val="-1"/>
                <w:sz w:val="16"/>
              </w:rPr>
              <w:t>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6"/>
                <w:szCs w:val="16"/>
              </w:rPr>
            </w:pPr>
            <w:r>
              <w:rPr>
                <w:rFonts w:ascii="Times New Roman"/>
                <w:spacing w:val="-2"/>
                <w:sz w:val="16"/>
              </w:rPr>
              <w:t>21,153,563.00</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7"/>
              <w:jc w:val="right"/>
              <w:rPr>
                <w:rFonts w:ascii="Times New Roman" w:hAnsi="Times New Roman" w:cs="Times New Roman" w:eastAsia="Times New Roman" w:hint="default"/>
                <w:sz w:val="16"/>
                <w:szCs w:val="16"/>
              </w:rPr>
            </w:pPr>
            <w:r>
              <w:rPr>
                <w:rFonts w:ascii="Times New Roman"/>
                <w:spacing w:val="-2"/>
                <w:sz w:val="16"/>
              </w:rPr>
              <w:t>21,153,563.00</w:t>
            </w:r>
          </w:p>
        </w:tc>
      </w:tr>
      <w:tr>
        <w:trPr>
          <w:trHeight w:val="283"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6"/>
              <w:ind w:left="57" w:right="0"/>
              <w:jc w:val="left"/>
              <w:rPr>
                <w:rFonts w:ascii="宋体" w:hAnsi="宋体" w:cs="宋体" w:eastAsia="宋体" w:hint="default"/>
                <w:sz w:val="16"/>
                <w:szCs w:val="16"/>
              </w:rPr>
            </w:pPr>
            <w:r>
              <w:rPr>
                <w:rFonts w:ascii="宋体" w:hAnsi="宋体" w:cs="宋体" w:eastAsia="宋体" w:hint="default"/>
                <w:sz w:val="16"/>
                <w:szCs w:val="16"/>
              </w:rPr>
              <w:t>泉州广电同方数字电视有限公司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67"/>
              <w:jc w:val="right"/>
              <w:rPr>
                <w:rFonts w:ascii="Times New Roman" w:hAnsi="Times New Roman" w:cs="Times New Roman" w:eastAsia="Times New Roman" w:hint="default"/>
                <w:sz w:val="16"/>
                <w:szCs w:val="16"/>
              </w:rPr>
            </w:pPr>
            <w:r>
              <w:rPr>
                <w:rFonts w:ascii="Times New Roman"/>
                <w:spacing w:val="-2"/>
                <w:sz w:val="16"/>
              </w:rPr>
              <w:t>14,674,085.25</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79"/>
              <w:jc w:val="right"/>
              <w:rPr>
                <w:rFonts w:ascii="Times New Roman" w:hAnsi="Times New Roman" w:cs="Times New Roman" w:eastAsia="Times New Roman" w:hint="default"/>
                <w:sz w:val="16"/>
                <w:szCs w:val="16"/>
              </w:rPr>
            </w:pPr>
            <w:r>
              <w:rPr>
                <w:rFonts w:ascii="Times New Roman"/>
                <w:spacing w:val="-1"/>
                <w:sz w:val="16"/>
              </w:rPr>
              <w:t>2,123,753.73</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425"/>
              <w:jc w:val="right"/>
              <w:rPr>
                <w:rFonts w:ascii="Times New Roman" w:hAnsi="Times New Roman" w:cs="Times New Roman" w:eastAsia="Times New Roman" w:hint="default"/>
                <w:sz w:val="16"/>
                <w:szCs w:val="16"/>
              </w:rPr>
            </w:pPr>
            <w:r>
              <w:rPr>
                <w:rFonts w:ascii="Times New Roman"/>
                <w:spacing w:val="-1"/>
                <w:sz w:val="16"/>
              </w:rPr>
              <w:t>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6"/>
                <w:szCs w:val="16"/>
              </w:rPr>
            </w:pPr>
            <w:r>
              <w:rPr>
                <w:rFonts w:ascii="Times New Roman"/>
                <w:spacing w:val="-2"/>
                <w:sz w:val="16"/>
              </w:rPr>
              <w:t>16,797,838.98</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pacing w:val="-13"/>
                <w:sz w:val="16"/>
                <w:szCs w:val="16"/>
              </w:rPr>
              <w:t>陕西省广电同方数字电视有限责任公司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7"/>
              <w:jc w:val="right"/>
              <w:rPr>
                <w:rFonts w:ascii="Times New Roman" w:hAnsi="Times New Roman" w:cs="Times New Roman" w:eastAsia="Times New Roman" w:hint="default"/>
                <w:sz w:val="16"/>
                <w:szCs w:val="16"/>
              </w:rPr>
            </w:pPr>
            <w:r>
              <w:rPr>
                <w:rFonts w:ascii="Times New Roman"/>
                <w:spacing w:val="-2"/>
                <w:sz w:val="16"/>
              </w:rPr>
              <w:t>13,560,987.25</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9"/>
              <w:jc w:val="right"/>
              <w:rPr>
                <w:rFonts w:ascii="Times New Roman" w:hAnsi="Times New Roman" w:cs="Times New Roman" w:eastAsia="Times New Roman" w:hint="default"/>
                <w:sz w:val="16"/>
                <w:szCs w:val="16"/>
              </w:rPr>
            </w:pPr>
            <w:r>
              <w:rPr>
                <w:rFonts w:ascii="Times New Roman"/>
                <w:spacing w:val="-1"/>
                <w:sz w:val="16"/>
              </w:rPr>
              <w:t>128,904.00</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5"/>
              <w:jc w:val="right"/>
              <w:rPr>
                <w:rFonts w:ascii="Times New Roman" w:hAnsi="Times New Roman" w:cs="Times New Roman" w:eastAsia="Times New Roman" w:hint="default"/>
                <w:sz w:val="16"/>
                <w:szCs w:val="16"/>
              </w:rPr>
            </w:pPr>
            <w:r>
              <w:rPr>
                <w:rFonts w:ascii="Times New Roman"/>
                <w:spacing w:val="-1"/>
                <w:sz w:val="16"/>
              </w:rPr>
              <w:t>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6"/>
                <w:szCs w:val="16"/>
              </w:rPr>
            </w:pPr>
            <w:r>
              <w:rPr>
                <w:rFonts w:ascii="Times New Roman"/>
                <w:spacing w:val="-2"/>
                <w:sz w:val="16"/>
              </w:rPr>
              <w:t>13,689,891.25</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商丘同方恒泰数字电视有限公司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7"/>
              <w:jc w:val="right"/>
              <w:rPr>
                <w:rFonts w:ascii="Times New Roman" w:hAnsi="Times New Roman" w:cs="Times New Roman" w:eastAsia="Times New Roman" w:hint="default"/>
                <w:sz w:val="16"/>
                <w:szCs w:val="16"/>
              </w:rPr>
            </w:pPr>
            <w:r>
              <w:rPr>
                <w:rFonts w:ascii="Times New Roman"/>
                <w:spacing w:val="-2"/>
                <w:sz w:val="16"/>
              </w:rPr>
              <w:t>12,438,811.97</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9"/>
              <w:jc w:val="right"/>
              <w:rPr>
                <w:rFonts w:ascii="Times New Roman" w:hAnsi="Times New Roman" w:cs="Times New Roman" w:eastAsia="Times New Roman" w:hint="default"/>
                <w:sz w:val="16"/>
                <w:szCs w:val="16"/>
              </w:rPr>
            </w:pPr>
            <w:r>
              <w:rPr>
                <w:rFonts w:ascii="Times New Roman"/>
                <w:spacing w:val="-1"/>
                <w:sz w:val="16"/>
              </w:rPr>
              <w:t>446,773.81</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5"/>
              <w:jc w:val="right"/>
              <w:rPr>
                <w:rFonts w:ascii="Times New Roman" w:hAnsi="Times New Roman" w:cs="Times New Roman" w:eastAsia="Times New Roman" w:hint="default"/>
                <w:sz w:val="16"/>
                <w:szCs w:val="16"/>
              </w:rPr>
            </w:pPr>
            <w:r>
              <w:rPr>
                <w:rFonts w:ascii="Times New Roman"/>
                <w:spacing w:val="-1"/>
                <w:sz w:val="16"/>
              </w:rPr>
              <w:t>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6"/>
                <w:szCs w:val="16"/>
              </w:rPr>
            </w:pPr>
            <w:r>
              <w:rPr>
                <w:rFonts w:ascii="Times New Roman"/>
                <w:spacing w:val="-2"/>
                <w:sz w:val="16"/>
              </w:rPr>
              <w:t>12,885,585.78</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北京同方时讯电子有限公司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7"/>
              <w:jc w:val="right"/>
              <w:rPr>
                <w:rFonts w:ascii="Times New Roman" w:hAnsi="Times New Roman" w:cs="Times New Roman" w:eastAsia="Times New Roman" w:hint="default"/>
                <w:sz w:val="16"/>
                <w:szCs w:val="16"/>
              </w:rPr>
            </w:pPr>
            <w:r>
              <w:rPr>
                <w:rFonts w:ascii="Times New Roman"/>
                <w:spacing w:val="-2"/>
                <w:sz w:val="16"/>
              </w:rPr>
              <w:t>11,117,289.45</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9"/>
              <w:jc w:val="right"/>
              <w:rPr>
                <w:rFonts w:ascii="Times New Roman" w:hAnsi="Times New Roman" w:cs="Times New Roman" w:eastAsia="Times New Roman" w:hint="default"/>
                <w:sz w:val="16"/>
                <w:szCs w:val="16"/>
              </w:rPr>
            </w:pPr>
            <w:r>
              <w:rPr>
                <w:rFonts w:ascii="Times New Roman"/>
                <w:spacing w:val="-1"/>
                <w:sz w:val="16"/>
              </w:rPr>
              <w:t>177,290.80</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5"/>
              <w:jc w:val="right"/>
              <w:rPr>
                <w:rFonts w:ascii="Times New Roman" w:hAnsi="Times New Roman" w:cs="Times New Roman" w:eastAsia="Times New Roman" w:hint="default"/>
                <w:sz w:val="16"/>
                <w:szCs w:val="16"/>
              </w:rPr>
            </w:pPr>
            <w:r>
              <w:rPr>
                <w:rFonts w:ascii="Times New Roman"/>
                <w:spacing w:val="-1"/>
                <w:sz w:val="16"/>
              </w:rPr>
              <w:t>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6"/>
                <w:szCs w:val="16"/>
              </w:rPr>
            </w:pPr>
            <w:r>
              <w:rPr>
                <w:rFonts w:ascii="Times New Roman"/>
                <w:spacing w:val="-2"/>
                <w:sz w:val="16"/>
              </w:rPr>
              <w:t>11,294,580.25</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3"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濮阳广电同方数字电视有限公司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67"/>
              <w:jc w:val="right"/>
              <w:rPr>
                <w:rFonts w:ascii="Times New Roman" w:hAnsi="Times New Roman" w:cs="Times New Roman" w:eastAsia="Times New Roman" w:hint="default"/>
                <w:sz w:val="16"/>
                <w:szCs w:val="16"/>
              </w:rPr>
            </w:pPr>
            <w:r>
              <w:rPr>
                <w:rFonts w:ascii="Times New Roman"/>
                <w:spacing w:val="-2"/>
                <w:sz w:val="16"/>
              </w:rPr>
              <w:t>10,551,633.98</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79"/>
              <w:jc w:val="right"/>
              <w:rPr>
                <w:rFonts w:ascii="Times New Roman" w:hAnsi="Times New Roman" w:cs="Times New Roman" w:eastAsia="Times New Roman" w:hint="default"/>
                <w:sz w:val="16"/>
                <w:szCs w:val="16"/>
              </w:rPr>
            </w:pPr>
            <w:r>
              <w:rPr>
                <w:rFonts w:ascii="Times New Roman"/>
                <w:spacing w:val="-1"/>
                <w:sz w:val="16"/>
              </w:rPr>
              <w:t>41,687.99</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425"/>
              <w:jc w:val="right"/>
              <w:rPr>
                <w:rFonts w:ascii="Times New Roman" w:hAnsi="Times New Roman" w:cs="Times New Roman" w:eastAsia="Times New Roman" w:hint="default"/>
                <w:sz w:val="16"/>
                <w:szCs w:val="16"/>
              </w:rPr>
            </w:pPr>
            <w:r>
              <w:rPr>
                <w:rFonts w:ascii="Times New Roman"/>
                <w:spacing w:val="-1"/>
                <w:sz w:val="16"/>
              </w:rPr>
              <w:t>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6"/>
                <w:szCs w:val="16"/>
              </w:rPr>
            </w:pPr>
            <w:r>
              <w:rPr>
                <w:rFonts w:ascii="Times New Roman"/>
                <w:spacing w:val="-2"/>
                <w:sz w:val="16"/>
              </w:rPr>
              <w:t>10,593,321.97</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许昌广电同方数字电视有限公司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7"/>
              <w:jc w:val="right"/>
              <w:rPr>
                <w:rFonts w:ascii="Times New Roman" w:hAnsi="Times New Roman" w:cs="Times New Roman" w:eastAsia="Times New Roman" w:hint="default"/>
                <w:sz w:val="16"/>
                <w:szCs w:val="16"/>
              </w:rPr>
            </w:pPr>
            <w:r>
              <w:rPr>
                <w:rFonts w:ascii="Times New Roman"/>
                <w:spacing w:val="-2"/>
                <w:sz w:val="16"/>
              </w:rPr>
              <w:t>10,375,739.11</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9"/>
              <w:jc w:val="right"/>
              <w:rPr>
                <w:rFonts w:ascii="Times New Roman" w:hAnsi="Times New Roman" w:cs="Times New Roman" w:eastAsia="Times New Roman" w:hint="default"/>
                <w:sz w:val="16"/>
                <w:szCs w:val="16"/>
              </w:rPr>
            </w:pPr>
            <w:r>
              <w:rPr>
                <w:rFonts w:ascii="Times New Roman"/>
                <w:spacing w:val="-1"/>
                <w:sz w:val="16"/>
              </w:rPr>
              <w:t>-19,783.79</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5"/>
              <w:jc w:val="right"/>
              <w:rPr>
                <w:rFonts w:ascii="Times New Roman" w:hAnsi="Times New Roman" w:cs="Times New Roman" w:eastAsia="Times New Roman" w:hint="default"/>
                <w:sz w:val="16"/>
                <w:szCs w:val="16"/>
              </w:rPr>
            </w:pPr>
            <w:r>
              <w:rPr>
                <w:rFonts w:ascii="Times New Roman"/>
                <w:spacing w:val="-1"/>
                <w:sz w:val="16"/>
              </w:rPr>
              <w:t>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6"/>
                <w:szCs w:val="16"/>
              </w:rPr>
            </w:pPr>
            <w:r>
              <w:rPr>
                <w:rFonts w:ascii="Times New Roman"/>
                <w:spacing w:val="-2"/>
                <w:sz w:val="16"/>
              </w:rPr>
              <w:t>10,355,955.32</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331" w:hRule="exact"/>
        </w:trPr>
        <w:tc>
          <w:tcPr>
            <w:tcW w:w="273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日照广电同方数字电视有限公司</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7"/>
              <w:jc w:val="right"/>
              <w:rPr>
                <w:rFonts w:ascii="Times New Roman" w:hAnsi="Times New Roman" w:cs="Times New Roman" w:eastAsia="Times New Roman" w:hint="default"/>
                <w:sz w:val="16"/>
                <w:szCs w:val="16"/>
              </w:rPr>
            </w:pPr>
            <w:r>
              <w:rPr>
                <w:rFonts w:ascii="Times New Roman"/>
                <w:spacing w:val="-2"/>
                <w:sz w:val="16"/>
              </w:rPr>
              <w:t>10,187,088.55</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4"/>
              <w:jc w:val="right"/>
              <w:rPr>
                <w:rFonts w:ascii="Times New Roman" w:hAnsi="Times New Roman" w:cs="Times New Roman" w:eastAsia="Times New Roman" w:hint="default"/>
                <w:sz w:val="16"/>
                <w:szCs w:val="16"/>
              </w:rPr>
            </w:pPr>
            <w:r>
              <w:rPr>
                <w:rFonts w:ascii="Times New Roman"/>
                <w:spacing w:val="-1"/>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9"/>
              <w:jc w:val="right"/>
              <w:rPr>
                <w:rFonts w:ascii="Times New Roman" w:hAnsi="Times New Roman" w:cs="Times New Roman" w:eastAsia="Times New Roman" w:hint="default"/>
                <w:sz w:val="16"/>
                <w:szCs w:val="16"/>
              </w:rPr>
            </w:pPr>
            <w:r>
              <w:rPr>
                <w:rFonts w:ascii="Times New Roman"/>
                <w:spacing w:val="-1"/>
                <w:sz w:val="16"/>
              </w:rPr>
              <w:t>-74,474.12</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5"/>
              <w:jc w:val="right"/>
              <w:rPr>
                <w:rFonts w:ascii="Times New Roman" w:hAnsi="Times New Roman" w:cs="Times New Roman" w:eastAsia="Times New Roman" w:hint="default"/>
                <w:sz w:val="16"/>
                <w:szCs w:val="16"/>
              </w:rPr>
            </w:pPr>
            <w:r>
              <w:rPr>
                <w:rFonts w:ascii="Times New Roman"/>
                <w:spacing w:val="-1"/>
                <w:sz w:val="16"/>
              </w:rPr>
              <w:t>0.00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5"/>
              <w:jc w:val="right"/>
              <w:rPr>
                <w:rFonts w:ascii="Times New Roman" w:hAnsi="Times New Roman" w:cs="Times New Roman" w:eastAsia="Times New Roman" w:hint="default"/>
                <w:sz w:val="16"/>
                <w:szCs w:val="16"/>
              </w:rPr>
            </w:pPr>
            <w:r>
              <w:rPr>
                <w:rFonts w:ascii="Times New Roman"/>
                <w:spacing w:val="-1"/>
                <w:sz w:val="16"/>
              </w:rPr>
              <w:t>0.00</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6"/>
                <w:szCs w:val="16"/>
              </w:rPr>
            </w:pPr>
            <w:r>
              <w:rPr>
                <w:rFonts w:ascii="Times New Roman"/>
                <w:spacing w:val="-2"/>
                <w:sz w:val="16"/>
              </w:rPr>
              <w:t>10,112,614.43</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bl>
    <w:p>
      <w:pPr>
        <w:spacing w:after="0" w:line="240" w:lineRule="auto"/>
        <w:jc w:val="right"/>
        <w:rPr>
          <w:rFonts w:ascii="Times New Roman" w:hAnsi="Times New Roman" w:cs="Times New Roman" w:eastAsia="Times New Roman" w:hint="default"/>
          <w:sz w:val="16"/>
          <w:szCs w:val="16"/>
        </w:rPr>
        <w:sectPr>
          <w:type w:val="continuous"/>
          <w:pgSz w:w="16840" w:h="11910" w:orient="landscape"/>
          <w:pgMar w:top="1020" w:bottom="280" w:left="1240" w:right="540"/>
        </w:sectPr>
      </w:pPr>
    </w:p>
    <w:p>
      <w:pPr>
        <w:tabs>
          <w:tab w:pos="3185" w:val="left" w:leader="none"/>
        </w:tabs>
        <w:spacing w:before="54"/>
        <w:ind w:left="1095" w:right="-19" w:firstLine="0"/>
        <w:jc w:val="left"/>
        <w:rPr>
          <w:rFonts w:ascii="宋体" w:hAnsi="宋体" w:cs="宋体" w:eastAsia="宋体" w:hint="default"/>
          <w:sz w:val="16"/>
          <w:szCs w:val="16"/>
        </w:rPr>
      </w:pPr>
      <w:r>
        <w:rPr>
          <w:rFonts w:ascii="宋体" w:hAnsi="宋体" w:cs="宋体" w:eastAsia="宋体" w:hint="default"/>
          <w:b/>
          <w:bCs/>
          <w:sz w:val="16"/>
          <w:szCs w:val="16"/>
        </w:rPr>
        <w:t>被投资单位</w:t>
        <w:tab/>
        <w:t>年初余额</w:t>
      </w:r>
      <w:r>
        <w:rPr>
          <w:rFonts w:ascii="宋体" w:hAnsi="宋体" w:cs="宋体" w:eastAsia="宋体" w:hint="default"/>
          <w:sz w:val="16"/>
          <w:szCs w:val="16"/>
        </w:rPr>
      </w:r>
    </w:p>
    <w:p>
      <w:pPr>
        <w:tabs>
          <w:tab w:pos="1654" w:val="left" w:leader="none"/>
          <w:tab w:pos="2629" w:val="left" w:leader="none"/>
        </w:tabs>
        <w:spacing w:line="257" w:lineRule="exact" w:before="101"/>
        <w:ind w:left="522" w:right="-19" w:firstLine="0"/>
        <w:jc w:val="left"/>
        <w:rPr>
          <w:rFonts w:ascii="宋体" w:hAnsi="宋体" w:cs="宋体" w:eastAsia="宋体" w:hint="default"/>
          <w:sz w:val="16"/>
          <w:szCs w:val="16"/>
        </w:rPr>
      </w:pPr>
      <w:r>
        <w:rPr/>
        <w:br w:type="column"/>
      </w:r>
      <w:r>
        <w:rPr>
          <w:rFonts w:ascii="宋体" w:hAnsi="宋体" w:cs="宋体" w:eastAsia="宋体" w:hint="default"/>
          <w:b/>
          <w:bCs/>
          <w:sz w:val="16"/>
          <w:szCs w:val="16"/>
        </w:rPr>
        <w:t>追加投资</w:t>
        <w:tab/>
        <w:t>减少投资</w:t>
        <w:tab/>
      </w:r>
      <w:r>
        <w:rPr>
          <w:rFonts w:ascii="宋体" w:hAnsi="宋体" w:cs="宋体" w:eastAsia="宋体" w:hint="default"/>
          <w:b/>
          <w:bCs/>
          <w:position w:val="10"/>
          <w:sz w:val="16"/>
          <w:szCs w:val="16"/>
        </w:rPr>
        <w:t>权益法下确认的</w:t>
      </w:r>
      <w:r>
        <w:rPr>
          <w:rFonts w:ascii="宋体" w:hAnsi="宋体" w:cs="宋体" w:eastAsia="宋体" w:hint="default"/>
          <w:sz w:val="16"/>
          <w:szCs w:val="16"/>
        </w:rPr>
      </w:r>
    </w:p>
    <w:p>
      <w:pPr>
        <w:spacing w:line="157" w:lineRule="exact" w:before="0"/>
        <w:ind w:left="0" w:right="240" w:firstLine="0"/>
        <w:jc w:val="right"/>
        <w:rPr>
          <w:rFonts w:ascii="宋体" w:hAnsi="宋体" w:cs="宋体" w:eastAsia="宋体" w:hint="default"/>
          <w:sz w:val="16"/>
          <w:szCs w:val="16"/>
        </w:rPr>
      </w:pPr>
      <w:r>
        <w:rPr>
          <w:rFonts w:ascii="宋体" w:hAnsi="宋体" w:cs="宋体" w:eastAsia="宋体" w:hint="default"/>
          <w:b/>
          <w:bCs/>
          <w:sz w:val="16"/>
          <w:szCs w:val="16"/>
        </w:rPr>
        <w:t>投资损益</w:t>
      </w:r>
      <w:r>
        <w:rPr>
          <w:rFonts w:ascii="宋体" w:hAnsi="宋体" w:cs="宋体" w:eastAsia="宋体" w:hint="default"/>
          <w:sz w:val="16"/>
          <w:szCs w:val="16"/>
        </w:rPr>
      </w:r>
    </w:p>
    <w:p>
      <w:pPr>
        <w:spacing w:line="156" w:lineRule="exact" w:before="97"/>
        <w:ind w:left="168" w:right="-19" w:firstLine="0"/>
        <w:jc w:val="left"/>
        <w:rPr>
          <w:rFonts w:ascii="宋体" w:hAnsi="宋体" w:cs="宋体" w:eastAsia="宋体" w:hint="default"/>
          <w:sz w:val="16"/>
          <w:szCs w:val="16"/>
        </w:rPr>
      </w:pPr>
      <w:r>
        <w:rPr/>
        <w:br w:type="column"/>
      </w:r>
      <w:r>
        <w:rPr>
          <w:rFonts w:ascii="宋体" w:hAnsi="宋体" w:cs="宋体" w:eastAsia="宋体" w:hint="default"/>
          <w:b/>
          <w:bCs/>
          <w:sz w:val="16"/>
          <w:szCs w:val="16"/>
        </w:rPr>
        <w:t>其他综合收益</w:t>
      </w:r>
      <w:r>
        <w:rPr>
          <w:rFonts w:ascii="宋体" w:hAnsi="宋体" w:cs="宋体" w:eastAsia="宋体" w:hint="default"/>
          <w:sz w:val="16"/>
          <w:szCs w:val="16"/>
        </w:rPr>
      </w:r>
    </w:p>
    <w:p>
      <w:pPr>
        <w:tabs>
          <w:tab w:pos="1366" w:val="left" w:leader="none"/>
        </w:tabs>
        <w:spacing w:line="266" w:lineRule="exact" w:before="0"/>
        <w:ind w:left="490" w:right="-19" w:firstLine="0"/>
        <w:jc w:val="left"/>
        <w:rPr>
          <w:rFonts w:ascii="宋体" w:hAnsi="宋体" w:cs="宋体" w:eastAsia="宋体" w:hint="default"/>
          <w:sz w:val="16"/>
          <w:szCs w:val="16"/>
        </w:rPr>
      </w:pPr>
      <w:r>
        <w:rPr>
          <w:rFonts w:ascii="宋体" w:hAnsi="宋体" w:cs="宋体" w:eastAsia="宋体" w:hint="default"/>
          <w:b/>
          <w:bCs/>
          <w:position w:val="-10"/>
          <w:sz w:val="16"/>
          <w:szCs w:val="16"/>
        </w:rPr>
        <w:t>调整</w:t>
        <w:tab/>
      </w:r>
      <w:r>
        <w:rPr>
          <w:rFonts w:ascii="宋体" w:hAnsi="宋体" w:cs="宋体" w:eastAsia="宋体" w:hint="default"/>
          <w:b/>
          <w:bCs/>
          <w:sz w:val="16"/>
          <w:szCs w:val="16"/>
        </w:rPr>
        <w:t>其他权益变动</w:t>
      </w:r>
      <w:r>
        <w:rPr>
          <w:rFonts w:ascii="宋体" w:hAnsi="宋体" w:cs="宋体" w:eastAsia="宋体" w:hint="default"/>
          <w:sz w:val="16"/>
          <w:szCs w:val="16"/>
        </w:rPr>
      </w:r>
    </w:p>
    <w:p>
      <w:pPr>
        <w:spacing w:line="154" w:lineRule="exact" w:before="97"/>
        <w:ind w:left="139" w:right="-20" w:firstLine="0"/>
        <w:jc w:val="left"/>
        <w:rPr>
          <w:rFonts w:ascii="宋体" w:hAnsi="宋体" w:cs="宋体" w:eastAsia="宋体" w:hint="default"/>
          <w:sz w:val="16"/>
          <w:szCs w:val="16"/>
        </w:rPr>
      </w:pPr>
      <w:r>
        <w:rPr/>
        <w:br w:type="column"/>
      </w:r>
      <w:r>
        <w:rPr>
          <w:rFonts w:ascii="宋体" w:hAnsi="宋体" w:cs="宋体" w:eastAsia="宋体" w:hint="default"/>
          <w:b/>
          <w:bCs/>
          <w:sz w:val="16"/>
          <w:szCs w:val="16"/>
        </w:rPr>
        <w:t>宣告发放现金股</w:t>
      </w:r>
      <w:r>
        <w:rPr>
          <w:rFonts w:ascii="宋体" w:hAnsi="宋体" w:cs="宋体" w:eastAsia="宋体" w:hint="default"/>
          <w:sz w:val="16"/>
          <w:szCs w:val="16"/>
        </w:rPr>
      </w:r>
    </w:p>
    <w:p>
      <w:pPr>
        <w:tabs>
          <w:tab w:pos="1748" w:val="left" w:leader="none"/>
        </w:tabs>
        <w:spacing w:line="264" w:lineRule="exact" w:before="0"/>
        <w:ind w:left="382" w:right="-20" w:firstLine="0"/>
        <w:jc w:val="left"/>
        <w:rPr>
          <w:rFonts w:ascii="宋体" w:hAnsi="宋体" w:cs="宋体" w:eastAsia="宋体" w:hint="default"/>
          <w:sz w:val="16"/>
          <w:szCs w:val="16"/>
        </w:rPr>
      </w:pPr>
      <w:r>
        <w:rPr>
          <w:rFonts w:ascii="宋体" w:hAnsi="宋体" w:cs="宋体" w:eastAsia="宋体" w:hint="default"/>
          <w:b/>
          <w:bCs/>
          <w:sz w:val="16"/>
          <w:szCs w:val="16"/>
        </w:rPr>
        <w:t>利或利润</w:t>
        <w:tab/>
      </w:r>
      <w:r>
        <w:rPr>
          <w:rFonts w:ascii="宋体" w:hAnsi="宋体" w:cs="宋体" w:eastAsia="宋体" w:hint="default"/>
          <w:b/>
          <w:bCs/>
          <w:position w:val="11"/>
          <w:sz w:val="16"/>
          <w:szCs w:val="16"/>
        </w:rPr>
        <w:t>其他</w:t>
      </w:r>
      <w:r>
        <w:rPr>
          <w:rFonts w:ascii="宋体" w:hAnsi="宋体" w:cs="宋体" w:eastAsia="宋体" w:hint="default"/>
          <w:sz w:val="16"/>
          <w:szCs w:val="16"/>
        </w:rPr>
      </w:r>
    </w:p>
    <w:p>
      <w:pPr>
        <w:tabs>
          <w:tab w:pos="1723" w:val="left" w:leader="none"/>
        </w:tabs>
        <w:spacing w:line="209" w:lineRule="exact" w:before="0"/>
        <w:ind w:left="682" w:right="0" w:firstLine="0"/>
        <w:jc w:val="left"/>
        <w:rPr>
          <w:rFonts w:ascii="宋体" w:hAnsi="宋体" w:cs="宋体" w:eastAsia="宋体" w:hint="default"/>
          <w:sz w:val="16"/>
          <w:szCs w:val="16"/>
        </w:rPr>
      </w:pPr>
      <w:r>
        <w:rPr/>
        <w:br w:type="column"/>
      </w:r>
      <w:r>
        <w:rPr>
          <w:rFonts w:ascii="宋体" w:hAnsi="宋体" w:cs="宋体" w:eastAsia="宋体" w:hint="default"/>
          <w:b/>
          <w:bCs/>
          <w:position w:val="-9"/>
          <w:sz w:val="16"/>
          <w:szCs w:val="16"/>
        </w:rPr>
        <w:t>年末余额</w:t>
        <w:tab/>
      </w:r>
      <w:r>
        <w:rPr>
          <w:rFonts w:ascii="宋体" w:hAnsi="宋体" w:cs="宋体" w:eastAsia="宋体" w:hint="default"/>
          <w:b/>
          <w:bCs/>
          <w:sz w:val="16"/>
          <w:szCs w:val="16"/>
        </w:rPr>
        <w:t>减值准备年末</w:t>
      </w:r>
      <w:r>
        <w:rPr>
          <w:rFonts w:ascii="宋体" w:hAnsi="宋体" w:cs="宋体" w:eastAsia="宋体" w:hint="default"/>
          <w:sz w:val="16"/>
          <w:szCs w:val="16"/>
        </w:rPr>
      </w:r>
    </w:p>
    <w:p>
      <w:pPr>
        <w:spacing w:line="158" w:lineRule="exact" w:before="0"/>
        <w:ind w:left="0" w:right="538" w:firstLine="0"/>
        <w:jc w:val="right"/>
        <w:rPr>
          <w:rFonts w:ascii="宋体" w:hAnsi="宋体" w:cs="宋体" w:eastAsia="宋体" w:hint="default"/>
          <w:sz w:val="16"/>
          <w:szCs w:val="16"/>
        </w:rPr>
      </w:pPr>
      <w:r>
        <w:rPr/>
        <w:pict>
          <v:group style="position:absolute;margin-left:269.059998pt;margin-top:-4.750615pt;width:418.9pt;height:.5pt;mso-position-horizontal-relative:page;mso-position-vertical-relative:paragraph;z-index:-1197232" coordorigin="5381,-95" coordsize="8378,10">
            <v:group style="position:absolute;left:5386;top:-90;width:1134;height:2" coordorigin="5386,-90" coordsize="1134,2">
              <v:shape style="position:absolute;left:5386;top:-90;width:1134;height:2" coordorigin="5386,-90" coordsize="1134,0" path="m5386,-90l6519,-90e" filled="false" stroked="true" strokeweight=".48pt" strokecolor="#000000">
                <v:path arrowok="t"/>
              </v:shape>
            </v:group>
            <v:group style="position:absolute;left:6519;top:-90;width:10;height:2" coordorigin="6519,-90" coordsize="10,2">
              <v:shape style="position:absolute;left:6519;top:-90;width:10;height:2" coordorigin="6519,-90" coordsize="10,0" path="m6519,-90l6529,-90e" filled="false" stroked="true" strokeweight=".48pt" strokecolor="#000000">
                <v:path arrowok="t"/>
              </v:shape>
            </v:group>
            <v:group style="position:absolute;left:6529;top:-90;width:1126;height:2" coordorigin="6529,-90" coordsize="1126,2">
              <v:shape style="position:absolute;left:6529;top:-90;width:1126;height:2" coordorigin="6529,-90" coordsize="1126,0" path="m6529,-90l7655,-90e" filled="false" stroked="true" strokeweight=".48pt" strokecolor="#000000">
                <v:path arrowok="t"/>
              </v:shape>
            </v:group>
            <v:group style="position:absolute;left:7655;top:-90;width:10;height:2" coordorigin="7655,-90" coordsize="10,2">
              <v:shape style="position:absolute;left:7655;top:-90;width:10;height:2" coordorigin="7655,-90" coordsize="10,0" path="m7655,-90l7664,-90e" filled="false" stroked="true" strokeweight=".48pt" strokecolor="#000000">
                <v:path arrowok="t"/>
              </v:shape>
            </v:group>
            <v:group style="position:absolute;left:7664;top:-90;width:1284;height:2" coordorigin="7664,-90" coordsize="1284,2">
              <v:shape style="position:absolute;left:7664;top:-90;width:1284;height:2" coordorigin="7664,-90" coordsize="1284,0" path="m7664,-90l8948,-90e" filled="false" stroked="true" strokeweight=".48pt" strokecolor="#000000">
                <v:path arrowok="t"/>
              </v:shape>
            </v:group>
            <v:group style="position:absolute;left:8948;top:-90;width:10;height:2" coordorigin="8948,-90" coordsize="10,2">
              <v:shape style="position:absolute;left:8948;top:-90;width:10;height:2" coordorigin="8948,-90" coordsize="10,0" path="m8948,-90l8958,-90e" filled="false" stroked="true" strokeweight=".48pt" strokecolor="#000000">
                <v:path arrowok="t"/>
              </v:shape>
            </v:group>
            <v:group style="position:absolute;left:8958;top:-90;width:1211;height:2" coordorigin="8958,-90" coordsize="1211,2">
              <v:shape style="position:absolute;left:8958;top:-90;width:1211;height:2" coordorigin="8958,-90" coordsize="1211,0" path="m8958,-90l10168,-90e" filled="false" stroked="true" strokeweight=".48pt" strokecolor="#000000">
                <v:path arrowok="t"/>
              </v:shape>
            </v:group>
            <v:group style="position:absolute;left:10168;top:-90;width:10;height:2" coordorigin="10168,-90" coordsize="10,2">
              <v:shape style="position:absolute;left:10168;top:-90;width:10;height:2" coordorigin="10168,-90" coordsize="10,0" path="m10168,-90l10177,-90e" filled="false" stroked="true" strokeweight=".48pt" strokecolor="#000000">
                <v:path arrowok="t"/>
              </v:shape>
            </v:group>
            <v:group style="position:absolute;left:10177;top:-90;width:1164;height:2" coordorigin="10177,-90" coordsize="1164,2">
              <v:shape style="position:absolute;left:10177;top:-90;width:1164;height:2" coordorigin="10177,-90" coordsize="1164,0" path="m10177,-90l11341,-90e" filled="false" stroked="true" strokeweight=".48pt" strokecolor="#000000">
                <v:path arrowok="t"/>
              </v:shape>
            </v:group>
            <v:group style="position:absolute;left:11341;top:-90;width:10;height:2" coordorigin="11341,-90" coordsize="10,2">
              <v:shape style="position:absolute;left:11341;top:-90;width:10;height:2" coordorigin="11341,-90" coordsize="10,0" path="m11341,-90l11351,-90e" filled="false" stroked="true" strokeweight=".48pt" strokecolor="#000000">
                <v:path arrowok="t"/>
              </v:shape>
            </v:group>
            <v:group style="position:absolute;left:11351;top:-90;width:1268;height:2" coordorigin="11351,-90" coordsize="1268,2">
              <v:shape style="position:absolute;left:11351;top:-90;width:1268;height:2" coordorigin="11351,-90" coordsize="1268,0" path="m11351,-90l12618,-90e" filled="false" stroked="true" strokeweight=".48pt" strokecolor="#000000">
                <v:path arrowok="t"/>
              </v:shape>
            </v:group>
            <v:group style="position:absolute;left:12618;top:-90;width:10;height:2" coordorigin="12618,-90" coordsize="10,2">
              <v:shape style="position:absolute;left:12618;top:-90;width:10;height:2" coordorigin="12618,-90" coordsize="10,0" path="m12618,-90l12628,-90e" filled="false" stroked="true" strokeweight=".48pt" strokecolor="#000000">
                <v:path arrowok="t"/>
              </v:shape>
            </v:group>
            <v:group style="position:absolute;left:12628;top:-90;width:1127;height:2" coordorigin="12628,-90" coordsize="1127,2">
              <v:shape style="position:absolute;left:12628;top:-90;width:1127;height:2" coordorigin="12628,-90" coordsize="1127,0" path="m12628,-90l13754,-90e" filled="false" stroked="true" strokeweight=".48pt" strokecolor="#000000">
                <v:path arrowok="t"/>
              </v:shape>
            </v:group>
            <w10:wrap type="none"/>
          </v:group>
        </w:pict>
      </w:r>
      <w:r>
        <w:rPr>
          <w:rFonts w:ascii="宋体" w:hAnsi="宋体" w:cs="宋体" w:eastAsia="宋体" w:hint="default"/>
          <w:b/>
          <w:bCs/>
          <w:sz w:val="16"/>
          <w:szCs w:val="16"/>
        </w:rPr>
        <w:t>余额</w:t>
      </w:r>
      <w:r>
        <w:rPr>
          <w:rFonts w:ascii="宋体" w:hAnsi="宋体" w:cs="宋体" w:eastAsia="宋体" w:hint="default"/>
          <w:sz w:val="16"/>
          <w:szCs w:val="16"/>
        </w:rPr>
      </w:r>
    </w:p>
    <w:p>
      <w:pPr>
        <w:spacing w:after="0" w:line="158" w:lineRule="exact"/>
        <w:jc w:val="right"/>
        <w:rPr>
          <w:rFonts w:ascii="宋体" w:hAnsi="宋体" w:cs="宋体" w:eastAsia="宋体" w:hint="default"/>
          <w:sz w:val="16"/>
          <w:szCs w:val="16"/>
        </w:rPr>
        <w:sectPr>
          <w:headerReference w:type="default" r:id="rId68"/>
          <w:pgSz w:w="16840" w:h="11910" w:orient="landscape"/>
          <w:pgMar w:header="585" w:footer="835" w:top="1900" w:bottom="1020" w:left="1240" w:right="540"/>
          <w:cols w:num="5" w:equalWidth="0">
            <w:col w:w="3830" w:space="40"/>
            <w:col w:w="3756" w:space="40"/>
            <w:col w:w="2332" w:space="40"/>
            <w:col w:w="2071" w:space="40"/>
            <w:col w:w="2911"/>
          </w:cols>
        </w:sect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740.5pt;height:.5pt;mso-position-horizontal-relative:char;mso-position-vertical-relative:line" coordorigin="0,0" coordsize="14810,10">
            <v:group style="position:absolute;left:5;top:5;width:2754;height:2" coordorigin="5,5" coordsize="2754,2">
              <v:shape style="position:absolute;left:5;top:5;width:2754;height:2" coordorigin="5,5" coordsize="2754,0" path="m5,5l2758,5e" filled="false" stroked="true" strokeweight=".48pt" strokecolor="#000000">
                <v:path arrowok="t"/>
              </v:shape>
            </v:group>
            <v:group style="position:absolute;left:2758;top:5;width:10;height:2" coordorigin="2758,5" coordsize="10,2">
              <v:shape style="position:absolute;left:2758;top:5;width:10;height:2" coordorigin="2758,5" coordsize="10,0" path="m2758,5l2768,5e" filled="false" stroked="true" strokeweight=".48pt" strokecolor="#000000">
                <v:path arrowok="t"/>
              </v:shape>
            </v:group>
            <v:group style="position:absolute;left:2768;top:5;width:1263;height:2" coordorigin="2768,5" coordsize="1263,2">
              <v:shape style="position:absolute;left:2768;top:5;width:1263;height:2" coordorigin="2768,5" coordsize="1263,0" path="m2768,5l4030,5e" filled="false" stroked="true" strokeweight=".48pt" strokecolor="#000000">
                <v:path arrowok="t"/>
              </v:shape>
            </v:group>
            <v:group style="position:absolute;left:4030;top:5;width:10;height:2" coordorigin="4030,5" coordsize="10,2">
              <v:shape style="position:absolute;left:4030;top:5;width:10;height:2" coordorigin="4030,5" coordsize="10,0" path="m4030,5l4040,5e" filled="false" stroked="true" strokeweight=".48pt" strokecolor="#000000">
                <v:path arrowok="t"/>
              </v:shape>
            </v:group>
            <v:group style="position:absolute;left:4040;top:5;width:1124;height:2" coordorigin="4040,5" coordsize="1124,2">
              <v:shape style="position:absolute;left:4040;top:5;width:1124;height:2" coordorigin="4040,5" coordsize="1124,0" path="m4040,5l5163,5e" filled="false" stroked="true" strokeweight=".48pt" strokecolor="#000000">
                <v:path arrowok="t"/>
              </v:shape>
            </v:group>
            <v:group style="position:absolute;left:5163;top:5;width:10;height:2" coordorigin="5163,5" coordsize="10,2">
              <v:shape style="position:absolute;left:5163;top:5;width:10;height:2" coordorigin="5163,5" coordsize="10,0" path="m5163,5l5173,5e" filled="false" stroked="true" strokeweight=".48pt" strokecolor="#000000">
                <v:path arrowok="t"/>
              </v:shape>
            </v:group>
            <v:group style="position:absolute;left:5173;top:5;width:1126;height:2" coordorigin="5173,5" coordsize="1126,2">
              <v:shape style="position:absolute;left:5173;top:5;width:1126;height:2" coordorigin="5173,5" coordsize="1126,0" path="m5173,5l6299,5e" filled="false" stroked="true" strokeweight=".48pt" strokecolor="#000000">
                <v:path arrowok="t"/>
              </v:shape>
            </v:group>
            <v:group style="position:absolute;left:6299;top:5;width:10;height:2" coordorigin="6299,5" coordsize="10,2">
              <v:shape style="position:absolute;left:6299;top:5;width:10;height:2" coordorigin="6299,5" coordsize="10,0" path="m6299,5l6308,5e" filled="false" stroked="true" strokeweight=".48pt" strokecolor="#000000">
                <v:path arrowok="t"/>
              </v:shape>
            </v:group>
            <v:group style="position:absolute;left:6308;top:5;width:1284;height:2" coordorigin="6308,5" coordsize="1284,2">
              <v:shape style="position:absolute;left:6308;top:5;width:1284;height:2" coordorigin="6308,5" coordsize="1284,0" path="m6308,5l7592,5e" filled="false" stroked="true" strokeweight=".48pt" strokecolor="#000000">
                <v:path arrowok="t"/>
              </v:shape>
            </v:group>
            <v:group style="position:absolute;left:7592;top:5;width:10;height:2" coordorigin="7592,5" coordsize="10,2">
              <v:shape style="position:absolute;left:7592;top:5;width:10;height:2" coordorigin="7592,5" coordsize="10,0" path="m7592,5l7602,5e" filled="false" stroked="true" strokeweight=".48pt" strokecolor="#000000">
                <v:path arrowok="t"/>
              </v:shape>
            </v:group>
            <v:group style="position:absolute;left:7602;top:5;width:1211;height:2" coordorigin="7602,5" coordsize="1211,2">
              <v:shape style="position:absolute;left:7602;top:5;width:1211;height:2" coordorigin="7602,5" coordsize="1211,0" path="m7602,5l8812,5e" filled="false" stroked="true" strokeweight=".48pt" strokecolor="#000000">
                <v:path arrowok="t"/>
              </v:shape>
            </v:group>
            <v:group style="position:absolute;left:8812;top:5;width:10;height:2" coordorigin="8812,5" coordsize="10,2">
              <v:shape style="position:absolute;left:8812;top:5;width:10;height:2" coordorigin="8812,5" coordsize="10,0" path="m8812,5l8821,5e" filled="false" stroked="true" strokeweight=".48pt" strokecolor="#000000">
                <v:path arrowok="t"/>
              </v:shape>
            </v:group>
            <v:group style="position:absolute;left:8821;top:5;width:1164;height:2" coordorigin="8821,5" coordsize="1164,2">
              <v:shape style="position:absolute;left:8821;top:5;width:1164;height:2" coordorigin="8821,5" coordsize="1164,0" path="m8821,5l9985,5e" filled="false" stroked="true" strokeweight=".48pt" strokecolor="#000000">
                <v:path arrowok="t"/>
              </v:shape>
            </v:group>
            <v:group style="position:absolute;left:9985;top:5;width:10;height:2" coordorigin="9985,5" coordsize="10,2">
              <v:shape style="position:absolute;left:9985;top:5;width:10;height:2" coordorigin="9985,5" coordsize="10,0" path="m9985,5l9995,5e" filled="false" stroked="true" strokeweight=".48pt" strokecolor="#000000">
                <v:path arrowok="t"/>
              </v:shape>
            </v:group>
            <v:group style="position:absolute;left:9995;top:5;width:1268;height:2" coordorigin="9995,5" coordsize="1268,2">
              <v:shape style="position:absolute;left:9995;top:5;width:1268;height:2" coordorigin="9995,5" coordsize="1268,0" path="m9995,5l11262,5e" filled="false" stroked="true" strokeweight=".48pt" strokecolor="#000000">
                <v:path arrowok="t"/>
              </v:shape>
            </v:group>
            <v:group style="position:absolute;left:11262;top:5;width:10;height:2" coordorigin="11262,5" coordsize="10,2">
              <v:shape style="position:absolute;left:11262;top:5;width:10;height:2" coordorigin="11262,5" coordsize="10,0" path="m11262,5l11272,5e" filled="false" stroked="true" strokeweight=".48pt" strokecolor="#000000">
                <v:path arrowok="t"/>
              </v:shape>
            </v:group>
            <v:group style="position:absolute;left:11272;top:5;width:1127;height:2" coordorigin="11272,5" coordsize="1127,2">
              <v:shape style="position:absolute;left:11272;top:5;width:1127;height:2" coordorigin="11272,5" coordsize="1127,0" path="m11272,5l12398,5e" filled="false" stroked="true" strokeweight=".48pt" strokecolor="#000000">
                <v:path arrowok="t"/>
              </v:shape>
            </v:group>
            <v:group style="position:absolute;left:12398;top:5;width:10;height:2" coordorigin="12398,5" coordsize="10,2">
              <v:shape style="position:absolute;left:12398;top:5;width:10;height:2" coordorigin="12398,5" coordsize="10,0" path="m12398,5l12408,5e" filled="false" stroked="true" strokeweight=".48pt" strokecolor="#000000">
                <v:path arrowok="t"/>
              </v:shape>
            </v:group>
            <v:group style="position:absolute;left:12408;top:5;width:1265;height:2" coordorigin="12408,5" coordsize="1265,2">
              <v:shape style="position:absolute;left:12408;top:5;width:1265;height:2" coordorigin="12408,5" coordsize="1265,0" path="m12408,5l13672,5e" filled="false" stroked="true" strokeweight=".48pt" strokecolor="#000000">
                <v:path arrowok="t"/>
              </v:shape>
            </v:group>
            <v:group style="position:absolute;left:13672;top:5;width:10;height:2" coordorigin="13672,5" coordsize="10,2">
              <v:shape style="position:absolute;left:13672;top:5;width:10;height:2" coordorigin="13672,5" coordsize="10,0" path="m13672,5l13682,5e" filled="false" stroked="true" strokeweight=".48pt" strokecolor="#000000">
                <v:path arrowok="t"/>
              </v:shape>
            </v:group>
            <v:group style="position:absolute;left:13682;top:5;width:1124;height:2" coordorigin="13682,5" coordsize="1124,2">
              <v:shape style="position:absolute;left:13682;top:5;width:1124;height:2" coordorigin="13682,5" coordsize="1124,0" path="m13682,5l14805,5e" filled="false" stroked="true" strokeweight=".48pt" strokecolor="#000000">
                <v:path arrowok="t"/>
              </v:shape>
            </v:group>
          </v:group>
        </w:pict>
      </w:r>
      <w:r>
        <w:rPr>
          <w:rFonts w:ascii="宋体" w:hAnsi="宋体" w:cs="宋体" w:eastAsia="宋体" w:hint="default"/>
          <w:sz w:val="2"/>
          <w:szCs w:val="2"/>
        </w:rPr>
      </w:r>
    </w:p>
    <w:p>
      <w:pPr>
        <w:tabs>
          <w:tab w:pos="3248" w:val="left" w:leader="none"/>
          <w:tab w:pos="4943" w:val="left" w:leader="none"/>
          <w:tab w:pos="6076" w:val="left" w:leader="none"/>
          <w:tab w:pos="7009" w:val="left" w:leader="none"/>
          <w:tab w:pos="8586" w:val="left" w:leader="none"/>
          <w:tab w:pos="9762" w:val="left" w:leader="none"/>
          <w:tab w:pos="11039" w:val="left" w:leader="none"/>
          <w:tab w:pos="12175" w:val="left" w:leader="none"/>
          <w:tab w:pos="12890" w:val="left" w:leader="none"/>
          <w:tab w:pos="14582" w:val="left" w:leader="none"/>
        </w:tabs>
        <w:spacing w:before="66"/>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sz w:val="16"/>
          <w:szCs w:val="16"/>
        </w:rPr>
        <w:t>南阳广电同方数字电视有限责任公司</w:t>
        <w:tab/>
      </w:r>
      <w:r>
        <w:rPr>
          <w:rFonts w:ascii="Times New Roman" w:hAnsi="Times New Roman" w:cs="Times New Roman" w:eastAsia="Times New Roman" w:hint="default"/>
          <w:spacing w:val="-1"/>
          <w:sz w:val="16"/>
          <w:szCs w:val="16"/>
        </w:rPr>
        <w:t>7,941,403.92</w:t>
        <w:tab/>
        <w:t>0.00</w:t>
        <w:tab/>
        <w:t>0.00</w:t>
        <w:tab/>
        <w:t>15,727.54</w:t>
        <w:tab/>
        <w:t>0.00</w:t>
        <w:tab/>
        <w:t>0.00</w:t>
        <w:tab/>
        <w:t>0.00</w:t>
        <w:tab/>
        <w:t>0.00</w:t>
        <w:tab/>
        <w:t>7,957,131.46</w:t>
        <w:tab/>
        <w:t>0.00</w:t>
      </w:r>
    </w:p>
    <w:p>
      <w:pPr>
        <w:tabs>
          <w:tab w:pos="3248" w:val="left" w:leader="none"/>
          <w:tab w:pos="4943" w:val="left" w:leader="none"/>
          <w:tab w:pos="6076" w:val="left" w:leader="none"/>
          <w:tab w:pos="6875" w:val="left" w:leader="none"/>
          <w:tab w:pos="8586" w:val="left" w:leader="none"/>
          <w:tab w:pos="9762" w:val="left" w:leader="none"/>
          <w:tab w:pos="11039" w:val="left" w:leader="none"/>
          <w:tab w:pos="12175" w:val="left" w:leader="none"/>
          <w:tab w:pos="12890" w:val="left" w:leader="none"/>
          <w:tab w:pos="14582" w:val="left" w:leader="none"/>
        </w:tabs>
        <w:spacing w:before="54"/>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北京迈信力通科技有限公司</w:t>
        <w:tab/>
      </w:r>
      <w:r>
        <w:rPr>
          <w:rFonts w:ascii="Times New Roman" w:hAnsi="Times New Roman" w:cs="Times New Roman" w:eastAsia="Times New Roman" w:hint="default"/>
          <w:spacing w:val="-1"/>
          <w:sz w:val="16"/>
          <w:szCs w:val="16"/>
        </w:rPr>
        <w:t>7,896,452.80</w:t>
        <w:tab/>
        <w:t>0.00</w:t>
        <w:tab/>
        <w:t>0.00</w:t>
        <w:tab/>
        <w:t>-292,716.20</w:t>
        <w:tab/>
        <w:t>0.00</w:t>
        <w:tab/>
        <w:t>0.00</w:t>
        <w:tab/>
        <w:t>0.00</w:t>
        <w:tab/>
        <w:t>0.00</w:t>
        <w:tab/>
        <w:t>7,603,736.60</w:t>
        <w:tab/>
        <w:t>0.00</w:t>
      </w:r>
    </w:p>
    <w:p>
      <w:pPr>
        <w:tabs>
          <w:tab w:pos="3248" w:val="left" w:leader="none"/>
          <w:tab w:pos="4943" w:val="left" w:leader="none"/>
          <w:tab w:pos="6076" w:val="left" w:leader="none"/>
          <w:tab w:pos="6875" w:val="left" w:leader="none"/>
          <w:tab w:pos="8586" w:val="left" w:leader="none"/>
          <w:tab w:pos="9762" w:val="left" w:leader="none"/>
          <w:tab w:pos="11039" w:val="left" w:leader="none"/>
          <w:tab w:pos="12175" w:val="left" w:leader="none"/>
          <w:tab w:pos="12890" w:val="left" w:leader="none"/>
          <w:tab w:pos="14582" w:val="left" w:leader="none"/>
        </w:tabs>
        <w:spacing w:before="54"/>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运城市蓝星同方数字电视有限公司</w:t>
        <w:tab/>
      </w:r>
      <w:r>
        <w:rPr>
          <w:rFonts w:ascii="Times New Roman" w:hAnsi="Times New Roman" w:cs="Times New Roman" w:eastAsia="Times New Roman" w:hint="default"/>
          <w:spacing w:val="-1"/>
          <w:sz w:val="16"/>
          <w:szCs w:val="16"/>
        </w:rPr>
        <w:t>7,763,489.35</w:t>
        <w:tab/>
        <w:t>0.00</w:t>
        <w:tab/>
        <w:t>0.00</w:t>
        <w:tab/>
        <w:t>-346,021.14</w:t>
        <w:tab/>
        <w:t>0.00</w:t>
        <w:tab/>
        <w:t>0.00</w:t>
        <w:tab/>
        <w:t>0.00</w:t>
        <w:tab/>
        <w:t>0.00</w:t>
        <w:tab/>
        <w:t>7,417,468.21</w:t>
        <w:tab/>
        <w:t>0.00</w:t>
      </w:r>
    </w:p>
    <w:p>
      <w:pPr>
        <w:tabs>
          <w:tab w:pos="3248" w:val="left" w:leader="none"/>
          <w:tab w:pos="4943" w:val="left" w:leader="none"/>
          <w:tab w:pos="6076" w:val="left" w:leader="none"/>
          <w:tab w:pos="7009" w:val="left" w:leader="none"/>
          <w:tab w:pos="8586" w:val="left" w:leader="none"/>
          <w:tab w:pos="9762" w:val="left" w:leader="none"/>
          <w:tab w:pos="11039" w:val="left" w:leader="none"/>
          <w:tab w:pos="12175" w:val="left" w:leader="none"/>
          <w:tab w:pos="12890" w:val="left" w:leader="none"/>
          <w:tab w:pos="14582" w:val="left" w:leader="none"/>
        </w:tabs>
        <w:spacing w:before="54"/>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张家口电广文化传媒有限公司</w:t>
        <w:tab/>
      </w:r>
      <w:r>
        <w:rPr>
          <w:rFonts w:ascii="Times New Roman" w:hAnsi="Times New Roman" w:cs="Times New Roman" w:eastAsia="Times New Roman" w:hint="default"/>
          <w:spacing w:val="-1"/>
          <w:sz w:val="16"/>
          <w:szCs w:val="16"/>
        </w:rPr>
        <w:t>7,756,667.45</w:t>
        <w:tab/>
        <w:t>0.00</w:t>
        <w:tab/>
        <w:t>0.00</w:t>
        <w:tab/>
        <w:t>82,626.56</w:t>
        <w:tab/>
        <w:t>0.00</w:t>
        <w:tab/>
        <w:t>0.00</w:t>
        <w:tab/>
        <w:t>0.00</w:t>
        <w:tab/>
        <w:t>0.00</w:t>
        <w:tab/>
        <w:t>7,839,294.01</w:t>
        <w:tab/>
        <w:t>0.00</w:t>
      </w:r>
    </w:p>
    <w:p>
      <w:pPr>
        <w:tabs>
          <w:tab w:pos="3248" w:val="left" w:leader="none"/>
          <w:tab w:pos="4943" w:val="left" w:leader="none"/>
          <w:tab w:pos="6076" w:val="left" w:leader="none"/>
          <w:tab w:pos="6930" w:val="left" w:leader="none"/>
          <w:tab w:pos="8586" w:val="left" w:leader="none"/>
          <w:tab w:pos="9762" w:val="left" w:leader="none"/>
          <w:tab w:pos="11039" w:val="left" w:leader="none"/>
          <w:tab w:pos="12175" w:val="left" w:leader="none"/>
          <w:tab w:pos="12890" w:val="left" w:leader="none"/>
          <w:tab w:pos="14582" w:val="left" w:leader="none"/>
        </w:tabs>
        <w:spacing w:before="62"/>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sz w:val="16"/>
          <w:szCs w:val="16"/>
        </w:rPr>
        <w:t>开封广电同方数字电视有限公司</w:t>
        <w:tab/>
      </w:r>
      <w:r>
        <w:rPr>
          <w:rFonts w:ascii="Times New Roman" w:hAnsi="Times New Roman" w:cs="Times New Roman" w:eastAsia="Times New Roman" w:hint="default"/>
          <w:spacing w:val="-1"/>
          <w:sz w:val="16"/>
          <w:szCs w:val="16"/>
        </w:rPr>
        <w:t>7,490,143.09</w:t>
        <w:tab/>
        <w:t>0.00</w:t>
        <w:tab/>
        <w:t>0.00</w:t>
        <w:tab/>
        <w:t>342,488.45</w:t>
        <w:tab/>
        <w:t>0.00</w:t>
        <w:tab/>
        <w:t>0.00</w:t>
        <w:tab/>
        <w:t>0.00</w:t>
        <w:tab/>
        <w:t>0.00</w:t>
        <w:tab/>
        <w:t>7,832,631.54</w:t>
        <w:tab/>
        <w:t>0.00</w:t>
      </w:r>
    </w:p>
    <w:p>
      <w:pPr>
        <w:tabs>
          <w:tab w:pos="3248" w:val="left" w:leader="none"/>
          <w:tab w:pos="4943" w:val="left" w:leader="none"/>
          <w:tab w:pos="6076" w:val="left" w:leader="none"/>
          <w:tab w:pos="6875" w:val="left" w:leader="none"/>
          <w:tab w:pos="8586" w:val="left" w:leader="none"/>
          <w:tab w:pos="9762" w:val="left" w:leader="none"/>
          <w:tab w:pos="11039" w:val="left" w:leader="none"/>
          <w:tab w:pos="12175" w:val="left" w:leader="none"/>
          <w:tab w:pos="12890" w:val="left" w:leader="none"/>
          <w:tab w:pos="14582" w:val="left" w:leader="none"/>
        </w:tabs>
        <w:spacing w:before="54"/>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达州广电同方数字电视有限公司</w:t>
        <w:tab/>
      </w:r>
      <w:r>
        <w:rPr>
          <w:rFonts w:ascii="Times New Roman" w:hAnsi="Times New Roman" w:cs="Times New Roman" w:eastAsia="Times New Roman" w:hint="default"/>
          <w:spacing w:val="-1"/>
          <w:sz w:val="16"/>
          <w:szCs w:val="16"/>
        </w:rPr>
        <w:t>6,492,077.08</w:t>
        <w:tab/>
        <w:t>0.00</w:t>
        <w:tab/>
        <w:t>0.00</w:t>
        <w:tab/>
        <w:t>-105,544.33</w:t>
        <w:tab/>
        <w:t>0.00</w:t>
        <w:tab/>
        <w:t>0.00</w:t>
        <w:tab/>
        <w:t>0.00</w:t>
        <w:tab/>
        <w:t>0.00</w:t>
        <w:tab/>
        <w:t>6,386,532.75</w:t>
        <w:tab/>
        <w:t>0.00</w:t>
      </w:r>
    </w:p>
    <w:p>
      <w:pPr>
        <w:tabs>
          <w:tab w:pos="3248" w:val="left" w:leader="none"/>
          <w:tab w:pos="4943" w:val="left" w:leader="none"/>
          <w:tab w:pos="6076" w:val="left" w:leader="none"/>
          <w:tab w:pos="6810" w:val="left" w:leader="none"/>
          <w:tab w:pos="8586" w:val="left" w:leader="none"/>
          <w:tab w:pos="9762" w:val="left" w:leader="none"/>
          <w:tab w:pos="11039" w:val="left" w:leader="none"/>
          <w:tab w:pos="12175" w:val="left" w:leader="none"/>
          <w:tab w:pos="12890" w:val="left" w:leader="none"/>
          <w:tab w:pos="14582" w:val="left" w:leader="none"/>
        </w:tabs>
        <w:spacing w:before="54"/>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广州同方瑞风空调有限公司</w:t>
        <w:tab/>
      </w:r>
      <w:r>
        <w:rPr>
          <w:rFonts w:ascii="Times New Roman" w:hAnsi="Times New Roman" w:cs="Times New Roman" w:eastAsia="Times New Roman" w:hint="default"/>
          <w:spacing w:val="-1"/>
          <w:sz w:val="16"/>
          <w:szCs w:val="16"/>
        </w:rPr>
        <w:t>6,036,384.89</w:t>
        <w:tab/>
        <w:t>0.00</w:t>
        <w:tab/>
        <w:t>0.00</w:t>
        <w:tab/>
        <w:t>2,756,434.64</w:t>
        <w:tab/>
        <w:t>0.00</w:t>
        <w:tab/>
        <w:t>0.00</w:t>
        <w:tab/>
        <w:t>0.00</w:t>
        <w:tab/>
        <w:t>0.00</w:t>
        <w:tab/>
        <w:t>8,792,819.53</w:t>
        <w:tab/>
        <w:t>0.00</w:t>
      </w:r>
    </w:p>
    <w:p>
      <w:pPr>
        <w:tabs>
          <w:tab w:pos="3248" w:val="left" w:leader="none"/>
          <w:tab w:pos="4943" w:val="left" w:leader="none"/>
          <w:tab w:pos="6076" w:val="left" w:leader="none"/>
          <w:tab w:pos="6930" w:val="left" w:leader="none"/>
          <w:tab w:pos="8586" w:val="left" w:leader="none"/>
          <w:tab w:pos="9762" w:val="left" w:leader="none"/>
          <w:tab w:pos="11039" w:val="left" w:leader="none"/>
          <w:tab w:pos="12175" w:val="left" w:leader="none"/>
          <w:tab w:pos="12890" w:val="left" w:leader="none"/>
          <w:tab w:pos="14582" w:val="left" w:leader="none"/>
        </w:tabs>
        <w:spacing w:before="54"/>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天门广电同方数字电视有限公司</w:t>
        <w:tab/>
      </w:r>
      <w:r>
        <w:rPr>
          <w:rFonts w:ascii="Times New Roman" w:hAnsi="Times New Roman" w:cs="Times New Roman" w:eastAsia="Times New Roman" w:hint="default"/>
          <w:spacing w:val="-1"/>
          <w:sz w:val="16"/>
          <w:szCs w:val="16"/>
        </w:rPr>
        <w:t>5,714,172.92</w:t>
        <w:tab/>
        <w:t>0.00</w:t>
        <w:tab/>
        <w:t>0.00</w:t>
        <w:tab/>
        <w:t>358,513.74</w:t>
        <w:tab/>
        <w:t>0.00</w:t>
        <w:tab/>
        <w:t>0.00</w:t>
        <w:tab/>
        <w:t>0.00</w:t>
        <w:tab/>
        <w:t>0.00</w:t>
        <w:tab/>
        <w:t>6,072,686.66</w:t>
        <w:tab/>
        <w:t>0.00</w:t>
      </w:r>
    </w:p>
    <w:p>
      <w:pPr>
        <w:tabs>
          <w:tab w:pos="3248" w:val="left" w:leader="none"/>
          <w:tab w:pos="4943" w:val="left" w:leader="none"/>
          <w:tab w:pos="6076" w:val="left" w:leader="none"/>
          <w:tab w:pos="6930" w:val="left" w:leader="none"/>
          <w:tab w:pos="8586" w:val="left" w:leader="none"/>
          <w:tab w:pos="9762" w:val="left" w:leader="none"/>
          <w:tab w:pos="11039" w:val="left" w:leader="none"/>
          <w:tab w:pos="12175" w:val="left" w:leader="none"/>
          <w:tab w:pos="12890" w:val="left" w:leader="none"/>
          <w:tab w:pos="14582" w:val="left" w:leader="none"/>
        </w:tabs>
        <w:spacing w:before="61"/>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sz w:val="16"/>
          <w:szCs w:val="16"/>
        </w:rPr>
        <w:t>北京中检科威科技有限公司</w:t>
        <w:tab/>
      </w:r>
      <w:r>
        <w:rPr>
          <w:rFonts w:ascii="Times New Roman" w:hAnsi="Times New Roman" w:cs="Times New Roman" w:eastAsia="Times New Roman" w:hint="default"/>
          <w:spacing w:val="-1"/>
          <w:sz w:val="16"/>
          <w:szCs w:val="16"/>
        </w:rPr>
        <w:t>5,512,507.69</w:t>
        <w:tab/>
        <w:t>0.00</w:t>
        <w:tab/>
        <w:t>0.00</w:t>
        <w:tab/>
        <w:t>687,979.70</w:t>
        <w:tab/>
        <w:t>0.00</w:t>
        <w:tab/>
        <w:t>0.00</w:t>
        <w:tab/>
        <w:t>0.00</w:t>
        <w:tab/>
        <w:t>0.00</w:t>
        <w:tab/>
        <w:t>6,200,487.39</w:t>
        <w:tab/>
        <w:t>0.00</w:t>
      </w:r>
    </w:p>
    <w:p>
      <w:pPr>
        <w:tabs>
          <w:tab w:pos="3248" w:val="left" w:leader="none"/>
          <w:tab w:pos="4943" w:val="left" w:leader="none"/>
          <w:tab w:pos="6076" w:val="left" w:leader="none"/>
          <w:tab w:pos="6875" w:val="left" w:leader="none"/>
          <w:tab w:pos="8586" w:val="left" w:leader="none"/>
          <w:tab w:pos="9762" w:val="left" w:leader="none"/>
          <w:tab w:pos="11039" w:val="left" w:leader="none"/>
          <w:tab w:pos="12175" w:val="left" w:leader="none"/>
          <w:tab w:pos="12890" w:val="left" w:leader="none"/>
          <w:tab w:pos="14582" w:val="left" w:leader="none"/>
        </w:tabs>
        <w:spacing w:line="222" w:lineRule="exact" w:before="54"/>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洛阳同方数字电视有限公司</w:t>
        <w:tab/>
      </w:r>
      <w:r>
        <w:rPr>
          <w:rFonts w:ascii="Times New Roman" w:hAnsi="Times New Roman" w:cs="Times New Roman" w:eastAsia="Times New Roman" w:hint="default"/>
          <w:spacing w:val="-1"/>
          <w:sz w:val="16"/>
          <w:szCs w:val="16"/>
        </w:rPr>
        <w:t>5,467,000.00</w:t>
        <w:tab/>
        <w:t>0.00</w:t>
        <w:tab/>
        <w:t>0.00</w:t>
        <w:tab/>
        <w:t>-256,196.30</w:t>
        <w:tab/>
        <w:t>0.00</w:t>
        <w:tab/>
        <w:t>0.00</w:t>
        <w:tab/>
        <w:t>0.00</w:t>
        <w:tab/>
        <w:t>0.00</w:t>
        <w:tab/>
        <w:t>5,210,803.70</w:t>
        <w:tab/>
        <w:t>0.00</w:t>
      </w:r>
    </w:p>
    <w:p>
      <w:pPr>
        <w:spacing w:line="163" w:lineRule="exact" w:before="0"/>
        <w:ind w:left="178" w:right="0" w:firstLine="0"/>
        <w:jc w:val="left"/>
        <w:rPr>
          <w:rFonts w:ascii="宋体" w:hAnsi="宋体" w:cs="宋体" w:eastAsia="宋体" w:hint="default"/>
          <w:sz w:val="16"/>
          <w:szCs w:val="16"/>
        </w:rPr>
      </w:pPr>
      <w:r>
        <w:rPr>
          <w:rFonts w:ascii="宋体" w:hAnsi="宋体" w:cs="宋体" w:eastAsia="宋体" w:hint="default"/>
          <w:spacing w:val="2"/>
          <w:sz w:val="16"/>
          <w:szCs w:val="16"/>
        </w:rPr>
        <w:t>北京海视安数据科技有限公司（原北</w:t>
      </w:r>
    </w:p>
    <w:p>
      <w:pPr>
        <w:tabs>
          <w:tab w:pos="3248" w:val="left" w:leader="none"/>
          <w:tab w:pos="4943" w:val="left" w:leader="none"/>
          <w:tab w:pos="6076" w:val="left" w:leader="none"/>
          <w:tab w:pos="6755" w:val="left" w:leader="none"/>
          <w:tab w:pos="8586" w:val="left" w:leader="none"/>
          <w:tab w:pos="9762" w:val="left" w:leader="none"/>
          <w:tab w:pos="11039" w:val="left" w:leader="none"/>
          <w:tab w:pos="12175" w:val="left" w:leader="none"/>
          <w:tab w:pos="13449" w:val="left" w:leader="none"/>
          <w:tab w:pos="14582" w:val="left" w:leader="none"/>
        </w:tabs>
        <w:spacing w:line="245" w:lineRule="exact" w:before="0"/>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0"/>
          <w:sz w:val="16"/>
          <w:szCs w:val="16"/>
        </w:rPr>
        <w:t>京威视数据系统有限公司）</w:t>
        <w:tab/>
      </w:r>
      <w:r>
        <w:rPr>
          <w:rFonts w:ascii="Times New Roman" w:hAnsi="Times New Roman" w:cs="Times New Roman" w:eastAsia="Times New Roman" w:hint="default"/>
          <w:spacing w:val="-1"/>
          <w:sz w:val="16"/>
          <w:szCs w:val="16"/>
        </w:rPr>
        <w:t>5,188,200.03</w:t>
        <w:tab/>
        <w:t>0.00</w:t>
        <w:tab/>
        <w:t>0.00</w:t>
        <w:tab/>
        <w:t>-5,188,200.03</w:t>
        <w:tab/>
        <w:t>0.00</w:t>
        <w:tab/>
        <w:t>0.00</w:t>
        <w:tab/>
        <w:t>0.00</w:t>
        <w:tab/>
        <w:t>0.00</w:t>
        <w:tab/>
        <w:t>0.00</w:t>
        <w:tab/>
        <w:t>0.00</w:t>
      </w:r>
    </w:p>
    <w:p>
      <w:pPr>
        <w:tabs>
          <w:tab w:pos="3248" w:val="left" w:leader="none"/>
          <w:tab w:pos="4943" w:val="left" w:leader="none"/>
          <w:tab w:pos="6076" w:val="left" w:leader="none"/>
          <w:tab w:pos="7009" w:val="left" w:leader="none"/>
          <w:tab w:pos="8586" w:val="left" w:leader="none"/>
          <w:tab w:pos="9762" w:val="left" w:leader="none"/>
          <w:tab w:pos="11039" w:val="left" w:leader="none"/>
          <w:tab w:pos="12175" w:val="left" w:leader="none"/>
          <w:tab w:pos="12890" w:val="left" w:leader="none"/>
          <w:tab w:pos="14582" w:val="left" w:leader="none"/>
        </w:tabs>
        <w:spacing w:before="71"/>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同方佰宜科技（北京）有限公司</w:t>
        <w:tab/>
      </w:r>
      <w:r>
        <w:rPr>
          <w:rFonts w:ascii="Times New Roman" w:hAnsi="Times New Roman" w:cs="Times New Roman" w:eastAsia="Times New Roman" w:hint="default"/>
          <w:spacing w:val="-1"/>
          <w:sz w:val="16"/>
          <w:szCs w:val="16"/>
        </w:rPr>
        <w:t>3,818,425.16</w:t>
        <w:tab/>
        <w:t>0.00</w:t>
        <w:tab/>
        <w:t>0.00</w:t>
        <w:tab/>
        <w:t>57,525.88</w:t>
        <w:tab/>
        <w:t>0.00</w:t>
        <w:tab/>
        <w:t>0.00</w:t>
        <w:tab/>
        <w:t>0.00</w:t>
        <w:tab/>
        <w:t>0.00</w:t>
        <w:tab/>
        <w:t>3,875,951.04</w:t>
        <w:tab/>
        <w:t>0.00</w:t>
      </w:r>
    </w:p>
    <w:p>
      <w:pPr>
        <w:tabs>
          <w:tab w:pos="3248" w:val="left" w:leader="none"/>
          <w:tab w:pos="4384" w:val="left" w:leader="none"/>
          <w:tab w:pos="6076" w:val="left" w:leader="none"/>
          <w:tab w:pos="6875" w:val="left" w:leader="none"/>
          <w:tab w:pos="8586" w:val="left" w:leader="none"/>
          <w:tab w:pos="9762" w:val="left" w:leader="none"/>
          <w:tab w:pos="11039" w:val="left" w:leader="none"/>
          <w:tab w:pos="13449" w:val="left" w:leader="none"/>
          <w:tab w:pos="14582" w:val="left" w:leader="none"/>
        </w:tabs>
        <w:spacing w:before="54"/>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北京朗视仪器有限公司</w:t>
        <w:tab/>
      </w:r>
      <w:r>
        <w:rPr>
          <w:rFonts w:ascii="Times New Roman" w:hAnsi="Times New Roman" w:cs="Times New Roman" w:eastAsia="Times New Roman" w:hint="default"/>
          <w:spacing w:val="-1"/>
          <w:sz w:val="16"/>
          <w:szCs w:val="16"/>
        </w:rPr>
        <w:t>3,606,182.78</w:t>
        <w:tab/>
        <w:t>8,063,169.33</w:t>
        <w:tab/>
        <w:t>0.00</w:t>
        <w:tab/>
        <w:t>-370,017.67</w:t>
        <w:tab/>
        <w:t>0.00</w:t>
        <w:tab/>
        <w:t>0.00</w:t>
        <w:tab/>
        <w:t>0.00</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spacing w:val="-1"/>
          <w:sz w:val="16"/>
          <w:szCs w:val="16"/>
        </w:rPr>
        <w:t>-11,299,334.44</w:t>
        <w:tab/>
        <w:t>0.00</w:t>
        <w:tab/>
        <w:t>0.00</w:t>
      </w:r>
    </w:p>
    <w:p>
      <w:pPr>
        <w:tabs>
          <w:tab w:pos="3248" w:val="left" w:leader="none"/>
          <w:tab w:pos="4943" w:val="left" w:leader="none"/>
          <w:tab w:pos="6076" w:val="left" w:leader="none"/>
          <w:tab w:pos="6956" w:val="left" w:leader="none"/>
          <w:tab w:pos="8586" w:val="left" w:leader="none"/>
          <w:tab w:pos="9762" w:val="left" w:leader="none"/>
          <w:tab w:pos="11039" w:val="left" w:leader="none"/>
          <w:tab w:pos="12175" w:val="left" w:leader="none"/>
          <w:tab w:pos="12890" w:val="left" w:leader="none"/>
          <w:tab w:pos="14582" w:val="left" w:leader="none"/>
        </w:tabs>
        <w:spacing w:line="222" w:lineRule="exact" w:before="51"/>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吉林同方科贸有限责任公司</w:t>
        <w:tab/>
      </w:r>
      <w:r>
        <w:rPr>
          <w:rFonts w:ascii="Times New Roman" w:hAnsi="Times New Roman" w:cs="Times New Roman" w:eastAsia="Times New Roman" w:hint="default"/>
          <w:spacing w:val="-1"/>
          <w:sz w:val="16"/>
          <w:szCs w:val="16"/>
        </w:rPr>
        <w:t>2,906,765.30</w:t>
        <w:tab/>
        <w:t>0.00</w:t>
        <w:tab/>
        <w:t>0.00</w:t>
        <w:tab/>
        <w:t>-73,697.26</w:t>
        <w:tab/>
        <w:t>0.00</w:t>
        <w:tab/>
        <w:t>0.00</w:t>
        <w:tab/>
        <w:t>0.00</w:t>
        <w:tab/>
        <w:t>0.00</w:t>
        <w:tab/>
        <w:t>2,833,068.04</w:t>
        <w:tab/>
        <w:t>0.00</w:t>
      </w:r>
    </w:p>
    <w:p>
      <w:pPr>
        <w:spacing w:line="197" w:lineRule="exact" w:before="0"/>
        <w:ind w:left="178" w:right="0" w:firstLine="0"/>
        <w:jc w:val="left"/>
        <w:rPr>
          <w:rFonts w:ascii="宋体" w:hAnsi="宋体" w:cs="宋体" w:eastAsia="宋体" w:hint="default"/>
          <w:sz w:val="16"/>
          <w:szCs w:val="16"/>
        </w:rPr>
      </w:pPr>
      <w:r>
        <w:rPr>
          <w:rFonts w:ascii="宋体" w:hAnsi="宋体" w:cs="宋体" w:eastAsia="宋体" w:hint="default"/>
          <w:spacing w:val="2"/>
          <w:sz w:val="16"/>
          <w:szCs w:val="16"/>
        </w:rPr>
        <w:t>东方欢旅科技有限公司（原北京同方</w:t>
      </w:r>
    </w:p>
    <w:p>
      <w:pPr>
        <w:tabs>
          <w:tab w:pos="3248" w:val="left" w:leader="none"/>
          <w:tab w:pos="4943" w:val="left" w:leader="none"/>
          <w:tab w:pos="6076" w:val="left" w:leader="none"/>
          <w:tab w:pos="6875" w:val="left" w:leader="none"/>
          <w:tab w:pos="8586" w:val="left" w:leader="none"/>
          <w:tab w:pos="9762" w:val="left" w:leader="none"/>
          <w:tab w:pos="11039" w:val="left" w:leader="none"/>
          <w:tab w:pos="11561" w:val="left" w:leader="none"/>
          <w:tab w:pos="13449" w:val="left" w:leader="none"/>
          <w:tab w:pos="14582" w:val="left" w:leader="none"/>
        </w:tabs>
        <w:spacing w:line="229" w:lineRule="exact" w:before="0"/>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易豪科技有限公司）</w:t>
        <w:tab/>
      </w:r>
      <w:r>
        <w:rPr>
          <w:rFonts w:ascii="Times New Roman" w:hAnsi="Times New Roman" w:cs="Times New Roman" w:eastAsia="Times New Roman" w:hint="default"/>
          <w:spacing w:val="-1"/>
          <w:sz w:val="16"/>
          <w:szCs w:val="16"/>
        </w:rPr>
        <w:t>2,852,167.54</w:t>
        <w:tab/>
        <w:t>0.00</w:t>
        <w:tab/>
        <w:t>0.00</w:t>
        <w:tab/>
        <w:t>-271,720.08</w:t>
        <w:tab/>
        <w:t>0.00</w:t>
        <w:tab/>
        <w:t>0.00</w:t>
        <w:tab/>
        <w:t>0.00</w:t>
        <w:tab/>
        <w:t>-2,580,447.46</w:t>
        <w:tab/>
        <w:t>0.00</w:t>
        <w:tab/>
        <w:t>0.00</w:t>
      </w:r>
    </w:p>
    <w:p>
      <w:pPr>
        <w:tabs>
          <w:tab w:pos="3248" w:val="left" w:leader="none"/>
          <w:tab w:pos="4943" w:val="left" w:leader="none"/>
          <w:tab w:pos="6076" w:val="left" w:leader="none"/>
          <w:tab w:pos="7369" w:val="left" w:leader="none"/>
          <w:tab w:pos="8586" w:val="left" w:leader="none"/>
          <w:tab w:pos="9762" w:val="left" w:leader="none"/>
          <w:tab w:pos="11039" w:val="left" w:leader="none"/>
          <w:tab w:pos="12175" w:val="left" w:leader="none"/>
          <w:tab w:pos="12890" w:val="left" w:leader="none"/>
          <w:tab w:pos="14582" w:val="left" w:leader="none"/>
        </w:tabs>
        <w:spacing w:before="54"/>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滨州广电同方数字电视有限公司</w:t>
        <w:tab/>
      </w:r>
      <w:r>
        <w:rPr>
          <w:rFonts w:ascii="Times New Roman" w:hAnsi="Times New Roman" w:cs="Times New Roman" w:eastAsia="Times New Roman" w:hint="default"/>
          <w:spacing w:val="-1"/>
          <w:sz w:val="16"/>
          <w:szCs w:val="16"/>
        </w:rPr>
        <w:t>1,840,000.00</w:t>
        <w:tab/>
        <w:t>0.00</w:t>
        <w:tab/>
        <w:t>0.00</w:t>
        <w:tab/>
        <w:t>0.00</w:t>
        <w:tab/>
        <w:t>0.00</w:t>
        <w:tab/>
        <w:t>0.00</w:t>
        <w:tab/>
        <w:t>0.00</w:t>
        <w:tab/>
        <w:t>0.00</w:t>
        <w:tab/>
        <w:t>1,840,000.00</w:t>
        <w:tab/>
        <w:t>0.00</w:t>
      </w:r>
    </w:p>
    <w:p>
      <w:pPr>
        <w:tabs>
          <w:tab w:pos="3248" w:val="left" w:leader="none"/>
          <w:tab w:pos="4943" w:val="left" w:leader="none"/>
          <w:tab w:pos="6076" w:val="left" w:leader="none"/>
          <w:tab w:pos="6755" w:val="left" w:leader="none"/>
          <w:tab w:pos="8586" w:val="left" w:leader="none"/>
          <w:tab w:pos="9203" w:val="left" w:leader="none"/>
          <w:tab w:pos="11039" w:val="left" w:leader="none"/>
          <w:tab w:pos="12175" w:val="left" w:leader="none"/>
          <w:tab w:pos="12890" w:val="left" w:leader="none"/>
          <w:tab w:pos="14582" w:val="left" w:leader="none"/>
        </w:tabs>
        <w:spacing w:before="54"/>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3"/>
          <w:position w:val="1"/>
          <w:sz w:val="16"/>
          <w:szCs w:val="16"/>
        </w:rPr>
        <w:t>同方（深圳）云计算技术股份有限公司</w:t>
        <w:tab/>
      </w:r>
      <w:r>
        <w:rPr>
          <w:rFonts w:ascii="Times New Roman" w:hAnsi="Times New Roman" w:cs="Times New Roman" w:eastAsia="Times New Roman" w:hint="default"/>
          <w:spacing w:val="-1"/>
          <w:sz w:val="16"/>
          <w:szCs w:val="16"/>
        </w:rPr>
        <w:t>1,537,188.33</w:t>
        <w:tab/>
        <w:t>0.00</w:t>
        <w:tab/>
        <w:t>0.00</w:t>
        <w:tab/>
        <w:t>-7,206,712.85</w:t>
        <w:tab/>
        <w:t>0.00</w:t>
        <w:tab/>
        <w:t>6,793,713.57</w:t>
        <w:tab/>
        <w:t>0.00</w:t>
        <w:tab/>
        <w:t>0.00</w:t>
        <w:tab/>
        <w:t>1,124,189.05</w:t>
        <w:tab/>
        <w:t>0.00</w:t>
      </w:r>
    </w:p>
    <w:p>
      <w:pPr>
        <w:tabs>
          <w:tab w:pos="3248" w:val="left" w:leader="none"/>
          <w:tab w:pos="4943" w:val="left" w:leader="none"/>
          <w:tab w:pos="6076" w:val="left" w:leader="none"/>
          <w:tab w:pos="7369" w:val="left" w:leader="none"/>
          <w:tab w:pos="8586" w:val="left" w:leader="none"/>
          <w:tab w:pos="9762" w:val="left" w:leader="none"/>
          <w:tab w:pos="11039" w:val="left" w:leader="none"/>
          <w:tab w:pos="12175" w:val="left" w:leader="none"/>
          <w:tab w:pos="12890" w:val="left" w:leader="none"/>
          <w:tab w:pos="14023" w:val="left" w:leader="none"/>
        </w:tabs>
        <w:spacing w:before="61"/>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sz w:val="16"/>
          <w:szCs w:val="16"/>
        </w:rPr>
        <w:t>九江佳华压电晶体材料有限公司</w:t>
        <w:tab/>
      </w:r>
      <w:r>
        <w:rPr>
          <w:rFonts w:ascii="Times New Roman" w:hAnsi="Times New Roman" w:cs="Times New Roman" w:eastAsia="Times New Roman" w:hint="default"/>
          <w:spacing w:val="-1"/>
          <w:sz w:val="16"/>
          <w:szCs w:val="16"/>
        </w:rPr>
        <w:t>1,473,934.90</w:t>
        <w:tab/>
        <w:t>0.00</w:t>
        <w:tab/>
        <w:t>0.00</w:t>
        <w:tab/>
        <w:t>0.00</w:t>
        <w:tab/>
        <w:t>0.00</w:t>
        <w:tab/>
        <w:t>0.00</w:t>
        <w:tab/>
        <w:t>0.00</w:t>
        <w:tab/>
        <w:t>0.00</w:t>
        <w:tab/>
        <w:t>1,473,934.90</w:t>
        <w:tab/>
        <w:t>1,473,934.90</w:t>
      </w:r>
    </w:p>
    <w:p>
      <w:pPr>
        <w:tabs>
          <w:tab w:pos="3248" w:val="left" w:leader="none"/>
          <w:tab w:pos="4943" w:val="left" w:leader="none"/>
          <w:tab w:pos="6076" w:val="left" w:leader="none"/>
          <w:tab w:pos="6956" w:val="left" w:leader="none"/>
          <w:tab w:pos="8586" w:val="left" w:leader="none"/>
          <w:tab w:pos="9762" w:val="left" w:leader="none"/>
          <w:tab w:pos="11039" w:val="left" w:leader="none"/>
          <w:tab w:pos="12175" w:val="left" w:leader="none"/>
          <w:tab w:pos="13010" w:val="left" w:leader="none"/>
          <w:tab w:pos="14582" w:val="left" w:leader="none"/>
        </w:tabs>
        <w:spacing w:before="54"/>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湖北银雨照明有限公司</w:t>
        <w:tab/>
      </w:r>
      <w:r>
        <w:rPr>
          <w:rFonts w:ascii="Times New Roman" w:hAnsi="Times New Roman" w:cs="Times New Roman" w:eastAsia="Times New Roman" w:hint="default"/>
          <w:spacing w:val="-1"/>
          <w:sz w:val="16"/>
          <w:szCs w:val="16"/>
        </w:rPr>
        <w:t>1,000,000.00</w:t>
        <w:tab/>
        <w:t>0.00</w:t>
        <w:tab/>
        <w:t>0.00</w:t>
        <w:tab/>
        <w:t>-98,911.03</w:t>
        <w:tab/>
        <w:t>0.00</w:t>
        <w:tab/>
        <w:t>0.00</w:t>
        <w:tab/>
        <w:t>0.00</w:t>
        <w:tab/>
        <w:t>0.00</w:t>
        <w:tab/>
        <w:t>901,088.97</w:t>
        <w:tab/>
        <w:t>0.00</w:t>
      </w:r>
    </w:p>
    <w:p>
      <w:pPr>
        <w:tabs>
          <w:tab w:pos="3368" w:val="left" w:leader="none"/>
          <w:tab w:pos="4943" w:val="left" w:leader="none"/>
          <w:tab w:pos="6076" w:val="left" w:leader="none"/>
          <w:tab w:pos="6875" w:val="left" w:leader="none"/>
          <w:tab w:pos="8586" w:val="left" w:leader="none"/>
          <w:tab w:pos="9762" w:val="left" w:leader="none"/>
          <w:tab w:pos="11039" w:val="left" w:leader="none"/>
          <w:tab w:pos="12175" w:val="left" w:leader="none"/>
          <w:tab w:pos="13010" w:val="left" w:leader="none"/>
          <w:tab w:pos="14582" w:val="left" w:leader="none"/>
        </w:tabs>
        <w:spacing w:before="54"/>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重庆同方合志科技有限公司</w:t>
        <w:tab/>
      </w:r>
      <w:r>
        <w:rPr>
          <w:rFonts w:ascii="Times New Roman" w:hAnsi="Times New Roman" w:cs="Times New Roman" w:eastAsia="Times New Roman" w:hint="default"/>
          <w:spacing w:val="-1"/>
          <w:sz w:val="16"/>
          <w:szCs w:val="16"/>
        </w:rPr>
        <w:t>993,091.12</w:t>
        <w:tab/>
        <w:t>0.00</w:t>
        <w:tab/>
        <w:t>0.00</w:t>
        <w:tab/>
        <w:t>-313,021.95</w:t>
        <w:tab/>
        <w:t>0.00</w:t>
        <w:tab/>
        <w:t>0.00</w:t>
        <w:tab/>
        <w:t>0.00</w:t>
        <w:tab/>
        <w:t>0.00</w:t>
        <w:tab/>
        <w:t>680,069.17</w:t>
        <w:tab/>
        <w:t>0.00</w:t>
      </w:r>
    </w:p>
    <w:p>
      <w:pPr>
        <w:tabs>
          <w:tab w:pos="3368" w:val="left" w:leader="none"/>
          <w:tab w:pos="4943" w:val="left" w:leader="none"/>
          <w:tab w:pos="6076" w:val="left" w:leader="none"/>
          <w:tab w:pos="7369" w:val="left" w:leader="none"/>
          <w:tab w:pos="8586" w:val="left" w:leader="none"/>
          <w:tab w:pos="9762" w:val="left" w:leader="none"/>
          <w:tab w:pos="11039" w:val="left" w:leader="none"/>
          <w:tab w:pos="12175" w:val="left" w:leader="none"/>
          <w:tab w:pos="13010" w:val="left" w:leader="none"/>
          <w:tab w:pos="14582" w:val="left" w:leader="none"/>
        </w:tabs>
        <w:spacing w:before="54"/>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真明丽（北京）光电科技研究院</w:t>
        <w:tab/>
      </w:r>
      <w:r>
        <w:rPr>
          <w:rFonts w:ascii="Times New Roman" w:hAnsi="Times New Roman" w:cs="Times New Roman" w:eastAsia="Times New Roman" w:hint="default"/>
          <w:spacing w:val="-1"/>
          <w:sz w:val="16"/>
          <w:szCs w:val="16"/>
        </w:rPr>
        <w:t>419,360.22</w:t>
        <w:tab/>
        <w:t>0.00</w:t>
        <w:tab/>
        <w:t>0.00</w:t>
        <w:tab/>
        <w:t>0.00</w:t>
        <w:tab/>
        <w:t>0.00</w:t>
        <w:tab/>
        <w:t>0.00</w:t>
        <w:tab/>
        <w:t>0.00</w:t>
        <w:tab/>
        <w:t>0.00</w:t>
        <w:tab/>
        <w:t>419,360.22</w:t>
        <w:tab/>
        <w:t>0.00</w:t>
      </w:r>
    </w:p>
    <w:p>
      <w:pPr>
        <w:tabs>
          <w:tab w:pos="3368" w:val="left" w:leader="none"/>
          <w:tab w:pos="4943" w:val="left" w:leader="none"/>
          <w:tab w:pos="6076" w:val="left" w:leader="none"/>
          <w:tab w:pos="6875" w:val="left" w:leader="none"/>
          <w:tab w:pos="8586" w:val="left" w:leader="none"/>
          <w:tab w:pos="9762" w:val="left" w:leader="none"/>
          <w:tab w:pos="11039" w:val="left" w:leader="none"/>
          <w:tab w:pos="12175" w:val="left" w:leader="none"/>
          <w:tab w:pos="13449" w:val="left" w:leader="none"/>
          <w:tab w:pos="14582" w:val="left" w:leader="none"/>
        </w:tabs>
        <w:spacing w:before="61"/>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sz w:val="16"/>
          <w:szCs w:val="16"/>
        </w:rPr>
        <w:t>广州同艺照明有限公司</w:t>
        <w:tab/>
      </w:r>
      <w:r>
        <w:rPr>
          <w:rFonts w:ascii="Times New Roman" w:hAnsi="Times New Roman" w:cs="Times New Roman" w:eastAsia="Times New Roman" w:hint="default"/>
          <w:spacing w:val="-1"/>
          <w:sz w:val="16"/>
          <w:szCs w:val="16"/>
        </w:rPr>
        <w:t>275,017.61</w:t>
        <w:tab/>
        <w:t>0.00</w:t>
        <w:tab/>
        <w:t>0.00</w:t>
        <w:tab/>
        <w:t>-275,017.61</w:t>
        <w:tab/>
        <w:t>0.00</w:t>
        <w:tab/>
        <w:t>0.00</w:t>
        <w:tab/>
        <w:t>0.00</w:t>
        <w:tab/>
        <w:t>0.00</w:t>
        <w:tab/>
        <w:t>0.00</w:t>
        <w:tab/>
        <w:t>0.00</w:t>
      </w:r>
    </w:p>
    <w:p>
      <w:pPr>
        <w:tabs>
          <w:tab w:pos="3368" w:val="left" w:leader="none"/>
          <w:tab w:pos="4943" w:val="left" w:leader="none"/>
          <w:tab w:pos="6076" w:val="left" w:leader="none"/>
          <w:tab w:pos="7369" w:val="left" w:leader="none"/>
          <w:tab w:pos="8586" w:val="left" w:leader="none"/>
          <w:tab w:pos="9762" w:val="left" w:leader="none"/>
          <w:tab w:pos="11039" w:val="left" w:leader="none"/>
          <w:tab w:pos="12175" w:val="left" w:leader="none"/>
          <w:tab w:pos="13010" w:val="left" w:leader="none"/>
          <w:tab w:pos="14143" w:val="left" w:leader="none"/>
        </w:tabs>
        <w:spacing w:before="101"/>
        <w:ind w:left="178" w:right="0" w:firstLine="0"/>
        <w:jc w:val="left"/>
        <w:rPr>
          <w:rFonts w:ascii="Times New Roman" w:hAnsi="Times New Roman" w:cs="Times New Roman" w:eastAsia="Times New Roman" w:hint="default"/>
          <w:sz w:val="16"/>
          <w:szCs w:val="16"/>
        </w:rPr>
      </w:pPr>
      <w:r>
        <w:rPr>
          <w:rFonts w:ascii="Times New Roman"/>
          <w:spacing w:val="-1"/>
          <w:sz w:val="16"/>
        </w:rPr>
        <w:t>Technovator</w:t>
      </w:r>
      <w:r>
        <w:rPr>
          <w:rFonts w:ascii="Times New Roman"/>
          <w:spacing w:val="6"/>
          <w:sz w:val="16"/>
        </w:rPr>
        <w:t> </w:t>
      </w:r>
      <w:r>
        <w:rPr>
          <w:rFonts w:ascii="Times New Roman"/>
          <w:spacing w:val="-1"/>
          <w:sz w:val="16"/>
        </w:rPr>
        <w:t>Qatar</w:t>
        <w:tab/>
        <w:t>184,361.40</w:t>
        <w:tab/>
        <w:t>0.00</w:t>
        <w:tab/>
        <w:t>0.00</w:t>
        <w:tab/>
        <w:t>0.00</w:t>
        <w:tab/>
        <w:t>0.00</w:t>
        <w:tab/>
        <w:t>0.00</w:t>
        <w:tab/>
        <w:t>0.00</w:t>
        <w:tab/>
        <w:t>0.00</w:t>
        <w:tab/>
        <w:t>184,361.40</w:t>
        <w:tab/>
        <w:t>184,361.40</w:t>
      </w:r>
    </w:p>
    <w:p>
      <w:pPr>
        <w:spacing w:line="183" w:lineRule="exact" w:before="1"/>
        <w:ind w:left="178" w:right="0" w:firstLine="0"/>
        <w:jc w:val="left"/>
        <w:rPr>
          <w:rFonts w:ascii="Times New Roman" w:hAnsi="Times New Roman" w:cs="Times New Roman" w:eastAsia="Times New Roman" w:hint="default"/>
          <w:sz w:val="16"/>
          <w:szCs w:val="16"/>
        </w:rPr>
      </w:pPr>
      <w:r>
        <w:rPr>
          <w:rFonts w:ascii="Times New Roman"/>
          <w:sz w:val="16"/>
        </w:rPr>
        <w:t>LimePC  Multimedia  Technologies</w:t>
      </w:r>
      <w:r>
        <w:rPr>
          <w:rFonts w:ascii="Times New Roman"/>
          <w:spacing w:val="9"/>
          <w:sz w:val="16"/>
        </w:rPr>
        <w:t> </w:t>
      </w:r>
      <w:r>
        <w:rPr>
          <w:rFonts w:ascii="Times New Roman"/>
          <w:sz w:val="16"/>
        </w:rPr>
        <w:t>Co.,</w:t>
      </w:r>
    </w:p>
    <w:p>
      <w:pPr>
        <w:tabs>
          <w:tab w:pos="3368" w:val="left" w:leader="none"/>
          <w:tab w:pos="4943" w:val="left" w:leader="none"/>
          <w:tab w:pos="6076" w:val="left" w:leader="none"/>
          <w:tab w:pos="6810" w:val="left" w:leader="none"/>
          <w:tab w:pos="8586" w:val="left" w:leader="none"/>
          <w:tab w:pos="9762" w:val="left" w:leader="none"/>
          <w:tab w:pos="11039" w:val="left" w:leader="none"/>
          <w:tab w:pos="11815" w:val="left" w:leader="none"/>
          <w:tab w:pos="12890" w:val="left" w:leader="none"/>
          <w:tab w:pos="14582" w:val="left" w:leader="none"/>
        </w:tabs>
        <w:spacing w:line="183" w:lineRule="exact" w:before="0"/>
        <w:ind w:left="178" w:right="0" w:firstLine="0"/>
        <w:jc w:val="left"/>
        <w:rPr>
          <w:rFonts w:ascii="Times New Roman" w:hAnsi="Times New Roman" w:cs="Times New Roman" w:eastAsia="Times New Roman" w:hint="default"/>
          <w:sz w:val="16"/>
          <w:szCs w:val="16"/>
        </w:rPr>
      </w:pPr>
      <w:r>
        <w:rPr>
          <w:rFonts w:ascii="Times New Roman"/>
          <w:spacing w:val="-1"/>
          <w:sz w:val="16"/>
        </w:rPr>
        <w:t>Limited</w:t>
        <w:tab/>
        <w:t>105,887.73</w:t>
        <w:tab/>
        <w:t>0.00</w:t>
        <w:tab/>
        <w:t>0.00</w:t>
        <w:tab/>
        <w:t>2,139,503.91</w:t>
        <w:tab/>
        <w:t>0.00</w:t>
        <w:tab/>
        <w:t>0.00</w:t>
        <w:tab/>
        <w:t>0.00</w:t>
        <w:tab/>
        <w:t>67,350.75</w:t>
        <w:tab/>
        <w:t>2,312,742.39</w:t>
        <w:tab/>
        <w:t>0.00</w:t>
      </w:r>
    </w:p>
    <w:p>
      <w:pPr>
        <w:tabs>
          <w:tab w:pos="3447" w:val="left" w:leader="none"/>
          <w:tab w:pos="4943" w:val="left" w:leader="none"/>
          <w:tab w:pos="6076" w:val="left" w:leader="none"/>
          <w:tab w:pos="7369" w:val="left" w:leader="none"/>
          <w:tab w:pos="8586" w:val="left" w:leader="none"/>
          <w:tab w:pos="9762" w:val="left" w:leader="none"/>
          <w:tab w:pos="11039" w:val="left" w:leader="none"/>
          <w:tab w:pos="12175" w:val="left" w:leader="none"/>
          <w:tab w:pos="13089" w:val="left" w:leader="none"/>
          <w:tab w:pos="14582" w:val="left" w:leader="none"/>
        </w:tabs>
        <w:spacing w:before="54"/>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江门市真明丽教育投资管理有限公司</w:t>
        <w:tab/>
      </w:r>
      <w:r>
        <w:rPr>
          <w:rFonts w:ascii="Times New Roman" w:hAnsi="Times New Roman" w:cs="Times New Roman" w:eastAsia="Times New Roman" w:hint="default"/>
          <w:spacing w:val="-1"/>
          <w:sz w:val="16"/>
          <w:szCs w:val="16"/>
        </w:rPr>
        <w:t>24,619.33</w:t>
        <w:tab/>
        <w:t>0.00</w:t>
        <w:tab/>
        <w:t>0.00</w:t>
        <w:tab/>
        <w:t>0.00</w:t>
        <w:tab/>
        <w:t>0.00</w:t>
        <w:tab/>
        <w:t>0.00</w:t>
        <w:tab/>
        <w:t>0.00</w:t>
        <w:tab/>
        <w:t>0.00</w:t>
        <w:tab/>
        <w:t>24,619.33</w:t>
        <w:tab/>
        <w:t>0.00</w:t>
      </w:r>
    </w:p>
    <w:p>
      <w:pPr>
        <w:tabs>
          <w:tab w:pos="3807" w:val="left" w:leader="none"/>
          <w:tab w:pos="4302" w:val="left" w:leader="none"/>
          <w:tab w:pos="6076" w:val="left" w:leader="none"/>
          <w:tab w:pos="6810" w:val="left" w:leader="none"/>
          <w:tab w:pos="8306" w:val="left" w:leader="none"/>
          <w:tab w:pos="9762" w:val="left" w:leader="none"/>
          <w:tab w:pos="10480" w:val="left" w:leader="none"/>
          <w:tab w:pos="12175" w:val="left" w:leader="none"/>
          <w:tab w:pos="12809" w:val="left" w:leader="none"/>
          <w:tab w:pos="14582" w:val="left" w:leader="none"/>
        </w:tabs>
        <w:spacing w:before="54"/>
        <w:ind w:left="178" w:right="0" w:firstLine="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同方鼎欣科技股份有限公司</w:t>
        <w:tab/>
      </w:r>
      <w:r>
        <w:rPr>
          <w:rFonts w:ascii="Times New Roman" w:hAnsi="Times New Roman" w:cs="Times New Roman" w:eastAsia="Times New Roman" w:hint="default"/>
          <w:spacing w:val="-1"/>
          <w:sz w:val="16"/>
          <w:szCs w:val="16"/>
        </w:rPr>
        <w:t>0.00</w:t>
        <w:tab/>
      </w:r>
      <w:r>
        <w:rPr>
          <w:rFonts w:ascii="Times New Roman" w:hAnsi="Times New Roman" w:cs="Times New Roman" w:eastAsia="Times New Roman" w:hint="default"/>
          <w:spacing w:val="-2"/>
          <w:sz w:val="16"/>
          <w:szCs w:val="16"/>
        </w:rPr>
        <w:t>47,701,766.67</w:t>
        <w:tab/>
      </w:r>
      <w:r>
        <w:rPr>
          <w:rFonts w:ascii="Times New Roman" w:hAnsi="Times New Roman" w:cs="Times New Roman" w:eastAsia="Times New Roman" w:hint="default"/>
          <w:spacing w:val="-1"/>
          <w:sz w:val="16"/>
          <w:szCs w:val="16"/>
        </w:rPr>
        <w:t>0.00</w:t>
        <w:tab/>
        <w:t>2,255,486.67</w:t>
        <w:tab/>
        <w:t>4,578.38</w:t>
        <w:tab/>
        <w:t>0.00</w:t>
        <w:tab/>
        <w:t>2,364,000.00</w:t>
        <w:tab/>
        <w:t>0.00</w:t>
        <w:tab/>
      </w:r>
      <w:r>
        <w:rPr>
          <w:rFonts w:ascii="Times New Roman" w:hAnsi="Times New Roman" w:cs="Times New Roman" w:eastAsia="Times New Roman" w:hint="default"/>
          <w:spacing w:val="-2"/>
          <w:sz w:val="16"/>
          <w:szCs w:val="16"/>
        </w:rPr>
        <w:t>47,597,831.72</w:t>
        <w:tab/>
      </w:r>
      <w:r>
        <w:rPr>
          <w:rFonts w:ascii="Times New Roman" w:hAnsi="Times New Roman" w:cs="Times New Roman" w:eastAsia="Times New Roman" w:hint="default"/>
          <w:spacing w:val="-1"/>
          <w:sz w:val="16"/>
          <w:szCs w:val="16"/>
        </w:rPr>
        <w:t>0.00</w:t>
      </w:r>
    </w:p>
    <w:p>
      <w:pPr>
        <w:spacing w:after="0"/>
        <w:jc w:val="left"/>
        <w:rPr>
          <w:rFonts w:ascii="Times New Roman" w:hAnsi="Times New Roman" w:cs="Times New Roman" w:eastAsia="Times New Roman" w:hint="default"/>
          <w:sz w:val="16"/>
          <w:szCs w:val="16"/>
        </w:rPr>
        <w:sectPr>
          <w:type w:val="continuous"/>
          <w:pgSz w:w="16840" w:h="11910" w:orient="landscape"/>
          <w:pgMar w:top="1020" w:bottom="280" w:left="1240" w:right="540"/>
        </w:sectPr>
      </w:pPr>
    </w:p>
    <w:p>
      <w:pPr>
        <w:tabs>
          <w:tab w:pos="3185" w:val="left" w:leader="none"/>
        </w:tabs>
        <w:spacing w:before="54"/>
        <w:ind w:left="1095" w:right="-19" w:firstLine="0"/>
        <w:jc w:val="left"/>
        <w:rPr>
          <w:rFonts w:ascii="宋体" w:hAnsi="宋体" w:cs="宋体" w:eastAsia="宋体" w:hint="default"/>
          <w:sz w:val="16"/>
          <w:szCs w:val="16"/>
        </w:rPr>
      </w:pPr>
      <w:r>
        <w:rPr>
          <w:rFonts w:ascii="宋体" w:hAnsi="宋体" w:cs="宋体" w:eastAsia="宋体" w:hint="default"/>
          <w:b/>
          <w:bCs/>
          <w:sz w:val="16"/>
          <w:szCs w:val="16"/>
        </w:rPr>
        <w:t>被投资单位</w:t>
        <w:tab/>
        <w:t>年初余额</w:t>
      </w:r>
      <w:r>
        <w:rPr>
          <w:rFonts w:ascii="宋体" w:hAnsi="宋体" w:cs="宋体" w:eastAsia="宋体" w:hint="default"/>
          <w:sz w:val="16"/>
          <w:szCs w:val="16"/>
        </w:rPr>
      </w:r>
    </w:p>
    <w:p>
      <w:pPr>
        <w:tabs>
          <w:tab w:pos="1654" w:val="left" w:leader="none"/>
          <w:tab w:pos="2629" w:val="left" w:leader="none"/>
        </w:tabs>
        <w:spacing w:line="257" w:lineRule="exact" w:before="101"/>
        <w:ind w:left="522" w:right="-19" w:firstLine="0"/>
        <w:jc w:val="left"/>
        <w:rPr>
          <w:rFonts w:ascii="宋体" w:hAnsi="宋体" w:cs="宋体" w:eastAsia="宋体" w:hint="default"/>
          <w:sz w:val="16"/>
          <w:szCs w:val="16"/>
        </w:rPr>
      </w:pPr>
      <w:r>
        <w:rPr/>
        <w:br w:type="column"/>
      </w:r>
      <w:r>
        <w:rPr>
          <w:rFonts w:ascii="宋体" w:hAnsi="宋体" w:cs="宋体" w:eastAsia="宋体" w:hint="default"/>
          <w:b/>
          <w:bCs/>
          <w:sz w:val="16"/>
          <w:szCs w:val="16"/>
        </w:rPr>
        <w:t>追加投资</w:t>
        <w:tab/>
        <w:t>减少投资</w:t>
        <w:tab/>
      </w:r>
      <w:r>
        <w:rPr>
          <w:rFonts w:ascii="宋体" w:hAnsi="宋体" w:cs="宋体" w:eastAsia="宋体" w:hint="default"/>
          <w:b/>
          <w:bCs/>
          <w:position w:val="10"/>
          <w:sz w:val="16"/>
          <w:szCs w:val="16"/>
        </w:rPr>
        <w:t>权益法下确认的</w:t>
      </w:r>
      <w:r>
        <w:rPr>
          <w:rFonts w:ascii="宋体" w:hAnsi="宋体" w:cs="宋体" w:eastAsia="宋体" w:hint="default"/>
          <w:sz w:val="16"/>
          <w:szCs w:val="16"/>
        </w:rPr>
      </w:r>
    </w:p>
    <w:p>
      <w:pPr>
        <w:spacing w:line="157" w:lineRule="exact" w:before="0"/>
        <w:ind w:left="0" w:right="240" w:firstLine="0"/>
        <w:jc w:val="right"/>
        <w:rPr>
          <w:rFonts w:ascii="宋体" w:hAnsi="宋体" w:cs="宋体" w:eastAsia="宋体" w:hint="default"/>
          <w:sz w:val="16"/>
          <w:szCs w:val="16"/>
        </w:rPr>
      </w:pPr>
      <w:r>
        <w:rPr>
          <w:rFonts w:ascii="宋体" w:hAnsi="宋体" w:cs="宋体" w:eastAsia="宋体" w:hint="default"/>
          <w:b/>
          <w:bCs/>
          <w:sz w:val="16"/>
          <w:szCs w:val="16"/>
        </w:rPr>
        <w:t>投资损益</w:t>
      </w:r>
      <w:r>
        <w:rPr>
          <w:rFonts w:ascii="宋体" w:hAnsi="宋体" w:cs="宋体" w:eastAsia="宋体" w:hint="default"/>
          <w:sz w:val="16"/>
          <w:szCs w:val="16"/>
        </w:rPr>
      </w:r>
    </w:p>
    <w:p>
      <w:pPr>
        <w:spacing w:line="156" w:lineRule="exact" w:before="97"/>
        <w:ind w:left="168" w:right="-19" w:firstLine="0"/>
        <w:jc w:val="left"/>
        <w:rPr>
          <w:rFonts w:ascii="宋体" w:hAnsi="宋体" w:cs="宋体" w:eastAsia="宋体" w:hint="default"/>
          <w:sz w:val="16"/>
          <w:szCs w:val="16"/>
        </w:rPr>
      </w:pPr>
      <w:r>
        <w:rPr/>
        <w:br w:type="column"/>
      </w:r>
      <w:r>
        <w:rPr>
          <w:rFonts w:ascii="宋体" w:hAnsi="宋体" w:cs="宋体" w:eastAsia="宋体" w:hint="default"/>
          <w:b/>
          <w:bCs/>
          <w:sz w:val="16"/>
          <w:szCs w:val="16"/>
        </w:rPr>
        <w:t>其他综合收益</w:t>
      </w:r>
      <w:r>
        <w:rPr>
          <w:rFonts w:ascii="宋体" w:hAnsi="宋体" w:cs="宋体" w:eastAsia="宋体" w:hint="default"/>
          <w:sz w:val="16"/>
          <w:szCs w:val="16"/>
        </w:rPr>
      </w:r>
    </w:p>
    <w:p>
      <w:pPr>
        <w:tabs>
          <w:tab w:pos="1366" w:val="left" w:leader="none"/>
        </w:tabs>
        <w:spacing w:line="266" w:lineRule="exact" w:before="0"/>
        <w:ind w:left="490" w:right="-19" w:firstLine="0"/>
        <w:jc w:val="left"/>
        <w:rPr>
          <w:rFonts w:ascii="宋体" w:hAnsi="宋体" w:cs="宋体" w:eastAsia="宋体" w:hint="default"/>
          <w:sz w:val="16"/>
          <w:szCs w:val="16"/>
        </w:rPr>
      </w:pPr>
      <w:r>
        <w:rPr>
          <w:rFonts w:ascii="宋体" w:hAnsi="宋体" w:cs="宋体" w:eastAsia="宋体" w:hint="default"/>
          <w:b/>
          <w:bCs/>
          <w:position w:val="-10"/>
          <w:sz w:val="16"/>
          <w:szCs w:val="16"/>
        </w:rPr>
        <w:t>调整</w:t>
        <w:tab/>
      </w:r>
      <w:r>
        <w:rPr>
          <w:rFonts w:ascii="宋体" w:hAnsi="宋体" w:cs="宋体" w:eastAsia="宋体" w:hint="default"/>
          <w:b/>
          <w:bCs/>
          <w:sz w:val="16"/>
          <w:szCs w:val="16"/>
        </w:rPr>
        <w:t>其他权益变动</w:t>
      </w:r>
      <w:r>
        <w:rPr>
          <w:rFonts w:ascii="宋体" w:hAnsi="宋体" w:cs="宋体" w:eastAsia="宋体" w:hint="default"/>
          <w:sz w:val="16"/>
          <w:szCs w:val="16"/>
        </w:rPr>
      </w:r>
    </w:p>
    <w:p>
      <w:pPr>
        <w:spacing w:line="154" w:lineRule="exact" w:before="97"/>
        <w:ind w:left="139" w:right="-20" w:firstLine="0"/>
        <w:jc w:val="left"/>
        <w:rPr>
          <w:rFonts w:ascii="宋体" w:hAnsi="宋体" w:cs="宋体" w:eastAsia="宋体" w:hint="default"/>
          <w:sz w:val="16"/>
          <w:szCs w:val="16"/>
        </w:rPr>
      </w:pPr>
      <w:r>
        <w:rPr/>
        <w:br w:type="column"/>
      </w:r>
      <w:r>
        <w:rPr>
          <w:rFonts w:ascii="宋体" w:hAnsi="宋体" w:cs="宋体" w:eastAsia="宋体" w:hint="default"/>
          <w:b/>
          <w:bCs/>
          <w:sz w:val="16"/>
          <w:szCs w:val="16"/>
        </w:rPr>
        <w:t>宣告发放现金股</w:t>
      </w:r>
      <w:r>
        <w:rPr>
          <w:rFonts w:ascii="宋体" w:hAnsi="宋体" w:cs="宋体" w:eastAsia="宋体" w:hint="default"/>
          <w:sz w:val="16"/>
          <w:szCs w:val="16"/>
        </w:rPr>
      </w:r>
    </w:p>
    <w:p>
      <w:pPr>
        <w:tabs>
          <w:tab w:pos="1748" w:val="left" w:leader="none"/>
        </w:tabs>
        <w:spacing w:line="264" w:lineRule="exact" w:before="0"/>
        <w:ind w:left="382" w:right="-20" w:firstLine="0"/>
        <w:jc w:val="left"/>
        <w:rPr>
          <w:rFonts w:ascii="宋体" w:hAnsi="宋体" w:cs="宋体" w:eastAsia="宋体" w:hint="default"/>
          <w:sz w:val="16"/>
          <w:szCs w:val="16"/>
        </w:rPr>
      </w:pPr>
      <w:r>
        <w:rPr>
          <w:rFonts w:ascii="宋体" w:hAnsi="宋体" w:cs="宋体" w:eastAsia="宋体" w:hint="default"/>
          <w:b/>
          <w:bCs/>
          <w:sz w:val="16"/>
          <w:szCs w:val="16"/>
        </w:rPr>
        <w:t>利或利润</w:t>
        <w:tab/>
      </w:r>
      <w:r>
        <w:rPr>
          <w:rFonts w:ascii="宋体" w:hAnsi="宋体" w:cs="宋体" w:eastAsia="宋体" w:hint="default"/>
          <w:b/>
          <w:bCs/>
          <w:position w:val="11"/>
          <w:sz w:val="16"/>
          <w:szCs w:val="16"/>
        </w:rPr>
        <w:t>其他</w:t>
      </w:r>
      <w:r>
        <w:rPr>
          <w:rFonts w:ascii="宋体" w:hAnsi="宋体" w:cs="宋体" w:eastAsia="宋体" w:hint="default"/>
          <w:sz w:val="16"/>
          <w:szCs w:val="16"/>
        </w:rPr>
      </w:r>
    </w:p>
    <w:p>
      <w:pPr>
        <w:tabs>
          <w:tab w:pos="1723" w:val="left" w:leader="none"/>
        </w:tabs>
        <w:spacing w:line="209" w:lineRule="exact" w:before="0"/>
        <w:ind w:left="682" w:right="0" w:firstLine="0"/>
        <w:jc w:val="left"/>
        <w:rPr>
          <w:rFonts w:ascii="宋体" w:hAnsi="宋体" w:cs="宋体" w:eastAsia="宋体" w:hint="default"/>
          <w:sz w:val="16"/>
          <w:szCs w:val="16"/>
        </w:rPr>
      </w:pPr>
      <w:r>
        <w:rPr/>
        <w:br w:type="column"/>
      </w:r>
      <w:r>
        <w:rPr>
          <w:rFonts w:ascii="宋体" w:hAnsi="宋体" w:cs="宋体" w:eastAsia="宋体" w:hint="default"/>
          <w:b/>
          <w:bCs/>
          <w:position w:val="-9"/>
          <w:sz w:val="16"/>
          <w:szCs w:val="16"/>
        </w:rPr>
        <w:t>年末余额</w:t>
        <w:tab/>
      </w:r>
      <w:r>
        <w:rPr>
          <w:rFonts w:ascii="宋体" w:hAnsi="宋体" w:cs="宋体" w:eastAsia="宋体" w:hint="default"/>
          <w:b/>
          <w:bCs/>
          <w:sz w:val="16"/>
          <w:szCs w:val="16"/>
        </w:rPr>
        <w:t>减值准备年末</w:t>
      </w:r>
      <w:r>
        <w:rPr>
          <w:rFonts w:ascii="宋体" w:hAnsi="宋体" w:cs="宋体" w:eastAsia="宋体" w:hint="default"/>
          <w:sz w:val="16"/>
          <w:szCs w:val="16"/>
        </w:rPr>
      </w:r>
    </w:p>
    <w:p>
      <w:pPr>
        <w:spacing w:line="158" w:lineRule="exact" w:before="0"/>
        <w:ind w:left="0" w:right="538" w:firstLine="0"/>
        <w:jc w:val="right"/>
        <w:rPr>
          <w:rFonts w:ascii="宋体" w:hAnsi="宋体" w:cs="宋体" w:eastAsia="宋体" w:hint="default"/>
          <w:sz w:val="16"/>
          <w:szCs w:val="16"/>
        </w:rPr>
      </w:pPr>
      <w:r>
        <w:rPr/>
        <w:pict>
          <v:group style="position:absolute;margin-left:269.059998pt;margin-top:-4.750615pt;width:418.9pt;height:.5pt;mso-position-horizontal-relative:page;mso-position-vertical-relative:paragraph;z-index:-1197184" coordorigin="5381,-95" coordsize="8378,10">
            <v:group style="position:absolute;left:5386;top:-90;width:1134;height:2" coordorigin="5386,-90" coordsize="1134,2">
              <v:shape style="position:absolute;left:5386;top:-90;width:1134;height:2" coordorigin="5386,-90" coordsize="1134,0" path="m5386,-90l6519,-90e" filled="false" stroked="true" strokeweight=".48pt" strokecolor="#000000">
                <v:path arrowok="t"/>
              </v:shape>
            </v:group>
            <v:group style="position:absolute;left:6519;top:-90;width:10;height:2" coordorigin="6519,-90" coordsize="10,2">
              <v:shape style="position:absolute;left:6519;top:-90;width:10;height:2" coordorigin="6519,-90" coordsize="10,0" path="m6519,-90l6529,-90e" filled="false" stroked="true" strokeweight=".48pt" strokecolor="#000000">
                <v:path arrowok="t"/>
              </v:shape>
            </v:group>
            <v:group style="position:absolute;left:6529;top:-90;width:1126;height:2" coordorigin="6529,-90" coordsize="1126,2">
              <v:shape style="position:absolute;left:6529;top:-90;width:1126;height:2" coordorigin="6529,-90" coordsize="1126,0" path="m6529,-90l7655,-90e" filled="false" stroked="true" strokeweight=".48pt" strokecolor="#000000">
                <v:path arrowok="t"/>
              </v:shape>
            </v:group>
            <v:group style="position:absolute;left:7655;top:-90;width:10;height:2" coordorigin="7655,-90" coordsize="10,2">
              <v:shape style="position:absolute;left:7655;top:-90;width:10;height:2" coordorigin="7655,-90" coordsize="10,0" path="m7655,-90l7664,-90e" filled="false" stroked="true" strokeweight=".48pt" strokecolor="#000000">
                <v:path arrowok="t"/>
              </v:shape>
            </v:group>
            <v:group style="position:absolute;left:7664;top:-90;width:1284;height:2" coordorigin="7664,-90" coordsize="1284,2">
              <v:shape style="position:absolute;left:7664;top:-90;width:1284;height:2" coordorigin="7664,-90" coordsize="1284,0" path="m7664,-90l8948,-90e" filled="false" stroked="true" strokeweight=".48pt" strokecolor="#000000">
                <v:path arrowok="t"/>
              </v:shape>
            </v:group>
            <v:group style="position:absolute;left:8948;top:-90;width:10;height:2" coordorigin="8948,-90" coordsize="10,2">
              <v:shape style="position:absolute;left:8948;top:-90;width:10;height:2" coordorigin="8948,-90" coordsize="10,0" path="m8948,-90l8958,-90e" filled="false" stroked="true" strokeweight=".48pt" strokecolor="#000000">
                <v:path arrowok="t"/>
              </v:shape>
            </v:group>
            <v:group style="position:absolute;left:8958;top:-90;width:1211;height:2" coordorigin="8958,-90" coordsize="1211,2">
              <v:shape style="position:absolute;left:8958;top:-90;width:1211;height:2" coordorigin="8958,-90" coordsize="1211,0" path="m8958,-90l10168,-90e" filled="false" stroked="true" strokeweight=".48pt" strokecolor="#000000">
                <v:path arrowok="t"/>
              </v:shape>
            </v:group>
            <v:group style="position:absolute;left:10168;top:-90;width:10;height:2" coordorigin="10168,-90" coordsize="10,2">
              <v:shape style="position:absolute;left:10168;top:-90;width:10;height:2" coordorigin="10168,-90" coordsize="10,0" path="m10168,-90l10177,-90e" filled="false" stroked="true" strokeweight=".48pt" strokecolor="#000000">
                <v:path arrowok="t"/>
              </v:shape>
            </v:group>
            <v:group style="position:absolute;left:10177;top:-90;width:1164;height:2" coordorigin="10177,-90" coordsize="1164,2">
              <v:shape style="position:absolute;left:10177;top:-90;width:1164;height:2" coordorigin="10177,-90" coordsize="1164,0" path="m10177,-90l11341,-90e" filled="false" stroked="true" strokeweight=".48pt" strokecolor="#000000">
                <v:path arrowok="t"/>
              </v:shape>
            </v:group>
            <v:group style="position:absolute;left:11341;top:-90;width:10;height:2" coordorigin="11341,-90" coordsize="10,2">
              <v:shape style="position:absolute;left:11341;top:-90;width:10;height:2" coordorigin="11341,-90" coordsize="10,0" path="m11341,-90l11351,-90e" filled="false" stroked="true" strokeweight=".48pt" strokecolor="#000000">
                <v:path arrowok="t"/>
              </v:shape>
            </v:group>
            <v:group style="position:absolute;left:11351;top:-90;width:1268;height:2" coordorigin="11351,-90" coordsize="1268,2">
              <v:shape style="position:absolute;left:11351;top:-90;width:1268;height:2" coordorigin="11351,-90" coordsize="1268,0" path="m11351,-90l12618,-90e" filled="false" stroked="true" strokeweight=".48pt" strokecolor="#000000">
                <v:path arrowok="t"/>
              </v:shape>
            </v:group>
            <v:group style="position:absolute;left:12618;top:-90;width:10;height:2" coordorigin="12618,-90" coordsize="10,2">
              <v:shape style="position:absolute;left:12618;top:-90;width:10;height:2" coordorigin="12618,-90" coordsize="10,0" path="m12618,-90l12628,-90e" filled="false" stroked="true" strokeweight=".48pt" strokecolor="#000000">
                <v:path arrowok="t"/>
              </v:shape>
            </v:group>
            <v:group style="position:absolute;left:12628;top:-90;width:1127;height:2" coordorigin="12628,-90" coordsize="1127,2">
              <v:shape style="position:absolute;left:12628;top:-90;width:1127;height:2" coordorigin="12628,-90" coordsize="1127,0" path="m12628,-90l13754,-90e" filled="false" stroked="true" strokeweight=".48pt" strokecolor="#000000">
                <v:path arrowok="t"/>
              </v:shape>
            </v:group>
            <w10:wrap type="none"/>
          </v:group>
        </w:pict>
      </w:r>
      <w:r>
        <w:rPr>
          <w:rFonts w:ascii="宋体" w:hAnsi="宋体" w:cs="宋体" w:eastAsia="宋体" w:hint="default"/>
          <w:b/>
          <w:bCs/>
          <w:sz w:val="16"/>
          <w:szCs w:val="16"/>
        </w:rPr>
        <w:t>余额</w:t>
      </w:r>
      <w:r>
        <w:rPr>
          <w:rFonts w:ascii="宋体" w:hAnsi="宋体" w:cs="宋体" w:eastAsia="宋体" w:hint="default"/>
          <w:sz w:val="16"/>
          <w:szCs w:val="16"/>
        </w:rPr>
      </w:r>
    </w:p>
    <w:p>
      <w:pPr>
        <w:spacing w:after="0" w:line="158" w:lineRule="exact"/>
        <w:jc w:val="right"/>
        <w:rPr>
          <w:rFonts w:ascii="宋体" w:hAnsi="宋体" w:cs="宋体" w:eastAsia="宋体" w:hint="default"/>
          <w:sz w:val="16"/>
          <w:szCs w:val="16"/>
        </w:rPr>
        <w:sectPr>
          <w:pgSz w:w="16840" w:h="11910" w:orient="landscape"/>
          <w:pgMar w:header="585" w:footer="835" w:top="1900" w:bottom="1020" w:left="1240" w:right="540"/>
          <w:cols w:num="5" w:equalWidth="0">
            <w:col w:w="3830" w:space="40"/>
            <w:col w:w="3756" w:space="40"/>
            <w:col w:w="2332" w:space="40"/>
            <w:col w:w="2071" w:space="40"/>
            <w:col w:w="2911"/>
          </w:cols>
        </w:sect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740.5pt;height:.5pt;mso-position-horizontal-relative:char;mso-position-vertical-relative:line" coordorigin="0,0" coordsize="14810,10">
            <v:group style="position:absolute;left:5;top:5;width:2754;height:2" coordorigin="5,5" coordsize="2754,2">
              <v:shape style="position:absolute;left:5;top:5;width:2754;height:2" coordorigin="5,5" coordsize="2754,0" path="m5,5l2758,5e" filled="false" stroked="true" strokeweight=".48pt" strokecolor="#000000">
                <v:path arrowok="t"/>
              </v:shape>
            </v:group>
            <v:group style="position:absolute;left:2758;top:5;width:10;height:2" coordorigin="2758,5" coordsize="10,2">
              <v:shape style="position:absolute;left:2758;top:5;width:10;height:2" coordorigin="2758,5" coordsize="10,0" path="m2758,5l2768,5e" filled="false" stroked="true" strokeweight=".48pt" strokecolor="#000000">
                <v:path arrowok="t"/>
              </v:shape>
            </v:group>
            <v:group style="position:absolute;left:2768;top:5;width:1263;height:2" coordorigin="2768,5" coordsize="1263,2">
              <v:shape style="position:absolute;left:2768;top:5;width:1263;height:2" coordorigin="2768,5" coordsize="1263,0" path="m2768,5l4030,5e" filled="false" stroked="true" strokeweight=".48pt" strokecolor="#000000">
                <v:path arrowok="t"/>
              </v:shape>
            </v:group>
            <v:group style="position:absolute;left:4030;top:5;width:10;height:2" coordorigin="4030,5" coordsize="10,2">
              <v:shape style="position:absolute;left:4030;top:5;width:10;height:2" coordorigin="4030,5" coordsize="10,0" path="m4030,5l4040,5e" filled="false" stroked="true" strokeweight=".48pt" strokecolor="#000000">
                <v:path arrowok="t"/>
              </v:shape>
            </v:group>
            <v:group style="position:absolute;left:4040;top:5;width:1124;height:2" coordorigin="4040,5" coordsize="1124,2">
              <v:shape style="position:absolute;left:4040;top:5;width:1124;height:2" coordorigin="4040,5" coordsize="1124,0" path="m4040,5l5163,5e" filled="false" stroked="true" strokeweight=".48pt" strokecolor="#000000">
                <v:path arrowok="t"/>
              </v:shape>
            </v:group>
            <v:group style="position:absolute;left:5163;top:5;width:10;height:2" coordorigin="5163,5" coordsize="10,2">
              <v:shape style="position:absolute;left:5163;top:5;width:10;height:2" coordorigin="5163,5" coordsize="10,0" path="m5163,5l5173,5e" filled="false" stroked="true" strokeweight=".48pt" strokecolor="#000000">
                <v:path arrowok="t"/>
              </v:shape>
            </v:group>
            <v:group style="position:absolute;left:5173;top:5;width:1126;height:2" coordorigin="5173,5" coordsize="1126,2">
              <v:shape style="position:absolute;left:5173;top:5;width:1126;height:2" coordorigin="5173,5" coordsize="1126,0" path="m5173,5l6299,5e" filled="false" stroked="true" strokeweight=".48pt" strokecolor="#000000">
                <v:path arrowok="t"/>
              </v:shape>
            </v:group>
            <v:group style="position:absolute;left:6299;top:5;width:10;height:2" coordorigin="6299,5" coordsize="10,2">
              <v:shape style="position:absolute;left:6299;top:5;width:10;height:2" coordorigin="6299,5" coordsize="10,0" path="m6299,5l6308,5e" filled="false" stroked="true" strokeweight=".48pt" strokecolor="#000000">
                <v:path arrowok="t"/>
              </v:shape>
            </v:group>
            <v:group style="position:absolute;left:6308;top:5;width:1284;height:2" coordorigin="6308,5" coordsize="1284,2">
              <v:shape style="position:absolute;left:6308;top:5;width:1284;height:2" coordorigin="6308,5" coordsize="1284,0" path="m6308,5l7592,5e" filled="false" stroked="true" strokeweight=".48pt" strokecolor="#000000">
                <v:path arrowok="t"/>
              </v:shape>
            </v:group>
            <v:group style="position:absolute;left:7592;top:5;width:10;height:2" coordorigin="7592,5" coordsize="10,2">
              <v:shape style="position:absolute;left:7592;top:5;width:10;height:2" coordorigin="7592,5" coordsize="10,0" path="m7592,5l7602,5e" filled="false" stroked="true" strokeweight=".48pt" strokecolor="#000000">
                <v:path arrowok="t"/>
              </v:shape>
            </v:group>
            <v:group style="position:absolute;left:7602;top:5;width:1211;height:2" coordorigin="7602,5" coordsize="1211,2">
              <v:shape style="position:absolute;left:7602;top:5;width:1211;height:2" coordorigin="7602,5" coordsize="1211,0" path="m7602,5l8812,5e" filled="false" stroked="true" strokeweight=".48pt" strokecolor="#000000">
                <v:path arrowok="t"/>
              </v:shape>
            </v:group>
            <v:group style="position:absolute;left:8812;top:5;width:10;height:2" coordorigin="8812,5" coordsize="10,2">
              <v:shape style="position:absolute;left:8812;top:5;width:10;height:2" coordorigin="8812,5" coordsize="10,0" path="m8812,5l8821,5e" filled="false" stroked="true" strokeweight=".48pt" strokecolor="#000000">
                <v:path arrowok="t"/>
              </v:shape>
            </v:group>
            <v:group style="position:absolute;left:8821;top:5;width:1164;height:2" coordorigin="8821,5" coordsize="1164,2">
              <v:shape style="position:absolute;left:8821;top:5;width:1164;height:2" coordorigin="8821,5" coordsize="1164,0" path="m8821,5l9985,5e" filled="false" stroked="true" strokeweight=".48pt" strokecolor="#000000">
                <v:path arrowok="t"/>
              </v:shape>
            </v:group>
            <v:group style="position:absolute;left:9985;top:5;width:10;height:2" coordorigin="9985,5" coordsize="10,2">
              <v:shape style="position:absolute;left:9985;top:5;width:10;height:2" coordorigin="9985,5" coordsize="10,0" path="m9985,5l9995,5e" filled="false" stroked="true" strokeweight=".48pt" strokecolor="#000000">
                <v:path arrowok="t"/>
              </v:shape>
            </v:group>
            <v:group style="position:absolute;left:9995;top:5;width:1268;height:2" coordorigin="9995,5" coordsize="1268,2">
              <v:shape style="position:absolute;left:9995;top:5;width:1268;height:2" coordorigin="9995,5" coordsize="1268,0" path="m9995,5l11262,5e" filled="false" stroked="true" strokeweight=".48pt" strokecolor="#000000">
                <v:path arrowok="t"/>
              </v:shape>
            </v:group>
            <v:group style="position:absolute;left:11262;top:5;width:10;height:2" coordorigin="11262,5" coordsize="10,2">
              <v:shape style="position:absolute;left:11262;top:5;width:10;height:2" coordorigin="11262,5" coordsize="10,0" path="m11262,5l11272,5e" filled="false" stroked="true" strokeweight=".48pt" strokecolor="#000000">
                <v:path arrowok="t"/>
              </v:shape>
            </v:group>
            <v:group style="position:absolute;left:11272;top:5;width:1127;height:2" coordorigin="11272,5" coordsize="1127,2">
              <v:shape style="position:absolute;left:11272;top:5;width:1127;height:2" coordorigin="11272,5" coordsize="1127,0" path="m11272,5l12398,5e" filled="false" stroked="true" strokeweight=".48pt" strokecolor="#000000">
                <v:path arrowok="t"/>
              </v:shape>
            </v:group>
            <v:group style="position:absolute;left:12398;top:5;width:10;height:2" coordorigin="12398,5" coordsize="10,2">
              <v:shape style="position:absolute;left:12398;top:5;width:10;height:2" coordorigin="12398,5" coordsize="10,0" path="m12398,5l12408,5e" filled="false" stroked="true" strokeweight=".48pt" strokecolor="#000000">
                <v:path arrowok="t"/>
              </v:shape>
            </v:group>
            <v:group style="position:absolute;left:12408;top:5;width:1265;height:2" coordorigin="12408,5" coordsize="1265,2">
              <v:shape style="position:absolute;left:12408;top:5;width:1265;height:2" coordorigin="12408,5" coordsize="1265,0" path="m12408,5l13672,5e" filled="false" stroked="true" strokeweight=".48pt" strokecolor="#000000">
                <v:path arrowok="t"/>
              </v:shape>
            </v:group>
            <v:group style="position:absolute;left:13672;top:5;width:10;height:2" coordorigin="13672,5" coordsize="10,2">
              <v:shape style="position:absolute;left:13672;top:5;width:10;height:2" coordorigin="13672,5" coordsize="10,0" path="m13672,5l13682,5e" filled="false" stroked="true" strokeweight=".48pt" strokecolor="#000000">
                <v:path arrowok="t"/>
              </v:shape>
            </v:group>
            <v:group style="position:absolute;left:13682;top:5;width:1124;height:2" coordorigin="13682,5" coordsize="1124,2">
              <v:shape style="position:absolute;left:13682;top:5;width:1124;height:2" coordorigin="13682,5" coordsize="1124,0" path="m13682,5l14805,5e" filled="false" stroked="true" strokeweight=".48pt" strokecolor="#000000">
                <v:path arrowok="t"/>
              </v:shape>
            </v:group>
          </v:group>
        </w:pict>
      </w:r>
      <w:r>
        <w:rPr>
          <w:rFonts w:ascii="宋体" w:hAnsi="宋体" w:cs="宋体" w:eastAsia="宋体" w:hint="default"/>
          <w:sz w:val="2"/>
          <w:szCs w:val="2"/>
        </w:rPr>
      </w:r>
    </w:p>
    <w:tbl>
      <w:tblPr>
        <w:tblW w:w="0" w:type="auto"/>
        <w:jc w:val="left"/>
        <w:tblInd w:w="120" w:type="dxa"/>
        <w:tblLayout w:type="fixed"/>
        <w:tblCellMar>
          <w:top w:w="0" w:type="dxa"/>
          <w:left w:w="0" w:type="dxa"/>
          <w:bottom w:w="0" w:type="dxa"/>
          <w:right w:w="0" w:type="dxa"/>
        </w:tblCellMar>
        <w:tblLook w:val="01E0"/>
      </w:tblPr>
      <w:tblGrid>
        <w:gridCol w:w="2573"/>
        <w:gridCol w:w="1462"/>
        <w:gridCol w:w="1174"/>
        <w:gridCol w:w="1114"/>
        <w:gridCol w:w="1289"/>
        <w:gridCol w:w="1197"/>
        <w:gridCol w:w="1253"/>
        <w:gridCol w:w="1219"/>
        <w:gridCol w:w="1132"/>
        <w:gridCol w:w="1303"/>
        <w:gridCol w:w="1084"/>
      </w:tblGrid>
      <w:tr>
        <w:trPr>
          <w:trHeight w:val="323" w:hRule="exact"/>
        </w:trPr>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57" w:right="0"/>
              <w:jc w:val="left"/>
              <w:rPr>
                <w:rFonts w:ascii="宋体" w:hAnsi="宋体" w:cs="宋体" w:eastAsia="宋体" w:hint="default"/>
                <w:sz w:val="16"/>
                <w:szCs w:val="16"/>
              </w:rPr>
            </w:pPr>
            <w:r>
              <w:rPr>
                <w:rFonts w:ascii="宋体" w:hAnsi="宋体" w:cs="宋体" w:eastAsia="宋体" w:hint="default"/>
                <w:sz w:val="16"/>
                <w:szCs w:val="16"/>
              </w:rPr>
              <w:t>北京中录同方文化传播有限公司</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64"/>
              <w:jc w:val="right"/>
              <w:rPr>
                <w:rFonts w:ascii="Times New Roman" w:hAnsi="Times New Roman" w:cs="Times New Roman" w:eastAsia="Times New Roman" w:hint="default"/>
                <w:sz w:val="16"/>
                <w:szCs w:val="16"/>
              </w:rPr>
            </w:pPr>
            <w:r>
              <w:rPr>
                <w:rFonts w:ascii="Times New Roman"/>
                <w:spacing w:val="-1"/>
                <w:sz w:val="16"/>
              </w:rPr>
              <w:t>0.00</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6"/>
                <w:szCs w:val="16"/>
              </w:rPr>
            </w:pPr>
            <w:r>
              <w:rPr>
                <w:rFonts w:ascii="Times New Roman"/>
                <w:spacing w:val="-1"/>
                <w:sz w:val="16"/>
              </w:rPr>
              <w:t>0.00</w:t>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79"/>
              <w:jc w:val="right"/>
              <w:rPr>
                <w:rFonts w:ascii="Times New Roman" w:hAnsi="Times New Roman" w:cs="Times New Roman" w:eastAsia="Times New Roman" w:hint="default"/>
                <w:sz w:val="16"/>
                <w:szCs w:val="16"/>
              </w:rPr>
            </w:pPr>
            <w:r>
              <w:rPr>
                <w:rFonts w:ascii="Times New Roman"/>
                <w:spacing w:val="-1"/>
                <w:sz w:val="16"/>
              </w:rPr>
              <w:t>0.00</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35"/>
              <w:jc w:val="right"/>
              <w:rPr>
                <w:rFonts w:ascii="Times New Roman" w:hAnsi="Times New Roman" w:cs="Times New Roman" w:eastAsia="Times New Roman" w:hint="default"/>
                <w:sz w:val="16"/>
                <w:szCs w:val="16"/>
              </w:rPr>
            </w:pPr>
            <w:r>
              <w:rPr>
                <w:rFonts w:ascii="Times New Roman"/>
                <w:spacing w:val="-1"/>
                <w:sz w:val="16"/>
              </w:rPr>
              <w:t>0.00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78"/>
              <w:jc w:val="right"/>
              <w:rPr>
                <w:rFonts w:ascii="Times New Roman" w:hAnsi="Times New Roman" w:cs="Times New Roman" w:eastAsia="Times New Roman" w:hint="default"/>
                <w:sz w:val="16"/>
                <w:szCs w:val="16"/>
              </w:rPr>
            </w:pPr>
            <w:r>
              <w:rPr>
                <w:rFonts w:ascii="Times New Roman"/>
                <w:spacing w:val="-1"/>
                <w:sz w:val="16"/>
              </w:rPr>
              <w:t>0.00</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6"/>
                <w:szCs w:val="16"/>
              </w:rPr>
            </w:pPr>
            <w:r>
              <w:rPr>
                <w:rFonts w:ascii="Times New Roman"/>
                <w:spacing w:val="-1"/>
                <w:sz w:val="16"/>
              </w:rPr>
              <w:t>0.00</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北京文录激光科技有限公司</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4"/>
              <w:jc w:val="right"/>
              <w:rPr>
                <w:rFonts w:ascii="Times New Roman" w:hAnsi="Times New Roman" w:cs="Times New Roman" w:eastAsia="Times New Roman" w:hint="default"/>
                <w:sz w:val="16"/>
                <w:szCs w:val="16"/>
              </w:rPr>
            </w:pPr>
            <w:r>
              <w:rPr>
                <w:rFonts w:ascii="Times New Roman"/>
                <w:spacing w:val="-1"/>
                <w:sz w:val="16"/>
              </w:rPr>
              <w:t>0.00</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16"/>
                <w:szCs w:val="16"/>
              </w:rPr>
            </w:pPr>
            <w:r>
              <w:rPr>
                <w:rFonts w:ascii="Times New Roman"/>
                <w:spacing w:val="-1"/>
                <w:sz w:val="16"/>
              </w:rPr>
              <w:t>0.00</w:t>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9"/>
              <w:jc w:val="right"/>
              <w:rPr>
                <w:rFonts w:ascii="Times New Roman" w:hAnsi="Times New Roman" w:cs="Times New Roman" w:eastAsia="Times New Roman" w:hint="default"/>
                <w:sz w:val="16"/>
                <w:szCs w:val="16"/>
              </w:rPr>
            </w:pPr>
            <w:r>
              <w:rPr>
                <w:rFonts w:ascii="Times New Roman"/>
                <w:spacing w:val="-1"/>
                <w:sz w:val="16"/>
              </w:rPr>
              <w:t>0.00</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5"/>
              <w:jc w:val="right"/>
              <w:rPr>
                <w:rFonts w:ascii="Times New Roman" w:hAnsi="Times New Roman" w:cs="Times New Roman" w:eastAsia="Times New Roman" w:hint="default"/>
                <w:sz w:val="16"/>
                <w:szCs w:val="16"/>
              </w:rPr>
            </w:pPr>
            <w:r>
              <w:rPr>
                <w:rFonts w:ascii="Times New Roman"/>
                <w:spacing w:val="-1"/>
                <w:sz w:val="16"/>
              </w:rPr>
              <w:t>0.00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8"/>
              <w:jc w:val="right"/>
              <w:rPr>
                <w:rFonts w:ascii="Times New Roman" w:hAnsi="Times New Roman" w:cs="Times New Roman" w:eastAsia="Times New Roman" w:hint="default"/>
                <w:sz w:val="16"/>
                <w:szCs w:val="16"/>
              </w:rPr>
            </w:pPr>
            <w:r>
              <w:rPr>
                <w:rFonts w:ascii="Times New Roman"/>
                <w:spacing w:val="-1"/>
                <w:sz w:val="16"/>
              </w:rPr>
              <w:t>0.00</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16"/>
                <w:szCs w:val="16"/>
              </w:rPr>
            </w:pPr>
            <w:r>
              <w:rPr>
                <w:rFonts w:ascii="Times New Roman"/>
                <w:spacing w:val="-1"/>
                <w:sz w:val="16"/>
              </w:rPr>
              <w:t>0.00</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45" w:hRule="exact"/>
        </w:trPr>
        <w:tc>
          <w:tcPr>
            <w:tcW w:w="2573" w:type="dxa"/>
            <w:tcBorders>
              <w:top w:val="nil" w:sz="6" w:space="0" w:color="auto"/>
              <w:left w:val="nil" w:sz="6" w:space="0" w:color="auto"/>
              <w:bottom w:val="single" w:sz="4" w:space="0" w:color="000000"/>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同方博宇工程技术公司</w:t>
            </w:r>
          </w:p>
        </w:tc>
        <w:tc>
          <w:tcPr>
            <w:tcW w:w="1462"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64"/>
              <w:jc w:val="right"/>
              <w:rPr>
                <w:rFonts w:ascii="Times New Roman" w:hAnsi="Times New Roman" w:cs="Times New Roman" w:eastAsia="Times New Roman" w:hint="default"/>
                <w:sz w:val="16"/>
                <w:szCs w:val="16"/>
              </w:rPr>
            </w:pPr>
            <w:r>
              <w:rPr>
                <w:rFonts w:ascii="Times New Roman"/>
                <w:spacing w:val="-1"/>
                <w:sz w:val="16"/>
              </w:rPr>
              <w:t>0.00</w:t>
            </w:r>
          </w:p>
        </w:tc>
        <w:tc>
          <w:tcPr>
            <w:tcW w:w="1174"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16"/>
                <w:szCs w:val="16"/>
              </w:rPr>
            </w:pPr>
            <w:r>
              <w:rPr>
                <w:rFonts w:ascii="Times New Roman"/>
                <w:spacing w:val="-1"/>
                <w:sz w:val="16"/>
              </w:rPr>
              <w:t>0.00</w:t>
            </w:r>
          </w:p>
        </w:tc>
        <w:tc>
          <w:tcPr>
            <w:tcW w:w="1114"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84"/>
              <w:jc w:val="right"/>
              <w:rPr>
                <w:rFonts w:ascii="Times New Roman" w:hAnsi="Times New Roman" w:cs="Times New Roman" w:eastAsia="Times New Roman" w:hint="default"/>
                <w:sz w:val="16"/>
                <w:szCs w:val="16"/>
              </w:rPr>
            </w:pPr>
            <w:r>
              <w:rPr>
                <w:rFonts w:ascii="Times New Roman"/>
                <w:spacing w:val="-1"/>
                <w:sz w:val="16"/>
              </w:rPr>
              <w:t>0.00</w:t>
            </w:r>
          </w:p>
        </w:tc>
        <w:tc>
          <w:tcPr>
            <w:tcW w:w="1289"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79"/>
              <w:jc w:val="right"/>
              <w:rPr>
                <w:rFonts w:ascii="Times New Roman" w:hAnsi="Times New Roman" w:cs="Times New Roman" w:eastAsia="Times New Roman" w:hint="default"/>
                <w:sz w:val="16"/>
                <w:szCs w:val="16"/>
              </w:rPr>
            </w:pPr>
            <w:r>
              <w:rPr>
                <w:rFonts w:ascii="Times New Roman"/>
                <w:spacing w:val="-1"/>
                <w:sz w:val="16"/>
              </w:rPr>
              <w:t>0.00</w:t>
            </w:r>
          </w:p>
        </w:tc>
        <w:tc>
          <w:tcPr>
            <w:tcW w:w="1197"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58"/>
              <w:jc w:val="right"/>
              <w:rPr>
                <w:rFonts w:ascii="Times New Roman" w:hAnsi="Times New Roman" w:cs="Times New Roman" w:eastAsia="Times New Roman" w:hint="default"/>
                <w:sz w:val="16"/>
                <w:szCs w:val="16"/>
              </w:rPr>
            </w:pPr>
            <w:r>
              <w:rPr>
                <w:rFonts w:ascii="Times New Roman"/>
                <w:spacing w:val="-1"/>
                <w:sz w:val="16"/>
              </w:rPr>
              <w:t>0.00</w:t>
            </w:r>
          </w:p>
        </w:tc>
        <w:tc>
          <w:tcPr>
            <w:tcW w:w="1253"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135"/>
              <w:jc w:val="right"/>
              <w:rPr>
                <w:rFonts w:ascii="Times New Roman" w:hAnsi="Times New Roman" w:cs="Times New Roman" w:eastAsia="Times New Roman" w:hint="default"/>
                <w:sz w:val="16"/>
                <w:szCs w:val="16"/>
              </w:rPr>
            </w:pPr>
            <w:r>
              <w:rPr>
                <w:rFonts w:ascii="Times New Roman"/>
                <w:spacing w:val="-1"/>
                <w:sz w:val="16"/>
              </w:rPr>
              <w:t>0.00</w:t>
            </w:r>
          </w:p>
        </w:tc>
        <w:tc>
          <w:tcPr>
            <w:tcW w:w="1219"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78"/>
              <w:jc w:val="right"/>
              <w:rPr>
                <w:rFonts w:ascii="Times New Roman" w:hAnsi="Times New Roman" w:cs="Times New Roman" w:eastAsia="Times New Roman" w:hint="default"/>
                <w:sz w:val="16"/>
                <w:szCs w:val="16"/>
              </w:rPr>
            </w:pPr>
            <w:r>
              <w:rPr>
                <w:rFonts w:ascii="Times New Roman"/>
                <w:spacing w:val="-1"/>
                <w:sz w:val="16"/>
              </w:rPr>
              <w:t>0.00</w:t>
            </w:r>
          </w:p>
        </w:tc>
        <w:tc>
          <w:tcPr>
            <w:tcW w:w="1132"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74"/>
              <w:jc w:val="right"/>
              <w:rPr>
                <w:rFonts w:ascii="Times New Roman" w:hAnsi="Times New Roman" w:cs="Times New Roman" w:eastAsia="Times New Roman" w:hint="default"/>
                <w:sz w:val="16"/>
                <w:szCs w:val="16"/>
              </w:rPr>
            </w:pPr>
            <w:r>
              <w:rPr>
                <w:rFonts w:ascii="Times New Roman"/>
                <w:spacing w:val="-1"/>
                <w:sz w:val="16"/>
              </w:rPr>
              <w:t>0.00</w:t>
            </w:r>
          </w:p>
        </w:tc>
        <w:tc>
          <w:tcPr>
            <w:tcW w:w="1303"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16"/>
                <w:szCs w:val="16"/>
              </w:rPr>
            </w:pPr>
            <w:r>
              <w:rPr>
                <w:rFonts w:ascii="Times New Roman"/>
                <w:spacing w:val="-1"/>
                <w:sz w:val="16"/>
              </w:rPr>
              <w:t>0.00</w:t>
            </w:r>
          </w:p>
        </w:tc>
        <w:tc>
          <w:tcPr>
            <w:tcW w:w="1084"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305" w:hRule="exact"/>
        </w:trPr>
        <w:tc>
          <w:tcPr>
            <w:tcW w:w="2573" w:type="dxa"/>
            <w:tcBorders>
              <w:top w:val="single" w:sz="4" w:space="0" w:color="000000"/>
              <w:left w:val="nil" w:sz="6" w:space="0" w:color="auto"/>
              <w:bottom w:val="single" w:sz="12" w:space="0" w:color="000000"/>
              <w:right w:val="nil" w:sz="6" w:space="0" w:color="auto"/>
            </w:tcBorders>
          </w:tcPr>
          <w:p>
            <w:pPr>
              <w:pStyle w:val="TableParagraph"/>
              <w:spacing w:line="240" w:lineRule="auto" w:before="50"/>
              <w:ind w:left="57" w:right="0"/>
              <w:jc w:val="left"/>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c>
        <w:tc>
          <w:tcPr>
            <w:tcW w:w="1462"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65"/>
              <w:jc w:val="right"/>
              <w:rPr>
                <w:rFonts w:ascii="Times New Roman" w:hAnsi="Times New Roman" w:cs="Times New Roman" w:eastAsia="Times New Roman" w:hint="default"/>
                <w:sz w:val="16"/>
                <w:szCs w:val="16"/>
              </w:rPr>
            </w:pPr>
            <w:r>
              <w:rPr>
                <w:rFonts w:ascii="Times New Roman"/>
                <w:b/>
                <w:spacing w:val="-1"/>
                <w:sz w:val="16"/>
              </w:rPr>
              <w:t>8,572,851,679.66</w:t>
            </w:r>
            <w:r>
              <w:rPr>
                <w:rFonts w:ascii="Times New Roman"/>
                <w:spacing w:val="-1"/>
                <w:sz w:val="16"/>
              </w:rPr>
            </w:r>
          </w:p>
        </w:tc>
        <w:tc>
          <w:tcPr>
            <w:tcW w:w="1174"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6"/>
                <w:szCs w:val="16"/>
              </w:rPr>
            </w:pPr>
            <w:r>
              <w:rPr>
                <w:rFonts w:ascii="Times New Roman"/>
                <w:b/>
                <w:spacing w:val="-1"/>
                <w:sz w:val="16"/>
              </w:rPr>
              <w:t>321,101,129.40</w:t>
            </w:r>
            <w:r>
              <w:rPr>
                <w:rFonts w:ascii="Times New Roman"/>
                <w:spacing w:val="-1"/>
                <w:sz w:val="16"/>
              </w:rPr>
            </w:r>
          </w:p>
        </w:tc>
        <w:tc>
          <w:tcPr>
            <w:tcW w:w="1114"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86"/>
              <w:jc w:val="right"/>
              <w:rPr>
                <w:rFonts w:ascii="Times New Roman" w:hAnsi="Times New Roman" w:cs="Times New Roman" w:eastAsia="Times New Roman" w:hint="default"/>
                <w:sz w:val="16"/>
                <w:szCs w:val="16"/>
              </w:rPr>
            </w:pPr>
            <w:r>
              <w:rPr>
                <w:rFonts w:ascii="Times New Roman"/>
                <w:b/>
                <w:spacing w:val="-2"/>
                <w:sz w:val="16"/>
              </w:rPr>
              <w:t>11,153,418.40</w:t>
            </w:r>
            <w:r>
              <w:rPr>
                <w:rFonts w:ascii="Times New Roman"/>
                <w:spacing w:val="-2"/>
                <w:sz w:val="16"/>
              </w:rPr>
            </w:r>
          </w:p>
        </w:tc>
        <w:tc>
          <w:tcPr>
            <w:tcW w:w="1289"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79"/>
              <w:jc w:val="right"/>
              <w:rPr>
                <w:rFonts w:ascii="Times New Roman" w:hAnsi="Times New Roman" w:cs="Times New Roman" w:eastAsia="Times New Roman" w:hint="default"/>
                <w:sz w:val="16"/>
                <w:szCs w:val="16"/>
              </w:rPr>
            </w:pPr>
            <w:r>
              <w:rPr>
                <w:rFonts w:ascii="Times New Roman"/>
                <w:b/>
                <w:spacing w:val="-1"/>
                <w:sz w:val="16"/>
              </w:rPr>
              <w:t>1,358,888,257.26</w:t>
            </w:r>
            <w:r>
              <w:rPr>
                <w:rFonts w:ascii="Times New Roman"/>
                <w:spacing w:val="-1"/>
                <w:sz w:val="16"/>
              </w:rPr>
            </w:r>
          </w:p>
        </w:tc>
        <w:tc>
          <w:tcPr>
            <w:tcW w:w="1197"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59"/>
              <w:jc w:val="right"/>
              <w:rPr>
                <w:rFonts w:ascii="Times New Roman" w:hAnsi="Times New Roman" w:cs="Times New Roman" w:eastAsia="Times New Roman" w:hint="default"/>
                <w:sz w:val="16"/>
                <w:szCs w:val="16"/>
              </w:rPr>
            </w:pPr>
            <w:r>
              <w:rPr>
                <w:rFonts w:ascii="Times New Roman"/>
                <w:b/>
                <w:spacing w:val="-1"/>
                <w:sz w:val="16"/>
              </w:rPr>
              <w:t>-306,014,499.15</w:t>
            </w:r>
            <w:r>
              <w:rPr>
                <w:rFonts w:ascii="Times New Roman"/>
                <w:spacing w:val="-1"/>
                <w:sz w:val="16"/>
              </w:rPr>
            </w:r>
          </w:p>
        </w:tc>
        <w:tc>
          <w:tcPr>
            <w:tcW w:w="1253"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136"/>
              <w:jc w:val="right"/>
              <w:rPr>
                <w:rFonts w:ascii="Times New Roman" w:hAnsi="Times New Roman" w:cs="Times New Roman" w:eastAsia="Times New Roman" w:hint="default"/>
                <w:sz w:val="16"/>
                <w:szCs w:val="16"/>
              </w:rPr>
            </w:pPr>
            <w:r>
              <w:rPr>
                <w:rFonts w:ascii="Times New Roman"/>
                <w:b/>
                <w:spacing w:val="-1"/>
                <w:sz w:val="16"/>
              </w:rPr>
              <w:t>-264,548,015.59</w:t>
            </w:r>
            <w:r>
              <w:rPr>
                <w:rFonts w:ascii="Times New Roman"/>
                <w:spacing w:val="-1"/>
                <w:sz w:val="16"/>
              </w:rPr>
            </w:r>
          </w:p>
        </w:tc>
        <w:tc>
          <w:tcPr>
            <w:tcW w:w="1219"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78"/>
              <w:jc w:val="right"/>
              <w:rPr>
                <w:rFonts w:ascii="Times New Roman" w:hAnsi="Times New Roman" w:cs="Times New Roman" w:eastAsia="Times New Roman" w:hint="default"/>
                <w:sz w:val="16"/>
                <w:szCs w:val="16"/>
              </w:rPr>
            </w:pPr>
            <w:r>
              <w:rPr>
                <w:rFonts w:ascii="Times New Roman"/>
                <w:b/>
                <w:spacing w:val="-1"/>
                <w:sz w:val="16"/>
              </w:rPr>
              <w:t>144,726,570.89</w:t>
            </w:r>
            <w:r>
              <w:rPr>
                <w:rFonts w:ascii="Times New Roman"/>
                <w:spacing w:val="-1"/>
                <w:sz w:val="16"/>
              </w:rPr>
            </w:r>
          </w:p>
        </w:tc>
        <w:tc>
          <w:tcPr>
            <w:tcW w:w="1132"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74"/>
              <w:jc w:val="right"/>
              <w:rPr>
                <w:rFonts w:ascii="Times New Roman" w:hAnsi="Times New Roman" w:cs="Times New Roman" w:eastAsia="Times New Roman" w:hint="default"/>
                <w:sz w:val="16"/>
                <w:szCs w:val="16"/>
              </w:rPr>
            </w:pPr>
            <w:r>
              <w:rPr>
                <w:rFonts w:ascii="Times New Roman"/>
                <w:b/>
                <w:spacing w:val="-1"/>
                <w:sz w:val="16"/>
              </w:rPr>
              <w:t>-13,812,431.15</w:t>
            </w:r>
            <w:r>
              <w:rPr>
                <w:rFonts w:ascii="Times New Roman"/>
                <w:spacing w:val="-1"/>
                <w:sz w:val="16"/>
              </w:rPr>
            </w:r>
          </w:p>
        </w:tc>
        <w:tc>
          <w:tcPr>
            <w:tcW w:w="1303"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103"/>
              <w:jc w:val="right"/>
              <w:rPr>
                <w:rFonts w:ascii="Times New Roman" w:hAnsi="Times New Roman" w:cs="Times New Roman" w:eastAsia="Times New Roman" w:hint="default"/>
                <w:sz w:val="16"/>
                <w:szCs w:val="16"/>
              </w:rPr>
            </w:pPr>
            <w:r>
              <w:rPr>
                <w:rFonts w:ascii="Times New Roman"/>
                <w:b/>
                <w:spacing w:val="-1"/>
                <w:sz w:val="16"/>
              </w:rPr>
              <w:t>9,512,586,131.14</w:t>
            </w:r>
            <w:r>
              <w:rPr>
                <w:rFonts w:ascii="Times New Roman"/>
                <w:spacing w:val="-1"/>
                <w:sz w:val="16"/>
              </w:rPr>
            </w:r>
          </w:p>
        </w:tc>
        <w:tc>
          <w:tcPr>
            <w:tcW w:w="1084"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57"/>
              <w:jc w:val="right"/>
              <w:rPr>
                <w:rFonts w:ascii="Times New Roman" w:hAnsi="Times New Roman" w:cs="Times New Roman" w:eastAsia="Times New Roman" w:hint="default"/>
                <w:sz w:val="16"/>
                <w:szCs w:val="16"/>
              </w:rPr>
            </w:pPr>
            <w:r>
              <w:rPr>
                <w:rFonts w:ascii="Times New Roman"/>
                <w:b/>
                <w:spacing w:val="-2"/>
                <w:sz w:val="16"/>
              </w:rPr>
              <w:t>22,811,859.30</w:t>
            </w:r>
            <w:r>
              <w:rPr>
                <w:rFonts w:ascii="Times New Roman"/>
                <w:spacing w:val="-2"/>
                <w:sz w:val="16"/>
              </w:rPr>
            </w:r>
          </w:p>
        </w:tc>
      </w:tr>
    </w:tbl>
    <w:p>
      <w:pPr>
        <w:spacing w:after="0" w:line="240" w:lineRule="auto"/>
        <w:jc w:val="right"/>
        <w:rPr>
          <w:rFonts w:ascii="Times New Roman" w:hAnsi="Times New Roman" w:cs="Times New Roman" w:eastAsia="Times New Roman" w:hint="default"/>
          <w:sz w:val="16"/>
          <w:szCs w:val="16"/>
        </w:rPr>
        <w:sectPr>
          <w:type w:val="continuous"/>
          <w:pgSz w:w="16840" w:h="11910" w:orient="landscape"/>
          <w:pgMar w:top="1020" w:bottom="280" w:left="1240" w:right="540"/>
        </w:sectPr>
      </w:pPr>
    </w:p>
    <w:p>
      <w:pPr>
        <w:spacing w:line="240" w:lineRule="auto" w:before="1"/>
        <w:rPr>
          <w:rFonts w:ascii="宋体" w:hAnsi="宋体" w:cs="宋体" w:eastAsia="宋体" w:hint="default"/>
          <w:b/>
          <w:bCs/>
          <w:sz w:val="22"/>
          <w:szCs w:val="22"/>
        </w:rPr>
      </w:pPr>
    </w:p>
    <w:p>
      <w:pPr>
        <w:tabs>
          <w:tab w:pos="1163" w:val="left" w:leader="none"/>
        </w:tabs>
        <w:spacing w:before="32"/>
        <w:ind w:left="666"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tab/>
      </w:r>
      <w:r>
        <w:rPr>
          <w:rFonts w:ascii="宋体" w:hAnsi="宋体" w:cs="宋体" w:eastAsia="宋体" w:hint="default"/>
          <w:sz w:val="22"/>
          <w:szCs w:val="22"/>
        </w:rPr>
        <w:t>长期股权投资减值准备</w:t>
      </w:r>
    </w:p>
    <w:p>
      <w:pPr>
        <w:spacing w:line="240" w:lineRule="auto" w:before="8"/>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2941"/>
        <w:gridCol w:w="1321"/>
        <w:gridCol w:w="1113"/>
        <w:gridCol w:w="1077"/>
        <w:gridCol w:w="1026"/>
        <w:gridCol w:w="1263"/>
      </w:tblGrid>
      <w:tr>
        <w:trPr>
          <w:trHeight w:val="305" w:hRule="exact"/>
        </w:trPr>
        <w:tc>
          <w:tcPr>
            <w:tcW w:w="2941" w:type="dxa"/>
            <w:vMerge w:val="restart"/>
            <w:tcBorders>
              <w:top w:val="single" w:sz="12" w:space="0" w:color="000000"/>
              <w:left w:val="nil" w:sz="6" w:space="0" w:color="auto"/>
              <w:right w:val="nil" w:sz="6" w:space="0" w:color="auto"/>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tc>
        <w:tc>
          <w:tcPr>
            <w:tcW w:w="1321" w:type="dxa"/>
            <w:vMerge w:val="restart"/>
            <w:tcBorders>
              <w:top w:val="single" w:sz="12" w:space="0" w:color="000000"/>
              <w:left w:val="nil" w:sz="6" w:space="0" w:color="auto"/>
              <w:right w:val="nil" w:sz="6" w:space="0" w:color="auto"/>
            </w:tcBorders>
          </w:tcPr>
          <w:p>
            <w:pPr>
              <w:pStyle w:val="TableParagraph"/>
              <w:spacing w:line="240" w:lineRule="auto" w:before="145"/>
              <w:ind w:left="270"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c>
          <w:tcPr>
            <w:tcW w:w="1113" w:type="dxa"/>
            <w:vMerge w:val="restart"/>
            <w:tcBorders>
              <w:top w:val="single" w:sz="12" w:space="0" w:color="000000"/>
              <w:left w:val="nil" w:sz="6" w:space="0" w:color="auto"/>
              <w:right w:val="nil" w:sz="6" w:space="0" w:color="auto"/>
            </w:tcBorders>
          </w:tcPr>
          <w:p>
            <w:pPr>
              <w:pStyle w:val="TableParagraph"/>
              <w:spacing w:line="240" w:lineRule="auto" w:before="145"/>
              <w:ind w:left="164"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2103" w:type="dxa"/>
            <w:gridSpan w:val="2"/>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688"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263" w:type="dxa"/>
            <w:vMerge w:val="restart"/>
            <w:tcBorders>
              <w:top w:val="single" w:sz="12" w:space="0" w:color="000000"/>
              <w:left w:val="nil" w:sz="6" w:space="0" w:color="auto"/>
              <w:right w:val="nil" w:sz="6" w:space="0" w:color="auto"/>
            </w:tcBorders>
          </w:tcPr>
          <w:p>
            <w:pPr>
              <w:pStyle w:val="TableParagraph"/>
              <w:spacing w:line="240" w:lineRule="auto" w:before="145"/>
              <w:ind w:left="268"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r>
      <w:tr>
        <w:trPr>
          <w:trHeight w:val="295" w:hRule="exact"/>
        </w:trPr>
        <w:tc>
          <w:tcPr>
            <w:tcW w:w="2941" w:type="dxa"/>
            <w:vMerge/>
            <w:tcBorders>
              <w:left w:val="nil" w:sz="6" w:space="0" w:color="auto"/>
              <w:bottom w:val="single" w:sz="4" w:space="0" w:color="000000"/>
              <w:right w:val="nil" w:sz="6" w:space="0" w:color="auto"/>
            </w:tcBorders>
          </w:tcPr>
          <w:p>
            <w:pPr/>
          </w:p>
        </w:tc>
        <w:tc>
          <w:tcPr>
            <w:tcW w:w="1321" w:type="dxa"/>
            <w:vMerge/>
            <w:tcBorders>
              <w:left w:val="nil" w:sz="6" w:space="0" w:color="auto"/>
              <w:bottom w:val="single" w:sz="4" w:space="0" w:color="000000"/>
              <w:right w:val="nil" w:sz="6" w:space="0" w:color="auto"/>
            </w:tcBorders>
          </w:tcPr>
          <w:p>
            <w:pPr/>
          </w:p>
        </w:tc>
        <w:tc>
          <w:tcPr>
            <w:tcW w:w="1113" w:type="dxa"/>
            <w:vMerge/>
            <w:tcBorders>
              <w:left w:val="nil" w:sz="6" w:space="0" w:color="auto"/>
              <w:bottom w:val="single" w:sz="4" w:space="0" w:color="000000"/>
              <w:right w:val="nil" w:sz="6" w:space="0" w:color="auto"/>
            </w:tcBorders>
          </w:tcPr>
          <w:p>
            <w:pPr/>
          </w:p>
        </w:tc>
        <w:tc>
          <w:tcPr>
            <w:tcW w:w="1077"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340" w:right="0"/>
              <w:jc w:val="left"/>
              <w:rPr>
                <w:rFonts w:ascii="宋体" w:hAnsi="宋体" w:cs="宋体" w:eastAsia="宋体" w:hint="default"/>
                <w:sz w:val="18"/>
                <w:szCs w:val="18"/>
              </w:rPr>
            </w:pPr>
            <w:r>
              <w:rPr>
                <w:rFonts w:ascii="宋体" w:hAnsi="宋体" w:cs="宋体" w:eastAsia="宋体" w:hint="default"/>
                <w:b/>
                <w:bCs/>
                <w:sz w:val="18"/>
                <w:szCs w:val="18"/>
              </w:rPr>
              <w:t>转回</w:t>
            </w:r>
            <w:r>
              <w:rPr>
                <w:rFonts w:ascii="宋体" w:hAnsi="宋体" w:cs="宋体" w:eastAsia="宋体" w:hint="default"/>
                <w:sz w:val="18"/>
                <w:szCs w:val="18"/>
              </w:rPr>
            </w:r>
          </w:p>
        </w:tc>
        <w:tc>
          <w:tcPr>
            <w:tcW w:w="102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164"/>
              <w:jc w:val="right"/>
              <w:rPr>
                <w:rFonts w:ascii="宋体" w:hAnsi="宋体" w:cs="宋体" w:eastAsia="宋体" w:hint="default"/>
                <w:sz w:val="18"/>
                <w:szCs w:val="18"/>
              </w:rPr>
            </w:pPr>
            <w:r>
              <w:rPr>
                <w:rFonts w:ascii="宋体" w:hAnsi="宋体" w:cs="宋体" w:eastAsia="宋体" w:hint="default"/>
                <w:b/>
                <w:bCs/>
                <w:w w:val="95"/>
                <w:sz w:val="18"/>
                <w:szCs w:val="18"/>
              </w:rPr>
              <w:t>其他转出</w:t>
            </w:r>
            <w:r>
              <w:rPr>
                <w:rFonts w:ascii="宋体" w:hAnsi="宋体" w:cs="宋体" w:eastAsia="宋体" w:hint="default"/>
                <w:sz w:val="18"/>
                <w:szCs w:val="18"/>
              </w:rPr>
            </w:r>
          </w:p>
        </w:tc>
        <w:tc>
          <w:tcPr>
            <w:tcW w:w="1263" w:type="dxa"/>
            <w:vMerge/>
            <w:tcBorders>
              <w:left w:val="nil" w:sz="6" w:space="0" w:color="auto"/>
              <w:bottom w:val="single" w:sz="4" w:space="0" w:color="000000"/>
              <w:right w:val="nil" w:sz="6" w:space="0" w:color="auto"/>
            </w:tcBorders>
          </w:tcPr>
          <w:p>
            <w:pPr/>
          </w:p>
        </w:tc>
      </w:tr>
      <w:tr>
        <w:trPr>
          <w:trHeight w:val="325" w:hRule="exact"/>
        </w:trPr>
        <w:tc>
          <w:tcPr>
            <w:tcW w:w="2941"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山西左云晋能新能源发电有限公司</w:t>
            </w:r>
          </w:p>
        </w:tc>
        <w:tc>
          <w:tcPr>
            <w:tcW w:w="1321"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65"/>
              <w:jc w:val="right"/>
              <w:rPr>
                <w:rFonts w:ascii="Times New Roman" w:hAnsi="Times New Roman" w:cs="Times New Roman" w:eastAsia="Times New Roman" w:hint="default"/>
                <w:sz w:val="18"/>
                <w:szCs w:val="18"/>
              </w:rPr>
            </w:pPr>
            <w:r>
              <w:rPr>
                <w:rFonts w:ascii="Times New Roman"/>
                <w:spacing w:val="-1"/>
                <w:sz w:val="18"/>
              </w:rPr>
              <w:t>21,153,563.00</w:t>
            </w:r>
          </w:p>
        </w:tc>
        <w:tc>
          <w:tcPr>
            <w:tcW w:w="1113"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10"/>
              <w:jc w:val="right"/>
              <w:rPr>
                <w:rFonts w:ascii="Times New Roman" w:hAnsi="Times New Roman" w:cs="Times New Roman" w:eastAsia="Times New Roman" w:hint="default"/>
                <w:sz w:val="18"/>
                <w:szCs w:val="18"/>
              </w:rPr>
            </w:pPr>
            <w:r>
              <w:rPr>
                <w:rFonts w:ascii="Times New Roman"/>
                <w:spacing w:val="-1"/>
                <w:sz w:val="18"/>
              </w:rPr>
              <w:t>0.00</w:t>
            </w:r>
          </w:p>
        </w:tc>
        <w:tc>
          <w:tcPr>
            <w:tcW w:w="1077"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35"/>
              <w:jc w:val="right"/>
              <w:rPr>
                <w:rFonts w:ascii="Times New Roman" w:hAnsi="Times New Roman" w:cs="Times New Roman" w:eastAsia="Times New Roman" w:hint="default"/>
                <w:sz w:val="18"/>
                <w:szCs w:val="18"/>
              </w:rPr>
            </w:pPr>
            <w:r>
              <w:rPr>
                <w:rFonts w:ascii="Times New Roman"/>
                <w:spacing w:val="-1"/>
                <w:sz w:val="18"/>
              </w:rPr>
              <w:t>0.00</w:t>
            </w:r>
          </w:p>
        </w:tc>
        <w:tc>
          <w:tcPr>
            <w:tcW w:w="1026"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7"/>
              <w:jc w:val="right"/>
              <w:rPr>
                <w:rFonts w:ascii="Times New Roman" w:hAnsi="Times New Roman" w:cs="Times New Roman" w:eastAsia="Times New Roman" w:hint="default"/>
                <w:sz w:val="18"/>
                <w:szCs w:val="18"/>
              </w:rPr>
            </w:pPr>
            <w:r>
              <w:rPr>
                <w:rFonts w:ascii="Times New Roman"/>
                <w:spacing w:val="-1"/>
                <w:sz w:val="18"/>
              </w:rPr>
              <w:t>0.00</w:t>
            </w:r>
          </w:p>
        </w:tc>
        <w:tc>
          <w:tcPr>
            <w:tcW w:w="1263"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10"/>
              <w:jc w:val="right"/>
              <w:rPr>
                <w:rFonts w:ascii="Times New Roman" w:hAnsi="Times New Roman" w:cs="Times New Roman" w:eastAsia="Times New Roman" w:hint="default"/>
                <w:sz w:val="18"/>
                <w:szCs w:val="18"/>
              </w:rPr>
            </w:pPr>
            <w:r>
              <w:rPr>
                <w:rFonts w:ascii="Times New Roman"/>
                <w:spacing w:val="-1"/>
                <w:sz w:val="18"/>
              </w:rPr>
              <w:t>21,153,563.00</w:t>
            </w:r>
          </w:p>
        </w:tc>
      </w:tr>
      <w:tr>
        <w:trPr>
          <w:trHeight w:val="294" w:hRule="exact"/>
        </w:trPr>
        <w:tc>
          <w:tcPr>
            <w:tcW w:w="2941"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九江佳华压电晶体材料有限公司</w:t>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2"/>
              <w:jc w:val="right"/>
              <w:rPr>
                <w:rFonts w:ascii="Times New Roman" w:hAnsi="Times New Roman" w:cs="Times New Roman" w:eastAsia="Times New Roman" w:hint="default"/>
                <w:sz w:val="18"/>
                <w:szCs w:val="18"/>
              </w:rPr>
            </w:pPr>
            <w:r>
              <w:rPr>
                <w:rFonts w:ascii="Times New Roman"/>
                <w:spacing w:val="-1"/>
                <w:sz w:val="18"/>
              </w:rPr>
              <w:t>1,473,934.90</w:t>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5"/>
              <w:jc w:val="right"/>
              <w:rPr>
                <w:rFonts w:ascii="Times New Roman" w:hAnsi="Times New Roman" w:cs="Times New Roman" w:eastAsia="Times New Roman" w:hint="default"/>
                <w:sz w:val="18"/>
                <w:szCs w:val="18"/>
              </w:rPr>
            </w:pPr>
            <w:r>
              <w:rPr>
                <w:rFonts w:ascii="Times New Roman"/>
                <w:spacing w:val="-1"/>
                <w:sz w:val="18"/>
              </w:rPr>
              <w:t>0.00</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c>
          <w:tcPr>
            <w:tcW w:w="126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1,473,934.90</w:t>
            </w:r>
          </w:p>
        </w:tc>
      </w:tr>
      <w:tr>
        <w:trPr>
          <w:trHeight w:val="247" w:hRule="exact"/>
        </w:trPr>
        <w:tc>
          <w:tcPr>
            <w:tcW w:w="2941"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left="122" w:right="0"/>
              <w:jc w:val="left"/>
              <w:rPr>
                <w:rFonts w:ascii="Times New Roman" w:hAnsi="Times New Roman" w:cs="Times New Roman" w:eastAsia="Times New Roman" w:hint="default"/>
                <w:sz w:val="18"/>
                <w:szCs w:val="18"/>
              </w:rPr>
            </w:pPr>
            <w:r>
              <w:rPr>
                <w:rFonts w:ascii="Times New Roman"/>
                <w:sz w:val="18"/>
              </w:rPr>
              <w:t>Technovator</w:t>
            </w:r>
            <w:r>
              <w:rPr>
                <w:rFonts w:ascii="Times New Roman"/>
                <w:spacing w:val="-5"/>
                <w:sz w:val="18"/>
              </w:rPr>
              <w:t> </w:t>
            </w:r>
            <w:r>
              <w:rPr>
                <w:rFonts w:ascii="Times New Roman"/>
                <w:sz w:val="18"/>
              </w:rPr>
              <w:t>Qatar</w:t>
            </w:r>
          </w:p>
        </w:tc>
        <w:tc>
          <w:tcPr>
            <w:tcW w:w="1321"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162"/>
              <w:jc w:val="right"/>
              <w:rPr>
                <w:rFonts w:ascii="Times New Roman" w:hAnsi="Times New Roman" w:cs="Times New Roman" w:eastAsia="Times New Roman" w:hint="default"/>
                <w:sz w:val="18"/>
                <w:szCs w:val="18"/>
              </w:rPr>
            </w:pPr>
            <w:r>
              <w:rPr>
                <w:rFonts w:ascii="Times New Roman"/>
                <w:spacing w:val="-1"/>
                <w:sz w:val="18"/>
              </w:rPr>
              <w:t>184,361.40</w:t>
            </w:r>
          </w:p>
        </w:tc>
        <w:tc>
          <w:tcPr>
            <w:tcW w:w="1113"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110"/>
              <w:jc w:val="right"/>
              <w:rPr>
                <w:rFonts w:ascii="Times New Roman" w:hAnsi="Times New Roman" w:cs="Times New Roman" w:eastAsia="Times New Roman" w:hint="default"/>
                <w:sz w:val="18"/>
                <w:szCs w:val="18"/>
              </w:rPr>
            </w:pPr>
            <w:r>
              <w:rPr>
                <w:rFonts w:ascii="Times New Roman"/>
                <w:spacing w:val="-1"/>
                <w:sz w:val="18"/>
              </w:rPr>
              <w:t>0.00</w:t>
            </w:r>
          </w:p>
        </w:tc>
        <w:tc>
          <w:tcPr>
            <w:tcW w:w="1077"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135"/>
              <w:jc w:val="right"/>
              <w:rPr>
                <w:rFonts w:ascii="Times New Roman" w:hAnsi="Times New Roman" w:cs="Times New Roman" w:eastAsia="Times New Roman" w:hint="default"/>
                <w:sz w:val="18"/>
                <w:szCs w:val="18"/>
              </w:rPr>
            </w:pPr>
            <w:r>
              <w:rPr>
                <w:rFonts w:ascii="Times New Roman"/>
                <w:spacing w:val="-1"/>
                <w:sz w:val="18"/>
              </w:rPr>
              <w:t>0.00</w:t>
            </w:r>
          </w:p>
        </w:tc>
        <w:tc>
          <w:tcPr>
            <w:tcW w:w="1026"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107"/>
              <w:jc w:val="right"/>
              <w:rPr>
                <w:rFonts w:ascii="Times New Roman" w:hAnsi="Times New Roman" w:cs="Times New Roman" w:eastAsia="Times New Roman" w:hint="default"/>
                <w:sz w:val="18"/>
                <w:szCs w:val="18"/>
              </w:rPr>
            </w:pPr>
            <w:r>
              <w:rPr>
                <w:rFonts w:ascii="Times New Roman"/>
                <w:spacing w:val="-1"/>
                <w:sz w:val="18"/>
              </w:rPr>
              <w:t>0.00</w:t>
            </w:r>
          </w:p>
        </w:tc>
        <w:tc>
          <w:tcPr>
            <w:tcW w:w="1263"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right="108"/>
              <w:jc w:val="right"/>
              <w:rPr>
                <w:rFonts w:ascii="Times New Roman" w:hAnsi="Times New Roman" w:cs="Times New Roman" w:eastAsia="Times New Roman" w:hint="default"/>
                <w:sz w:val="18"/>
                <w:szCs w:val="18"/>
              </w:rPr>
            </w:pPr>
            <w:r>
              <w:rPr>
                <w:rFonts w:ascii="Times New Roman"/>
                <w:spacing w:val="-1"/>
                <w:sz w:val="18"/>
              </w:rPr>
              <w:t>184,361.40</w:t>
            </w:r>
          </w:p>
        </w:tc>
      </w:tr>
      <w:tr>
        <w:trPr>
          <w:trHeight w:val="305" w:hRule="exact"/>
        </w:trPr>
        <w:tc>
          <w:tcPr>
            <w:tcW w:w="2941"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21"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65"/>
              <w:jc w:val="right"/>
              <w:rPr>
                <w:rFonts w:ascii="Times New Roman" w:hAnsi="Times New Roman" w:cs="Times New Roman" w:eastAsia="Times New Roman" w:hint="default"/>
                <w:sz w:val="18"/>
                <w:szCs w:val="18"/>
              </w:rPr>
            </w:pPr>
            <w:r>
              <w:rPr>
                <w:rFonts w:ascii="Times New Roman"/>
                <w:b/>
                <w:spacing w:val="-1"/>
                <w:sz w:val="18"/>
              </w:rPr>
              <w:t>22,811,859.30</w:t>
            </w:r>
            <w:r>
              <w:rPr>
                <w:rFonts w:ascii="Times New Roman"/>
                <w:spacing w:val="-1"/>
                <w:sz w:val="18"/>
              </w:rPr>
            </w:r>
          </w:p>
        </w:tc>
        <w:tc>
          <w:tcPr>
            <w:tcW w:w="1113"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10"/>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077"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35"/>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026"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7"/>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263"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10"/>
              <w:jc w:val="right"/>
              <w:rPr>
                <w:rFonts w:ascii="Times New Roman" w:hAnsi="Times New Roman" w:cs="Times New Roman" w:eastAsia="Times New Roman" w:hint="default"/>
                <w:sz w:val="18"/>
                <w:szCs w:val="18"/>
              </w:rPr>
            </w:pPr>
            <w:r>
              <w:rPr>
                <w:rFonts w:ascii="Times New Roman"/>
                <w:b/>
                <w:spacing w:val="-1"/>
                <w:sz w:val="18"/>
              </w:rPr>
              <w:t>22,811,859.30</w:t>
            </w:r>
            <w:r>
              <w:rPr>
                <w:rFonts w:ascii="Times New Roman"/>
                <w:spacing w:val="-1"/>
                <w:sz w:val="18"/>
              </w:rPr>
            </w:r>
          </w:p>
        </w:tc>
      </w:tr>
    </w:tbl>
    <w:p>
      <w:pPr>
        <w:spacing w:line="328" w:lineRule="auto" w:before="81"/>
        <w:ind w:left="791" w:right="2981" w:hanging="147"/>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12.</w:t>
      </w:r>
      <w:r>
        <w:rPr>
          <w:rFonts w:ascii="Times New Roman" w:hAnsi="Times New Roman" w:cs="Times New Roman" w:eastAsia="Times New Roman" w:hint="default"/>
          <w:b/>
          <w:bCs/>
          <w:spacing w:val="10"/>
          <w:sz w:val="22"/>
          <w:szCs w:val="22"/>
        </w:rPr>
        <w:t> </w:t>
      </w:r>
      <w:r>
        <w:rPr>
          <w:rFonts w:ascii="宋体" w:hAnsi="宋体" w:cs="宋体" w:eastAsia="宋体" w:hint="default"/>
          <w:sz w:val="22"/>
          <w:szCs w:val="22"/>
        </w:rPr>
        <w:t>投资性房地产</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1"/>
          <w:sz w:val="22"/>
          <w:szCs w:val="22"/>
        </w:rPr>
        <w:t>采用公允价值计量模式的投资性房地产</w:t>
      </w:r>
    </w:p>
    <w:p>
      <w:pPr>
        <w:spacing w:line="240" w:lineRule="auto" w:before="6"/>
        <w:rPr>
          <w:rFonts w:ascii="宋体" w:hAnsi="宋体" w:cs="宋体" w:eastAsia="宋体" w:hint="default"/>
          <w:sz w:val="6"/>
          <w:szCs w:val="6"/>
        </w:rPr>
      </w:pPr>
    </w:p>
    <w:tbl>
      <w:tblPr>
        <w:tblW w:w="0" w:type="auto"/>
        <w:jc w:val="left"/>
        <w:tblInd w:w="134" w:type="dxa"/>
        <w:tblLayout w:type="fixed"/>
        <w:tblCellMar>
          <w:top w:w="0" w:type="dxa"/>
          <w:left w:w="0" w:type="dxa"/>
          <w:bottom w:w="0" w:type="dxa"/>
          <w:right w:w="0" w:type="dxa"/>
        </w:tblCellMar>
        <w:tblLook w:val="01E0"/>
      </w:tblPr>
      <w:tblGrid>
        <w:gridCol w:w="4656"/>
        <w:gridCol w:w="4070"/>
      </w:tblGrid>
      <w:tr>
        <w:trPr>
          <w:trHeight w:val="305" w:hRule="exact"/>
        </w:trPr>
        <w:tc>
          <w:tcPr>
            <w:tcW w:w="465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407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房屋建筑物</w:t>
            </w:r>
            <w:r>
              <w:rPr>
                <w:rFonts w:ascii="宋体" w:hAnsi="宋体" w:cs="宋体" w:eastAsia="宋体" w:hint="default"/>
                <w:sz w:val="18"/>
                <w:szCs w:val="18"/>
              </w:rPr>
            </w:r>
          </w:p>
        </w:tc>
      </w:tr>
      <w:tr>
        <w:trPr>
          <w:trHeight w:val="325" w:hRule="exact"/>
        </w:trPr>
        <w:tc>
          <w:tcPr>
            <w:tcW w:w="4656"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一、年初余额</w:t>
            </w:r>
          </w:p>
        </w:tc>
        <w:tc>
          <w:tcPr>
            <w:tcW w:w="4070"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15,300,000.00</w:t>
            </w:r>
          </w:p>
        </w:tc>
      </w:tr>
      <w:tr>
        <w:trPr>
          <w:trHeight w:val="286" w:hRule="exact"/>
        </w:trPr>
        <w:tc>
          <w:tcPr>
            <w:tcW w:w="4656"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二、本年变动</w:t>
            </w:r>
          </w:p>
        </w:tc>
        <w:tc>
          <w:tcPr>
            <w:tcW w:w="407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Times New Roman" w:hAnsi="Times New Roman" w:cs="Times New Roman" w:eastAsia="Times New Roman" w:hint="default"/>
                <w:sz w:val="18"/>
                <w:szCs w:val="18"/>
              </w:rPr>
            </w:pPr>
            <w:r>
              <w:rPr>
                <w:rFonts w:ascii="Times New Roman"/>
                <w:spacing w:val="-1"/>
                <w:sz w:val="18"/>
              </w:rPr>
              <w:t>-600,000.00</w:t>
            </w:r>
          </w:p>
        </w:tc>
      </w:tr>
      <w:tr>
        <w:trPr>
          <w:trHeight w:val="284" w:hRule="exact"/>
        </w:trPr>
        <w:tc>
          <w:tcPr>
            <w:tcW w:w="4656"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其中：公允价值变动</w:t>
            </w:r>
          </w:p>
        </w:tc>
        <w:tc>
          <w:tcPr>
            <w:tcW w:w="407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-1,794,889.76</w:t>
            </w:r>
          </w:p>
        </w:tc>
      </w:tr>
      <w:tr>
        <w:trPr>
          <w:trHeight w:val="284" w:hRule="exact"/>
        </w:trPr>
        <w:tc>
          <w:tcPr>
            <w:tcW w:w="4656" w:type="dxa"/>
            <w:tcBorders>
              <w:top w:val="nil" w:sz="6" w:space="0" w:color="auto"/>
              <w:left w:val="nil" w:sz="6" w:space="0" w:color="auto"/>
              <w:bottom w:val="nil" w:sz="6" w:space="0" w:color="auto"/>
              <w:right w:val="nil" w:sz="6" w:space="0" w:color="auto"/>
            </w:tcBorders>
          </w:tcPr>
          <w:p>
            <w:pPr>
              <w:pStyle w:val="TableParagraph"/>
              <w:spacing w:line="222" w:lineRule="exact"/>
              <w:ind w:left="650"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407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1,194,889.76</w:t>
            </w:r>
          </w:p>
        </w:tc>
      </w:tr>
      <w:tr>
        <w:trPr>
          <w:trHeight w:val="267" w:hRule="exact"/>
        </w:trPr>
        <w:tc>
          <w:tcPr>
            <w:tcW w:w="4656" w:type="dxa"/>
            <w:tcBorders>
              <w:top w:val="nil" w:sz="6" w:space="0" w:color="auto"/>
              <w:left w:val="nil" w:sz="6" w:space="0" w:color="auto"/>
              <w:bottom w:val="single" w:sz="12"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三、年末余额</w:t>
            </w:r>
          </w:p>
        </w:tc>
        <w:tc>
          <w:tcPr>
            <w:tcW w:w="407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14,700,000.00</w:t>
            </w:r>
          </w:p>
        </w:tc>
      </w:tr>
    </w:tbl>
    <w:p>
      <w:pPr>
        <w:spacing w:before="81"/>
        <w:ind w:left="64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13.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固定资产</w:t>
      </w:r>
    </w:p>
    <w:p>
      <w:pPr>
        <w:spacing w:line="240" w:lineRule="auto" w:before="5"/>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1718"/>
        <w:gridCol w:w="1302"/>
        <w:gridCol w:w="1136"/>
        <w:gridCol w:w="1251"/>
        <w:gridCol w:w="1056"/>
        <w:gridCol w:w="1057"/>
        <w:gridCol w:w="1256"/>
      </w:tblGrid>
      <w:tr>
        <w:trPr>
          <w:trHeight w:val="307" w:hRule="exact"/>
        </w:trPr>
        <w:tc>
          <w:tcPr>
            <w:tcW w:w="171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40"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30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54" w:right="0"/>
              <w:jc w:val="left"/>
              <w:rPr>
                <w:rFonts w:ascii="宋体" w:hAnsi="宋体" w:cs="宋体" w:eastAsia="宋体" w:hint="default"/>
                <w:sz w:val="18"/>
                <w:szCs w:val="18"/>
              </w:rPr>
            </w:pPr>
            <w:r>
              <w:rPr>
                <w:rFonts w:ascii="宋体" w:hAnsi="宋体" w:cs="宋体" w:eastAsia="宋体" w:hint="default"/>
                <w:b/>
                <w:bCs/>
                <w:sz w:val="18"/>
                <w:szCs w:val="18"/>
              </w:rPr>
              <w:t>房屋建筑物</w:t>
            </w:r>
            <w:r>
              <w:rPr>
                <w:rFonts w:ascii="宋体" w:hAnsi="宋体" w:cs="宋体" w:eastAsia="宋体" w:hint="default"/>
                <w:sz w:val="18"/>
                <w:szCs w:val="18"/>
              </w:rPr>
            </w:r>
          </w:p>
        </w:tc>
        <w:tc>
          <w:tcPr>
            <w:tcW w:w="113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65" w:right="0"/>
              <w:jc w:val="left"/>
              <w:rPr>
                <w:rFonts w:ascii="宋体" w:hAnsi="宋体" w:cs="宋体" w:eastAsia="宋体" w:hint="default"/>
                <w:sz w:val="18"/>
                <w:szCs w:val="18"/>
              </w:rPr>
            </w:pPr>
            <w:r>
              <w:rPr>
                <w:rFonts w:ascii="宋体" w:hAnsi="宋体" w:cs="宋体" w:eastAsia="宋体" w:hint="default"/>
                <w:b/>
                <w:bCs/>
                <w:sz w:val="18"/>
                <w:szCs w:val="18"/>
              </w:rPr>
              <w:t>电子设备</w:t>
            </w:r>
            <w:r>
              <w:rPr>
                <w:rFonts w:ascii="宋体" w:hAnsi="宋体" w:cs="宋体" w:eastAsia="宋体" w:hint="default"/>
                <w:sz w:val="18"/>
                <w:szCs w:val="18"/>
              </w:rPr>
            </w:r>
          </w:p>
        </w:tc>
        <w:tc>
          <w:tcPr>
            <w:tcW w:w="125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320" w:right="0"/>
              <w:jc w:val="left"/>
              <w:rPr>
                <w:rFonts w:ascii="宋体" w:hAnsi="宋体" w:cs="宋体" w:eastAsia="宋体" w:hint="default"/>
                <w:sz w:val="18"/>
                <w:szCs w:val="18"/>
              </w:rPr>
            </w:pPr>
            <w:r>
              <w:rPr>
                <w:rFonts w:ascii="宋体" w:hAnsi="宋体" w:cs="宋体" w:eastAsia="宋体" w:hint="default"/>
                <w:b/>
                <w:bCs/>
                <w:sz w:val="18"/>
                <w:szCs w:val="18"/>
              </w:rPr>
              <w:t>专用设备</w:t>
            </w:r>
            <w:r>
              <w:rPr>
                <w:rFonts w:ascii="宋体" w:hAnsi="宋体" w:cs="宋体" w:eastAsia="宋体" w:hint="default"/>
                <w:sz w:val="18"/>
                <w:szCs w:val="18"/>
              </w:rPr>
            </w:r>
          </w:p>
        </w:tc>
        <w:tc>
          <w:tcPr>
            <w:tcW w:w="105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76"/>
              <w:jc w:val="right"/>
              <w:rPr>
                <w:rFonts w:ascii="宋体" w:hAnsi="宋体" w:cs="宋体" w:eastAsia="宋体" w:hint="default"/>
                <w:sz w:val="18"/>
                <w:szCs w:val="18"/>
              </w:rPr>
            </w:pPr>
            <w:r>
              <w:rPr>
                <w:rFonts w:ascii="宋体" w:hAnsi="宋体" w:cs="宋体" w:eastAsia="宋体" w:hint="default"/>
                <w:b/>
                <w:bCs/>
                <w:w w:val="95"/>
                <w:sz w:val="18"/>
                <w:szCs w:val="18"/>
              </w:rPr>
              <w:t>通用设备</w:t>
            </w:r>
            <w:r>
              <w:rPr>
                <w:rFonts w:ascii="宋体" w:hAnsi="宋体" w:cs="宋体" w:eastAsia="宋体" w:hint="default"/>
                <w:sz w:val="18"/>
                <w:szCs w:val="18"/>
              </w:rPr>
            </w:r>
          </w:p>
        </w:tc>
        <w:tc>
          <w:tcPr>
            <w:tcW w:w="105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78"/>
              <w:jc w:val="right"/>
              <w:rPr>
                <w:rFonts w:ascii="宋体" w:hAnsi="宋体" w:cs="宋体" w:eastAsia="宋体" w:hint="default"/>
                <w:sz w:val="18"/>
                <w:szCs w:val="18"/>
              </w:rPr>
            </w:pPr>
            <w:r>
              <w:rPr>
                <w:rFonts w:ascii="宋体" w:hAnsi="宋体" w:cs="宋体" w:eastAsia="宋体" w:hint="default"/>
                <w:b/>
                <w:bCs/>
                <w:w w:val="95"/>
                <w:sz w:val="18"/>
                <w:szCs w:val="18"/>
              </w:rPr>
              <w:t>运输设备</w:t>
            </w:r>
            <w:r>
              <w:rPr>
                <w:rFonts w:ascii="宋体" w:hAnsi="宋体" w:cs="宋体" w:eastAsia="宋体" w:hint="default"/>
                <w:sz w:val="18"/>
                <w:szCs w:val="18"/>
              </w:rPr>
            </w:r>
          </w:p>
        </w:tc>
        <w:tc>
          <w:tcPr>
            <w:tcW w:w="125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313" w:hRule="exact"/>
        </w:trPr>
        <w:tc>
          <w:tcPr>
            <w:tcW w:w="1718"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40"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02" w:type="dxa"/>
            <w:tcBorders>
              <w:top w:val="single" w:sz="4" w:space="0" w:color="000000"/>
              <w:left w:val="nil" w:sz="6" w:space="0" w:color="auto"/>
              <w:bottom w:val="nil" w:sz="6" w:space="0" w:color="auto"/>
              <w:right w:val="nil" w:sz="6" w:space="0" w:color="auto"/>
            </w:tcBorders>
          </w:tcPr>
          <w:p>
            <w:pPr/>
          </w:p>
        </w:tc>
        <w:tc>
          <w:tcPr>
            <w:tcW w:w="1136" w:type="dxa"/>
            <w:tcBorders>
              <w:top w:val="single" w:sz="4" w:space="0" w:color="000000"/>
              <w:left w:val="nil" w:sz="6" w:space="0" w:color="auto"/>
              <w:bottom w:val="nil" w:sz="6" w:space="0" w:color="auto"/>
              <w:right w:val="nil" w:sz="6" w:space="0" w:color="auto"/>
            </w:tcBorders>
          </w:tcPr>
          <w:p>
            <w:pPr/>
          </w:p>
        </w:tc>
        <w:tc>
          <w:tcPr>
            <w:tcW w:w="1251" w:type="dxa"/>
            <w:tcBorders>
              <w:top w:val="single" w:sz="4" w:space="0" w:color="000000"/>
              <w:left w:val="nil" w:sz="6" w:space="0" w:color="auto"/>
              <w:bottom w:val="nil" w:sz="6" w:space="0" w:color="auto"/>
              <w:right w:val="nil" w:sz="6" w:space="0" w:color="auto"/>
            </w:tcBorders>
          </w:tcPr>
          <w:p>
            <w:pPr/>
          </w:p>
        </w:tc>
        <w:tc>
          <w:tcPr>
            <w:tcW w:w="1056" w:type="dxa"/>
            <w:tcBorders>
              <w:top w:val="single" w:sz="4" w:space="0" w:color="000000"/>
              <w:left w:val="nil" w:sz="6" w:space="0" w:color="auto"/>
              <w:bottom w:val="nil" w:sz="6" w:space="0" w:color="auto"/>
              <w:right w:val="nil" w:sz="6" w:space="0" w:color="auto"/>
            </w:tcBorders>
          </w:tcPr>
          <w:p>
            <w:pPr/>
          </w:p>
        </w:tc>
        <w:tc>
          <w:tcPr>
            <w:tcW w:w="1057" w:type="dxa"/>
            <w:tcBorders>
              <w:top w:val="single" w:sz="4" w:space="0" w:color="000000"/>
              <w:left w:val="nil" w:sz="6" w:space="0" w:color="auto"/>
              <w:bottom w:val="nil" w:sz="6" w:space="0" w:color="auto"/>
              <w:right w:val="nil" w:sz="6" w:space="0" w:color="auto"/>
            </w:tcBorders>
          </w:tcPr>
          <w:p>
            <w:pPr/>
          </w:p>
        </w:tc>
        <w:tc>
          <w:tcPr>
            <w:tcW w:w="1256" w:type="dxa"/>
            <w:tcBorders>
              <w:top w:val="single" w:sz="4" w:space="0" w:color="000000"/>
              <w:left w:val="nil" w:sz="6" w:space="0" w:color="auto"/>
              <w:bottom w:val="nil" w:sz="6" w:space="0" w:color="auto"/>
              <w:right w:val="nil" w:sz="6" w:space="0" w:color="auto"/>
            </w:tcBorders>
          </w:tcPr>
          <w:p>
            <w:pPr/>
          </w:p>
        </w:tc>
      </w:tr>
      <w:tr>
        <w:trPr>
          <w:trHeight w:val="296"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46"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年初余额</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32"/>
              <w:jc w:val="right"/>
              <w:rPr>
                <w:rFonts w:ascii="Times New Roman" w:hAnsi="Times New Roman" w:cs="Times New Roman" w:eastAsia="Times New Roman" w:hint="default"/>
                <w:sz w:val="16"/>
                <w:szCs w:val="16"/>
              </w:rPr>
            </w:pPr>
            <w:r>
              <w:rPr>
                <w:rFonts w:ascii="Times New Roman"/>
                <w:spacing w:val="-1"/>
                <w:sz w:val="16"/>
              </w:rPr>
              <w:t>3,721,620,755.88</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00"/>
              <w:jc w:val="right"/>
              <w:rPr>
                <w:rFonts w:ascii="Times New Roman" w:hAnsi="Times New Roman" w:cs="Times New Roman" w:eastAsia="Times New Roman" w:hint="default"/>
                <w:sz w:val="16"/>
                <w:szCs w:val="16"/>
              </w:rPr>
            </w:pPr>
            <w:r>
              <w:rPr>
                <w:rFonts w:ascii="Times New Roman"/>
                <w:spacing w:val="-1"/>
                <w:sz w:val="16"/>
              </w:rPr>
              <w:t>793,090,912.51</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6"/>
              <w:jc w:val="right"/>
              <w:rPr>
                <w:rFonts w:ascii="Times New Roman" w:hAnsi="Times New Roman" w:cs="Times New Roman" w:eastAsia="Times New Roman" w:hint="default"/>
                <w:sz w:val="16"/>
                <w:szCs w:val="16"/>
              </w:rPr>
            </w:pPr>
            <w:r>
              <w:rPr>
                <w:rFonts w:ascii="Times New Roman"/>
                <w:spacing w:val="-1"/>
                <w:sz w:val="16"/>
              </w:rPr>
              <w:t>4,447,716,462.62</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5"/>
              <w:jc w:val="right"/>
              <w:rPr>
                <w:rFonts w:ascii="Times New Roman" w:hAnsi="Times New Roman" w:cs="Times New Roman" w:eastAsia="Times New Roman" w:hint="default"/>
                <w:sz w:val="16"/>
                <w:szCs w:val="16"/>
              </w:rPr>
            </w:pPr>
            <w:r>
              <w:rPr>
                <w:rFonts w:ascii="Times New Roman"/>
                <w:spacing w:val="-1"/>
                <w:sz w:val="16"/>
              </w:rPr>
              <w:t>819,659,782.03</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6"/>
              <w:jc w:val="right"/>
              <w:rPr>
                <w:rFonts w:ascii="Times New Roman" w:hAnsi="Times New Roman" w:cs="Times New Roman" w:eastAsia="Times New Roman" w:hint="default"/>
                <w:sz w:val="16"/>
                <w:szCs w:val="16"/>
              </w:rPr>
            </w:pPr>
            <w:r>
              <w:rPr>
                <w:rFonts w:ascii="Times New Roman"/>
                <w:spacing w:val="-1"/>
                <w:sz w:val="16"/>
              </w:rPr>
              <w:t>167,989,668.38</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6"/>
              <w:jc w:val="right"/>
              <w:rPr>
                <w:rFonts w:ascii="Times New Roman" w:hAnsi="Times New Roman" w:cs="Times New Roman" w:eastAsia="Times New Roman" w:hint="default"/>
                <w:sz w:val="16"/>
                <w:szCs w:val="16"/>
              </w:rPr>
            </w:pPr>
            <w:r>
              <w:rPr>
                <w:rFonts w:ascii="Times New Roman"/>
                <w:spacing w:val="-1"/>
                <w:sz w:val="16"/>
              </w:rPr>
              <w:t>9,950,077,581.42</w:t>
            </w:r>
          </w:p>
        </w:tc>
      </w:tr>
      <w:tr>
        <w:trPr>
          <w:trHeight w:val="284"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本年增加金额</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3"/>
              <w:jc w:val="right"/>
              <w:rPr>
                <w:rFonts w:ascii="Times New Roman" w:hAnsi="Times New Roman" w:cs="Times New Roman" w:eastAsia="Times New Roman" w:hint="default"/>
                <w:sz w:val="16"/>
                <w:szCs w:val="16"/>
              </w:rPr>
            </w:pPr>
            <w:r>
              <w:rPr>
                <w:rFonts w:ascii="Times New Roman"/>
                <w:spacing w:val="-2"/>
                <w:sz w:val="16"/>
              </w:rPr>
              <w:t>94,943,506.13</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9"/>
              <w:jc w:val="right"/>
              <w:rPr>
                <w:rFonts w:ascii="Times New Roman" w:hAnsi="Times New Roman" w:cs="Times New Roman" w:eastAsia="Times New Roman" w:hint="default"/>
                <w:sz w:val="16"/>
                <w:szCs w:val="16"/>
              </w:rPr>
            </w:pPr>
            <w:r>
              <w:rPr>
                <w:rFonts w:ascii="Times New Roman"/>
                <w:spacing w:val="-2"/>
                <w:sz w:val="16"/>
              </w:rPr>
              <w:t>76,462,673.29</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6"/>
              <w:jc w:val="right"/>
              <w:rPr>
                <w:rFonts w:ascii="Times New Roman" w:hAnsi="Times New Roman" w:cs="Times New Roman" w:eastAsia="Times New Roman" w:hint="default"/>
                <w:sz w:val="16"/>
                <w:szCs w:val="16"/>
              </w:rPr>
            </w:pPr>
            <w:r>
              <w:rPr>
                <w:rFonts w:ascii="Times New Roman"/>
                <w:spacing w:val="-1"/>
                <w:sz w:val="16"/>
              </w:rPr>
              <w:t>206,728,812.54</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7"/>
              <w:jc w:val="right"/>
              <w:rPr>
                <w:rFonts w:ascii="Times New Roman" w:hAnsi="Times New Roman" w:cs="Times New Roman" w:eastAsia="Times New Roman" w:hint="default"/>
                <w:sz w:val="16"/>
                <w:szCs w:val="16"/>
              </w:rPr>
            </w:pPr>
            <w:r>
              <w:rPr>
                <w:rFonts w:ascii="Times New Roman"/>
                <w:spacing w:val="-2"/>
                <w:sz w:val="16"/>
              </w:rPr>
              <w:t>22,998,523.89</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6"/>
              <w:jc w:val="right"/>
              <w:rPr>
                <w:rFonts w:ascii="Times New Roman" w:hAnsi="Times New Roman" w:cs="Times New Roman" w:eastAsia="Times New Roman" w:hint="default"/>
                <w:sz w:val="16"/>
                <w:szCs w:val="16"/>
              </w:rPr>
            </w:pPr>
            <w:r>
              <w:rPr>
                <w:rFonts w:ascii="Times New Roman"/>
                <w:spacing w:val="-2"/>
                <w:sz w:val="16"/>
              </w:rPr>
              <w:t>12,891,950.06</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6"/>
              <w:jc w:val="right"/>
              <w:rPr>
                <w:rFonts w:ascii="Times New Roman" w:hAnsi="Times New Roman" w:cs="Times New Roman" w:eastAsia="Times New Roman" w:hint="default"/>
                <w:sz w:val="16"/>
                <w:szCs w:val="16"/>
              </w:rPr>
            </w:pPr>
            <w:r>
              <w:rPr>
                <w:rFonts w:ascii="Times New Roman"/>
                <w:spacing w:val="-1"/>
                <w:sz w:val="16"/>
              </w:rPr>
              <w:t>414,025,465.91</w:t>
            </w:r>
          </w:p>
        </w:tc>
      </w:tr>
      <w:tr>
        <w:trPr>
          <w:trHeight w:val="284"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7"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Times New Roman" w:hAnsi="Times New Roman" w:cs="Times New Roman" w:eastAsia="Times New Roman" w:hint="default"/>
                <w:sz w:val="16"/>
                <w:szCs w:val="16"/>
              </w:rPr>
            </w:pPr>
            <w:r>
              <w:rPr>
                <w:rFonts w:ascii="Times New Roman"/>
                <w:spacing w:val="-2"/>
                <w:sz w:val="16"/>
              </w:rPr>
              <w:t>18,674,584.53</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9"/>
              <w:jc w:val="right"/>
              <w:rPr>
                <w:rFonts w:ascii="Times New Roman" w:hAnsi="Times New Roman" w:cs="Times New Roman" w:eastAsia="Times New Roman" w:hint="default"/>
                <w:sz w:val="16"/>
                <w:szCs w:val="16"/>
              </w:rPr>
            </w:pPr>
            <w:r>
              <w:rPr>
                <w:rFonts w:ascii="Times New Roman"/>
                <w:spacing w:val="-2"/>
                <w:sz w:val="16"/>
              </w:rPr>
              <w:t>64,218,146.22</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7"/>
              <w:jc w:val="right"/>
              <w:rPr>
                <w:rFonts w:ascii="Times New Roman" w:hAnsi="Times New Roman" w:cs="Times New Roman" w:eastAsia="Times New Roman" w:hint="default"/>
                <w:sz w:val="16"/>
                <w:szCs w:val="16"/>
              </w:rPr>
            </w:pPr>
            <w:r>
              <w:rPr>
                <w:rFonts w:ascii="Times New Roman"/>
                <w:spacing w:val="-2"/>
                <w:sz w:val="16"/>
              </w:rPr>
              <w:t>56,054,175.99</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5"/>
              <w:jc w:val="right"/>
              <w:rPr>
                <w:rFonts w:ascii="Times New Roman" w:hAnsi="Times New Roman" w:cs="Times New Roman" w:eastAsia="Times New Roman" w:hint="default"/>
                <w:sz w:val="16"/>
                <w:szCs w:val="16"/>
              </w:rPr>
            </w:pPr>
            <w:r>
              <w:rPr>
                <w:rFonts w:ascii="Times New Roman"/>
                <w:spacing w:val="-2"/>
                <w:sz w:val="16"/>
              </w:rPr>
              <w:t>18,933,184.13</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
              <w:jc w:val="right"/>
              <w:rPr>
                <w:rFonts w:ascii="Times New Roman" w:hAnsi="Times New Roman" w:cs="Times New Roman" w:eastAsia="Times New Roman" w:hint="default"/>
                <w:sz w:val="16"/>
                <w:szCs w:val="16"/>
              </w:rPr>
            </w:pPr>
            <w:r>
              <w:rPr>
                <w:rFonts w:ascii="Times New Roman"/>
                <w:spacing w:val="-2"/>
                <w:sz w:val="16"/>
              </w:rPr>
              <w:t>12,329,272.51</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
              <w:jc w:val="right"/>
              <w:rPr>
                <w:rFonts w:ascii="Times New Roman" w:hAnsi="Times New Roman" w:cs="Times New Roman" w:eastAsia="Times New Roman" w:hint="default"/>
                <w:sz w:val="16"/>
                <w:szCs w:val="16"/>
              </w:rPr>
            </w:pPr>
            <w:r>
              <w:rPr>
                <w:rFonts w:ascii="Times New Roman"/>
                <w:spacing w:val="-1"/>
                <w:sz w:val="16"/>
              </w:rPr>
              <w:t>170,209,363.38</w:t>
            </w:r>
          </w:p>
        </w:tc>
      </w:tr>
      <w:tr>
        <w:trPr>
          <w:trHeight w:val="286"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）在建工程转入</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1"/>
              <w:jc w:val="right"/>
              <w:rPr>
                <w:rFonts w:ascii="Times New Roman" w:hAnsi="Times New Roman" w:cs="Times New Roman" w:eastAsia="Times New Roman" w:hint="default"/>
                <w:sz w:val="16"/>
                <w:szCs w:val="16"/>
              </w:rPr>
            </w:pPr>
            <w:r>
              <w:rPr>
                <w:rFonts w:ascii="Times New Roman"/>
                <w:spacing w:val="-2"/>
                <w:sz w:val="16"/>
              </w:rPr>
              <w:t>72,638,569.78</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9"/>
              <w:jc w:val="right"/>
              <w:rPr>
                <w:rFonts w:ascii="Times New Roman" w:hAnsi="Times New Roman" w:cs="Times New Roman" w:eastAsia="Times New Roman" w:hint="default"/>
                <w:sz w:val="16"/>
                <w:szCs w:val="16"/>
              </w:rPr>
            </w:pPr>
            <w:r>
              <w:rPr>
                <w:rFonts w:ascii="Times New Roman"/>
                <w:spacing w:val="-1"/>
                <w:sz w:val="16"/>
              </w:rPr>
              <w:t>701,730.85</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7"/>
              <w:jc w:val="right"/>
              <w:rPr>
                <w:rFonts w:ascii="Times New Roman" w:hAnsi="Times New Roman" w:cs="Times New Roman" w:eastAsia="Times New Roman" w:hint="default"/>
                <w:sz w:val="16"/>
                <w:szCs w:val="16"/>
              </w:rPr>
            </w:pPr>
            <w:r>
              <w:rPr>
                <w:rFonts w:ascii="Times New Roman"/>
                <w:spacing w:val="-2"/>
                <w:sz w:val="16"/>
              </w:rPr>
              <w:t>99,819,236.58</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1,810,456.38</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1"/>
                <w:sz w:val="16"/>
              </w:rPr>
              <w:t>174,969,993.59</w:t>
            </w:r>
          </w:p>
        </w:tc>
      </w:tr>
      <w:tr>
        <w:trPr>
          <w:trHeight w:val="286"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1"/>
              <w:jc w:val="right"/>
              <w:rPr>
                <w:rFonts w:ascii="Times New Roman" w:hAnsi="Times New Roman" w:cs="Times New Roman" w:eastAsia="Times New Roman" w:hint="default"/>
                <w:sz w:val="16"/>
                <w:szCs w:val="16"/>
              </w:rPr>
            </w:pPr>
            <w:r>
              <w:rPr>
                <w:rFonts w:ascii="Times New Roman"/>
                <w:spacing w:val="-1"/>
                <w:sz w:val="16"/>
              </w:rPr>
              <w:t>0.00</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9"/>
              <w:jc w:val="right"/>
              <w:rPr>
                <w:rFonts w:ascii="Times New Roman" w:hAnsi="Times New Roman" w:cs="Times New Roman" w:eastAsia="Times New Roman" w:hint="default"/>
                <w:sz w:val="16"/>
                <w:szCs w:val="16"/>
              </w:rPr>
            </w:pPr>
            <w:r>
              <w:rPr>
                <w:rFonts w:ascii="Times New Roman"/>
                <w:spacing w:val="-2"/>
                <w:sz w:val="16"/>
              </w:rPr>
              <w:t>11,362,109.37</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2"/>
                <w:sz w:val="16"/>
              </w:rPr>
              <w:t>49,192,469.04</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437,862.63</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126,800.00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2"/>
                <w:sz w:val="16"/>
              </w:rPr>
              <w:t>61,119,241.04</w:t>
            </w:r>
          </w:p>
        </w:tc>
      </w:tr>
      <w:tr>
        <w:trPr>
          <w:trHeight w:val="285"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）其他变动增加</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1"/>
              <w:jc w:val="right"/>
              <w:rPr>
                <w:rFonts w:ascii="Times New Roman" w:hAnsi="Times New Roman" w:cs="Times New Roman" w:eastAsia="Times New Roman" w:hint="default"/>
                <w:sz w:val="16"/>
                <w:szCs w:val="16"/>
              </w:rPr>
            </w:pPr>
            <w:r>
              <w:rPr>
                <w:rFonts w:ascii="Times New Roman"/>
                <w:spacing w:val="-1"/>
                <w:sz w:val="16"/>
              </w:rPr>
              <w:t>3,630,351.82</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9"/>
              <w:jc w:val="right"/>
              <w:rPr>
                <w:rFonts w:ascii="Times New Roman" w:hAnsi="Times New Roman" w:cs="Times New Roman" w:eastAsia="Times New Roman" w:hint="default"/>
                <w:sz w:val="16"/>
                <w:szCs w:val="16"/>
              </w:rPr>
            </w:pPr>
            <w:r>
              <w:rPr>
                <w:rFonts w:ascii="Times New Roman"/>
                <w:spacing w:val="-1"/>
                <w:sz w:val="16"/>
              </w:rPr>
              <w:t>180,686.85</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6"/>
                <w:szCs w:val="16"/>
              </w:rPr>
            </w:pPr>
            <w:r>
              <w:rPr>
                <w:rFonts w:ascii="Times New Roman"/>
                <w:spacing w:val="-1"/>
                <w:sz w:val="16"/>
              </w:rPr>
              <w:t>1,662,930.93</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6"/>
                <w:szCs w:val="16"/>
              </w:rPr>
            </w:pPr>
            <w:r>
              <w:rPr>
                <w:rFonts w:ascii="Times New Roman"/>
                <w:spacing w:val="-1"/>
                <w:sz w:val="16"/>
              </w:rPr>
              <w:t>1,817,020.75</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6"/>
                <w:szCs w:val="16"/>
              </w:rPr>
            </w:pPr>
            <w:r>
              <w:rPr>
                <w:rFonts w:ascii="Times New Roman"/>
                <w:spacing w:val="-1"/>
                <w:sz w:val="16"/>
              </w:rPr>
              <w:t>435,877.55</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6"/>
              <w:jc w:val="right"/>
              <w:rPr>
                <w:rFonts w:ascii="Times New Roman" w:hAnsi="Times New Roman" w:cs="Times New Roman" w:eastAsia="Times New Roman" w:hint="default"/>
                <w:sz w:val="16"/>
                <w:szCs w:val="16"/>
              </w:rPr>
            </w:pPr>
            <w:r>
              <w:rPr>
                <w:rFonts w:ascii="Times New Roman"/>
                <w:spacing w:val="-1"/>
                <w:sz w:val="16"/>
              </w:rPr>
              <w:t>7,726,867.90</w:t>
            </w:r>
          </w:p>
        </w:tc>
      </w:tr>
      <w:tr>
        <w:trPr>
          <w:trHeight w:val="284"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7"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本年减少金额</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1"/>
              <w:jc w:val="right"/>
              <w:rPr>
                <w:rFonts w:ascii="Times New Roman" w:hAnsi="Times New Roman" w:cs="Times New Roman" w:eastAsia="Times New Roman" w:hint="default"/>
                <w:sz w:val="16"/>
                <w:szCs w:val="16"/>
              </w:rPr>
            </w:pPr>
            <w:r>
              <w:rPr>
                <w:rFonts w:ascii="Times New Roman"/>
                <w:spacing w:val="-2"/>
                <w:sz w:val="16"/>
              </w:rPr>
              <w:t>69,583,491.77</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9"/>
              <w:jc w:val="right"/>
              <w:rPr>
                <w:rFonts w:ascii="Times New Roman" w:hAnsi="Times New Roman" w:cs="Times New Roman" w:eastAsia="Times New Roman" w:hint="default"/>
                <w:sz w:val="16"/>
                <w:szCs w:val="16"/>
              </w:rPr>
            </w:pPr>
            <w:r>
              <w:rPr>
                <w:rFonts w:ascii="Times New Roman"/>
                <w:spacing w:val="-2"/>
                <w:sz w:val="16"/>
              </w:rPr>
              <w:t>44,312,551.64</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5"/>
              <w:jc w:val="right"/>
              <w:rPr>
                <w:rFonts w:ascii="Times New Roman" w:hAnsi="Times New Roman" w:cs="Times New Roman" w:eastAsia="Times New Roman" w:hint="default"/>
                <w:sz w:val="16"/>
                <w:szCs w:val="16"/>
              </w:rPr>
            </w:pPr>
            <w:r>
              <w:rPr>
                <w:rFonts w:ascii="Times New Roman"/>
                <w:spacing w:val="-2"/>
                <w:sz w:val="16"/>
              </w:rPr>
              <w:t>20,728,004.09</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5"/>
              <w:jc w:val="right"/>
              <w:rPr>
                <w:rFonts w:ascii="Times New Roman" w:hAnsi="Times New Roman" w:cs="Times New Roman" w:eastAsia="Times New Roman" w:hint="default"/>
                <w:sz w:val="16"/>
                <w:szCs w:val="16"/>
              </w:rPr>
            </w:pPr>
            <w:r>
              <w:rPr>
                <w:rFonts w:ascii="Times New Roman"/>
                <w:spacing w:val="-2"/>
                <w:sz w:val="16"/>
              </w:rPr>
              <w:t>29,007,667.20</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
              <w:jc w:val="right"/>
              <w:rPr>
                <w:rFonts w:ascii="Times New Roman" w:hAnsi="Times New Roman" w:cs="Times New Roman" w:eastAsia="Times New Roman" w:hint="default"/>
                <w:sz w:val="16"/>
                <w:szCs w:val="16"/>
              </w:rPr>
            </w:pPr>
            <w:r>
              <w:rPr>
                <w:rFonts w:ascii="Times New Roman"/>
                <w:spacing w:val="-2"/>
                <w:sz w:val="16"/>
              </w:rPr>
              <w:t>14,671,361.77</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
              <w:jc w:val="right"/>
              <w:rPr>
                <w:rFonts w:ascii="Times New Roman" w:hAnsi="Times New Roman" w:cs="Times New Roman" w:eastAsia="Times New Roman" w:hint="default"/>
                <w:sz w:val="16"/>
                <w:szCs w:val="16"/>
              </w:rPr>
            </w:pPr>
            <w:r>
              <w:rPr>
                <w:rFonts w:ascii="Times New Roman"/>
                <w:spacing w:val="-1"/>
                <w:sz w:val="16"/>
              </w:rPr>
              <w:t>178,303,076.47</w:t>
            </w:r>
          </w:p>
        </w:tc>
      </w:tr>
      <w:tr>
        <w:trPr>
          <w:trHeight w:val="286"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1"/>
              <w:jc w:val="right"/>
              <w:rPr>
                <w:rFonts w:ascii="Times New Roman" w:hAnsi="Times New Roman" w:cs="Times New Roman" w:eastAsia="Times New Roman" w:hint="default"/>
                <w:sz w:val="16"/>
                <w:szCs w:val="16"/>
              </w:rPr>
            </w:pPr>
            <w:r>
              <w:rPr>
                <w:rFonts w:ascii="Times New Roman"/>
                <w:spacing w:val="-2"/>
                <w:sz w:val="16"/>
              </w:rPr>
              <w:t>39,600,476.36</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9"/>
              <w:jc w:val="right"/>
              <w:rPr>
                <w:rFonts w:ascii="Times New Roman" w:hAnsi="Times New Roman" w:cs="Times New Roman" w:eastAsia="Times New Roman" w:hint="default"/>
                <w:sz w:val="16"/>
                <w:szCs w:val="16"/>
              </w:rPr>
            </w:pPr>
            <w:r>
              <w:rPr>
                <w:rFonts w:ascii="Times New Roman"/>
                <w:spacing w:val="-2"/>
                <w:sz w:val="16"/>
              </w:rPr>
              <w:t>10,735,825.11</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2"/>
                <w:sz w:val="16"/>
              </w:rPr>
              <w:t>19,184,399.25</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2"/>
                <w:sz w:val="16"/>
              </w:rPr>
              <w:t>10,425,279.68</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2"/>
                <w:sz w:val="16"/>
              </w:rPr>
              <w:t>10,641,037.91</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2"/>
                <w:sz w:val="16"/>
              </w:rPr>
              <w:t>90,587,018.31</w:t>
            </w:r>
          </w:p>
        </w:tc>
      </w:tr>
      <w:tr>
        <w:trPr>
          <w:trHeight w:val="286"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）企业合并减少</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1"/>
              <w:jc w:val="right"/>
              <w:rPr>
                <w:rFonts w:ascii="Times New Roman" w:hAnsi="Times New Roman" w:cs="Times New Roman" w:eastAsia="Times New Roman" w:hint="default"/>
                <w:sz w:val="16"/>
                <w:szCs w:val="16"/>
              </w:rPr>
            </w:pPr>
            <w:r>
              <w:rPr>
                <w:rFonts w:ascii="Times New Roman"/>
                <w:spacing w:val="-2"/>
                <w:sz w:val="16"/>
              </w:rPr>
              <w:t>29,042,483.13</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9"/>
              <w:jc w:val="right"/>
              <w:rPr>
                <w:rFonts w:ascii="Times New Roman" w:hAnsi="Times New Roman" w:cs="Times New Roman" w:eastAsia="Times New Roman" w:hint="default"/>
                <w:sz w:val="16"/>
                <w:szCs w:val="16"/>
              </w:rPr>
            </w:pPr>
            <w:r>
              <w:rPr>
                <w:rFonts w:ascii="Times New Roman"/>
                <w:spacing w:val="-2"/>
                <w:sz w:val="16"/>
              </w:rPr>
              <w:t>33,434,782.35</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1,543,604.84</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2"/>
                <w:sz w:val="16"/>
              </w:rPr>
              <w:t>18,582,387.52</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1"/>
                <w:sz w:val="16"/>
              </w:rPr>
              <w:t>3,817,211.52</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2"/>
                <w:sz w:val="16"/>
              </w:rPr>
              <w:t>86,420,469.36</w:t>
            </w:r>
          </w:p>
        </w:tc>
      </w:tr>
      <w:tr>
        <w:trPr>
          <w:trHeight w:val="284"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）其他变动减少</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1"/>
              <w:jc w:val="right"/>
              <w:rPr>
                <w:rFonts w:ascii="Times New Roman" w:hAnsi="Times New Roman" w:cs="Times New Roman" w:eastAsia="Times New Roman" w:hint="default"/>
                <w:sz w:val="16"/>
                <w:szCs w:val="16"/>
              </w:rPr>
            </w:pPr>
            <w:r>
              <w:rPr>
                <w:rFonts w:ascii="Times New Roman"/>
                <w:spacing w:val="-1"/>
                <w:sz w:val="16"/>
              </w:rPr>
              <w:t>940,532.28</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9"/>
              <w:jc w:val="right"/>
              <w:rPr>
                <w:rFonts w:ascii="Times New Roman" w:hAnsi="Times New Roman" w:cs="Times New Roman" w:eastAsia="Times New Roman" w:hint="default"/>
                <w:sz w:val="16"/>
                <w:szCs w:val="16"/>
              </w:rPr>
            </w:pPr>
            <w:r>
              <w:rPr>
                <w:rFonts w:ascii="Times New Roman"/>
                <w:spacing w:val="-1"/>
                <w:sz w:val="16"/>
              </w:rPr>
              <w:t>141,944.18</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6"/>
                <w:szCs w:val="16"/>
              </w:rPr>
            </w:pPr>
            <w:r>
              <w:rPr>
                <w:rFonts w:ascii="Times New Roman"/>
                <w:spacing w:val="-1"/>
                <w:sz w:val="16"/>
              </w:rPr>
              <w:t>0.00</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6"/>
                <w:szCs w:val="16"/>
              </w:rPr>
            </w:pPr>
            <w:r>
              <w:rPr>
                <w:rFonts w:ascii="Times New Roman"/>
                <w:spacing w:val="-1"/>
                <w:sz w:val="16"/>
              </w:rPr>
              <w:t>0.00</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6"/>
                <w:szCs w:val="16"/>
              </w:rPr>
            </w:pPr>
            <w:r>
              <w:rPr>
                <w:rFonts w:ascii="Times New Roman"/>
                <w:spacing w:val="-1"/>
                <w:sz w:val="16"/>
              </w:rPr>
              <w:t>213,112.34</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6"/>
              <w:jc w:val="right"/>
              <w:rPr>
                <w:rFonts w:ascii="Times New Roman" w:hAnsi="Times New Roman" w:cs="Times New Roman" w:eastAsia="Times New Roman" w:hint="default"/>
                <w:sz w:val="16"/>
                <w:szCs w:val="16"/>
              </w:rPr>
            </w:pPr>
            <w:r>
              <w:rPr>
                <w:rFonts w:ascii="Times New Roman"/>
                <w:spacing w:val="-1"/>
                <w:sz w:val="16"/>
              </w:rPr>
              <w:t>1,295,588.80</w:t>
            </w:r>
          </w:p>
        </w:tc>
      </w:tr>
      <w:tr>
        <w:trPr>
          <w:trHeight w:val="256" w:hRule="exact"/>
        </w:trPr>
        <w:tc>
          <w:tcPr>
            <w:tcW w:w="1718" w:type="dxa"/>
            <w:tcBorders>
              <w:top w:val="nil" w:sz="6" w:space="0" w:color="auto"/>
              <w:left w:val="nil" w:sz="6" w:space="0" w:color="auto"/>
              <w:bottom w:val="single" w:sz="4" w:space="0" w:color="000000"/>
              <w:right w:val="nil" w:sz="6" w:space="0" w:color="auto"/>
            </w:tcBorders>
          </w:tcPr>
          <w:p>
            <w:pPr>
              <w:pStyle w:val="TableParagraph"/>
              <w:spacing w:line="237"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年末余额</w:t>
            </w:r>
          </w:p>
        </w:tc>
        <w:tc>
          <w:tcPr>
            <w:tcW w:w="1302"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32"/>
              <w:jc w:val="right"/>
              <w:rPr>
                <w:rFonts w:ascii="Times New Roman" w:hAnsi="Times New Roman" w:cs="Times New Roman" w:eastAsia="Times New Roman" w:hint="default"/>
                <w:sz w:val="16"/>
                <w:szCs w:val="16"/>
              </w:rPr>
            </w:pPr>
            <w:r>
              <w:rPr>
                <w:rFonts w:ascii="Times New Roman"/>
                <w:spacing w:val="-1"/>
                <w:sz w:val="16"/>
              </w:rPr>
              <w:t>3,746,980,770.24</w:t>
            </w:r>
          </w:p>
        </w:tc>
        <w:tc>
          <w:tcPr>
            <w:tcW w:w="1136"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100"/>
              <w:jc w:val="right"/>
              <w:rPr>
                <w:rFonts w:ascii="Times New Roman" w:hAnsi="Times New Roman" w:cs="Times New Roman" w:eastAsia="Times New Roman" w:hint="default"/>
                <w:sz w:val="16"/>
                <w:szCs w:val="16"/>
              </w:rPr>
            </w:pPr>
            <w:r>
              <w:rPr>
                <w:rFonts w:ascii="Times New Roman"/>
                <w:spacing w:val="-1"/>
                <w:sz w:val="16"/>
              </w:rPr>
              <w:t>825,241,034.16</w:t>
            </w:r>
          </w:p>
        </w:tc>
        <w:tc>
          <w:tcPr>
            <w:tcW w:w="1251"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26"/>
              <w:jc w:val="right"/>
              <w:rPr>
                <w:rFonts w:ascii="Times New Roman" w:hAnsi="Times New Roman" w:cs="Times New Roman" w:eastAsia="Times New Roman" w:hint="default"/>
                <w:sz w:val="16"/>
                <w:szCs w:val="16"/>
              </w:rPr>
            </w:pPr>
            <w:r>
              <w:rPr>
                <w:rFonts w:ascii="Times New Roman"/>
                <w:spacing w:val="-1"/>
                <w:sz w:val="16"/>
              </w:rPr>
              <w:t>4,633,717,271.07</w:t>
            </w:r>
          </w:p>
        </w:tc>
        <w:tc>
          <w:tcPr>
            <w:tcW w:w="1056"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25"/>
              <w:jc w:val="right"/>
              <w:rPr>
                <w:rFonts w:ascii="Times New Roman" w:hAnsi="Times New Roman" w:cs="Times New Roman" w:eastAsia="Times New Roman" w:hint="default"/>
                <w:sz w:val="16"/>
                <w:szCs w:val="16"/>
              </w:rPr>
            </w:pPr>
            <w:r>
              <w:rPr>
                <w:rFonts w:ascii="Times New Roman"/>
                <w:spacing w:val="-1"/>
                <w:sz w:val="16"/>
              </w:rPr>
              <w:t>813,650,638.72</w:t>
            </w:r>
          </w:p>
        </w:tc>
        <w:tc>
          <w:tcPr>
            <w:tcW w:w="1057"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26"/>
              <w:jc w:val="right"/>
              <w:rPr>
                <w:rFonts w:ascii="Times New Roman" w:hAnsi="Times New Roman" w:cs="Times New Roman" w:eastAsia="Times New Roman" w:hint="default"/>
                <w:sz w:val="16"/>
                <w:szCs w:val="16"/>
              </w:rPr>
            </w:pPr>
            <w:r>
              <w:rPr>
                <w:rFonts w:ascii="Times New Roman"/>
                <w:spacing w:val="-1"/>
                <w:sz w:val="16"/>
              </w:rPr>
              <w:t>166,210,256.67</w:t>
            </w:r>
          </w:p>
        </w:tc>
        <w:tc>
          <w:tcPr>
            <w:tcW w:w="1256"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26"/>
              <w:jc w:val="right"/>
              <w:rPr>
                <w:rFonts w:ascii="Times New Roman" w:hAnsi="Times New Roman" w:cs="Times New Roman" w:eastAsia="Times New Roman" w:hint="default"/>
                <w:sz w:val="16"/>
                <w:szCs w:val="16"/>
              </w:rPr>
            </w:pPr>
            <w:r>
              <w:rPr>
                <w:rFonts w:ascii="Times New Roman"/>
                <w:spacing w:val="-2"/>
                <w:sz w:val="16"/>
              </w:rPr>
              <w:t>10,185,799,970.86</w:t>
            </w:r>
          </w:p>
        </w:tc>
      </w:tr>
      <w:tr>
        <w:trPr>
          <w:trHeight w:val="315" w:hRule="exact"/>
        </w:trPr>
        <w:tc>
          <w:tcPr>
            <w:tcW w:w="1718"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40"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302" w:type="dxa"/>
            <w:tcBorders>
              <w:top w:val="single" w:sz="4" w:space="0" w:color="000000"/>
              <w:left w:val="nil" w:sz="6" w:space="0" w:color="auto"/>
              <w:bottom w:val="nil" w:sz="6" w:space="0" w:color="auto"/>
              <w:right w:val="nil" w:sz="6" w:space="0" w:color="auto"/>
            </w:tcBorders>
          </w:tcPr>
          <w:p>
            <w:pPr/>
          </w:p>
        </w:tc>
        <w:tc>
          <w:tcPr>
            <w:tcW w:w="1136" w:type="dxa"/>
            <w:tcBorders>
              <w:top w:val="single" w:sz="4" w:space="0" w:color="000000"/>
              <w:left w:val="nil" w:sz="6" w:space="0" w:color="auto"/>
              <w:bottom w:val="nil" w:sz="6" w:space="0" w:color="auto"/>
              <w:right w:val="nil" w:sz="6" w:space="0" w:color="auto"/>
            </w:tcBorders>
          </w:tcPr>
          <w:p>
            <w:pPr/>
          </w:p>
        </w:tc>
        <w:tc>
          <w:tcPr>
            <w:tcW w:w="1251" w:type="dxa"/>
            <w:tcBorders>
              <w:top w:val="single" w:sz="4" w:space="0" w:color="000000"/>
              <w:left w:val="nil" w:sz="6" w:space="0" w:color="auto"/>
              <w:bottom w:val="nil" w:sz="6" w:space="0" w:color="auto"/>
              <w:right w:val="nil" w:sz="6" w:space="0" w:color="auto"/>
            </w:tcBorders>
          </w:tcPr>
          <w:p>
            <w:pPr/>
          </w:p>
        </w:tc>
        <w:tc>
          <w:tcPr>
            <w:tcW w:w="1056" w:type="dxa"/>
            <w:tcBorders>
              <w:top w:val="single" w:sz="4" w:space="0" w:color="000000"/>
              <w:left w:val="nil" w:sz="6" w:space="0" w:color="auto"/>
              <w:bottom w:val="nil" w:sz="6" w:space="0" w:color="auto"/>
              <w:right w:val="nil" w:sz="6" w:space="0" w:color="auto"/>
            </w:tcBorders>
          </w:tcPr>
          <w:p>
            <w:pPr/>
          </w:p>
        </w:tc>
        <w:tc>
          <w:tcPr>
            <w:tcW w:w="1057" w:type="dxa"/>
            <w:tcBorders>
              <w:top w:val="single" w:sz="4" w:space="0" w:color="000000"/>
              <w:left w:val="nil" w:sz="6" w:space="0" w:color="auto"/>
              <w:bottom w:val="nil" w:sz="6" w:space="0" w:color="auto"/>
              <w:right w:val="nil" w:sz="6" w:space="0" w:color="auto"/>
            </w:tcBorders>
          </w:tcPr>
          <w:p>
            <w:pPr/>
          </w:p>
        </w:tc>
        <w:tc>
          <w:tcPr>
            <w:tcW w:w="1256" w:type="dxa"/>
            <w:tcBorders>
              <w:top w:val="single" w:sz="4" w:space="0" w:color="000000"/>
              <w:left w:val="nil" w:sz="6" w:space="0" w:color="auto"/>
              <w:bottom w:val="nil" w:sz="6" w:space="0" w:color="auto"/>
              <w:right w:val="nil" w:sz="6" w:space="0" w:color="auto"/>
            </w:tcBorders>
          </w:tcPr>
          <w:p>
            <w:pPr/>
          </w:p>
        </w:tc>
      </w:tr>
      <w:tr>
        <w:trPr>
          <w:trHeight w:val="295"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45"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年初余额</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2"/>
              <w:jc w:val="right"/>
              <w:rPr>
                <w:rFonts w:ascii="Times New Roman" w:hAnsi="Times New Roman" w:cs="Times New Roman" w:eastAsia="Times New Roman" w:hint="default"/>
                <w:sz w:val="16"/>
                <w:szCs w:val="16"/>
              </w:rPr>
            </w:pPr>
            <w:r>
              <w:rPr>
                <w:rFonts w:ascii="Times New Roman"/>
                <w:spacing w:val="-1"/>
                <w:sz w:val="16"/>
              </w:rPr>
              <w:t>925,192,588.41</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0"/>
              <w:jc w:val="right"/>
              <w:rPr>
                <w:rFonts w:ascii="Times New Roman" w:hAnsi="Times New Roman" w:cs="Times New Roman" w:eastAsia="Times New Roman" w:hint="default"/>
                <w:sz w:val="16"/>
                <w:szCs w:val="16"/>
              </w:rPr>
            </w:pPr>
            <w:r>
              <w:rPr>
                <w:rFonts w:ascii="Times New Roman"/>
                <w:spacing w:val="-1"/>
                <w:sz w:val="16"/>
              </w:rPr>
              <w:t>553,521,939.42</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
              <w:jc w:val="right"/>
              <w:rPr>
                <w:rFonts w:ascii="Times New Roman" w:hAnsi="Times New Roman" w:cs="Times New Roman" w:eastAsia="Times New Roman" w:hint="default"/>
                <w:sz w:val="16"/>
                <w:szCs w:val="16"/>
              </w:rPr>
            </w:pPr>
            <w:r>
              <w:rPr>
                <w:rFonts w:ascii="Times New Roman"/>
                <w:spacing w:val="-1"/>
                <w:sz w:val="16"/>
              </w:rPr>
              <w:t>1,446,970,991.90</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5"/>
              <w:jc w:val="right"/>
              <w:rPr>
                <w:rFonts w:ascii="Times New Roman" w:hAnsi="Times New Roman" w:cs="Times New Roman" w:eastAsia="Times New Roman" w:hint="default"/>
                <w:sz w:val="16"/>
                <w:szCs w:val="16"/>
              </w:rPr>
            </w:pPr>
            <w:r>
              <w:rPr>
                <w:rFonts w:ascii="Times New Roman"/>
                <w:spacing w:val="-1"/>
                <w:sz w:val="16"/>
              </w:rPr>
              <w:t>499,929,030.87</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
              <w:jc w:val="right"/>
              <w:rPr>
                <w:rFonts w:ascii="Times New Roman" w:hAnsi="Times New Roman" w:cs="Times New Roman" w:eastAsia="Times New Roman" w:hint="default"/>
                <w:sz w:val="16"/>
                <w:szCs w:val="16"/>
              </w:rPr>
            </w:pPr>
            <w:r>
              <w:rPr>
                <w:rFonts w:ascii="Times New Roman"/>
                <w:spacing w:val="-2"/>
                <w:sz w:val="16"/>
              </w:rPr>
              <w:t>97,626,684.22</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
              <w:jc w:val="right"/>
              <w:rPr>
                <w:rFonts w:ascii="Times New Roman" w:hAnsi="Times New Roman" w:cs="Times New Roman" w:eastAsia="Times New Roman" w:hint="default"/>
                <w:sz w:val="16"/>
                <w:szCs w:val="16"/>
              </w:rPr>
            </w:pPr>
            <w:r>
              <w:rPr>
                <w:rFonts w:ascii="Times New Roman"/>
                <w:spacing w:val="-1"/>
                <w:sz w:val="16"/>
              </w:rPr>
              <w:t>3,523,241,234.82</w:t>
            </w:r>
          </w:p>
        </w:tc>
      </w:tr>
      <w:tr>
        <w:trPr>
          <w:trHeight w:val="286"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本年增加金额</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1"/>
              <w:jc w:val="right"/>
              <w:rPr>
                <w:rFonts w:ascii="Times New Roman" w:hAnsi="Times New Roman" w:cs="Times New Roman" w:eastAsia="Times New Roman" w:hint="default"/>
                <w:sz w:val="16"/>
                <w:szCs w:val="16"/>
              </w:rPr>
            </w:pPr>
            <w:r>
              <w:rPr>
                <w:rFonts w:ascii="Times New Roman"/>
                <w:spacing w:val="-2"/>
                <w:sz w:val="16"/>
              </w:rPr>
              <w:t>95,382,532.93</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9"/>
              <w:jc w:val="right"/>
              <w:rPr>
                <w:rFonts w:ascii="Times New Roman" w:hAnsi="Times New Roman" w:cs="Times New Roman" w:eastAsia="Times New Roman" w:hint="default"/>
                <w:sz w:val="16"/>
                <w:szCs w:val="16"/>
              </w:rPr>
            </w:pPr>
            <w:r>
              <w:rPr>
                <w:rFonts w:ascii="Times New Roman"/>
                <w:spacing w:val="-2"/>
                <w:sz w:val="16"/>
              </w:rPr>
              <w:t>85,668,850.17</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1"/>
                <w:sz w:val="16"/>
              </w:rPr>
              <w:t>402,621,463.97</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2"/>
                <w:sz w:val="16"/>
              </w:rPr>
              <w:t>53,508,090.09</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2"/>
                <w:sz w:val="16"/>
              </w:rPr>
              <w:t>14,925,139.12</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1"/>
                <w:sz w:val="16"/>
              </w:rPr>
              <w:t>652,106,076.28</w:t>
            </w:r>
          </w:p>
        </w:tc>
      </w:tr>
      <w:tr>
        <w:trPr>
          <w:trHeight w:val="284"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1"/>
              <w:jc w:val="right"/>
              <w:rPr>
                <w:rFonts w:ascii="Times New Roman" w:hAnsi="Times New Roman" w:cs="Times New Roman" w:eastAsia="Times New Roman" w:hint="default"/>
                <w:sz w:val="16"/>
                <w:szCs w:val="16"/>
              </w:rPr>
            </w:pPr>
            <w:r>
              <w:rPr>
                <w:rFonts w:ascii="Times New Roman"/>
                <w:spacing w:val="-2"/>
                <w:sz w:val="16"/>
              </w:rPr>
              <w:t>94,396,398.61</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9"/>
              <w:jc w:val="right"/>
              <w:rPr>
                <w:rFonts w:ascii="Times New Roman" w:hAnsi="Times New Roman" w:cs="Times New Roman" w:eastAsia="Times New Roman" w:hint="default"/>
                <w:sz w:val="16"/>
                <w:szCs w:val="16"/>
              </w:rPr>
            </w:pPr>
            <w:r>
              <w:rPr>
                <w:rFonts w:ascii="Times New Roman"/>
                <w:spacing w:val="-2"/>
                <w:sz w:val="16"/>
              </w:rPr>
              <w:t>81,583,617.27</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6"/>
              <w:jc w:val="right"/>
              <w:rPr>
                <w:rFonts w:ascii="Times New Roman" w:hAnsi="Times New Roman" w:cs="Times New Roman" w:eastAsia="Times New Roman" w:hint="default"/>
                <w:sz w:val="16"/>
                <w:szCs w:val="16"/>
              </w:rPr>
            </w:pPr>
            <w:r>
              <w:rPr>
                <w:rFonts w:ascii="Times New Roman"/>
                <w:spacing w:val="-1"/>
                <w:sz w:val="16"/>
              </w:rPr>
              <w:t>364,439,502.46</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6"/>
                <w:szCs w:val="16"/>
              </w:rPr>
            </w:pPr>
            <w:r>
              <w:rPr>
                <w:rFonts w:ascii="Times New Roman"/>
                <w:spacing w:val="-2"/>
                <w:sz w:val="16"/>
              </w:rPr>
              <w:t>51,886,362.18</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6"/>
              <w:jc w:val="right"/>
              <w:rPr>
                <w:rFonts w:ascii="Times New Roman" w:hAnsi="Times New Roman" w:cs="Times New Roman" w:eastAsia="Times New Roman" w:hint="default"/>
                <w:sz w:val="16"/>
                <w:szCs w:val="16"/>
              </w:rPr>
            </w:pPr>
            <w:r>
              <w:rPr>
                <w:rFonts w:ascii="Times New Roman"/>
                <w:spacing w:val="-2"/>
                <w:sz w:val="16"/>
              </w:rPr>
              <w:t>14,384,831.27</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6"/>
              <w:jc w:val="right"/>
              <w:rPr>
                <w:rFonts w:ascii="Times New Roman" w:hAnsi="Times New Roman" w:cs="Times New Roman" w:eastAsia="Times New Roman" w:hint="default"/>
                <w:sz w:val="16"/>
                <w:szCs w:val="16"/>
              </w:rPr>
            </w:pPr>
            <w:r>
              <w:rPr>
                <w:rFonts w:ascii="Times New Roman"/>
                <w:spacing w:val="-1"/>
                <w:sz w:val="16"/>
              </w:rPr>
              <w:t>606,690,711.79</w:t>
            </w:r>
          </w:p>
        </w:tc>
      </w:tr>
      <w:tr>
        <w:trPr>
          <w:trHeight w:val="284"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7"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）企业合并增加</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1"/>
              <w:jc w:val="right"/>
              <w:rPr>
                <w:rFonts w:ascii="Times New Roman" w:hAnsi="Times New Roman" w:cs="Times New Roman" w:eastAsia="Times New Roman" w:hint="default"/>
                <w:sz w:val="16"/>
                <w:szCs w:val="16"/>
              </w:rPr>
            </w:pPr>
            <w:r>
              <w:rPr>
                <w:rFonts w:ascii="Times New Roman"/>
                <w:spacing w:val="-1"/>
                <w:sz w:val="16"/>
              </w:rPr>
              <w:t>0.00</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9"/>
              <w:jc w:val="right"/>
              <w:rPr>
                <w:rFonts w:ascii="Times New Roman" w:hAnsi="Times New Roman" w:cs="Times New Roman" w:eastAsia="Times New Roman" w:hint="default"/>
                <w:sz w:val="16"/>
                <w:szCs w:val="16"/>
              </w:rPr>
            </w:pPr>
            <w:r>
              <w:rPr>
                <w:rFonts w:ascii="Times New Roman"/>
                <w:spacing w:val="-1"/>
                <w:sz w:val="16"/>
              </w:rPr>
              <w:t>4,034,381.24</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5"/>
              <w:jc w:val="right"/>
              <w:rPr>
                <w:rFonts w:ascii="Times New Roman" w:hAnsi="Times New Roman" w:cs="Times New Roman" w:eastAsia="Times New Roman" w:hint="default"/>
                <w:sz w:val="16"/>
                <w:szCs w:val="16"/>
              </w:rPr>
            </w:pPr>
            <w:r>
              <w:rPr>
                <w:rFonts w:ascii="Times New Roman"/>
                <w:spacing w:val="-2"/>
                <w:sz w:val="16"/>
              </w:rPr>
              <w:t>36,603,561.63</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5"/>
              <w:jc w:val="right"/>
              <w:rPr>
                <w:rFonts w:ascii="Times New Roman" w:hAnsi="Times New Roman" w:cs="Times New Roman" w:eastAsia="Times New Roman" w:hint="default"/>
                <w:sz w:val="16"/>
                <w:szCs w:val="16"/>
              </w:rPr>
            </w:pPr>
            <w:r>
              <w:rPr>
                <w:rFonts w:ascii="Times New Roman"/>
                <w:spacing w:val="-1"/>
                <w:sz w:val="16"/>
              </w:rPr>
              <w:t>111,235.03</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5"/>
              <w:jc w:val="right"/>
              <w:rPr>
                <w:rFonts w:ascii="Times New Roman" w:hAnsi="Times New Roman" w:cs="Times New Roman" w:eastAsia="Times New Roman" w:hint="default"/>
                <w:sz w:val="16"/>
                <w:szCs w:val="16"/>
              </w:rPr>
            </w:pPr>
            <w:r>
              <w:rPr>
                <w:rFonts w:ascii="Times New Roman"/>
                <w:spacing w:val="-1"/>
                <w:sz w:val="16"/>
              </w:rPr>
              <w:t>120,460.00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8"/>
              <w:jc w:val="right"/>
              <w:rPr>
                <w:rFonts w:ascii="Times New Roman" w:hAnsi="Times New Roman" w:cs="Times New Roman" w:eastAsia="Times New Roman" w:hint="default"/>
                <w:sz w:val="16"/>
                <w:szCs w:val="16"/>
              </w:rPr>
            </w:pPr>
            <w:r>
              <w:rPr>
                <w:rFonts w:ascii="Times New Roman"/>
                <w:spacing w:val="-2"/>
                <w:sz w:val="16"/>
              </w:rPr>
              <w:t>40,869,637.90</w:t>
            </w:r>
          </w:p>
        </w:tc>
      </w:tr>
      <w:tr>
        <w:trPr>
          <w:trHeight w:val="286"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）其他变动增加</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1"/>
              <w:jc w:val="right"/>
              <w:rPr>
                <w:rFonts w:ascii="Times New Roman" w:hAnsi="Times New Roman" w:cs="Times New Roman" w:eastAsia="Times New Roman" w:hint="default"/>
                <w:sz w:val="16"/>
                <w:szCs w:val="16"/>
              </w:rPr>
            </w:pPr>
            <w:r>
              <w:rPr>
                <w:rFonts w:ascii="Times New Roman"/>
                <w:spacing w:val="-1"/>
                <w:sz w:val="16"/>
              </w:rPr>
              <w:t>986,134.32</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9"/>
              <w:jc w:val="right"/>
              <w:rPr>
                <w:rFonts w:ascii="Times New Roman" w:hAnsi="Times New Roman" w:cs="Times New Roman" w:eastAsia="Times New Roman" w:hint="default"/>
                <w:sz w:val="16"/>
                <w:szCs w:val="16"/>
              </w:rPr>
            </w:pPr>
            <w:r>
              <w:rPr>
                <w:rFonts w:ascii="Times New Roman"/>
                <w:spacing w:val="-1"/>
                <w:sz w:val="16"/>
              </w:rPr>
              <w:t>50,851.66</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1,578,399.88</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1,510,492.88</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419,847.85</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1"/>
                <w:sz w:val="16"/>
              </w:rPr>
              <w:t>4,545,726.59</w:t>
            </w:r>
          </w:p>
        </w:tc>
      </w:tr>
      <w:tr>
        <w:trPr>
          <w:trHeight w:val="286"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本年减少金额</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1"/>
              <w:jc w:val="right"/>
              <w:rPr>
                <w:rFonts w:ascii="Times New Roman" w:hAnsi="Times New Roman" w:cs="Times New Roman" w:eastAsia="Times New Roman" w:hint="default"/>
                <w:sz w:val="16"/>
                <w:szCs w:val="16"/>
              </w:rPr>
            </w:pPr>
            <w:r>
              <w:rPr>
                <w:rFonts w:ascii="Times New Roman"/>
                <w:spacing w:val="-2"/>
                <w:sz w:val="16"/>
              </w:rPr>
              <w:t>10,456,002.94</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9"/>
              <w:jc w:val="right"/>
              <w:rPr>
                <w:rFonts w:ascii="Times New Roman" w:hAnsi="Times New Roman" w:cs="Times New Roman" w:eastAsia="Times New Roman" w:hint="default"/>
                <w:sz w:val="16"/>
                <w:szCs w:val="16"/>
              </w:rPr>
            </w:pPr>
            <w:r>
              <w:rPr>
                <w:rFonts w:ascii="Times New Roman"/>
                <w:spacing w:val="-2"/>
                <w:sz w:val="16"/>
              </w:rPr>
              <w:t>34,521,157.07</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2"/>
                <w:sz w:val="16"/>
              </w:rPr>
              <w:t>14,010,621.87</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2"/>
                <w:sz w:val="16"/>
              </w:rPr>
              <w:t>15,819,915.49</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2"/>
                <w:sz w:val="16"/>
              </w:rPr>
              <w:t>11,746,782.22</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2"/>
                <w:sz w:val="16"/>
              </w:rPr>
              <w:t>86,554,479.59</w:t>
            </w:r>
          </w:p>
        </w:tc>
      </w:tr>
      <w:tr>
        <w:trPr>
          <w:trHeight w:val="285"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1"/>
              <w:jc w:val="right"/>
              <w:rPr>
                <w:rFonts w:ascii="Times New Roman" w:hAnsi="Times New Roman" w:cs="Times New Roman" w:eastAsia="Times New Roman" w:hint="default"/>
                <w:sz w:val="16"/>
                <w:szCs w:val="16"/>
              </w:rPr>
            </w:pPr>
            <w:r>
              <w:rPr>
                <w:rFonts w:ascii="Times New Roman"/>
                <w:spacing w:val="-1"/>
                <w:sz w:val="16"/>
              </w:rPr>
              <w:t>7,084,916.11</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9"/>
              <w:jc w:val="right"/>
              <w:rPr>
                <w:rFonts w:ascii="Times New Roman" w:hAnsi="Times New Roman" w:cs="Times New Roman" w:eastAsia="Times New Roman" w:hint="default"/>
                <w:sz w:val="16"/>
                <w:szCs w:val="16"/>
              </w:rPr>
            </w:pPr>
            <w:r>
              <w:rPr>
                <w:rFonts w:ascii="Times New Roman"/>
                <w:spacing w:val="-1"/>
                <w:sz w:val="16"/>
              </w:rPr>
              <w:t>8,667,579.16</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6"/>
                <w:szCs w:val="16"/>
              </w:rPr>
            </w:pPr>
            <w:r>
              <w:rPr>
                <w:rFonts w:ascii="Times New Roman"/>
                <w:spacing w:val="-2"/>
                <w:sz w:val="16"/>
              </w:rPr>
              <w:t>13,963,950.95</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6"/>
                <w:szCs w:val="16"/>
              </w:rPr>
            </w:pPr>
            <w:r>
              <w:rPr>
                <w:rFonts w:ascii="Times New Roman"/>
                <w:spacing w:val="-1"/>
                <w:sz w:val="16"/>
              </w:rPr>
              <w:t>8,832,458.05</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6"/>
              <w:jc w:val="right"/>
              <w:rPr>
                <w:rFonts w:ascii="Times New Roman" w:hAnsi="Times New Roman" w:cs="Times New Roman" w:eastAsia="Times New Roman" w:hint="default"/>
                <w:sz w:val="16"/>
                <w:szCs w:val="16"/>
              </w:rPr>
            </w:pPr>
            <w:r>
              <w:rPr>
                <w:rFonts w:ascii="Times New Roman"/>
                <w:spacing w:val="-1"/>
                <w:sz w:val="16"/>
              </w:rPr>
              <w:t>9,530,116.71</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6"/>
              <w:jc w:val="right"/>
              <w:rPr>
                <w:rFonts w:ascii="Times New Roman" w:hAnsi="Times New Roman" w:cs="Times New Roman" w:eastAsia="Times New Roman" w:hint="default"/>
                <w:sz w:val="16"/>
                <w:szCs w:val="16"/>
              </w:rPr>
            </w:pPr>
            <w:r>
              <w:rPr>
                <w:rFonts w:ascii="Times New Roman"/>
                <w:spacing w:val="-2"/>
                <w:sz w:val="16"/>
              </w:rPr>
              <w:t>48,079,020.98</w:t>
            </w:r>
          </w:p>
        </w:tc>
      </w:tr>
      <w:tr>
        <w:trPr>
          <w:trHeight w:val="284"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7"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）企业合并减少</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1"/>
              <w:jc w:val="right"/>
              <w:rPr>
                <w:rFonts w:ascii="Times New Roman" w:hAnsi="Times New Roman" w:cs="Times New Roman" w:eastAsia="Times New Roman" w:hint="default"/>
                <w:sz w:val="16"/>
                <w:szCs w:val="16"/>
              </w:rPr>
            </w:pPr>
            <w:r>
              <w:rPr>
                <w:rFonts w:ascii="Times New Roman"/>
                <w:spacing w:val="-1"/>
                <w:sz w:val="16"/>
              </w:rPr>
              <w:t>3,312,311.49</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9"/>
              <w:jc w:val="right"/>
              <w:rPr>
                <w:rFonts w:ascii="Times New Roman" w:hAnsi="Times New Roman" w:cs="Times New Roman" w:eastAsia="Times New Roman" w:hint="default"/>
                <w:sz w:val="16"/>
                <w:szCs w:val="16"/>
              </w:rPr>
            </w:pPr>
            <w:r>
              <w:rPr>
                <w:rFonts w:ascii="Times New Roman"/>
                <w:spacing w:val="-2"/>
                <w:sz w:val="16"/>
              </w:rPr>
              <w:t>25,755,077.85</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5"/>
              <w:jc w:val="right"/>
              <w:rPr>
                <w:rFonts w:ascii="Times New Roman" w:hAnsi="Times New Roman" w:cs="Times New Roman" w:eastAsia="Times New Roman" w:hint="default"/>
                <w:sz w:val="16"/>
                <w:szCs w:val="16"/>
              </w:rPr>
            </w:pPr>
            <w:r>
              <w:rPr>
                <w:rFonts w:ascii="Times New Roman"/>
                <w:spacing w:val="-1"/>
                <w:sz w:val="16"/>
              </w:rPr>
              <w:t>46,670.92</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5"/>
              <w:jc w:val="right"/>
              <w:rPr>
                <w:rFonts w:ascii="Times New Roman" w:hAnsi="Times New Roman" w:cs="Times New Roman" w:eastAsia="Times New Roman" w:hint="default"/>
                <w:sz w:val="16"/>
                <w:szCs w:val="16"/>
              </w:rPr>
            </w:pPr>
            <w:r>
              <w:rPr>
                <w:rFonts w:ascii="Times New Roman"/>
                <w:spacing w:val="-1"/>
                <w:sz w:val="16"/>
              </w:rPr>
              <w:t>6,987,457.44</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
              <w:jc w:val="right"/>
              <w:rPr>
                <w:rFonts w:ascii="Times New Roman" w:hAnsi="Times New Roman" w:cs="Times New Roman" w:eastAsia="Times New Roman" w:hint="default"/>
                <w:sz w:val="16"/>
                <w:szCs w:val="16"/>
              </w:rPr>
            </w:pPr>
            <w:r>
              <w:rPr>
                <w:rFonts w:ascii="Times New Roman"/>
                <w:spacing w:val="-1"/>
                <w:sz w:val="16"/>
              </w:rPr>
              <w:t>2,113,331.88</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
              <w:jc w:val="right"/>
              <w:rPr>
                <w:rFonts w:ascii="Times New Roman" w:hAnsi="Times New Roman" w:cs="Times New Roman" w:eastAsia="Times New Roman" w:hint="default"/>
                <w:sz w:val="16"/>
                <w:szCs w:val="16"/>
              </w:rPr>
            </w:pPr>
            <w:r>
              <w:rPr>
                <w:rFonts w:ascii="Times New Roman"/>
                <w:spacing w:val="-2"/>
                <w:sz w:val="16"/>
              </w:rPr>
              <w:t>38,214,849.58</w:t>
            </w:r>
          </w:p>
        </w:tc>
      </w:tr>
      <w:tr>
        <w:trPr>
          <w:trHeight w:val="286"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）其他变动减少</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1"/>
              <w:jc w:val="right"/>
              <w:rPr>
                <w:rFonts w:ascii="Times New Roman" w:hAnsi="Times New Roman" w:cs="Times New Roman" w:eastAsia="Times New Roman" w:hint="default"/>
                <w:sz w:val="16"/>
                <w:szCs w:val="16"/>
              </w:rPr>
            </w:pPr>
            <w:r>
              <w:rPr>
                <w:rFonts w:ascii="Times New Roman"/>
                <w:spacing w:val="-1"/>
                <w:sz w:val="16"/>
              </w:rPr>
              <w:t>58,775.34</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9"/>
              <w:jc w:val="right"/>
              <w:rPr>
                <w:rFonts w:ascii="Times New Roman" w:hAnsi="Times New Roman" w:cs="Times New Roman" w:eastAsia="Times New Roman" w:hint="default"/>
                <w:sz w:val="16"/>
                <w:szCs w:val="16"/>
              </w:rPr>
            </w:pPr>
            <w:r>
              <w:rPr>
                <w:rFonts w:ascii="Times New Roman"/>
                <w:spacing w:val="-1"/>
                <w:sz w:val="16"/>
              </w:rPr>
              <w:t>98,500.06</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0.00</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0.00</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103,333.63</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1"/>
                <w:sz w:val="16"/>
              </w:rPr>
              <w:t>260,609.03</w:t>
            </w:r>
          </w:p>
        </w:tc>
      </w:tr>
      <w:tr>
        <w:trPr>
          <w:trHeight w:val="255" w:hRule="exact"/>
        </w:trPr>
        <w:tc>
          <w:tcPr>
            <w:tcW w:w="1718" w:type="dxa"/>
            <w:tcBorders>
              <w:top w:val="nil" w:sz="6" w:space="0" w:color="auto"/>
              <w:left w:val="nil" w:sz="6" w:space="0" w:color="auto"/>
              <w:bottom w:val="single" w:sz="4" w:space="0" w:color="000000"/>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年末余额</w:t>
            </w:r>
          </w:p>
        </w:tc>
        <w:tc>
          <w:tcPr>
            <w:tcW w:w="1302"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32"/>
              <w:jc w:val="right"/>
              <w:rPr>
                <w:rFonts w:ascii="Times New Roman" w:hAnsi="Times New Roman" w:cs="Times New Roman" w:eastAsia="Times New Roman" w:hint="default"/>
                <w:sz w:val="16"/>
                <w:szCs w:val="16"/>
              </w:rPr>
            </w:pPr>
            <w:r>
              <w:rPr>
                <w:rFonts w:ascii="Times New Roman"/>
                <w:spacing w:val="-1"/>
                <w:sz w:val="16"/>
              </w:rPr>
              <w:t>1,010,119,118.40</w:t>
            </w:r>
          </w:p>
        </w:tc>
        <w:tc>
          <w:tcPr>
            <w:tcW w:w="1136"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100"/>
              <w:jc w:val="right"/>
              <w:rPr>
                <w:rFonts w:ascii="Times New Roman" w:hAnsi="Times New Roman" w:cs="Times New Roman" w:eastAsia="Times New Roman" w:hint="default"/>
                <w:sz w:val="16"/>
                <w:szCs w:val="16"/>
              </w:rPr>
            </w:pPr>
            <w:r>
              <w:rPr>
                <w:rFonts w:ascii="Times New Roman"/>
                <w:spacing w:val="-1"/>
                <w:sz w:val="16"/>
              </w:rPr>
              <w:t>604,669,632.52</w:t>
            </w:r>
          </w:p>
        </w:tc>
        <w:tc>
          <w:tcPr>
            <w:tcW w:w="1251"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1"/>
                <w:sz w:val="16"/>
              </w:rPr>
              <w:t>1,835,581,834.00</w:t>
            </w:r>
          </w:p>
        </w:tc>
        <w:tc>
          <w:tcPr>
            <w:tcW w:w="1056"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537,617,205.47</w:t>
            </w:r>
          </w:p>
        </w:tc>
        <w:tc>
          <w:tcPr>
            <w:tcW w:w="1057"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1"/>
                <w:sz w:val="16"/>
              </w:rPr>
              <w:t>100,805,041.12</w:t>
            </w:r>
          </w:p>
        </w:tc>
        <w:tc>
          <w:tcPr>
            <w:tcW w:w="1256"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1"/>
                <w:sz w:val="16"/>
              </w:rPr>
              <w:t>4,088,792,831.51</w:t>
            </w:r>
          </w:p>
        </w:tc>
      </w:tr>
      <w:tr>
        <w:trPr>
          <w:trHeight w:val="316" w:hRule="exact"/>
        </w:trPr>
        <w:tc>
          <w:tcPr>
            <w:tcW w:w="1718"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40"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02" w:type="dxa"/>
            <w:tcBorders>
              <w:top w:val="single" w:sz="4" w:space="0" w:color="000000"/>
              <w:left w:val="nil" w:sz="6" w:space="0" w:color="auto"/>
              <w:bottom w:val="nil" w:sz="6" w:space="0" w:color="auto"/>
              <w:right w:val="nil" w:sz="6" w:space="0" w:color="auto"/>
            </w:tcBorders>
          </w:tcPr>
          <w:p>
            <w:pPr/>
          </w:p>
        </w:tc>
        <w:tc>
          <w:tcPr>
            <w:tcW w:w="1136" w:type="dxa"/>
            <w:tcBorders>
              <w:top w:val="single" w:sz="4" w:space="0" w:color="000000"/>
              <w:left w:val="nil" w:sz="6" w:space="0" w:color="auto"/>
              <w:bottom w:val="nil" w:sz="6" w:space="0" w:color="auto"/>
              <w:right w:val="nil" w:sz="6" w:space="0" w:color="auto"/>
            </w:tcBorders>
          </w:tcPr>
          <w:p>
            <w:pPr/>
          </w:p>
        </w:tc>
        <w:tc>
          <w:tcPr>
            <w:tcW w:w="1251" w:type="dxa"/>
            <w:tcBorders>
              <w:top w:val="single" w:sz="4" w:space="0" w:color="000000"/>
              <w:left w:val="nil" w:sz="6" w:space="0" w:color="auto"/>
              <w:bottom w:val="nil" w:sz="6" w:space="0" w:color="auto"/>
              <w:right w:val="nil" w:sz="6" w:space="0" w:color="auto"/>
            </w:tcBorders>
          </w:tcPr>
          <w:p>
            <w:pPr/>
          </w:p>
        </w:tc>
        <w:tc>
          <w:tcPr>
            <w:tcW w:w="1056" w:type="dxa"/>
            <w:tcBorders>
              <w:top w:val="single" w:sz="4" w:space="0" w:color="000000"/>
              <w:left w:val="nil" w:sz="6" w:space="0" w:color="auto"/>
              <w:bottom w:val="nil" w:sz="6" w:space="0" w:color="auto"/>
              <w:right w:val="nil" w:sz="6" w:space="0" w:color="auto"/>
            </w:tcBorders>
          </w:tcPr>
          <w:p>
            <w:pPr/>
          </w:p>
        </w:tc>
        <w:tc>
          <w:tcPr>
            <w:tcW w:w="1057" w:type="dxa"/>
            <w:tcBorders>
              <w:top w:val="single" w:sz="4" w:space="0" w:color="000000"/>
              <w:left w:val="nil" w:sz="6" w:space="0" w:color="auto"/>
              <w:bottom w:val="nil" w:sz="6" w:space="0" w:color="auto"/>
              <w:right w:val="nil" w:sz="6" w:space="0" w:color="auto"/>
            </w:tcBorders>
          </w:tcPr>
          <w:p>
            <w:pPr/>
          </w:p>
        </w:tc>
        <w:tc>
          <w:tcPr>
            <w:tcW w:w="1256" w:type="dxa"/>
            <w:tcBorders>
              <w:top w:val="single" w:sz="4" w:space="0" w:color="000000"/>
              <w:left w:val="nil" w:sz="6" w:space="0" w:color="auto"/>
              <w:bottom w:val="nil" w:sz="6" w:space="0" w:color="auto"/>
              <w:right w:val="nil" w:sz="6" w:space="0" w:color="auto"/>
            </w:tcBorders>
          </w:tcPr>
          <w:p>
            <w:pPr/>
          </w:p>
        </w:tc>
      </w:tr>
      <w:tr>
        <w:trPr>
          <w:trHeight w:val="293"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46"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年初余额</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2"/>
              <w:jc w:val="right"/>
              <w:rPr>
                <w:rFonts w:ascii="Times New Roman" w:hAnsi="Times New Roman" w:cs="Times New Roman" w:eastAsia="Times New Roman" w:hint="default"/>
                <w:sz w:val="16"/>
                <w:szCs w:val="16"/>
              </w:rPr>
            </w:pPr>
            <w:r>
              <w:rPr>
                <w:rFonts w:ascii="Times New Roman"/>
                <w:spacing w:val="-1"/>
                <w:sz w:val="16"/>
              </w:rPr>
              <w:t>279,550,123.60</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9"/>
              <w:jc w:val="right"/>
              <w:rPr>
                <w:rFonts w:ascii="Times New Roman" w:hAnsi="Times New Roman" w:cs="Times New Roman" w:eastAsia="Times New Roman" w:hint="default"/>
                <w:sz w:val="16"/>
                <w:szCs w:val="16"/>
              </w:rPr>
            </w:pPr>
            <w:r>
              <w:rPr>
                <w:rFonts w:ascii="Times New Roman"/>
                <w:spacing w:val="-1"/>
                <w:sz w:val="16"/>
              </w:rPr>
              <w:t>1,838,257.18</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6"/>
              <w:jc w:val="right"/>
              <w:rPr>
                <w:rFonts w:ascii="Times New Roman" w:hAnsi="Times New Roman" w:cs="Times New Roman" w:eastAsia="Times New Roman" w:hint="default"/>
                <w:sz w:val="16"/>
                <w:szCs w:val="16"/>
              </w:rPr>
            </w:pPr>
            <w:r>
              <w:rPr>
                <w:rFonts w:ascii="Times New Roman"/>
                <w:spacing w:val="-1"/>
                <w:sz w:val="16"/>
              </w:rPr>
              <w:t>454,134,252.61</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5"/>
              <w:jc w:val="right"/>
              <w:rPr>
                <w:rFonts w:ascii="Times New Roman" w:hAnsi="Times New Roman" w:cs="Times New Roman" w:eastAsia="Times New Roman" w:hint="default"/>
                <w:sz w:val="16"/>
                <w:szCs w:val="16"/>
              </w:rPr>
            </w:pPr>
            <w:r>
              <w:rPr>
                <w:rFonts w:ascii="Times New Roman"/>
                <w:spacing w:val="-2"/>
                <w:sz w:val="16"/>
              </w:rPr>
              <w:t>12,393,460.29</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6"/>
              <w:jc w:val="right"/>
              <w:rPr>
                <w:rFonts w:ascii="Times New Roman" w:hAnsi="Times New Roman" w:cs="Times New Roman" w:eastAsia="Times New Roman" w:hint="default"/>
                <w:sz w:val="16"/>
                <w:szCs w:val="16"/>
              </w:rPr>
            </w:pPr>
            <w:r>
              <w:rPr>
                <w:rFonts w:ascii="Times New Roman"/>
                <w:spacing w:val="-1"/>
                <w:sz w:val="16"/>
              </w:rPr>
              <w:t>1,702,369.43</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6"/>
              <w:jc w:val="right"/>
              <w:rPr>
                <w:rFonts w:ascii="Times New Roman" w:hAnsi="Times New Roman" w:cs="Times New Roman" w:eastAsia="Times New Roman" w:hint="default"/>
                <w:sz w:val="16"/>
                <w:szCs w:val="16"/>
              </w:rPr>
            </w:pPr>
            <w:r>
              <w:rPr>
                <w:rFonts w:ascii="Times New Roman"/>
                <w:spacing w:val="-1"/>
                <w:sz w:val="16"/>
              </w:rPr>
              <w:t>749,618,463.11</w:t>
            </w:r>
          </w:p>
        </w:tc>
      </w:tr>
      <w:tr>
        <w:trPr>
          <w:trHeight w:val="286"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本年增加金额</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1"/>
              <w:jc w:val="right"/>
              <w:rPr>
                <w:rFonts w:ascii="Times New Roman" w:hAnsi="Times New Roman" w:cs="Times New Roman" w:eastAsia="Times New Roman" w:hint="default"/>
                <w:sz w:val="16"/>
                <w:szCs w:val="16"/>
              </w:rPr>
            </w:pPr>
            <w:r>
              <w:rPr>
                <w:rFonts w:ascii="Times New Roman"/>
                <w:spacing w:val="-2"/>
                <w:sz w:val="16"/>
              </w:rPr>
              <w:t>41,969,060.00</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9"/>
              <w:jc w:val="right"/>
              <w:rPr>
                <w:rFonts w:ascii="Times New Roman" w:hAnsi="Times New Roman" w:cs="Times New Roman" w:eastAsia="Times New Roman" w:hint="default"/>
                <w:sz w:val="16"/>
                <w:szCs w:val="16"/>
              </w:rPr>
            </w:pPr>
            <w:r>
              <w:rPr>
                <w:rFonts w:ascii="Times New Roman"/>
                <w:spacing w:val="-1"/>
                <w:sz w:val="16"/>
              </w:rPr>
              <w:t>0.00</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2"/>
                <w:sz w:val="16"/>
              </w:rPr>
              <w:t>28,108,200.00</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986,393.05</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2"/>
                <w:sz w:val="16"/>
              </w:rPr>
              <w:t>71,063,653.05</w:t>
            </w:r>
          </w:p>
        </w:tc>
      </w:tr>
      <w:tr>
        <w:trPr>
          <w:trHeight w:val="286"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1"/>
              <w:jc w:val="right"/>
              <w:rPr>
                <w:rFonts w:ascii="Times New Roman" w:hAnsi="Times New Roman" w:cs="Times New Roman" w:eastAsia="Times New Roman" w:hint="default"/>
                <w:sz w:val="16"/>
                <w:szCs w:val="16"/>
              </w:rPr>
            </w:pPr>
            <w:r>
              <w:rPr>
                <w:rFonts w:ascii="Times New Roman"/>
                <w:spacing w:val="-1"/>
                <w:sz w:val="16"/>
              </w:rPr>
              <w:t>0.00</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9"/>
              <w:jc w:val="right"/>
              <w:rPr>
                <w:rFonts w:ascii="Times New Roman" w:hAnsi="Times New Roman" w:cs="Times New Roman" w:eastAsia="Times New Roman" w:hint="default"/>
                <w:sz w:val="16"/>
                <w:szCs w:val="16"/>
              </w:rPr>
            </w:pPr>
            <w:r>
              <w:rPr>
                <w:rFonts w:ascii="Times New Roman"/>
                <w:spacing w:val="-1"/>
                <w:sz w:val="16"/>
              </w:rPr>
              <w:t>0.00</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2"/>
                <w:sz w:val="16"/>
              </w:rPr>
              <w:t>28,108,200.00</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986,393.05</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2"/>
                <w:sz w:val="16"/>
              </w:rPr>
              <w:t>29,094,593.05</w:t>
            </w:r>
          </w:p>
        </w:tc>
      </w:tr>
      <w:tr>
        <w:trPr>
          <w:trHeight w:val="267" w:hRule="exact"/>
        </w:trPr>
        <w:tc>
          <w:tcPr>
            <w:tcW w:w="1718" w:type="dxa"/>
            <w:tcBorders>
              <w:top w:val="nil" w:sz="6" w:space="0" w:color="auto"/>
              <w:left w:val="nil" w:sz="6" w:space="0" w:color="auto"/>
              <w:bottom w:val="single" w:sz="12" w:space="0" w:color="000000"/>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）其他变动增加</w:t>
            </w:r>
          </w:p>
        </w:tc>
        <w:tc>
          <w:tcPr>
            <w:tcW w:w="1302"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right="31"/>
              <w:jc w:val="right"/>
              <w:rPr>
                <w:rFonts w:ascii="Times New Roman" w:hAnsi="Times New Roman" w:cs="Times New Roman" w:eastAsia="Times New Roman" w:hint="default"/>
                <w:sz w:val="16"/>
                <w:szCs w:val="16"/>
              </w:rPr>
            </w:pPr>
            <w:r>
              <w:rPr>
                <w:rFonts w:ascii="Times New Roman"/>
                <w:spacing w:val="-2"/>
                <w:sz w:val="16"/>
              </w:rPr>
              <w:t>41,969,060.00</w:t>
            </w:r>
          </w:p>
        </w:tc>
        <w:tc>
          <w:tcPr>
            <w:tcW w:w="1136"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right="99"/>
              <w:jc w:val="right"/>
              <w:rPr>
                <w:rFonts w:ascii="Times New Roman" w:hAnsi="Times New Roman" w:cs="Times New Roman" w:eastAsia="Times New Roman" w:hint="default"/>
                <w:sz w:val="16"/>
                <w:szCs w:val="16"/>
              </w:rPr>
            </w:pPr>
            <w:r>
              <w:rPr>
                <w:rFonts w:ascii="Times New Roman"/>
                <w:spacing w:val="-1"/>
                <w:sz w:val="16"/>
              </w:rPr>
              <w:t>0.00</w:t>
            </w:r>
          </w:p>
        </w:tc>
        <w:tc>
          <w:tcPr>
            <w:tcW w:w="1251"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0.00</w:t>
            </w:r>
          </w:p>
        </w:tc>
        <w:tc>
          <w:tcPr>
            <w:tcW w:w="1056"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0.00</w:t>
            </w:r>
          </w:p>
        </w:tc>
        <w:tc>
          <w:tcPr>
            <w:tcW w:w="1057"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0.00</w:t>
            </w:r>
          </w:p>
        </w:tc>
        <w:tc>
          <w:tcPr>
            <w:tcW w:w="1256"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2"/>
                <w:sz w:val="16"/>
              </w:rPr>
              <w:t>41,969,060.00</w:t>
            </w:r>
          </w:p>
        </w:tc>
      </w:tr>
    </w:tbl>
    <w:p>
      <w:pPr>
        <w:spacing w:after="0" w:line="240" w:lineRule="auto"/>
        <w:jc w:val="right"/>
        <w:rPr>
          <w:rFonts w:ascii="Times New Roman" w:hAnsi="Times New Roman" w:cs="Times New Roman" w:eastAsia="Times New Roman" w:hint="default"/>
          <w:sz w:val="16"/>
          <w:szCs w:val="16"/>
        </w:rPr>
        <w:sectPr>
          <w:headerReference w:type="default" r:id="rId69"/>
          <w:footerReference w:type="default" r:id="rId70"/>
          <w:pgSz w:w="11910" w:h="16840"/>
          <w:pgMar w:header="585" w:footer="836" w:top="1080" w:bottom="1020" w:left="1460" w:right="1460"/>
          <w:pgNumType w:start="115"/>
        </w:sectPr>
      </w:pPr>
    </w:p>
    <w:p>
      <w:pPr>
        <w:spacing w:line="240" w:lineRule="auto" w:before="7"/>
        <w:rPr>
          <w:rFonts w:ascii="宋体" w:hAnsi="宋体" w:cs="宋体" w:eastAsia="宋体" w:hint="default"/>
          <w:sz w:val="27"/>
          <w:szCs w:val="27"/>
        </w:rPr>
      </w:pPr>
    </w:p>
    <w:tbl>
      <w:tblPr>
        <w:tblW w:w="0" w:type="auto"/>
        <w:jc w:val="left"/>
        <w:tblInd w:w="120" w:type="dxa"/>
        <w:tblLayout w:type="fixed"/>
        <w:tblCellMar>
          <w:top w:w="0" w:type="dxa"/>
          <w:left w:w="0" w:type="dxa"/>
          <w:bottom w:w="0" w:type="dxa"/>
          <w:right w:w="0" w:type="dxa"/>
        </w:tblCellMar>
        <w:tblLook w:val="01E0"/>
      </w:tblPr>
      <w:tblGrid>
        <w:gridCol w:w="1718"/>
        <w:gridCol w:w="1302"/>
        <w:gridCol w:w="1137"/>
        <w:gridCol w:w="1251"/>
        <w:gridCol w:w="1097"/>
        <w:gridCol w:w="1055"/>
        <w:gridCol w:w="1216"/>
      </w:tblGrid>
      <w:tr>
        <w:trPr>
          <w:trHeight w:val="307" w:hRule="exact"/>
        </w:trPr>
        <w:tc>
          <w:tcPr>
            <w:tcW w:w="171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40"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30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54" w:right="0"/>
              <w:jc w:val="left"/>
              <w:rPr>
                <w:rFonts w:ascii="宋体" w:hAnsi="宋体" w:cs="宋体" w:eastAsia="宋体" w:hint="default"/>
                <w:sz w:val="18"/>
                <w:szCs w:val="18"/>
              </w:rPr>
            </w:pPr>
            <w:r>
              <w:rPr>
                <w:rFonts w:ascii="宋体" w:hAnsi="宋体" w:cs="宋体" w:eastAsia="宋体" w:hint="default"/>
                <w:b/>
                <w:bCs/>
                <w:sz w:val="18"/>
                <w:szCs w:val="18"/>
              </w:rPr>
              <w:t>房屋建筑物</w:t>
            </w:r>
            <w:r>
              <w:rPr>
                <w:rFonts w:ascii="宋体" w:hAnsi="宋体" w:cs="宋体" w:eastAsia="宋体" w:hint="default"/>
                <w:sz w:val="18"/>
                <w:szCs w:val="18"/>
              </w:rPr>
            </w:r>
          </w:p>
        </w:tc>
        <w:tc>
          <w:tcPr>
            <w:tcW w:w="113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65" w:right="0"/>
              <w:jc w:val="left"/>
              <w:rPr>
                <w:rFonts w:ascii="宋体" w:hAnsi="宋体" w:cs="宋体" w:eastAsia="宋体" w:hint="default"/>
                <w:sz w:val="18"/>
                <w:szCs w:val="18"/>
              </w:rPr>
            </w:pPr>
            <w:r>
              <w:rPr>
                <w:rFonts w:ascii="宋体" w:hAnsi="宋体" w:cs="宋体" w:eastAsia="宋体" w:hint="default"/>
                <w:b/>
                <w:bCs/>
                <w:sz w:val="18"/>
                <w:szCs w:val="18"/>
              </w:rPr>
              <w:t>电子设备</w:t>
            </w:r>
            <w:r>
              <w:rPr>
                <w:rFonts w:ascii="宋体" w:hAnsi="宋体" w:cs="宋体" w:eastAsia="宋体" w:hint="default"/>
                <w:sz w:val="18"/>
                <w:szCs w:val="18"/>
              </w:rPr>
            </w:r>
          </w:p>
        </w:tc>
        <w:tc>
          <w:tcPr>
            <w:tcW w:w="125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320" w:right="0"/>
              <w:jc w:val="left"/>
              <w:rPr>
                <w:rFonts w:ascii="宋体" w:hAnsi="宋体" w:cs="宋体" w:eastAsia="宋体" w:hint="default"/>
                <w:sz w:val="18"/>
                <w:szCs w:val="18"/>
              </w:rPr>
            </w:pPr>
            <w:r>
              <w:rPr>
                <w:rFonts w:ascii="宋体" w:hAnsi="宋体" w:cs="宋体" w:eastAsia="宋体" w:hint="default"/>
                <w:b/>
                <w:bCs/>
                <w:sz w:val="18"/>
                <w:szCs w:val="18"/>
              </w:rPr>
              <w:t>专用设备</w:t>
            </w:r>
            <w:r>
              <w:rPr>
                <w:rFonts w:ascii="宋体" w:hAnsi="宋体" w:cs="宋体" w:eastAsia="宋体" w:hint="default"/>
                <w:sz w:val="18"/>
                <w:szCs w:val="18"/>
              </w:rPr>
            </w:r>
          </w:p>
        </w:tc>
        <w:tc>
          <w:tcPr>
            <w:tcW w:w="109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17"/>
              <w:jc w:val="right"/>
              <w:rPr>
                <w:rFonts w:ascii="宋体" w:hAnsi="宋体" w:cs="宋体" w:eastAsia="宋体" w:hint="default"/>
                <w:sz w:val="18"/>
                <w:szCs w:val="18"/>
              </w:rPr>
            </w:pPr>
            <w:r>
              <w:rPr>
                <w:rFonts w:ascii="宋体" w:hAnsi="宋体" w:cs="宋体" w:eastAsia="宋体" w:hint="default"/>
                <w:b/>
                <w:bCs/>
                <w:w w:val="95"/>
                <w:sz w:val="18"/>
                <w:szCs w:val="18"/>
              </w:rPr>
              <w:t>通用设备</w:t>
            </w:r>
            <w:r>
              <w:rPr>
                <w:rFonts w:ascii="宋体" w:hAnsi="宋体" w:cs="宋体" w:eastAsia="宋体" w:hint="default"/>
                <w:sz w:val="18"/>
                <w:szCs w:val="18"/>
              </w:rPr>
            </w:r>
          </w:p>
        </w:tc>
        <w:tc>
          <w:tcPr>
            <w:tcW w:w="105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16"/>
              <w:jc w:val="right"/>
              <w:rPr>
                <w:rFonts w:ascii="宋体" w:hAnsi="宋体" w:cs="宋体" w:eastAsia="宋体" w:hint="default"/>
                <w:sz w:val="18"/>
                <w:szCs w:val="18"/>
              </w:rPr>
            </w:pPr>
            <w:r>
              <w:rPr>
                <w:rFonts w:ascii="宋体" w:hAnsi="宋体" w:cs="宋体" w:eastAsia="宋体" w:hint="default"/>
                <w:b/>
                <w:bCs/>
                <w:w w:val="95"/>
                <w:sz w:val="18"/>
                <w:szCs w:val="18"/>
              </w:rPr>
              <w:t>运输设备</w:t>
            </w:r>
            <w:r>
              <w:rPr>
                <w:rFonts w:ascii="宋体" w:hAnsi="宋体" w:cs="宋体" w:eastAsia="宋体" w:hint="default"/>
                <w:sz w:val="18"/>
                <w:szCs w:val="18"/>
              </w:rPr>
            </w:r>
          </w:p>
        </w:tc>
        <w:tc>
          <w:tcPr>
            <w:tcW w:w="121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40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324" w:hRule="exact"/>
        </w:trPr>
        <w:tc>
          <w:tcPr>
            <w:tcW w:w="1718"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本年减少金额</w:t>
            </w:r>
          </w:p>
        </w:tc>
        <w:tc>
          <w:tcPr>
            <w:tcW w:w="1302"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31"/>
              <w:jc w:val="right"/>
              <w:rPr>
                <w:rFonts w:ascii="Times New Roman" w:hAnsi="Times New Roman" w:cs="Times New Roman" w:eastAsia="Times New Roman" w:hint="default"/>
                <w:sz w:val="16"/>
                <w:szCs w:val="16"/>
              </w:rPr>
            </w:pPr>
            <w:r>
              <w:rPr>
                <w:rFonts w:ascii="Times New Roman"/>
                <w:spacing w:val="-2"/>
                <w:sz w:val="16"/>
              </w:rPr>
              <w:t>20,994,801.00</w:t>
            </w:r>
          </w:p>
        </w:tc>
        <w:tc>
          <w:tcPr>
            <w:tcW w:w="1137"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99"/>
              <w:jc w:val="right"/>
              <w:rPr>
                <w:rFonts w:ascii="Times New Roman" w:hAnsi="Times New Roman" w:cs="Times New Roman" w:eastAsia="Times New Roman" w:hint="default"/>
                <w:sz w:val="16"/>
                <w:szCs w:val="16"/>
              </w:rPr>
            </w:pPr>
            <w:r>
              <w:rPr>
                <w:rFonts w:ascii="Times New Roman"/>
                <w:spacing w:val="-1"/>
                <w:sz w:val="16"/>
              </w:rPr>
              <w:t>264,765.57</w:t>
            </w:r>
          </w:p>
        </w:tc>
        <w:tc>
          <w:tcPr>
            <w:tcW w:w="1251"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25"/>
              <w:jc w:val="right"/>
              <w:rPr>
                <w:rFonts w:ascii="Times New Roman" w:hAnsi="Times New Roman" w:cs="Times New Roman" w:eastAsia="Times New Roman" w:hint="default"/>
                <w:sz w:val="16"/>
                <w:szCs w:val="16"/>
              </w:rPr>
            </w:pPr>
            <w:r>
              <w:rPr>
                <w:rFonts w:ascii="Times New Roman"/>
                <w:spacing w:val="-1"/>
                <w:sz w:val="16"/>
              </w:rPr>
              <w:t>24,454.00</w:t>
            </w:r>
          </w:p>
        </w:tc>
        <w:tc>
          <w:tcPr>
            <w:tcW w:w="1097"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66"/>
              <w:jc w:val="right"/>
              <w:rPr>
                <w:rFonts w:ascii="Times New Roman" w:hAnsi="Times New Roman" w:cs="Times New Roman" w:eastAsia="Times New Roman" w:hint="default"/>
                <w:sz w:val="16"/>
                <w:szCs w:val="16"/>
              </w:rPr>
            </w:pPr>
            <w:r>
              <w:rPr>
                <w:rFonts w:ascii="Times New Roman"/>
                <w:spacing w:val="-1"/>
                <w:sz w:val="16"/>
              </w:rPr>
              <w:t>165,912.30</w:t>
            </w:r>
          </w:p>
        </w:tc>
        <w:tc>
          <w:tcPr>
            <w:tcW w:w="1055"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64"/>
              <w:jc w:val="right"/>
              <w:rPr>
                <w:rFonts w:ascii="Times New Roman" w:hAnsi="Times New Roman" w:cs="Times New Roman" w:eastAsia="Times New Roman" w:hint="default"/>
                <w:sz w:val="16"/>
                <w:szCs w:val="16"/>
              </w:rPr>
            </w:pPr>
            <w:r>
              <w:rPr>
                <w:rFonts w:ascii="Times New Roman"/>
                <w:spacing w:val="-1"/>
                <w:sz w:val="16"/>
              </w:rPr>
              <w:t>977.00</w:t>
            </w:r>
          </w:p>
        </w:tc>
        <w:tc>
          <w:tcPr>
            <w:tcW w:w="1216"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26"/>
              <w:jc w:val="right"/>
              <w:rPr>
                <w:rFonts w:ascii="Times New Roman" w:hAnsi="Times New Roman" w:cs="Times New Roman" w:eastAsia="Times New Roman" w:hint="default"/>
                <w:sz w:val="16"/>
                <w:szCs w:val="16"/>
              </w:rPr>
            </w:pPr>
            <w:r>
              <w:rPr>
                <w:rFonts w:ascii="Times New Roman"/>
                <w:spacing w:val="-2"/>
                <w:sz w:val="16"/>
              </w:rPr>
              <w:t>21,450,909.87</w:t>
            </w:r>
          </w:p>
        </w:tc>
      </w:tr>
      <w:tr>
        <w:trPr>
          <w:trHeight w:val="286"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1"/>
              <w:jc w:val="right"/>
              <w:rPr>
                <w:rFonts w:ascii="Times New Roman" w:hAnsi="Times New Roman" w:cs="Times New Roman" w:eastAsia="Times New Roman" w:hint="default"/>
                <w:sz w:val="16"/>
                <w:szCs w:val="16"/>
              </w:rPr>
            </w:pPr>
            <w:r>
              <w:rPr>
                <w:rFonts w:ascii="Times New Roman"/>
                <w:spacing w:val="-2"/>
                <w:sz w:val="16"/>
              </w:rPr>
              <w:t>20,994,801.00</w:t>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9"/>
              <w:jc w:val="right"/>
              <w:rPr>
                <w:rFonts w:ascii="Times New Roman" w:hAnsi="Times New Roman" w:cs="Times New Roman" w:eastAsia="Times New Roman" w:hint="default"/>
                <w:sz w:val="16"/>
                <w:szCs w:val="16"/>
              </w:rPr>
            </w:pPr>
            <w:r>
              <w:rPr>
                <w:rFonts w:ascii="Times New Roman"/>
                <w:spacing w:val="-1"/>
                <w:sz w:val="16"/>
              </w:rPr>
              <w:t>616.60</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6"/>
                <w:szCs w:val="16"/>
              </w:rPr>
            </w:pPr>
            <w:r>
              <w:rPr>
                <w:rFonts w:ascii="Times New Roman"/>
                <w:spacing w:val="-1"/>
                <w:sz w:val="16"/>
              </w:rPr>
              <w:t>24,454.00</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66"/>
              <w:jc w:val="right"/>
              <w:rPr>
                <w:rFonts w:ascii="Times New Roman" w:hAnsi="Times New Roman" w:cs="Times New Roman" w:eastAsia="Times New Roman" w:hint="default"/>
                <w:sz w:val="16"/>
                <w:szCs w:val="16"/>
              </w:rPr>
            </w:pPr>
            <w:r>
              <w:rPr>
                <w:rFonts w:ascii="Times New Roman"/>
                <w:spacing w:val="-1"/>
                <w:sz w:val="16"/>
              </w:rPr>
              <w:t>165,912.30</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64"/>
              <w:jc w:val="right"/>
              <w:rPr>
                <w:rFonts w:ascii="Times New Roman" w:hAnsi="Times New Roman" w:cs="Times New Roman" w:eastAsia="Times New Roman" w:hint="default"/>
                <w:sz w:val="16"/>
                <w:szCs w:val="16"/>
              </w:rPr>
            </w:pPr>
            <w:r>
              <w:rPr>
                <w:rFonts w:ascii="Times New Roman"/>
                <w:spacing w:val="-1"/>
                <w:sz w:val="16"/>
              </w:rPr>
              <w:t>977.00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2"/>
                <w:sz w:val="16"/>
              </w:rPr>
              <w:t>21,186,760.90</w:t>
            </w:r>
          </w:p>
        </w:tc>
      </w:tr>
      <w:tr>
        <w:trPr>
          <w:trHeight w:val="284"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）企业合并减少</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1"/>
              <w:jc w:val="right"/>
              <w:rPr>
                <w:rFonts w:ascii="Times New Roman" w:hAnsi="Times New Roman" w:cs="Times New Roman" w:eastAsia="Times New Roman" w:hint="default"/>
                <w:sz w:val="16"/>
                <w:szCs w:val="16"/>
              </w:rPr>
            </w:pPr>
            <w:r>
              <w:rPr>
                <w:rFonts w:ascii="Times New Roman"/>
                <w:spacing w:val="-1"/>
                <w:sz w:val="16"/>
              </w:rPr>
              <w:t>0.00</w:t>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9"/>
              <w:jc w:val="right"/>
              <w:rPr>
                <w:rFonts w:ascii="Times New Roman" w:hAnsi="Times New Roman" w:cs="Times New Roman" w:eastAsia="Times New Roman" w:hint="default"/>
                <w:sz w:val="16"/>
                <w:szCs w:val="16"/>
              </w:rPr>
            </w:pPr>
            <w:r>
              <w:rPr>
                <w:rFonts w:ascii="Times New Roman"/>
                <w:spacing w:val="-1"/>
                <w:sz w:val="16"/>
              </w:rPr>
              <w:t>264,148.97</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6"/>
                <w:szCs w:val="16"/>
              </w:rPr>
            </w:pPr>
            <w:r>
              <w:rPr>
                <w:rFonts w:ascii="Times New Roman"/>
                <w:spacing w:val="-1"/>
                <w:sz w:val="16"/>
              </w:rPr>
              <w:t>0.00</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66"/>
              <w:jc w:val="right"/>
              <w:rPr>
                <w:rFonts w:ascii="Times New Roman" w:hAnsi="Times New Roman" w:cs="Times New Roman" w:eastAsia="Times New Roman" w:hint="default"/>
                <w:sz w:val="16"/>
                <w:szCs w:val="16"/>
              </w:rPr>
            </w:pPr>
            <w:r>
              <w:rPr>
                <w:rFonts w:ascii="Times New Roman"/>
                <w:spacing w:val="-1"/>
                <w:sz w:val="16"/>
              </w:rPr>
              <w:t>0.00</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64"/>
              <w:jc w:val="right"/>
              <w:rPr>
                <w:rFonts w:ascii="Times New Roman" w:hAnsi="Times New Roman" w:cs="Times New Roman" w:eastAsia="Times New Roman" w:hint="default"/>
                <w:sz w:val="16"/>
                <w:szCs w:val="16"/>
              </w:rPr>
            </w:pPr>
            <w:r>
              <w:rPr>
                <w:rFonts w:ascii="Times New Roman"/>
                <w:spacing w:val="-1"/>
                <w:sz w:val="16"/>
              </w:rPr>
              <w:t>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6"/>
              <w:jc w:val="right"/>
              <w:rPr>
                <w:rFonts w:ascii="Times New Roman" w:hAnsi="Times New Roman" w:cs="Times New Roman" w:eastAsia="Times New Roman" w:hint="default"/>
                <w:sz w:val="16"/>
                <w:szCs w:val="16"/>
              </w:rPr>
            </w:pPr>
            <w:r>
              <w:rPr>
                <w:rFonts w:ascii="Times New Roman"/>
                <w:spacing w:val="-1"/>
                <w:sz w:val="16"/>
              </w:rPr>
              <w:t>264,148.97</w:t>
            </w:r>
          </w:p>
        </w:tc>
      </w:tr>
      <w:tr>
        <w:trPr>
          <w:trHeight w:val="256" w:hRule="exact"/>
        </w:trPr>
        <w:tc>
          <w:tcPr>
            <w:tcW w:w="1718" w:type="dxa"/>
            <w:tcBorders>
              <w:top w:val="nil" w:sz="6" w:space="0" w:color="auto"/>
              <w:left w:val="nil" w:sz="6" w:space="0" w:color="auto"/>
              <w:bottom w:val="single" w:sz="4" w:space="0" w:color="000000"/>
              <w:right w:val="nil" w:sz="6" w:space="0" w:color="auto"/>
            </w:tcBorders>
          </w:tcPr>
          <w:p>
            <w:pPr>
              <w:pStyle w:val="TableParagraph"/>
              <w:spacing w:line="237"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年末余额</w:t>
            </w:r>
          </w:p>
        </w:tc>
        <w:tc>
          <w:tcPr>
            <w:tcW w:w="1302"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32"/>
              <w:jc w:val="right"/>
              <w:rPr>
                <w:rFonts w:ascii="Times New Roman" w:hAnsi="Times New Roman" w:cs="Times New Roman" w:eastAsia="Times New Roman" w:hint="default"/>
                <w:sz w:val="16"/>
                <w:szCs w:val="16"/>
              </w:rPr>
            </w:pPr>
            <w:r>
              <w:rPr>
                <w:rFonts w:ascii="Times New Roman"/>
                <w:spacing w:val="-1"/>
                <w:sz w:val="16"/>
              </w:rPr>
              <w:t>300,524,382.60</w:t>
            </w:r>
          </w:p>
        </w:tc>
        <w:tc>
          <w:tcPr>
            <w:tcW w:w="1137"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99"/>
              <w:jc w:val="right"/>
              <w:rPr>
                <w:rFonts w:ascii="Times New Roman" w:hAnsi="Times New Roman" w:cs="Times New Roman" w:eastAsia="Times New Roman" w:hint="default"/>
                <w:sz w:val="16"/>
                <w:szCs w:val="16"/>
              </w:rPr>
            </w:pPr>
            <w:r>
              <w:rPr>
                <w:rFonts w:ascii="Times New Roman"/>
                <w:spacing w:val="-1"/>
                <w:sz w:val="16"/>
              </w:rPr>
              <w:t>1,573,491.61</w:t>
            </w:r>
          </w:p>
        </w:tc>
        <w:tc>
          <w:tcPr>
            <w:tcW w:w="1251"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26"/>
              <w:jc w:val="right"/>
              <w:rPr>
                <w:rFonts w:ascii="Times New Roman" w:hAnsi="Times New Roman" w:cs="Times New Roman" w:eastAsia="Times New Roman" w:hint="default"/>
                <w:sz w:val="16"/>
                <w:szCs w:val="16"/>
              </w:rPr>
            </w:pPr>
            <w:r>
              <w:rPr>
                <w:rFonts w:ascii="Times New Roman"/>
                <w:spacing w:val="-1"/>
                <w:sz w:val="16"/>
              </w:rPr>
              <w:t>482,217,998.61</w:t>
            </w:r>
          </w:p>
        </w:tc>
        <w:tc>
          <w:tcPr>
            <w:tcW w:w="1097"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66"/>
              <w:jc w:val="right"/>
              <w:rPr>
                <w:rFonts w:ascii="Times New Roman" w:hAnsi="Times New Roman" w:cs="Times New Roman" w:eastAsia="Times New Roman" w:hint="default"/>
                <w:sz w:val="16"/>
                <w:szCs w:val="16"/>
              </w:rPr>
            </w:pPr>
            <w:r>
              <w:rPr>
                <w:rFonts w:ascii="Times New Roman"/>
                <w:spacing w:val="-2"/>
                <w:sz w:val="16"/>
              </w:rPr>
              <w:t>13,213,941.04</w:t>
            </w:r>
          </w:p>
        </w:tc>
        <w:tc>
          <w:tcPr>
            <w:tcW w:w="1055"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65"/>
              <w:jc w:val="right"/>
              <w:rPr>
                <w:rFonts w:ascii="Times New Roman" w:hAnsi="Times New Roman" w:cs="Times New Roman" w:eastAsia="Times New Roman" w:hint="default"/>
                <w:sz w:val="16"/>
                <w:szCs w:val="16"/>
              </w:rPr>
            </w:pPr>
            <w:r>
              <w:rPr>
                <w:rFonts w:ascii="Times New Roman"/>
                <w:spacing w:val="-1"/>
                <w:sz w:val="16"/>
              </w:rPr>
              <w:t>1,701,392.43</w:t>
            </w:r>
          </w:p>
        </w:tc>
        <w:tc>
          <w:tcPr>
            <w:tcW w:w="1216" w:type="dxa"/>
            <w:tcBorders>
              <w:top w:val="nil" w:sz="6" w:space="0" w:color="auto"/>
              <w:left w:val="nil" w:sz="6" w:space="0" w:color="auto"/>
              <w:bottom w:val="single" w:sz="4" w:space="0" w:color="000000"/>
              <w:right w:val="nil" w:sz="6" w:space="0" w:color="auto"/>
            </w:tcBorders>
          </w:tcPr>
          <w:p>
            <w:pPr>
              <w:pStyle w:val="TableParagraph"/>
              <w:spacing w:line="240" w:lineRule="auto" w:before="61"/>
              <w:ind w:right="26"/>
              <w:jc w:val="right"/>
              <w:rPr>
                <w:rFonts w:ascii="Times New Roman" w:hAnsi="Times New Roman" w:cs="Times New Roman" w:eastAsia="Times New Roman" w:hint="default"/>
                <w:sz w:val="16"/>
                <w:szCs w:val="16"/>
              </w:rPr>
            </w:pPr>
            <w:r>
              <w:rPr>
                <w:rFonts w:ascii="Times New Roman"/>
                <w:spacing w:val="-1"/>
                <w:sz w:val="16"/>
              </w:rPr>
              <w:t>799,231,206.29</w:t>
            </w:r>
          </w:p>
        </w:tc>
      </w:tr>
      <w:tr>
        <w:trPr>
          <w:trHeight w:val="313" w:hRule="exact"/>
        </w:trPr>
        <w:tc>
          <w:tcPr>
            <w:tcW w:w="1718"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40"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02" w:type="dxa"/>
            <w:tcBorders>
              <w:top w:val="single" w:sz="4" w:space="0" w:color="000000"/>
              <w:left w:val="nil" w:sz="6" w:space="0" w:color="auto"/>
              <w:bottom w:val="nil" w:sz="6" w:space="0" w:color="auto"/>
              <w:right w:val="nil" w:sz="6" w:space="0" w:color="auto"/>
            </w:tcBorders>
          </w:tcPr>
          <w:p>
            <w:pPr/>
          </w:p>
        </w:tc>
        <w:tc>
          <w:tcPr>
            <w:tcW w:w="1137" w:type="dxa"/>
            <w:tcBorders>
              <w:top w:val="single" w:sz="4" w:space="0" w:color="000000"/>
              <w:left w:val="nil" w:sz="6" w:space="0" w:color="auto"/>
              <w:bottom w:val="nil" w:sz="6" w:space="0" w:color="auto"/>
              <w:right w:val="nil" w:sz="6" w:space="0" w:color="auto"/>
            </w:tcBorders>
          </w:tcPr>
          <w:p>
            <w:pPr/>
          </w:p>
        </w:tc>
        <w:tc>
          <w:tcPr>
            <w:tcW w:w="1251" w:type="dxa"/>
            <w:tcBorders>
              <w:top w:val="single" w:sz="4" w:space="0" w:color="000000"/>
              <w:left w:val="nil" w:sz="6" w:space="0" w:color="auto"/>
              <w:bottom w:val="nil" w:sz="6" w:space="0" w:color="auto"/>
              <w:right w:val="nil" w:sz="6" w:space="0" w:color="auto"/>
            </w:tcBorders>
          </w:tcPr>
          <w:p>
            <w:pPr/>
          </w:p>
        </w:tc>
        <w:tc>
          <w:tcPr>
            <w:tcW w:w="1097" w:type="dxa"/>
            <w:tcBorders>
              <w:top w:val="single" w:sz="4" w:space="0" w:color="000000"/>
              <w:left w:val="nil" w:sz="6" w:space="0" w:color="auto"/>
              <w:bottom w:val="nil" w:sz="6" w:space="0" w:color="auto"/>
              <w:right w:val="nil" w:sz="6" w:space="0" w:color="auto"/>
            </w:tcBorders>
          </w:tcPr>
          <w:p>
            <w:pPr/>
          </w:p>
        </w:tc>
        <w:tc>
          <w:tcPr>
            <w:tcW w:w="1055" w:type="dxa"/>
            <w:tcBorders>
              <w:top w:val="single" w:sz="4" w:space="0" w:color="000000"/>
              <w:left w:val="nil" w:sz="6" w:space="0" w:color="auto"/>
              <w:bottom w:val="nil" w:sz="6" w:space="0" w:color="auto"/>
              <w:right w:val="nil" w:sz="6" w:space="0" w:color="auto"/>
            </w:tcBorders>
          </w:tcPr>
          <w:p>
            <w:pPr/>
          </w:p>
        </w:tc>
        <w:tc>
          <w:tcPr>
            <w:tcW w:w="1216" w:type="dxa"/>
            <w:tcBorders>
              <w:top w:val="single" w:sz="4" w:space="0" w:color="000000"/>
              <w:left w:val="nil" w:sz="6" w:space="0" w:color="auto"/>
              <w:bottom w:val="nil" w:sz="6" w:space="0" w:color="auto"/>
              <w:right w:val="nil" w:sz="6" w:space="0" w:color="auto"/>
            </w:tcBorders>
          </w:tcPr>
          <w:p>
            <w:pPr/>
          </w:p>
        </w:tc>
      </w:tr>
      <w:tr>
        <w:trPr>
          <w:trHeight w:val="296" w:hRule="exact"/>
        </w:trPr>
        <w:tc>
          <w:tcPr>
            <w:tcW w:w="1718" w:type="dxa"/>
            <w:tcBorders>
              <w:top w:val="nil" w:sz="6" w:space="0" w:color="auto"/>
              <w:left w:val="nil" w:sz="6" w:space="0" w:color="auto"/>
              <w:bottom w:val="nil" w:sz="6" w:space="0" w:color="auto"/>
              <w:right w:val="nil" w:sz="6" w:space="0" w:color="auto"/>
            </w:tcBorders>
          </w:tcPr>
          <w:p>
            <w:pPr>
              <w:pStyle w:val="TableParagraph"/>
              <w:spacing w:line="246"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年末账面价值</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32"/>
              <w:jc w:val="right"/>
              <w:rPr>
                <w:rFonts w:ascii="Times New Roman" w:hAnsi="Times New Roman" w:cs="Times New Roman" w:eastAsia="Times New Roman" w:hint="default"/>
                <w:sz w:val="16"/>
                <w:szCs w:val="16"/>
              </w:rPr>
            </w:pPr>
            <w:r>
              <w:rPr>
                <w:rFonts w:ascii="Times New Roman"/>
                <w:spacing w:val="-1"/>
                <w:sz w:val="16"/>
              </w:rPr>
              <w:t>2,436,337,269.24</w:t>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00"/>
              <w:jc w:val="right"/>
              <w:rPr>
                <w:rFonts w:ascii="Times New Roman" w:hAnsi="Times New Roman" w:cs="Times New Roman" w:eastAsia="Times New Roman" w:hint="default"/>
                <w:sz w:val="16"/>
                <w:szCs w:val="16"/>
              </w:rPr>
            </w:pPr>
            <w:r>
              <w:rPr>
                <w:rFonts w:ascii="Times New Roman"/>
                <w:spacing w:val="-1"/>
                <w:sz w:val="16"/>
              </w:rPr>
              <w:t>218,997,910.03</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6"/>
              <w:jc w:val="right"/>
              <w:rPr>
                <w:rFonts w:ascii="Times New Roman" w:hAnsi="Times New Roman" w:cs="Times New Roman" w:eastAsia="Times New Roman" w:hint="default"/>
                <w:sz w:val="16"/>
                <w:szCs w:val="16"/>
              </w:rPr>
            </w:pPr>
            <w:r>
              <w:rPr>
                <w:rFonts w:ascii="Times New Roman"/>
                <w:spacing w:val="-1"/>
                <w:sz w:val="16"/>
              </w:rPr>
              <w:t>2,315,917,438.46</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66"/>
              <w:jc w:val="right"/>
              <w:rPr>
                <w:rFonts w:ascii="Times New Roman" w:hAnsi="Times New Roman" w:cs="Times New Roman" w:eastAsia="Times New Roman" w:hint="default"/>
                <w:sz w:val="16"/>
                <w:szCs w:val="16"/>
              </w:rPr>
            </w:pPr>
            <w:r>
              <w:rPr>
                <w:rFonts w:ascii="Times New Roman"/>
                <w:spacing w:val="-1"/>
                <w:sz w:val="16"/>
              </w:rPr>
              <w:t>262,819,492.21</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65"/>
              <w:jc w:val="right"/>
              <w:rPr>
                <w:rFonts w:ascii="Times New Roman" w:hAnsi="Times New Roman" w:cs="Times New Roman" w:eastAsia="Times New Roman" w:hint="default"/>
                <w:sz w:val="16"/>
                <w:szCs w:val="16"/>
              </w:rPr>
            </w:pPr>
            <w:r>
              <w:rPr>
                <w:rFonts w:ascii="Times New Roman"/>
                <w:spacing w:val="-2"/>
                <w:sz w:val="16"/>
              </w:rPr>
              <w:t>63,703,823.12</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6"/>
              <w:jc w:val="right"/>
              <w:rPr>
                <w:rFonts w:ascii="Times New Roman" w:hAnsi="Times New Roman" w:cs="Times New Roman" w:eastAsia="Times New Roman" w:hint="default"/>
                <w:sz w:val="16"/>
                <w:szCs w:val="16"/>
              </w:rPr>
            </w:pPr>
            <w:r>
              <w:rPr>
                <w:rFonts w:ascii="Times New Roman"/>
                <w:spacing w:val="-1"/>
                <w:sz w:val="16"/>
              </w:rPr>
              <w:t>5,297,775,933.06</w:t>
            </w:r>
          </w:p>
        </w:tc>
      </w:tr>
      <w:tr>
        <w:trPr>
          <w:trHeight w:val="267" w:hRule="exact"/>
        </w:trPr>
        <w:tc>
          <w:tcPr>
            <w:tcW w:w="1718" w:type="dxa"/>
            <w:tcBorders>
              <w:top w:val="nil" w:sz="6" w:space="0" w:color="auto"/>
              <w:left w:val="nil" w:sz="6" w:space="0" w:color="auto"/>
              <w:bottom w:val="single" w:sz="12" w:space="0" w:color="000000"/>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年初账面价值</w:t>
            </w:r>
          </w:p>
        </w:tc>
        <w:tc>
          <w:tcPr>
            <w:tcW w:w="1302"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right="32"/>
              <w:jc w:val="right"/>
              <w:rPr>
                <w:rFonts w:ascii="Times New Roman" w:hAnsi="Times New Roman" w:cs="Times New Roman" w:eastAsia="Times New Roman" w:hint="default"/>
                <w:sz w:val="16"/>
                <w:szCs w:val="16"/>
              </w:rPr>
            </w:pPr>
            <w:r>
              <w:rPr>
                <w:rFonts w:ascii="Times New Roman"/>
                <w:spacing w:val="-1"/>
                <w:sz w:val="16"/>
              </w:rPr>
              <w:t>2,516,878,043.87</w:t>
            </w:r>
          </w:p>
        </w:tc>
        <w:tc>
          <w:tcPr>
            <w:tcW w:w="1137"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right="100"/>
              <w:jc w:val="right"/>
              <w:rPr>
                <w:rFonts w:ascii="Times New Roman" w:hAnsi="Times New Roman" w:cs="Times New Roman" w:eastAsia="Times New Roman" w:hint="default"/>
                <w:sz w:val="16"/>
                <w:szCs w:val="16"/>
              </w:rPr>
            </w:pPr>
            <w:r>
              <w:rPr>
                <w:rFonts w:ascii="Times New Roman"/>
                <w:spacing w:val="-1"/>
                <w:sz w:val="16"/>
              </w:rPr>
              <w:t>237,730,715.91</w:t>
            </w:r>
          </w:p>
        </w:tc>
        <w:tc>
          <w:tcPr>
            <w:tcW w:w="1251"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1"/>
                <w:sz w:val="16"/>
              </w:rPr>
              <w:t>2,546,611,218.11</w:t>
            </w:r>
          </w:p>
        </w:tc>
        <w:tc>
          <w:tcPr>
            <w:tcW w:w="1097"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right="66"/>
              <w:jc w:val="right"/>
              <w:rPr>
                <w:rFonts w:ascii="Times New Roman" w:hAnsi="Times New Roman" w:cs="Times New Roman" w:eastAsia="Times New Roman" w:hint="default"/>
                <w:sz w:val="16"/>
                <w:szCs w:val="16"/>
              </w:rPr>
            </w:pPr>
            <w:r>
              <w:rPr>
                <w:rFonts w:ascii="Times New Roman"/>
                <w:spacing w:val="-1"/>
                <w:sz w:val="16"/>
              </w:rPr>
              <w:t>307,337,290.87</w:t>
            </w:r>
          </w:p>
        </w:tc>
        <w:tc>
          <w:tcPr>
            <w:tcW w:w="1055"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right="65"/>
              <w:jc w:val="right"/>
              <w:rPr>
                <w:rFonts w:ascii="Times New Roman" w:hAnsi="Times New Roman" w:cs="Times New Roman" w:eastAsia="Times New Roman" w:hint="default"/>
                <w:sz w:val="16"/>
                <w:szCs w:val="16"/>
              </w:rPr>
            </w:pPr>
            <w:r>
              <w:rPr>
                <w:rFonts w:ascii="Times New Roman"/>
                <w:spacing w:val="-2"/>
                <w:sz w:val="16"/>
              </w:rPr>
              <w:t>68,660,614.73</w:t>
            </w:r>
          </w:p>
        </w:tc>
        <w:tc>
          <w:tcPr>
            <w:tcW w:w="1216"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1"/>
                <w:sz w:val="16"/>
              </w:rPr>
              <w:t>5,677,217,883.49</w:t>
            </w:r>
          </w:p>
        </w:tc>
      </w:tr>
    </w:tbl>
    <w:p>
      <w:pPr>
        <w:spacing w:before="81"/>
        <w:ind w:left="66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14.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在建工程</w:t>
      </w:r>
    </w:p>
    <w:p>
      <w:pPr>
        <w:spacing w:before="110"/>
        <w:ind w:left="689"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47"/>
          <w:sz w:val="22"/>
          <w:szCs w:val="22"/>
        </w:rPr>
        <w:t> </w:t>
      </w:r>
      <w:r>
        <w:rPr>
          <w:rFonts w:ascii="宋体" w:hAnsi="宋体" w:cs="宋体" w:eastAsia="宋体" w:hint="default"/>
          <w:sz w:val="22"/>
          <w:szCs w:val="22"/>
        </w:rPr>
        <w:t>在建工程明细表</w:t>
      </w:r>
    </w:p>
    <w:p>
      <w:pPr>
        <w:spacing w:line="240" w:lineRule="auto" w:before="8"/>
        <w:rPr>
          <w:rFonts w:ascii="宋体" w:hAnsi="宋体" w:cs="宋体" w:eastAsia="宋体" w:hint="default"/>
          <w:sz w:val="11"/>
          <w:szCs w:val="11"/>
        </w:rPr>
      </w:pPr>
    </w:p>
    <w:tbl>
      <w:tblPr>
        <w:tblW w:w="0" w:type="auto"/>
        <w:jc w:val="left"/>
        <w:tblInd w:w="106" w:type="dxa"/>
        <w:tblLayout w:type="fixed"/>
        <w:tblCellMar>
          <w:top w:w="0" w:type="dxa"/>
          <w:left w:w="0" w:type="dxa"/>
          <w:bottom w:w="0" w:type="dxa"/>
          <w:right w:w="0" w:type="dxa"/>
        </w:tblCellMar>
        <w:tblLook w:val="01E0"/>
      </w:tblPr>
      <w:tblGrid>
        <w:gridCol w:w="2710"/>
        <w:gridCol w:w="1184"/>
        <w:gridCol w:w="955"/>
        <w:gridCol w:w="1043"/>
        <w:gridCol w:w="1033"/>
        <w:gridCol w:w="904"/>
        <w:gridCol w:w="975"/>
      </w:tblGrid>
      <w:tr>
        <w:trPr>
          <w:trHeight w:val="305" w:hRule="exact"/>
        </w:trPr>
        <w:tc>
          <w:tcPr>
            <w:tcW w:w="2710" w:type="dxa"/>
            <w:vMerge w:val="restart"/>
            <w:tcBorders>
              <w:top w:val="single" w:sz="12" w:space="0" w:color="000000"/>
              <w:left w:val="nil" w:sz="6" w:space="0" w:color="auto"/>
              <w:right w:val="nil" w:sz="6" w:space="0" w:color="auto"/>
            </w:tcBorders>
          </w:tcPr>
          <w:p>
            <w:pPr>
              <w:pStyle w:val="TableParagraph"/>
              <w:spacing w:line="240" w:lineRule="auto" w:before="145"/>
              <w:ind w:left="40"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84" w:type="dxa"/>
            <w:tcBorders>
              <w:top w:val="single" w:sz="12" w:space="0" w:color="000000"/>
              <w:left w:val="nil" w:sz="6" w:space="0" w:color="auto"/>
              <w:bottom w:val="single" w:sz="4" w:space="0" w:color="000000"/>
              <w:right w:val="nil" w:sz="6" w:space="0" w:color="auto"/>
            </w:tcBorders>
          </w:tcPr>
          <w:p>
            <w:pPr/>
          </w:p>
        </w:tc>
        <w:tc>
          <w:tcPr>
            <w:tcW w:w="95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3"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043" w:type="dxa"/>
            <w:tcBorders>
              <w:top w:val="single" w:sz="12" w:space="0" w:color="000000"/>
              <w:left w:val="nil" w:sz="6" w:space="0" w:color="auto"/>
              <w:bottom w:val="single" w:sz="4" w:space="0" w:color="000000"/>
              <w:right w:val="nil" w:sz="6" w:space="0" w:color="auto"/>
            </w:tcBorders>
          </w:tcPr>
          <w:p>
            <w:pPr/>
          </w:p>
        </w:tc>
        <w:tc>
          <w:tcPr>
            <w:tcW w:w="1033" w:type="dxa"/>
            <w:tcBorders>
              <w:top w:val="single" w:sz="12" w:space="0" w:color="000000"/>
              <w:left w:val="nil" w:sz="6" w:space="0" w:color="auto"/>
              <w:bottom w:val="single" w:sz="4" w:space="0" w:color="000000"/>
              <w:right w:val="nil" w:sz="6" w:space="0" w:color="auto"/>
            </w:tcBorders>
          </w:tcPr>
          <w:p>
            <w:pPr/>
          </w:p>
        </w:tc>
        <w:tc>
          <w:tcPr>
            <w:tcW w:w="90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8"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975" w:type="dxa"/>
            <w:tcBorders>
              <w:top w:val="single" w:sz="12" w:space="0" w:color="000000"/>
              <w:left w:val="nil" w:sz="6" w:space="0" w:color="auto"/>
              <w:bottom w:val="single" w:sz="4" w:space="0" w:color="000000"/>
              <w:right w:val="nil" w:sz="6" w:space="0" w:color="auto"/>
            </w:tcBorders>
          </w:tcPr>
          <w:p>
            <w:pPr/>
          </w:p>
        </w:tc>
      </w:tr>
      <w:tr>
        <w:trPr>
          <w:trHeight w:val="295" w:hRule="exact"/>
        </w:trPr>
        <w:tc>
          <w:tcPr>
            <w:tcW w:w="2710" w:type="dxa"/>
            <w:vMerge/>
            <w:tcBorders>
              <w:left w:val="nil" w:sz="6" w:space="0" w:color="auto"/>
              <w:bottom w:val="single" w:sz="4" w:space="0" w:color="000000"/>
              <w:right w:val="nil" w:sz="6" w:space="0" w:color="auto"/>
            </w:tcBorders>
          </w:tcPr>
          <w:p>
            <w:pPr/>
          </w:p>
        </w:tc>
        <w:tc>
          <w:tcPr>
            <w:tcW w:w="1184"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203"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955"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83" w:right="0"/>
              <w:jc w:val="left"/>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c>
        <w:tc>
          <w:tcPr>
            <w:tcW w:w="1043"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19"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c>
          <w:tcPr>
            <w:tcW w:w="1033"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20"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904"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83" w:right="0"/>
              <w:jc w:val="left"/>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c>
        <w:tc>
          <w:tcPr>
            <w:tcW w:w="975"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20"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299" w:hRule="exact"/>
        </w:trPr>
        <w:tc>
          <w:tcPr>
            <w:tcW w:w="2710"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40" w:right="0"/>
              <w:jc w:val="left"/>
              <w:rPr>
                <w:rFonts w:ascii="宋体" w:hAnsi="宋体" w:cs="宋体" w:eastAsia="宋体" w:hint="default"/>
                <w:sz w:val="18"/>
                <w:szCs w:val="18"/>
              </w:rPr>
            </w:pPr>
            <w:r>
              <w:rPr>
                <w:rFonts w:ascii="宋体" w:hAnsi="宋体" w:cs="宋体" w:eastAsia="宋体" w:hint="default"/>
                <w:sz w:val="18"/>
                <w:szCs w:val="18"/>
              </w:rPr>
              <w:t>龙江环保鸡西全天供水改造工程</w:t>
            </w:r>
          </w:p>
        </w:tc>
        <w:tc>
          <w:tcPr>
            <w:tcW w:w="1184"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69"/>
              <w:jc w:val="right"/>
              <w:rPr>
                <w:rFonts w:ascii="Times New Roman" w:hAnsi="Times New Roman" w:cs="Times New Roman" w:eastAsia="Times New Roman" w:hint="default"/>
                <w:sz w:val="16"/>
                <w:szCs w:val="16"/>
              </w:rPr>
            </w:pPr>
            <w:r>
              <w:rPr>
                <w:rFonts w:ascii="Times New Roman"/>
                <w:spacing w:val="-6"/>
                <w:sz w:val="16"/>
              </w:rPr>
              <w:t>322,251,906.01</w:t>
            </w:r>
          </w:p>
        </w:tc>
        <w:tc>
          <w:tcPr>
            <w:tcW w:w="955"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16"/>
                <w:szCs w:val="16"/>
              </w:rPr>
            </w:pPr>
            <w:r>
              <w:rPr>
                <w:rFonts w:ascii="Times New Roman"/>
                <w:spacing w:val="-5"/>
                <w:sz w:val="16"/>
              </w:rPr>
              <w:t>0.00</w:t>
            </w:r>
          </w:p>
        </w:tc>
        <w:tc>
          <w:tcPr>
            <w:tcW w:w="1043"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82"/>
              <w:jc w:val="right"/>
              <w:rPr>
                <w:rFonts w:ascii="Times New Roman" w:hAnsi="Times New Roman" w:cs="Times New Roman" w:eastAsia="Times New Roman" w:hint="default"/>
                <w:sz w:val="16"/>
                <w:szCs w:val="16"/>
              </w:rPr>
            </w:pPr>
            <w:r>
              <w:rPr>
                <w:rFonts w:ascii="Times New Roman"/>
                <w:spacing w:val="-6"/>
                <w:sz w:val="16"/>
              </w:rPr>
              <w:t>322,251,906.01</w:t>
            </w:r>
          </w:p>
        </w:tc>
        <w:tc>
          <w:tcPr>
            <w:tcW w:w="1033"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21"/>
              <w:jc w:val="right"/>
              <w:rPr>
                <w:rFonts w:ascii="Times New Roman" w:hAnsi="Times New Roman" w:cs="Times New Roman" w:eastAsia="Times New Roman" w:hint="default"/>
                <w:sz w:val="16"/>
                <w:szCs w:val="16"/>
              </w:rPr>
            </w:pPr>
            <w:r>
              <w:rPr>
                <w:rFonts w:ascii="Times New Roman"/>
                <w:spacing w:val="-6"/>
                <w:sz w:val="16"/>
              </w:rPr>
              <w:t>305,511,849.70</w:t>
            </w:r>
          </w:p>
        </w:tc>
        <w:tc>
          <w:tcPr>
            <w:tcW w:w="904"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29"/>
              <w:jc w:val="right"/>
              <w:rPr>
                <w:rFonts w:ascii="Times New Roman" w:hAnsi="Times New Roman" w:cs="Times New Roman" w:eastAsia="Times New Roman" w:hint="default"/>
                <w:sz w:val="16"/>
                <w:szCs w:val="16"/>
              </w:rPr>
            </w:pPr>
            <w:r>
              <w:rPr>
                <w:rFonts w:ascii="Times New Roman"/>
                <w:spacing w:val="-5"/>
                <w:sz w:val="16"/>
              </w:rPr>
              <w:t>0.00</w:t>
            </w:r>
          </w:p>
        </w:tc>
        <w:tc>
          <w:tcPr>
            <w:tcW w:w="975"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17"/>
              <w:jc w:val="right"/>
              <w:rPr>
                <w:rFonts w:ascii="Times New Roman" w:hAnsi="Times New Roman" w:cs="Times New Roman" w:eastAsia="Times New Roman" w:hint="default"/>
                <w:sz w:val="16"/>
                <w:szCs w:val="16"/>
              </w:rPr>
            </w:pPr>
            <w:r>
              <w:rPr>
                <w:rFonts w:ascii="Times New Roman"/>
                <w:spacing w:val="-6"/>
                <w:sz w:val="16"/>
              </w:rPr>
              <w:t>305,511,849.70</w:t>
            </w:r>
          </w:p>
        </w:tc>
      </w:tr>
      <w:tr>
        <w:trPr>
          <w:trHeight w:val="483"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196" w:lineRule="exact"/>
              <w:ind w:left="40" w:right="0"/>
              <w:jc w:val="left"/>
              <w:rPr>
                <w:rFonts w:ascii="宋体" w:hAnsi="宋体" w:cs="宋体" w:eastAsia="宋体" w:hint="default"/>
                <w:sz w:val="18"/>
                <w:szCs w:val="18"/>
              </w:rPr>
            </w:pPr>
            <w:r>
              <w:rPr>
                <w:rFonts w:ascii="宋体" w:hAnsi="宋体" w:cs="宋体" w:eastAsia="宋体" w:hint="default"/>
                <w:spacing w:val="-5"/>
                <w:sz w:val="18"/>
                <w:szCs w:val="18"/>
              </w:rPr>
              <w:t>“中国知网”数字出版与数字图书</w:t>
            </w:r>
          </w:p>
          <w:p>
            <w:pPr>
              <w:pStyle w:val="TableParagraph"/>
              <w:spacing w:line="234" w:lineRule="exact"/>
              <w:ind w:left="40" w:right="0"/>
              <w:jc w:val="left"/>
              <w:rPr>
                <w:rFonts w:ascii="宋体" w:hAnsi="宋体" w:cs="宋体" w:eastAsia="宋体" w:hint="default"/>
                <w:sz w:val="18"/>
                <w:szCs w:val="18"/>
              </w:rPr>
            </w:pPr>
            <w:r>
              <w:rPr>
                <w:rFonts w:ascii="宋体" w:hAnsi="宋体" w:cs="宋体" w:eastAsia="宋体" w:hint="default"/>
                <w:sz w:val="18"/>
                <w:szCs w:val="18"/>
              </w:rPr>
              <w:t>馆项目</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69"/>
              <w:jc w:val="right"/>
              <w:rPr>
                <w:rFonts w:ascii="Times New Roman" w:hAnsi="Times New Roman" w:cs="Times New Roman" w:eastAsia="Times New Roman" w:hint="default"/>
                <w:sz w:val="16"/>
                <w:szCs w:val="16"/>
              </w:rPr>
            </w:pPr>
            <w:r>
              <w:rPr>
                <w:rFonts w:ascii="Times New Roman"/>
                <w:spacing w:val="-6"/>
                <w:sz w:val="16"/>
              </w:rPr>
              <w:t>75,943,963.86</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33"/>
              <w:jc w:val="right"/>
              <w:rPr>
                <w:rFonts w:ascii="Times New Roman" w:hAnsi="Times New Roman" w:cs="Times New Roman" w:eastAsia="Times New Roman" w:hint="default"/>
                <w:sz w:val="16"/>
                <w:szCs w:val="16"/>
              </w:rPr>
            </w:pPr>
            <w:r>
              <w:rPr>
                <w:rFonts w:ascii="Times New Roman"/>
                <w:spacing w:val="-5"/>
                <w:sz w:val="16"/>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82"/>
              <w:jc w:val="right"/>
              <w:rPr>
                <w:rFonts w:ascii="Times New Roman" w:hAnsi="Times New Roman" w:cs="Times New Roman" w:eastAsia="Times New Roman" w:hint="default"/>
                <w:sz w:val="16"/>
                <w:szCs w:val="16"/>
              </w:rPr>
            </w:pPr>
            <w:r>
              <w:rPr>
                <w:rFonts w:ascii="Times New Roman"/>
                <w:spacing w:val="-6"/>
                <w:sz w:val="16"/>
              </w:rPr>
              <w:t>75,943,963.86</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21"/>
              <w:jc w:val="right"/>
              <w:rPr>
                <w:rFonts w:ascii="Times New Roman" w:hAnsi="Times New Roman" w:cs="Times New Roman" w:eastAsia="Times New Roman" w:hint="default"/>
                <w:sz w:val="16"/>
                <w:szCs w:val="16"/>
              </w:rPr>
            </w:pPr>
            <w:r>
              <w:rPr>
                <w:rFonts w:ascii="Times New Roman"/>
                <w:spacing w:val="-6"/>
                <w:sz w:val="16"/>
              </w:rPr>
              <w:t>18,538,295.46</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29"/>
              <w:jc w:val="right"/>
              <w:rPr>
                <w:rFonts w:ascii="Times New Roman" w:hAnsi="Times New Roman" w:cs="Times New Roman" w:eastAsia="Times New Roman" w:hint="default"/>
                <w:sz w:val="16"/>
                <w:szCs w:val="16"/>
              </w:rPr>
            </w:pPr>
            <w:r>
              <w:rPr>
                <w:rFonts w:ascii="Times New Roman"/>
                <w:spacing w:val="-5"/>
                <w:sz w:val="16"/>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7"/>
              <w:jc w:val="right"/>
              <w:rPr>
                <w:rFonts w:ascii="Times New Roman" w:hAnsi="Times New Roman" w:cs="Times New Roman" w:eastAsia="Times New Roman" w:hint="default"/>
                <w:sz w:val="16"/>
                <w:szCs w:val="16"/>
              </w:rPr>
            </w:pPr>
            <w:r>
              <w:rPr>
                <w:rFonts w:ascii="Times New Roman"/>
                <w:spacing w:val="-6"/>
                <w:sz w:val="16"/>
              </w:rPr>
              <w:t>18,538,295.46</w:t>
            </w:r>
          </w:p>
        </w:tc>
      </w:tr>
      <w:tr>
        <w:trPr>
          <w:trHeight w:val="269"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33" w:lineRule="exact"/>
              <w:ind w:left="40" w:right="0"/>
              <w:jc w:val="left"/>
              <w:rPr>
                <w:rFonts w:ascii="宋体" w:hAnsi="宋体" w:cs="宋体" w:eastAsia="宋体" w:hint="default"/>
                <w:sz w:val="18"/>
                <w:szCs w:val="18"/>
              </w:rPr>
            </w:pPr>
            <w:r>
              <w:rPr>
                <w:rFonts w:ascii="宋体" w:hAnsi="宋体" w:cs="宋体" w:eastAsia="宋体" w:hint="default"/>
                <w:sz w:val="18"/>
                <w:szCs w:val="18"/>
              </w:rPr>
              <w:t>同方沈阳科技园区建设项目三期</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69"/>
              <w:jc w:val="right"/>
              <w:rPr>
                <w:rFonts w:ascii="Times New Roman" w:hAnsi="Times New Roman" w:cs="Times New Roman" w:eastAsia="Times New Roman" w:hint="default"/>
                <w:sz w:val="16"/>
                <w:szCs w:val="16"/>
              </w:rPr>
            </w:pPr>
            <w:r>
              <w:rPr>
                <w:rFonts w:ascii="Times New Roman"/>
                <w:spacing w:val="-6"/>
                <w:sz w:val="16"/>
              </w:rPr>
              <w:t>73,478,626.70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33"/>
              <w:jc w:val="right"/>
              <w:rPr>
                <w:rFonts w:ascii="Times New Roman" w:hAnsi="Times New Roman" w:cs="Times New Roman" w:eastAsia="Times New Roman" w:hint="default"/>
                <w:sz w:val="16"/>
                <w:szCs w:val="16"/>
              </w:rPr>
            </w:pPr>
            <w:r>
              <w:rPr>
                <w:rFonts w:ascii="Times New Roman"/>
                <w:spacing w:val="-5"/>
                <w:sz w:val="16"/>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82"/>
              <w:jc w:val="right"/>
              <w:rPr>
                <w:rFonts w:ascii="Times New Roman" w:hAnsi="Times New Roman" w:cs="Times New Roman" w:eastAsia="Times New Roman" w:hint="default"/>
                <w:sz w:val="16"/>
                <w:szCs w:val="16"/>
              </w:rPr>
            </w:pPr>
            <w:r>
              <w:rPr>
                <w:rFonts w:ascii="Times New Roman"/>
                <w:spacing w:val="-6"/>
                <w:sz w:val="16"/>
              </w:rPr>
              <w:t>73,478,626.70</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1"/>
              <w:jc w:val="right"/>
              <w:rPr>
                <w:rFonts w:ascii="Times New Roman" w:hAnsi="Times New Roman" w:cs="Times New Roman" w:eastAsia="Times New Roman" w:hint="default"/>
                <w:sz w:val="16"/>
                <w:szCs w:val="16"/>
              </w:rPr>
            </w:pPr>
            <w:r>
              <w:rPr>
                <w:rFonts w:ascii="Times New Roman"/>
                <w:spacing w:val="-6"/>
                <w:sz w:val="16"/>
              </w:rPr>
              <w:t>78,702,853.08</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9"/>
              <w:jc w:val="right"/>
              <w:rPr>
                <w:rFonts w:ascii="Times New Roman" w:hAnsi="Times New Roman" w:cs="Times New Roman" w:eastAsia="Times New Roman" w:hint="default"/>
                <w:sz w:val="16"/>
                <w:szCs w:val="16"/>
              </w:rPr>
            </w:pPr>
            <w:r>
              <w:rPr>
                <w:rFonts w:ascii="Times New Roman"/>
                <w:spacing w:val="-5"/>
                <w:sz w:val="16"/>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7"/>
              <w:jc w:val="right"/>
              <w:rPr>
                <w:rFonts w:ascii="Times New Roman" w:hAnsi="Times New Roman" w:cs="Times New Roman" w:eastAsia="Times New Roman" w:hint="default"/>
                <w:sz w:val="16"/>
                <w:szCs w:val="16"/>
              </w:rPr>
            </w:pPr>
            <w:r>
              <w:rPr>
                <w:rFonts w:ascii="Times New Roman"/>
                <w:spacing w:val="-6"/>
                <w:sz w:val="16"/>
              </w:rPr>
              <w:t>78,702,853.08</w:t>
            </w:r>
          </w:p>
        </w:tc>
      </w:tr>
      <w:tr>
        <w:trPr>
          <w:trHeight w:val="483"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196" w:lineRule="exact"/>
              <w:ind w:left="40" w:right="0"/>
              <w:jc w:val="left"/>
              <w:rPr>
                <w:rFonts w:ascii="宋体" w:hAnsi="宋体" w:cs="宋体" w:eastAsia="宋体" w:hint="default"/>
                <w:sz w:val="18"/>
                <w:szCs w:val="18"/>
              </w:rPr>
            </w:pPr>
            <w:r>
              <w:rPr>
                <w:rFonts w:ascii="宋体" w:hAnsi="宋体" w:cs="宋体" w:eastAsia="宋体" w:hint="default"/>
                <w:sz w:val="18"/>
                <w:szCs w:val="18"/>
              </w:rPr>
              <w:t>清华同方（无锡）信息产业园</w:t>
            </w:r>
          </w:p>
          <w:p>
            <w:pPr>
              <w:pStyle w:val="TableParagraph"/>
              <w:spacing w:line="240" w:lineRule="auto"/>
              <w:ind w:left="40" w:right="0"/>
              <w:jc w:val="left"/>
              <w:rPr>
                <w:rFonts w:ascii="宋体" w:hAnsi="宋体" w:cs="宋体" w:eastAsia="宋体" w:hint="default"/>
                <w:sz w:val="18"/>
                <w:szCs w:val="18"/>
              </w:rPr>
            </w:pPr>
            <w:r>
              <w:rPr>
                <w:rFonts w:ascii="宋体" w:hAnsi="宋体" w:cs="宋体" w:eastAsia="宋体" w:hint="default"/>
                <w:sz w:val="18"/>
                <w:szCs w:val="18"/>
              </w:rPr>
              <w:t>一期建设</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69"/>
              <w:jc w:val="right"/>
              <w:rPr>
                <w:rFonts w:ascii="Times New Roman" w:hAnsi="Times New Roman" w:cs="Times New Roman" w:eastAsia="Times New Roman" w:hint="default"/>
                <w:sz w:val="16"/>
                <w:szCs w:val="16"/>
              </w:rPr>
            </w:pPr>
            <w:r>
              <w:rPr>
                <w:rFonts w:ascii="Times New Roman"/>
                <w:spacing w:val="-6"/>
                <w:sz w:val="16"/>
              </w:rPr>
              <w:t>86,036,378.12</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30"/>
              <w:jc w:val="right"/>
              <w:rPr>
                <w:rFonts w:ascii="Times New Roman" w:hAnsi="Times New Roman" w:cs="Times New Roman" w:eastAsia="Times New Roman" w:hint="default"/>
                <w:sz w:val="16"/>
                <w:szCs w:val="16"/>
              </w:rPr>
            </w:pPr>
            <w:r>
              <w:rPr>
                <w:rFonts w:ascii="Times New Roman"/>
                <w:spacing w:val="-6"/>
                <w:sz w:val="16"/>
              </w:rPr>
              <w:t>14,603,542.91</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82"/>
              <w:jc w:val="right"/>
              <w:rPr>
                <w:rFonts w:ascii="Times New Roman" w:hAnsi="Times New Roman" w:cs="Times New Roman" w:eastAsia="Times New Roman" w:hint="default"/>
                <w:sz w:val="16"/>
                <w:szCs w:val="16"/>
              </w:rPr>
            </w:pPr>
            <w:r>
              <w:rPr>
                <w:rFonts w:ascii="Times New Roman"/>
                <w:spacing w:val="-6"/>
                <w:sz w:val="16"/>
              </w:rPr>
              <w:t>71,432,835.21</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21"/>
              <w:jc w:val="right"/>
              <w:rPr>
                <w:rFonts w:ascii="Times New Roman" w:hAnsi="Times New Roman" w:cs="Times New Roman" w:eastAsia="Times New Roman" w:hint="default"/>
                <w:sz w:val="16"/>
                <w:szCs w:val="16"/>
              </w:rPr>
            </w:pPr>
            <w:r>
              <w:rPr>
                <w:rFonts w:ascii="Times New Roman"/>
                <w:spacing w:val="-6"/>
                <w:sz w:val="16"/>
              </w:rPr>
              <w:t>13,296,160.75</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29"/>
              <w:jc w:val="right"/>
              <w:rPr>
                <w:rFonts w:ascii="Times New Roman" w:hAnsi="Times New Roman" w:cs="Times New Roman" w:eastAsia="Times New Roman" w:hint="default"/>
                <w:sz w:val="16"/>
                <w:szCs w:val="16"/>
              </w:rPr>
            </w:pPr>
            <w:r>
              <w:rPr>
                <w:rFonts w:ascii="Times New Roman"/>
                <w:spacing w:val="-5"/>
                <w:sz w:val="16"/>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7"/>
              <w:jc w:val="right"/>
              <w:rPr>
                <w:rFonts w:ascii="Times New Roman" w:hAnsi="Times New Roman" w:cs="Times New Roman" w:eastAsia="Times New Roman" w:hint="default"/>
                <w:sz w:val="16"/>
                <w:szCs w:val="16"/>
              </w:rPr>
            </w:pPr>
            <w:r>
              <w:rPr>
                <w:rFonts w:ascii="Times New Roman"/>
                <w:spacing w:val="-6"/>
                <w:sz w:val="16"/>
              </w:rPr>
              <w:t>13,296,160.75</w:t>
            </w:r>
          </w:p>
        </w:tc>
      </w:tr>
      <w:tr>
        <w:trPr>
          <w:trHeight w:val="295"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32" w:lineRule="exact"/>
              <w:ind w:left="40" w:right="0"/>
              <w:jc w:val="left"/>
              <w:rPr>
                <w:rFonts w:ascii="宋体" w:hAnsi="宋体" w:cs="宋体" w:eastAsia="宋体" w:hint="default"/>
                <w:sz w:val="18"/>
                <w:szCs w:val="18"/>
              </w:rPr>
            </w:pPr>
            <w:r>
              <w:rPr>
                <w:rFonts w:ascii="宋体" w:hAnsi="宋体" w:cs="宋体" w:eastAsia="宋体" w:hint="default"/>
                <w:sz w:val="18"/>
                <w:szCs w:val="18"/>
              </w:rPr>
              <w:t>同方泰德工业节能项目</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69"/>
              <w:jc w:val="right"/>
              <w:rPr>
                <w:rFonts w:ascii="Times New Roman" w:hAnsi="Times New Roman" w:cs="Times New Roman" w:eastAsia="Times New Roman" w:hint="default"/>
                <w:sz w:val="16"/>
                <w:szCs w:val="16"/>
              </w:rPr>
            </w:pPr>
            <w:r>
              <w:rPr>
                <w:rFonts w:ascii="Times New Roman"/>
                <w:spacing w:val="-6"/>
                <w:sz w:val="16"/>
              </w:rPr>
              <w:t>14,582,614.42</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Times New Roman" w:hAnsi="Times New Roman" w:cs="Times New Roman" w:eastAsia="Times New Roman" w:hint="default"/>
                <w:sz w:val="16"/>
                <w:szCs w:val="16"/>
              </w:rPr>
            </w:pPr>
            <w:r>
              <w:rPr>
                <w:rFonts w:ascii="Times New Roman"/>
                <w:spacing w:val="-5"/>
                <w:sz w:val="16"/>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82"/>
              <w:jc w:val="right"/>
              <w:rPr>
                <w:rFonts w:ascii="Times New Roman" w:hAnsi="Times New Roman" w:cs="Times New Roman" w:eastAsia="Times New Roman" w:hint="default"/>
                <w:sz w:val="16"/>
                <w:szCs w:val="16"/>
              </w:rPr>
            </w:pPr>
            <w:r>
              <w:rPr>
                <w:rFonts w:ascii="Times New Roman"/>
                <w:spacing w:val="-6"/>
                <w:sz w:val="16"/>
              </w:rPr>
              <w:t>14,582,614.42</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1"/>
              <w:jc w:val="right"/>
              <w:rPr>
                <w:rFonts w:ascii="Times New Roman" w:hAnsi="Times New Roman" w:cs="Times New Roman" w:eastAsia="Times New Roman" w:hint="default"/>
                <w:sz w:val="16"/>
                <w:szCs w:val="16"/>
              </w:rPr>
            </w:pPr>
            <w:r>
              <w:rPr>
                <w:rFonts w:ascii="Times New Roman"/>
                <w:spacing w:val="-6"/>
                <w:sz w:val="16"/>
              </w:rPr>
              <w:t>29,388,270.29</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16"/>
                <w:szCs w:val="16"/>
              </w:rPr>
            </w:pPr>
            <w:r>
              <w:rPr>
                <w:rFonts w:ascii="Times New Roman"/>
                <w:spacing w:val="-5"/>
                <w:sz w:val="16"/>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7"/>
              <w:jc w:val="right"/>
              <w:rPr>
                <w:rFonts w:ascii="Times New Roman" w:hAnsi="Times New Roman" w:cs="Times New Roman" w:eastAsia="Times New Roman" w:hint="default"/>
                <w:sz w:val="16"/>
                <w:szCs w:val="16"/>
              </w:rPr>
            </w:pPr>
            <w:r>
              <w:rPr>
                <w:rFonts w:ascii="Times New Roman"/>
                <w:spacing w:val="-6"/>
                <w:sz w:val="16"/>
              </w:rPr>
              <w:t>29,388,270.29</w:t>
            </w:r>
          </w:p>
        </w:tc>
      </w:tr>
      <w:tr>
        <w:trPr>
          <w:trHeight w:val="286"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23" w:lineRule="exact"/>
              <w:ind w:left="40" w:right="0"/>
              <w:jc w:val="left"/>
              <w:rPr>
                <w:rFonts w:ascii="宋体" w:hAnsi="宋体" w:cs="宋体" w:eastAsia="宋体" w:hint="default"/>
                <w:sz w:val="18"/>
                <w:szCs w:val="18"/>
              </w:rPr>
            </w:pPr>
            <w:r>
              <w:rPr>
                <w:rFonts w:ascii="宋体" w:hAnsi="宋体" w:cs="宋体" w:eastAsia="宋体" w:hint="default"/>
                <w:sz w:val="18"/>
                <w:szCs w:val="18"/>
              </w:rPr>
              <w:t>同方威视科技园区建设项目一期</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69"/>
              <w:jc w:val="right"/>
              <w:rPr>
                <w:rFonts w:ascii="Times New Roman" w:hAnsi="Times New Roman" w:cs="Times New Roman" w:eastAsia="Times New Roman" w:hint="default"/>
                <w:sz w:val="16"/>
                <w:szCs w:val="16"/>
              </w:rPr>
            </w:pPr>
            <w:r>
              <w:rPr>
                <w:rFonts w:ascii="Times New Roman"/>
                <w:spacing w:val="-6"/>
                <w:sz w:val="16"/>
              </w:rPr>
              <w:t>12,728,201.00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3"/>
              <w:jc w:val="right"/>
              <w:rPr>
                <w:rFonts w:ascii="Times New Roman" w:hAnsi="Times New Roman" w:cs="Times New Roman" w:eastAsia="Times New Roman" w:hint="default"/>
                <w:sz w:val="16"/>
                <w:szCs w:val="16"/>
              </w:rPr>
            </w:pPr>
            <w:r>
              <w:rPr>
                <w:rFonts w:ascii="Times New Roman"/>
                <w:spacing w:val="-5"/>
                <w:sz w:val="16"/>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82"/>
              <w:jc w:val="right"/>
              <w:rPr>
                <w:rFonts w:ascii="Times New Roman" w:hAnsi="Times New Roman" w:cs="Times New Roman" w:eastAsia="Times New Roman" w:hint="default"/>
                <w:sz w:val="16"/>
                <w:szCs w:val="16"/>
              </w:rPr>
            </w:pPr>
            <w:r>
              <w:rPr>
                <w:rFonts w:ascii="Times New Roman"/>
                <w:spacing w:val="-6"/>
                <w:sz w:val="16"/>
              </w:rPr>
              <w:t>12,728,201.00</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4"/>
              <w:jc w:val="right"/>
              <w:rPr>
                <w:rFonts w:ascii="Times New Roman" w:hAnsi="Times New Roman" w:cs="Times New Roman" w:eastAsia="Times New Roman" w:hint="default"/>
                <w:sz w:val="16"/>
                <w:szCs w:val="16"/>
              </w:rPr>
            </w:pPr>
            <w:r>
              <w:rPr>
                <w:rFonts w:ascii="Times New Roman"/>
                <w:spacing w:val="-5"/>
                <w:sz w:val="16"/>
              </w:rPr>
              <w:t>0.00</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9"/>
              <w:jc w:val="right"/>
              <w:rPr>
                <w:rFonts w:ascii="Times New Roman" w:hAnsi="Times New Roman" w:cs="Times New Roman" w:eastAsia="Times New Roman" w:hint="default"/>
                <w:sz w:val="16"/>
                <w:szCs w:val="16"/>
              </w:rPr>
            </w:pPr>
            <w:r>
              <w:rPr>
                <w:rFonts w:ascii="Times New Roman"/>
                <w:spacing w:val="-5"/>
                <w:sz w:val="16"/>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0"/>
              <w:jc w:val="right"/>
              <w:rPr>
                <w:rFonts w:ascii="Times New Roman" w:hAnsi="Times New Roman" w:cs="Times New Roman" w:eastAsia="Times New Roman" w:hint="default"/>
                <w:sz w:val="16"/>
                <w:szCs w:val="16"/>
              </w:rPr>
            </w:pPr>
            <w:r>
              <w:rPr>
                <w:rFonts w:ascii="Times New Roman"/>
                <w:spacing w:val="-5"/>
                <w:sz w:val="16"/>
              </w:rPr>
              <w:t>0.00</w:t>
            </w:r>
          </w:p>
        </w:tc>
      </w:tr>
      <w:tr>
        <w:trPr>
          <w:trHeight w:val="284"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23" w:lineRule="exact"/>
              <w:ind w:left="40" w:right="0"/>
              <w:jc w:val="left"/>
              <w:rPr>
                <w:rFonts w:ascii="宋体" w:hAnsi="宋体" w:cs="宋体" w:eastAsia="宋体" w:hint="default"/>
                <w:sz w:val="18"/>
                <w:szCs w:val="18"/>
              </w:rPr>
            </w:pPr>
            <w:r>
              <w:rPr>
                <w:rFonts w:ascii="宋体" w:hAnsi="宋体" w:cs="宋体" w:eastAsia="宋体" w:hint="default"/>
                <w:sz w:val="18"/>
                <w:szCs w:val="18"/>
              </w:rPr>
              <w:t>南通半导体设备</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69"/>
              <w:jc w:val="right"/>
              <w:rPr>
                <w:rFonts w:ascii="Times New Roman" w:hAnsi="Times New Roman" w:cs="Times New Roman" w:eastAsia="Times New Roman" w:hint="default"/>
                <w:sz w:val="16"/>
                <w:szCs w:val="16"/>
              </w:rPr>
            </w:pPr>
            <w:r>
              <w:rPr>
                <w:rFonts w:ascii="Times New Roman"/>
                <w:spacing w:val="-6"/>
                <w:sz w:val="16"/>
              </w:rPr>
              <w:t>10,777,987.69</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3"/>
              <w:jc w:val="right"/>
              <w:rPr>
                <w:rFonts w:ascii="Times New Roman" w:hAnsi="Times New Roman" w:cs="Times New Roman" w:eastAsia="Times New Roman" w:hint="default"/>
                <w:sz w:val="16"/>
                <w:szCs w:val="16"/>
              </w:rPr>
            </w:pPr>
            <w:r>
              <w:rPr>
                <w:rFonts w:ascii="Times New Roman"/>
                <w:spacing w:val="-5"/>
                <w:sz w:val="16"/>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82"/>
              <w:jc w:val="right"/>
              <w:rPr>
                <w:rFonts w:ascii="Times New Roman" w:hAnsi="Times New Roman" w:cs="Times New Roman" w:eastAsia="Times New Roman" w:hint="default"/>
                <w:sz w:val="16"/>
                <w:szCs w:val="16"/>
              </w:rPr>
            </w:pPr>
            <w:r>
              <w:rPr>
                <w:rFonts w:ascii="Times New Roman"/>
                <w:spacing w:val="-6"/>
                <w:sz w:val="16"/>
              </w:rPr>
              <w:t>10,777,987.69</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1"/>
              <w:jc w:val="right"/>
              <w:rPr>
                <w:rFonts w:ascii="Times New Roman" w:hAnsi="Times New Roman" w:cs="Times New Roman" w:eastAsia="Times New Roman" w:hint="default"/>
                <w:sz w:val="16"/>
                <w:szCs w:val="16"/>
              </w:rPr>
            </w:pPr>
            <w:r>
              <w:rPr>
                <w:rFonts w:ascii="Times New Roman"/>
                <w:spacing w:val="-6"/>
                <w:sz w:val="16"/>
              </w:rPr>
              <w:t>174,392.86</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9"/>
              <w:jc w:val="right"/>
              <w:rPr>
                <w:rFonts w:ascii="Times New Roman" w:hAnsi="Times New Roman" w:cs="Times New Roman" w:eastAsia="Times New Roman" w:hint="default"/>
                <w:sz w:val="16"/>
                <w:szCs w:val="16"/>
              </w:rPr>
            </w:pPr>
            <w:r>
              <w:rPr>
                <w:rFonts w:ascii="Times New Roman"/>
                <w:spacing w:val="-5"/>
                <w:sz w:val="16"/>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8"/>
              <w:jc w:val="right"/>
              <w:rPr>
                <w:rFonts w:ascii="Times New Roman" w:hAnsi="Times New Roman" w:cs="Times New Roman" w:eastAsia="Times New Roman" w:hint="default"/>
                <w:sz w:val="16"/>
                <w:szCs w:val="16"/>
              </w:rPr>
            </w:pPr>
            <w:r>
              <w:rPr>
                <w:rFonts w:ascii="Times New Roman"/>
                <w:spacing w:val="-6"/>
                <w:sz w:val="16"/>
              </w:rPr>
              <w:t>174,392.86</w:t>
            </w:r>
          </w:p>
        </w:tc>
      </w:tr>
      <w:tr>
        <w:trPr>
          <w:trHeight w:val="284"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24" w:lineRule="exact"/>
              <w:ind w:left="40" w:right="0"/>
              <w:jc w:val="left"/>
              <w:rPr>
                <w:rFonts w:ascii="宋体" w:hAnsi="宋体" w:cs="宋体" w:eastAsia="宋体" w:hint="default"/>
                <w:sz w:val="18"/>
                <w:szCs w:val="18"/>
              </w:rPr>
            </w:pPr>
            <w:r>
              <w:rPr>
                <w:rFonts w:ascii="宋体" w:hAnsi="宋体" w:cs="宋体" w:eastAsia="宋体" w:hint="default"/>
                <w:sz w:val="18"/>
                <w:szCs w:val="18"/>
              </w:rPr>
              <w:t>同方威视华沙在建新厂房项目</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69"/>
              <w:jc w:val="right"/>
              <w:rPr>
                <w:rFonts w:ascii="Times New Roman" w:hAnsi="Times New Roman" w:cs="Times New Roman" w:eastAsia="Times New Roman" w:hint="default"/>
                <w:sz w:val="16"/>
                <w:szCs w:val="16"/>
              </w:rPr>
            </w:pPr>
            <w:r>
              <w:rPr>
                <w:rFonts w:ascii="Times New Roman"/>
                <w:spacing w:val="-6"/>
                <w:sz w:val="16"/>
              </w:rPr>
              <w:t>2,917,998.29</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Times New Roman" w:hAnsi="Times New Roman" w:cs="Times New Roman" w:eastAsia="Times New Roman" w:hint="default"/>
                <w:sz w:val="16"/>
                <w:szCs w:val="16"/>
              </w:rPr>
            </w:pPr>
            <w:r>
              <w:rPr>
                <w:rFonts w:ascii="Times New Roman"/>
                <w:spacing w:val="-5"/>
                <w:sz w:val="16"/>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82"/>
              <w:jc w:val="right"/>
              <w:rPr>
                <w:rFonts w:ascii="Times New Roman" w:hAnsi="Times New Roman" w:cs="Times New Roman" w:eastAsia="Times New Roman" w:hint="default"/>
                <w:sz w:val="16"/>
                <w:szCs w:val="16"/>
              </w:rPr>
            </w:pPr>
            <w:r>
              <w:rPr>
                <w:rFonts w:ascii="Times New Roman"/>
                <w:spacing w:val="-6"/>
                <w:sz w:val="16"/>
              </w:rPr>
              <w:t>2,917,998.29</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4"/>
              <w:jc w:val="right"/>
              <w:rPr>
                <w:rFonts w:ascii="Times New Roman" w:hAnsi="Times New Roman" w:cs="Times New Roman" w:eastAsia="Times New Roman" w:hint="default"/>
                <w:sz w:val="16"/>
                <w:szCs w:val="16"/>
              </w:rPr>
            </w:pPr>
            <w:r>
              <w:rPr>
                <w:rFonts w:ascii="Times New Roman"/>
                <w:spacing w:val="-5"/>
                <w:sz w:val="16"/>
              </w:rPr>
              <w:t>0.00</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9"/>
              <w:jc w:val="right"/>
              <w:rPr>
                <w:rFonts w:ascii="Times New Roman" w:hAnsi="Times New Roman" w:cs="Times New Roman" w:eastAsia="Times New Roman" w:hint="default"/>
                <w:sz w:val="16"/>
                <w:szCs w:val="16"/>
              </w:rPr>
            </w:pPr>
            <w:r>
              <w:rPr>
                <w:rFonts w:ascii="Times New Roman"/>
                <w:spacing w:val="-5"/>
                <w:sz w:val="16"/>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0"/>
              <w:jc w:val="right"/>
              <w:rPr>
                <w:rFonts w:ascii="Times New Roman" w:hAnsi="Times New Roman" w:cs="Times New Roman" w:eastAsia="Times New Roman" w:hint="default"/>
                <w:sz w:val="16"/>
                <w:szCs w:val="16"/>
              </w:rPr>
            </w:pPr>
            <w:r>
              <w:rPr>
                <w:rFonts w:ascii="Times New Roman"/>
                <w:spacing w:val="-5"/>
                <w:sz w:val="16"/>
              </w:rPr>
              <w:t>0.00</w:t>
            </w:r>
          </w:p>
        </w:tc>
      </w:tr>
      <w:tr>
        <w:trPr>
          <w:trHeight w:val="286"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23" w:lineRule="exact"/>
              <w:ind w:left="40" w:right="0"/>
              <w:jc w:val="left"/>
              <w:rPr>
                <w:rFonts w:ascii="宋体" w:hAnsi="宋体" w:cs="宋体" w:eastAsia="宋体" w:hint="default"/>
                <w:sz w:val="18"/>
                <w:szCs w:val="18"/>
              </w:rPr>
            </w:pPr>
            <w:r>
              <w:rPr>
                <w:rFonts w:ascii="宋体" w:hAnsi="宋体" w:cs="宋体" w:eastAsia="宋体" w:hint="default"/>
                <w:sz w:val="18"/>
                <w:szCs w:val="18"/>
              </w:rPr>
              <w:t>龙江环保综合楼改造项目</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69"/>
              <w:jc w:val="right"/>
              <w:rPr>
                <w:rFonts w:ascii="Times New Roman" w:hAnsi="Times New Roman" w:cs="Times New Roman" w:eastAsia="Times New Roman" w:hint="default"/>
                <w:sz w:val="16"/>
                <w:szCs w:val="16"/>
              </w:rPr>
            </w:pPr>
            <w:r>
              <w:rPr>
                <w:rFonts w:ascii="Times New Roman"/>
                <w:spacing w:val="-6"/>
                <w:sz w:val="16"/>
              </w:rPr>
              <w:t>1,667,559.48</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3"/>
              <w:jc w:val="right"/>
              <w:rPr>
                <w:rFonts w:ascii="Times New Roman" w:hAnsi="Times New Roman" w:cs="Times New Roman" w:eastAsia="Times New Roman" w:hint="default"/>
                <w:sz w:val="16"/>
                <w:szCs w:val="16"/>
              </w:rPr>
            </w:pPr>
            <w:r>
              <w:rPr>
                <w:rFonts w:ascii="Times New Roman"/>
                <w:spacing w:val="-5"/>
                <w:sz w:val="16"/>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82"/>
              <w:jc w:val="right"/>
              <w:rPr>
                <w:rFonts w:ascii="Times New Roman" w:hAnsi="Times New Roman" w:cs="Times New Roman" w:eastAsia="Times New Roman" w:hint="default"/>
                <w:sz w:val="16"/>
                <w:szCs w:val="16"/>
              </w:rPr>
            </w:pPr>
            <w:r>
              <w:rPr>
                <w:rFonts w:ascii="Times New Roman"/>
                <w:spacing w:val="-6"/>
                <w:sz w:val="16"/>
              </w:rPr>
              <w:t>1,667,559.48</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1"/>
              <w:jc w:val="right"/>
              <w:rPr>
                <w:rFonts w:ascii="Times New Roman" w:hAnsi="Times New Roman" w:cs="Times New Roman" w:eastAsia="Times New Roman" w:hint="default"/>
                <w:sz w:val="16"/>
                <w:szCs w:val="16"/>
              </w:rPr>
            </w:pPr>
            <w:r>
              <w:rPr>
                <w:rFonts w:ascii="Times New Roman"/>
                <w:spacing w:val="-6"/>
                <w:sz w:val="16"/>
              </w:rPr>
              <w:t>7,550,711.42</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9"/>
              <w:jc w:val="right"/>
              <w:rPr>
                <w:rFonts w:ascii="Times New Roman" w:hAnsi="Times New Roman" w:cs="Times New Roman" w:eastAsia="Times New Roman" w:hint="default"/>
                <w:sz w:val="16"/>
                <w:szCs w:val="16"/>
              </w:rPr>
            </w:pPr>
            <w:r>
              <w:rPr>
                <w:rFonts w:ascii="Times New Roman"/>
                <w:spacing w:val="-5"/>
                <w:sz w:val="16"/>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7"/>
              <w:jc w:val="right"/>
              <w:rPr>
                <w:rFonts w:ascii="Times New Roman" w:hAnsi="Times New Roman" w:cs="Times New Roman" w:eastAsia="Times New Roman" w:hint="default"/>
                <w:sz w:val="16"/>
                <w:szCs w:val="16"/>
              </w:rPr>
            </w:pPr>
            <w:r>
              <w:rPr>
                <w:rFonts w:ascii="Times New Roman"/>
                <w:spacing w:val="-6"/>
                <w:sz w:val="16"/>
              </w:rPr>
              <w:t>7,550,711.42</w:t>
            </w:r>
          </w:p>
        </w:tc>
      </w:tr>
      <w:tr>
        <w:trPr>
          <w:trHeight w:val="286"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23" w:lineRule="exact"/>
              <w:ind w:left="40" w:right="0"/>
              <w:jc w:val="left"/>
              <w:rPr>
                <w:rFonts w:ascii="宋体" w:hAnsi="宋体" w:cs="宋体" w:eastAsia="宋体" w:hint="default"/>
                <w:sz w:val="18"/>
                <w:szCs w:val="18"/>
              </w:rPr>
            </w:pPr>
            <w:r>
              <w:rPr>
                <w:rFonts w:ascii="宋体" w:hAnsi="宋体" w:cs="宋体" w:eastAsia="宋体" w:hint="default"/>
                <w:sz w:val="18"/>
                <w:szCs w:val="18"/>
              </w:rPr>
              <w:t>惠州污水处理提高指标工程</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69"/>
              <w:jc w:val="right"/>
              <w:rPr>
                <w:rFonts w:ascii="Times New Roman" w:hAnsi="Times New Roman" w:cs="Times New Roman" w:eastAsia="Times New Roman" w:hint="default"/>
                <w:sz w:val="16"/>
                <w:szCs w:val="16"/>
              </w:rPr>
            </w:pPr>
            <w:r>
              <w:rPr>
                <w:rFonts w:ascii="Times New Roman"/>
                <w:spacing w:val="-6"/>
                <w:sz w:val="16"/>
              </w:rPr>
              <w:t>33,021.00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3"/>
              <w:jc w:val="right"/>
              <w:rPr>
                <w:rFonts w:ascii="Times New Roman" w:hAnsi="Times New Roman" w:cs="Times New Roman" w:eastAsia="Times New Roman" w:hint="default"/>
                <w:sz w:val="16"/>
                <w:szCs w:val="16"/>
              </w:rPr>
            </w:pPr>
            <w:r>
              <w:rPr>
                <w:rFonts w:ascii="Times New Roman"/>
                <w:spacing w:val="-5"/>
                <w:sz w:val="16"/>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82"/>
              <w:jc w:val="right"/>
              <w:rPr>
                <w:rFonts w:ascii="Times New Roman" w:hAnsi="Times New Roman" w:cs="Times New Roman" w:eastAsia="Times New Roman" w:hint="default"/>
                <w:sz w:val="16"/>
                <w:szCs w:val="16"/>
              </w:rPr>
            </w:pPr>
            <w:r>
              <w:rPr>
                <w:rFonts w:ascii="Times New Roman"/>
                <w:spacing w:val="-6"/>
                <w:sz w:val="16"/>
              </w:rPr>
              <w:t>33,021.00</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4"/>
              <w:jc w:val="right"/>
              <w:rPr>
                <w:rFonts w:ascii="Times New Roman" w:hAnsi="Times New Roman" w:cs="Times New Roman" w:eastAsia="Times New Roman" w:hint="default"/>
                <w:sz w:val="16"/>
                <w:szCs w:val="16"/>
              </w:rPr>
            </w:pPr>
            <w:r>
              <w:rPr>
                <w:rFonts w:ascii="Times New Roman"/>
                <w:spacing w:val="-5"/>
                <w:sz w:val="16"/>
              </w:rPr>
              <w:t>0.00</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9"/>
              <w:jc w:val="right"/>
              <w:rPr>
                <w:rFonts w:ascii="Times New Roman" w:hAnsi="Times New Roman" w:cs="Times New Roman" w:eastAsia="Times New Roman" w:hint="default"/>
                <w:sz w:val="16"/>
                <w:szCs w:val="16"/>
              </w:rPr>
            </w:pPr>
            <w:r>
              <w:rPr>
                <w:rFonts w:ascii="Times New Roman"/>
                <w:spacing w:val="-5"/>
                <w:sz w:val="16"/>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0"/>
              <w:jc w:val="right"/>
              <w:rPr>
                <w:rFonts w:ascii="Times New Roman" w:hAnsi="Times New Roman" w:cs="Times New Roman" w:eastAsia="Times New Roman" w:hint="default"/>
                <w:sz w:val="16"/>
                <w:szCs w:val="16"/>
              </w:rPr>
            </w:pPr>
            <w:r>
              <w:rPr>
                <w:rFonts w:ascii="Times New Roman"/>
                <w:spacing w:val="-5"/>
                <w:sz w:val="16"/>
              </w:rPr>
              <w:t>0.00</w:t>
            </w:r>
          </w:p>
        </w:tc>
      </w:tr>
      <w:tr>
        <w:trPr>
          <w:trHeight w:val="285"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23" w:lineRule="exact"/>
              <w:ind w:left="40" w:right="0"/>
              <w:jc w:val="left"/>
              <w:rPr>
                <w:rFonts w:ascii="宋体" w:hAnsi="宋体" w:cs="宋体" w:eastAsia="宋体" w:hint="default"/>
                <w:sz w:val="18"/>
                <w:szCs w:val="18"/>
              </w:rPr>
            </w:pPr>
            <w:r>
              <w:rPr>
                <w:rFonts w:ascii="宋体" w:hAnsi="宋体" w:cs="宋体" w:eastAsia="宋体" w:hint="default"/>
                <w:sz w:val="18"/>
                <w:szCs w:val="18"/>
              </w:rPr>
              <w:t>同方国芯电子元器件设备</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71"/>
              <w:jc w:val="right"/>
              <w:rPr>
                <w:rFonts w:ascii="Times New Roman" w:hAnsi="Times New Roman" w:cs="Times New Roman" w:eastAsia="Times New Roman" w:hint="default"/>
                <w:sz w:val="16"/>
                <w:szCs w:val="16"/>
              </w:rPr>
            </w:pPr>
            <w:r>
              <w:rPr>
                <w:rFonts w:ascii="Times New Roman"/>
                <w:spacing w:val="-5"/>
                <w:sz w:val="16"/>
              </w:rPr>
              <w:t>0.00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3"/>
              <w:jc w:val="right"/>
              <w:rPr>
                <w:rFonts w:ascii="Times New Roman" w:hAnsi="Times New Roman" w:cs="Times New Roman" w:eastAsia="Times New Roman" w:hint="default"/>
                <w:sz w:val="16"/>
                <w:szCs w:val="16"/>
              </w:rPr>
            </w:pPr>
            <w:r>
              <w:rPr>
                <w:rFonts w:ascii="Times New Roman"/>
                <w:spacing w:val="-5"/>
                <w:sz w:val="16"/>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85"/>
              <w:jc w:val="right"/>
              <w:rPr>
                <w:rFonts w:ascii="Times New Roman" w:hAnsi="Times New Roman" w:cs="Times New Roman" w:eastAsia="Times New Roman" w:hint="default"/>
                <w:sz w:val="16"/>
                <w:szCs w:val="16"/>
              </w:rPr>
            </w:pPr>
            <w:r>
              <w:rPr>
                <w:rFonts w:ascii="Times New Roman"/>
                <w:spacing w:val="-5"/>
                <w:sz w:val="16"/>
              </w:rPr>
              <w:t>0.00</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1"/>
              <w:jc w:val="right"/>
              <w:rPr>
                <w:rFonts w:ascii="Times New Roman" w:hAnsi="Times New Roman" w:cs="Times New Roman" w:eastAsia="Times New Roman" w:hint="default"/>
                <w:sz w:val="16"/>
                <w:szCs w:val="16"/>
              </w:rPr>
            </w:pPr>
            <w:r>
              <w:rPr>
                <w:rFonts w:ascii="Times New Roman"/>
                <w:spacing w:val="-6"/>
                <w:sz w:val="16"/>
              </w:rPr>
              <w:t>40,910,313.45</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9"/>
              <w:jc w:val="right"/>
              <w:rPr>
                <w:rFonts w:ascii="Times New Roman" w:hAnsi="Times New Roman" w:cs="Times New Roman" w:eastAsia="Times New Roman" w:hint="default"/>
                <w:sz w:val="16"/>
                <w:szCs w:val="16"/>
              </w:rPr>
            </w:pPr>
            <w:r>
              <w:rPr>
                <w:rFonts w:ascii="Times New Roman"/>
                <w:spacing w:val="-5"/>
                <w:sz w:val="16"/>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7"/>
              <w:jc w:val="right"/>
              <w:rPr>
                <w:rFonts w:ascii="Times New Roman" w:hAnsi="Times New Roman" w:cs="Times New Roman" w:eastAsia="Times New Roman" w:hint="default"/>
                <w:sz w:val="16"/>
                <w:szCs w:val="16"/>
              </w:rPr>
            </w:pPr>
            <w:r>
              <w:rPr>
                <w:rFonts w:ascii="Times New Roman"/>
                <w:spacing w:val="-6"/>
                <w:sz w:val="16"/>
              </w:rPr>
              <w:t>40,910,313.45</w:t>
            </w:r>
          </w:p>
        </w:tc>
      </w:tr>
      <w:tr>
        <w:trPr>
          <w:trHeight w:val="285"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24" w:lineRule="exact"/>
              <w:ind w:left="40" w:right="0"/>
              <w:jc w:val="left"/>
              <w:rPr>
                <w:rFonts w:ascii="宋体" w:hAnsi="宋体" w:cs="宋体" w:eastAsia="宋体" w:hint="default"/>
                <w:sz w:val="18"/>
                <w:szCs w:val="18"/>
              </w:rPr>
            </w:pPr>
            <w:r>
              <w:rPr>
                <w:rFonts w:ascii="宋体" w:hAnsi="宋体" w:cs="宋体" w:eastAsia="宋体" w:hint="default"/>
                <w:sz w:val="18"/>
                <w:szCs w:val="18"/>
              </w:rPr>
              <w:t>同方炭素一期项目工程</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71"/>
              <w:jc w:val="right"/>
              <w:rPr>
                <w:rFonts w:ascii="Times New Roman" w:hAnsi="Times New Roman" w:cs="Times New Roman" w:eastAsia="Times New Roman" w:hint="default"/>
                <w:sz w:val="16"/>
                <w:szCs w:val="16"/>
              </w:rPr>
            </w:pPr>
            <w:r>
              <w:rPr>
                <w:rFonts w:ascii="Times New Roman"/>
                <w:spacing w:val="-5"/>
                <w:sz w:val="16"/>
              </w:rPr>
              <w:t>0.00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Times New Roman" w:hAnsi="Times New Roman" w:cs="Times New Roman" w:eastAsia="Times New Roman" w:hint="default"/>
                <w:sz w:val="16"/>
                <w:szCs w:val="16"/>
              </w:rPr>
            </w:pPr>
            <w:r>
              <w:rPr>
                <w:rFonts w:ascii="Times New Roman"/>
                <w:spacing w:val="-5"/>
                <w:sz w:val="16"/>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85"/>
              <w:jc w:val="right"/>
              <w:rPr>
                <w:rFonts w:ascii="Times New Roman" w:hAnsi="Times New Roman" w:cs="Times New Roman" w:eastAsia="Times New Roman" w:hint="default"/>
                <w:sz w:val="16"/>
                <w:szCs w:val="16"/>
              </w:rPr>
            </w:pPr>
            <w:r>
              <w:rPr>
                <w:rFonts w:ascii="Times New Roman"/>
                <w:spacing w:val="-5"/>
                <w:sz w:val="16"/>
              </w:rPr>
              <w:t>0.00</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1"/>
              <w:jc w:val="right"/>
              <w:rPr>
                <w:rFonts w:ascii="Times New Roman" w:hAnsi="Times New Roman" w:cs="Times New Roman" w:eastAsia="Times New Roman" w:hint="default"/>
                <w:sz w:val="16"/>
                <w:szCs w:val="16"/>
              </w:rPr>
            </w:pPr>
            <w:r>
              <w:rPr>
                <w:rFonts w:ascii="Times New Roman"/>
                <w:spacing w:val="-6"/>
                <w:sz w:val="16"/>
              </w:rPr>
              <w:t>19,561,832.71</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7"/>
              <w:jc w:val="right"/>
              <w:rPr>
                <w:rFonts w:ascii="Times New Roman" w:hAnsi="Times New Roman" w:cs="Times New Roman" w:eastAsia="Times New Roman" w:hint="default"/>
                <w:sz w:val="16"/>
                <w:szCs w:val="16"/>
              </w:rPr>
            </w:pPr>
            <w:r>
              <w:rPr>
                <w:rFonts w:ascii="Times New Roman"/>
                <w:spacing w:val="-6"/>
                <w:sz w:val="16"/>
              </w:rPr>
              <w:t>835,406.07</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7"/>
              <w:jc w:val="right"/>
              <w:rPr>
                <w:rFonts w:ascii="Times New Roman" w:hAnsi="Times New Roman" w:cs="Times New Roman" w:eastAsia="Times New Roman" w:hint="default"/>
                <w:sz w:val="16"/>
                <w:szCs w:val="16"/>
              </w:rPr>
            </w:pPr>
            <w:r>
              <w:rPr>
                <w:rFonts w:ascii="Times New Roman"/>
                <w:spacing w:val="-6"/>
                <w:sz w:val="16"/>
              </w:rPr>
              <w:t>18,726,426.64</w:t>
            </w:r>
          </w:p>
        </w:tc>
      </w:tr>
      <w:tr>
        <w:trPr>
          <w:trHeight w:val="286"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23" w:lineRule="exact"/>
              <w:ind w:left="40" w:right="0"/>
              <w:jc w:val="left"/>
              <w:rPr>
                <w:rFonts w:ascii="宋体" w:hAnsi="宋体" w:cs="宋体" w:eastAsia="宋体" w:hint="default"/>
                <w:sz w:val="18"/>
                <w:szCs w:val="18"/>
              </w:rPr>
            </w:pPr>
            <w:r>
              <w:rPr>
                <w:rFonts w:ascii="宋体" w:hAnsi="宋体" w:cs="宋体" w:eastAsia="宋体" w:hint="default"/>
                <w:sz w:val="18"/>
                <w:szCs w:val="18"/>
              </w:rPr>
              <w:t>南通科技园研发孵化中心</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71"/>
              <w:jc w:val="right"/>
              <w:rPr>
                <w:rFonts w:ascii="Times New Roman" w:hAnsi="Times New Roman" w:cs="Times New Roman" w:eastAsia="Times New Roman" w:hint="default"/>
                <w:sz w:val="16"/>
                <w:szCs w:val="16"/>
              </w:rPr>
            </w:pPr>
            <w:r>
              <w:rPr>
                <w:rFonts w:ascii="Times New Roman"/>
                <w:spacing w:val="-5"/>
                <w:sz w:val="16"/>
              </w:rPr>
              <w:t>0.00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3"/>
              <w:jc w:val="right"/>
              <w:rPr>
                <w:rFonts w:ascii="Times New Roman" w:hAnsi="Times New Roman" w:cs="Times New Roman" w:eastAsia="Times New Roman" w:hint="default"/>
                <w:sz w:val="16"/>
                <w:szCs w:val="16"/>
              </w:rPr>
            </w:pPr>
            <w:r>
              <w:rPr>
                <w:rFonts w:ascii="Times New Roman"/>
                <w:spacing w:val="-5"/>
                <w:sz w:val="16"/>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85"/>
              <w:jc w:val="right"/>
              <w:rPr>
                <w:rFonts w:ascii="Times New Roman" w:hAnsi="Times New Roman" w:cs="Times New Roman" w:eastAsia="Times New Roman" w:hint="default"/>
                <w:sz w:val="16"/>
                <w:szCs w:val="16"/>
              </w:rPr>
            </w:pPr>
            <w:r>
              <w:rPr>
                <w:rFonts w:ascii="Times New Roman"/>
                <w:spacing w:val="-5"/>
                <w:sz w:val="16"/>
              </w:rPr>
              <w:t>0.00</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1"/>
              <w:jc w:val="right"/>
              <w:rPr>
                <w:rFonts w:ascii="Times New Roman" w:hAnsi="Times New Roman" w:cs="Times New Roman" w:eastAsia="Times New Roman" w:hint="default"/>
                <w:sz w:val="16"/>
                <w:szCs w:val="16"/>
              </w:rPr>
            </w:pPr>
            <w:r>
              <w:rPr>
                <w:rFonts w:ascii="Times New Roman"/>
                <w:spacing w:val="-6"/>
                <w:sz w:val="16"/>
              </w:rPr>
              <w:t>321,695,390.70</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9"/>
              <w:jc w:val="right"/>
              <w:rPr>
                <w:rFonts w:ascii="Times New Roman" w:hAnsi="Times New Roman" w:cs="Times New Roman" w:eastAsia="Times New Roman" w:hint="default"/>
                <w:sz w:val="16"/>
                <w:szCs w:val="16"/>
              </w:rPr>
            </w:pPr>
            <w:r>
              <w:rPr>
                <w:rFonts w:ascii="Times New Roman"/>
                <w:spacing w:val="-5"/>
                <w:sz w:val="16"/>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7"/>
              <w:jc w:val="right"/>
              <w:rPr>
                <w:rFonts w:ascii="Times New Roman" w:hAnsi="Times New Roman" w:cs="Times New Roman" w:eastAsia="Times New Roman" w:hint="default"/>
                <w:sz w:val="16"/>
                <w:szCs w:val="16"/>
              </w:rPr>
            </w:pPr>
            <w:r>
              <w:rPr>
                <w:rFonts w:ascii="Times New Roman"/>
                <w:spacing w:val="-6"/>
                <w:sz w:val="16"/>
              </w:rPr>
              <w:t>321,695,390.70</w:t>
            </w:r>
          </w:p>
        </w:tc>
      </w:tr>
      <w:tr>
        <w:trPr>
          <w:trHeight w:val="286"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23" w:lineRule="exact"/>
              <w:ind w:left="40" w:right="0"/>
              <w:jc w:val="left"/>
              <w:rPr>
                <w:rFonts w:ascii="宋体" w:hAnsi="宋体" w:cs="宋体" w:eastAsia="宋体" w:hint="default"/>
                <w:sz w:val="18"/>
                <w:szCs w:val="18"/>
              </w:rPr>
            </w:pPr>
            <w:r>
              <w:rPr>
                <w:rFonts w:ascii="宋体" w:hAnsi="宋体" w:cs="宋体" w:eastAsia="宋体" w:hint="default"/>
                <w:sz w:val="18"/>
                <w:szCs w:val="18"/>
              </w:rPr>
              <w:t>高亮度发光二极管项目</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71"/>
              <w:jc w:val="right"/>
              <w:rPr>
                <w:rFonts w:ascii="Times New Roman" w:hAnsi="Times New Roman" w:cs="Times New Roman" w:eastAsia="Times New Roman" w:hint="default"/>
                <w:sz w:val="16"/>
                <w:szCs w:val="16"/>
              </w:rPr>
            </w:pPr>
            <w:r>
              <w:rPr>
                <w:rFonts w:ascii="Times New Roman"/>
                <w:spacing w:val="-5"/>
                <w:sz w:val="16"/>
              </w:rPr>
              <w:t>0.00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3"/>
              <w:jc w:val="right"/>
              <w:rPr>
                <w:rFonts w:ascii="Times New Roman" w:hAnsi="Times New Roman" w:cs="Times New Roman" w:eastAsia="Times New Roman" w:hint="default"/>
                <w:sz w:val="16"/>
                <w:szCs w:val="16"/>
              </w:rPr>
            </w:pPr>
            <w:r>
              <w:rPr>
                <w:rFonts w:ascii="Times New Roman"/>
                <w:spacing w:val="-5"/>
                <w:sz w:val="16"/>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85"/>
              <w:jc w:val="right"/>
              <w:rPr>
                <w:rFonts w:ascii="Times New Roman" w:hAnsi="Times New Roman" w:cs="Times New Roman" w:eastAsia="Times New Roman" w:hint="default"/>
                <w:sz w:val="16"/>
                <w:szCs w:val="16"/>
              </w:rPr>
            </w:pPr>
            <w:r>
              <w:rPr>
                <w:rFonts w:ascii="Times New Roman"/>
                <w:spacing w:val="-5"/>
                <w:sz w:val="16"/>
              </w:rPr>
              <w:t>0.00</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1"/>
              <w:jc w:val="right"/>
              <w:rPr>
                <w:rFonts w:ascii="Times New Roman" w:hAnsi="Times New Roman" w:cs="Times New Roman" w:eastAsia="Times New Roman" w:hint="default"/>
                <w:sz w:val="16"/>
                <w:szCs w:val="16"/>
              </w:rPr>
            </w:pPr>
            <w:r>
              <w:rPr>
                <w:rFonts w:ascii="Times New Roman"/>
                <w:spacing w:val="-6"/>
                <w:sz w:val="16"/>
              </w:rPr>
              <w:t>1,155,247.46</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9"/>
              <w:jc w:val="right"/>
              <w:rPr>
                <w:rFonts w:ascii="Times New Roman" w:hAnsi="Times New Roman" w:cs="Times New Roman" w:eastAsia="Times New Roman" w:hint="default"/>
                <w:sz w:val="16"/>
                <w:szCs w:val="16"/>
              </w:rPr>
            </w:pPr>
            <w:r>
              <w:rPr>
                <w:rFonts w:ascii="Times New Roman"/>
                <w:spacing w:val="-5"/>
                <w:sz w:val="16"/>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7"/>
              <w:jc w:val="right"/>
              <w:rPr>
                <w:rFonts w:ascii="Times New Roman" w:hAnsi="Times New Roman" w:cs="Times New Roman" w:eastAsia="Times New Roman" w:hint="default"/>
                <w:sz w:val="16"/>
                <w:szCs w:val="16"/>
              </w:rPr>
            </w:pPr>
            <w:r>
              <w:rPr>
                <w:rFonts w:ascii="Times New Roman"/>
                <w:spacing w:val="-6"/>
                <w:sz w:val="16"/>
              </w:rPr>
              <w:t>1,155,247.46</w:t>
            </w:r>
          </w:p>
        </w:tc>
      </w:tr>
      <w:tr>
        <w:trPr>
          <w:trHeight w:val="258"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36" w:lineRule="exact"/>
              <w:ind w:left="40" w:right="0"/>
              <w:jc w:val="left"/>
              <w:rPr>
                <w:rFonts w:ascii="宋体" w:hAnsi="宋体" w:cs="宋体" w:eastAsia="宋体" w:hint="default"/>
                <w:sz w:val="18"/>
                <w:szCs w:val="18"/>
              </w:rPr>
            </w:pPr>
            <w:r>
              <w:rPr>
                <w:rFonts w:ascii="宋体" w:hAnsi="宋体" w:cs="宋体" w:eastAsia="宋体" w:hint="default"/>
                <w:sz w:val="18"/>
                <w:szCs w:val="18"/>
              </w:rPr>
              <w:t>光电科技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芯片产业化项目</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71"/>
              <w:jc w:val="right"/>
              <w:rPr>
                <w:rFonts w:ascii="Times New Roman" w:hAnsi="Times New Roman" w:cs="Times New Roman" w:eastAsia="Times New Roman" w:hint="default"/>
                <w:sz w:val="16"/>
                <w:szCs w:val="16"/>
              </w:rPr>
            </w:pPr>
            <w:r>
              <w:rPr>
                <w:rFonts w:ascii="Times New Roman"/>
                <w:spacing w:val="-5"/>
                <w:sz w:val="16"/>
              </w:rPr>
              <w:t>0.00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3"/>
              <w:jc w:val="right"/>
              <w:rPr>
                <w:rFonts w:ascii="Times New Roman" w:hAnsi="Times New Roman" w:cs="Times New Roman" w:eastAsia="Times New Roman" w:hint="default"/>
                <w:sz w:val="16"/>
                <w:szCs w:val="16"/>
              </w:rPr>
            </w:pPr>
            <w:r>
              <w:rPr>
                <w:rFonts w:ascii="Times New Roman"/>
                <w:spacing w:val="-5"/>
                <w:sz w:val="16"/>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85"/>
              <w:jc w:val="right"/>
              <w:rPr>
                <w:rFonts w:ascii="Times New Roman" w:hAnsi="Times New Roman" w:cs="Times New Roman" w:eastAsia="Times New Roman" w:hint="default"/>
                <w:sz w:val="16"/>
                <w:szCs w:val="16"/>
              </w:rPr>
            </w:pPr>
            <w:r>
              <w:rPr>
                <w:rFonts w:ascii="Times New Roman"/>
                <w:spacing w:val="-5"/>
                <w:sz w:val="16"/>
              </w:rPr>
              <w:t>0.00</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1"/>
              <w:jc w:val="right"/>
              <w:rPr>
                <w:rFonts w:ascii="Times New Roman" w:hAnsi="Times New Roman" w:cs="Times New Roman" w:eastAsia="Times New Roman" w:hint="default"/>
                <w:sz w:val="16"/>
                <w:szCs w:val="16"/>
              </w:rPr>
            </w:pPr>
            <w:r>
              <w:rPr>
                <w:rFonts w:ascii="Times New Roman"/>
                <w:spacing w:val="-6"/>
                <w:sz w:val="16"/>
              </w:rPr>
              <w:t>307,856.29</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9"/>
              <w:jc w:val="right"/>
              <w:rPr>
                <w:rFonts w:ascii="Times New Roman" w:hAnsi="Times New Roman" w:cs="Times New Roman" w:eastAsia="Times New Roman" w:hint="default"/>
                <w:sz w:val="16"/>
                <w:szCs w:val="16"/>
              </w:rPr>
            </w:pPr>
            <w:r>
              <w:rPr>
                <w:rFonts w:ascii="Times New Roman"/>
                <w:spacing w:val="-5"/>
                <w:sz w:val="16"/>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8"/>
              <w:jc w:val="right"/>
              <w:rPr>
                <w:rFonts w:ascii="Times New Roman" w:hAnsi="Times New Roman" w:cs="Times New Roman" w:eastAsia="Times New Roman" w:hint="default"/>
                <w:sz w:val="16"/>
                <w:szCs w:val="16"/>
              </w:rPr>
            </w:pPr>
            <w:r>
              <w:rPr>
                <w:rFonts w:ascii="Times New Roman"/>
                <w:spacing w:val="-6"/>
                <w:sz w:val="16"/>
              </w:rPr>
              <w:t>307,856.29</w:t>
            </w:r>
          </w:p>
        </w:tc>
      </w:tr>
      <w:tr>
        <w:trPr>
          <w:trHeight w:val="483"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196" w:lineRule="exact"/>
              <w:ind w:left="40" w:right="0"/>
              <w:jc w:val="left"/>
              <w:rPr>
                <w:rFonts w:ascii="宋体" w:hAnsi="宋体" w:cs="宋体" w:eastAsia="宋体" w:hint="default"/>
                <w:sz w:val="18"/>
                <w:szCs w:val="18"/>
              </w:rPr>
            </w:pPr>
            <w:r>
              <w:rPr>
                <w:rFonts w:ascii="宋体" w:hAnsi="宋体" w:cs="宋体" w:eastAsia="宋体" w:hint="default"/>
                <w:sz w:val="18"/>
                <w:szCs w:val="18"/>
              </w:rPr>
              <w:t>同方友友下属广东银雨芯片厂房</w:t>
            </w:r>
          </w:p>
          <w:p>
            <w:pPr>
              <w:pStyle w:val="TableParagraph"/>
              <w:spacing w:line="234" w:lineRule="exact"/>
              <w:ind w:left="4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71"/>
              <w:jc w:val="right"/>
              <w:rPr>
                <w:rFonts w:ascii="Times New Roman" w:hAnsi="Times New Roman" w:cs="Times New Roman" w:eastAsia="Times New Roman" w:hint="default"/>
                <w:sz w:val="16"/>
                <w:szCs w:val="16"/>
              </w:rPr>
            </w:pPr>
            <w:r>
              <w:rPr>
                <w:rFonts w:ascii="Times New Roman"/>
                <w:spacing w:val="-5"/>
                <w:sz w:val="16"/>
              </w:rPr>
              <w:t>0.00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33"/>
              <w:jc w:val="right"/>
              <w:rPr>
                <w:rFonts w:ascii="Times New Roman" w:hAnsi="Times New Roman" w:cs="Times New Roman" w:eastAsia="Times New Roman" w:hint="default"/>
                <w:sz w:val="16"/>
                <w:szCs w:val="16"/>
              </w:rPr>
            </w:pPr>
            <w:r>
              <w:rPr>
                <w:rFonts w:ascii="Times New Roman"/>
                <w:spacing w:val="-5"/>
                <w:sz w:val="16"/>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85"/>
              <w:jc w:val="right"/>
              <w:rPr>
                <w:rFonts w:ascii="Times New Roman" w:hAnsi="Times New Roman" w:cs="Times New Roman" w:eastAsia="Times New Roman" w:hint="default"/>
                <w:sz w:val="16"/>
                <w:szCs w:val="16"/>
              </w:rPr>
            </w:pPr>
            <w:r>
              <w:rPr>
                <w:rFonts w:ascii="Times New Roman"/>
                <w:spacing w:val="-5"/>
                <w:sz w:val="16"/>
              </w:rPr>
              <w:t>0.00</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21"/>
              <w:jc w:val="right"/>
              <w:rPr>
                <w:rFonts w:ascii="Times New Roman" w:hAnsi="Times New Roman" w:cs="Times New Roman" w:eastAsia="Times New Roman" w:hint="default"/>
                <w:sz w:val="16"/>
                <w:szCs w:val="16"/>
              </w:rPr>
            </w:pPr>
            <w:r>
              <w:rPr>
                <w:rFonts w:ascii="Times New Roman"/>
                <w:spacing w:val="-6"/>
                <w:sz w:val="16"/>
              </w:rPr>
              <w:t>26,172,590.07</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23" w:right="0"/>
              <w:jc w:val="left"/>
              <w:rPr>
                <w:rFonts w:ascii="Times New Roman" w:hAnsi="Times New Roman" w:cs="Times New Roman" w:eastAsia="Times New Roman" w:hint="default"/>
                <w:sz w:val="16"/>
                <w:szCs w:val="16"/>
              </w:rPr>
            </w:pPr>
            <w:r>
              <w:rPr>
                <w:rFonts w:ascii="Times New Roman"/>
                <w:spacing w:val="-6"/>
                <w:sz w:val="16"/>
              </w:rPr>
              <w:t>23,034,948.03</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7"/>
              <w:jc w:val="right"/>
              <w:rPr>
                <w:rFonts w:ascii="Times New Roman" w:hAnsi="Times New Roman" w:cs="Times New Roman" w:eastAsia="Times New Roman" w:hint="default"/>
                <w:sz w:val="16"/>
                <w:szCs w:val="16"/>
              </w:rPr>
            </w:pPr>
            <w:r>
              <w:rPr>
                <w:rFonts w:ascii="Times New Roman"/>
                <w:spacing w:val="-6"/>
                <w:sz w:val="16"/>
              </w:rPr>
              <w:t>3,137,642.04</w:t>
            </w:r>
          </w:p>
        </w:tc>
      </w:tr>
      <w:tr>
        <w:trPr>
          <w:trHeight w:val="296"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33" w:lineRule="exact"/>
              <w:ind w:left="40" w:right="0"/>
              <w:jc w:val="left"/>
              <w:rPr>
                <w:rFonts w:ascii="宋体" w:hAnsi="宋体" w:cs="宋体" w:eastAsia="宋体" w:hint="default"/>
                <w:sz w:val="18"/>
                <w:szCs w:val="18"/>
              </w:rPr>
            </w:pPr>
            <w:r>
              <w:rPr>
                <w:rFonts w:ascii="宋体" w:hAnsi="宋体" w:cs="宋体" w:eastAsia="宋体" w:hint="default"/>
                <w:sz w:val="18"/>
                <w:szCs w:val="18"/>
              </w:rPr>
              <w:t>同方友友下属天津光电展销厅</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71"/>
              <w:jc w:val="right"/>
              <w:rPr>
                <w:rFonts w:ascii="Times New Roman" w:hAnsi="Times New Roman" w:cs="Times New Roman" w:eastAsia="Times New Roman" w:hint="default"/>
                <w:sz w:val="16"/>
                <w:szCs w:val="16"/>
              </w:rPr>
            </w:pPr>
            <w:r>
              <w:rPr>
                <w:rFonts w:ascii="Times New Roman"/>
                <w:spacing w:val="-5"/>
                <w:sz w:val="16"/>
              </w:rPr>
              <w:t>0.00</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33"/>
              <w:jc w:val="right"/>
              <w:rPr>
                <w:rFonts w:ascii="Times New Roman" w:hAnsi="Times New Roman" w:cs="Times New Roman" w:eastAsia="Times New Roman" w:hint="default"/>
                <w:sz w:val="16"/>
                <w:szCs w:val="16"/>
              </w:rPr>
            </w:pPr>
            <w:r>
              <w:rPr>
                <w:rFonts w:ascii="Times New Roman"/>
                <w:spacing w:val="-5"/>
                <w:sz w:val="16"/>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85"/>
              <w:jc w:val="right"/>
              <w:rPr>
                <w:rFonts w:ascii="Times New Roman" w:hAnsi="Times New Roman" w:cs="Times New Roman" w:eastAsia="Times New Roman" w:hint="default"/>
                <w:sz w:val="16"/>
                <w:szCs w:val="16"/>
              </w:rPr>
            </w:pPr>
            <w:r>
              <w:rPr>
                <w:rFonts w:ascii="Times New Roman"/>
                <w:spacing w:val="-5"/>
                <w:sz w:val="16"/>
              </w:rPr>
              <w:t>0.00</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1"/>
              <w:jc w:val="right"/>
              <w:rPr>
                <w:rFonts w:ascii="Times New Roman" w:hAnsi="Times New Roman" w:cs="Times New Roman" w:eastAsia="Times New Roman" w:hint="default"/>
                <w:sz w:val="16"/>
                <w:szCs w:val="16"/>
              </w:rPr>
            </w:pPr>
            <w:r>
              <w:rPr>
                <w:rFonts w:ascii="Times New Roman"/>
                <w:spacing w:val="-6"/>
                <w:sz w:val="16"/>
              </w:rPr>
              <w:t>18,988,993.45</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 w:right="0"/>
              <w:jc w:val="left"/>
              <w:rPr>
                <w:rFonts w:ascii="Times New Roman" w:hAnsi="Times New Roman" w:cs="Times New Roman" w:eastAsia="Times New Roman" w:hint="default"/>
                <w:sz w:val="16"/>
                <w:szCs w:val="16"/>
              </w:rPr>
            </w:pPr>
            <w:r>
              <w:rPr>
                <w:rFonts w:ascii="Times New Roman"/>
                <w:spacing w:val="-6"/>
                <w:sz w:val="16"/>
              </w:rPr>
              <w:t>18,934,111.97</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8"/>
              <w:jc w:val="right"/>
              <w:rPr>
                <w:rFonts w:ascii="Times New Roman" w:hAnsi="Times New Roman" w:cs="Times New Roman" w:eastAsia="Times New Roman" w:hint="default"/>
                <w:sz w:val="16"/>
                <w:szCs w:val="16"/>
              </w:rPr>
            </w:pPr>
            <w:r>
              <w:rPr>
                <w:rFonts w:ascii="Times New Roman"/>
                <w:spacing w:val="-6"/>
                <w:sz w:val="16"/>
              </w:rPr>
              <w:t>54,881.48</w:t>
            </w:r>
          </w:p>
        </w:tc>
      </w:tr>
      <w:tr>
        <w:trPr>
          <w:trHeight w:val="255" w:hRule="exact"/>
        </w:trPr>
        <w:tc>
          <w:tcPr>
            <w:tcW w:w="2710" w:type="dxa"/>
            <w:tcBorders>
              <w:top w:val="nil" w:sz="6" w:space="0" w:color="auto"/>
              <w:left w:val="nil" w:sz="6" w:space="0" w:color="auto"/>
              <w:bottom w:val="single" w:sz="4" w:space="0" w:color="000000"/>
              <w:right w:val="nil" w:sz="6" w:space="0" w:color="auto"/>
            </w:tcBorders>
          </w:tcPr>
          <w:p>
            <w:pPr>
              <w:pStyle w:val="TableParagraph"/>
              <w:spacing w:line="223" w:lineRule="exact"/>
              <w:ind w:left="40" w:right="0"/>
              <w:jc w:val="left"/>
              <w:rPr>
                <w:rFonts w:ascii="宋体" w:hAnsi="宋体" w:cs="宋体" w:eastAsia="宋体" w:hint="default"/>
                <w:sz w:val="18"/>
                <w:szCs w:val="18"/>
              </w:rPr>
            </w:pPr>
            <w:r>
              <w:rPr>
                <w:rFonts w:ascii="宋体" w:hAnsi="宋体" w:cs="宋体" w:eastAsia="宋体" w:hint="default"/>
                <w:sz w:val="18"/>
                <w:szCs w:val="18"/>
              </w:rPr>
              <w:t>零星工程</w:t>
            </w:r>
          </w:p>
        </w:tc>
        <w:tc>
          <w:tcPr>
            <w:tcW w:w="1184" w:type="dxa"/>
            <w:tcBorders>
              <w:top w:val="nil" w:sz="6" w:space="0" w:color="auto"/>
              <w:left w:val="nil" w:sz="6" w:space="0" w:color="auto"/>
              <w:bottom w:val="single" w:sz="4" w:space="0" w:color="000000"/>
              <w:right w:val="nil" w:sz="6" w:space="0" w:color="auto"/>
            </w:tcBorders>
          </w:tcPr>
          <w:p>
            <w:pPr>
              <w:pStyle w:val="TableParagraph"/>
              <w:spacing w:line="240" w:lineRule="auto" w:before="60"/>
              <w:ind w:right="69"/>
              <w:jc w:val="right"/>
              <w:rPr>
                <w:rFonts w:ascii="Times New Roman" w:hAnsi="Times New Roman" w:cs="Times New Roman" w:eastAsia="Times New Roman" w:hint="default"/>
                <w:sz w:val="16"/>
                <w:szCs w:val="16"/>
              </w:rPr>
            </w:pPr>
            <w:r>
              <w:rPr>
                <w:rFonts w:ascii="Times New Roman"/>
                <w:spacing w:val="-6"/>
                <w:sz w:val="16"/>
              </w:rPr>
              <w:t>53,358,814.19</w:t>
            </w:r>
          </w:p>
        </w:tc>
        <w:tc>
          <w:tcPr>
            <w:tcW w:w="955" w:type="dxa"/>
            <w:tcBorders>
              <w:top w:val="nil" w:sz="6" w:space="0" w:color="auto"/>
              <w:left w:val="nil" w:sz="6" w:space="0" w:color="auto"/>
              <w:bottom w:val="single" w:sz="4" w:space="0" w:color="000000"/>
              <w:right w:val="nil" w:sz="6" w:space="0" w:color="auto"/>
            </w:tcBorders>
          </w:tcPr>
          <w:p>
            <w:pPr>
              <w:pStyle w:val="TableParagraph"/>
              <w:spacing w:line="240" w:lineRule="auto" w:before="60"/>
              <w:ind w:right="31"/>
              <w:jc w:val="right"/>
              <w:rPr>
                <w:rFonts w:ascii="Times New Roman" w:hAnsi="Times New Roman" w:cs="Times New Roman" w:eastAsia="Times New Roman" w:hint="default"/>
                <w:sz w:val="16"/>
                <w:szCs w:val="16"/>
              </w:rPr>
            </w:pPr>
            <w:r>
              <w:rPr>
                <w:rFonts w:ascii="Times New Roman"/>
                <w:spacing w:val="-6"/>
                <w:sz w:val="16"/>
              </w:rPr>
              <w:t>37,595.23</w:t>
            </w:r>
          </w:p>
        </w:tc>
        <w:tc>
          <w:tcPr>
            <w:tcW w:w="1043" w:type="dxa"/>
            <w:tcBorders>
              <w:top w:val="nil" w:sz="6" w:space="0" w:color="auto"/>
              <w:left w:val="nil" w:sz="6" w:space="0" w:color="auto"/>
              <w:bottom w:val="single" w:sz="4" w:space="0" w:color="000000"/>
              <w:right w:val="nil" w:sz="6" w:space="0" w:color="auto"/>
            </w:tcBorders>
          </w:tcPr>
          <w:p>
            <w:pPr>
              <w:pStyle w:val="TableParagraph"/>
              <w:spacing w:line="240" w:lineRule="auto" w:before="60"/>
              <w:ind w:right="82"/>
              <w:jc w:val="right"/>
              <w:rPr>
                <w:rFonts w:ascii="Times New Roman" w:hAnsi="Times New Roman" w:cs="Times New Roman" w:eastAsia="Times New Roman" w:hint="default"/>
                <w:sz w:val="16"/>
                <w:szCs w:val="16"/>
              </w:rPr>
            </w:pPr>
            <w:r>
              <w:rPr>
                <w:rFonts w:ascii="Times New Roman"/>
                <w:spacing w:val="-6"/>
                <w:sz w:val="16"/>
              </w:rPr>
              <w:t>53,321,218.96</w:t>
            </w:r>
          </w:p>
        </w:tc>
        <w:tc>
          <w:tcPr>
            <w:tcW w:w="1033" w:type="dxa"/>
            <w:tcBorders>
              <w:top w:val="nil" w:sz="6" w:space="0" w:color="auto"/>
              <w:left w:val="nil" w:sz="6" w:space="0" w:color="auto"/>
              <w:bottom w:val="single" w:sz="4" w:space="0" w:color="000000"/>
              <w:right w:val="nil" w:sz="6" w:space="0" w:color="auto"/>
            </w:tcBorders>
          </w:tcPr>
          <w:p>
            <w:pPr>
              <w:pStyle w:val="TableParagraph"/>
              <w:spacing w:line="240" w:lineRule="auto" w:before="60"/>
              <w:ind w:right="21"/>
              <w:jc w:val="right"/>
              <w:rPr>
                <w:rFonts w:ascii="Times New Roman" w:hAnsi="Times New Roman" w:cs="Times New Roman" w:eastAsia="Times New Roman" w:hint="default"/>
                <w:sz w:val="16"/>
                <w:szCs w:val="16"/>
              </w:rPr>
            </w:pPr>
            <w:r>
              <w:rPr>
                <w:rFonts w:ascii="Times New Roman"/>
                <w:spacing w:val="-6"/>
                <w:sz w:val="16"/>
              </w:rPr>
              <w:t>30,161,603.00</w:t>
            </w:r>
          </w:p>
        </w:tc>
        <w:tc>
          <w:tcPr>
            <w:tcW w:w="904" w:type="dxa"/>
            <w:tcBorders>
              <w:top w:val="nil" w:sz="6" w:space="0" w:color="auto"/>
              <w:left w:val="nil" w:sz="6" w:space="0" w:color="auto"/>
              <w:bottom w:val="single" w:sz="4" w:space="0" w:color="000000"/>
              <w:right w:val="nil" w:sz="6" w:space="0" w:color="auto"/>
            </w:tcBorders>
          </w:tcPr>
          <w:p>
            <w:pPr>
              <w:pStyle w:val="TableParagraph"/>
              <w:spacing w:line="240" w:lineRule="auto" w:before="60"/>
              <w:ind w:right="27"/>
              <w:jc w:val="right"/>
              <w:rPr>
                <w:rFonts w:ascii="Times New Roman" w:hAnsi="Times New Roman" w:cs="Times New Roman" w:eastAsia="Times New Roman" w:hint="default"/>
                <w:sz w:val="16"/>
                <w:szCs w:val="16"/>
              </w:rPr>
            </w:pPr>
            <w:r>
              <w:rPr>
                <w:rFonts w:ascii="Times New Roman"/>
                <w:spacing w:val="-6"/>
                <w:sz w:val="16"/>
              </w:rPr>
              <w:t>37,595.23</w:t>
            </w:r>
          </w:p>
        </w:tc>
        <w:tc>
          <w:tcPr>
            <w:tcW w:w="975" w:type="dxa"/>
            <w:tcBorders>
              <w:top w:val="nil" w:sz="6" w:space="0" w:color="auto"/>
              <w:left w:val="nil" w:sz="6" w:space="0" w:color="auto"/>
              <w:bottom w:val="single" w:sz="4" w:space="0" w:color="000000"/>
              <w:right w:val="nil" w:sz="6" w:space="0" w:color="auto"/>
            </w:tcBorders>
          </w:tcPr>
          <w:p>
            <w:pPr>
              <w:pStyle w:val="TableParagraph"/>
              <w:spacing w:line="240" w:lineRule="auto" w:before="60"/>
              <w:ind w:right="17"/>
              <w:jc w:val="right"/>
              <w:rPr>
                <w:rFonts w:ascii="Times New Roman" w:hAnsi="Times New Roman" w:cs="Times New Roman" w:eastAsia="Times New Roman" w:hint="default"/>
                <w:sz w:val="16"/>
                <w:szCs w:val="16"/>
              </w:rPr>
            </w:pPr>
            <w:r>
              <w:rPr>
                <w:rFonts w:ascii="Times New Roman"/>
                <w:spacing w:val="-6"/>
                <w:sz w:val="16"/>
              </w:rPr>
              <w:t>30,124,007.77</w:t>
            </w:r>
          </w:p>
        </w:tc>
      </w:tr>
      <w:tr>
        <w:trPr>
          <w:trHeight w:val="307" w:hRule="exact"/>
        </w:trPr>
        <w:tc>
          <w:tcPr>
            <w:tcW w:w="2710" w:type="dxa"/>
            <w:tcBorders>
              <w:top w:val="single" w:sz="4" w:space="0" w:color="000000"/>
              <w:left w:val="nil" w:sz="6" w:space="0" w:color="auto"/>
              <w:bottom w:val="single" w:sz="12" w:space="0" w:color="000000"/>
              <w:right w:val="nil" w:sz="6" w:space="0" w:color="auto"/>
            </w:tcBorders>
          </w:tcPr>
          <w:p>
            <w:pPr>
              <w:pStyle w:val="TableParagraph"/>
              <w:spacing w:line="240" w:lineRule="auto" w:before="53"/>
              <w:ind w:left="40" w:right="0"/>
              <w:jc w:val="left"/>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c>
        <w:tc>
          <w:tcPr>
            <w:tcW w:w="1184"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69"/>
              <w:jc w:val="right"/>
              <w:rPr>
                <w:rFonts w:ascii="Times New Roman" w:hAnsi="Times New Roman" w:cs="Times New Roman" w:eastAsia="Times New Roman" w:hint="default"/>
                <w:sz w:val="16"/>
                <w:szCs w:val="16"/>
              </w:rPr>
            </w:pPr>
            <w:r>
              <w:rPr>
                <w:rFonts w:ascii="Times New Roman"/>
                <w:b/>
                <w:spacing w:val="-6"/>
                <w:sz w:val="16"/>
              </w:rPr>
              <w:t>653,777,070.76</w:t>
            </w:r>
            <w:r>
              <w:rPr>
                <w:rFonts w:ascii="Times New Roman"/>
                <w:spacing w:val="-6"/>
                <w:sz w:val="16"/>
              </w:rPr>
            </w:r>
          </w:p>
        </w:tc>
        <w:tc>
          <w:tcPr>
            <w:tcW w:w="955"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30"/>
              <w:jc w:val="right"/>
              <w:rPr>
                <w:rFonts w:ascii="Times New Roman" w:hAnsi="Times New Roman" w:cs="Times New Roman" w:eastAsia="Times New Roman" w:hint="default"/>
                <w:sz w:val="16"/>
                <w:szCs w:val="16"/>
              </w:rPr>
            </w:pPr>
            <w:r>
              <w:rPr>
                <w:rFonts w:ascii="Times New Roman"/>
                <w:b/>
                <w:spacing w:val="-6"/>
                <w:sz w:val="16"/>
              </w:rPr>
              <w:t>14,641,138.14</w:t>
            </w:r>
            <w:r>
              <w:rPr>
                <w:rFonts w:ascii="Times New Roman"/>
                <w:spacing w:val="-6"/>
                <w:sz w:val="16"/>
              </w:rPr>
            </w:r>
          </w:p>
        </w:tc>
        <w:tc>
          <w:tcPr>
            <w:tcW w:w="1043"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82"/>
              <w:jc w:val="right"/>
              <w:rPr>
                <w:rFonts w:ascii="Times New Roman" w:hAnsi="Times New Roman" w:cs="Times New Roman" w:eastAsia="Times New Roman" w:hint="default"/>
                <w:sz w:val="16"/>
                <w:szCs w:val="16"/>
              </w:rPr>
            </w:pPr>
            <w:r>
              <w:rPr>
                <w:rFonts w:ascii="Times New Roman"/>
                <w:b/>
                <w:spacing w:val="-6"/>
                <w:sz w:val="16"/>
              </w:rPr>
              <w:t>639,135,932.62</w:t>
            </w:r>
            <w:r>
              <w:rPr>
                <w:rFonts w:ascii="Times New Roman"/>
                <w:spacing w:val="-6"/>
                <w:sz w:val="16"/>
              </w:rPr>
            </w:r>
          </w:p>
        </w:tc>
        <w:tc>
          <w:tcPr>
            <w:tcW w:w="1033"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21"/>
              <w:jc w:val="right"/>
              <w:rPr>
                <w:rFonts w:ascii="Times New Roman" w:hAnsi="Times New Roman" w:cs="Times New Roman" w:eastAsia="Times New Roman" w:hint="default"/>
                <w:sz w:val="16"/>
                <w:szCs w:val="16"/>
              </w:rPr>
            </w:pPr>
            <w:r>
              <w:rPr>
                <w:rFonts w:ascii="Times New Roman"/>
                <w:b/>
                <w:spacing w:val="-6"/>
                <w:sz w:val="16"/>
              </w:rPr>
              <w:t>912,116,360.69</w:t>
            </w:r>
            <w:r>
              <w:rPr>
                <w:rFonts w:ascii="Times New Roman"/>
                <w:spacing w:val="-6"/>
                <w:sz w:val="16"/>
              </w:rPr>
            </w:r>
          </w:p>
        </w:tc>
        <w:tc>
          <w:tcPr>
            <w:tcW w:w="904"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left="23" w:right="0"/>
              <w:jc w:val="left"/>
              <w:rPr>
                <w:rFonts w:ascii="Times New Roman" w:hAnsi="Times New Roman" w:cs="Times New Roman" w:eastAsia="Times New Roman" w:hint="default"/>
                <w:sz w:val="16"/>
                <w:szCs w:val="16"/>
              </w:rPr>
            </w:pPr>
            <w:r>
              <w:rPr>
                <w:rFonts w:ascii="Times New Roman"/>
                <w:b/>
                <w:spacing w:val="-6"/>
                <w:sz w:val="16"/>
              </w:rPr>
              <w:t>42,842,061.30</w:t>
            </w:r>
            <w:r>
              <w:rPr>
                <w:rFonts w:ascii="Times New Roman"/>
                <w:spacing w:val="-6"/>
                <w:sz w:val="16"/>
              </w:rPr>
            </w:r>
          </w:p>
        </w:tc>
        <w:tc>
          <w:tcPr>
            <w:tcW w:w="975"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17"/>
              <w:jc w:val="right"/>
              <w:rPr>
                <w:rFonts w:ascii="Times New Roman" w:hAnsi="Times New Roman" w:cs="Times New Roman" w:eastAsia="Times New Roman" w:hint="default"/>
                <w:sz w:val="16"/>
                <w:szCs w:val="16"/>
              </w:rPr>
            </w:pPr>
            <w:r>
              <w:rPr>
                <w:rFonts w:ascii="Times New Roman"/>
                <w:b/>
                <w:spacing w:val="-6"/>
                <w:sz w:val="16"/>
              </w:rPr>
              <w:t>869,274,299.39</w:t>
            </w:r>
            <w:r>
              <w:rPr>
                <w:rFonts w:ascii="Times New Roman"/>
                <w:spacing w:val="-6"/>
                <w:sz w:val="16"/>
              </w:rPr>
            </w:r>
          </w:p>
        </w:tc>
      </w:tr>
    </w:tbl>
    <w:p>
      <w:pPr>
        <w:spacing w:after="0" w:line="240" w:lineRule="auto"/>
        <w:jc w:val="right"/>
        <w:rPr>
          <w:rFonts w:ascii="Times New Roman" w:hAnsi="Times New Roman" w:cs="Times New Roman" w:eastAsia="Times New Roman" w:hint="default"/>
          <w:sz w:val="16"/>
          <w:szCs w:val="16"/>
        </w:rPr>
        <w:sectPr>
          <w:pgSz w:w="11910" w:h="16840"/>
          <w:pgMar w:header="585" w:footer="836" w:top="1080" w:bottom="1020" w:left="1440" w:right="1440"/>
        </w:sectPr>
      </w:pPr>
    </w:p>
    <w:p>
      <w:pPr>
        <w:spacing w:line="240" w:lineRule="auto" w:before="0"/>
        <w:rPr>
          <w:rFonts w:ascii="宋体" w:hAnsi="宋体" w:cs="宋体" w:eastAsia="宋体" w:hint="default"/>
          <w:sz w:val="20"/>
          <w:szCs w:val="20"/>
        </w:rPr>
      </w:pPr>
    </w:p>
    <w:p>
      <w:pPr>
        <w:spacing w:before="179"/>
        <w:ind w:left="655" w:right="62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在建工程项目变动情况</w:t>
      </w:r>
    </w:p>
    <w:p>
      <w:pPr>
        <w:spacing w:line="240" w:lineRule="auto" w:before="8"/>
        <w:rPr>
          <w:rFonts w:ascii="宋体" w:hAnsi="宋体" w:cs="宋体" w:eastAsia="宋体" w:hint="default"/>
          <w:sz w:val="11"/>
          <w:szCs w:val="11"/>
        </w:rPr>
      </w:pPr>
    </w:p>
    <w:tbl>
      <w:tblPr>
        <w:tblW w:w="0" w:type="auto"/>
        <w:jc w:val="left"/>
        <w:tblInd w:w="130" w:type="dxa"/>
        <w:tblLayout w:type="fixed"/>
        <w:tblCellMar>
          <w:top w:w="0" w:type="dxa"/>
          <w:left w:w="0" w:type="dxa"/>
          <w:bottom w:w="0" w:type="dxa"/>
          <w:right w:w="0" w:type="dxa"/>
        </w:tblCellMar>
        <w:tblLook w:val="01E0"/>
      </w:tblPr>
      <w:tblGrid>
        <w:gridCol w:w="2205"/>
        <w:gridCol w:w="735"/>
        <w:gridCol w:w="993"/>
        <w:gridCol w:w="963"/>
        <w:gridCol w:w="958"/>
        <w:gridCol w:w="975"/>
        <w:gridCol w:w="947"/>
        <w:gridCol w:w="433"/>
        <w:gridCol w:w="608"/>
      </w:tblGrid>
      <w:tr>
        <w:trPr>
          <w:trHeight w:val="605" w:hRule="exact"/>
        </w:trPr>
        <w:tc>
          <w:tcPr>
            <w:tcW w:w="2205" w:type="dxa"/>
            <w:tcBorders>
              <w:top w:val="single" w:sz="12"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2" w:right="0"/>
              <w:jc w:val="center"/>
              <w:rPr>
                <w:rFonts w:ascii="宋体" w:hAnsi="宋体" w:cs="宋体" w:eastAsia="宋体" w:hint="default"/>
                <w:sz w:val="15"/>
                <w:szCs w:val="15"/>
              </w:rPr>
            </w:pPr>
            <w:r>
              <w:rPr>
                <w:rFonts w:ascii="宋体" w:hAnsi="宋体" w:cs="宋体" w:eastAsia="宋体" w:hint="default"/>
                <w:b/>
                <w:bCs/>
                <w:sz w:val="15"/>
                <w:szCs w:val="15"/>
              </w:rPr>
              <w:t>工程名称</w:t>
            </w:r>
            <w:r>
              <w:rPr>
                <w:rFonts w:ascii="宋体" w:hAnsi="宋体" w:cs="宋体" w:eastAsia="宋体" w:hint="default"/>
                <w:sz w:val="15"/>
                <w:szCs w:val="15"/>
              </w:rPr>
            </w:r>
          </w:p>
        </w:tc>
        <w:tc>
          <w:tcPr>
            <w:tcW w:w="735" w:type="dxa"/>
            <w:tcBorders>
              <w:top w:val="single" w:sz="12" w:space="0" w:color="000000"/>
              <w:left w:val="nil" w:sz="6" w:space="0" w:color="auto"/>
              <w:bottom w:val="single" w:sz="4" w:space="0" w:color="000000"/>
              <w:right w:val="nil" w:sz="6" w:space="0" w:color="auto"/>
            </w:tcBorders>
          </w:tcPr>
          <w:p>
            <w:pPr>
              <w:pStyle w:val="TableParagraph"/>
              <w:spacing w:line="194" w:lineRule="exact" w:before="94"/>
              <w:ind w:left="272" w:right="138" w:hanging="173"/>
              <w:jc w:val="left"/>
              <w:rPr>
                <w:rFonts w:ascii="宋体" w:hAnsi="宋体" w:cs="宋体" w:eastAsia="宋体" w:hint="default"/>
                <w:sz w:val="15"/>
                <w:szCs w:val="15"/>
              </w:rPr>
            </w:pPr>
            <w:r>
              <w:rPr>
                <w:rFonts w:ascii="宋体" w:hAnsi="宋体" w:cs="宋体" w:eastAsia="宋体" w:hint="default"/>
                <w:b/>
                <w:bCs/>
                <w:sz w:val="15"/>
                <w:szCs w:val="15"/>
              </w:rPr>
              <w:t>预算</w:t>
            </w:r>
            <w:r>
              <w:rPr>
                <w:rFonts w:ascii="Times New Roman" w:hAnsi="Times New Roman" w:cs="Times New Roman" w:eastAsia="Times New Roman" w:hint="default"/>
                <w:b/>
                <w:bCs/>
                <w:sz w:val="15"/>
                <w:szCs w:val="15"/>
              </w:rPr>
              <w:t>/</w:t>
            </w:r>
            <w:r>
              <w:rPr>
                <w:rFonts w:ascii="宋体" w:hAnsi="宋体" w:cs="宋体" w:eastAsia="宋体" w:hint="default"/>
                <w:b/>
                <w:bCs/>
                <w:sz w:val="15"/>
                <w:szCs w:val="15"/>
              </w:rPr>
              <w:t>万</w:t>
            </w:r>
            <w:r>
              <w:rPr>
                <w:rFonts w:ascii="宋体" w:hAnsi="宋体" w:cs="宋体" w:eastAsia="宋体" w:hint="default"/>
                <w:b/>
                <w:bCs/>
                <w:w w:val="100"/>
                <w:sz w:val="15"/>
                <w:szCs w:val="15"/>
              </w:rPr>
              <w:t> </w:t>
            </w:r>
            <w:r>
              <w:rPr>
                <w:rFonts w:ascii="宋体" w:hAnsi="宋体" w:cs="宋体" w:eastAsia="宋体" w:hint="default"/>
                <w:b/>
                <w:bCs/>
                <w:sz w:val="15"/>
                <w:szCs w:val="15"/>
              </w:rPr>
              <w:t>元</w:t>
            </w:r>
            <w:r>
              <w:rPr>
                <w:rFonts w:ascii="宋体" w:hAnsi="宋体" w:cs="宋体" w:eastAsia="宋体" w:hint="default"/>
                <w:sz w:val="15"/>
                <w:szCs w:val="15"/>
              </w:rPr>
            </w:r>
          </w:p>
        </w:tc>
        <w:tc>
          <w:tcPr>
            <w:tcW w:w="993" w:type="dxa"/>
            <w:tcBorders>
              <w:top w:val="single" w:sz="12"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62" w:right="0"/>
              <w:jc w:val="left"/>
              <w:rPr>
                <w:rFonts w:ascii="宋体" w:hAnsi="宋体" w:cs="宋体" w:eastAsia="宋体" w:hint="default"/>
                <w:sz w:val="15"/>
                <w:szCs w:val="15"/>
              </w:rPr>
            </w:pPr>
            <w:r>
              <w:rPr>
                <w:rFonts w:ascii="宋体" w:hAnsi="宋体" w:cs="宋体" w:eastAsia="宋体" w:hint="default"/>
                <w:b/>
                <w:bCs/>
                <w:sz w:val="15"/>
                <w:szCs w:val="15"/>
              </w:rPr>
              <w:t>年初余额</w:t>
            </w:r>
            <w:r>
              <w:rPr>
                <w:rFonts w:ascii="宋体" w:hAnsi="宋体" w:cs="宋体" w:eastAsia="宋体" w:hint="default"/>
                <w:sz w:val="15"/>
                <w:szCs w:val="15"/>
              </w:rPr>
            </w:r>
          </w:p>
        </w:tc>
        <w:tc>
          <w:tcPr>
            <w:tcW w:w="963" w:type="dxa"/>
            <w:tcBorders>
              <w:top w:val="single" w:sz="12"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59" w:right="0"/>
              <w:jc w:val="left"/>
              <w:rPr>
                <w:rFonts w:ascii="宋体" w:hAnsi="宋体" w:cs="宋体" w:eastAsia="宋体" w:hint="default"/>
                <w:sz w:val="15"/>
                <w:szCs w:val="15"/>
              </w:rPr>
            </w:pPr>
            <w:r>
              <w:rPr>
                <w:rFonts w:ascii="宋体" w:hAnsi="宋体" w:cs="宋体" w:eastAsia="宋体" w:hint="default"/>
                <w:b/>
                <w:bCs/>
                <w:sz w:val="15"/>
                <w:szCs w:val="15"/>
              </w:rPr>
              <w:t>本年增加</w:t>
            </w:r>
            <w:r>
              <w:rPr>
                <w:rFonts w:ascii="宋体" w:hAnsi="宋体" w:cs="宋体" w:eastAsia="宋体" w:hint="default"/>
                <w:sz w:val="15"/>
                <w:szCs w:val="15"/>
              </w:rPr>
            </w:r>
          </w:p>
        </w:tc>
        <w:tc>
          <w:tcPr>
            <w:tcW w:w="958" w:type="dxa"/>
            <w:tcBorders>
              <w:top w:val="single" w:sz="12"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62" w:right="0"/>
              <w:jc w:val="left"/>
              <w:rPr>
                <w:rFonts w:ascii="宋体" w:hAnsi="宋体" w:cs="宋体" w:eastAsia="宋体" w:hint="default"/>
                <w:sz w:val="15"/>
                <w:szCs w:val="15"/>
              </w:rPr>
            </w:pPr>
            <w:r>
              <w:rPr>
                <w:rFonts w:ascii="宋体" w:hAnsi="宋体" w:cs="宋体" w:eastAsia="宋体" w:hint="default"/>
                <w:b/>
                <w:bCs/>
                <w:sz w:val="15"/>
                <w:szCs w:val="15"/>
              </w:rPr>
              <w:t>本年转固</w:t>
            </w:r>
            <w:r>
              <w:rPr>
                <w:rFonts w:ascii="宋体" w:hAnsi="宋体" w:cs="宋体" w:eastAsia="宋体" w:hint="default"/>
                <w:sz w:val="15"/>
                <w:szCs w:val="15"/>
              </w:rPr>
            </w:r>
          </w:p>
        </w:tc>
        <w:tc>
          <w:tcPr>
            <w:tcW w:w="975" w:type="dxa"/>
            <w:tcBorders>
              <w:top w:val="single" w:sz="12"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62" w:right="0"/>
              <w:jc w:val="left"/>
              <w:rPr>
                <w:rFonts w:ascii="宋体" w:hAnsi="宋体" w:cs="宋体" w:eastAsia="宋体" w:hint="default"/>
                <w:sz w:val="15"/>
                <w:szCs w:val="15"/>
              </w:rPr>
            </w:pPr>
            <w:r>
              <w:rPr>
                <w:rFonts w:ascii="宋体" w:hAnsi="宋体" w:cs="宋体" w:eastAsia="宋体" w:hint="default"/>
                <w:b/>
                <w:bCs/>
                <w:sz w:val="15"/>
                <w:szCs w:val="15"/>
              </w:rPr>
              <w:t>其他减少</w:t>
            </w:r>
            <w:r>
              <w:rPr>
                <w:rFonts w:ascii="宋体" w:hAnsi="宋体" w:cs="宋体" w:eastAsia="宋体" w:hint="default"/>
                <w:sz w:val="15"/>
                <w:szCs w:val="15"/>
              </w:rPr>
            </w:r>
          </w:p>
        </w:tc>
        <w:tc>
          <w:tcPr>
            <w:tcW w:w="947" w:type="dxa"/>
            <w:tcBorders>
              <w:top w:val="single" w:sz="12"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60" w:right="0"/>
              <w:jc w:val="left"/>
              <w:rPr>
                <w:rFonts w:ascii="宋体" w:hAnsi="宋体" w:cs="宋体" w:eastAsia="宋体" w:hint="default"/>
                <w:sz w:val="15"/>
                <w:szCs w:val="15"/>
              </w:rPr>
            </w:pPr>
            <w:r>
              <w:rPr>
                <w:rFonts w:ascii="宋体" w:hAnsi="宋体" w:cs="宋体" w:eastAsia="宋体" w:hint="default"/>
                <w:b/>
                <w:bCs/>
                <w:sz w:val="15"/>
                <w:szCs w:val="15"/>
              </w:rPr>
              <w:t>年末余额</w:t>
            </w:r>
            <w:r>
              <w:rPr>
                <w:rFonts w:ascii="宋体" w:hAnsi="宋体" w:cs="宋体" w:eastAsia="宋体" w:hint="default"/>
                <w:sz w:val="15"/>
                <w:szCs w:val="15"/>
              </w:rPr>
            </w:r>
          </w:p>
        </w:tc>
        <w:tc>
          <w:tcPr>
            <w:tcW w:w="433" w:type="dxa"/>
            <w:tcBorders>
              <w:top w:val="single" w:sz="12" w:space="0" w:color="000000"/>
              <w:left w:val="nil" w:sz="6" w:space="0" w:color="auto"/>
              <w:bottom w:val="single" w:sz="4" w:space="0" w:color="000000"/>
              <w:right w:val="nil" w:sz="6" w:space="0" w:color="auto"/>
            </w:tcBorders>
          </w:tcPr>
          <w:p>
            <w:pPr>
              <w:pStyle w:val="TableParagraph"/>
              <w:spacing w:line="240" w:lineRule="auto" w:before="74"/>
              <w:ind w:left="55" w:right="73"/>
              <w:jc w:val="left"/>
              <w:rPr>
                <w:rFonts w:ascii="宋体" w:hAnsi="宋体" w:cs="宋体" w:eastAsia="宋体" w:hint="default"/>
                <w:sz w:val="15"/>
                <w:szCs w:val="15"/>
              </w:rPr>
            </w:pPr>
            <w:r>
              <w:rPr>
                <w:rFonts w:ascii="宋体" w:hAnsi="宋体" w:cs="宋体" w:eastAsia="宋体" w:hint="default"/>
                <w:b/>
                <w:bCs/>
                <w:sz w:val="15"/>
                <w:szCs w:val="15"/>
              </w:rPr>
              <w:t>资金</w:t>
            </w:r>
            <w:r>
              <w:rPr>
                <w:rFonts w:ascii="宋体" w:hAnsi="宋体" w:cs="宋体" w:eastAsia="宋体" w:hint="default"/>
                <w:b/>
                <w:bCs/>
                <w:w w:val="100"/>
                <w:sz w:val="15"/>
                <w:szCs w:val="15"/>
              </w:rPr>
              <w:t> </w:t>
            </w:r>
            <w:r>
              <w:rPr>
                <w:rFonts w:ascii="宋体" w:hAnsi="宋体" w:cs="宋体" w:eastAsia="宋体" w:hint="default"/>
                <w:b/>
                <w:bCs/>
                <w:sz w:val="15"/>
                <w:szCs w:val="15"/>
              </w:rPr>
              <w:t>来源</w:t>
            </w:r>
            <w:r>
              <w:rPr>
                <w:rFonts w:ascii="宋体" w:hAnsi="宋体" w:cs="宋体" w:eastAsia="宋体" w:hint="default"/>
                <w:sz w:val="15"/>
                <w:szCs w:val="15"/>
              </w:rPr>
            </w:r>
          </w:p>
        </w:tc>
        <w:tc>
          <w:tcPr>
            <w:tcW w:w="608" w:type="dxa"/>
            <w:tcBorders>
              <w:top w:val="single" w:sz="12" w:space="0" w:color="000000"/>
              <w:left w:val="nil" w:sz="6" w:space="0" w:color="auto"/>
              <w:bottom w:val="single" w:sz="4" w:space="0" w:color="000000"/>
              <w:right w:val="nil" w:sz="6" w:space="0" w:color="auto"/>
            </w:tcBorders>
          </w:tcPr>
          <w:p>
            <w:pPr>
              <w:pStyle w:val="TableParagraph"/>
              <w:spacing w:line="174" w:lineRule="exact"/>
              <w:ind w:left="75" w:right="0"/>
              <w:jc w:val="left"/>
              <w:rPr>
                <w:rFonts w:ascii="宋体" w:hAnsi="宋体" w:cs="宋体" w:eastAsia="宋体" w:hint="default"/>
                <w:sz w:val="15"/>
                <w:szCs w:val="15"/>
              </w:rPr>
            </w:pPr>
            <w:r>
              <w:rPr>
                <w:rFonts w:ascii="宋体" w:hAnsi="宋体" w:cs="宋体" w:eastAsia="宋体" w:hint="default"/>
                <w:b/>
                <w:bCs/>
                <w:sz w:val="15"/>
                <w:szCs w:val="15"/>
              </w:rPr>
              <w:t>投入占</w:t>
            </w:r>
            <w:r>
              <w:rPr>
                <w:rFonts w:ascii="宋体" w:hAnsi="宋体" w:cs="宋体" w:eastAsia="宋体" w:hint="default"/>
                <w:sz w:val="15"/>
                <w:szCs w:val="15"/>
              </w:rPr>
            </w:r>
          </w:p>
          <w:p>
            <w:pPr>
              <w:pStyle w:val="TableParagraph"/>
              <w:spacing w:line="240" w:lineRule="auto"/>
              <w:ind w:left="226" w:right="77" w:hanging="152"/>
              <w:jc w:val="left"/>
              <w:rPr>
                <w:rFonts w:ascii="宋体" w:hAnsi="宋体" w:cs="宋体" w:eastAsia="宋体" w:hint="default"/>
                <w:sz w:val="15"/>
                <w:szCs w:val="15"/>
              </w:rPr>
            </w:pPr>
            <w:r>
              <w:rPr>
                <w:rFonts w:ascii="宋体" w:hAnsi="宋体" w:cs="宋体" w:eastAsia="宋体" w:hint="default"/>
                <w:b/>
                <w:bCs/>
                <w:sz w:val="15"/>
                <w:szCs w:val="15"/>
              </w:rPr>
              <w:t>预算比</w:t>
            </w:r>
            <w:r>
              <w:rPr>
                <w:rFonts w:ascii="宋体" w:hAnsi="宋体" w:cs="宋体" w:eastAsia="宋体" w:hint="default"/>
                <w:b/>
                <w:bCs/>
                <w:w w:val="100"/>
                <w:sz w:val="15"/>
                <w:szCs w:val="15"/>
              </w:rPr>
              <w:t> </w:t>
            </w:r>
            <w:r>
              <w:rPr>
                <w:rFonts w:ascii="宋体" w:hAnsi="宋体" w:cs="宋体" w:eastAsia="宋体" w:hint="default"/>
                <w:b/>
                <w:bCs/>
                <w:sz w:val="15"/>
                <w:szCs w:val="15"/>
              </w:rPr>
              <w:t>例</w:t>
            </w:r>
            <w:r>
              <w:rPr>
                <w:rFonts w:ascii="宋体" w:hAnsi="宋体" w:cs="宋体" w:eastAsia="宋体" w:hint="default"/>
                <w:sz w:val="15"/>
                <w:szCs w:val="15"/>
              </w:rPr>
            </w:r>
          </w:p>
        </w:tc>
      </w:tr>
      <w:tr>
        <w:trPr>
          <w:trHeight w:val="297" w:hRule="exact"/>
        </w:trPr>
        <w:tc>
          <w:tcPr>
            <w:tcW w:w="2205" w:type="dxa"/>
            <w:tcBorders>
              <w:top w:val="single" w:sz="4" w:space="0" w:color="000000"/>
              <w:left w:val="nil" w:sz="6" w:space="0" w:color="auto"/>
              <w:bottom w:val="nil" w:sz="6" w:space="0" w:color="auto"/>
              <w:right w:val="nil" w:sz="6" w:space="0" w:color="auto"/>
            </w:tcBorders>
          </w:tcPr>
          <w:p>
            <w:pPr>
              <w:pStyle w:val="TableParagraph"/>
              <w:spacing w:line="240" w:lineRule="auto" w:before="67"/>
              <w:ind w:left="71" w:right="0"/>
              <w:jc w:val="left"/>
              <w:rPr>
                <w:rFonts w:ascii="宋体" w:hAnsi="宋体" w:cs="宋体" w:eastAsia="宋体" w:hint="default"/>
                <w:sz w:val="15"/>
                <w:szCs w:val="15"/>
              </w:rPr>
            </w:pPr>
            <w:r>
              <w:rPr>
                <w:rFonts w:ascii="宋体" w:hAnsi="宋体" w:cs="宋体" w:eastAsia="宋体" w:hint="default"/>
                <w:spacing w:val="-13"/>
                <w:sz w:val="15"/>
                <w:szCs w:val="15"/>
              </w:rPr>
              <w:t>龙江环保鸡西全天供水改造工程</w:t>
            </w:r>
          </w:p>
        </w:tc>
        <w:tc>
          <w:tcPr>
            <w:tcW w:w="735"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88"/>
              <w:jc w:val="right"/>
              <w:rPr>
                <w:rFonts w:ascii="Times New Roman" w:hAnsi="Times New Roman" w:cs="Times New Roman" w:eastAsia="Times New Roman" w:hint="default"/>
                <w:sz w:val="13"/>
                <w:szCs w:val="13"/>
              </w:rPr>
            </w:pPr>
            <w:r>
              <w:rPr>
                <w:rFonts w:ascii="Times New Roman"/>
                <w:sz w:val="13"/>
              </w:rPr>
              <w:t>34,000.00</w:t>
            </w:r>
          </w:p>
        </w:tc>
        <w:tc>
          <w:tcPr>
            <w:tcW w:w="993"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88"/>
              <w:jc w:val="right"/>
              <w:rPr>
                <w:rFonts w:ascii="Times New Roman" w:hAnsi="Times New Roman" w:cs="Times New Roman" w:eastAsia="Times New Roman" w:hint="default"/>
                <w:sz w:val="13"/>
                <w:szCs w:val="13"/>
              </w:rPr>
            </w:pPr>
            <w:r>
              <w:rPr>
                <w:rFonts w:ascii="Times New Roman"/>
                <w:sz w:val="13"/>
              </w:rPr>
              <w:t>305,511,849.70</w:t>
            </w:r>
          </w:p>
        </w:tc>
        <w:tc>
          <w:tcPr>
            <w:tcW w:w="963"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left="155" w:right="0"/>
              <w:jc w:val="left"/>
              <w:rPr>
                <w:rFonts w:ascii="Times New Roman" w:hAnsi="Times New Roman" w:cs="Times New Roman" w:eastAsia="Times New Roman" w:hint="default"/>
                <w:sz w:val="13"/>
                <w:szCs w:val="13"/>
              </w:rPr>
            </w:pPr>
            <w:r>
              <w:rPr>
                <w:rFonts w:ascii="Times New Roman"/>
                <w:sz w:val="13"/>
              </w:rPr>
              <w:t>16,740,056.31</w:t>
            </w:r>
          </w:p>
        </w:tc>
        <w:tc>
          <w:tcPr>
            <w:tcW w:w="958"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83"/>
              <w:jc w:val="right"/>
              <w:rPr>
                <w:rFonts w:ascii="Times New Roman" w:hAnsi="Times New Roman" w:cs="Times New Roman" w:eastAsia="Times New Roman" w:hint="default"/>
                <w:sz w:val="13"/>
                <w:szCs w:val="13"/>
              </w:rPr>
            </w:pPr>
            <w:r>
              <w:rPr>
                <w:rFonts w:ascii="Times New Roman"/>
                <w:sz w:val="13"/>
              </w:rPr>
              <w:t>0.00</w:t>
            </w:r>
          </w:p>
        </w:tc>
        <w:tc>
          <w:tcPr>
            <w:tcW w:w="975"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76"/>
              <w:jc w:val="right"/>
              <w:rPr>
                <w:rFonts w:ascii="Times New Roman" w:hAnsi="Times New Roman" w:cs="Times New Roman" w:eastAsia="Times New Roman" w:hint="default"/>
                <w:sz w:val="13"/>
                <w:szCs w:val="13"/>
              </w:rPr>
            </w:pPr>
            <w:r>
              <w:rPr>
                <w:rFonts w:ascii="Times New Roman"/>
                <w:sz w:val="13"/>
              </w:rPr>
              <w:t>0.00</w:t>
            </w:r>
          </w:p>
        </w:tc>
        <w:tc>
          <w:tcPr>
            <w:tcW w:w="947"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55"/>
              <w:jc w:val="right"/>
              <w:rPr>
                <w:rFonts w:ascii="Times New Roman" w:hAnsi="Times New Roman" w:cs="Times New Roman" w:eastAsia="Times New Roman" w:hint="default"/>
                <w:sz w:val="13"/>
                <w:szCs w:val="13"/>
              </w:rPr>
            </w:pPr>
            <w:r>
              <w:rPr>
                <w:rFonts w:ascii="Times New Roman"/>
                <w:sz w:val="13"/>
              </w:rPr>
              <w:t>322,251,906.01</w:t>
            </w:r>
          </w:p>
        </w:tc>
        <w:tc>
          <w:tcPr>
            <w:tcW w:w="433" w:type="dxa"/>
            <w:tcBorders>
              <w:top w:val="single" w:sz="4" w:space="0" w:color="000000"/>
              <w:left w:val="nil" w:sz="6" w:space="0" w:color="auto"/>
              <w:bottom w:val="nil" w:sz="6" w:space="0" w:color="auto"/>
              <w:right w:val="nil" w:sz="6" w:space="0" w:color="auto"/>
            </w:tcBorders>
          </w:tcPr>
          <w:p>
            <w:pPr>
              <w:pStyle w:val="TableParagraph"/>
              <w:spacing w:line="240" w:lineRule="auto" w:before="90"/>
              <w:ind w:left="55" w:right="0"/>
              <w:jc w:val="left"/>
              <w:rPr>
                <w:rFonts w:ascii="宋体" w:hAnsi="宋体" w:cs="宋体" w:eastAsia="宋体" w:hint="default"/>
                <w:sz w:val="13"/>
                <w:szCs w:val="13"/>
              </w:rPr>
            </w:pPr>
            <w:r>
              <w:rPr>
                <w:rFonts w:ascii="宋体" w:hAnsi="宋体" w:cs="宋体" w:eastAsia="宋体" w:hint="default"/>
                <w:spacing w:val="-13"/>
                <w:sz w:val="13"/>
                <w:szCs w:val="13"/>
              </w:rPr>
              <w:t>自筹</w:t>
            </w:r>
            <w:r>
              <w:rPr>
                <w:rFonts w:ascii="宋体" w:hAnsi="宋体" w:cs="宋体" w:eastAsia="宋体" w:hint="default"/>
                <w:sz w:val="13"/>
                <w:szCs w:val="13"/>
              </w:rPr>
            </w:r>
          </w:p>
        </w:tc>
        <w:tc>
          <w:tcPr>
            <w:tcW w:w="608"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51"/>
              <w:jc w:val="right"/>
              <w:rPr>
                <w:rFonts w:ascii="Times New Roman" w:hAnsi="Times New Roman" w:cs="Times New Roman" w:eastAsia="Times New Roman" w:hint="default"/>
                <w:sz w:val="13"/>
                <w:szCs w:val="13"/>
              </w:rPr>
            </w:pPr>
            <w:r>
              <w:rPr>
                <w:rFonts w:ascii="Times New Roman"/>
                <w:spacing w:val="-6"/>
                <w:sz w:val="13"/>
              </w:rPr>
              <w:t>94.78%</w:t>
            </w:r>
          </w:p>
        </w:tc>
      </w:tr>
      <w:tr>
        <w:trPr>
          <w:trHeight w:val="426" w:hRule="exact"/>
        </w:trPr>
        <w:tc>
          <w:tcPr>
            <w:tcW w:w="2205" w:type="dxa"/>
            <w:tcBorders>
              <w:top w:val="nil" w:sz="6" w:space="0" w:color="auto"/>
              <w:left w:val="nil" w:sz="6" w:space="0" w:color="auto"/>
              <w:bottom w:val="nil" w:sz="6" w:space="0" w:color="auto"/>
              <w:right w:val="nil" w:sz="6" w:space="0" w:color="auto"/>
            </w:tcBorders>
          </w:tcPr>
          <w:p>
            <w:pPr>
              <w:pStyle w:val="TableParagraph"/>
              <w:spacing w:line="165" w:lineRule="exact"/>
              <w:ind w:left="71" w:right="0"/>
              <w:jc w:val="left"/>
              <w:rPr>
                <w:rFonts w:ascii="宋体" w:hAnsi="宋体" w:cs="宋体" w:eastAsia="宋体" w:hint="default"/>
                <w:sz w:val="15"/>
                <w:szCs w:val="15"/>
              </w:rPr>
            </w:pPr>
            <w:r>
              <w:rPr>
                <w:rFonts w:ascii="宋体" w:hAnsi="宋体" w:cs="宋体" w:eastAsia="宋体" w:hint="default"/>
                <w:sz w:val="15"/>
                <w:szCs w:val="15"/>
              </w:rPr>
              <w:t>“中国知网”数字出版与数字</w:t>
            </w:r>
          </w:p>
          <w:p>
            <w:pPr>
              <w:pStyle w:val="TableParagraph"/>
              <w:spacing w:line="195" w:lineRule="exact"/>
              <w:ind w:left="71" w:right="0"/>
              <w:jc w:val="left"/>
              <w:rPr>
                <w:rFonts w:ascii="宋体" w:hAnsi="宋体" w:cs="宋体" w:eastAsia="宋体" w:hint="default"/>
                <w:sz w:val="15"/>
                <w:szCs w:val="15"/>
              </w:rPr>
            </w:pPr>
            <w:r>
              <w:rPr>
                <w:rFonts w:ascii="宋体" w:hAnsi="宋体" w:cs="宋体" w:eastAsia="宋体" w:hint="default"/>
                <w:sz w:val="15"/>
                <w:szCs w:val="15"/>
              </w:rPr>
              <w:t>图书馆项目</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8"/>
                <w:szCs w:val="8"/>
              </w:rPr>
            </w:pPr>
          </w:p>
          <w:p>
            <w:pPr>
              <w:pStyle w:val="TableParagraph"/>
              <w:spacing w:line="240" w:lineRule="auto"/>
              <w:ind w:right="88"/>
              <w:jc w:val="right"/>
              <w:rPr>
                <w:rFonts w:ascii="Times New Roman" w:hAnsi="Times New Roman" w:cs="Times New Roman" w:eastAsia="Times New Roman" w:hint="default"/>
                <w:sz w:val="13"/>
                <w:szCs w:val="13"/>
              </w:rPr>
            </w:pPr>
            <w:r>
              <w:rPr>
                <w:rFonts w:ascii="Times New Roman"/>
                <w:sz w:val="13"/>
              </w:rPr>
              <w:t>35,577.04</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8"/>
                <w:szCs w:val="8"/>
              </w:rPr>
            </w:pPr>
          </w:p>
          <w:p>
            <w:pPr>
              <w:pStyle w:val="TableParagraph"/>
              <w:spacing w:line="240" w:lineRule="auto"/>
              <w:ind w:right="85"/>
              <w:jc w:val="right"/>
              <w:rPr>
                <w:rFonts w:ascii="Times New Roman" w:hAnsi="Times New Roman" w:cs="Times New Roman" w:eastAsia="Times New Roman" w:hint="default"/>
                <w:sz w:val="13"/>
                <w:szCs w:val="13"/>
              </w:rPr>
            </w:pPr>
            <w:r>
              <w:rPr>
                <w:rFonts w:ascii="Times New Roman"/>
                <w:sz w:val="13"/>
              </w:rPr>
              <w:t>18,538,295.46</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8"/>
                <w:szCs w:val="8"/>
              </w:rPr>
            </w:pPr>
          </w:p>
          <w:p>
            <w:pPr>
              <w:pStyle w:val="TableParagraph"/>
              <w:spacing w:line="240" w:lineRule="auto"/>
              <w:ind w:left="155" w:right="0"/>
              <w:jc w:val="left"/>
              <w:rPr>
                <w:rFonts w:ascii="Times New Roman" w:hAnsi="Times New Roman" w:cs="Times New Roman" w:eastAsia="Times New Roman" w:hint="default"/>
                <w:sz w:val="13"/>
                <w:szCs w:val="13"/>
              </w:rPr>
            </w:pPr>
            <w:r>
              <w:rPr>
                <w:rFonts w:ascii="Times New Roman"/>
                <w:sz w:val="13"/>
              </w:rPr>
              <w:t>57,405,668.40</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8"/>
                <w:szCs w:val="8"/>
              </w:rPr>
            </w:pPr>
          </w:p>
          <w:p>
            <w:pPr>
              <w:pStyle w:val="TableParagraph"/>
              <w:spacing w:line="240" w:lineRule="auto"/>
              <w:ind w:right="83"/>
              <w:jc w:val="right"/>
              <w:rPr>
                <w:rFonts w:ascii="Times New Roman" w:hAnsi="Times New Roman" w:cs="Times New Roman" w:eastAsia="Times New Roman" w:hint="default"/>
                <w:sz w:val="13"/>
                <w:szCs w:val="13"/>
              </w:rPr>
            </w:pPr>
            <w:r>
              <w:rPr>
                <w:rFonts w:ascii="Times New Roman"/>
                <w:sz w:val="13"/>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8"/>
                <w:szCs w:val="8"/>
              </w:rPr>
            </w:pPr>
          </w:p>
          <w:p>
            <w:pPr>
              <w:pStyle w:val="TableParagraph"/>
              <w:spacing w:line="240" w:lineRule="auto"/>
              <w:ind w:right="76"/>
              <w:jc w:val="right"/>
              <w:rPr>
                <w:rFonts w:ascii="Times New Roman" w:hAnsi="Times New Roman" w:cs="Times New Roman" w:eastAsia="Times New Roman" w:hint="default"/>
                <w:sz w:val="13"/>
                <w:szCs w:val="13"/>
              </w:rPr>
            </w:pPr>
            <w:r>
              <w:rPr>
                <w:rFonts w:ascii="Times New Roman"/>
                <w:sz w:val="13"/>
              </w:rPr>
              <w:t>0.00</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8"/>
                <w:szCs w:val="8"/>
              </w:rPr>
            </w:pPr>
          </w:p>
          <w:p>
            <w:pPr>
              <w:pStyle w:val="TableParagraph"/>
              <w:spacing w:line="240" w:lineRule="auto"/>
              <w:ind w:right="53"/>
              <w:jc w:val="right"/>
              <w:rPr>
                <w:rFonts w:ascii="Times New Roman" w:hAnsi="Times New Roman" w:cs="Times New Roman" w:eastAsia="Times New Roman" w:hint="default"/>
                <w:sz w:val="13"/>
                <w:szCs w:val="13"/>
              </w:rPr>
            </w:pPr>
            <w:r>
              <w:rPr>
                <w:rFonts w:ascii="Times New Roman"/>
                <w:sz w:val="13"/>
              </w:rPr>
              <w:t>75,943,963.86</w:t>
            </w:r>
          </w:p>
        </w:tc>
        <w:tc>
          <w:tcPr>
            <w:tcW w:w="43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5" w:right="0"/>
              <w:jc w:val="left"/>
              <w:rPr>
                <w:rFonts w:ascii="宋体" w:hAnsi="宋体" w:cs="宋体" w:eastAsia="宋体" w:hint="default"/>
                <w:sz w:val="13"/>
                <w:szCs w:val="13"/>
              </w:rPr>
            </w:pPr>
            <w:r>
              <w:rPr>
                <w:rFonts w:ascii="宋体" w:hAnsi="宋体" w:cs="宋体" w:eastAsia="宋体" w:hint="default"/>
                <w:spacing w:val="-13"/>
                <w:sz w:val="13"/>
                <w:szCs w:val="13"/>
              </w:rPr>
              <w:t>自筹</w:t>
            </w:r>
            <w:r>
              <w:rPr>
                <w:rFonts w:ascii="宋体" w:hAnsi="宋体" w:cs="宋体" w:eastAsia="宋体" w:hint="default"/>
                <w:sz w:val="13"/>
                <w:szCs w:val="13"/>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8"/>
                <w:szCs w:val="8"/>
              </w:rPr>
            </w:pPr>
          </w:p>
          <w:p>
            <w:pPr>
              <w:pStyle w:val="TableParagraph"/>
              <w:spacing w:line="240" w:lineRule="auto"/>
              <w:ind w:right="51"/>
              <w:jc w:val="right"/>
              <w:rPr>
                <w:rFonts w:ascii="Times New Roman" w:hAnsi="Times New Roman" w:cs="Times New Roman" w:eastAsia="Times New Roman" w:hint="default"/>
                <w:sz w:val="13"/>
                <w:szCs w:val="13"/>
              </w:rPr>
            </w:pPr>
            <w:r>
              <w:rPr>
                <w:rFonts w:ascii="Times New Roman"/>
                <w:spacing w:val="-6"/>
                <w:sz w:val="13"/>
              </w:rPr>
              <w:t>21.35%</w:t>
            </w:r>
          </w:p>
        </w:tc>
      </w:tr>
      <w:tr>
        <w:trPr>
          <w:trHeight w:val="247" w:hRule="exact"/>
        </w:trPr>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0"/>
              <w:ind w:left="71" w:right="0"/>
              <w:jc w:val="left"/>
              <w:rPr>
                <w:rFonts w:ascii="宋体" w:hAnsi="宋体" w:cs="宋体" w:eastAsia="宋体" w:hint="default"/>
                <w:sz w:val="15"/>
                <w:szCs w:val="15"/>
              </w:rPr>
            </w:pPr>
            <w:r>
              <w:rPr>
                <w:rFonts w:ascii="宋体" w:hAnsi="宋体" w:cs="宋体" w:eastAsia="宋体" w:hint="default"/>
                <w:spacing w:val="-13"/>
                <w:sz w:val="15"/>
                <w:szCs w:val="15"/>
              </w:rPr>
              <w:t>同方沈阳科技园区建设项目三期</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88"/>
              <w:jc w:val="right"/>
              <w:rPr>
                <w:rFonts w:ascii="Times New Roman" w:hAnsi="Times New Roman" w:cs="Times New Roman" w:eastAsia="Times New Roman" w:hint="default"/>
                <w:sz w:val="13"/>
                <w:szCs w:val="13"/>
              </w:rPr>
            </w:pPr>
            <w:r>
              <w:rPr>
                <w:rFonts w:ascii="Times New Roman"/>
                <w:sz w:val="13"/>
              </w:rPr>
              <w:t>12,083.01</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85"/>
              <w:jc w:val="right"/>
              <w:rPr>
                <w:rFonts w:ascii="Times New Roman" w:hAnsi="Times New Roman" w:cs="Times New Roman" w:eastAsia="Times New Roman" w:hint="default"/>
                <w:sz w:val="13"/>
                <w:szCs w:val="13"/>
              </w:rPr>
            </w:pPr>
            <w:r>
              <w:rPr>
                <w:rFonts w:ascii="Times New Roman"/>
                <w:sz w:val="13"/>
              </w:rPr>
              <w:t>78,702,853.08</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57"/>
              <w:jc w:val="right"/>
              <w:rPr>
                <w:rFonts w:ascii="Times New Roman" w:hAnsi="Times New Roman" w:cs="Times New Roman" w:eastAsia="Times New Roman" w:hint="default"/>
                <w:sz w:val="13"/>
                <w:szCs w:val="13"/>
              </w:rPr>
            </w:pPr>
            <w:r>
              <w:rPr>
                <w:rFonts w:ascii="Times New Roman"/>
                <w:sz w:val="13"/>
              </w:rPr>
              <w:t>5,049,548.07</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81"/>
              <w:jc w:val="right"/>
              <w:rPr>
                <w:rFonts w:ascii="Times New Roman" w:hAnsi="Times New Roman" w:cs="Times New Roman" w:eastAsia="Times New Roman" w:hint="default"/>
                <w:sz w:val="13"/>
                <w:szCs w:val="13"/>
              </w:rPr>
            </w:pPr>
            <w:r>
              <w:rPr>
                <w:rFonts w:ascii="Times New Roman"/>
                <w:sz w:val="13"/>
              </w:rPr>
              <w:t>10,273,774.45</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76"/>
              <w:jc w:val="right"/>
              <w:rPr>
                <w:rFonts w:ascii="Times New Roman" w:hAnsi="Times New Roman" w:cs="Times New Roman" w:eastAsia="Times New Roman" w:hint="default"/>
                <w:sz w:val="13"/>
                <w:szCs w:val="13"/>
              </w:rPr>
            </w:pPr>
            <w:r>
              <w:rPr>
                <w:rFonts w:ascii="Times New Roman"/>
                <w:sz w:val="13"/>
              </w:rPr>
              <w:t>0.00</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53"/>
              <w:jc w:val="right"/>
              <w:rPr>
                <w:rFonts w:ascii="Times New Roman" w:hAnsi="Times New Roman" w:cs="Times New Roman" w:eastAsia="Times New Roman" w:hint="default"/>
                <w:sz w:val="13"/>
                <w:szCs w:val="13"/>
              </w:rPr>
            </w:pPr>
            <w:r>
              <w:rPr>
                <w:rFonts w:ascii="Times New Roman"/>
                <w:sz w:val="13"/>
              </w:rPr>
              <w:t>73,478,626.70</w:t>
            </w:r>
          </w:p>
        </w:tc>
        <w:tc>
          <w:tcPr>
            <w:tcW w:w="43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72" w:right="0"/>
              <w:jc w:val="left"/>
              <w:rPr>
                <w:rFonts w:ascii="宋体" w:hAnsi="宋体" w:cs="宋体" w:eastAsia="宋体" w:hint="default"/>
                <w:sz w:val="13"/>
                <w:szCs w:val="13"/>
              </w:rPr>
            </w:pPr>
            <w:r>
              <w:rPr>
                <w:rFonts w:ascii="宋体" w:hAnsi="宋体" w:cs="宋体" w:eastAsia="宋体" w:hint="default"/>
                <w:spacing w:val="-13"/>
                <w:sz w:val="13"/>
                <w:szCs w:val="13"/>
              </w:rPr>
              <w:t>自筹</w:t>
            </w:r>
            <w:r>
              <w:rPr>
                <w:rFonts w:ascii="宋体" w:hAnsi="宋体" w:cs="宋体" w:eastAsia="宋体" w:hint="default"/>
                <w:sz w:val="13"/>
                <w:szCs w:val="13"/>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51"/>
              <w:jc w:val="right"/>
              <w:rPr>
                <w:rFonts w:ascii="Times New Roman" w:hAnsi="Times New Roman" w:cs="Times New Roman" w:eastAsia="Times New Roman" w:hint="default"/>
                <w:sz w:val="13"/>
                <w:szCs w:val="13"/>
              </w:rPr>
            </w:pPr>
            <w:r>
              <w:rPr>
                <w:rFonts w:ascii="Times New Roman"/>
                <w:spacing w:val="-6"/>
                <w:sz w:val="13"/>
              </w:rPr>
              <w:t>69.31%</w:t>
            </w:r>
          </w:p>
        </w:tc>
      </w:tr>
      <w:tr>
        <w:trPr>
          <w:trHeight w:val="380" w:hRule="exact"/>
        </w:trPr>
        <w:tc>
          <w:tcPr>
            <w:tcW w:w="2205" w:type="dxa"/>
            <w:tcBorders>
              <w:top w:val="nil" w:sz="6" w:space="0" w:color="auto"/>
              <w:left w:val="nil" w:sz="6" w:space="0" w:color="auto"/>
              <w:bottom w:val="nil" w:sz="6" w:space="0" w:color="auto"/>
              <w:right w:val="nil" w:sz="6" w:space="0" w:color="auto"/>
            </w:tcBorders>
          </w:tcPr>
          <w:p>
            <w:pPr>
              <w:pStyle w:val="TableParagraph"/>
              <w:spacing w:line="165" w:lineRule="exact"/>
              <w:ind w:left="71" w:right="0"/>
              <w:jc w:val="left"/>
              <w:rPr>
                <w:rFonts w:ascii="宋体" w:hAnsi="宋体" w:cs="宋体" w:eastAsia="宋体" w:hint="default"/>
                <w:sz w:val="15"/>
                <w:szCs w:val="15"/>
              </w:rPr>
            </w:pPr>
            <w:r>
              <w:rPr>
                <w:rFonts w:ascii="宋体" w:hAnsi="宋体" w:cs="宋体" w:eastAsia="宋体" w:hint="default"/>
                <w:spacing w:val="-4"/>
                <w:sz w:val="15"/>
                <w:szCs w:val="15"/>
              </w:rPr>
              <w:t>清华同方（无锡）信息产业园一</w:t>
            </w:r>
          </w:p>
          <w:p>
            <w:pPr>
              <w:pStyle w:val="TableParagraph"/>
              <w:spacing w:line="240" w:lineRule="auto"/>
              <w:ind w:left="71" w:right="0"/>
              <w:jc w:val="left"/>
              <w:rPr>
                <w:rFonts w:ascii="宋体" w:hAnsi="宋体" w:cs="宋体" w:eastAsia="宋体" w:hint="default"/>
                <w:sz w:val="15"/>
                <w:szCs w:val="15"/>
              </w:rPr>
            </w:pPr>
            <w:r>
              <w:rPr>
                <w:rFonts w:ascii="宋体" w:hAnsi="宋体" w:cs="宋体" w:eastAsia="宋体" w:hint="default"/>
                <w:sz w:val="15"/>
                <w:szCs w:val="15"/>
              </w:rPr>
              <w:t>期建设</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88"/>
              <w:jc w:val="right"/>
              <w:rPr>
                <w:rFonts w:ascii="Times New Roman" w:hAnsi="Times New Roman" w:cs="Times New Roman" w:eastAsia="Times New Roman" w:hint="default"/>
                <w:sz w:val="13"/>
                <w:szCs w:val="13"/>
              </w:rPr>
            </w:pPr>
            <w:r>
              <w:rPr>
                <w:rFonts w:ascii="Times New Roman"/>
                <w:sz w:val="13"/>
              </w:rPr>
              <w:t>12,967.00</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85"/>
              <w:jc w:val="right"/>
              <w:rPr>
                <w:rFonts w:ascii="Times New Roman" w:hAnsi="Times New Roman" w:cs="Times New Roman" w:eastAsia="Times New Roman" w:hint="default"/>
                <w:sz w:val="13"/>
                <w:szCs w:val="13"/>
              </w:rPr>
            </w:pPr>
            <w:r>
              <w:rPr>
                <w:rFonts w:ascii="Times New Roman"/>
                <w:sz w:val="13"/>
              </w:rPr>
              <w:t>13,296,160.75</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left="155" w:right="0"/>
              <w:jc w:val="left"/>
              <w:rPr>
                <w:rFonts w:ascii="Times New Roman" w:hAnsi="Times New Roman" w:cs="Times New Roman" w:eastAsia="Times New Roman" w:hint="default"/>
                <w:sz w:val="13"/>
                <w:szCs w:val="13"/>
              </w:rPr>
            </w:pPr>
            <w:r>
              <w:rPr>
                <w:rFonts w:ascii="Times New Roman"/>
                <w:sz w:val="13"/>
              </w:rPr>
              <w:t>72,740,217.37</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83"/>
              <w:jc w:val="right"/>
              <w:rPr>
                <w:rFonts w:ascii="Times New Roman" w:hAnsi="Times New Roman" w:cs="Times New Roman" w:eastAsia="Times New Roman" w:hint="default"/>
                <w:sz w:val="13"/>
                <w:szCs w:val="13"/>
              </w:rPr>
            </w:pPr>
            <w:r>
              <w:rPr>
                <w:rFonts w:ascii="Times New Roman"/>
                <w:sz w:val="13"/>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76"/>
              <w:jc w:val="right"/>
              <w:rPr>
                <w:rFonts w:ascii="Times New Roman" w:hAnsi="Times New Roman" w:cs="Times New Roman" w:eastAsia="Times New Roman" w:hint="default"/>
                <w:sz w:val="13"/>
                <w:szCs w:val="13"/>
              </w:rPr>
            </w:pPr>
            <w:r>
              <w:rPr>
                <w:rFonts w:ascii="Times New Roman"/>
                <w:sz w:val="13"/>
              </w:rPr>
              <w:t>0.00</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53"/>
              <w:jc w:val="right"/>
              <w:rPr>
                <w:rFonts w:ascii="Times New Roman" w:hAnsi="Times New Roman" w:cs="Times New Roman" w:eastAsia="Times New Roman" w:hint="default"/>
                <w:sz w:val="13"/>
                <w:szCs w:val="13"/>
              </w:rPr>
            </w:pPr>
            <w:r>
              <w:rPr>
                <w:rFonts w:ascii="Times New Roman"/>
                <w:sz w:val="13"/>
              </w:rPr>
              <w:t>86,036,378.12</w:t>
            </w:r>
          </w:p>
        </w:tc>
        <w:tc>
          <w:tcPr>
            <w:tcW w:w="433" w:type="dxa"/>
            <w:tcBorders>
              <w:top w:val="nil" w:sz="6" w:space="0" w:color="auto"/>
              <w:left w:val="nil" w:sz="6" w:space="0" w:color="auto"/>
              <w:bottom w:val="nil" w:sz="6" w:space="0" w:color="auto"/>
              <w:right w:val="nil" w:sz="6" w:space="0" w:color="auto"/>
            </w:tcBorders>
          </w:tcPr>
          <w:p>
            <w:pPr>
              <w:pStyle w:val="TableParagraph"/>
              <w:spacing w:line="240" w:lineRule="auto" w:before="78"/>
              <w:ind w:left="55" w:right="0"/>
              <w:jc w:val="left"/>
              <w:rPr>
                <w:rFonts w:ascii="宋体" w:hAnsi="宋体" w:cs="宋体" w:eastAsia="宋体" w:hint="default"/>
                <w:sz w:val="13"/>
                <w:szCs w:val="13"/>
              </w:rPr>
            </w:pPr>
            <w:r>
              <w:rPr>
                <w:rFonts w:ascii="宋体" w:hAnsi="宋体" w:cs="宋体" w:eastAsia="宋体" w:hint="default"/>
                <w:spacing w:val="-13"/>
                <w:sz w:val="13"/>
                <w:szCs w:val="13"/>
              </w:rPr>
              <w:t>自筹</w:t>
            </w:r>
            <w:r>
              <w:rPr>
                <w:rFonts w:ascii="宋体" w:hAnsi="宋体" w:cs="宋体" w:eastAsia="宋体" w:hint="default"/>
                <w:sz w:val="13"/>
                <w:szCs w:val="13"/>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51"/>
              <w:jc w:val="right"/>
              <w:rPr>
                <w:rFonts w:ascii="Times New Roman" w:hAnsi="Times New Roman" w:cs="Times New Roman" w:eastAsia="Times New Roman" w:hint="default"/>
                <w:sz w:val="13"/>
                <w:szCs w:val="13"/>
              </w:rPr>
            </w:pPr>
            <w:r>
              <w:rPr>
                <w:rFonts w:ascii="Times New Roman"/>
                <w:spacing w:val="-6"/>
                <w:sz w:val="13"/>
              </w:rPr>
              <w:t>66.35%</w:t>
            </w:r>
          </w:p>
        </w:tc>
      </w:tr>
      <w:tr>
        <w:trPr>
          <w:trHeight w:val="338" w:hRule="exact"/>
        </w:trPr>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48"/>
              <w:ind w:left="71" w:right="0"/>
              <w:jc w:val="left"/>
              <w:rPr>
                <w:rFonts w:ascii="宋体" w:hAnsi="宋体" w:cs="宋体" w:eastAsia="宋体" w:hint="default"/>
                <w:sz w:val="15"/>
                <w:szCs w:val="15"/>
              </w:rPr>
            </w:pPr>
            <w:r>
              <w:rPr>
                <w:rFonts w:ascii="宋体" w:hAnsi="宋体" w:cs="宋体" w:eastAsia="宋体" w:hint="default"/>
                <w:sz w:val="15"/>
                <w:szCs w:val="15"/>
              </w:rPr>
              <w:t>同方泰德工业节能项目</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88"/>
              <w:jc w:val="right"/>
              <w:rPr>
                <w:rFonts w:ascii="Times New Roman" w:hAnsi="Times New Roman" w:cs="Times New Roman" w:eastAsia="Times New Roman" w:hint="default"/>
                <w:sz w:val="13"/>
                <w:szCs w:val="13"/>
              </w:rPr>
            </w:pPr>
            <w:r>
              <w:rPr>
                <w:rFonts w:ascii="Times New Roman"/>
                <w:sz w:val="13"/>
              </w:rPr>
              <w:t>25,467.60</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85"/>
              <w:jc w:val="right"/>
              <w:rPr>
                <w:rFonts w:ascii="Times New Roman" w:hAnsi="Times New Roman" w:cs="Times New Roman" w:eastAsia="Times New Roman" w:hint="default"/>
                <w:sz w:val="13"/>
                <w:szCs w:val="13"/>
              </w:rPr>
            </w:pPr>
            <w:r>
              <w:rPr>
                <w:rFonts w:ascii="Times New Roman"/>
                <w:sz w:val="13"/>
              </w:rPr>
              <w:t>29,388,270.29</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93"/>
              <w:ind w:left="155" w:right="0"/>
              <w:jc w:val="left"/>
              <w:rPr>
                <w:rFonts w:ascii="Times New Roman" w:hAnsi="Times New Roman" w:cs="Times New Roman" w:eastAsia="Times New Roman" w:hint="default"/>
                <w:sz w:val="13"/>
                <w:szCs w:val="13"/>
              </w:rPr>
            </w:pPr>
            <w:r>
              <w:rPr>
                <w:rFonts w:ascii="Times New Roman"/>
                <w:sz w:val="13"/>
              </w:rPr>
              <w:t>29,672,175.39</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81"/>
              <w:jc w:val="right"/>
              <w:rPr>
                <w:rFonts w:ascii="Times New Roman" w:hAnsi="Times New Roman" w:cs="Times New Roman" w:eastAsia="Times New Roman" w:hint="default"/>
                <w:sz w:val="13"/>
                <w:szCs w:val="13"/>
              </w:rPr>
            </w:pPr>
            <w:r>
              <w:rPr>
                <w:rFonts w:ascii="Times New Roman"/>
                <w:sz w:val="13"/>
              </w:rPr>
              <w:t>44,472,531.26</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76"/>
              <w:jc w:val="right"/>
              <w:rPr>
                <w:rFonts w:ascii="Times New Roman" w:hAnsi="Times New Roman" w:cs="Times New Roman" w:eastAsia="Times New Roman" w:hint="default"/>
                <w:sz w:val="13"/>
                <w:szCs w:val="13"/>
              </w:rPr>
            </w:pPr>
            <w:r>
              <w:rPr>
                <w:rFonts w:ascii="Times New Roman"/>
                <w:sz w:val="13"/>
              </w:rPr>
              <w:t>5,300.00</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53"/>
              <w:jc w:val="right"/>
              <w:rPr>
                <w:rFonts w:ascii="Times New Roman" w:hAnsi="Times New Roman" w:cs="Times New Roman" w:eastAsia="Times New Roman" w:hint="default"/>
                <w:sz w:val="13"/>
                <w:szCs w:val="13"/>
              </w:rPr>
            </w:pPr>
            <w:r>
              <w:rPr>
                <w:rFonts w:ascii="Times New Roman"/>
                <w:sz w:val="13"/>
              </w:rPr>
              <w:t>14,582,614.42</w:t>
            </w:r>
          </w:p>
        </w:tc>
        <w:tc>
          <w:tcPr>
            <w:tcW w:w="433" w:type="dxa"/>
            <w:tcBorders>
              <w:top w:val="nil" w:sz="6" w:space="0" w:color="auto"/>
              <w:left w:val="nil" w:sz="6" w:space="0" w:color="auto"/>
              <w:bottom w:val="nil" w:sz="6" w:space="0" w:color="auto"/>
              <w:right w:val="nil" w:sz="6" w:space="0" w:color="auto"/>
            </w:tcBorders>
          </w:tcPr>
          <w:p>
            <w:pPr>
              <w:pStyle w:val="TableParagraph"/>
              <w:spacing w:line="147" w:lineRule="exact"/>
              <w:ind w:left="55" w:right="0"/>
              <w:jc w:val="left"/>
              <w:rPr>
                <w:rFonts w:ascii="宋体" w:hAnsi="宋体" w:cs="宋体" w:eastAsia="宋体" w:hint="default"/>
                <w:sz w:val="13"/>
                <w:szCs w:val="13"/>
              </w:rPr>
            </w:pPr>
            <w:r>
              <w:rPr>
                <w:rFonts w:ascii="宋体" w:hAnsi="宋体" w:cs="宋体" w:eastAsia="宋体" w:hint="default"/>
                <w:spacing w:val="4"/>
                <w:sz w:val="13"/>
                <w:szCs w:val="13"/>
              </w:rPr>
              <w:t>自筹</w:t>
            </w:r>
            <w:r>
              <w:rPr>
                <w:rFonts w:ascii="宋体" w:hAnsi="宋体" w:cs="宋体" w:eastAsia="宋体" w:hint="default"/>
                <w:sz w:val="13"/>
                <w:szCs w:val="13"/>
              </w:rPr>
            </w:r>
          </w:p>
          <w:p>
            <w:pPr>
              <w:pStyle w:val="TableParagraph"/>
              <w:spacing w:line="169" w:lineRule="exact"/>
              <w:ind w:left="55" w:right="0"/>
              <w:jc w:val="left"/>
              <w:rPr>
                <w:rFonts w:ascii="宋体" w:hAnsi="宋体" w:cs="宋体" w:eastAsia="宋体" w:hint="default"/>
                <w:sz w:val="13"/>
                <w:szCs w:val="13"/>
              </w:rPr>
            </w:pPr>
            <w:r>
              <w:rPr>
                <w:rFonts w:ascii="宋体" w:hAnsi="宋体" w:cs="宋体" w:eastAsia="宋体" w:hint="default"/>
                <w:spacing w:val="-13"/>
                <w:sz w:val="13"/>
                <w:szCs w:val="13"/>
              </w:rPr>
              <w:t>贷款</w:t>
            </w:r>
            <w:r>
              <w:rPr>
                <w:rFonts w:ascii="宋体" w:hAnsi="宋体" w:cs="宋体" w:eastAsia="宋体" w:hint="default"/>
                <w:sz w:val="13"/>
                <w:szCs w:val="13"/>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51"/>
              <w:jc w:val="right"/>
              <w:rPr>
                <w:rFonts w:ascii="Times New Roman" w:hAnsi="Times New Roman" w:cs="Times New Roman" w:eastAsia="Times New Roman" w:hint="default"/>
                <w:sz w:val="13"/>
                <w:szCs w:val="13"/>
              </w:rPr>
            </w:pPr>
            <w:r>
              <w:rPr>
                <w:rFonts w:ascii="Times New Roman"/>
                <w:spacing w:val="-6"/>
                <w:sz w:val="13"/>
              </w:rPr>
              <w:t>23.19%</w:t>
            </w:r>
          </w:p>
        </w:tc>
      </w:tr>
      <w:tr>
        <w:trPr>
          <w:trHeight w:val="386" w:hRule="exact"/>
        </w:trPr>
        <w:tc>
          <w:tcPr>
            <w:tcW w:w="2205" w:type="dxa"/>
            <w:tcBorders>
              <w:top w:val="nil" w:sz="6" w:space="0" w:color="auto"/>
              <w:left w:val="nil" w:sz="6" w:space="0" w:color="auto"/>
              <w:bottom w:val="nil" w:sz="6" w:space="0" w:color="auto"/>
              <w:right w:val="nil" w:sz="6" w:space="0" w:color="auto"/>
            </w:tcBorders>
          </w:tcPr>
          <w:p>
            <w:pPr>
              <w:pStyle w:val="TableParagraph"/>
              <w:spacing w:line="172" w:lineRule="exact"/>
              <w:ind w:left="71" w:right="0"/>
              <w:jc w:val="left"/>
              <w:rPr>
                <w:rFonts w:ascii="宋体" w:hAnsi="宋体" w:cs="宋体" w:eastAsia="宋体" w:hint="default"/>
                <w:sz w:val="15"/>
                <w:szCs w:val="15"/>
              </w:rPr>
            </w:pPr>
            <w:r>
              <w:rPr>
                <w:rFonts w:ascii="宋体" w:hAnsi="宋体" w:cs="宋体" w:eastAsia="宋体" w:hint="default"/>
                <w:sz w:val="15"/>
                <w:szCs w:val="15"/>
              </w:rPr>
              <w:t>同方威视科技园区建设项目一</w:t>
            </w:r>
          </w:p>
          <w:p>
            <w:pPr>
              <w:pStyle w:val="TableParagraph"/>
              <w:spacing w:line="195" w:lineRule="exact"/>
              <w:ind w:left="71" w:right="0"/>
              <w:jc w:val="left"/>
              <w:rPr>
                <w:rFonts w:ascii="宋体" w:hAnsi="宋体" w:cs="宋体" w:eastAsia="宋体" w:hint="default"/>
                <w:sz w:val="15"/>
                <w:szCs w:val="15"/>
              </w:rPr>
            </w:pPr>
            <w:r>
              <w:rPr>
                <w:rFonts w:ascii="宋体" w:hAnsi="宋体" w:cs="宋体" w:eastAsia="宋体" w:hint="default"/>
                <w:w w:val="100"/>
                <w:sz w:val="15"/>
                <w:szCs w:val="15"/>
              </w:rPr>
              <w:t>期</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8"/>
                <w:szCs w:val="8"/>
              </w:rPr>
            </w:pPr>
          </w:p>
          <w:p>
            <w:pPr>
              <w:pStyle w:val="TableParagraph"/>
              <w:spacing w:line="240" w:lineRule="auto"/>
              <w:ind w:right="88"/>
              <w:jc w:val="right"/>
              <w:rPr>
                <w:rFonts w:ascii="Times New Roman" w:hAnsi="Times New Roman" w:cs="Times New Roman" w:eastAsia="Times New Roman" w:hint="default"/>
                <w:sz w:val="13"/>
                <w:szCs w:val="13"/>
              </w:rPr>
            </w:pPr>
            <w:r>
              <w:rPr>
                <w:rFonts w:ascii="Times New Roman"/>
                <w:sz w:val="13"/>
              </w:rPr>
              <w:t>46,000.00</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8"/>
                <w:szCs w:val="8"/>
              </w:rPr>
            </w:pPr>
          </w:p>
          <w:p>
            <w:pPr>
              <w:pStyle w:val="TableParagraph"/>
              <w:spacing w:line="240" w:lineRule="auto"/>
              <w:ind w:right="87"/>
              <w:jc w:val="right"/>
              <w:rPr>
                <w:rFonts w:ascii="Times New Roman" w:hAnsi="Times New Roman" w:cs="Times New Roman" w:eastAsia="Times New Roman" w:hint="default"/>
                <w:sz w:val="13"/>
                <w:szCs w:val="13"/>
              </w:rPr>
            </w:pPr>
            <w:r>
              <w:rPr>
                <w:rFonts w:ascii="Times New Roman"/>
                <w:sz w:val="13"/>
              </w:rPr>
              <w:t>0.00</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8"/>
                <w:szCs w:val="8"/>
              </w:rPr>
            </w:pPr>
          </w:p>
          <w:p>
            <w:pPr>
              <w:pStyle w:val="TableParagraph"/>
              <w:spacing w:line="240" w:lineRule="auto"/>
              <w:ind w:left="155" w:right="0"/>
              <w:jc w:val="left"/>
              <w:rPr>
                <w:rFonts w:ascii="Times New Roman" w:hAnsi="Times New Roman" w:cs="Times New Roman" w:eastAsia="Times New Roman" w:hint="default"/>
                <w:sz w:val="13"/>
                <w:szCs w:val="13"/>
              </w:rPr>
            </w:pPr>
            <w:r>
              <w:rPr>
                <w:rFonts w:ascii="Times New Roman"/>
                <w:sz w:val="13"/>
              </w:rPr>
              <w:t>12,728,201.00</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8"/>
                <w:szCs w:val="8"/>
              </w:rPr>
            </w:pPr>
          </w:p>
          <w:p>
            <w:pPr>
              <w:pStyle w:val="TableParagraph"/>
              <w:spacing w:line="240" w:lineRule="auto"/>
              <w:ind w:right="83"/>
              <w:jc w:val="right"/>
              <w:rPr>
                <w:rFonts w:ascii="Times New Roman" w:hAnsi="Times New Roman" w:cs="Times New Roman" w:eastAsia="Times New Roman" w:hint="default"/>
                <w:sz w:val="13"/>
                <w:szCs w:val="13"/>
              </w:rPr>
            </w:pPr>
            <w:r>
              <w:rPr>
                <w:rFonts w:ascii="Times New Roman"/>
                <w:sz w:val="13"/>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8"/>
                <w:szCs w:val="8"/>
              </w:rPr>
            </w:pPr>
          </w:p>
          <w:p>
            <w:pPr>
              <w:pStyle w:val="TableParagraph"/>
              <w:spacing w:line="240" w:lineRule="auto"/>
              <w:ind w:right="76"/>
              <w:jc w:val="right"/>
              <w:rPr>
                <w:rFonts w:ascii="Times New Roman" w:hAnsi="Times New Roman" w:cs="Times New Roman" w:eastAsia="Times New Roman" w:hint="default"/>
                <w:sz w:val="13"/>
                <w:szCs w:val="13"/>
              </w:rPr>
            </w:pPr>
            <w:r>
              <w:rPr>
                <w:rFonts w:ascii="Times New Roman"/>
                <w:sz w:val="13"/>
              </w:rPr>
              <w:t>0.00</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8"/>
                <w:szCs w:val="8"/>
              </w:rPr>
            </w:pPr>
          </w:p>
          <w:p>
            <w:pPr>
              <w:pStyle w:val="TableParagraph"/>
              <w:spacing w:line="240" w:lineRule="auto"/>
              <w:ind w:right="53"/>
              <w:jc w:val="right"/>
              <w:rPr>
                <w:rFonts w:ascii="Times New Roman" w:hAnsi="Times New Roman" w:cs="Times New Roman" w:eastAsia="Times New Roman" w:hint="default"/>
                <w:sz w:val="13"/>
                <w:szCs w:val="13"/>
              </w:rPr>
            </w:pPr>
            <w:r>
              <w:rPr>
                <w:rFonts w:ascii="Times New Roman"/>
                <w:sz w:val="13"/>
              </w:rPr>
              <w:t>12,728,201.00</w:t>
            </w:r>
          </w:p>
        </w:tc>
        <w:tc>
          <w:tcPr>
            <w:tcW w:w="433" w:type="dxa"/>
            <w:tcBorders>
              <w:top w:val="nil" w:sz="6" w:space="0" w:color="auto"/>
              <w:left w:val="nil" w:sz="6" w:space="0" w:color="auto"/>
              <w:bottom w:val="nil" w:sz="6" w:space="0" w:color="auto"/>
              <w:right w:val="nil" w:sz="6" w:space="0" w:color="auto"/>
            </w:tcBorders>
          </w:tcPr>
          <w:p>
            <w:pPr>
              <w:pStyle w:val="TableParagraph"/>
              <w:spacing w:line="240" w:lineRule="auto" w:before="86"/>
              <w:ind w:left="96" w:right="0"/>
              <w:jc w:val="left"/>
              <w:rPr>
                <w:rFonts w:ascii="宋体" w:hAnsi="宋体" w:cs="宋体" w:eastAsia="宋体" w:hint="default"/>
                <w:sz w:val="13"/>
                <w:szCs w:val="13"/>
              </w:rPr>
            </w:pPr>
            <w:r>
              <w:rPr>
                <w:rFonts w:ascii="宋体" w:hAnsi="宋体" w:cs="宋体" w:eastAsia="宋体" w:hint="default"/>
                <w:spacing w:val="-13"/>
                <w:sz w:val="13"/>
                <w:szCs w:val="13"/>
              </w:rPr>
              <w:t>自筹</w:t>
            </w:r>
            <w:r>
              <w:rPr>
                <w:rFonts w:ascii="宋体" w:hAnsi="宋体" w:cs="宋体" w:eastAsia="宋体" w:hint="default"/>
                <w:sz w:val="13"/>
                <w:szCs w:val="13"/>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8"/>
                <w:szCs w:val="8"/>
              </w:rPr>
            </w:pPr>
          </w:p>
          <w:p>
            <w:pPr>
              <w:pStyle w:val="TableParagraph"/>
              <w:spacing w:line="240" w:lineRule="auto"/>
              <w:ind w:left="149" w:right="0"/>
              <w:jc w:val="left"/>
              <w:rPr>
                <w:rFonts w:ascii="Times New Roman" w:hAnsi="Times New Roman" w:cs="Times New Roman" w:eastAsia="Times New Roman" w:hint="default"/>
                <w:sz w:val="13"/>
                <w:szCs w:val="13"/>
              </w:rPr>
            </w:pPr>
            <w:r>
              <w:rPr>
                <w:rFonts w:ascii="Times New Roman"/>
                <w:spacing w:val="-6"/>
                <w:sz w:val="13"/>
              </w:rPr>
              <w:t>2.77%</w:t>
            </w:r>
          </w:p>
        </w:tc>
      </w:tr>
      <w:tr>
        <w:trPr>
          <w:trHeight w:val="384" w:hRule="exact"/>
        </w:trPr>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51"/>
              <w:ind w:left="71" w:right="0"/>
              <w:jc w:val="left"/>
              <w:rPr>
                <w:rFonts w:ascii="宋体" w:hAnsi="宋体" w:cs="宋体" w:eastAsia="宋体" w:hint="default"/>
                <w:sz w:val="15"/>
                <w:szCs w:val="15"/>
              </w:rPr>
            </w:pPr>
            <w:r>
              <w:rPr>
                <w:rFonts w:ascii="宋体" w:hAnsi="宋体" w:cs="宋体" w:eastAsia="宋体" w:hint="default"/>
                <w:sz w:val="15"/>
                <w:szCs w:val="15"/>
              </w:rPr>
              <w:t>南通半导体设备</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88"/>
              <w:jc w:val="right"/>
              <w:rPr>
                <w:rFonts w:ascii="Times New Roman" w:hAnsi="Times New Roman" w:cs="Times New Roman" w:eastAsia="Times New Roman" w:hint="default"/>
                <w:sz w:val="13"/>
                <w:szCs w:val="13"/>
              </w:rPr>
            </w:pPr>
            <w:r>
              <w:rPr>
                <w:rFonts w:ascii="Times New Roman"/>
                <w:sz w:val="13"/>
              </w:rPr>
              <w:t>260,965.00</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88"/>
              <w:jc w:val="right"/>
              <w:rPr>
                <w:rFonts w:ascii="Times New Roman" w:hAnsi="Times New Roman" w:cs="Times New Roman" w:eastAsia="Times New Roman" w:hint="default"/>
                <w:sz w:val="13"/>
                <w:szCs w:val="13"/>
              </w:rPr>
            </w:pPr>
            <w:r>
              <w:rPr>
                <w:rFonts w:ascii="Times New Roman"/>
                <w:sz w:val="13"/>
              </w:rPr>
              <w:t>174,392.86</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93"/>
              <w:ind w:left="155" w:right="0"/>
              <w:jc w:val="left"/>
              <w:rPr>
                <w:rFonts w:ascii="Times New Roman" w:hAnsi="Times New Roman" w:cs="Times New Roman" w:eastAsia="Times New Roman" w:hint="default"/>
                <w:sz w:val="13"/>
                <w:szCs w:val="13"/>
              </w:rPr>
            </w:pPr>
            <w:r>
              <w:rPr>
                <w:rFonts w:ascii="Times New Roman"/>
                <w:sz w:val="13"/>
              </w:rPr>
              <w:t>10,603,594.83</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83"/>
              <w:jc w:val="right"/>
              <w:rPr>
                <w:rFonts w:ascii="Times New Roman" w:hAnsi="Times New Roman" w:cs="Times New Roman" w:eastAsia="Times New Roman" w:hint="default"/>
                <w:sz w:val="13"/>
                <w:szCs w:val="13"/>
              </w:rPr>
            </w:pPr>
            <w:r>
              <w:rPr>
                <w:rFonts w:ascii="Times New Roman"/>
                <w:sz w:val="13"/>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76"/>
              <w:jc w:val="right"/>
              <w:rPr>
                <w:rFonts w:ascii="Times New Roman" w:hAnsi="Times New Roman" w:cs="Times New Roman" w:eastAsia="Times New Roman" w:hint="default"/>
                <w:sz w:val="13"/>
                <w:szCs w:val="13"/>
              </w:rPr>
            </w:pPr>
            <w:r>
              <w:rPr>
                <w:rFonts w:ascii="Times New Roman"/>
                <w:sz w:val="13"/>
              </w:rPr>
              <w:t>0.00</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53"/>
              <w:jc w:val="right"/>
              <w:rPr>
                <w:rFonts w:ascii="Times New Roman" w:hAnsi="Times New Roman" w:cs="Times New Roman" w:eastAsia="Times New Roman" w:hint="default"/>
                <w:sz w:val="13"/>
                <w:szCs w:val="13"/>
              </w:rPr>
            </w:pPr>
            <w:r>
              <w:rPr>
                <w:rFonts w:ascii="Times New Roman"/>
                <w:sz w:val="13"/>
              </w:rPr>
              <w:t>10,777,987.69</w:t>
            </w:r>
          </w:p>
        </w:tc>
        <w:tc>
          <w:tcPr>
            <w:tcW w:w="433" w:type="dxa"/>
            <w:tcBorders>
              <w:top w:val="nil" w:sz="6" w:space="0" w:color="auto"/>
              <w:left w:val="nil" w:sz="6" w:space="0" w:color="auto"/>
              <w:bottom w:val="nil" w:sz="6" w:space="0" w:color="auto"/>
              <w:right w:val="nil" w:sz="6" w:space="0" w:color="auto"/>
            </w:tcBorders>
          </w:tcPr>
          <w:p>
            <w:pPr>
              <w:pStyle w:val="TableParagraph"/>
              <w:spacing w:line="147" w:lineRule="exact"/>
              <w:ind w:left="55" w:right="0"/>
              <w:jc w:val="left"/>
              <w:rPr>
                <w:rFonts w:ascii="宋体" w:hAnsi="宋体" w:cs="宋体" w:eastAsia="宋体" w:hint="default"/>
                <w:sz w:val="13"/>
                <w:szCs w:val="13"/>
              </w:rPr>
            </w:pPr>
            <w:r>
              <w:rPr>
                <w:rFonts w:ascii="宋体" w:hAnsi="宋体" w:cs="宋体" w:eastAsia="宋体" w:hint="default"/>
                <w:spacing w:val="-13"/>
                <w:sz w:val="13"/>
                <w:szCs w:val="13"/>
              </w:rPr>
              <w:t>贷款</w:t>
            </w:r>
            <w:r>
              <w:rPr>
                <w:rFonts w:ascii="宋体" w:hAnsi="宋体" w:cs="宋体" w:eastAsia="宋体" w:hint="default"/>
                <w:sz w:val="13"/>
                <w:szCs w:val="13"/>
              </w:rPr>
            </w:r>
          </w:p>
          <w:p>
            <w:pPr>
              <w:pStyle w:val="TableParagraph"/>
              <w:spacing w:line="169" w:lineRule="exact"/>
              <w:ind w:left="55" w:right="0"/>
              <w:jc w:val="left"/>
              <w:rPr>
                <w:rFonts w:ascii="宋体" w:hAnsi="宋体" w:cs="宋体" w:eastAsia="宋体" w:hint="default"/>
                <w:sz w:val="13"/>
                <w:szCs w:val="13"/>
              </w:rPr>
            </w:pPr>
            <w:r>
              <w:rPr>
                <w:rFonts w:ascii="宋体" w:hAnsi="宋体" w:cs="宋体" w:eastAsia="宋体" w:hint="default"/>
                <w:spacing w:val="-13"/>
                <w:sz w:val="13"/>
                <w:szCs w:val="13"/>
              </w:rPr>
              <w:t>募股</w:t>
            </w:r>
            <w:r>
              <w:rPr>
                <w:rFonts w:ascii="宋体" w:hAnsi="宋体" w:cs="宋体" w:eastAsia="宋体" w:hint="default"/>
                <w:sz w:val="13"/>
                <w:szCs w:val="13"/>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51"/>
              <w:jc w:val="right"/>
              <w:rPr>
                <w:rFonts w:ascii="Times New Roman" w:hAnsi="Times New Roman" w:cs="Times New Roman" w:eastAsia="Times New Roman" w:hint="default"/>
                <w:sz w:val="13"/>
                <w:szCs w:val="13"/>
              </w:rPr>
            </w:pPr>
            <w:r>
              <w:rPr>
                <w:rFonts w:ascii="Times New Roman"/>
                <w:spacing w:val="-6"/>
                <w:sz w:val="13"/>
              </w:rPr>
              <w:t>81.63%</w:t>
            </w:r>
          </w:p>
        </w:tc>
      </w:tr>
      <w:tr>
        <w:trPr>
          <w:trHeight w:val="294" w:hRule="exact"/>
        </w:trPr>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71" w:right="0"/>
              <w:jc w:val="left"/>
              <w:rPr>
                <w:rFonts w:ascii="宋体" w:hAnsi="宋体" w:cs="宋体" w:eastAsia="宋体" w:hint="default"/>
                <w:sz w:val="15"/>
                <w:szCs w:val="15"/>
              </w:rPr>
            </w:pPr>
            <w:r>
              <w:rPr>
                <w:rFonts w:ascii="宋体" w:hAnsi="宋体" w:cs="宋体" w:eastAsia="宋体" w:hint="default"/>
                <w:sz w:val="15"/>
                <w:szCs w:val="15"/>
              </w:rPr>
              <w:t>同方威视华沙在建新厂房项目</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88"/>
              <w:jc w:val="right"/>
              <w:rPr>
                <w:rFonts w:ascii="Times New Roman" w:hAnsi="Times New Roman" w:cs="Times New Roman" w:eastAsia="Times New Roman" w:hint="default"/>
                <w:sz w:val="13"/>
                <w:szCs w:val="13"/>
              </w:rPr>
            </w:pPr>
            <w:r>
              <w:rPr>
                <w:rFonts w:ascii="Times New Roman"/>
                <w:sz w:val="13"/>
              </w:rPr>
              <w:t>3,547.60</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87"/>
              <w:jc w:val="right"/>
              <w:rPr>
                <w:rFonts w:ascii="Times New Roman" w:hAnsi="Times New Roman" w:cs="Times New Roman" w:eastAsia="Times New Roman" w:hint="default"/>
                <w:sz w:val="13"/>
                <w:szCs w:val="13"/>
              </w:rPr>
            </w:pPr>
            <w:r>
              <w:rPr>
                <w:rFonts w:ascii="Times New Roman"/>
                <w:sz w:val="13"/>
              </w:rPr>
              <w:t>0.00</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57"/>
              <w:jc w:val="right"/>
              <w:rPr>
                <w:rFonts w:ascii="Times New Roman" w:hAnsi="Times New Roman" w:cs="Times New Roman" w:eastAsia="Times New Roman" w:hint="default"/>
                <w:sz w:val="13"/>
                <w:szCs w:val="13"/>
              </w:rPr>
            </w:pPr>
            <w:r>
              <w:rPr>
                <w:rFonts w:ascii="Times New Roman"/>
                <w:sz w:val="13"/>
              </w:rPr>
              <w:t>2,917,998.29</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83"/>
              <w:jc w:val="right"/>
              <w:rPr>
                <w:rFonts w:ascii="Times New Roman" w:hAnsi="Times New Roman" w:cs="Times New Roman" w:eastAsia="Times New Roman" w:hint="default"/>
                <w:sz w:val="13"/>
                <w:szCs w:val="13"/>
              </w:rPr>
            </w:pPr>
            <w:r>
              <w:rPr>
                <w:rFonts w:ascii="Times New Roman"/>
                <w:sz w:val="13"/>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76"/>
              <w:jc w:val="right"/>
              <w:rPr>
                <w:rFonts w:ascii="Times New Roman" w:hAnsi="Times New Roman" w:cs="Times New Roman" w:eastAsia="Times New Roman" w:hint="default"/>
                <w:sz w:val="13"/>
                <w:szCs w:val="13"/>
              </w:rPr>
            </w:pPr>
            <w:r>
              <w:rPr>
                <w:rFonts w:ascii="Times New Roman"/>
                <w:sz w:val="13"/>
              </w:rPr>
              <w:t>0.00</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53"/>
              <w:jc w:val="right"/>
              <w:rPr>
                <w:rFonts w:ascii="Times New Roman" w:hAnsi="Times New Roman" w:cs="Times New Roman" w:eastAsia="Times New Roman" w:hint="default"/>
                <w:sz w:val="13"/>
                <w:szCs w:val="13"/>
              </w:rPr>
            </w:pPr>
            <w:r>
              <w:rPr>
                <w:rFonts w:ascii="Times New Roman"/>
                <w:sz w:val="13"/>
              </w:rPr>
              <w:t>2,917,998.29</w:t>
            </w:r>
          </w:p>
        </w:tc>
        <w:tc>
          <w:tcPr>
            <w:tcW w:w="433" w:type="dxa"/>
            <w:tcBorders>
              <w:top w:val="nil" w:sz="6" w:space="0" w:color="auto"/>
              <w:left w:val="nil" w:sz="6" w:space="0" w:color="auto"/>
              <w:bottom w:val="nil" w:sz="6" w:space="0" w:color="auto"/>
              <w:right w:val="nil" w:sz="6" w:space="0" w:color="auto"/>
            </w:tcBorders>
          </w:tcPr>
          <w:p>
            <w:pPr>
              <w:pStyle w:val="TableParagraph"/>
              <w:spacing w:line="240" w:lineRule="auto" w:before="48"/>
              <w:ind w:left="55" w:right="0"/>
              <w:jc w:val="left"/>
              <w:rPr>
                <w:rFonts w:ascii="宋体" w:hAnsi="宋体" w:cs="宋体" w:eastAsia="宋体" w:hint="default"/>
                <w:sz w:val="13"/>
                <w:szCs w:val="13"/>
              </w:rPr>
            </w:pPr>
            <w:r>
              <w:rPr>
                <w:rFonts w:ascii="宋体" w:hAnsi="宋体" w:cs="宋体" w:eastAsia="宋体" w:hint="default"/>
                <w:spacing w:val="-13"/>
                <w:sz w:val="13"/>
                <w:szCs w:val="13"/>
              </w:rPr>
              <w:t>贷款</w:t>
            </w:r>
            <w:r>
              <w:rPr>
                <w:rFonts w:ascii="宋体" w:hAnsi="宋体" w:cs="宋体" w:eastAsia="宋体" w:hint="default"/>
                <w:sz w:val="13"/>
                <w:szCs w:val="13"/>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50"/>
              <w:jc w:val="right"/>
              <w:rPr>
                <w:rFonts w:ascii="Times New Roman" w:hAnsi="Times New Roman" w:cs="Times New Roman" w:eastAsia="Times New Roman" w:hint="default"/>
                <w:sz w:val="13"/>
                <w:szCs w:val="13"/>
              </w:rPr>
            </w:pPr>
            <w:r>
              <w:rPr>
                <w:rFonts w:ascii="Times New Roman"/>
                <w:spacing w:val="-6"/>
                <w:sz w:val="13"/>
              </w:rPr>
              <w:t>8.23%</w:t>
            </w:r>
          </w:p>
        </w:tc>
      </w:tr>
      <w:tr>
        <w:trPr>
          <w:trHeight w:val="286" w:hRule="exact"/>
        </w:trPr>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71" w:right="0"/>
              <w:jc w:val="left"/>
              <w:rPr>
                <w:rFonts w:ascii="宋体" w:hAnsi="宋体" w:cs="宋体" w:eastAsia="宋体" w:hint="default"/>
                <w:sz w:val="15"/>
                <w:szCs w:val="15"/>
              </w:rPr>
            </w:pPr>
            <w:r>
              <w:rPr>
                <w:rFonts w:ascii="宋体" w:hAnsi="宋体" w:cs="宋体" w:eastAsia="宋体" w:hint="default"/>
                <w:sz w:val="15"/>
                <w:szCs w:val="15"/>
              </w:rPr>
              <w:t>龙江环保综合楼改造项目</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88"/>
              <w:jc w:val="right"/>
              <w:rPr>
                <w:rFonts w:ascii="Times New Roman" w:hAnsi="Times New Roman" w:cs="Times New Roman" w:eastAsia="Times New Roman" w:hint="default"/>
                <w:sz w:val="13"/>
                <w:szCs w:val="13"/>
              </w:rPr>
            </w:pPr>
            <w:r>
              <w:rPr>
                <w:rFonts w:ascii="Times New Roman"/>
                <w:w w:val="95"/>
                <w:sz w:val="13"/>
              </w:rPr>
              <w:t>982.35</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85"/>
              <w:jc w:val="right"/>
              <w:rPr>
                <w:rFonts w:ascii="Times New Roman" w:hAnsi="Times New Roman" w:cs="Times New Roman" w:eastAsia="Times New Roman" w:hint="default"/>
                <w:sz w:val="13"/>
                <w:szCs w:val="13"/>
              </w:rPr>
            </w:pPr>
            <w:r>
              <w:rPr>
                <w:rFonts w:ascii="Times New Roman"/>
                <w:sz w:val="13"/>
              </w:rPr>
              <w:t>7,550,711.42</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7"/>
              <w:jc w:val="right"/>
              <w:rPr>
                <w:rFonts w:ascii="Times New Roman" w:hAnsi="Times New Roman" w:cs="Times New Roman" w:eastAsia="Times New Roman" w:hint="default"/>
                <w:sz w:val="13"/>
                <w:szCs w:val="13"/>
              </w:rPr>
            </w:pPr>
            <w:r>
              <w:rPr>
                <w:rFonts w:ascii="Times New Roman"/>
                <w:sz w:val="13"/>
              </w:rPr>
              <w:t>3,942,574.97</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81"/>
              <w:jc w:val="right"/>
              <w:rPr>
                <w:rFonts w:ascii="Times New Roman" w:hAnsi="Times New Roman" w:cs="Times New Roman" w:eastAsia="Times New Roman" w:hint="default"/>
                <w:sz w:val="13"/>
                <w:szCs w:val="13"/>
              </w:rPr>
            </w:pPr>
            <w:r>
              <w:rPr>
                <w:rFonts w:ascii="Times New Roman"/>
                <w:sz w:val="13"/>
              </w:rPr>
              <w:t>9,825,726.91</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76"/>
              <w:jc w:val="right"/>
              <w:rPr>
                <w:rFonts w:ascii="Times New Roman" w:hAnsi="Times New Roman" w:cs="Times New Roman" w:eastAsia="Times New Roman" w:hint="default"/>
                <w:sz w:val="13"/>
                <w:szCs w:val="13"/>
              </w:rPr>
            </w:pPr>
            <w:r>
              <w:rPr>
                <w:rFonts w:ascii="Times New Roman"/>
                <w:sz w:val="13"/>
              </w:rPr>
              <w:t>0.00</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3"/>
              <w:jc w:val="right"/>
              <w:rPr>
                <w:rFonts w:ascii="Times New Roman" w:hAnsi="Times New Roman" w:cs="Times New Roman" w:eastAsia="Times New Roman" w:hint="default"/>
                <w:sz w:val="13"/>
                <w:szCs w:val="13"/>
              </w:rPr>
            </w:pPr>
            <w:r>
              <w:rPr>
                <w:rFonts w:ascii="Times New Roman"/>
                <w:sz w:val="13"/>
              </w:rPr>
              <w:t>1,667,559.48</w:t>
            </w:r>
          </w:p>
        </w:tc>
        <w:tc>
          <w:tcPr>
            <w:tcW w:w="43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55" w:right="0"/>
              <w:jc w:val="left"/>
              <w:rPr>
                <w:rFonts w:ascii="宋体" w:hAnsi="宋体" w:cs="宋体" w:eastAsia="宋体" w:hint="default"/>
                <w:sz w:val="13"/>
                <w:szCs w:val="13"/>
              </w:rPr>
            </w:pPr>
            <w:r>
              <w:rPr>
                <w:rFonts w:ascii="宋体" w:hAnsi="宋体" w:cs="宋体" w:eastAsia="宋体" w:hint="default"/>
                <w:spacing w:val="-13"/>
                <w:sz w:val="13"/>
                <w:szCs w:val="13"/>
              </w:rPr>
              <w:t>自筹</w:t>
            </w:r>
            <w:r>
              <w:rPr>
                <w:rFonts w:ascii="宋体" w:hAnsi="宋体" w:cs="宋体" w:eastAsia="宋体" w:hint="default"/>
                <w:sz w:val="13"/>
                <w:szCs w:val="13"/>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0"/>
              <w:jc w:val="right"/>
              <w:rPr>
                <w:rFonts w:ascii="Times New Roman" w:hAnsi="Times New Roman" w:cs="Times New Roman" w:eastAsia="Times New Roman" w:hint="default"/>
                <w:sz w:val="13"/>
                <w:szCs w:val="13"/>
              </w:rPr>
            </w:pPr>
            <w:r>
              <w:rPr>
                <w:rFonts w:ascii="Times New Roman"/>
                <w:spacing w:val="-6"/>
                <w:sz w:val="13"/>
              </w:rPr>
              <w:t>117.00%</w:t>
            </w:r>
          </w:p>
        </w:tc>
      </w:tr>
      <w:tr>
        <w:trPr>
          <w:trHeight w:val="286" w:hRule="exact"/>
        </w:trPr>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71" w:right="0"/>
              <w:jc w:val="left"/>
              <w:rPr>
                <w:rFonts w:ascii="宋体" w:hAnsi="宋体" w:cs="宋体" w:eastAsia="宋体" w:hint="default"/>
                <w:sz w:val="15"/>
                <w:szCs w:val="15"/>
              </w:rPr>
            </w:pPr>
            <w:r>
              <w:rPr>
                <w:rFonts w:ascii="宋体" w:hAnsi="宋体" w:cs="宋体" w:eastAsia="宋体" w:hint="default"/>
                <w:sz w:val="15"/>
                <w:szCs w:val="15"/>
              </w:rPr>
              <w:t>惠州污水处理提高指标工程</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88"/>
              <w:jc w:val="right"/>
              <w:rPr>
                <w:rFonts w:ascii="Times New Roman" w:hAnsi="Times New Roman" w:cs="Times New Roman" w:eastAsia="Times New Roman" w:hint="default"/>
                <w:sz w:val="13"/>
                <w:szCs w:val="13"/>
              </w:rPr>
            </w:pPr>
            <w:r>
              <w:rPr>
                <w:rFonts w:ascii="Times New Roman"/>
                <w:sz w:val="13"/>
              </w:rPr>
              <w:t>4,000.00</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87"/>
              <w:jc w:val="right"/>
              <w:rPr>
                <w:rFonts w:ascii="Times New Roman" w:hAnsi="Times New Roman" w:cs="Times New Roman" w:eastAsia="Times New Roman" w:hint="default"/>
                <w:sz w:val="13"/>
                <w:szCs w:val="13"/>
              </w:rPr>
            </w:pPr>
            <w:r>
              <w:rPr>
                <w:rFonts w:ascii="Times New Roman"/>
                <w:sz w:val="13"/>
              </w:rPr>
              <w:t>0.00</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59"/>
              <w:jc w:val="right"/>
              <w:rPr>
                <w:rFonts w:ascii="Times New Roman" w:hAnsi="Times New Roman" w:cs="Times New Roman" w:eastAsia="Times New Roman" w:hint="default"/>
                <w:sz w:val="13"/>
                <w:szCs w:val="13"/>
              </w:rPr>
            </w:pPr>
            <w:r>
              <w:rPr>
                <w:rFonts w:ascii="Times New Roman"/>
                <w:sz w:val="13"/>
              </w:rPr>
              <w:t>33,021.00</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83"/>
              <w:jc w:val="right"/>
              <w:rPr>
                <w:rFonts w:ascii="Times New Roman" w:hAnsi="Times New Roman" w:cs="Times New Roman" w:eastAsia="Times New Roman" w:hint="default"/>
                <w:sz w:val="13"/>
                <w:szCs w:val="13"/>
              </w:rPr>
            </w:pPr>
            <w:r>
              <w:rPr>
                <w:rFonts w:ascii="Times New Roman"/>
                <w:sz w:val="13"/>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76"/>
              <w:jc w:val="right"/>
              <w:rPr>
                <w:rFonts w:ascii="Times New Roman" w:hAnsi="Times New Roman" w:cs="Times New Roman" w:eastAsia="Times New Roman" w:hint="default"/>
                <w:sz w:val="13"/>
                <w:szCs w:val="13"/>
              </w:rPr>
            </w:pPr>
            <w:r>
              <w:rPr>
                <w:rFonts w:ascii="Times New Roman"/>
                <w:sz w:val="13"/>
              </w:rPr>
              <w:t>0.00</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55"/>
              <w:jc w:val="right"/>
              <w:rPr>
                <w:rFonts w:ascii="Times New Roman" w:hAnsi="Times New Roman" w:cs="Times New Roman" w:eastAsia="Times New Roman" w:hint="default"/>
                <w:sz w:val="13"/>
                <w:szCs w:val="13"/>
              </w:rPr>
            </w:pPr>
            <w:r>
              <w:rPr>
                <w:rFonts w:ascii="Times New Roman"/>
                <w:sz w:val="13"/>
              </w:rPr>
              <w:t>33,021.00</w:t>
            </w:r>
          </w:p>
        </w:tc>
        <w:tc>
          <w:tcPr>
            <w:tcW w:w="43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55" w:right="0"/>
              <w:jc w:val="left"/>
              <w:rPr>
                <w:rFonts w:ascii="宋体" w:hAnsi="宋体" w:cs="宋体" w:eastAsia="宋体" w:hint="default"/>
                <w:sz w:val="13"/>
                <w:szCs w:val="13"/>
              </w:rPr>
            </w:pPr>
            <w:r>
              <w:rPr>
                <w:rFonts w:ascii="宋体" w:hAnsi="宋体" w:cs="宋体" w:eastAsia="宋体" w:hint="default"/>
                <w:spacing w:val="-13"/>
                <w:sz w:val="13"/>
                <w:szCs w:val="13"/>
              </w:rPr>
              <w:t>自筹</w:t>
            </w:r>
            <w:r>
              <w:rPr>
                <w:rFonts w:ascii="宋体" w:hAnsi="宋体" w:cs="宋体" w:eastAsia="宋体" w:hint="default"/>
                <w:sz w:val="13"/>
                <w:szCs w:val="13"/>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50"/>
              <w:jc w:val="right"/>
              <w:rPr>
                <w:rFonts w:ascii="Times New Roman" w:hAnsi="Times New Roman" w:cs="Times New Roman" w:eastAsia="Times New Roman" w:hint="default"/>
                <w:sz w:val="13"/>
                <w:szCs w:val="13"/>
              </w:rPr>
            </w:pPr>
            <w:r>
              <w:rPr>
                <w:rFonts w:ascii="Times New Roman"/>
                <w:spacing w:val="-6"/>
                <w:sz w:val="13"/>
              </w:rPr>
              <w:t>0.08%</w:t>
            </w:r>
          </w:p>
        </w:tc>
      </w:tr>
      <w:tr>
        <w:trPr>
          <w:trHeight w:val="283" w:hRule="exact"/>
        </w:trPr>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71" w:right="0"/>
              <w:jc w:val="left"/>
              <w:rPr>
                <w:rFonts w:ascii="宋体" w:hAnsi="宋体" w:cs="宋体" w:eastAsia="宋体" w:hint="default"/>
                <w:sz w:val="15"/>
                <w:szCs w:val="15"/>
              </w:rPr>
            </w:pPr>
            <w:r>
              <w:rPr>
                <w:rFonts w:ascii="宋体" w:hAnsi="宋体" w:cs="宋体" w:eastAsia="宋体" w:hint="default"/>
                <w:sz w:val="15"/>
                <w:szCs w:val="15"/>
              </w:rPr>
              <w:t>同方国芯电子元器件设备</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88"/>
              <w:jc w:val="right"/>
              <w:rPr>
                <w:rFonts w:ascii="Times New Roman" w:hAnsi="Times New Roman" w:cs="Times New Roman" w:eastAsia="Times New Roman" w:hint="default"/>
                <w:sz w:val="13"/>
                <w:szCs w:val="13"/>
              </w:rPr>
            </w:pPr>
            <w:r>
              <w:rPr>
                <w:rFonts w:ascii="Times New Roman"/>
                <w:w w:val="95"/>
                <w:sz w:val="13"/>
              </w:rPr>
              <w:t>4580.00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85"/>
              <w:jc w:val="right"/>
              <w:rPr>
                <w:rFonts w:ascii="Times New Roman" w:hAnsi="Times New Roman" w:cs="Times New Roman" w:eastAsia="Times New Roman" w:hint="default"/>
                <w:sz w:val="13"/>
                <w:szCs w:val="13"/>
              </w:rPr>
            </w:pPr>
            <w:r>
              <w:rPr>
                <w:rFonts w:ascii="Times New Roman"/>
                <w:sz w:val="13"/>
              </w:rPr>
              <w:t>40,910,313.45</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7"/>
              <w:jc w:val="right"/>
              <w:rPr>
                <w:rFonts w:ascii="Times New Roman" w:hAnsi="Times New Roman" w:cs="Times New Roman" w:eastAsia="Times New Roman" w:hint="default"/>
                <w:sz w:val="13"/>
                <w:szCs w:val="13"/>
              </w:rPr>
            </w:pPr>
            <w:r>
              <w:rPr>
                <w:rFonts w:ascii="Times New Roman"/>
                <w:sz w:val="13"/>
              </w:rPr>
              <w:t>4,079,822.95</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81"/>
              <w:jc w:val="right"/>
              <w:rPr>
                <w:rFonts w:ascii="Times New Roman" w:hAnsi="Times New Roman" w:cs="Times New Roman" w:eastAsia="Times New Roman" w:hint="default"/>
                <w:sz w:val="13"/>
                <w:szCs w:val="13"/>
              </w:rPr>
            </w:pPr>
            <w:r>
              <w:rPr>
                <w:rFonts w:ascii="Times New Roman"/>
                <w:sz w:val="13"/>
              </w:rPr>
              <w:t>44,990,136.40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6"/>
              <w:jc w:val="right"/>
              <w:rPr>
                <w:rFonts w:ascii="Times New Roman" w:hAnsi="Times New Roman" w:cs="Times New Roman" w:eastAsia="Times New Roman" w:hint="default"/>
                <w:sz w:val="13"/>
                <w:szCs w:val="13"/>
              </w:rPr>
            </w:pPr>
            <w:r>
              <w:rPr>
                <w:rFonts w:ascii="Times New Roman"/>
                <w:sz w:val="13"/>
              </w:rPr>
              <w:t>0.00</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5"/>
              <w:jc w:val="right"/>
              <w:rPr>
                <w:rFonts w:ascii="Times New Roman" w:hAnsi="Times New Roman" w:cs="Times New Roman" w:eastAsia="Times New Roman" w:hint="default"/>
                <w:sz w:val="13"/>
                <w:szCs w:val="13"/>
              </w:rPr>
            </w:pPr>
            <w:r>
              <w:rPr>
                <w:rFonts w:ascii="Times New Roman"/>
                <w:sz w:val="13"/>
              </w:rPr>
              <w:t>0.00</w:t>
            </w:r>
          </w:p>
        </w:tc>
        <w:tc>
          <w:tcPr>
            <w:tcW w:w="43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55" w:right="0"/>
              <w:jc w:val="left"/>
              <w:rPr>
                <w:rFonts w:ascii="宋体" w:hAnsi="宋体" w:cs="宋体" w:eastAsia="宋体" w:hint="default"/>
                <w:sz w:val="13"/>
                <w:szCs w:val="13"/>
              </w:rPr>
            </w:pPr>
            <w:r>
              <w:rPr>
                <w:rFonts w:ascii="宋体" w:hAnsi="宋体" w:cs="宋体" w:eastAsia="宋体" w:hint="default"/>
                <w:spacing w:val="-13"/>
                <w:sz w:val="13"/>
                <w:szCs w:val="13"/>
              </w:rPr>
              <w:t>自筹</w:t>
            </w:r>
            <w:r>
              <w:rPr>
                <w:rFonts w:ascii="宋体" w:hAnsi="宋体" w:cs="宋体" w:eastAsia="宋体" w:hint="default"/>
                <w:sz w:val="13"/>
                <w:szCs w:val="13"/>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1"/>
              <w:jc w:val="right"/>
              <w:rPr>
                <w:rFonts w:ascii="Times New Roman" w:hAnsi="Times New Roman" w:cs="Times New Roman" w:eastAsia="Times New Roman" w:hint="default"/>
                <w:sz w:val="13"/>
                <w:szCs w:val="13"/>
              </w:rPr>
            </w:pPr>
            <w:r>
              <w:rPr>
                <w:rFonts w:ascii="Times New Roman"/>
                <w:spacing w:val="-6"/>
                <w:sz w:val="13"/>
              </w:rPr>
              <w:t>98.23%</w:t>
            </w:r>
          </w:p>
        </w:tc>
      </w:tr>
      <w:tr>
        <w:trPr>
          <w:trHeight w:val="237" w:hRule="exact"/>
        </w:trPr>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71" w:right="0"/>
              <w:jc w:val="left"/>
              <w:rPr>
                <w:rFonts w:ascii="宋体" w:hAnsi="宋体" w:cs="宋体" w:eastAsia="宋体" w:hint="default"/>
                <w:sz w:val="15"/>
                <w:szCs w:val="15"/>
              </w:rPr>
            </w:pPr>
            <w:r>
              <w:rPr>
                <w:rFonts w:ascii="宋体" w:hAnsi="宋体" w:cs="宋体" w:eastAsia="宋体" w:hint="default"/>
                <w:sz w:val="15"/>
                <w:szCs w:val="15"/>
              </w:rPr>
              <w:t>同方炭素一期项目工程</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88"/>
              <w:jc w:val="right"/>
              <w:rPr>
                <w:rFonts w:ascii="Times New Roman" w:hAnsi="Times New Roman" w:cs="Times New Roman" w:eastAsia="Times New Roman" w:hint="default"/>
                <w:sz w:val="13"/>
                <w:szCs w:val="13"/>
              </w:rPr>
            </w:pPr>
            <w:r>
              <w:rPr>
                <w:rFonts w:ascii="Times New Roman"/>
                <w:sz w:val="13"/>
              </w:rPr>
              <w:t>1,978.00</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85"/>
              <w:jc w:val="right"/>
              <w:rPr>
                <w:rFonts w:ascii="Times New Roman" w:hAnsi="Times New Roman" w:cs="Times New Roman" w:eastAsia="Times New Roman" w:hint="default"/>
                <w:sz w:val="13"/>
                <w:szCs w:val="13"/>
              </w:rPr>
            </w:pPr>
            <w:r>
              <w:rPr>
                <w:rFonts w:ascii="Times New Roman"/>
                <w:sz w:val="13"/>
              </w:rPr>
              <w:t>19,561,832.71</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58"/>
              <w:jc w:val="right"/>
              <w:rPr>
                <w:rFonts w:ascii="Times New Roman" w:hAnsi="Times New Roman" w:cs="Times New Roman" w:eastAsia="Times New Roman" w:hint="default"/>
                <w:sz w:val="13"/>
                <w:szCs w:val="13"/>
              </w:rPr>
            </w:pPr>
            <w:r>
              <w:rPr>
                <w:rFonts w:ascii="Times New Roman"/>
                <w:sz w:val="13"/>
              </w:rPr>
              <w:t>0.00</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83"/>
              <w:jc w:val="right"/>
              <w:rPr>
                <w:rFonts w:ascii="Times New Roman" w:hAnsi="Times New Roman" w:cs="Times New Roman" w:eastAsia="Times New Roman" w:hint="default"/>
                <w:sz w:val="13"/>
                <w:szCs w:val="13"/>
              </w:rPr>
            </w:pPr>
            <w:r>
              <w:rPr>
                <w:rFonts w:ascii="Times New Roman"/>
                <w:sz w:val="13"/>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74"/>
              <w:jc w:val="right"/>
              <w:rPr>
                <w:rFonts w:ascii="Times New Roman" w:hAnsi="Times New Roman" w:cs="Times New Roman" w:eastAsia="Times New Roman" w:hint="default"/>
                <w:sz w:val="13"/>
                <w:szCs w:val="13"/>
              </w:rPr>
            </w:pPr>
            <w:r>
              <w:rPr>
                <w:rFonts w:ascii="Times New Roman"/>
                <w:sz w:val="13"/>
              </w:rPr>
              <w:t>19,561,832.71</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55"/>
              <w:jc w:val="right"/>
              <w:rPr>
                <w:rFonts w:ascii="Times New Roman" w:hAnsi="Times New Roman" w:cs="Times New Roman" w:eastAsia="Times New Roman" w:hint="default"/>
                <w:sz w:val="13"/>
                <w:szCs w:val="13"/>
              </w:rPr>
            </w:pPr>
            <w:r>
              <w:rPr>
                <w:rFonts w:ascii="Times New Roman"/>
                <w:sz w:val="13"/>
              </w:rPr>
              <w:t>0.00</w:t>
            </w:r>
          </w:p>
        </w:tc>
        <w:tc>
          <w:tcPr>
            <w:tcW w:w="43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55" w:right="0"/>
              <w:jc w:val="left"/>
              <w:rPr>
                <w:rFonts w:ascii="宋体" w:hAnsi="宋体" w:cs="宋体" w:eastAsia="宋体" w:hint="default"/>
                <w:sz w:val="13"/>
                <w:szCs w:val="13"/>
              </w:rPr>
            </w:pPr>
            <w:r>
              <w:rPr>
                <w:rFonts w:ascii="宋体" w:hAnsi="宋体" w:cs="宋体" w:eastAsia="宋体" w:hint="default"/>
                <w:spacing w:val="-13"/>
                <w:sz w:val="13"/>
                <w:szCs w:val="13"/>
              </w:rPr>
              <w:t>自筹</w:t>
            </w:r>
            <w:r>
              <w:rPr>
                <w:rFonts w:ascii="宋体" w:hAnsi="宋体" w:cs="宋体" w:eastAsia="宋体" w:hint="default"/>
                <w:sz w:val="13"/>
                <w:szCs w:val="13"/>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51"/>
              <w:jc w:val="right"/>
              <w:rPr>
                <w:rFonts w:ascii="Times New Roman" w:hAnsi="Times New Roman" w:cs="Times New Roman" w:eastAsia="Times New Roman" w:hint="default"/>
                <w:sz w:val="13"/>
                <w:szCs w:val="13"/>
              </w:rPr>
            </w:pPr>
            <w:r>
              <w:rPr>
                <w:rFonts w:ascii="Times New Roman"/>
                <w:spacing w:val="-6"/>
                <w:sz w:val="13"/>
              </w:rPr>
              <w:t>98.87%</w:t>
            </w:r>
          </w:p>
        </w:tc>
      </w:tr>
      <w:tr>
        <w:trPr>
          <w:trHeight w:val="378" w:hRule="exact"/>
        </w:trPr>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71" w:right="0"/>
              <w:jc w:val="left"/>
              <w:rPr>
                <w:rFonts w:ascii="宋体" w:hAnsi="宋体" w:cs="宋体" w:eastAsia="宋体" w:hint="default"/>
                <w:sz w:val="15"/>
                <w:szCs w:val="15"/>
              </w:rPr>
            </w:pPr>
            <w:r>
              <w:rPr>
                <w:rFonts w:ascii="宋体" w:hAnsi="宋体" w:cs="宋体" w:eastAsia="宋体" w:hint="default"/>
                <w:sz w:val="15"/>
                <w:szCs w:val="15"/>
              </w:rPr>
              <w:t>南通科技园研发孵化中心</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88"/>
              <w:jc w:val="right"/>
              <w:rPr>
                <w:rFonts w:ascii="Times New Roman" w:hAnsi="Times New Roman" w:cs="Times New Roman" w:eastAsia="Times New Roman" w:hint="default"/>
                <w:sz w:val="13"/>
                <w:szCs w:val="13"/>
              </w:rPr>
            </w:pPr>
            <w:r>
              <w:rPr>
                <w:rFonts w:ascii="Times New Roman"/>
                <w:sz w:val="13"/>
              </w:rPr>
              <w:t>44,160.19</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88"/>
              <w:jc w:val="right"/>
              <w:rPr>
                <w:rFonts w:ascii="Times New Roman" w:hAnsi="Times New Roman" w:cs="Times New Roman" w:eastAsia="Times New Roman" w:hint="default"/>
                <w:sz w:val="13"/>
                <w:szCs w:val="13"/>
              </w:rPr>
            </w:pPr>
            <w:r>
              <w:rPr>
                <w:rFonts w:ascii="Times New Roman"/>
                <w:sz w:val="13"/>
              </w:rPr>
              <w:t>321,695,390.70</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58"/>
              <w:jc w:val="right"/>
              <w:rPr>
                <w:rFonts w:ascii="Times New Roman" w:hAnsi="Times New Roman" w:cs="Times New Roman" w:eastAsia="Times New Roman" w:hint="default"/>
                <w:sz w:val="13"/>
                <w:szCs w:val="13"/>
              </w:rPr>
            </w:pPr>
            <w:r>
              <w:rPr>
                <w:rFonts w:ascii="Times New Roman"/>
                <w:sz w:val="13"/>
              </w:rPr>
              <w:t>0.00</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83"/>
              <w:jc w:val="right"/>
              <w:rPr>
                <w:rFonts w:ascii="Times New Roman" w:hAnsi="Times New Roman" w:cs="Times New Roman" w:eastAsia="Times New Roman" w:hint="default"/>
                <w:sz w:val="13"/>
                <w:szCs w:val="13"/>
              </w:rPr>
            </w:pPr>
            <w:r>
              <w:rPr>
                <w:rFonts w:ascii="Times New Roman"/>
                <w:sz w:val="13"/>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76"/>
              <w:jc w:val="right"/>
              <w:rPr>
                <w:rFonts w:ascii="Times New Roman" w:hAnsi="Times New Roman" w:cs="Times New Roman" w:eastAsia="Times New Roman" w:hint="default"/>
                <w:sz w:val="13"/>
                <w:szCs w:val="13"/>
              </w:rPr>
            </w:pPr>
            <w:r>
              <w:rPr>
                <w:rFonts w:ascii="Times New Roman"/>
                <w:sz w:val="13"/>
              </w:rPr>
              <w:t>321,695,390.70</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55"/>
              <w:jc w:val="right"/>
              <w:rPr>
                <w:rFonts w:ascii="Times New Roman" w:hAnsi="Times New Roman" w:cs="Times New Roman" w:eastAsia="Times New Roman" w:hint="default"/>
                <w:sz w:val="13"/>
                <w:szCs w:val="13"/>
              </w:rPr>
            </w:pPr>
            <w:r>
              <w:rPr>
                <w:rFonts w:ascii="Times New Roman"/>
                <w:sz w:val="13"/>
              </w:rPr>
              <w:t>0.00</w:t>
            </w:r>
          </w:p>
        </w:tc>
        <w:tc>
          <w:tcPr>
            <w:tcW w:w="433" w:type="dxa"/>
            <w:tcBorders>
              <w:top w:val="nil" w:sz="6" w:space="0" w:color="auto"/>
              <w:left w:val="nil" w:sz="6" w:space="0" w:color="auto"/>
              <w:bottom w:val="nil" w:sz="6" w:space="0" w:color="auto"/>
              <w:right w:val="nil" w:sz="6" w:space="0" w:color="auto"/>
            </w:tcBorders>
          </w:tcPr>
          <w:p>
            <w:pPr>
              <w:pStyle w:val="TableParagraph"/>
              <w:spacing w:line="141" w:lineRule="exact"/>
              <w:ind w:left="55" w:right="0"/>
              <w:jc w:val="left"/>
              <w:rPr>
                <w:rFonts w:ascii="宋体" w:hAnsi="宋体" w:cs="宋体" w:eastAsia="宋体" w:hint="default"/>
                <w:sz w:val="13"/>
                <w:szCs w:val="13"/>
              </w:rPr>
            </w:pPr>
            <w:r>
              <w:rPr>
                <w:rFonts w:ascii="宋体" w:hAnsi="宋体" w:cs="宋体" w:eastAsia="宋体" w:hint="default"/>
                <w:spacing w:val="-13"/>
                <w:sz w:val="13"/>
                <w:szCs w:val="13"/>
              </w:rPr>
              <w:t>自筹</w:t>
            </w:r>
            <w:r>
              <w:rPr>
                <w:rFonts w:ascii="宋体" w:hAnsi="宋体" w:cs="宋体" w:eastAsia="宋体" w:hint="default"/>
                <w:sz w:val="13"/>
                <w:szCs w:val="13"/>
              </w:rPr>
            </w:r>
          </w:p>
          <w:p>
            <w:pPr>
              <w:pStyle w:val="TableParagraph"/>
              <w:spacing w:line="240" w:lineRule="auto"/>
              <w:ind w:left="55" w:right="0"/>
              <w:jc w:val="left"/>
              <w:rPr>
                <w:rFonts w:ascii="宋体" w:hAnsi="宋体" w:cs="宋体" w:eastAsia="宋体" w:hint="default"/>
                <w:sz w:val="13"/>
                <w:szCs w:val="13"/>
              </w:rPr>
            </w:pPr>
            <w:r>
              <w:rPr>
                <w:rFonts w:ascii="宋体" w:hAnsi="宋体" w:cs="宋体" w:eastAsia="宋体" w:hint="default"/>
                <w:spacing w:val="-13"/>
                <w:sz w:val="13"/>
                <w:szCs w:val="13"/>
              </w:rPr>
              <w:t>贷款</w:t>
            </w:r>
            <w:r>
              <w:rPr>
                <w:rFonts w:ascii="宋体" w:hAnsi="宋体" w:cs="宋体" w:eastAsia="宋体" w:hint="default"/>
                <w:sz w:val="13"/>
                <w:szCs w:val="13"/>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51"/>
              <w:jc w:val="right"/>
              <w:rPr>
                <w:rFonts w:ascii="Times New Roman" w:hAnsi="Times New Roman" w:cs="Times New Roman" w:eastAsia="Times New Roman" w:hint="default"/>
                <w:sz w:val="13"/>
                <w:szCs w:val="13"/>
              </w:rPr>
            </w:pPr>
            <w:r>
              <w:rPr>
                <w:rFonts w:ascii="Times New Roman"/>
                <w:spacing w:val="-6"/>
                <w:sz w:val="13"/>
              </w:rPr>
              <w:t>72.85%</w:t>
            </w:r>
          </w:p>
        </w:tc>
      </w:tr>
      <w:tr>
        <w:trPr>
          <w:trHeight w:val="270" w:hRule="exact"/>
        </w:trPr>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71" w:right="0"/>
              <w:jc w:val="left"/>
              <w:rPr>
                <w:rFonts w:ascii="宋体" w:hAnsi="宋体" w:cs="宋体" w:eastAsia="宋体" w:hint="default"/>
                <w:sz w:val="15"/>
                <w:szCs w:val="15"/>
              </w:rPr>
            </w:pPr>
            <w:r>
              <w:rPr>
                <w:rFonts w:ascii="宋体" w:hAnsi="宋体" w:cs="宋体" w:eastAsia="宋体" w:hint="default"/>
                <w:sz w:val="15"/>
                <w:szCs w:val="15"/>
              </w:rPr>
              <w:t>高亮度发光二极管项目</w:t>
            </w:r>
          </w:p>
        </w:tc>
        <w:tc>
          <w:tcPr>
            <w:tcW w:w="735" w:type="dxa"/>
            <w:tcBorders>
              <w:top w:val="nil" w:sz="6" w:space="0" w:color="auto"/>
              <w:left w:val="nil" w:sz="6" w:space="0" w:color="auto"/>
              <w:bottom w:val="nil" w:sz="6" w:space="0" w:color="auto"/>
              <w:right w:val="nil" w:sz="6" w:space="0" w:color="auto"/>
            </w:tcBorders>
          </w:tcPr>
          <w:p>
            <w:pP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85"/>
              <w:jc w:val="right"/>
              <w:rPr>
                <w:rFonts w:ascii="Times New Roman" w:hAnsi="Times New Roman" w:cs="Times New Roman" w:eastAsia="Times New Roman" w:hint="default"/>
                <w:sz w:val="13"/>
                <w:szCs w:val="13"/>
              </w:rPr>
            </w:pPr>
            <w:r>
              <w:rPr>
                <w:rFonts w:ascii="Times New Roman"/>
                <w:sz w:val="13"/>
              </w:rPr>
              <w:t>1,155,247.46</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58"/>
              <w:jc w:val="right"/>
              <w:rPr>
                <w:rFonts w:ascii="Times New Roman" w:hAnsi="Times New Roman" w:cs="Times New Roman" w:eastAsia="Times New Roman" w:hint="default"/>
                <w:sz w:val="13"/>
                <w:szCs w:val="13"/>
              </w:rPr>
            </w:pPr>
            <w:r>
              <w:rPr>
                <w:rFonts w:ascii="Times New Roman"/>
                <w:sz w:val="13"/>
              </w:rPr>
              <w:t>0.00</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83"/>
              <w:jc w:val="right"/>
              <w:rPr>
                <w:rFonts w:ascii="Times New Roman" w:hAnsi="Times New Roman" w:cs="Times New Roman" w:eastAsia="Times New Roman" w:hint="default"/>
                <w:sz w:val="13"/>
                <w:szCs w:val="13"/>
              </w:rPr>
            </w:pPr>
            <w:r>
              <w:rPr>
                <w:rFonts w:ascii="Times New Roman"/>
                <w:sz w:val="13"/>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74"/>
              <w:jc w:val="right"/>
              <w:rPr>
                <w:rFonts w:ascii="Times New Roman" w:hAnsi="Times New Roman" w:cs="Times New Roman" w:eastAsia="Times New Roman" w:hint="default"/>
                <w:sz w:val="13"/>
                <w:szCs w:val="13"/>
              </w:rPr>
            </w:pPr>
            <w:r>
              <w:rPr>
                <w:rFonts w:ascii="Times New Roman"/>
                <w:sz w:val="13"/>
              </w:rPr>
              <w:t>1,155,247.46</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55"/>
              <w:jc w:val="right"/>
              <w:rPr>
                <w:rFonts w:ascii="Times New Roman" w:hAnsi="Times New Roman" w:cs="Times New Roman" w:eastAsia="Times New Roman" w:hint="default"/>
                <w:sz w:val="13"/>
                <w:szCs w:val="13"/>
              </w:rPr>
            </w:pPr>
            <w:r>
              <w:rPr>
                <w:rFonts w:ascii="Times New Roman"/>
                <w:sz w:val="13"/>
              </w:rPr>
              <w:t>0.00</w:t>
            </w:r>
          </w:p>
        </w:tc>
        <w:tc>
          <w:tcPr>
            <w:tcW w:w="43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55" w:right="0"/>
              <w:jc w:val="left"/>
              <w:rPr>
                <w:rFonts w:ascii="宋体" w:hAnsi="宋体" w:cs="宋体" w:eastAsia="宋体" w:hint="default"/>
                <w:sz w:val="13"/>
                <w:szCs w:val="13"/>
              </w:rPr>
            </w:pPr>
            <w:r>
              <w:rPr>
                <w:rFonts w:ascii="宋体" w:hAnsi="宋体" w:cs="宋体" w:eastAsia="宋体" w:hint="default"/>
                <w:spacing w:val="-13"/>
                <w:sz w:val="13"/>
                <w:szCs w:val="13"/>
              </w:rPr>
              <w:t>自筹</w:t>
            </w:r>
            <w:r>
              <w:rPr>
                <w:rFonts w:ascii="宋体" w:hAnsi="宋体" w:cs="宋体" w:eastAsia="宋体" w:hint="default"/>
                <w:sz w:val="13"/>
                <w:szCs w:val="13"/>
              </w:rPr>
            </w:r>
          </w:p>
        </w:tc>
        <w:tc>
          <w:tcPr>
            <w:tcW w:w="608" w:type="dxa"/>
            <w:tcBorders>
              <w:top w:val="nil" w:sz="6" w:space="0" w:color="auto"/>
              <w:left w:val="nil" w:sz="6" w:space="0" w:color="auto"/>
              <w:bottom w:val="nil" w:sz="6" w:space="0" w:color="auto"/>
              <w:right w:val="nil" w:sz="6" w:space="0" w:color="auto"/>
            </w:tcBorders>
          </w:tcPr>
          <w:p>
            <w:pPr/>
          </w:p>
        </w:tc>
      </w:tr>
      <w:tr>
        <w:trPr>
          <w:trHeight w:val="262" w:hRule="exact"/>
        </w:trPr>
        <w:tc>
          <w:tcPr>
            <w:tcW w:w="2205" w:type="dxa"/>
            <w:tcBorders>
              <w:top w:val="nil" w:sz="6" w:space="0" w:color="auto"/>
              <w:left w:val="nil" w:sz="6" w:space="0" w:color="auto"/>
              <w:bottom w:val="nil" w:sz="6" w:space="0" w:color="auto"/>
              <w:right w:val="nil" w:sz="6" w:space="0" w:color="auto"/>
            </w:tcBorders>
          </w:tcPr>
          <w:p>
            <w:pPr>
              <w:pStyle w:val="TableParagraph"/>
              <w:spacing w:line="189" w:lineRule="exact"/>
              <w:ind w:left="71" w:right="0"/>
              <w:jc w:val="left"/>
              <w:rPr>
                <w:rFonts w:ascii="宋体" w:hAnsi="宋体" w:cs="宋体" w:eastAsia="宋体" w:hint="default"/>
                <w:sz w:val="15"/>
                <w:szCs w:val="15"/>
              </w:rPr>
            </w:pPr>
            <w:r>
              <w:rPr>
                <w:rFonts w:ascii="宋体" w:hAnsi="宋体" w:cs="宋体" w:eastAsia="宋体" w:hint="default"/>
                <w:sz w:val="15"/>
                <w:szCs w:val="15"/>
              </w:rPr>
              <w:t>光电科技</w:t>
            </w:r>
            <w:r>
              <w:rPr>
                <w:rFonts w:ascii="宋体" w:hAnsi="宋体" w:cs="宋体" w:eastAsia="宋体" w:hint="default"/>
                <w:spacing w:val="-41"/>
                <w:sz w:val="15"/>
                <w:szCs w:val="15"/>
              </w:rPr>
              <w:t> </w:t>
            </w:r>
            <w:r>
              <w:rPr>
                <w:rFonts w:ascii="宋体" w:hAnsi="宋体" w:cs="宋体" w:eastAsia="宋体" w:hint="default"/>
                <w:sz w:val="15"/>
                <w:szCs w:val="15"/>
              </w:rPr>
              <w:t>LED</w:t>
            </w:r>
            <w:r>
              <w:rPr>
                <w:rFonts w:ascii="宋体" w:hAnsi="宋体" w:cs="宋体" w:eastAsia="宋体" w:hint="default"/>
                <w:spacing w:val="-37"/>
                <w:sz w:val="15"/>
                <w:szCs w:val="15"/>
              </w:rPr>
              <w:t> </w:t>
            </w:r>
            <w:r>
              <w:rPr>
                <w:rFonts w:ascii="宋体" w:hAnsi="宋体" w:cs="宋体" w:eastAsia="宋体" w:hint="default"/>
                <w:sz w:val="15"/>
                <w:szCs w:val="15"/>
              </w:rPr>
              <w:t>芯片产业化项目</w:t>
            </w:r>
          </w:p>
        </w:tc>
        <w:tc>
          <w:tcPr>
            <w:tcW w:w="735" w:type="dxa"/>
            <w:tcBorders>
              <w:top w:val="nil" w:sz="6" w:space="0" w:color="auto"/>
              <w:left w:val="nil" w:sz="6" w:space="0" w:color="auto"/>
              <w:bottom w:val="nil" w:sz="6" w:space="0" w:color="auto"/>
              <w:right w:val="nil" w:sz="6" w:space="0" w:color="auto"/>
            </w:tcBorders>
          </w:tcPr>
          <w:p>
            <w:pP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8"/>
              <w:jc w:val="right"/>
              <w:rPr>
                <w:rFonts w:ascii="Times New Roman" w:hAnsi="Times New Roman" w:cs="Times New Roman" w:eastAsia="Times New Roman" w:hint="default"/>
                <w:sz w:val="13"/>
                <w:szCs w:val="13"/>
              </w:rPr>
            </w:pPr>
            <w:r>
              <w:rPr>
                <w:rFonts w:ascii="Times New Roman"/>
                <w:sz w:val="13"/>
              </w:rPr>
              <w:t>307,856.29</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8"/>
              <w:jc w:val="right"/>
              <w:rPr>
                <w:rFonts w:ascii="Times New Roman" w:hAnsi="Times New Roman" w:cs="Times New Roman" w:eastAsia="Times New Roman" w:hint="default"/>
                <w:sz w:val="13"/>
                <w:szCs w:val="13"/>
              </w:rPr>
            </w:pPr>
            <w:r>
              <w:rPr>
                <w:rFonts w:ascii="Times New Roman"/>
                <w:sz w:val="13"/>
              </w:rPr>
              <w:t>0.00</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3"/>
              <w:jc w:val="right"/>
              <w:rPr>
                <w:rFonts w:ascii="Times New Roman" w:hAnsi="Times New Roman" w:cs="Times New Roman" w:eastAsia="Times New Roman" w:hint="default"/>
                <w:sz w:val="13"/>
                <w:szCs w:val="13"/>
              </w:rPr>
            </w:pPr>
            <w:r>
              <w:rPr>
                <w:rFonts w:ascii="Times New Roman"/>
                <w:sz w:val="13"/>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76"/>
              <w:jc w:val="right"/>
              <w:rPr>
                <w:rFonts w:ascii="Times New Roman" w:hAnsi="Times New Roman" w:cs="Times New Roman" w:eastAsia="Times New Roman" w:hint="default"/>
                <w:sz w:val="13"/>
                <w:szCs w:val="13"/>
              </w:rPr>
            </w:pPr>
            <w:r>
              <w:rPr>
                <w:rFonts w:ascii="Times New Roman"/>
                <w:sz w:val="13"/>
              </w:rPr>
              <w:t>307,856.29</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5"/>
              <w:jc w:val="right"/>
              <w:rPr>
                <w:rFonts w:ascii="Times New Roman" w:hAnsi="Times New Roman" w:cs="Times New Roman" w:eastAsia="Times New Roman" w:hint="default"/>
                <w:sz w:val="13"/>
                <w:szCs w:val="13"/>
              </w:rPr>
            </w:pPr>
            <w:r>
              <w:rPr>
                <w:rFonts w:ascii="Times New Roman"/>
                <w:sz w:val="13"/>
              </w:rPr>
              <w:t>0.00</w:t>
            </w:r>
          </w:p>
        </w:tc>
        <w:tc>
          <w:tcPr>
            <w:tcW w:w="433" w:type="dxa"/>
            <w:tcBorders>
              <w:top w:val="nil" w:sz="6" w:space="0" w:color="auto"/>
              <w:left w:val="nil" w:sz="6" w:space="0" w:color="auto"/>
              <w:bottom w:val="nil" w:sz="6" w:space="0" w:color="auto"/>
              <w:right w:val="nil" w:sz="6" w:space="0" w:color="auto"/>
            </w:tcBorders>
          </w:tcPr>
          <w:p>
            <w:pPr>
              <w:pStyle w:val="TableParagraph"/>
              <w:spacing w:line="240" w:lineRule="auto" w:before="61"/>
              <w:ind w:left="55" w:right="0"/>
              <w:jc w:val="left"/>
              <w:rPr>
                <w:rFonts w:ascii="宋体" w:hAnsi="宋体" w:cs="宋体" w:eastAsia="宋体" w:hint="default"/>
                <w:sz w:val="13"/>
                <w:szCs w:val="13"/>
              </w:rPr>
            </w:pPr>
            <w:r>
              <w:rPr>
                <w:rFonts w:ascii="宋体" w:hAnsi="宋体" w:cs="宋体" w:eastAsia="宋体" w:hint="default"/>
                <w:spacing w:val="-13"/>
                <w:sz w:val="13"/>
                <w:szCs w:val="13"/>
              </w:rPr>
              <w:t>自筹</w:t>
            </w:r>
            <w:r>
              <w:rPr>
                <w:rFonts w:ascii="宋体" w:hAnsi="宋体" w:cs="宋体" w:eastAsia="宋体" w:hint="default"/>
                <w:sz w:val="13"/>
                <w:szCs w:val="13"/>
              </w:rPr>
            </w:r>
          </w:p>
        </w:tc>
        <w:tc>
          <w:tcPr>
            <w:tcW w:w="608" w:type="dxa"/>
            <w:tcBorders>
              <w:top w:val="nil" w:sz="6" w:space="0" w:color="auto"/>
              <w:left w:val="nil" w:sz="6" w:space="0" w:color="auto"/>
              <w:bottom w:val="nil" w:sz="6" w:space="0" w:color="auto"/>
              <w:right w:val="nil" w:sz="6" w:space="0" w:color="auto"/>
            </w:tcBorders>
          </w:tcPr>
          <w:p>
            <w:pPr/>
          </w:p>
        </w:tc>
      </w:tr>
      <w:tr>
        <w:trPr>
          <w:trHeight w:val="404" w:hRule="exact"/>
        </w:trPr>
        <w:tc>
          <w:tcPr>
            <w:tcW w:w="2205" w:type="dxa"/>
            <w:tcBorders>
              <w:top w:val="nil" w:sz="6" w:space="0" w:color="auto"/>
              <w:left w:val="nil" w:sz="6" w:space="0" w:color="auto"/>
              <w:bottom w:val="nil" w:sz="6" w:space="0" w:color="auto"/>
              <w:right w:val="nil" w:sz="6" w:space="0" w:color="auto"/>
            </w:tcBorders>
          </w:tcPr>
          <w:p>
            <w:pPr>
              <w:pStyle w:val="TableParagraph"/>
              <w:spacing w:line="164" w:lineRule="exact"/>
              <w:ind w:left="71" w:right="0"/>
              <w:jc w:val="left"/>
              <w:rPr>
                <w:rFonts w:ascii="宋体" w:hAnsi="宋体" w:cs="宋体" w:eastAsia="宋体" w:hint="default"/>
                <w:sz w:val="15"/>
                <w:szCs w:val="15"/>
              </w:rPr>
            </w:pPr>
            <w:r>
              <w:rPr>
                <w:rFonts w:ascii="宋体" w:hAnsi="宋体" w:cs="宋体" w:eastAsia="宋体" w:hint="default"/>
                <w:sz w:val="15"/>
                <w:szCs w:val="15"/>
              </w:rPr>
              <w:t>同方友友下属广东银雨芯片厂</w:t>
            </w:r>
          </w:p>
          <w:p>
            <w:pPr>
              <w:pStyle w:val="TableParagraph"/>
              <w:spacing w:line="195" w:lineRule="exact"/>
              <w:ind w:left="71" w:right="0"/>
              <w:jc w:val="left"/>
              <w:rPr>
                <w:rFonts w:ascii="宋体" w:hAnsi="宋体" w:cs="宋体" w:eastAsia="宋体" w:hint="default"/>
                <w:sz w:val="15"/>
                <w:szCs w:val="15"/>
              </w:rPr>
            </w:pPr>
            <w:r>
              <w:rPr>
                <w:rFonts w:ascii="宋体" w:hAnsi="宋体" w:cs="宋体" w:eastAsia="宋体" w:hint="default"/>
                <w:sz w:val="15"/>
                <w:szCs w:val="15"/>
              </w:rPr>
              <w:t>房项目</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88"/>
              <w:jc w:val="right"/>
              <w:rPr>
                <w:rFonts w:ascii="Times New Roman" w:hAnsi="Times New Roman" w:cs="Times New Roman" w:eastAsia="Times New Roman" w:hint="default"/>
                <w:sz w:val="13"/>
                <w:szCs w:val="13"/>
              </w:rPr>
            </w:pPr>
            <w:r>
              <w:rPr>
                <w:rFonts w:ascii="Times New Roman"/>
                <w:sz w:val="13"/>
              </w:rPr>
              <w:t>2,990.00</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85"/>
              <w:jc w:val="right"/>
              <w:rPr>
                <w:rFonts w:ascii="Times New Roman" w:hAnsi="Times New Roman" w:cs="Times New Roman" w:eastAsia="Times New Roman" w:hint="default"/>
                <w:sz w:val="13"/>
                <w:szCs w:val="13"/>
              </w:rPr>
            </w:pPr>
            <w:r>
              <w:rPr>
                <w:rFonts w:ascii="Times New Roman"/>
                <w:sz w:val="13"/>
              </w:rPr>
              <w:t>26,172,590.07</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58"/>
              <w:jc w:val="right"/>
              <w:rPr>
                <w:rFonts w:ascii="Times New Roman" w:hAnsi="Times New Roman" w:cs="Times New Roman" w:eastAsia="Times New Roman" w:hint="default"/>
                <w:sz w:val="13"/>
                <w:szCs w:val="13"/>
              </w:rPr>
            </w:pPr>
            <w:r>
              <w:rPr>
                <w:rFonts w:ascii="Times New Roman"/>
                <w:sz w:val="13"/>
              </w:rPr>
              <w:t>0.00</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81"/>
              <w:jc w:val="right"/>
              <w:rPr>
                <w:rFonts w:ascii="Times New Roman" w:hAnsi="Times New Roman" w:cs="Times New Roman" w:eastAsia="Times New Roman" w:hint="default"/>
                <w:sz w:val="13"/>
                <w:szCs w:val="13"/>
              </w:rPr>
            </w:pPr>
            <w:r>
              <w:rPr>
                <w:rFonts w:ascii="Times New Roman"/>
                <w:sz w:val="13"/>
              </w:rPr>
              <w:t>25,955,639.00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76"/>
              <w:jc w:val="right"/>
              <w:rPr>
                <w:rFonts w:ascii="Times New Roman" w:hAnsi="Times New Roman" w:cs="Times New Roman" w:eastAsia="Times New Roman" w:hint="default"/>
                <w:sz w:val="13"/>
                <w:szCs w:val="13"/>
              </w:rPr>
            </w:pPr>
            <w:r>
              <w:rPr>
                <w:rFonts w:ascii="Times New Roman"/>
                <w:sz w:val="13"/>
              </w:rPr>
              <w:t>216,951.07</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55"/>
              <w:jc w:val="right"/>
              <w:rPr>
                <w:rFonts w:ascii="Times New Roman" w:hAnsi="Times New Roman" w:cs="Times New Roman" w:eastAsia="Times New Roman" w:hint="default"/>
                <w:sz w:val="13"/>
                <w:szCs w:val="13"/>
              </w:rPr>
            </w:pPr>
            <w:r>
              <w:rPr>
                <w:rFonts w:ascii="Times New Roman"/>
                <w:sz w:val="13"/>
              </w:rPr>
              <w:t>0.00</w:t>
            </w:r>
          </w:p>
        </w:tc>
        <w:tc>
          <w:tcPr>
            <w:tcW w:w="433" w:type="dxa"/>
            <w:tcBorders>
              <w:top w:val="nil" w:sz="6" w:space="0" w:color="auto"/>
              <w:left w:val="nil" w:sz="6" w:space="0" w:color="auto"/>
              <w:bottom w:val="nil" w:sz="6" w:space="0" w:color="auto"/>
              <w:right w:val="nil" w:sz="6" w:space="0" w:color="auto"/>
            </w:tcBorders>
          </w:tcPr>
          <w:p>
            <w:pPr>
              <w:pStyle w:val="TableParagraph"/>
              <w:spacing w:line="240" w:lineRule="auto" w:before="78"/>
              <w:ind w:left="55" w:right="0"/>
              <w:jc w:val="left"/>
              <w:rPr>
                <w:rFonts w:ascii="宋体" w:hAnsi="宋体" w:cs="宋体" w:eastAsia="宋体" w:hint="default"/>
                <w:sz w:val="13"/>
                <w:szCs w:val="13"/>
              </w:rPr>
            </w:pPr>
            <w:r>
              <w:rPr>
                <w:rFonts w:ascii="宋体" w:hAnsi="宋体" w:cs="宋体" w:eastAsia="宋体" w:hint="default"/>
                <w:spacing w:val="-13"/>
                <w:sz w:val="13"/>
                <w:szCs w:val="13"/>
              </w:rPr>
              <w:t>自筹</w:t>
            </w:r>
            <w:r>
              <w:rPr>
                <w:rFonts w:ascii="宋体" w:hAnsi="宋体" w:cs="宋体" w:eastAsia="宋体" w:hint="default"/>
                <w:sz w:val="13"/>
                <w:szCs w:val="13"/>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51"/>
              <w:jc w:val="right"/>
              <w:rPr>
                <w:rFonts w:ascii="Times New Roman" w:hAnsi="Times New Roman" w:cs="Times New Roman" w:eastAsia="Times New Roman" w:hint="default"/>
                <w:sz w:val="13"/>
                <w:szCs w:val="13"/>
              </w:rPr>
            </w:pPr>
            <w:r>
              <w:rPr>
                <w:rFonts w:ascii="Times New Roman"/>
                <w:spacing w:val="-6"/>
                <w:sz w:val="13"/>
              </w:rPr>
              <w:t>87.53%</w:t>
            </w:r>
          </w:p>
        </w:tc>
      </w:tr>
      <w:tr>
        <w:trPr>
          <w:trHeight w:val="294" w:hRule="exact"/>
        </w:trPr>
        <w:tc>
          <w:tcPr>
            <w:tcW w:w="2205" w:type="dxa"/>
            <w:tcBorders>
              <w:top w:val="nil" w:sz="6" w:space="0" w:color="auto"/>
              <w:left w:val="nil" w:sz="6" w:space="0" w:color="auto"/>
              <w:bottom w:val="nil" w:sz="6" w:space="0" w:color="auto"/>
              <w:right w:val="nil" w:sz="6" w:space="0" w:color="auto"/>
            </w:tcBorders>
          </w:tcPr>
          <w:p>
            <w:pPr>
              <w:pStyle w:val="TableParagraph"/>
              <w:spacing w:line="195" w:lineRule="exact"/>
              <w:ind w:left="71" w:right="0"/>
              <w:jc w:val="left"/>
              <w:rPr>
                <w:rFonts w:ascii="宋体" w:hAnsi="宋体" w:cs="宋体" w:eastAsia="宋体" w:hint="default"/>
                <w:sz w:val="15"/>
                <w:szCs w:val="15"/>
              </w:rPr>
            </w:pPr>
            <w:r>
              <w:rPr>
                <w:rFonts w:ascii="宋体" w:hAnsi="宋体" w:cs="宋体" w:eastAsia="宋体" w:hint="default"/>
                <w:sz w:val="15"/>
                <w:szCs w:val="15"/>
              </w:rPr>
              <w:t>同方友友下属天津光电展销厅</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8"/>
              <w:jc w:val="right"/>
              <w:rPr>
                <w:rFonts w:ascii="Times New Roman" w:hAnsi="Times New Roman" w:cs="Times New Roman" w:eastAsia="Times New Roman" w:hint="default"/>
                <w:sz w:val="13"/>
                <w:szCs w:val="13"/>
              </w:rPr>
            </w:pPr>
            <w:r>
              <w:rPr>
                <w:rFonts w:ascii="Times New Roman"/>
                <w:sz w:val="13"/>
              </w:rPr>
              <w:t>1,898.90</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5"/>
              <w:jc w:val="right"/>
              <w:rPr>
                <w:rFonts w:ascii="Times New Roman" w:hAnsi="Times New Roman" w:cs="Times New Roman" w:eastAsia="Times New Roman" w:hint="default"/>
                <w:sz w:val="13"/>
                <w:szCs w:val="13"/>
              </w:rPr>
            </w:pPr>
            <w:r>
              <w:rPr>
                <w:rFonts w:ascii="Times New Roman"/>
                <w:sz w:val="13"/>
              </w:rPr>
              <w:t>18,988,993.45</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8"/>
              <w:jc w:val="right"/>
              <w:rPr>
                <w:rFonts w:ascii="Times New Roman" w:hAnsi="Times New Roman" w:cs="Times New Roman" w:eastAsia="Times New Roman" w:hint="default"/>
                <w:sz w:val="13"/>
                <w:szCs w:val="13"/>
              </w:rPr>
            </w:pPr>
            <w:r>
              <w:rPr>
                <w:rFonts w:ascii="Times New Roman"/>
                <w:sz w:val="13"/>
              </w:rPr>
              <w:t>0.00</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1"/>
              <w:jc w:val="right"/>
              <w:rPr>
                <w:rFonts w:ascii="Times New Roman" w:hAnsi="Times New Roman" w:cs="Times New Roman" w:eastAsia="Times New Roman" w:hint="default"/>
                <w:sz w:val="13"/>
                <w:szCs w:val="13"/>
              </w:rPr>
            </w:pPr>
            <w:r>
              <w:rPr>
                <w:rFonts w:ascii="Times New Roman"/>
                <w:sz w:val="13"/>
              </w:rPr>
              <w:t>18,934,111.97</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6"/>
              <w:jc w:val="right"/>
              <w:rPr>
                <w:rFonts w:ascii="Times New Roman" w:hAnsi="Times New Roman" w:cs="Times New Roman" w:eastAsia="Times New Roman" w:hint="default"/>
                <w:sz w:val="13"/>
                <w:szCs w:val="13"/>
              </w:rPr>
            </w:pPr>
            <w:r>
              <w:rPr>
                <w:rFonts w:ascii="Times New Roman"/>
                <w:sz w:val="13"/>
              </w:rPr>
              <w:t>54,881.48</w:t>
            </w:r>
          </w:p>
        </w:tc>
        <w:tc>
          <w:tcPr>
            <w:tcW w:w="94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5"/>
              <w:jc w:val="right"/>
              <w:rPr>
                <w:rFonts w:ascii="Times New Roman" w:hAnsi="Times New Roman" w:cs="Times New Roman" w:eastAsia="Times New Roman" w:hint="default"/>
                <w:sz w:val="13"/>
                <w:szCs w:val="13"/>
              </w:rPr>
            </w:pPr>
            <w:r>
              <w:rPr>
                <w:rFonts w:ascii="Times New Roman"/>
                <w:sz w:val="13"/>
              </w:rPr>
              <w:t>0.00</w:t>
            </w:r>
          </w:p>
        </w:tc>
        <w:tc>
          <w:tcPr>
            <w:tcW w:w="433" w:type="dxa"/>
            <w:tcBorders>
              <w:top w:val="nil" w:sz="6" w:space="0" w:color="auto"/>
              <w:left w:val="nil" w:sz="6" w:space="0" w:color="auto"/>
              <w:bottom w:val="nil" w:sz="6" w:space="0" w:color="auto"/>
              <w:right w:val="nil" w:sz="6" w:space="0" w:color="auto"/>
            </w:tcBorders>
          </w:tcPr>
          <w:p>
            <w:pPr>
              <w:pStyle w:val="TableParagraph"/>
              <w:spacing w:line="240" w:lineRule="auto" w:before="70"/>
              <w:ind w:left="55" w:right="0"/>
              <w:jc w:val="left"/>
              <w:rPr>
                <w:rFonts w:ascii="宋体" w:hAnsi="宋体" w:cs="宋体" w:eastAsia="宋体" w:hint="default"/>
                <w:sz w:val="13"/>
                <w:szCs w:val="13"/>
              </w:rPr>
            </w:pPr>
            <w:r>
              <w:rPr>
                <w:rFonts w:ascii="宋体" w:hAnsi="宋体" w:cs="宋体" w:eastAsia="宋体" w:hint="default"/>
                <w:spacing w:val="-13"/>
                <w:sz w:val="13"/>
                <w:szCs w:val="13"/>
              </w:rPr>
              <w:t>自筹</w:t>
            </w:r>
            <w:r>
              <w:rPr>
                <w:rFonts w:ascii="宋体" w:hAnsi="宋体" w:cs="宋体" w:eastAsia="宋体" w:hint="default"/>
                <w:sz w:val="13"/>
                <w:szCs w:val="13"/>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spacing w:val="-6"/>
                <w:sz w:val="13"/>
              </w:rPr>
              <w:t>100.00%</w:t>
            </w:r>
          </w:p>
        </w:tc>
      </w:tr>
      <w:tr>
        <w:trPr>
          <w:trHeight w:val="260" w:hRule="exact"/>
        </w:trPr>
        <w:tc>
          <w:tcPr>
            <w:tcW w:w="2205" w:type="dxa"/>
            <w:tcBorders>
              <w:top w:val="nil" w:sz="6" w:space="0" w:color="auto"/>
              <w:left w:val="nil" w:sz="6" w:space="0" w:color="auto"/>
              <w:bottom w:val="single" w:sz="4" w:space="0" w:color="000000"/>
              <w:right w:val="nil" w:sz="6" w:space="0" w:color="auto"/>
            </w:tcBorders>
          </w:tcPr>
          <w:p>
            <w:pPr>
              <w:pStyle w:val="TableParagraph"/>
              <w:spacing w:line="187" w:lineRule="exact"/>
              <w:ind w:left="71" w:right="0"/>
              <w:jc w:val="left"/>
              <w:rPr>
                <w:rFonts w:ascii="宋体" w:hAnsi="宋体" w:cs="宋体" w:eastAsia="宋体" w:hint="default"/>
                <w:sz w:val="15"/>
                <w:szCs w:val="15"/>
              </w:rPr>
            </w:pPr>
            <w:r>
              <w:rPr>
                <w:rFonts w:ascii="宋体" w:hAnsi="宋体" w:cs="宋体" w:eastAsia="宋体" w:hint="default"/>
                <w:sz w:val="15"/>
                <w:szCs w:val="15"/>
              </w:rPr>
              <w:t>零星工程</w:t>
            </w:r>
          </w:p>
        </w:tc>
        <w:tc>
          <w:tcPr>
            <w:tcW w:w="735" w:type="dxa"/>
            <w:tcBorders>
              <w:top w:val="nil" w:sz="6" w:space="0" w:color="auto"/>
              <w:left w:val="nil" w:sz="6" w:space="0" w:color="auto"/>
              <w:bottom w:val="single" w:sz="4" w:space="0" w:color="000000"/>
              <w:right w:val="nil" w:sz="6" w:space="0" w:color="auto"/>
            </w:tcBorders>
          </w:tcPr>
          <w:p>
            <w:pPr/>
          </w:p>
        </w:tc>
        <w:tc>
          <w:tcPr>
            <w:tcW w:w="993" w:type="dxa"/>
            <w:tcBorders>
              <w:top w:val="nil" w:sz="6" w:space="0" w:color="auto"/>
              <w:left w:val="nil" w:sz="6" w:space="0" w:color="auto"/>
              <w:bottom w:val="single" w:sz="4" w:space="0" w:color="000000"/>
              <w:right w:val="nil" w:sz="6" w:space="0" w:color="auto"/>
            </w:tcBorders>
          </w:tcPr>
          <w:p>
            <w:pPr>
              <w:pStyle w:val="TableParagraph"/>
              <w:spacing w:line="240" w:lineRule="auto" w:before="102"/>
              <w:ind w:right="85"/>
              <w:jc w:val="right"/>
              <w:rPr>
                <w:rFonts w:ascii="Times New Roman" w:hAnsi="Times New Roman" w:cs="Times New Roman" w:eastAsia="Times New Roman" w:hint="default"/>
                <w:sz w:val="13"/>
                <w:szCs w:val="13"/>
              </w:rPr>
            </w:pPr>
            <w:r>
              <w:rPr>
                <w:rFonts w:ascii="Times New Roman"/>
                <w:sz w:val="13"/>
              </w:rPr>
              <w:t>30,161,603.00</w:t>
            </w:r>
          </w:p>
        </w:tc>
        <w:tc>
          <w:tcPr>
            <w:tcW w:w="963" w:type="dxa"/>
            <w:tcBorders>
              <w:top w:val="nil" w:sz="6" w:space="0" w:color="auto"/>
              <w:left w:val="nil" w:sz="6" w:space="0" w:color="auto"/>
              <w:bottom w:val="single" w:sz="4" w:space="0" w:color="000000"/>
              <w:right w:val="nil" w:sz="6" w:space="0" w:color="auto"/>
            </w:tcBorders>
          </w:tcPr>
          <w:p>
            <w:pPr>
              <w:pStyle w:val="TableParagraph"/>
              <w:spacing w:line="240" w:lineRule="auto" w:before="102"/>
              <w:ind w:left="155" w:right="0"/>
              <w:jc w:val="left"/>
              <w:rPr>
                <w:rFonts w:ascii="Times New Roman" w:hAnsi="Times New Roman" w:cs="Times New Roman" w:eastAsia="Times New Roman" w:hint="default"/>
                <w:sz w:val="13"/>
                <w:szCs w:val="13"/>
              </w:rPr>
            </w:pPr>
            <w:r>
              <w:rPr>
                <w:rFonts w:ascii="Times New Roman"/>
                <w:sz w:val="13"/>
              </w:rPr>
              <w:t>46,050,013.39</w:t>
            </w:r>
          </w:p>
        </w:tc>
        <w:tc>
          <w:tcPr>
            <w:tcW w:w="958" w:type="dxa"/>
            <w:tcBorders>
              <w:top w:val="nil" w:sz="6" w:space="0" w:color="auto"/>
              <w:left w:val="nil" w:sz="6" w:space="0" w:color="auto"/>
              <w:bottom w:val="single" w:sz="4" w:space="0" w:color="000000"/>
              <w:right w:val="nil" w:sz="6" w:space="0" w:color="auto"/>
            </w:tcBorders>
          </w:tcPr>
          <w:p>
            <w:pPr>
              <w:pStyle w:val="TableParagraph"/>
              <w:spacing w:line="240" w:lineRule="auto" w:before="102"/>
              <w:ind w:right="81"/>
              <w:jc w:val="right"/>
              <w:rPr>
                <w:rFonts w:ascii="Times New Roman" w:hAnsi="Times New Roman" w:cs="Times New Roman" w:eastAsia="Times New Roman" w:hint="default"/>
                <w:sz w:val="13"/>
                <w:szCs w:val="13"/>
              </w:rPr>
            </w:pPr>
            <w:r>
              <w:rPr>
                <w:rFonts w:ascii="Times New Roman"/>
                <w:sz w:val="13"/>
              </w:rPr>
              <w:t>20,518,073.60</w:t>
            </w:r>
          </w:p>
        </w:tc>
        <w:tc>
          <w:tcPr>
            <w:tcW w:w="975" w:type="dxa"/>
            <w:tcBorders>
              <w:top w:val="nil" w:sz="6" w:space="0" w:color="auto"/>
              <w:left w:val="nil" w:sz="6" w:space="0" w:color="auto"/>
              <w:bottom w:val="single" w:sz="4" w:space="0" w:color="000000"/>
              <w:right w:val="nil" w:sz="6" w:space="0" w:color="auto"/>
            </w:tcBorders>
          </w:tcPr>
          <w:p>
            <w:pPr>
              <w:pStyle w:val="TableParagraph"/>
              <w:spacing w:line="240" w:lineRule="auto" w:before="102"/>
              <w:ind w:right="74"/>
              <w:jc w:val="right"/>
              <w:rPr>
                <w:rFonts w:ascii="Times New Roman" w:hAnsi="Times New Roman" w:cs="Times New Roman" w:eastAsia="Times New Roman" w:hint="default"/>
                <w:sz w:val="13"/>
                <w:szCs w:val="13"/>
              </w:rPr>
            </w:pPr>
            <w:r>
              <w:rPr>
                <w:rFonts w:ascii="Times New Roman"/>
                <w:sz w:val="13"/>
              </w:rPr>
              <w:t>2,334,728.60</w:t>
            </w:r>
          </w:p>
        </w:tc>
        <w:tc>
          <w:tcPr>
            <w:tcW w:w="947" w:type="dxa"/>
            <w:tcBorders>
              <w:top w:val="nil" w:sz="6" w:space="0" w:color="auto"/>
              <w:left w:val="nil" w:sz="6" w:space="0" w:color="auto"/>
              <w:bottom w:val="single" w:sz="4" w:space="0" w:color="000000"/>
              <w:right w:val="nil" w:sz="6" w:space="0" w:color="auto"/>
            </w:tcBorders>
          </w:tcPr>
          <w:p>
            <w:pPr>
              <w:pStyle w:val="TableParagraph"/>
              <w:spacing w:line="240" w:lineRule="auto" w:before="102"/>
              <w:ind w:right="53"/>
              <w:jc w:val="right"/>
              <w:rPr>
                <w:rFonts w:ascii="Times New Roman" w:hAnsi="Times New Roman" w:cs="Times New Roman" w:eastAsia="Times New Roman" w:hint="default"/>
                <w:sz w:val="13"/>
                <w:szCs w:val="13"/>
              </w:rPr>
            </w:pPr>
            <w:r>
              <w:rPr>
                <w:rFonts w:ascii="Times New Roman"/>
                <w:sz w:val="13"/>
              </w:rPr>
              <w:t>53,358,814.19</w:t>
            </w:r>
          </w:p>
        </w:tc>
        <w:tc>
          <w:tcPr>
            <w:tcW w:w="433" w:type="dxa"/>
            <w:tcBorders>
              <w:top w:val="nil" w:sz="6" w:space="0" w:color="auto"/>
              <w:left w:val="nil" w:sz="6" w:space="0" w:color="auto"/>
              <w:bottom w:val="single" w:sz="4" w:space="0" w:color="000000"/>
              <w:right w:val="nil" w:sz="6" w:space="0" w:color="auto"/>
            </w:tcBorders>
          </w:tcPr>
          <w:p>
            <w:pPr/>
          </w:p>
        </w:tc>
        <w:tc>
          <w:tcPr>
            <w:tcW w:w="608" w:type="dxa"/>
            <w:tcBorders>
              <w:top w:val="nil" w:sz="6" w:space="0" w:color="auto"/>
              <w:left w:val="nil" w:sz="6" w:space="0" w:color="auto"/>
              <w:bottom w:val="single" w:sz="4" w:space="0" w:color="000000"/>
              <w:right w:val="nil" w:sz="6" w:space="0" w:color="auto"/>
            </w:tcBorders>
          </w:tcPr>
          <w:p>
            <w:pPr/>
          </w:p>
        </w:tc>
      </w:tr>
      <w:tr>
        <w:trPr>
          <w:trHeight w:val="295" w:hRule="exact"/>
        </w:trPr>
        <w:tc>
          <w:tcPr>
            <w:tcW w:w="2205" w:type="dxa"/>
            <w:tcBorders>
              <w:top w:val="single" w:sz="4" w:space="0" w:color="000000"/>
              <w:left w:val="nil" w:sz="6" w:space="0" w:color="auto"/>
              <w:bottom w:val="single" w:sz="4" w:space="0" w:color="000000"/>
              <w:right w:val="nil" w:sz="6" w:space="0" w:color="auto"/>
            </w:tcBorders>
          </w:tcPr>
          <w:p>
            <w:pPr>
              <w:pStyle w:val="TableParagraph"/>
              <w:spacing w:line="240" w:lineRule="auto" w:before="21"/>
              <w:ind w:left="71" w:right="0"/>
              <w:jc w:val="left"/>
              <w:rPr>
                <w:rFonts w:ascii="宋体" w:hAnsi="宋体" w:cs="宋体" w:eastAsia="宋体" w:hint="default"/>
                <w:sz w:val="15"/>
                <w:szCs w:val="15"/>
              </w:rPr>
            </w:pPr>
            <w:r>
              <w:rPr>
                <w:rFonts w:ascii="宋体" w:hAnsi="宋体" w:cs="宋体" w:eastAsia="宋体" w:hint="default"/>
                <w:b/>
                <w:bCs/>
                <w:sz w:val="15"/>
                <w:szCs w:val="15"/>
              </w:rPr>
              <w:t>合计</w:t>
            </w:r>
            <w:r>
              <w:rPr>
                <w:rFonts w:ascii="宋体" w:hAnsi="宋体" w:cs="宋体" w:eastAsia="宋体" w:hint="default"/>
                <w:sz w:val="15"/>
                <w:szCs w:val="15"/>
              </w:rPr>
            </w:r>
          </w:p>
        </w:tc>
        <w:tc>
          <w:tcPr>
            <w:tcW w:w="735" w:type="dxa"/>
            <w:tcBorders>
              <w:top w:val="single" w:sz="4" w:space="0" w:color="000000"/>
              <w:left w:val="nil" w:sz="6" w:space="0" w:color="auto"/>
              <w:bottom w:val="single" w:sz="4" w:space="0" w:color="000000"/>
              <w:right w:val="nil" w:sz="6" w:space="0" w:color="auto"/>
            </w:tcBorders>
          </w:tcPr>
          <w:p>
            <w:pPr/>
          </w:p>
        </w:tc>
        <w:tc>
          <w:tcPr>
            <w:tcW w:w="993" w:type="dxa"/>
            <w:tcBorders>
              <w:top w:val="single" w:sz="4" w:space="0" w:color="000000"/>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right="88"/>
              <w:jc w:val="right"/>
              <w:rPr>
                <w:rFonts w:ascii="Times New Roman" w:hAnsi="Times New Roman" w:cs="Times New Roman" w:eastAsia="Times New Roman" w:hint="default"/>
                <w:sz w:val="13"/>
                <w:szCs w:val="13"/>
              </w:rPr>
            </w:pPr>
            <w:r>
              <w:rPr>
                <w:rFonts w:ascii="Times New Roman"/>
                <w:b/>
                <w:sz w:val="13"/>
              </w:rPr>
              <w:t>912,116,360.69</w:t>
            </w:r>
            <w:r>
              <w:rPr>
                <w:rFonts w:ascii="Times New Roman"/>
                <w:sz w:val="13"/>
              </w:rPr>
            </w:r>
          </w:p>
        </w:tc>
        <w:tc>
          <w:tcPr>
            <w:tcW w:w="963" w:type="dxa"/>
            <w:tcBorders>
              <w:top w:val="single" w:sz="4" w:space="0" w:color="000000"/>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left="87" w:right="0"/>
              <w:jc w:val="left"/>
              <w:rPr>
                <w:rFonts w:ascii="Times New Roman" w:hAnsi="Times New Roman" w:cs="Times New Roman" w:eastAsia="Times New Roman" w:hint="default"/>
                <w:sz w:val="13"/>
                <w:szCs w:val="13"/>
              </w:rPr>
            </w:pPr>
            <w:r>
              <w:rPr>
                <w:rFonts w:ascii="Times New Roman"/>
                <w:b/>
                <w:sz w:val="13"/>
              </w:rPr>
              <w:t>261,962,891.97</w:t>
            </w:r>
            <w:r>
              <w:rPr>
                <w:rFonts w:ascii="Times New Roman"/>
                <w:sz w:val="13"/>
              </w:rPr>
            </w:r>
          </w:p>
        </w:tc>
        <w:tc>
          <w:tcPr>
            <w:tcW w:w="958" w:type="dxa"/>
            <w:tcBorders>
              <w:top w:val="single" w:sz="4" w:space="0" w:color="000000"/>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right="83"/>
              <w:jc w:val="right"/>
              <w:rPr>
                <w:rFonts w:ascii="Times New Roman" w:hAnsi="Times New Roman" w:cs="Times New Roman" w:eastAsia="Times New Roman" w:hint="default"/>
                <w:sz w:val="13"/>
                <w:szCs w:val="13"/>
              </w:rPr>
            </w:pPr>
            <w:r>
              <w:rPr>
                <w:rFonts w:ascii="Times New Roman"/>
                <w:b/>
                <w:sz w:val="13"/>
              </w:rPr>
              <w:t>174,969,993.59</w:t>
            </w:r>
            <w:r>
              <w:rPr>
                <w:rFonts w:ascii="Times New Roman"/>
                <w:sz w:val="13"/>
              </w:rPr>
            </w:r>
          </w:p>
        </w:tc>
        <w:tc>
          <w:tcPr>
            <w:tcW w:w="975" w:type="dxa"/>
            <w:tcBorders>
              <w:top w:val="single" w:sz="4" w:space="0" w:color="000000"/>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right="76"/>
              <w:jc w:val="right"/>
              <w:rPr>
                <w:rFonts w:ascii="Times New Roman" w:hAnsi="Times New Roman" w:cs="Times New Roman" w:eastAsia="Times New Roman" w:hint="default"/>
                <w:sz w:val="13"/>
                <w:szCs w:val="13"/>
              </w:rPr>
            </w:pPr>
            <w:r>
              <w:rPr>
                <w:rFonts w:ascii="Times New Roman"/>
                <w:b/>
                <w:sz w:val="13"/>
              </w:rPr>
              <w:t>345,332,188.31</w:t>
            </w:r>
            <w:r>
              <w:rPr>
                <w:rFonts w:ascii="Times New Roman"/>
                <w:sz w:val="13"/>
              </w:rPr>
            </w:r>
          </w:p>
        </w:tc>
        <w:tc>
          <w:tcPr>
            <w:tcW w:w="947" w:type="dxa"/>
            <w:tcBorders>
              <w:top w:val="single" w:sz="4" w:space="0" w:color="000000"/>
              <w:left w:val="nil" w:sz="6" w:space="0" w:color="auto"/>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right="55"/>
              <w:jc w:val="right"/>
              <w:rPr>
                <w:rFonts w:ascii="Times New Roman" w:hAnsi="Times New Roman" w:cs="Times New Roman" w:eastAsia="Times New Roman" w:hint="default"/>
                <w:sz w:val="13"/>
                <w:szCs w:val="13"/>
              </w:rPr>
            </w:pPr>
            <w:r>
              <w:rPr>
                <w:rFonts w:ascii="Times New Roman"/>
                <w:b/>
                <w:sz w:val="13"/>
              </w:rPr>
              <w:t>653,777,070.76</w:t>
            </w:r>
            <w:r>
              <w:rPr>
                <w:rFonts w:ascii="Times New Roman"/>
                <w:sz w:val="13"/>
              </w:rPr>
            </w:r>
          </w:p>
        </w:tc>
        <w:tc>
          <w:tcPr>
            <w:tcW w:w="433" w:type="dxa"/>
            <w:tcBorders>
              <w:top w:val="single" w:sz="4" w:space="0" w:color="000000"/>
              <w:left w:val="nil" w:sz="6" w:space="0" w:color="auto"/>
              <w:bottom w:val="single" w:sz="4" w:space="0" w:color="000000"/>
              <w:right w:val="nil" w:sz="6" w:space="0" w:color="auto"/>
            </w:tcBorders>
          </w:tcPr>
          <w:p>
            <w:pPr/>
          </w:p>
        </w:tc>
        <w:tc>
          <w:tcPr>
            <w:tcW w:w="608" w:type="dxa"/>
            <w:tcBorders>
              <w:top w:val="single" w:sz="4" w:space="0" w:color="000000"/>
              <w:left w:val="nil" w:sz="6" w:space="0" w:color="auto"/>
              <w:bottom w:val="single" w:sz="4" w:space="0" w:color="000000"/>
              <w:right w:val="nil" w:sz="6" w:space="0" w:color="auto"/>
            </w:tcBorders>
          </w:tcPr>
          <w:p>
            <w:pPr/>
          </w:p>
        </w:tc>
      </w:tr>
      <w:tr>
        <w:trPr>
          <w:trHeight w:val="305" w:hRule="exact"/>
        </w:trPr>
        <w:tc>
          <w:tcPr>
            <w:tcW w:w="2205" w:type="dxa"/>
            <w:tcBorders>
              <w:top w:val="single" w:sz="4" w:space="0" w:color="000000"/>
              <w:left w:val="nil" w:sz="6" w:space="0" w:color="auto"/>
              <w:bottom w:val="single" w:sz="12" w:space="0" w:color="000000"/>
              <w:right w:val="nil" w:sz="6" w:space="0" w:color="auto"/>
            </w:tcBorders>
          </w:tcPr>
          <w:p>
            <w:pPr>
              <w:pStyle w:val="TableParagraph"/>
              <w:spacing w:line="240" w:lineRule="auto" w:before="21"/>
              <w:ind w:left="71" w:right="0"/>
              <w:jc w:val="left"/>
              <w:rPr>
                <w:rFonts w:ascii="宋体" w:hAnsi="宋体" w:cs="宋体" w:eastAsia="宋体" w:hint="default"/>
                <w:sz w:val="15"/>
                <w:szCs w:val="15"/>
              </w:rPr>
            </w:pPr>
            <w:r>
              <w:rPr>
                <w:rFonts w:ascii="宋体" w:hAnsi="宋体" w:cs="宋体" w:eastAsia="宋体" w:hint="default"/>
                <w:b/>
                <w:bCs/>
                <w:sz w:val="15"/>
                <w:szCs w:val="15"/>
              </w:rPr>
              <w:t>其中利息资本化金额</w:t>
            </w:r>
            <w:r>
              <w:rPr>
                <w:rFonts w:ascii="宋体" w:hAnsi="宋体" w:cs="宋体" w:eastAsia="宋体" w:hint="default"/>
                <w:sz w:val="15"/>
                <w:szCs w:val="15"/>
              </w:rPr>
            </w:r>
          </w:p>
        </w:tc>
        <w:tc>
          <w:tcPr>
            <w:tcW w:w="735" w:type="dxa"/>
            <w:tcBorders>
              <w:top w:val="single" w:sz="4" w:space="0" w:color="000000"/>
              <w:left w:val="nil" w:sz="6" w:space="0" w:color="auto"/>
              <w:bottom w:val="single" w:sz="12" w:space="0" w:color="000000"/>
              <w:right w:val="nil" w:sz="6" w:space="0" w:color="auto"/>
            </w:tcBorders>
          </w:tcPr>
          <w:p>
            <w:pPr/>
          </w:p>
        </w:tc>
        <w:tc>
          <w:tcPr>
            <w:tcW w:w="993" w:type="dxa"/>
            <w:tcBorders>
              <w:top w:val="single" w:sz="4" w:space="0" w:color="000000"/>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right="85"/>
              <w:jc w:val="right"/>
              <w:rPr>
                <w:rFonts w:ascii="Times New Roman" w:hAnsi="Times New Roman" w:cs="Times New Roman" w:eastAsia="Times New Roman" w:hint="default"/>
                <w:sz w:val="13"/>
                <w:szCs w:val="13"/>
              </w:rPr>
            </w:pPr>
            <w:r>
              <w:rPr>
                <w:rFonts w:ascii="Times New Roman"/>
                <w:b/>
                <w:sz w:val="13"/>
              </w:rPr>
              <w:t>62,263,680.27</w:t>
            </w:r>
            <w:r>
              <w:rPr>
                <w:rFonts w:ascii="Times New Roman"/>
                <w:sz w:val="13"/>
              </w:rPr>
            </w:r>
          </w:p>
        </w:tc>
        <w:tc>
          <w:tcPr>
            <w:tcW w:w="963" w:type="dxa"/>
            <w:tcBorders>
              <w:top w:val="single" w:sz="4" w:space="0" w:color="000000"/>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left="155" w:right="0"/>
              <w:jc w:val="left"/>
              <w:rPr>
                <w:rFonts w:ascii="Times New Roman" w:hAnsi="Times New Roman" w:cs="Times New Roman" w:eastAsia="Times New Roman" w:hint="default"/>
                <w:sz w:val="13"/>
                <w:szCs w:val="13"/>
              </w:rPr>
            </w:pPr>
            <w:r>
              <w:rPr>
                <w:rFonts w:ascii="Times New Roman"/>
                <w:b/>
                <w:sz w:val="13"/>
              </w:rPr>
              <w:t>16,148,996.64</w:t>
            </w:r>
            <w:r>
              <w:rPr>
                <w:rFonts w:ascii="Times New Roman"/>
                <w:sz w:val="13"/>
              </w:rPr>
            </w:r>
          </w:p>
        </w:tc>
        <w:tc>
          <w:tcPr>
            <w:tcW w:w="958" w:type="dxa"/>
            <w:tcBorders>
              <w:top w:val="single" w:sz="4" w:space="0" w:color="000000"/>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right="83"/>
              <w:jc w:val="right"/>
              <w:rPr>
                <w:rFonts w:ascii="Times New Roman" w:hAnsi="Times New Roman" w:cs="Times New Roman" w:eastAsia="Times New Roman" w:hint="default"/>
                <w:sz w:val="13"/>
                <w:szCs w:val="13"/>
              </w:rPr>
            </w:pPr>
            <w:r>
              <w:rPr>
                <w:rFonts w:ascii="Times New Roman"/>
                <w:b/>
                <w:sz w:val="13"/>
              </w:rPr>
              <w:t>746,819.57</w:t>
            </w:r>
            <w:r>
              <w:rPr>
                <w:rFonts w:ascii="Times New Roman"/>
                <w:sz w:val="13"/>
              </w:rPr>
            </w:r>
          </w:p>
        </w:tc>
        <w:tc>
          <w:tcPr>
            <w:tcW w:w="975" w:type="dxa"/>
            <w:tcBorders>
              <w:top w:val="single" w:sz="4" w:space="0" w:color="000000"/>
              <w:left w:val="nil" w:sz="6" w:space="0" w:color="auto"/>
              <w:bottom w:val="single" w:sz="12" w:space="0" w:color="000000"/>
              <w:right w:val="nil" w:sz="6" w:space="0" w:color="auto"/>
            </w:tcBorders>
          </w:tcPr>
          <w:p>
            <w:pPr/>
          </w:p>
        </w:tc>
        <w:tc>
          <w:tcPr>
            <w:tcW w:w="947" w:type="dxa"/>
            <w:tcBorders>
              <w:top w:val="single" w:sz="4" w:space="0" w:color="000000"/>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right="53"/>
              <w:jc w:val="right"/>
              <w:rPr>
                <w:rFonts w:ascii="Times New Roman" w:hAnsi="Times New Roman" w:cs="Times New Roman" w:eastAsia="Times New Roman" w:hint="default"/>
                <w:sz w:val="13"/>
                <w:szCs w:val="13"/>
              </w:rPr>
            </w:pPr>
            <w:r>
              <w:rPr>
                <w:rFonts w:ascii="Times New Roman"/>
                <w:b/>
                <w:sz w:val="13"/>
              </w:rPr>
              <w:t>77,665,857.34</w:t>
            </w:r>
            <w:r>
              <w:rPr>
                <w:rFonts w:ascii="Times New Roman"/>
                <w:sz w:val="13"/>
              </w:rPr>
            </w:r>
          </w:p>
        </w:tc>
        <w:tc>
          <w:tcPr>
            <w:tcW w:w="433" w:type="dxa"/>
            <w:tcBorders>
              <w:top w:val="single" w:sz="4" w:space="0" w:color="000000"/>
              <w:left w:val="nil" w:sz="6" w:space="0" w:color="auto"/>
              <w:bottom w:val="single" w:sz="12" w:space="0" w:color="000000"/>
              <w:right w:val="nil" w:sz="6" w:space="0" w:color="auto"/>
            </w:tcBorders>
          </w:tcPr>
          <w:p>
            <w:pPr/>
          </w:p>
        </w:tc>
        <w:tc>
          <w:tcPr>
            <w:tcW w:w="608" w:type="dxa"/>
            <w:tcBorders>
              <w:top w:val="single" w:sz="4" w:space="0" w:color="000000"/>
              <w:left w:val="nil" w:sz="6" w:space="0" w:color="auto"/>
              <w:bottom w:val="single" w:sz="12" w:space="0" w:color="000000"/>
              <w:right w:val="nil" w:sz="6" w:space="0" w:color="auto"/>
            </w:tcBorders>
          </w:tcPr>
          <w:p>
            <w:pPr/>
          </w:p>
        </w:tc>
      </w:tr>
    </w:tbl>
    <w:p>
      <w:pPr>
        <w:spacing w:after="0"/>
        <w:sectPr>
          <w:pgSz w:w="11910" w:h="16840"/>
          <w:pgMar w:header="585" w:footer="836" w:top="1080" w:bottom="1020" w:left="1500" w:right="1360"/>
        </w:sectPr>
      </w:pPr>
    </w:p>
    <w:p>
      <w:pPr>
        <w:spacing w:line="240" w:lineRule="auto" w:before="8"/>
        <w:rPr>
          <w:rFonts w:ascii="宋体" w:hAnsi="宋体" w:cs="宋体" w:eastAsia="宋体" w:hint="default"/>
          <w:sz w:val="6"/>
          <w:szCs w:val="6"/>
        </w:rPr>
      </w:pPr>
    </w:p>
    <w:p>
      <w:pPr>
        <w:spacing w:line="477" w:lineRule="exact"/>
        <w:ind w:left="202"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703.7pt;height:23.85pt;mso-position-horizontal-relative:char;mso-position-vertical-relative:line" coordorigin="0,0" coordsize="14074,477">
            <v:group style="position:absolute;left:7;top:470;width:14059;height:2" coordorigin="7,470" coordsize="14059,2">
              <v:shape style="position:absolute;left:7;top:470;width:14059;height:2" coordorigin="7,470" coordsize="14059,0" path="m7,470l14066,470e" filled="false" stroked="true" strokeweight=".72pt" strokecolor="#000000">
                <v:path arrowok="t"/>
              </v:shape>
              <v:shape style="position:absolute;left:13;top:0;width:1365;height:420" type="#_x0000_t75" stroked="false">
                <v:imagedata r:id="rId35" o:title=""/>
              </v:shape>
            </v:group>
          </v:group>
        </w:pict>
      </w:r>
      <w:r>
        <w:rPr>
          <w:rFonts w:ascii="宋体" w:hAnsi="宋体" w:cs="宋体" w:eastAsia="宋体" w:hint="default"/>
          <w:position w:val="-9"/>
          <w:sz w:val="20"/>
          <w:szCs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p>
      <w:pPr>
        <w:spacing w:before="32"/>
        <w:ind w:left="641"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15.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无形资产</w:t>
      </w:r>
    </w:p>
    <w:tbl>
      <w:tblPr>
        <w:tblW w:w="0" w:type="auto"/>
        <w:jc w:val="left"/>
        <w:tblInd w:w="116" w:type="dxa"/>
        <w:tblLayout w:type="fixed"/>
        <w:tblCellMar>
          <w:top w:w="0" w:type="dxa"/>
          <w:left w:w="0" w:type="dxa"/>
          <w:bottom w:w="0" w:type="dxa"/>
          <w:right w:w="0" w:type="dxa"/>
        </w:tblCellMar>
        <w:tblLook w:val="01E0"/>
      </w:tblPr>
      <w:tblGrid>
        <w:gridCol w:w="1893"/>
        <w:gridCol w:w="1786"/>
        <w:gridCol w:w="1160"/>
        <w:gridCol w:w="1309"/>
        <w:gridCol w:w="1308"/>
        <w:gridCol w:w="1313"/>
        <w:gridCol w:w="1427"/>
        <w:gridCol w:w="1217"/>
        <w:gridCol w:w="1329"/>
        <w:gridCol w:w="1490"/>
      </w:tblGrid>
      <w:tr>
        <w:trPr>
          <w:trHeight w:val="216" w:hRule="exact"/>
        </w:trPr>
        <w:tc>
          <w:tcPr>
            <w:tcW w:w="1893" w:type="dxa"/>
            <w:tcBorders>
              <w:top w:val="single" w:sz="12" w:space="0" w:color="000000"/>
              <w:left w:val="nil" w:sz="6" w:space="0" w:color="auto"/>
              <w:bottom w:val="single" w:sz="4" w:space="0" w:color="000000"/>
              <w:right w:val="nil" w:sz="6" w:space="0" w:color="auto"/>
            </w:tcBorders>
          </w:tcPr>
          <w:p>
            <w:pPr>
              <w:pStyle w:val="TableParagraph"/>
              <w:spacing w:line="183" w:lineRule="exact"/>
              <w:ind w:left="122" w:right="0"/>
              <w:jc w:val="left"/>
              <w:rPr>
                <w:rFonts w:ascii="宋体" w:hAnsi="宋体" w:cs="宋体" w:eastAsia="宋体" w:hint="default"/>
                <w:sz w:val="16"/>
                <w:szCs w:val="16"/>
              </w:rPr>
            </w:pPr>
            <w:r>
              <w:rPr>
                <w:rFonts w:ascii="宋体" w:hAnsi="宋体" w:cs="宋体" w:eastAsia="宋体" w:hint="default"/>
                <w:b/>
                <w:bCs/>
                <w:sz w:val="16"/>
                <w:szCs w:val="16"/>
              </w:rPr>
              <w:t>项目</w:t>
            </w:r>
            <w:r>
              <w:rPr>
                <w:rFonts w:ascii="宋体" w:hAnsi="宋体" w:cs="宋体" w:eastAsia="宋体" w:hint="default"/>
                <w:sz w:val="16"/>
                <w:szCs w:val="16"/>
              </w:rPr>
            </w:r>
          </w:p>
        </w:tc>
        <w:tc>
          <w:tcPr>
            <w:tcW w:w="1786" w:type="dxa"/>
            <w:tcBorders>
              <w:top w:val="single" w:sz="12" w:space="0" w:color="000000"/>
              <w:left w:val="nil" w:sz="6" w:space="0" w:color="auto"/>
              <w:bottom w:val="single" w:sz="4" w:space="0" w:color="000000"/>
              <w:right w:val="nil" w:sz="6" w:space="0" w:color="auto"/>
            </w:tcBorders>
          </w:tcPr>
          <w:p>
            <w:pPr>
              <w:pStyle w:val="TableParagraph"/>
              <w:spacing w:line="183" w:lineRule="exact"/>
              <w:ind w:left="522" w:right="0"/>
              <w:jc w:val="left"/>
              <w:rPr>
                <w:rFonts w:ascii="宋体" w:hAnsi="宋体" w:cs="宋体" w:eastAsia="宋体" w:hint="default"/>
                <w:sz w:val="16"/>
                <w:szCs w:val="16"/>
              </w:rPr>
            </w:pPr>
            <w:r>
              <w:rPr>
                <w:rFonts w:ascii="宋体" w:hAnsi="宋体" w:cs="宋体" w:eastAsia="宋体" w:hint="default"/>
                <w:b/>
                <w:bCs/>
                <w:sz w:val="16"/>
                <w:szCs w:val="16"/>
              </w:rPr>
              <w:t>土地使用权</w:t>
            </w:r>
            <w:r>
              <w:rPr>
                <w:rFonts w:ascii="宋体" w:hAnsi="宋体" w:cs="宋体" w:eastAsia="宋体" w:hint="default"/>
                <w:sz w:val="16"/>
                <w:szCs w:val="16"/>
              </w:rPr>
            </w:r>
          </w:p>
        </w:tc>
        <w:tc>
          <w:tcPr>
            <w:tcW w:w="1160" w:type="dxa"/>
            <w:tcBorders>
              <w:top w:val="single" w:sz="12" w:space="0" w:color="000000"/>
              <w:left w:val="nil" w:sz="6" w:space="0" w:color="auto"/>
              <w:bottom w:val="single" w:sz="4" w:space="0" w:color="000000"/>
              <w:right w:val="nil" w:sz="6" w:space="0" w:color="auto"/>
            </w:tcBorders>
          </w:tcPr>
          <w:p>
            <w:pPr>
              <w:pStyle w:val="TableParagraph"/>
              <w:spacing w:line="183" w:lineRule="exact"/>
              <w:ind w:left="137" w:right="0"/>
              <w:jc w:val="left"/>
              <w:rPr>
                <w:rFonts w:ascii="宋体" w:hAnsi="宋体" w:cs="宋体" w:eastAsia="宋体" w:hint="default"/>
                <w:sz w:val="16"/>
                <w:szCs w:val="16"/>
              </w:rPr>
            </w:pPr>
            <w:r>
              <w:rPr>
                <w:rFonts w:ascii="宋体" w:hAnsi="宋体" w:cs="宋体" w:eastAsia="宋体" w:hint="default"/>
                <w:b/>
                <w:bCs/>
                <w:sz w:val="16"/>
                <w:szCs w:val="16"/>
              </w:rPr>
              <w:t>房屋使用权</w:t>
            </w:r>
            <w:r>
              <w:rPr>
                <w:rFonts w:ascii="宋体" w:hAnsi="宋体" w:cs="宋体" w:eastAsia="宋体" w:hint="default"/>
                <w:sz w:val="16"/>
                <w:szCs w:val="16"/>
              </w:rPr>
            </w:r>
          </w:p>
        </w:tc>
        <w:tc>
          <w:tcPr>
            <w:tcW w:w="1309" w:type="dxa"/>
            <w:tcBorders>
              <w:top w:val="single" w:sz="12" w:space="0" w:color="000000"/>
              <w:left w:val="nil" w:sz="6" w:space="0" w:color="auto"/>
              <w:bottom w:val="single" w:sz="4" w:space="0" w:color="000000"/>
              <w:right w:val="nil" w:sz="6" w:space="0" w:color="auto"/>
            </w:tcBorders>
          </w:tcPr>
          <w:p>
            <w:pPr>
              <w:pStyle w:val="TableParagraph"/>
              <w:spacing w:line="183" w:lineRule="exact"/>
              <w:ind w:left="368" w:right="0"/>
              <w:jc w:val="left"/>
              <w:rPr>
                <w:rFonts w:ascii="宋体" w:hAnsi="宋体" w:cs="宋体" w:eastAsia="宋体" w:hint="default"/>
                <w:sz w:val="16"/>
                <w:szCs w:val="16"/>
              </w:rPr>
            </w:pPr>
            <w:r>
              <w:rPr>
                <w:rFonts w:ascii="宋体" w:hAnsi="宋体" w:cs="宋体" w:eastAsia="宋体" w:hint="default"/>
                <w:b/>
                <w:bCs/>
                <w:sz w:val="16"/>
                <w:szCs w:val="16"/>
              </w:rPr>
              <w:t>专利权</w:t>
            </w:r>
            <w:r>
              <w:rPr>
                <w:rFonts w:ascii="宋体" w:hAnsi="宋体" w:cs="宋体" w:eastAsia="宋体" w:hint="default"/>
                <w:sz w:val="16"/>
                <w:szCs w:val="16"/>
              </w:rPr>
            </w:r>
          </w:p>
        </w:tc>
        <w:tc>
          <w:tcPr>
            <w:tcW w:w="1308" w:type="dxa"/>
            <w:tcBorders>
              <w:top w:val="single" w:sz="12" w:space="0" w:color="000000"/>
              <w:left w:val="nil" w:sz="6" w:space="0" w:color="auto"/>
              <w:bottom w:val="single" w:sz="4" w:space="0" w:color="000000"/>
              <w:right w:val="nil" w:sz="6" w:space="0" w:color="auto"/>
            </w:tcBorders>
          </w:tcPr>
          <w:p>
            <w:pPr>
              <w:pStyle w:val="TableParagraph"/>
              <w:spacing w:line="183" w:lineRule="exact"/>
              <w:ind w:left="206" w:right="0"/>
              <w:jc w:val="left"/>
              <w:rPr>
                <w:rFonts w:ascii="宋体" w:hAnsi="宋体" w:cs="宋体" w:eastAsia="宋体" w:hint="default"/>
                <w:sz w:val="16"/>
                <w:szCs w:val="16"/>
              </w:rPr>
            </w:pPr>
            <w:r>
              <w:rPr>
                <w:rFonts w:ascii="宋体" w:hAnsi="宋体" w:cs="宋体" w:eastAsia="宋体" w:hint="default"/>
                <w:b/>
                <w:bCs/>
                <w:sz w:val="16"/>
                <w:szCs w:val="16"/>
              </w:rPr>
              <w:t>非专利技术</w:t>
            </w:r>
            <w:r>
              <w:rPr>
                <w:rFonts w:ascii="宋体" w:hAnsi="宋体" w:cs="宋体" w:eastAsia="宋体" w:hint="default"/>
                <w:sz w:val="16"/>
                <w:szCs w:val="16"/>
              </w:rPr>
            </w:r>
          </w:p>
        </w:tc>
        <w:tc>
          <w:tcPr>
            <w:tcW w:w="1313" w:type="dxa"/>
            <w:tcBorders>
              <w:top w:val="single" w:sz="12" w:space="0" w:color="000000"/>
              <w:left w:val="nil" w:sz="6" w:space="0" w:color="auto"/>
              <w:bottom w:val="single" w:sz="4" w:space="0" w:color="000000"/>
              <w:right w:val="nil" w:sz="6" w:space="0" w:color="auto"/>
            </w:tcBorders>
          </w:tcPr>
          <w:p>
            <w:pPr>
              <w:pStyle w:val="TableParagraph"/>
              <w:spacing w:line="183" w:lineRule="exact"/>
              <w:ind w:left="285" w:right="0"/>
              <w:jc w:val="left"/>
              <w:rPr>
                <w:rFonts w:ascii="宋体" w:hAnsi="宋体" w:cs="宋体" w:eastAsia="宋体" w:hint="default"/>
                <w:sz w:val="16"/>
                <w:szCs w:val="16"/>
              </w:rPr>
            </w:pPr>
            <w:r>
              <w:rPr>
                <w:rFonts w:ascii="宋体" w:hAnsi="宋体" w:cs="宋体" w:eastAsia="宋体" w:hint="default"/>
                <w:b/>
                <w:bCs/>
                <w:sz w:val="16"/>
                <w:szCs w:val="16"/>
              </w:rPr>
              <w:t>专用软件</w:t>
            </w:r>
            <w:r>
              <w:rPr>
                <w:rFonts w:ascii="宋体" w:hAnsi="宋体" w:cs="宋体" w:eastAsia="宋体" w:hint="default"/>
                <w:sz w:val="16"/>
                <w:szCs w:val="16"/>
              </w:rPr>
            </w:r>
          </w:p>
        </w:tc>
        <w:tc>
          <w:tcPr>
            <w:tcW w:w="1427" w:type="dxa"/>
            <w:tcBorders>
              <w:top w:val="single" w:sz="12" w:space="0" w:color="000000"/>
              <w:left w:val="nil" w:sz="6" w:space="0" w:color="auto"/>
              <w:bottom w:val="single" w:sz="4" w:space="0" w:color="000000"/>
              <w:right w:val="nil" w:sz="6" w:space="0" w:color="auto"/>
            </w:tcBorders>
          </w:tcPr>
          <w:p>
            <w:pPr>
              <w:pStyle w:val="TableParagraph"/>
              <w:spacing w:line="183" w:lineRule="exact"/>
              <w:ind w:left="266" w:right="0"/>
              <w:jc w:val="left"/>
              <w:rPr>
                <w:rFonts w:ascii="宋体" w:hAnsi="宋体" w:cs="宋体" w:eastAsia="宋体" w:hint="default"/>
                <w:sz w:val="16"/>
                <w:szCs w:val="16"/>
              </w:rPr>
            </w:pPr>
            <w:r>
              <w:rPr>
                <w:rFonts w:ascii="宋体" w:hAnsi="宋体" w:cs="宋体" w:eastAsia="宋体" w:hint="default"/>
                <w:b/>
                <w:bCs/>
                <w:sz w:val="16"/>
                <w:szCs w:val="16"/>
              </w:rPr>
              <w:t>特许经营权</w:t>
            </w:r>
            <w:r>
              <w:rPr>
                <w:rFonts w:ascii="宋体" w:hAnsi="宋体" w:cs="宋体" w:eastAsia="宋体" w:hint="default"/>
                <w:sz w:val="16"/>
                <w:szCs w:val="16"/>
              </w:rPr>
            </w:r>
          </w:p>
        </w:tc>
        <w:tc>
          <w:tcPr>
            <w:tcW w:w="1217" w:type="dxa"/>
            <w:tcBorders>
              <w:top w:val="single" w:sz="12" w:space="0" w:color="000000"/>
              <w:left w:val="nil" w:sz="6" w:space="0" w:color="auto"/>
              <w:bottom w:val="single" w:sz="4" w:space="0" w:color="000000"/>
              <w:right w:val="nil" w:sz="6" w:space="0" w:color="auto"/>
            </w:tcBorders>
          </w:tcPr>
          <w:p>
            <w:pPr>
              <w:pStyle w:val="TableParagraph"/>
              <w:spacing w:line="183" w:lineRule="exact"/>
              <w:ind w:left="327" w:right="0"/>
              <w:jc w:val="left"/>
              <w:rPr>
                <w:rFonts w:ascii="宋体" w:hAnsi="宋体" w:cs="宋体" w:eastAsia="宋体" w:hint="default"/>
                <w:sz w:val="16"/>
                <w:szCs w:val="16"/>
              </w:rPr>
            </w:pPr>
            <w:r>
              <w:rPr>
                <w:rFonts w:ascii="宋体" w:hAnsi="宋体" w:cs="宋体" w:eastAsia="宋体" w:hint="default"/>
                <w:b/>
                <w:bCs/>
                <w:sz w:val="16"/>
                <w:szCs w:val="16"/>
              </w:rPr>
              <w:t>商标权</w:t>
            </w:r>
            <w:r>
              <w:rPr>
                <w:rFonts w:ascii="宋体" w:hAnsi="宋体" w:cs="宋体" w:eastAsia="宋体" w:hint="default"/>
                <w:sz w:val="16"/>
                <w:szCs w:val="16"/>
              </w:rPr>
            </w:r>
          </w:p>
        </w:tc>
        <w:tc>
          <w:tcPr>
            <w:tcW w:w="1329" w:type="dxa"/>
            <w:tcBorders>
              <w:top w:val="single" w:sz="12" w:space="0" w:color="000000"/>
              <w:left w:val="nil" w:sz="6" w:space="0" w:color="auto"/>
              <w:bottom w:val="single" w:sz="4" w:space="0" w:color="000000"/>
              <w:right w:val="nil" w:sz="6" w:space="0" w:color="auto"/>
            </w:tcBorders>
          </w:tcPr>
          <w:p>
            <w:pPr>
              <w:pStyle w:val="TableParagraph"/>
              <w:spacing w:line="183" w:lineRule="exact"/>
              <w:ind w:left="406" w:right="0"/>
              <w:jc w:val="left"/>
              <w:rPr>
                <w:rFonts w:ascii="宋体" w:hAnsi="宋体" w:cs="宋体" w:eastAsia="宋体" w:hint="default"/>
                <w:sz w:val="16"/>
                <w:szCs w:val="16"/>
              </w:rPr>
            </w:pPr>
            <w:r>
              <w:rPr>
                <w:rFonts w:ascii="宋体" w:hAnsi="宋体" w:cs="宋体" w:eastAsia="宋体" w:hint="default"/>
                <w:b/>
                <w:bCs/>
                <w:sz w:val="16"/>
                <w:szCs w:val="16"/>
              </w:rPr>
              <w:t>其他</w:t>
            </w:r>
            <w:r>
              <w:rPr>
                <w:rFonts w:ascii="宋体" w:hAnsi="宋体" w:cs="宋体" w:eastAsia="宋体" w:hint="default"/>
                <w:sz w:val="16"/>
                <w:szCs w:val="16"/>
              </w:rPr>
            </w:r>
          </w:p>
        </w:tc>
        <w:tc>
          <w:tcPr>
            <w:tcW w:w="1490" w:type="dxa"/>
            <w:tcBorders>
              <w:top w:val="single" w:sz="12" w:space="0" w:color="000000"/>
              <w:left w:val="nil" w:sz="6" w:space="0" w:color="auto"/>
              <w:bottom w:val="single" w:sz="4" w:space="0" w:color="000000"/>
              <w:right w:val="nil" w:sz="6" w:space="0" w:color="auto"/>
            </w:tcBorders>
          </w:tcPr>
          <w:p>
            <w:pPr>
              <w:pStyle w:val="TableParagraph"/>
              <w:spacing w:line="183" w:lineRule="exact"/>
              <w:ind w:right="154"/>
              <w:jc w:val="center"/>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c>
      </w:tr>
      <w:tr>
        <w:trPr>
          <w:trHeight w:val="231" w:hRule="exact"/>
        </w:trPr>
        <w:tc>
          <w:tcPr>
            <w:tcW w:w="1893" w:type="dxa"/>
            <w:tcBorders>
              <w:top w:val="single" w:sz="4" w:space="0" w:color="000000"/>
              <w:left w:val="nil" w:sz="6" w:space="0" w:color="auto"/>
              <w:bottom w:val="nil" w:sz="6" w:space="0" w:color="auto"/>
              <w:right w:val="nil" w:sz="6" w:space="0" w:color="auto"/>
            </w:tcBorders>
          </w:tcPr>
          <w:p>
            <w:pPr>
              <w:pStyle w:val="TableParagraph"/>
              <w:spacing w:line="193" w:lineRule="exact"/>
              <w:ind w:left="122" w:right="0"/>
              <w:jc w:val="left"/>
              <w:rPr>
                <w:rFonts w:ascii="宋体" w:hAnsi="宋体" w:cs="宋体" w:eastAsia="宋体" w:hint="default"/>
                <w:sz w:val="16"/>
                <w:szCs w:val="16"/>
              </w:rPr>
            </w:pPr>
            <w:r>
              <w:rPr>
                <w:rFonts w:ascii="宋体" w:hAnsi="宋体" w:cs="宋体" w:eastAsia="宋体" w:hint="default"/>
                <w:sz w:val="16"/>
                <w:szCs w:val="16"/>
              </w:rPr>
              <w:t>一、账面原值</w:t>
            </w:r>
          </w:p>
        </w:tc>
        <w:tc>
          <w:tcPr>
            <w:tcW w:w="1786" w:type="dxa"/>
            <w:tcBorders>
              <w:top w:val="single" w:sz="4" w:space="0" w:color="000000"/>
              <w:left w:val="nil" w:sz="6" w:space="0" w:color="auto"/>
              <w:bottom w:val="nil" w:sz="6" w:space="0" w:color="auto"/>
              <w:right w:val="nil" w:sz="6" w:space="0" w:color="auto"/>
            </w:tcBorders>
          </w:tcPr>
          <w:p>
            <w:pPr/>
          </w:p>
        </w:tc>
        <w:tc>
          <w:tcPr>
            <w:tcW w:w="1160" w:type="dxa"/>
            <w:tcBorders>
              <w:top w:val="single" w:sz="4" w:space="0" w:color="000000"/>
              <w:left w:val="nil" w:sz="6" w:space="0" w:color="auto"/>
              <w:bottom w:val="nil" w:sz="6" w:space="0" w:color="auto"/>
              <w:right w:val="nil" w:sz="6" w:space="0" w:color="auto"/>
            </w:tcBorders>
          </w:tcPr>
          <w:p>
            <w:pPr/>
          </w:p>
        </w:tc>
        <w:tc>
          <w:tcPr>
            <w:tcW w:w="1309" w:type="dxa"/>
            <w:tcBorders>
              <w:top w:val="single" w:sz="4" w:space="0" w:color="000000"/>
              <w:left w:val="nil" w:sz="6" w:space="0" w:color="auto"/>
              <w:bottom w:val="nil" w:sz="6" w:space="0" w:color="auto"/>
              <w:right w:val="nil" w:sz="6" w:space="0" w:color="auto"/>
            </w:tcBorders>
          </w:tcPr>
          <w:p>
            <w:pPr/>
          </w:p>
        </w:tc>
        <w:tc>
          <w:tcPr>
            <w:tcW w:w="1308" w:type="dxa"/>
            <w:tcBorders>
              <w:top w:val="single" w:sz="4" w:space="0" w:color="000000"/>
              <w:left w:val="nil" w:sz="6" w:space="0" w:color="auto"/>
              <w:bottom w:val="nil" w:sz="6" w:space="0" w:color="auto"/>
              <w:right w:val="nil" w:sz="6" w:space="0" w:color="auto"/>
            </w:tcBorders>
          </w:tcPr>
          <w:p>
            <w:pPr/>
          </w:p>
        </w:tc>
        <w:tc>
          <w:tcPr>
            <w:tcW w:w="1313" w:type="dxa"/>
            <w:tcBorders>
              <w:top w:val="single" w:sz="4" w:space="0" w:color="000000"/>
              <w:left w:val="nil" w:sz="6" w:space="0" w:color="auto"/>
              <w:bottom w:val="nil" w:sz="6" w:space="0" w:color="auto"/>
              <w:right w:val="nil" w:sz="6" w:space="0" w:color="auto"/>
            </w:tcBorders>
          </w:tcPr>
          <w:p>
            <w:pPr/>
          </w:p>
        </w:tc>
        <w:tc>
          <w:tcPr>
            <w:tcW w:w="1427" w:type="dxa"/>
            <w:tcBorders>
              <w:top w:val="single" w:sz="4" w:space="0" w:color="000000"/>
              <w:left w:val="nil" w:sz="6" w:space="0" w:color="auto"/>
              <w:bottom w:val="nil" w:sz="6" w:space="0" w:color="auto"/>
              <w:right w:val="nil" w:sz="6" w:space="0" w:color="auto"/>
            </w:tcBorders>
          </w:tcPr>
          <w:p>
            <w:pPr/>
          </w:p>
        </w:tc>
        <w:tc>
          <w:tcPr>
            <w:tcW w:w="1217" w:type="dxa"/>
            <w:tcBorders>
              <w:top w:val="single" w:sz="4" w:space="0" w:color="000000"/>
              <w:left w:val="nil" w:sz="6" w:space="0" w:color="auto"/>
              <w:bottom w:val="nil" w:sz="6" w:space="0" w:color="auto"/>
              <w:right w:val="nil" w:sz="6" w:space="0" w:color="auto"/>
            </w:tcBorders>
          </w:tcPr>
          <w:p>
            <w:pPr/>
          </w:p>
        </w:tc>
        <w:tc>
          <w:tcPr>
            <w:tcW w:w="1329" w:type="dxa"/>
            <w:tcBorders>
              <w:top w:val="single" w:sz="4" w:space="0" w:color="000000"/>
              <w:left w:val="nil" w:sz="6" w:space="0" w:color="auto"/>
              <w:bottom w:val="nil" w:sz="6" w:space="0" w:color="auto"/>
              <w:right w:val="nil" w:sz="6" w:space="0" w:color="auto"/>
            </w:tcBorders>
          </w:tcPr>
          <w:p>
            <w:pPr/>
          </w:p>
        </w:tc>
        <w:tc>
          <w:tcPr>
            <w:tcW w:w="1490" w:type="dxa"/>
            <w:tcBorders>
              <w:top w:val="single" w:sz="4" w:space="0" w:color="000000"/>
              <w:left w:val="nil" w:sz="6" w:space="0" w:color="auto"/>
              <w:bottom w:val="nil" w:sz="6" w:space="0" w:color="auto"/>
              <w:right w:val="nil" w:sz="6" w:space="0" w:color="auto"/>
            </w:tcBorders>
          </w:tcPr>
          <w:p>
            <w:pPr/>
          </w:p>
        </w:tc>
      </w:tr>
      <w:tr>
        <w:trPr>
          <w:trHeight w:val="236"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206"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年初余额</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6"/>
              <w:jc w:val="right"/>
              <w:rPr>
                <w:rFonts w:ascii="Times New Roman" w:hAnsi="Times New Roman" w:cs="Times New Roman" w:eastAsia="Times New Roman" w:hint="default"/>
                <w:sz w:val="16"/>
                <w:szCs w:val="16"/>
              </w:rPr>
            </w:pPr>
            <w:r>
              <w:rPr>
                <w:rFonts w:ascii="Times New Roman"/>
                <w:spacing w:val="-1"/>
                <w:sz w:val="16"/>
              </w:rPr>
              <w:t>662,179,288.00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64" w:right="0"/>
              <w:jc w:val="left"/>
              <w:rPr>
                <w:rFonts w:ascii="Times New Roman" w:hAnsi="Times New Roman" w:cs="Times New Roman" w:eastAsia="Times New Roman" w:hint="default"/>
                <w:sz w:val="16"/>
                <w:szCs w:val="16"/>
              </w:rPr>
            </w:pPr>
            <w:r>
              <w:rPr>
                <w:rFonts w:ascii="Times New Roman"/>
                <w:sz w:val="16"/>
              </w:rPr>
              <w:t>1,321,428.54</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1"/>
              <w:jc w:val="right"/>
              <w:rPr>
                <w:rFonts w:ascii="Times New Roman" w:hAnsi="Times New Roman" w:cs="Times New Roman" w:eastAsia="Times New Roman" w:hint="default"/>
                <w:sz w:val="16"/>
                <w:szCs w:val="16"/>
              </w:rPr>
            </w:pPr>
            <w:r>
              <w:rPr>
                <w:rFonts w:ascii="Times New Roman"/>
                <w:spacing w:val="-1"/>
                <w:sz w:val="16"/>
              </w:rPr>
              <w:t>642,365,535.23</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1"/>
              <w:jc w:val="right"/>
              <w:rPr>
                <w:rFonts w:ascii="Times New Roman" w:hAnsi="Times New Roman" w:cs="Times New Roman" w:eastAsia="Times New Roman" w:hint="default"/>
                <w:sz w:val="16"/>
                <w:szCs w:val="16"/>
              </w:rPr>
            </w:pPr>
            <w:r>
              <w:rPr>
                <w:rFonts w:ascii="Times New Roman"/>
                <w:spacing w:val="-1"/>
                <w:sz w:val="16"/>
              </w:rPr>
              <w:t>697,600,088.11</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6"/>
              <w:jc w:val="right"/>
              <w:rPr>
                <w:rFonts w:ascii="Times New Roman" w:hAnsi="Times New Roman" w:cs="Times New Roman" w:eastAsia="Times New Roman" w:hint="default"/>
                <w:sz w:val="16"/>
                <w:szCs w:val="16"/>
              </w:rPr>
            </w:pPr>
            <w:r>
              <w:rPr>
                <w:rFonts w:ascii="Times New Roman"/>
                <w:spacing w:val="-1"/>
                <w:sz w:val="16"/>
              </w:rPr>
              <w:t>441,776,971.77</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5"/>
              <w:jc w:val="right"/>
              <w:rPr>
                <w:rFonts w:ascii="Times New Roman" w:hAnsi="Times New Roman" w:cs="Times New Roman" w:eastAsia="Times New Roman" w:hint="default"/>
                <w:sz w:val="16"/>
                <w:szCs w:val="16"/>
              </w:rPr>
            </w:pPr>
            <w:r>
              <w:rPr>
                <w:rFonts w:ascii="Times New Roman"/>
                <w:spacing w:val="-1"/>
                <w:sz w:val="16"/>
              </w:rPr>
              <w:t>1,049,134,952.36</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8"/>
              <w:jc w:val="right"/>
              <w:rPr>
                <w:rFonts w:ascii="Times New Roman" w:hAnsi="Times New Roman" w:cs="Times New Roman" w:eastAsia="Times New Roman" w:hint="default"/>
                <w:sz w:val="16"/>
                <w:szCs w:val="16"/>
              </w:rPr>
            </w:pPr>
            <w:r>
              <w:rPr>
                <w:rFonts w:ascii="Times New Roman"/>
                <w:spacing w:val="-2"/>
                <w:sz w:val="16"/>
              </w:rPr>
              <w:t>76,933,876.00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59"/>
              <w:jc w:val="right"/>
              <w:rPr>
                <w:rFonts w:ascii="Times New Roman" w:hAnsi="Times New Roman" w:cs="Times New Roman" w:eastAsia="Times New Roman" w:hint="default"/>
                <w:sz w:val="16"/>
                <w:szCs w:val="16"/>
              </w:rPr>
            </w:pPr>
            <w:r>
              <w:rPr>
                <w:rFonts w:ascii="Times New Roman"/>
                <w:spacing w:val="-2"/>
                <w:sz w:val="16"/>
              </w:rPr>
              <w:t>33,737,448.35</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8"/>
              <w:jc w:val="right"/>
              <w:rPr>
                <w:rFonts w:ascii="Times New Roman" w:hAnsi="Times New Roman" w:cs="Times New Roman" w:eastAsia="Times New Roman" w:hint="default"/>
                <w:sz w:val="16"/>
                <w:szCs w:val="16"/>
              </w:rPr>
            </w:pPr>
            <w:r>
              <w:rPr>
                <w:rFonts w:ascii="Times New Roman"/>
                <w:spacing w:val="-1"/>
                <w:sz w:val="16"/>
              </w:rPr>
              <w:t>3,605,049,588.36</w:t>
            </w:r>
          </w:p>
        </w:tc>
      </w:tr>
      <w:tr>
        <w:trPr>
          <w:trHeight w:val="226"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本年增加金额</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5"/>
              <w:jc w:val="right"/>
              <w:rPr>
                <w:rFonts w:ascii="Times New Roman" w:hAnsi="Times New Roman" w:cs="Times New Roman" w:eastAsia="Times New Roman" w:hint="default"/>
                <w:sz w:val="16"/>
                <w:szCs w:val="16"/>
              </w:rPr>
            </w:pPr>
            <w:r>
              <w:rPr>
                <w:rFonts w:ascii="Times New Roman"/>
                <w:spacing w:val="-2"/>
                <w:sz w:val="16"/>
              </w:rPr>
              <w:t>95,619,099.24</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1"/>
              <w:jc w:val="right"/>
              <w:rPr>
                <w:rFonts w:ascii="Times New Roman" w:hAnsi="Times New Roman" w:cs="Times New Roman" w:eastAsia="Times New Roman" w:hint="default"/>
                <w:sz w:val="16"/>
                <w:szCs w:val="16"/>
              </w:rPr>
            </w:pPr>
            <w:r>
              <w:rPr>
                <w:rFonts w:ascii="Times New Roman"/>
                <w:spacing w:val="-1"/>
                <w:sz w:val="16"/>
              </w:rPr>
              <w:t>294,267,973.33</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1"/>
              <w:jc w:val="right"/>
              <w:rPr>
                <w:rFonts w:ascii="Times New Roman" w:hAnsi="Times New Roman" w:cs="Times New Roman" w:eastAsia="Times New Roman" w:hint="default"/>
                <w:sz w:val="16"/>
                <w:szCs w:val="16"/>
              </w:rPr>
            </w:pPr>
            <w:r>
              <w:rPr>
                <w:rFonts w:ascii="Times New Roman"/>
                <w:spacing w:val="-1"/>
                <w:sz w:val="16"/>
              </w:rPr>
              <w:t>159,119,105.98</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6"/>
              <w:jc w:val="right"/>
              <w:rPr>
                <w:rFonts w:ascii="Times New Roman" w:hAnsi="Times New Roman" w:cs="Times New Roman" w:eastAsia="Times New Roman" w:hint="default"/>
                <w:sz w:val="16"/>
                <w:szCs w:val="16"/>
              </w:rPr>
            </w:pPr>
            <w:r>
              <w:rPr>
                <w:rFonts w:ascii="Times New Roman"/>
                <w:spacing w:val="-2"/>
                <w:sz w:val="16"/>
              </w:rPr>
              <w:t>71,825,978.63</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5"/>
              <w:jc w:val="right"/>
              <w:rPr>
                <w:rFonts w:ascii="Times New Roman" w:hAnsi="Times New Roman" w:cs="Times New Roman" w:eastAsia="Times New Roman" w:hint="default"/>
                <w:sz w:val="16"/>
                <w:szCs w:val="16"/>
              </w:rPr>
            </w:pPr>
            <w:r>
              <w:rPr>
                <w:rFonts w:ascii="Times New Roman"/>
                <w:spacing w:val="-1"/>
                <w:sz w:val="16"/>
              </w:rPr>
              <w:t>3,800,000.00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57"/>
              <w:jc w:val="right"/>
              <w:rPr>
                <w:rFonts w:ascii="Times New Roman" w:hAnsi="Times New Roman" w:cs="Times New Roman" w:eastAsia="Times New Roman" w:hint="default"/>
                <w:sz w:val="16"/>
                <w:szCs w:val="16"/>
              </w:rPr>
            </w:pPr>
            <w:r>
              <w:rPr>
                <w:rFonts w:ascii="Times New Roman"/>
                <w:spacing w:val="-1"/>
                <w:sz w:val="16"/>
              </w:rPr>
              <w:t>1,076,524.56</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8"/>
              <w:jc w:val="right"/>
              <w:rPr>
                <w:rFonts w:ascii="Times New Roman" w:hAnsi="Times New Roman" w:cs="Times New Roman" w:eastAsia="Times New Roman" w:hint="default"/>
                <w:sz w:val="16"/>
                <w:szCs w:val="16"/>
              </w:rPr>
            </w:pPr>
            <w:r>
              <w:rPr>
                <w:rFonts w:ascii="Times New Roman"/>
                <w:spacing w:val="-1"/>
                <w:sz w:val="16"/>
              </w:rPr>
              <w:t>625,708,681.74</w:t>
            </w:r>
          </w:p>
        </w:tc>
      </w:tr>
      <w:tr>
        <w:trPr>
          <w:trHeight w:val="228"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购置</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5"/>
              <w:jc w:val="right"/>
              <w:rPr>
                <w:rFonts w:ascii="Times New Roman" w:hAnsi="Times New Roman" w:cs="Times New Roman" w:eastAsia="Times New Roman" w:hint="default"/>
                <w:sz w:val="16"/>
                <w:szCs w:val="16"/>
              </w:rPr>
            </w:pPr>
            <w:r>
              <w:rPr>
                <w:rFonts w:ascii="Times New Roman"/>
                <w:spacing w:val="-2"/>
                <w:sz w:val="16"/>
              </w:rPr>
              <w:t>95,231,700.40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3"/>
              <w:jc w:val="right"/>
              <w:rPr>
                <w:rFonts w:ascii="Times New Roman" w:hAnsi="Times New Roman" w:cs="Times New Roman" w:eastAsia="Times New Roman" w:hint="default"/>
                <w:sz w:val="16"/>
                <w:szCs w:val="16"/>
              </w:rPr>
            </w:pPr>
            <w:r>
              <w:rPr>
                <w:rFonts w:ascii="Times New Roman"/>
                <w:spacing w:val="-2"/>
                <w:sz w:val="16"/>
              </w:rPr>
              <w:t>32,242,556.13</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3"/>
              <w:jc w:val="right"/>
              <w:rPr>
                <w:rFonts w:ascii="Times New Roman" w:hAnsi="Times New Roman" w:cs="Times New Roman" w:eastAsia="Times New Roman" w:hint="default"/>
                <w:sz w:val="16"/>
                <w:szCs w:val="16"/>
              </w:rPr>
            </w:pPr>
            <w:r>
              <w:rPr>
                <w:rFonts w:ascii="Times New Roman"/>
                <w:spacing w:val="-2"/>
                <w:sz w:val="16"/>
              </w:rPr>
              <w:t>11,342,875.66</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6"/>
              <w:jc w:val="right"/>
              <w:rPr>
                <w:rFonts w:ascii="Times New Roman" w:hAnsi="Times New Roman" w:cs="Times New Roman" w:eastAsia="Times New Roman" w:hint="default"/>
                <w:sz w:val="16"/>
                <w:szCs w:val="16"/>
              </w:rPr>
            </w:pPr>
            <w:r>
              <w:rPr>
                <w:rFonts w:ascii="Times New Roman"/>
                <w:spacing w:val="-2"/>
                <w:sz w:val="16"/>
              </w:rPr>
              <w:t>16,368,180.85</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56"/>
              <w:jc w:val="right"/>
              <w:rPr>
                <w:rFonts w:ascii="Times New Roman" w:hAnsi="Times New Roman" w:cs="Times New Roman" w:eastAsia="Times New Roman" w:hint="default"/>
                <w:sz w:val="16"/>
                <w:szCs w:val="16"/>
              </w:rPr>
            </w:pPr>
            <w:r>
              <w:rPr>
                <w:rFonts w:ascii="Times New Roman"/>
                <w:spacing w:val="-1"/>
                <w:sz w:val="16"/>
              </w:rPr>
              <w:t>31,524.56</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6"/>
                <w:szCs w:val="16"/>
              </w:rPr>
            </w:pPr>
            <w:r>
              <w:rPr>
                <w:rFonts w:ascii="Times New Roman"/>
                <w:spacing w:val="-1"/>
                <w:sz w:val="16"/>
              </w:rPr>
              <w:t>155,216,837.60</w:t>
            </w:r>
          </w:p>
        </w:tc>
      </w:tr>
      <w:tr>
        <w:trPr>
          <w:trHeight w:val="226"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内部研发</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5"/>
              <w:jc w:val="right"/>
              <w:rPr>
                <w:rFonts w:ascii="Times New Roman" w:hAnsi="Times New Roman" w:cs="Times New Roman" w:eastAsia="Times New Roman" w:hint="default"/>
                <w:sz w:val="16"/>
                <w:szCs w:val="16"/>
              </w:rPr>
            </w:pPr>
            <w:r>
              <w:rPr>
                <w:rFonts w:ascii="Times New Roman"/>
                <w:spacing w:val="-1"/>
                <w:sz w:val="16"/>
              </w:rPr>
              <w:t>0.00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1"/>
              <w:jc w:val="right"/>
              <w:rPr>
                <w:rFonts w:ascii="Times New Roman" w:hAnsi="Times New Roman" w:cs="Times New Roman" w:eastAsia="Times New Roman" w:hint="default"/>
                <w:sz w:val="16"/>
                <w:szCs w:val="16"/>
              </w:rPr>
            </w:pPr>
            <w:r>
              <w:rPr>
                <w:rFonts w:ascii="Times New Roman"/>
                <w:spacing w:val="-1"/>
                <w:sz w:val="16"/>
              </w:rPr>
              <w:t>236,095,229.14</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1"/>
              <w:jc w:val="right"/>
              <w:rPr>
                <w:rFonts w:ascii="Times New Roman" w:hAnsi="Times New Roman" w:cs="Times New Roman" w:eastAsia="Times New Roman" w:hint="default"/>
                <w:sz w:val="16"/>
                <w:szCs w:val="16"/>
              </w:rPr>
            </w:pPr>
            <w:r>
              <w:rPr>
                <w:rFonts w:ascii="Times New Roman"/>
                <w:spacing w:val="-1"/>
                <w:sz w:val="16"/>
              </w:rPr>
              <w:t>145,883,116.25</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6"/>
              <w:jc w:val="right"/>
              <w:rPr>
                <w:rFonts w:ascii="Times New Roman" w:hAnsi="Times New Roman" w:cs="Times New Roman" w:eastAsia="Times New Roman" w:hint="default"/>
                <w:sz w:val="16"/>
                <w:szCs w:val="16"/>
              </w:rPr>
            </w:pPr>
            <w:r>
              <w:rPr>
                <w:rFonts w:ascii="Times New Roman"/>
                <w:spacing w:val="-2"/>
                <w:sz w:val="16"/>
              </w:rPr>
              <w:t>51,138,456.86</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
        </w:tc>
        <w:tc>
          <w:tcPr>
            <w:tcW w:w="1329"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8"/>
              <w:jc w:val="right"/>
              <w:rPr>
                <w:rFonts w:ascii="Times New Roman" w:hAnsi="Times New Roman" w:cs="Times New Roman" w:eastAsia="Times New Roman" w:hint="default"/>
                <w:sz w:val="16"/>
                <w:szCs w:val="16"/>
              </w:rPr>
            </w:pPr>
            <w:r>
              <w:rPr>
                <w:rFonts w:ascii="Times New Roman"/>
                <w:spacing w:val="-1"/>
                <w:sz w:val="16"/>
              </w:rPr>
              <w:t>433,116,802.25</w:t>
            </w:r>
          </w:p>
        </w:tc>
      </w:tr>
      <w:tr>
        <w:trPr>
          <w:trHeight w:val="228"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企业合并增加</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5"/>
              <w:jc w:val="right"/>
              <w:rPr>
                <w:rFonts w:ascii="Times New Roman" w:hAnsi="Times New Roman" w:cs="Times New Roman" w:eastAsia="Times New Roman" w:hint="default"/>
                <w:sz w:val="16"/>
                <w:szCs w:val="16"/>
              </w:rPr>
            </w:pPr>
            <w:r>
              <w:rPr>
                <w:rFonts w:ascii="Times New Roman"/>
                <w:spacing w:val="-1"/>
                <w:sz w:val="16"/>
              </w:rPr>
              <w:t>0.00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2"/>
                <w:sz w:val="16"/>
              </w:rPr>
              <w:t>21,044,255.46</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1,893,114.07</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6"/>
              <w:jc w:val="right"/>
              <w:rPr>
                <w:rFonts w:ascii="Times New Roman" w:hAnsi="Times New Roman" w:cs="Times New Roman" w:eastAsia="Times New Roman" w:hint="default"/>
                <w:sz w:val="16"/>
                <w:szCs w:val="16"/>
              </w:rPr>
            </w:pPr>
            <w:r>
              <w:rPr>
                <w:rFonts w:ascii="Times New Roman"/>
                <w:spacing w:val="-1"/>
                <w:sz w:val="16"/>
              </w:rPr>
              <w:t>3,982,128.37</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3,800,000.00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56"/>
              <w:jc w:val="right"/>
              <w:rPr>
                <w:rFonts w:ascii="Times New Roman" w:hAnsi="Times New Roman" w:cs="Times New Roman" w:eastAsia="Times New Roman" w:hint="default"/>
                <w:sz w:val="16"/>
                <w:szCs w:val="16"/>
              </w:rPr>
            </w:pPr>
            <w:r>
              <w:rPr>
                <w:rFonts w:ascii="Times New Roman"/>
                <w:spacing w:val="-1"/>
                <w:sz w:val="16"/>
              </w:rPr>
              <w:t>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0"/>
              <w:jc w:val="right"/>
              <w:rPr>
                <w:rFonts w:ascii="Times New Roman" w:hAnsi="Times New Roman" w:cs="Times New Roman" w:eastAsia="Times New Roman" w:hint="default"/>
                <w:sz w:val="16"/>
                <w:szCs w:val="16"/>
              </w:rPr>
            </w:pPr>
            <w:r>
              <w:rPr>
                <w:rFonts w:ascii="Times New Roman"/>
                <w:spacing w:val="-2"/>
                <w:sz w:val="16"/>
              </w:rPr>
              <w:t>30,719,497.90</w:t>
            </w:r>
          </w:p>
        </w:tc>
      </w:tr>
      <w:tr>
        <w:trPr>
          <w:trHeight w:val="227"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9"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宋体" w:hAnsi="宋体" w:cs="宋体" w:eastAsia="宋体" w:hint="default"/>
                <w:sz w:val="16"/>
                <w:szCs w:val="16"/>
              </w:rPr>
              <w:t>其他变动增加</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35"/>
              <w:jc w:val="right"/>
              <w:rPr>
                <w:rFonts w:ascii="Times New Roman" w:hAnsi="Times New Roman" w:cs="Times New Roman" w:eastAsia="Times New Roman" w:hint="default"/>
                <w:sz w:val="16"/>
                <w:szCs w:val="16"/>
              </w:rPr>
            </w:pPr>
            <w:r>
              <w:rPr>
                <w:rFonts w:ascii="Times New Roman"/>
                <w:spacing w:val="-1"/>
                <w:sz w:val="16"/>
              </w:rPr>
              <w:t>387,398.84</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51"/>
              <w:jc w:val="right"/>
              <w:rPr>
                <w:rFonts w:ascii="Times New Roman" w:hAnsi="Times New Roman" w:cs="Times New Roman" w:eastAsia="Times New Roman" w:hint="default"/>
                <w:sz w:val="16"/>
                <w:szCs w:val="16"/>
              </w:rPr>
            </w:pPr>
            <w:r>
              <w:rPr>
                <w:rFonts w:ascii="Times New Roman"/>
                <w:spacing w:val="-1"/>
                <w:sz w:val="16"/>
              </w:rPr>
              <w:t>4,885,932.60</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56"/>
              <w:jc w:val="right"/>
              <w:rPr>
                <w:rFonts w:ascii="Times New Roman" w:hAnsi="Times New Roman" w:cs="Times New Roman" w:eastAsia="Times New Roman" w:hint="default"/>
                <w:sz w:val="16"/>
                <w:szCs w:val="16"/>
              </w:rPr>
            </w:pPr>
            <w:r>
              <w:rPr>
                <w:rFonts w:ascii="Times New Roman"/>
                <w:spacing w:val="-1"/>
                <w:sz w:val="16"/>
              </w:rPr>
              <w:t>337,212.55</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57"/>
              <w:jc w:val="right"/>
              <w:rPr>
                <w:rFonts w:ascii="Times New Roman" w:hAnsi="Times New Roman" w:cs="Times New Roman" w:eastAsia="Times New Roman" w:hint="default"/>
                <w:sz w:val="16"/>
                <w:szCs w:val="16"/>
              </w:rPr>
            </w:pPr>
            <w:r>
              <w:rPr>
                <w:rFonts w:ascii="Times New Roman"/>
                <w:spacing w:val="-1"/>
                <w:sz w:val="16"/>
              </w:rPr>
              <w:t>1,045,000.00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7"/>
              <w:jc w:val="right"/>
              <w:rPr>
                <w:rFonts w:ascii="Times New Roman" w:hAnsi="Times New Roman" w:cs="Times New Roman" w:eastAsia="Times New Roman" w:hint="default"/>
                <w:sz w:val="16"/>
                <w:szCs w:val="16"/>
              </w:rPr>
            </w:pPr>
            <w:r>
              <w:rPr>
                <w:rFonts w:ascii="Times New Roman"/>
                <w:spacing w:val="-1"/>
                <w:sz w:val="16"/>
              </w:rPr>
              <w:t>6,655,543.99</w:t>
            </w:r>
          </w:p>
        </w:tc>
      </w:tr>
      <w:tr>
        <w:trPr>
          <w:trHeight w:val="227"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7"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本年减少金额</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35"/>
              <w:jc w:val="right"/>
              <w:rPr>
                <w:rFonts w:ascii="Times New Roman" w:hAnsi="Times New Roman" w:cs="Times New Roman" w:eastAsia="Times New Roman" w:hint="default"/>
                <w:sz w:val="16"/>
                <w:szCs w:val="16"/>
              </w:rPr>
            </w:pPr>
            <w:r>
              <w:rPr>
                <w:rFonts w:ascii="Times New Roman"/>
                <w:spacing w:val="-2"/>
                <w:sz w:val="16"/>
              </w:rPr>
              <w:t>24,414,921.12</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1"/>
              <w:jc w:val="right"/>
              <w:rPr>
                <w:rFonts w:ascii="Times New Roman" w:hAnsi="Times New Roman" w:cs="Times New Roman" w:eastAsia="Times New Roman" w:hint="default"/>
                <w:sz w:val="16"/>
                <w:szCs w:val="16"/>
              </w:rPr>
            </w:pPr>
            <w:r>
              <w:rPr>
                <w:rFonts w:ascii="Times New Roman"/>
                <w:spacing w:val="-2"/>
                <w:sz w:val="16"/>
              </w:rPr>
              <w:t>69,750,064.91</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6"/>
              <w:jc w:val="right"/>
              <w:rPr>
                <w:rFonts w:ascii="Times New Roman" w:hAnsi="Times New Roman" w:cs="Times New Roman" w:eastAsia="Times New Roman" w:hint="default"/>
                <w:sz w:val="16"/>
                <w:szCs w:val="16"/>
              </w:rPr>
            </w:pPr>
            <w:r>
              <w:rPr>
                <w:rFonts w:ascii="Times New Roman"/>
                <w:spacing w:val="-2"/>
                <w:sz w:val="16"/>
              </w:rPr>
              <w:t>43,091,389.20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48"/>
              <w:jc w:val="right"/>
              <w:rPr>
                <w:rFonts w:ascii="Times New Roman" w:hAnsi="Times New Roman" w:cs="Times New Roman" w:eastAsia="Times New Roman" w:hint="default"/>
                <w:sz w:val="16"/>
                <w:szCs w:val="16"/>
              </w:rPr>
            </w:pPr>
            <w:r>
              <w:rPr>
                <w:rFonts w:ascii="Times New Roman"/>
                <w:spacing w:val="-2"/>
                <w:sz w:val="16"/>
              </w:rPr>
              <w:t>15,933,876.00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59"/>
              <w:jc w:val="right"/>
              <w:rPr>
                <w:rFonts w:ascii="Times New Roman" w:hAnsi="Times New Roman" w:cs="Times New Roman" w:eastAsia="Times New Roman" w:hint="default"/>
                <w:sz w:val="16"/>
                <w:szCs w:val="16"/>
              </w:rPr>
            </w:pPr>
            <w:r>
              <w:rPr>
                <w:rFonts w:ascii="Times New Roman"/>
                <w:spacing w:val="-2"/>
                <w:sz w:val="16"/>
              </w:rPr>
              <w:t>12,884,564.37</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8"/>
              <w:jc w:val="right"/>
              <w:rPr>
                <w:rFonts w:ascii="Times New Roman" w:hAnsi="Times New Roman" w:cs="Times New Roman" w:eastAsia="Times New Roman" w:hint="default"/>
                <w:sz w:val="16"/>
                <w:szCs w:val="16"/>
              </w:rPr>
            </w:pPr>
            <w:r>
              <w:rPr>
                <w:rFonts w:ascii="Times New Roman"/>
                <w:spacing w:val="-1"/>
                <w:sz w:val="16"/>
              </w:rPr>
              <w:t>166,074,815.60</w:t>
            </w:r>
          </w:p>
        </w:tc>
      </w:tr>
      <w:tr>
        <w:trPr>
          <w:trHeight w:val="228"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处置</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5"/>
              <w:jc w:val="right"/>
              <w:rPr>
                <w:rFonts w:ascii="Times New Roman" w:hAnsi="Times New Roman" w:cs="Times New Roman" w:eastAsia="Times New Roman" w:hint="default"/>
                <w:sz w:val="16"/>
                <w:szCs w:val="16"/>
              </w:rPr>
            </w:pPr>
            <w:r>
              <w:rPr>
                <w:rFonts w:ascii="Times New Roman"/>
                <w:spacing w:val="-2"/>
                <w:sz w:val="16"/>
              </w:rPr>
              <w:t>20,445,556.00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3"/>
              <w:jc w:val="right"/>
              <w:rPr>
                <w:rFonts w:ascii="Times New Roman" w:hAnsi="Times New Roman" w:cs="Times New Roman" w:eastAsia="Times New Roman" w:hint="default"/>
                <w:sz w:val="16"/>
                <w:szCs w:val="16"/>
              </w:rPr>
            </w:pPr>
            <w:r>
              <w:rPr>
                <w:rFonts w:ascii="Times New Roman"/>
                <w:spacing w:val="-2"/>
                <w:sz w:val="16"/>
              </w:rPr>
              <w:t>39,233,000.00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6"/>
              <w:jc w:val="right"/>
              <w:rPr>
                <w:rFonts w:ascii="Times New Roman" w:hAnsi="Times New Roman" w:cs="Times New Roman" w:eastAsia="Times New Roman" w:hint="default"/>
                <w:sz w:val="16"/>
                <w:szCs w:val="16"/>
              </w:rPr>
            </w:pPr>
            <w:r>
              <w:rPr>
                <w:rFonts w:ascii="Times New Roman"/>
                <w:spacing w:val="-1"/>
                <w:sz w:val="16"/>
              </w:rPr>
              <w:t>0.00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56"/>
              <w:jc w:val="right"/>
              <w:rPr>
                <w:rFonts w:ascii="Times New Roman" w:hAnsi="Times New Roman" w:cs="Times New Roman" w:eastAsia="Times New Roman" w:hint="default"/>
                <w:sz w:val="16"/>
                <w:szCs w:val="16"/>
              </w:rPr>
            </w:pPr>
            <w:r>
              <w:rPr>
                <w:rFonts w:ascii="Times New Roman"/>
                <w:spacing w:val="-1"/>
                <w:sz w:val="16"/>
              </w:rPr>
              <w:t>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0"/>
              <w:jc w:val="right"/>
              <w:rPr>
                <w:rFonts w:ascii="Times New Roman" w:hAnsi="Times New Roman" w:cs="Times New Roman" w:eastAsia="Times New Roman" w:hint="default"/>
                <w:sz w:val="16"/>
                <w:szCs w:val="16"/>
              </w:rPr>
            </w:pPr>
            <w:r>
              <w:rPr>
                <w:rFonts w:ascii="Times New Roman"/>
                <w:spacing w:val="-2"/>
                <w:sz w:val="16"/>
              </w:rPr>
              <w:t>59,678,556.00</w:t>
            </w:r>
          </w:p>
        </w:tc>
      </w:tr>
      <w:tr>
        <w:trPr>
          <w:trHeight w:val="226"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 </w:t>
            </w:r>
            <w:r>
              <w:rPr>
                <w:rFonts w:ascii="Times New Roman" w:hAnsi="Times New Roman" w:cs="Times New Roman" w:eastAsia="Times New Roman" w:hint="default"/>
                <w:spacing w:val="18"/>
                <w:sz w:val="16"/>
                <w:szCs w:val="16"/>
              </w:rPr>
              <w:t> </w:t>
            </w:r>
            <w:r>
              <w:rPr>
                <w:rFonts w:ascii="宋体" w:hAnsi="宋体" w:cs="宋体" w:eastAsia="宋体" w:hint="default"/>
                <w:sz w:val="16"/>
                <w:szCs w:val="16"/>
              </w:rPr>
              <w:t>企业合并减少</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5"/>
              <w:jc w:val="right"/>
              <w:rPr>
                <w:rFonts w:ascii="Times New Roman" w:hAnsi="Times New Roman" w:cs="Times New Roman" w:eastAsia="Times New Roman" w:hint="default"/>
                <w:sz w:val="16"/>
                <w:szCs w:val="16"/>
              </w:rPr>
            </w:pPr>
            <w:r>
              <w:rPr>
                <w:rFonts w:ascii="Times New Roman"/>
                <w:spacing w:val="-1"/>
                <w:sz w:val="16"/>
              </w:rPr>
              <w:t>3,969,365.12</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1"/>
              <w:jc w:val="right"/>
              <w:rPr>
                <w:rFonts w:ascii="Times New Roman" w:hAnsi="Times New Roman" w:cs="Times New Roman" w:eastAsia="Times New Roman" w:hint="default"/>
                <w:sz w:val="16"/>
                <w:szCs w:val="16"/>
              </w:rPr>
            </w:pPr>
            <w:r>
              <w:rPr>
                <w:rFonts w:ascii="Times New Roman"/>
                <w:spacing w:val="-2"/>
                <w:sz w:val="16"/>
              </w:rPr>
              <w:t>30,517,064.91</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6"/>
              <w:jc w:val="right"/>
              <w:rPr>
                <w:rFonts w:ascii="Times New Roman" w:hAnsi="Times New Roman" w:cs="Times New Roman" w:eastAsia="Times New Roman" w:hint="default"/>
                <w:sz w:val="16"/>
                <w:szCs w:val="16"/>
              </w:rPr>
            </w:pPr>
            <w:r>
              <w:rPr>
                <w:rFonts w:ascii="Times New Roman"/>
                <w:spacing w:val="-2"/>
                <w:sz w:val="16"/>
              </w:rPr>
              <w:t>43,091,389.20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Times New Roman" w:hAnsi="Times New Roman" w:cs="Times New Roman" w:eastAsia="Times New Roman" w:hint="default"/>
                <w:sz w:val="16"/>
                <w:szCs w:val="16"/>
              </w:rPr>
            </w:pPr>
            <w:r>
              <w:rPr>
                <w:rFonts w:ascii="Times New Roman"/>
                <w:spacing w:val="-2"/>
                <w:sz w:val="16"/>
              </w:rPr>
              <w:t>15,933,876.00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59"/>
              <w:jc w:val="right"/>
              <w:rPr>
                <w:rFonts w:ascii="Times New Roman" w:hAnsi="Times New Roman" w:cs="Times New Roman" w:eastAsia="Times New Roman" w:hint="default"/>
                <w:sz w:val="16"/>
                <w:szCs w:val="16"/>
              </w:rPr>
            </w:pPr>
            <w:r>
              <w:rPr>
                <w:rFonts w:ascii="Times New Roman"/>
                <w:spacing w:val="-2"/>
                <w:sz w:val="16"/>
              </w:rPr>
              <w:t>12,884,564.37</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8"/>
              <w:jc w:val="right"/>
              <w:rPr>
                <w:rFonts w:ascii="Times New Roman" w:hAnsi="Times New Roman" w:cs="Times New Roman" w:eastAsia="Times New Roman" w:hint="default"/>
                <w:sz w:val="16"/>
                <w:szCs w:val="16"/>
              </w:rPr>
            </w:pPr>
            <w:r>
              <w:rPr>
                <w:rFonts w:ascii="Times New Roman"/>
                <w:spacing w:val="-1"/>
                <w:sz w:val="16"/>
              </w:rPr>
              <w:t>106,396,259.60</w:t>
            </w:r>
          </w:p>
        </w:tc>
      </w:tr>
      <w:tr>
        <w:trPr>
          <w:trHeight w:val="228"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9"/>
                <w:sz w:val="16"/>
                <w:szCs w:val="16"/>
              </w:rPr>
              <w:t> </w:t>
            </w:r>
            <w:r>
              <w:rPr>
                <w:rFonts w:ascii="宋体" w:hAnsi="宋体" w:cs="宋体" w:eastAsia="宋体" w:hint="default"/>
                <w:sz w:val="16"/>
                <w:szCs w:val="16"/>
              </w:rPr>
              <w:t>其他变动减少</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5"/>
              <w:jc w:val="right"/>
              <w:rPr>
                <w:rFonts w:ascii="Times New Roman" w:hAnsi="Times New Roman" w:cs="Times New Roman" w:eastAsia="Times New Roman" w:hint="default"/>
                <w:sz w:val="16"/>
                <w:szCs w:val="16"/>
              </w:rPr>
            </w:pPr>
            <w:r>
              <w:rPr>
                <w:rFonts w:ascii="Times New Roman"/>
                <w:spacing w:val="-1"/>
                <w:sz w:val="16"/>
              </w:rPr>
              <w:t>0.00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6"/>
              <w:jc w:val="right"/>
              <w:rPr>
                <w:rFonts w:ascii="Times New Roman" w:hAnsi="Times New Roman" w:cs="Times New Roman" w:eastAsia="Times New Roman" w:hint="default"/>
                <w:sz w:val="16"/>
                <w:szCs w:val="16"/>
              </w:rPr>
            </w:pPr>
            <w:r>
              <w:rPr>
                <w:rFonts w:ascii="Times New Roman"/>
                <w:spacing w:val="-1"/>
                <w:sz w:val="16"/>
              </w:rPr>
              <w:t>0.00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56"/>
              <w:jc w:val="right"/>
              <w:rPr>
                <w:rFonts w:ascii="Times New Roman" w:hAnsi="Times New Roman" w:cs="Times New Roman" w:eastAsia="Times New Roman" w:hint="default"/>
                <w:sz w:val="16"/>
                <w:szCs w:val="16"/>
              </w:rPr>
            </w:pPr>
            <w:r>
              <w:rPr>
                <w:rFonts w:ascii="Times New Roman"/>
                <w:spacing w:val="-1"/>
                <w:sz w:val="16"/>
              </w:rPr>
              <w:t>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7"/>
              <w:jc w:val="right"/>
              <w:rPr>
                <w:rFonts w:ascii="Times New Roman" w:hAnsi="Times New Roman" w:cs="Times New Roman" w:eastAsia="Times New Roman" w:hint="default"/>
                <w:sz w:val="16"/>
                <w:szCs w:val="16"/>
              </w:rPr>
            </w:pPr>
            <w:r>
              <w:rPr>
                <w:rFonts w:ascii="Times New Roman"/>
                <w:spacing w:val="-1"/>
                <w:sz w:val="16"/>
              </w:rPr>
              <w:t>0.00</w:t>
            </w:r>
          </w:p>
        </w:tc>
      </w:tr>
      <w:tr>
        <w:trPr>
          <w:trHeight w:val="214" w:hRule="exact"/>
        </w:trPr>
        <w:tc>
          <w:tcPr>
            <w:tcW w:w="1893" w:type="dxa"/>
            <w:tcBorders>
              <w:top w:val="nil" w:sz="6" w:space="0" w:color="auto"/>
              <w:left w:val="nil" w:sz="6" w:space="0" w:color="auto"/>
              <w:bottom w:val="single" w:sz="4" w:space="0" w:color="000000"/>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宋体" w:hAnsi="宋体" w:cs="宋体" w:eastAsia="宋体" w:hint="default"/>
                <w:sz w:val="16"/>
                <w:szCs w:val="16"/>
              </w:rPr>
              <w:t>年末余额</w:t>
            </w:r>
          </w:p>
        </w:tc>
        <w:tc>
          <w:tcPr>
            <w:tcW w:w="1786"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36"/>
              <w:jc w:val="right"/>
              <w:rPr>
                <w:rFonts w:ascii="Times New Roman" w:hAnsi="Times New Roman" w:cs="Times New Roman" w:eastAsia="Times New Roman" w:hint="default"/>
                <w:sz w:val="16"/>
                <w:szCs w:val="16"/>
              </w:rPr>
            </w:pPr>
            <w:r>
              <w:rPr>
                <w:rFonts w:ascii="Times New Roman"/>
                <w:spacing w:val="-1"/>
                <w:sz w:val="16"/>
              </w:rPr>
              <w:t>733,383,466.12</w:t>
            </w:r>
          </w:p>
        </w:tc>
        <w:tc>
          <w:tcPr>
            <w:tcW w:w="1160"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left="164" w:right="0"/>
              <w:jc w:val="left"/>
              <w:rPr>
                <w:rFonts w:ascii="Times New Roman" w:hAnsi="Times New Roman" w:cs="Times New Roman" w:eastAsia="Times New Roman" w:hint="default"/>
                <w:sz w:val="16"/>
                <w:szCs w:val="16"/>
              </w:rPr>
            </w:pPr>
            <w:r>
              <w:rPr>
                <w:rFonts w:ascii="Times New Roman"/>
                <w:sz w:val="16"/>
              </w:rPr>
              <w:t>1,321,428.54</w:t>
            </w:r>
          </w:p>
        </w:tc>
        <w:tc>
          <w:tcPr>
            <w:tcW w:w="1309"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936,633,508.56</w:t>
            </w:r>
          </w:p>
        </w:tc>
        <w:tc>
          <w:tcPr>
            <w:tcW w:w="1308"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786,969,129.18</w:t>
            </w:r>
          </w:p>
        </w:tc>
        <w:tc>
          <w:tcPr>
            <w:tcW w:w="1313"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56"/>
              <w:jc w:val="right"/>
              <w:rPr>
                <w:rFonts w:ascii="Times New Roman" w:hAnsi="Times New Roman" w:cs="Times New Roman" w:eastAsia="Times New Roman" w:hint="default"/>
                <w:sz w:val="16"/>
                <w:szCs w:val="16"/>
              </w:rPr>
            </w:pPr>
            <w:r>
              <w:rPr>
                <w:rFonts w:ascii="Times New Roman"/>
                <w:spacing w:val="-1"/>
                <w:sz w:val="16"/>
              </w:rPr>
              <w:t>470,511,561.20</w:t>
            </w:r>
          </w:p>
        </w:tc>
        <w:tc>
          <w:tcPr>
            <w:tcW w:w="1427"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1,049,134,952.36</w:t>
            </w:r>
          </w:p>
        </w:tc>
        <w:tc>
          <w:tcPr>
            <w:tcW w:w="1217"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48"/>
              <w:jc w:val="right"/>
              <w:rPr>
                <w:rFonts w:ascii="Times New Roman" w:hAnsi="Times New Roman" w:cs="Times New Roman" w:eastAsia="Times New Roman" w:hint="default"/>
                <w:sz w:val="16"/>
                <w:szCs w:val="16"/>
              </w:rPr>
            </w:pPr>
            <w:r>
              <w:rPr>
                <w:rFonts w:ascii="Times New Roman"/>
                <w:spacing w:val="-2"/>
                <w:sz w:val="16"/>
              </w:rPr>
              <w:t>64,800,000.00</w:t>
            </w:r>
          </w:p>
        </w:tc>
        <w:tc>
          <w:tcPr>
            <w:tcW w:w="1329"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259"/>
              <w:jc w:val="right"/>
              <w:rPr>
                <w:rFonts w:ascii="Times New Roman" w:hAnsi="Times New Roman" w:cs="Times New Roman" w:eastAsia="Times New Roman" w:hint="default"/>
                <w:sz w:val="16"/>
                <w:szCs w:val="16"/>
              </w:rPr>
            </w:pPr>
            <w:r>
              <w:rPr>
                <w:rFonts w:ascii="Times New Roman"/>
                <w:spacing w:val="-2"/>
                <w:sz w:val="16"/>
              </w:rPr>
              <w:t>21,929,408.54</w:t>
            </w:r>
          </w:p>
        </w:tc>
        <w:tc>
          <w:tcPr>
            <w:tcW w:w="1490"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6"/>
                <w:szCs w:val="16"/>
              </w:rPr>
            </w:pPr>
            <w:r>
              <w:rPr>
                <w:rFonts w:ascii="Times New Roman"/>
                <w:spacing w:val="-1"/>
                <w:sz w:val="16"/>
              </w:rPr>
              <w:t>4,064,683,454.50</w:t>
            </w:r>
          </w:p>
        </w:tc>
      </w:tr>
      <w:tr>
        <w:trPr>
          <w:trHeight w:val="231" w:hRule="exact"/>
        </w:trPr>
        <w:tc>
          <w:tcPr>
            <w:tcW w:w="1893" w:type="dxa"/>
            <w:tcBorders>
              <w:top w:val="single" w:sz="4" w:space="0" w:color="000000"/>
              <w:left w:val="nil" w:sz="6" w:space="0" w:color="auto"/>
              <w:bottom w:val="nil" w:sz="6" w:space="0" w:color="auto"/>
              <w:right w:val="nil" w:sz="6" w:space="0" w:color="auto"/>
            </w:tcBorders>
          </w:tcPr>
          <w:p>
            <w:pPr>
              <w:pStyle w:val="TableParagraph"/>
              <w:spacing w:line="193" w:lineRule="exact"/>
              <w:ind w:left="122" w:right="0"/>
              <w:jc w:val="left"/>
              <w:rPr>
                <w:rFonts w:ascii="宋体" w:hAnsi="宋体" w:cs="宋体" w:eastAsia="宋体" w:hint="default"/>
                <w:sz w:val="16"/>
                <w:szCs w:val="16"/>
              </w:rPr>
            </w:pPr>
            <w:r>
              <w:rPr>
                <w:rFonts w:ascii="宋体" w:hAnsi="宋体" w:cs="宋体" w:eastAsia="宋体" w:hint="default"/>
                <w:sz w:val="16"/>
                <w:szCs w:val="16"/>
              </w:rPr>
              <w:t>二、累计摊销</w:t>
            </w:r>
          </w:p>
        </w:tc>
        <w:tc>
          <w:tcPr>
            <w:tcW w:w="1786" w:type="dxa"/>
            <w:tcBorders>
              <w:top w:val="single" w:sz="4" w:space="0" w:color="000000"/>
              <w:left w:val="nil" w:sz="6" w:space="0" w:color="auto"/>
              <w:bottom w:val="nil" w:sz="6" w:space="0" w:color="auto"/>
              <w:right w:val="nil" w:sz="6" w:space="0" w:color="auto"/>
            </w:tcBorders>
          </w:tcPr>
          <w:p>
            <w:pPr/>
          </w:p>
        </w:tc>
        <w:tc>
          <w:tcPr>
            <w:tcW w:w="1160" w:type="dxa"/>
            <w:tcBorders>
              <w:top w:val="single" w:sz="4" w:space="0" w:color="000000"/>
              <w:left w:val="nil" w:sz="6" w:space="0" w:color="auto"/>
              <w:bottom w:val="nil" w:sz="6" w:space="0" w:color="auto"/>
              <w:right w:val="nil" w:sz="6" w:space="0" w:color="auto"/>
            </w:tcBorders>
          </w:tcPr>
          <w:p>
            <w:pPr/>
          </w:p>
        </w:tc>
        <w:tc>
          <w:tcPr>
            <w:tcW w:w="1309" w:type="dxa"/>
            <w:tcBorders>
              <w:top w:val="single" w:sz="4" w:space="0" w:color="000000"/>
              <w:left w:val="nil" w:sz="6" w:space="0" w:color="auto"/>
              <w:bottom w:val="nil" w:sz="6" w:space="0" w:color="auto"/>
              <w:right w:val="nil" w:sz="6" w:space="0" w:color="auto"/>
            </w:tcBorders>
          </w:tcPr>
          <w:p>
            <w:pPr/>
          </w:p>
        </w:tc>
        <w:tc>
          <w:tcPr>
            <w:tcW w:w="1308" w:type="dxa"/>
            <w:tcBorders>
              <w:top w:val="single" w:sz="4" w:space="0" w:color="000000"/>
              <w:left w:val="nil" w:sz="6" w:space="0" w:color="auto"/>
              <w:bottom w:val="nil" w:sz="6" w:space="0" w:color="auto"/>
              <w:right w:val="nil" w:sz="6" w:space="0" w:color="auto"/>
            </w:tcBorders>
          </w:tcPr>
          <w:p>
            <w:pPr/>
          </w:p>
        </w:tc>
        <w:tc>
          <w:tcPr>
            <w:tcW w:w="1313" w:type="dxa"/>
            <w:tcBorders>
              <w:top w:val="single" w:sz="4" w:space="0" w:color="000000"/>
              <w:left w:val="nil" w:sz="6" w:space="0" w:color="auto"/>
              <w:bottom w:val="nil" w:sz="6" w:space="0" w:color="auto"/>
              <w:right w:val="nil" w:sz="6" w:space="0" w:color="auto"/>
            </w:tcBorders>
          </w:tcPr>
          <w:p>
            <w:pPr/>
          </w:p>
        </w:tc>
        <w:tc>
          <w:tcPr>
            <w:tcW w:w="1427" w:type="dxa"/>
            <w:tcBorders>
              <w:top w:val="single" w:sz="4" w:space="0" w:color="000000"/>
              <w:left w:val="nil" w:sz="6" w:space="0" w:color="auto"/>
              <w:bottom w:val="nil" w:sz="6" w:space="0" w:color="auto"/>
              <w:right w:val="nil" w:sz="6" w:space="0" w:color="auto"/>
            </w:tcBorders>
          </w:tcPr>
          <w:p>
            <w:pPr/>
          </w:p>
        </w:tc>
        <w:tc>
          <w:tcPr>
            <w:tcW w:w="1217" w:type="dxa"/>
            <w:tcBorders>
              <w:top w:val="single" w:sz="4" w:space="0" w:color="000000"/>
              <w:left w:val="nil" w:sz="6" w:space="0" w:color="auto"/>
              <w:bottom w:val="nil" w:sz="6" w:space="0" w:color="auto"/>
              <w:right w:val="nil" w:sz="6" w:space="0" w:color="auto"/>
            </w:tcBorders>
          </w:tcPr>
          <w:p>
            <w:pPr/>
          </w:p>
        </w:tc>
        <w:tc>
          <w:tcPr>
            <w:tcW w:w="1329" w:type="dxa"/>
            <w:tcBorders>
              <w:top w:val="single" w:sz="4" w:space="0" w:color="000000"/>
              <w:left w:val="nil" w:sz="6" w:space="0" w:color="auto"/>
              <w:bottom w:val="nil" w:sz="6" w:space="0" w:color="auto"/>
              <w:right w:val="nil" w:sz="6" w:space="0" w:color="auto"/>
            </w:tcBorders>
          </w:tcPr>
          <w:p>
            <w:pPr/>
          </w:p>
        </w:tc>
        <w:tc>
          <w:tcPr>
            <w:tcW w:w="1490" w:type="dxa"/>
            <w:tcBorders>
              <w:top w:val="single" w:sz="4" w:space="0" w:color="000000"/>
              <w:left w:val="nil" w:sz="6" w:space="0" w:color="auto"/>
              <w:bottom w:val="nil" w:sz="6" w:space="0" w:color="auto"/>
              <w:right w:val="nil" w:sz="6" w:space="0" w:color="auto"/>
            </w:tcBorders>
          </w:tcPr>
          <w:p>
            <w:pPr/>
          </w:p>
        </w:tc>
      </w:tr>
      <w:tr>
        <w:trPr>
          <w:trHeight w:val="236"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206"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年初余额</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8"/>
              <w:jc w:val="right"/>
              <w:rPr>
                <w:rFonts w:ascii="Times New Roman" w:hAnsi="Times New Roman" w:cs="Times New Roman" w:eastAsia="Times New Roman" w:hint="default"/>
                <w:sz w:val="16"/>
                <w:szCs w:val="16"/>
              </w:rPr>
            </w:pPr>
            <w:r>
              <w:rPr>
                <w:rFonts w:ascii="Times New Roman"/>
                <w:spacing w:val="-2"/>
                <w:sz w:val="16"/>
              </w:rPr>
              <w:t>64,808,579.80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3"/>
              <w:jc w:val="right"/>
              <w:rPr>
                <w:rFonts w:ascii="Times New Roman" w:hAnsi="Times New Roman" w:cs="Times New Roman" w:eastAsia="Times New Roman" w:hint="default"/>
                <w:sz w:val="16"/>
                <w:szCs w:val="16"/>
              </w:rPr>
            </w:pPr>
            <w:r>
              <w:rPr>
                <w:rFonts w:ascii="Times New Roman"/>
                <w:spacing w:val="-1"/>
                <w:sz w:val="16"/>
              </w:rPr>
              <w:t>243,959.54</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1"/>
              <w:jc w:val="right"/>
              <w:rPr>
                <w:rFonts w:ascii="Times New Roman" w:hAnsi="Times New Roman" w:cs="Times New Roman" w:eastAsia="Times New Roman" w:hint="default"/>
                <w:sz w:val="16"/>
                <w:szCs w:val="16"/>
              </w:rPr>
            </w:pPr>
            <w:r>
              <w:rPr>
                <w:rFonts w:ascii="Times New Roman"/>
                <w:spacing w:val="-1"/>
                <w:sz w:val="16"/>
              </w:rPr>
              <w:t>142,914,103.16</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1"/>
              <w:jc w:val="right"/>
              <w:rPr>
                <w:rFonts w:ascii="Times New Roman" w:hAnsi="Times New Roman" w:cs="Times New Roman" w:eastAsia="Times New Roman" w:hint="default"/>
                <w:sz w:val="16"/>
                <w:szCs w:val="16"/>
              </w:rPr>
            </w:pPr>
            <w:r>
              <w:rPr>
                <w:rFonts w:ascii="Times New Roman"/>
                <w:spacing w:val="-1"/>
                <w:sz w:val="16"/>
              </w:rPr>
              <w:t>391,714,971.90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6"/>
              <w:jc w:val="right"/>
              <w:rPr>
                <w:rFonts w:ascii="Times New Roman" w:hAnsi="Times New Roman" w:cs="Times New Roman" w:eastAsia="Times New Roman" w:hint="default"/>
                <w:sz w:val="16"/>
                <w:szCs w:val="16"/>
              </w:rPr>
            </w:pPr>
            <w:r>
              <w:rPr>
                <w:rFonts w:ascii="Times New Roman"/>
                <w:spacing w:val="-1"/>
                <w:sz w:val="16"/>
              </w:rPr>
              <w:t>182,677,830.99</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5"/>
              <w:jc w:val="right"/>
              <w:rPr>
                <w:rFonts w:ascii="Times New Roman" w:hAnsi="Times New Roman" w:cs="Times New Roman" w:eastAsia="Times New Roman" w:hint="default"/>
                <w:sz w:val="16"/>
                <w:szCs w:val="16"/>
              </w:rPr>
            </w:pPr>
            <w:r>
              <w:rPr>
                <w:rFonts w:ascii="Times New Roman"/>
                <w:spacing w:val="-1"/>
                <w:sz w:val="16"/>
              </w:rPr>
              <w:t>125,768,811.39</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59"/>
              <w:jc w:val="right"/>
              <w:rPr>
                <w:rFonts w:ascii="Times New Roman" w:hAnsi="Times New Roman" w:cs="Times New Roman" w:eastAsia="Times New Roman" w:hint="default"/>
                <w:sz w:val="16"/>
                <w:szCs w:val="16"/>
              </w:rPr>
            </w:pPr>
            <w:r>
              <w:rPr>
                <w:rFonts w:ascii="Times New Roman"/>
                <w:spacing w:val="-2"/>
                <w:sz w:val="16"/>
              </w:rPr>
              <w:t>13,372,696.03</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8"/>
              <w:jc w:val="right"/>
              <w:rPr>
                <w:rFonts w:ascii="Times New Roman" w:hAnsi="Times New Roman" w:cs="Times New Roman" w:eastAsia="Times New Roman" w:hint="default"/>
                <w:sz w:val="16"/>
                <w:szCs w:val="16"/>
              </w:rPr>
            </w:pPr>
            <w:r>
              <w:rPr>
                <w:rFonts w:ascii="Times New Roman"/>
                <w:spacing w:val="-1"/>
                <w:sz w:val="16"/>
              </w:rPr>
              <w:t>921,500,952.81</w:t>
            </w:r>
          </w:p>
        </w:tc>
      </w:tr>
      <w:tr>
        <w:trPr>
          <w:trHeight w:val="226"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本年增加金额</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5"/>
              <w:jc w:val="right"/>
              <w:rPr>
                <w:rFonts w:ascii="Times New Roman" w:hAnsi="Times New Roman" w:cs="Times New Roman" w:eastAsia="Times New Roman" w:hint="default"/>
                <w:sz w:val="16"/>
                <w:szCs w:val="16"/>
              </w:rPr>
            </w:pPr>
            <w:r>
              <w:rPr>
                <w:rFonts w:ascii="Times New Roman"/>
                <w:spacing w:val="-2"/>
                <w:sz w:val="16"/>
              </w:rPr>
              <w:t>14,286,656.83</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3"/>
              <w:jc w:val="right"/>
              <w:rPr>
                <w:rFonts w:ascii="Times New Roman" w:hAnsi="Times New Roman" w:cs="Times New Roman" w:eastAsia="Times New Roman" w:hint="default"/>
                <w:sz w:val="16"/>
                <w:szCs w:val="16"/>
              </w:rPr>
            </w:pPr>
            <w:r>
              <w:rPr>
                <w:rFonts w:ascii="Times New Roman"/>
                <w:spacing w:val="-1"/>
                <w:sz w:val="16"/>
              </w:rPr>
              <w:t>30,494.52</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3"/>
              <w:jc w:val="right"/>
              <w:rPr>
                <w:rFonts w:ascii="Times New Roman" w:hAnsi="Times New Roman" w:cs="Times New Roman" w:eastAsia="Times New Roman" w:hint="default"/>
                <w:sz w:val="16"/>
                <w:szCs w:val="16"/>
              </w:rPr>
            </w:pPr>
            <w:r>
              <w:rPr>
                <w:rFonts w:ascii="Times New Roman"/>
                <w:spacing w:val="-2"/>
                <w:sz w:val="16"/>
              </w:rPr>
              <w:t>92,206,885.77</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3"/>
              <w:jc w:val="right"/>
              <w:rPr>
                <w:rFonts w:ascii="Times New Roman" w:hAnsi="Times New Roman" w:cs="Times New Roman" w:eastAsia="Times New Roman" w:hint="default"/>
                <w:sz w:val="16"/>
                <w:szCs w:val="16"/>
              </w:rPr>
            </w:pPr>
            <w:r>
              <w:rPr>
                <w:rFonts w:ascii="Times New Roman"/>
                <w:spacing w:val="-2"/>
                <w:sz w:val="16"/>
              </w:rPr>
              <w:t>78,155,711.79</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6"/>
              <w:jc w:val="right"/>
              <w:rPr>
                <w:rFonts w:ascii="Times New Roman" w:hAnsi="Times New Roman" w:cs="Times New Roman" w:eastAsia="Times New Roman" w:hint="default"/>
                <w:sz w:val="16"/>
                <w:szCs w:val="16"/>
              </w:rPr>
            </w:pPr>
            <w:r>
              <w:rPr>
                <w:rFonts w:ascii="Times New Roman"/>
                <w:spacing w:val="-2"/>
                <w:sz w:val="16"/>
              </w:rPr>
              <w:t>83,434,468.80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5"/>
              <w:jc w:val="right"/>
              <w:rPr>
                <w:rFonts w:ascii="Times New Roman" w:hAnsi="Times New Roman" w:cs="Times New Roman" w:eastAsia="Times New Roman" w:hint="default"/>
                <w:sz w:val="16"/>
                <w:szCs w:val="16"/>
              </w:rPr>
            </w:pPr>
            <w:r>
              <w:rPr>
                <w:rFonts w:ascii="Times New Roman"/>
                <w:spacing w:val="-2"/>
                <w:sz w:val="16"/>
              </w:rPr>
              <w:t>34,933,176.72</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5"/>
              <w:jc w:val="right"/>
              <w:rPr>
                <w:rFonts w:ascii="Times New Roman" w:hAnsi="Times New Roman" w:cs="Times New Roman" w:eastAsia="Times New Roman" w:hint="default"/>
                <w:sz w:val="16"/>
                <w:szCs w:val="16"/>
              </w:rPr>
            </w:pPr>
            <w:r>
              <w:rPr>
                <w:rFonts w:ascii="Times New Roman"/>
                <w:spacing w:val="-1"/>
                <w:sz w:val="16"/>
              </w:rPr>
              <w:t>285,000.00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56"/>
              <w:jc w:val="right"/>
              <w:rPr>
                <w:rFonts w:ascii="Times New Roman" w:hAnsi="Times New Roman" w:cs="Times New Roman" w:eastAsia="Times New Roman" w:hint="default"/>
                <w:sz w:val="16"/>
                <w:szCs w:val="16"/>
              </w:rPr>
            </w:pPr>
            <w:r>
              <w:rPr>
                <w:rFonts w:ascii="Times New Roman"/>
                <w:spacing w:val="-1"/>
                <w:sz w:val="16"/>
              </w:rPr>
              <w:t>799,791.12</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8"/>
              <w:jc w:val="right"/>
              <w:rPr>
                <w:rFonts w:ascii="Times New Roman" w:hAnsi="Times New Roman" w:cs="Times New Roman" w:eastAsia="Times New Roman" w:hint="default"/>
                <w:sz w:val="16"/>
                <w:szCs w:val="16"/>
              </w:rPr>
            </w:pPr>
            <w:r>
              <w:rPr>
                <w:rFonts w:ascii="Times New Roman"/>
                <w:spacing w:val="-1"/>
                <w:sz w:val="16"/>
              </w:rPr>
              <w:t>304,132,185.55</w:t>
            </w:r>
          </w:p>
        </w:tc>
      </w:tr>
      <w:tr>
        <w:trPr>
          <w:trHeight w:val="228"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计提</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5"/>
              <w:jc w:val="right"/>
              <w:rPr>
                <w:rFonts w:ascii="Times New Roman" w:hAnsi="Times New Roman" w:cs="Times New Roman" w:eastAsia="Times New Roman" w:hint="default"/>
                <w:sz w:val="16"/>
                <w:szCs w:val="16"/>
              </w:rPr>
            </w:pPr>
            <w:r>
              <w:rPr>
                <w:rFonts w:ascii="Times New Roman"/>
                <w:spacing w:val="-2"/>
                <w:sz w:val="16"/>
              </w:rPr>
              <w:t>14,208,511.33</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3"/>
              <w:jc w:val="right"/>
              <w:rPr>
                <w:rFonts w:ascii="Times New Roman" w:hAnsi="Times New Roman" w:cs="Times New Roman" w:eastAsia="Times New Roman" w:hint="default"/>
                <w:sz w:val="16"/>
                <w:szCs w:val="16"/>
              </w:rPr>
            </w:pPr>
            <w:r>
              <w:rPr>
                <w:rFonts w:ascii="Times New Roman"/>
                <w:spacing w:val="-1"/>
                <w:sz w:val="16"/>
              </w:rPr>
              <w:t>30,494.52</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3"/>
              <w:jc w:val="right"/>
              <w:rPr>
                <w:rFonts w:ascii="Times New Roman" w:hAnsi="Times New Roman" w:cs="Times New Roman" w:eastAsia="Times New Roman" w:hint="default"/>
                <w:sz w:val="16"/>
                <w:szCs w:val="16"/>
              </w:rPr>
            </w:pPr>
            <w:r>
              <w:rPr>
                <w:rFonts w:ascii="Times New Roman"/>
                <w:spacing w:val="-2"/>
                <w:sz w:val="16"/>
              </w:rPr>
              <w:t>88,455,342.54</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3"/>
              <w:jc w:val="right"/>
              <w:rPr>
                <w:rFonts w:ascii="Times New Roman" w:hAnsi="Times New Roman" w:cs="Times New Roman" w:eastAsia="Times New Roman" w:hint="default"/>
                <w:sz w:val="16"/>
                <w:szCs w:val="16"/>
              </w:rPr>
            </w:pPr>
            <w:r>
              <w:rPr>
                <w:rFonts w:ascii="Times New Roman"/>
                <w:spacing w:val="-2"/>
                <w:sz w:val="16"/>
              </w:rPr>
              <w:t>76,566,764.23</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9"/>
              <w:jc w:val="right"/>
              <w:rPr>
                <w:rFonts w:ascii="Times New Roman" w:hAnsi="Times New Roman" w:cs="Times New Roman" w:eastAsia="Times New Roman" w:hint="default"/>
                <w:sz w:val="16"/>
                <w:szCs w:val="16"/>
              </w:rPr>
            </w:pPr>
            <w:r>
              <w:rPr>
                <w:rFonts w:ascii="Times New Roman"/>
                <w:spacing w:val="-2"/>
                <w:sz w:val="16"/>
              </w:rPr>
              <w:t>83,024,148.37</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2"/>
                <w:sz w:val="16"/>
              </w:rPr>
              <w:t>34,933,176.72</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56"/>
              <w:jc w:val="right"/>
              <w:rPr>
                <w:rFonts w:ascii="Times New Roman" w:hAnsi="Times New Roman" w:cs="Times New Roman" w:eastAsia="Times New Roman" w:hint="default"/>
                <w:sz w:val="16"/>
                <w:szCs w:val="16"/>
              </w:rPr>
            </w:pPr>
            <w:r>
              <w:rPr>
                <w:rFonts w:ascii="Times New Roman"/>
                <w:spacing w:val="-1"/>
                <w:sz w:val="16"/>
              </w:rPr>
              <w:t>766,131.12</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6"/>
                <w:szCs w:val="16"/>
              </w:rPr>
            </w:pPr>
            <w:r>
              <w:rPr>
                <w:rFonts w:ascii="Times New Roman"/>
                <w:spacing w:val="-1"/>
                <w:sz w:val="16"/>
              </w:rPr>
              <w:t>297,984,568.83</w:t>
            </w:r>
          </w:p>
        </w:tc>
      </w:tr>
      <w:tr>
        <w:trPr>
          <w:trHeight w:val="226"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9"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合并增加</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5"/>
              <w:jc w:val="right"/>
              <w:rPr>
                <w:rFonts w:ascii="Times New Roman" w:hAnsi="Times New Roman" w:cs="Times New Roman" w:eastAsia="Times New Roman" w:hint="default"/>
                <w:sz w:val="16"/>
                <w:szCs w:val="16"/>
              </w:rPr>
            </w:pPr>
            <w:r>
              <w:rPr>
                <w:rFonts w:ascii="Times New Roman"/>
                <w:spacing w:val="-1"/>
                <w:sz w:val="16"/>
              </w:rPr>
              <w:t>0.00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1"/>
              <w:jc w:val="right"/>
              <w:rPr>
                <w:rFonts w:ascii="Times New Roman" w:hAnsi="Times New Roman" w:cs="Times New Roman" w:eastAsia="Times New Roman" w:hint="default"/>
                <w:sz w:val="16"/>
                <w:szCs w:val="16"/>
              </w:rPr>
            </w:pPr>
            <w:r>
              <w:rPr>
                <w:rFonts w:ascii="Times New Roman"/>
                <w:spacing w:val="-1"/>
                <w:sz w:val="16"/>
              </w:rPr>
              <w:t>2,806,517.05</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1"/>
              <w:jc w:val="right"/>
              <w:rPr>
                <w:rFonts w:ascii="Times New Roman" w:hAnsi="Times New Roman" w:cs="Times New Roman" w:eastAsia="Times New Roman" w:hint="default"/>
                <w:sz w:val="16"/>
                <w:szCs w:val="16"/>
              </w:rPr>
            </w:pPr>
            <w:r>
              <w:rPr>
                <w:rFonts w:ascii="Times New Roman"/>
                <w:spacing w:val="-1"/>
                <w:sz w:val="16"/>
              </w:rPr>
              <w:t>1,588,947.56</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6"/>
              <w:jc w:val="right"/>
              <w:rPr>
                <w:rFonts w:ascii="Times New Roman" w:hAnsi="Times New Roman" w:cs="Times New Roman" w:eastAsia="Times New Roman" w:hint="default"/>
                <w:sz w:val="16"/>
                <w:szCs w:val="16"/>
              </w:rPr>
            </w:pPr>
            <w:r>
              <w:rPr>
                <w:rFonts w:ascii="Times New Roman"/>
                <w:spacing w:val="-1"/>
                <w:sz w:val="16"/>
              </w:rPr>
              <w:t>391,783.55</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5"/>
              <w:jc w:val="right"/>
              <w:rPr>
                <w:rFonts w:ascii="Times New Roman" w:hAnsi="Times New Roman" w:cs="Times New Roman" w:eastAsia="Times New Roman" w:hint="default"/>
                <w:sz w:val="16"/>
                <w:szCs w:val="16"/>
              </w:rPr>
            </w:pPr>
            <w:r>
              <w:rPr>
                <w:rFonts w:ascii="Times New Roman"/>
                <w:spacing w:val="-1"/>
                <w:sz w:val="16"/>
              </w:rPr>
              <w:t>285,000.00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56"/>
              <w:jc w:val="right"/>
              <w:rPr>
                <w:rFonts w:ascii="Times New Roman" w:hAnsi="Times New Roman" w:cs="Times New Roman" w:eastAsia="Times New Roman" w:hint="default"/>
                <w:sz w:val="16"/>
                <w:szCs w:val="16"/>
              </w:rPr>
            </w:pPr>
            <w:r>
              <w:rPr>
                <w:rFonts w:ascii="Times New Roman"/>
                <w:spacing w:val="-1"/>
                <w:sz w:val="16"/>
              </w:rPr>
              <w:t>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Times New Roman" w:hAnsi="Times New Roman" w:cs="Times New Roman" w:eastAsia="Times New Roman" w:hint="default"/>
                <w:sz w:val="16"/>
                <w:szCs w:val="16"/>
              </w:rPr>
            </w:pPr>
            <w:r>
              <w:rPr>
                <w:rFonts w:ascii="Times New Roman"/>
                <w:spacing w:val="-1"/>
                <w:sz w:val="16"/>
              </w:rPr>
              <w:t>5,072,248.16</w:t>
            </w:r>
          </w:p>
        </w:tc>
      </w:tr>
      <w:tr>
        <w:trPr>
          <w:trHeight w:val="228"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其他变动增加</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5"/>
              <w:jc w:val="right"/>
              <w:rPr>
                <w:rFonts w:ascii="Times New Roman" w:hAnsi="Times New Roman" w:cs="Times New Roman" w:eastAsia="Times New Roman" w:hint="default"/>
                <w:sz w:val="16"/>
                <w:szCs w:val="16"/>
              </w:rPr>
            </w:pPr>
            <w:r>
              <w:rPr>
                <w:rFonts w:ascii="Times New Roman"/>
                <w:spacing w:val="-1"/>
                <w:sz w:val="16"/>
              </w:rPr>
              <w:t>78,145.50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945,026.18</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6"/>
              <w:jc w:val="right"/>
              <w:rPr>
                <w:rFonts w:ascii="Times New Roman" w:hAnsi="Times New Roman" w:cs="Times New Roman" w:eastAsia="Times New Roman" w:hint="default"/>
                <w:sz w:val="16"/>
                <w:szCs w:val="16"/>
              </w:rPr>
            </w:pPr>
            <w:r>
              <w:rPr>
                <w:rFonts w:ascii="Times New Roman"/>
                <w:spacing w:val="-1"/>
                <w:sz w:val="16"/>
              </w:rPr>
              <w:t>18,536.88</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56"/>
              <w:jc w:val="right"/>
              <w:rPr>
                <w:rFonts w:ascii="Times New Roman" w:hAnsi="Times New Roman" w:cs="Times New Roman" w:eastAsia="Times New Roman" w:hint="default"/>
                <w:sz w:val="16"/>
                <w:szCs w:val="16"/>
              </w:rPr>
            </w:pPr>
            <w:r>
              <w:rPr>
                <w:rFonts w:ascii="Times New Roman"/>
                <w:spacing w:val="-1"/>
                <w:sz w:val="16"/>
              </w:rPr>
              <w:t>33,660.00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7"/>
              <w:jc w:val="right"/>
              <w:rPr>
                <w:rFonts w:ascii="Times New Roman" w:hAnsi="Times New Roman" w:cs="Times New Roman" w:eastAsia="Times New Roman" w:hint="default"/>
                <w:sz w:val="16"/>
                <w:szCs w:val="16"/>
              </w:rPr>
            </w:pPr>
            <w:r>
              <w:rPr>
                <w:rFonts w:ascii="Times New Roman"/>
                <w:spacing w:val="-1"/>
                <w:sz w:val="16"/>
              </w:rPr>
              <w:t>1,075,368.56</w:t>
            </w:r>
          </w:p>
        </w:tc>
      </w:tr>
      <w:tr>
        <w:trPr>
          <w:trHeight w:val="227"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本年减少金额</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5"/>
              <w:jc w:val="right"/>
              <w:rPr>
                <w:rFonts w:ascii="Times New Roman" w:hAnsi="Times New Roman" w:cs="Times New Roman" w:eastAsia="Times New Roman" w:hint="default"/>
                <w:sz w:val="16"/>
                <w:szCs w:val="16"/>
              </w:rPr>
            </w:pPr>
            <w:r>
              <w:rPr>
                <w:rFonts w:ascii="Times New Roman"/>
                <w:spacing w:val="-1"/>
                <w:sz w:val="16"/>
              </w:rPr>
              <w:t>1,635,649.00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3"/>
              <w:jc w:val="right"/>
              <w:rPr>
                <w:rFonts w:ascii="Times New Roman" w:hAnsi="Times New Roman" w:cs="Times New Roman" w:eastAsia="Times New Roman" w:hint="default"/>
                <w:sz w:val="16"/>
                <w:szCs w:val="16"/>
              </w:rPr>
            </w:pPr>
            <w:r>
              <w:rPr>
                <w:rFonts w:ascii="Times New Roman"/>
                <w:spacing w:val="-2"/>
                <w:sz w:val="16"/>
              </w:rPr>
              <w:t>59,294,086.95</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6"/>
              <w:jc w:val="right"/>
              <w:rPr>
                <w:rFonts w:ascii="Times New Roman" w:hAnsi="Times New Roman" w:cs="Times New Roman" w:eastAsia="Times New Roman" w:hint="default"/>
                <w:sz w:val="16"/>
                <w:szCs w:val="16"/>
              </w:rPr>
            </w:pPr>
            <w:r>
              <w:rPr>
                <w:rFonts w:ascii="Times New Roman"/>
                <w:spacing w:val="-2"/>
                <w:sz w:val="16"/>
              </w:rPr>
              <w:t>16,407,276.79</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57"/>
              <w:jc w:val="right"/>
              <w:rPr>
                <w:rFonts w:ascii="Times New Roman" w:hAnsi="Times New Roman" w:cs="Times New Roman" w:eastAsia="Times New Roman" w:hint="default"/>
                <w:sz w:val="16"/>
                <w:szCs w:val="16"/>
              </w:rPr>
            </w:pPr>
            <w:r>
              <w:rPr>
                <w:rFonts w:ascii="Times New Roman"/>
                <w:spacing w:val="-1"/>
                <w:sz w:val="16"/>
              </w:rPr>
              <w:t>7,324,272.16</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7"/>
              <w:jc w:val="right"/>
              <w:rPr>
                <w:rFonts w:ascii="Times New Roman" w:hAnsi="Times New Roman" w:cs="Times New Roman" w:eastAsia="Times New Roman" w:hint="default"/>
                <w:sz w:val="16"/>
                <w:szCs w:val="16"/>
              </w:rPr>
            </w:pPr>
            <w:r>
              <w:rPr>
                <w:rFonts w:ascii="Times New Roman"/>
                <w:spacing w:val="-2"/>
                <w:sz w:val="16"/>
              </w:rPr>
              <w:t>84,661,284.90</w:t>
            </w:r>
          </w:p>
        </w:tc>
      </w:tr>
      <w:tr>
        <w:trPr>
          <w:trHeight w:val="227"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7"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处置</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35"/>
              <w:jc w:val="right"/>
              <w:rPr>
                <w:rFonts w:ascii="Times New Roman" w:hAnsi="Times New Roman" w:cs="Times New Roman" w:eastAsia="Times New Roman" w:hint="default"/>
                <w:sz w:val="16"/>
                <w:szCs w:val="16"/>
              </w:rPr>
            </w:pPr>
            <w:r>
              <w:rPr>
                <w:rFonts w:ascii="Times New Roman"/>
                <w:spacing w:val="-1"/>
                <w:sz w:val="16"/>
              </w:rPr>
              <w:t>1,635,649.00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3"/>
              <w:jc w:val="right"/>
              <w:rPr>
                <w:rFonts w:ascii="Times New Roman" w:hAnsi="Times New Roman" w:cs="Times New Roman" w:eastAsia="Times New Roman" w:hint="default"/>
                <w:sz w:val="16"/>
                <w:szCs w:val="16"/>
              </w:rPr>
            </w:pPr>
            <w:r>
              <w:rPr>
                <w:rFonts w:ascii="Times New Roman"/>
                <w:spacing w:val="-2"/>
                <w:sz w:val="16"/>
              </w:rPr>
              <w:t>39,167,189.69</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56"/>
              <w:jc w:val="right"/>
              <w:rPr>
                <w:rFonts w:ascii="Times New Roman" w:hAnsi="Times New Roman" w:cs="Times New Roman" w:eastAsia="Times New Roman" w:hint="default"/>
                <w:sz w:val="16"/>
                <w:szCs w:val="16"/>
              </w:rPr>
            </w:pPr>
            <w:r>
              <w:rPr>
                <w:rFonts w:ascii="Times New Roman"/>
                <w:spacing w:val="-1"/>
                <w:sz w:val="16"/>
              </w:rPr>
              <w:t>0.00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56"/>
              <w:jc w:val="right"/>
              <w:rPr>
                <w:rFonts w:ascii="Times New Roman" w:hAnsi="Times New Roman" w:cs="Times New Roman" w:eastAsia="Times New Roman" w:hint="default"/>
                <w:sz w:val="16"/>
                <w:szCs w:val="16"/>
              </w:rPr>
            </w:pPr>
            <w:r>
              <w:rPr>
                <w:rFonts w:ascii="Times New Roman"/>
                <w:spacing w:val="-1"/>
                <w:sz w:val="16"/>
              </w:rPr>
              <w:t>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Times New Roman" w:hAnsi="Times New Roman" w:cs="Times New Roman" w:eastAsia="Times New Roman" w:hint="default"/>
                <w:sz w:val="16"/>
                <w:szCs w:val="16"/>
              </w:rPr>
            </w:pPr>
            <w:r>
              <w:rPr>
                <w:rFonts w:ascii="Times New Roman"/>
                <w:spacing w:val="-2"/>
                <w:sz w:val="16"/>
              </w:rPr>
              <w:t>40,802,838.69</w:t>
            </w:r>
          </w:p>
        </w:tc>
      </w:tr>
      <w:tr>
        <w:trPr>
          <w:trHeight w:val="228"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企业合并减少</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5"/>
              <w:jc w:val="right"/>
              <w:rPr>
                <w:rFonts w:ascii="Times New Roman" w:hAnsi="Times New Roman" w:cs="Times New Roman" w:eastAsia="Times New Roman" w:hint="default"/>
                <w:sz w:val="16"/>
                <w:szCs w:val="16"/>
              </w:rPr>
            </w:pPr>
            <w:r>
              <w:rPr>
                <w:rFonts w:ascii="Times New Roman"/>
                <w:spacing w:val="-1"/>
                <w:sz w:val="16"/>
              </w:rPr>
              <w:t>0.00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3"/>
              <w:jc w:val="right"/>
              <w:rPr>
                <w:rFonts w:ascii="Times New Roman" w:hAnsi="Times New Roman" w:cs="Times New Roman" w:eastAsia="Times New Roman" w:hint="default"/>
                <w:sz w:val="16"/>
                <w:szCs w:val="16"/>
              </w:rPr>
            </w:pPr>
            <w:r>
              <w:rPr>
                <w:rFonts w:ascii="Times New Roman"/>
                <w:spacing w:val="-2"/>
                <w:sz w:val="16"/>
              </w:rPr>
              <w:t>20,126,897.26</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6"/>
              <w:jc w:val="right"/>
              <w:rPr>
                <w:rFonts w:ascii="Times New Roman" w:hAnsi="Times New Roman" w:cs="Times New Roman" w:eastAsia="Times New Roman" w:hint="default"/>
                <w:sz w:val="16"/>
                <w:szCs w:val="16"/>
              </w:rPr>
            </w:pPr>
            <w:r>
              <w:rPr>
                <w:rFonts w:ascii="Times New Roman"/>
                <w:spacing w:val="-2"/>
                <w:sz w:val="16"/>
              </w:rPr>
              <w:t>16,407,276.79</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57"/>
              <w:jc w:val="right"/>
              <w:rPr>
                <w:rFonts w:ascii="Times New Roman" w:hAnsi="Times New Roman" w:cs="Times New Roman" w:eastAsia="Times New Roman" w:hint="default"/>
                <w:sz w:val="16"/>
                <w:szCs w:val="16"/>
              </w:rPr>
            </w:pPr>
            <w:r>
              <w:rPr>
                <w:rFonts w:ascii="Times New Roman"/>
                <w:spacing w:val="-1"/>
                <w:sz w:val="16"/>
              </w:rPr>
              <w:t>7,324,272.16</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7"/>
              <w:jc w:val="right"/>
              <w:rPr>
                <w:rFonts w:ascii="Times New Roman" w:hAnsi="Times New Roman" w:cs="Times New Roman" w:eastAsia="Times New Roman" w:hint="default"/>
                <w:sz w:val="16"/>
                <w:szCs w:val="16"/>
              </w:rPr>
            </w:pPr>
            <w:r>
              <w:rPr>
                <w:rFonts w:ascii="Times New Roman"/>
                <w:spacing w:val="-2"/>
                <w:sz w:val="16"/>
              </w:rPr>
              <w:t>43,858,446.21</w:t>
            </w:r>
          </w:p>
        </w:tc>
      </w:tr>
      <w:tr>
        <w:trPr>
          <w:trHeight w:val="226"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其他变动减少</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5"/>
              <w:jc w:val="right"/>
              <w:rPr>
                <w:rFonts w:ascii="Times New Roman" w:hAnsi="Times New Roman" w:cs="Times New Roman" w:eastAsia="Times New Roman" w:hint="default"/>
                <w:sz w:val="16"/>
                <w:szCs w:val="16"/>
              </w:rPr>
            </w:pPr>
            <w:r>
              <w:rPr>
                <w:rFonts w:ascii="Times New Roman"/>
                <w:spacing w:val="-1"/>
                <w:sz w:val="16"/>
              </w:rPr>
              <w:t>0.00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6"/>
              <w:jc w:val="right"/>
              <w:rPr>
                <w:rFonts w:ascii="Times New Roman" w:hAnsi="Times New Roman" w:cs="Times New Roman" w:eastAsia="Times New Roman" w:hint="default"/>
                <w:sz w:val="16"/>
                <w:szCs w:val="16"/>
              </w:rPr>
            </w:pPr>
            <w:r>
              <w:rPr>
                <w:rFonts w:ascii="Times New Roman"/>
                <w:spacing w:val="-1"/>
                <w:sz w:val="16"/>
              </w:rPr>
              <w:t>0.00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56"/>
              <w:jc w:val="right"/>
              <w:rPr>
                <w:rFonts w:ascii="Times New Roman" w:hAnsi="Times New Roman" w:cs="Times New Roman" w:eastAsia="Times New Roman" w:hint="default"/>
                <w:sz w:val="16"/>
                <w:szCs w:val="16"/>
              </w:rPr>
            </w:pPr>
            <w:r>
              <w:rPr>
                <w:rFonts w:ascii="Times New Roman"/>
                <w:spacing w:val="-1"/>
                <w:sz w:val="16"/>
              </w:rPr>
              <w:t>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Times New Roman" w:hAnsi="Times New Roman" w:cs="Times New Roman" w:eastAsia="Times New Roman" w:hint="default"/>
                <w:sz w:val="16"/>
                <w:szCs w:val="16"/>
              </w:rPr>
            </w:pPr>
            <w:r>
              <w:rPr>
                <w:rFonts w:ascii="Times New Roman"/>
                <w:spacing w:val="-1"/>
                <w:sz w:val="16"/>
              </w:rPr>
              <w:t>0.00</w:t>
            </w:r>
          </w:p>
        </w:tc>
      </w:tr>
      <w:tr>
        <w:trPr>
          <w:trHeight w:val="217" w:hRule="exact"/>
        </w:trPr>
        <w:tc>
          <w:tcPr>
            <w:tcW w:w="1893" w:type="dxa"/>
            <w:tcBorders>
              <w:top w:val="nil" w:sz="6" w:space="0" w:color="auto"/>
              <w:left w:val="nil" w:sz="6" w:space="0" w:color="auto"/>
              <w:bottom w:val="single" w:sz="4" w:space="0" w:color="000000"/>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宋体" w:hAnsi="宋体" w:cs="宋体" w:eastAsia="宋体" w:hint="default"/>
                <w:sz w:val="16"/>
                <w:szCs w:val="16"/>
              </w:rPr>
              <w:t>年末余额</w:t>
            </w:r>
          </w:p>
        </w:tc>
        <w:tc>
          <w:tcPr>
            <w:tcW w:w="1786"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35"/>
              <w:jc w:val="right"/>
              <w:rPr>
                <w:rFonts w:ascii="Times New Roman" w:hAnsi="Times New Roman" w:cs="Times New Roman" w:eastAsia="Times New Roman" w:hint="default"/>
                <w:sz w:val="16"/>
                <w:szCs w:val="16"/>
              </w:rPr>
            </w:pPr>
            <w:r>
              <w:rPr>
                <w:rFonts w:ascii="Times New Roman"/>
                <w:spacing w:val="-2"/>
                <w:sz w:val="16"/>
              </w:rPr>
              <w:t>77,459,587.63</w:t>
            </w:r>
          </w:p>
        </w:tc>
        <w:tc>
          <w:tcPr>
            <w:tcW w:w="1160"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53"/>
              <w:jc w:val="right"/>
              <w:rPr>
                <w:rFonts w:ascii="Times New Roman" w:hAnsi="Times New Roman" w:cs="Times New Roman" w:eastAsia="Times New Roman" w:hint="default"/>
                <w:sz w:val="16"/>
                <w:szCs w:val="16"/>
              </w:rPr>
            </w:pPr>
            <w:r>
              <w:rPr>
                <w:rFonts w:ascii="Times New Roman"/>
                <w:spacing w:val="-1"/>
                <w:sz w:val="16"/>
              </w:rPr>
              <w:t>274,454.06</w:t>
            </w:r>
          </w:p>
        </w:tc>
        <w:tc>
          <w:tcPr>
            <w:tcW w:w="1309"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235,120,988.93</w:t>
            </w:r>
          </w:p>
        </w:tc>
        <w:tc>
          <w:tcPr>
            <w:tcW w:w="1308"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410,576,596.74</w:t>
            </w:r>
          </w:p>
        </w:tc>
        <w:tc>
          <w:tcPr>
            <w:tcW w:w="1313"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56"/>
              <w:jc w:val="right"/>
              <w:rPr>
                <w:rFonts w:ascii="Times New Roman" w:hAnsi="Times New Roman" w:cs="Times New Roman" w:eastAsia="Times New Roman" w:hint="default"/>
                <w:sz w:val="16"/>
                <w:szCs w:val="16"/>
              </w:rPr>
            </w:pPr>
            <w:r>
              <w:rPr>
                <w:rFonts w:ascii="Times New Roman"/>
                <w:spacing w:val="-1"/>
                <w:sz w:val="16"/>
              </w:rPr>
              <w:t>249,705,023.00</w:t>
            </w:r>
          </w:p>
        </w:tc>
        <w:tc>
          <w:tcPr>
            <w:tcW w:w="1427"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160,701,988.11</w:t>
            </w:r>
          </w:p>
        </w:tc>
        <w:tc>
          <w:tcPr>
            <w:tcW w:w="1217"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285,000.00</w:t>
            </w:r>
          </w:p>
        </w:tc>
        <w:tc>
          <w:tcPr>
            <w:tcW w:w="1329"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257"/>
              <w:jc w:val="right"/>
              <w:rPr>
                <w:rFonts w:ascii="Times New Roman" w:hAnsi="Times New Roman" w:cs="Times New Roman" w:eastAsia="Times New Roman" w:hint="default"/>
                <w:sz w:val="16"/>
                <w:szCs w:val="16"/>
              </w:rPr>
            </w:pPr>
            <w:r>
              <w:rPr>
                <w:rFonts w:ascii="Times New Roman"/>
                <w:spacing w:val="-1"/>
                <w:sz w:val="16"/>
              </w:rPr>
              <w:t>6,848,214.99</w:t>
            </w:r>
          </w:p>
        </w:tc>
        <w:tc>
          <w:tcPr>
            <w:tcW w:w="1490"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6"/>
                <w:szCs w:val="16"/>
              </w:rPr>
            </w:pPr>
            <w:r>
              <w:rPr>
                <w:rFonts w:ascii="Times New Roman"/>
                <w:spacing w:val="-1"/>
                <w:sz w:val="16"/>
              </w:rPr>
              <w:t>1,140,971,853.46</w:t>
            </w:r>
          </w:p>
        </w:tc>
      </w:tr>
      <w:tr>
        <w:trPr>
          <w:trHeight w:val="230" w:hRule="exact"/>
        </w:trPr>
        <w:tc>
          <w:tcPr>
            <w:tcW w:w="1893" w:type="dxa"/>
            <w:tcBorders>
              <w:top w:val="single" w:sz="4" w:space="0" w:color="000000"/>
              <w:left w:val="nil" w:sz="6" w:space="0" w:color="auto"/>
              <w:bottom w:val="nil" w:sz="6" w:space="0" w:color="auto"/>
              <w:right w:val="nil" w:sz="6" w:space="0" w:color="auto"/>
            </w:tcBorders>
          </w:tcPr>
          <w:p>
            <w:pPr>
              <w:pStyle w:val="TableParagraph"/>
              <w:spacing w:line="193" w:lineRule="exact"/>
              <w:ind w:left="122" w:right="0"/>
              <w:jc w:val="left"/>
              <w:rPr>
                <w:rFonts w:ascii="宋体" w:hAnsi="宋体" w:cs="宋体" w:eastAsia="宋体" w:hint="default"/>
                <w:sz w:val="16"/>
                <w:szCs w:val="16"/>
              </w:rPr>
            </w:pPr>
            <w:r>
              <w:rPr>
                <w:rFonts w:ascii="宋体" w:hAnsi="宋体" w:cs="宋体" w:eastAsia="宋体" w:hint="default"/>
                <w:sz w:val="16"/>
                <w:szCs w:val="16"/>
              </w:rPr>
              <w:t>三、减值准备</w:t>
            </w:r>
          </w:p>
        </w:tc>
        <w:tc>
          <w:tcPr>
            <w:tcW w:w="1786" w:type="dxa"/>
            <w:tcBorders>
              <w:top w:val="single" w:sz="4" w:space="0" w:color="000000"/>
              <w:left w:val="nil" w:sz="6" w:space="0" w:color="auto"/>
              <w:bottom w:val="nil" w:sz="6" w:space="0" w:color="auto"/>
              <w:right w:val="nil" w:sz="6" w:space="0" w:color="auto"/>
            </w:tcBorders>
          </w:tcPr>
          <w:p>
            <w:pPr/>
          </w:p>
        </w:tc>
        <w:tc>
          <w:tcPr>
            <w:tcW w:w="1160" w:type="dxa"/>
            <w:tcBorders>
              <w:top w:val="single" w:sz="4" w:space="0" w:color="000000"/>
              <w:left w:val="nil" w:sz="6" w:space="0" w:color="auto"/>
              <w:bottom w:val="nil" w:sz="6" w:space="0" w:color="auto"/>
              <w:right w:val="nil" w:sz="6" w:space="0" w:color="auto"/>
            </w:tcBorders>
          </w:tcPr>
          <w:p>
            <w:pPr/>
          </w:p>
        </w:tc>
        <w:tc>
          <w:tcPr>
            <w:tcW w:w="1309" w:type="dxa"/>
            <w:tcBorders>
              <w:top w:val="single" w:sz="4" w:space="0" w:color="000000"/>
              <w:left w:val="nil" w:sz="6" w:space="0" w:color="auto"/>
              <w:bottom w:val="nil" w:sz="6" w:space="0" w:color="auto"/>
              <w:right w:val="nil" w:sz="6" w:space="0" w:color="auto"/>
            </w:tcBorders>
          </w:tcPr>
          <w:p>
            <w:pPr/>
          </w:p>
        </w:tc>
        <w:tc>
          <w:tcPr>
            <w:tcW w:w="1308" w:type="dxa"/>
            <w:tcBorders>
              <w:top w:val="single" w:sz="4" w:space="0" w:color="000000"/>
              <w:left w:val="nil" w:sz="6" w:space="0" w:color="auto"/>
              <w:bottom w:val="nil" w:sz="6" w:space="0" w:color="auto"/>
              <w:right w:val="nil" w:sz="6" w:space="0" w:color="auto"/>
            </w:tcBorders>
          </w:tcPr>
          <w:p>
            <w:pPr/>
          </w:p>
        </w:tc>
        <w:tc>
          <w:tcPr>
            <w:tcW w:w="1313" w:type="dxa"/>
            <w:tcBorders>
              <w:top w:val="single" w:sz="4" w:space="0" w:color="000000"/>
              <w:left w:val="nil" w:sz="6" w:space="0" w:color="auto"/>
              <w:bottom w:val="nil" w:sz="6" w:space="0" w:color="auto"/>
              <w:right w:val="nil" w:sz="6" w:space="0" w:color="auto"/>
            </w:tcBorders>
          </w:tcPr>
          <w:p>
            <w:pPr/>
          </w:p>
        </w:tc>
        <w:tc>
          <w:tcPr>
            <w:tcW w:w="1427" w:type="dxa"/>
            <w:tcBorders>
              <w:top w:val="single" w:sz="4" w:space="0" w:color="000000"/>
              <w:left w:val="nil" w:sz="6" w:space="0" w:color="auto"/>
              <w:bottom w:val="nil" w:sz="6" w:space="0" w:color="auto"/>
              <w:right w:val="nil" w:sz="6" w:space="0" w:color="auto"/>
            </w:tcBorders>
          </w:tcPr>
          <w:p>
            <w:pPr/>
          </w:p>
        </w:tc>
        <w:tc>
          <w:tcPr>
            <w:tcW w:w="1217" w:type="dxa"/>
            <w:tcBorders>
              <w:top w:val="single" w:sz="4" w:space="0" w:color="000000"/>
              <w:left w:val="nil" w:sz="6" w:space="0" w:color="auto"/>
              <w:bottom w:val="nil" w:sz="6" w:space="0" w:color="auto"/>
              <w:right w:val="nil" w:sz="6" w:space="0" w:color="auto"/>
            </w:tcBorders>
          </w:tcPr>
          <w:p>
            <w:pPr/>
          </w:p>
        </w:tc>
        <w:tc>
          <w:tcPr>
            <w:tcW w:w="1329" w:type="dxa"/>
            <w:tcBorders>
              <w:top w:val="single" w:sz="4" w:space="0" w:color="000000"/>
              <w:left w:val="nil" w:sz="6" w:space="0" w:color="auto"/>
              <w:bottom w:val="nil" w:sz="6" w:space="0" w:color="auto"/>
              <w:right w:val="nil" w:sz="6" w:space="0" w:color="auto"/>
            </w:tcBorders>
          </w:tcPr>
          <w:p>
            <w:pPr/>
          </w:p>
        </w:tc>
        <w:tc>
          <w:tcPr>
            <w:tcW w:w="1490" w:type="dxa"/>
            <w:tcBorders>
              <w:top w:val="single" w:sz="4" w:space="0" w:color="000000"/>
              <w:left w:val="nil" w:sz="6" w:space="0" w:color="auto"/>
              <w:bottom w:val="nil" w:sz="6" w:space="0" w:color="auto"/>
              <w:right w:val="nil" w:sz="6" w:space="0" w:color="auto"/>
            </w:tcBorders>
          </w:tcPr>
          <w:p>
            <w:pPr/>
          </w:p>
        </w:tc>
      </w:tr>
      <w:tr>
        <w:trPr>
          <w:trHeight w:val="235"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205"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年初余额</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35"/>
              <w:jc w:val="right"/>
              <w:rPr>
                <w:rFonts w:ascii="Times New Roman" w:hAnsi="Times New Roman" w:cs="Times New Roman" w:eastAsia="Times New Roman" w:hint="default"/>
                <w:sz w:val="16"/>
                <w:szCs w:val="16"/>
              </w:rPr>
            </w:pPr>
            <w:r>
              <w:rPr>
                <w:rFonts w:ascii="Times New Roman"/>
                <w:spacing w:val="-1"/>
                <w:sz w:val="16"/>
              </w:rPr>
              <w:t>0.00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51"/>
              <w:jc w:val="right"/>
              <w:rPr>
                <w:rFonts w:ascii="Times New Roman" w:hAnsi="Times New Roman" w:cs="Times New Roman" w:eastAsia="Times New Roman" w:hint="default"/>
                <w:sz w:val="16"/>
                <w:szCs w:val="16"/>
              </w:rPr>
            </w:pPr>
            <w:r>
              <w:rPr>
                <w:rFonts w:ascii="Times New Roman"/>
                <w:spacing w:val="-2"/>
                <w:sz w:val="16"/>
              </w:rPr>
              <w:t>60,656,753.45</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56"/>
              <w:jc w:val="right"/>
              <w:rPr>
                <w:rFonts w:ascii="Times New Roman" w:hAnsi="Times New Roman" w:cs="Times New Roman" w:eastAsia="Times New Roman" w:hint="default"/>
                <w:sz w:val="16"/>
                <w:szCs w:val="16"/>
              </w:rPr>
            </w:pPr>
            <w:r>
              <w:rPr>
                <w:rFonts w:ascii="Times New Roman"/>
                <w:spacing w:val="-1"/>
                <w:sz w:val="16"/>
              </w:rPr>
              <w:t>0.00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59"/>
              <w:jc w:val="right"/>
              <w:rPr>
                <w:rFonts w:ascii="Times New Roman" w:hAnsi="Times New Roman" w:cs="Times New Roman" w:eastAsia="Times New Roman" w:hint="default"/>
                <w:sz w:val="16"/>
                <w:szCs w:val="16"/>
              </w:rPr>
            </w:pPr>
            <w:r>
              <w:rPr>
                <w:rFonts w:ascii="Times New Roman"/>
                <w:spacing w:val="-2"/>
                <w:sz w:val="16"/>
              </w:rPr>
              <w:t>13,126,370.36</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Times New Roman" w:hAnsi="Times New Roman" w:cs="Times New Roman" w:eastAsia="Times New Roman" w:hint="default"/>
                <w:sz w:val="16"/>
                <w:szCs w:val="16"/>
              </w:rPr>
            </w:pPr>
            <w:r>
              <w:rPr>
                <w:rFonts w:ascii="Times New Roman"/>
                <w:spacing w:val="-2"/>
                <w:sz w:val="16"/>
              </w:rPr>
              <w:t>73,783,123.81</w:t>
            </w:r>
          </w:p>
        </w:tc>
      </w:tr>
      <w:tr>
        <w:trPr>
          <w:trHeight w:val="228"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本年增加金额</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5"/>
              <w:jc w:val="right"/>
              <w:rPr>
                <w:rFonts w:ascii="Times New Roman" w:hAnsi="Times New Roman" w:cs="Times New Roman" w:eastAsia="Times New Roman" w:hint="default"/>
                <w:sz w:val="16"/>
                <w:szCs w:val="16"/>
              </w:rPr>
            </w:pPr>
            <w:r>
              <w:rPr>
                <w:rFonts w:ascii="Times New Roman"/>
                <w:spacing w:val="-1"/>
                <w:sz w:val="16"/>
              </w:rPr>
              <w:t>0.00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2,979,459.89</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6"/>
              <w:jc w:val="right"/>
              <w:rPr>
                <w:rFonts w:ascii="Times New Roman" w:hAnsi="Times New Roman" w:cs="Times New Roman" w:eastAsia="Times New Roman" w:hint="default"/>
                <w:sz w:val="16"/>
                <w:szCs w:val="16"/>
              </w:rPr>
            </w:pPr>
            <w:r>
              <w:rPr>
                <w:rFonts w:ascii="Times New Roman"/>
                <w:spacing w:val="-1"/>
                <w:sz w:val="16"/>
              </w:rPr>
              <w:t>0.00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57"/>
              <w:jc w:val="right"/>
              <w:rPr>
                <w:rFonts w:ascii="Times New Roman" w:hAnsi="Times New Roman" w:cs="Times New Roman" w:eastAsia="Times New Roman" w:hint="default"/>
                <w:sz w:val="16"/>
                <w:szCs w:val="16"/>
              </w:rPr>
            </w:pPr>
            <w:r>
              <w:rPr>
                <w:rFonts w:ascii="Times New Roman"/>
                <w:spacing w:val="-1"/>
                <w:sz w:val="16"/>
              </w:rPr>
              <w:t>1,011,490.96</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7"/>
              <w:jc w:val="right"/>
              <w:rPr>
                <w:rFonts w:ascii="Times New Roman" w:hAnsi="Times New Roman" w:cs="Times New Roman" w:eastAsia="Times New Roman" w:hint="default"/>
                <w:sz w:val="16"/>
                <w:szCs w:val="16"/>
              </w:rPr>
            </w:pPr>
            <w:r>
              <w:rPr>
                <w:rFonts w:ascii="Times New Roman"/>
                <w:spacing w:val="-1"/>
                <w:sz w:val="16"/>
              </w:rPr>
              <w:t>3,990,950.85</w:t>
            </w:r>
          </w:p>
        </w:tc>
      </w:tr>
      <w:tr>
        <w:trPr>
          <w:trHeight w:val="226"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本年计提</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5"/>
              <w:jc w:val="right"/>
              <w:rPr>
                <w:rFonts w:ascii="Times New Roman" w:hAnsi="Times New Roman" w:cs="Times New Roman" w:eastAsia="Times New Roman" w:hint="default"/>
                <w:sz w:val="16"/>
                <w:szCs w:val="16"/>
              </w:rPr>
            </w:pPr>
            <w:r>
              <w:rPr>
                <w:rFonts w:ascii="Times New Roman"/>
                <w:spacing w:val="-1"/>
                <w:sz w:val="16"/>
              </w:rPr>
              <w:t>0.00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6"/>
              <w:jc w:val="right"/>
              <w:rPr>
                <w:rFonts w:ascii="Times New Roman" w:hAnsi="Times New Roman" w:cs="Times New Roman" w:eastAsia="Times New Roman" w:hint="default"/>
                <w:sz w:val="16"/>
                <w:szCs w:val="16"/>
              </w:rPr>
            </w:pPr>
            <w:r>
              <w:rPr>
                <w:rFonts w:ascii="Times New Roman"/>
                <w:spacing w:val="-1"/>
                <w:sz w:val="16"/>
              </w:rPr>
              <w:t>0.00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56"/>
              <w:jc w:val="right"/>
              <w:rPr>
                <w:rFonts w:ascii="Times New Roman" w:hAnsi="Times New Roman" w:cs="Times New Roman" w:eastAsia="Times New Roman" w:hint="default"/>
                <w:sz w:val="16"/>
                <w:szCs w:val="16"/>
              </w:rPr>
            </w:pPr>
            <w:r>
              <w:rPr>
                <w:rFonts w:ascii="Times New Roman"/>
                <w:spacing w:val="-1"/>
                <w:sz w:val="16"/>
              </w:rPr>
              <w:t>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Times New Roman" w:hAnsi="Times New Roman" w:cs="Times New Roman" w:eastAsia="Times New Roman" w:hint="default"/>
                <w:sz w:val="16"/>
                <w:szCs w:val="16"/>
              </w:rPr>
            </w:pPr>
            <w:r>
              <w:rPr>
                <w:rFonts w:ascii="Times New Roman"/>
                <w:spacing w:val="-1"/>
                <w:sz w:val="16"/>
              </w:rPr>
              <w:t>0.00</w:t>
            </w:r>
          </w:p>
        </w:tc>
      </w:tr>
      <w:tr>
        <w:trPr>
          <w:trHeight w:val="228"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9"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其他变动增加</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35"/>
              <w:jc w:val="right"/>
              <w:rPr>
                <w:rFonts w:ascii="Times New Roman" w:hAnsi="Times New Roman" w:cs="Times New Roman" w:eastAsia="Times New Roman" w:hint="default"/>
                <w:sz w:val="16"/>
                <w:szCs w:val="16"/>
              </w:rPr>
            </w:pPr>
            <w:r>
              <w:rPr>
                <w:rFonts w:ascii="Times New Roman"/>
                <w:spacing w:val="-1"/>
                <w:sz w:val="16"/>
              </w:rPr>
              <w:t>0.00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51"/>
              <w:jc w:val="right"/>
              <w:rPr>
                <w:rFonts w:ascii="Times New Roman" w:hAnsi="Times New Roman" w:cs="Times New Roman" w:eastAsia="Times New Roman" w:hint="default"/>
                <w:sz w:val="16"/>
                <w:szCs w:val="16"/>
              </w:rPr>
            </w:pPr>
            <w:r>
              <w:rPr>
                <w:rFonts w:ascii="Times New Roman"/>
                <w:spacing w:val="-1"/>
                <w:sz w:val="16"/>
              </w:rPr>
              <w:t>2,979,459.89</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56"/>
              <w:jc w:val="right"/>
              <w:rPr>
                <w:rFonts w:ascii="Times New Roman" w:hAnsi="Times New Roman" w:cs="Times New Roman" w:eastAsia="Times New Roman" w:hint="default"/>
                <w:sz w:val="16"/>
                <w:szCs w:val="16"/>
              </w:rPr>
            </w:pPr>
            <w:r>
              <w:rPr>
                <w:rFonts w:ascii="Times New Roman"/>
                <w:spacing w:val="-1"/>
                <w:sz w:val="16"/>
              </w:rPr>
              <w:t>0.00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57"/>
              <w:jc w:val="right"/>
              <w:rPr>
                <w:rFonts w:ascii="Times New Roman" w:hAnsi="Times New Roman" w:cs="Times New Roman" w:eastAsia="Times New Roman" w:hint="default"/>
                <w:sz w:val="16"/>
                <w:szCs w:val="16"/>
              </w:rPr>
            </w:pPr>
            <w:r>
              <w:rPr>
                <w:rFonts w:ascii="Times New Roman"/>
                <w:spacing w:val="-1"/>
                <w:sz w:val="16"/>
              </w:rPr>
              <w:t>1,011,490.96</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7"/>
              <w:jc w:val="right"/>
              <w:rPr>
                <w:rFonts w:ascii="Times New Roman" w:hAnsi="Times New Roman" w:cs="Times New Roman" w:eastAsia="Times New Roman" w:hint="default"/>
                <w:sz w:val="16"/>
                <w:szCs w:val="16"/>
              </w:rPr>
            </w:pPr>
            <w:r>
              <w:rPr>
                <w:rFonts w:ascii="Times New Roman"/>
                <w:spacing w:val="-1"/>
                <w:sz w:val="16"/>
              </w:rPr>
              <w:t>3,990,950.85</w:t>
            </w:r>
          </w:p>
        </w:tc>
      </w:tr>
      <w:tr>
        <w:trPr>
          <w:trHeight w:val="226"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本年减少金额</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5"/>
              <w:jc w:val="right"/>
              <w:rPr>
                <w:rFonts w:ascii="Times New Roman" w:hAnsi="Times New Roman" w:cs="Times New Roman" w:eastAsia="Times New Roman" w:hint="default"/>
                <w:sz w:val="16"/>
                <w:szCs w:val="16"/>
              </w:rPr>
            </w:pPr>
            <w:r>
              <w:rPr>
                <w:rFonts w:ascii="Times New Roman"/>
                <w:spacing w:val="-1"/>
                <w:sz w:val="16"/>
              </w:rPr>
              <w:t>0.00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6"/>
              <w:jc w:val="right"/>
              <w:rPr>
                <w:rFonts w:ascii="Times New Roman" w:hAnsi="Times New Roman" w:cs="Times New Roman" w:eastAsia="Times New Roman" w:hint="default"/>
                <w:sz w:val="16"/>
                <w:szCs w:val="16"/>
              </w:rPr>
            </w:pPr>
            <w:r>
              <w:rPr>
                <w:rFonts w:ascii="Times New Roman"/>
                <w:spacing w:val="-1"/>
                <w:sz w:val="16"/>
              </w:rPr>
              <w:t>0.00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56"/>
              <w:jc w:val="right"/>
              <w:rPr>
                <w:rFonts w:ascii="Times New Roman" w:hAnsi="Times New Roman" w:cs="Times New Roman" w:eastAsia="Times New Roman" w:hint="default"/>
                <w:sz w:val="16"/>
                <w:szCs w:val="16"/>
              </w:rPr>
            </w:pPr>
            <w:r>
              <w:rPr>
                <w:rFonts w:ascii="Times New Roman"/>
                <w:spacing w:val="-1"/>
                <w:sz w:val="16"/>
              </w:rPr>
              <w:t>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Times New Roman" w:hAnsi="Times New Roman" w:cs="Times New Roman" w:eastAsia="Times New Roman" w:hint="default"/>
                <w:sz w:val="16"/>
                <w:szCs w:val="16"/>
              </w:rPr>
            </w:pPr>
            <w:r>
              <w:rPr>
                <w:rFonts w:ascii="Times New Roman"/>
                <w:spacing w:val="-1"/>
                <w:sz w:val="16"/>
              </w:rPr>
              <w:t>0.00</w:t>
            </w:r>
          </w:p>
        </w:tc>
      </w:tr>
      <w:tr>
        <w:trPr>
          <w:trHeight w:val="228"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处置</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5"/>
              <w:jc w:val="right"/>
              <w:rPr>
                <w:rFonts w:ascii="Times New Roman" w:hAnsi="Times New Roman" w:cs="Times New Roman" w:eastAsia="Times New Roman" w:hint="default"/>
                <w:sz w:val="16"/>
                <w:szCs w:val="16"/>
              </w:rPr>
            </w:pPr>
            <w:r>
              <w:rPr>
                <w:rFonts w:ascii="Times New Roman"/>
                <w:spacing w:val="-1"/>
                <w:sz w:val="16"/>
              </w:rPr>
              <w:t>0.00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6"/>
              <w:jc w:val="right"/>
              <w:rPr>
                <w:rFonts w:ascii="Times New Roman" w:hAnsi="Times New Roman" w:cs="Times New Roman" w:eastAsia="Times New Roman" w:hint="default"/>
                <w:sz w:val="16"/>
                <w:szCs w:val="16"/>
              </w:rPr>
            </w:pPr>
            <w:r>
              <w:rPr>
                <w:rFonts w:ascii="Times New Roman"/>
                <w:spacing w:val="-1"/>
                <w:sz w:val="16"/>
              </w:rPr>
              <w:t>0.00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56"/>
              <w:jc w:val="right"/>
              <w:rPr>
                <w:rFonts w:ascii="Times New Roman" w:hAnsi="Times New Roman" w:cs="Times New Roman" w:eastAsia="Times New Roman" w:hint="default"/>
                <w:sz w:val="16"/>
                <w:szCs w:val="16"/>
              </w:rPr>
            </w:pPr>
            <w:r>
              <w:rPr>
                <w:rFonts w:ascii="Times New Roman"/>
                <w:spacing w:val="-1"/>
                <w:sz w:val="16"/>
              </w:rPr>
              <w:t>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7"/>
              <w:jc w:val="right"/>
              <w:rPr>
                <w:rFonts w:ascii="Times New Roman" w:hAnsi="Times New Roman" w:cs="Times New Roman" w:eastAsia="Times New Roman" w:hint="default"/>
                <w:sz w:val="16"/>
                <w:szCs w:val="16"/>
              </w:rPr>
            </w:pPr>
            <w:r>
              <w:rPr>
                <w:rFonts w:ascii="Times New Roman"/>
                <w:spacing w:val="-1"/>
                <w:sz w:val="16"/>
              </w:rPr>
              <w:t>0.00</w:t>
            </w:r>
          </w:p>
        </w:tc>
      </w:tr>
      <w:tr>
        <w:trPr>
          <w:trHeight w:val="214" w:hRule="exact"/>
        </w:trPr>
        <w:tc>
          <w:tcPr>
            <w:tcW w:w="1893" w:type="dxa"/>
            <w:tcBorders>
              <w:top w:val="nil" w:sz="6" w:space="0" w:color="auto"/>
              <w:left w:val="nil" w:sz="6" w:space="0" w:color="auto"/>
              <w:bottom w:val="single" w:sz="4" w:space="0" w:color="000000"/>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宋体" w:hAnsi="宋体" w:cs="宋体" w:eastAsia="宋体" w:hint="default"/>
                <w:sz w:val="16"/>
                <w:szCs w:val="16"/>
              </w:rPr>
              <w:t>年末余额</w:t>
            </w:r>
          </w:p>
        </w:tc>
        <w:tc>
          <w:tcPr>
            <w:tcW w:w="1786"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35"/>
              <w:jc w:val="right"/>
              <w:rPr>
                <w:rFonts w:ascii="Times New Roman" w:hAnsi="Times New Roman" w:cs="Times New Roman" w:eastAsia="Times New Roman" w:hint="default"/>
                <w:sz w:val="16"/>
                <w:szCs w:val="16"/>
              </w:rPr>
            </w:pPr>
            <w:r>
              <w:rPr>
                <w:rFonts w:ascii="Times New Roman"/>
                <w:spacing w:val="-1"/>
                <w:sz w:val="16"/>
              </w:rPr>
              <w:t>0.00</w:t>
            </w:r>
          </w:p>
        </w:tc>
        <w:tc>
          <w:tcPr>
            <w:tcW w:w="1160"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52"/>
              <w:jc w:val="right"/>
              <w:rPr>
                <w:rFonts w:ascii="Times New Roman" w:hAnsi="Times New Roman" w:cs="Times New Roman" w:eastAsia="Times New Roman" w:hint="default"/>
                <w:sz w:val="16"/>
                <w:szCs w:val="16"/>
              </w:rPr>
            </w:pPr>
            <w:r>
              <w:rPr>
                <w:rFonts w:ascii="Times New Roman"/>
                <w:spacing w:val="-1"/>
                <w:sz w:val="16"/>
              </w:rPr>
              <w:t>0.00</w:t>
            </w:r>
          </w:p>
        </w:tc>
        <w:tc>
          <w:tcPr>
            <w:tcW w:w="1309"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2"/>
                <w:sz w:val="16"/>
              </w:rPr>
              <w:t>63,636,213.34</w:t>
            </w:r>
          </w:p>
        </w:tc>
        <w:tc>
          <w:tcPr>
            <w:tcW w:w="1308"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51"/>
              <w:jc w:val="right"/>
              <w:rPr>
                <w:rFonts w:ascii="Times New Roman" w:hAnsi="Times New Roman" w:cs="Times New Roman" w:eastAsia="Times New Roman" w:hint="default"/>
                <w:sz w:val="16"/>
                <w:szCs w:val="16"/>
              </w:rPr>
            </w:pPr>
            <w:r>
              <w:rPr>
                <w:rFonts w:ascii="Times New Roman"/>
                <w:spacing w:val="-1"/>
                <w:sz w:val="16"/>
              </w:rPr>
              <w:t>0.00</w:t>
            </w:r>
          </w:p>
        </w:tc>
        <w:tc>
          <w:tcPr>
            <w:tcW w:w="1313"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56"/>
              <w:jc w:val="right"/>
              <w:rPr>
                <w:rFonts w:ascii="Times New Roman" w:hAnsi="Times New Roman" w:cs="Times New Roman" w:eastAsia="Times New Roman" w:hint="default"/>
                <w:sz w:val="16"/>
                <w:szCs w:val="16"/>
              </w:rPr>
            </w:pPr>
            <w:r>
              <w:rPr>
                <w:rFonts w:ascii="Times New Roman"/>
                <w:spacing w:val="-1"/>
                <w:sz w:val="16"/>
              </w:rPr>
              <w:t>0.00</w:t>
            </w:r>
          </w:p>
        </w:tc>
        <w:tc>
          <w:tcPr>
            <w:tcW w:w="1427"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217"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45"/>
              <w:jc w:val="right"/>
              <w:rPr>
                <w:rFonts w:ascii="Times New Roman" w:hAnsi="Times New Roman" w:cs="Times New Roman" w:eastAsia="Times New Roman" w:hint="default"/>
                <w:sz w:val="16"/>
                <w:szCs w:val="16"/>
              </w:rPr>
            </w:pPr>
            <w:r>
              <w:rPr>
                <w:rFonts w:ascii="Times New Roman"/>
                <w:spacing w:val="-1"/>
                <w:sz w:val="16"/>
              </w:rPr>
              <w:t>0.00</w:t>
            </w:r>
          </w:p>
        </w:tc>
        <w:tc>
          <w:tcPr>
            <w:tcW w:w="1329"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257"/>
              <w:jc w:val="right"/>
              <w:rPr>
                <w:rFonts w:ascii="Times New Roman" w:hAnsi="Times New Roman" w:cs="Times New Roman" w:eastAsia="Times New Roman" w:hint="default"/>
                <w:sz w:val="16"/>
                <w:szCs w:val="16"/>
              </w:rPr>
            </w:pPr>
            <w:r>
              <w:rPr>
                <w:rFonts w:ascii="Times New Roman"/>
                <w:spacing w:val="-2"/>
                <w:sz w:val="16"/>
              </w:rPr>
              <w:t>14,137,861.32</w:t>
            </w:r>
          </w:p>
        </w:tc>
        <w:tc>
          <w:tcPr>
            <w:tcW w:w="1490"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right="107"/>
              <w:jc w:val="right"/>
              <w:rPr>
                <w:rFonts w:ascii="Times New Roman" w:hAnsi="Times New Roman" w:cs="Times New Roman" w:eastAsia="Times New Roman" w:hint="default"/>
                <w:sz w:val="16"/>
                <w:szCs w:val="16"/>
              </w:rPr>
            </w:pPr>
            <w:r>
              <w:rPr>
                <w:rFonts w:ascii="Times New Roman"/>
                <w:spacing w:val="-2"/>
                <w:sz w:val="16"/>
              </w:rPr>
              <w:t>77,774,074.66</w:t>
            </w:r>
          </w:p>
        </w:tc>
      </w:tr>
      <w:tr>
        <w:trPr>
          <w:trHeight w:val="231" w:hRule="exact"/>
        </w:trPr>
        <w:tc>
          <w:tcPr>
            <w:tcW w:w="1893" w:type="dxa"/>
            <w:tcBorders>
              <w:top w:val="single" w:sz="4" w:space="0" w:color="000000"/>
              <w:left w:val="nil" w:sz="6" w:space="0" w:color="auto"/>
              <w:bottom w:val="nil" w:sz="6" w:space="0" w:color="auto"/>
              <w:right w:val="nil" w:sz="6" w:space="0" w:color="auto"/>
            </w:tcBorders>
          </w:tcPr>
          <w:p>
            <w:pPr>
              <w:pStyle w:val="TableParagraph"/>
              <w:spacing w:line="193" w:lineRule="exact"/>
              <w:ind w:left="122" w:right="0"/>
              <w:jc w:val="left"/>
              <w:rPr>
                <w:rFonts w:ascii="宋体" w:hAnsi="宋体" w:cs="宋体" w:eastAsia="宋体" w:hint="default"/>
                <w:sz w:val="16"/>
                <w:szCs w:val="16"/>
              </w:rPr>
            </w:pPr>
            <w:r>
              <w:rPr>
                <w:rFonts w:ascii="宋体" w:hAnsi="宋体" w:cs="宋体" w:eastAsia="宋体" w:hint="default"/>
                <w:sz w:val="16"/>
                <w:szCs w:val="16"/>
              </w:rPr>
              <w:t>四、账面价值</w:t>
            </w:r>
          </w:p>
        </w:tc>
        <w:tc>
          <w:tcPr>
            <w:tcW w:w="1786" w:type="dxa"/>
            <w:tcBorders>
              <w:top w:val="single" w:sz="4" w:space="0" w:color="000000"/>
              <w:left w:val="nil" w:sz="6" w:space="0" w:color="auto"/>
              <w:bottom w:val="nil" w:sz="6" w:space="0" w:color="auto"/>
              <w:right w:val="nil" w:sz="6" w:space="0" w:color="auto"/>
            </w:tcBorders>
          </w:tcPr>
          <w:p>
            <w:pPr/>
          </w:p>
        </w:tc>
        <w:tc>
          <w:tcPr>
            <w:tcW w:w="1160" w:type="dxa"/>
            <w:tcBorders>
              <w:top w:val="single" w:sz="4" w:space="0" w:color="000000"/>
              <w:left w:val="nil" w:sz="6" w:space="0" w:color="auto"/>
              <w:bottom w:val="nil" w:sz="6" w:space="0" w:color="auto"/>
              <w:right w:val="nil" w:sz="6" w:space="0" w:color="auto"/>
            </w:tcBorders>
          </w:tcPr>
          <w:p>
            <w:pPr/>
          </w:p>
        </w:tc>
        <w:tc>
          <w:tcPr>
            <w:tcW w:w="1309" w:type="dxa"/>
            <w:tcBorders>
              <w:top w:val="single" w:sz="4" w:space="0" w:color="000000"/>
              <w:left w:val="nil" w:sz="6" w:space="0" w:color="auto"/>
              <w:bottom w:val="nil" w:sz="6" w:space="0" w:color="auto"/>
              <w:right w:val="nil" w:sz="6" w:space="0" w:color="auto"/>
            </w:tcBorders>
          </w:tcPr>
          <w:p>
            <w:pPr/>
          </w:p>
        </w:tc>
        <w:tc>
          <w:tcPr>
            <w:tcW w:w="1308" w:type="dxa"/>
            <w:tcBorders>
              <w:top w:val="single" w:sz="4" w:space="0" w:color="000000"/>
              <w:left w:val="nil" w:sz="6" w:space="0" w:color="auto"/>
              <w:bottom w:val="nil" w:sz="6" w:space="0" w:color="auto"/>
              <w:right w:val="nil" w:sz="6" w:space="0" w:color="auto"/>
            </w:tcBorders>
          </w:tcPr>
          <w:p>
            <w:pPr/>
          </w:p>
        </w:tc>
        <w:tc>
          <w:tcPr>
            <w:tcW w:w="1313" w:type="dxa"/>
            <w:tcBorders>
              <w:top w:val="single" w:sz="4" w:space="0" w:color="000000"/>
              <w:left w:val="nil" w:sz="6" w:space="0" w:color="auto"/>
              <w:bottom w:val="nil" w:sz="6" w:space="0" w:color="auto"/>
              <w:right w:val="nil" w:sz="6" w:space="0" w:color="auto"/>
            </w:tcBorders>
          </w:tcPr>
          <w:p>
            <w:pPr/>
          </w:p>
        </w:tc>
        <w:tc>
          <w:tcPr>
            <w:tcW w:w="1427" w:type="dxa"/>
            <w:tcBorders>
              <w:top w:val="single" w:sz="4" w:space="0" w:color="000000"/>
              <w:left w:val="nil" w:sz="6" w:space="0" w:color="auto"/>
              <w:bottom w:val="nil" w:sz="6" w:space="0" w:color="auto"/>
              <w:right w:val="nil" w:sz="6" w:space="0" w:color="auto"/>
            </w:tcBorders>
          </w:tcPr>
          <w:p>
            <w:pPr/>
          </w:p>
        </w:tc>
        <w:tc>
          <w:tcPr>
            <w:tcW w:w="1217" w:type="dxa"/>
            <w:tcBorders>
              <w:top w:val="single" w:sz="4" w:space="0" w:color="000000"/>
              <w:left w:val="nil" w:sz="6" w:space="0" w:color="auto"/>
              <w:bottom w:val="nil" w:sz="6" w:space="0" w:color="auto"/>
              <w:right w:val="nil" w:sz="6" w:space="0" w:color="auto"/>
            </w:tcBorders>
          </w:tcPr>
          <w:p>
            <w:pPr/>
          </w:p>
        </w:tc>
        <w:tc>
          <w:tcPr>
            <w:tcW w:w="1329" w:type="dxa"/>
            <w:tcBorders>
              <w:top w:val="single" w:sz="4" w:space="0" w:color="000000"/>
              <w:left w:val="nil" w:sz="6" w:space="0" w:color="auto"/>
              <w:bottom w:val="nil" w:sz="6" w:space="0" w:color="auto"/>
              <w:right w:val="nil" w:sz="6" w:space="0" w:color="auto"/>
            </w:tcBorders>
          </w:tcPr>
          <w:p>
            <w:pPr/>
          </w:p>
        </w:tc>
        <w:tc>
          <w:tcPr>
            <w:tcW w:w="1490" w:type="dxa"/>
            <w:tcBorders>
              <w:top w:val="single" w:sz="4" w:space="0" w:color="000000"/>
              <w:left w:val="nil" w:sz="6" w:space="0" w:color="auto"/>
              <w:bottom w:val="nil" w:sz="6" w:space="0" w:color="auto"/>
              <w:right w:val="nil" w:sz="6" w:space="0" w:color="auto"/>
            </w:tcBorders>
          </w:tcPr>
          <w:p>
            <w:pPr/>
          </w:p>
        </w:tc>
      </w:tr>
      <w:tr>
        <w:trPr>
          <w:trHeight w:val="236" w:hRule="exact"/>
        </w:trPr>
        <w:tc>
          <w:tcPr>
            <w:tcW w:w="1893" w:type="dxa"/>
            <w:tcBorders>
              <w:top w:val="nil" w:sz="6" w:space="0" w:color="auto"/>
              <w:left w:val="nil" w:sz="6" w:space="0" w:color="auto"/>
              <w:bottom w:val="nil" w:sz="6" w:space="0" w:color="auto"/>
              <w:right w:val="nil" w:sz="6" w:space="0" w:color="auto"/>
            </w:tcBorders>
          </w:tcPr>
          <w:p>
            <w:pPr>
              <w:pStyle w:val="TableParagraph"/>
              <w:spacing w:line="206"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年末账面价值</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6"/>
              <w:jc w:val="right"/>
              <w:rPr>
                <w:rFonts w:ascii="Times New Roman" w:hAnsi="Times New Roman" w:cs="Times New Roman" w:eastAsia="Times New Roman" w:hint="default"/>
                <w:sz w:val="16"/>
                <w:szCs w:val="16"/>
              </w:rPr>
            </w:pPr>
            <w:r>
              <w:rPr>
                <w:rFonts w:ascii="Times New Roman"/>
                <w:spacing w:val="-1"/>
                <w:sz w:val="16"/>
              </w:rPr>
              <w:t>655,923,878.49</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64" w:right="0"/>
              <w:jc w:val="left"/>
              <w:rPr>
                <w:rFonts w:ascii="Times New Roman" w:hAnsi="Times New Roman" w:cs="Times New Roman" w:eastAsia="Times New Roman" w:hint="default"/>
                <w:sz w:val="16"/>
                <w:szCs w:val="16"/>
              </w:rPr>
            </w:pPr>
            <w:r>
              <w:rPr>
                <w:rFonts w:ascii="Times New Roman"/>
                <w:sz w:val="16"/>
              </w:rPr>
              <w:t>1,046,974.48</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1"/>
              <w:jc w:val="right"/>
              <w:rPr>
                <w:rFonts w:ascii="Times New Roman" w:hAnsi="Times New Roman" w:cs="Times New Roman" w:eastAsia="Times New Roman" w:hint="default"/>
                <w:sz w:val="16"/>
                <w:szCs w:val="16"/>
              </w:rPr>
            </w:pPr>
            <w:r>
              <w:rPr>
                <w:rFonts w:ascii="Times New Roman"/>
                <w:spacing w:val="-1"/>
                <w:sz w:val="16"/>
              </w:rPr>
              <w:t>637,876,306.29</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1"/>
              <w:jc w:val="right"/>
              <w:rPr>
                <w:rFonts w:ascii="Times New Roman" w:hAnsi="Times New Roman" w:cs="Times New Roman" w:eastAsia="Times New Roman" w:hint="default"/>
                <w:sz w:val="16"/>
                <w:szCs w:val="16"/>
              </w:rPr>
            </w:pPr>
            <w:r>
              <w:rPr>
                <w:rFonts w:ascii="Times New Roman"/>
                <w:spacing w:val="-1"/>
                <w:sz w:val="16"/>
              </w:rPr>
              <w:t>376,392,532.44</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6"/>
              <w:jc w:val="right"/>
              <w:rPr>
                <w:rFonts w:ascii="Times New Roman" w:hAnsi="Times New Roman" w:cs="Times New Roman" w:eastAsia="Times New Roman" w:hint="default"/>
                <w:sz w:val="16"/>
                <w:szCs w:val="16"/>
              </w:rPr>
            </w:pPr>
            <w:r>
              <w:rPr>
                <w:rFonts w:ascii="Times New Roman"/>
                <w:spacing w:val="-1"/>
                <w:sz w:val="16"/>
              </w:rPr>
              <w:t>220,806,538.20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5"/>
              <w:jc w:val="right"/>
              <w:rPr>
                <w:rFonts w:ascii="Times New Roman" w:hAnsi="Times New Roman" w:cs="Times New Roman" w:eastAsia="Times New Roman" w:hint="default"/>
                <w:sz w:val="16"/>
                <w:szCs w:val="16"/>
              </w:rPr>
            </w:pPr>
            <w:r>
              <w:rPr>
                <w:rFonts w:ascii="Times New Roman"/>
                <w:spacing w:val="-1"/>
                <w:sz w:val="16"/>
              </w:rPr>
              <w:t>888,432,964.25</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8"/>
              <w:jc w:val="right"/>
              <w:rPr>
                <w:rFonts w:ascii="Times New Roman" w:hAnsi="Times New Roman" w:cs="Times New Roman" w:eastAsia="Times New Roman" w:hint="default"/>
                <w:sz w:val="16"/>
                <w:szCs w:val="16"/>
              </w:rPr>
            </w:pPr>
            <w:r>
              <w:rPr>
                <w:rFonts w:ascii="Times New Roman"/>
                <w:spacing w:val="-2"/>
                <w:sz w:val="16"/>
              </w:rPr>
              <w:t>64,515,000.00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56"/>
              <w:jc w:val="right"/>
              <w:rPr>
                <w:rFonts w:ascii="Times New Roman" w:hAnsi="Times New Roman" w:cs="Times New Roman" w:eastAsia="Times New Roman" w:hint="default"/>
                <w:sz w:val="16"/>
                <w:szCs w:val="16"/>
              </w:rPr>
            </w:pPr>
            <w:r>
              <w:rPr>
                <w:rFonts w:ascii="Times New Roman"/>
                <w:spacing w:val="-1"/>
                <w:sz w:val="16"/>
              </w:rPr>
              <w:t>943,332.23</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8"/>
              <w:jc w:val="right"/>
              <w:rPr>
                <w:rFonts w:ascii="Times New Roman" w:hAnsi="Times New Roman" w:cs="Times New Roman" w:eastAsia="Times New Roman" w:hint="default"/>
                <w:sz w:val="16"/>
                <w:szCs w:val="16"/>
              </w:rPr>
            </w:pPr>
            <w:r>
              <w:rPr>
                <w:rFonts w:ascii="Times New Roman"/>
                <w:spacing w:val="-1"/>
                <w:sz w:val="16"/>
              </w:rPr>
              <w:t>2,845,937,526.38</w:t>
            </w:r>
          </w:p>
        </w:tc>
      </w:tr>
      <w:tr>
        <w:trPr>
          <w:trHeight w:val="226" w:hRule="exact"/>
        </w:trPr>
        <w:tc>
          <w:tcPr>
            <w:tcW w:w="1893" w:type="dxa"/>
            <w:tcBorders>
              <w:top w:val="nil" w:sz="6" w:space="0" w:color="auto"/>
              <w:left w:val="nil" w:sz="6" w:space="0" w:color="auto"/>
              <w:bottom w:val="single" w:sz="12" w:space="0" w:color="000000"/>
              <w:right w:val="nil" w:sz="6" w:space="0" w:color="auto"/>
            </w:tcBorders>
          </w:tcPr>
          <w:p>
            <w:pPr>
              <w:pStyle w:val="TableParagraph"/>
              <w:spacing w:line="198" w:lineRule="exact"/>
              <w:ind w:left="12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年初账面价值</w:t>
            </w:r>
          </w:p>
        </w:tc>
        <w:tc>
          <w:tcPr>
            <w:tcW w:w="1786"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36"/>
              <w:jc w:val="right"/>
              <w:rPr>
                <w:rFonts w:ascii="Times New Roman" w:hAnsi="Times New Roman" w:cs="Times New Roman" w:eastAsia="Times New Roman" w:hint="default"/>
                <w:sz w:val="16"/>
                <w:szCs w:val="16"/>
              </w:rPr>
            </w:pPr>
            <w:r>
              <w:rPr>
                <w:rFonts w:ascii="Times New Roman"/>
                <w:spacing w:val="-1"/>
                <w:sz w:val="16"/>
              </w:rPr>
              <w:t>597,370,708.20</w:t>
            </w:r>
          </w:p>
        </w:tc>
        <w:tc>
          <w:tcPr>
            <w:tcW w:w="1160"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left="164" w:right="0"/>
              <w:jc w:val="left"/>
              <w:rPr>
                <w:rFonts w:ascii="Times New Roman" w:hAnsi="Times New Roman" w:cs="Times New Roman" w:eastAsia="Times New Roman" w:hint="default"/>
                <w:sz w:val="16"/>
                <w:szCs w:val="16"/>
              </w:rPr>
            </w:pPr>
            <w:r>
              <w:rPr>
                <w:rFonts w:ascii="Times New Roman"/>
                <w:sz w:val="16"/>
              </w:rPr>
              <w:t>1,077,469.00</w:t>
            </w:r>
          </w:p>
        </w:tc>
        <w:tc>
          <w:tcPr>
            <w:tcW w:w="1309"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51"/>
              <w:jc w:val="right"/>
              <w:rPr>
                <w:rFonts w:ascii="Times New Roman" w:hAnsi="Times New Roman" w:cs="Times New Roman" w:eastAsia="Times New Roman" w:hint="default"/>
                <w:sz w:val="16"/>
                <w:szCs w:val="16"/>
              </w:rPr>
            </w:pPr>
            <w:r>
              <w:rPr>
                <w:rFonts w:ascii="Times New Roman"/>
                <w:spacing w:val="-1"/>
                <w:sz w:val="16"/>
              </w:rPr>
              <w:t>438,794,678.62</w:t>
            </w:r>
          </w:p>
        </w:tc>
        <w:tc>
          <w:tcPr>
            <w:tcW w:w="1308"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51"/>
              <w:jc w:val="right"/>
              <w:rPr>
                <w:rFonts w:ascii="Times New Roman" w:hAnsi="Times New Roman" w:cs="Times New Roman" w:eastAsia="Times New Roman" w:hint="default"/>
                <w:sz w:val="16"/>
                <w:szCs w:val="16"/>
              </w:rPr>
            </w:pPr>
            <w:r>
              <w:rPr>
                <w:rFonts w:ascii="Times New Roman"/>
                <w:spacing w:val="-1"/>
                <w:sz w:val="16"/>
              </w:rPr>
              <w:t>305,885,116.21</w:t>
            </w:r>
          </w:p>
        </w:tc>
        <w:tc>
          <w:tcPr>
            <w:tcW w:w="1313"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56"/>
              <w:jc w:val="right"/>
              <w:rPr>
                <w:rFonts w:ascii="Times New Roman" w:hAnsi="Times New Roman" w:cs="Times New Roman" w:eastAsia="Times New Roman" w:hint="default"/>
                <w:sz w:val="16"/>
                <w:szCs w:val="16"/>
              </w:rPr>
            </w:pPr>
            <w:r>
              <w:rPr>
                <w:rFonts w:ascii="Times New Roman"/>
                <w:spacing w:val="-1"/>
                <w:sz w:val="16"/>
              </w:rPr>
              <w:t>259,099,140.78</w:t>
            </w:r>
          </w:p>
        </w:tc>
        <w:tc>
          <w:tcPr>
            <w:tcW w:w="1427"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45"/>
              <w:jc w:val="right"/>
              <w:rPr>
                <w:rFonts w:ascii="Times New Roman" w:hAnsi="Times New Roman" w:cs="Times New Roman" w:eastAsia="Times New Roman" w:hint="default"/>
                <w:sz w:val="16"/>
                <w:szCs w:val="16"/>
              </w:rPr>
            </w:pPr>
            <w:r>
              <w:rPr>
                <w:rFonts w:ascii="Times New Roman"/>
                <w:spacing w:val="-1"/>
                <w:sz w:val="16"/>
              </w:rPr>
              <w:t>923,366,140.97</w:t>
            </w:r>
          </w:p>
        </w:tc>
        <w:tc>
          <w:tcPr>
            <w:tcW w:w="1217"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48"/>
              <w:jc w:val="right"/>
              <w:rPr>
                <w:rFonts w:ascii="Times New Roman" w:hAnsi="Times New Roman" w:cs="Times New Roman" w:eastAsia="Times New Roman" w:hint="default"/>
                <w:sz w:val="16"/>
                <w:szCs w:val="16"/>
              </w:rPr>
            </w:pPr>
            <w:r>
              <w:rPr>
                <w:rFonts w:ascii="Times New Roman"/>
                <w:spacing w:val="-2"/>
                <w:sz w:val="16"/>
              </w:rPr>
              <w:t>76,933,876.00</w:t>
            </w:r>
          </w:p>
        </w:tc>
        <w:tc>
          <w:tcPr>
            <w:tcW w:w="1329"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257"/>
              <w:jc w:val="right"/>
              <w:rPr>
                <w:rFonts w:ascii="Times New Roman" w:hAnsi="Times New Roman" w:cs="Times New Roman" w:eastAsia="Times New Roman" w:hint="default"/>
                <w:sz w:val="16"/>
                <w:szCs w:val="16"/>
              </w:rPr>
            </w:pPr>
            <w:r>
              <w:rPr>
                <w:rFonts w:ascii="Times New Roman"/>
                <w:spacing w:val="-1"/>
                <w:sz w:val="16"/>
              </w:rPr>
              <w:t>7,238,381.96</w:t>
            </w:r>
          </w:p>
        </w:tc>
        <w:tc>
          <w:tcPr>
            <w:tcW w:w="1490"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8"/>
              <w:jc w:val="right"/>
              <w:rPr>
                <w:rFonts w:ascii="Times New Roman" w:hAnsi="Times New Roman" w:cs="Times New Roman" w:eastAsia="Times New Roman" w:hint="default"/>
                <w:sz w:val="16"/>
                <w:szCs w:val="16"/>
              </w:rPr>
            </w:pPr>
            <w:r>
              <w:rPr>
                <w:rFonts w:ascii="Times New Roman"/>
                <w:spacing w:val="-1"/>
                <w:sz w:val="16"/>
              </w:rPr>
              <w:t>2,609,765,511.74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p>
      <w:pPr>
        <w:spacing w:before="76"/>
        <w:ind w:left="7083" w:right="7060" w:firstLine="0"/>
        <w:jc w:val="center"/>
        <w:rPr>
          <w:rFonts w:ascii="Times New Roman" w:hAnsi="Times New Roman" w:cs="Times New Roman" w:eastAsia="Times New Roman" w:hint="default"/>
          <w:sz w:val="18"/>
          <w:szCs w:val="18"/>
        </w:rPr>
      </w:pPr>
      <w:r>
        <w:rPr>
          <w:rFonts w:ascii="Times New Roman"/>
          <w:sz w:val="18"/>
        </w:rPr>
        <w:t>118</w:t>
      </w:r>
    </w:p>
    <w:p>
      <w:pPr>
        <w:spacing w:after="0"/>
        <w:jc w:val="center"/>
        <w:rPr>
          <w:rFonts w:ascii="Times New Roman" w:hAnsi="Times New Roman" w:cs="Times New Roman" w:eastAsia="Times New Roman" w:hint="default"/>
          <w:sz w:val="18"/>
          <w:szCs w:val="18"/>
        </w:rPr>
        <w:sectPr>
          <w:headerReference w:type="default" r:id="rId71"/>
          <w:footerReference w:type="default" r:id="rId72"/>
          <w:pgSz w:w="16840" w:h="11910" w:orient="landscape"/>
          <w:pgMar w:header="0" w:footer="0" w:top="520" w:bottom="280" w:left="1180" w:right="1200"/>
        </w:sectPr>
      </w:pPr>
    </w:p>
    <w:p>
      <w:pPr>
        <w:spacing w:line="240" w:lineRule="auto" w:before="4"/>
        <w:rPr>
          <w:rFonts w:ascii="Times New Roman" w:hAnsi="Times New Roman" w:cs="Times New Roman" w:eastAsia="Times New Roman" w:hint="default"/>
          <w:sz w:val="8"/>
          <w:szCs w:val="8"/>
        </w:rPr>
      </w:pPr>
      <w:r>
        <w:rPr/>
        <w:pict>
          <v:group style="position:absolute;margin-left:80.25pt;margin-top:32.249992pt;width:432.15pt;height:22.35pt;mso-position-horizontal-relative:page;mso-position-vertical-relative:page;z-index:2008"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35" o:title=""/>
              </v:shape>
            </v:group>
            <w10:wrap type="none"/>
          </v:group>
        </w:pict>
      </w:r>
    </w:p>
    <w:tbl>
      <w:tblPr>
        <w:tblW w:w="0" w:type="auto"/>
        <w:jc w:val="left"/>
        <w:tblInd w:w="158" w:type="dxa"/>
        <w:tblLayout w:type="fixed"/>
        <w:tblCellMar>
          <w:top w:w="0" w:type="dxa"/>
          <w:left w:w="0" w:type="dxa"/>
          <w:bottom w:w="0" w:type="dxa"/>
          <w:right w:w="0" w:type="dxa"/>
        </w:tblCellMar>
        <w:tblLook w:val="01E0"/>
      </w:tblPr>
      <w:tblGrid>
        <w:gridCol w:w="730"/>
        <w:gridCol w:w="1095"/>
        <w:gridCol w:w="1200"/>
        <w:gridCol w:w="1002"/>
        <w:gridCol w:w="1298"/>
        <w:gridCol w:w="1135"/>
        <w:gridCol w:w="1091"/>
        <w:gridCol w:w="1088"/>
      </w:tblGrid>
      <w:tr>
        <w:trPr>
          <w:trHeight w:val="398" w:hRule="exact"/>
        </w:trPr>
        <w:tc>
          <w:tcPr>
            <w:tcW w:w="73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left="43" w:right="0"/>
              <w:jc w:val="left"/>
              <w:rPr>
                <w:rFonts w:ascii="宋体" w:hAnsi="宋体" w:cs="宋体" w:eastAsia="宋体" w:hint="default"/>
                <w:sz w:val="16"/>
                <w:szCs w:val="16"/>
              </w:rPr>
            </w:pPr>
            <w:r>
              <w:rPr>
                <w:rFonts w:ascii="宋体" w:hAnsi="宋体" w:cs="宋体" w:eastAsia="宋体" w:hint="default"/>
                <w:b/>
                <w:bCs/>
                <w:sz w:val="16"/>
                <w:szCs w:val="16"/>
              </w:rPr>
              <w:t>项目</w:t>
            </w:r>
            <w:r>
              <w:rPr>
                <w:rFonts w:ascii="宋体" w:hAnsi="宋体" w:cs="宋体" w:eastAsia="宋体" w:hint="default"/>
                <w:sz w:val="16"/>
                <w:szCs w:val="16"/>
              </w:rPr>
            </w:r>
          </w:p>
        </w:tc>
        <w:tc>
          <w:tcPr>
            <w:tcW w:w="109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left="215" w:right="0"/>
              <w:jc w:val="left"/>
              <w:rPr>
                <w:rFonts w:ascii="宋体" w:hAnsi="宋体" w:cs="宋体" w:eastAsia="宋体" w:hint="default"/>
                <w:sz w:val="16"/>
                <w:szCs w:val="16"/>
              </w:rPr>
            </w:pPr>
            <w:r>
              <w:rPr>
                <w:rFonts w:ascii="宋体" w:hAnsi="宋体" w:cs="宋体" w:eastAsia="宋体" w:hint="default"/>
                <w:b/>
                <w:bCs/>
                <w:sz w:val="16"/>
                <w:szCs w:val="16"/>
              </w:rPr>
              <w:t>年初余额</w:t>
            </w:r>
            <w:r>
              <w:rPr>
                <w:rFonts w:ascii="宋体" w:hAnsi="宋体" w:cs="宋体" w:eastAsia="宋体" w:hint="default"/>
                <w:sz w:val="16"/>
                <w:szCs w:val="16"/>
              </w:rPr>
            </w:r>
          </w:p>
        </w:tc>
        <w:tc>
          <w:tcPr>
            <w:tcW w:w="2203"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53"/>
              <w:ind w:right="49"/>
              <w:jc w:val="center"/>
              <w:rPr>
                <w:rFonts w:ascii="宋体" w:hAnsi="宋体" w:cs="宋体" w:eastAsia="宋体" w:hint="default"/>
                <w:sz w:val="16"/>
                <w:szCs w:val="16"/>
              </w:rPr>
            </w:pPr>
            <w:r>
              <w:rPr>
                <w:rFonts w:ascii="宋体" w:hAnsi="宋体" w:cs="宋体" w:eastAsia="宋体" w:hint="default"/>
                <w:b/>
                <w:bCs/>
                <w:sz w:val="16"/>
                <w:szCs w:val="16"/>
              </w:rPr>
              <w:t>本年增加</w:t>
            </w:r>
            <w:r>
              <w:rPr>
                <w:rFonts w:ascii="宋体" w:hAnsi="宋体" w:cs="宋体" w:eastAsia="宋体" w:hint="default"/>
                <w:sz w:val="16"/>
                <w:szCs w:val="16"/>
              </w:rPr>
            </w:r>
          </w:p>
        </w:tc>
        <w:tc>
          <w:tcPr>
            <w:tcW w:w="1298" w:type="dxa"/>
            <w:tcBorders>
              <w:top w:val="single" w:sz="12" w:space="0" w:color="000000"/>
              <w:left w:val="nil" w:sz="6" w:space="0" w:color="auto"/>
              <w:bottom w:val="nil" w:sz="6" w:space="0" w:color="auto"/>
              <w:right w:val="nil" w:sz="6" w:space="0" w:color="auto"/>
            </w:tcBorders>
          </w:tcPr>
          <w:p>
            <w:pPr/>
          </w:p>
        </w:tc>
        <w:tc>
          <w:tcPr>
            <w:tcW w:w="1135" w:type="dxa"/>
            <w:tcBorders>
              <w:top w:val="single" w:sz="12" w:space="0" w:color="000000"/>
              <w:left w:val="nil" w:sz="6" w:space="0" w:color="auto"/>
              <w:bottom w:val="nil" w:sz="6" w:space="0" w:color="auto"/>
              <w:right w:val="nil" w:sz="6" w:space="0" w:color="auto"/>
            </w:tcBorders>
          </w:tcPr>
          <w:p>
            <w:pPr>
              <w:pStyle w:val="TableParagraph"/>
              <w:spacing w:line="240" w:lineRule="auto" w:before="53"/>
              <w:ind w:left="112" w:right="0"/>
              <w:jc w:val="left"/>
              <w:rPr>
                <w:rFonts w:ascii="宋体" w:hAnsi="宋体" w:cs="宋体" w:eastAsia="宋体" w:hint="default"/>
                <w:sz w:val="16"/>
                <w:szCs w:val="16"/>
              </w:rPr>
            </w:pPr>
            <w:r>
              <w:rPr>
                <w:rFonts w:ascii="宋体" w:hAnsi="宋体" w:cs="宋体" w:eastAsia="宋体" w:hint="default"/>
                <w:b/>
                <w:bCs/>
                <w:sz w:val="16"/>
                <w:szCs w:val="16"/>
              </w:rPr>
              <w:t>本年减少</w:t>
            </w:r>
            <w:r>
              <w:rPr>
                <w:rFonts w:ascii="宋体" w:hAnsi="宋体" w:cs="宋体" w:eastAsia="宋体" w:hint="default"/>
                <w:sz w:val="16"/>
                <w:szCs w:val="16"/>
              </w:rPr>
            </w:r>
          </w:p>
        </w:tc>
        <w:tc>
          <w:tcPr>
            <w:tcW w:w="1091" w:type="dxa"/>
            <w:tcBorders>
              <w:top w:val="single" w:sz="12" w:space="0" w:color="000000"/>
              <w:left w:val="nil" w:sz="6" w:space="0" w:color="auto"/>
              <w:bottom w:val="nil" w:sz="6" w:space="0" w:color="auto"/>
              <w:right w:val="nil" w:sz="6" w:space="0" w:color="auto"/>
            </w:tcBorders>
          </w:tcPr>
          <w:p>
            <w:pPr/>
          </w:p>
        </w:tc>
        <w:tc>
          <w:tcPr>
            <w:tcW w:w="1088"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left="207" w:right="0"/>
              <w:jc w:val="left"/>
              <w:rPr>
                <w:rFonts w:ascii="宋体" w:hAnsi="宋体" w:cs="宋体" w:eastAsia="宋体" w:hint="default"/>
                <w:sz w:val="16"/>
                <w:szCs w:val="16"/>
              </w:rPr>
            </w:pPr>
            <w:r>
              <w:rPr>
                <w:rFonts w:ascii="宋体" w:hAnsi="宋体" w:cs="宋体" w:eastAsia="宋体" w:hint="default"/>
                <w:b/>
                <w:bCs/>
                <w:sz w:val="16"/>
                <w:szCs w:val="16"/>
              </w:rPr>
              <w:t>年末余额</w:t>
            </w:r>
            <w:r>
              <w:rPr>
                <w:rFonts w:ascii="宋体" w:hAnsi="宋体" w:cs="宋体" w:eastAsia="宋体" w:hint="default"/>
                <w:sz w:val="16"/>
                <w:szCs w:val="16"/>
              </w:rPr>
            </w:r>
          </w:p>
        </w:tc>
      </w:tr>
      <w:tr>
        <w:trPr>
          <w:trHeight w:val="202" w:hRule="exact"/>
        </w:trPr>
        <w:tc>
          <w:tcPr>
            <w:tcW w:w="730" w:type="dxa"/>
            <w:tcBorders>
              <w:top w:val="nil" w:sz="6" w:space="0" w:color="auto"/>
              <w:left w:val="nil" w:sz="6" w:space="0" w:color="auto"/>
              <w:bottom w:val="single" w:sz="4" w:space="0" w:color="000000"/>
              <w:right w:val="nil" w:sz="6" w:space="0" w:color="auto"/>
            </w:tcBorders>
          </w:tcPr>
          <w:p>
            <w:pPr/>
          </w:p>
        </w:tc>
        <w:tc>
          <w:tcPr>
            <w:tcW w:w="1095" w:type="dxa"/>
            <w:tcBorders>
              <w:top w:val="nil" w:sz="6" w:space="0" w:color="auto"/>
              <w:left w:val="nil" w:sz="6" w:space="0" w:color="auto"/>
              <w:bottom w:val="single" w:sz="4" w:space="0" w:color="000000"/>
              <w:right w:val="nil" w:sz="6" w:space="0" w:color="auto"/>
            </w:tcBorders>
          </w:tcPr>
          <w:p>
            <w:pPr/>
          </w:p>
        </w:tc>
        <w:tc>
          <w:tcPr>
            <w:tcW w:w="1200" w:type="dxa"/>
            <w:tcBorders>
              <w:top w:val="nil" w:sz="6" w:space="0" w:color="auto"/>
              <w:left w:val="nil" w:sz="6" w:space="0" w:color="auto"/>
              <w:bottom w:val="single" w:sz="4" w:space="0" w:color="000000"/>
              <w:right w:val="nil" w:sz="6" w:space="0" w:color="auto"/>
            </w:tcBorders>
          </w:tcPr>
          <w:p>
            <w:pPr>
              <w:pStyle w:val="TableParagraph"/>
              <w:spacing w:line="174" w:lineRule="exact"/>
              <w:ind w:left="105" w:right="0"/>
              <w:jc w:val="left"/>
              <w:rPr>
                <w:rFonts w:ascii="宋体" w:hAnsi="宋体" w:cs="宋体" w:eastAsia="宋体" w:hint="default"/>
                <w:sz w:val="16"/>
                <w:szCs w:val="16"/>
              </w:rPr>
            </w:pPr>
            <w:r>
              <w:rPr>
                <w:rFonts w:ascii="宋体" w:hAnsi="宋体" w:cs="宋体" w:eastAsia="宋体" w:hint="default"/>
                <w:b/>
                <w:bCs/>
                <w:sz w:val="16"/>
                <w:szCs w:val="16"/>
              </w:rPr>
              <w:t>内部开发支出</w:t>
            </w:r>
            <w:r>
              <w:rPr>
                <w:rFonts w:ascii="宋体" w:hAnsi="宋体" w:cs="宋体" w:eastAsia="宋体" w:hint="default"/>
                <w:sz w:val="16"/>
                <w:szCs w:val="16"/>
              </w:rPr>
            </w:r>
          </w:p>
        </w:tc>
        <w:tc>
          <w:tcPr>
            <w:tcW w:w="1002" w:type="dxa"/>
            <w:tcBorders>
              <w:top w:val="nil" w:sz="6" w:space="0" w:color="auto"/>
              <w:left w:val="nil" w:sz="6" w:space="0" w:color="auto"/>
              <w:bottom w:val="single" w:sz="4" w:space="0" w:color="000000"/>
              <w:right w:val="nil" w:sz="6" w:space="0" w:color="auto"/>
            </w:tcBorders>
          </w:tcPr>
          <w:p>
            <w:pPr>
              <w:pStyle w:val="TableParagraph"/>
              <w:spacing w:line="174" w:lineRule="exact"/>
              <w:ind w:left="165" w:right="0"/>
              <w:jc w:val="left"/>
              <w:rPr>
                <w:rFonts w:ascii="宋体" w:hAnsi="宋体" w:cs="宋体" w:eastAsia="宋体" w:hint="default"/>
                <w:sz w:val="16"/>
                <w:szCs w:val="16"/>
              </w:rPr>
            </w:pPr>
            <w:r>
              <w:rPr>
                <w:rFonts w:ascii="宋体" w:hAnsi="宋体" w:cs="宋体" w:eastAsia="宋体" w:hint="default"/>
                <w:b/>
                <w:bCs/>
                <w:sz w:val="16"/>
                <w:szCs w:val="16"/>
              </w:rPr>
              <w:t>其他增加</w:t>
            </w:r>
            <w:r>
              <w:rPr>
                <w:rFonts w:ascii="宋体" w:hAnsi="宋体" w:cs="宋体" w:eastAsia="宋体" w:hint="default"/>
                <w:sz w:val="16"/>
                <w:szCs w:val="16"/>
              </w:rPr>
            </w:r>
          </w:p>
        </w:tc>
        <w:tc>
          <w:tcPr>
            <w:tcW w:w="1298" w:type="dxa"/>
            <w:tcBorders>
              <w:top w:val="nil" w:sz="6" w:space="0" w:color="auto"/>
              <w:left w:val="nil" w:sz="6" w:space="0" w:color="auto"/>
              <w:bottom w:val="single" w:sz="4" w:space="0" w:color="000000"/>
              <w:right w:val="nil" w:sz="6" w:space="0" w:color="auto"/>
            </w:tcBorders>
          </w:tcPr>
          <w:p>
            <w:pPr>
              <w:pStyle w:val="TableParagraph"/>
              <w:spacing w:line="174" w:lineRule="exact"/>
              <w:ind w:right="116"/>
              <w:jc w:val="right"/>
              <w:rPr>
                <w:rFonts w:ascii="宋体" w:hAnsi="宋体" w:cs="宋体" w:eastAsia="宋体" w:hint="default"/>
                <w:sz w:val="16"/>
                <w:szCs w:val="16"/>
              </w:rPr>
            </w:pPr>
            <w:r>
              <w:rPr>
                <w:rFonts w:ascii="宋体" w:hAnsi="宋体" w:cs="宋体" w:eastAsia="宋体" w:hint="default"/>
                <w:b/>
                <w:bCs/>
                <w:sz w:val="16"/>
                <w:szCs w:val="16"/>
              </w:rPr>
              <w:t>确认为无形资产</w:t>
            </w:r>
            <w:r>
              <w:rPr>
                <w:rFonts w:ascii="宋体" w:hAnsi="宋体" w:cs="宋体" w:eastAsia="宋体" w:hint="default"/>
                <w:sz w:val="16"/>
                <w:szCs w:val="16"/>
              </w:rPr>
            </w:r>
          </w:p>
        </w:tc>
        <w:tc>
          <w:tcPr>
            <w:tcW w:w="1135" w:type="dxa"/>
            <w:tcBorders>
              <w:top w:val="nil" w:sz="6" w:space="0" w:color="auto"/>
              <w:left w:val="nil" w:sz="6" w:space="0" w:color="auto"/>
              <w:bottom w:val="single" w:sz="4" w:space="0" w:color="000000"/>
              <w:right w:val="nil" w:sz="6" w:space="0" w:color="auto"/>
            </w:tcBorders>
          </w:tcPr>
          <w:p>
            <w:pPr>
              <w:pStyle w:val="TableParagraph"/>
              <w:spacing w:line="174" w:lineRule="exact"/>
              <w:ind w:left="64" w:right="0"/>
              <w:jc w:val="left"/>
              <w:rPr>
                <w:rFonts w:ascii="宋体" w:hAnsi="宋体" w:cs="宋体" w:eastAsia="宋体" w:hint="default"/>
                <w:sz w:val="16"/>
                <w:szCs w:val="16"/>
              </w:rPr>
            </w:pPr>
            <w:r>
              <w:rPr>
                <w:rFonts w:ascii="宋体" w:hAnsi="宋体" w:cs="宋体" w:eastAsia="宋体" w:hint="default"/>
                <w:b/>
                <w:bCs/>
                <w:sz w:val="16"/>
                <w:szCs w:val="16"/>
              </w:rPr>
              <w:t>转入当期损益</w:t>
            </w:r>
            <w:r>
              <w:rPr>
                <w:rFonts w:ascii="宋体" w:hAnsi="宋体" w:cs="宋体" w:eastAsia="宋体" w:hint="default"/>
                <w:sz w:val="16"/>
                <w:szCs w:val="16"/>
              </w:rPr>
            </w:r>
          </w:p>
        </w:tc>
        <w:tc>
          <w:tcPr>
            <w:tcW w:w="1091" w:type="dxa"/>
            <w:tcBorders>
              <w:top w:val="nil" w:sz="6" w:space="0" w:color="auto"/>
              <w:left w:val="nil" w:sz="6" w:space="0" w:color="auto"/>
              <w:bottom w:val="single" w:sz="4" w:space="0" w:color="000000"/>
              <w:right w:val="nil" w:sz="6" w:space="0" w:color="auto"/>
            </w:tcBorders>
          </w:tcPr>
          <w:p>
            <w:pPr>
              <w:pStyle w:val="TableParagraph"/>
              <w:spacing w:line="174" w:lineRule="exact"/>
              <w:ind w:left="206" w:right="0"/>
              <w:jc w:val="left"/>
              <w:rPr>
                <w:rFonts w:ascii="宋体" w:hAnsi="宋体" w:cs="宋体" w:eastAsia="宋体" w:hint="default"/>
                <w:sz w:val="16"/>
                <w:szCs w:val="16"/>
              </w:rPr>
            </w:pPr>
            <w:r>
              <w:rPr>
                <w:rFonts w:ascii="宋体" w:hAnsi="宋体" w:cs="宋体" w:eastAsia="宋体" w:hint="default"/>
                <w:b/>
                <w:bCs/>
                <w:sz w:val="16"/>
                <w:szCs w:val="16"/>
              </w:rPr>
              <w:t>其他减少</w:t>
            </w:r>
            <w:r>
              <w:rPr>
                <w:rFonts w:ascii="宋体" w:hAnsi="宋体" w:cs="宋体" w:eastAsia="宋体" w:hint="default"/>
                <w:sz w:val="16"/>
                <w:szCs w:val="16"/>
              </w:rPr>
            </w:r>
          </w:p>
        </w:tc>
        <w:tc>
          <w:tcPr>
            <w:tcW w:w="1088" w:type="dxa"/>
            <w:tcBorders>
              <w:top w:val="nil" w:sz="6" w:space="0" w:color="auto"/>
              <w:left w:val="nil" w:sz="6" w:space="0" w:color="auto"/>
              <w:bottom w:val="single" w:sz="4" w:space="0" w:color="000000"/>
              <w:right w:val="nil" w:sz="6" w:space="0" w:color="auto"/>
            </w:tcBorders>
          </w:tcPr>
          <w:p>
            <w:pPr/>
          </w:p>
        </w:tc>
      </w:tr>
      <w:tr>
        <w:trPr>
          <w:trHeight w:val="335" w:hRule="exact"/>
        </w:trPr>
        <w:tc>
          <w:tcPr>
            <w:tcW w:w="730" w:type="dxa"/>
            <w:tcBorders>
              <w:top w:val="single" w:sz="4" w:space="0" w:color="000000"/>
              <w:left w:val="nil" w:sz="6" w:space="0" w:color="auto"/>
              <w:bottom w:val="nil" w:sz="6" w:space="0" w:color="auto"/>
              <w:right w:val="nil" w:sz="6" w:space="0" w:color="auto"/>
            </w:tcBorders>
          </w:tcPr>
          <w:p>
            <w:pPr>
              <w:pStyle w:val="TableParagraph"/>
              <w:spacing w:line="240" w:lineRule="auto" w:before="53"/>
              <w:ind w:left="43" w:right="0"/>
              <w:jc w:val="left"/>
              <w:rPr>
                <w:rFonts w:ascii="宋体" w:hAnsi="宋体" w:cs="宋体" w:eastAsia="宋体" w:hint="default"/>
                <w:sz w:val="16"/>
                <w:szCs w:val="16"/>
              </w:rPr>
            </w:pPr>
            <w:r>
              <w:rPr>
                <w:rFonts w:ascii="宋体" w:hAnsi="宋体" w:cs="宋体" w:eastAsia="宋体" w:hint="default"/>
                <w:sz w:val="16"/>
                <w:szCs w:val="16"/>
              </w:rPr>
              <w:t>开发支出</w:t>
            </w:r>
          </w:p>
        </w:tc>
        <w:tc>
          <w:tcPr>
            <w:tcW w:w="1095"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48"/>
              <w:jc w:val="right"/>
              <w:rPr>
                <w:rFonts w:ascii="Times New Roman" w:hAnsi="Times New Roman" w:cs="Times New Roman" w:eastAsia="Times New Roman" w:hint="default"/>
                <w:sz w:val="16"/>
                <w:szCs w:val="16"/>
              </w:rPr>
            </w:pPr>
            <w:r>
              <w:rPr>
                <w:rFonts w:ascii="Times New Roman"/>
                <w:spacing w:val="-1"/>
                <w:sz w:val="16"/>
              </w:rPr>
              <w:t>726,268,545.91</w:t>
            </w:r>
          </w:p>
        </w:tc>
        <w:tc>
          <w:tcPr>
            <w:tcW w:w="1200"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left="50" w:right="0"/>
              <w:jc w:val="left"/>
              <w:rPr>
                <w:rFonts w:ascii="Times New Roman" w:hAnsi="Times New Roman" w:cs="Times New Roman" w:eastAsia="Times New Roman" w:hint="default"/>
                <w:sz w:val="16"/>
                <w:szCs w:val="16"/>
              </w:rPr>
            </w:pPr>
            <w:r>
              <w:rPr>
                <w:rFonts w:ascii="Times New Roman"/>
                <w:sz w:val="16"/>
              </w:rPr>
              <w:t>1,023,163,810.51</w:t>
            </w:r>
          </w:p>
        </w:tc>
        <w:tc>
          <w:tcPr>
            <w:tcW w:w="1002"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51"/>
              <w:jc w:val="right"/>
              <w:rPr>
                <w:rFonts w:ascii="Times New Roman" w:hAnsi="Times New Roman" w:cs="Times New Roman" w:eastAsia="Times New Roman" w:hint="default"/>
                <w:sz w:val="16"/>
                <w:szCs w:val="16"/>
              </w:rPr>
            </w:pPr>
            <w:r>
              <w:rPr>
                <w:rFonts w:ascii="Times New Roman"/>
                <w:spacing w:val="-2"/>
                <w:sz w:val="16"/>
              </w:rPr>
              <w:t>11,692,541.19</w:t>
            </w:r>
          </w:p>
        </w:tc>
        <w:tc>
          <w:tcPr>
            <w:tcW w:w="1298"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63"/>
              <w:jc w:val="right"/>
              <w:rPr>
                <w:rFonts w:ascii="Times New Roman" w:hAnsi="Times New Roman" w:cs="Times New Roman" w:eastAsia="Times New Roman" w:hint="default"/>
                <w:sz w:val="16"/>
                <w:szCs w:val="16"/>
              </w:rPr>
            </w:pPr>
            <w:r>
              <w:rPr>
                <w:rFonts w:ascii="Times New Roman"/>
                <w:spacing w:val="-1"/>
                <w:sz w:val="16"/>
              </w:rPr>
              <w:t>433,116,802.25</w:t>
            </w:r>
          </w:p>
        </w:tc>
        <w:tc>
          <w:tcPr>
            <w:tcW w:w="1135"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left="105" w:right="0"/>
              <w:jc w:val="left"/>
              <w:rPr>
                <w:rFonts w:ascii="Times New Roman" w:hAnsi="Times New Roman" w:cs="Times New Roman" w:eastAsia="Times New Roman" w:hint="default"/>
                <w:sz w:val="16"/>
                <w:szCs w:val="16"/>
              </w:rPr>
            </w:pPr>
            <w:r>
              <w:rPr>
                <w:rFonts w:ascii="Times New Roman"/>
                <w:sz w:val="16"/>
              </w:rPr>
              <w:t>314,986,909.49</w:t>
            </w:r>
          </w:p>
        </w:tc>
        <w:tc>
          <w:tcPr>
            <w:tcW w:w="1091"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59"/>
              <w:jc w:val="right"/>
              <w:rPr>
                <w:rFonts w:ascii="Times New Roman" w:hAnsi="Times New Roman" w:cs="Times New Roman" w:eastAsia="Times New Roman" w:hint="default"/>
                <w:sz w:val="16"/>
                <w:szCs w:val="16"/>
              </w:rPr>
            </w:pPr>
            <w:r>
              <w:rPr>
                <w:rFonts w:ascii="Times New Roman"/>
                <w:spacing w:val="-1"/>
                <w:sz w:val="16"/>
              </w:rPr>
              <w:t>104,291,962.45</w:t>
            </w:r>
          </w:p>
        </w:tc>
        <w:tc>
          <w:tcPr>
            <w:tcW w:w="1088"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24"/>
              <w:jc w:val="right"/>
              <w:rPr>
                <w:rFonts w:ascii="Times New Roman" w:hAnsi="Times New Roman" w:cs="Times New Roman" w:eastAsia="Times New Roman" w:hint="default"/>
                <w:sz w:val="16"/>
                <w:szCs w:val="16"/>
              </w:rPr>
            </w:pPr>
            <w:r>
              <w:rPr>
                <w:rFonts w:ascii="Times New Roman"/>
                <w:spacing w:val="-1"/>
                <w:sz w:val="16"/>
              </w:rPr>
              <w:t>908,729,223.42</w:t>
            </w:r>
          </w:p>
        </w:tc>
      </w:tr>
      <w:tr>
        <w:trPr>
          <w:trHeight w:val="245" w:hRule="exact"/>
        </w:trPr>
        <w:tc>
          <w:tcPr>
            <w:tcW w:w="730" w:type="dxa"/>
            <w:tcBorders>
              <w:top w:val="nil" w:sz="6" w:space="0" w:color="auto"/>
              <w:left w:val="nil" w:sz="6" w:space="0" w:color="auto"/>
              <w:bottom w:val="single" w:sz="4" w:space="0" w:color="000000"/>
              <w:right w:val="nil" w:sz="6" w:space="0" w:color="auto"/>
            </w:tcBorders>
          </w:tcPr>
          <w:p>
            <w:pPr>
              <w:pStyle w:val="TableParagraph"/>
              <w:spacing w:line="240" w:lineRule="auto" w:before="5"/>
              <w:ind w:left="43" w:right="0"/>
              <w:jc w:val="left"/>
              <w:rPr>
                <w:rFonts w:ascii="宋体" w:hAnsi="宋体" w:cs="宋体" w:eastAsia="宋体" w:hint="default"/>
                <w:sz w:val="16"/>
                <w:szCs w:val="16"/>
              </w:rPr>
            </w:pPr>
            <w:r>
              <w:rPr>
                <w:rFonts w:ascii="宋体" w:hAnsi="宋体" w:cs="宋体" w:eastAsia="宋体" w:hint="default"/>
                <w:sz w:val="16"/>
                <w:szCs w:val="16"/>
              </w:rPr>
              <w:t>研究支出</w:t>
            </w:r>
          </w:p>
        </w:tc>
        <w:tc>
          <w:tcPr>
            <w:tcW w:w="1095"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48"/>
              <w:jc w:val="right"/>
              <w:rPr>
                <w:rFonts w:ascii="Times New Roman" w:hAnsi="Times New Roman" w:cs="Times New Roman" w:eastAsia="Times New Roman" w:hint="default"/>
                <w:sz w:val="16"/>
                <w:szCs w:val="16"/>
              </w:rPr>
            </w:pPr>
            <w:r>
              <w:rPr>
                <w:rFonts w:ascii="Times New Roman"/>
                <w:spacing w:val="-1"/>
                <w:sz w:val="16"/>
              </w:rPr>
              <w:t>0.00</w:t>
            </w:r>
          </w:p>
        </w:tc>
        <w:tc>
          <w:tcPr>
            <w:tcW w:w="1200"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left="170" w:right="0"/>
              <w:jc w:val="left"/>
              <w:rPr>
                <w:rFonts w:ascii="Times New Roman" w:hAnsi="Times New Roman" w:cs="Times New Roman" w:eastAsia="Times New Roman" w:hint="default"/>
                <w:sz w:val="16"/>
                <w:szCs w:val="16"/>
              </w:rPr>
            </w:pPr>
            <w:r>
              <w:rPr>
                <w:rFonts w:ascii="Times New Roman"/>
                <w:sz w:val="16"/>
              </w:rPr>
              <w:t>651,163,843.21</w:t>
            </w:r>
          </w:p>
        </w:tc>
        <w:tc>
          <w:tcPr>
            <w:tcW w:w="1002"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51"/>
              <w:jc w:val="right"/>
              <w:rPr>
                <w:rFonts w:ascii="Times New Roman" w:hAnsi="Times New Roman" w:cs="Times New Roman" w:eastAsia="Times New Roman" w:hint="default"/>
                <w:sz w:val="16"/>
                <w:szCs w:val="16"/>
              </w:rPr>
            </w:pPr>
            <w:r>
              <w:rPr>
                <w:rFonts w:ascii="Times New Roman"/>
                <w:spacing w:val="-1"/>
                <w:sz w:val="16"/>
              </w:rPr>
              <w:t>0.00</w:t>
            </w:r>
          </w:p>
        </w:tc>
        <w:tc>
          <w:tcPr>
            <w:tcW w:w="1298"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62"/>
              <w:jc w:val="right"/>
              <w:rPr>
                <w:rFonts w:ascii="Times New Roman" w:hAnsi="Times New Roman" w:cs="Times New Roman" w:eastAsia="Times New Roman" w:hint="default"/>
                <w:sz w:val="16"/>
                <w:szCs w:val="16"/>
              </w:rPr>
            </w:pPr>
            <w:r>
              <w:rPr>
                <w:rFonts w:ascii="Times New Roman"/>
                <w:spacing w:val="-1"/>
                <w:sz w:val="16"/>
              </w:rPr>
              <w:t>0.00</w:t>
            </w:r>
          </w:p>
        </w:tc>
        <w:tc>
          <w:tcPr>
            <w:tcW w:w="1135"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left="105" w:right="0"/>
              <w:jc w:val="left"/>
              <w:rPr>
                <w:rFonts w:ascii="Times New Roman" w:hAnsi="Times New Roman" w:cs="Times New Roman" w:eastAsia="Times New Roman" w:hint="default"/>
                <w:sz w:val="16"/>
                <w:szCs w:val="16"/>
              </w:rPr>
            </w:pPr>
            <w:r>
              <w:rPr>
                <w:rFonts w:ascii="Times New Roman"/>
                <w:sz w:val="16"/>
              </w:rPr>
              <w:t>644,702,429.96</w:t>
            </w:r>
          </w:p>
        </w:tc>
        <w:tc>
          <w:tcPr>
            <w:tcW w:w="1091"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59"/>
              <w:jc w:val="right"/>
              <w:rPr>
                <w:rFonts w:ascii="Times New Roman" w:hAnsi="Times New Roman" w:cs="Times New Roman" w:eastAsia="Times New Roman" w:hint="default"/>
                <w:sz w:val="16"/>
                <w:szCs w:val="16"/>
              </w:rPr>
            </w:pPr>
            <w:r>
              <w:rPr>
                <w:rFonts w:ascii="Times New Roman"/>
                <w:spacing w:val="-1"/>
                <w:sz w:val="16"/>
              </w:rPr>
              <w:t>6,461,413.25</w:t>
            </w:r>
          </w:p>
        </w:tc>
        <w:tc>
          <w:tcPr>
            <w:tcW w:w="1088"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23"/>
              <w:jc w:val="right"/>
              <w:rPr>
                <w:rFonts w:ascii="Times New Roman" w:hAnsi="Times New Roman" w:cs="Times New Roman" w:eastAsia="Times New Roman" w:hint="default"/>
                <w:sz w:val="16"/>
                <w:szCs w:val="16"/>
              </w:rPr>
            </w:pPr>
            <w:r>
              <w:rPr>
                <w:rFonts w:ascii="Times New Roman"/>
                <w:spacing w:val="-1"/>
                <w:sz w:val="16"/>
              </w:rPr>
              <w:t>0.00</w:t>
            </w:r>
          </w:p>
        </w:tc>
      </w:tr>
      <w:tr>
        <w:trPr>
          <w:trHeight w:val="305" w:hRule="exact"/>
        </w:trPr>
        <w:tc>
          <w:tcPr>
            <w:tcW w:w="730" w:type="dxa"/>
            <w:tcBorders>
              <w:top w:val="single" w:sz="4" w:space="0" w:color="000000"/>
              <w:left w:val="nil" w:sz="6" w:space="0" w:color="auto"/>
              <w:bottom w:val="single" w:sz="12" w:space="0" w:color="000000"/>
              <w:right w:val="nil" w:sz="6" w:space="0" w:color="auto"/>
            </w:tcBorders>
          </w:tcPr>
          <w:p>
            <w:pPr>
              <w:pStyle w:val="TableParagraph"/>
              <w:spacing w:line="240" w:lineRule="auto" w:before="50"/>
              <w:ind w:left="43" w:right="0"/>
              <w:jc w:val="left"/>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c>
        <w:tc>
          <w:tcPr>
            <w:tcW w:w="1095"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48"/>
              <w:jc w:val="right"/>
              <w:rPr>
                <w:rFonts w:ascii="Times New Roman" w:hAnsi="Times New Roman" w:cs="Times New Roman" w:eastAsia="Times New Roman" w:hint="default"/>
                <w:sz w:val="16"/>
                <w:szCs w:val="16"/>
              </w:rPr>
            </w:pPr>
            <w:r>
              <w:rPr>
                <w:rFonts w:ascii="Times New Roman"/>
                <w:b/>
                <w:spacing w:val="-1"/>
                <w:sz w:val="16"/>
              </w:rPr>
              <w:t>726,268,545.91</w:t>
            </w:r>
            <w:r>
              <w:rPr>
                <w:rFonts w:ascii="Times New Roman"/>
                <w:spacing w:val="-1"/>
                <w:sz w:val="16"/>
              </w:rPr>
            </w:r>
          </w:p>
        </w:tc>
        <w:tc>
          <w:tcPr>
            <w:tcW w:w="1200"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left="50" w:right="0"/>
              <w:jc w:val="left"/>
              <w:rPr>
                <w:rFonts w:ascii="Times New Roman" w:hAnsi="Times New Roman" w:cs="Times New Roman" w:eastAsia="Times New Roman" w:hint="default"/>
                <w:sz w:val="16"/>
                <w:szCs w:val="16"/>
              </w:rPr>
            </w:pPr>
            <w:r>
              <w:rPr>
                <w:rFonts w:ascii="Times New Roman"/>
                <w:b/>
                <w:sz w:val="16"/>
              </w:rPr>
              <w:t>1,674,327,653.72</w:t>
            </w:r>
            <w:r>
              <w:rPr>
                <w:rFonts w:ascii="Times New Roman"/>
                <w:sz w:val="16"/>
              </w:rPr>
            </w:r>
          </w:p>
        </w:tc>
        <w:tc>
          <w:tcPr>
            <w:tcW w:w="1002"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51"/>
              <w:jc w:val="right"/>
              <w:rPr>
                <w:rFonts w:ascii="Times New Roman" w:hAnsi="Times New Roman" w:cs="Times New Roman" w:eastAsia="Times New Roman" w:hint="default"/>
                <w:sz w:val="16"/>
                <w:szCs w:val="16"/>
              </w:rPr>
            </w:pPr>
            <w:r>
              <w:rPr>
                <w:rFonts w:ascii="Times New Roman"/>
                <w:b/>
                <w:spacing w:val="-2"/>
                <w:sz w:val="16"/>
              </w:rPr>
              <w:t>11,692,541.19</w:t>
            </w:r>
            <w:r>
              <w:rPr>
                <w:rFonts w:ascii="Times New Roman"/>
                <w:spacing w:val="-2"/>
                <w:sz w:val="16"/>
              </w:rPr>
            </w:r>
          </w:p>
        </w:tc>
        <w:tc>
          <w:tcPr>
            <w:tcW w:w="1298"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63"/>
              <w:jc w:val="right"/>
              <w:rPr>
                <w:rFonts w:ascii="Times New Roman" w:hAnsi="Times New Roman" w:cs="Times New Roman" w:eastAsia="Times New Roman" w:hint="default"/>
                <w:sz w:val="16"/>
                <w:szCs w:val="16"/>
              </w:rPr>
            </w:pPr>
            <w:r>
              <w:rPr>
                <w:rFonts w:ascii="Times New Roman"/>
                <w:b/>
                <w:spacing w:val="-1"/>
                <w:sz w:val="16"/>
              </w:rPr>
              <w:t>433,116,802.25</w:t>
            </w:r>
            <w:r>
              <w:rPr>
                <w:rFonts w:ascii="Times New Roman"/>
                <w:spacing w:val="-1"/>
                <w:sz w:val="16"/>
              </w:rPr>
            </w:r>
          </w:p>
        </w:tc>
        <w:tc>
          <w:tcPr>
            <w:tcW w:w="1135"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left="105" w:right="0"/>
              <w:jc w:val="left"/>
              <w:rPr>
                <w:rFonts w:ascii="Times New Roman" w:hAnsi="Times New Roman" w:cs="Times New Roman" w:eastAsia="Times New Roman" w:hint="default"/>
                <w:sz w:val="16"/>
                <w:szCs w:val="16"/>
              </w:rPr>
            </w:pPr>
            <w:r>
              <w:rPr>
                <w:rFonts w:ascii="Times New Roman"/>
                <w:b/>
                <w:sz w:val="16"/>
              </w:rPr>
              <w:t>959,689,339.45</w:t>
            </w:r>
            <w:r>
              <w:rPr>
                <w:rFonts w:ascii="Times New Roman"/>
                <w:sz w:val="16"/>
              </w:rPr>
            </w:r>
          </w:p>
        </w:tc>
        <w:tc>
          <w:tcPr>
            <w:tcW w:w="1091"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59"/>
              <w:jc w:val="right"/>
              <w:rPr>
                <w:rFonts w:ascii="Times New Roman" w:hAnsi="Times New Roman" w:cs="Times New Roman" w:eastAsia="Times New Roman" w:hint="default"/>
                <w:sz w:val="16"/>
                <w:szCs w:val="16"/>
              </w:rPr>
            </w:pPr>
            <w:r>
              <w:rPr>
                <w:rFonts w:ascii="Times New Roman"/>
                <w:b/>
                <w:spacing w:val="-1"/>
                <w:sz w:val="16"/>
              </w:rPr>
              <w:t>110,753,375.70</w:t>
            </w:r>
            <w:r>
              <w:rPr>
                <w:rFonts w:ascii="Times New Roman"/>
                <w:spacing w:val="-1"/>
                <w:sz w:val="16"/>
              </w:rPr>
            </w:r>
          </w:p>
        </w:tc>
        <w:tc>
          <w:tcPr>
            <w:tcW w:w="1088"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24"/>
              <w:jc w:val="right"/>
              <w:rPr>
                <w:rFonts w:ascii="Times New Roman" w:hAnsi="Times New Roman" w:cs="Times New Roman" w:eastAsia="Times New Roman" w:hint="default"/>
                <w:sz w:val="16"/>
                <w:szCs w:val="16"/>
              </w:rPr>
            </w:pPr>
            <w:r>
              <w:rPr>
                <w:rFonts w:ascii="Times New Roman"/>
                <w:b/>
                <w:spacing w:val="-1"/>
                <w:sz w:val="16"/>
              </w:rPr>
              <w:t>908,729,223.42</w:t>
            </w:r>
            <w:r>
              <w:rPr>
                <w:rFonts w:ascii="Times New Roman"/>
                <w:spacing w:val="-1"/>
                <w:sz w:val="16"/>
              </w:rPr>
            </w:r>
          </w:p>
        </w:tc>
      </w:tr>
    </w:tbl>
    <w:p>
      <w:pPr>
        <w:spacing w:before="21"/>
        <w:ind w:left="605" w:right="0" w:firstLine="0"/>
        <w:jc w:val="left"/>
        <w:rPr>
          <w:rFonts w:ascii="宋体" w:hAnsi="宋体" w:cs="宋体" w:eastAsia="宋体" w:hint="default"/>
          <w:sz w:val="22"/>
          <w:szCs w:val="22"/>
        </w:rPr>
      </w:pPr>
      <w:r>
        <w:rPr/>
        <w:pict>
          <v:group style="position:absolute;margin-left:172.820007pt;margin-top:-60.022366pt;width:286.3pt;height:.5pt;mso-position-horizontal-relative:page;mso-position-vertical-relative:paragraph;z-index:-1197112" coordorigin="3456,-1200" coordsize="5726,10">
            <v:group style="position:absolute;left:3461;top:-1196;width:1223;height:2" coordorigin="3461,-1196" coordsize="1223,2">
              <v:shape style="position:absolute;left:3461;top:-1196;width:1223;height:2" coordorigin="3461,-1196" coordsize="1223,0" path="m3461,-1196l4683,-1196e" filled="false" stroked="true" strokeweight=".48pt" strokecolor="#000000">
                <v:path arrowok="t"/>
              </v:shape>
            </v:group>
            <v:group style="position:absolute;left:4683;top:-1196;width:10;height:2" coordorigin="4683,-1196" coordsize="10,2">
              <v:shape style="position:absolute;left:4683;top:-1196;width:10;height:2" coordorigin="4683,-1196" coordsize="10,0" path="m4683,-1196l4693,-1196e" filled="false" stroked="true" strokeweight=".48pt" strokecolor="#000000">
                <v:path arrowok="t"/>
              </v:shape>
            </v:group>
            <v:group style="position:absolute;left:4693;top:-1196;width:968;height:2" coordorigin="4693,-1196" coordsize="968,2">
              <v:shape style="position:absolute;left:4693;top:-1196;width:968;height:2" coordorigin="4693,-1196" coordsize="968,0" path="m4693,-1196l5660,-1196e" filled="false" stroked="true" strokeweight=".48pt" strokecolor="#000000">
                <v:path arrowok="t"/>
              </v:shape>
            </v:group>
            <v:group style="position:absolute;left:5660;top:-1196;width:10;height:2" coordorigin="5660,-1196" coordsize="10,2">
              <v:shape style="position:absolute;left:5660;top:-1196;width:10;height:2" coordorigin="5660,-1196" coordsize="10,0" path="m5660,-1196l5670,-1196e" filled="false" stroked="true" strokeweight=".48pt" strokecolor="#000000">
                <v:path arrowok="t"/>
              </v:shape>
            </v:group>
            <v:group style="position:absolute;left:5670;top:-1196;width:1278;height:2" coordorigin="5670,-1196" coordsize="1278,2">
              <v:shape style="position:absolute;left:5670;top:-1196;width:1278;height:2" coordorigin="5670,-1196" coordsize="1278,0" path="m5670,-1196l6947,-1196e" filled="false" stroked="true" strokeweight=".48pt" strokecolor="#000000">
                <v:path arrowok="t"/>
              </v:shape>
            </v:group>
            <v:group style="position:absolute;left:6947;top:-1196;width:10;height:2" coordorigin="6947,-1196" coordsize="10,2">
              <v:shape style="position:absolute;left:6947;top:-1196;width:10;height:2" coordorigin="6947,-1196" coordsize="10,0" path="m6947,-1196l6957,-1196e" filled="false" stroked="true" strokeweight=".48pt" strokecolor="#000000">
                <v:path arrowok="t"/>
              </v:shape>
            </v:group>
            <v:group style="position:absolute;left:6957;top:-1196;width:1164;height:2" coordorigin="6957,-1196" coordsize="1164,2">
              <v:shape style="position:absolute;left:6957;top:-1196;width:1164;height:2" coordorigin="6957,-1196" coordsize="1164,0" path="m6957,-1196l8121,-1196e" filled="false" stroked="true" strokeweight=".48pt" strokecolor="#000000">
                <v:path arrowok="t"/>
              </v:shape>
            </v:group>
            <v:group style="position:absolute;left:8121;top:-1196;width:10;height:2" coordorigin="8121,-1196" coordsize="10,2">
              <v:shape style="position:absolute;left:8121;top:-1196;width:10;height:2" coordorigin="8121,-1196" coordsize="10,0" path="m8121,-1196l8130,-1196e" filled="false" stroked="true" strokeweight=".48pt" strokecolor="#000000">
                <v:path arrowok="t"/>
              </v:shape>
            </v:group>
            <v:group style="position:absolute;left:8130;top:-1196;width:1047;height:2" coordorigin="8130,-1196" coordsize="1047,2">
              <v:shape style="position:absolute;left:8130;top:-1196;width:1047;height:2" coordorigin="8130,-1196" coordsize="1047,0" path="m8130,-1196l9177,-1196e" filled="false" stroked="true" strokeweight=".48pt" strokecolor="#000000">
                <v:path arrowok="t"/>
              </v:shape>
            </v:group>
            <w10:wrap type="none"/>
          </v:group>
        </w:pict>
      </w:r>
      <w:r>
        <w:rPr>
          <w:rFonts w:ascii="Times New Roman" w:hAnsi="Times New Roman" w:cs="Times New Roman" w:eastAsia="Times New Roman" w:hint="default"/>
          <w:b/>
          <w:bCs/>
          <w:sz w:val="22"/>
          <w:szCs w:val="22"/>
        </w:rPr>
        <w:t>17.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商誉</w:t>
      </w:r>
    </w:p>
    <w:p>
      <w:pPr>
        <w:spacing w:before="113"/>
        <w:ind w:left="65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4"/>
          <w:sz w:val="22"/>
          <w:szCs w:val="22"/>
        </w:rPr>
        <w:t> </w:t>
      </w:r>
      <w:r>
        <w:rPr>
          <w:rFonts w:ascii="宋体" w:hAnsi="宋体" w:cs="宋体" w:eastAsia="宋体" w:hint="default"/>
          <w:sz w:val="22"/>
          <w:szCs w:val="22"/>
        </w:rPr>
        <w:t>商誉原值</w:t>
      </w:r>
    </w:p>
    <w:p>
      <w:pPr>
        <w:spacing w:line="240" w:lineRule="auto" w:before="5"/>
        <w:rPr>
          <w:rFonts w:ascii="宋体" w:hAnsi="宋体" w:cs="宋体" w:eastAsia="宋体" w:hint="default"/>
          <w:sz w:val="11"/>
          <w:szCs w:val="11"/>
        </w:rPr>
      </w:pPr>
    </w:p>
    <w:tbl>
      <w:tblPr>
        <w:tblW w:w="0" w:type="auto"/>
        <w:jc w:val="left"/>
        <w:tblInd w:w="144" w:type="dxa"/>
        <w:tblLayout w:type="fixed"/>
        <w:tblCellMar>
          <w:top w:w="0" w:type="dxa"/>
          <w:left w:w="0" w:type="dxa"/>
          <w:bottom w:w="0" w:type="dxa"/>
          <w:right w:w="0" w:type="dxa"/>
        </w:tblCellMar>
        <w:tblLook w:val="01E0"/>
      </w:tblPr>
      <w:tblGrid>
        <w:gridCol w:w="2953"/>
        <w:gridCol w:w="1641"/>
        <w:gridCol w:w="1376"/>
        <w:gridCol w:w="1282"/>
        <w:gridCol w:w="1349"/>
      </w:tblGrid>
      <w:tr>
        <w:trPr>
          <w:trHeight w:val="307" w:hRule="exact"/>
        </w:trPr>
        <w:tc>
          <w:tcPr>
            <w:tcW w:w="2953"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57" w:right="0"/>
              <w:jc w:val="left"/>
              <w:rPr>
                <w:rFonts w:ascii="宋体" w:hAnsi="宋体" w:cs="宋体" w:eastAsia="宋体" w:hint="default"/>
                <w:sz w:val="16"/>
                <w:szCs w:val="16"/>
              </w:rPr>
            </w:pPr>
            <w:r>
              <w:rPr>
                <w:rFonts w:ascii="宋体" w:hAnsi="宋体" w:cs="宋体" w:eastAsia="宋体" w:hint="default"/>
                <w:b/>
                <w:bCs/>
                <w:sz w:val="16"/>
                <w:szCs w:val="16"/>
              </w:rPr>
              <w:t>被投资单位名称</w:t>
            </w:r>
            <w:r>
              <w:rPr>
                <w:rFonts w:ascii="宋体" w:hAnsi="宋体" w:cs="宋体" w:eastAsia="宋体" w:hint="default"/>
                <w:sz w:val="16"/>
                <w:szCs w:val="16"/>
              </w:rPr>
            </w:r>
          </w:p>
        </w:tc>
        <w:tc>
          <w:tcPr>
            <w:tcW w:w="1641"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486" w:right="0"/>
              <w:jc w:val="left"/>
              <w:rPr>
                <w:rFonts w:ascii="宋体" w:hAnsi="宋体" w:cs="宋体" w:eastAsia="宋体" w:hint="default"/>
                <w:sz w:val="16"/>
                <w:szCs w:val="16"/>
              </w:rPr>
            </w:pPr>
            <w:r>
              <w:rPr>
                <w:rFonts w:ascii="宋体" w:hAnsi="宋体" w:cs="宋体" w:eastAsia="宋体" w:hint="default"/>
                <w:b/>
                <w:bCs/>
                <w:sz w:val="16"/>
                <w:szCs w:val="16"/>
              </w:rPr>
              <w:t>年初余额</w:t>
            </w:r>
            <w:r>
              <w:rPr>
                <w:rFonts w:ascii="宋体" w:hAnsi="宋体" w:cs="宋体" w:eastAsia="宋体" w:hint="default"/>
                <w:sz w:val="16"/>
                <w:szCs w:val="16"/>
              </w:rPr>
            </w:r>
          </w:p>
        </w:tc>
        <w:tc>
          <w:tcPr>
            <w:tcW w:w="1376"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234" w:right="0"/>
              <w:jc w:val="left"/>
              <w:rPr>
                <w:rFonts w:ascii="宋体" w:hAnsi="宋体" w:cs="宋体" w:eastAsia="宋体" w:hint="default"/>
                <w:sz w:val="16"/>
                <w:szCs w:val="16"/>
              </w:rPr>
            </w:pPr>
            <w:r>
              <w:rPr>
                <w:rFonts w:ascii="宋体" w:hAnsi="宋体" w:cs="宋体" w:eastAsia="宋体" w:hint="default"/>
                <w:b/>
                <w:bCs/>
                <w:sz w:val="16"/>
                <w:szCs w:val="16"/>
              </w:rPr>
              <w:t>本年增加</w:t>
            </w:r>
            <w:r>
              <w:rPr>
                <w:rFonts w:ascii="宋体" w:hAnsi="宋体" w:cs="宋体" w:eastAsia="宋体" w:hint="default"/>
                <w:sz w:val="16"/>
                <w:szCs w:val="16"/>
              </w:rPr>
            </w:r>
          </w:p>
        </w:tc>
        <w:tc>
          <w:tcPr>
            <w:tcW w:w="1282"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192" w:right="0"/>
              <w:jc w:val="left"/>
              <w:rPr>
                <w:rFonts w:ascii="宋体" w:hAnsi="宋体" w:cs="宋体" w:eastAsia="宋体" w:hint="default"/>
                <w:sz w:val="16"/>
                <w:szCs w:val="16"/>
              </w:rPr>
            </w:pPr>
            <w:r>
              <w:rPr>
                <w:rFonts w:ascii="宋体" w:hAnsi="宋体" w:cs="宋体" w:eastAsia="宋体" w:hint="default"/>
                <w:b/>
                <w:bCs/>
                <w:sz w:val="16"/>
                <w:szCs w:val="16"/>
              </w:rPr>
              <w:t>本年减少</w:t>
            </w:r>
            <w:r>
              <w:rPr>
                <w:rFonts w:ascii="宋体" w:hAnsi="宋体" w:cs="宋体" w:eastAsia="宋体" w:hint="default"/>
                <w:sz w:val="16"/>
                <w:szCs w:val="16"/>
              </w:rPr>
            </w:r>
          </w:p>
        </w:tc>
        <w:tc>
          <w:tcPr>
            <w:tcW w:w="1349"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293" w:right="0"/>
              <w:jc w:val="left"/>
              <w:rPr>
                <w:rFonts w:ascii="宋体" w:hAnsi="宋体" w:cs="宋体" w:eastAsia="宋体" w:hint="default"/>
                <w:sz w:val="16"/>
                <w:szCs w:val="16"/>
              </w:rPr>
            </w:pPr>
            <w:r>
              <w:rPr>
                <w:rFonts w:ascii="宋体" w:hAnsi="宋体" w:cs="宋体" w:eastAsia="宋体" w:hint="default"/>
                <w:b/>
                <w:bCs/>
                <w:sz w:val="16"/>
                <w:szCs w:val="16"/>
              </w:rPr>
              <w:t>年末余额</w:t>
            </w:r>
            <w:r>
              <w:rPr>
                <w:rFonts w:ascii="宋体" w:hAnsi="宋体" w:cs="宋体" w:eastAsia="宋体" w:hint="default"/>
                <w:sz w:val="16"/>
                <w:szCs w:val="16"/>
              </w:rPr>
            </w:r>
          </w:p>
        </w:tc>
      </w:tr>
      <w:tr>
        <w:trPr>
          <w:trHeight w:val="335" w:hRule="exact"/>
        </w:trPr>
        <w:tc>
          <w:tcPr>
            <w:tcW w:w="2953" w:type="dxa"/>
            <w:tcBorders>
              <w:top w:val="single" w:sz="4" w:space="0" w:color="000000"/>
              <w:left w:val="nil" w:sz="6" w:space="0" w:color="auto"/>
              <w:bottom w:val="nil" w:sz="6" w:space="0" w:color="auto"/>
              <w:right w:val="nil" w:sz="6" w:space="0" w:color="auto"/>
            </w:tcBorders>
          </w:tcPr>
          <w:p>
            <w:pPr>
              <w:pStyle w:val="TableParagraph"/>
              <w:spacing w:line="240" w:lineRule="auto" w:before="50"/>
              <w:ind w:left="57" w:right="0"/>
              <w:jc w:val="left"/>
              <w:rPr>
                <w:rFonts w:ascii="宋体" w:hAnsi="宋体" w:cs="宋体" w:eastAsia="宋体" w:hint="default"/>
                <w:sz w:val="16"/>
                <w:szCs w:val="16"/>
              </w:rPr>
            </w:pPr>
            <w:r>
              <w:rPr>
                <w:rFonts w:ascii="宋体" w:hAnsi="宋体" w:cs="宋体" w:eastAsia="宋体" w:hint="default"/>
                <w:sz w:val="16"/>
                <w:szCs w:val="16"/>
              </w:rPr>
              <w:t>北京壹人壹本信息科技有限公司</w:t>
            </w:r>
          </w:p>
        </w:tc>
        <w:tc>
          <w:tcPr>
            <w:tcW w:w="1641"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183"/>
              <w:jc w:val="right"/>
              <w:rPr>
                <w:rFonts w:ascii="Times New Roman" w:hAnsi="Times New Roman" w:cs="Times New Roman" w:eastAsia="Times New Roman" w:hint="default"/>
                <w:sz w:val="16"/>
                <w:szCs w:val="16"/>
              </w:rPr>
            </w:pPr>
            <w:r>
              <w:rPr>
                <w:rFonts w:ascii="Times New Roman"/>
                <w:spacing w:val="-1"/>
                <w:sz w:val="16"/>
              </w:rPr>
              <w:t>902,329,518.71</w:t>
            </w:r>
          </w:p>
        </w:tc>
        <w:tc>
          <w:tcPr>
            <w:tcW w:w="1376"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55"/>
              <w:jc w:val="right"/>
              <w:rPr>
                <w:rFonts w:ascii="Times New Roman" w:hAnsi="Times New Roman" w:cs="Times New Roman" w:eastAsia="Times New Roman" w:hint="default"/>
                <w:sz w:val="16"/>
                <w:szCs w:val="16"/>
              </w:rPr>
            </w:pPr>
            <w:r>
              <w:rPr>
                <w:rFonts w:ascii="Times New Roman"/>
                <w:spacing w:val="-1"/>
                <w:sz w:val="16"/>
              </w:rPr>
              <w:t>902,329,518.71</w:t>
            </w:r>
          </w:p>
        </w:tc>
      </w:tr>
      <w:tr>
        <w:trPr>
          <w:trHeight w:val="286"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深圳市国微电子股份有限公司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3"/>
              <w:jc w:val="right"/>
              <w:rPr>
                <w:rFonts w:ascii="Times New Roman" w:hAnsi="Times New Roman" w:cs="Times New Roman" w:eastAsia="Times New Roman" w:hint="default"/>
                <w:sz w:val="16"/>
                <w:szCs w:val="16"/>
              </w:rPr>
            </w:pPr>
            <w:r>
              <w:rPr>
                <w:rFonts w:ascii="Times New Roman"/>
                <w:spacing w:val="-1"/>
                <w:sz w:val="16"/>
              </w:rPr>
              <w:t>685,676,016.95</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5"/>
              <w:jc w:val="right"/>
              <w:rPr>
                <w:rFonts w:ascii="Times New Roman" w:hAnsi="Times New Roman" w:cs="Times New Roman" w:eastAsia="Times New Roman" w:hint="default"/>
                <w:sz w:val="16"/>
                <w:szCs w:val="16"/>
              </w:rPr>
            </w:pPr>
            <w:r>
              <w:rPr>
                <w:rFonts w:ascii="Times New Roman"/>
                <w:spacing w:val="-1"/>
                <w:sz w:val="16"/>
              </w:rPr>
              <w:t>685,676,016.95</w:t>
            </w:r>
          </w:p>
        </w:tc>
      </w:tr>
      <w:tr>
        <w:trPr>
          <w:trHeight w:val="283"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6"/>
              <w:ind w:left="57" w:right="0"/>
              <w:jc w:val="left"/>
              <w:rPr>
                <w:rFonts w:ascii="宋体" w:hAnsi="宋体" w:cs="宋体" w:eastAsia="宋体" w:hint="default"/>
                <w:sz w:val="16"/>
                <w:szCs w:val="16"/>
              </w:rPr>
            </w:pPr>
            <w:r>
              <w:rPr>
                <w:rFonts w:ascii="宋体" w:hAnsi="宋体" w:cs="宋体" w:eastAsia="宋体" w:hint="default"/>
                <w:sz w:val="16"/>
                <w:szCs w:val="16"/>
              </w:rPr>
              <w:t>同方国芯电子股份有限公司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3"/>
              <w:jc w:val="right"/>
              <w:rPr>
                <w:rFonts w:ascii="Times New Roman" w:hAnsi="Times New Roman" w:cs="Times New Roman" w:eastAsia="Times New Roman" w:hint="default"/>
                <w:sz w:val="16"/>
                <w:szCs w:val="16"/>
              </w:rPr>
            </w:pPr>
            <w:r>
              <w:rPr>
                <w:rFonts w:ascii="Times New Roman"/>
                <w:spacing w:val="-1"/>
                <w:sz w:val="16"/>
              </w:rPr>
              <w:t>197,863,279.07</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5"/>
              <w:jc w:val="right"/>
              <w:rPr>
                <w:rFonts w:ascii="Times New Roman" w:hAnsi="Times New Roman" w:cs="Times New Roman" w:eastAsia="Times New Roman" w:hint="default"/>
                <w:sz w:val="16"/>
                <w:szCs w:val="16"/>
              </w:rPr>
            </w:pPr>
            <w:r>
              <w:rPr>
                <w:rFonts w:ascii="Times New Roman"/>
                <w:spacing w:val="-1"/>
                <w:sz w:val="16"/>
              </w:rPr>
              <w:t>197,863,279.07</w:t>
            </w:r>
          </w:p>
        </w:tc>
      </w:tr>
      <w:tr>
        <w:trPr>
          <w:trHeight w:val="286"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同方友友控股有限公司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3"/>
              <w:jc w:val="right"/>
              <w:rPr>
                <w:rFonts w:ascii="Times New Roman" w:hAnsi="Times New Roman" w:cs="Times New Roman" w:eastAsia="Times New Roman" w:hint="default"/>
                <w:sz w:val="16"/>
                <w:szCs w:val="16"/>
              </w:rPr>
            </w:pPr>
            <w:r>
              <w:rPr>
                <w:rFonts w:ascii="Times New Roman"/>
                <w:spacing w:val="-1"/>
                <w:sz w:val="16"/>
              </w:rPr>
              <w:t>127,224,330.86</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5"/>
              <w:jc w:val="right"/>
              <w:rPr>
                <w:rFonts w:ascii="Times New Roman" w:hAnsi="Times New Roman" w:cs="Times New Roman" w:eastAsia="Times New Roman" w:hint="default"/>
                <w:sz w:val="16"/>
                <w:szCs w:val="16"/>
              </w:rPr>
            </w:pPr>
            <w:r>
              <w:rPr>
                <w:rFonts w:ascii="Times New Roman"/>
                <w:spacing w:val="-1"/>
                <w:sz w:val="16"/>
              </w:rPr>
              <w:t>127,224,330.86</w:t>
            </w:r>
          </w:p>
        </w:tc>
      </w:tr>
      <w:tr>
        <w:trPr>
          <w:trHeight w:val="286"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西安紫光国芯半导体有限公司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2"/>
              <w:jc w:val="right"/>
              <w:rPr>
                <w:rFonts w:ascii="Times New Roman" w:hAnsi="Times New Roman" w:cs="Times New Roman" w:eastAsia="Times New Roman" w:hint="default"/>
                <w:sz w:val="16"/>
                <w:szCs w:val="16"/>
              </w:rPr>
            </w:pPr>
            <w:r>
              <w:rPr>
                <w:rFonts w:ascii="Times New Roman"/>
                <w:spacing w:val="-1"/>
                <w:sz w:val="16"/>
              </w:rPr>
              <w:t>0.00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84" w:right="0"/>
              <w:jc w:val="left"/>
              <w:rPr>
                <w:rFonts w:ascii="Times New Roman" w:hAnsi="Times New Roman" w:cs="Times New Roman" w:eastAsia="Times New Roman" w:hint="default"/>
                <w:sz w:val="16"/>
                <w:szCs w:val="16"/>
              </w:rPr>
            </w:pPr>
            <w:r>
              <w:rPr>
                <w:rFonts w:ascii="Times New Roman"/>
                <w:sz w:val="16"/>
              </w:rPr>
              <w:t>121,006,265.19</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5"/>
              <w:jc w:val="right"/>
              <w:rPr>
                <w:rFonts w:ascii="Times New Roman" w:hAnsi="Times New Roman" w:cs="Times New Roman" w:eastAsia="Times New Roman" w:hint="default"/>
                <w:sz w:val="16"/>
                <w:szCs w:val="16"/>
              </w:rPr>
            </w:pPr>
            <w:r>
              <w:rPr>
                <w:rFonts w:ascii="Times New Roman"/>
                <w:spacing w:val="-1"/>
                <w:sz w:val="16"/>
              </w:rPr>
              <w:t>121,006,265.19</w:t>
            </w:r>
          </w:p>
        </w:tc>
      </w:tr>
      <w:tr>
        <w:trPr>
          <w:trHeight w:val="292"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北京同方微电子有限公司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3"/>
              <w:jc w:val="right"/>
              <w:rPr>
                <w:rFonts w:ascii="Times New Roman" w:hAnsi="Times New Roman" w:cs="Times New Roman" w:eastAsia="Times New Roman" w:hint="default"/>
                <w:sz w:val="16"/>
                <w:szCs w:val="16"/>
              </w:rPr>
            </w:pPr>
            <w:r>
              <w:rPr>
                <w:rFonts w:ascii="Times New Roman"/>
                <w:spacing w:val="-1"/>
                <w:sz w:val="16"/>
              </w:rPr>
              <w:t>8,621,695.31</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5"/>
              <w:jc w:val="right"/>
              <w:rPr>
                <w:rFonts w:ascii="Times New Roman" w:hAnsi="Times New Roman" w:cs="Times New Roman" w:eastAsia="Times New Roman" w:hint="default"/>
                <w:sz w:val="16"/>
                <w:szCs w:val="16"/>
              </w:rPr>
            </w:pPr>
            <w:r>
              <w:rPr>
                <w:rFonts w:ascii="Times New Roman"/>
                <w:spacing w:val="-1"/>
                <w:sz w:val="16"/>
              </w:rPr>
              <w:t>8,621,695.31</w:t>
            </w:r>
          </w:p>
        </w:tc>
      </w:tr>
      <w:tr>
        <w:trPr>
          <w:trHeight w:val="276"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41"/>
              <w:ind w:left="57" w:right="0"/>
              <w:jc w:val="left"/>
              <w:rPr>
                <w:rFonts w:ascii="Times New Roman" w:hAnsi="Times New Roman" w:cs="Times New Roman" w:eastAsia="Times New Roman" w:hint="default"/>
                <w:sz w:val="16"/>
                <w:szCs w:val="16"/>
              </w:rPr>
            </w:pPr>
            <w:r>
              <w:rPr>
                <w:rFonts w:ascii="Times New Roman"/>
                <w:sz w:val="16"/>
              </w:rPr>
              <w:t>Tivoli,</w:t>
            </w:r>
            <w:r>
              <w:rPr>
                <w:rFonts w:ascii="Times New Roman"/>
                <w:spacing w:val="-2"/>
                <w:sz w:val="16"/>
              </w:rPr>
              <w:t> </w:t>
            </w:r>
            <w:r>
              <w:rPr>
                <w:rFonts w:ascii="Times New Roman"/>
                <w:spacing w:val="-3"/>
                <w:sz w:val="16"/>
              </w:rPr>
              <w:t>LLC</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82"/>
              <w:jc w:val="right"/>
              <w:rPr>
                <w:rFonts w:ascii="Times New Roman" w:hAnsi="Times New Roman" w:cs="Times New Roman" w:eastAsia="Times New Roman" w:hint="default"/>
                <w:sz w:val="16"/>
                <w:szCs w:val="16"/>
              </w:rPr>
            </w:pPr>
            <w:r>
              <w:rPr>
                <w:rFonts w:ascii="Times New Roman"/>
                <w:spacing w:val="-1"/>
                <w:sz w:val="16"/>
              </w:rPr>
              <w:t>7,660,972.17</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88"/>
              <w:jc w:val="right"/>
              <w:rPr>
                <w:rFonts w:ascii="Times New Roman" w:hAnsi="Times New Roman" w:cs="Times New Roman" w:eastAsia="Times New Roman" w:hint="default"/>
                <w:sz w:val="16"/>
                <w:szCs w:val="16"/>
              </w:rPr>
            </w:pPr>
            <w:r>
              <w:rPr>
                <w:rFonts w:ascii="Times New Roman"/>
                <w:spacing w:val="-1"/>
                <w:sz w:val="16"/>
              </w:rPr>
              <w:t>448,456.29</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70"/>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4"/>
              <w:jc w:val="right"/>
              <w:rPr>
                <w:rFonts w:ascii="Times New Roman" w:hAnsi="Times New Roman" w:cs="Times New Roman" w:eastAsia="Times New Roman" w:hint="default"/>
                <w:sz w:val="16"/>
                <w:szCs w:val="16"/>
              </w:rPr>
            </w:pPr>
            <w:r>
              <w:rPr>
                <w:rFonts w:ascii="Times New Roman"/>
                <w:spacing w:val="-1"/>
                <w:sz w:val="16"/>
              </w:rPr>
              <w:t>8,109,428.46</w:t>
            </w:r>
          </w:p>
        </w:tc>
      </w:tr>
      <w:tr>
        <w:trPr>
          <w:trHeight w:val="286"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北京同方洁净技术有限公司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3"/>
              <w:jc w:val="right"/>
              <w:rPr>
                <w:rFonts w:ascii="Times New Roman" w:hAnsi="Times New Roman" w:cs="Times New Roman" w:eastAsia="Times New Roman" w:hint="default"/>
                <w:sz w:val="16"/>
                <w:szCs w:val="16"/>
              </w:rPr>
            </w:pPr>
            <w:r>
              <w:rPr>
                <w:rFonts w:ascii="Times New Roman"/>
                <w:spacing w:val="-1"/>
                <w:sz w:val="16"/>
              </w:rPr>
              <w:t>5,138,915.10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5"/>
              <w:jc w:val="right"/>
              <w:rPr>
                <w:rFonts w:ascii="Times New Roman" w:hAnsi="Times New Roman" w:cs="Times New Roman" w:eastAsia="Times New Roman" w:hint="default"/>
                <w:sz w:val="16"/>
                <w:szCs w:val="16"/>
              </w:rPr>
            </w:pPr>
            <w:r>
              <w:rPr>
                <w:rFonts w:ascii="Times New Roman"/>
                <w:spacing w:val="-1"/>
                <w:sz w:val="16"/>
              </w:rPr>
              <w:t>5,138,915.10</w:t>
            </w:r>
          </w:p>
        </w:tc>
      </w:tr>
      <w:tr>
        <w:trPr>
          <w:trHeight w:val="286"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北京同方凌讯科技有限公司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3"/>
              <w:jc w:val="right"/>
              <w:rPr>
                <w:rFonts w:ascii="Times New Roman" w:hAnsi="Times New Roman" w:cs="Times New Roman" w:eastAsia="Times New Roman" w:hint="default"/>
                <w:sz w:val="16"/>
                <w:szCs w:val="16"/>
              </w:rPr>
            </w:pPr>
            <w:r>
              <w:rPr>
                <w:rFonts w:ascii="Times New Roman"/>
                <w:spacing w:val="-1"/>
                <w:sz w:val="16"/>
              </w:rPr>
              <w:t>5,040,000.00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5"/>
              <w:jc w:val="right"/>
              <w:rPr>
                <w:rFonts w:ascii="Times New Roman" w:hAnsi="Times New Roman" w:cs="Times New Roman" w:eastAsia="Times New Roman" w:hint="default"/>
                <w:sz w:val="16"/>
                <w:szCs w:val="16"/>
              </w:rPr>
            </w:pPr>
            <w:r>
              <w:rPr>
                <w:rFonts w:ascii="Times New Roman"/>
                <w:spacing w:val="-1"/>
                <w:sz w:val="16"/>
              </w:rPr>
              <w:t>5,040,000.00</w:t>
            </w:r>
          </w:p>
        </w:tc>
      </w:tr>
      <w:tr>
        <w:trPr>
          <w:trHeight w:val="286"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广东同方照明有限公司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3"/>
              <w:jc w:val="right"/>
              <w:rPr>
                <w:rFonts w:ascii="Times New Roman" w:hAnsi="Times New Roman" w:cs="Times New Roman" w:eastAsia="Times New Roman" w:hint="default"/>
                <w:sz w:val="16"/>
                <w:szCs w:val="16"/>
              </w:rPr>
            </w:pPr>
            <w:r>
              <w:rPr>
                <w:rFonts w:ascii="Times New Roman"/>
                <w:spacing w:val="-1"/>
                <w:sz w:val="16"/>
              </w:rPr>
              <w:t>4,079,128.94</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5"/>
              <w:jc w:val="right"/>
              <w:rPr>
                <w:rFonts w:ascii="Times New Roman" w:hAnsi="Times New Roman" w:cs="Times New Roman" w:eastAsia="Times New Roman" w:hint="default"/>
                <w:sz w:val="16"/>
                <w:szCs w:val="16"/>
              </w:rPr>
            </w:pPr>
            <w:r>
              <w:rPr>
                <w:rFonts w:ascii="Times New Roman"/>
                <w:spacing w:val="-1"/>
                <w:sz w:val="16"/>
              </w:rPr>
              <w:t>4,079,128.94</w:t>
            </w:r>
          </w:p>
        </w:tc>
      </w:tr>
      <w:tr>
        <w:trPr>
          <w:trHeight w:val="283"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清芯光电有限公司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3"/>
              <w:jc w:val="right"/>
              <w:rPr>
                <w:rFonts w:ascii="Times New Roman" w:hAnsi="Times New Roman" w:cs="Times New Roman" w:eastAsia="Times New Roman" w:hint="default"/>
                <w:sz w:val="16"/>
                <w:szCs w:val="16"/>
              </w:rPr>
            </w:pPr>
            <w:r>
              <w:rPr>
                <w:rFonts w:ascii="Times New Roman"/>
                <w:spacing w:val="-1"/>
                <w:sz w:val="16"/>
              </w:rPr>
              <w:t>4,041,174.42</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5"/>
              <w:jc w:val="right"/>
              <w:rPr>
                <w:rFonts w:ascii="Times New Roman" w:hAnsi="Times New Roman" w:cs="Times New Roman" w:eastAsia="Times New Roman" w:hint="default"/>
                <w:sz w:val="16"/>
                <w:szCs w:val="16"/>
              </w:rPr>
            </w:pPr>
            <w:r>
              <w:rPr>
                <w:rFonts w:ascii="Times New Roman"/>
                <w:spacing w:val="-1"/>
                <w:sz w:val="16"/>
              </w:rPr>
              <w:t>4,041,174.42</w:t>
            </w:r>
          </w:p>
        </w:tc>
      </w:tr>
      <w:tr>
        <w:trPr>
          <w:trHeight w:val="286"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北京同方软件股份有限公司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3"/>
              <w:jc w:val="right"/>
              <w:rPr>
                <w:rFonts w:ascii="Times New Roman" w:hAnsi="Times New Roman" w:cs="Times New Roman" w:eastAsia="Times New Roman" w:hint="default"/>
                <w:sz w:val="16"/>
                <w:szCs w:val="16"/>
              </w:rPr>
            </w:pPr>
            <w:r>
              <w:rPr>
                <w:rFonts w:ascii="Times New Roman"/>
                <w:spacing w:val="-1"/>
                <w:sz w:val="16"/>
              </w:rPr>
              <w:t>1,993,272.21</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5"/>
              <w:jc w:val="right"/>
              <w:rPr>
                <w:rFonts w:ascii="Times New Roman" w:hAnsi="Times New Roman" w:cs="Times New Roman" w:eastAsia="Times New Roman" w:hint="default"/>
                <w:sz w:val="16"/>
                <w:szCs w:val="16"/>
              </w:rPr>
            </w:pPr>
            <w:r>
              <w:rPr>
                <w:rFonts w:ascii="Times New Roman"/>
                <w:spacing w:val="-1"/>
                <w:sz w:val="16"/>
              </w:rPr>
              <w:t>1,993,272.21</w:t>
            </w:r>
          </w:p>
        </w:tc>
      </w:tr>
      <w:tr>
        <w:trPr>
          <w:trHeight w:val="286"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同方健康科技</w:t>
            </w:r>
            <w:r>
              <w:rPr>
                <w:rFonts w:ascii="Times New Roman" w:hAnsi="Times New Roman" w:cs="Times New Roman" w:eastAsia="Times New Roman" w:hint="default"/>
                <w:sz w:val="16"/>
                <w:szCs w:val="16"/>
              </w:rPr>
              <w:t>(</w:t>
            </w:r>
            <w:r>
              <w:rPr>
                <w:rFonts w:ascii="宋体" w:hAnsi="宋体" w:cs="宋体" w:eastAsia="宋体" w:hint="default"/>
                <w:sz w:val="16"/>
                <w:szCs w:val="16"/>
              </w:rPr>
              <w:t>北京</w:t>
            </w:r>
            <w:r>
              <w:rPr>
                <w:rFonts w:ascii="Times New Roman" w:hAnsi="Times New Roman" w:cs="Times New Roman" w:eastAsia="Times New Roman" w:hint="default"/>
                <w:sz w:val="16"/>
                <w:szCs w:val="16"/>
              </w:rPr>
              <w:t>)</w:t>
            </w:r>
            <w:r>
              <w:rPr>
                <w:rFonts w:ascii="宋体" w:hAnsi="宋体" w:cs="宋体" w:eastAsia="宋体" w:hint="default"/>
                <w:sz w:val="16"/>
                <w:szCs w:val="16"/>
              </w:rPr>
              <w:t>股份有限公司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3"/>
              <w:jc w:val="right"/>
              <w:rPr>
                <w:rFonts w:ascii="Times New Roman" w:hAnsi="Times New Roman" w:cs="Times New Roman" w:eastAsia="Times New Roman" w:hint="default"/>
                <w:sz w:val="16"/>
                <w:szCs w:val="16"/>
              </w:rPr>
            </w:pPr>
            <w:r>
              <w:rPr>
                <w:rFonts w:ascii="Times New Roman"/>
                <w:spacing w:val="-1"/>
                <w:sz w:val="16"/>
              </w:rPr>
              <w:t>1,891,614.86</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5"/>
              <w:jc w:val="right"/>
              <w:rPr>
                <w:rFonts w:ascii="Times New Roman" w:hAnsi="Times New Roman" w:cs="Times New Roman" w:eastAsia="Times New Roman" w:hint="default"/>
                <w:sz w:val="16"/>
                <w:szCs w:val="16"/>
              </w:rPr>
            </w:pPr>
            <w:r>
              <w:rPr>
                <w:rFonts w:ascii="Times New Roman"/>
                <w:spacing w:val="-1"/>
                <w:sz w:val="16"/>
              </w:rPr>
              <w:t>1,891,614.86</w:t>
            </w:r>
          </w:p>
        </w:tc>
      </w:tr>
      <w:tr>
        <w:trPr>
          <w:trHeight w:val="286"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北京同方吉兆科技有限公司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3"/>
              <w:jc w:val="right"/>
              <w:rPr>
                <w:rFonts w:ascii="Times New Roman" w:hAnsi="Times New Roman" w:cs="Times New Roman" w:eastAsia="Times New Roman" w:hint="default"/>
                <w:sz w:val="16"/>
                <w:szCs w:val="16"/>
              </w:rPr>
            </w:pPr>
            <w:r>
              <w:rPr>
                <w:rFonts w:ascii="Times New Roman"/>
                <w:spacing w:val="-1"/>
                <w:sz w:val="16"/>
              </w:rPr>
              <w:t>1,286,280.05</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5"/>
              <w:jc w:val="right"/>
              <w:rPr>
                <w:rFonts w:ascii="Times New Roman" w:hAnsi="Times New Roman" w:cs="Times New Roman" w:eastAsia="Times New Roman" w:hint="default"/>
                <w:sz w:val="16"/>
                <w:szCs w:val="16"/>
              </w:rPr>
            </w:pPr>
            <w:r>
              <w:rPr>
                <w:rFonts w:ascii="Times New Roman"/>
                <w:spacing w:val="-1"/>
                <w:sz w:val="16"/>
              </w:rPr>
              <w:t>1,286,280.05</w:t>
            </w:r>
          </w:p>
        </w:tc>
      </w:tr>
      <w:tr>
        <w:trPr>
          <w:trHeight w:val="291"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同方泰德国际科技有限公司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2"/>
              <w:jc w:val="right"/>
              <w:rPr>
                <w:rFonts w:ascii="Times New Roman" w:hAnsi="Times New Roman" w:cs="Times New Roman" w:eastAsia="Times New Roman" w:hint="default"/>
                <w:sz w:val="16"/>
                <w:szCs w:val="16"/>
              </w:rPr>
            </w:pPr>
            <w:r>
              <w:rPr>
                <w:rFonts w:ascii="Times New Roman"/>
                <w:spacing w:val="-1"/>
                <w:sz w:val="16"/>
              </w:rPr>
              <w:t>663,112.00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4"/>
              <w:jc w:val="right"/>
              <w:rPr>
                <w:rFonts w:ascii="Times New Roman" w:hAnsi="Times New Roman" w:cs="Times New Roman" w:eastAsia="Times New Roman" w:hint="default"/>
                <w:sz w:val="16"/>
                <w:szCs w:val="16"/>
              </w:rPr>
            </w:pPr>
            <w:r>
              <w:rPr>
                <w:rFonts w:ascii="Times New Roman"/>
                <w:spacing w:val="-1"/>
                <w:sz w:val="16"/>
              </w:rPr>
              <w:t>663,112.00</w:t>
            </w:r>
          </w:p>
        </w:tc>
      </w:tr>
      <w:tr>
        <w:trPr>
          <w:trHeight w:val="278"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7" w:right="0"/>
              <w:jc w:val="left"/>
              <w:rPr>
                <w:rFonts w:ascii="Times New Roman" w:hAnsi="Times New Roman" w:cs="Times New Roman" w:eastAsia="Times New Roman" w:hint="default"/>
                <w:sz w:val="16"/>
                <w:szCs w:val="16"/>
              </w:rPr>
            </w:pPr>
            <w:r>
              <w:rPr>
                <w:rFonts w:ascii="Times New Roman"/>
                <w:sz w:val="16"/>
              </w:rPr>
              <w:t>Neo-Neon-Eruope</w:t>
            </w:r>
            <w:r>
              <w:rPr>
                <w:rFonts w:ascii="Times New Roman"/>
                <w:spacing w:val="-10"/>
                <w:sz w:val="16"/>
              </w:rPr>
              <w:t> </w:t>
            </w:r>
            <w:r>
              <w:rPr>
                <w:rFonts w:ascii="Times New Roman"/>
                <w:sz w:val="16"/>
              </w:rPr>
              <w:t>GmbH</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82"/>
              <w:jc w:val="right"/>
              <w:rPr>
                <w:rFonts w:ascii="Times New Roman" w:hAnsi="Times New Roman" w:cs="Times New Roman" w:eastAsia="Times New Roman" w:hint="default"/>
                <w:sz w:val="16"/>
                <w:szCs w:val="16"/>
              </w:rPr>
            </w:pPr>
            <w:r>
              <w:rPr>
                <w:rFonts w:ascii="Times New Roman"/>
                <w:spacing w:val="-1"/>
                <w:sz w:val="16"/>
              </w:rPr>
              <w:t>586,353.30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88"/>
              <w:jc w:val="right"/>
              <w:rPr>
                <w:rFonts w:ascii="Times New Roman" w:hAnsi="Times New Roman" w:cs="Times New Roman" w:eastAsia="Times New Roman" w:hint="default"/>
                <w:sz w:val="16"/>
                <w:szCs w:val="16"/>
              </w:rPr>
            </w:pPr>
            <w:r>
              <w:rPr>
                <w:rFonts w:ascii="Times New Roman"/>
                <w:spacing w:val="-1"/>
                <w:sz w:val="16"/>
              </w:rPr>
              <w:t>34,441.68</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620,794.98</w:t>
            </w:r>
          </w:p>
        </w:tc>
      </w:tr>
      <w:tr>
        <w:trPr>
          <w:trHeight w:val="286"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同方人工环境有限公司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2"/>
              <w:jc w:val="right"/>
              <w:rPr>
                <w:rFonts w:ascii="Times New Roman" w:hAnsi="Times New Roman" w:cs="Times New Roman" w:eastAsia="Times New Roman" w:hint="default"/>
                <w:sz w:val="16"/>
                <w:szCs w:val="16"/>
              </w:rPr>
            </w:pPr>
            <w:r>
              <w:rPr>
                <w:rFonts w:ascii="Times New Roman"/>
                <w:spacing w:val="-1"/>
                <w:sz w:val="16"/>
              </w:rPr>
              <w:t>375,077.30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375,077.30</w:t>
            </w:r>
          </w:p>
        </w:tc>
      </w:tr>
      <w:tr>
        <w:trPr>
          <w:trHeight w:val="286"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同方知网数字出版技术股份有限公司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2"/>
              <w:jc w:val="right"/>
              <w:rPr>
                <w:rFonts w:ascii="Times New Roman" w:hAnsi="Times New Roman" w:cs="Times New Roman" w:eastAsia="Times New Roman" w:hint="default"/>
                <w:sz w:val="16"/>
                <w:szCs w:val="16"/>
              </w:rPr>
            </w:pPr>
            <w:r>
              <w:rPr>
                <w:rFonts w:ascii="Times New Roman"/>
                <w:spacing w:val="-1"/>
                <w:sz w:val="16"/>
              </w:rPr>
              <w:t>110,441.27</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4"/>
              <w:jc w:val="right"/>
              <w:rPr>
                <w:rFonts w:ascii="Times New Roman" w:hAnsi="Times New Roman" w:cs="Times New Roman" w:eastAsia="Times New Roman" w:hint="default"/>
                <w:sz w:val="16"/>
                <w:szCs w:val="16"/>
              </w:rPr>
            </w:pPr>
            <w:r>
              <w:rPr>
                <w:rFonts w:ascii="Times New Roman"/>
                <w:spacing w:val="-1"/>
                <w:sz w:val="16"/>
              </w:rPr>
              <w:t>110,441.27</w:t>
            </w:r>
          </w:p>
        </w:tc>
      </w:tr>
      <w:tr>
        <w:trPr>
          <w:trHeight w:val="291"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5"/>
              <w:ind w:left="57" w:right="0"/>
              <w:jc w:val="left"/>
              <w:rPr>
                <w:rFonts w:ascii="宋体" w:hAnsi="宋体" w:cs="宋体" w:eastAsia="宋体" w:hint="default"/>
                <w:sz w:val="16"/>
                <w:szCs w:val="16"/>
              </w:rPr>
            </w:pPr>
            <w:r>
              <w:rPr>
                <w:rFonts w:ascii="宋体" w:hAnsi="宋体" w:cs="宋体" w:eastAsia="宋体" w:hint="default"/>
                <w:sz w:val="16"/>
                <w:szCs w:val="16"/>
              </w:rPr>
              <w:t>江西同方昌明消防车辆有限公司</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2"/>
              <w:jc w:val="right"/>
              <w:rPr>
                <w:rFonts w:ascii="Times New Roman" w:hAnsi="Times New Roman" w:cs="Times New Roman" w:eastAsia="Times New Roman" w:hint="default"/>
                <w:sz w:val="16"/>
                <w:szCs w:val="16"/>
              </w:rPr>
            </w:pPr>
            <w:r>
              <w:rPr>
                <w:rFonts w:ascii="Times New Roman"/>
                <w:spacing w:val="-1"/>
                <w:sz w:val="16"/>
              </w:rPr>
              <w:t>52,740.49</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69"/>
              <w:jc w:val="right"/>
              <w:rPr>
                <w:rFonts w:ascii="Times New Roman" w:hAnsi="Times New Roman" w:cs="Times New Roman" w:eastAsia="Times New Roman" w:hint="default"/>
                <w:sz w:val="16"/>
                <w:szCs w:val="16"/>
              </w:rPr>
            </w:pPr>
            <w:r>
              <w:rPr>
                <w:rFonts w:ascii="Times New Roman"/>
                <w:spacing w:val="-1"/>
                <w:sz w:val="16"/>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4"/>
              <w:jc w:val="right"/>
              <w:rPr>
                <w:rFonts w:ascii="Times New Roman" w:hAnsi="Times New Roman" w:cs="Times New Roman" w:eastAsia="Times New Roman" w:hint="default"/>
                <w:sz w:val="16"/>
                <w:szCs w:val="16"/>
              </w:rPr>
            </w:pPr>
            <w:r>
              <w:rPr>
                <w:rFonts w:ascii="Times New Roman"/>
                <w:spacing w:val="-1"/>
                <w:sz w:val="16"/>
              </w:rPr>
              <w:t>52,740.49</w:t>
            </w:r>
          </w:p>
        </w:tc>
      </w:tr>
      <w:tr>
        <w:trPr>
          <w:trHeight w:val="286"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7" w:right="0"/>
              <w:jc w:val="left"/>
              <w:rPr>
                <w:rFonts w:ascii="Times New Roman" w:hAnsi="Times New Roman" w:cs="Times New Roman" w:eastAsia="Times New Roman" w:hint="default"/>
                <w:sz w:val="16"/>
                <w:szCs w:val="16"/>
              </w:rPr>
            </w:pPr>
            <w:r>
              <w:rPr>
                <w:rFonts w:ascii="Times New Roman"/>
                <w:sz w:val="16"/>
              </w:rPr>
              <w:t>Distech Controls</w:t>
            </w:r>
            <w:r>
              <w:rPr>
                <w:rFonts w:ascii="Times New Roman"/>
                <w:spacing w:val="-11"/>
                <w:sz w:val="16"/>
              </w:rPr>
              <w:t> </w:t>
            </w:r>
            <w:r>
              <w:rPr>
                <w:rFonts w:ascii="Times New Roman"/>
                <w:sz w:val="16"/>
              </w:rPr>
              <w:t>Inc.</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83"/>
              <w:jc w:val="right"/>
              <w:rPr>
                <w:rFonts w:ascii="Times New Roman" w:hAnsi="Times New Roman" w:cs="Times New Roman" w:eastAsia="Times New Roman" w:hint="default"/>
                <w:sz w:val="16"/>
                <w:szCs w:val="16"/>
              </w:rPr>
            </w:pPr>
            <w:r>
              <w:rPr>
                <w:rFonts w:ascii="Times New Roman"/>
                <w:spacing w:val="-2"/>
                <w:sz w:val="16"/>
              </w:rPr>
              <w:t>44,182,678.33</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70"/>
              <w:jc w:val="right"/>
              <w:rPr>
                <w:rFonts w:ascii="Times New Roman" w:hAnsi="Times New Roman" w:cs="Times New Roman" w:eastAsia="Times New Roman" w:hint="default"/>
                <w:sz w:val="16"/>
                <w:szCs w:val="16"/>
              </w:rPr>
            </w:pPr>
            <w:r>
              <w:rPr>
                <w:rFonts w:ascii="Times New Roman"/>
                <w:spacing w:val="-2"/>
                <w:sz w:val="16"/>
              </w:rPr>
              <w:t>44,182,678.33</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295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7" w:right="0"/>
              <w:jc w:val="left"/>
              <w:rPr>
                <w:rFonts w:ascii="Times New Roman" w:hAnsi="Times New Roman" w:cs="Times New Roman" w:eastAsia="Times New Roman" w:hint="default"/>
                <w:sz w:val="16"/>
                <w:szCs w:val="16"/>
              </w:rPr>
            </w:pPr>
            <w:r>
              <w:rPr>
                <w:rFonts w:ascii="Times New Roman"/>
                <w:sz w:val="16"/>
              </w:rPr>
              <w:t>Distech France Holding</w:t>
            </w:r>
            <w:r>
              <w:rPr>
                <w:rFonts w:ascii="Times New Roman"/>
                <w:spacing w:val="-17"/>
                <w:sz w:val="16"/>
              </w:rPr>
              <w:t> </w:t>
            </w:r>
            <w:r>
              <w:rPr>
                <w:rFonts w:ascii="Times New Roman"/>
                <w:sz w:val="16"/>
              </w:rPr>
              <w:t>S.A.S.</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83"/>
              <w:jc w:val="right"/>
              <w:rPr>
                <w:rFonts w:ascii="Times New Roman" w:hAnsi="Times New Roman" w:cs="Times New Roman" w:eastAsia="Times New Roman" w:hint="default"/>
                <w:sz w:val="16"/>
                <w:szCs w:val="16"/>
              </w:rPr>
            </w:pPr>
            <w:r>
              <w:rPr>
                <w:rFonts w:ascii="Times New Roman"/>
                <w:spacing w:val="-2"/>
                <w:sz w:val="16"/>
              </w:rPr>
              <w:t>40,900,765.70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70"/>
              <w:jc w:val="right"/>
              <w:rPr>
                <w:rFonts w:ascii="Times New Roman" w:hAnsi="Times New Roman" w:cs="Times New Roman" w:eastAsia="Times New Roman" w:hint="default"/>
                <w:sz w:val="16"/>
                <w:szCs w:val="16"/>
              </w:rPr>
            </w:pPr>
            <w:r>
              <w:rPr>
                <w:rFonts w:ascii="Times New Roman"/>
                <w:spacing w:val="-2"/>
                <w:sz w:val="16"/>
              </w:rPr>
              <w:t>40,900,765.70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35" w:hRule="exact"/>
        </w:trPr>
        <w:tc>
          <w:tcPr>
            <w:tcW w:w="2953" w:type="dxa"/>
            <w:tcBorders>
              <w:top w:val="nil" w:sz="6" w:space="0" w:color="auto"/>
              <w:left w:val="nil" w:sz="6" w:space="0" w:color="auto"/>
              <w:bottom w:val="single" w:sz="4" w:space="0" w:color="000000"/>
              <w:right w:val="nil" w:sz="6" w:space="0" w:color="auto"/>
            </w:tcBorders>
          </w:tcPr>
          <w:p>
            <w:pPr>
              <w:pStyle w:val="TableParagraph"/>
              <w:spacing w:line="240" w:lineRule="auto" w:before="42"/>
              <w:ind w:left="57" w:right="0"/>
              <w:jc w:val="left"/>
              <w:rPr>
                <w:rFonts w:ascii="Times New Roman" w:hAnsi="Times New Roman" w:cs="Times New Roman" w:eastAsia="Times New Roman" w:hint="default"/>
                <w:sz w:val="16"/>
                <w:szCs w:val="16"/>
              </w:rPr>
            </w:pPr>
            <w:r>
              <w:rPr>
                <w:rFonts w:ascii="Times New Roman"/>
                <w:sz w:val="16"/>
              </w:rPr>
              <w:t>Distech Controls Facility</w:t>
            </w:r>
            <w:r>
              <w:rPr>
                <w:rFonts w:ascii="Times New Roman"/>
                <w:spacing w:val="-18"/>
                <w:sz w:val="16"/>
              </w:rPr>
              <w:t> </w:t>
            </w:r>
            <w:r>
              <w:rPr>
                <w:rFonts w:ascii="Times New Roman"/>
                <w:sz w:val="16"/>
              </w:rPr>
              <w:t>Solutions</w:t>
            </w:r>
          </w:p>
        </w:tc>
        <w:tc>
          <w:tcPr>
            <w:tcW w:w="1641" w:type="dxa"/>
            <w:tcBorders>
              <w:top w:val="nil" w:sz="6" w:space="0" w:color="auto"/>
              <w:left w:val="nil" w:sz="6" w:space="0" w:color="auto"/>
              <w:bottom w:val="single" w:sz="4" w:space="0" w:color="000000"/>
              <w:right w:val="nil" w:sz="6" w:space="0" w:color="auto"/>
            </w:tcBorders>
          </w:tcPr>
          <w:p>
            <w:pPr>
              <w:pStyle w:val="TableParagraph"/>
              <w:spacing w:line="240" w:lineRule="auto" w:before="42"/>
              <w:ind w:right="183"/>
              <w:jc w:val="right"/>
              <w:rPr>
                <w:rFonts w:ascii="Times New Roman" w:hAnsi="Times New Roman" w:cs="Times New Roman" w:eastAsia="Times New Roman" w:hint="default"/>
                <w:sz w:val="16"/>
                <w:szCs w:val="16"/>
              </w:rPr>
            </w:pPr>
            <w:r>
              <w:rPr>
                <w:rFonts w:ascii="Times New Roman"/>
                <w:spacing w:val="-1"/>
                <w:sz w:val="16"/>
              </w:rPr>
              <w:t>3,178,701.67</w:t>
            </w:r>
          </w:p>
        </w:tc>
        <w:tc>
          <w:tcPr>
            <w:tcW w:w="1376" w:type="dxa"/>
            <w:tcBorders>
              <w:top w:val="nil" w:sz="6" w:space="0" w:color="auto"/>
              <w:left w:val="nil" w:sz="6" w:space="0" w:color="auto"/>
              <w:bottom w:val="single" w:sz="4" w:space="0" w:color="000000"/>
              <w:right w:val="nil" w:sz="6" w:space="0" w:color="auto"/>
            </w:tcBorders>
          </w:tcPr>
          <w:p>
            <w:pPr>
              <w:pStyle w:val="TableParagraph"/>
              <w:spacing w:line="240" w:lineRule="auto" w:before="42"/>
              <w:ind w:right="188"/>
              <w:jc w:val="right"/>
              <w:rPr>
                <w:rFonts w:ascii="Times New Roman" w:hAnsi="Times New Roman" w:cs="Times New Roman" w:eastAsia="Times New Roman" w:hint="default"/>
                <w:sz w:val="16"/>
                <w:szCs w:val="16"/>
              </w:rPr>
            </w:pPr>
            <w:r>
              <w:rPr>
                <w:rFonts w:ascii="Times New Roman"/>
                <w:spacing w:val="-1"/>
                <w:sz w:val="16"/>
              </w:rPr>
              <w:t>0.00</w:t>
            </w:r>
          </w:p>
        </w:tc>
        <w:tc>
          <w:tcPr>
            <w:tcW w:w="1282" w:type="dxa"/>
            <w:tcBorders>
              <w:top w:val="nil" w:sz="6" w:space="0" w:color="auto"/>
              <w:left w:val="nil" w:sz="6" w:space="0" w:color="auto"/>
              <w:bottom w:val="single" w:sz="4" w:space="0" w:color="000000"/>
              <w:right w:val="nil" w:sz="6" w:space="0" w:color="auto"/>
            </w:tcBorders>
          </w:tcPr>
          <w:p>
            <w:pPr>
              <w:pStyle w:val="TableParagraph"/>
              <w:spacing w:line="240" w:lineRule="auto" w:before="42"/>
              <w:ind w:right="170"/>
              <w:jc w:val="right"/>
              <w:rPr>
                <w:rFonts w:ascii="Times New Roman" w:hAnsi="Times New Roman" w:cs="Times New Roman" w:eastAsia="Times New Roman" w:hint="default"/>
                <w:sz w:val="16"/>
                <w:szCs w:val="16"/>
              </w:rPr>
            </w:pPr>
            <w:r>
              <w:rPr>
                <w:rFonts w:ascii="Times New Roman"/>
                <w:spacing w:val="-1"/>
                <w:sz w:val="16"/>
              </w:rPr>
              <w:t>3,178,701.67</w:t>
            </w:r>
          </w:p>
        </w:tc>
        <w:tc>
          <w:tcPr>
            <w:tcW w:w="1349" w:type="dxa"/>
            <w:tcBorders>
              <w:top w:val="nil" w:sz="6" w:space="0" w:color="auto"/>
              <w:left w:val="nil" w:sz="6" w:space="0" w:color="auto"/>
              <w:bottom w:val="single" w:sz="4" w:space="0" w:color="000000"/>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307" w:hRule="exact"/>
        </w:trPr>
        <w:tc>
          <w:tcPr>
            <w:tcW w:w="2953" w:type="dxa"/>
            <w:tcBorders>
              <w:top w:val="single" w:sz="4" w:space="0" w:color="000000"/>
              <w:left w:val="nil" w:sz="6" w:space="0" w:color="auto"/>
              <w:bottom w:val="single" w:sz="12" w:space="0" w:color="000000"/>
              <w:right w:val="nil" w:sz="6" w:space="0" w:color="auto"/>
            </w:tcBorders>
          </w:tcPr>
          <w:p>
            <w:pPr>
              <w:pStyle w:val="TableParagraph"/>
              <w:spacing w:line="240" w:lineRule="auto" w:before="53"/>
              <w:ind w:left="57" w:right="0"/>
              <w:jc w:val="left"/>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c>
        <w:tc>
          <w:tcPr>
            <w:tcW w:w="1641" w:type="dxa"/>
            <w:tcBorders>
              <w:top w:val="single" w:sz="4" w:space="0" w:color="000000"/>
              <w:left w:val="nil" w:sz="6" w:space="0" w:color="auto"/>
              <w:bottom w:val="single" w:sz="12" w:space="0" w:color="000000"/>
              <w:right w:val="nil" w:sz="6" w:space="0" w:color="auto"/>
            </w:tcBorders>
          </w:tcPr>
          <w:p>
            <w:pPr>
              <w:pStyle w:val="TableParagraph"/>
              <w:spacing w:line="240" w:lineRule="auto" w:before="100"/>
              <w:ind w:right="183"/>
              <w:jc w:val="right"/>
              <w:rPr>
                <w:rFonts w:ascii="Times New Roman" w:hAnsi="Times New Roman" w:cs="Times New Roman" w:eastAsia="Times New Roman" w:hint="default"/>
                <w:sz w:val="16"/>
                <w:szCs w:val="16"/>
              </w:rPr>
            </w:pPr>
            <w:r>
              <w:rPr>
                <w:rFonts w:ascii="Times New Roman"/>
                <w:b/>
                <w:spacing w:val="-1"/>
                <w:sz w:val="16"/>
              </w:rPr>
              <w:t>2,042,896,068.71</w:t>
            </w:r>
            <w:r>
              <w:rPr>
                <w:rFonts w:ascii="Times New Roman"/>
                <w:spacing w:val="-1"/>
                <w:sz w:val="16"/>
              </w:rPr>
            </w:r>
          </w:p>
        </w:tc>
        <w:tc>
          <w:tcPr>
            <w:tcW w:w="1376" w:type="dxa"/>
            <w:tcBorders>
              <w:top w:val="single" w:sz="4" w:space="0" w:color="000000"/>
              <w:left w:val="nil" w:sz="6" w:space="0" w:color="auto"/>
              <w:bottom w:val="single" w:sz="12" w:space="0" w:color="000000"/>
              <w:right w:val="nil" w:sz="6" w:space="0" w:color="auto"/>
            </w:tcBorders>
          </w:tcPr>
          <w:p>
            <w:pPr>
              <w:pStyle w:val="TableParagraph"/>
              <w:spacing w:line="240" w:lineRule="auto" w:before="100"/>
              <w:ind w:left="184" w:right="0"/>
              <w:jc w:val="left"/>
              <w:rPr>
                <w:rFonts w:ascii="Times New Roman" w:hAnsi="Times New Roman" w:cs="Times New Roman" w:eastAsia="Times New Roman" w:hint="default"/>
                <w:sz w:val="16"/>
                <w:szCs w:val="16"/>
              </w:rPr>
            </w:pPr>
            <w:r>
              <w:rPr>
                <w:rFonts w:ascii="Times New Roman"/>
                <w:b/>
                <w:sz w:val="16"/>
              </w:rPr>
              <w:t>121,489,163.16</w:t>
            </w:r>
            <w:r>
              <w:rPr>
                <w:rFonts w:ascii="Times New Roman"/>
                <w:sz w:val="16"/>
              </w:rPr>
            </w:r>
          </w:p>
        </w:tc>
        <w:tc>
          <w:tcPr>
            <w:tcW w:w="1282" w:type="dxa"/>
            <w:tcBorders>
              <w:top w:val="single" w:sz="4" w:space="0" w:color="000000"/>
              <w:left w:val="nil" w:sz="6" w:space="0" w:color="auto"/>
              <w:bottom w:val="single" w:sz="12" w:space="0" w:color="000000"/>
              <w:right w:val="nil" w:sz="6" w:space="0" w:color="auto"/>
            </w:tcBorders>
          </w:tcPr>
          <w:p>
            <w:pPr>
              <w:pStyle w:val="TableParagraph"/>
              <w:spacing w:line="240" w:lineRule="auto" w:before="100"/>
              <w:ind w:right="170"/>
              <w:jc w:val="right"/>
              <w:rPr>
                <w:rFonts w:ascii="Times New Roman" w:hAnsi="Times New Roman" w:cs="Times New Roman" w:eastAsia="Times New Roman" w:hint="default"/>
                <w:sz w:val="16"/>
                <w:szCs w:val="16"/>
              </w:rPr>
            </w:pPr>
            <w:r>
              <w:rPr>
                <w:rFonts w:ascii="Times New Roman"/>
                <w:b/>
                <w:spacing w:val="-2"/>
                <w:sz w:val="16"/>
              </w:rPr>
              <w:t>88,262,145.70</w:t>
            </w:r>
            <w:r>
              <w:rPr>
                <w:rFonts w:ascii="Times New Roman"/>
                <w:spacing w:val="-2"/>
                <w:sz w:val="16"/>
              </w:rPr>
            </w:r>
          </w:p>
        </w:tc>
        <w:tc>
          <w:tcPr>
            <w:tcW w:w="1349" w:type="dxa"/>
            <w:tcBorders>
              <w:top w:val="single" w:sz="4" w:space="0" w:color="000000"/>
              <w:left w:val="nil" w:sz="6" w:space="0" w:color="auto"/>
              <w:bottom w:val="single" w:sz="12" w:space="0" w:color="000000"/>
              <w:right w:val="nil" w:sz="6" w:space="0" w:color="auto"/>
            </w:tcBorders>
          </w:tcPr>
          <w:p>
            <w:pPr>
              <w:pStyle w:val="TableParagraph"/>
              <w:spacing w:line="240" w:lineRule="auto" w:before="100"/>
              <w:ind w:right="55"/>
              <w:jc w:val="right"/>
              <w:rPr>
                <w:rFonts w:ascii="Times New Roman" w:hAnsi="Times New Roman" w:cs="Times New Roman" w:eastAsia="Times New Roman" w:hint="default"/>
                <w:sz w:val="16"/>
                <w:szCs w:val="16"/>
              </w:rPr>
            </w:pPr>
            <w:r>
              <w:rPr>
                <w:rFonts w:ascii="Times New Roman"/>
                <w:b/>
                <w:spacing w:val="-1"/>
                <w:sz w:val="16"/>
              </w:rPr>
              <w:t>2,076,123,086.17</w:t>
            </w:r>
            <w:r>
              <w:rPr>
                <w:rFonts w:ascii="Times New Roman"/>
                <w:spacing w:val="-1"/>
                <w:sz w:val="16"/>
              </w:rPr>
            </w:r>
          </w:p>
        </w:tc>
      </w:tr>
    </w:tbl>
    <w:p>
      <w:pPr>
        <w:spacing w:line="295" w:lineRule="auto" w:before="81"/>
        <w:ind w:left="202" w:right="0" w:firstLine="439"/>
        <w:jc w:val="left"/>
        <w:rPr>
          <w:rFonts w:ascii="宋体" w:hAnsi="宋体" w:cs="宋体" w:eastAsia="宋体" w:hint="default"/>
          <w:sz w:val="22"/>
          <w:szCs w:val="22"/>
        </w:rPr>
      </w:pPr>
      <w:r>
        <w:rPr>
          <w:rFonts w:ascii="宋体" w:hAnsi="宋体" w:cs="宋体" w:eastAsia="宋体" w:hint="default"/>
          <w:spacing w:val="2"/>
          <w:sz w:val="22"/>
          <w:szCs w:val="22"/>
        </w:rPr>
        <w:t>本期增加商誉系本公司之子公司同方国芯电子股份有限公司通过非同一控制下企业</w:t>
      </w:r>
      <w:r>
        <w:rPr>
          <w:rFonts w:ascii="宋体" w:hAnsi="宋体" w:cs="宋体" w:eastAsia="宋体" w:hint="default"/>
          <w:w w:val="100"/>
          <w:sz w:val="22"/>
          <w:szCs w:val="22"/>
        </w:rPr>
        <w:t> </w:t>
      </w:r>
      <w:r>
        <w:rPr>
          <w:rFonts w:ascii="宋体" w:hAnsi="宋体" w:cs="宋体" w:eastAsia="宋体" w:hint="default"/>
          <w:sz w:val="22"/>
          <w:szCs w:val="22"/>
        </w:rPr>
        <w:t>合并方式收购西安紫光国芯半导体有限公司所致。</w:t>
      </w:r>
    </w:p>
    <w:p>
      <w:pPr>
        <w:spacing w:after="0" w:line="295" w:lineRule="auto"/>
        <w:jc w:val="left"/>
        <w:rPr>
          <w:rFonts w:ascii="宋体" w:hAnsi="宋体" w:cs="宋体" w:eastAsia="宋体" w:hint="default"/>
          <w:sz w:val="22"/>
          <w:szCs w:val="22"/>
        </w:rPr>
        <w:sectPr>
          <w:headerReference w:type="default" r:id="rId73"/>
          <w:footerReference w:type="default" r:id="rId74"/>
          <w:pgSz w:w="11910" w:h="16840"/>
          <w:pgMar w:header="1541" w:footer="836" w:top="1820" w:bottom="1020" w:left="1500" w:right="1500"/>
          <w:pgNumType w:start="119"/>
        </w:sectPr>
      </w:pPr>
    </w:p>
    <w:p>
      <w:pPr>
        <w:spacing w:line="240" w:lineRule="auto" w:before="5"/>
        <w:rPr>
          <w:rFonts w:ascii="宋体" w:hAnsi="宋体" w:cs="宋体" w:eastAsia="宋体" w:hint="default"/>
          <w:sz w:val="7"/>
          <w:szCs w:val="7"/>
        </w:rPr>
      </w:pPr>
      <w:r>
        <w:rPr/>
        <w:pict>
          <v:group style="position:absolute;margin-left:269.089996pt;margin-top:110.05999pt;width:192.05pt;height:.5pt;mso-position-horizontal-relative:page;mso-position-vertical-relative:page;z-index:-1197088" coordorigin="5382,2201" coordsize="3841,10">
            <v:group style="position:absolute;left:5387;top:2206;width:853;height:2" coordorigin="5387,2206" coordsize="853,2">
              <v:shape style="position:absolute;left:5387;top:2206;width:853;height:2" coordorigin="5387,2206" coordsize="853,0" path="m5387,2206l6239,2206e" filled="false" stroked="true" strokeweight=".48pt" strokecolor="#000000">
                <v:path arrowok="t"/>
              </v:shape>
            </v:group>
            <v:group style="position:absolute;left:6239;top:2206;width:10;height:2" coordorigin="6239,2206" coordsize="10,2">
              <v:shape style="position:absolute;left:6239;top:2206;width:10;height:2" coordorigin="6239,2206" coordsize="10,0" path="m6239,2206l6249,2206e" filled="false" stroked="true" strokeweight=".48pt" strokecolor="#000000">
                <v:path arrowok="t"/>
              </v:shape>
            </v:group>
            <v:group style="position:absolute;left:6249;top:2206;width:975;height:2" coordorigin="6249,2206" coordsize="975,2">
              <v:shape style="position:absolute;left:6249;top:2206;width:975;height:2" coordorigin="6249,2206" coordsize="975,0" path="m6249,2206l7223,2206e" filled="false" stroked="true" strokeweight=".48pt" strokecolor="#000000">
                <v:path arrowok="t"/>
              </v:shape>
            </v:group>
            <v:group style="position:absolute;left:7223;top:2206;width:10;height:2" coordorigin="7223,2206" coordsize="10,2">
              <v:shape style="position:absolute;left:7223;top:2206;width:10;height:2" coordorigin="7223,2206" coordsize="10,0" path="m7223,2206l7233,2206e" filled="false" stroked="true" strokeweight=".48pt" strokecolor="#000000">
                <v:path arrowok="t"/>
              </v:shape>
            </v:group>
            <v:group style="position:absolute;left:7233;top:2206;width:994;height:2" coordorigin="7233,2206" coordsize="994,2">
              <v:shape style="position:absolute;left:7233;top:2206;width:994;height:2" coordorigin="7233,2206" coordsize="994,0" path="m7233,2206l8226,2206e" filled="false" stroked="true" strokeweight=".48pt" strokecolor="#000000">
                <v:path arrowok="t"/>
              </v:shape>
            </v:group>
            <v:group style="position:absolute;left:8226;top:2206;width:10;height:2" coordorigin="8226,2206" coordsize="10,2">
              <v:shape style="position:absolute;left:8226;top:2206;width:10;height:2" coordorigin="8226,2206" coordsize="10,0" path="m8226,2206l8236,2206e" filled="false" stroked="true" strokeweight=".48pt" strokecolor="#000000">
                <v:path arrowok="t"/>
              </v:shape>
            </v:group>
            <v:group style="position:absolute;left:8236;top:2206;width:983;height:2" coordorigin="8236,2206" coordsize="983,2">
              <v:shape style="position:absolute;left:8236;top:2206;width:983;height:2" coordorigin="8236,2206" coordsize="983,0" path="m8236,2206l9218,2206e" filled="false" stroked="true" strokeweight=".48pt" strokecolor="#000000">
                <v:path arrowok="t"/>
              </v:shape>
            </v:group>
            <w10:wrap type="none"/>
          </v:group>
        </w:pict>
      </w:r>
    </w:p>
    <w:tbl>
      <w:tblPr>
        <w:tblW w:w="0" w:type="auto"/>
        <w:jc w:val="left"/>
        <w:tblInd w:w="100" w:type="dxa"/>
        <w:tblLayout w:type="fixed"/>
        <w:tblCellMar>
          <w:top w:w="0" w:type="dxa"/>
          <w:left w:w="0" w:type="dxa"/>
          <w:bottom w:w="0" w:type="dxa"/>
          <w:right w:w="0" w:type="dxa"/>
        </w:tblCellMar>
        <w:tblLook w:val="01E0"/>
      </w:tblPr>
      <w:tblGrid>
        <w:gridCol w:w="2670"/>
        <w:gridCol w:w="1396"/>
        <w:gridCol w:w="663"/>
        <w:gridCol w:w="934"/>
        <w:gridCol w:w="1055"/>
        <w:gridCol w:w="450"/>
        <w:gridCol w:w="499"/>
        <w:gridCol w:w="1100"/>
      </w:tblGrid>
      <w:tr>
        <w:trPr>
          <w:trHeight w:val="413" w:hRule="exact"/>
        </w:trPr>
        <w:tc>
          <w:tcPr>
            <w:tcW w:w="2670" w:type="dxa"/>
            <w:tcBorders>
              <w:top w:val="single" w:sz="12" w:space="0" w:color="000000"/>
              <w:left w:val="nil" w:sz="6" w:space="0" w:color="auto"/>
              <w:bottom w:val="nil" w:sz="6" w:space="0" w:color="auto"/>
              <w:right w:val="nil" w:sz="6" w:space="0" w:color="auto"/>
            </w:tcBorders>
          </w:tcPr>
          <w:p>
            <w:pPr>
              <w:pStyle w:val="TableParagraph"/>
              <w:spacing w:line="240" w:lineRule="auto" w:before="159"/>
              <w:ind w:left="719" w:right="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tc>
        <w:tc>
          <w:tcPr>
            <w:tcW w:w="1396" w:type="dxa"/>
            <w:tcBorders>
              <w:top w:val="single" w:sz="12" w:space="0" w:color="000000"/>
              <w:left w:val="nil" w:sz="6" w:space="0" w:color="auto"/>
              <w:bottom w:val="nil" w:sz="6" w:space="0" w:color="auto"/>
              <w:right w:val="nil" w:sz="6" w:space="0" w:color="auto"/>
            </w:tcBorders>
          </w:tcPr>
          <w:p>
            <w:pPr>
              <w:pStyle w:val="TableParagraph"/>
              <w:spacing w:line="240" w:lineRule="auto" w:before="159"/>
              <w:ind w:left="226"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59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37"/>
              <w:ind w:left="316"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505"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37"/>
              <w:ind w:left="635"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499" w:type="dxa"/>
            <w:tcBorders>
              <w:top w:val="single" w:sz="12" w:space="0" w:color="000000"/>
              <w:left w:val="nil" w:sz="6" w:space="0" w:color="auto"/>
              <w:bottom w:val="nil" w:sz="6" w:space="0" w:color="auto"/>
              <w:right w:val="nil" w:sz="6" w:space="0" w:color="auto"/>
            </w:tcBorders>
          </w:tcPr>
          <w:p>
            <w:pPr/>
          </w:p>
        </w:tc>
        <w:tc>
          <w:tcPr>
            <w:tcW w:w="1100" w:type="dxa"/>
            <w:tcBorders>
              <w:top w:val="single" w:sz="12" w:space="0" w:color="000000"/>
              <w:left w:val="nil" w:sz="6" w:space="0" w:color="auto"/>
              <w:bottom w:val="nil" w:sz="6" w:space="0" w:color="auto"/>
              <w:right w:val="nil" w:sz="6" w:space="0" w:color="auto"/>
            </w:tcBorders>
          </w:tcPr>
          <w:p>
            <w:pPr>
              <w:pStyle w:val="TableParagraph"/>
              <w:spacing w:line="240" w:lineRule="auto" w:before="159"/>
              <w:ind w:left="183"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218" w:hRule="exact"/>
        </w:trPr>
        <w:tc>
          <w:tcPr>
            <w:tcW w:w="2670" w:type="dxa"/>
            <w:tcBorders>
              <w:top w:val="nil" w:sz="6" w:space="0" w:color="auto"/>
              <w:left w:val="nil" w:sz="6" w:space="0" w:color="auto"/>
              <w:bottom w:val="single" w:sz="4" w:space="0" w:color="000000"/>
              <w:right w:val="nil" w:sz="6" w:space="0" w:color="auto"/>
            </w:tcBorders>
          </w:tcPr>
          <w:p>
            <w:pPr/>
          </w:p>
        </w:tc>
        <w:tc>
          <w:tcPr>
            <w:tcW w:w="1396" w:type="dxa"/>
            <w:tcBorders>
              <w:top w:val="nil" w:sz="6" w:space="0" w:color="auto"/>
              <w:left w:val="nil" w:sz="6" w:space="0" w:color="auto"/>
              <w:bottom w:val="single" w:sz="4" w:space="0" w:color="000000"/>
              <w:right w:val="nil" w:sz="6" w:space="0" w:color="auto"/>
            </w:tcBorders>
          </w:tcPr>
          <w:p>
            <w:pPr/>
          </w:p>
        </w:tc>
        <w:tc>
          <w:tcPr>
            <w:tcW w:w="663" w:type="dxa"/>
            <w:tcBorders>
              <w:top w:val="nil" w:sz="6" w:space="0" w:color="auto"/>
              <w:left w:val="nil" w:sz="6" w:space="0" w:color="auto"/>
              <w:bottom w:val="single" w:sz="4" w:space="0" w:color="000000"/>
              <w:right w:val="nil" w:sz="6" w:space="0" w:color="auto"/>
            </w:tcBorders>
          </w:tcPr>
          <w:p>
            <w:pPr>
              <w:pStyle w:val="TableParagraph"/>
              <w:spacing w:line="184" w:lineRule="exact"/>
              <w:ind w:left="4" w:right="0"/>
              <w:jc w:val="left"/>
              <w:rPr>
                <w:rFonts w:ascii="宋体" w:hAnsi="宋体" w:cs="宋体" w:eastAsia="宋体" w:hint="default"/>
                <w:sz w:val="18"/>
                <w:szCs w:val="18"/>
              </w:rPr>
            </w:pPr>
            <w:r>
              <w:rPr>
                <w:rFonts w:ascii="宋体" w:hAnsi="宋体" w:cs="宋体" w:eastAsia="宋体" w:hint="default"/>
                <w:b/>
                <w:bCs/>
                <w:sz w:val="18"/>
                <w:szCs w:val="18"/>
              </w:rPr>
              <w:t>计提</w:t>
            </w:r>
            <w:r>
              <w:rPr>
                <w:rFonts w:ascii="宋体" w:hAnsi="宋体" w:cs="宋体" w:eastAsia="宋体" w:hint="default"/>
                <w:sz w:val="18"/>
                <w:szCs w:val="18"/>
              </w:rPr>
            </w:r>
          </w:p>
        </w:tc>
        <w:tc>
          <w:tcPr>
            <w:tcW w:w="934" w:type="dxa"/>
            <w:tcBorders>
              <w:top w:val="nil" w:sz="6" w:space="0" w:color="auto"/>
              <w:left w:val="nil" w:sz="6" w:space="0" w:color="auto"/>
              <w:bottom w:val="single" w:sz="4" w:space="0" w:color="000000"/>
              <w:right w:val="nil" w:sz="6" w:space="0" w:color="auto"/>
            </w:tcBorders>
          </w:tcPr>
          <w:p>
            <w:pPr>
              <w:pStyle w:val="TableParagraph"/>
              <w:spacing w:line="184" w:lineRule="exact"/>
              <w:ind w:left="79" w:right="0"/>
              <w:jc w:val="left"/>
              <w:rPr>
                <w:rFonts w:ascii="宋体" w:hAnsi="宋体" w:cs="宋体" w:eastAsia="宋体" w:hint="default"/>
                <w:sz w:val="18"/>
                <w:szCs w:val="18"/>
              </w:rPr>
            </w:pPr>
            <w:r>
              <w:rPr>
                <w:rFonts w:ascii="宋体" w:hAnsi="宋体" w:cs="宋体" w:eastAsia="宋体" w:hint="default"/>
                <w:b/>
                <w:bCs/>
                <w:sz w:val="18"/>
                <w:szCs w:val="18"/>
              </w:rPr>
              <w:t>其他转入</w:t>
            </w:r>
            <w:r>
              <w:rPr>
                <w:rFonts w:ascii="宋体" w:hAnsi="宋体" w:cs="宋体" w:eastAsia="宋体" w:hint="default"/>
                <w:sz w:val="18"/>
                <w:szCs w:val="18"/>
              </w:rPr>
            </w:r>
          </w:p>
        </w:tc>
        <w:tc>
          <w:tcPr>
            <w:tcW w:w="1055" w:type="dxa"/>
            <w:tcBorders>
              <w:top w:val="nil" w:sz="6" w:space="0" w:color="auto"/>
              <w:left w:val="nil" w:sz="6" w:space="0" w:color="auto"/>
              <w:bottom w:val="single" w:sz="4" w:space="0" w:color="000000"/>
              <w:right w:val="nil" w:sz="6" w:space="0" w:color="auto"/>
            </w:tcBorders>
          </w:tcPr>
          <w:p>
            <w:pPr>
              <w:pStyle w:val="TableParagraph"/>
              <w:spacing w:line="184" w:lineRule="exact"/>
              <w:ind w:left="318" w:right="0"/>
              <w:jc w:val="left"/>
              <w:rPr>
                <w:rFonts w:ascii="宋体" w:hAnsi="宋体" w:cs="宋体" w:eastAsia="宋体" w:hint="default"/>
                <w:sz w:val="18"/>
                <w:szCs w:val="18"/>
              </w:rPr>
            </w:pPr>
            <w:r>
              <w:rPr>
                <w:rFonts w:ascii="宋体" w:hAnsi="宋体" w:cs="宋体" w:eastAsia="宋体" w:hint="default"/>
                <w:b/>
                <w:bCs/>
                <w:sz w:val="18"/>
                <w:szCs w:val="18"/>
              </w:rPr>
              <w:t>处置</w:t>
            </w:r>
            <w:r>
              <w:rPr>
                <w:rFonts w:ascii="宋体" w:hAnsi="宋体" w:cs="宋体" w:eastAsia="宋体" w:hint="default"/>
                <w:sz w:val="18"/>
                <w:szCs w:val="18"/>
              </w:rPr>
            </w:r>
          </w:p>
        </w:tc>
        <w:tc>
          <w:tcPr>
            <w:tcW w:w="949" w:type="dxa"/>
            <w:gridSpan w:val="2"/>
            <w:tcBorders>
              <w:top w:val="nil" w:sz="6" w:space="0" w:color="auto"/>
              <w:left w:val="nil" w:sz="6" w:space="0" w:color="auto"/>
              <w:bottom w:val="single" w:sz="4" w:space="0" w:color="000000"/>
              <w:right w:val="nil" w:sz="6" w:space="0" w:color="auto"/>
            </w:tcBorders>
          </w:tcPr>
          <w:p>
            <w:pPr>
              <w:pStyle w:val="TableParagraph"/>
              <w:spacing w:line="184" w:lineRule="exact"/>
              <w:ind w:left="80" w:right="0"/>
              <w:jc w:val="left"/>
              <w:rPr>
                <w:rFonts w:ascii="宋体" w:hAnsi="宋体" w:cs="宋体" w:eastAsia="宋体" w:hint="default"/>
                <w:sz w:val="18"/>
                <w:szCs w:val="18"/>
              </w:rPr>
            </w:pPr>
            <w:r>
              <w:rPr>
                <w:rFonts w:ascii="宋体" w:hAnsi="宋体" w:cs="宋体" w:eastAsia="宋体" w:hint="default"/>
                <w:b/>
                <w:bCs/>
                <w:sz w:val="18"/>
                <w:szCs w:val="18"/>
              </w:rPr>
              <w:t>其他变动</w:t>
            </w:r>
            <w:r>
              <w:rPr>
                <w:rFonts w:ascii="宋体" w:hAnsi="宋体" w:cs="宋体" w:eastAsia="宋体" w:hint="default"/>
                <w:sz w:val="18"/>
                <w:szCs w:val="18"/>
              </w:rPr>
            </w:r>
          </w:p>
        </w:tc>
        <w:tc>
          <w:tcPr>
            <w:tcW w:w="1100" w:type="dxa"/>
            <w:tcBorders>
              <w:top w:val="nil" w:sz="6" w:space="0" w:color="auto"/>
              <w:left w:val="nil" w:sz="6" w:space="0" w:color="auto"/>
              <w:bottom w:val="single" w:sz="4" w:space="0" w:color="000000"/>
              <w:right w:val="nil" w:sz="6" w:space="0" w:color="auto"/>
            </w:tcBorders>
          </w:tcPr>
          <w:p>
            <w:pPr/>
          </w:p>
        </w:tc>
      </w:tr>
      <w:tr>
        <w:trPr>
          <w:trHeight w:val="330" w:hRule="exact"/>
        </w:trPr>
        <w:tc>
          <w:tcPr>
            <w:tcW w:w="2670" w:type="dxa"/>
            <w:tcBorders>
              <w:top w:val="single" w:sz="4" w:space="0" w:color="000000"/>
              <w:left w:val="nil" w:sz="6" w:space="0" w:color="auto"/>
              <w:bottom w:val="nil" w:sz="6" w:space="0" w:color="auto"/>
              <w:right w:val="nil" w:sz="6" w:space="0" w:color="auto"/>
            </w:tcBorders>
          </w:tcPr>
          <w:p>
            <w:pPr>
              <w:pStyle w:val="TableParagraph"/>
              <w:spacing w:line="240" w:lineRule="auto" w:before="3"/>
              <w:ind w:left="43" w:right="0"/>
              <w:jc w:val="left"/>
              <w:rPr>
                <w:rFonts w:ascii="宋体" w:hAnsi="宋体" w:cs="宋体" w:eastAsia="宋体" w:hint="default"/>
                <w:sz w:val="18"/>
                <w:szCs w:val="18"/>
              </w:rPr>
            </w:pPr>
            <w:r>
              <w:rPr>
                <w:rFonts w:ascii="宋体" w:hAnsi="宋体" w:cs="宋体" w:eastAsia="宋体" w:hint="default"/>
                <w:sz w:val="18"/>
                <w:szCs w:val="18"/>
              </w:rPr>
              <w:t>广东同方照明有限公司</w:t>
            </w:r>
          </w:p>
        </w:tc>
        <w:tc>
          <w:tcPr>
            <w:tcW w:w="1396"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266"/>
              <w:jc w:val="right"/>
              <w:rPr>
                <w:rFonts w:ascii="Times New Roman" w:hAnsi="Times New Roman" w:cs="Times New Roman" w:eastAsia="Times New Roman" w:hint="default"/>
                <w:sz w:val="18"/>
                <w:szCs w:val="18"/>
              </w:rPr>
            </w:pPr>
            <w:r>
              <w:rPr>
                <w:rFonts w:ascii="Times New Roman"/>
                <w:spacing w:val="-1"/>
                <w:sz w:val="18"/>
              </w:rPr>
              <w:t>4,079,128.94</w:t>
            </w:r>
          </w:p>
        </w:tc>
        <w:tc>
          <w:tcPr>
            <w:tcW w:w="663"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77"/>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26"/>
              <w:jc w:val="right"/>
              <w:rPr>
                <w:rFonts w:ascii="Times New Roman" w:hAnsi="Times New Roman" w:cs="Times New Roman" w:eastAsia="Times New Roman" w:hint="default"/>
                <w:sz w:val="18"/>
                <w:szCs w:val="18"/>
              </w:rPr>
            </w:pPr>
            <w:r>
              <w:rPr>
                <w:rFonts w:ascii="Times New Roman"/>
                <w:spacing w:val="-1"/>
                <w:sz w:val="18"/>
              </w:rPr>
              <w:t>0.00</w:t>
            </w:r>
          </w:p>
        </w:tc>
        <w:tc>
          <w:tcPr>
            <w:tcW w:w="1055"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78"/>
              <w:jc w:val="right"/>
              <w:rPr>
                <w:rFonts w:ascii="Times New Roman" w:hAnsi="Times New Roman" w:cs="Times New Roman" w:eastAsia="Times New Roman" w:hint="default"/>
                <w:sz w:val="18"/>
                <w:szCs w:val="18"/>
              </w:rPr>
            </w:pPr>
            <w:r>
              <w:rPr>
                <w:rFonts w:ascii="Times New Roman"/>
                <w:spacing w:val="-1"/>
                <w:sz w:val="18"/>
              </w:rPr>
              <w:t>0.00</w:t>
            </w:r>
          </w:p>
        </w:tc>
        <w:tc>
          <w:tcPr>
            <w:tcW w:w="450" w:type="dxa"/>
            <w:tcBorders>
              <w:top w:val="single" w:sz="4" w:space="0" w:color="000000"/>
              <w:left w:val="nil" w:sz="6" w:space="0" w:color="auto"/>
              <w:bottom w:val="nil" w:sz="6" w:space="0" w:color="auto"/>
              <w:right w:val="nil" w:sz="6" w:space="0" w:color="auto"/>
            </w:tcBorders>
          </w:tcPr>
          <w:p>
            <w:pPr/>
          </w:p>
        </w:tc>
        <w:tc>
          <w:tcPr>
            <w:tcW w:w="499"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34"/>
              <w:jc w:val="right"/>
              <w:rPr>
                <w:rFonts w:ascii="Times New Roman" w:hAnsi="Times New Roman" w:cs="Times New Roman" w:eastAsia="Times New Roman" w:hint="default"/>
                <w:sz w:val="18"/>
                <w:szCs w:val="18"/>
              </w:rPr>
            </w:pPr>
            <w:r>
              <w:rPr>
                <w:rFonts w:ascii="Times New Roman"/>
                <w:spacing w:val="-1"/>
                <w:sz w:val="18"/>
              </w:rPr>
              <w:t>0.00</w:t>
            </w:r>
          </w:p>
        </w:tc>
        <w:tc>
          <w:tcPr>
            <w:tcW w:w="1100" w:type="dxa"/>
            <w:tcBorders>
              <w:top w:val="single" w:sz="4" w:space="0" w:color="000000"/>
              <w:left w:val="nil" w:sz="6" w:space="0" w:color="auto"/>
              <w:bottom w:val="nil" w:sz="6" w:space="0" w:color="auto"/>
              <w:right w:val="nil" w:sz="6" w:space="0" w:color="auto"/>
            </w:tcBorders>
          </w:tcPr>
          <w:p>
            <w:pPr>
              <w:pStyle w:val="TableParagraph"/>
              <w:spacing w:line="240" w:lineRule="auto" w:before="88"/>
              <w:ind w:right="26"/>
              <w:jc w:val="right"/>
              <w:rPr>
                <w:rFonts w:ascii="Times New Roman" w:hAnsi="Times New Roman" w:cs="Times New Roman" w:eastAsia="Times New Roman" w:hint="default"/>
                <w:sz w:val="18"/>
                <w:szCs w:val="18"/>
              </w:rPr>
            </w:pPr>
            <w:r>
              <w:rPr>
                <w:rFonts w:ascii="Times New Roman"/>
                <w:spacing w:val="-1"/>
                <w:sz w:val="18"/>
              </w:rPr>
              <w:t>4,079,128.94</w:t>
            </w:r>
          </w:p>
        </w:tc>
      </w:tr>
      <w:tr>
        <w:trPr>
          <w:trHeight w:val="300" w:hRule="exact"/>
        </w:trPr>
        <w:tc>
          <w:tcPr>
            <w:tcW w:w="2670" w:type="dxa"/>
            <w:tcBorders>
              <w:top w:val="nil" w:sz="6" w:space="0" w:color="auto"/>
              <w:left w:val="nil" w:sz="6" w:space="0" w:color="auto"/>
              <w:bottom w:val="nil" w:sz="6" w:space="0" w:color="auto"/>
              <w:right w:val="nil" w:sz="6" w:space="0" w:color="auto"/>
            </w:tcBorders>
          </w:tcPr>
          <w:p>
            <w:pPr>
              <w:pStyle w:val="TableParagraph"/>
              <w:spacing w:line="213" w:lineRule="exact"/>
              <w:ind w:left="43" w:right="0"/>
              <w:jc w:val="left"/>
              <w:rPr>
                <w:rFonts w:ascii="宋体" w:hAnsi="宋体" w:cs="宋体" w:eastAsia="宋体" w:hint="default"/>
                <w:sz w:val="18"/>
                <w:szCs w:val="18"/>
              </w:rPr>
            </w:pPr>
            <w:r>
              <w:rPr>
                <w:rFonts w:ascii="宋体" w:hAnsi="宋体" w:cs="宋体" w:eastAsia="宋体" w:hint="default"/>
                <w:sz w:val="18"/>
                <w:szCs w:val="18"/>
              </w:rPr>
              <w:t>清芯光电有限公司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66"/>
              <w:jc w:val="right"/>
              <w:rPr>
                <w:rFonts w:ascii="Times New Roman" w:hAnsi="Times New Roman" w:cs="Times New Roman" w:eastAsia="Times New Roman" w:hint="default"/>
                <w:sz w:val="18"/>
                <w:szCs w:val="18"/>
              </w:rPr>
            </w:pPr>
            <w:r>
              <w:rPr>
                <w:rFonts w:ascii="Times New Roman"/>
                <w:spacing w:val="-1"/>
                <w:sz w:val="18"/>
              </w:rPr>
              <w:t>4,041,174.42</w:t>
            </w:r>
          </w:p>
        </w:tc>
        <w:tc>
          <w:tcPr>
            <w:tcW w:w="663"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7"/>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6"/>
              <w:jc w:val="right"/>
              <w:rPr>
                <w:rFonts w:ascii="Times New Roman" w:hAnsi="Times New Roman" w:cs="Times New Roman" w:eastAsia="Times New Roman" w:hint="default"/>
                <w:sz w:val="18"/>
                <w:szCs w:val="18"/>
              </w:rPr>
            </w:pPr>
            <w:r>
              <w:rPr>
                <w:rFonts w:ascii="Times New Roman"/>
                <w:spacing w:val="-1"/>
                <w:sz w:val="18"/>
              </w:rPr>
              <w:t>0.00</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8"/>
              <w:jc w:val="right"/>
              <w:rPr>
                <w:rFonts w:ascii="Times New Roman" w:hAnsi="Times New Roman" w:cs="Times New Roman" w:eastAsia="Times New Roman" w:hint="default"/>
                <w:sz w:val="18"/>
                <w:szCs w:val="18"/>
              </w:rPr>
            </w:pPr>
            <w:r>
              <w:rPr>
                <w:rFonts w:ascii="Times New Roman"/>
                <w:spacing w:val="-1"/>
                <w:sz w:val="18"/>
              </w:rPr>
              <w:t>0.00</w:t>
            </w:r>
          </w:p>
        </w:tc>
        <w:tc>
          <w:tcPr>
            <w:tcW w:w="450" w:type="dxa"/>
            <w:tcBorders>
              <w:top w:val="nil" w:sz="6" w:space="0" w:color="auto"/>
              <w:left w:val="nil" w:sz="6" w:space="0" w:color="auto"/>
              <w:bottom w:val="nil" w:sz="6" w:space="0" w:color="auto"/>
              <w:right w:val="nil" w:sz="6" w:space="0" w:color="auto"/>
            </w:tcBorders>
          </w:tcPr>
          <w:p>
            <w:pPr/>
          </w:p>
        </w:tc>
        <w:tc>
          <w:tcPr>
            <w:tcW w:w="49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4"/>
              <w:jc w:val="right"/>
              <w:rPr>
                <w:rFonts w:ascii="Times New Roman" w:hAnsi="Times New Roman" w:cs="Times New Roman" w:eastAsia="Times New Roman" w:hint="default"/>
                <w:sz w:val="18"/>
                <w:szCs w:val="18"/>
              </w:rPr>
            </w:pPr>
            <w:r>
              <w:rPr>
                <w:rFonts w:ascii="Times New Roman"/>
                <w:spacing w:val="-1"/>
                <w:sz w:val="18"/>
              </w:rPr>
              <w:t>0.00</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6"/>
              <w:jc w:val="right"/>
              <w:rPr>
                <w:rFonts w:ascii="Times New Roman" w:hAnsi="Times New Roman" w:cs="Times New Roman" w:eastAsia="Times New Roman" w:hint="default"/>
                <w:sz w:val="18"/>
                <w:szCs w:val="18"/>
              </w:rPr>
            </w:pPr>
            <w:r>
              <w:rPr>
                <w:rFonts w:ascii="Times New Roman"/>
                <w:spacing w:val="-1"/>
                <w:sz w:val="18"/>
              </w:rPr>
              <w:t>4,041,174.42</w:t>
            </w:r>
          </w:p>
        </w:tc>
      </w:tr>
      <w:tr>
        <w:trPr>
          <w:trHeight w:val="300" w:hRule="exact"/>
        </w:trPr>
        <w:tc>
          <w:tcPr>
            <w:tcW w:w="2670" w:type="dxa"/>
            <w:tcBorders>
              <w:top w:val="nil" w:sz="6" w:space="0" w:color="auto"/>
              <w:left w:val="nil" w:sz="6" w:space="0" w:color="auto"/>
              <w:bottom w:val="nil" w:sz="6" w:space="0" w:color="auto"/>
              <w:right w:val="nil" w:sz="6" w:space="0" w:color="auto"/>
            </w:tcBorders>
          </w:tcPr>
          <w:p>
            <w:pPr>
              <w:pStyle w:val="TableParagraph"/>
              <w:spacing w:line="213" w:lineRule="exact"/>
              <w:ind w:left="43" w:right="0"/>
              <w:jc w:val="left"/>
              <w:rPr>
                <w:rFonts w:ascii="宋体" w:hAnsi="宋体" w:cs="宋体" w:eastAsia="宋体" w:hint="default"/>
                <w:sz w:val="18"/>
                <w:szCs w:val="18"/>
              </w:rPr>
            </w:pPr>
            <w:r>
              <w:rPr>
                <w:rFonts w:ascii="宋体" w:hAnsi="宋体" w:cs="宋体" w:eastAsia="宋体" w:hint="default"/>
                <w:sz w:val="18"/>
                <w:szCs w:val="18"/>
              </w:rPr>
              <w:t>北京同方软件股份有限公司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66"/>
              <w:jc w:val="right"/>
              <w:rPr>
                <w:rFonts w:ascii="Times New Roman" w:hAnsi="Times New Roman" w:cs="Times New Roman" w:eastAsia="Times New Roman" w:hint="default"/>
                <w:sz w:val="18"/>
                <w:szCs w:val="18"/>
              </w:rPr>
            </w:pPr>
            <w:r>
              <w:rPr>
                <w:rFonts w:ascii="Times New Roman"/>
                <w:spacing w:val="-1"/>
                <w:sz w:val="18"/>
              </w:rPr>
              <w:t>1,993,272.21</w:t>
            </w:r>
          </w:p>
        </w:tc>
        <w:tc>
          <w:tcPr>
            <w:tcW w:w="663"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7"/>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6"/>
              <w:jc w:val="right"/>
              <w:rPr>
                <w:rFonts w:ascii="Times New Roman" w:hAnsi="Times New Roman" w:cs="Times New Roman" w:eastAsia="Times New Roman" w:hint="default"/>
                <w:sz w:val="18"/>
                <w:szCs w:val="18"/>
              </w:rPr>
            </w:pPr>
            <w:r>
              <w:rPr>
                <w:rFonts w:ascii="Times New Roman"/>
                <w:spacing w:val="-1"/>
                <w:sz w:val="18"/>
              </w:rPr>
              <w:t>0.00</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8"/>
              <w:jc w:val="right"/>
              <w:rPr>
                <w:rFonts w:ascii="Times New Roman" w:hAnsi="Times New Roman" w:cs="Times New Roman" w:eastAsia="Times New Roman" w:hint="default"/>
                <w:sz w:val="18"/>
                <w:szCs w:val="18"/>
              </w:rPr>
            </w:pPr>
            <w:r>
              <w:rPr>
                <w:rFonts w:ascii="Times New Roman"/>
                <w:spacing w:val="-1"/>
                <w:sz w:val="18"/>
              </w:rPr>
              <w:t>0.00</w:t>
            </w:r>
          </w:p>
        </w:tc>
        <w:tc>
          <w:tcPr>
            <w:tcW w:w="450" w:type="dxa"/>
            <w:tcBorders>
              <w:top w:val="nil" w:sz="6" w:space="0" w:color="auto"/>
              <w:left w:val="nil" w:sz="6" w:space="0" w:color="auto"/>
              <w:bottom w:val="nil" w:sz="6" w:space="0" w:color="auto"/>
              <w:right w:val="nil" w:sz="6" w:space="0" w:color="auto"/>
            </w:tcBorders>
          </w:tcPr>
          <w:p>
            <w:pPr/>
          </w:p>
        </w:tc>
        <w:tc>
          <w:tcPr>
            <w:tcW w:w="49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4"/>
              <w:jc w:val="right"/>
              <w:rPr>
                <w:rFonts w:ascii="Times New Roman" w:hAnsi="Times New Roman" w:cs="Times New Roman" w:eastAsia="Times New Roman" w:hint="default"/>
                <w:sz w:val="18"/>
                <w:szCs w:val="18"/>
              </w:rPr>
            </w:pPr>
            <w:r>
              <w:rPr>
                <w:rFonts w:ascii="Times New Roman"/>
                <w:spacing w:val="-1"/>
                <w:sz w:val="18"/>
              </w:rPr>
              <w:t>0.00</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6"/>
              <w:jc w:val="right"/>
              <w:rPr>
                <w:rFonts w:ascii="Times New Roman" w:hAnsi="Times New Roman" w:cs="Times New Roman" w:eastAsia="Times New Roman" w:hint="default"/>
                <w:sz w:val="18"/>
                <w:szCs w:val="18"/>
              </w:rPr>
            </w:pPr>
            <w:r>
              <w:rPr>
                <w:rFonts w:ascii="Times New Roman"/>
                <w:spacing w:val="-1"/>
                <w:sz w:val="18"/>
              </w:rPr>
              <w:t>1,993,272.21</w:t>
            </w:r>
          </w:p>
        </w:tc>
      </w:tr>
      <w:tr>
        <w:trPr>
          <w:trHeight w:val="303" w:hRule="exact"/>
        </w:trPr>
        <w:tc>
          <w:tcPr>
            <w:tcW w:w="2670" w:type="dxa"/>
            <w:tcBorders>
              <w:top w:val="nil" w:sz="6" w:space="0" w:color="auto"/>
              <w:left w:val="nil" w:sz="6" w:space="0" w:color="auto"/>
              <w:bottom w:val="nil" w:sz="6" w:space="0" w:color="auto"/>
              <w:right w:val="nil" w:sz="6" w:space="0" w:color="auto"/>
            </w:tcBorders>
          </w:tcPr>
          <w:p>
            <w:pPr>
              <w:pStyle w:val="TableParagraph"/>
              <w:spacing w:line="213" w:lineRule="exact"/>
              <w:ind w:left="43" w:right="0"/>
              <w:jc w:val="left"/>
              <w:rPr>
                <w:rFonts w:ascii="宋体" w:hAnsi="宋体" w:cs="宋体" w:eastAsia="宋体" w:hint="default"/>
                <w:sz w:val="18"/>
                <w:szCs w:val="18"/>
              </w:rPr>
            </w:pPr>
            <w:r>
              <w:rPr>
                <w:rFonts w:ascii="宋体" w:hAnsi="宋体" w:cs="宋体" w:eastAsia="宋体" w:hint="default"/>
                <w:sz w:val="18"/>
                <w:szCs w:val="18"/>
              </w:rPr>
              <w:t>北京同方吉兆科技有限公司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66"/>
              <w:jc w:val="right"/>
              <w:rPr>
                <w:rFonts w:ascii="Times New Roman" w:hAnsi="Times New Roman" w:cs="Times New Roman" w:eastAsia="Times New Roman" w:hint="default"/>
                <w:sz w:val="18"/>
                <w:szCs w:val="18"/>
              </w:rPr>
            </w:pPr>
            <w:r>
              <w:rPr>
                <w:rFonts w:ascii="Times New Roman"/>
                <w:spacing w:val="-1"/>
                <w:sz w:val="18"/>
              </w:rPr>
              <w:t>1,286,280.05</w:t>
            </w:r>
          </w:p>
        </w:tc>
        <w:tc>
          <w:tcPr>
            <w:tcW w:w="663"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7"/>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6"/>
              <w:jc w:val="right"/>
              <w:rPr>
                <w:rFonts w:ascii="Times New Roman" w:hAnsi="Times New Roman" w:cs="Times New Roman" w:eastAsia="Times New Roman" w:hint="default"/>
                <w:sz w:val="18"/>
                <w:szCs w:val="18"/>
              </w:rPr>
            </w:pPr>
            <w:r>
              <w:rPr>
                <w:rFonts w:ascii="Times New Roman"/>
                <w:spacing w:val="-1"/>
                <w:sz w:val="18"/>
              </w:rPr>
              <w:t>0.00</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8"/>
              <w:jc w:val="right"/>
              <w:rPr>
                <w:rFonts w:ascii="Times New Roman" w:hAnsi="Times New Roman" w:cs="Times New Roman" w:eastAsia="Times New Roman" w:hint="default"/>
                <w:sz w:val="18"/>
                <w:szCs w:val="18"/>
              </w:rPr>
            </w:pPr>
            <w:r>
              <w:rPr>
                <w:rFonts w:ascii="Times New Roman"/>
                <w:spacing w:val="-1"/>
                <w:sz w:val="18"/>
              </w:rPr>
              <w:t>0.00</w:t>
            </w:r>
          </w:p>
        </w:tc>
        <w:tc>
          <w:tcPr>
            <w:tcW w:w="450" w:type="dxa"/>
            <w:tcBorders>
              <w:top w:val="nil" w:sz="6" w:space="0" w:color="auto"/>
              <w:left w:val="nil" w:sz="6" w:space="0" w:color="auto"/>
              <w:bottom w:val="nil" w:sz="6" w:space="0" w:color="auto"/>
              <w:right w:val="nil" w:sz="6" w:space="0" w:color="auto"/>
            </w:tcBorders>
          </w:tcPr>
          <w:p>
            <w:pPr/>
          </w:p>
        </w:tc>
        <w:tc>
          <w:tcPr>
            <w:tcW w:w="49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4"/>
              <w:jc w:val="right"/>
              <w:rPr>
                <w:rFonts w:ascii="Times New Roman" w:hAnsi="Times New Roman" w:cs="Times New Roman" w:eastAsia="Times New Roman" w:hint="default"/>
                <w:sz w:val="18"/>
                <w:szCs w:val="18"/>
              </w:rPr>
            </w:pPr>
            <w:r>
              <w:rPr>
                <w:rFonts w:ascii="Times New Roman"/>
                <w:spacing w:val="-1"/>
                <w:sz w:val="18"/>
              </w:rPr>
              <w:t>0.00</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6"/>
              <w:jc w:val="right"/>
              <w:rPr>
                <w:rFonts w:ascii="Times New Roman" w:hAnsi="Times New Roman" w:cs="Times New Roman" w:eastAsia="Times New Roman" w:hint="default"/>
                <w:sz w:val="18"/>
                <w:szCs w:val="18"/>
              </w:rPr>
            </w:pPr>
            <w:r>
              <w:rPr>
                <w:rFonts w:ascii="Times New Roman"/>
                <w:spacing w:val="-1"/>
                <w:sz w:val="18"/>
              </w:rPr>
              <w:t>1,286,280.05</w:t>
            </w:r>
          </w:p>
        </w:tc>
      </w:tr>
      <w:tr>
        <w:trPr>
          <w:trHeight w:val="297" w:hRule="exact"/>
        </w:trPr>
        <w:tc>
          <w:tcPr>
            <w:tcW w:w="267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3" w:right="0"/>
              <w:jc w:val="left"/>
              <w:rPr>
                <w:rFonts w:ascii="Times New Roman" w:hAnsi="Times New Roman" w:cs="Times New Roman" w:eastAsia="Times New Roman" w:hint="default"/>
                <w:sz w:val="18"/>
                <w:szCs w:val="18"/>
              </w:rPr>
            </w:pPr>
            <w:r>
              <w:rPr>
                <w:rFonts w:ascii="Times New Roman"/>
                <w:sz w:val="18"/>
              </w:rPr>
              <w:t>Neo-Neon-EruopeGmbH</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66"/>
              <w:jc w:val="right"/>
              <w:rPr>
                <w:rFonts w:ascii="Times New Roman" w:hAnsi="Times New Roman" w:cs="Times New Roman" w:eastAsia="Times New Roman" w:hint="default"/>
                <w:sz w:val="18"/>
                <w:szCs w:val="18"/>
              </w:rPr>
            </w:pPr>
            <w:r>
              <w:rPr>
                <w:rFonts w:ascii="Times New Roman"/>
                <w:spacing w:val="-1"/>
                <w:sz w:val="18"/>
              </w:rPr>
              <w:t>586,353.30</w:t>
            </w:r>
          </w:p>
        </w:tc>
        <w:tc>
          <w:tcPr>
            <w:tcW w:w="66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77"/>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6"/>
              <w:jc w:val="right"/>
              <w:rPr>
                <w:rFonts w:ascii="Times New Roman" w:hAnsi="Times New Roman" w:cs="Times New Roman" w:eastAsia="Times New Roman" w:hint="default"/>
                <w:sz w:val="18"/>
                <w:szCs w:val="18"/>
              </w:rPr>
            </w:pPr>
            <w:r>
              <w:rPr>
                <w:rFonts w:ascii="Times New Roman"/>
                <w:spacing w:val="-1"/>
                <w:sz w:val="18"/>
              </w:rPr>
              <w:t>34,441.68</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78"/>
              <w:jc w:val="right"/>
              <w:rPr>
                <w:rFonts w:ascii="Times New Roman" w:hAnsi="Times New Roman" w:cs="Times New Roman" w:eastAsia="Times New Roman" w:hint="default"/>
                <w:sz w:val="18"/>
                <w:szCs w:val="18"/>
              </w:rPr>
            </w:pPr>
            <w:r>
              <w:rPr>
                <w:rFonts w:ascii="Times New Roman"/>
                <w:spacing w:val="-1"/>
                <w:sz w:val="18"/>
              </w:rPr>
              <w:t>0.00</w:t>
            </w:r>
          </w:p>
        </w:tc>
        <w:tc>
          <w:tcPr>
            <w:tcW w:w="450" w:type="dxa"/>
            <w:tcBorders>
              <w:top w:val="nil" w:sz="6" w:space="0" w:color="auto"/>
              <w:left w:val="nil" w:sz="6" w:space="0" w:color="auto"/>
              <w:bottom w:val="nil" w:sz="6" w:space="0" w:color="auto"/>
              <w:right w:val="nil" w:sz="6" w:space="0" w:color="auto"/>
            </w:tcBorders>
          </w:tcPr>
          <w:p>
            <w:pPr/>
          </w:p>
        </w:tc>
        <w:tc>
          <w:tcPr>
            <w:tcW w:w="499"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4"/>
              <w:jc w:val="right"/>
              <w:rPr>
                <w:rFonts w:ascii="Times New Roman" w:hAnsi="Times New Roman" w:cs="Times New Roman" w:eastAsia="Times New Roman" w:hint="default"/>
                <w:sz w:val="18"/>
                <w:szCs w:val="18"/>
              </w:rPr>
            </w:pPr>
            <w:r>
              <w:rPr>
                <w:rFonts w:ascii="Times New Roman"/>
                <w:spacing w:val="-1"/>
                <w:sz w:val="18"/>
              </w:rPr>
              <w:t>0.00</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6"/>
              <w:jc w:val="right"/>
              <w:rPr>
                <w:rFonts w:ascii="Times New Roman" w:hAnsi="Times New Roman" w:cs="Times New Roman" w:eastAsia="Times New Roman" w:hint="default"/>
                <w:sz w:val="18"/>
                <w:szCs w:val="18"/>
              </w:rPr>
            </w:pPr>
            <w:r>
              <w:rPr>
                <w:rFonts w:ascii="Times New Roman"/>
                <w:spacing w:val="-1"/>
                <w:sz w:val="18"/>
              </w:rPr>
              <w:t>620,794.98</w:t>
            </w:r>
          </w:p>
        </w:tc>
      </w:tr>
      <w:tr>
        <w:trPr>
          <w:trHeight w:val="303" w:hRule="exact"/>
        </w:trPr>
        <w:tc>
          <w:tcPr>
            <w:tcW w:w="2670" w:type="dxa"/>
            <w:tcBorders>
              <w:top w:val="nil" w:sz="6" w:space="0" w:color="auto"/>
              <w:left w:val="nil" w:sz="6" w:space="0" w:color="auto"/>
              <w:bottom w:val="nil" w:sz="6" w:space="0" w:color="auto"/>
              <w:right w:val="nil" w:sz="6" w:space="0" w:color="auto"/>
            </w:tcBorders>
          </w:tcPr>
          <w:p>
            <w:pPr>
              <w:pStyle w:val="TableParagraph"/>
              <w:spacing w:line="213" w:lineRule="exact"/>
              <w:ind w:left="43" w:right="0"/>
              <w:jc w:val="left"/>
              <w:rPr>
                <w:rFonts w:ascii="宋体" w:hAnsi="宋体" w:cs="宋体" w:eastAsia="宋体" w:hint="default"/>
                <w:sz w:val="18"/>
                <w:szCs w:val="18"/>
              </w:rPr>
            </w:pPr>
            <w:r>
              <w:rPr>
                <w:rFonts w:ascii="宋体" w:hAnsi="宋体" w:cs="宋体" w:eastAsia="宋体" w:hint="default"/>
                <w:sz w:val="18"/>
                <w:szCs w:val="18"/>
              </w:rPr>
              <w:t>江西同方昌明消防车辆有限公司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66"/>
              <w:jc w:val="right"/>
              <w:rPr>
                <w:rFonts w:ascii="Times New Roman" w:hAnsi="Times New Roman" w:cs="Times New Roman" w:eastAsia="Times New Roman" w:hint="default"/>
                <w:sz w:val="18"/>
                <w:szCs w:val="18"/>
              </w:rPr>
            </w:pPr>
            <w:r>
              <w:rPr>
                <w:rFonts w:ascii="Times New Roman"/>
                <w:spacing w:val="-1"/>
                <w:sz w:val="18"/>
              </w:rPr>
              <w:t>52,740.49</w:t>
            </w:r>
          </w:p>
        </w:tc>
        <w:tc>
          <w:tcPr>
            <w:tcW w:w="663"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7"/>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6"/>
              <w:jc w:val="right"/>
              <w:rPr>
                <w:rFonts w:ascii="Times New Roman" w:hAnsi="Times New Roman" w:cs="Times New Roman" w:eastAsia="Times New Roman" w:hint="default"/>
                <w:sz w:val="18"/>
                <w:szCs w:val="18"/>
              </w:rPr>
            </w:pPr>
            <w:r>
              <w:rPr>
                <w:rFonts w:ascii="Times New Roman"/>
                <w:spacing w:val="-1"/>
                <w:sz w:val="18"/>
              </w:rPr>
              <w:t>0.00</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8"/>
              <w:jc w:val="right"/>
              <w:rPr>
                <w:rFonts w:ascii="Times New Roman" w:hAnsi="Times New Roman" w:cs="Times New Roman" w:eastAsia="Times New Roman" w:hint="default"/>
                <w:sz w:val="18"/>
                <w:szCs w:val="18"/>
              </w:rPr>
            </w:pPr>
            <w:r>
              <w:rPr>
                <w:rFonts w:ascii="Times New Roman"/>
                <w:spacing w:val="-1"/>
                <w:sz w:val="18"/>
              </w:rPr>
              <w:t>0.00</w:t>
            </w:r>
          </w:p>
        </w:tc>
        <w:tc>
          <w:tcPr>
            <w:tcW w:w="450" w:type="dxa"/>
            <w:tcBorders>
              <w:top w:val="nil" w:sz="6" w:space="0" w:color="auto"/>
              <w:left w:val="nil" w:sz="6" w:space="0" w:color="auto"/>
              <w:bottom w:val="nil" w:sz="6" w:space="0" w:color="auto"/>
              <w:right w:val="nil" w:sz="6" w:space="0" w:color="auto"/>
            </w:tcBorders>
          </w:tcPr>
          <w:p>
            <w:pPr/>
          </w:p>
        </w:tc>
        <w:tc>
          <w:tcPr>
            <w:tcW w:w="49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4"/>
              <w:jc w:val="right"/>
              <w:rPr>
                <w:rFonts w:ascii="Times New Roman" w:hAnsi="Times New Roman" w:cs="Times New Roman" w:eastAsia="Times New Roman" w:hint="default"/>
                <w:sz w:val="18"/>
                <w:szCs w:val="18"/>
              </w:rPr>
            </w:pPr>
            <w:r>
              <w:rPr>
                <w:rFonts w:ascii="Times New Roman"/>
                <w:spacing w:val="-1"/>
                <w:sz w:val="18"/>
              </w:rPr>
              <w:t>0.00</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6"/>
              <w:jc w:val="right"/>
              <w:rPr>
                <w:rFonts w:ascii="Times New Roman" w:hAnsi="Times New Roman" w:cs="Times New Roman" w:eastAsia="Times New Roman" w:hint="default"/>
                <w:sz w:val="18"/>
                <w:szCs w:val="18"/>
              </w:rPr>
            </w:pPr>
            <w:r>
              <w:rPr>
                <w:rFonts w:ascii="Times New Roman"/>
                <w:spacing w:val="-1"/>
                <w:sz w:val="18"/>
              </w:rPr>
              <w:t>52,740.49</w:t>
            </w:r>
          </w:p>
        </w:tc>
      </w:tr>
      <w:tr>
        <w:trPr>
          <w:trHeight w:val="277" w:hRule="exact"/>
        </w:trPr>
        <w:tc>
          <w:tcPr>
            <w:tcW w:w="2670"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left="43" w:right="0"/>
              <w:jc w:val="left"/>
              <w:rPr>
                <w:rFonts w:ascii="Times New Roman" w:hAnsi="Times New Roman" w:cs="Times New Roman" w:eastAsia="Times New Roman" w:hint="default"/>
                <w:sz w:val="18"/>
                <w:szCs w:val="18"/>
              </w:rPr>
            </w:pPr>
            <w:r>
              <w:rPr>
                <w:rFonts w:ascii="Times New Roman"/>
                <w:sz w:val="18"/>
              </w:rPr>
              <w:t>Distech Controls Facility</w:t>
            </w:r>
            <w:r>
              <w:rPr>
                <w:rFonts w:ascii="Times New Roman"/>
                <w:spacing w:val="-9"/>
                <w:sz w:val="18"/>
              </w:rPr>
              <w:t> </w:t>
            </w:r>
            <w:r>
              <w:rPr>
                <w:rFonts w:ascii="Times New Roman"/>
                <w:sz w:val="18"/>
              </w:rPr>
              <w:t>Solutions</w:t>
            </w:r>
          </w:p>
        </w:tc>
        <w:tc>
          <w:tcPr>
            <w:tcW w:w="1396" w:type="dxa"/>
            <w:tcBorders>
              <w:top w:val="nil" w:sz="6" w:space="0" w:color="auto"/>
              <w:left w:val="nil" w:sz="6" w:space="0" w:color="auto"/>
              <w:bottom w:val="single" w:sz="4" w:space="0" w:color="000000"/>
              <w:right w:val="nil" w:sz="6" w:space="0" w:color="auto"/>
            </w:tcBorders>
          </w:tcPr>
          <w:p>
            <w:pPr>
              <w:pStyle w:val="TableParagraph"/>
              <w:spacing w:line="240" w:lineRule="auto" w:before="60"/>
              <w:ind w:right="266"/>
              <w:jc w:val="right"/>
              <w:rPr>
                <w:rFonts w:ascii="Times New Roman" w:hAnsi="Times New Roman" w:cs="Times New Roman" w:eastAsia="Times New Roman" w:hint="default"/>
                <w:sz w:val="18"/>
                <w:szCs w:val="18"/>
              </w:rPr>
            </w:pPr>
            <w:r>
              <w:rPr>
                <w:rFonts w:ascii="Times New Roman"/>
                <w:spacing w:val="-1"/>
                <w:sz w:val="18"/>
              </w:rPr>
              <w:t>2,818,400.57</w:t>
            </w:r>
          </w:p>
        </w:tc>
        <w:tc>
          <w:tcPr>
            <w:tcW w:w="663" w:type="dxa"/>
            <w:tcBorders>
              <w:top w:val="nil" w:sz="6" w:space="0" w:color="auto"/>
              <w:left w:val="nil" w:sz="6" w:space="0" w:color="auto"/>
              <w:bottom w:val="single" w:sz="4" w:space="0" w:color="000000"/>
              <w:right w:val="nil" w:sz="6" w:space="0" w:color="auto"/>
            </w:tcBorders>
          </w:tcPr>
          <w:p>
            <w:pPr>
              <w:pStyle w:val="TableParagraph"/>
              <w:spacing w:line="240" w:lineRule="auto" w:before="60"/>
              <w:ind w:right="77"/>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nil" w:sz="6" w:space="0" w:color="auto"/>
              <w:left w:val="nil" w:sz="6" w:space="0" w:color="auto"/>
              <w:bottom w:val="single" w:sz="4" w:space="0" w:color="000000"/>
              <w:right w:val="nil" w:sz="6" w:space="0" w:color="auto"/>
            </w:tcBorders>
          </w:tcPr>
          <w:p>
            <w:pPr>
              <w:pStyle w:val="TableParagraph"/>
              <w:spacing w:line="240" w:lineRule="auto" w:before="60"/>
              <w:ind w:right="26"/>
              <w:jc w:val="right"/>
              <w:rPr>
                <w:rFonts w:ascii="Times New Roman" w:hAnsi="Times New Roman" w:cs="Times New Roman" w:eastAsia="Times New Roman" w:hint="default"/>
                <w:sz w:val="18"/>
                <w:szCs w:val="18"/>
              </w:rPr>
            </w:pPr>
            <w:r>
              <w:rPr>
                <w:rFonts w:ascii="Times New Roman"/>
                <w:spacing w:val="-1"/>
                <w:sz w:val="18"/>
              </w:rPr>
              <w:t>0.00</w:t>
            </w:r>
          </w:p>
        </w:tc>
        <w:tc>
          <w:tcPr>
            <w:tcW w:w="1055" w:type="dxa"/>
            <w:tcBorders>
              <w:top w:val="nil" w:sz="6" w:space="0" w:color="auto"/>
              <w:left w:val="nil" w:sz="6" w:space="0" w:color="auto"/>
              <w:bottom w:val="single" w:sz="4" w:space="0" w:color="000000"/>
              <w:right w:val="nil" w:sz="6" w:space="0" w:color="auto"/>
            </w:tcBorders>
          </w:tcPr>
          <w:p>
            <w:pPr>
              <w:pStyle w:val="TableParagraph"/>
              <w:spacing w:line="240" w:lineRule="auto" w:before="60"/>
              <w:ind w:right="78"/>
              <w:jc w:val="right"/>
              <w:rPr>
                <w:rFonts w:ascii="Times New Roman" w:hAnsi="Times New Roman" w:cs="Times New Roman" w:eastAsia="Times New Roman" w:hint="default"/>
                <w:sz w:val="18"/>
                <w:szCs w:val="18"/>
              </w:rPr>
            </w:pPr>
            <w:r>
              <w:rPr>
                <w:rFonts w:ascii="Times New Roman"/>
                <w:spacing w:val="-1"/>
                <w:sz w:val="18"/>
              </w:rPr>
              <w:t>2,818,400.57</w:t>
            </w:r>
          </w:p>
        </w:tc>
        <w:tc>
          <w:tcPr>
            <w:tcW w:w="450" w:type="dxa"/>
            <w:tcBorders>
              <w:top w:val="nil" w:sz="6" w:space="0" w:color="auto"/>
              <w:left w:val="nil" w:sz="6" w:space="0" w:color="auto"/>
              <w:bottom w:val="single" w:sz="4" w:space="0" w:color="000000"/>
              <w:right w:val="nil" w:sz="6" w:space="0" w:color="auto"/>
            </w:tcBorders>
          </w:tcPr>
          <w:p>
            <w:pPr/>
          </w:p>
        </w:tc>
        <w:tc>
          <w:tcPr>
            <w:tcW w:w="499" w:type="dxa"/>
            <w:tcBorders>
              <w:top w:val="nil" w:sz="6" w:space="0" w:color="auto"/>
              <w:left w:val="nil" w:sz="6" w:space="0" w:color="auto"/>
              <w:bottom w:val="single" w:sz="4" w:space="0" w:color="000000"/>
              <w:right w:val="nil" w:sz="6" w:space="0" w:color="auto"/>
            </w:tcBorders>
          </w:tcPr>
          <w:p>
            <w:pPr>
              <w:pStyle w:val="TableParagraph"/>
              <w:spacing w:line="240" w:lineRule="auto" w:before="60"/>
              <w:ind w:right="34"/>
              <w:jc w:val="right"/>
              <w:rPr>
                <w:rFonts w:ascii="Times New Roman" w:hAnsi="Times New Roman" w:cs="Times New Roman" w:eastAsia="Times New Roman" w:hint="default"/>
                <w:sz w:val="18"/>
                <w:szCs w:val="18"/>
              </w:rPr>
            </w:pPr>
            <w:r>
              <w:rPr>
                <w:rFonts w:ascii="Times New Roman"/>
                <w:spacing w:val="-1"/>
                <w:sz w:val="18"/>
              </w:rPr>
              <w:t>0.00</w:t>
            </w:r>
          </w:p>
        </w:tc>
        <w:tc>
          <w:tcPr>
            <w:tcW w:w="1100" w:type="dxa"/>
            <w:tcBorders>
              <w:top w:val="nil" w:sz="6" w:space="0" w:color="auto"/>
              <w:left w:val="nil" w:sz="6" w:space="0" w:color="auto"/>
              <w:bottom w:val="single" w:sz="4" w:space="0" w:color="000000"/>
              <w:right w:val="nil" w:sz="6" w:space="0" w:color="auto"/>
            </w:tcBorders>
          </w:tcPr>
          <w:p>
            <w:pPr>
              <w:pStyle w:val="TableParagraph"/>
              <w:spacing w:line="240" w:lineRule="auto" w:before="60"/>
              <w:ind w:right="26"/>
              <w:jc w:val="right"/>
              <w:rPr>
                <w:rFonts w:ascii="Times New Roman" w:hAnsi="Times New Roman" w:cs="Times New Roman" w:eastAsia="Times New Roman" w:hint="default"/>
                <w:sz w:val="18"/>
                <w:szCs w:val="18"/>
              </w:rPr>
            </w:pPr>
            <w:r>
              <w:rPr>
                <w:rFonts w:ascii="Times New Roman"/>
                <w:spacing w:val="-1"/>
                <w:sz w:val="18"/>
              </w:rPr>
              <w:t>0.00</w:t>
            </w:r>
          </w:p>
        </w:tc>
      </w:tr>
      <w:tr>
        <w:trPr>
          <w:trHeight w:val="322" w:hRule="exact"/>
        </w:trPr>
        <w:tc>
          <w:tcPr>
            <w:tcW w:w="2670" w:type="dxa"/>
            <w:tcBorders>
              <w:top w:val="single" w:sz="4" w:space="0" w:color="000000"/>
              <w:left w:val="nil" w:sz="6" w:space="0" w:color="auto"/>
              <w:bottom w:val="single" w:sz="12" w:space="0" w:color="000000"/>
              <w:right w:val="nil" w:sz="6" w:space="0" w:color="auto"/>
            </w:tcBorders>
          </w:tcPr>
          <w:p>
            <w:pPr>
              <w:pStyle w:val="TableParagraph"/>
              <w:spacing w:line="240" w:lineRule="auto" w:before="37"/>
              <w:ind w:left="4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96"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right="267"/>
              <w:jc w:val="right"/>
              <w:rPr>
                <w:rFonts w:ascii="Times New Roman" w:hAnsi="Times New Roman" w:cs="Times New Roman" w:eastAsia="Times New Roman" w:hint="default"/>
                <w:sz w:val="18"/>
                <w:szCs w:val="18"/>
              </w:rPr>
            </w:pPr>
            <w:r>
              <w:rPr>
                <w:rFonts w:ascii="Times New Roman"/>
                <w:b/>
                <w:spacing w:val="-1"/>
                <w:sz w:val="18"/>
              </w:rPr>
              <w:t>14,857,349.98</w:t>
            </w:r>
            <w:r>
              <w:rPr>
                <w:rFonts w:ascii="Times New Roman"/>
                <w:spacing w:val="-1"/>
                <w:sz w:val="18"/>
              </w:rPr>
            </w:r>
          </w:p>
        </w:tc>
        <w:tc>
          <w:tcPr>
            <w:tcW w:w="663"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right="77"/>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934"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right="26"/>
              <w:jc w:val="right"/>
              <w:rPr>
                <w:rFonts w:ascii="Times New Roman" w:hAnsi="Times New Roman" w:cs="Times New Roman" w:eastAsia="Times New Roman" w:hint="default"/>
                <w:sz w:val="18"/>
                <w:szCs w:val="18"/>
              </w:rPr>
            </w:pPr>
            <w:r>
              <w:rPr>
                <w:rFonts w:ascii="Times New Roman"/>
                <w:b/>
                <w:spacing w:val="-1"/>
                <w:sz w:val="18"/>
              </w:rPr>
              <w:t>34,441.68</w:t>
            </w:r>
            <w:r>
              <w:rPr>
                <w:rFonts w:ascii="Times New Roman"/>
                <w:spacing w:val="-1"/>
                <w:sz w:val="18"/>
              </w:rPr>
            </w:r>
          </w:p>
        </w:tc>
        <w:tc>
          <w:tcPr>
            <w:tcW w:w="1055"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right="78"/>
              <w:jc w:val="right"/>
              <w:rPr>
                <w:rFonts w:ascii="Times New Roman" w:hAnsi="Times New Roman" w:cs="Times New Roman" w:eastAsia="Times New Roman" w:hint="default"/>
                <w:sz w:val="18"/>
                <w:szCs w:val="18"/>
              </w:rPr>
            </w:pPr>
            <w:r>
              <w:rPr>
                <w:rFonts w:ascii="Times New Roman"/>
                <w:b/>
                <w:spacing w:val="-1"/>
                <w:sz w:val="18"/>
              </w:rPr>
              <w:t>2,818,400.57</w:t>
            </w:r>
            <w:r>
              <w:rPr>
                <w:rFonts w:ascii="Times New Roman"/>
                <w:spacing w:val="-1"/>
                <w:sz w:val="18"/>
              </w:rPr>
            </w:r>
          </w:p>
        </w:tc>
        <w:tc>
          <w:tcPr>
            <w:tcW w:w="450" w:type="dxa"/>
            <w:tcBorders>
              <w:top w:val="single" w:sz="4" w:space="0" w:color="000000"/>
              <w:left w:val="nil" w:sz="6" w:space="0" w:color="auto"/>
              <w:bottom w:val="single" w:sz="12" w:space="0" w:color="000000"/>
              <w:right w:val="nil" w:sz="6" w:space="0" w:color="auto"/>
            </w:tcBorders>
          </w:tcPr>
          <w:p>
            <w:pPr/>
          </w:p>
        </w:tc>
        <w:tc>
          <w:tcPr>
            <w:tcW w:w="499"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right="34"/>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100"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right="26"/>
              <w:jc w:val="right"/>
              <w:rPr>
                <w:rFonts w:ascii="Times New Roman" w:hAnsi="Times New Roman" w:cs="Times New Roman" w:eastAsia="Times New Roman" w:hint="default"/>
                <w:sz w:val="18"/>
                <w:szCs w:val="18"/>
              </w:rPr>
            </w:pPr>
            <w:r>
              <w:rPr>
                <w:rFonts w:ascii="Times New Roman"/>
                <w:b/>
                <w:spacing w:val="-1"/>
                <w:sz w:val="18"/>
              </w:rPr>
              <w:t>12,073,391.09</w:t>
            </w:r>
            <w:r>
              <w:rPr>
                <w:rFonts w:ascii="Times New Roman"/>
                <w:spacing w:val="-1"/>
                <w:sz w:val="18"/>
              </w:rPr>
            </w:r>
          </w:p>
        </w:tc>
      </w:tr>
    </w:tbl>
    <w:p>
      <w:pPr>
        <w:spacing w:before="81"/>
        <w:ind w:left="64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18.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长期待摊费用</w:t>
      </w:r>
    </w:p>
    <w:p>
      <w:pPr>
        <w:spacing w:line="240" w:lineRule="auto" w:before="6"/>
        <w:rPr>
          <w:rFonts w:ascii="宋体" w:hAnsi="宋体" w:cs="宋体" w:eastAsia="宋体" w:hint="default"/>
          <w:sz w:val="11"/>
          <w:szCs w:val="11"/>
        </w:rPr>
      </w:pPr>
    </w:p>
    <w:tbl>
      <w:tblPr>
        <w:tblW w:w="0" w:type="auto"/>
        <w:jc w:val="left"/>
        <w:tblInd w:w="134" w:type="dxa"/>
        <w:tblLayout w:type="fixed"/>
        <w:tblCellMar>
          <w:top w:w="0" w:type="dxa"/>
          <w:left w:w="0" w:type="dxa"/>
          <w:bottom w:w="0" w:type="dxa"/>
          <w:right w:w="0" w:type="dxa"/>
        </w:tblCellMar>
        <w:tblLook w:val="01E0"/>
      </w:tblPr>
      <w:tblGrid>
        <w:gridCol w:w="1806"/>
        <w:gridCol w:w="2234"/>
        <w:gridCol w:w="1625"/>
        <w:gridCol w:w="1581"/>
        <w:gridCol w:w="1480"/>
      </w:tblGrid>
      <w:tr>
        <w:trPr>
          <w:trHeight w:val="305" w:hRule="exact"/>
        </w:trPr>
        <w:tc>
          <w:tcPr>
            <w:tcW w:w="180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3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798"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62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85"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58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66" w:right="0"/>
              <w:jc w:val="left"/>
              <w:rPr>
                <w:rFonts w:ascii="宋体" w:hAnsi="宋体" w:cs="宋体" w:eastAsia="宋体" w:hint="default"/>
                <w:sz w:val="18"/>
                <w:szCs w:val="18"/>
              </w:rPr>
            </w:pPr>
            <w:r>
              <w:rPr>
                <w:rFonts w:ascii="宋体" w:hAnsi="宋体" w:cs="宋体" w:eastAsia="宋体" w:hint="default"/>
                <w:b/>
                <w:bCs/>
                <w:sz w:val="18"/>
                <w:szCs w:val="18"/>
              </w:rPr>
              <w:t>本年摊销</w:t>
            </w:r>
            <w:r>
              <w:rPr>
                <w:rFonts w:ascii="宋体" w:hAnsi="宋体" w:cs="宋体" w:eastAsia="宋体" w:hint="default"/>
                <w:sz w:val="18"/>
                <w:szCs w:val="18"/>
              </w:rPr>
            </w:r>
          </w:p>
        </w:tc>
        <w:tc>
          <w:tcPr>
            <w:tcW w:w="148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86"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325" w:hRule="exact"/>
        </w:trPr>
        <w:tc>
          <w:tcPr>
            <w:tcW w:w="1806"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装修改造费</w:t>
            </w:r>
          </w:p>
        </w:tc>
        <w:tc>
          <w:tcPr>
            <w:tcW w:w="223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286"/>
              <w:jc w:val="right"/>
              <w:rPr>
                <w:rFonts w:ascii="Times New Roman" w:hAnsi="Times New Roman" w:cs="Times New Roman" w:eastAsia="Times New Roman" w:hint="default"/>
                <w:sz w:val="18"/>
                <w:szCs w:val="18"/>
              </w:rPr>
            </w:pPr>
            <w:r>
              <w:rPr>
                <w:rFonts w:ascii="Times New Roman"/>
                <w:spacing w:val="-1"/>
                <w:sz w:val="18"/>
              </w:rPr>
              <w:t>64,598,963.54</w:t>
            </w:r>
          </w:p>
        </w:tc>
        <w:tc>
          <w:tcPr>
            <w:tcW w:w="162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257"/>
              <w:jc w:val="right"/>
              <w:rPr>
                <w:rFonts w:ascii="Times New Roman" w:hAnsi="Times New Roman" w:cs="Times New Roman" w:eastAsia="Times New Roman" w:hint="default"/>
                <w:sz w:val="18"/>
                <w:szCs w:val="18"/>
              </w:rPr>
            </w:pPr>
            <w:r>
              <w:rPr>
                <w:rFonts w:ascii="Times New Roman"/>
                <w:spacing w:val="-1"/>
                <w:sz w:val="18"/>
              </w:rPr>
              <w:t>23,938,763.24</w:t>
            </w:r>
          </w:p>
        </w:tc>
        <w:tc>
          <w:tcPr>
            <w:tcW w:w="1581"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left="256" w:right="0"/>
              <w:jc w:val="left"/>
              <w:rPr>
                <w:rFonts w:ascii="Times New Roman" w:hAnsi="Times New Roman" w:cs="Times New Roman" w:eastAsia="Times New Roman" w:hint="default"/>
                <w:sz w:val="18"/>
                <w:szCs w:val="18"/>
              </w:rPr>
            </w:pPr>
            <w:r>
              <w:rPr>
                <w:rFonts w:ascii="Times New Roman"/>
                <w:sz w:val="18"/>
              </w:rPr>
              <w:t>18,250,138.00</w:t>
            </w:r>
          </w:p>
        </w:tc>
        <w:tc>
          <w:tcPr>
            <w:tcW w:w="1480"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70,287,588.78</w:t>
            </w:r>
          </w:p>
        </w:tc>
      </w:tr>
      <w:tr>
        <w:trPr>
          <w:trHeight w:val="286" w:hRule="exact"/>
        </w:trPr>
        <w:tc>
          <w:tcPr>
            <w:tcW w:w="1806"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土地租赁费</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6"/>
              <w:jc w:val="right"/>
              <w:rPr>
                <w:rFonts w:ascii="Times New Roman" w:hAnsi="Times New Roman" w:cs="Times New Roman" w:eastAsia="Times New Roman" w:hint="default"/>
                <w:sz w:val="18"/>
                <w:szCs w:val="18"/>
              </w:rPr>
            </w:pPr>
            <w:r>
              <w:rPr>
                <w:rFonts w:ascii="Times New Roman"/>
                <w:spacing w:val="-1"/>
                <w:sz w:val="18"/>
              </w:rPr>
              <w:t>10,422,564.50</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56"/>
              <w:jc w:val="right"/>
              <w:rPr>
                <w:rFonts w:ascii="Times New Roman" w:hAnsi="Times New Roman" w:cs="Times New Roman" w:eastAsia="Times New Roman" w:hint="default"/>
                <w:sz w:val="18"/>
                <w:szCs w:val="18"/>
              </w:rPr>
            </w:pPr>
            <w:r>
              <w:rPr>
                <w:rFonts w:ascii="Times New Roman"/>
                <w:spacing w:val="-1"/>
                <w:sz w:val="18"/>
              </w:rPr>
              <w:t>0.00</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4"/>
              <w:jc w:val="right"/>
              <w:rPr>
                <w:rFonts w:ascii="Times New Roman" w:hAnsi="Times New Roman" w:cs="Times New Roman" w:eastAsia="Times New Roman" w:hint="default"/>
                <w:sz w:val="18"/>
                <w:szCs w:val="18"/>
              </w:rPr>
            </w:pPr>
            <w:r>
              <w:rPr>
                <w:rFonts w:ascii="Times New Roman"/>
                <w:spacing w:val="-1"/>
                <w:sz w:val="18"/>
              </w:rPr>
              <w:t>366,889.20</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10,055,675.30</w:t>
            </w:r>
          </w:p>
        </w:tc>
      </w:tr>
      <w:tr>
        <w:trPr>
          <w:trHeight w:val="284" w:hRule="exact"/>
        </w:trPr>
        <w:tc>
          <w:tcPr>
            <w:tcW w:w="1806"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广告代言费</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3"/>
              <w:jc w:val="right"/>
              <w:rPr>
                <w:rFonts w:ascii="Times New Roman" w:hAnsi="Times New Roman" w:cs="Times New Roman" w:eastAsia="Times New Roman" w:hint="default"/>
                <w:sz w:val="18"/>
                <w:szCs w:val="18"/>
              </w:rPr>
            </w:pPr>
            <w:r>
              <w:rPr>
                <w:rFonts w:ascii="Times New Roman"/>
                <w:spacing w:val="-1"/>
                <w:sz w:val="18"/>
              </w:rPr>
              <w:t>4,583,333.38</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54"/>
              <w:jc w:val="right"/>
              <w:rPr>
                <w:rFonts w:ascii="Times New Roman" w:hAnsi="Times New Roman" w:cs="Times New Roman" w:eastAsia="Times New Roman" w:hint="default"/>
                <w:sz w:val="18"/>
                <w:szCs w:val="18"/>
              </w:rPr>
            </w:pPr>
            <w:r>
              <w:rPr>
                <w:rFonts w:ascii="Times New Roman"/>
                <w:spacing w:val="-1"/>
                <w:sz w:val="18"/>
              </w:rPr>
              <w:t>3,616,352.10</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5"/>
              <w:jc w:val="right"/>
              <w:rPr>
                <w:rFonts w:ascii="Times New Roman" w:hAnsi="Times New Roman" w:cs="Times New Roman" w:eastAsia="Times New Roman" w:hint="default"/>
                <w:sz w:val="18"/>
                <w:szCs w:val="18"/>
              </w:rPr>
            </w:pPr>
            <w:r>
              <w:rPr>
                <w:rFonts w:ascii="Times New Roman"/>
                <w:spacing w:val="-1"/>
                <w:sz w:val="18"/>
              </w:rPr>
              <w:t>5,222,746.31</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2,976,939.17</w:t>
            </w:r>
          </w:p>
        </w:tc>
      </w:tr>
      <w:tr>
        <w:trPr>
          <w:trHeight w:val="257" w:hRule="exact"/>
        </w:trPr>
        <w:tc>
          <w:tcPr>
            <w:tcW w:w="1806" w:type="dxa"/>
            <w:tcBorders>
              <w:top w:val="nil" w:sz="6" w:space="0" w:color="auto"/>
              <w:left w:val="nil" w:sz="6" w:space="0" w:color="auto"/>
              <w:bottom w:val="single" w:sz="4" w:space="0" w:color="000000"/>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234"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83"/>
              <w:jc w:val="right"/>
              <w:rPr>
                <w:rFonts w:ascii="Times New Roman" w:hAnsi="Times New Roman" w:cs="Times New Roman" w:eastAsia="Times New Roman" w:hint="default"/>
                <w:sz w:val="18"/>
                <w:szCs w:val="18"/>
              </w:rPr>
            </w:pPr>
            <w:r>
              <w:rPr>
                <w:rFonts w:ascii="Times New Roman"/>
                <w:spacing w:val="-1"/>
                <w:sz w:val="18"/>
              </w:rPr>
              <w:t>3,619,021.26</w:t>
            </w:r>
          </w:p>
        </w:tc>
        <w:tc>
          <w:tcPr>
            <w:tcW w:w="1625"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54"/>
              <w:jc w:val="right"/>
              <w:rPr>
                <w:rFonts w:ascii="Times New Roman" w:hAnsi="Times New Roman" w:cs="Times New Roman" w:eastAsia="Times New Roman" w:hint="default"/>
                <w:sz w:val="18"/>
                <w:szCs w:val="18"/>
              </w:rPr>
            </w:pPr>
            <w:r>
              <w:rPr>
                <w:rFonts w:ascii="Times New Roman"/>
                <w:spacing w:val="-1"/>
                <w:sz w:val="18"/>
              </w:rPr>
              <w:t>1,497,494.91</w:t>
            </w:r>
          </w:p>
        </w:tc>
        <w:tc>
          <w:tcPr>
            <w:tcW w:w="1581"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85"/>
              <w:jc w:val="right"/>
              <w:rPr>
                <w:rFonts w:ascii="Times New Roman" w:hAnsi="Times New Roman" w:cs="Times New Roman" w:eastAsia="Times New Roman" w:hint="default"/>
                <w:sz w:val="18"/>
                <w:szCs w:val="18"/>
              </w:rPr>
            </w:pPr>
            <w:r>
              <w:rPr>
                <w:rFonts w:ascii="Times New Roman"/>
                <w:spacing w:val="-1"/>
                <w:sz w:val="18"/>
              </w:rPr>
              <w:t>2,106,494.16</w:t>
            </w:r>
          </w:p>
        </w:tc>
        <w:tc>
          <w:tcPr>
            <w:tcW w:w="1480"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3,010,022.01</w:t>
            </w:r>
          </w:p>
        </w:tc>
      </w:tr>
      <w:tr>
        <w:trPr>
          <w:trHeight w:val="305" w:hRule="exact"/>
        </w:trPr>
        <w:tc>
          <w:tcPr>
            <w:tcW w:w="1806"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34"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286"/>
              <w:jc w:val="right"/>
              <w:rPr>
                <w:rFonts w:ascii="Times New Roman" w:hAnsi="Times New Roman" w:cs="Times New Roman" w:eastAsia="Times New Roman" w:hint="default"/>
                <w:sz w:val="18"/>
                <w:szCs w:val="18"/>
              </w:rPr>
            </w:pPr>
            <w:r>
              <w:rPr>
                <w:rFonts w:ascii="Times New Roman"/>
                <w:b/>
                <w:spacing w:val="-1"/>
                <w:sz w:val="18"/>
              </w:rPr>
              <w:t>83,223,882.68</w:t>
            </w:r>
            <w:r>
              <w:rPr>
                <w:rFonts w:ascii="Times New Roman"/>
                <w:spacing w:val="-1"/>
                <w:sz w:val="18"/>
              </w:rPr>
            </w:r>
          </w:p>
        </w:tc>
        <w:tc>
          <w:tcPr>
            <w:tcW w:w="1625"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257"/>
              <w:jc w:val="right"/>
              <w:rPr>
                <w:rFonts w:ascii="Times New Roman" w:hAnsi="Times New Roman" w:cs="Times New Roman" w:eastAsia="Times New Roman" w:hint="default"/>
                <w:sz w:val="18"/>
                <w:szCs w:val="18"/>
              </w:rPr>
            </w:pPr>
            <w:r>
              <w:rPr>
                <w:rFonts w:ascii="Times New Roman"/>
                <w:b/>
                <w:spacing w:val="-1"/>
                <w:sz w:val="18"/>
              </w:rPr>
              <w:t>29,052,610.25</w:t>
            </w:r>
            <w:r>
              <w:rPr>
                <w:rFonts w:ascii="Times New Roman"/>
                <w:spacing w:val="-1"/>
                <w:sz w:val="18"/>
              </w:rPr>
            </w:r>
          </w:p>
        </w:tc>
        <w:tc>
          <w:tcPr>
            <w:tcW w:w="1581"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left="256" w:right="0"/>
              <w:jc w:val="left"/>
              <w:rPr>
                <w:rFonts w:ascii="Times New Roman" w:hAnsi="Times New Roman" w:cs="Times New Roman" w:eastAsia="Times New Roman" w:hint="default"/>
                <w:sz w:val="18"/>
                <w:szCs w:val="18"/>
              </w:rPr>
            </w:pPr>
            <w:r>
              <w:rPr>
                <w:rFonts w:ascii="Times New Roman"/>
                <w:b/>
                <w:sz w:val="18"/>
              </w:rPr>
              <w:t>25,946,267.67</w:t>
            </w:r>
            <w:r>
              <w:rPr>
                <w:rFonts w:ascii="Times New Roman"/>
                <w:sz w:val="18"/>
              </w:rPr>
            </w:r>
          </w:p>
        </w:tc>
        <w:tc>
          <w:tcPr>
            <w:tcW w:w="1480"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10"/>
              <w:jc w:val="right"/>
              <w:rPr>
                <w:rFonts w:ascii="Times New Roman" w:hAnsi="Times New Roman" w:cs="Times New Roman" w:eastAsia="Times New Roman" w:hint="default"/>
                <w:sz w:val="18"/>
                <w:szCs w:val="18"/>
              </w:rPr>
            </w:pPr>
            <w:r>
              <w:rPr>
                <w:rFonts w:ascii="Times New Roman"/>
                <w:b/>
                <w:spacing w:val="-1"/>
                <w:sz w:val="18"/>
              </w:rPr>
              <w:t>86,330,225.26</w:t>
            </w:r>
            <w:r>
              <w:rPr>
                <w:rFonts w:ascii="Times New Roman"/>
                <w:spacing w:val="-1"/>
                <w:sz w:val="18"/>
              </w:rPr>
            </w:r>
          </w:p>
        </w:tc>
      </w:tr>
    </w:tbl>
    <w:p>
      <w:pPr>
        <w:spacing w:before="21"/>
        <w:ind w:left="64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19. </w:t>
      </w:r>
      <w:r>
        <w:rPr>
          <w:rFonts w:ascii="Times New Roman" w:hAnsi="Times New Roman" w:cs="Times New Roman" w:eastAsia="Times New Roman" w:hint="default"/>
          <w:b/>
          <w:bCs/>
          <w:spacing w:val="11"/>
          <w:sz w:val="22"/>
          <w:szCs w:val="22"/>
        </w:rPr>
        <w:t> </w:t>
      </w:r>
      <w:r>
        <w:rPr>
          <w:rFonts w:ascii="宋体" w:hAnsi="宋体" w:cs="宋体" w:eastAsia="宋体" w:hint="default"/>
          <w:sz w:val="22"/>
          <w:szCs w:val="22"/>
        </w:rPr>
        <w:t>递延所得税资产和递延所得税负债</w:t>
      </w:r>
    </w:p>
    <w:p>
      <w:pPr>
        <w:spacing w:before="113"/>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已确认递延所得税资产和递延所得税负债</w:t>
      </w:r>
    </w:p>
    <w:p>
      <w:pPr>
        <w:spacing w:line="240" w:lineRule="auto" w:before="5"/>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3783"/>
        <w:gridCol w:w="2814"/>
        <w:gridCol w:w="2143"/>
      </w:tblGrid>
      <w:tr>
        <w:trPr>
          <w:trHeight w:val="305" w:hRule="exact"/>
        </w:trPr>
        <w:tc>
          <w:tcPr>
            <w:tcW w:w="378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81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905"/>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14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16" w:hRule="exact"/>
        </w:trPr>
        <w:tc>
          <w:tcPr>
            <w:tcW w:w="3783"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一、递延所得税资产</w:t>
            </w:r>
            <w:r>
              <w:rPr>
                <w:rFonts w:ascii="宋体" w:hAnsi="宋体" w:cs="宋体" w:eastAsia="宋体" w:hint="default"/>
                <w:sz w:val="18"/>
                <w:szCs w:val="18"/>
              </w:rPr>
            </w:r>
          </w:p>
        </w:tc>
        <w:tc>
          <w:tcPr>
            <w:tcW w:w="2814" w:type="dxa"/>
            <w:tcBorders>
              <w:top w:val="single" w:sz="4" w:space="0" w:color="000000"/>
              <w:left w:val="nil" w:sz="6" w:space="0" w:color="auto"/>
              <w:bottom w:val="nil" w:sz="6" w:space="0" w:color="auto"/>
              <w:right w:val="nil" w:sz="6" w:space="0" w:color="auto"/>
            </w:tcBorders>
          </w:tcPr>
          <w:p>
            <w:pPr/>
          </w:p>
        </w:tc>
        <w:tc>
          <w:tcPr>
            <w:tcW w:w="2143" w:type="dxa"/>
            <w:tcBorders>
              <w:top w:val="single" w:sz="4" w:space="0" w:color="000000"/>
              <w:left w:val="nil" w:sz="6" w:space="0" w:color="auto"/>
              <w:bottom w:val="nil" w:sz="6" w:space="0" w:color="auto"/>
              <w:right w:val="nil" w:sz="6" w:space="0" w:color="auto"/>
            </w:tcBorders>
          </w:tcPr>
          <w:p>
            <w:pPr/>
          </w:p>
        </w:tc>
      </w:tr>
      <w:tr>
        <w:trPr>
          <w:trHeight w:val="296" w:hRule="exact"/>
        </w:trPr>
        <w:tc>
          <w:tcPr>
            <w:tcW w:w="3783"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非特殊项目暂时性差异之所得税资产</w:t>
            </w:r>
          </w:p>
        </w:tc>
        <w:tc>
          <w:tcPr>
            <w:tcW w:w="281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905"/>
              <w:jc w:val="right"/>
              <w:rPr>
                <w:rFonts w:ascii="Times New Roman" w:hAnsi="Times New Roman" w:cs="Times New Roman" w:eastAsia="Times New Roman" w:hint="default"/>
                <w:sz w:val="18"/>
                <w:szCs w:val="18"/>
              </w:rPr>
            </w:pPr>
            <w:r>
              <w:rPr>
                <w:rFonts w:ascii="Times New Roman"/>
                <w:spacing w:val="-1"/>
                <w:sz w:val="18"/>
              </w:rPr>
              <w:t>298,783,787.93</w:t>
            </w: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268,439,290.98</w:t>
            </w:r>
          </w:p>
        </w:tc>
      </w:tr>
      <w:tr>
        <w:trPr>
          <w:trHeight w:val="256" w:hRule="exact"/>
        </w:trPr>
        <w:tc>
          <w:tcPr>
            <w:tcW w:w="3783" w:type="dxa"/>
            <w:tcBorders>
              <w:top w:val="nil" w:sz="6" w:space="0" w:color="auto"/>
              <w:left w:val="nil" w:sz="6" w:space="0" w:color="auto"/>
              <w:bottom w:val="single" w:sz="4"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特殊项目暂时性差异之所得税资产</w:t>
            </w:r>
          </w:p>
        </w:tc>
        <w:tc>
          <w:tcPr>
            <w:tcW w:w="281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905"/>
              <w:jc w:val="right"/>
              <w:rPr>
                <w:rFonts w:ascii="Times New Roman" w:hAnsi="Times New Roman" w:cs="Times New Roman" w:eastAsia="Times New Roman" w:hint="default"/>
                <w:sz w:val="18"/>
                <w:szCs w:val="18"/>
              </w:rPr>
            </w:pPr>
            <w:r>
              <w:rPr>
                <w:rFonts w:ascii="Times New Roman"/>
                <w:spacing w:val="-1"/>
                <w:sz w:val="18"/>
              </w:rPr>
              <w:t>65,926,901.58</w:t>
            </w:r>
          </w:p>
        </w:tc>
        <w:tc>
          <w:tcPr>
            <w:tcW w:w="2143"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71,018,149.63</w:t>
            </w:r>
          </w:p>
        </w:tc>
      </w:tr>
      <w:tr>
        <w:trPr>
          <w:trHeight w:val="295" w:hRule="exact"/>
        </w:trPr>
        <w:tc>
          <w:tcPr>
            <w:tcW w:w="3783"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814" w:type="dxa"/>
            <w:tcBorders>
              <w:top w:val="single" w:sz="4" w:space="0" w:color="000000"/>
              <w:left w:val="nil" w:sz="6" w:space="0" w:color="auto"/>
              <w:bottom w:val="single" w:sz="4" w:space="0" w:color="000000"/>
              <w:right w:val="nil" w:sz="6" w:space="0" w:color="auto"/>
            </w:tcBorders>
          </w:tcPr>
          <w:p>
            <w:pPr>
              <w:pStyle w:val="TableParagraph"/>
              <w:spacing w:line="240" w:lineRule="auto" w:before="76"/>
              <w:ind w:right="905"/>
              <w:jc w:val="right"/>
              <w:rPr>
                <w:rFonts w:ascii="Times New Roman" w:hAnsi="Times New Roman" w:cs="Times New Roman" w:eastAsia="Times New Roman" w:hint="default"/>
                <w:sz w:val="18"/>
                <w:szCs w:val="18"/>
              </w:rPr>
            </w:pPr>
            <w:r>
              <w:rPr>
                <w:rFonts w:ascii="Times New Roman"/>
                <w:b/>
                <w:spacing w:val="-1"/>
                <w:sz w:val="18"/>
              </w:rPr>
              <w:t>364,710,689.51</w:t>
            </w:r>
            <w:r>
              <w:rPr>
                <w:rFonts w:ascii="Times New Roman"/>
                <w:spacing w:val="-1"/>
                <w:sz w:val="18"/>
              </w:rPr>
            </w:r>
          </w:p>
        </w:tc>
        <w:tc>
          <w:tcPr>
            <w:tcW w:w="2143" w:type="dxa"/>
            <w:tcBorders>
              <w:top w:val="single" w:sz="4" w:space="0" w:color="000000"/>
              <w:left w:val="nil" w:sz="6" w:space="0" w:color="auto"/>
              <w:bottom w:val="single" w:sz="4" w:space="0" w:color="000000"/>
              <w:right w:val="nil" w:sz="6" w:space="0" w:color="auto"/>
            </w:tcBorders>
          </w:tcPr>
          <w:p>
            <w:pPr>
              <w:pStyle w:val="TableParagraph"/>
              <w:spacing w:line="240" w:lineRule="auto" w:before="76"/>
              <w:ind w:right="108"/>
              <w:jc w:val="right"/>
              <w:rPr>
                <w:rFonts w:ascii="Times New Roman" w:hAnsi="Times New Roman" w:cs="Times New Roman" w:eastAsia="Times New Roman" w:hint="default"/>
                <w:sz w:val="18"/>
                <w:szCs w:val="18"/>
              </w:rPr>
            </w:pPr>
            <w:r>
              <w:rPr>
                <w:rFonts w:ascii="Times New Roman"/>
                <w:b/>
                <w:spacing w:val="-1"/>
                <w:sz w:val="18"/>
              </w:rPr>
              <w:t>339,457,440.61</w:t>
            </w:r>
            <w:r>
              <w:rPr>
                <w:rFonts w:ascii="Times New Roman"/>
                <w:spacing w:val="-1"/>
                <w:sz w:val="18"/>
              </w:rPr>
            </w:r>
          </w:p>
        </w:tc>
      </w:tr>
      <w:tr>
        <w:trPr>
          <w:trHeight w:val="313" w:hRule="exact"/>
        </w:trPr>
        <w:tc>
          <w:tcPr>
            <w:tcW w:w="3783"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b/>
                <w:bCs/>
                <w:sz w:val="18"/>
                <w:szCs w:val="18"/>
              </w:rPr>
              <w:t>二、递延所得税负债</w:t>
            </w:r>
            <w:r>
              <w:rPr>
                <w:rFonts w:ascii="宋体" w:hAnsi="宋体" w:cs="宋体" w:eastAsia="宋体" w:hint="default"/>
                <w:sz w:val="18"/>
                <w:szCs w:val="18"/>
              </w:rPr>
            </w:r>
          </w:p>
        </w:tc>
        <w:tc>
          <w:tcPr>
            <w:tcW w:w="2814" w:type="dxa"/>
            <w:tcBorders>
              <w:top w:val="single" w:sz="4" w:space="0" w:color="000000"/>
              <w:left w:val="nil" w:sz="6" w:space="0" w:color="auto"/>
              <w:bottom w:val="nil" w:sz="6" w:space="0" w:color="auto"/>
              <w:right w:val="nil" w:sz="6" w:space="0" w:color="auto"/>
            </w:tcBorders>
          </w:tcPr>
          <w:p>
            <w:pPr/>
          </w:p>
        </w:tc>
        <w:tc>
          <w:tcPr>
            <w:tcW w:w="2143" w:type="dxa"/>
            <w:tcBorders>
              <w:top w:val="single" w:sz="4" w:space="0" w:color="000000"/>
              <w:left w:val="nil" w:sz="6" w:space="0" w:color="auto"/>
              <w:bottom w:val="nil" w:sz="6" w:space="0" w:color="auto"/>
              <w:right w:val="nil" w:sz="6" w:space="0" w:color="auto"/>
            </w:tcBorders>
          </w:tcPr>
          <w:p>
            <w:pPr/>
          </w:p>
        </w:tc>
      </w:tr>
      <w:tr>
        <w:trPr>
          <w:trHeight w:val="265" w:hRule="exact"/>
        </w:trPr>
        <w:tc>
          <w:tcPr>
            <w:tcW w:w="3783" w:type="dxa"/>
            <w:tcBorders>
              <w:top w:val="nil" w:sz="6" w:space="0" w:color="auto"/>
              <w:left w:val="nil" w:sz="6" w:space="0" w:color="auto"/>
              <w:bottom w:val="single" w:sz="4" w:space="0" w:color="000000"/>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2814" w:type="dxa"/>
            <w:tcBorders>
              <w:top w:val="nil" w:sz="6" w:space="0" w:color="auto"/>
              <w:left w:val="nil" w:sz="6" w:space="0" w:color="auto"/>
              <w:bottom w:val="single" w:sz="4" w:space="0" w:color="000000"/>
              <w:right w:val="nil" w:sz="6" w:space="0" w:color="auto"/>
            </w:tcBorders>
          </w:tcPr>
          <w:p>
            <w:pPr>
              <w:pStyle w:val="TableParagraph"/>
              <w:spacing w:line="240" w:lineRule="auto" w:before="49"/>
              <w:ind w:right="905"/>
              <w:jc w:val="right"/>
              <w:rPr>
                <w:rFonts w:ascii="Times New Roman" w:hAnsi="Times New Roman" w:cs="Times New Roman" w:eastAsia="Times New Roman" w:hint="default"/>
                <w:sz w:val="18"/>
                <w:szCs w:val="18"/>
              </w:rPr>
            </w:pPr>
            <w:r>
              <w:rPr>
                <w:rFonts w:ascii="Times New Roman"/>
                <w:spacing w:val="-1"/>
                <w:sz w:val="18"/>
              </w:rPr>
              <w:t>251,973,315.99</w:t>
            </w:r>
          </w:p>
        </w:tc>
        <w:tc>
          <w:tcPr>
            <w:tcW w:w="2143" w:type="dxa"/>
            <w:tcBorders>
              <w:top w:val="nil" w:sz="6" w:space="0" w:color="auto"/>
              <w:left w:val="nil" w:sz="6" w:space="0" w:color="auto"/>
              <w:bottom w:val="single" w:sz="4" w:space="0" w:color="000000"/>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274,580,190.64</w:t>
            </w:r>
          </w:p>
        </w:tc>
      </w:tr>
      <w:tr>
        <w:trPr>
          <w:trHeight w:val="307" w:hRule="exact"/>
        </w:trPr>
        <w:tc>
          <w:tcPr>
            <w:tcW w:w="3783"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81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905"/>
              <w:jc w:val="right"/>
              <w:rPr>
                <w:rFonts w:ascii="Times New Roman" w:hAnsi="Times New Roman" w:cs="Times New Roman" w:eastAsia="Times New Roman" w:hint="default"/>
                <w:sz w:val="18"/>
                <w:szCs w:val="18"/>
              </w:rPr>
            </w:pPr>
            <w:r>
              <w:rPr>
                <w:rFonts w:ascii="Times New Roman"/>
                <w:b/>
                <w:spacing w:val="-1"/>
                <w:sz w:val="18"/>
              </w:rPr>
              <w:t>251,973,315.99</w:t>
            </w:r>
            <w:r>
              <w:rPr>
                <w:rFonts w:ascii="Times New Roman"/>
                <w:spacing w:val="-1"/>
                <w:sz w:val="18"/>
              </w:rPr>
            </w:r>
          </w:p>
        </w:tc>
        <w:tc>
          <w:tcPr>
            <w:tcW w:w="214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274,580,190.64</w:t>
            </w:r>
            <w:r>
              <w:rPr>
                <w:rFonts w:ascii="Times New Roman"/>
                <w:spacing w:val="-1"/>
                <w:sz w:val="18"/>
              </w:rPr>
            </w:r>
          </w:p>
        </w:tc>
      </w:tr>
    </w:tbl>
    <w:p>
      <w:pPr>
        <w:spacing w:before="81"/>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应纳税差异和可抵扣差异项目明细</w:t>
      </w:r>
    </w:p>
    <w:p>
      <w:pPr>
        <w:spacing w:line="240" w:lineRule="auto" w:before="5"/>
        <w:rPr>
          <w:rFonts w:ascii="宋体" w:hAnsi="宋体" w:cs="宋体" w:eastAsia="宋体" w:hint="default"/>
          <w:sz w:val="11"/>
          <w:szCs w:val="11"/>
        </w:rPr>
      </w:pPr>
    </w:p>
    <w:tbl>
      <w:tblPr>
        <w:tblW w:w="0" w:type="auto"/>
        <w:jc w:val="left"/>
        <w:tblInd w:w="143" w:type="dxa"/>
        <w:tblLayout w:type="fixed"/>
        <w:tblCellMar>
          <w:top w:w="0" w:type="dxa"/>
          <w:left w:w="0" w:type="dxa"/>
          <w:bottom w:w="0" w:type="dxa"/>
          <w:right w:w="0" w:type="dxa"/>
        </w:tblCellMar>
        <w:tblLook w:val="01E0"/>
      </w:tblPr>
      <w:tblGrid>
        <w:gridCol w:w="3614"/>
        <w:gridCol w:w="2975"/>
        <w:gridCol w:w="2126"/>
      </w:tblGrid>
      <w:tr>
        <w:trPr>
          <w:trHeight w:val="307" w:hRule="exact"/>
        </w:trPr>
        <w:tc>
          <w:tcPr>
            <w:tcW w:w="361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97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90"/>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12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13" w:hRule="exact"/>
        </w:trPr>
        <w:tc>
          <w:tcPr>
            <w:tcW w:w="3614"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b/>
                <w:bCs/>
                <w:sz w:val="18"/>
                <w:szCs w:val="18"/>
              </w:rPr>
              <w:t>一、可抵扣暂时性差异项目</w:t>
            </w:r>
            <w:r>
              <w:rPr>
                <w:rFonts w:ascii="宋体" w:hAnsi="宋体" w:cs="宋体" w:eastAsia="宋体" w:hint="default"/>
                <w:sz w:val="18"/>
                <w:szCs w:val="18"/>
              </w:rPr>
            </w:r>
          </w:p>
        </w:tc>
        <w:tc>
          <w:tcPr>
            <w:tcW w:w="2975" w:type="dxa"/>
            <w:tcBorders>
              <w:top w:val="single" w:sz="4" w:space="0" w:color="000000"/>
              <w:left w:val="nil" w:sz="6" w:space="0" w:color="auto"/>
              <w:bottom w:val="nil" w:sz="6" w:space="0" w:color="auto"/>
              <w:right w:val="nil" w:sz="6" w:space="0" w:color="auto"/>
            </w:tcBorders>
          </w:tcPr>
          <w:p>
            <w:pPr/>
          </w:p>
        </w:tc>
        <w:tc>
          <w:tcPr>
            <w:tcW w:w="2126" w:type="dxa"/>
            <w:tcBorders>
              <w:top w:val="single" w:sz="4" w:space="0" w:color="000000"/>
              <w:left w:val="nil" w:sz="6" w:space="0" w:color="auto"/>
              <w:bottom w:val="nil" w:sz="6" w:space="0" w:color="auto"/>
              <w:right w:val="nil" w:sz="6" w:space="0" w:color="auto"/>
            </w:tcBorders>
          </w:tcPr>
          <w:p>
            <w:pPr/>
          </w:p>
        </w:tc>
      </w:tr>
      <w:tr>
        <w:trPr>
          <w:trHeight w:val="295" w:hRule="exact"/>
        </w:trPr>
        <w:tc>
          <w:tcPr>
            <w:tcW w:w="3614"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889"/>
              <w:jc w:val="right"/>
              <w:rPr>
                <w:rFonts w:ascii="Times New Roman" w:hAnsi="Times New Roman" w:cs="Times New Roman" w:eastAsia="Times New Roman" w:hint="default"/>
                <w:sz w:val="18"/>
                <w:szCs w:val="18"/>
              </w:rPr>
            </w:pPr>
            <w:r>
              <w:rPr>
                <w:rFonts w:ascii="Times New Roman"/>
                <w:spacing w:val="-1"/>
                <w:sz w:val="18"/>
              </w:rPr>
              <w:t>1,047,534,847.41</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885,251,774.03</w:t>
            </w:r>
          </w:p>
        </w:tc>
      </w:tr>
      <w:tr>
        <w:trPr>
          <w:trHeight w:val="286" w:hRule="exact"/>
        </w:trPr>
        <w:tc>
          <w:tcPr>
            <w:tcW w:w="361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88"/>
              <w:jc w:val="right"/>
              <w:rPr>
                <w:rFonts w:ascii="Times New Roman" w:hAnsi="Times New Roman" w:cs="Times New Roman" w:eastAsia="Times New Roman" w:hint="default"/>
                <w:sz w:val="18"/>
                <w:szCs w:val="18"/>
              </w:rPr>
            </w:pPr>
            <w:r>
              <w:rPr>
                <w:rFonts w:ascii="Times New Roman"/>
                <w:spacing w:val="-1"/>
                <w:sz w:val="18"/>
              </w:rPr>
              <w:t>301,824,235.56</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223,359,385.12</w:t>
            </w:r>
          </w:p>
        </w:tc>
      </w:tr>
      <w:tr>
        <w:trPr>
          <w:trHeight w:val="285" w:hRule="exact"/>
        </w:trPr>
        <w:tc>
          <w:tcPr>
            <w:tcW w:w="361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递延收益和专项应付款</w:t>
            </w:r>
          </w:p>
        </w:tc>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88"/>
              <w:jc w:val="right"/>
              <w:rPr>
                <w:rFonts w:ascii="Times New Roman" w:hAnsi="Times New Roman" w:cs="Times New Roman" w:eastAsia="Times New Roman" w:hint="default"/>
                <w:sz w:val="18"/>
                <w:szCs w:val="18"/>
              </w:rPr>
            </w:pPr>
            <w:r>
              <w:rPr>
                <w:rFonts w:ascii="Times New Roman"/>
                <w:spacing w:val="-1"/>
                <w:sz w:val="18"/>
              </w:rPr>
              <w:t>135,505,705.00</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150,585,206.48</w:t>
            </w:r>
          </w:p>
        </w:tc>
      </w:tr>
      <w:tr>
        <w:trPr>
          <w:trHeight w:val="285" w:hRule="exact"/>
        </w:trPr>
        <w:tc>
          <w:tcPr>
            <w:tcW w:w="361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88"/>
              <w:jc w:val="right"/>
              <w:rPr>
                <w:rFonts w:ascii="Times New Roman" w:hAnsi="Times New Roman" w:cs="Times New Roman" w:eastAsia="Times New Roman" w:hint="default"/>
                <w:sz w:val="18"/>
                <w:szCs w:val="18"/>
              </w:rPr>
            </w:pPr>
            <w:r>
              <w:rPr>
                <w:rFonts w:ascii="Times New Roman"/>
                <w:spacing w:val="-1"/>
                <w:sz w:val="18"/>
              </w:rPr>
              <w:t>126,642,680.02</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94,292,471.23</w:t>
            </w:r>
          </w:p>
        </w:tc>
      </w:tr>
      <w:tr>
        <w:trPr>
          <w:trHeight w:val="286" w:hRule="exact"/>
        </w:trPr>
        <w:tc>
          <w:tcPr>
            <w:tcW w:w="361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未实现销售损益</w:t>
            </w:r>
          </w:p>
        </w:tc>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88"/>
              <w:jc w:val="right"/>
              <w:rPr>
                <w:rFonts w:ascii="Times New Roman" w:hAnsi="Times New Roman" w:cs="Times New Roman" w:eastAsia="Times New Roman" w:hint="default"/>
                <w:sz w:val="18"/>
                <w:szCs w:val="18"/>
              </w:rPr>
            </w:pPr>
            <w:r>
              <w:rPr>
                <w:rFonts w:ascii="Times New Roman"/>
                <w:spacing w:val="-1"/>
                <w:sz w:val="18"/>
              </w:rPr>
              <w:t>93,322,908.90</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74,546,476.64</w:t>
            </w:r>
          </w:p>
        </w:tc>
      </w:tr>
      <w:tr>
        <w:trPr>
          <w:trHeight w:val="286" w:hRule="exact"/>
        </w:trPr>
        <w:tc>
          <w:tcPr>
            <w:tcW w:w="361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预提费用</w:t>
            </w:r>
          </w:p>
        </w:tc>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88"/>
              <w:jc w:val="right"/>
              <w:rPr>
                <w:rFonts w:ascii="Times New Roman" w:hAnsi="Times New Roman" w:cs="Times New Roman" w:eastAsia="Times New Roman" w:hint="default"/>
                <w:sz w:val="18"/>
                <w:szCs w:val="18"/>
              </w:rPr>
            </w:pPr>
            <w:r>
              <w:rPr>
                <w:rFonts w:ascii="Times New Roman"/>
                <w:spacing w:val="-1"/>
                <w:sz w:val="18"/>
              </w:rPr>
              <w:t>75,820,309.77</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42,175,799.82</w:t>
            </w:r>
          </w:p>
        </w:tc>
      </w:tr>
      <w:tr>
        <w:trPr>
          <w:trHeight w:val="284" w:hRule="exact"/>
        </w:trPr>
        <w:tc>
          <w:tcPr>
            <w:tcW w:w="361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已计提未发放应付职工薪酬</w:t>
            </w:r>
          </w:p>
        </w:tc>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88"/>
              <w:jc w:val="right"/>
              <w:rPr>
                <w:rFonts w:ascii="Times New Roman" w:hAnsi="Times New Roman" w:cs="Times New Roman" w:eastAsia="Times New Roman" w:hint="default"/>
                <w:sz w:val="18"/>
                <w:szCs w:val="18"/>
              </w:rPr>
            </w:pPr>
            <w:r>
              <w:rPr>
                <w:rFonts w:ascii="Times New Roman"/>
                <w:spacing w:val="-1"/>
                <w:sz w:val="18"/>
              </w:rPr>
              <w:t>43,732,218.04</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211,582,519.90</w:t>
            </w:r>
          </w:p>
        </w:tc>
      </w:tr>
      <w:tr>
        <w:trPr>
          <w:trHeight w:val="284" w:hRule="exact"/>
        </w:trPr>
        <w:tc>
          <w:tcPr>
            <w:tcW w:w="361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固定资产减值准备</w:t>
            </w:r>
          </w:p>
        </w:tc>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88"/>
              <w:jc w:val="right"/>
              <w:rPr>
                <w:rFonts w:ascii="Times New Roman" w:hAnsi="Times New Roman" w:cs="Times New Roman" w:eastAsia="Times New Roman" w:hint="default"/>
                <w:sz w:val="18"/>
                <w:szCs w:val="18"/>
              </w:rPr>
            </w:pPr>
            <w:r>
              <w:rPr>
                <w:rFonts w:ascii="Times New Roman"/>
                <w:spacing w:val="-1"/>
                <w:sz w:val="18"/>
              </w:rPr>
              <w:t>31,790,677.70</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4,008,641.77</w:t>
            </w:r>
          </w:p>
        </w:tc>
      </w:tr>
      <w:tr>
        <w:trPr>
          <w:trHeight w:val="286" w:hRule="exact"/>
        </w:trPr>
        <w:tc>
          <w:tcPr>
            <w:tcW w:w="361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长期股权投资减值准备</w:t>
            </w:r>
          </w:p>
        </w:tc>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88"/>
              <w:jc w:val="right"/>
              <w:rPr>
                <w:rFonts w:ascii="Times New Roman" w:hAnsi="Times New Roman" w:cs="Times New Roman" w:eastAsia="Times New Roman" w:hint="default"/>
                <w:sz w:val="18"/>
                <w:szCs w:val="18"/>
              </w:rPr>
            </w:pPr>
            <w:r>
              <w:rPr>
                <w:rFonts w:ascii="Times New Roman"/>
                <w:spacing w:val="-1"/>
                <w:sz w:val="18"/>
              </w:rPr>
              <w:t>21,153,563.00</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21,153,563.00</w:t>
            </w:r>
          </w:p>
        </w:tc>
      </w:tr>
      <w:tr>
        <w:trPr>
          <w:trHeight w:val="286" w:hRule="exact"/>
        </w:trPr>
        <w:tc>
          <w:tcPr>
            <w:tcW w:w="361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受让资产评估增值</w:t>
            </w:r>
          </w:p>
        </w:tc>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88"/>
              <w:jc w:val="right"/>
              <w:rPr>
                <w:rFonts w:ascii="Times New Roman" w:hAnsi="Times New Roman" w:cs="Times New Roman" w:eastAsia="Times New Roman" w:hint="default"/>
                <w:sz w:val="18"/>
                <w:szCs w:val="18"/>
              </w:rPr>
            </w:pPr>
            <w:r>
              <w:rPr>
                <w:rFonts w:ascii="Times New Roman"/>
                <w:spacing w:val="-1"/>
                <w:sz w:val="18"/>
              </w:rPr>
              <w:t>9,917,891.73</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10,397,776.80</w:t>
            </w:r>
          </w:p>
        </w:tc>
      </w:tr>
      <w:tr>
        <w:trPr>
          <w:trHeight w:val="259" w:hRule="exact"/>
        </w:trPr>
        <w:tc>
          <w:tcPr>
            <w:tcW w:w="361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可供出售金融资产减值准备</w:t>
            </w:r>
          </w:p>
        </w:tc>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88"/>
              <w:jc w:val="right"/>
              <w:rPr>
                <w:rFonts w:ascii="Times New Roman" w:hAnsi="Times New Roman" w:cs="Times New Roman" w:eastAsia="Times New Roman" w:hint="default"/>
                <w:sz w:val="18"/>
                <w:szCs w:val="18"/>
              </w:rPr>
            </w:pPr>
            <w:r>
              <w:rPr>
                <w:rFonts w:ascii="Times New Roman"/>
                <w:spacing w:val="-1"/>
                <w:sz w:val="18"/>
              </w:rPr>
              <w:t>2,771,550.00</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2,771,550.00</w:t>
            </w:r>
          </w:p>
        </w:tc>
      </w:tr>
      <w:tr>
        <w:trPr>
          <w:trHeight w:val="474" w:hRule="exact"/>
        </w:trPr>
        <w:tc>
          <w:tcPr>
            <w:tcW w:w="3614" w:type="dxa"/>
            <w:tcBorders>
              <w:top w:val="nil" w:sz="6" w:space="0" w:color="auto"/>
              <w:left w:val="nil" w:sz="6" w:space="0" w:color="auto"/>
              <w:bottom w:val="single" w:sz="12" w:space="0" w:color="000000"/>
              <w:right w:val="nil" w:sz="6" w:space="0" w:color="auto"/>
            </w:tcBorders>
          </w:tcPr>
          <w:p>
            <w:pPr>
              <w:pStyle w:val="TableParagraph"/>
              <w:spacing w:line="195" w:lineRule="exact"/>
              <w:ind w:left="122" w:right="0"/>
              <w:jc w:val="left"/>
              <w:rPr>
                <w:rFonts w:ascii="宋体" w:hAnsi="宋体" w:cs="宋体" w:eastAsia="宋体" w:hint="default"/>
                <w:sz w:val="18"/>
                <w:szCs w:val="18"/>
              </w:rPr>
            </w:pPr>
            <w:r>
              <w:rPr>
                <w:rFonts w:ascii="宋体" w:hAnsi="宋体" w:cs="宋体" w:eastAsia="宋体" w:hint="default"/>
                <w:spacing w:val="9"/>
                <w:sz w:val="18"/>
                <w:szCs w:val="18"/>
              </w:rPr>
              <w:t>境外子公司依据其所在地特殊税</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法规定确认的可抵扣暂时性差异</w:t>
            </w:r>
          </w:p>
        </w:tc>
        <w:tc>
          <w:tcPr>
            <w:tcW w:w="2975" w:type="dxa"/>
            <w:tcBorders>
              <w:top w:val="nil" w:sz="6" w:space="0" w:color="auto"/>
              <w:left w:val="nil" w:sz="6" w:space="0" w:color="auto"/>
              <w:bottom w:val="single" w:sz="12" w:space="0" w:color="000000"/>
              <w:right w:val="nil" w:sz="6" w:space="0" w:color="auto"/>
            </w:tcBorders>
          </w:tcPr>
          <w:p>
            <w:pPr>
              <w:pStyle w:val="TableParagraph"/>
              <w:spacing w:line="240" w:lineRule="auto" w:before="116"/>
              <w:ind w:right="888"/>
              <w:jc w:val="right"/>
              <w:rPr>
                <w:rFonts w:ascii="Times New Roman" w:hAnsi="Times New Roman" w:cs="Times New Roman" w:eastAsia="Times New Roman" w:hint="default"/>
                <w:sz w:val="18"/>
                <w:szCs w:val="18"/>
              </w:rPr>
            </w:pPr>
            <w:r>
              <w:rPr>
                <w:rFonts w:ascii="Times New Roman"/>
                <w:spacing w:val="-1"/>
                <w:sz w:val="18"/>
              </w:rPr>
              <w:t>2,458,859.54</w:t>
            </w:r>
          </w:p>
        </w:tc>
        <w:tc>
          <w:tcPr>
            <w:tcW w:w="2126" w:type="dxa"/>
            <w:tcBorders>
              <w:top w:val="nil" w:sz="6" w:space="0" w:color="auto"/>
              <w:left w:val="nil" w:sz="6" w:space="0" w:color="auto"/>
              <w:bottom w:val="single" w:sz="12" w:space="0" w:color="000000"/>
              <w:right w:val="nil" w:sz="6" w:space="0" w:color="auto"/>
            </w:tcBorders>
          </w:tcPr>
          <w:p>
            <w:pPr>
              <w:pStyle w:val="TableParagraph"/>
              <w:spacing w:line="240" w:lineRule="auto" w:before="116"/>
              <w:ind w:right="107"/>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headerReference w:type="default" r:id="rId75"/>
          <w:footerReference w:type="default" r:id="rId76"/>
          <w:pgSz w:w="11910" w:h="16840"/>
          <w:pgMar w:header="645" w:footer="816" w:top="1760" w:bottom="1000" w:left="1460" w:right="1480"/>
          <w:pgNumType w:start="120"/>
        </w:sectPr>
      </w:pPr>
    </w:p>
    <w:p>
      <w:pPr>
        <w:spacing w:line="240" w:lineRule="auto" w:before="7"/>
        <w:rPr>
          <w:rFonts w:ascii="宋体" w:hAnsi="宋体" w:cs="宋体" w:eastAsia="宋体" w:hint="default"/>
          <w:sz w:val="27"/>
          <w:szCs w:val="27"/>
        </w:rPr>
      </w:pPr>
    </w:p>
    <w:tbl>
      <w:tblPr>
        <w:tblW w:w="0" w:type="auto"/>
        <w:jc w:val="left"/>
        <w:tblInd w:w="163" w:type="dxa"/>
        <w:tblLayout w:type="fixed"/>
        <w:tblCellMar>
          <w:top w:w="0" w:type="dxa"/>
          <w:left w:w="0" w:type="dxa"/>
          <w:bottom w:w="0" w:type="dxa"/>
          <w:right w:w="0" w:type="dxa"/>
        </w:tblCellMar>
        <w:tblLook w:val="01E0"/>
      </w:tblPr>
      <w:tblGrid>
        <w:gridCol w:w="3614"/>
        <w:gridCol w:w="2907"/>
        <w:gridCol w:w="2195"/>
      </w:tblGrid>
      <w:tr>
        <w:trPr>
          <w:trHeight w:val="307" w:hRule="exact"/>
        </w:trPr>
        <w:tc>
          <w:tcPr>
            <w:tcW w:w="361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90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20"/>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19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3" w:hRule="exact"/>
        </w:trPr>
        <w:tc>
          <w:tcPr>
            <w:tcW w:w="3614"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2907"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820"/>
              <w:jc w:val="right"/>
              <w:rPr>
                <w:rFonts w:ascii="Times New Roman" w:hAnsi="Times New Roman" w:cs="Times New Roman" w:eastAsia="Times New Roman" w:hint="default"/>
                <w:sz w:val="18"/>
                <w:szCs w:val="18"/>
              </w:rPr>
            </w:pPr>
            <w:r>
              <w:rPr>
                <w:rFonts w:ascii="Times New Roman"/>
                <w:spacing w:val="-1"/>
                <w:sz w:val="18"/>
              </w:rPr>
              <w:t>342,605.69</w:t>
            </w:r>
          </w:p>
        </w:tc>
        <w:tc>
          <w:tcPr>
            <w:tcW w:w="2195"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55" w:hRule="exact"/>
        </w:trPr>
        <w:tc>
          <w:tcPr>
            <w:tcW w:w="3614" w:type="dxa"/>
            <w:tcBorders>
              <w:top w:val="nil" w:sz="6" w:space="0" w:color="auto"/>
              <w:left w:val="nil" w:sz="6" w:space="0" w:color="auto"/>
              <w:bottom w:val="single" w:sz="4"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在建工程减值准备</w:t>
            </w:r>
          </w:p>
        </w:tc>
        <w:tc>
          <w:tcPr>
            <w:tcW w:w="2907"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820"/>
              <w:jc w:val="right"/>
              <w:rPr>
                <w:rFonts w:ascii="Times New Roman" w:hAnsi="Times New Roman" w:cs="Times New Roman" w:eastAsia="Times New Roman" w:hint="default"/>
                <w:sz w:val="18"/>
                <w:szCs w:val="18"/>
              </w:rPr>
            </w:pPr>
            <w:r>
              <w:rPr>
                <w:rFonts w:ascii="Times New Roman"/>
                <w:spacing w:val="-1"/>
                <w:sz w:val="18"/>
              </w:rPr>
              <w:t>37,595.23</w:t>
            </w:r>
          </w:p>
        </w:tc>
        <w:tc>
          <w:tcPr>
            <w:tcW w:w="219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37,595.23</w:t>
            </w:r>
          </w:p>
        </w:tc>
      </w:tr>
      <w:tr>
        <w:trPr>
          <w:trHeight w:val="295" w:hRule="exact"/>
        </w:trPr>
        <w:tc>
          <w:tcPr>
            <w:tcW w:w="3614"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2907" w:type="dxa"/>
            <w:tcBorders>
              <w:top w:val="single" w:sz="4" w:space="0" w:color="000000"/>
              <w:left w:val="nil" w:sz="6" w:space="0" w:color="auto"/>
              <w:bottom w:val="single" w:sz="4" w:space="0" w:color="000000"/>
              <w:right w:val="nil" w:sz="6" w:space="0" w:color="auto"/>
            </w:tcBorders>
          </w:tcPr>
          <w:p>
            <w:pPr>
              <w:pStyle w:val="TableParagraph"/>
              <w:spacing w:line="240" w:lineRule="auto" w:before="79"/>
              <w:ind w:right="821"/>
              <w:jc w:val="right"/>
              <w:rPr>
                <w:rFonts w:ascii="Times New Roman" w:hAnsi="Times New Roman" w:cs="Times New Roman" w:eastAsia="Times New Roman" w:hint="default"/>
                <w:sz w:val="18"/>
                <w:szCs w:val="18"/>
              </w:rPr>
            </w:pPr>
            <w:r>
              <w:rPr>
                <w:rFonts w:ascii="Times New Roman"/>
                <w:b/>
                <w:spacing w:val="-1"/>
                <w:sz w:val="18"/>
              </w:rPr>
              <w:t>1,892,855,647.59</w:t>
            </w:r>
            <w:r>
              <w:rPr>
                <w:rFonts w:ascii="Times New Roman"/>
                <w:spacing w:val="-1"/>
                <w:sz w:val="18"/>
              </w:rPr>
            </w:r>
          </w:p>
        </w:tc>
        <w:tc>
          <w:tcPr>
            <w:tcW w:w="2195" w:type="dxa"/>
            <w:tcBorders>
              <w:top w:val="single" w:sz="4" w:space="0" w:color="000000"/>
              <w:left w:val="nil" w:sz="6" w:space="0" w:color="auto"/>
              <w:bottom w:val="single" w:sz="4" w:space="0" w:color="000000"/>
              <w:right w:val="nil" w:sz="6" w:space="0" w:color="auto"/>
            </w:tcBorders>
          </w:tcPr>
          <w:p>
            <w:pPr>
              <w:pStyle w:val="TableParagraph"/>
              <w:spacing w:line="240" w:lineRule="auto" w:before="79"/>
              <w:ind w:right="110"/>
              <w:jc w:val="right"/>
              <w:rPr>
                <w:rFonts w:ascii="Times New Roman" w:hAnsi="Times New Roman" w:cs="Times New Roman" w:eastAsia="Times New Roman" w:hint="default"/>
                <w:sz w:val="18"/>
                <w:szCs w:val="18"/>
              </w:rPr>
            </w:pPr>
            <w:r>
              <w:rPr>
                <w:rFonts w:ascii="Times New Roman"/>
                <w:b/>
                <w:spacing w:val="-1"/>
                <w:sz w:val="18"/>
              </w:rPr>
              <w:t>1,720,162,760.02</w:t>
            </w:r>
            <w:r>
              <w:rPr>
                <w:rFonts w:ascii="Times New Roman"/>
                <w:spacing w:val="-1"/>
                <w:sz w:val="18"/>
              </w:rPr>
            </w:r>
          </w:p>
        </w:tc>
      </w:tr>
      <w:tr>
        <w:trPr>
          <w:trHeight w:val="316" w:hRule="exact"/>
        </w:trPr>
        <w:tc>
          <w:tcPr>
            <w:tcW w:w="3614"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二、应纳税暂时性差异项目</w:t>
            </w:r>
            <w:r>
              <w:rPr>
                <w:rFonts w:ascii="宋体" w:hAnsi="宋体" w:cs="宋体" w:eastAsia="宋体" w:hint="default"/>
                <w:sz w:val="18"/>
                <w:szCs w:val="18"/>
              </w:rPr>
            </w:r>
          </w:p>
        </w:tc>
        <w:tc>
          <w:tcPr>
            <w:tcW w:w="2907" w:type="dxa"/>
            <w:tcBorders>
              <w:top w:val="single" w:sz="4" w:space="0" w:color="000000"/>
              <w:left w:val="nil" w:sz="6" w:space="0" w:color="auto"/>
              <w:bottom w:val="nil" w:sz="6" w:space="0" w:color="auto"/>
              <w:right w:val="nil" w:sz="6" w:space="0" w:color="auto"/>
            </w:tcBorders>
          </w:tcPr>
          <w:p>
            <w:pPr/>
          </w:p>
        </w:tc>
        <w:tc>
          <w:tcPr>
            <w:tcW w:w="2195" w:type="dxa"/>
            <w:tcBorders>
              <w:top w:val="single" w:sz="4" w:space="0" w:color="000000"/>
              <w:left w:val="nil" w:sz="6" w:space="0" w:color="auto"/>
              <w:bottom w:val="nil" w:sz="6" w:space="0" w:color="auto"/>
              <w:right w:val="nil" w:sz="6" w:space="0" w:color="auto"/>
            </w:tcBorders>
          </w:tcPr>
          <w:p>
            <w:pPr/>
          </w:p>
        </w:tc>
      </w:tr>
      <w:tr>
        <w:trPr>
          <w:trHeight w:val="294" w:hRule="exact"/>
        </w:trPr>
        <w:tc>
          <w:tcPr>
            <w:tcW w:w="3614"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公允价值变动</w:t>
            </w:r>
          </w:p>
        </w:tc>
        <w:tc>
          <w:tcPr>
            <w:tcW w:w="290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820"/>
              <w:jc w:val="right"/>
              <w:rPr>
                <w:rFonts w:ascii="Times New Roman" w:hAnsi="Times New Roman" w:cs="Times New Roman" w:eastAsia="Times New Roman" w:hint="default"/>
                <w:sz w:val="18"/>
                <w:szCs w:val="18"/>
              </w:rPr>
            </w:pPr>
            <w:r>
              <w:rPr>
                <w:rFonts w:ascii="Times New Roman"/>
                <w:spacing w:val="-1"/>
                <w:sz w:val="18"/>
              </w:rPr>
              <w:t>918,130,609.89</w:t>
            </w:r>
          </w:p>
        </w:tc>
        <w:tc>
          <w:tcPr>
            <w:tcW w:w="219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1,102,174,905.46</w:t>
            </w:r>
          </w:p>
        </w:tc>
      </w:tr>
      <w:tr>
        <w:trPr>
          <w:trHeight w:val="284" w:hRule="exact"/>
        </w:trPr>
        <w:tc>
          <w:tcPr>
            <w:tcW w:w="361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90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20"/>
              <w:jc w:val="right"/>
              <w:rPr>
                <w:rFonts w:ascii="Times New Roman" w:hAnsi="Times New Roman" w:cs="Times New Roman" w:eastAsia="Times New Roman" w:hint="default"/>
                <w:sz w:val="18"/>
                <w:szCs w:val="18"/>
              </w:rPr>
            </w:pPr>
            <w:r>
              <w:rPr>
                <w:rFonts w:ascii="Times New Roman"/>
                <w:spacing w:val="-1"/>
                <w:sz w:val="18"/>
              </w:rPr>
              <w:t>294,026,020.83</w:t>
            </w:r>
          </w:p>
        </w:tc>
        <w:tc>
          <w:tcPr>
            <w:tcW w:w="219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248,898,508.53</w:t>
            </w:r>
          </w:p>
        </w:tc>
      </w:tr>
      <w:tr>
        <w:trPr>
          <w:trHeight w:val="286" w:hRule="exact"/>
        </w:trPr>
        <w:tc>
          <w:tcPr>
            <w:tcW w:w="361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资产评估增值</w:t>
            </w:r>
          </w:p>
        </w:tc>
        <w:tc>
          <w:tcPr>
            <w:tcW w:w="290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0"/>
              <w:jc w:val="right"/>
              <w:rPr>
                <w:rFonts w:ascii="Times New Roman" w:hAnsi="Times New Roman" w:cs="Times New Roman" w:eastAsia="Times New Roman" w:hint="default"/>
                <w:sz w:val="18"/>
                <w:szCs w:val="18"/>
              </w:rPr>
            </w:pPr>
            <w:r>
              <w:rPr>
                <w:rFonts w:ascii="Times New Roman"/>
                <w:spacing w:val="-1"/>
                <w:sz w:val="18"/>
              </w:rPr>
              <w:t>95,266,664.87</w:t>
            </w:r>
          </w:p>
        </w:tc>
        <w:tc>
          <w:tcPr>
            <w:tcW w:w="21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81,167,508.21</w:t>
            </w:r>
          </w:p>
        </w:tc>
      </w:tr>
      <w:tr>
        <w:trPr>
          <w:trHeight w:val="259" w:hRule="exact"/>
        </w:trPr>
        <w:tc>
          <w:tcPr>
            <w:tcW w:w="361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未分配盈利之预扣税</w:t>
            </w:r>
          </w:p>
        </w:tc>
        <w:tc>
          <w:tcPr>
            <w:tcW w:w="290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0"/>
              <w:jc w:val="right"/>
              <w:rPr>
                <w:rFonts w:ascii="Times New Roman" w:hAnsi="Times New Roman" w:cs="Times New Roman" w:eastAsia="Times New Roman" w:hint="default"/>
                <w:sz w:val="18"/>
                <w:szCs w:val="18"/>
              </w:rPr>
            </w:pPr>
            <w:r>
              <w:rPr>
                <w:rFonts w:ascii="Times New Roman"/>
                <w:spacing w:val="-1"/>
                <w:sz w:val="18"/>
              </w:rPr>
              <w:t>13,814,990.43</w:t>
            </w:r>
          </w:p>
        </w:tc>
        <w:tc>
          <w:tcPr>
            <w:tcW w:w="21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13,072,141.35</w:t>
            </w:r>
          </w:p>
        </w:tc>
      </w:tr>
      <w:tr>
        <w:trPr>
          <w:trHeight w:val="482" w:hRule="exact"/>
        </w:trPr>
        <w:tc>
          <w:tcPr>
            <w:tcW w:w="3614" w:type="dxa"/>
            <w:tcBorders>
              <w:top w:val="nil" w:sz="6" w:space="0" w:color="auto"/>
              <w:left w:val="nil" w:sz="6" w:space="0" w:color="auto"/>
              <w:bottom w:val="nil" w:sz="6" w:space="0" w:color="auto"/>
              <w:right w:val="nil" w:sz="6" w:space="0" w:color="auto"/>
            </w:tcBorders>
          </w:tcPr>
          <w:p>
            <w:pPr>
              <w:pStyle w:val="TableParagraph"/>
              <w:spacing w:line="195" w:lineRule="exact"/>
              <w:ind w:left="122" w:right="0"/>
              <w:jc w:val="left"/>
              <w:rPr>
                <w:rFonts w:ascii="宋体" w:hAnsi="宋体" w:cs="宋体" w:eastAsia="宋体" w:hint="default"/>
                <w:sz w:val="18"/>
                <w:szCs w:val="18"/>
              </w:rPr>
            </w:pPr>
            <w:r>
              <w:rPr>
                <w:rFonts w:ascii="宋体" w:hAnsi="宋体" w:cs="宋体" w:eastAsia="宋体" w:hint="default"/>
                <w:spacing w:val="9"/>
                <w:sz w:val="18"/>
                <w:szCs w:val="18"/>
              </w:rPr>
              <w:t>境外子公司依据其所在地特殊税</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法规定确认的应纳税暂时性差异</w:t>
            </w:r>
          </w:p>
        </w:tc>
        <w:tc>
          <w:tcPr>
            <w:tcW w:w="290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820"/>
              <w:jc w:val="right"/>
              <w:rPr>
                <w:rFonts w:ascii="Times New Roman" w:hAnsi="Times New Roman" w:cs="Times New Roman" w:eastAsia="Times New Roman" w:hint="default"/>
                <w:sz w:val="18"/>
                <w:szCs w:val="18"/>
              </w:rPr>
            </w:pPr>
            <w:r>
              <w:rPr>
                <w:rFonts w:ascii="Times New Roman"/>
                <w:spacing w:val="-1"/>
                <w:sz w:val="18"/>
              </w:rPr>
              <w:t>5,027,069.59</w:t>
            </w:r>
          </w:p>
        </w:tc>
        <w:tc>
          <w:tcPr>
            <w:tcW w:w="2195"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65" w:hRule="exact"/>
        </w:trPr>
        <w:tc>
          <w:tcPr>
            <w:tcW w:w="3614" w:type="dxa"/>
            <w:tcBorders>
              <w:top w:val="nil" w:sz="6" w:space="0" w:color="auto"/>
              <w:left w:val="nil" w:sz="6" w:space="0" w:color="auto"/>
              <w:bottom w:val="single" w:sz="4" w:space="0" w:color="000000"/>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直接计入权益的利得和损失</w:t>
            </w:r>
          </w:p>
        </w:tc>
        <w:tc>
          <w:tcPr>
            <w:tcW w:w="2907" w:type="dxa"/>
            <w:tcBorders>
              <w:top w:val="nil" w:sz="6" w:space="0" w:color="auto"/>
              <w:left w:val="nil" w:sz="6" w:space="0" w:color="auto"/>
              <w:bottom w:val="single" w:sz="4" w:space="0" w:color="000000"/>
              <w:right w:val="nil" w:sz="6" w:space="0" w:color="auto"/>
            </w:tcBorders>
          </w:tcPr>
          <w:p>
            <w:pPr>
              <w:pStyle w:val="TableParagraph"/>
              <w:spacing w:line="240" w:lineRule="auto" w:before="49"/>
              <w:ind w:right="819"/>
              <w:jc w:val="right"/>
              <w:rPr>
                <w:rFonts w:ascii="Times New Roman" w:hAnsi="Times New Roman" w:cs="Times New Roman" w:eastAsia="Times New Roman" w:hint="default"/>
                <w:sz w:val="18"/>
                <w:szCs w:val="18"/>
              </w:rPr>
            </w:pPr>
            <w:r>
              <w:rPr>
                <w:rFonts w:ascii="Times New Roman"/>
                <w:spacing w:val="-1"/>
                <w:sz w:val="18"/>
              </w:rPr>
              <w:t>0.00</w:t>
            </w:r>
          </w:p>
        </w:tc>
        <w:tc>
          <w:tcPr>
            <w:tcW w:w="2195" w:type="dxa"/>
            <w:tcBorders>
              <w:top w:val="nil" w:sz="6" w:space="0" w:color="auto"/>
              <w:left w:val="nil" w:sz="6" w:space="0" w:color="auto"/>
              <w:bottom w:val="single" w:sz="4" w:space="0" w:color="000000"/>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43,821,452.60</w:t>
            </w:r>
          </w:p>
        </w:tc>
      </w:tr>
      <w:tr>
        <w:trPr>
          <w:trHeight w:val="295" w:hRule="exact"/>
        </w:trPr>
        <w:tc>
          <w:tcPr>
            <w:tcW w:w="3614"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2907" w:type="dxa"/>
            <w:tcBorders>
              <w:top w:val="single" w:sz="4" w:space="0" w:color="000000"/>
              <w:left w:val="nil" w:sz="6" w:space="0" w:color="auto"/>
              <w:bottom w:val="single" w:sz="4" w:space="0" w:color="000000"/>
              <w:right w:val="nil" w:sz="6" w:space="0" w:color="auto"/>
            </w:tcBorders>
          </w:tcPr>
          <w:p>
            <w:pPr>
              <w:pStyle w:val="TableParagraph"/>
              <w:spacing w:line="240" w:lineRule="auto" w:before="79"/>
              <w:ind w:right="821"/>
              <w:jc w:val="right"/>
              <w:rPr>
                <w:rFonts w:ascii="Times New Roman" w:hAnsi="Times New Roman" w:cs="Times New Roman" w:eastAsia="Times New Roman" w:hint="default"/>
                <w:sz w:val="18"/>
                <w:szCs w:val="18"/>
              </w:rPr>
            </w:pPr>
            <w:r>
              <w:rPr>
                <w:rFonts w:ascii="Times New Roman"/>
                <w:b/>
                <w:spacing w:val="-1"/>
                <w:sz w:val="18"/>
              </w:rPr>
              <w:t>1,326,265,355.61</w:t>
            </w:r>
            <w:r>
              <w:rPr>
                <w:rFonts w:ascii="Times New Roman"/>
                <w:spacing w:val="-1"/>
                <w:sz w:val="18"/>
              </w:rPr>
            </w:r>
          </w:p>
        </w:tc>
        <w:tc>
          <w:tcPr>
            <w:tcW w:w="2195" w:type="dxa"/>
            <w:tcBorders>
              <w:top w:val="single" w:sz="4" w:space="0" w:color="000000"/>
              <w:left w:val="nil" w:sz="6" w:space="0" w:color="auto"/>
              <w:bottom w:val="single" w:sz="4"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1,489,134,516.15</w:t>
            </w:r>
            <w:r>
              <w:rPr>
                <w:rFonts w:ascii="Times New Roman"/>
                <w:spacing w:val="-1"/>
                <w:sz w:val="18"/>
              </w:rPr>
            </w:r>
          </w:p>
        </w:tc>
      </w:tr>
      <w:tr>
        <w:trPr>
          <w:trHeight w:val="316" w:hRule="exact"/>
        </w:trPr>
        <w:tc>
          <w:tcPr>
            <w:tcW w:w="3614"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三、特殊暂时性差异项目</w:t>
            </w:r>
            <w:r>
              <w:rPr>
                <w:rFonts w:ascii="宋体" w:hAnsi="宋体" w:cs="宋体" w:eastAsia="宋体" w:hint="default"/>
                <w:sz w:val="18"/>
                <w:szCs w:val="18"/>
              </w:rPr>
            </w:r>
          </w:p>
        </w:tc>
        <w:tc>
          <w:tcPr>
            <w:tcW w:w="2907" w:type="dxa"/>
            <w:tcBorders>
              <w:top w:val="single" w:sz="4" w:space="0" w:color="000000"/>
              <w:left w:val="nil" w:sz="6" w:space="0" w:color="auto"/>
              <w:bottom w:val="nil" w:sz="6" w:space="0" w:color="auto"/>
              <w:right w:val="nil" w:sz="6" w:space="0" w:color="auto"/>
            </w:tcBorders>
          </w:tcPr>
          <w:p>
            <w:pPr/>
          </w:p>
        </w:tc>
        <w:tc>
          <w:tcPr>
            <w:tcW w:w="2195" w:type="dxa"/>
            <w:tcBorders>
              <w:top w:val="single" w:sz="4" w:space="0" w:color="000000"/>
              <w:left w:val="nil" w:sz="6" w:space="0" w:color="auto"/>
              <w:bottom w:val="nil" w:sz="6" w:space="0" w:color="auto"/>
              <w:right w:val="nil" w:sz="6" w:space="0" w:color="auto"/>
            </w:tcBorders>
          </w:tcPr>
          <w:p>
            <w:pPr/>
          </w:p>
        </w:tc>
      </w:tr>
      <w:tr>
        <w:trPr>
          <w:trHeight w:val="265" w:hRule="exact"/>
        </w:trPr>
        <w:tc>
          <w:tcPr>
            <w:tcW w:w="3614" w:type="dxa"/>
            <w:tcBorders>
              <w:top w:val="nil" w:sz="6" w:space="0" w:color="auto"/>
              <w:left w:val="nil" w:sz="6" w:space="0" w:color="auto"/>
              <w:bottom w:val="single" w:sz="4" w:space="0" w:color="000000"/>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2907" w:type="dxa"/>
            <w:tcBorders>
              <w:top w:val="nil" w:sz="6" w:space="0" w:color="auto"/>
              <w:left w:val="nil" w:sz="6" w:space="0" w:color="auto"/>
              <w:bottom w:val="single" w:sz="4" w:space="0" w:color="000000"/>
              <w:right w:val="nil" w:sz="6" w:space="0" w:color="auto"/>
            </w:tcBorders>
          </w:tcPr>
          <w:p>
            <w:pPr>
              <w:pStyle w:val="TableParagraph"/>
              <w:spacing w:line="240" w:lineRule="auto" w:before="49"/>
              <w:ind w:right="820"/>
              <w:jc w:val="right"/>
              <w:rPr>
                <w:rFonts w:ascii="Times New Roman" w:hAnsi="Times New Roman" w:cs="Times New Roman" w:eastAsia="Times New Roman" w:hint="default"/>
                <w:sz w:val="18"/>
                <w:szCs w:val="18"/>
              </w:rPr>
            </w:pPr>
            <w:r>
              <w:rPr>
                <w:rFonts w:ascii="Times New Roman"/>
                <w:spacing w:val="-1"/>
                <w:sz w:val="18"/>
              </w:rPr>
              <w:t>361,277,916.33</w:t>
            </w:r>
          </w:p>
        </w:tc>
        <w:tc>
          <w:tcPr>
            <w:tcW w:w="2195" w:type="dxa"/>
            <w:tcBorders>
              <w:top w:val="nil" w:sz="6" w:space="0" w:color="auto"/>
              <w:left w:val="nil" w:sz="6" w:space="0" w:color="auto"/>
              <w:bottom w:val="single" w:sz="4" w:space="0" w:color="000000"/>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408,876,633.82</w:t>
            </w:r>
          </w:p>
        </w:tc>
      </w:tr>
      <w:tr>
        <w:trPr>
          <w:trHeight w:val="305" w:hRule="exact"/>
        </w:trPr>
        <w:tc>
          <w:tcPr>
            <w:tcW w:w="3614"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2907"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820"/>
              <w:jc w:val="right"/>
              <w:rPr>
                <w:rFonts w:ascii="Times New Roman" w:hAnsi="Times New Roman" w:cs="Times New Roman" w:eastAsia="Times New Roman" w:hint="default"/>
                <w:sz w:val="18"/>
                <w:szCs w:val="18"/>
              </w:rPr>
            </w:pPr>
            <w:r>
              <w:rPr>
                <w:rFonts w:ascii="Times New Roman"/>
                <w:b/>
                <w:spacing w:val="-1"/>
                <w:sz w:val="18"/>
              </w:rPr>
              <w:t>361,277,916.33</w:t>
            </w:r>
            <w:r>
              <w:rPr>
                <w:rFonts w:ascii="Times New Roman"/>
                <w:spacing w:val="-1"/>
                <w:sz w:val="18"/>
              </w:rPr>
            </w:r>
          </w:p>
        </w:tc>
        <w:tc>
          <w:tcPr>
            <w:tcW w:w="219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408,876,633.82</w:t>
            </w:r>
            <w:r>
              <w:rPr>
                <w:rFonts w:ascii="Times New Roman"/>
                <w:spacing w:val="-1"/>
                <w:sz w:val="18"/>
              </w:rPr>
            </w:r>
          </w:p>
        </w:tc>
      </w:tr>
    </w:tbl>
    <w:p>
      <w:pPr>
        <w:spacing w:before="81"/>
        <w:ind w:left="66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20. </w:t>
      </w:r>
      <w:r>
        <w:rPr>
          <w:rFonts w:ascii="Times New Roman" w:hAnsi="Times New Roman" w:cs="Times New Roman" w:eastAsia="Times New Roman" w:hint="default"/>
          <w:b/>
          <w:bCs/>
          <w:spacing w:val="13"/>
          <w:sz w:val="22"/>
          <w:szCs w:val="22"/>
        </w:rPr>
        <w:t> </w:t>
      </w:r>
      <w:r>
        <w:rPr>
          <w:rFonts w:ascii="宋体" w:hAnsi="宋体" w:cs="宋体" w:eastAsia="宋体" w:hint="default"/>
          <w:sz w:val="22"/>
          <w:szCs w:val="22"/>
        </w:rPr>
        <w:t>其他非流动资产</w:t>
      </w:r>
    </w:p>
    <w:p>
      <w:pPr>
        <w:spacing w:line="240" w:lineRule="auto" w:before="8"/>
        <w:rPr>
          <w:rFonts w:ascii="宋体" w:hAnsi="宋体" w:cs="宋体" w:eastAsia="宋体" w:hint="default"/>
          <w:sz w:val="11"/>
          <w:szCs w:val="11"/>
        </w:rPr>
      </w:pPr>
    </w:p>
    <w:tbl>
      <w:tblPr>
        <w:tblW w:w="0" w:type="auto"/>
        <w:jc w:val="left"/>
        <w:tblInd w:w="154" w:type="dxa"/>
        <w:tblLayout w:type="fixed"/>
        <w:tblCellMar>
          <w:top w:w="0" w:type="dxa"/>
          <w:left w:w="0" w:type="dxa"/>
          <w:bottom w:w="0" w:type="dxa"/>
          <w:right w:w="0" w:type="dxa"/>
        </w:tblCellMar>
        <w:tblLook w:val="01E0"/>
      </w:tblPr>
      <w:tblGrid>
        <w:gridCol w:w="3772"/>
        <w:gridCol w:w="2814"/>
        <w:gridCol w:w="2140"/>
      </w:tblGrid>
      <w:tr>
        <w:trPr>
          <w:trHeight w:val="305" w:hRule="exact"/>
        </w:trPr>
        <w:tc>
          <w:tcPr>
            <w:tcW w:w="377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81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902"/>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14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5" w:hRule="exact"/>
        </w:trPr>
        <w:tc>
          <w:tcPr>
            <w:tcW w:w="3772"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中石化混合所有制改革资产管理计划</w:t>
            </w:r>
          </w:p>
        </w:tc>
        <w:tc>
          <w:tcPr>
            <w:tcW w:w="281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901"/>
              <w:jc w:val="right"/>
              <w:rPr>
                <w:rFonts w:ascii="Times New Roman" w:hAnsi="Times New Roman" w:cs="Times New Roman" w:eastAsia="Times New Roman" w:hint="default"/>
                <w:sz w:val="18"/>
                <w:szCs w:val="18"/>
              </w:rPr>
            </w:pPr>
            <w:r>
              <w:rPr>
                <w:rFonts w:ascii="Times New Roman"/>
                <w:spacing w:val="-1"/>
                <w:sz w:val="18"/>
              </w:rPr>
              <w:t>268,222,303.66</w:t>
            </w:r>
          </w:p>
        </w:tc>
        <w:tc>
          <w:tcPr>
            <w:tcW w:w="2140"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105,500,000.00</w:t>
            </w:r>
          </w:p>
        </w:tc>
      </w:tr>
      <w:tr>
        <w:trPr>
          <w:trHeight w:val="284" w:hRule="exact"/>
        </w:trPr>
        <w:tc>
          <w:tcPr>
            <w:tcW w:w="377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青岛嘉鸿壹号创业投资基金</w:t>
            </w:r>
          </w:p>
        </w:tc>
        <w:tc>
          <w:tcPr>
            <w:tcW w:w="28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01"/>
              <w:jc w:val="right"/>
              <w:rPr>
                <w:rFonts w:ascii="Times New Roman" w:hAnsi="Times New Roman" w:cs="Times New Roman" w:eastAsia="Times New Roman" w:hint="default"/>
                <w:sz w:val="18"/>
                <w:szCs w:val="18"/>
              </w:rPr>
            </w:pPr>
            <w:r>
              <w:rPr>
                <w:rFonts w:ascii="Times New Roman"/>
                <w:spacing w:val="-1"/>
                <w:sz w:val="18"/>
              </w:rPr>
              <w:t>104,975,000.00</w:t>
            </w:r>
          </w:p>
        </w:tc>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57" w:hRule="exact"/>
        </w:trPr>
        <w:tc>
          <w:tcPr>
            <w:tcW w:w="3772" w:type="dxa"/>
            <w:tcBorders>
              <w:top w:val="nil" w:sz="6" w:space="0" w:color="auto"/>
              <w:left w:val="nil" w:sz="6" w:space="0" w:color="auto"/>
              <w:bottom w:val="single" w:sz="4" w:space="0" w:color="000000"/>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北京同方以衡创业投资中心</w:t>
            </w:r>
          </w:p>
        </w:tc>
        <w:tc>
          <w:tcPr>
            <w:tcW w:w="2814"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903"/>
              <w:jc w:val="right"/>
              <w:rPr>
                <w:rFonts w:ascii="Times New Roman" w:hAnsi="Times New Roman" w:cs="Times New Roman" w:eastAsia="Times New Roman" w:hint="default"/>
                <w:sz w:val="18"/>
                <w:szCs w:val="18"/>
              </w:rPr>
            </w:pPr>
            <w:r>
              <w:rPr>
                <w:rFonts w:ascii="Times New Roman"/>
                <w:spacing w:val="-1"/>
                <w:sz w:val="18"/>
              </w:rPr>
              <w:t>75,000,000.00</w:t>
            </w:r>
          </w:p>
        </w:tc>
        <w:tc>
          <w:tcPr>
            <w:tcW w:w="2140"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305" w:hRule="exact"/>
        </w:trPr>
        <w:tc>
          <w:tcPr>
            <w:tcW w:w="3772"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814"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901"/>
              <w:jc w:val="right"/>
              <w:rPr>
                <w:rFonts w:ascii="Times New Roman" w:hAnsi="Times New Roman" w:cs="Times New Roman" w:eastAsia="Times New Roman" w:hint="default"/>
                <w:sz w:val="18"/>
                <w:szCs w:val="18"/>
              </w:rPr>
            </w:pPr>
            <w:r>
              <w:rPr>
                <w:rFonts w:ascii="Times New Roman"/>
                <w:b/>
                <w:spacing w:val="-1"/>
                <w:sz w:val="18"/>
              </w:rPr>
              <w:t>448,197,303.66</w:t>
            </w:r>
            <w:r>
              <w:rPr>
                <w:rFonts w:ascii="Times New Roman"/>
                <w:spacing w:val="-1"/>
                <w:sz w:val="18"/>
              </w:rPr>
            </w:r>
          </w:p>
        </w:tc>
        <w:tc>
          <w:tcPr>
            <w:tcW w:w="2140"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8"/>
              <w:jc w:val="right"/>
              <w:rPr>
                <w:rFonts w:ascii="Times New Roman" w:hAnsi="Times New Roman" w:cs="Times New Roman" w:eastAsia="Times New Roman" w:hint="default"/>
                <w:sz w:val="18"/>
                <w:szCs w:val="18"/>
              </w:rPr>
            </w:pPr>
            <w:r>
              <w:rPr>
                <w:rFonts w:ascii="Times New Roman"/>
                <w:b/>
                <w:spacing w:val="-1"/>
                <w:sz w:val="18"/>
              </w:rPr>
              <w:t>105,500,000.00</w:t>
            </w:r>
            <w:r>
              <w:rPr>
                <w:rFonts w:ascii="Times New Roman"/>
                <w:spacing w:val="-1"/>
                <w:sz w:val="18"/>
              </w:rPr>
            </w:r>
          </w:p>
        </w:tc>
      </w:tr>
    </w:tbl>
    <w:p>
      <w:pPr>
        <w:spacing w:before="81"/>
        <w:ind w:left="665" w:right="0" w:firstLine="0"/>
        <w:jc w:val="left"/>
        <w:rPr>
          <w:rFonts w:ascii="宋体" w:hAnsi="宋体" w:cs="宋体" w:eastAsia="宋体" w:hint="default"/>
          <w:sz w:val="22"/>
          <w:szCs w:val="22"/>
        </w:rPr>
      </w:pPr>
      <w:r>
        <w:rPr/>
        <w:pict>
          <v:group style="position:absolute;margin-left:235.970001pt;margin-top:42.577641pt;width:223.25pt;height:.5pt;mso-position-horizontal-relative:page;mso-position-vertical-relative:paragraph;z-index:-1197064" coordorigin="4719,852" coordsize="4465,10">
            <v:group style="position:absolute;left:4724;top:856;width:1229;height:2" coordorigin="4724,856" coordsize="1229,2">
              <v:shape style="position:absolute;left:4724;top:856;width:1229;height:2" coordorigin="4724,856" coordsize="1229,0" path="m4724,856l5953,856e" filled="false" stroked="true" strokeweight=".48001pt" strokecolor="#000000">
                <v:path arrowok="t"/>
              </v:shape>
            </v:group>
            <v:group style="position:absolute;left:5953;top:856;width:10;height:2" coordorigin="5953,856" coordsize="10,2">
              <v:shape style="position:absolute;left:5953;top:856;width:10;height:2" coordorigin="5953,856" coordsize="10,0" path="m5953,856l5963,856e" filled="false" stroked="true" strokeweight=".48001pt" strokecolor="#000000">
                <v:path arrowok="t"/>
              </v:shape>
            </v:group>
            <v:group style="position:absolute;left:5963;top:856;width:1129;height:2" coordorigin="5963,856" coordsize="1129,2">
              <v:shape style="position:absolute;left:5963;top:856;width:1129;height:2" coordorigin="5963,856" coordsize="1129,0" path="m5963,856l7091,856e" filled="false" stroked="true" strokeweight=".48001pt" strokecolor="#000000">
                <v:path arrowok="t"/>
              </v:shape>
            </v:group>
            <v:group style="position:absolute;left:7091;top:856;width:10;height:2" coordorigin="7091,856" coordsize="10,2">
              <v:shape style="position:absolute;left:7091;top:856;width:10;height:2" coordorigin="7091,856" coordsize="10,0" path="m7091,856l7101,856e" filled="false" stroked="true" strokeweight=".48001pt" strokecolor="#000000">
                <v:path arrowok="t"/>
              </v:shape>
            </v:group>
            <v:group style="position:absolute;left:7101;top:856;width:1011;height:2" coordorigin="7101,856" coordsize="1011,2">
              <v:shape style="position:absolute;left:7101;top:856;width:1011;height:2" coordorigin="7101,856" coordsize="1011,0" path="m7101,856l8111,856e" filled="false" stroked="true" strokeweight=".48001pt" strokecolor="#000000">
                <v:path arrowok="t"/>
              </v:shape>
            </v:group>
            <v:group style="position:absolute;left:8111;top:856;width:10;height:2" coordorigin="8111,856" coordsize="10,2">
              <v:shape style="position:absolute;left:8111;top:856;width:10;height:2" coordorigin="8111,856" coordsize="10,0" path="m8111,856l8121,856e" filled="false" stroked="true" strokeweight=".48001pt" strokecolor="#000000">
                <v:path arrowok="t"/>
              </v:shape>
            </v:group>
            <v:group style="position:absolute;left:8121;top:856;width:1059;height:2" coordorigin="8121,856" coordsize="1059,2">
              <v:shape style="position:absolute;left:8121;top:856;width:1059;height:2" coordorigin="8121,856" coordsize="1059,0" path="m8121,856l9179,856e" filled="false" stroked="true" strokeweight=".48001pt" strokecolor="#000000">
                <v:path arrowok="t"/>
              </v:shape>
            </v:group>
            <w10:wrap type="none"/>
          </v:group>
        </w:pict>
      </w:r>
      <w:r>
        <w:rPr>
          <w:rFonts w:ascii="Times New Roman" w:hAnsi="Times New Roman" w:cs="Times New Roman" w:eastAsia="Times New Roman" w:hint="default"/>
          <w:b/>
          <w:bCs/>
          <w:sz w:val="22"/>
          <w:szCs w:val="22"/>
        </w:rPr>
        <w:t>21.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资产减值准备</w:t>
      </w:r>
    </w:p>
    <w:p>
      <w:pPr>
        <w:spacing w:line="240" w:lineRule="auto" w:before="8"/>
        <w:rPr>
          <w:rFonts w:ascii="宋体" w:hAnsi="宋体" w:cs="宋体" w:eastAsia="宋体" w:hint="default"/>
          <w:sz w:val="11"/>
          <w:szCs w:val="11"/>
        </w:rPr>
      </w:pPr>
    </w:p>
    <w:tbl>
      <w:tblPr>
        <w:tblW w:w="0" w:type="auto"/>
        <w:jc w:val="left"/>
        <w:tblInd w:w="106" w:type="dxa"/>
        <w:tblLayout w:type="fixed"/>
        <w:tblCellMar>
          <w:top w:w="0" w:type="dxa"/>
          <w:left w:w="0" w:type="dxa"/>
          <w:bottom w:w="0" w:type="dxa"/>
          <w:right w:w="0" w:type="dxa"/>
        </w:tblCellMar>
        <w:tblLook w:val="01E0"/>
      </w:tblPr>
      <w:tblGrid>
        <w:gridCol w:w="1996"/>
        <w:gridCol w:w="1269"/>
        <w:gridCol w:w="1224"/>
        <w:gridCol w:w="1079"/>
        <w:gridCol w:w="1003"/>
        <w:gridCol w:w="1062"/>
        <w:gridCol w:w="1177"/>
      </w:tblGrid>
      <w:tr>
        <w:trPr>
          <w:trHeight w:val="397" w:hRule="exact"/>
        </w:trPr>
        <w:tc>
          <w:tcPr>
            <w:tcW w:w="1996"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left="15" w:right="0"/>
              <w:jc w:val="center"/>
              <w:rPr>
                <w:rFonts w:ascii="宋体" w:hAnsi="宋体" w:cs="宋体" w:eastAsia="宋体" w:hint="default"/>
                <w:sz w:val="16"/>
                <w:szCs w:val="16"/>
              </w:rPr>
            </w:pPr>
            <w:r>
              <w:rPr>
                <w:rFonts w:ascii="宋体" w:hAnsi="宋体" w:cs="宋体" w:eastAsia="宋体" w:hint="default"/>
                <w:b/>
                <w:bCs/>
                <w:sz w:val="16"/>
                <w:szCs w:val="16"/>
              </w:rPr>
              <w:t>项目</w:t>
            </w:r>
            <w:r>
              <w:rPr>
                <w:rFonts w:ascii="宋体" w:hAnsi="宋体" w:cs="宋体" w:eastAsia="宋体" w:hint="default"/>
                <w:sz w:val="16"/>
                <w:szCs w:val="16"/>
              </w:rPr>
            </w:r>
          </w:p>
        </w:tc>
        <w:tc>
          <w:tcPr>
            <w:tcW w:w="1269"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left="270" w:right="0"/>
              <w:jc w:val="left"/>
              <w:rPr>
                <w:rFonts w:ascii="宋体" w:hAnsi="宋体" w:cs="宋体" w:eastAsia="宋体" w:hint="default"/>
                <w:sz w:val="16"/>
                <w:szCs w:val="16"/>
              </w:rPr>
            </w:pPr>
            <w:r>
              <w:rPr>
                <w:rFonts w:ascii="宋体" w:hAnsi="宋体" w:cs="宋体" w:eastAsia="宋体" w:hint="default"/>
                <w:b/>
                <w:bCs/>
                <w:sz w:val="16"/>
                <w:szCs w:val="16"/>
              </w:rPr>
              <w:t>年初余额</w:t>
            </w:r>
            <w:r>
              <w:rPr>
                <w:rFonts w:ascii="宋体" w:hAnsi="宋体" w:cs="宋体" w:eastAsia="宋体" w:hint="default"/>
                <w:sz w:val="16"/>
                <w:szCs w:val="16"/>
              </w:rPr>
            </w:r>
          </w:p>
        </w:tc>
        <w:tc>
          <w:tcPr>
            <w:tcW w:w="2304"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53"/>
              <w:ind w:right="108"/>
              <w:jc w:val="center"/>
              <w:rPr>
                <w:rFonts w:ascii="宋体" w:hAnsi="宋体" w:cs="宋体" w:eastAsia="宋体" w:hint="default"/>
                <w:sz w:val="16"/>
                <w:szCs w:val="16"/>
              </w:rPr>
            </w:pPr>
            <w:r>
              <w:rPr>
                <w:rFonts w:ascii="宋体" w:hAnsi="宋体" w:cs="宋体" w:eastAsia="宋体" w:hint="default"/>
                <w:b/>
                <w:bCs/>
                <w:sz w:val="16"/>
                <w:szCs w:val="16"/>
              </w:rPr>
              <w:t>本年增加</w:t>
            </w:r>
            <w:r>
              <w:rPr>
                <w:rFonts w:ascii="宋体" w:hAnsi="宋体" w:cs="宋体" w:eastAsia="宋体" w:hint="default"/>
                <w:sz w:val="16"/>
                <w:szCs w:val="16"/>
              </w:rPr>
            </w:r>
          </w:p>
        </w:tc>
        <w:tc>
          <w:tcPr>
            <w:tcW w:w="2065"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53"/>
              <w:ind w:right="26"/>
              <w:jc w:val="center"/>
              <w:rPr>
                <w:rFonts w:ascii="宋体" w:hAnsi="宋体" w:cs="宋体" w:eastAsia="宋体" w:hint="default"/>
                <w:sz w:val="16"/>
                <w:szCs w:val="16"/>
              </w:rPr>
            </w:pPr>
            <w:r>
              <w:rPr>
                <w:rFonts w:ascii="宋体" w:hAnsi="宋体" w:cs="宋体" w:eastAsia="宋体" w:hint="default"/>
                <w:b/>
                <w:bCs/>
                <w:sz w:val="16"/>
                <w:szCs w:val="16"/>
              </w:rPr>
              <w:t>本年减少</w:t>
            </w:r>
            <w:r>
              <w:rPr>
                <w:rFonts w:ascii="宋体" w:hAnsi="宋体" w:cs="宋体" w:eastAsia="宋体" w:hint="default"/>
                <w:sz w:val="16"/>
                <w:szCs w:val="16"/>
              </w:rPr>
            </w:r>
          </w:p>
        </w:tc>
        <w:tc>
          <w:tcPr>
            <w:tcW w:w="1177"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left="264" w:right="0"/>
              <w:jc w:val="left"/>
              <w:rPr>
                <w:rFonts w:ascii="宋体" w:hAnsi="宋体" w:cs="宋体" w:eastAsia="宋体" w:hint="default"/>
                <w:sz w:val="16"/>
                <w:szCs w:val="16"/>
              </w:rPr>
            </w:pPr>
            <w:r>
              <w:rPr>
                <w:rFonts w:ascii="宋体" w:hAnsi="宋体" w:cs="宋体" w:eastAsia="宋体" w:hint="default"/>
                <w:b/>
                <w:bCs/>
                <w:sz w:val="16"/>
                <w:szCs w:val="16"/>
              </w:rPr>
              <w:t>年末金额</w:t>
            </w:r>
            <w:r>
              <w:rPr>
                <w:rFonts w:ascii="宋体" w:hAnsi="宋体" w:cs="宋体" w:eastAsia="宋体" w:hint="default"/>
                <w:sz w:val="16"/>
                <w:szCs w:val="16"/>
              </w:rPr>
            </w:r>
          </w:p>
        </w:tc>
      </w:tr>
      <w:tr>
        <w:trPr>
          <w:trHeight w:val="203" w:hRule="exact"/>
        </w:trPr>
        <w:tc>
          <w:tcPr>
            <w:tcW w:w="1996" w:type="dxa"/>
            <w:tcBorders>
              <w:top w:val="nil" w:sz="6" w:space="0" w:color="auto"/>
              <w:left w:val="nil" w:sz="6" w:space="0" w:color="auto"/>
              <w:bottom w:val="single" w:sz="4" w:space="0" w:color="000000"/>
              <w:right w:val="nil" w:sz="6" w:space="0" w:color="auto"/>
            </w:tcBorders>
          </w:tcPr>
          <w:p>
            <w:pPr/>
          </w:p>
        </w:tc>
        <w:tc>
          <w:tcPr>
            <w:tcW w:w="1269" w:type="dxa"/>
            <w:tcBorders>
              <w:top w:val="nil" w:sz="6" w:space="0" w:color="auto"/>
              <w:left w:val="nil" w:sz="6" w:space="0" w:color="auto"/>
              <w:bottom w:val="single" w:sz="4" w:space="0" w:color="000000"/>
              <w:right w:val="nil" w:sz="6" w:space="0" w:color="auto"/>
            </w:tcBorders>
          </w:tcPr>
          <w:p>
            <w:pPr/>
          </w:p>
        </w:tc>
        <w:tc>
          <w:tcPr>
            <w:tcW w:w="1224" w:type="dxa"/>
            <w:tcBorders>
              <w:top w:val="nil" w:sz="6" w:space="0" w:color="auto"/>
              <w:left w:val="nil" w:sz="6" w:space="0" w:color="auto"/>
              <w:bottom w:val="single" w:sz="4" w:space="0" w:color="000000"/>
              <w:right w:val="nil" w:sz="6" w:space="0" w:color="auto"/>
            </w:tcBorders>
          </w:tcPr>
          <w:p>
            <w:pPr>
              <w:pStyle w:val="TableParagraph"/>
              <w:spacing w:line="173" w:lineRule="exact"/>
              <w:ind w:left="206" w:right="0"/>
              <w:jc w:val="left"/>
              <w:rPr>
                <w:rFonts w:ascii="宋体" w:hAnsi="宋体" w:cs="宋体" w:eastAsia="宋体" w:hint="default"/>
                <w:sz w:val="16"/>
                <w:szCs w:val="16"/>
              </w:rPr>
            </w:pPr>
            <w:r>
              <w:rPr>
                <w:rFonts w:ascii="宋体" w:hAnsi="宋体" w:cs="宋体" w:eastAsia="宋体" w:hint="default"/>
                <w:b/>
                <w:bCs/>
                <w:sz w:val="16"/>
                <w:szCs w:val="16"/>
              </w:rPr>
              <w:t>本年计提</w:t>
            </w:r>
            <w:r>
              <w:rPr>
                <w:rFonts w:ascii="宋体" w:hAnsi="宋体" w:cs="宋体" w:eastAsia="宋体" w:hint="default"/>
                <w:sz w:val="16"/>
                <w:szCs w:val="16"/>
              </w:rPr>
            </w:r>
          </w:p>
        </w:tc>
        <w:tc>
          <w:tcPr>
            <w:tcW w:w="1079" w:type="dxa"/>
            <w:tcBorders>
              <w:top w:val="nil" w:sz="6" w:space="0" w:color="auto"/>
              <w:left w:val="nil" w:sz="6" w:space="0" w:color="auto"/>
              <w:bottom w:val="single" w:sz="4" w:space="0" w:color="000000"/>
              <w:right w:val="nil" w:sz="6" w:space="0" w:color="auto"/>
            </w:tcBorders>
          </w:tcPr>
          <w:p>
            <w:pPr>
              <w:pStyle w:val="TableParagraph"/>
              <w:spacing w:line="173" w:lineRule="exact"/>
              <w:ind w:left="165" w:right="0"/>
              <w:jc w:val="left"/>
              <w:rPr>
                <w:rFonts w:ascii="宋体" w:hAnsi="宋体" w:cs="宋体" w:eastAsia="宋体" w:hint="default"/>
                <w:sz w:val="16"/>
                <w:szCs w:val="16"/>
              </w:rPr>
            </w:pPr>
            <w:r>
              <w:rPr>
                <w:rFonts w:ascii="宋体" w:hAnsi="宋体" w:cs="宋体" w:eastAsia="宋体" w:hint="default"/>
                <w:b/>
                <w:bCs/>
                <w:sz w:val="16"/>
                <w:szCs w:val="16"/>
              </w:rPr>
              <w:t>其他转入</w:t>
            </w:r>
            <w:r>
              <w:rPr>
                <w:rFonts w:ascii="宋体" w:hAnsi="宋体" w:cs="宋体" w:eastAsia="宋体" w:hint="default"/>
                <w:sz w:val="16"/>
                <w:szCs w:val="16"/>
              </w:rPr>
            </w:r>
          </w:p>
        </w:tc>
        <w:tc>
          <w:tcPr>
            <w:tcW w:w="1003" w:type="dxa"/>
            <w:tcBorders>
              <w:top w:val="nil" w:sz="6" w:space="0" w:color="auto"/>
              <w:left w:val="nil" w:sz="6" w:space="0" w:color="auto"/>
              <w:bottom w:val="single" w:sz="4" w:space="0" w:color="000000"/>
              <w:right w:val="nil" w:sz="6" w:space="0" w:color="auto"/>
            </w:tcBorders>
          </w:tcPr>
          <w:p>
            <w:pPr>
              <w:pStyle w:val="TableParagraph"/>
              <w:spacing w:line="173" w:lineRule="exact"/>
              <w:ind w:left="324" w:right="0"/>
              <w:jc w:val="left"/>
              <w:rPr>
                <w:rFonts w:ascii="宋体" w:hAnsi="宋体" w:cs="宋体" w:eastAsia="宋体" w:hint="default"/>
                <w:sz w:val="16"/>
                <w:szCs w:val="16"/>
              </w:rPr>
            </w:pPr>
            <w:r>
              <w:rPr>
                <w:rFonts w:ascii="宋体" w:hAnsi="宋体" w:cs="宋体" w:eastAsia="宋体" w:hint="default"/>
                <w:b/>
                <w:bCs/>
                <w:sz w:val="16"/>
                <w:szCs w:val="16"/>
              </w:rPr>
              <w:t>转回</w:t>
            </w:r>
            <w:r>
              <w:rPr>
                <w:rFonts w:ascii="宋体" w:hAnsi="宋体" w:cs="宋体" w:eastAsia="宋体" w:hint="default"/>
                <w:sz w:val="16"/>
                <w:szCs w:val="16"/>
              </w:rPr>
            </w:r>
          </w:p>
        </w:tc>
        <w:tc>
          <w:tcPr>
            <w:tcW w:w="1062" w:type="dxa"/>
            <w:tcBorders>
              <w:top w:val="nil" w:sz="6" w:space="0" w:color="auto"/>
              <w:left w:val="nil" w:sz="6" w:space="0" w:color="auto"/>
              <w:bottom w:val="single" w:sz="4" w:space="0" w:color="000000"/>
              <w:right w:val="nil" w:sz="6" w:space="0" w:color="auto"/>
            </w:tcBorders>
          </w:tcPr>
          <w:p>
            <w:pPr>
              <w:pStyle w:val="TableParagraph"/>
              <w:spacing w:line="173" w:lineRule="exact"/>
              <w:ind w:left="204" w:right="0"/>
              <w:jc w:val="left"/>
              <w:rPr>
                <w:rFonts w:ascii="宋体" w:hAnsi="宋体" w:cs="宋体" w:eastAsia="宋体" w:hint="default"/>
                <w:sz w:val="16"/>
                <w:szCs w:val="16"/>
              </w:rPr>
            </w:pPr>
            <w:r>
              <w:rPr>
                <w:rFonts w:ascii="宋体" w:hAnsi="宋体" w:cs="宋体" w:eastAsia="宋体" w:hint="default"/>
                <w:b/>
                <w:bCs/>
                <w:sz w:val="16"/>
                <w:szCs w:val="16"/>
              </w:rPr>
              <w:t>其他转出</w:t>
            </w:r>
            <w:r>
              <w:rPr>
                <w:rFonts w:ascii="宋体" w:hAnsi="宋体" w:cs="宋体" w:eastAsia="宋体" w:hint="default"/>
                <w:sz w:val="16"/>
                <w:szCs w:val="16"/>
              </w:rPr>
            </w:r>
          </w:p>
        </w:tc>
        <w:tc>
          <w:tcPr>
            <w:tcW w:w="1177" w:type="dxa"/>
            <w:tcBorders>
              <w:top w:val="nil" w:sz="6" w:space="0" w:color="auto"/>
              <w:left w:val="nil" w:sz="6" w:space="0" w:color="auto"/>
              <w:bottom w:val="single" w:sz="4" w:space="0" w:color="000000"/>
              <w:right w:val="nil" w:sz="6" w:space="0" w:color="auto"/>
            </w:tcBorders>
          </w:tcPr>
          <w:p>
            <w:pPr/>
          </w:p>
        </w:tc>
      </w:tr>
      <w:tr>
        <w:trPr>
          <w:trHeight w:val="335" w:hRule="exact"/>
        </w:trPr>
        <w:tc>
          <w:tcPr>
            <w:tcW w:w="1996" w:type="dxa"/>
            <w:tcBorders>
              <w:top w:val="single" w:sz="4" w:space="0" w:color="000000"/>
              <w:left w:val="nil" w:sz="6" w:space="0" w:color="auto"/>
              <w:bottom w:val="nil" w:sz="6" w:space="0" w:color="auto"/>
              <w:right w:val="nil" w:sz="6" w:space="0" w:color="auto"/>
            </w:tcBorders>
          </w:tcPr>
          <w:p>
            <w:pPr>
              <w:pStyle w:val="TableParagraph"/>
              <w:spacing w:line="240" w:lineRule="auto" w:before="50"/>
              <w:ind w:left="40" w:right="0"/>
              <w:jc w:val="left"/>
              <w:rPr>
                <w:rFonts w:ascii="宋体" w:hAnsi="宋体" w:cs="宋体" w:eastAsia="宋体" w:hint="default"/>
                <w:sz w:val="16"/>
                <w:szCs w:val="16"/>
              </w:rPr>
            </w:pPr>
            <w:r>
              <w:rPr>
                <w:rFonts w:ascii="宋体" w:hAnsi="宋体" w:cs="宋体" w:eastAsia="宋体" w:hint="default"/>
                <w:sz w:val="16"/>
                <w:szCs w:val="16"/>
              </w:rPr>
              <w:t>坏账减值准备</w:t>
            </w:r>
          </w:p>
        </w:tc>
        <w:tc>
          <w:tcPr>
            <w:tcW w:w="1269"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113"/>
              <w:jc w:val="right"/>
              <w:rPr>
                <w:rFonts w:ascii="Times New Roman" w:hAnsi="Times New Roman" w:cs="Times New Roman" w:eastAsia="Times New Roman" w:hint="default"/>
                <w:sz w:val="16"/>
                <w:szCs w:val="16"/>
              </w:rPr>
            </w:pPr>
            <w:r>
              <w:rPr>
                <w:rFonts w:ascii="Times New Roman"/>
                <w:spacing w:val="-1"/>
                <w:sz w:val="16"/>
              </w:rPr>
              <w:t>1,196,359,518.22</w:t>
            </w:r>
          </w:p>
        </w:tc>
        <w:tc>
          <w:tcPr>
            <w:tcW w:w="1224"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106"/>
              <w:jc w:val="right"/>
              <w:rPr>
                <w:rFonts w:ascii="Times New Roman" w:hAnsi="Times New Roman" w:cs="Times New Roman" w:eastAsia="Times New Roman" w:hint="default"/>
                <w:sz w:val="16"/>
                <w:szCs w:val="16"/>
              </w:rPr>
            </w:pPr>
            <w:r>
              <w:rPr>
                <w:rFonts w:ascii="Times New Roman"/>
                <w:spacing w:val="-1"/>
                <w:sz w:val="16"/>
              </w:rPr>
              <w:t>296,155,908.70</w:t>
            </w:r>
          </w:p>
        </w:tc>
        <w:tc>
          <w:tcPr>
            <w:tcW w:w="1079"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50"/>
              <w:jc w:val="right"/>
              <w:rPr>
                <w:rFonts w:ascii="Times New Roman" w:hAnsi="Times New Roman" w:cs="Times New Roman" w:eastAsia="Times New Roman" w:hint="default"/>
                <w:sz w:val="16"/>
                <w:szCs w:val="16"/>
              </w:rPr>
            </w:pPr>
            <w:r>
              <w:rPr>
                <w:rFonts w:ascii="Times New Roman"/>
                <w:spacing w:val="-1"/>
                <w:sz w:val="16"/>
              </w:rPr>
              <w:t>5,172,747.47</w:t>
            </w:r>
          </w:p>
        </w:tc>
        <w:tc>
          <w:tcPr>
            <w:tcW w:w="1003"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30"/>
              <w:jc w:val="right"/>
              <w:rPr>
                <w:rFonts w:ascii="Times New Roman" w:hAnsi="Times New Roman" w:cs="Times New Roman" w:eastAsia="Times New Roman" w:hint="default"/>
                <w:sz w:val="16"/>
                <w:szCs w:val="16"/>
              </w:rPr>
            </w:pPr>
            <w:r>
              <w:rPr>
                <w:rFonts w:ascii="Times New Roman"/>
                <w:spacing w:val="-2"/>
                <w:sz w:val="16"/>
              </w:rPr>
              <w:t>21,137,431.09</w:t>
            </w:r>
          </w:p>
        </w:tc>
        <w:tc>
          <w:tcPr>
            <w:tcW w:w="1062"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26"/>
              <w:jc w:val="right"/>
              <w:rPr>
                <w:rFonts w:ascii="Times New Roman" w:hAnsi="Times New Roman" w:cs="Times New Roman" w:eastAsia="Times New Roman" w:hint="default"/>
                <w:sz w:val="16"/>
                <w:szCs w:val="16"/>
              </w:rPr>
            </w:pPr>
            <w:r>
              <w:rPr>
                <w:rFonts w:ascii="Times New Roman"/>
                <w:spacing w:val="-2"/>
                <w:sz w:val="16"/>
              </w:rPr>
              <w:t>20,463,061.86</w:t>
            </w:r>
          </w:p>
        </w:tc>
        <w:tc>
          <w:tcPr>
            <w:tcW w:w="1177"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25"/>
              <w:jc w:val="right"/>
              <w:rPr>
                <w:rFonts w:ascii="Times New Roman" w:hAnsi="Times New Roman" w:cs="Times New Roman" w:eastAsia="Times New Roman" w:hint="default"/>
                <w:sz w:val="16"/>
                <w:szCs w:val="16"/>
              </w:rPr>
            </w:pPr>
            <w:r>
              <w:rPr>
                <w:rFonts w:ascii="Times New Roman"/>
                <w:spacing w:val="-1"/>
                <w:sz w:val="16"/>
              </w:rPr>
              <w:t>1,456,087,681.44</w:t>
            </w:r>
          </w:p>
        </w:tc>
      </w:tr>
      <w:tr>
        <w:trPr>
          <w:trHeight w:val="286" w:hRule="exact"/>
        </w:trPr>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5"/>
              <w:ind w:left="40" w:right="0"/>
              <w:jc w:val="left"/>
              <w:rPr>
                <w:rFonts w:ascii="宋体" w:hAnsi="宋体" w:cs="宋体" w:eastAsia="宋体" w:hint="default"/>
                <w:sz w:val="16"/>
                <w:szCs w:val="16"/>
              </w:rPr>
            </w:pPr>
            <w:r>
              <w:rPr>
                <w:rFonts w:ascii="宋体" w:hAnsi="宋体" w:cs="宋体" w:eastAsia="宋体" w:hint="default"/>
                <w:sz w:val="16"/>
                <w:szCs w:val="16"/>
              </w:rPr>
              <w:t>存货跌价准备</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3"/>
              <w:jc w:val="right"/>
              <w:rPr>
                <w:rFonts w:ascii="Times New Roman" w:hAnsi="Times New Roman" w:cs="Times New Roman" w:eastAsia="Times New Roman" w:hint="default"/>
                <w:sz w:val="16"/>
                <w:szCs w:val="16"/>
              </w:rPr>
            </w:pPr>
            <w:r>
              <w:rPr>
                <w:rFonts w:ascii="Times New Roman"/>
                <w:spacing w:val="-1"/>
                <w:sz w:val="16"/>
              </w:rPr>
              <w:t>768,486,958.67</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6"/>
                <w:szCs w:val="16"/>
              </w:rPr>
            </w:pPr>
            <w:r>
              <w:rPr>
                <w:rFonts w:ascii="Times New Roman"/>
                <w:spacing w:val="-1"/>
                <w:sz w:val="16"/>
              </w:rPr>
              <w:t>210,372,162.33</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9"/>
              <w:jc w:val="right"/>
              <w:rPr>
                <w:rFonts w:ascii="Times New Roman" w:hAnsi="Times New Roman" w:cs="Times New Roman" w:eastAsia="Times New Roman" w:hint="default"/>
                <w:sz w:val="16"/>
                <w:szCs w:val="16"/>
              </w:rPr>
            </w:pPr>
            <w:r>
              <w:rPr>
                <w:rFonts w:ascii="Times New Roman"/>
                <w:spacing w:val="-1"/>
                <w:sz w:val="16"/>
              </w:rPr>
              <w:t>4,876,230.80</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0"/>
              <w:jc w:val="right"/>
              <w:rPr>
                <w:rFonts w:ascii="Times New Roman" w:hAnsi="Times New Roman" w:cs="Times New Roman" w:eastAsia="Times New Roman" w:hint="default"/>
                <w:sz w:val="16"/>
                <w:szCs w:val="16"/>
              </w:rPr>
            </w:pPr>
            <w:r>
              <w:rPr>
                <w:rFonts w:ascii="Times New Roman"/>
                <w:spacing w:val="-2"/>
                <w:sz w:val="16"/>
              </w:rPr>
              <w:t>49,811,572.55</w:t>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6"/>
              <w:jc w:val="right"/>
              <w:rPr>
                <w:rFonts w:ascii="Times New Roman" w:hAnsi="Times New Roman" w:cs="Times New Roman" w:eastAsia="Times New Roman" w:hint="default"/>
                <w:sz w:val="16"/>
                <w:szCs w:val="16"/>
              </w:rPr>
            </w:pPr>
            <w:r>
              <w:rPr>
                <w:rFonts w:ascii="Times New Roman"/>
                <w:spacing w:val="-1"/>
                <w:sz w:val="16"/>
              </w:rPr>
              <w:t>100,510,901.80</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6"/>
              <w:jc w:val="right"/>
              <w:rPr>
                <w:rFonts w:ascii="Times New Roman" w:hAnsi="Times New Roman" w:cs="Times New Roman" w:eastAsia="Times New Roman" w:hint="default"/>
                <w:sz w:val="16"/>
                <w:szCs w:val="16"/>
              </w:rPr>
            </w:pPr>
            <w:r>
              <w:rPr>
                <w:rFonts w:ascii="Times New Roman"/>
                <w:spacing w:val="-1"/>
                <w:sz w:val="16"/>
              </w:rPr>
              <w:t>833,412,877.45</w:t>
            </w:r>
          </w:p>
        </w:tc>
      </w:tr>
      <w:tr>
        <w:trPr>
          <w:trHeight w:val="286" w:hRule="exact"/>
        </w:trPr>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5"/>
              <w:ind w:left="40" w:right="0"/>
              <w:jc w:val="left"/>
              <w:rPr>
                <w:rFonts w:ascii="宋体" w:hAnsi="宋体" w:cs="宋体" w:eastAsia="宋体" w:hint="default"/>
                <w:sz w:val="16"/>
                <w:szCs w:val="16"/>
              </w:rPr>
            </w:pPr>
            <w:r>
              <w:rPr>
                <w:rFonts w:ascii="宋体" w:hAnsi="宋体" w:cs="宋体" w:eastAsia="宋体" w:hint="default"/>
                <w:sz w:val="16"/>
                <w:szCs w:val="16"/>
              </w:rPr>
              <w:t>固定资产减值准备</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3"/>
              <w:jc w:val="right"/>
              <w:rPr>
                <w:rFonts w:ascii="Times New Roman" w:hAnsi="Times New Roman" w:cs="Times New Roman" w:eastAsia="Times New Roman" w:hint="default"/>
                <w:sz w:val="16"/>
                <w:szCs w:val="16"/>
              </w:rPr>
            </w:pPr>
            <w:r>
              <w:rPr>
                <w:rFonts w:ascii="Times New Roman"/>
                <w:spacing w:val="-1"/>
                <w:sz w:val="16"/>
              </w:rPr>
              <w:t>749,618,463.11</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6"/>
                <w:szCs w:val="16"/>
              </w:rPr>
            </w:pPr>
            <w:r>
              <w:rPr>
                <w:rFonts w:ascii="Times New Roman"/>
                <w:spacing w:val="-2"/>
                <w:sz w:val="16"/>
              </w:rPr>
              <w:t>29,094,593.05</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9"/>
              <w:jc w:val="right"/>
              <w:rPr>
                <w:rFonts w:ascii="Times New Roman" w:hAnsi="Times New Roman" w:cs="Times New Roman" w:eastAsia="Times New Roman" w:hint="default"/>
                <w:sz w:val="16"/>
                <w:szCs w:val="16"/>
              </w:rPr>
            </w:pPr>
            <w:r>
              <w:rPr>
                <w:rFonts w:ascii="Times New Roman"/>
                <w:spacing w:val="-2"/>
                <w:sz w:val="16"/>
              </w:rPr>
              <w:t>41,969,060.00</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0"/>
              <w:jc w:val="right"/>
              <w:rPr>
                <w:rFonts w:ascii="Times New Roman" w:hAnsi="Times New Roman" w:cs="Times New Roman" w:eastAsia="Times New Roman" w:hint="default"/>
                <w:sz w:val="16"/>
                <w:szCs w:val="16"/>
              </w:rPr>
            </w:pPr>
            <w:r>
              <w:rPr>
                <w:rFonts w:ascii="Times New Roman"/>
                <w:spacing w:val="-1"/>
                <w:sz w:val="16"/>
              </w:rPr>
              <w:t>0.00</w:t>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6"/>
              <w:jc w:val="right"/>
              <w:rPr>
                <w:rFonts w:ascii="Times New Roman" w:hAnsi="Times New Roman" w:cs="Times New Roman" w:eastAsia="Times New Roman" w:hint="default"/>
                <w:sz w:val="16"/>
                <w:szCs w:val="16"/>
              </w:rPr>
            </w:pPr>
            <w:r>
              <w:rPr>
                <w:rFonts w:ascii="Times New Roman"/>
                <w:spacing w:val="-2"/>
                <w:sz w:val="16"/>
              </w:rPr>
              <w:t>21,450,909.87</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4"/>
              <w:jc w:val="right"/>
              <w:rPr>
                <w:rFonts w:ascii="Times New Roman" w:hAnsi="Times New Roman" w:cs="Times New Roman" w:eastAsia="Times New Roman" w:hint="default"/>
                <w:sz w:val="16"/>
                <w:szCs w:val="16"/>
              </w:rPr>
            </w:pPr>
            <w:r>
              <w:rPr>
                <w:rFonts w:ascii="Times New Roman"/>
                <w:spacing w:val="-1"/>
                <w:sz w:val="16"/>
              </w:rPr>
              <w:t>799,231,206.29</w:t>
            </w:r>
            <w:r>
              <w:rPr>
                <w:rFonts w:ascii="Times New Roman"/>
                <w:sz w:val="16"/>
              </w:rPr>
            </w:r>
          </w:p>
        </w:tc>
      </w:tr>
      <w:tr>
        <w:trPr>
          <w:trHeight w:val="283" w:hRule="exact"/>
        </w:trPr>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5"/>
              <w:ind w:left="40" w:right="0"/>
              <w:jc w:val="left"/>
              <w:rPr>
                <w:rFonts w:ascii="宋体" w:hAnsi="宋体" w:cs="宋体" w:eastAsia="宋体" w:hint="default"/>
                <w:sz w:val="16"/>
                <w:szCs w:val="16"/>
              </w:rPr>
            </w:pPr>
            <w:r>
              <w:rPr>
                <w:rFonts w:ascii="宋体" w:hAnsi="宋体" w:cs="宋体" w:eastAsia="宋体" w:hint="default"/>
                <w:sz w:val="16"/>
                <w:szCs w:val="16"/>
              </w:rPr>
              <w:t>无形资产减值准备</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15"/>
              <w:jc w:val="right"/>
              <w:rPr>
                <w:rFonts w:ascii="Times New Roman" w:hAnsi="Times New Roman" w:cs="Times New Roman" w:eastAsia="Times New Roman" w:hint="default"/>
                <w:sz w:val="16"/>
                <w:szCs w:val="16"/>
              </w:rPr>
            </w:pPr>
            <w:r>
              <w:rPr>
                <w:rFonts w:ascii="Times New Roman"/>
                <w:spacing w:val="-2"/>
                <w:sz w:val="16"/>
              </w:rPr>
              <w:t>73,783,123.81</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6"/>
                <w:szCs w:val="16"/>
              </w:rPr>
            </w:pPr>
            <w:r>
              <w:rPr>
                <w:rFonts w:ascii="Times New Roman"/>
                <w:spacing w:val="-1"/>
                <w:sz w:val="16"/>
              </w:rPr>
              <w:t>0.00</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49"/>
              <w:jc w:val="right"/>
              <w:rPr>
                <w:rFonts w:ascii="Times New Roman" w:hAnsi="Times New Roman" w:cs="Times New Roman" w:eastAsia="Times New Roman" w:hint="default"/>
                <w:sz w:val="16"/>
                <w:szCs w:val="16"/>
              </w:rPr>
            </w:pPr>
            <w:r>
              <w:rPr>
                <w:rFonts w:ascii="Times New Roman"/>
                <w:spacing w:val="-1"/>
                <w:sz w:val="16"/>
              </w:rPr>
              <w:t>3,990,950.85</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0"/>
              <w:jc w:val="right"/>
              <w:rPr>
                <w:rFonts w:ascii="Times New Roman" w:hAnsi="Times New Roman" w:cs="Times New Roman" w:eastAsia="Times New Roman" w:hint="default"/>
                <w:sz w:val="16"/>
                <w:szCs w:val="16"/>
              </w:rPr>
            </w:pPr>
            <w:r>
              <w:rPr>
                <w:rFonts w:ascii="Times New Roman"/>
                <w:spacing w:val="-1"/>
                <w:sz w:val="16"/>
              </w:rPr>
              <w:t>0.00</w:t>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5"/>
              <w:jc w:val="right"/>
              <w:rPr>
                <w:rFonts w:ascii="Times New Roman" w:hAnsi="Times New Roman" w:cs="Times New Roman" w:eastAsia="Times New Roman" w:hint="default"/>
                <w:sz w:val="16"/>
                <w:szCs w:val="16"/>
              </w:rPr>
            </w:pPr>
            <w:r>
              <w:rPr>
                <w:rFonts w:ascii="Times New Roman"/>
                <w:spacing w:val="-1"/>
                <w:sz w:val="16"/>
              </w:rPr>
              <w:t>0.00</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5"/>
              <w:jc w:val="right"/>
              <w:rPr>
                <w:rFonts w:ascii="Times New Roman" w:hAnsi="Times New Roman" w:cs="Times New Roman" w:eastAsia="Times New Roman" w:hint="default"/>
                <w:sz w:val="16"/>
                <w:szCs w:val="16"/>
              </w:rPr>
            </w:pPr>
            <w:r>
              <w:rPr>
                <w:rFonts w:ascii="Times New Roman"/>
                <w:spacing w:val="-1"/>
                <w:sz w:val="16"/>
              </w:rPr>
              <w:t>77,774,074.66</w:t>
            </w:r>
          </w:p>
        </w:tc>
      </w:tr>
      <w:tr>
        <w:trPr>
          <w:trHeight w:val="286" w:hRule="exact"/>
        </w:trPr>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5"/>
              <w:ind w:left="40" w:right="0"/>
              <w:jc w:val="left"/>
              <w:rPr>
                <w:rFonts w:ascii="宋体" w:hAnsi="宋体" w:cs="宋体" w:eastAsia="宋体" w:hint="default"/>
                <w:sz w:val="16"/>
                <w:szCs w:val="16"/>
              </w:rPr>
            </w:pPr>
            <w:r>
              <w:rPr>
                <w:rFonts w:ascii="宋体" w:hAnsi="宋体" w:cs="宋体" w:eastAsia="宋体" w:hint="default"/>
                <w:sz w:val="16"/>
                <w:szCs w:val="16"/>
              </w:rPr>
              <w:t>在建工程减值准备</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5"/>
              <w:jc w:val="right"/>
              <w:rPr>
                <w:rFonts w:ascii="Times New Roman" w:hAnsi="Times New Roman" w:cs="Times New Roman" w:eastAsia="Times New Roman" w:hint="default"/>
                <w:sz w:val="16"/>
                <w:szCs w:val="16"/>
              </w:rPr>
            </w:pPr>
            <w:r>
              <w:rPr>
                <w:rFonts w:ascii="Times New Roman"/>
                <w:spacing w:val="-2"/>
                <w:sz w:val="16"/>
              </w:rPr>
              <w:t>42,842,061.30</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6"/>
                <w:szCs w:val="16"/>
              </w:rPr>
            </w:pPr>
            <w:r>
              <w:rPr>
                <w:rFonts w:ascii="Times New Roman"/>
                <w:spacing w:val="-1"/>
                <w:sz w:val="16"/>
              </w:rPr>
              <w:t>13,768,136.84</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9"/>
              <w:jc w:val="right"/>
              <w:rPr>
                <w:rFonts w:ascii="Times New Roman" w:hAnsi="Times New Roman" w:cs="Times New Roman" w:eastAsia="Times New Roman" w:hint="default"/>
                <w:sz w:val="16"/>
                <w:szCs w:val="16"/>
              </w:rPr>
            </w:pPr>
            <w:r>
              <w:rPr>
                <w:rFonts w:ascii="Times New Roman"/>
                <w:spacing w:val="-1"/>
                <w:sz w:val="16"/>
              </w:rPr>
              <w:t>0.00</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0"/>
              <w:jc w:val="right"/>
              <w:rPr>
                <w:rFonts w:ascii="Times New Roman" w:hAnsi="Times New Roman" w:cs="Times New Roman" w:eastAsia="Times New Roman" w:hint="default"/>
                <w:sz w:val="16"/>
                <w:szCs w:val="16"/>
              </w:rPr>
            </w:pPr>
            <w:r>
              <w:rPr>
                <w:rFonts w:ascii="Times New Roman"/>
                <w:spacing w:val="-1"/>
                <w:sz w:val="16"/>
              </w:rPr>
              <w:t>0.00</w:t>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4"/>
              <w:jc w:val="right"/>
              <w:rPr>
                <w:rFonts w:ascii="Times New Roman" w:hAnsi="Times New Roman" w:cs="Times New Roman" w:eastAsia="Times New Roman" w:hint="default"/>
                <w:sz w:val="16"/>
                <w:szCs w:val="16"/>
              </w:rPr>
            </w:pPr>
            <w:r>
              <w:rPr>
                <w:rFonts w:ascii="Times New Roman"/>
                <w:spacing w:val="-1"/>
                <w:sz w:val="16"/>
              </w:rPr>
              <w:t>41,969,060.00</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5"/>
              <w:jc w:val="right"/>
              <w:rPr>
                <w:rFonts w:ascii="Times New Roman" w:hAnsi="Times New Roman" w:cs="Times New Roman" w:eastAsia="Times New Roman" w:hint="default"/>
                <w:sz w:val="16"/>
                <w:szCs w:val="16"/>
              </w:rPr>
            </w:pPr>
            <w:r>
              <w:rPr>
                <w:rFonts w:ascii="Times New Roman"/>
                <w:spacing w:val="-1"/>
                <w:sz w:val="16"/>
              </w:rPr>
              <w:t>14,641,138.14</w:t>
            </w:r>
          </w:p>
        </w:tc>
      </w:tr>
      <w:tr>
        <w:trPr>
          <w:trHeight w:val="286" w:hRule="exact"/>
        </w:trPr>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5"/>
              <w:ind w:left="40" w:right="0"/>
              <w:jc w:val="left"/>
              <w:rPr>
                <w:rFonts w:ascii="宋体" w:hAnsi="宋体" w:cs="宋体" w:eastAsia="宋体" w:hint="default"/>
                <w:sz w:val="16"/>
                <w:szCs w:val="16"/>
              </w:rPr>
            </w:pPr>
            <w:r>
              <w:rPr>
                <w:rFonts w:ascii="宋体" w:hAnsi="宋体" w:cs="宋体" w:eastAsia="宋体" w:hint="default"/>
                <w:sz w:val="16"/>
                <w:szCs w:val="16"/>
              </w:rPr>
              <w:t>长期股权投资减值准备</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5"/>
              <w:jc w:val="right"/>
              <w:rPr>
                <w:rFonts w:ascii="Times New Roman" w:hAnsi="Times New Roman" w:cs="Times New Roman" w:eastAsia="Times New Roman" w:hint="default"/>
                <w:sz w:val="16"/>
                <w:szCs w:val="16"/>
              </w:rPr>
            </w:pPr>
            <w:r>
              <w:rPr>
                <w:rFonts w:ascii="Times New Roman"/>
                <w:spacing w:val="-2"/>
                <w:sz w:val="16"/>
              </w:rPr>
              <w:t>22,811,859.30</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6"/>
                <w:szCs w:val="16"/>
              </w:rPr>
            </w:pPr>
            <w:r>
              <w:rPr>
                <w:rFonts w:ascii="Times New Roman"/>
                <w:spacing w:val="-1"/>
                <w:sz w:val="16"/>
              </w:rPr>
              <w:t>0.00</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9"/>
              <w:jc w:val="right"/>
              <w:rPr>
                <w:rFonts w:ascii="Times New Roman" w:hAnsi="Times New Roman" w:cs="Times New Roman" w:eastAsia="Times New Roman" w:hint="default"/>
                <w:sz w:val="16"/>
                <w:szCs w:val="16"/>
              </w:rPr>
            </w:pPr>
            <w:r>
              <w:rPr>
                <w:rFonts w:ascii="Times New Roman"/>
                <w:spacing w:val="-1"/>
                <w:sz w:val="16"/>
              </w:rPr>
              <w:t>0.00</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0"/>
              <w:jc w:val="right"/>
              <w:rPr>
                <w:rFonts w:ascii="Times New Roman" w:hAnsi="Times New Roman" w:cs="Times New Roman" w:eastAsia="Times New Roman" w:hint="default"/>
                <w:sz w:val="16"/>
                <w:szCs w:val="16"/>
              </w:rPr>
            </w:pPr>
            <w:r>
              <w:rPr>
                <w:rFonts w:ascii="Times New Roman"/>
                <w:spacing w:val="-1"/>
                <w:sz w:val="16"/>
              </w:rPr>
              <w:t>0.00</w:t>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5"/>
              <w:jc w:val="right"/>
              <w:rPr>
                <w:rFonts w:ascii="Times New Roman" w:hAnsi="Times New Roman" w:cs="Times New Roman" w:eastAsia="Times New Roman" w:hint="default"/>
                <w:sz w:val="16"/>
                <w:szCs w:val="16"/>
              </w:rPr>
            </w:pPr>
            <w:r>
              <w:rPr>
                <w:rFonts w:ascii="Times New Roman"/>
                <w:spacing w:val="-1"/>
                <w:sz w:val="16"/>
              </w:rPr>
              <w:t>0.00</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5"/>
              <w:jc w:val="right"/>
              <w:rPr>
                <w:rFonts w:ascii="Times New Roman" w:hAnsi="Times New Roman" w:cs="Times New Roman" w:eastAsia="Times New Roman" w:hint="default"/>
                <w:sz w:val="16"/>
                <w:szCs w:val="16"/>
              </w:rPr>
            </w:pPr>
            <w:r>
              <w:rPr>
                <w:rFonts w:ascii="Times New Roman"/>
                <w:spacing w:val="-1"/>
                <w:sz w:val="16"/>
              </w:rPr>
              <w:t>22,811,859.30</w:t>
            </w:r>
          </w:p>
        </w:tc>
      </w:tr>
      <w:tr>
        <w:trPr>
          <w:trHeight w:val="286" w:hRule="exact"/>
        </w:trPr>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5"/>
              <w:ind w:left="40" w:right="0"/>
              <w:jc w:val="left"/>
              <w:rPr>
                <w:rFonts w:ascii="宋体" w:hAnsi="宋体" w:cs="宋体" w:eastAsia="宋体" w:hint="default"/>
                <w:sz w:val="16"/>
                <w:szCs w:val="16"/>
              </w:rPr>
            </w:pPr>
            <w:r>
              <w:rPr>
                <w:rFonts w:ascii="宋体" w:hAnsi="宋体" w:cs="宋体" w:eastAsia="宋体" w:hint="default"/>
                <w:sz w:val="16"/>
                <w:szCs w:val="16"/>
              </w:rPr>
              <w:t>商誉减值准备</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5"/>
              <w:jc w:val="right"/>
              <w:rPr>
                <w:rFonts w:ascii="Times New Roman" w:hAnsi="Times New Roman" w:cs="Times New Roman" w:eastAsia="Times New Roman" w:hint="default"/>
                <w:sz w:val="16"/>
                <w:szCs w:val="16"/>
              </w:rPr>
            </w:pPr>
            <w:r>
              <w:rPr>
                <w:rFonts w:ascii="Times New Roman"/>
                <w:spacing w:val="-2"/>
                <w:sz w:val="16"/>
              </w:rPr>
              <w:t>14,857,349.98</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6"/>
                <w:szCs w:val="16"/>
              </w:rPr>
            </w:pPr>
            <w:r>
              <w:rPr>
                <w:rFonts w:ascii="Times New Roman"/>
                <w:spacing w:val="-1"/>
                <w:sz w:val="16"/>
              </w:rPr>
              <w:t>0.00</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9"/>
              <w:jc w:val="right"/>
              <w:rPr>
                <w:rFonts w:ascii="Times New Roman" w:hAnsi="Times New Roman" w:cs="Times New Roman" w:eastAsia="Times New Roman" w:hint="default"/>
                <w:sz w:val="16"/>
                <w:szCs w:val="16"/>
              </w:rPr>
            </w:pPr>
            <w:r>
              <w:rPr>
                <w:rFonts w:ascii="Times New Roman"/>
                <w:spacing w:val="-1"/>
                <w:sz w:val="16"/>
              </w:rPr>
              <w:t>34,441.68</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0"/>
              <w:jc w:val="right"/>
              <w:rPr>
                <w:rFonts w:ascii="Times New Roman" w:hAnsi="Times New Roman" w:cs="Times New Roman" w:eastAsia="Times New Roman" w:hint="default"/>
                <w:sz w:val="16"/>
                <w:szCs w:val="16"/>
              </w:rPr>
            </w:pPr>
            <w:r>
              <w:rPr>
                <w:rFonts w:ascii="Times New Roman"/>
                <w:spacing w:val="-1"/>
                <w:sz w:val="16"/>
              </w:rPr>
              <w:t>0.00</w:t>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6"/>
              <w:jc w:val="right"/>
              <w:rPr>
                <w:rFonts w:ascii="Times New Roman" w:hAnsi="Times New Roman" w:cs="Times New Roman" w:eastAsia="Times New Roman" w:hint="default"/>
                <w:sz w:val="16"/>
                <w:szCs w:val="16"/>
              </w:rPr>
            </w:pPr>
            <w:r>
              <w:rPr>
                <w:rFonts w:ascii="Times New Roman"/>
                <w:spacing w:val="-1"/>
                <w:sz w:val="16"/>
              </w:rPr>
              <w:t>2,818,400.57</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5"/>
              <w:jc w:val="right"/>
              <w:rPr>
                <w:rFonts w:ascii="Times New Roman" w:hAnsi="Times New Roman" w:cs="Times New Roman" w:eastAsia="Times New Roman" w:hint="default"/>
                <w:sz w:val="16"/>
                <w:szCs w:val="16"/>
              </w:rPr>
            </w:pPr>
            <w:r>
              <w:rPr>
                <w:rFonts w:ascii="Times New Roman"/>
                <w:spacing w:val="-1"/>
                <w:sz w:val="16"/>
              </w:rPr>
              <w:t>12,073,391.09</w:t>
            </w:r>
          </w:p>
        </w:tc>
      </w:tr>
      <w:tr>
        <w:trPr>
          <w:trHeight w:val="243" w:hRule="exact"/>
        </w:trPr>
        <w:tc>
          <w:tcPr>
            <w:tcW w:w="1996" w:type="dxa"/>
            <w:tcBorders>
              <w:top w:val="nil" w:sz="6" w:space="0" w:color="auto"/>
              <w:left w:val="nil" w:sz="6" w:space="0" w:color="auto"/>
              <w:bottom w:val="single" w:sz="4" w:space="0" w:color="000000"/>
              <w:right w:val="nil" w:sz="6" w:space="0" w:color="auto"/>
            </w:tcBorders>
          </w:tcPr>
          <w:p>
            <w:pPr>
              <w:pStyle w:val="TableParagraph"/>
              <w:spacing w:line="240" w:lineRule="auto" w:before="5"/>
              <w:ind w:left="40" w:right="0"/>
              <w:jc w:val="left"/>
              <w:rPr>
                <w:rFonts w:ascii="宋体" w:hAnsi="宋体" w:cs="宋体" w:eastAsia="宋体" w:hint="default"/>
                <w:sz w:val="16"/>
                <w:szCs w:val="16"/>
              </w:rPr>
            </w:pPr>
            <w:r>
              <w:rPr>
                <w:rFonts w:ascii="宋体" w:hAnsi="宋体" w:cs="宋体" w:eastAsia="宋体" w:hint="default"/>
                <w:sz w:val="16"/>
                <w:szCs w:val="16"/>
              </w:rPr>
              <w:t>可供出售金融资产减值准备</w:t>
            </w:r>
          </w:p>
        </w:tc>
        <w:tc>
          <w:tcPr>
            <w:tcW w:w="1269" w:type="dxa"/>
            <w:tcBorders>
              <w:top w:val="nil" w:sz="6" w:space="0" w:color="auto"/>
              <w:left w:val="nil" w:sz="6" w:space="0" w:color="auto"/>
              <w:bottom w:val="single" w:sz="4" w:space="0" w:color="000000"/>
              <w:right w:val="nil" w:sz="6" w:space="0" w:color="auto"/>
            </w:tcBorders>
          </w:tcPr>
          <w:p>
            <w:pPr>
              <w:pStyle w:val="TableParagraph"/>
              <w:spacing w:line="240" w:lineRule="auto" w:before="48"/>
              <w:ind w:right="112"/>
              <w:jc w:val="right"/>
              <w:rPr>
                <w:rFonts w:ascii="Times New Roman" w:hAnsi="Times New Roman" w:cs="Times New Roman" w:eastAsia="Times New Roman" w:hint="default"/>
                <w:sz w:val="16"/>
                <w:szCs w:val="16"/>
              </w:rPr>
            </w:pPr>
            <w:r>
              <w:rPr>
                <w:rFonts w:ascii="Times New Roman"/>
                <w:spacing w:val="-1"/>
                <w:sz w:val="16"/>
              </w:rPr>
              <w:t>3,646,021.21</w:t>
            </w:r>
          </w:p>
        </w:tc>
        <w:tc>
          <w:tcPr>
            <w:tcW w:w="1224" w:type="dxa"/>
            <w:tcBorders>
              <w:top w:val="nil" w:sz="6" w:space="0" w:color="auto"/>
              <w:left w:val="nil" w:sz="6" w:space="0" w:color="auto"/>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6"/>
                <w:szCs w:val="16"/>
              </w:rPr>
            </w:pPr>
            <w:r>
              <w:rPr>
                <w:rFonts w:ascii="Times New Roman"/>
                <w:spacing w:val="-1"/>
                <w:sz w:val="16"/>
              </w:rPr>
              <w:t>0.00</w:t>
            </w:r>
          </w:p>
        </w:tc>
        <w:tc>
          <w:tcPr>
            <w:tcW w:w="1079" w:type="dxa"/>
            <w:tcBorders>
              <w:top w:val="nil" w:sz="6" w:space="0" w:color="auto"/>
              <w:left w:val="nil" w:sz="6" w:space="0" w:color="auto"/>
              <w:bottom w:val="single" w:sz="4" w:space="0" w:color="000000"/>
              <w:right w:val="nil" w:sz="6" w:space="0" w:color="auto"/>
            </w:tcBorders>
          </w:tcPr>
          <w:p>
            <w:pPr>
              <w:pStyle w:val="TableParagraph"/>
              <w:spacing w:line="240" w:lineRule="auto" w:before="48"/>
              <w:ind w:right="49"/>
              <w:jc w:val="right"/>
              <w:rPr>
                <w:rFonts w:ascii="Times New Roman" w:hAnsi="Times New Roman" w:cs="Times New Roman" w:eastAsia="Times New Roman" w:hint="default"/>
                <w:sz w:val="16"/>
                <w:szCs w:val="16"/>
              </w:rPr>
            </w:pPr>
            <w:r>
              <w:rPr>
                <w:rFonts w:ascii="Times New Roman"/>
                <w:spacing w:val="-1"/>
                <w:sz w:val="16"/>
              </w:rPr>
              <w:t>0.00</w:t>
            </w:r>
          </w:p>
        </w:tc>
        <w:tc>
          <w:tcPr>
            <w:tcW w:w="1003" w:type="dxa"/>
            <w:tcBorders>
              <w:top w:val="nil" w:sz="6" w:space="0" w:color="auto"/>
              <w:left w:val="nil" w:sz="6" w:space="0" w:color="auto"/>
              <w:bottom w:val="single" w:sz="4" w:space="0" w:color="000000"/>
              <w:right w:val="nil" w:sz="6" w:space="0" w:color="auto"/>
            </w:tcBorders>
          </w:tcPr>
          <w:p>
            <w:pPr>
              <w:pStyle w:val="TableParagraph"/>
              <w:spacing w:line="240" w:lineRule="auto" w:before="48"/>
              <w:ind w:right="30"/>
              <w:jc w:val="right"/>
              <w:rPr>
                <w:rFonts w:ascii="Times New Roman" w:hAnsi="Times New Roman" w:cs="Times New Roman" w:eastAsia="Times New Roman" w:hint="default"/>
                <w:sz w:val="16"/>
                <w:szCs w:val="16"/>
              </w:rPr>
            </w:pPr>
            <w:r>
              <w:rPr>
                <w:rFonts w:ascii="Times New Roman"/>
                <w:spacing w:val="-1"/>
                <w:sz w:val="16"/>
              </w:rPr>
              <w:t>0.00</w:t>
            </w:r>
          </w:p>
        </w:tc>
        <w:tc>
          <w:tcPr>
            <w:tcW w:w="1062" w:type="dxa"/>
            <w:tcBorders>
              <w:top w:val="nil" w:sz="6" w:space="0" w:color="auto"/>
              <w:left w:val="nil" w:sz="6" w:space="0" w:color="auto"/>
              <w:bottom w:val="single" w:sz="4" w:space="0" w:color="000000"/>
              <w:right w:val="nil" w:sz="6" w:space="0" w:color="auto"/>
            </w:tcBorders>
          </w:tcPr>
          <w:p>
            <w:pPr>
              <w:pStyle w:val="TableParagraph"/>
              <w:spacing w:line="240" w:lineRule="auto" w:before="48"/>
              <w:ind w:right="25"/>
              <w:jc w:val="right"/>
              <w:rPr>
                <w:rFonts w:ascii="Times New Roman" w:hAnsi="Times New Roman" w:cs="Times New Roman" w:eastAsia="Times New Roman" w:hint="default"/>
                <w:sz w:val="16"/>
                <w:szCs w:val="16"/>
              </w:rPr>
            </w:pPr>
            <w:r>
              <w:rPr>
                <w:rFonts w:ascii="Times New Roman"/>
                <w:spacing w:val="-1"/>
                <w:sz w:val="16"/>
              </w:rPr>
              <w:t>182,735.50</w:t>
            </w:r>
          </w:p>
        </w:tc>
        <w:tc>
          <w:tcPr>
            <w:tcW w:w="1177" w:type="dxa"/>
            <w:tcBorders>
              <w:top w:val="nil" w:sz="6" w:space="0" w:color="auto"/>
              <w:left w:val="nil" w:sz="6" w:space="0" w:color="auto"/>
              <w:bottom w:val="single" w:sz="4" w:space="0" w:color="000000"/>
              <w:right w:val="nil" w:sz="6" w:space="0" w:color="auto"/>
            </w:tcBorders>
          </w:tcPr>
          <w:p>
            <w:pPr>
              <w:pStyle w:val="TableParagraph"/>
              <w:spacing w:line="240" w:lineRule="auto" w:before="48"/>
              <w:ind w:right="25"/>
              <w:jc w:val="right"/>
              <w:rPr>
                <w:rFonts w:ascii="Times New Roman" w:hAnsi="Times New Roman" w:cs="Times New Roman" w:eastAsia="Times New Roman" w:hint="default"/>
                <w:sz w:val="16"/>
                <w:szCs w:val="16"/>
              </w:rPr>
            </w:pPr>
            <w:r>
              <w:rPr>
                <w:rFonts w:ascii="Times New Roman"/>
                <w:spacing w:val="-1"/>
                <w:sz w:val="16"/>
              </w:rPr>
              <w:t>3,463,285.71</w:t>
            </w:r>
          </w:p>
        </w:tc>
      </w:tr>
      <w:tr>
        <w:trPr>
          <w:trHeight w:val="305" w:hRule="exact"/>
        </w:trPr>
        <w:tc>
          <w:tcPr>
            <w:tcW w:w="1996" w:type="dxa"/>
            <w:tcBorders>
              <w:top w:val="single" w:sz="4" w:space="0" w:color="000000"/>
              <w:left w:val="nil" w:sz="6" w:space="0" w:color="auto"/>
              <w:bottom w:val="single" w:sz="12" w:space="0" w:color="000000"/>
              <w:right w:val="nil" w:sz="6" w:space="0" w:color="auto"/>
            </w:tcBorders>
          </w:tcPr>
          <w:p>
            <w:pPr>
              <w:pStyle w:val="TableParagraph"/>
              <w:spacing w:line="240" w:lineRule="auto" w:before="53"/>
              <w:ind w:left="40" w:right="0"/>
              <w:jc w:val="left"/>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c>
        <w:tc>
          <w:tcPr>
            <w:tcW w:w="1269"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113"/>
              <w:jc w:val="right"/>
              <w:rPr>
                <w:rFonts w:ascii="Times New Roman" w:hAnsi="Times New Roman" w:cs="Times New Roman" w:eastAsia="Times New Roman" w:hint="default"/>
                <w:sz w:val="16"/>
                <w:szCs w:val="16"/>
              </w:rPr>
            </w:pPr>
            <w:r>
              <w:rPr>
                <w:rFonts w:ascii="Times New Roman"/>
                <w:b/>
                <w:spacing w:val="-1"/>
                <w:sz w:val="16"/>
              </w:rPr>
              <w:t>2,872,405,355.60</w:t>
            </w:r>
            <w:r>
              <w:rPr>
                <w:rFonts w:ascii="Times New Roman"/>
                <w:spacing w:val="-1"/>
                <w:sz w:val="16"/>
              </w:rPr>
            </w:r>
          </w:p>
        </w:tc>
        <w:tc>
          <w:tcPr>
            <w:tcW w:w="1224"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6"/>
                <w:szCs w:val="16"/>
              </w:rPr>
            </w:pPr>
            <w:r>
              <w:rPr>
                <w:rFonts w:ascii="Times New Roman"/>
                <w:b/>
                <w:spacing w:val="-1"/>
                <w:sz w:val="16"/>
              </w:rPr>
              <w:t>549,390,800.92</w:t>
            </w:r>
            <w:r>
              <w:rPr>
                <w:rFonts w:ascii="Times New Roman"/>
                <w:spacing w:val="-1"/>
                <w:sz w:val="16"/>
              </w:rPr>
            </w:r>
          </w:p>
        </w:tc>
        <w:tc>
          <w:tcPr>
            <w:tcW w:w="1079"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50"/>
              <w:jc w:val="right"/>
              <w:rPr>
                <w:rFonts w:ascii="Times New Roman" w:hAnsi="Times New Roman" w:cs="Times New Roman" w:eastAsia="Times New Roman" w:hint="default"/>
                <w:sz w:val="16"/>
                <w:szCs w:val="16"/>
              </w:rPr>
            </w:pPr>
            <w:r>
              <w:rPr>
                <w:rFonts w:ascii="Times New Roman"/>
                <w:b/>
                <w:spacing w:val="-1"/>
                <w:sz w:val="16"/>
              </w:rPr>
              <w:t>56,043,430.80</w:t>
            </w:r>
            <w:r>
              <w:rPr>
                <w:rFonts w:ascii="Times New Roman"/>
                <w:spacing w:val="-1"/>
                <w:sz w:val="16"/>
              </w:rPr>
            </w:r>
          </w:p>
        </w:tc>
        <w:tc>
          <w:tcPr>
            <w:tcW w:w="1003"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30"/>
              <w:jc w:val="right"/>
              <w:rPr>
                <w:rFonts w:ascii="Times New Roman" w:hAnsi="Times New Roman" w:cs="Times New Roman" w:eastAsia="Times New Roman" w:hint="default"/>
                <w:sz w:val="16"/>
                <w:szCs w:val="16"/>
              </w:rPr>
            </w:pPr>
            <w:r>
              <w:rPr>
                <w:rFonts w:ascii="Times New Roman"/>
                <w:b/>
                <w:spacing w:val="-2"/>
                <w:sz w:val="16"/>
              </w:rPr>
              <w:t>70,949,003.64</w:t>
            </w:r>
            <w:r>
              <w:rPr>
                <w:rFonts w:ascii="Times New Roman"/>
                <w:spacing w:val="-2"/>
                <w:sz w:val="16"/>
              </w:rPr>
            </w:r>
          </w:p>
        </w:tc>
        <w:tc>
          <w:tcPr>
            <w:tcW w:w="1062"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26"/>
              <w:jc w:val="right"/>
              <w:rPr>
                <w:rFonts w:ascii="Times New Roman" w:hAnsi="Times New Roman" w:cs="Times New Roman" w:eastAsia="Times New Roman" w:hint="default"/>
                <w:sz w:val="16"/>
                <w:szCs w:val="16"/>
              </w:rPr>
            </w:pPr>
            <w:r>
              <w:rPr>
                <w:rFonts w:ascii="Times New Roman"/>
                <w:b/>
                <w:spacing w:val="-1"/>
                <w:sz w:val="16"/>
              </w:rPr>
              <w:t>187,395,069.60</w:t>
            </w:r>
            <w:r>
              <w:rPr>
                <w:rFonts w:ascii="Times New Roman"/>
                <w:spacing w:val="-1"/>
                <w:sz w:val="16"/>
              </w:rPr>
            </w:r>
          </w:p>
        </w:tc>
        <w:tc>
          <w:tcPr>
            <w:tcW w:w="1177"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26"/>
              <w:jc w:val="right"/>
              <w:rPr>
                <w:rFonts w:ascii="Times New Roman" w:hAnsi="Times New Roman" w:cs="Times New Roman" w:eastAsia="Times New Roman" w:hint="default"/>
                <w:sz w:val="16"/>
                <w:szCs w:val="16"/>
              </w:rPr>
            </w:pPr>
            <w:r>
              <w:rPr>
                <w:rFonts w:ascii="Times New Roman"/>
                <w:b/>
                <w:spacing w:val="-1"/>
                <w:sz w:val="16"/>
              </w:rPr>
              <w:t>3,219,495,514.08</w:t>
            </w:r>
            <w:r>
              <w:rPr>
                <w:rFonts w:ascii="Times New Roman"/>
                <w:spacing w:val="-1"/>
                <w:sz w:val="16"/>
              </w:rPr>
            </w:r>
          </w:p>
        </w:tc>
      </w:tr>
    </w:tbl>
    <w:p>
      <w:pPr>
        <w:spacing w:before="81"/>
        <w:ind w:left="66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22.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短期借款</w:t>
      </w:r>
    </w:p>
    <w:p>
      <w:pPr>
        <w:spacing w:line="240" w:lineRule="auto" w:before="8"/>
        <w:rPr>
          <w:rFonts w:ascii="宋体" w:hAnsi="宋体" w:cs="宋体" w:eastAsia="宋体" w:hint="default"/>
          <w:sz w:val="11"/>
          <w:szCs w:val="11"/>
        </w:rPr>
      </w:pPr>
    </w:p>
    <w:tbl>
      <w:tblPr>
        <w:tblW w:w="0" w:type="auto"/>
        <w:jc w:val="left"/>
        <w:tblInd w:w="154" w:type="dxa"/>
        <w:tblLayout w:type="fixed"/>
        <w:tblCellMar>
          <w:top w:w="0" w:type="dxa"/>
          <w:left w:w="0" w:type="dxa"/>
          <w:bottom w:w="0" w:type="dxa"/>
          <w:right w:w="0" w:type="dxa"/>
        </w:tblCellMar>
        <w:tblLook w:val="01E0"/>
      </w:tblPr>
      <w:tblGrid>
        <w:gridCol w:w="2639"/>
        <w:gridCol w:w="3849"/>
        <w:gridCol w:w="2237"/>
      </w:tblGrid>
      <w:tr>
        <w:trPr>
          <w:trHeight w:val="305" w:hRule="exact"/>
        </w:trPr>
        <w:tc>
          <w:tcPr>
            <w:tcW w:w="263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借款类别</w:t>
            </w:r>
            <w:r>
              <w:rPr>
                <w:rFonts w:ascii="宋体" w:hAnsi="宋体" w:cs="宋体" w:eastAsia="宋体" w:hint="default"/>
                <w:sz w:val="18"/>
                <w:szCs w:val="18"/>
              </w:rPr>
            </w:r>
          </w:p>
        </w:tc>
        <w:tc>
          <w:tcPr>
            <w:tcW w:w="384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777"/>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23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6" w:hRule="exact"/>
        </w:trPr>
        <w:tc>
          <w:tcPr>
            <w:tcW w:w="2639"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849"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right="777"/>
              <w:jc w:val="right"/>
              <w:rPr>
                <w:rFonts w:ascii="Times New Roman" w:hAnsi="Times New Roman" w:cs="Times New Roman" w:eastAsia="Times New Roman" w:hint="default"/>
                <w:sz w:val="18"/>
                <w:szCs w:val="18"/>
              </w:rPr>
            </w:pPr>
            <w:r>
              <w:rPr>
                <w:rFonts w:ascii="Times New Roman"/>
                <w:spacing w:val="-1"/>
                <w:sz w:val="18"/>
              </w:rPr>
              <w:t>5,352,210,852.32</w:t>
            </w:r>
          </w:p>
        </w:tc>
        <w:tc>
          <w:tcPr>
            <w:tcW w:w="2237"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right="106"/>
              <w:jc w:val="right"/>
              <w:rPr>
                <w:rFonts w:ascii="Times New Roman" w:hAnsi="Times New Roman" w:cs="Times New Roman" w:eastAsia="Times New Roman" w:hint="default"/>
                <w:sz w:val="18"/>
                <w:szCs w:val="18"/>
              </w:rPr>
            </w:pPr>
            <w:r>
              <w:rPr>
                <w:rFonts w:ascii="Times New Roman"/>
                <w:spacing w:val="-1"/>
                <w:sz w:val="18"/>
              </w:rPr>
              <w:t>7,818,850,163.13</w:t>
            </w:r>
          </w:p>
        </w:tc>
      </w:tr>
      <w:tr>
        <w:trPr>
          <w:trHeight w:val="284" w:hRule="exact"/>
        </w:trPr>
        <w:tc>
          <w:tcPr>
            <w:tcW w:w="2639"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抵押借款</w:t>
            </w:r>
          </w:p>
        </w:tc>
        <w:tc>
          <w:tcPr>
            <w:tcW w:w="38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76"/>
              <w:jc w:val="right"/>
              <w:rPr>
                <w:rFonts w:ascii="Times New Roman" w:hAnsi="Times New Roman" w:cs="Times New Roman" w:eastAsia="Times New Roman" w:hint="default"/>
                <w:sz w:val="18"/>
                <w:szCs w:val="18"/>
              </w:rPr>
            </w:pPr>
            <w:r>
              <w:rPr>
                <w:rFonts w:ascii="Times New Roman"/>
                <w:spacing w:val="-1"/>
                <w:sz w:val="18"/>
              </w:rPr>
              <w:t>53,247,683.90</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46,296,646.35</w:t>
            </w:r>
          </w:p>
        </w:tc>
      </w:tr>
      <w:tr>
        <w:trPr>
          <w:trHeight w:val="284" w:hRule="exact"/>
        </w:trPr>
        <w:tc>
          <w:tcPr>
            <w:tcW w:w="2639"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8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77"/>
              <w:jc w:val="right"/>
              <w:rPr>
                <w:rFonts w:ascii="Times New Roman" w:hAnsi="Times New Roman" w:cs="Times New Roman" w:eastAsia="Times New Roman" w:hint="default"/>
                <w:sz w:val="18"/>
                <w:szCs w:val="18"/>
              </w:rPr>
            </w:pPr>
            <w:r>
              <w:rPr>
                <w:rFonts w:ascii="Times New Roman"/>
                <w:spacing w:val="-1"/>
                <w:sz w:val="18"/>
              </w:rPr>
              <w:t>1,976,071,512.36</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Times New Roman" w:hAnsi="Times New Roman" w:cs="Times New Roman" w:eastAsia="Times New Roman" w:hint="default"/>
                <w:sz w:val="18"/>
                <w:szCs w:val="18"/>
              </w:rPr>
            </w:pPr>
            <w:r>
              <w:rPr>
                <w:rFonts w:ascii="Times New Roman"/>
                <w:spacing w:val="-1"/>
                <w:sz w:val="18"/>
              </w:rPr>
              <w:t>2,447,554,058.01</w:t>
            </w:r>
          </w:p>
        </w:tc>
      </w:tr>
      <w:tr>
        <w:trPr>
          <w:trHeight w:val="255" w:hRule="exact"/>
        </w:trPr>
        <w:tc>
          <w:tcPr>
            <w:tcW w:w="2639"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质押借款</w:t>
            </w:r>
          </w:p>
        </w:tc>
        <w:tc>
          <w:tcPr>
            <w:tcW w:w="3849"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776"/>
              <w:jc w:val="right"/>
              <w:rPr>
                <w:rFonts w:ascii="Times New Roman" w:hAnsi="Times New Roman" w:cs="Times New Roman" w:eastAsia="Times New Roman" w:hint="default"/>
                <w:sz w:val="18"/>
                <w:szCs w:val="18"/>
              </w:rPr>
            </w:pPr>
            <w:r>
              <w:rPr>
                <w:rFonts w:ascii="Times New Roman"/>
                <w:spacing w:val="-1"/>
                <w:sz w:val="18"/>
              </w:rPr>
              <w:t>0.00</w:t>
            </w:r>
          </w:p>
        </w:tc>
        <w:tc>
          <w:tcPr>
            <w:tcW w:w="2237"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120,000,000.00</w:t>
            </w:r>
          </w:p>
        </w:tc>
      </w:tr>
      <w:tr>
        <w:trPr>
          <w:trHeight w:val="307" w:hRule="exact"/>
        </w:trPr>
        <w:tc>
          <w:tcPr>
            <w:tcW w:w="2639"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84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778"/>
              <w:jc w:val="right"/>
              <w:rPr>
                <w:rFonts w:ascii="Times New Roman" w:hAnsi="Times New Roman" w:cs="Times New Roman" w:eastAsia="Times New Roman" w:hint="default"/>
                <w:sz w:val="18"/>
                <w:szCs w:val="18"/>
              </w:rPr>
            </w:pPr>
            <w:r>
              <w:rPr>
                <w:rFonts w:ascii="Times New Roman"/>
                <w:b/>
                <w:spacing w:val="-1"/>
                <w:sz w:val="18"/>
              </w:rPr>
              <w:t>7,381,530,048.58</w:t>
            </w:r>
            <w:r>
              <w:rPr>
                <w:rFonts w:ascii="Times New Roman"/>
                <w:spacing w:val="-1"/>
                <w:sz w:val="18"/>
              </w:rPr>
            </w:r>
          </w:p>
        </w:tc>
        <w:tc>
          <w:tcPr>
            <w:tcW w:w="2237"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10,432,700,867.49</w:t>
            </w:r>
            <w:r>
              <w:rPr>
                <w:rFonts w:ascii="Times New Roman"/>
                <w:spacing w:val="-1"/>
                <w:sz w:val="18"/>
              </w:rPr>
            </w:r>
          </w:p>
        </w:tc>
      </w:tr>
    </w:tbl>
    <w:p>
      <w:pPr>
        <w:spacing w:before="21"/>
        <w:ind w:left="701" w:right="0" w:firstLine="0"/>
        <w:jc w:val="left"/>
        <w:rPr>
          <w:rFonts w:ascii="宋体" w:hAnsi="宋体" w:cs="宋体" w:eastAsia="宋体" w:hint="default"/>
          <w:sz w:val="22"/>
          <w:szCs w:val="22"/>
        </w:rPr>
      </w:pPr>
      <w:r>
        <w:rPr>
          <w:rFonts w:ascii="宋体" w:hAnsi="宋体" w:cs="宋体" w:eastAsia="宋体" w:hint="default"/>
          <w:sz w:val="22"/>
          <w:szCs w:val="22"/>
        </w:rPr>
        <w:t>截至</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日，本公司短期抵押借款情况如下：本公司之三级子公司同方</w:t>
      </w:r>
    </w:p>
    <w:p>
      <w:pPr>
        <w:spacing w:before="53"/>
        <w:ind w:left="262" w:right="0" w:firstLine="0"/>
        <w:jc w:val="left"/>
        <w:rPr>
          <w:rFonts w:ascii="宋体" w:hAnsi="宋体" w:cs="宋体" w:eastAsia="宋体" w:hint="default"/>
          <w:sz w:val="22"/>
          <w:szCs w:val="22"/>
        </w:rPr>
      </w:pPr>
      <w:r>
        <w:rPr>
          <w:rFonts w:ascii="宋体" w:hAnsi="宋体" w:cs="宋体" w:eastAsia="宋体" w:hint="default"/>
          <w:sz w:val="22"/>
          <w:szCs w:val="22"/>
        </w:rPr>
        <w:t>友友控股有限公司以账面价值为人民币 </w:t>
      </w:r>
      <w:r>
        <w:rPr>
          <w:rFonts w:ascii="Times New Roman" w:hAnsi="Times New Roman" w:cs="Times New Roman" w:eastAsia="Times New Roman" w:hint="default"/>
          <w:sz w:val="22"/>
          <w:szCs w:val="22"/>
        </w:rPr>
        <w:t>51,424,492.26</w:t>
      </w:r>
      <w:r>
        <w:rPr>
          <w:rFonts w:ascii="Times New Roman" w:hAnsi="Times New Roman" w:cs="Times New Roman" w:eastAsia="Times New Roman" w:hint="default"/>
          <w:spacing w:val="33"/>
          <w:sz w:val="22"/>
          <w:szCs w:val="22"/>
        </w:rPr>
        <w:t> </w:t>
      </w:r>
      <w:r>
        <w:rPr>
          <w:rFonts w:ascii="宋体" w:hAnsi="宋体" w:cs="宋体" w:eastAsia="宋体" w:hint="default"/>
          <w:sz w:val="22"/>
          <w:szCs w:val="22"/>
        </w:rPr>
        <w:t>元的存货和应收账款抵押取得借款</w:t>
      </w:r>
    </w:p>
    <w:p>
      <w:pPr>
        <w:spacing w:before="50"/>
        <w:ind w:left="262" w:right="0"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3,200,000.00</w:t>
      </w:r>
      <w:r>
        <w:rPr>
          <w:rFonts w:ascii="Times New Roman" w:hAnsi="Times New Roman" w:cs="Times New Roman" w:eastAsia="Times New Roman" w:hint="default"/>
          <w:spacing w:val="-8"/>
          <w:sz w:val="22"/>
          <w:szCs w:val="22"/>
        </w:rPr>
        <w:t> </w:t>
      </w:r>
      <w:r>
        <w:rPr>
          <w:rFonts w:ascii="宋体" w:hAnsi="宋体" w:cs="宋体" w:eastAsia="宋体" w:hint="default"/>
          <w:sz w:val="22"/>
          <w:szCs w:val="22"/>
        </w:rPr>
        <w:t>美元（折合人民币</w:t>
      </w:r>
      <w:r>
        <w:rPr>
          <w:rFonts w:ascii="宋体" w:hAnsi="宋体" w:cs="宋体" w:eastAsia="宋体" w:hint="default"/>
          <w:spacing w:val="-63"/>
          <w:sz w:val="22"/>
          <w:szCs w:val="22"/>
        </w:rPr>
        <w:t> </w:t>
      </w:r>
      <w:r>
        <w:rPr>
          <w:rFonts w:ascii="Times New Roman" w:hAnsi="Times New Roman" w:cs="Times New Roman" w:eastAsia="Times New Roman" w:hint="default"/>
          <w:sz w:val="22"/>
          <w:szCs w:val="22"/>
        </w:rPr>
        <w:t>20,779,520.00</w:t>
      </w:r>
      <w:r>
        <w:rPr>
          <w:rFonts w:ascii="Times New Roman" w:hAnsi="Times New Roman" w:cs="Times New Roman" w:eastAsia="Times New Roman" w:hint="default"/>
          <w:spacing w:val="-8"/>
          <w:sz w:val="22"/>
          <w:szCs w:val="22"/>
        </w:rPr>
        <w:t> </w:t>
      </w:r>
      <w:r>
        <w:rPr>
          <w:rFonts w:ascii="宋体" w:hAnsi="宋体" w:cs="宋体" w:eastAsia="宋体" w:hint="default"/>
          <w:sz w:val="22"/>
          <w:szCs w:val="22"/>
        </w:rPr>
        <w:t>元）；本公司之二级子公司清华同方威视技</w:t>
      </w:r>
    </w:p>
    <w:p>
      <w:pPr>
        <w:spacing w:after="0"/>
        <w:jc w:val="left"/>
        <w:rPr>
          <w:rFonts w:ascii="宋体" w:hAnsi="宋体" w:cs="宋体" w:eastAsia="宋体" w:hint="default"/>
          <w:sz w:val="22"/>
          <w:szCs w:val="22"/>
        </w:rPr>
        <w:sectPr>
          <w:headerReference w:type="default" r:id="rId77"/>
          <w:pgSz w:w="11910" w:h="16840"/>
          <w:pgMar w:header="645" w:footer="816" w:top="1080" w:bottom="1020" w:left="1440" w:right="1440"/>
        </w:sectPr>
      </w:pPr>
    </w:p>
    <w:p>
      <w:pPr>
        <w:spacing w:line="240" w:lineRule="auto" w:before="1"/>
        <w:rPr>
          <w:rFonts w:ascii="宋体" w:hAnsi="宋体" w:cs="宋体" w:eastAsia="宋体" w:hint="default"/>
          <w:sz w:val="22"/>
          <w:szCs w:val="22"/>
        </w:rPr>
      </w:pPr>
    </w:p>
    <w:p>
      <w:pPr>
        <w:spacing w:before="32"/>
        <w:ind w:left="222" w:right="0" w:firstLine="0"/>
        <w:jc w:val="left"/>
        <w:rPr>
          <w:rFonts w:ascii="宋体" w:hAnsi="宋体" w:cs="宋体" w:eastAsia="宋体" w:hint="default"/>
          <w:sz w:val="22"/>
          <w:szCs w:val="22"/>
        </w:rPr>
      </w:pPr>
      <w:r>
        <w:rPr>
          <w:rFonts w:ascii="宋体" w:hAnsi="宋体" w:cs="宋体" w:eastAsia="宋体" w:hint="default"/>
          <w:spacing w:val="14"/>
          <w:sz w:val="22"/>
          <w:szCs w:val="22"/>
        </w:rPr>
        <w:t>术（香港）有限公司以账面价值为人民币 </w:t>
      </w:r>
      <w:r>
        <w:rPr>
          <w:rFonts w:ascii="Times New Roman" w:hAnsi="Times New Roman" w:cs="Times New Roman" w:eastAsia="Times New Roman" w:hint="default"/>
          <w:sz w:val="22"/>
          <w:szCs w:val="22"/>
        </w:rPr>
        <w:t>1,234,579.42  </w:t>
      </w:r>
      <w:r>
        <w:rPr>
          <w:rFonts w:ascii="Times New Roman" w:hAnsi="Times New Roman" w:cs="Times New Roman" w:eastAsia="Times New Roman" w:hint="default"/>
          <w:spacing w:val="35"/>
          <w:sz w:val="22"/>
          <w:szCs w:val="22"/>
        </w:rPr>
        <w:t> </w:t>
      </w:r>
      <w:r>
        <w:rPr>
          <w:rFonts w:ascii="宋体" w:hAnsi="宋体" w:cs="宋体" w:eastAsia="宋体" w:hint="default"/>
          <w:spacing w:val="13"/>
          <w:sz w:val="22"/>
          <w:szCs w:val="22"/>
        </w:rPr>
        <w:t>元的固定资产抵押取得借款</w:t>
      </w:r>
    </w:p>
    <w:p>
      <w:pPr>
        <w:spacing w:before="53"/>
        <w:ind w:left="222" w:right="0"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5,000,025.24</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美元（折合人民币</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32,468,163.90</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元）。</w:t>
      </w:r>
    </w:p>
    <w:p>
      <w:pPr>
        <w:spacing w:before="113"/>
        <w:ind w:left="646" w:right="0" w:firstLine="0"/>
        <w:jc w:val="left"/>
        <w:rPr>
          <w:rFonts w:ascii="宋体" w:hAnsi="宋体" w:cs="宋体" w:eastAsia="宋体" w:hint="default"/>
          <w:sz w:val="22"/>
          <w:szCs w:val="22"/>
        </w:rPr>
      </w:pPr>
      <w:r>
        <w:rPr>
          <w:rFonts w:ascii="宋体" w:hAnsi="宋体" w:cs="宋体" w:eastAsia="宋体" w:hint="default"/>
          <w:spacing w:val="-10"/>
          <w:w w:val="100"/>
          <w:sz w:val="22"/>
          <w:szCs w:val="22"/>
        </w:rPr>
        <w:t>截</w:t>
      </w:r>
      <w:r>
        <w:rPr>
          <w:rFonts w:ascii="宋体" w:hAnsi="宋体" w:cs="宋体" w:eastAsia="宋体" w:hint="default"/>
          <w:w w:val="100"/>
          <w:sz w:val="22"/>
          <w:szCs w:val="22"/>
        </w:rPr>
        <w:t>至</w:t>
      </w:r>
      <w:r>
        <w:rPr>
          <w:rFonts w:ascii="宋体" w:hAnsi="宋体" w:cs="宋体" w:eastAsia="宋体" w:hint="default"/>
          <w:spacing w:val="-67"/>
          <w:sz w:val="22"/>
          <w:szCs w:val="22"/>
        </w:rPr>
        <w:t> </w:t>
      </w:r>
      <w:r>
        <w:rPr>
          <w:rFonts w:ascii="Times New Roman" w:hAnsi="Times New Roman" w:cs="Times New Roman" w:eastAsia="Times New Roman" w:hint="default"/>
          <w:spacing w:val="-5"/>
          <w:w w:val="100"/>
          <w:sz w:val="22"/>
          <w:szCs w:val="22"/>
        </w:rPr>
        <w:t>20</w:t>
      </w:r>
      <w:r>
        <w:rPr>
          <w:rFonts w:ascii="Times New Roman" w:hAnsi="Times New Roman" w:cs="Times New Roman" w:eastAsia="Times New Roman" w:hint="default"/>
          <w:spacing w:val="-3"/>
          <w:w w:val="100"/>
          <w:sz w:val="22"/>
          <w:szCs w:val="22"/>
        </w:rPr>
        <w:t>1</w:t>
      </w:r>
      <w:r>
        <w:rPr>
          <w:rFonts w:ascii="Times New Roman" w:hAnsi="Times New Roman" w:cs="Times New Roman" w:eastAsia="Times New Roman" w:hint="default"/>
          <w:w w:val="100"/>
          <w:sz w:val="22"/>
          <w:szCs w:val="22"/>
        </w:rPr>
        <w:t>5</w:t>
      </w:r>
      <w:r>
        <w:rPr>
          <w:rFonts w:ascii="Times New Roman" w:hAnsi="Times New Roman" w:cs="Times New Roman" w:eastAsia="Times New Roman" w:hint="default"/>
          <w:spacing w:val="-7"/>
          <w:sz w:val="22"/>
          <w:szCs w:val="22"/>
        </w:rPr>
        <w:t> </w:t>
      </w:r>
      <w:r>
        <w:rPr>
          <w:rFonts w:ascii="宋体" w:hAnsi="宋体" w:cs="宋体" w:eastAsia="宋体" w:hint="default"/>
          <w:w w:val="100"/>
          <w:sz w:val="22"/>
          <w:szCs w:val="22"/>
        </w:rPr>
        <w:t>年</w:t>
      </w:r>
      <w:r>
        <w:rPr>
          <w:rFonts w:ascii="宋体" w:hAnsi="宋体" w:cs="宋体" w:eastAsia="宋体" w:hint="default"/>
          <w:spacing w:val="-67"/>
          <w:sz w:val="22"/>
          <w:szCs w:val="22"/>
        </w:rPr>
        <w:t> </w:t>
      </w:r>
      <w:r>
        <w:rPr>
          <w:rFonts w:ascii="Times New Roman" w:hAnsi="Times New Roman" w:cs="Times New Roman" w:eastAsia="Times New Roman" w:hint="default"/>
          <w:spacing w:val="-5"/>
          <w:w w:val="100"/>
          <w:sz w:val="22"/>
          <w:szCs w:val="22"/>
        </w:rPr>
        <w:t>1</w:t>
      </w:r>
      <w:r>
        <w:rPr>
          <w:rFonts w:ascii="Times New Roman" w:hAnsi="Times New Roman" w:cs="Times New Roman" w:eastAsia="Times New Roman" w:hint="default"/>
          <w:w w:val="100"/>
          <w:sz w:val="22"/>
          <w:szCs w:val="22"/>
        </w:rPr>
        <w:t>2</w:t>
      </w:r>
      <w:r>
        <w:rPr>
          <w:rFonts w:ascii="Times New Roman" w:hAnsi="Times New Roman" w:cs="Times New Roman" w:eastAsia="Times New Roman" w:hint="default"/>
          <w:spacing w:val="-4"/>
          <w:sz w:val="22"/>
          <w:szCs w:val="22"/>
        </w:rPr>
        <w:t> </w:t>
      </w:r>
      <w:r>
        <w:rPr>
          <w:rFonts w:ascii="宋体" w:hAnsi="宋体" w:cs="宋体" w:eastAsia="宋体" w:hint="default"/>
          <w:w w:val="100"/>
          <w:sz w:val="22"/>
          <w:szCs w:val="22"/>
        </w:rPr>
        <w:t>月</w:t>
      </w:r>
      <w:r>
        <w:rPr>
          <w:rFonts w:ascii="宋体" w:hAnsi="宋体" w:cs="宋体" w:eastAsia="宋体" w:hint="default"/>
          <w:spacing w:val="-67"/>
          <w:sz w:val="22"/>
          <w:szCs w:val="22"/>
        </w:rPr>
        <w:t> </w:t>
      </w:r>
      <w:r>
        <w:rPr>
          <w:rFonts w:ascii="Times New Roman" w:hAnsi="Times New Roman" w:cs="Times New Roman" w:eastAsia="Times New Roman" w:hint="default"/>
          <w:spacing w:val="-5"/>
          <w:w w:val="100"/>
          <w:sz w:val="22"/>
          <w:szCs w:val="22"/>
        </w:rPr>
        <w:t>3</w:t>
      </w:r>
      <w:r>
        <w:rPr>
          <w:rFonts w:ascii="Times New Roman" w:hAnsi="Times New Roman" w:cs="Times New Roman" w:eastAsia="Times New Roman" w:hint="default"/>
          <w:w w:val="100"/>
          <w:sz w:val="22"/>
          <w:szCs w:val="22"/>
        </w:rPr>
        <w:t>1</w:t>
      </w:r>
      <w:r>
        <w:rPr>
          <w:rFonts w:ascii="Times New Roman" w:hAnsi="Times New Roman" w:cs="Times New Roman" w:eastAsia="Times New Roman" w:hint="default"/>
          <w:spacing w:val="-5"/>
          <w:sz w:val="22"/>
          <w:szCs w:val="22"/>
        </w:rPr>
        <w:t> </w:t>
      </w:r>
      <w:r>
        <w:rPr>
          <w:rFonts w:ascii="宋体" w:hAnsi="宋体" w:cs="宋体" w:eastAsia="宋体" w:hint="default"/>
          <w:spacing w:val="-10"/>
          <w:w w:val="100"/>
          <w:sz w:val="22"/>
          <w:szCs w:val="22"/>
        </w:rPr>
        <w:t>日</w:t>
      </w:r>
      <w:r>
        <w:rPr>
          <w:rFonts w:ascii="宋体" w:hAnsi="宋体" w:cs="宋体" w:eastAsia="宋体" w:hint="default"/>
          <w:spacing w:val="-8"/>
          <w:w w:val="100"/>
          <w:sz w:val="22"/>
          <w:szCs w:val="22"/>
        </w:rPr>
        <w:t>，</w:t>
      </w:r>
      <w:r>
        <w:rPr>
          <w:rFonts w:ascii="宋体" w:hAnsi="宋体" w:cs="宋体" w:eastAsia="宋体" w:hint="default"/>
          <w:spacing w:val="-10"/>
          <w:w w:val="100"/>
          <w:sz w:val="22"/>
          <w:szCs w:val="22"/>
        </w:rPr>
        <w:t>本公司</w:t>
      </w:r>
      <w:r>
        <w:rPr>
          <w:rFonts w:ascii="宋体" w:hAnsi="宋体" w:cs="宋体" w:eastAsia="宋体" w:hint="default"/>
          <w:spacing w:val="-8"/>
          <w:w w:val="100"/>
          <w:sz w:val="22"/>
          <w:szCs w:val="22"/>
        </w:rPr>
        <w:t>短</w:t>
      </w:r>
      <w:r>
        <w:rPr>
          <w:rFonts w:ascii="宋体" w:hAnsi="宋体" w:cs="宋体" w:eastAsia="宋体" w:hint="default"/>
          <w:spacing w:val="-10"/>
          <w:w w:val="100"/>
          <w:sz w:val="22"/>
          <w:szCs w:val="22"/>
        </w:rPr>
        <w:t>期保</w:t>
      </w:r>
      <w:r>
        <w:rPr>
          <w:rFonts w:ascii="宋体" w:hAnsi="宋体" w:cs="宋体" w:eastAsia="宋体" w:hint="default"/>
          <w:spacing w:val="-8"/>
          <w:w w:val="100"/>
          <w:sz w:val="22"/>
          <w:szCs w:val="22"/>
        </w:rPr>
        <w:t>证</w:t>
      </w:r>
      <w:r>
        <w:rPr>
          <w:rFonts w:ascii="宋体" w:hAnsi="宋体" w:cs="宋体" w:eastAsia="宋体" w:hint="default"/>
          <w:spacing w:val="-10"/>
          <w:w w:val="100"/>
          <w:sz w:val="22"/>
          <w:szCs w:val="22"/>
        </w:rPr>
        <w:t>借款</w:t>
      </w:r>
      <w:r>
        <w:rPr>
          <w:rFonts w:ascii="宋体" w:hAnsi="宋体" w:cs="宋体" w:eastAsia="宋体" w:hint="default"/>
          <w:spacing w:val="-8"/>
          <w:w w:val="100"/>
          <w:sz w:val="22"/>
          <w:szCs w:val="22"/>
        </w:rPr>
        <w:t>担保</w:t>
      </w:r>
      <w:r>
        <w:rPr>
          <w:rFonts w:ascii="宋体" w:hAnsi="宋体" w:cs="宋体" w:eastAsia="宋体" w:hint="default"/>
          <w:spacing w:val="-10"/>
          <w:w w:val="100"/>
          <w:sz w:val="22"/>
          <w:szCs w:val="22"/>
        </w:rPr>
        <w:t>情况详</w:t>
      </w:r>
      <w:r>
        <w:rPr>
          <w:rFonts w:ascii="宋体" w:hAnsi="宋体" w:cs="宋体" w:eastAsia="宋体" w:hint="default"/>
          <w:spacing w:val="-8"/>
          <w:w w:val="100"/>
          <w:sz w:val="22"/>
          <w:szCs w:val="22"/>
        </w:rPr>
        <w:t>见</w:t>
      </w:r>
      <w:r>
        <w:rPr>
          <w:rFonts w:ascii="宋体" w:hAnsi="宋体" w:cs="宋体" w:eastAsia="宋体" w:hint="default"/>
          <w:spacing w:val="-10"/>
          <w:w w:val="100"/>
          <w:sz w:val="22"/>
          <w:szCs w:val="22"/>
        </w:rPr>
        <w:t>附注</w:t>
      </w:r>
      <w:r>
        <w:rPr>
          <w:rFonts w:ascii="宋体" w:hAnsi="宋体" w:cs="宋体" w:eastAsia="宋体" w:hint="default"/>
          <w:spacing w:val="-8"/>
          <w:w w:val="100"/>
          <w:sz w:val="22"/>
          <w:szCs w:val="22"/>
        </w:rPr>
        <w:t>十</w:t>
      </w:r>
      <w:r>
        <w:rPr>
          <w:rFonts w:ascii="宋体" w:hAnsi="宋体" w:cs="宋体" w:eastAsia="宋体" w:hint="default"/>
          <w:spacing w:val="-10"/>
          <w:w w:val="100"/>
          <w:sz w:val="22"/>
          <w:szCs w:val="22"/>
        </w:rPr>
        <w:t>一</w:t>
      </w:r>
      <w:r>
        <w:rPr>
          <w:rFonts w:ascii="宋体" w:hAnsi="宋体" w:cs="宋体" w:eastAsia="宋体" w:hint="default"/>
          <w:spacing w:val="-116"/>
          <w:w w:val="100"/>
          <w:sz w:val="22"/>
          <w:szCs w:val="22"/>
        </w:rPr>
        <w:t>、</w:t>
      </w:r>
      <w:r>
        <w:rPr>
          <w:rFonts w:ascii="宋体" w:hAnsi="宋体" w:cs="宋体" w:eastAsia="宋体" w:hint="default"/>
          <w:spacing w:val="-8"/>
          <w:w w:val="100"/>
          <w:sz w:val="22"/>
          <w:szCs w:val="22"/>
        </w:rPr>
        <w:t>（</w:t>
      </w:r>
      <w:r>
        <w:rPr>
          <w:rFonts w:ascii="宋体" w:hAnsi="宋体" w:cs="宋体" w:eastAsia="宋体" w:hint="default"/>
          <w:spacing w:val="-10"/>
          <w:w w:val="100"/>
          <w:sz w:val="22"/>
          <w:szCs w:val="22"/>
        </w:rPr>
        <w:t>二</w:t>
      </w:r>
      <w:r>
        <w:rPr>
          <w:rFonts w:ascii="宋体" w:hAnsi="宋体" w:cs="宋体" w:eastAsia="宋体" w:hint="default"/>
          <w:spacing w:val="-113"/>
          <w:w w:val="100"/>
          <w:sz w:val="22"/>
          <w:szCs w:val="22"/>
        </w:rPr>
        <w:t>）</w:t>
      </w:r>
      <w:r>
        <w:rPr>
          <w:rFonts w:ascii="宋体" w:hAnsi="宋体" w:cs="宋体" w:eastAsia="宋体" w:hint="default"/>
          <w:spacing w:val="-10"/>
          <w:w w:val="100"/>
          <w:sz w:val="22"/>
          <w:szCs w:val="22"/>
        </w:rPr>
        <w:t>、</w:t>
      </w:r>
      <w:r>
        <w:rPr>
          <w:rFonts w:ascii="Times New Roman" w:hAnsi="Times New Roman" w:cs="Times New Roman" w:eastAsia="Times New Roman" w:hint="default"/>
          <w:spacing w:val="-5"/>
          <w:w w:val="100"/>
          <w:sz w:val="22"/>
          <w:szCs w:val="22"/>
        </w:rPr>
        <w:t>4</w:t>
      </w:r>
      <w:r>
        <w:rPr>
          <w:rFonts w:ascii="宋体" w:hAnsi="宋体" w:cs="宋体" w:eastAsia="宋体" w:hint="default"/>
          <w:w w:val="100"/>
          <w:sz w:val="22"/>
          <w:szCs w:val="22"/>
        </w:rPr>
        <w:t>。</w:t>
      </w:r>
    </w:p>
    <w:p>
      <w:pPr>
        <w:spacing w:before="170"/>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23.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应付票据</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885"/>
        <w:gridCol w:w="3648"/>
        <w:gridCol w:w="2193"/>
      </w:tblGrid>
      <w:tr>
        <w:trPr>
          <w:trHeight w:val="305" w:hRule="exact"/>
        </w:trPr>
        <w:tc>
          <w:tcPr>
            <w:tcW w:w="288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票据种类</w:t>
            </w:r>
            <w:r>
              <w:rPr>
                <w:rFonts w:ascii="宋体" w:hAnsi="宋体" w:cs="宋体" w:eastAsia="宋体" w:hint="default"/>
                <w:sz w:val="18"/>
                <w:szCs w:val="18"/>
              </w:rPr>
            </w:r>
          </w:p>
        </w:tc>
        <w:tc>
          <w:tcPr>
            <w:tcW w:w="364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22"/>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19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295" w:hRule="exact"/>
        </w:trPr>
        <w:tc>
          <w:tcPr>
            <w:tcW w:w="2885"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648"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822"/>
              <w:jc w:val="right"/>
              <w:rPr>
                <w:rFonts w:ascii="Times New Roman" w:hAnsi="Times New Roman" w:cs="Times New Roman" w:eastAsia="Times New Roman" w:hint="default"/>
                <w:sz w:val="18"/>
                <w:szCs w:val="18"/>
              </w:rPr>
            </w:pPr>
            <w:r>
              <w:rPr>
                <w:rFonts w:ascii="Times New Roman"/>
                <w:spacing w:val="-1"/>
                <w:sz w:val="18"/>
              </w:rPr>
              <w:t>707,564,087.82</w:t>
            </w:r>
          </w:p>
        </w:tc>
        <w:tc>
          <w:tcPr>
            <w:tcW w:w="219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spacing w:val="-1"/>
                <w:sz w:val="18"/>
              </w:rPr>
              <w:t>1,034,851,536.61</w:t>
            </w:r>
          </w:p>
        </w:tc>
      </w:tr>
      <w:tr>
        <w:trPr>
          <w:trHeight w:val="305" w:hRule="exact"/>
        </w:trPr>
        <w:tc>
          <w:tcPr>
            <w:tcW w:w="2885"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2"/>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3648"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822"/>
              <w:jc w:val="right"/>
              <w:rPr>
                <w:rFonts w:ascii="Times New Roman" w:hAnsi="Times New Roman" w:cs="Times New Roman" w:eastAsia="Times New Roman" w:hint="default"/>
                <w:sz w:val="18"/>
                <w:szCs w:val="18"/>
              </w:rPr>
            </w:pPr>
            <w:r>
              <w:rPr>
                <w:rFonts w:ascii="Times New Roman"/>
                <w:b/>
                <w:spacing w:val="-1"/>
                <w:sz w:val="18"/>
              </w:rPr>
              <w:t>707,564,087.82</w:t>
            </w:r>
            <w:r>
              <w:rPr>
                <w:rFonts w:ascii="Times New Roman"/>
                <w:spacing w:val="-1"/>
                <w:sz w:val="18"/>
              </w:rPr>
            </w:r>
          </w:p>
        </w:tc>
        <w:tc>
          <w:tcPr>
            <w:tcW w:w="219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1,034,851,536.61</w:t>
            </w:r>
            <w:r>
              <w:rPr>
                <w:rFonts w:ascii="Times New Roman"/>
                <w:spacing w:val="-1"/>
                <w:sz w:val="18"/>
              </w:rPr>
            </w:r>
          </w:p>
        </w:tc>
      </w:tr>
    </w:tbl>
    <w:p>
      <w:pPr>
        <w:spacing w:before="81"/>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24.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应付账款</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865"/>
        <w:gridCol w:w="3645"/>
        <w:gridCol w:w="2215"/>
      </w:tblGrid>
      <w:tr>
        <w:trPr>
          <w:trHeight w:val="305" w:hRule="exact"/>
        </w:trPr>
        <w:tc>
          <w:tcPr>
            <w:tcW w:w="286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64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43"/>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21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8" w:hRule="exact"/>
        </w:trPr>
        <w:tc>
          <w:tcPr>
            <w:tcW w:w="2865"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应付账款</w:t>
            </w:r>
            <w:r>
              <w:rPr>
                <w:rFonts w:ascii="宋体" w:hAnsi="宋体" w:cs="宋体" w:eastAsia="宋体" w:hint="default"/>
                <w:sz w:val="18"/>
                <w:szCs w:val="18"/>
              </w:rPr>
            </w:r>
          </w:p>
        </w:tc>
        <w:tc>
          <w:tcPr>
            <w:tcW w:w="3645" w:type="dxa"/>
            <w:tcBorders>
              <w:top w:val="single" w:sz="4" w:space="0" w:color="000000"/>
              <w:left w:val="nil" w:sz="6" w:space="0" w:color="auto"/>
              <w:bottom w:val="nil" w:sz="6" w:space="0" w:color="auto"/>
              <w:right w:val="nil" w:sz="6" w:space="0" w:color="auto"/>
            </w:tcBorders>
          </w:tcPr>
          <w:p>
            <w:pPr>
              <w:pStyle w:val="TableParagraph"/>
              <w:spacing w:line="240" w:lineRule="auto" w:before="79"/>
              <w:ind w:right="843"/>
              <w:jc w:val="right"/>
              <w:rPr>
                <w:rFonts w:ascii="Times New Roman" w:hAnsi="Times New Roman" w:cs="Times New Roman" w:eastAsia="Times New Roman" w:hint="default"/>
                <w:sz w:val="18"/>
                <w:szCs w:val="18"/>
              </w:rPr>
            </w:pPr>
            <w:r>
              <w:rPr>
                <w:rFonts w:ascii="Times New Roman"/>
                <w:b/>
                <w:spacing w:val="-1"/>
                <w:sz w:val="18"/>
              </w:rPr>
              <w:t>8,167,839,518.21</w:t>
            </w:r>
            <w:r>
              <w:rPr>
                <w:rFonts w:ascii="Times New Roman"/>
                <w:spacing w:val="-1"/>
                <w:sz w:val="18"/>
              </w:rPr>
            </w:r>
          </w:p>
        </w:tc>
        <w:tc>
          <w:tcPr>
            <w:tcW w:w="2215" w:type="dxa"/>
            <w:tcBorders>
              <w:top w:val="single" w:sz="4" w:space="0" w:color="000000"/>
              <w:left w:val="nil" w:sz="6" w:space="0" w:color="auto"/>
              <w:bottom w:val="nil" w:sz="6" w:space="0" w:color="auto"/>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7,598,707,575.29</w:t>
            </w:r>
            <w:r>
              <w:rPr>
                <w:rFonts w:ascii="Times New Roman"/>
                <w:spacing w:val="-1"/>
                <w:sz w:val="18"/>
              </w:rPr>
            </w:r>
          </w:p>
        </w:tc>
      </w:tr>
      <w:tr>
        <w:trPr>
          <w:trHeight w:val="263" w:hRule="exact"/>
        </w:trPr>
        <w:tc>
          <w:tcPr>
            <w:tcW w:w="2865" w:type="dxa"/>
            <w:tcBorders>
              <w:top w:val="nil" w:sz="6" w:space="0" w:color="auto"/>
              <w:left w:val="nil" w:sz="6" w:space="0" w:color="auto"/>
              <w:bottom w:val="single" w:sz="12" w:space="0" w:color="000000"/>
              <w:right w:val="nil" w:sz="6" w:space="0" w:color="auto"/>
            </w:tcBorders>
          </w:tcPr>
          <w:p>
            <w:pPr>
              <w:pStyle w:val="TableParagraph"/>
              <w:spacing w:line="234" w:lineRule="exact"/>
              <w:ind w:left="108"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1 </w:t>
            </w:r>
            <w:r>
              <w:rPr>
                <w:rFonts w:ascii="宋体" w:hAnsi="宋体" w:cs="宋体" w:eastAsia="宋体" w:hint="default"/>
                <w:sz w:val="18"/>
                <w:szCs w:val="18"/>
              </w:rPr>
              <w:t>年以上</w:t>
            </w:r>
          </w:p>
        </w:tc>
        <w:tc>
          <w:tcPr>
            <w:tcW w:w="3645"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843"/>
              <w:jc w:val="right"/>
              <w:rPr>
                <w:rFonts w:ascii="Times New Roman" w:hAnsi="Times New Roman" w:cs="Times New Roman" w:eastAsia="Times New Roman" w:hint="default"/>
                <w:sz w:val="18"/>
                <w:szCs w:val="18"/>
              </w:rPr>
            </w:pPr>
            <w:r>
              <w:rPr>
                <w:rFonts w:ascii="Times New Roman"/>
                <w:spacing w:val="-1"/>
                <w:sz w:val="18"/>
              </w:rPr>
              <w:t>1,604,019,476.30</w:t>
            </w:r>
          </w:p>
        </w:tc>
        <w:tc>
          <w:tcPr>
            <w:tcW w:w="2215"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108"/>
              <w:jc w:val="right"/>
              <w:rPr>
                <w:rFonts w:ascii="Times New Roman" w:hAnsi="Times New Roman" w:cs="Times New Roman" w:eastAsia="Times New Roman" w:hint="default"/>
                <w:sz w:val="18"/>
                <w:szCs w:val="18"/>
              </w:rPr>
            </w:pPr>
            <w:r>
              <w:rPr>
                <w:rFonts w:ascii="Times New Roman"/>
                <w:spacing w:val="-1"/>
                <w:sz w:val="18"/>
              </w:rPr>
              <w:t>1,268,588,591.71</w:t>
            </w:r>
          </w:p>
        </w:tc>
      </w:tr>
    </w:tbl>
    <w:p>
      <w:pPr>
        <w:spacing w:before="81"/>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25.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预收款项</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886"/>
        <w:gridCol w:w="3646"/>
        <w:gridCol w:w="2193"/>
      </w:tblGrid>
      <w:tr>
        <w:trPr>
          <w:trHeight w:val="305" w:hRule="exact"/>
        </w:trPr>
        <w:tc>
          <w:tcPr>
            <w:tcW w:w="288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64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22"/>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19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8" w:hRule="exact"/>
        </w:trPr>
        <w:tc>
          <w:tcPr>
            <w:tcW w:w="2886"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预收账款</w:t>
            </w:r>
            <w:r>
              <w:rPr>
                <w:rFonts w:ascii="宋体" w:hAnsi="宋体" w:cs="宋体" w:eastAsia="宋体" w:hint="default"/>
                <w:sz w:val="18"/>
                <w:szCs w:val="18"/>
              </w:rPr>
            </w:r>
          </w:p>
        </w:tc>
        <w:tc>
          <w:tcPr>
            <w:tcW w:w="3646" w:type="dxa"/>
            <w:tcBorders>
              <w:top w:val="single" w:sz="4" w:space="0" w:color="000000"/>
              <w:left w:val="nil" w:sz="6" w:space="0" w:color="auto"/>
              <w:bottom w:val="nil" w:sz="6" w:space="0" w:color="auto"/>
              <w:right w:val="nil" w:sz="6" w:space="0" w:color="auto"/>
            </w:tcBorders>
          </w:tcPr>
          <w:p>
            <w:pPr>
              <w:pStyle w:val="TableParagraph"/>
              <w:spacing w:line="240" w:lineRule="auto" w:before="79"/>
              <w:ind w:right="823"/>
              <w:jc w:val="right"/>
              <w:rPr>
                <w:rFonts w:ascii="Times New Roman" w:hAnsi="Times New Roman" w:cs="Times New Roman" w:eastAsia="Times New Roman" w:hint="default"/>
                <w:sz w:val="18"/>
                <w:szCs w:val="18"/>
              </w:rPr>
            </w:pPr>
            <w:r>
              <w:rPr>
                <w:rFonts w:ascii="Times New Roman"/>
                <w:b/>
                <w:spacing w:val="-1"/>
                <w:sz w:val="18"/>
              </w:rPr>
              <w:t>4,603,960,489.78</w:t>
            </w:r>
            <w:r>
              <w:rPr>
                <w:rFonts w:ascii="Times New Roman"/>
                <w:spacing w:val="-1"/>
                <w:sz w:val="18"/>
              </w:rPr>
            </w:r>
          </w:p>
        </w:tc>
        <w:tc>
          <w:tcPr>
            <w:tcW w:w="2193" w:type="dxa"/>
            <w:tcBorders>
              <w:top w:val="single" w:sz="4" w:space="0" w:color="000000"/>
              <w:left w:val="nil" w:sz="6" w:space="0" w:color="auto"/>
              <w:bottom w:val="nil" w:sz="6" w:space="0" w:color="auto"/>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2,281,174,220.89</w:t>
            </w:r>
            <w:r>
              <w:rPr>
                <w:rFonts w:ascii="Times New Roman"/>
                <w:spacing w:val="-1"/>
                <w:sz w:val="18"/>
              </w:rPr>
            </w:r>
          </w:p>
        </w:tc>
      </w:tr>
      <w:tr>
        <w:trPr>
          <w:trHeight w:val="263" w:hRule="exact"/>
        </w:trPr>
        <w:tc>
          <w:tcPr>
            <w:tcW w:w="2886" w:type="dxa"/>
            <w:tcBorders>
              <w:top w:val="nil" w:sz="6" w:space="0" w:color="auto"/>
              <w:left w:val="nil" w:sz="6" w:space="0" w:color="auto"/>
              <w:bottom w:val="single" w:sz="12" w:space="0" w:color="000000"/>
              <w:right w:val="nil" w:sz="6" w:space="0" w:color="auto"/>
            </w:tcBorders>
          </w:tcPr>
          <w:p>
            <w:pPr>
              <w:pStyle w:val="TableParagraph"/>
              <w:spacing w:line="234" w:lineRule="exact"/>
              <w:ind w:left="108"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1 </w:t>
            </w:r>
            <w:r>
              <w:rPr>
                <w:rFonts w:ascii="宋体" w:hAnsi="宋体" w:cs="宋体" w:eastAsia="宋体" w:hint="default"/>
                <w:sz w:val="18"/>
                <w:szCs w:val="18"/>
              </w:rPr>
              <w:t>年以上</w:t>
            </w:r>
          </w:p>
        </w:tc>
        <w:tc>
          <w:tcPr>
            <w:tcW w:w="3646"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822"/>
              <w:jc w:val="right"/>
              <w:rPr>
                <w:rFonts w:ascii="Times New Roman" w:hAnsi="Times New Roman" w:cs="Times New Roman" w:eastAsia="Times New Roman" w:hint="default"/>
                <w:sz w:val="18"/>
                <w:szCs w:val="18"/>
              </w:rPr>
            </w:pPr>
            <w:r>
              <w:rPr>
                <w:rFonts w:ascii="Times New Roman"/>
                <w:spacing w:val="-1"/>
                <w:sz w:val="18"/>
              </w:rPr>
              <w:t>733,554,518.83</w:t>
            </w:r>
          </w:p>
        </w:tc>
        <w:tc>
          <w:tcPr>
            <w:tcW w:w="2193"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105"/>
              <w:jc w:val="right"/>
              <w:rPr>
                <w:rFonts w:ascii="Times New Roman" w:hAnsi="Times New Roman" w:cs="Times New Roman" w:eastAsia="Times New Roman" w:hint="default"/>
                <w:sz w:val="18"/>
                <w:szCs w:val="18"/>
              </w:rPr>
            </w:pPr>
            <w:r>
              <w:rPr>
                <w:rFonts w:ascii="Times New Roman"/>
                <w:spacing w:val="-1"/>
                <w:sz w:val="18"/>
              </w:rPr>
              <w:t>730,384,084.15</w:t>
            </w:r>
          </w:p>
        </w:tc>
      </w:tr>
    </w:tbl>
    <w:p>
      <w:pPr>
        <w:spacing w:before="81"/>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26.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应付职工薪酬</w:t>
      </w:r>
    </w:p>
    <w:p>
      <w:pPr>
        <w:spacing w:before="173"/>
        <w:ind w:left="67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1"/>
          <w:sz w:val="22"/>
          <w:szCs w:val="22"/>
        </w:rPr>
        <w:t> </w:t>
      </w:r>
      <w:r>
        <w:rPr>
          <w:rFonts w:ascii="宋体" w:hAnsi="宋体" w:cs="宋体" w:eastAsia="宋体" w:hint="default"/>
          <w:sz w:val="22"/>
          <w:szCs w:val="22"/>
        </w:rPr>
        <w:t>应付职工薪酬分类</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436"/>
        <w:gridCol w:w="1612"/>
        <w:gridCol w:w="1658"/>
        <w:gridCol w:w="1622"/>
        <w:gridCol w:w="1398"/>
      </w:tblGrid>
      <w:tr>
        <w:trPr>
          <w:trHeight w:val="305" w:hRule="exact"/>
        </w:trPr>
        <w:tc>
          <w:tcPr>
            <w:tcW w:w="243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61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96"/>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c>
          <w:tcPr>
            <w:tcW w:w="165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95"/>
              <w:jc w:val="right"/>
              <w:rPr>
                <w:rFonts w:ascii="宋体" w:hAnsi="宋体" w:cs="宋体" w:eastAsia="宋体" w:hint="default"/>
                <w:sz w:val="18"/>
                <w:szCs w:val="18"/>
              </w:rPr>
            </w:pPr>
            <w:r>
              <w:rPr>
                <w:rFonts w:ascii="宋体" w:hAnsi="宋体" w:cs="宋体" w:eastAsia="宋体" w:hint="default"/>
                <w:b/>
                <w:bCs/>
                <w:w w:val="95"/>
                <w:sz w:val="18"/>
                <w:szCs w:val="18"/>
              </w:rPr>
              <w:t>本年增加</w:t>
            </w:r>
            <w:r>
              <w:rPr>
                <w:rFonts w:ascii="宋体" w:hAnsi="宋体" w:cs="宋体" w:eastAsia="宋体" w:hint="default"/>
                <w:sz w:val="18"/>
                <w:szCs w:val="18"/>
              </w:rPr>
            </w:r>
          </w:p>
        </w:tc>
        <w:tc>
          <w:tcPr>
            <w:tcW w:w="162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60"/>
              <w:jc w:val="right"/>
              <w:rPr>
                <w:rFonts w:ascii="宋体" w:hAnsi="宋体" w:cs="宋体" w:eastAsia="宋体" w:hint="default"/>
                <w:sz w:val="18"/>
                <w:szCs w:val="18"/>
              </w:rPr>
            </w:pPr>
            <w:r>
              <w:rPr>
                <w:rFonts w:ascii="宋体" w:hAnsi="宋体" w:cs="宋体" w:eastAsia="宋体" w:hint="default"/>
                <w:b/>
                <w:bCs/>
                <w:w w:val="95"/>
                <w:sz w:val="18"/>
                <w:szCs w:val="18"/>
              </w:rPr>
              <w:t>本年减少</w:t>
            </w:r>
            <w:r>
              <w:rPr>
                <w:rFonts w:ascii="宋体" w:hAnsi="宋体" w:cs="宋体" w:eastAsia="宋体" w:hint="default"/>
                <w:sz w:val="18"/>
                <w:szCs w:val="18"/>
              </w:rPr>
            </w:r>
          </w:p>
        </w:tc>
        <w:tc>
          <w:tcPr>
            <w:tcW w:w="139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r>
      <w:tr>
        <w:trPr>
          <w:trHeight w:val="324" w:hRule="exact"/>
        </w:trPr>
        <w:tc>
          <w:tcPr>
            <w:tcW w:w="2436"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短期薪酬</w:t>
            </w:r>
          </w:p>
        </w:tc>
        <w:tc>
          <w:tcPr>
            <w:tcW w:w="1612"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96"/>
              <w:jc w:val="right"/>
              <w:rPr>
                <w:rFonts w:ascii="Times New Roman" w:hAnsi="Times New Roman" w:cs="Times New Roman" w:eastAsia="Times New Roman" w:hint="default"/>
                <w:sz w:val="18"/>
                <w:szCs w:val="18"/>
              </w:rPr>
            </w:pPr>
            <w:r>
              <w:rPr>
                <w:rFonts w:ascii="Times New Roman"/>
                <w:spacing w:val="-1"/>
                <w:sz w:val="18"/>
              </w:rPr>
              <w:t>390,810,078.40</w:t>
            </w:r>
          </w:p>
        </w:tc>
        <w:tc>
          <w:tcPr>
            <w:tcW w:w="165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98"/>
              <w:jc w:val="right"/>
              <w:rPr>
                <w:rFonts w:ascii="Times New Roman" w:hAnsi="Times New Roman" w:cs="Times New Roman" w:eastAsia="Times New Roman" w:hint="default"/>
                <w:sz w:val="18"/>
                <w:szCs w:val="18"/>
              </w:rPr>
            </w:pPr>
            <w:r>
              <w:rPr>
                <w:rFonts w:ascii="Times New Roman"/>
                <w:spacing w:val="-1"/>
                <w:sz w:val="18"/>
              </w:rPr>
              <w:t>2,891,779,306.71</w:t>
            </w:r>
          </w:p>
        </w:tc>
        <w:tc>
          <w:tcPr>
            <w:tcW w:w="1622"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63"/>
              <w:jc w:val="right"/>
              <w:rPr>
                <w:rFonts w:ascii="Times New Roman" w:hAnsi="Times New Roman" w:cs="Times New Roman" w:eastAsia="Times New Roman" w:hint="default"/>
                <w:sz w:val="18"/>
                <w:szCs w:val="18"/>
              </w:rPr>
            </w:pPr>
            <w:r>
              <w:rPr>
                <w:rFonts w:ascii="Times New Roman"/>
                <w:spacing w:val="-1"/>
                <w:sz w:val="18"/>
              </w:rPr>
              <w:t>2,823,488,700.78</w:t>
            </w:r>
          </w:p>
        </w:tc>
        <w:tc>
          <w:tcPr>
            <w:tcW w:w="139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459,100,684.33</w:t>
            </w:r>
          </w:p>
        </w:tc>
      </w:tr>
      <w:tr>
        <w:trPr>
          <w:trHeight w:val="285" w:hRule="exact"/>
        </w:trPr>
        <w:tc>
          <w:tcPr>
            <w:tcW w:w="2436"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18"/>
                <w:szCs w:val="18"/>
              </w:rPr>
            </w:pPr>
            <w:r>
              <w:rPr>
                <w:rFonts w:ascii="宋体" w:hAnsi="宋体" w:cs="宋体" w:eastAsia="宋体" w:hint="default"/>
                <w:sz w:val="18"/>
                <w:szCs w:val="18"/>
              </w:rPr>
              <w:t>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设定提存计划</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7"/>
              <w:jc w:val="right"/>
              <w:rPr>
                <w:rFonts w:ascii="Times New Roman" w:hAnsi="Times New Roman" w:cs="Times New Roman" w:eastAsia="Times New Roman" w:hint="default"/>
                <w:sz w:val="18"/>
                <w:szCs w:val="18"/>
              </w:rPr>
            </w:pPr>
            <w:r>
              <w:rPr>
                <w:rFonts w:ascii="Times New Roman"/>
                <w:spacing w:val="-1"/>
                <w:sz w:val="18"/>
              </w:rPr>
              <w:t>4,320,926.59</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5"/>
              <w:jc w:val="right"/>
              <w:rPr>
                <w:rFonts w:ascii="Times New Roman" w:hAnsi="Times New Roman" w:cs="Times New Roman" w:eastAsia="Times New Roman" w:hint="default"/>
                <w:sz w:val="18"/>
                <w:szCs w:val="18"/>
              </w:rPr>
            </w:pPr>
            <w:r>
              <w:rPr>
                <w:rFonts w:ascii="Times New Roman"/>
                <w:spacing w:val="-1"/>
                <w:sz w:val="18"/>
              </w:rPr>
              <w:t>346,361,809.29</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0"/>
              <w:jc w:val="right"/>
              <w:rPr>
                <w:rFonts w:ascii="Times New Roman" w:hAnsi="Times New Roman" w:cs="Times New Roman" w:eastAsia="Times New Roman" w:hint="default"/>
                <w:sz w:val="18"/>
                <w:szCs w:val="18"/>
              </w:rPr>
            </w:pPr>
            <w:r>
              <w:rPr>
                <w:rFonts w:ascii="Times New Roman"/>
                <w:spacing w:val="-1"/>
                <w:sz w:val="18"/>
              </w:rPr>
              <w:t>347,367,273.99</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3,315,461.89</w:t>
            </w:r>
          </w:p>
        </w:tc>
      </w:tr>
      <w:tr>
        <w:trPr>
          <w:trHeight w:val="256" w:hRule="exact"/>
        </w:trPr>
        <w:tc>
          <w:tcPr>
            <w:tcW w:w="2436"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辞退福利</w:t>
            </w:r>
          </w:p>
        </w:tc>
        <w:tc>
          <w:tcPr>
            <w:tcW w:w="1612"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95"/>
              <w:jc w:val="right"/>
              <w:rPr>
                <w:rFonts w:ascii="Times New Roman" w:hAnsi="Times New Roman" w:cs="Times New Roman" w:eastAsia="Times New Roman" w:hint="default"/>
                <w:sz w:val="18"/>
                <w:szCs w:val="18"/>
              </w:rPr>
            </w:pPr>
            <w:r>
              <w:rPr>
                <w:rFonts w:ascii="Times New Roman"/>
                <w:spacing w:val="-1"/>
                <w:sz w:val="18"/>
              </w:rPr>
              <w:t>388,481.00</w:t>
            </w:r>
          </w:p>
        </w:tc>
        <w:tc>
          <w:tcPr>
            <w:tcW w:w="165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94"/>
              <w:jc w:val="right"/>
              <w:rPr>
                <w:rFonts w:ascii="Times New Roman" w:hAnsi="Times New Roman" w:cs="Times New Roman" w:eastAsia="Times New Roman" w:hint="default"/>
                <w:sz w:val="18"/>
                <w:szCs w:val="18"/>
              </w:rPr>
            </w:pPr>
            <w:r>
              <w:rPr>
                <w:rFonts w:ascii="Times New Roman"/>
                <w:spacing w:val="-1"/>
                <w:sz w:val="18"/>
              </w:rPr>
              <w:t>4,051,531.35</w:t>
            </w:r>
          </w:p>
        </w:tc>
        <w:tc>
          <w:tcPr>
            <w:tcW w:w="1622"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60"/>
              <w:jc w:val="right"/>
              <w:rPr>
                <w:rFonts w:ascii="Times New Roman" w:hAnsi="Times New Roman" w:cs="Times New Roman" w:eastAsia="Times New Roman" w:hint="default"/>
                <w:sz w:val="18"/>
                <w:szCs w:val="18"/>
              </w:rPr>
            </w:pPr>
            <w:r>
              <w:rPr>
                <w:rFonts w:ascii="Times New Roman"/>
                <w:spacing w:val="-1"/>
                <w:sz w:val="18"/>
              </w:rPr>
              <w:t>4,440,012.35</w:t>
            </w:r>
          </w:p>
        </w:tc>
        <w:tc>
          <w:tcPr>
            <w:tcW w:w="139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307" w:hRule="exact"/>
        </w:trPr>
        <w:tc>
          <w:tcPr>
            <w:tcW w:w="2436"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1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96"/>
              <w:jc w:val="right"/>
              <w:rPr>
                <w:rFonts w:ascii="Times New Roman" w:hAnsi="Times New Roman" w:cs="Times New Roman" w:eastAsia="Times New Roman" w:hint="default"/>
                <w:sz w:val="18"/>
                <w:szCs w:val="18"/>
              </w:rPr>
            </w:pPr>
            <w:r>
              <w:rPr>
                <w:rFonts w:ascii="Times New Roman"/>
                <w:b/>
                <w:spacing w:val="-1"/>
                <w:sz w:val="18"/>
              </w:rPr>
              <w:t>395,519,485.99</w:t>
            </w:r>
            <w:r>
              <w:rPr>
                <w:rFonts w:ascii="Times New Roman"/>
                <w:spacing w:val="-1"/>
                <w:sz w:val="18"/>
              </w:rPr>
            </w:r>
          </w:p>
        </w:tc>
        <w:tc>
          <w:tcPr>
            <w:tcW w:w="1658"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98"/>
              <w:jc w:val="right"/>
              <w:rPr>
                <w:rFonts w:ascii="Times New Roman" w:hAnsi="Times New Roman" w:cs="Times New Roman" w:eastAsia="Times New Roman" w:hint="default"/>
                <w:sz w:val="18"/>
                <w:szCs w:val="18"/>
              </w:rPr>
            </w:pPr>
            <w:r>
              <w:rPr>
                <w:rFonts w:ascii="Times New Roman"/>
                <w:b/>
                <w:spacing w:val="-1"/>
                <w:sz w:val="18"/>
              </w:rPr>
              <w:t>3,242,192,647.35</w:t>
            </w:r>
            <w:r>
              <w:rPr>
                <w:rFonts w:ascii="Times New Roman"/>
                <w:spacing w:val="-1"/>
                <w:sz w:val="18"/>
              </w:rPr>
            </w:r>
          </w:p>
        </w:tc>
        <w:tc>
          <w:tcPr>
            <w:tcW w:w="162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63"/>
              <w:jc w:val="right"/>
              <w:rPr>
                <w:rFonts w:ascii="Times New Roman" w:hAnsi="Times New Roman" w:cs="Times New Roman" w:eastAsia="Times New Roman" w:hint="default"/>
                <w:sz w:val="18"/>
                <w:szCs w:val="18"/>
              </w:rPr>
            </w:pPr>
            <w:r>
              <w:rPr>
                <w:rFonts w:ascii="Times New Roman"/>
                <w:b/>
                <w:spacing w:val="-1"/>
                <w:sz w:val="18"/>
              </w:rPr>
              <w:t>3,175,295,987.12</w:t>
            </w:r>
            <w:r>
              <w:rPr>
                <w:rFonts w:ascii="Times New Roman"/>
                <w:spacing w:val="-1"/>
                <w:sz w:val="18"/>
              </w:rPr>
            </w:r>
          </w:p>
        </w:tc>
        <w:tc>
          <w:tcPr>
            <w:tcW w:w="1398"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462,416,146.22</w:t>
            </w:r>
            <w:r>
              <w:rPr>
                <w:rFonts w:ascii="Times New Roman"/>
                <w:spacing w:val="-1"/>
                <w:sz w:val="18"/>
              </w:rPr>
            </w:r>
          </w:p>
        </w:tc>
      </w:tr>
    </w:tbl>
    <w:p>
      <w:pPr>
        <w:spacing w:before="81"/>
        <w:ind w:left="67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4"/>
          <w:sz w:val="22"/>
          <w:szCs w:val="22"/>
        </w:rPr>
        <w:t> </w:t>
      </w:r>
      <w:r>
        <w:rPr>
          <w:rFonts w:ascii="宋体" w:hAnsi="宋体" w:cs="宋体" w:eastAsia="宋体" w:hint="default"/>
          <w:sz w:val="22"/>
          <w:szCs w:val="22"/>
        </w:rPr>
        <w:t>短期薪酬</w:t>
      </w:r>
    </w:p>
    <w:p>
      <w:pPr>
        <w:spacing w:line="240" w:lineRule="auto" w:before="13"/>
        <w:rPr>
          <w:rFonts w:ascii="宋体" w:hAnsi="宋体" w:cs="宋体" w:eastAsia="宋体" w:hint="default"/>
          <w:sz w:val="15"/>
          <w:szCs w:val="15"/>
        </w:rPr>
      </w:pPr>
    </w:p>
    <w:tbl>
      <w:tblPr>
        <w:tblW w:w="0" w:type="auto"/>
        <w:jc w:val="left"/>
        <w:tblInd w:w="114" w:type="dxa"/>
        <w:tblLayout w:type="fixed"/>
        <w:tblCellMar>
          <w:top w:w="0" w:type="dxa"/>
          <w:left w:w="0" w:type="dxa"/>
          <w:bottom w:w="0" w:type="dxa"/>
          <w:right w:w="0" w:type="dxa"/>
        </w:tblCellMar>
        <w:tblLook w:val="01E0"/>
      </w:tblPr>
      <w:tblGrid>
        <w:gridCol w:w="2395"/>
        <w:gridCol w:w="1654"/>
        <w:gridCol w:w="1669"/>
        <w:gridCol w:w="1609"/>
        <w:gridCol w:w="1397"/>
      </w:tblGrid>
      <w:tr>
        <w:trPr>
          <w:trHeight w:val="307" w:hRule="exact"/>
        </w:trPr>
        <w:tc>
          <w:tcPr>
            <w:tcW w:w="239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65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19"/>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c>
          <w:tcPr>
            <w:tcW w:w="166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84"/>
              <w:jc w:val="right"/>
              <w:rPr>
                <w:rFonts w:ascii="宋体" w:hAnsi="宋体" w:cs="宋体" w:eastAsia="宋体" w:hint="default"/>
                <w:sz w:val="18"/>
                <w:szCs w:val="18"/>
              </w:rPr>
            </w:pPr>
            <w:r>
              <w:rPr>
                <w:rFonts w:ascii="宋体" w:hAnsi="宋体" w:cs="宋体" w:eastAsia="宋体" w:hint="default"/>
                <w:b/>
                <w:bCs/>
                <w:w w:val="95"/>
                <w:sz w:val="18"/>
                <w:szCs w:val="18"/>
              </w:rPr>
              <w:t>本年增加</w:t>
            </w:r>
            <w:r>
              <w:rPr>
                <w:rFonts w:ascii="宋体" w:hAnsi="宋体" w:cs="宋体" w:eastAsia="宋体" w:hint="default"/>
                <w:sz w:val="18"/>
                <w:szCs w:val="18"/>
              </w:rPr>
            </w:r>
          </w:p>
        </w:tc>
        <w:tc>
          <w:tcPr>
            <w:tcW w:w="160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59"/>
              <w:jc w:val="right"/>
              <w:rPr>
                <w:rFonts w:ascii="宋体" w:hAnsi="宋体" w:cs="宋体" w:eastAsia="宋体" w:hint="default"/>
                <w:sz w:val="18"/>
                <w:szCs w:val="18"/>
              </w:rPr>
            </w:pPr>
            <w:r>
              <w:rPr>
                <w:rFonts w:ascii="宋体" w:hAnsi="宋体" w:cs="宋体" w:eastAsia="宋体" w:hint="default"/>
                <w:b/>
                <w:bCs/>
                <w:w w:val="95"/>
                <w:sz w:val="18"/>
                <w:szCs w:val="18"/>
              </w:rPr>
              <w:t>本年减少</w:t>
            </w:r>
            <w:r>
              <w:rPr>
                <w:rFonts w:ascii="宋体" w:hAnsi="宋体" w:cs="宋体" w:eastAsia="宋体" w:hint="default"/>
                <w:sz w:val="18"/>
                <w:szCs w:val="18"/>
              </w:rPr>
            </w:r>
          </w:p>
        </w:tc>
        <w:tc>
          <w:tcPr>
            <w:tcW w:w="139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r>
      <w:tr>
        <w:trPr>
          <w:trHeight w:val="323" w:hRule="exact"/>
        </w:trPr>
        <w:tc>
          <w:tcPr>
            <w:tcW w:w="2395"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工资、奖金、津贴和补贴</w:t>
            </w:r>
          </w:p>
        </w:tc>
        <w:tc>
          <w:tcPr>
            <w:tcW w:w="1654"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19"/>
              <w:jc w:val="right"/>
              <w:rPr>
                <w:rFonts w:ascii="Times New Roman" w:hAnsi="Times New Roman" w:cs="Times New Roman" w:eastAsia="Times New Roman" w:hint="default"/>
                <w:sz w:val="18"/>
                <w:szCs w:val="18"/>
              </w:rPr>
            </w:pPr>
            <w:r>
              <w:rPr>
                <w:rFonts w:ascii="Times New Roman"/>
                <w:spacing w:val="-1"/>
                <w:sz w:val="18"/>
              </w:rPr>
              <w:t>262,829,370.40</w:t>
            </w:r>
          </w:p>
        </w:tc>
        <w:tc>
          <w:tcPr>
            <w:tcW w:w="1669"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87"/>
              <w:jc w:val="right"/>
              <w:rPr>
                <w:rFonts w:ascii="Times New Roman" w:hAnsi="Times New Roman" w:cs="Times New Roman" w:eastAsia="Times New Roman" w:hint="default"/>
                <w:sz w:val="18"/>
                <w:szCs w:val="18"/>
              </w:rPr>
            </w:pPr>
            <w:r>
              <w:rPr>
                <w:rFonts w:ascii="Times New Roman"/>
                <w:spacing w:val="-1"/>
                <w:sz w:val="18"/>
              </w:rPr>
              <w:t>2,394,859,315.37</w:t>
            </w:r>
          </w:p>
        </w:tc>
        <w:tc>
          <w:tcPr>
            <w:tcW w:w="1609"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61"/>
              <w:jc w:val="right"/>
              <w:rPr>
                <w:rFonts w:ascii="Times New Roman" w:hAnsi="Times New Roman" w:cs="Times New Roman" w:eastAsia="Times New Roman" w:hint="default"/>
                <w:sz w:val="18"/>
                <w:szCs w:val="18"/>
              </w:rPr>
            </w:pPr>
            <w:r>
              <w:rPr>
                <w:rFonts w:ascii="Times New Roman"/>
                <w:spacing w:val="-1"/>
                <w:sz w:val="18"/>
              </w:rPr>
              <w:t>2,352,965,379.91</w:t>
            </w:r>
          </w:p>
        </w:tc>
        <w:tc>
          <w:tcPr>
            <w:tcW w:w="1397"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8"/>
              <w:jc w:val="right"/>
              <w:rPr>
                <w:rFonts w:ascii="Times New Roman" w:hAnsi="Times New Roman" w:cs="Times New Roman" w:eastAsia="Times New Roman" w:hint="default"/>
                <w:sz w:val="18"/>
                <w:szCs w:val="18"/>
              </w:rPr>
            </w:pPr>
            <w:r>
              <w:rPr>
                <w:rFonts w:ascii="Times New Roman"/>
                <w:spacing w:val="-1"/>
                <w:sz w:val="18"/>
              </w:rPr>
              <w:t>304,723,305.86</w:t>
            </w:r>
          </w:p>
        </w:tc>
      </w:tr>
      <w:tr>
        <w:trPr>
          <w:trHeight w:val="286" w:hRule="exact"/>
        </w:trPr>
        <w:tc>
          <w:tcPr>
            <w:tcW w:w="239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职工福利费</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8"/>
              <w:jc w:val="right"/>
              <w:rPr>
                <w:rFonts w:ascii="Times New Roman" w:hAnsi="Times New Roman" w:cs="Times New Roman" w:eastAsia="Times New Roman" w:hint="default"/>
                <w:sz w:val="18"/>
                <w:szCs w:val="18"/>
              </w:rPr>
            </w:pPr>
            <w:r>
              <w:rPr>
                <w:rFonts w:ascii="Times New Roman"/>
                <w:spacing w:val="-1"/>
                <w:sz w:val="18"/>
              </w:rPr>
              <w:t>0.00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6"/>
              <w:jc w:val="right"/>
              <w:rPr>
                <w:rFonts w:ascii="Times New Roman" w:hAnsi="Times New Roman" w:cs="Times New Roman" w:eastAsia="Times New Roman" w:hint="default"/>
                <w:sz w:val="18"/>
                <w:szCs w:val="18"/>
              </w:rPr>
            </w:pPr>
            <w:r>
              <w:rPr>
                <w:rFonts w:ascii="Times New Roman"/>
                <w:spacing w:val="-1"/>
                <w:sz w:val="18"/>
              </w:rPr>
              <w:t>85,234,143.86</w:t>
            </w:r>
          </w:p>
        </w:tc>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1"/>
              <w:jc w:val="right"/>
              <w:rPr>
                <w:rFonts w:ascii="Times New Roman" w:hAnsi="Times New Roman" w:cs="Times New Roman" w:eastAsia="Times New Roman" w:hint="default"/>
                <w:sz w:val="18"/>
                <w:szCs w:val="18"/>
              </w:rPr>
            </w:pPr>
            <w:r>
              <w:rPr>
                <w:rFonts w:ascii="Times New Roman"/>
                <w:spacing w:val="-1"/>
                <w:sz w:val="18"/>
              </w:rPr>
              <w:t>85,234,143.86</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239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9"/>
              <w:jc w:val="right"/>
              <w:rPr>
                <w:rFonts w:ascii="Times New Roman" w:hAnsi="Times New Roman" w:cs="Times New Roman" w:eastAsia="Times New Roman" w:hint="default"/>
                <w:sz w:val="18"/>
                <w:szCs w:val="18"/>
              </w:rPr>
            </w:pPr>
            <w:r>
              <w:rPr>
                <w:rFonts w:ascii="Times New Roman"/>
                <w:spacing w:val="-1"/>
                <w:sz w:val="18"/>
              </w:rPr>
              <w:t>5,744,932.44</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4"/>
              <w:jc w:val="right"/>
              <w:rPr>
                <w:rFonts w:ascii="Times New Roman" w:hAnsi="Times New Roman" w:cs="Times New Roman" w:eastAsia="Times New Roman" w:hint="default"/>
                <w:sz w:val="18"/>
                <w:szCs w:val="18"/>
              </w:rPr>
            </w:pPr>
            <w:r>
              <w:rPr>
                <w:rFonts w:ascii="Times New Roman"/>
                <w:spacing w:val="-1"/>
                <w:sz w:val="18"/>
              </w:rPr>
              <w:t>177,994,251.81</w:t>
            </w:r>
          </w:p>
        </w:tc>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9"/>
              <w:jc w:val="right"/>
              <w:rPr>
                <w:rFonts w:ascii="Times New Roman" w:hAnsi="Times New Roman" w:cs="Times New Roman" w:eastAsia="Times New Roman" w:hint="default"/>
                <w:sz w:val="18"/>
                <w:szCs w:val="18"/>
              </w:rPr>
            </w:pPr>
            <w:r>
              <w:rPr>
                <w:rFonts w:ascii="Times New Roman"/>
                <w:spacing w:val="-1"/>
                <w:sz w:val="18"/>
              </w:rPr>
              <w:t>177,709,044.12</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6,030,140.13</w:t>
            </w:r>
          </w:p>
        </w:tc>
      </w:tr>
      <w:tr>
        <w:trPr>
          <w:trHeight w:val="284" w:hRule="exact"/>
        </w:trPr>
        <w:tc>
          <w:tcPr>
            <w:tcW w:w="2395"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18"/>
              <w:jc w:val="right"/>
              <w:rPr>
                <w:rFonts w:ascii="Times New Roman" w:hAnsi="Times New Roman" w:cs="Times New Roman" w:eastAsia="Times New Roman" w:hint="default"/>
                <w:sz w:val="18"/>
                <w:szCs w:val="18"/>
              </w:rPr>
            </w:pPr>
            <w:r>
              <w:rPr>
                <w:rFonts w:ascii="Times New Roman"/>
                <w:spacing w:val="-1"/>
                <w:sz w:val="18"/>
              </w:rPr>
              <w:t>638,041.44</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4"/>
              <w:jc w:val="right"/>
              <w:rPr>
                <w:rFonts w:ascii="Times New Roman" w:hAnsi="Times New Roman" w:cs="Times New Roman" w:eastAsia="Times New Roman" w:hint="default"/>
                <w:sz w:val="18"/>
                <w:szCs w:val="18"/>
              </w:rPr>
            </w:pPr>
            <w:r>
              <w:rPr>
                <w:rFonts w:ascii="Times New Roman"/>
                <w:spacing w:val="-1"/>
                <w:sz w:val="18"/>
              </w:rPr>
              <w:t>136,006,699.91</w:t>
            </w:r>
          </w:p>
        </w:tc>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9"/>
              <w:jc w:val="right"/>
              <w:rPr>
                <w:rFonts w:ascii="Times New Roman" w:hAnsi="Times New Roman" w:cs="Times New Roman" w:eastAsia="Times New Roman" w:hint="default"/>
                <w:sz w:val="18"/>
                <w:szCs w:val="18"/>
              </w:rPr>
            </w:pPr>
            <w:r>
              <w:rPr>
                <w:rFonts w:ascii="Times New Roman"/>
                <w:spacing w:val="-1"/>
                <w:sz w:val="18"/>
              </w:rPr>
              <w:t>135,313,982.04</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1,330,759.31</w:t>
            </w:r>
          </w:p>
        </w:tc>
      </w:tr>
      <w:tr>
        <w:trPr>
          <w:trHeight w:val="286" w:hRule="exact"/>
        </w:trPr>
        <w:tc>
          <w:tcPr>
            <w:tcW w:w="2395" w:type="dxa"/>
            <w:tcBorders>
              <w:top w:val="nil" w:sz="6" w:space="0" w:color="auto"/>
              <w:left w:val="nil" w:sz="6" w:space="0" w:color="auto"/>
              <w:bottom w:val="nil" w:sz="6" w:space="0" w:color="auto"/>
              <w:right w:val="nil" w:sz="6" w:space="0" w:color="auto"/>
            </w:tcBorders>
          </w:tcPr>
          <w:p>
            <w:pPr>
              <w:pStyle w:val="TableParagraph"/>
              <w:spacing w:line="223" w:lineRule="exact"/>
              <w:ind w:right="391"/>
              <w:jc w:val="right"/>
              <w:rPr>
                <w:rFonts w:ascii="宋体" w:hAnsi="宋体" w:cs="宋体" w:eastAsia="宋体" w:hint="default"/>
                <w:sz w:val="18"/>
                <w:szCs w:val="18"/>
              </w:rPr>
            </w:pPr>
            <w:r>
              <w:rPr>
                <w:rFonts w:ascii="宋体" w:hAnsi="宋体" w:cs="宋体" w:eastAsia="宋体" w:hint="default"/>
                <w:sz w:val="18"/>
                <w:szCs w:val="18"/>
              </w:rPr>
              <w:t>工伤保险费</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8"/>
              <w:jc w:val="right"/>
              <w:rPr>
                <w:rFonts w:ascii="Times New Roman" w:hAnsi="Times New Roman" w:cs="Times New Roman" w:eastAsia="Times New Roman" w:hint="default"/>
                <w:sz w:val="18"/>
                <w:szCs w:val="18"/>
              </w:rPr>
            </w:pPr>
            <w:r>
              <w:rPr>
                <w:rFonts w:ascii="Times New Roman"/>
                <w:spacing w:val="-1"/>
                <w:sz w:val="18"/>
              </w:rPr>
              <w:t>183,968.30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8,952,136.29</w:t>
            </w:r>
          </w:p>
        </w:tc>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9"/>
              <w:jc w:val="right"/>
              <w:rPr>
                <w:rFonts w:ascii="Times New Roman" w:hAnsi="Times New Roman" w:cs="Times New Roman" w:eastAsia="Times New Roman" w:hint="default"/>
                <w:sz w:val="18"/>
                <w:szCs w:val="18"/>
              </w:rPr>
            </w:pPr>
            <w:r>
              <w:rPr>
                <w:rFonts w:ascii="Times New Roman"/>
                <w:spacing w:val="-1"/>
                <w:sz w:val="18"/>
              </w:rPr>
              <w:t>8,984,931.42</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151,173.17</w:t>
            </w:r>
          </w:p>
        </w:tc>
      </w:tr>
      <w:tr>
        <w:trPr>
          <w:trHeight w:val="259" w:hRule="exact"/>
        </w:trPr>
        <w:tc>
          <w:tcPr>
            <w:tcW w:w="2395" w:type="dxa"/>
            <w:tcBorders>
              <w:top w:val="nil" w:sz="6" w:space="0" w:color="auto"/>
              <w:left w:val="nil" w:sz="6" w:space="0" w:color="auto"/>
              <w:bottom w:val="nil" w:sz="6" w:space="0" w:color="auto"/>
              <w:right w:val="nil" w:sz="6" w:space="0" w:color="auto"/>
            </w:tcBorders>
          </w:tcPr>
          <w:p>
            <w:pPr>
              <w:pStyle w:val="TableParagraph"/>
              <w:spacing w:line="223" w:lineRule="exact"/>
              <w:ind w:right="391"/>
              <w:jc w:val="right"/>
              <w:rPr>
                <w:rFonts w:ascii="宋体" w:hAnsi="宋体" w:cs="宋体" w:eastAsia="宋体" w:hint="default"/>
                <w:sz w:val="18"/>
                <w:szCs w:val="18"/>
              </w:rPr>
            </w:pPr>
            <w:r>
              <w:rPr>
                <w:rFonts w:ascii="宋体" w:hAnsi="宋体" w:cs="宋体" w:eastAsia="宋体" w:hint="default"/>
                <w:sz w:val="18"/>
                <w:szCs w:val="18"/>
              </w:rPr>
              <w:t>生育保险费</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8"/>
              <w:jc w:val="right"/>
              <w:rPr>
                <w:rFonts w:ascii="Times New Roman" w:hAnsi="Times New Roman" w:cs="Times New Roman" w:eastAsia="Times New Roman" w:hint="default"/>
                <w:sz w:val="18"/>
                <w:szCs w:val="18"/>
              </w:rPr>
            </w:pPr>
            <w:r>
              <w:rPr>
                <w:rFonts w:ascii="Times New Roman"/>
                <w:spacing w:val="-1"/>
                <w:sz w:val="18"/>
              </w:rPr>
              <w:t>409,488.70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9,906,169.40</w:t>
            </w:r>
          </w:p>
        </w:tc>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9"/>
              <w:jc w:val="right"/>
              <w:rPr>
                <w:rFonts w:ascii="Times New Roman" w:hAnsi="Times New Roman" w:cs="Times New Roman" w:eastAsia="Times New Roman" w:hint="default"/>
                <w:sz w:val="18"/>
                <w:szCs w:val="18"/>
              </w:rPr>
            </w:pPr>
            <w:r>
              <w:rPr>
                <w:rFonts w:ascii="Times New Roman"/>
                <w:spacing w:val="-1"/>
                <w:sz w:val="18"/>
              </w:rPr>
              <w:t>9,890,525.93</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425,132.17</w:t>
            </w:r>
          </w:p>
        </w:tc>
      </w:tr>
      <w:tr>
        <w:trPr>
          <w:trHeight w:val="493" w:hRule="exact"/>
        </w:trPr>
        <w:tc>
          <w:tcPr>
            <w:tcW w:w="2395" w:type="dxa"/>
            <w:tcBorders>
              <w:top w:val="nil" w:sz="6" w:space="0" w:color="auto"/>
              <w:left w:val="nil" w:sz="6" w:space="0" w:color="auto"/>
              <w:bottom w:val="nil" w:sz="6" w:space="0" w:color="auto"/>
              <w:right w:val="nil" w:sz="6" w:space="0" w:color="auto"/>
            </w:tcBorders>
          </w:tcPr>
          <w:p>
            <w:pPr>
              <w:pStyle w:val="TableParagraph"/>
              <w:spacing w:line="195" w:lineRule="exact"/>
              <w:ind w:left="1101" w:right="0"/>
              <w:jc w:val="left"/>
              <w:rPr>
                <w:rFonts w:ascii="宋体" w:hAnsi="宋体" w:cs="宋体" w:eastAsia="宋体" w:hint="default"/>
                <w:sz w:val="18"/>
                <w:szCs w:val="18"/>
              </w:rPr>
            </w:pPr>
            <w:r>
              <w:rPr>
                <w:rFonts w:ascii="宋体" w:hAnsi="宋体" w:cs="宋体" w:eastAsia="宋体" w:hint="default"/>
                <w:sz w:val="18"/>
                <w:szCs w:val="18"/>
              </w:rPr>
              <w:t>其他社会保</w:t>
            </w:r>
          </w:p>
          <w:p>
            <w:pPr>
              <w:pStyle w:val="TableParagraph"/>
              <w:spacing w:line="234" w:lineRule="exact"/>
              <w:ind w:left="108" w:right="0"/>
              <w:jc w:val="left"/>
              <w:rPr>
                <w:rFonts w:ascii="宋体" w:hAnsi="宋体" w:cs="宋体" w:eastAsia="宋体" w:hint="default"/>
                <w:sz w:val="18"/>
                <w:szCs w:val="18"/>
              </w:rPr>
            </w:pPr>
            <w:r>
              <w:rPr>
                <w:rFonts w:ascii="宋体" w:hAnsi="宋体" w:cs="宋体" w:eastAsia="宋体" w:hint="default"/>
                <w:sz w:val="18"/>
                <w:szCs w:val="18"/>
              </w:rPr>
              <w:t>险</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9"/>
              <w:jc w:val="right"/>
              <w:rPr>
                <w:rFonts w:ascii="Times New Roman" w:hAnsi="Times New Roman" w:cs="Times New Roman" w:eastAsia="Times New Roman" w:hint="default"/>
                <w:sz w:val="18"/>
                <w:szCs w:val="18"/>
              </w:rPr>
            </w:pPr>
            <w:r>
              <w:rPr>
                <w:rFonts w:ascii="Times New Roman"/>
                <w:spacing w:val="-1"/>
                <w:sz w:val="18"/>
              </w:rPr>
              <w:t>4,513,434.00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86"/>
              <w:jc w:val="right"/>
              <w:rPr>
                <w:rFonts w:ascii="Times New Roman" w:hAnsi="Times New Roman" w:cs="Times New Roman" w:eastAsia="Times New Roman" w:hint="default"/>
                <w:sz w:val="18"/>
                <w:szCs w:val="18"/>
              </w:rPr>
            </w:pPr>
            <w:r>
              <w:rPr>
                <w:rFonts w:ascii="Times New Roman"/>
                <w:spacing w:val="-1"/>
                <w:sz w:val="18"/>
              </w:rPr>
              <w:t>23,129,246.21</w:t>
            </w:r>
          </w:p>
        </w:tc>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61"/>
              <w:jc w:val="right"/>
              <w:rPr>
                <w:rFonts w:ascii="Times New Roman" w:hAnsi="Times New Roman" w:cs="Times New Roman" w:eastAsia="Times New Roman" w:hint="default"/>
                <w:sz w:val="18"/>
                <w:szCs w:val="18"/>
              </w:rPr>
            </w:pPr>
            <w:r>
              <w:rPr>
                <w:rFonts w:ascii="Times New Roman"/>
                <w:spacing w:val="-1"/>
                <w:sz w:val="18"/>
              </w:rPr>
              <w:t>23,519,604.73</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4,123,075.48</w:t>
            </w:r>
          </w:p>
        </w:tc>
      </w:tr>
      <w:tr>
        <w:trPr>
          <w:trHeight w:val="285" w:hRule="exact"/>
        </w:trPr>
        <w:tc>
          <w:tcPr>
            <w:tcW w:w="2395"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住房公积金</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19"/>
              <w:jc w:val="right"/>
              <w:rPr>
                <w:rFonts w:ascii="Times New Roman" w:hAnsi="Times New Roman" w:cs="Times New Roman" w:eastAsia="Times New Roman" w:hint="default"/>
                <w:sz w:val="18"/>
                <w:szCs w:val="18"/>
              </w:rPr>
            </w:pPr>
            <w:r>
              <w:rPr>
                <w:rFonts w:ascii="Times New Roman"/>
                <w:spacing w:val="-1"/>
                <w:sz w:val="18"/>
              </w:rPr>
              <w:t>5,126,317.83</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4"/>
              <w:jc w:val="right"/>
              <w:rPr>
                <w:rFonts w:ascii="Times New Roman" w:hAnsi="Times New Roman" w:cs="Times New Roman" w:eastAsia="Times New Roman" w:hint="default"/>
                <w:sz w:val="18"/>
                <w:szCs w:val="18"/>
              </w:rPr>
            </w:pPr>
            <w:r>
              <w:rPr>
                <w:rFonts w:ascii="Times New Roman"/>
                <w:spacing w:val="-1"/>
                <w:sz w:val="18"/>
              </w:rPr>
              <w:t>169,050,494.76</w:t>
            </w:r>
          </w:p>
        </w:tc>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9"/>
              <w:jc w:val="right"/>
              <w:rPr>
                <w:rFonts w:ascii="Times New Roman" w:hAnsi="Times New Roman" w:cs="Times New Roman" w:eastAsia="Times New Roman" w:hint="default"/>
                <w:sz w:val="18"/>
                <w:szCs w:val="18"/>
              </w:rPr>
            </w:pPr>
            <w:r>
              <w:rPr>
                <w:rFonts w:ascii="Times New Roman"/>
                <w:spacing w:val="-1"/>
                <w:sz w:val="18"/>
              </w:rPr>
              <w:t>168,747,918.14</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5,428,894.45</w:t>
            </w:r>
          </w:p>
        </w:tc>
      </w:tr>
      <w:tr>
        <w:trPr>
          <w:trHeight w:val="286" w:hRule="exact"/>
        </w:trPr>
        <w:tc>
          <w:tcPr>
            <w:tcW w:w="239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工会经费和职工教育经费</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9"/>
              <w:jc w:val="right"/>
              <w:rPr>
                <w:rFonts w:ascii="Times New Roman" w:hAnsi="Times New Roman" w:cs="Times New Roman" w:eastAsia="Times New Roman" w:hint="default"/>
                <w:sz w:val="18"/>
                <w:szCs w:val="18"/>
              </w:rPr>
            </w:pPr>
            <w:r>
              <w:rPr>
                <w:rFonts w:ascii="Times New Roman"/>
                <w:spacing w:val="-1"/>
                <w:sz w:val="18"/>
              </w:rPr>
              <w:t>116,688,184.00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6"/>
              <w:jc w:val="right"/>
              <w:rPr>
                <w:rFonts w:ascii="Times New Roman" w:hAnsi="Times New Roman" w:cs="Times New Roman" w:eastAsia="Times New Roman" w:hint="default"/>
                <w:sz w:val="18"/>
                <w:szCs w:val="18"/>
              </w:rPr>
            </w:pPr>
            <w:r>
              <w:rPr>
                <w:rFonts w:ascii="Times New Roman"/>
                <w:spacing w:val="-1"/>
                <w:sz w:val="18"/>
              </w:rPr>
              <w:t>63,901,007.63</w:t>
            </w:r>
          </w:p>
        </w:tc>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1"/>
              <w:jc w:val="right"/>
              <w:rPr>
                <w:rFonts w:ascii="Times New Roman" w:hAnsi="Times New Roman" w:cs="Times New Roman" w:eastAsia="Times New Roman" w:hint="default"/>
                <w:sz w:val="18"/>
                <w:szCs w:val="18"/>
              </w:rPr>
            </w:pPr>
            <w:r>
              <w:rPr>
                <w:rFonts w:ascii="Times New Roman"/>
                <w:spacing w:val="-1"/>
                <w:sz w:val="18"/>
              </w:rPr>
              <w:t>37,681,763.75</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142,907,427.88</w:t>
            </w:r>
          </w:p>
        </w:tc>
      </w:tr>
      <w:tr>
        <w:trPr>
          <w:trHeight w:val="255" w:hRule="exact"/>
        </w:trPr>
        <w:tc>
          <w:tcPr>
            <w:tcW w:w="2395"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5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218"/>
              <w:jc w:val="right"/>
              <w:rPr>
                <w:rFonts w:ascii="Times New Roman" w:hAnsi="Times New Roman" w:cs="Times New Roman" w:eastAsia="Times New Roman" w:hint="default"/>
                <w:sz w:val="18"/>
                <w:szCs w:val="18"/>
              </w:rPr>
            </w:pPr>
            <w:r>
              <w:rPr>
                <w:rFonts w:ascii="Times New Roman"/>
                <w:spacing w:val="-1"/>
                <w:sz w:val="18"/>
              </w:rPr>
              <w:t>421,273.73</w:t>
            </w:r>
          </w:p>
        </w:tc>
        <w:tc>
          <w:tcPr>
            <w:tcW w:w="1669"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83"/>
              <w:jc w:val="right"/>
              <w:rPr>
                <w:rFonts w:ascii="Times New Roman" w:hAnsi="Times New Roman" w:cs="Times New Roman" w:eastAsia="Times New Roman" w:hint="default"/>
                <w:sz w:val="18"/>
                <w:szCs w:val="18"/>
              </w:rPr>
            </w:pPr>
            <w:r>
              <w:rPr>
                <w:rFonts w:ascii="Times New Roman"/>
                <w:spacing w:val="-1"/>
                <w:sz w:val="18"/>
              </w:rPr>
              <w:t>740,093.28</w:t>
            </w:r>
          </w:p>
        </w:tc>
        <w:tc>
          <w:tcPr>
            <w:tcW w:w="1609"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59"/>
              <w:jc w:val="right"/>
              <w:rPr>
                <w:rFonts w:ascii="Times New Roman" w:hAnsi="Times New Roman" w:cs="Times New Roman" w:eastAsia="Times New Roman" w:hint="default"/>
                <w:sz w:val="18"/>
                <w:szCs w:val="18"/>
              </w:rPr>
            </w:pPr>
            <w:r>
              <w:rPr>
                <w:rFonts w:ascii="Times New Roman"/>
                <w:spacing w:val="-1"/>
                <w:sz w:val="18"/>
              </w:rPr>
              <w:t>1,150,451.00</w:t>
            </w:r>
          </w:p>
        </w:tc>
        <w:tc>
          <w:tcPr>
            <w:tcW w:w="1397"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10,916.01</w:t>
            </w:r>
          </w:p>
        </w:tc>
      </w:tr>
      <w:tr>
        <w:trPr>
          <w:trHeight w:val="305" w:hRule="exact"/>
        </w:trPr>
        <w:tc>
          <w:tcPr>
            <w:tcW w:w="2395"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5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219"/>
              <w:jc w:val="right"/>
              <w:rPr>
                <w:rFonts w:ascii="Times New Roman" w:hAnsi="Times New Roman" w:cs="Times New Roman" w:eastAsia="Times New Roman" w:hint="default"/>
                <w:sz w:val="18"/>
                <w:szCs w:val="18"/>
              </w:rPr>
            </w:pPr>
            <w:r>
              <w:rPr>
                <w:rFonts w:ascii="Times New Roman"/>
                <w:b/>
                <w:spacing w:val="-1"/>
                <w:sz w:val="18"/>
              </w:rPr>
              <w:t>390,810,078.40</w:t>
            </w:r>
            <w:r>
              <w:rPr>
                <w:rFonts w:ascii="Times New Roman"/>
                <w:spacing w:val="-1"/>
                <w:sz w:val="18"/>
              </w:rPr>
            </w:r>
          </w:p>
        </w:tc>
        <w:tc>
          <w:tcPr>
            <w:tcW w:w="166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87"/>
              <w:jc w:val="right"/>
              <w:rPr>
                <w:rFonts w:ascii="Times New Roman" w:hAnsi="Times New Roman" w:cs="Times New Roman" w:eastAsia="Times New Roman" w:hint="default"/>
                <w:sz w:val="18"/>
                <w:szCs w:val="18"/>
              </w:rPr>
            </w:pPr>
            <w:r>
              <w:rPr>
                <w:rFonts w:ascii="Times New Roman"/>
                <w:b/>
                <w:spacing w:val="-1"/>
                <w:sz w:val="18"/>
              </w:rPr>
              <w:t>2,891,779,306.71</w:t>
            </w:r>
            <w:r>
              <w:rPr>
                <w:rFonts w:ascii="Times New Roman"/>
                <w:spacing w:val="-1"/>
                <w:sz w:val="18"/>
              </w:rPr>
            </w:r>
          </w:p>
        </w:tc>
        <w:tc>
          <w:tcPr>
            <w:tcW w:w="160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61"/>
              <w:jc w:val="right"/>
              <w:rPr>
                <w:rFonts w:ascii="Times New Roman" w:hAnsi="Times New Roman" w:cs="Times New Roman" w:eastAsia="Times New Roman" w:hint="default"/>
                <w:sz w:val="18"/>
                <w:szCs w:val="18"/>
              </w:rPr>
            </w:pPr>
            <w:r>
              <w:rPr>
                <w:rFonts w:ascii="Times New Roman"/>
                <w:b/>
                <w:spacing w:val="-1"/>
                <w:sz w:val="18"/>
              </w:rPr>
              <w:t>2,823,488,700.78</w:t>
            </w:r>
            <w:r>
              <w:rPr>
                <w:rFonts w:ascii="Times New Roman"/>
                <w:spacing w:val="-1"/>
                <w:sz w:val="18"/>
              </w:rPr>
            </w:r>
          </w:p>
        </w:tc>
        <w:tc>
          <w:tcPr>
            <w:tcW w:w="1397"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459,100,684.33</w:t>
            </w:r>
            <w:r>
              <w:rPr>
                <w:rFonts w:ascii="Times New Roman"/>
                <w:spacing w:val="-1"/>
                <w:sz w:val="18"/>
              </w:rPr>
            </w:r>
          </w:p>
        </w:tc>
      </w:tr>
    </w:tbl>
    <w:p>
      <w:pPr>
        <w:spacing w:before="81"/>
        <w:ind w:left="67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设定提存计划</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026"/>
        <w:gridCol w:w="2090"/>
        <w:gridCol w:w="1680"/>
        <w:gridCol w:w="1625"/>
        <w:gridCol w:w="1305"/>
      </w:tblGrid>
      <w:tr>
        <w:trPr>
          <w:trHeight w:val="305" w:hRule="exact"/>
        </w:trPr>
        <w:tc>
          <w:tcPr>
            <w:tcW w:w="202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09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304"/>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c>
          <w:tcPr>
            <w:tcW w:w="168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46"/>
              <w:jc w:val="right"/>
              <w:rPr>
                <w:rFonts w:ascii="宋体" w:hAnsi="宋体" w:cs="宋体" w:eastAsia="宋体" w:hint="default"/>
                <w:sz w:val="18"/>
                <w:szCs w:val="18"/>
              </w:rPr>
            </w:pPr>
            <w:r>
              <w:rPr>
                <w:rFonts w:ascii="宋体" w:hAnsi="宋体" w:cs="宋体" w:eastAsia="宋体" w:hint="default"/>
                <w:b/>
                <w:bCs/>
                <w:w w:val="95"/>
                <w:sz w:val="18"/>
                <w:szCs w:val="18"/>
              </w:rPr>
              <w:t>本年增加</w:t>
            </w:r>
            <w:r>
              <w:rPr>
                <w:rFonts w:ascii="宋体" w:hAnsi="宋体" w:cs="宋体" w:eastAsia="宋体" w:hint="default"/>
                <w:sz w:val="18"/>
                <w:szCs w:val="18"/>
              </w:rPr>
            </w:r>
          </w:p>
        </w:tc>
        <w:tc>
          <w:tcPr>
            <w:tcW w:w="162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49"/>
              <w:jc w:val="right"/>
              <w:rPr>
                <w:rFonts w:ascii="宋体" w:hAnsi="宋体" w:cs="宋体" w:eastAsia="宋体" w:hint="default"/>
                <w:sz w:val="18"/>
                <w:szCs w:val="18"/>
              </w:rPr>
            </w:pPr>
            <w:r>
              <w:rPr>
                <w:rFonts w:ascii="宋体" w:hAnsi="宋体" w:cs="宋体" w:eastAsia="宋体" w:hint="default"/>
                <w:b/>
                <w:bCs/>
                <w:w w:val="95"/>
                <w:sz w:val="18"/>
                <w:szCs w:val="18"/>
              </w:rPr>
              <w:t>本年减少</w:t>
            </w:r>
            <w:r>
              <w:rPr>
                <w:rFonts w:ascii="宋体" w:hAnsi="宋体" w:cs="宋体" w:eastAsia="宋体" w:hint="default"/>
                <w:sz w:val="18"/>
                <w:szCs w:val="18"/>
              </w:rPr>
            </w:r>
          </w:p>
        </w:tc>
        <w:tc>
          <w:tcPr>
            <w:tcW w:w="130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r>
      <w:tr>
        <w:trPr>
          <w:trHeight w:val="325" w:hRule="exact"/>
        </w:trPr>
        <w:tc>
          <w:tcPr>
            <w:tcW w:w="2026"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基本养老保险</w:t>
            </w:r>
          </w:p>
        </w:tc>
        <w:tc>
          <w:tcPr>
            <w:tcW w:w="2090"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304"/>
              <w:jc w:val="right"/>
              <w:rPr>
                <w:rFonts w:ascii="Times New Roman" w:hAnsi="Times New Roman" w:cs="Times New Roman" w:eastAsia="Times New Roman" w:hint="default"/>
                <w:sz w:val="18"/>
                <w:szCs w:val="18"/>
              </w:rPr>
            </w:pPr>
            <w:r>
              <w:rPr>
                <w:rFonts w:ascii="Times New Roman"/>
                <w:spacing w:val="-1"/>
                <w:sz w:val="18"/>
              </w:rPr>
              <w:t>2,778,298.88</w:t>
            </w:r>
          </w:p>
        </w:tc>
        <w:tc>
          <w:tcPr>
            <w:tcW w:w="1680"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246"/>
              <w:jc w:val="right"/>
              <w:rPr>
                <w:rFonts w:ascii="Times New Roman" w:hAnsi="Times New Roman" w:cs="Times New Roman" w:eastAsia="Times New Roman" w:hint="default"/>
                <w:sz w:val="18"/>
                <w:szCs w:val="18"/>
              </w:rPr>
            </w:pPr>
            <w:r>
              <w:rPr>
                <w:rFonts w:ascii="Times New Roman"/>
                <w:spacing w:val="-1"/>
                <w:sz w:val="18"/>
              </w:rPr>
              <w:t>288,909,388.75</w:t>
            </w:r>
          </w:p>
        </w:tc>
        <w:tc>
          <w:tcPr>
            <w:tcW w:w="162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249"/>
              <w:jc w:val="right"/>
              <w:rPr>
                <w:rFonts w:ascii="Times New Roman" w:hAnsi="Times New Roman" w:cs="Times New Roman" w:eastAsia="Times New Roman" w:hint="default"/>
                <w:sz w:val="18"/>
                <w:szCs w:val="18"/>
              </w:rPr>
            </w:pPr>
            <w:r>
              <w:rPr>
                <w:rFonts w:ascii="Times New Roman"/>
                <w:spacing w:val="-1"/>
                <w:sz w:val="18"/>
              </w:rPr>
              <w:t>289,145,482.79</w:t>
            </w:r>
          </w:p>
        </w:tc>
        <w:tc>
          <w:tcPr>
            <w:tcW w:w="130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2,542,204.84</w:t>
            </w:r>
          </w:p>
        </w:tc>
      </w:tr>
      <w:tr>
        <w:trPr>
          <w:trHeight w:val="243" w:hRule="exact"/>
        </w:trPr>
        <w:tc>
          <w:tcPr>
            <w:tcW w:w="2026"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企业年金缴费</w:t>
            </w:r>
          </w:p>
        </w:tc>
        <w:tc>
          <w:tcPr>
            <w:tcW w:w="20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04"/>
              <w:jc w:val="right"/>
              <w:rPr>
                <w:rFonts w:ascii="Times New Roman" w:hAnsi="Times New Roman" w:cs="Times New Roman" w:eastAsia="Times New Roman" w:hint="default"/>
                <w:sz w:val="18"/>
                <w:szCs w:val="18"/>
              </w:rPr>
            </w:pPr>
            <w:r>
              <w:rPr>
                <w:rFonts w:ascii="Times New Roman"/>
                <w:spacing w:val="-1"/>
                <w:sz w:val="18"/>
              </w:rPr>
              <w:t>1,120,924.07</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8"/>
              <w:jc w:val="right"/>
              <w:rPr>
                <w:rFonts w:ascii="Times New Roman" w:hAnsi="Times New Roman" w:cs="Times New Roman" w:eastAsia="Times New Roman" w:hint="default"/>
                <w:sz w:val="18"/>
                <w:szCs w:val="18"/>
              </w:rPr>
            </w:pPr>
            <w:r>
              <w:rPr>
                <w:rFonts w:ascii="Times New Roman"/>
                <w:spacing w:val="-1"/>
                <w:sz w:val="18"/>
              </w:rPr>
              <w:t>41,642,967.92</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51"/>
              <w:jc w:val="right"/>
              <w:rPr>
                <w:rFonts w:ascii="Times New Roman" w:hAnsi="Times New Roman" w:cs="Times New Roman" w:eastAsia="Times New Roman" w:hint="default"/>
                <w:sz w:val="18"/>
                <w:szCs w:val="18"/>
              </w:rPr>
            </w:pPr>
            <w:r>
              <w:rPr>
                <w:rFonts w:ascii="Times New Roman"/>
                <w:spacing w:val="-1"/>
                <w:sz w:val="18"/>
              </w:rPr>
              <w:t>42,602,396.76</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161,495.23</w:t>
            </w:r>
          </w:p>
        </w:tc>
      </w:tr>
    </w:tbl>
    <w:p>
      <w:pPr>
        <w:spacing w:after="0" w:line="240" w:lineRule="auto"/>
        <w:jc w:val="right"/>
        <w:rPr>
          <w:rFonts w:ascii="Times New Roman" w:hAnsi="Times New Roman" w:cs="Times New Roman" w:eastAsia="Times New Roman" w:hint="default"/>
          <w:sz w:val="18"/>
          <w:szCs w:val="18"/>
        </w:rPr>
        <w:sectPr>
          <w:pgSz w:w="11910" w:h="16840"/>
          <w:pgMar w:header="645" w:footer="816" w:top="1080" w:bottom="1020" w:left="1480" w:right="148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3"/>
          <w:szCs w:val="13"/>
        </w:rPr>
      </w:pPr>
    </w:p>
    <w:tbl>
      <w:tblPr>
        <w:tblW w:w="0" w:type="auto"/>
        <w:jc w:val="left"/>
        <w:tblInd w:w="114" w:type="dxa"/>
        <w:tblLayout w:type="fixed"/>
        <w:tblCellMar>
          <w:top w:w="0" w:type="dxa"/>
          <w:left w:w="0" w:type="dxa"/>
          <w:bottom w:w="0" w:type="dxa"/>
          <w:right w:w="0" w:type="dxa"/>
        </w:tblCellMar>
        <w:tblLook w:val="01E0"/>
      </w:tblPr>
      <w:tblGrid>
        <w:gridCol w:w="1936"/>
        <w:gridCol w:w="2180"/>
        <w:gridCol w:w="1680"/>
        <w:gridCol w:w="1625"/>
        <w:gridCol w:w="1305"/>
      </w:tblGrid>
      <w:tr>
        <w:trPr>
          <w:trHeight w:val="212" w:hRule="exact"/>
        </w:trPr>
        <w:tc>
          <w:tcPr>
            <w:tcW w:w="1936" w:type="dxa"/>
            <w:tcBorders>
              <w:top w:val="nil" w:sz="6" w:space="0" w:color="auto"/>
              <w:left w:val="nil" w:sz="6" w:space="0" w:color="auto"/>
              <w:bottom w:val="single" w:sz="4" w:space="0" w:color="000000"/>
              <w:right w:val="nil" w:sz="6" w:space="0" w:color="auto"/>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2180" w:type="dxa"/>
            <w:tcBorders>
              <w:top w:val="nil" w:sz="6" w:space="0" w:color="auto"/>
              <w:left w:val="nil" w:sz="6" w:space="0" w:color="auto"/>
              <w:bottom w:val="single" w:sz="4" w:space="0" w:color="000000"/>
              <w:right w:val="nil" w:sz="6" w:space="0" w:color="auto"/>
            </w:tcBorders>
          </w:tcPr>
          <w:p>
            <w:pPr>
              <w:pStyle w:val="TableParagraph"/>
              <w:spacing w:line="203" w:lineRule="exact"/>
              <w:ind w:right="304"/>
              <w:jc w:val="right"/>
              <w:rPr>
                <w:rFonts w:ascii="Times New Roman" w:hAnsi="Times New Roman" w:cs="Times New Roman" w:eastAsia="Times New Roman" w:hint="default"/>
                <w:sz w:val="18"/>
                <w:szCs w:val="18"/>
              </w:rPr>
            </w:pPr>
            <w:r>
              <w:rPr>
                <w:rFonts w:ascii="Times New Roman"/>
                <w:spacing w:val="-1"/>
                <w:sz w:val="18"/>
              </w:rPr>
              <w:t>421,703.64</w:t>
            </w:r>
          </w:p>
        </w:tc>
        <w:tc>
          <w:tcPr>
            <w:tcW w:w="1680" w:type="dxa"/>
            <w:tcBorders>
              <w:top w:val="nil" w:sz="6" w:space="0" w:color="auto"/>
              <w:left w:val="nil" w:sz="6" w:space="0" w:color="auto"/>
              <w:bottom w:val="single" w:sz="4" w:space="0" w:color="000000"/>
              <w:right w:val="nil" w:sz="6" w:space="0" w:color="auto"/>
            </w:tcBorders>
          </w:tcPr>
          <w:p>
            <w:pPr>
              <w:pStyle w:val="TableParagraph"/>
              <w:spacing w:line="203" w:lineRule="exact"/>
              <w:ind w:right="248"/>
              <w:jc w:val="right"/>
              <w:rPr>
                <w:rFonts w:ascii="Times New Roman" w:hAnsi="Times New Roman" w:cs="Times New Roman" w:eastAsia="Times New Roman" w:hint="default"/>
                <w:sz w:val="18"/>
                <w:szCs w:val="18"/>
              </w:rPr>
            </w:pPr>
            <w:r>
              <w:rPr>
                <w:rFonts w:ascii="Times New Roman"/>
                <w:spacing w:val="-1"/>
                <w:sz w:val="18"/>
              </w:rPr>
              <w:t>15,809,452.62</w:t>
            </w:r>
          </w:p>
        </w:tc>
        <w:tc>
          <w:tcPr>
            <w:tcW w:w="1625" w:type="dxa"/>
            <w:tcBorders>
              <w:top w:val="nil" w:sz="6" w:space="0" w:color="auto"/>
              <w:left w:val="nil" w:sz="6" w:space="0" w:color="auto"/>
              <w:bottom w:val="single" w:sz="4" w:space="0" w:color="000000"/>
              <w:right w:val="nil" w:sz="6" w:space="0" w:color="auto"/>
            </w:tcBorders>
          </w:tcPr>
          <w:p>
            <w:pPr>
              <w:pStyle w:val="TableParagraph"/>
              <w:spacing w:line="203" w:lineRule="exact"/>
              <w:ind w:left="83" w:right="0"/>
              <w:jc w:val="center"/>
              <w:rPr>
                <w:rFonts w:ascii="Times New Roman" w:hAnsi="Times New Roman" w:cs="Times New Roman" w:eastAsia="Times New Roman" w:hint="default"/>
                <w:sz w:val="18"/>
                <w:szCs w:val="18"/>
              </w:rPr>
            </w:pPr>
            <w:r>
              <w:rPr>
                <w:rFonts w:ascii="Times New Roman"/>
                <w:sz w:val="18"/>
              </w:rPr>
              <w:t>15,619,394.44</w:t>
            </w:r>
          </w:p>
        </w:tc>
        <w:tc>
          <w:tcPr>
            <w:tcW w:w="1305" w:type="dxa"/>
            <w:tcBorders>
              <w:top w:val="nil" w:sz="6" w:space="0" w:color="auto"/>
              <w:left w:val="nil" w:sz="6" w:space="0" w:color="auto"/>
              <w:bottom w:val="single" w:sz="4" w:space="0" w:color="000000"/>
              <w:right w:val="nil" w:sz="6" w:space="0" w:color="auto"/>
            </w:tcBorders>
          </w:tcPr>
          <w:p>
            <w:pPr>
              <w:pStyle w:val="TableParagraph"/>
              <w:spacing w:line="203" w:lineRule="exact"/>
              <w:ind w:right="105"/>
              <w:jc w:val="right"/>
              <w:rPr>
                <w:rFonts w:ascii="Times New Roman" w:hAnsi="Times New Roman" w:cs="Times New Roman" w:eastAsia="Times New Roman" w:hint="default"/>
                <w:sz w:val="18"/>
                <w:szCs w:val="18"/>
              </w:rPr>
            </w:pPr>
            <w:r>
              <w:rPr>
                <w:rFonts w:ascii="Times New Roman"/>
                <w:spacing w:val="-1"/>
                <w:sz w:val="18"/>
              </w:rPr>
              <w:t>611,761.82</w:t>
            </w:r>
          </w:p>
        </w:tc>
      </w:tr>
      <w:tr>
        <w:trPr>
          <w:trHeight w:val="308" w:hRule="exact"/>
        </w:trPr>
        <w:tc>
          <w:tcPr>
            <w:tcW w:w="1936" w:type="dxa"/>
            <w:tcBorders>
              <w:top w:val="single" w:sz="4" w:space="0" w:color="000000"/>
              <w:left w:val="nil" w:sz="6" w:space="0" w:color="auto"/>
              <w:bottom w:val="single" w:sz="12" w:space="0" w:color="000000"/>
              <w:right w:val="nil" w:sz="6" w:space="0" w:color="auto"/>
            </w:tcBorders>
          </w:tcPr>
          <w:p>
            <w:pPr>
              <w:pStyle w:val="TableParagraph"/>
              <w:spacing w:line="240" w:lineRule="auto" w:before="2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80"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304"/>
              <w:jc w:val="right"/>
              <w:rPr>
                <w:rFonts w:ascii="Times New Roman" w:hAnsi="Times New Roman" w:cs="Times New Roman" w:eastAsia="Times New Roman" w:hint="default"/>
                <w:sz w:val="18"/>
                <w:szCs w:val="18"/>
              </w:rPr>
            </w:pPr>
            <w:r>
              <w:rPr>
                <w:rFonts w:ascii="Times New Roman"/>
                <w:b/>
                <w:spacing w:val="-1"/>
                <w:sz w:val="18"/>
              </w:rPr>
              <w:t>4,320,926.59</w:t>
            </w:r>
            <w:r>
              <w:rPr>
                <w:rFonts w:ascii="Times New Roman"/>
                <w:spacing w:val="-1"/>
                <w:sz w:val="18"/>
              </w:rPr>
            </w:r>
          </w:p>
        </w:tc>
        <w:tc>
          <w:tcPr>
            <w:tcW w:w="1680"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246"/>
              <w:jc w:val="right"/>
              <w:rPr>
                <w:rFonts w:ascii="Times New Roman" w:hAnsi="Times New Roman" w:cs="Times New Roman" w:eastAsia="Times New Roman" w:hint="default"/>
                <w:sz w:val="18"/>
                <w:szCs w:val="18"/>
              </w:rPr>
            </w:pPr>
            <w:r>
              <w:rPr>
                <w:rFonts w:ascii="Times New Roman"/>
                <w:b/>
                <w:spacing w:val="-1"/>
                <w:sz w:val="18"/>
              </w:rPr>
              <w:t>346,361,809.29</w:t>
            </w:r>
            <w:r>
              <w:rPr>
                <w:rFonts w:ascii="Times New Roman"/>
                <w:spacing w:val="-1"/>
                <w:sz w:val="18"/>
              </w:rPr>
            </w:r>
          </w:p>
        </w:tc>
        <w:tc>
          <w:tcPr>
            <w:tcW w:w="162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b/>
                <w:sz w:val="18"/>
              </w:rPr>
              <w:t>347,367,273.99</w:t>
            </w:r>
            <w:r>
              <w:rPr>
                <w:rFonts w:ascii="Times New Roman"/>
                <w:sz w:val="18"/>
              </w:rPr>
            </w:r>
          </w:p>
        </w:tc>
        <w:tc>
          <w:tcPr>
            <w:tcW w:w="130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b/>
                <w:spacing w:val="-1"/>
                <w:sz w:val="18"/>
              </w:rPr>
              <w:t>3,315,461.89</w:t>
            </w:r>
            <w:r>
              <w:rPr>
                <w:rFonts w:ascii="Times New Roman"/>
                <w:spacing w:val="-1"/>
                <w:sz w:val="18"/>
              </w:rPr>
            </w:r>
          </w:p>
        </w:tc>
      </w:tr>
    </w:tbl>
    <w:p>
      <w:pPr>
        <w:spacing w:before="81"/>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27.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应交税费</w:t>
      </w:r>
    </w:p>
    <w:p>
      <w:pPr>
        <w:spacing w:line="240" w:lineRule="auto" w:before="5"/>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957"/>
        <w:gridCol w:w="3594"/>
        <w:gridCol w:w="2174"/>
      </w:tblGrid>
      <w:tr>
        <w:trPr>
          <w:trHeight w:val="305" w:hRule="exact"/>
        </w:trPr>
        <w:tc>
          <w:tcPr>
            <w:tcW w:w="295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59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77"/>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17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5" w:hRule="exact"/>
        </w:trPr>
        <w:tc>
          <w:tcPr>
            <w:tcW w:w="2957"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59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876"/>
              <w:jc w:val="right"/>
              <w:rPr>
                <w:rFonts w:ascii="Times New Roman" w:hAnsi="Times New Roman" w:cs="Times New Roman" w:eastAsia="Times New Roman" w:hint="default"/>
                <w:sz w:val="18"/>
                <w:szCs w:val="18"/>
              </w:rPr>
            </w:pPr>
            <w:r>
              <w:rPr>
                <w:rFonts w:ascii="Times New Roman"/>
                <w:spacing w:val="-1"/>
                <w:sz w:val="18"/>
              </w:rPr>
              <w:t>-75,299,406.15</w:t>
            </w:r>
          </w:p>
        </w:tc>
        <w:tc>
          <w:tcPr>
            <w:tcW w:w="217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-353,314,724.21</w:t>
            </w:r>
          </w:p>
        </w:tc>
      </w:tr>
      <w:tr>
        <w:trPr>
          <w:trHeight w:val="286"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76"/>
              <w:jc w:val="right"/>
              <w:rPr>
                <w:rFonts w:ascii="Times New Roman" w:hAnsi="Times New Roman" w:cs="Times New Roman" w:eastAsia="Times New Roman" w:hint="default"/>
                <w:sz w:val="18"/>
                <w:szCs w:val="18"/>
              </w:rPr>
            </w:pPr>
            <w:r>
              <w:rPr>
                <w:rFonts w:ascii="Times New Roman"/>
                <w:spacing w:val="-1"/>
                <w:sz w:val="18"/>
              </w:rPr>
              <w:t>128,527,873.85</w:t>
            </w:r>
          </w:p>
        </w:tc>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81,485,120.03</w:t>
            </w:r>
          </w:p>
        </w:tc>
      </w:tr>
      <w:tr>
        <w:trPr>
          <w:trHeight w:val="284"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76"/>
              <w:jc w:val="right"/>
              <w:rPr>
                <w:rFonts w:ascii="Times New Roman" w:hAnsi="Times New Roman" w:cs="Times New Roman" w:eastAsia="Times New Roman" w:hint="default"/>
                <w:sz w:val="18"/>
                <w:szCs w:val="18"/>
              </w:rPr>
            </w:pPr>
            <w:r>
              <w:rPr>
                <w:rFonts w:ascii="Times New Roman"/>
                <w:spacing w:val="-1"/>
                <w:sz w:val="18"/>
              </w:rPr>
              <w:t>28,370,172.78</w:t>
            </w:r>
          </w:p>
        </w:tc>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35,864,163.98</w:t>
            </w:r>
          </w:p>
        </w:tc>
      </w:tr>
      <w:tr>
        <w:trPr>
          <w:trHeight w:val="284"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76"/>
              <w:jc w:val="right"/>
              <w:rPr>
                <w:rFonts w:ascii="Times New Roman" w:hAnsi="Times New Roman" w:cs="Times New Roman" w:eastAsia="Times New Roman" w:hint="default"/>
                <w:sz w:val="18"/>
                <w:szCs w:val="18"/>
              </w:rPr>
            </w:pPr>
            <w:r>
              <w:rPr>
                <w:rFonts w:ascii="Times New Roman"/>
                <w:spacing w:val="-1"/>
                <w:sz w:val="18"/>
              </w:rPr>
              <w:t>26,324,976.28</w:t>
            </w:r>
          </w:p>
        </w:tc>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25,171,178.65</w:t>
            </w:r>
          </w:p>
        </w:tc>
      </w:tr>
      <w:tr>
        <w:trPr>
          <w:trHeight w:val="286"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76"/>
              <w:jc w:val="right"/>
              <w:rPr>
                <w:rFonts w:ascii="Times New Roman" w:hAnsi="Times New Roman" w:cs="Times New Roman" w:eastAsia="Times New Roman" w:hint="default"/>
                <w:sz w:val="18"/>
                <w:szCs w:val="18"/>
              </w:rPr>
            </w:pPr>
            <w:r>
              <w:rPr>
                <w:rFonts w:ascii="Times New Roman"/>
                <w:spacing w:val="-1"/>
                <w:sz w:val="18"/>
              </w:rPr>
              <w:t>11,412,868.62</w:t>
            </w:r>
          </w:p>
        </w:tc>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17,012,139.68</w:t>
            </w:r>
          </w:p>
        </w:tc>
      </w:tr>
      <w:tr>
        <w:trPr>
          <w:trHeight w:val="286"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76"/>
              <w:jc w:val="right"/>
              <w:rPr>
                <w:rFonts w:ascii="Times New Roman" w:hAnsi="Times New Roman" w:cs="Times New Roman" w:eastAsia="Times New Roman" w:hint="default"/>
                <w:sz w:val="18"/>
                <w:szCs w:val="18"/>
              </w:rPr>
            </w:pPr>
            <w:r>
              <w:rPr>
                <w:rFonts w:ascii="Times New Roman"/>
                <w:spacing w:val="-1"/>
                <w:sz w:val="18"/>
              </w:rPr>
              <w:t>29,840,262.96</w:t>
            </w:r>
          </w:p>
        </w:tc>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9,102,075.88</w:t>
            </w:r>
          </w:p>
        </w:tc>
      </w:tr>
      <w:tr>
        <w:trPr>
          <w:trHeight w:val="284"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76"/>
              <w:jc w:val="right"/>
              <w:rPr>
                <w:rFonts w:ascii="Times New Roman" w:hAnsi="Times New Roman" w:cs="Times New Roman" w:eastAsia="Times New Roman" w:hint="default"/>
                <w:sz w:val="18"/>
                <w:szCs w:val="18"/>
              </w:rPr>
            </w:pPr>
            <w:r>
              <w:rPr>
                <w:rFonts w:ascii="Times New Roman"/>
                <w:spacing w:val="-1"/>
                <w:sz w:val="18"/>
              </w:rPr>
              <w:t>12,297,509.97</w:t>
            </w:r>
          </w:p>
        </w:tc>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8,248,373.45</w:t>
            </w:r>
          </w:p>
        </w:tc>
      </w:tr>
      <w:tr>
        <w:trPr>
          <w:trHeight w:val="284"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76"/>
              <w:jc w:val="right"/>
              <w:rPr>
                <w:rFonts w:ascii="Times New Roman" w:hAnsi="Times New Roman" w:cs="Times New Roman" w:eastAsia="Times New Roman" w:hint="default"/>
                <w:sz w:val="18"/>
                <w:szCs w:val="18"/>
              </w:rPr>
            </w:pPr>
            <w:r>
              <w:rPr>
                <w:rFonts w:ascii="Times New Roman"/>
                <w:spacing w:val="-1"/>
                <w:sz w:val="18"/>
              </w:rPr>
              <w:t>22,640,120.27</w:t>
            </w:r>
          </w:p>
        </w:tc>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7,901,604.04</w:t>
            </w:r>
          </w:p>
        </w:tc>
      </w:tr>
      <w:tr>
        <w:trPr>
          <w:trHeight w:val="286"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76"/>
              <w:jc w:val="right"/>
              <w:rPr>
                <w:rFonts w:ascii="Times New Roman" w:hAnsi="Times New Roman" w:cs="Times New Roman" w:eastAsia="Times New Roman" w:hint="default"/>
                <w:sz w:val="18"/>
                <w:szCs w:val="18"/>
              </w:rPr>
            </w:pPr>
            <w:r>
              <w:rPr>
                <w:rFonts w:ascii="Times New Roman"/>
                <w:spacing w:val="-1"/>
                <w:sz w:val="18"/>
              </w:rPr>
              <w:t>763,207.03</w:t>
            </w:r>
          </w:p>
        </w:tc>
        <w:tc>
          <w:tcPr>
            <w:tcW w:w="217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705,728.41</w:t>
            </w:r>
          </w:p>
        </w:tc>
      </w:tr>
      <w:tr>
        <w:trPr>
          <w:trHeight w:val="256" w:hRule="exact"/>
        </w:trPr>
        <w:tc>
          <w:tcPr>
            <w:tcW w:w="2957"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59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876"/>
              <w:jc w:val="right"/>
              <w:rPr>
                <w:rFonts w:ascii="Times New Roman" w:hAnsi="Times New Roman" w:cs="Times New Roman" w:eastAsia="Times New Roman" w:hint="default"/>
                <w:sz w:val="18"/>
                <w:szCs w:val="18"/>
              </w:rPr>
            </w:pPr>
            <w:r>
              <w:rPr>
                <w:rFonts w:ascii="Times New Roman"/>
                <w:spacing w:val="-1"/>
                <w:sz w:val="18"/>
              </w:rPr>
              <w:t>2,251,713.01</w:t>
            </w:r>
          </w:p>
        </w:tc>
        <w:tc>
          <w:tcPr>
            <w:tcW w:w="217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2,383,412.85</w:t>
            </w:r>
          </w:p>
        </w:tc>
      </w:tr>
      <w:tr>
        <w:trPr>
          <w:trHeight w:val="307" w:hRule="exact"/>
        </w:trPr>
        <w:tc>
          <w:tcPr>
            <w:tcW w:w="2957"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59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876"/>
              <w:jc w:val="right"/>
              <w:rPr>
                <w:rFonts w:ascii="Times New Roman" w:hAnsi="Times New Roman" w:cs="Times New Roman" w:eastAsia="Times New Roman" w:hint="default"/>
                <w:sz w:val="18"/>
                <w:szCs w:val="18"/>
              </w:rPr>
            </w:pPr>
            <w:r>
              <w:rPr>
                <w:rFonts w:ascii="Times New Roman"/>
                <w:b/>
                <w:spacing w:val="-1"/>
                <w:sz w:val="18"/>
              </w:rPr>
              <w:t>187,129,298.62</w:t>
            </w:r>
            <w:r>
              <w:rPr>
                <w:rFonts w:ascii="Times New Roman"/>
                <w:spacing w:val="-1"/>
                <w:sz w:val="18"/>
              </w:rPr>
            </w:r>
          </w:p>
        </w:tc>
        <w:tc>
          <w:tcPr>
            <w:tcW w:w="217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-165,440,927.24</w:t>
            </w:r>
            <w:r>
              <w:rPr>
                <w:rFonts w:ascii="Times New Roman"/>
                <w:spacing w:val="-1"/>
                <w:sz w:val="18"/>
              </w:rPr>
            </w:r>
          </w:p>
        </w:tc>
      </w:tr>
    </w:tbl>
    <w:p>
      <w:pPr>
        <w:spacing w:before="81"/>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28.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应付利息</w:t>
      </w:r>
    </w:p>
    <w:p>
      <w:pPr>
        <w:spacing w:line="240" w:lineRule="auto" w:before="5"/>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3722"/>
        <w:gridCol w:w="2902"/>
        <w:gridCol w:w="2101"/>
      </w:tblGrid>
      <w:tr>
        <w:trPr>
          <w:trHeight w:val="305" w:hRule="exact"/>
        </w:trPr>
        <w:tc>
          <w:tcPr>
            <w:tcW w:w="372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90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952"/>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10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5" w:hRule="exact"/>
        </w:trPr>
        <w:tc>
          <w:tcPr>
            <w:tcW w:w="3722"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债券利息</w:t>
            </w:r>
          </w:p>
        </w:tc>
        <w:tc>
          <w:tcPr>
            <w:tcW w:w="2902"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952"/>
              <w:jc w:val="right"/>
              <w:rPr>
                <w:rFonts w:ascii="Times New Roman" w:hAnsi="Times New Roman" w:cs="Times New Roman" w:eastAsia="Times New Roman" w:hint="default"/>
                <w:sz w:val="18"/>
                <w:szCs w:val="18"/>
              </w:rPr>
            </w:pPr>
            <w:r>
              <w:rPr>
                <w:rFonts w:ascii="Times New Roman"/>
                <w:spacing w:val="-1"/>
                <w:sz w:val="18"/>
              </w:rPr>
              <w:t>47,682,739.73</w:t>
            </w:r>
          </w:p>
        </w:tc>
        <w:tc>
          <w:tcPr>
            <w:tcW w:w="2101"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10"/>
              <w:jc w:val="right"/>
              <w:rPr>
                <w:rFonts w:ascii="Times New Roman" w:hAnsi="Times New Roman" w:cs="Times New Roman" w:eastAsia="Times New Roman" w:hint="default"/>
                <w:sz w:val="18"/>
                <w:szCs w:val="18"/>
              </w:rPr>
            </w:pPr>
            <w:r>
              <w:rPr>
                <w:rFonts w:ascii="Times New Roman"/>
                <w:spacing w:val="-1"/>
                <w:sz w:val="18"/>
              </w:rPr>
              <w:t>51,001,698.63</w:t>
            </w:r>
          </w:p>
        </w:tc>
      </w:tr>
      <w:tr>
        <w:trPr>
          <w:trHeight w:val="286" w:hRule="exact"/>
        </w:trPr>
        <w:tc>
          <w:tcPr>
            <w:tcW w:w="372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分期付息到期还本的长期借款利息</w:t>
            </w:r>
          </w:p>
        </w:tc>
        <w:tc>
          <w:tcPr>
            <w:tcW w:w="29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52"/>
              <w:jc w:val="right"/>
              <w:rPr>
                <w:rFonts w:ascii="Times New Roman" w:hAnsi="Times New Roman" w:cs="Times New Roman" w:eastAsia="Times New Roman" w:hint="default"/>
                <w:sz w:val="18"/>
                <w:szCs w:val="18"/>
              </w:rPr>
            </w:pPr>
            <w:r>
              <w:rPr>
                <w:rFonts w:ascii="Times New Roman"/>
                <w:spacing w:val="-1"/>
                <w:sz w:val="18"/>
              </w:rPr>
              <w:t>21,636,869.15</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25,525,715.03</w:t>
            </w:r>
          </w:p>
        </w:tc>
      </w:tr>
      <w:tr>
        <w:trPr>
          <w:trHeight w:val="255" w:hRule="exact"/>
        </w:trPr>
        <w:tc>
          <w:tcPr>
            <w:tcW w:w="3722"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2902"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952"/>
              <w:jc w:val="right"/>
              <w:rPr>
                <w:rFonts w:ascii="Times New Roman" w:hAnsi="Times New Roman" w:cs="Times New Roman" w:eastAsia="Times New Roman" w:hint="default"/>
                <w:sz w:val="18"/>
                <w:szCs w:val="18"/>
              </w:rPr>
            </w:pPr>
            <w:r>
              <w:rPr>
                <w:rFonts w:ascii="Times New Roman"/>
                <w:spacing w:val="-1"/>
                <w:sz w:val="18"/>
              </w:rPr>
              <w:t>6,437,146.71</w:t>
            </w:r>
          </w:p>
        </w:tc>
        <w:tc>
          <w:tcPr>
            <w:tcW w:w="2101"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15,651,549.36</w:t>
            </w:r>
          </w:p>
        </w:tc>
      </w:tr>
      <w:tr>
        <w:trPr>
          <w:trHeight w:val="305" w:hRule="exact"/>
        </w:trPr>
        <w:tc>
          <w:tcPr>
            <w:tcW w:w="3722"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902"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952"/>
              <w:jc w:val="right"/>
              <w:rPr>
                <w:rFonts w:ascii="Times New Roman" w:hAnsi="Times New Roman" w:cs="Times New Roman" w:eastAsia="Times New Roman" w:hint="default"/>
                <w:sz w:val="18"/>
                <w:szCs w:val="18"/>
              </w:rPr>
            </w:pPr>
            <w:r>
              <w:rPr>
                <w:rFonts w:ascii="Times New Roman"/>
                <w:b/>
                <w:spacing w:val="-1"/>
                <w:sz w:val="18"/>
              </w:rPr>
              <w:t>75,756,755.59</w:t>
            </w:r>
            <w:r>
              <w:rPr>
                <w:rFonts w:ascii="Times New Roman"/>
                <w:spacing w:val="-1"/>
                <w:sz w:val="18"/>
              </w:rPr>
            </w:r>
          </w:p>
        </w:tc>
        <w:tc>
          <w:tcPr>
            <w:tcW w:w="2101"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10"/>
              <w:jc w:val="right"/>
              <w:rPr>
                <w:rFonts w:ascii="Times New Roman" w:hAnsi="Times New Roman" w:cs="Times New Roman" w:eastAsia="Times New Roman" w:hint="default"/>
                <w:sz w:val="18"/>
                <w:szCs w:val="18"/>
              </w:rPr>
            </w:pPr>
            <w:r>
              <w:rPr>
                <w:rFonts w:ascii="Times New Roman"/>
                <w:b/>
                <w:spacing w:val="-1"/>
                <w:sz w:val="18"/>
              </w:rPr>
              <w:t>92,178,963.02</w:t>
            </w:r>
            <w:r>
              <w:rPr>
                <w:rFonts w:ascii="Times New Roman"/>
                <w:spacing w:val="-1"/>
                <w:sz w:val="18"/>
              </w:rPr>
            </w:r>
          </w:p>
        </w:tc>
      </w:tr>
    </w:tbl>
    <w:p>
      <w:pPr>
        <w:spacing w:before="81"/>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29.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应付股利</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4372"/>
        <w:gridCol w:w="2273"/>
        <w:gridCol w:w="2081"/>
      </w:tblGrid>
      <w:tr>
        <w:trPr>
          <w:trHeight w:val="310" w:hRule="exact"/>
        </w:trPr>
        <w:tc>
          <w:tcPr>
            <w:tcW w:w="4372"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73"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right="932"/>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081"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31" w:hRule="exact"/>
        </w:trPr>
        <w:tc>
          <w:tcPr>
            <w:tcW w:w="4372" w:type="dxa"/>
            <w:tcBorders>
              <w:top w:val="single" w:sz="8" w:space="0" w:color="000000"/>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2273" w:type="dxa"/>
            <w:tcBorders>
              <w:top w:val="single" w:sz="8" w:space="0" w:color="000000"/>
              <w:left w:val="nil" w:sz="6" w:space="0" w:color="auto"/>
              <w:bottom w:val="nil" w:sz="6" w:space="0" w:color="auto"/>
              <w:right w:val="nil" w:sz="6" w:space="0" w:color="auto"/>
            </w:tcBorders>
          </w:tcPr>
          <w:p>
            <w:pPr>
              <w:pStyle w:val="TableParagraph"/>
              <w:spacing w:line="240" w:lineRule="auto" w:before="74"/>
              <w:ind w:right="932"/>
              <w:jc w:val="right"/>
              <w:rPr>
                <w:rFonts w:ascii="Times New Roman" w:hAnsi="Times New Roman" w:cs="Times New Roman" w:eastAsia="Times New Roman" w:hint="default"/>
                <w:sz w:val="18"/>
                <w:szCs w:val="18"/>
              </w:rPr>
            </w:pPr>
            <w:r>
              <w:rPr>
                <w:rFonts w:ascii="Times New Roman"/>
                <w:spacing w:val="-1"/>
                <w:sz w:val="18"/>
              </w:rPr>
              <w:t>60,264,872.80</w:t>
            </w:r>
          </w:p>
        </w:tc>
        <w:tc>
          <w:tcPr>
            <w:tcW w:w="2081" w:type="dxa"/>
            <w:tcBorders>
              <w:top w:val="single" w:sz="8" w:space="0" w:color="000000"/>
              <w:left w:val="nil" w:sz="6" w:space="0" w:color="auto"/>
              <w:bottom w:val="nil" w:sz="6" w:space="0" w:color="auto"/>
              <w:right w:val="nil" w:sz="6" w:space="0" w:color="auto"/>
            </w:tcBorders>
          </w:tcPr>
          <w:p>
            <w:pPr>
              <w:pStyle w:val="TableParagraph"/>
              <w:spacing w:line="240" w:lineRule="auto" w:before="74"/>
              <w:ind w:right="110"/>
              <w:jc w:val="right"/>
              <w:rPr>
                <w:rFonts w:ascii="Times New Roman" w:hAnsi="Times New Roman" w:cs="Times New Roman" w:eastAsia="Times New Roman" w:hint="default"/>
                <w:sz w:val="18"/>
                <w:szCs w:val="18"/>
              </w:rPr>
            </w:pPr>
            <w:r>
              <w:rPr>
                <w:rFonts w:ascii="Times New Roman"/>
                <w:spacing w:val="-1"/>
                <w:sz w:val="18"/>
              </w:rPr>
              <w:t>47,475,937.80</w:t>
            </w:r>
          </w:p>
        </w:tc>
      </w:tr>
      <w:tr>
        <w:trPr>
          <w:trHeight w:val="284" w:hRule="exact"/>
        </w:trPr>
        <w:tc>
          <w:tcPr>
            <w:tcW w:w="437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淮安同方水务有限公司少数股东股利</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32"/>
              <w:jc w:val="right"/>
              <w:rPr>
                <w:rFonts w:ascii="Times New Roman" w:hAnsi="Times New Roman" w:cs="Times New Roman" w:eastAsia="Times New Roman" w:hint="default"/>
                <w:sz w:val="18"/>
                <w:szCs w:val="18"/>
              </w:rPr>
            </w:pPr>
            <w:r>
              <w:rPr>
                <w:rFonts w:ascii="Times New Roman"/>
                <w:spacing w:val="-1"/>
                <w:sz w:val="18"/>
              </w:rPr>
              <w:t>13,621,500.00</w:t>
            </w:r>
          </w:p>
        </w:tc>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13,621,500.00</w:t>
            </w:r>
          </w:p>
        </w:tc>
      </w:tr>
      <w:tr>
        <w:trPr>
          <w:trHeight w:val="284" w:hRule="exact"/>
        </w:trPr>
        <w:tc>
          <w:tcPr>
            <w:tcW w:w="4372"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北京同方信息安全技术股份有限公司少数股东股利</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31"/>
              <w:jc w:val="right"/>
              <w:rPr>
                <w:rFonts w:ascii="Times New Roman" w:hAnsi="Times New Roman" w:cs="Times New Roman" w:eastAsia="Times New Roman" w:hint="default"/>
                <w:sz w:val="18"/>
                <w:szCs w:val="18"/>
              </w:rPr>
            </w:pPr>
            <w:r>
              <w:rPr>
                <w:rFonts w:ascii="Times New Roman"/>
                <w:w w:val="95"/>
                <w:sz w:val="18"/>
              </w:rPr>
              <w:t>9,461.88</w:t>
            </w:r>
          </w:p>
        </w:tc>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w w:val="95"/>
                <w:sz w:val="18"/>
              </w:rPr>
              <w:t>9,461.88</w:t>
            </w:r>
          </w:p>
        </w:tc>
      </w:tr>
      <w:tr>
        <w:trPr>
          <w:trHeight w:val="260" w:hRule="exact"/>
        </w:trPr>
        <w:tc>
          <w:tcPr>
            <w:tcW w:w="4372" w:type="dxa"/>
            <w:tcBorders>
              <w:top w:val="nil" w:sz="6" w:space="0" w:color="auto"/>
              <w:left w:val="nil" w:sz="6" w:space="0" w:color="auto"/>
              <w:bottom w:val="single" w:sz="8"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同方鼎欣科技股份有限公司少数股东股利</w:t>
            </w:r>
          </w:p>
        </w:tc>
        <w:tc>
          <w:tcPr>
            <w:tcW w:w="2273" w:type="dxa"/>
            <w:tcBorders>
              <w:top w:val="nil" w:sz="6" w:space="0" w:color="auto"/>
              <w:left w:val="nil" w:sz="6" w:space="0" w:color="auto"/>
              <w:bottom w:val="single" w:sz="8" w:space="0" w:color="000000"/>
              <w:right w:val="nil" w:sz="6" w:space="0" w:color="auto"/>
            </w:tcBorders>
          </w:tcPr>
          <w:p>
            <w:pPr>
              <w:pStyle w:val="TableParagraph"/>
              <w:spacing w:line="240" w:lineRule="auto" w:before="39"/>
              <w:ind w:right="931"/>
              <w:jc w:val="right"/>
              <w:rPr>
                <w:rFonts w:ascii="Times New Roman" w:hAnsi="Times New Roman" w:cs="Times New Roman" w:eastAsia="Times New Roman" w:hint="default"/>
                <w:sz w:val="18"/>
                <w:szCs w:val="18"/>
              </w:rPr>
            </w:pPr>
            <w:r>
              <w:rPr>
                <w:rFonts w:ascii="Times New Roman"/>
                <w:spacing w:val="-1"/>
                <w:sz w:val="18"/>
              </w:rPr>
              <w:t>0.00</w:t>
            </w:r>
          </w:p>
        </w:tc>
        <w:tc>
          <w:tcPr>
            <w:tcW w:w="2081" w:type="dxa"/>
            <w:tcBorders>
              <w:top w:val="nil" w:sz="6" w:space="0" w:color="auto"/>
              <w:left w:val="nil" w:sz="6" w:space="0" w:color="auto"/>
              <w:bottom w:val="single" w:sz="8"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4,600,000.00</w:t>
            </w:r>
          </w:p>
        </w:tc>
      </w:tr>
      <w:tr>
        <w:trPr>
          <w:trHeight w:val="312" w:hRule="exact"/>
        </w:trPr>
        <w:tc>
          <w:tcPr>
            <w:tcW w:w="4372" w:type="dxa"/>
            <w:tcBorders>
              <w:top w:val="single" w:sz="8"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73" w:type="dxa"/>
            <w:tcBorders>
              <w:top w:val="single" w:sz="8" w:space="0" w:color="000000"/>
              <w:left w:val="nil" w:sz="6" w:space="0" w:color="auto"/>
              <w:bottom w:val="single" w:sz="12" w:space="0" w:color="000000"/>
              <w:right w:val="nil" w:sz="6" w:space="0" w:color="auto"/>
            </w:tcBorders>
          </w:tcPr>
          <w:p>
            <w:pPr>
              <w:pStyle w:val="TableParagraph"/>
              <w:spacing w:line="240" w:lineRule="auto" w:before="79"/>
              <w:ind w:right="932"/>
              <w:jc w:val="right"/>
              <w:rPr>
                <w:rFonts w:ascii="Times New Roman" w:hAnsi="Times New Roman" w:cs="Times New Roman" w:eastAsia="Times New Roman" w:hint="default"/>
                <w:sz w:val="18"/>
                <w:szCs w:val="18"/>
              </w:rPr>
            </w:pPr>
            <w:r>
              <w:rPr>
                <w:rFonts w:ascii="Times New Roman"/>
                <w:b/>
                <w:spacing w:val="-1"/>
                <w:sz w:val="18"/>
              </w:rPr>
              <w:t>73,895,834.68</w:t>
            </w:r>
            <w:r>
              <w:rPr>
                <w:rFonts w:ascii="Times New Roman"/>
                <w:spacing w:val="-1"/>
                <w:sz w:val="18"/>
              </w:rPr>
            </w:r>
          </w:p>
        </w:tc>
        <w:tc>
          <w:tcPr>
            <w:tcW w:w="2081" w:type="dxa"/>
            <w:tcBorders>
              <w:top w:val="single" w:sz="8" w:space="0" w:color="000000"/>
              <w:left w:val="nil" w:sz="6" w:space="0" w:color="auto"/>
              <w:bottom w:val="single" w:sz="12" w:space="0" w:color="000000"/>
              <w:right w:val="nil" w:sz="6" w:space="0" w:color="auto"/>
            </w:tcBorders>
          </w:tcPr>
          <w:p>
            <w:pPr>
              <w:pStyle w:val="TableParagraph"/>
              <w:spacing w:line="240" w:lineRule="auto" w:before="79"/>
              <w:ind w:right="110"/>
              <w:jc w:val="right"/>
              <w:rPr>
                <w:rFonts w:ascii="Times New Roman" w:hAnsi="Times New Roman" w:cs="Times New Roman" w:eastAsia="Times New Roman" w:hint="default"/>
                <w:sz w:val="18"/>
                <w:szCs w:val="18"/>
              </w:rPr>
            </w:pPr>
            <w:r>
              <w:rPr>
                <w:rFonts w:ascii="Times New Roman"/>
                <w:b/>
                <w:spacing w:val="-1"/>
                <w:sz w:val="18"/>
              </w:rPr>
              <w:t>65,706,899.68</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645" w:footer="816" w:top="1080" w:bottom="1020" w:left="1480" w:right="148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tbl>
      <w:tblPr>
        <w:tblW w:w="0" w:type="auto"/>
        <w:jc w:val="left"/>
        <w:tblInd w:w="114" w:type="dxa"/>
        <w:tblLayout w:type="fixed"/>
        <w:tblCellMar>
          <w:top w:w="0" w:type="dxa"/>
          <w:left w:w="0" w:type="dxa"/>
          <w:bottom w:w="0" w:type="dxa"/>
          <w:right w:w="0" w:type="dxa"/>
        </w:tblCellMar>
        <w:tblLook w:val="01E0"/>
      </w:tblPr>
      <w:tblGrid>
        <w:gridCol w:w="2813"/>
        <w:gridCol w:w="3714"/>
        <w:gridCol w:w="2198"/>
      </w:tblGrid>
      <w:tr>
        <w:trPr>
          <w:trHeight w:val="305" w:hRule="exact"/>
        </w:trPr>
        <w:tc>
          <w:tcPr>
            <w:tcW w:w="281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款项性质</w:t>
            </w:r>
            <w:r>
              <w:rPr>
                <w:rFonts w:ascii="宋体" w:hAnsi="宋体" w:cs="宋体" w:eastAsia="宋体" w:hint="default"/>
                <w:sz w:val="18"/>
                <w:szCs w:val="18"/>
              </w:rPr>
            </w:r>
          </w:p>
        </w:tc>
        <w:tc>
          <w:tcPr>
            <w:tcW w:w="371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26"/>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19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5" w:hRule="exact"/>
        </w:trPr>
        <w:tc>
          <w:tcPr>
            <w:tcW w:w="2813"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资产收购款</w:t>
            </w:r>
          </w:p>
        </w:tc>
        <w:tc>
          <w:tcPr>
            <w:tcW w:w="371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827"/>
              <w:jc w:val="right"/>
              <w:rPr>
                <w:rFonts w:ascii="Times New Roman" w:hAnsi="Times New Roman" w:cs="Times New Roman" w:eastAsia="Times New Roman" w:hint="default"/>
                <w:sz w:val="18"/>
                <w:szCs w:val="18"/>
              </w:rPr>
            </w:pPr>
            <w:r>
              <w:rPr>
                <w:rFonts w:ascii="Times New Roman"/>
                <w:spacing w:val="-1"/>
                <w:sz w:val="18"/>
              </w:rPr>
              <w:t>2,118,162,495.00</w:t>
            </w:r>
          </w:p>
        </w:tc>
        <w:tc>
          <w:tcPr>
            <w:tcW w:w="219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13,209,120.00</w:t>
            </w:r>
          </w:p>
        </w:tc>
      </w:tr>
      <w:tr>
        <w:trPr>
          <w:trHeight w:val="284" w:hRule="exact"/>
        </w:trPr>
        <w:tc>
          <w:tcPr>
            <w:tcW w:w="2813"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6"/>
              <w:jc w:val="right"/>
              <w:rPr>
                <w:rFonts w:ascii="Times New Roman" w:hAnsi="Times New Roman" w:cs="Times New Roman" w:eastAsia="Times New Roman" w:hint="default"/>
                <w:sz w:val="18"/>
                <w:szCs w:val="18"/>
              </w:rPr>
            </w:pPr>
            <w:r>
              <w:rPr>
                <w:rFonts w:ascii="Times New Roman"/>
                <w:spacing w:val="-1"/>
                <w:sz w:val="18"/>
              </w:rPr>
              <w:t>266,563,731.08</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2,092,723,772.88</w:t>
            </w:r>
          </w:p>
        </w:tc>
      </w:tr>
      <w:tr>
        <w:trPr>
          <w:trHeight w:val="284" w:hRule="exact"/>
        </w:trPr>
        <w:tc>
          <w:tcPr>
            <w:tcW w:w="2813"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预提费用</w:t>
            </w:r>
          </w:p>
        </w:tc>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26"/>
              <w:jc w:val="right"/>
              <w:rPr>
                <w:rFonts w:ascii="Times New Roman" w:hAnsi="Times New Roman" w:cs="Times New Roman" w:eastAsia="Times New Roman" w:hint="default"/>
                <w:sz w:val="18"/>
                <w:szCs w:val="18"/>
              </w:rPr>
            </w:pPr>
            <w:r>
              <w:rPr>
                <w:rFonts w:ascii="Times New Roman"/>
                <w:spacing w:val="-1"/>
                <w:sz w:val="18"/>
              </w:rPr>
              <w:t>244,602,621.02</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189,891,013.30</w:t>
            </w:r>
          </w:p>
        </w:tc>
      </w:tr>
      <w:tr>
        <w:trPr>
          <w:trHeight w:val="286" w:hRule="exact"/>
        </w:trPr>
        <w:tc>
          <w:tcPr>
            <w:tcW w:w="2813"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保证金、押金</w:t>
            </w:r>
          </w:p>
        </w:tc>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6"/>
              <w:jc w:val="right"/>
              <w:rPr>
                <w:rFonts w:ascii="Times New Roman" w:hAnsi="Times New Roman" w:cs="Times New Roman" w:eastAsia="Times New Roman" w:hint="default"/>
                <w:sz w:val="18"/>
                <w:szCs w:val="18"/>
              </w:rPr>
            </w:pPr>
            <w:r>
              <w:rPr>
                <w:rFonts w:ascii="Times New Roman"/>
                <w:spacing w:val="-1"/>
                <w:sz w:val="18"/>
              </w:rPr>
              <w:t>147,512,614.65</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179,907,486.21</w:t>
            </w:r>
          </w:p>
        </w:tc>
      </w:tr>
      <w:tr>
        <w:trPr>
          <w:trHeight w:val="286" w:hRule="exact"/>
        </w:trPr>
        <w:tc>
          <w:tcPr>
            <w:tcW w:w="2813"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代垫款</w:t>
            </w:r>
          </w:p>
        </w:tc>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6"/>
              <w:jc w:val="right"/>
              <w:rPr>
                <w:rFonts w:ascii="Times New Roman" w:hAnsi="Times New Roman" w:cs="Times New Roman" w:eastAsia="Times New Roman" w:hint="default"/>
                <w:sz w:val="18"/>
                <w:szCs w:val="18"/>
              </w:rPr>
            </w:pPr>
            <w:r>
              <w:rPr>
                <w:rFonts w:ascii="Times New Roman"/>
                <w:spacing w:val="-1"/>
                <w:sz w:val="18"/>
              </w:rPr>
              <w:t>55,884,499.44</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29,952,643.60</w:t>
            </w:r>
          </w:p>
        </w:tc>
      </w:tr>
      <w:tr>
        <w:trPr>
          <w:trHeight w:val="284" w:hRule="exact"/>
        </w:trPr>
        <w:tc>
          <w:tcPr>
            <w:tcW w:w="2813"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房租物业费</w:t>
            </w:r>
          </w:p>
        </w:tc>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6"/>
              <w:jc w:val="right"/>
              <w:rPr>
                <w:rFonts w:ascii="Times New Roman" w:hAnsi="Times New Roman" w:cs="Times New Roman" w:eastAsia="Times New Roman" w:hint="default"/>
                <w:sz w:val="18"/>
                <w:szCs w:val="18"/>
              </w:rPr>
            </w:pPr>
            <w:r>
              <w:rPr>
                <w:rFonts w:ascii="Times New Roman"/>
                <w:spacing w:val="-1"/>
                <w:sz w:val="18"/>
              </w:rPr>
              <w:t>32,937,606.55</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42,752,043.44</w:t>
            </w:r>
          </w:p>
        </w:tc>
      </w:tr>
      <w:tr>
        <w:trPr>
          <w:trHeight w:val="284" w:hRule="exact"/>
        </w:trPr>
        <w:tc>
          <w:tcPr>
            <w:tcW w:w="2813"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应退还补贴款</w:t>
            </w:r>
          </w:p>
        </w:tc>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26"/>
              <w:jc w:val="right"/>
              <w:rPr>
                <w:rFonts w:ascii="Times New Roman" w:hAnsi="Times New Roman" w:cs="Times New Roman" w:eastAsia="Times New Roman" w:hint="default"/>
                <w:sz w:val="18"/>
                <w:szCs w:val="18"/>
              </w:rPr>
            </w:pPr>
            <w:r>
              <w:rPr>
                <w:rFonts w:ascii="Times New Roman"/>
                <w:spacing w:val="-1"/>
                <w:sz w:val="18"/>
              </w:rPr>
              <w:t>7,395,789.02</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43,200,000.00</w:t>
            </w:r>
          </w:p>
        </w:tc>
      </w:tr>
      <w:tr>
        <w:trPr>
          <w:trHeight w:val="286" w:hRule="exact"/>
        </w:trPr>
        <w:tc>
          <w:tcPr>
            <w:tcW w:w="2813"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报销款</w:t>
            </w:r>
          </w:p>
        </w:tc>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6"/>
              <w:jc w:val="right"/>
              <w:rPr>
                <w:rFonts w:ascii="Times New Roman" w:hAnsi="Times New Roman" w:cs="Times New Roman" w:eastAsia="Times New Roman" w:hint="default"/>
                <w:sz w:val="18"/>
                <w:szCs w:val="18"/>
              </w:rPr>
            </w:pPr>
            <w:r>
              <w:rPr>
                <w:rFonts w:ascii="Times New Roman"/>
                <w:spacing w:val="-1"/>
                <w:sz w:val="18"/>
              </w:rPr>
              <w:t>6,579,913.55</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13,465,048.99</w:t>
            </w:r>
          </w:p>
        </w:tc>
      </w:tr>
      <w:tr>
        <w:trPr>
          <w:trHeight w:val="286" w:hRule="exact"/>
        </w:trPr>
        <w:tc>
          <w:tcPr>
            <w:tcW w:w="2813"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技术提成费</w:t>
            </w:r>
          </w:p>
        </w:tc>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5"/>
              <w:jc w:val="right"/>
              <w:rPr>
                <w:rFonts w:ascii="Times New Roman" w:hAnsi="Times New Roman" w:cs="Times New Roman" w:eastAsia="Times New Roman" w:hint="default"/>
                <w:sz w:val="18"/>
                <w:szCs w:val="18"/>
              </w:rPr>
            </w:pPr>
            <w:r>
              <w:rPr>
                <w:rFonts w:ascii="Times New Roman"/>
                <w:spacing w:val="-1"/>
                <w:sz w:val="18"/>
              </w:rPr>
              <w:t>0.00</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8,788,342.17</w:t>
            </w:r>
          </w:p>
        </w:tc>
      </w:tr>
      <w:tr>
        <w:trPr>
          <w:trHeight w:val="255" w:hRule="exact"/>
        </w:trPr>
        <w:tc>
          <w:tcPr>
            <w:tcW w:w="2813"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其他款项</w:t>
            </w:r>
          </w:p>
        </w:tc>
        <w:tc>
          <w:tcPr>
            <w:tcW w:w="371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826"/>
              <w:jc w:val="right"/>
              <w:rPr>
                <w:rFonts w:ascii="Times New Roman" w:hAnsi="Times New Roman" w:cs="Times New Roman" w:eastAsia="Times New Roman" w:hint="default"/>
                <w:sz w:val="18"/>
                <w:szCs w:val="18"/>
              </w:rPr>
            </w:pPr>
            <w:r>
              <w:rPr>
                <w:rFonts w:ascii="Times New Roman"/>
                <w:spacing w:val="-1"/>
                <w:sz w:val="18"/>
              </w:rPr>
              <w:t>78,952,826.65</w:t>
            </w:r>
          </w:p>
        </w:tc>
        <w:tc>
          <w:tcPr>
            <w:tcW w:w="219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94,274,735.25</w:t>
            </w:r>
          </w:p>
        </w:tc>
      </w:tr>
      <w:tr>
        <w:trPr>
          <w:trHeight w:val="305" w:hRule="exact"/>
        </w:trPr>
        <w:tc>
          <w:tcPr>
            <w:tcW w:w="2813"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71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827"/>
              <w:jc w:val="right"/>
              <w:rPr>
                <w:rFonts w:ascii="Times New Roman" w:hAnsi="Times New Roman" w:cs="Times New Roman" w:eastAsia="Times New Roman" w:hint="default"/>
                <w:sz w:val="18"/>
                <w:szCs w:val="18"/>
              </w:rPr>
            </w:pPr>
            <w:r>
              <w:rPr>
                <w:rFonts w:ascii="Times New Roman"/>
                <w:b/>
                <w:spacing w:val="-1"/>
                <w:sz w:val="18"/>
              </w:rPr>
              <w:t>2,958,592,096.96</w:t>
            </w:r>
            <w:r>
              <w:rPr>
                <w:rFonts w:ascii="Times New Roman"/>
                <w:spacing w:val="-1"/>
                <w:sz w:val="18"/>
              </w:rPr>
            </w:r>
          </w:p>
        </w:tc>
        <w:tc>
          <w:tcPr>
            <w:tcW w:w="2198"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2,708,164,205.84</w:t>
            </w:r>
            <w:r>
              <w:rPr>
                <w:rFonts w:ascii="Times New Roman"/>
                <w:spacing w:val="-1"/>
                <w:sz w:val="18"/>
              </w:rPr>
            </w:r>
          </w:p>
        </w:tc>
      </w:tr>
    </w:tbl>
    <w:p>
      <w:pPr>
        <w:spacing w:before="81"/>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31. </w:t>
      </w:r>
      <w:r>
        <w:rPr>
          <w:rFonts w:ascii="Times New Roman" w:hAnsi="Times New Roman" w:cs="Times New Roman" w:eastAsia="Times New Roman" w:hint="default"/>
          <w:b/>
          <w:bCs/>
          <w:spacing w:val="10"/>
          <w:sz w:val="22"/>
          <w:szCs w:val="22"/>
        </w:rPr>
        <w:t> </w:t>
      </w:r>
      <w:r>
        <w:rPr>
          <w:rFonts w:ascii="宋体" w:hAnsi="宋体" w:cs="宋体" w:eastAsia="宋体" w:hint="default"/>
          <w:sz w:val="22"/>
          <w:szCs w:val="22"/>
        </w:rPr>
        <w:t>一年内到期的非流动负债</w:t>
      </w:r>
    </w:p>
    <w:p>
      <w:pPr>
        <w:spacing w:before="113"/>
        <w:ind w:left="67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一年内到期的非流动负债</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3268"/>
        <w:gridCol w:w="3264"/>
        <w:gridCol w:w="2193"/>
      </w:tblGrid>
      <w:tr>
        <w:trPr>
          <w:trHeight w:val="305" w:hRule="exact"/>
        </w:trPr>
        <w:tc>
          <w:tcPr>
            <w:tcW w:w="326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26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22"/>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19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3" w:hRule="exact"/>
        </w:trPr>
        <w:tc>
          <w:tcPr>
            <w:tcW w:w="3268"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一年内到期的长期借款</w:t>
            </w:r>
          </w:p>
        </w:tc>
        <w:tc>
          <w:tcPr>
            <w:tcW w:w="3264"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822"/>
              <w:jc w:val="right"/>
              <w:rPr>
                <w:rFonts w:ascii="Times New Roman" w:hAnsi="Times New Roman" w:cs="Times New Roman" w:eastAsia="Times New Roman" w:hint="default"/>
                <w:sz w:val="18"/>
                <w:szCs w:val="18"/>
              </w:rPr>
            </w:pPr>
            <w:r>
              <w:rPr>
                <w:rFonts w:ascii="Times New Roman"/>
                <w:spacing w:val="-1"/>
                <w:sz w:val="18"/>
              </w:rPr>
              <w:t>1,040,598,240.20</w:t>
            </w:r>
          </w:p>
        </w:tc>
        <w:tc>
          <w:tcPr>
            <w:tcW w:w="2193"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8"/>
              <w:jc w:val="right"/>
              <w:rPr>
                <w:rFonts w:ascii="Times New Roman" w:hAnsi="Times New Roman" w:cs="Times New Roman" w:eastAsia="Times New Roman" w:hint="default"/>
                <w:sz w:val="18"/>
                <w:szCs w:val="18"/>
              </w:rPr>
            </w:pPr>
            <w:r>
              <w:rPr>
                <w:rFonts w:ascii="Times New Roman"/>
                <w:spacing w:val="-1"/>
                <w:sz w:val="18"/>
              </w:rPr>
              <w:t>1,078,487,027.95</w:t>
            </w:r>
          </w:p>
        </w:tc>
      </w:tr>
      <w:tr>
        <w:trPr>
          <w:trHeight w:val="286" w:hRule="exact"/>
        </w:trPr>
        <w:tc>
          <w:tcPr>
            <w:tcW w:w="326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一年内到期的应付债券</w:t>
            </w:r>
          </w:p>
        </w:tc>
        <w:tc>
          <w:tcPr>
            <w:tcW w:w="326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1"/>
              <w:jc w:val="right"/>
              <w:rPr>
                <w:rFonts w:ascii="Times New Roman" w:hAnsi="Times New Roman" w:cs="Times New Roman" w:eastAsia="Times New Roman" w:hint="default"/>
                <w:sz w:val="18"/>
                <w:szCs w:val="18"/>
              </w:rPr>
            </w:pPr>
            <w:r>
              <w:rPr>
                <w:rFonts w:ascii="Times New Roman"/>
                <w:spacing w:val="-1"/>
                <w:sz w:val="18"/>
              </w:rPr>
              <w:t>0.00</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700,000,000.00</w:t>
            </w:r>
          </w:p>
        </w:tc>
      </w:tr>
      <w:tr>
        <w:trPr>
          <w:trHeight w:val="255" w:hRule="exact"/>
        </w:trPr>
        <w:tc>
          <w:tcPr>
            <w:tcW w:w="3268"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一年内到期的长期应付款</w:t>
            </w:r>
          </w:p>
        </w:tc>
        <w:tc>
          <w:tcPr>
            <w:tcW w:w="326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821"/>
              <w:jc w:val="right"/>
              <w:rPr>
                <w:rFonts w:ascii="Times New Roman" w:hAnsi="Times New Roman" w:cs="Times New Roman" w:eastAsia="Times New Roman" w:hint="default"/>
                <w:sz w:val="18"/>
                <w:szCs w:val="18"/>
              </w:rPr>
            </w:pPr>
            <w:r>
              <w:rPr>
                <w:rFonts w:ascii="Times New Roman"/>
                <w:spacing w:val="-1"/>
                <w:sz w:val="18"/>
              </w:rPr>
              <w:t>113,991,741.52</w:t>
            </w:r>
          </w:p>
        </w:tc>
        <w:tc>
          <w:tcPr>
            <w:tcW w:w="2193"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96,494,533.53</w:t>
            </w:r>
          </w:p>
        </w:tc>
      </w:tr>
      <w:tr>
        <w:trPr>
          <w:trHeight w:val="307" w:hRule="exact"/>
        </w:trPr>
        <w:tc>
          <w:tcPr>
            <w:tcW w:w="3268"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26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822"/>
              <w:jc w:val="right"/>
              <w:rPr>
                <w:rFonts w:ascii="Times New Roman" w:hAnsi="Times New Roman" w:cs="Times New Roman" w:eastAsia="Times New Roman" w:hint="default"/>
                <w:sz w:val="18"/>
                <w:szCs w:val="18"/>
              </w:rPr>
            </w:pPr>
            <w:r>
              <w:rPr>
                <w:rFonts w:ascii="Times New Roman"/>
                <w:b/>
                <w:spacing w:val="-1"/>
                <w:sz w:val="18"/>
              </w:rPr>
              <w:t>1,154,589,981.72</w:t>
            </w:r>
            <w:r>
              <w:rPr>
                <w:rFonts w:ascii="Times New Roman"/>
                <w:spacing w:val="-1"/>
                <w:sz w:val="18"/>
              </w:rPr>
            </w:r>
          </w:p>
        </w:tc>
        <w:tc>
          <w:tcPr>
            <w:tcW w:w="219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1,874,981,561.48</w:t>
            </w:r>
            <w:r>
              <w:rPr>
                <w:rFonts w:ascii="Times New Roman"/>
                <w:spacing w:val="-1"/>
                <w:sz w:val="18"/>
              </w:rPr>
            </w:r>
          </w:p>
        </w:tc>
      </w:tr>
    </w:tbl>
    <w:p>
      <w:pPr>
        <w:tabs>
          <w:tab w:pos="1239" w:val="left" w:leader="none"/>
        </w:tabs>
        <w:spacing w:before="21"/>
        <w:ind w:left="67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tab/>
      </w:r>
      <w:r>
        <w:rPr>
          <w:rFonts w:ascii="宋体" w:hAnsi="宋体" w:cs="宋体" w:eastAsia="宋体" w:hint="default"/>
          <w:sz w:val="22"/>
          <w:szCs w:val="22"/>
        </w:rPr>
        <w:t>一年内到期的长期借款</w:t>
      </w:r>
    </w:p>
    <w:p>
      <w:pPr>
        <w:spacing w:line="240" w:lineRule="auto" w:before="5"/>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633"/>
        <w:gridCol w:w="3893"/>
        <w:gridCol w:w="2199"/>
      </w:tblGrid>
      <w:tr>
        <w:trPr>
          <w:trHeight w:val="310" w:hRule="exact"/>
        </w:trPr>
        <w:tc>
          <w:tcPr>
            <w:tcW w:w="2633"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借款类别</w:t>
            </w:r>
            <w:r>
              <w:rPr>
                <w:rFonts w:ascii="宋体" w:hAnsi="宋体" w:cs="宋体" w:eastAsia="宋体" w:hint="default"/>
                <w:sz w:val="18"/>
                <w:szCs w:val="18"/>
              </w:rPr>
            </w:r>
          </w:p>
        </w:tc>
        <w:tc>
          <w:tcPr>
            <w:tcW w:w="3893"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right="828"/>
              <w:jc w:val="right"/>
              <w:rPr>
                <w:rFonts w:ascii="宋体" w:hAnsi="宋体" w:cs="宋体" w:eastAsia="宋体" w:hint="default"/>
                <w:sz w:val="18"/>
                <w:szCs w:val="18"/>
              </w:rPr>
            </w:pPr>
            <w:r>
              <w:rPr>
                <w:rFonts w:ascii="宋体" w:hAnsi="宋体" w:cs="宋体" w:eastAsia="宋体" w:hint="default"/>
                <w:b/>
                <w:bCs/>
                <w:w w:val="95"/>
                <w:sz w:val="18"/>
                <w:szCs w:val="18"/>
              </w:rPr>
              <w:t>年末金额</w:t>
            </w:r>
            <w:r>
              <w:rPr>
                <w:rFonts w:ascii="宋体" w:hAnsi="宋体" w:cs="宋体" w:eastAsia="宋体" w:hint="default"/>
                <w:sz w:val="18"/>
                <w:szCs w:val="18"/>
              </w:rPr>
            </w:r>
          </w:p>
        </w:tc>
        <w:tc>
          <w:tcPr>
            <w:tcW w:w="2199"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年初金额</w:t>
            </w:r>
            <w:r>
              <w:rPr>
                <w:rFonts w:ascii="宋体" w:hAnsi="宋体" w:cs="宋体" w:eastAsia="宋体" w:hint="default"/>
                <w:sz w:val="18"/>
                <w:szCs w:val="18"/>
              </w:rPr>
            </w:r>
          </w:p>
        </w:tc>
      </w:tr>
      <w:tr>
        <w:trPr>
          <w:trHeight w:val="330" w:hRule="exact"/>
        </w:trPr>
        <w:tc>
          <w:tcPr>
            <w:tcW w:w="2633" w:type="dxa"/>
            <w:tcBorders>
              <w:top w:val="single" w:sz="8"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893" w:type="dxa"/>
            <w:tcBorders>
              <w:top w:val="single" w:sz="8" w:space="0" w:color="000000"/>
              <w:left w:val="nil" w:sz="6" w:space="0" w:color="auto"/>
              <w:bottom w:val="nil" w:sz="6" w:space="0" w:color="auto"/>
              <w:right w:val="nil" w:sz="6" w:space="0" w:color="auto"/>
            </w:tcBorders>
          </w:tcPr>
          <w:p>
            <w:pPr>
              <w:pStyle w:val="TableParagraph"/>
              <w:spacing w:line="240" w:lineRule="auto" w:before="74"/>
              <w:ind w:right="828"/>
              <w:jc w:val="right"/>
              <w:rPr>
                <w:rFonts w:ascii="Times New Roman" w:hAnsi="Times New Roman" w:cs="Times New Roman" w:eastAsia="Times New Roman" w:hint="default"/>
                <w:sz w:val="18"/>
                <w:szCs w:val="18"/>
              </w:rPr>
            </w:pPr>
            <w:r>
              <w:rPr>
                <w:rFonts w:ascii="Times New Roman"/>
                <w:spacing w:val="-1"/>
                <w:sz w:val="18"/>
              </w:rPr>
              <w:t>79,067,867.47</w:t>
            </w:r>
          </w:p>
        </w:tc>
        <w:tc>
          <w:tcPr>
            <w:tcW w:w="2199" w:type="dxa"/>
            <w:tcBorders>
              <w:top w:val="single" w:sz="8"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267,639,592.32</w:t>
            </w:r>
          </w:p>
        </w:tc>
      </w:tr>
      <w:tr>
        <w:trPr>
          <w:trHeight w:val="286" w:hRule="exact"/>
        </w:trPr>
        <w:tc>
          <w:tcPr>
            <w:tcW w:w="2633"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抵押借款</w:t>
            </w:r>
          </w:p>
        </w:tc>
        <w:tc>
          <w:tcPr>
            <w:tcW w:w="389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7"/>
              <w:jc w:val="right"/>
              <w:rPr>
                <w:rFonts w:ascii="Times New Roman" w:hAnsi="Times New Roman" w:cs="Times New Roman" w:eastAsia="Times New Roman" w:hint="default"/>
                <w:sz w:val="18"/>
                <w:szCs w:val="18"/>
              </w:rPr>
            </w:pPr>
            <w:r>
              <w:rPr>
                <w:rFonts w:ascii="Times New Roman"/>
                <w:spacing w:val="-1"/>
                <w:sz w:val="18"/>
              </w:rPr>
              <w:t>0.00</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10,064,466.99</w:t>
            </w:r>
          </w:p>
        </w:tc>
      </w:tr>
      <w:tr>
        <w:trPr>
          <w:trHeight w:val="286" w:hRule="exact"/>
        </w:trPr>
        <w:tc>
          <w:tcPr>
            <w:tcW w:w="2633"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89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7"/>
              <w:jc w:val="right"/>
              <w:rPr>
                <w:rFonts w:ascii="Times New Roman" w:hAnsi="Times New Roman" w:cs="Times New Roman" w:eastAsia="Times New Roman" w:hint="default"/>
                <w:sz w:val="18"/>
                <w:szCs w:val="18"/>
              </w:rPr>
            </w:pPr>
            <w:r>
              <w:rPr>
                <w:rFonts w:ascii="Times New Roman"/>
                <w:spacing w:val="-1"/>
                <w:sz w:val="18"/>
              </w:rPr>
              <w:t>864,030,372.73</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711,582,968.64</w:t>
            </w:r>
          </w:p>
        </w:tc>
      </w:tr>
      <w:tr>
        <w:trPr>
          <w:trHeight w:val="260" w:hRule="exact"/>
        </w:trPr>
        <w:tc>
          <w:tcPr>
            <w:tcW w:w="2633" w:type="dxa"/>
            <w:tcBorders>
              <w:top w:val="nil" w:sz="6" w:space="0" w:color="auto"/>
              <w:left w:val="nil" w:sz="6" w:space="0" w:color="auto"/>
              <w:bottom w:val="single" w:sz="8"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质押借款</w:t>
            </w:r>
          </w:p>
        </w:tc>
        <w:tc>
          <w:tcPr>
            <w:tcW w:w="3893" w:type="dxa"/>
            <w:tcBorders>
              <w:top w:val="nil" w:sz="6" w:space="0" w:color="auto"/>
              <w:left w:val="nil" w:sz="6" w:space="0" w:color="auto"/>
              <w:bottom w:val="single" w:sz="8" w:space="0" w:color="000000"/>
              <w:right w:val="nil" w:sz="6" w:space="0" w:color="auto"/>
            </w:tcBorders>
          </w:tcPr>
          <w:p>
            <w:pPr>
              <w:pStyle w:val="TableParagraph"/>
              <w:spacing w:line="240" w:lineRule="auto" w:before="39"/>
              <w:ind w:right="828"/>
              <w:jc w:val="right"/>
              <w:rPr>
                <w:rFonts w:ascii="Times New Roman" w:hAnsi="Times New Roman" w:cs="Times New Roman" w:eastAsia="Times New Roman" w:hint="default"/>
                <w:sz w:val="18"/>
                <w:szCs w:val="18"/>
              </w:rPr>
            </w:pPr>
            <w:r>
              <w:rPr>
                <w:rFonts w:ascii="Times New Roman"/>
                <w:spacing w:val="-1"/>
                <w:sz w:val="18"/>
              </w:rPr>
              <w:t>97,500,000.00</w:t>
            </w:r>
          </w:p>
        </w:tc>
        <w:tc>
          <w:tcPr>
            <w:tcW w:w="2199" w:type="dxa"/>
            <w:tcBorders>
              <w:top w:val="nil" w:sz="6" w:space="0" w:color="auto"/>
              <w:left w:val="nil" w:sz="6" w:space="0" w:color="auto"/>
              <w:bottom w:val="single" w:sz="8"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89,200,000.00</w:t>
            </w:r>
          </w:p>
        </w:tc>
      </w:tr>
      <w:tr>
        <w:trPr>
          <w:trHeight w:val="310" w:hRule="exact"/>
        </w:trPr>
        <w:tc>
          <w:tcPr>
            <w:tcW w:w="2633" w:type="dxa"/>
            <w:tcBorders>
              <w:top w:val="single" w:sz="8"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893" w:type="dxa"/>
            <w:tcBorders>
              <w:top w:val="single" w:sz="8" w:space="0" w:color="000000"/>
              <w:left w:val="nil" w:sz="6" w:space="0" w:color="auto"/>
              <w:bottom w:val="single" w:sz="12" w:space="0" w:color="000000"/>
              <w:right w:val="nil" w:sz="6" w:space="0" w:color="auto"/>
            </w:tcBorders>
          </w:tcPr>
          <w:p>
            <w:pPr>
              <w:pStyle w:val="TableParagraph"/>
              <w:spacing w:line="240" w:lineRule="auto" w:before="79"/>
              <w:ind w:right="828"/>
              <w:jc w:val="right"/>
              <w:rPr>
                <w:rFonts w:ascii="Times New Roman" w:hAnsi="Times New Roman" w:cs="Times New Roman" w:eastAsia="Times New Roman" w:hint="default"/>
                <w:sz w:val="18"/>
                <w:szCs w:val="18"/>
              </w:rPr>
            </w:pPr>
            <w:r>
              <w:rPr>
                <w:rFonts w:ascii="Times New Roman"/>
                <w:b/>
                <w:spacing w:val="-1"/>
                <w:sz w:val="18"/>
              </w:rPr>
              <w:t>1,040,598,240.20</w:t>
            </w:r>
            <w:r>
              <w:rPr>
                <w:rFonts w:ascii="Times New Roman"/>
                <w:spacing w:val="-1"/>
                <w:sz w:val="18"/>
              </w:rPr>
            </w:r>
          </w:p>
        </w:tc>
        <w:tc>
          <w:tcPr>
            <w:tcW w:w="2199" w:type="dxa"/>
            <w:tcBorders>
              <w:top w:val="single" w:sz="8"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1,078,487,027.95</w:t>
            </w:r>
            <w:r>
              <w:rPr>
                <w:rFonts w:ascii="Times New Roman"/>
                <w:spacing w:val="-1"/>
                <w:sz w:val="18"/>
              </w:rPr>
            </w:r>
          </w:p>
        </w:tc>
      </w:tr>
    </w:tbl>
    <w:p>
      <w:pPr>
        <w:spacing w:before="21"/>
        <w:ind w:left="661" w:right="0" w:firstLine="0"/>
        <w:jc w:val="left"/>
        <w:rPr>
          <w:rFonts w:ascii="宋体" w:hAnsi="宋体" w:cs="宋体" w:eastAsia="宋体" w:hint="default"/>
          <w:sz w:val="22"/>
          <w:szCs w:val="22"/>
        </w:rPr>
      </w:pPr>
      <w:r>
        <w:rPr>
          <w:rFonts w:ascii="宋体" w:hAnsi="宋体" w:cs="宋体" w:eastAsia="宋体" w:hint="default"/>
          <w:w w:val="100"/>
          <w:sz w:val="22"/>
          <w:szCs w:val="22"/>
        </w:rPr>
        <w:t>截至</w:t>
      </w:r>
      <w:r>
        <w:rPr>
          <w:rFonts w:ascii="宋体" w:hAnsi="宋体" w:cs="宋体" w:eastAsia="宋体" w:hint="default"/>
          <w:spacing w:val="-67"/>
          <w:sz w:val="22"/>
          <w:szCs w:val="22"/>
        </w:rPr>
        <w:t> </w:t>
      </w:r>
      <w:r>
        <w:rPr>
          <w:rFonts w:ascii="Times New Roman" w:hAnsi="Times New Roman" w:cs="Times New Roman" w:eastAsia="Times New Roman" w:hint="default"/>
          <w:w w:val="100"/>
          <w:sz w:val="22"/>
          <w:szCs w:val="22"/>
        </w:rPr>
        <w:t>20</w:t>
      </w:r>
      <w:r>
        <w:rPr>
          <w:rFonts w:ascii="Times New Roman" w:hAnsi="Times New Roman" w:cs="Times New Roman" w:eastAsia="Times New Roman" w:hint="default"/>
          <w:spacing w:val="-3"/>
          <w:w w:val="100"/>
          <w:sz w:val="22"/>
          <w:szCs w:val="22"/>
        </w:rPr>
        <w:t>1</w:t>
      </w:r>
      <w:r>
        <w:rPr>
          <w:rFonts w:ascii="Times New Roman" w:hAnsi="Times New Roman" w:cs="Times New Roman" w:eastAsia="Times New Roman" w:hint="default"/>
          <w:w w:val="100"/>
          <w:sz w:val="22"/>
          <w:szCs w:val="22"/>
        </w:rPr>
        <w:t>5</w:t>
      </w:r>
      <w:r>
        <w:rPr>
          <w:rFonts w:ascii="Times New Roman" w:hAnsi="Times New Roman" w:cs="Times New Roman" w:eastAsia="Times New Roman" w:hint="default"/>
          <w:spacing w:val="-12"/>
          <w:sz w:val="22"/>
          <w:szCs w:val="22"/>
        </w:rPr>
        <w:t> </w:t>
      </w:r>
      <w:r>
        <w:rPr>
          <w:rFonts w:ascii="宋体" w:hAnsi="宋体" w:cs="宋体" w:eastAsia="宋体" w:hint="default"/>
          <w:w w:val="100"/>
          <w:sz w:val="22"/>
          <w:szCs w:val="22"/>
        </w:rPr>
        <w:t>年</w:t>
      </w:r>
      <w:r>
        <w:rPr>
          <w:rFonts w:ascii="宋体" w:hAnsi="宋体" w:cs="宋体" w:eastAsia="宋体" w:hint="default"/>
          <w:spacing w:val="-67"/>
          <w:sz w:val="22"/>
          <w:szCs w:val="22"/>
        </w:rPr>
        <w:t> </w:t>
      </w:r>
      <w:r>
        <w:rPr>
          <w:rFonts w:ascii="Times New Roman" w:hAnsi="Times New Roman" w:cs="Times New Roman" w:eastAsia="Times New Roman" w:hint="default"/>
          <w:spacing w:val="-3"/>
          <w:w w:val="100"/>
          <w:sz w:val="22"/>
          <w:szCs w:val="22"/>
        </w:rPr>
        <w:t>1</w:t>
      </w:r>
      <w:r>
        <w:rPr>
          <w:rFonts w:ascii="Times New Roman" w:hAnsi="Times New Roman" w:cs="Times New Roman" w:eastAsia="Times New Roman" w:hint="default"/>
          <w:w w:val="100"/>
          <w:sz w:val="22"/>
          <w:szCs w:val="22"/>
        </w:rPr>
        <w:t>2</w:t>
      </w:r>
      <w:r>
        <w:rPr>
          <w:rFonts w:ascii="Times New Roman" w:hAnsi="Times New Roman" w:cs="Times New Roman" w:eastAsia="Times New Roman" w:hint="default"/>
          <w:spacing w:val="-12"/>
          <w:sz w:val="22"/>
          <w:szCs w:val="22"/>
        </w:rPr>
        <w:t> </w:t>
      </w:r>
      <w:r>
        <w:rPr>
          <w:rFonts w:ascii="宋体" w:hAnsi="宋体" w:cs="宋体" w:eastAsia="宋体" w:hint="default"/>
          <w:w w:val="100"/>
          <w:sz w:val="22"/>
          <w:szCs w:val="22"/>
        </w:rPr>
        <w:t>月</w:t>
      </w:r>
      <w:r>
        <w:rPr>
          <w:rFonts w:ascii="宋体" w:hAnsi="宋体" w:cs="宋体" w:eastAsia="宋体" w:hint="default"/>
          <w:spacing w:val="-67"/>
          <w:sz w:val="22"/>
          <w:szCs w:val="22"/>
        </w:rPr>
        <w:t> </w:t>
      </w:r>
      <w:r>
        <w:rPr>
          <w:rFonts w:ascii="Times New Roman" w:hAnsi="Times New Roman" w:cs="Times New Roman" w:eastAsia="Times New Roman" w:hint="default"/>
          <w:spacing w:val="-3"/>
          <w:w w:val="100"/>
          <w:sz w:val="22"/>
          <w:szCs w:val="22"/>
        </w:rPr>
        <w:t>3</w:t>
      </w:r>
      <w:r>
        <w:rPr>
          <w:rFonts w:ascii="Times New Roman" w:hAnsi="Times New Roman" w:cs="Times New Roman" w:eastAsia="Times New Roman" w:hint="default"/>
          <w:w w:val="100"/>
          <w:sz w:val="22"/>
          <w:szCs w:val="22"/>
        </w:rPr>
        <w:t>1</w:t>
      </w:r>
      <w:r>
        <w:rPr>
          <w:rFonts w:ascii="Times New Roman" w:hAnsi="Times New Roman" w:cs="Times New Roman" w:eastAsia="Times New Roman" w:hint="default"/>
          <w:spacing w:val="-12"/>
          <w:sz w:val="22"/>
          <w:szCs w:val="22"/>
        </w:rPr>
        <w:t> </w:t>
      </w:r>
      <w:r>
        <w:rPr>
          <w:rFonts w:ascii="宋体" w:hAnsi="宋体" w:cs="宋体" w:eastAsia="宋体" w:hint="default"/>
          <w:w w:val="100"/>
          <w:sz w:val="22"/>
          <w:szCs w:val="22"/>
        </w:rPr>
        <w:t>日</w:t>
      </w:r>
      <w:r>
        <w:rPr>
          <w:rFonts w:ascii="宋体" w:hAnsi="宋体" w:cs="宋体" w:eastAsia="宋体" w:hint="default"/>
          <w:spacing w:val="-113"/>
          <w:w w:val="100"/>
          <w:sz w:val="22"/>
          <w:szCs w:val="22"/>
        </w:rPr>
        <w:t>，</w:t>
      </w:r>
      <w:r>
        <w:rPr>
          <w:rFonts w:ascii="宋体" w:hAnsi="宋体" w:cs="宋体" w:eastAsia="宋体" w:hint="default"/>
          <w:w w:val="100"/>
          <w:sz w:val="22"/>
          <w:szCs w:val="22"/>
        </w:rPr>
        <w:t>本公司</w:t>
      </w:r>
      <w:r>
        <w:rPr>
          <w:rFonts w:ascii="宋体" w:hAnsi="宋体" w:cs="宋体" w:eastAsia="宋体" w:hint="default"/>
          <w:spacing w:val="-3"/>
          <w:w w:val="100"/>
          <w:sz w:val="22"/>
          <w:szCs w:val="22"/>
        </w:rPr>
        <w:t>一</w:t>
      </w:r>
      <w:r>
        <w:rPr>
          <w:rFonts w:ascii="宋体" w:hAnsi="宋体" w:cs="宋体" w:eastAsia="宋体" w:hint="default"/>
          <w:w w:val="100"/>
          <w:sz w:val="22"/>
          <w:szCs w:val="22"/>
        </w:rPr>
        <w:t>年内</w:t>
      </w:r>
      <w:r>
        <w:rPr>
          <w:rFonts w:ascii="宋体" w:hAnsi="宋体" w:cs="宋体" w:eastAsia="宋体" w:hint="default"/>
          <w:spacing w:val="-3"/>
          <w:w w:val="100"/>
          <w:sz w:val="22"/>
          <w:szCs w:val="22"/>
        </w:rPr>
        <w:t>到</w:t>
      </w:r>
      <w:r>
        <w:rPr>
          <w:rFonts w:ascii="宋体" w:hAnsi="宋体" w:cs="宋体" w:eastAsia="宋体" w:hint="default"/>
          <w:w w:val="100"/>
          <w:sz w:val="22"/>
          <w:szCs w:val="22"/>
        </w:rPr>
        <w:t>期的</w:t>
      </w:r>
      <w:r>
        <w:rPr>
          <w:rFonts w:ascii="宋体" w:hAnsi="宋体" w:cs="宋体" w:eastAsia="宋体" w:hint="default"/>
          <w:spacing w:val="-3"/>
          <w:w w:val="100"/>
          <w:sz w:val="22"/>
          <w:szCs w:val="22"/>
        </w:rPr>
        <w:t>长期</w:t>
      </w:r>
      <w:r>
        <w:rPr>
          <w:rFonts w:ascii="宋体" w:hAnsi="宋体" w:cs="宋体" w:eastAsia="宋体" w:hint="default"/>
          <w:w w:val="100"/>
          <w:sz w:val="22"/>
          <w:szCs w:val="22"/>
        </w:rPr>
        <w:t>保证借</w:t>
      </w:r>
      <w:r>
        <w:rPr>
          <w:rFonts w:ascii="宋体" w:hAnsi="宋体" w:cs="宋体" w:eastAsia="宋体" w:hint="default"/>
          <w:spacing w:val="-3"/>
          <w:w w:val="100"/>
          <w:sz w:val="22"/>
          <w:szCs w:val="22"/>
        </w:rPr>
        <w:t>款</w:t>
      </w:r>
      <w:r>
        <w:rPr>
          <w:rFonts w:ascii="宋体" w:hAnsi="宋体" w:cs="宋体" w:eastAsia="宋体" w:hint="default"/>
          <w:w w:val="100"/>
          <w:sz w:val="22"/>
          <w:szCs w:val="22"/>
        </w:rPr>
        <w:t>担保</w:t>
      </w:r>
      <w:r>
        <w:rPr>
          <w:rFonts w:ascii="宋体" w:hAnsi="宋体" w:cs="宋体" w:eastAsia="宋体" w:hint="default"/>
          <w:spacing w:val="-3"/>
          <w:w w:val="100"/>
          <w:sz w:val="22"/>
          <w:szCs w:val="22"/>
        </w:rPr>
        <w:t>情</w:t>
      </w:r>
      <w:r>
        <w:rPr>
          <w:rFonts w:ascii="宋体" w:hAnsi="宋体" w:cs="宋体" w:eastAsia="宋体" w:hint="default"/>
          <w:w w:val="100"/>
          <w:sz w:val="22"/>
          <w:szCs w:val="22"/>
        </w:rPr>
        <w:t>况详</w:t>
      </w:r>
      <w:r>
        <w:rPr>
          <w:rFonts w:ascii="宋体" w:hAnsi="宋体" w:cs="宋体" w:eastAsia="宋体" w:hint="default"/>
          <w:spacing w:val="-3"/>
          <w:w w:val="100"/>
          <w:sz w:val="22"/>
          <w:szCs w:val="22"/>
        </w:rPr>
        <w:t>见附</w:t>
      </w:r>
      <w:r>
        <w:rPr>
          <w:rFonts w:ascii="宋体" w:hAnsi="宋体" w:cs="宋体" w:eastAsia="宋体" w:hint="default"/>
          <w:w w:val="100"/>
          <w:sz w:val="22"/>
          <w:szCs w:val="22"/>
        </w:rPr>
        <w:t>注十一、</w:t>
      </w:r>
    </w:p>
    <w:p>
      <w:pPr>
        <w:spacing w:before="53"/>
        <w:ind w:left="222" w:right="0" w:firstLine="0"/>
        <w:jc w:val="left"/>
        <w:rPr>
          <w:rFonts w:ascii="宋体" w:hAnsi="宋体" w:cs="宋体" w:eastAsia="宋体" w:hint="default"/>
          <w:sz w:val="22"/>
          <w:szCs w:val="22"/>
        </w:rPr>
      </w:pPr>
      <w:r>
        <w:rPr>
          <w:rFonts w:ascii="宋体" w:hAnsi="宋体" w:cs="宋体" w:eastAsia="宋体" w:hint="default"/>
          <w:sz w:val="22"/>
          <w:szCs w:val="22"/>
        </w:rPr>
        <w:t>（二）、</w:t>
      </w:r>
      <w:r>
        <w:rPr>
          <w:rFonts w:ascii="Times New Roman" w:hAnsi="Times New Roman" w:cs="Times New Roman" w:eastAsia="Times New Roman" w:hint="default"/>
          <w:sz w:val="22"/>
          <w:szCs w:val="22"/>
        </w:rPr>
        <w:t>4</w:t>
      </w:r>
      <w:r>
        <w:rPr>
          <w:rFonts w:ascii="宋体" w:hAnsi="宋体" w:cs="宋体" w:eastAsia="宋体" w:hint="default"/>
          <w:sz w:val="22"/>
          <w:szCs w:val="22"/>
        </w:rPr>
        <w:t>。</w:t>
      </w:r>
    </w:p>
    <w:p>
      <w:pPr>
        <w:spacing w:line="283" w:lineRule="auto" w:before="113"/>
        <w:ind w:left="222" w:right="206" w:firstLine="439"/>
        <w:jc w:val="both"/>
        <w:rPr>
          <w:rFonts w:ascii="宋体" w:hAnsi="宋体" w:cs="宋体" w:eastAsia="宋体" w:hint="default"/>
          <w:sz w:val="22"/>
          <w:szCs w:val="22"/>
        </w:rPr>
      </w:pPr>
      <w:r>
        <w:rPr>
          <w:rFonts w:ascii="宋体" w:hAnsi="宋体" w:cs="宋体" w:eastAsia="宋体" w:hint="default"/>
          <w:sz w:val="22"/>
          <w:szCs w:val="22"/>
        </w:rPr>
        <w:t>截至</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日，本公司一年内到期的长期质押借款情况如下：本公司之二</w:t>
      </w:r>
      <w:r>
        <w:rPr>
          <w:rFonts w:ascii="宋体" w:hAnsi="宋体" w:cs="宋体" w:eastAsia="宋体" w:hint="default"/>
          <w:w w:val="100"/>
          <w:sz w:val="22"/>
          <w:szCs w:val="22"/>
        </w:rPr>
        <w:t> </w:t>
      </w:r>
      <w:r>
        <w:rPr>
          <w:rFonts w:ascii="宋体" w:hAnsi="宋体" w:cs="宋体" w:eastAsia="宋体" w:hint="default"/>
          <w:spacing w:val="7"/>
          <w:sz w:val="22"/>
          <w:szCs w:val="22"/>
        </w:rPr>
        <w:t>级子公司佳木斯龙江环保水务有限公司以部分</w:t>
      </w:r>
      <w:r>
        <w:rPr>
          <w:rFonts w:ascii="宋体" w:hAnsi="宋体" w:cs="宋体" w:eastAsia="宋体" w:hint="default"/>
          <w:spacing w:val="49"/>
          <w:sz w:val="22"/>
          <w:szCs w:val="22"/>
        </w:rPr>
        <w:t> </w:t>
      </w:r>
      <w:r>
        <w:rPr>
          <w:rFonts w:ascii="Times New Roman" w:hAnsi="Times New Roman" w:cs="Times New Roman" w:eastAsia="Times New Roman" w:hint="default"/>
          <w:sz w:val="22"/>
          <w:szCs w:val="22"/>
        </w:rPr>
        <w:t>BOT</w:t>
      </w:r>
      <w:r>
        <w:rPr>
          <w:rFonts w:ascii="Times New Roman" w:hAnsi="Times New Roman" w:cs="Times New Roman" w:eastAsia="Times New Roman" w:hint="default"/>
          <w:spacing w:val="46"/>
          <w:sz w:val="22"/>
          <w:szCs w:val="22"/>
        </w:rPr>
        <w:t> </w:t>
      </w:r>
      <w:r>
        <w:rPr>
          <w:rFonts w:ascii="宋体" w:hAnsi="宋体" w:cs="宋体" w:eastAsia="宋体" w:hint="default"/>
          <w:spacing w:val="8"/>
          <w:sz w:val="22"/>
          <w:szCs w:val="22"/>
        </w:rPr>
        <w:t>项目的特许经营权质押取得借款</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Times New Roman" w:hAnsi="Times New Roman" w:cs="Times New Roman" w:eastAsia="Times New Roman" w:hint="default"/>
          <w:sz w:val="22"/>
          <w:szCs w:val="22"/>
        </w:rPr>
        <w:t>9,100,000.00</w:t>
      </w:r>
      <w:r>
        <w:rPr>
          <w:rFonts w:ascii="Times New Roman" w:hAnsi="Times New Roman" w:cs="Times New Roman" w:eastAsia="Times New Roman" w:hint="default"/>
          <w:spacing w:val="11"/>
          <w:sz w:val="22"/>
          <w:szCs w:val="22"/>
        </w:rPr>
        <w:t> </w:t>
      </w:r>
      <w:r>
        <w:rPr>
          <w:rFonts w:ascii="宋体" w:hAnsi="宋体" w:cs="宋体" w:eastAsia="宋体" w:hint="default"/>
          <w:spacing w:val="-4"/>
          <w:sz w:val="22"/>
          <w:szCs w:val="22"/>
        </w:rPr>
        <w:t>元；本公司之二级子公司牡丹江龙江环保供水有限公司以部分</w:t>
      </w:r>
      <w:r>
        <w:rPr>
          <w:rFonts w:ascii="宋体" w:hAnsi="宋体" w:cs="宋体" w:eastAsia="宋体" w:hint="default"/>
          <w:spacing w:val="-42"/>
          <w:sz w:val="22"/>
          <w:szCs w:val="22"/>
        </w:rPr>
        <w:t> </w:t>
      </w:r>
      <w:r>
        <w:rPr>
          <w:rFonts w:ascii="Times New Roman" w:hAnsi="Times New Roman" w:cs="Times New Roman" w:eastAsia="Times New Roman" w:hint="default"/>
          <w:sz w:val="22"/>
          <w:szCs w:val="22"/>
        </w:rPr>
        <w:t>TOT</w:t>
      </w:r>
      <w:r>
        <w:rPr>
          <w:rFonts w:ascii="Times New Roman" w:hAnsi="Times New Roman" w:cs="Times New Roman" w:eastAsia="Times New Roman" w:hint="default"/>
          <w:spacing w:val="10"/>
          <w:sz w:val="22"/>
          <w:szCs w:val="22"/>
        </w:rPr>
        <w:t> </w:t>
      </w:r>
      <w:r>
        <w:rPr>
          <w:rFonts w:ascii="宋体" w:hAnsi="宋体" w:cs="宋体" w:eastAsia="宋体" w:hint="default"/>
          <w:sz w:val="22"/>
          <w:szCs w:val="22"/>
        </w:rPr>
        <w:t>项目的收</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z w:val="22"/>
          <w:szCs w:val="22"/>
        </w:rPr>
        <w:t>费权质押取得借款 </w:t>
      </w:r>
      <w:r>
        <w:rPr>
          <w:rFonts w:ascii="Times New Roman" w:hAnsi="Times New Roman" w:cs="Times New Roman" w:eastAsia="Times New Roman" w:hint="default"/>
          <w:sz w:val="22"/>
          <w:szCs w:val="22"/>
        </w:rPr>
        <w:t>36,000,000.00</w:t>
      </w:r>
      <w:r>
        <w:rPr>
          <w:rFonts w:ascii="Times New Roman" w:hAnsi="Times New Roman" w:cs="Times New Roman" w:eastAsia="Times New Roman" w:hint="default"/>
          <w:spacing w:val="33"/>
          <w:sz w:val="22"/>
          <w:szCs w:val="22"/>
        </w:rPr>
        <w:t> </w:t>
      </w:r>
      <w:r>
        <w:rPr>
          <w:rFonts w:ascii="宋体" w:hAnsi="宋体" w:cs="宋体" w:eastAsia="宋体" w:hint="default"/>
          <w:sz w:val="22"/>
          <w:szCs w:val="22"/>
        </w:rPr>
        <w:t>元，并由其母公司龙江环保集团股份有限公司提供保证</w:t>
      </w:r>
      <w:r>
        <w:rPr>
          <w:rFonts w:ascii="宋体" w:hAnsi="宋体" w:cs="宋体" w:eastAsia="宋体" w:hint="default"/>
          <w:w w:val="100"/>
          <w:sz w:val="22"/>
          <w:szCs w:val="22"/>
        </w:rPr>
        <w:t> </w:t>
      </w:r>
      <w:r>
        <w:rPr>
          <w:rFonts w:ascii="宋体" w:hAnsi="宋体" w:cs="宋体" w:eastAsia="宋体" w:hint="default"/>
          <w:sz w:val="22"/>
          <w:szCs w:val="22"/>
        </w:rPr>
        <w:t>担保；本公司之二级子公司哈尔滨文太升龙江环保水务有限责任公司以部分 </w:t>
      </w:r>
      <w:r>
        <w:rPr>
          <w:rFonts w:ascii="Times New Roman" w:hAnsi="Times New Roman" w:cs="Times New Roman" w:eastAsia="Times New Roman" w:hint="default"/>
          <w:sz w:val="22"/>
          <w:szCs w:val="22"/>
        </w:rPr>
        <w:t>BOT</w:t>
      </w:r>
      <w:r>
        <w:rPr>
          <w:rFonts w:ascii="Times New Roman" w:hAnsi="Times New Roman" w:cs="Times New Roman" w:eastAsia="Times New Roman" w:hint="default"/>
          <w:spacing w:val="-23"/>
          <w:sz w:val="22"/>
          <w:szCs w:val="22"/>
        </w:rPr>
        <w:t> </w:t>
      </w:r>
      <w:r>
        <w:rPr>
          <w:rFonts w:ascii="宋体" w:hAnsi="宋体" w:cs="宋体" w:eastAsia="宋体" w:hint="default"/>
          <w:sz w:val="22"/>
          <w:szCs w:val="22"/>
        </w:rPr>
        <w:t>项目收</w:t>
      </w:r>
      <w:r>
        <w:rPr>
          <w:rFonts w:ascii="宋体" w:hAnsi="宋体" w:cs="宋体" w:eastAsia="宋体" w:hint="default"/>
          <w:w w:val="100"/>
          <w:sz w:val="22"/>
          <w:szCs w:val="22"/>
        </w:rPr>
        <w:t> </w:t>
      </w:r>
      <w:r>
        <w:rPr>
          <w:rFonts w:ascii="宋体" w:hAnsi="宋体" w:cs="宋体" w:eastAsia="宋体" w:hint="default"/>
          <w:sz w:val="22"/>
          <w:szCs w:val="22"/>
        </w:rPr>
        <w:t>费权质押取得借款 </w:t>
      </w:r>
      <w:r>
        <w:rPr>
          <w:rFonts w:ascii="Times New Roman" w:hAnsi="Times New Roman" w:cs="Times New Roman" w:eastAsia="Times New Roman" w:hint="default"/>
          <w:sz w:val="22"/>
          <w:szCs w:val="22"/>
        </w:rPr>
        <w:t>22,000,000.00 </w:t>
      </w:r>
      <w:r>
        <w:rPr>
          <w:rFonts w:ascii="宋体" w:hAnsi="宋体" w:cs="宋体" w:eastAsia="宋体" w:hint="default"/>
          <w:sz w:val="22"/>
          <w:szCs w:val="22"/>
        </w:rPr>
        <w:t>元，由其母公司龙江环保集团股份有限公司以部分</w:t>
      </w:r>
      <w:r>
        <w:rPr>
          <w:rFonts w:ascii="宋体" w:hAnsi="宋体" w:cs="宋体" w:eastAsia="宋体" w:hint="default"/>
          <w:spacing w:val="-68"/>
          <w:sz w:val="22"/>
          <w:szCs w:val="22"/>
        </w:rPr>
        <w:t> </w:t>
      </w:r>
      <w:r>
        <w:rPr>
          <w:rFonts w:ascii="Times New Roman" w:hAnsi="Times New Roman" w:cs="Times New Roman" w:eastAsia="Times New Roman" w:hint="default"/>
          <w:sz w:val="22"/>
          <w:szCs w:val="22"/>
        </w:rPr>
        <w:t>TOT</w:t>
      </w:r>
      <w:r>
        <w:rPr>
          <w:rFonts w:ascii="Times New Roman" w:hAnsi="Times New Roman" w:cs="Times New Roman" w:eastAsia="Times New Roman" w:hint="default"/>
          <w:w w:val="100"/>
          <w:sz w:val="22"/>
          <w:szCs w:val="22"/>
        </w:rPr>
        <w:t> </w:t>
      </w:r>
      <w:r>
        <w:rPr>
          <w:rFonts w:ascii="宋体" w:hAnsi="宋体" w:cs="宋体" w:eastAsia="宋体" w:hint="default"/>
          <w:spacing w:val="-3"/>
          <w:sz w:val="22"/>
          <w:szCs w:val="22"/>
        </w:rPr>
        <w:t>项目的收费权提供质押担保并提供保证担保；本公司之子公司淮安同方水务有限公司以部</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分</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BOT</w:t>
      </w:r>
      <w:r>
        <w:rPr>
          <w:rFonts w:ascii="宋体" w:hAnsi="宋体" w:cs="宋体" w:eastAsia="宋体" w:hint="default"/>
          <w:sz w:val="22"/>
          <w:szCs w:val="22"/>
        </w:rPr>
        <w:t>、</w:t>
      </w:r>
      <w:r>
        <w:rPr>
          <w:rFonts w:ascii="Times New Roman" w:hAnsi="Times New Roman" w:cs="Times New Roman" w:eastAsia="Times New Roman" w:hint="default"/>
          <w:sz w:val="22"/>
          <w:szCs w:val="22"/>
        </w:rPr>
        <w:t>TOT</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项目收费权质押取得借款</w:t>
      </w:r>
      <w:r>
        <w:rPr>
          <w:rFonts w:ascii="宋体" w:hAnsi="宋体" w:cs="宋体" w:eastAsia="宋体" w:hint="default"/>
          <w:spacing w:val="-59"/>
          <w:sz w:val="22"/>
          <w:szCs w:val="22"/>
        </w:rPr>
        <w:t> </w:t>
      </w:r>
      <w:r>
        <w:rPr>
          <w:rFonts w:ascii="Times New Roman" w:hAnsi="Times New Roman" w:cs="Times New Roman" w:eastAsia="Times New Roman" w:hint="default"/>
          <w:sz w:val="22"/>
          <w:szCs w:val="22"/>
        </w:rPr>
        <w:t>30,400,000.00</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元，并由本公司提供保证担保。</w:t>
      </w:r>
    </w:p>
    <w:p>
      <w:pPr>
        <w:spacing w:before="67"/>
        <w:ind w:left="67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18"/>
          <w:sz w:val="22"/>
          <w:szCs w:val="22"/>
        </w:rPr>
        <w:t> </w:t>
      </w:r>
      <w:r>
        <w:rPr>
          <w:rFonts w:ascii="宋体" w:hAnsi="宋体" w:cs="宋体" w:eastAsia="宋体" w:hint="default"/>
          <w:sz w:val="22"/>
          <w:szCs w:val="22"/>
        </w:rPr>
        <w:t>一年内到期的长期应付款</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879"/>
        <w:gridCol w:w="3759"/>
        <w:gridCol w:w="2087"/>
      </w:tblGrid>
      <w:tr>
        <w:trPr>
          <w:trHeight w:val="310" w:hRule="exact"/>
        </w:trPr>
        <w:tc>
          <w:tcPr>
            <w:tcW w:w="2879"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款项性质</w:t>
            </w:r>
            <w:r>
              <w:rPr>
                <w:rFonts w:ascii="宋体" w:hAnsi="宋体" w:cs="宋体" w:eastAsia="宋体" w:hint="default"/>
                <w:sz w:val="18"/>
                <w:szCs w:val="18"/>
              </w:rPr>
            </w:r>
          </w:p>
        </w:tc>
        <w:tc>
          <w:tcPr>
            <w:tcW w:w="3759"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right="940"/>
              <w:jc w:val="right"/>
              <w:rPr>
                <w:rFonts w:ascii="宋体" w:hAnsi="宋体" w:cs="宋体" w:eastAsia="宋体" w:hint="default"/>
                <w:sz w:val="18"/>
                <w:szCs w:val="18"/>
              </w:rPr>
            </w:pPr>
            <w:r>
              <w:rPr>
                <w:rFonts w:ascii="宋体" w:hAnsi="宋体" w:cs="宋体" w:eastAsia="宋体" w:hint="default"/>
                <w:b/>
                <w:bCs/>
                <w:w w:val="95"/>
                <w:sz w:val="18"/>
                <w:szCs w:val="18"/>
              </w:rPr>
              <w:t>年末金额</w:t>
            </w:r>
            <w:r>
              <w:rPr>
                <w:rFonts w:ascii="宋体" w:hAnsi="宋体" w:cs="宋体" w:eastAsia="宋体" w:hint="default"/>
                <w:sz w:val="18"/>
                <w:szCs w:val="18"/>
              </w:rPr>
            </w:r>
          </w:p>
        </w:tc>
        <w:tc>
          <w:tcPr>
            <w:tcW w:w="2087"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年初金额</w:t>
            </w:r>
            <w:r>
              <w:rPr>
                <w:rFonts w:ascii="宋体" w:hAnsi="宋体" w:cs="宋体" w:eastAsia="宋体" w:hint="default"/>
                <w:sz w:val="18"/>
                <w:szCs w:val="18"/>
              </w:rPr>
            </w:r>
          </w:p>
        </w:tc>
      </w:tr>
      <w:tr>
        <w:trPr>
          <w:trHeight w:val="305" w:hRule="exact"/>
        </w:trPr>
        <w:tc>
          <w:tcPr>
            <w:tcW w:w="2879" w:type="dxa"/>
            <w:tcBorders>
              <w:top w:val="single" w:sz="8" w:space="0" w:color="000000"/>
              <w:left w:val="nil" w:sz="6" w:space="0" w:color="auto"/>
              <w:bottom w:val="single" w:sz="8"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融资租赁借款</w:t>
            </w:r>
          </w:p>
        </w:tc>
        <w:tc>
          <w:tcPr>
            <w:tcW w:w="3759" w:type="dxa"/>
            <w:tcBorders>
              <w:top w:val="single" w:sz="8" w:space="0" w:color="000000"/>
              <w:left w:val="nil" w:sz="6" w:space="0" w:color="auto"/>
              <w:bottom w:val="single" w:sz="8" w:space="0" w:color="000000"/>
              <w:right w:val="nil" w:sz="6" w:space="0" w:color="auto"/>
            </w:tcBorders>
          </w:tcPr>
          <w:p>
            <w:pPr>
              <w:pStyle w:val="TableParagraph"/>
              <w:spacing w:line="240" w:lineRule="auto" w:before="74"/>
              <w:ind w:right="940"/>
              <w:jc w:val="right"/>
              <w:rPr>
                <w:rFonts w:ascii="Times New Roman" w:hAnsi="Times New Roman" w:cs="Times New Roman" w:eastAsia="Times New Roman" w:hint="default"/>
                <w:sz w:val="18"/>
                <w:szCs w:val="18"/>
              </w:rPr>
            </w:pPr>
            <w:r>
              <w:rPr>
                <w:rFonts w:ascii="Times New Roman"/>
                <w:spacing w:val="-1"/>
                <w:sz w:val="18"/>
              </w:rPr>
              <w:t>113,991,741.52</w:t>
            </w:r>
          </w:p>
        </w:tc>
        <w:tc>
          <w:tcPr>
            <w:tcW w:w="2087" w:type="dxa"/>
            <w:tcBorders>
              <w:top w:val="single" w:sz="8" w:space="0" w:color="000000"/>
              <w:left w:val="nil" w:sz="6" w:space="0" w:color="auto"/>
              <w:bottom w:val="single" w:sz="8" w:space="0" w:color="000000"/>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96,494,533.53</w:t>
            </w:r>
          </w:p>
        </w:tc>
      </w:tr>
      <w:tr>
        <w:trPr>
          <w:trHeight w:val="312" w:hRule="exact"/>
        </w:trPr>
        <w:tc>
          <w:tcPr>
            <w:tcW w:w="2879" w:type="dxa"/>
            <w:tcBorders>
              <w:top w:val="single" w:sz="8"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759" w:type="dxa"/>
            <w:tcBorders>
              <w:top w:val="single" w:sz="8" w:space="0" w:color="000000"/>
              <w:left w:val="nil" w:sz="6" w:space="0" w:color="auto"/>
              <w:bottom w:val="single" w:sz="12" w:space="0" w:color="000000"/>
              <w:right w:val="nil" w:sz="6" w:space="0" w:color="auto"/>
            </w:tcBorders>
          </w:tcPr>
          <w:p>
            <w:pPr>
              <w:pStyle w:val="TableParagraph"/>
              <w:spacing w:line="240" w:lineRule="auto" w:before="79"/>
              <w:ind w:right="940"/>
              <w:jc w:val="right"/>
              <w:rPr>
                <w:rFonts w:ascii="Times New Roman" w:hAnsi="Times New Roman" w:cs="Times New Roman" w:eastAsia="Times New Roman" w:hint="default"/>
                <w:sz w:val="18"/>
                <w:szCs w:val="18"/>
              </w:rPr>
            </w:pPr>
            <w:r>
              <w:rPr>
                <w:rFonts w:ascii="Times New Roman"/>
                <w:b/>
                <w:spacing w:val="-1"/>
                <w:sz w:val="18"/>
              </w:rPr>
              <w:t>113,991,741.52</w:t>
            </w:r>
            <w:r>
              <w:rPr>
                <w:rFonts w:ascii="Times New Roman"/>
                <w:spacing w:val="-1"/>
                <w:sz w:val="18"/>
              </w:rPr>
            </w:r>
          </w:p>
        </w:tc>
        <w:tc>
          <w:tcPr>
            <w:tcW w:w="2087" w:type="dxa"/>
            <w:tcBorders>
              <w:top w:val="single" w:sz="8"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96,494,533.53</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headerReference w:type="default" r:id="rId78"/>
          <w:pgSz w:w="11910" w:h="16840"/>
          <w:pgMar w:header="645" w:footer="816" w:top="1520" w:bottom="1020" w:left="1480" w:right="1480"/>
        </w:sectPr>
      </w:pPr>
    </w:p>
    <w:p>
      <w:pPr>
        <w:spacing w:line="240" w:lineRule="auto" w:before="6"/>
        <w:rPr>
          <w:rFonts w:ascii="宋体" w:hAnsi="宋体" w:cs="宋体" w:eastAsia="宋体" w:hint="default"/>
          <w:sz w:val="5"/>
          <w:szCs w:val="5"/>
        </w:rPr>
      </w:pPr>
    </w:p>
    <w:p>
      <w:pPr>
        <w:spacing w:line="447" w:lineRule="exact"/>
        <w:ind w:left="145"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32.15pt;height:22.35pt;mso-position-horizontal-relative:char;mso-position-vertical-relative:line" coordorigin="0,0" coordsize="8643,447">
            <v:group style="position:absolute;left:68;top:440;width:8567;height:2" coordorigin="68,440" coordsize="8567,2">
              <v:shape style="position:absolute;left:68;top:440;width:8567;height:2" coordorigin="68,440" coordsize="8567,0" path="m68,440l8635,440e" filled="false" stroked="true" strokeweight=".72pt" strokecolor="#000000">
                <v:path arrowok="t"/>
              </v:shape>
              <v:shape style="position:absolute;left:0;top:0;width:1365;height:420" type="#_x0000_t75" stroked="false">
                <v:imagedata r:id="rId35" o:title=""/>
              </v:shape>
            </v:group>
          </v:group>
        </w:pict>
      </w:r>
      <w:r>
        <w:rPr>
          <w:rFonts w:ascii="宋体" w:hAnsi="宋体" w:cs="宋体" w:eastAsia="宋体" w:hint="default"/>
          <w:position w:val="-8"/>
          <w:sz w:val="20"/>
          <w:szCs w:val="20"/>
        </w:rPr>
      </w:r>
    </w:p>
    <w:p>
      <w:pPr>
        <w:spacing w:line="240" w:lineRule="auto" w:before="1"/>
        <w:rPr>
          <w:rFonts w:ascii="宋体" w:hAnsi="宋体" w:cs="宋体" w:eastAsia="宋体" w:hint="default"/>
          <w:sz w:val="22"/>
          <w:szCs w:val="22"/>
        </w:rPr>
      </w:pPr>
    </w:p>
    <w:p>
      <w:pPr>
        <w:spacing w:before="32"/>
        <w:ind w:left="681" w:right="0" w:firstLine="0"/>
        <w:jc w:val="left"/>
        <w:rPr>
          <w:rFonts w:ascii="宋体" w:hAnsi="宋体" w:cs="宋体" w:eastAsia="宋体" w:hint="default"/>
          <w:sz w:val="22"/>
          <w:szCs w:val="22"/>
        </w:rPr>
      </w:pPr>
      <w:r>
        <w:rPr>
          <w:rFonts w:ascii="宋体" w:hAnsi="宋体" w:cs="宋体" w:eastAsia="宋体" w:hint="default"/>
          <w:sz w:val="22"/>
          <w:szCs w:val="22"/>
        </w:rPr>
        <w:t>截至</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日，本公司一年内到期的长期应付款担保情况详见附注十一、</w:t>
      </w:r>
    </w:p>
    <w:p>
      <w:pPr>
        <w:spacing w:before="53"/>
        <w:ind w:left="242" w:right="0" w:firstLine="0"/>
        <w:jc w:val="left"/>
        <w:rPr>
          <w:rFonts w:ascii="宋体" w:hAnsi="宋体" w:cs="宋体" w:eastAsia="宋体" w:hint="default"/>
          <w:sz w:val="22"/>
          <w:szCs w:val="22"/>
        </w:rPr>
      </w:pPr>
      <w:r>
        <w:rPr>
          <w:rFonts w:ascii="宋体" w:hAnsi="宋体" w:cs="宋体" w:eastAsia="宋体" w:hint="default"/>
          <w:sz w:val="22"/>
          <w:szCs w:val="22"/>
        </w:rPr>
        <w:t>（二）、</w:t>
      </w:r>
      <w:r>
        <w:rPr>
          <w:rFonts w:ascii="Times New Roman" w:hAnsi="Times New Roman" w:cs="Times New Roman" w:eastAsia="Times New Roman" w:hint="default"/>
          <w:sz w:val="22"/>
          <w:szCs w:val="22"/>
        </w:rPr>
        <w:t>4</w:t>
      </w:r>
      <w:r>
        <w:rPr>
          <w:rFonts w:ascii="宋体" w:hAnsi="宋体" w:cs="宋体" w:eastAsia="宋体" w:hint="default"/>
          <w:sz w:val="22"/>
          <w:szCs w:val="22"/>
        </w:rPr>
        <w:t>。</w:t>
      </w:r>
    </w:p>
    <w:p>
      <w:pPr>
        <w:spacing w:line="285" w:lineRule="auto" w:before="113"/>
        <w:ind w:left="242" w:right="215" w:firstLine="439"/>
        <w:jc w:val="both"/>
        <w:rPr>
          <w:rFonts w:ascii="宋体" w:hAnsi="宋体" w:cs="宋体" w:eastAsia="宋体" w:hint="default"/>
          <w:sz w:val="22"/>
          <w:szCs w:val="22"/>
        </w:rPr>
      </w:pPr>
      <w:r>
        <w:rPr>
          <w:rFonts w:ascii="宋体" w:hAnsi="宋体" w:cs="宋体" w:eastAsia="宋体" w:hint="default"/>
          <w:sz w:val="22"/>
          <w:szCs w:val="22"/>
        </w:rPr>
        <w:t>截至</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日，本公司一年内到期的长期应付款中质押贷款情况如下：本</w:t>
      </w:r>
      <w:r>
        <w:rPr>
          <w:rFonts w:ascii="宋体" w:hAnsi="宋体" w:cs="宋体" w:eastAsia="宋体" w:hint="default"/>
          <w:w w:val="100"/>
          <w:sz w:val="22"/>
          <w:szCs w:val="22"/>
        </w:rPr>
        <w:t> </w:t>
      </w:r>
      <w:r>
        <w:rPr>
          <w:rFonts w:ascii="宋体" w:hAnsi="宋体" w:cs="宋体" w:eastAsia="宋体" w:hint="default"/>
          <w:spacing w:val="2"/>
          <w:sz w:val="22"/>
          <w:szCs w:val="22"/>
        </w:rPr>
        <w:t>公司之子公司龙江环保集团股份有限公司以部分项目设备通过售后回租方式取得融资租</w:t>
      </w:r>
      <w:r>
        <w:rPr>
          <w:rFonts w:ascii="宋体" w:hAnsi="宋体" w:cs="宋体" w:eastAsia="宋体" w:hint="default"/>
          <w:spacing w:val="-58"/>
          <w:sz w:val="22"/>
          <w:szCs w:val="22"/>
        </w:rPr>
        <w:t> </w:t>
      </w:r>
      <w:r>
        <w:rPr>
          <w:rFonts w:ascii="宋体" w:hAnsi="宋体" w:cs="宋体" w:eastAsia="宋体" w:hint="default"/>
          <w:spacing w:val="-58"/>
          <w:sz w:val="22"/>
          <w:szCs w:val="22"/>
        </w:rPr>
      </w:r>
      <w:r>
        <w:rPr>
          <w:rFonts w:ascii="宋体" w:hAnsi="宋体" w:cs="宋体" w:eastAsia="宋体" w:hint="default"/>
          <w:w w:val="100"/>
          <w:sz w:val="22"/>
          <w:szCs w:val="22"/>
        </w:rPr>
        <w:t>赁借款</w:t>
      </w:r>
      <w:r>
        <w:rPr>
          <w:rFonts w:ascii="宋体" w:hAnsi="宋体" w:cs="宋体" w:eastAsia="宋体" w:hint="default"/>
          <w:spacing w:val="-78"/>
          <w:w w:val="100"/>
          <w:sz w:val="22"/>
          <w:szCs w:val="22"/>
        </w:rPr>
        <w:t> </w:t>
      </w:r>
      <w:r>
        <w:rPr>
          <w:rFonts w:ascii="Times New Roman" w:hAnsi="Times New Roman" w:cs="Times New Roman" w:eastAsia="Times New Roman" w:hint="default"/>
          <w:spacing w:val="-1"/>
          <w:w w:val="100"/>
          <w:sz w:val="22"/>
          <w:szCs w:val="22"/>
        </w:rPr>
        <w:t>20,129,368.08</w:t>
      </w:r>
      <w:r>
        <w:rPr>
          <w:rFonts w:ascii="Times New Roman" w:hAnsi="Times New Roman" w:cs="Times New Roman" w:eastAsia="Times New Roman" w:hint="default"/>
          <w:spacing w:val="-25"/>
          <w:w w:val="100"/>
          <w:sz w:val="22"/>
          <w:szCs w:val="22"/>
        </w:rPr>
        <w:t> </w:t>
      </w:r>
      <w:r>
        <w:rPr>
          <w:rFonts w:ascii="宋体" w:hAnsi="宋体" w:cs="宋体" w:eastAsia="宋体" w:hint="default"/>
          <w:spacing w:val="-5"/>
          <w:w w:val="100"/>
          <w:sz w:val="22"/>
          <w:szCs w:val="22"/>
        </w:rPr>
        <w:t>元，并由其子公司哈尔滨平义龙江环保治水有限责任公司以部分</w:t>
      </w:r>
      <w:r>
        <w:rPr>
          <w:rFonts w:ascii="宋体" w:hAnsi="宋体" w:cs="宋体" w:eastAsia="宋体" w:hint="default"/>
          <w:spacing w:val="-77"/>
          <w:w w:val="100"/>
          <w:sz w:val="22"/>
          <w:szCs w:val="22"/>
        </w:rPr>
        <w:t> </w:t>
      </w:r>
      <w:r>
        <w:rPr>
          <w:rFonts w:ascii="Times New Roman" w:hAnsi="Times New Roman" w:cs="Times New Roman" w:eastAsia="Times New Roman" w:hint="default"/>
          <w:spacing w:val="-1"/>
          <w:w w:val="100"/>
          <w:sz w:val="22"/>
          <w:szCs w:val="22"/>
        </w:rPr>
        <w:t>BOT </w:t>
      </w:r>
      <w:r>
        <w:rPr>
          <w:rFonts w:ascii="宋体" w:hAnsi="宋体" w:cs="宋体" w:eastAsia="宋体" w:hint="default"/>
          <w:sz w:val="22"/>
          <w:szCs w:val="22"/>
        </w:rPr>
        <w:t>项目收费权提供质押担保。</w:t>
      </w:r>
    </w:p>
    <w:p>
      <w:pPr>
        <w:spacing w:before="148"/>
        <w:ind w:left="64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32.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其他流动负债</w:t>
      </w:r>
    </w:p>
    <w:p>
      <w:pPr>
        <w:spacing w:before="113"/>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1"/>
          <w:sz w:val="22"/>
          <w:szCs w:val="22"/>
        </w:rPr>
        <w:t> </w:t>
      </w:r>
      <w:r>
        <w:rPr>
          <w:rFonts w:ascii="宋体" w:hAnsi="宋体" w:cs="宋体" w:eastAsia="宋体" w:hint="default"/>
          <w:sz w:val="22"/>
          <w:szCs w:val="22"/>
        </w:rPr>
        <w:t>其他流动负债分类</w:t>
      </w:r>
    </w:p>
    <w:p>
      <w:pPr>
        <w:spacing w:line="240" w:lineRule="auto" w:before="5"/>
        <w:rPr>
          <w:rFonts w:ascii="宋体" w:hAnsi="宋体" w:cs="宋体" w:eastAsia="宋体" w:hint="default"/>
          <w:sz w:val="11"/>
          <w:szCs w:val="11"/>
        </w:rPr>
      </w:pPr>
    </w:p>
    <w:tbl>
      <w:tblPr>
        <w:tblW w:w="0" w:type="auto"/>
        <w:jc w:val="left"/>
        <w:tblInd w:w="134" w:type="dxa"/>
        <w:tblLayout w:type="fixed"/>
        <w:tblCellMar>
          <w:top w:w="0" w:type="dxa"/>
          <w:left w:w="0" w:type="dxa"/>
          <w:bottom w:w="0" w:type="dxa"/>
          <w:right w:w="0" w:type="dxa"/>
        </w:tblCellMar>
        <w:tblLook w:val="01E0"/>
      </w:tblPr>
      <w:tblGrid>
        <w:gridCol w:w="2818"/>
        <w:gridCol w:w="3715"/>
        <w:gridCol w:w="2193"/>
      </w:tblGrid>
      <w:tr>
        <w:trPr>
          <w:trHeight w:val="305" w:hRule="exact"/>
        </w:trPr>
        <w:tc>
          <w:tcPr>
            <w:tcW w:w="281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71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22"/>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19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295" w:hRule="exact"/>
        </w:trPr>
        <w:tc>
          <w:tcPr>
            <w:tcW w:w="2818"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超短期融资券</w:t>
            </w:r>
          </w:p>
        </w:tc>
        <w:tc>
          <w:tcPr>
            <w:tcW w:w="371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822"/>
              <w:jc w:val="right"/>
              <w:rPr>
                <w:rFonts w:ascii="Times New Roman" w:hAnsi="Times New Roman" w:cs="Times New Roman" w:eastAsia="Times New Roman" w:hint="default"/>
                <w:sz w:val="18"/>
                <w:szCs w:val="18"/>
              </w:rPr>
            </w:pPr>
            <w:r>
              <w:rPr>
                <w:rFonts w:ascii="Times New Roman"/>
                <w:spacing w:val="-1"/>
                <w:sz w:val="18"/>
              </w:rPr>
              <w:t>2,019,407,123.29</w:t>
            </w:r>
          </w:p>
        </w:tc>
        <w:tc>
          <w:tcPr>
            <w:tcW w:w="219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spacing w:val="-1"/>
                <w:sz w:val="18"/>
              </w:rPr>
              <w:t>1,003,164,383.56</w:t>
            </w:r>
          </w:p>
        </w:tc>
      </w:tr>
      <w:tr>
        <w:trPr>
          <w:trHeight w:val="308" w:hRule="exact"/>
        </w:trPr>
        <w:tc>
          <w:tcPr>
            <w:tcW w:w="2818"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71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822"/>
              <w:jc w:val="right"/>
              <w:rPr>
                <w:rFonts w:ascii="Times New Roman" w:hAnsi="Times New Roman" w:cs="Times New Roman" w:eastAsia="Times New Roman" w:hint="default"/>
                <w:sz w:val="18"/>
                <w:szCs w:val="18"/>
              </w:rPr>
            </w:pPr>
            <w:r>
              <w:rPr>
                <w:rFonts w:ascii="Times New Roman"/>
                <w:b/>
                <w:spacing w:val="-1"/>
                <w:sz w:val="18"/>
              </w:rPr>
              <w:t>2,019,407,123.29</w:t>
            </w:r>
            <w:r>
              <w:rPr>
                <w:rFonts w:ascii="Times New Roman"/>
                <w:spacing w:val="-1"/>
                <w:sz w:val="18"/>
              </w:rPr>
            </w:r>
          </w:p>
        </w:tc>
        <w:tc>
          <w:tcPr>
            <w:tcW w:w="219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1,003,164,383.56</w:t>
            </w:r>
            <w:r>
              <w:rPr>
                <w:rFonts w:ascii="Times New Roman"/>
                <w:spacing w:val="-1"/>
                <w:sz w:val="18"/>
              </w:rPr>
            </w:r>
          </w:p>
        </w:tc>
      </w:tr>
    </w:tbl>
    <w:p>
      <w:pPr>
        <w:spacing w:before="81"/>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28"/>
          <w:sz w:val="22"/>
          <w:szCs w:val="22"/>
        </w:rPr>
        <w:t> </w:t>
      </w:r>
      <w:r>
        <w:rPr>
          <w:rFonts w:ascii="宋体" w:hAnsi="宋体" w:cs="宋体" w:eastAsia="宋体" w:hint="default"/>
          <w:sz w:val="22"/>
          <w:szCs w:val="22"/>
        </w:rPr>
        <w:t>其他流动负债情况</w:t>
      </w:r>
    </w:p>
    <w:p>
      <w:pPr>
        <w:spacing w:line="240" w:lineRule="auto" w:before="5"/>
        <w:rPr>
          <w:rFonts w:ascii="宋体" w:hAnsi="宋体" w:cs="宋体" w:eastAsia="宋体" w:hint="default"/>
          <w:sz w:val="11"/>
          <w:szCs w:val="11"/>
        </w:rPr>
      </w:pPr>
    </w:p>
    <w:tbl>
      <w:tblPr>
        <w:tblW w:w="0" w:type="auto"/>
        <w:jc w:val="left"/>
        <w:tblInd w:w="134" w:type="dxa"/>
        <w:tblLayout w:type="fixed"/>
        <w:tblCellMar>
          <w:top w:w="0" w:type="dxa"/>
          <w:left w:w="0" w:type="dxa"/>
          <w:bottom w:w="0" w:type="dxa"/>
          <w:right w:w="0" w:type="dxa"/>
        </w:tblCellMar>
        <w:tblLook w:val="01E0"/>
      </w:tblPr>
      <w:tblGrid>
        <w:gridCol w:w="1962"/>
        <w:gridCol w:w="2095"/>
        <w:gridCol w:w="1366"/>
        <w:gridCol w:w="1489"/>
        <w:gridCol w:w="1814"/>
      </w:tblGrid>
      <w:tr>
        <w:trPr>
          <w:trHeight w:val="307" w:hRule="exact"/>
        </w:trPr>
        <w:tc>
          <w:tcPr>
            <w:tcW w:w="196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债券名称</w:t>
            </w:r>
            <w:r>
              <w:rPr>
                <w:rFonts w:ascii="宋体" w:hAnsi="宋体" w:cs="宋体" w:eastAsia="宋体" w:hint="default"/>
                <w:sz w:val="18"/>
                <w:szCs w:val="18"/>
              </w:rPr>
            </w:r>
          </w:p>
        </w:tc>
        <w:tc>
          <w:tcPr>
            <w:tcW w:w="209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97"/>
              <w:jc w:val="right"/>
              <w:rPr>
                <w:rFonts w:ascii="宋体" w:hAnsi="宋体" w:cs="宋体" w:eastAsia="宋体" w:hint="default"/>
                <w:sz w:val="18"/>
                <w:szCs w:val="18"/>
              </w:rPr>
            </w:pPr>
            <w:r>
              <w:rPr>
                <w:rFonts w:ascii="宋体" w:hAnsi="宋体" w:cs="宋体" w:eastAsia="宋体" w:hint="default"/>
                <w:b/>
                <w:bCs/>
                <w:sz w:val="18"/>
                <w:szCs w:val="18"/>
              </w:rPr>
              <w:t>面值</w:t>
            </w:r>
            <w:r>
              <w:rPr>
                <w:rFonts w:ascii="宋体" w:hAnsi="宋体" w:cs="宋体" w:eastAsia="宋体" w:hint="default"/>
                <w:sz w:val="18"/>
                <w:szCs w:val="18"/>
              </w:rPr>
            </w:r>
          </w:p>
        </w:tc>
        <w:tc>
          <w:tcPr>
            <w:tcW w:w="136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385"/>
              <w:jc w:val="right"/>
              <w:rPr>
                <w:rFonts w:ascii="宋体" w:hAnsi="宋体" w:cs="宋体" w:eastAsia="宋体" w:hint="default"/>
                <w:sz w:val="18"/>
                <w:szCs w:val="18"/>
              </w:rPr>
            </w:pPr>
            <w:r>
              <w:rPr>
                <w:rFonts w:ascii="宋体" w:hAnsi="宋体" w:cs="宋体" w:eastAsia="宋体" w:hint="default"/>
                <w:b/>
                <w:bCs/>
                <w:w w:val="95"/>
                <w:sz w:val="18"/>
                <w:szCs w:val="18"/>
              </w:rPr>
              <w:t>发行日期</w:t>
            </w:r>
            <w:r>
              <w:rPr>
                <w:rFonts w:ascii="宋体" w:hAnsi="宋体" w:cs="宋体" w:eastAsia="宋体" w:hint="default"/>
                <w:sz w:val="18"/>
                <w:szCs w:val="18"/>
              </w:rPr>
            </w:r>
          </w:p>
        </w:tc>
        <w:tc>
          <w:tcPr>
            <w:tcW w:w="148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17"/>
              <w:jc w:val="center"/>
              <w:rPr>
                <w:rFonts w:ascii="宋体" w:hAnsi="宋体" w:cs="宋体" w:eastAsia="宋体" w:hint="default"/>
                <w:sz w:val="18"/>
                <w:szCs w:val="18"/>
              </w:rPr>
            </w:pPr>
            <w:r>
              <w:rPr>
                <w:rFonts w:ascii="宋体" w:hAnsi="宋体" w:cs="宋体" w:eastAsia="宋体" w:hint="default"/>
                <w:b/>
                <w:bCs/>
                <w:sz w:val="18"/>
                <w:szCs w:val="18"/>
              </w:rPr>
              <w:t>债券期限</w:t>
            </w:r>
            <w:r>
              <w:rPr>
                <w:rFonts w:ascii="宋体" w:hAnsi="宋体" w:cs="宋体" w:eastAsia="宋体" w:hint="default"/>
                <w:sz w:val="18"/>
                <w:szCs w:val="18"/>
              </w:rPr>
            </w:r>
          </w:p>
        </w:tc>
        <w:tc>
          <w:tcPr>
            <w:tcW w:w="181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发行金额</w:t>
            </w:r>
            <w:r>
              <w:rPr>
                <w:rFonts w:ascii="宋体" w:hAnsi="宋体" w:cs="宋体" w:eastAsia="宋体" w:hint="default"/>
                <w:sz w:val="18"/>
                <w:szCs w:val="18"/>
              </w:rPr>
            </w:r>
          </w:p>
        </w:tc>
      </w:tr>
      <w:tr>
        <w:trPr>
          <w:trHeight w:val="323" w:hRule="exact"/>
        </w:trPr>
        <w:tc>
          <w:tcPr>
            <w:tcW w:w="1962"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0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14 </w:t>
            </w:r>
            <w:r>
              <w:rPr>
                <w:rFonts w:ascii="宋体" w:hAnsi="宋体" w:cs="宋体" w:eastAsia="宋体" w:hint="default"/>
                <w:sz w:val="18"/>
                <w:szCs w:val="18"/>
              </w:rPr>
              <w:t>同方</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SCP001</w:t>
            </w:r>
          </w:p>
        </w:tc>
        <w:tc>
          <w:tcPr>
            <w:tcW w:w="2095"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99"/>
              <w:jc w:val="right"/>
              <w:rPr>
                <w:rFonts w:ascii="Times New Roman" w:hAnsi="Times New Roman" w:cs="Times New Roman" w:eastAsia="Times New Roman" w:hint="default"/>
                <w:sz w:val="18"/>
                <w:szCs w:val="18"/>
              </w:rPr>
            </w:pPr>
            <w:r>
              <w:rPr>
                <w:rFonts w:ascii="Times New Roman"/>
                <w:spacing w:val="-1"/>
                <w:sz w:val="18"/>
              </w:rPr>
              <w:t>1,000,000,000.00</w:t>
            </w:r>
          </w:p>
        </w:tc>
        <w:tc>
          <w:tcPr>
            <w:tcW w:w="1366"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368"/>
              <w:jc w:val="right"/>
              <w:rPr>
                <w:rFonts w:ascii="Times New Roman" w:hAnsi="Times New Roman" w:cs="Times New Roman" w:eastAsia="Times New Roman" w:hint="default"/>
                <w:sz w:val="18"/>
                <w:szCs w:val="18"/>
              </w:rPr>
            </w:pPr>
            <w:r>
              <w:rPr>
                <w:rFonts w:ascii="Times New Roman"/>
                <w:spacing w:val="-1"/>
                <w:sz w:val="18"/>
              </w:rPr>
              <w:t>2014-12-9</w:t>
            </w:r>
          </w:p>
        </w:tc>
        <w:tc>
          <w:tcPr>
            <w:tcW w:w="1489"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right="118"/>
              <w:jc w:val="center"/>
              <w:rPr>
                <w:rFonts w:ascii="宋体" w:hAnsi="宋体" w:cs="宋体" w:eastAsia="宋体" w:hint="default"/>
                <w:sz w:val="18"/>
                <w:szCs w:val="18"/>
              </w:rPr>
            </w:pPr>
            <w:r>
              <w:rPr>
                <w:rFonts w:ascii="Times New Roman" w:hAnsi="Times New Roman" w:cs="Times New Roman" w:eastAsia="Times New Roman" w:hint="default"/>
                <w:sz w:val="18"/>
                <w:szCs w:val="18"/>
              </w:rPr>
              <w:t>270 </w:t>
            </w:r>
            <w:r>
              <w:rPr>
                <w:rFonts w:ascii="宋体" w:hAnsi="宋体" w:cs="宋体" w:eastAsia="宋体" w:hint="default"/>
                <w:sz w:val="18"/>
                <w:szCs w:val="18"/>
              </w:rPr>
              <w:t>天</w:t>
            </w:r>
          </w:p>
        </w:tc>
        <w:tc>
          <w:tcPr>
            <w:tcW w:w="1814"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8"/>
              <w:jc w:val="right"/>
              <w:rPr>
                <w:rFonts w:ascii="Times New Roman" w:hAnsi="Times New Roman" w:cs="Times New Roman" w:eastAsia="Times New Roman" w:hint="default"/>
                <w:sz w:val="18"/>
                <w:szCs w:val="18"/>
              </w:rPr>
            </w:pPr>
            <w:r>
              <w:rPr>
                <w:rFonts w:ascii="Times New Roman"/>
                <w:spacing w:val="-1"/>
                <w:sz w:val="18"/>
              </w:rPr>
              <w:t>1,000,000,000.00</w:t>
            </w:r>
          </w:p>
        </w:tc>
      </w:tr>
      <w:tr>
        <w:trPr>
          <w:trHeight w:val="286" w:hRule="exact"/>
        </w:trPr>
        <w:tc>
          <w:tcPr>
            <w:tcW w:w="1962" w:type="dxa"/>
            <w:tcBorders>
              <w:top w:val="nil" w:sz="6" w:space="0" w:color="auto"/>
              <w:left w:val="nil" w:sz="6" w:space="0" w:color="auto"/>
              <w:bottom w:val="nil" w:sz="6" w:space="0" w:color="auto"/>
              <w:right w:val="nil" w:sz="6" w:space="0" w:color="auto"/>
            </w:tcBorders>
          </w:tcPr>
          <w:p>
            <w:pPr>
              <w:pStyle w:val="TableParagraph"/>
              <w:spacing w:line="237" w:lineRule="exact"/>
              <w:ind w:left="10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 </w:t>
            </w:r>
            <w:r>
              <w:rPr>
                <w:rFonts w:ascii="宋体" w:hAnsi="宋体" w:cs="宋体" w:eastAsia="宋体" w:hint="default"/>
                <w:sz w:val="18"/>
                <w:szCs w:val="18"/>
              </w:rPr>
              <w:t>同方</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SCP001</w:t>
            </w:r>
          </w:p>
        </w:tc>
        <w:tc>
          <w:tcPr>
            <w:tcW w:w="20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99"/>
              <w:jc w:val="right"/>
              <w:rPr>
                <w:rFonts w:ascii="Times New Roman" w:hAnsi="Times New Roman" w:cs="Times New Roman" w:eastAsia="Times New Roman" w:hint="default"/>
                <w:sz w:val="18"/>
                <w:szCs w:val="18"/>
              </w:rPr>
            </w:pPr>
            <w:r>
              <w:rPr>
                <w:rFonts w:ascii="Times New Roman"/>
                <w:spacing w:val="-1"/>
                <w:sz w:val="18"/>
              </w:rPr>
              <w:t>2,000,000,000.00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71"/>
              <w:jc w:val="right"/>
              <w:rPr>
                <w:rFonts w:ascii="Times New Roman" w:hAnsi="Times New Roman" w:cs="Times New Roman" w:eastAsia="Times New Roman" w:hint="default"/>
                <w:sz w:val="18"/>
                <w:szCs w:val="18"/>
              </w:rPr>
            </w:pPr>
            <w:r>
              <w:rPr>
                <w:rFonts w:ascii="Times New Roman"/>
                <w:spacing w:val="-1"/>
                <w:sz w:val="18"/>
              </w:rPr>
              <w:t>2015-2-10</w:t>
            </w:r>
            <w:r>
              <w:rPr>
                <w:rFonts w:ascii="Times New Roman"/>
                <w:sz w:val="18"/>
              </w:rPr>
            </w:r>
          </w:p>
        </w:tc>
        <w:tc>
          <w:tcPr>
            <w:tcW w:w="1489" w:type="dxa"/>
            <w:tcBorders>
              <w:top w:val="nil" w:sz="6" w:space="0" w:color="auto"/>
              <w:left w:val="nil" w:sz="6" w:space="0" w:color="auto"/>
              <w:bottom w:val="nil" w:sz="6" w:space="0" w:color="auto"/>
              <w:right w:val="nil" w:sz="6" w:space="0" w:color="auto"/>
            </w:tcBorders>
          </w:tcPr>
          <w:p>
            <w:pPr>
              <w:pStyle w:val="TableParagraph"/>
              <w:spacing w:line="237" w:lineRule="exact"/>
              <w:ind w:right="114"/>
              <w:jc w:val="center"/>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天</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2,000,000,000.00</w:t>
            </w:r>
          </w:p>
        </w:tc>
      </w:tr>
      <w:tr>
        <w:trPr>
          <w:trHeight w:val="286" w:hRule="exact"/>
        </w:trPr>
        <w:tc>
          <w:tcPr>
            <w:tcW w:w="1962" w:type="dxa"/>
            <w:tcBorders>
              <w:top w:val="nil" w:sz="6" w:space="0" w:color="auto"/>
              <w:left w:val="nil" w:sz="6" w:space="0" w:color="auto"/>
              <w:bottom w:val="nil" w:sz="6" w:space="0" w:color="auto"/>
              <w:right w:val="nil" w:sz="6" w:space="0" w:color="auto"/>
            </w:tcBorders>
          </w:tcPr>
          <w:p>
            <w:pPr>
              <w:pStyle w:val="TableParagraph"/>
              <w:spacing w:line="237" w:lineRule="exact"/>
              <w:ind w:left="10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 </w:t>
            </w:r>
            <w:r>
              <w:rPr>
                <w:rFonts w:ascii="宋体" w:hAnsi="宋体" w:cs="宋体" w:eastAsia="宋体" w:hint="default"/>
                <w:sz w:val="18"/>
                <w:szCs w:val="18"/>
              </w:rPr>
              <w:t>同方</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SCP002</w:t>
            </w:r>
          </w:p>
        </w:tc>
        <w:tc>
          <w:tcPr>
            <w:tcW w:w="20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99"/>
              <w:jc w:val="right"/>
              <w:rPr>
                <w:rFonts w:ascii="Times New Roman" w:hAnsi="Times New Roman" w:cs="Times New Roman" w:eastAsia="Times New Roman" w:hint="default"/>
                <w:sz w:val="18"/>
                <w:szCs w:val="18"/>
              </w:rPr>
            </w:pPr>
            <w:r>
              <w:rPr>
                <w:rFonts w:ascii="Times New Roman"/>
                <w:spacing w:val="-1"/>
                <w:sz w:val="18"/>
              </w:rPr>
              <w:t>1,000,000,000.00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14"/>
              <w:jc w:val="right"/>
              <w:rPr>
                <w:rFonts w:ascii="Times New Roman" w:hAnsi="Times New Roman" w:cs="Times New Roman" w:eastAsia="Times New Roman" w:hint="default"/>
                <w:sz w:val="18"/>
                <w:szCs w:val="18"/>
              </w:rPr>
            </w:pPr>
            <w:r>
              <w:rPr>
                <w:rFonts w:ascii="Times New Roman"/>
                <w:spacing w:val="-1"/>
                <w:sz w:val="18"/>
              </w:rPr>
              <w:t>2015-4-3</w:t>
            </w:r>
          </w:p>
        </w:tc>
        <w:tc>
          <w:tcPr>
            <w:tcW w:w="1489" w:type="dxa"/>
            <w:tcBorders>
              <w:top w:val="nil" w:sz="6" w:space="0" w:color="auto"/>
              <w:left w:val="nil" w:sz="6" w:space="0" w:color="auto"/>
              <w:bottom w:val="nil" w:sz="6" w:space="0" w:color="auto"/>
              <w:right w:val="nil" w:sz="6" w:space="0" w:color="auto"/>
            </w:tcBorders>
          </w:tcPr>
          <w:p>
            <w:pPr>
              <w:pStyle w:val="TableParagraph"/>
              <w:spacing w:line="237" w:lineRule="exact"/>
              <w:ind w:right="118"/>
              <w:jc w:val="center"/>
              <w:rPr>
                <w:rFonts w:ascii="宋体" w:hAnsi="宋体" w:cs="宋体" w:eastAsia="宋体" w:hint="default"/>
                <w:sz w:val="18"/>
                <w:szCs w:val="18"/>
              </w:rPr>
            </w:pPr>
            <w:r>
              <w:rPr>
                <w:rFonts w:ascii="Times New Roman" w:hAnsi="Times New Roman" w:cs="Times New Roman" w:eastAsia="Times New Roman" w:hint="default"/>
                <w:sz w:val="18"/>
                <w:szCs w:val="18"/>
              </w:rPr>
              <w:t>270 </w:t>
            </w:r>
            <w:r>
              <w:rPr>
                <w:rFonts w:ascii="宋体" w:hAnsi="宋体" w:cs="宋体" w:eastAsia="宋体" w:hint="default"/>
                <w:sz w:val="18"/>
                <w:szCs w:val="18"/>
              </w:rPr>
              <w:t>天</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1,000,000,000.00</w:t>
            </w:r>
          </w:p>
        </w:tc>
      </w:tr>
      <w:tr>
        <w:trPr>
          <w:trHeight w:val="284" w:hRule="exact"/>
        </w:trPr>
        <w:tc>
          <w:tcPr>
            <w:tcW w:w="1962" w:type="dxa"/>
            <w:tcBorders>
              <w:top w:val="nil" w:sz="6" w:space="0" w:color="auto"/>
              <w:left w:val="nil" w:sz="6" w:space="0" w:color="auto"/>
              <w:bottom w:val="nil" w:sz="6" w:space="0" w:color="auto"/>
              <w:right w:val="nil" w:sz="6" w:space="0" w:color="auto"/>
            </w:tcBorders>
          </w:tcPr>
          <w:p>
            <w:pPr>
              <w:pStyle w:val="TableParagraph"/>
              <w:spacing w:line="237" w:lineRule="exact"/>
              <w:ind w:left="10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 </w:t>
            </w:r>
            <w:r>
              <w:rPr>
                <w:rFonts w:ascii="宋体" w:hAnsi="宋体" w:cs="宋体" w:eastAsia="宋体" w:hint="default"/>
                <w:sz w:val="18"/>
                <w:szCs w:val="18"/>
              </w:rPr>
              <w:t>同方</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SCP003</w:t>
            </w:r>
          </w:p>
        </w:tc>
        <w:tc>
          <w:tcPr>
            <w:tcW w:w="20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99"/>
              <w:jc w:val="right"/>
              <w:rPr>
                <w:rFonts w:ascii="Times New Roman" w:hAnsi="Times New Roman" w:cs="Times New Roman" w:eastAsia="Times New Roman" w:hint="default"/>
                <w:sz w:val="18"/>
                <w:szCs w:val="18"/>
              </w:rPr>
            </w:pPr>
            <w:r>
              <w:rPr>
                <w:rFonts w:ascii="Times New Roman"/>
                <w:spacing w:val="-1"/>
                <w:sz w:val="18"/>
              </w:rPr>
              <w:t>1,000,000,000.00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71"/>
              <w:jc w:val="right"/>
              <w:rPr>
                <w:rFonts w:ascii="Times New Roman" w:hAnsi="Times New Roman" w:cs="Times New Roman" w:eastAsia="Times New Roman" w:hint="default"/>
                <w:sz w:val="18"/>
                <w:szCs w:val="18"/>
              </w:rPr>
            </w:pPr>
            <w:r>
              <w:rPr>
                <w:rFonts w:ascii="Times New Roman"/>
                <w:spacing w:val="-1"/>
                <w:sz w:val="18"/>
              </w:rPr>
              <w:t>2015-8-13</w:t>
            </w:r>
            <w:r>
              <w:rPr>
                <w:rFonts w:ascii="Times New Roman"/>
                <w:sz w:val="18"/>
              </w:rPr>
            </w:r>
          </w:p>
        </w:tc>
        <w:tc>
          <w:tcPr>
            <w:tcW w:w="1489" w:type="dxa"/>
            <w:tcBorders>
              <w:top w:val="nil" w:sz="6" w:space="0" w:color="auto"/>
              <w:left w:val="nil" w:sz="6" w:space="0" w:color="auto"/>
              <w:bottom w:val="nil" w:sz="6" w:space="0" w:color="auto"/>
              <w:right w:val="nil" w:sz="6" w:space="0" w:color="auto"/>
            </w:tcBorders>
          </w:tcPr>
          <w:p>
            <w:pPr>
              <w:pStyle w:val="TableParagraph"/>
              <w:spacing w:line="237" w:lineRule="exact"/>
              <w:ind w:right="118"/>
              <w:jc w:val="center"/>
              <w:rPr>
                <w:rFonts w:ascii="宋体" w:hAnsi="宋体" w:cs="宋体" w:eastAsia="宋体" w:hint="default"/>
                <w:sz w:val="18"/>
                <w:szCs w:val="18"/>
              </w:rPr>
            </w:pPr>
            <w:r>
              <w:rPr>
                <w:rFonts w:ascii="Times New Roman" w:hAnsi="Times New Roman" w:cs="Times New Roman" w:eastAsia="Times New Roman" w:hint="default"/>
                <w:sz w:val="18"/>
                <w:szCs w:val="18"/>
              </w:rPr>
              <w:t>270 </w:t>
            </w:r>
            <w:r>
              <w:rPr>
                <w:rFonts w:ascii="宋体" w:hAnsi="宋体" w:cs="宋体" w:eastAsia="宋体" w:hint="default"/>
                <w:sz w:val="18"/>
                <w:szCs w:val="18"/>
              </w:rPr>
              <w:t>天</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1,000,000,000.00</w:t>
            </w:r>
          </w:p>
        </w:tc>
      </w:tr>
      <w:tr>
        <w:trPr>
          <w:trHeight w:val="257" w:hRule="exact"/>
        </w:trPr>
        <w:tc>
          <w:tcPr>
            <w:tcW w:w="1962" w:type="dxa"/>
            <w:tcBorders>
              <w:top w:val="nil" w:sz="6" w:space="0" w:color="auto"/>
              <w:left w:val="nil" w:sz="6" w:space="0" w:color="auto"/>
              <w:bottom w:val="single" w:sz="4" w:space="0" w:color="000000"/>
              <w:right w:val="nil" w:sz="6" w:space="0" w:color="auto"/>
            </w:tcBorders>
          </w:tcPr>
          <w:p>
            <w:pPr>
              <w:pStyle w:val="TableParagraph"/>
              <w:spacing w:line="235" w:lineRule="exact"/>
              <w:ind w:left="10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 </w:t>
            </w:r>
            <w:r>
              <w:rPr>
                <w:rFonts w:ascii="宋体" w:hAnsi="宋体" w:cs="宋体" w:eastAsia="宋体" w:hint="default"/>
                <w:sz w:val="18"/>
                <w:szCs w:val="18"/>
              </w:rPr>
              <w:t>同方</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SCP004</w:t>
            </w:r>
          </w:p>
        </w:tc>
        <w:tc>
          <w:tcPr>
            <w:tcW w:w="2095"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99"/>
              <w:jc w:val="right"/>
              <w:rPr>
                <w:rFonts w:ascii="Times New Roman" w:hAnsi="Times New Roman" w:cs="Times New Roman" w:eastAsia="Times New Roman" w:hint="default"/>
                <w:sz w:val="18"/>
                <w:szCs w:val="18"/>
              </w:rPr>
            </w:pPr>
            <w:r>
              <w:rPr>
                <w:rFonts w:ascii="Times New Roman"/>
                <w:spacing w:val="-1"/>
                <w:sz w:val="18"/>
              </w:rPr>
              <w:t>1,000,000,000.00</w:t>
            </w:r>
          </w:p>
        </w:tc>
        <w:tc>
          <w:tcPr>
            <w:tcW w:w="1366"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323"/>
              <w:jc w:val="right"/>
              <w:rPr>
                <w:rFonts w:ascii="Times New Roman" w:hAnsi="Times New Roman" w:cs="Times New Roman" w:eastAsia="Times New Roman" w:hint="default"/>
                <w:sz w:val="18"/>
                <w:szCs w:val="18"/>
              </w:rPr>
            </w:pPr>
            <w:r>
              <w:rPr>
                <w:rFonts w:ascii="Times New Roman"/>
                <w:spacing w:val="-1"/>
                <w:sz w:val="18"/>
              </w:rPr>
              <w:t>2015-10-16</w:t>
            </w:r>
            <w:r>
              <w:rPr>
                <w:rFonts w:ascii="Times New Roman"/>
                <w:sz w:val="18"/>
              </w:rPr>
            </w:r>
          </w:p>
        </w:tc>
        <w:tc>
          <w:tcPr>
            <w:tcW w:w="1489" w:type="dxa"/>
            <w:tcBorders>
              <w:top w:val="nil" w:sz="6" w:space="0" w:color="auto"/>
              <w:left w:val="nil" w:sz="6" w:space="0" w:color="auto"/>
              <w:bottom w:val="single" w:sz="4" w:space="0" w:color="000000"/>
              <w:right w:val="nil" w:sz="6" w:space="0" w:color="auto"/>
            </w:tcBorders>
          </w:tcPr>
          <w:p>
            <w:pPr>
              <w:pStyle w:val="TableParagraph"/>
              <w:spacing w:line="235" w:lineRule="exact"/>
              <w:ind w:right="118"/>
              <w:jc w:val="center"/>
              <w:rPr>
                <w:rFonts w:ascii="宋体" w:hAnsi="宋体" w:cs="宋体" w:eastAsia="宋体" w:hint="default"/>
                <w:sz w:val="18"/>
                <w:szCs w:val="18"/>
              </w:rPr>
            </w:pPr>
            <w:r>
              <w:rPr>
                <w:rFonts w:ascii="Times New Roman" w:hAnsi="Times New Roman" w:cs="Times New Roman" w:eastAsia="Times New Roman" w:hint="default"/>
                <w:sz w:val="18"/>
                <w:szCs w:val="18"/>
              </w:rPr>
              <w:t>270 </w:t>
            </w:r>
            <w:r>
              <w:rPr>
                <w:rFonts w:ascii="宋体" w:hAnsi="宋体" w:cs="宋体" w:eastAsia="宋体" w:hint="default"/>
                <w:sz w:val="18"/>
                <w:szCs w:val="18"/>
              </w:rPr>
              <w:t>天</w:t>
            </w:r>
          </w:p>
        </w:tc>
        <w:tc>
          <w:tcPr>
            <w:tcW w:w="1814"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1,000,000,000.00</w:t>
            </w:r>
          </w:p>
        </w:tc>
      </w:tr>
      <w:tr>
        <w:trPr>
          <w:trHeight w:val="305" w:hRule="exact"/>
        </w:trPr>
        <w:tc>
          <w:tcPr>
            <w:tcW w:w="1962"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095"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99"/>
              <w:jc w:val="right"/>
              <w:rPr>
                <w:rFonts w:ascii="Times New Roman" w:hAnsi="Times New Roman" w:cs="Times New Roman" w:eastAsia="Times New Roman" w:hint="default"/>
                <w:sz w:val="18"/>
                <w:szCs w:val="18"/>
              </w:rPr>
            </w:pPr>
            <w:r>
              <w:rPr>
                <w:rFonts w:ascii="Times New Roman"/>
                <w:b/>
                <w:spacing w:val="-1"/>
                <w:sz w:val="18"/>
              </w:rPr>
              <w:t>6,000,000,000.00</w:t>
            </w:r>
            <w:r>
              <w:rPr>
                <w:rFonts w:ascii="Times New Roman"/>
                <w:spacing w:val="-1"/>
                <w:sz w:val="18"/>
              </w:rPr>
            </w:r>
          </w:p>
        </w:tc>
        <w:tc>
          <w:tcPr>
            <w:tcW w:w="1366" w:type="dxa"/>
            <w:tcBorders>
              <w:top w:val="single" w:sz="4" w:space="0" w:color="000000"/>
              <w:left w:val="nil" w:sz="6" w:space="0" w:color="auto"/>
              <w:bottom w:val="single" w:sz="12" w:space="0" w:color="000000"/>
              <w:right w:val="nil" w:sz="6" w:space="0" w:color="auto"/>
            </w:tcBorders>
          </w:tcPr>
          <w:p>
            <w:pPr>
              <w:pStyle w:val="TableParagraph"/>
              <w:spacing w:line="240" w:lineRule="auto" w:before="72"/>
              <w:ind w:right="127"/>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489" w:type="dxa"/>
            <w:tcBorders>
              <w:top w:val="single" w:sz="4" w:space="0" w:color="000000"/>
              <w:left w:val="nil" w:sz="6" w:space="0" w:color="auto"/>
              <w:bottom w:val="single" w:sz="12" w:space="0" w:color="000000"/>
              <w:right w:val="nil" w:sz="6" w:space="0" w:color="auto"/>
            </w:tcBorders>
          </w:tcPr>
          <w:p>
            <w:pPr>
              <w:pStyle w:val="TableParagraph"/>
              <w:spacing w:line="240" w:lineRule="auto" w:before="72"/>
              <w:ind w:right="118"/>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814"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8"/>
              <w:jc w:val="right"/>
              <w:rPr>
                <w:rFonts w:ascii="Times New Roman" w:hAnsi="Times New Roman" w:cs="Times New Roman" w:eastAsia="Times New Roman" w:hint="default"/>
                <w:sz w:val="18"/>
                <w:szCs w:val="18"/>
              </w:rPr>
            </w:pPr>
            <w:r>
              <w:rPr>
                <w:rFonts w:ascii="Times New Roman"/>
                <w:b/>
                <w:spacing w:val="-1"/>
                <w:sz w:val="18"/>
              </w:rPr>
              <w:t>6,000,000,000.00</w:t>
            </w:r>
            <w:r>
              <w:rPr>
                <w:rFonts w:ascii="Times New Roman"/>
                <w:spacing w:val="-1"/>
                <w:sz w:val="18"/>
              </w:rPr>
            </w:r>
          </w:p>
        </w:tc>
      </w:tr>
    </w:tbl>
    <w:p>
      <w:pPr>
        <w:spacing w:before="81"/>
        <w:ind w:left="242" w:right="0" w:firstLine="0"/>
        <w:jc w:val="left"/>
        <w:rPr>
          <w:rFonts w:ascii="宋体" w:hAnsi="宋体" w:cs="宋体" w:eastAsia="宋体" w:hint="default"/>
          <w:sz w:val="22"/>
          <w:szCs w:val="22"/>
        </w:rPr>
      </w:pPr>
      <w:r>
        <w:rPr>
          <w:rFonts w:ascii="宋体" w:hAnsi="宋体" w:cs="宋体" w:eastAsia="宋体" w:hint="default"/>
          <w:sz w:val="22"/>
          <w:szCs w:val="22"/>
        </w:rPr>
        <w:t>（续）</w:t>
      </w:r>
    </w:p>
    <w:p>
      <w:pPr>
        <w:spacing w:line="240" w:lineRule="auto" w:before="11"/>
        <w:rPr>
          <w:rFonts w:ascii="宋体" w:hAnsi="宋体" w:cs="宋体" w:eastAsia="宋体" w:hint="default"/>
          <w:sz w:val="12"/>
          <w:szCs w:val="12"/>
        </w:rPr>
      </w:pPr>
    </w:p>
    <w:tbl>
      <w:tblPr>
        <w:tblW w:w="0" w:type="auto"/>
        <w:jc w:val="left"/>
        <w:tblInd w:w="102" w:type="dxa"/>
        <w:tblLayout w:type="fixed"/>
        <w:tblCellMar>
          <w:top w:w="0" w:type="dxa"/>
          <w:left w:w="0" w:type="dxa"/>
          <w:bottom w:w="0" w:type="dxa"/>
          <w:right w:w="0" w:type="dxa"/>
        </w:tblCellMar>
        <w:tblLook w:val="01E0"/>
      </w:tblPr>
      <w:tblGrid>
        <w:gridCol w:w="1422"/>
        <w:gridCol w:w="1395"/>
        <w:gridCol w:w="1247"/>
        <w:gridCol w:w="1251"/>
        <w:gridCol w:w="929"/>
        <w:gridCol w:w="1256"/>
        <w:gridCol w:w="1252"/>
      </w:tblGrid>
      <w:tr>
        <w:trPr>
          <w:trHeight w:val="305" w:hRule="exact"/>
        </w:trPr>
        <w:tc>
          <w:tcPr>
            <w:tcW w:w="1422" w:type="dxa"/>
            <w:tcBorders>
              <w:top w:val="single" w:sz="12" w:space="0" w:color="000000"/>
              <w:left w:val="nil" w:sz="6" w:space="0" w:color="auto"/>
              <w:bottom w:val="single" w:sz="4" w:space="0" w:color="000000"/>
              <w:right w:val="nil" w:sz="6" w:space="0" w:color="auto"/>
            </w:tcBorders>
          </w:tcPr>
          <w:p>
            <w:pPr>
              <w:pStyle w:val="TableParagraph"/>
              <w:spacing w:line="240" w:lineRule="auto" w:before="12"/>
              <w:ind w:left="26" w:right="0"/>
              <w:jc w:val="left"/>
              <w:rPr>
                <w:rFonts w:ascii="宋体" w:hAnsi="宋体" w:cs="宋体" w:eastAsia="宋体" w:hint="default"/>
                <w:sz w:val="16"/>
                <w:szCs w:val="16"/>
              </w:rPr>
            </w:pPr>
            <w:r>
              <w:rPr>
                <w:rFonts w:ascii="宋体" w:hAnsi="宋体" w:cs="宋体" w:eastAsia="宋体" w:hint="default"/>
                <w:b/>
                <w:bCs/>
                <w:sz w:val="16"/>
                <w:szCs w:val="16"/>
              </w:rPr>
              <w:t>债券名称</w:t>
            </w:r>
            <w:r>
              <w:rPr>
                <w:rFonts w:ascii="宋体" w:hAnsi="宋体" w:cs="宋体" w:eastAsia="宋体" w:hint="default"/>
                <w:sz w:val="16"/>
                <w:szCs w:val="16"/>
              </w:rPr>
            </w:r>
          </w:p>
        </w:tc>
        <w:tc>
          <w:tcPr>
            <w:tcW w:w="1395" w:type="dxa"/>
            <w:tcBorders>
              <w:top w:val="single" w:sz="12" w:space="0" w:color="000000"/>
              <w:left w:val="nil" w:sz="6" w:space="0" w:color="auto"/>
              <w:bottom w:val="single" w:sz="4" w:space="0" w:color="000000"/>
              <w:right w:val="nil" w:sz="6" w:space="0" w:color="auto"/>
            </w:tcBorders>
          </w:tcPr>
          <w:p>
            <w:pPr>
              <w:pStyle w:val="TableParagraph"/>
              <w:spacing w:line="240" w:lineRule="auto" w:before="12"/>
              <w:ind w:right="95"/>
              <w:jc w:val="right"/>
              <w:rPr>
                <w:rFonts w:ascii="宋体" w:hAnsi="宋体" w:cs="宋体" w:eastAsia="宋体" w:hint="default"/>
                <w:sz w:val="16"/>
                <w:szCs w:val="16"/>
              </w:rPr>
            </w:pPr>
            <w:r>
              <w:rPr>
                <w:rFonts w:ascii="宋体" w:hAnsi="宋体" w:cs="宋体" w:eastAsia="宋体" w:hint="default"/>
                <w:b/>
                <w:bCs/>
                <w:sz w:val="16"/>
                <w:szCs w:val="16"/>
              </w:rPr>
              <w:t>年初余额</w:t>
            </w:r>
            <w:r>
              <w:rPr>
                <w:rFonts w:ascii="宋体" w:hAnsi="宋体" w:cs="宋体" w:eastAsia="宋体" w:hint="default"/>
                <w:sz w:val="16"/>
                <w:szCs w:val="16"/>
              </w:rPr>
            </w:r>
          </w:p>
        </w:tc>
        <w:tc>
          <w:tcPr>
            <w:tcW w:w="1247" w:type="dxa"/>
            <w:tcBorders>
              <w:top w:val="single" w:sz="12" w:space="0" w:color="000000"/>
              <w:left w:val="nil" w:sz="6" w:space="0" w:color="auto"/>
              <w:bottom w:val="single" w:sz="4" w:space="0" w:color="000000"/>
              <w:right w:val="nil" w:sz="6" w:space="0" w:color="auto"/>
            </w:tcBorders>
          </w:tcPr>
          <w:p>
            <w:pPr>
              <w:pStyle w:val="TableParagraph"/>
              <w:spacing w:line="240" w:lineRule="auto" w:before="12"/>
              <w:ind w:right="27"/>
              <w:jc w:val="right"/>
              <w:rPr>
                <w:rFonts w:ascii="宋体" w:hAnsi="宋体" w:cs="宋体" w:eastAsia="宋体" w:hint="default"/>
                <w:sz w:val="16"/>
                <w:szCs w:val="16"/>
              </w:rPr>
            </w:pPr>
            <w:r>
              <w:rPr>
                <w:rFonts w:ascii="宋体" w:hAnsi="宋体" w:cs="宋体" w:eastAsia="宋体" w:hint="default"/>
                <w:b/>
                <w:bCs/>
                <w:sz w:val="16"/>
                <w:szCs w:val="16"/>
              </w:rPr>
              <w:t>本年发行</w:t>
            </w:r>
            <w:r>
              <w:rPr>
                <w:rFonts w:ascii="宋体" w:hAnsi="宋体" w:cs="宋体" w:eastAsia="宋体" w:hint="default"/>
                <w:sz w:val="16"/>
                <w:szCs w:val="16"/>
              </w:rPr>
            </w:r>
          </w:p>
        </w:tc>
        <w:tc>
          <w:tcPr>
            <w:tcW w:w="1251" w:type="dxa"/>
            <w:tcBorders>
              <w:top w:val="single" w:sz="12" w:space="0" w:color="000000"/>
              <w:left w:val="nil" w:sz="6" w:space="0" w:color="auto"/>
              <w:bottom w:val="single" w:sz="4" w:space="0" w:color="000000"/>
              <w:right w:val="nil" w:sz="6" w:space="0" w:color="auto"/>
            </w:tcBorders>
          </w:tcPr>
          <w:p>
            <w:pPr>
              <w:pStyle w:val="TableParagraph"/>
              <w:spacing w:line="240" w:lineRule="auto" w:before="12"/>
              <w:ind w:right="94"/>
              <w:jc w:val="right"/>
              <w:rPr>
                <w:rFonts w:ascii="宋体" w:hAnsi="宋体" w:cs="宋体" w:eastAsia="宋体" w:hint="default"/>
                <w:sz w:val="16"/>
                <w:szCs w:val="16"/>
              </w:rPr>
            </w:pPr>
            <w:r>
              <w:rPr>
                <w:rFonts w:ascii="宋体" w:hAnsi="宋体" w:cs="宋体" w:eastAsia="宋体" w:hint="default"/>
                <w:b/>
                <w:bCs/>
                <w:sz w:val="16"/>
                <w:szCs w:val="16"/>
              </w:rPr>
              <w:t>按面值计提利息</w:t>
            </w:r>
            <w:r>
              <w:rPr>
                <w:rFonts w:ascii="宋体" w:hAnsi="宋体" w:cs="宋体" w:eastAsia="宋体" w:hint="default"/>
                <w:sz w:val="16"/>
                <w:szCs w:val="16"/>
              </w:rPr>
            </w:r>
          </w:p>
        </w:tc>
        <w:tc>
          <w:tcPr>
            <w:tcW w:w="929" w:type="dxa"/>
            <w:tcBorders>
              <w:top w:val="single" w:sz="12" w:space="0" w:color="000000"/>
              <w:left w:val="nil" w:sz="6" w:space="0" w:color="auto"/>
              <w:bottom w:val="single" w:sz="4" w:space="0" w:color="000000"/>
              <w:right w:val="nil" w:sz="6" w:space="0" w:color="auto"/>
            </w:tcBorders>
          </w:tcPr>
          <w:p>
            <w:pPr>
              <w:pStyle w:val="TableParagraph"/>
              <w:spacing w:line="240" w:lineRule="auto" w:before="12"/>
              <w:ind w:right="29"/>
              <w:jc w:val="right"/>
              <w:rPr>
                <w:rFonts w:ascii="宋体" w:hAnsi="宋体" w:cs="宋体" w:eastAsia="宋体" w:hint="default"/>
                <w:sz w:val="16"/>
                <w:szCs w:val="16"/>
              </w:rPr>
            </w:pPr>
            <w:r>
              <w:rPr>
                <w:rFonts w:ascii="宋体" w:hAnsi="宋体" w:cs="宋体" w:eastAsia="宋体" w:hint="default"/>
                <w:b/>
                <w:bCs/>
                <w:sz w:val="16"/>
                <w:szCs w:val="16"/>
              </w:rPr>
              <w:t>溢折价摊销</w:t>
            </w:r>
            <w:r>
              <w:rPr>
                <w:rFonts w:ascii="宋体" w:hAnsi="宋体" w:cs="宋体" w:eastAsia="宋体" w:hint="default"/>
                <w:sz w:val="16"/>
                <w:szCs w:val="16"/>
              </w:rPr>
            </w:r>
          </w:p>
        </w:tc>
        <w:tc>
          <w:tcPr>
            <w:tcW w:w="1256" w:type="dxa"/>
            <w:tcBorders>
              <w:top w:val="single" w:sz="12" w:space="0" w:color="000000"/>
              <w:left w:val="nil" w:sz="6" w:space="0" w:color="auto"/>
              <w:bottom w:val="single" w:sz="4" w:space="0" w:color="000000"/>
              <w:right w:val="nil" w:sz="6" w:space="0" w:color="auto"/>
            </w:tcBorders>
          </w:tcPr>
          <w:p>
            <w:pPr>
              <w:pStyle w:val="TableParagraph"/>
              <w:spacing w:line="240" w:lineRule="auto" w:before="12"/>
              <w:ind w:right="102"/>
              <w:jc w:val="right"/>
              <w:rPr>
                <w:rFonts w:ascii="宋体" w:hAnsi="宋体" w:cs="宋体" w:eastAsia="宋体" w:hint="default"/>
                <w:sz w:val="16"/>
                <w:szCs w:val="16"/>
              </w:rPr>
            </w:pPr>
            <w:r>
              <w:rPr>
                <w:rFonts w:ascii="宋体" w:hAnsi="宋体" w:cs="宋体" w:eastAsia="宋体" w:hint="default"/>
                <w:b/>
                <w:bCs/>
                <w:sz w:val="16"/>
                <w:szCs w:val="16"/>
              </w:rPr>
              <w:t>本年偿还</w:t>
            </w:r>
            <w:r>
              <w:rPr>
                <w:rFonts w:ascii="宋体" w:hAnsi="宋体" w:cs="宋体" w:eastAsia="宋体" w:hint="default"/>
                <w:sz w:val="16"/>
                <w:szCs w:val="16"/>
              </w:rPr>
            </w:r>
          </w:p>
        </w:tc>
        <w:tc>
          <w:tcPr>
            <w:tcW w:w="1252" w:type="dxa"/>
            <w:tcBorders>
              <w:top w:val="single" w:sz="12" w:space="0" w:color="000000"/>
              <w:left w:val="nil" w:sz="6" w:space="0" w:color="auto"/>
              <w:bottom w:val="single" w:sz="4" w:space="0" w:color="000000"/>
              <w:right w:val="nil" w:sz="6" w:space="0" w:color="auto"/>
            </w:tcBorders>
          </w:tcPr>
          <w:p>
            <w:pPr>
              <w:pStyle w:val="TableParagraph"/>
              <w:spacing w:line="240" w:lineRule="auto" w:before="12"/>
              <w:ind w:right="26"/>
              <w:jc w:val="right"/>
              <w:rPr>
                <w:rFonts w:ascii="宋体" w:hAnsi="宋体" w:cs="宋体" w:eastAsia="宋体" w:hint="default"/>
                <w:sz w:val="16"/>
                <w:szCs w:val="16"/>
              </w:rPr>
            </w:pPr>
            <w:r>
              <w:rPr>
                <w:rFonts w:ascii="宋体" w:hAnsi="宋体" w:cs="宋体" w:eastAsia="宋体" w:hint="default"/>
                <w:b/>
                <w:bCs/>
                <w:sz w:val="16"/>
                <w:szCs w:val="16"/>
              </w:rPr>
              <w:t>年末余额</w:t>
            </w:r>
            <w:r>
              <w:rPr>
                <w:rFonts w:ascii="宋体" w:hAnsi="宋体" w:cs="宋体" w:eastAsia="宋体" w:hint="default"/>
                <w:sz w:val="16"/>
                <w:szCs w:val="16"/>
              </w:rPr>
            </w:r>
          </w:p>
        </w:tc>
      </w:tr>
      <w:tr>
        <w:trPr>
          <w:trHeight w:val="324" w:hRule="exact"/>
        </w:trPr>
        <w:tc>
          <w:tcPr>
            <w:tcW w:w="1422"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14 </w:t>
            </w:r>
            <w:r>
              <w:rPr>
                <w:rFonts w:ascii="宋体" w:hAnsi="宋体" w:cs="宋体" w:eastAsia="宋体" w:hint="default"/>
                <w:sz w:val="18"/>
                <w:szCs w:val="18"/>
              </w:rPr>
              <w:t>同方</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SCP001</w:t>
            </w:r>
          </w:p>
        </w:tc>
        <w:tc>
          <w:tcPr>
            <w:tcW w:w="1395"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96"/>
              <w:jc w:val="right"/>
              <w:rPr>
                <w:rFonts w:ascii="Times New Roman" w:hAnsi="Times New Roman" w:cs="Times New Roman" w:eastAsia="Times New Roman" w:hint="default"/>
                <w:sz w:val="16"/>
                <w:szCs w:val="16"/>
              </w:rPr>
            </w:pPr>
            <w:r>
              <w:rPr>
                <w:rFonts w:ascii="Times New Roman"/>
                <w:spacing w:val="-1"/>
                <w:sz w:val="16"/>
              </w:rPr>
              <w:t>1,003,164,383.56</w:t>
            </w:r>
          </w:p>
        </w:tc>
        <w:tc>
          <w:tcPr>
            <w:tcW w:w="1247"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26"/>
              <w:jc w:val="right"/>
              <w:rPr>
                <w:rFonts w:ascii="Times New Roman" w:hAnsi="Times New Roman" w:cs="Times New Roman" w:eastAsia="Times New Roman" w:hint="default"/>
                <w:sz w:val="16"/>
                <w:szCs w:val="16"/>
              </w:rPr>
            </w:pPr>
            <w:r>
              <w:rPr>
                <w:rFonts w:ascii="Times New Roman"/>
                <w:spacing w:val="-1"/>
                <w:sz w:val="16"/>
              </w:rPr>
              <w:t>0.00</w:t>
            </w:r>
          </w:p>
        </w:tc>
        <w:tc>
          <w:tcPr>
            <w:tcW w:w="1251"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91"/>
              <w:jc w:val="right"/>
              <w:rPr>
                <w:rFonts w:ascii="Times New Roman" w:hAnsi="Times New Roman" w:cs="Times New Roman" w:eastAsia="Times New Roman" w:hint="default"/>
                <w:sz w:val="16"/>
                <w:szCs w:val="16"/>
              </w:rPr>
            </w:pPr>
            <w:r>
              <w:rPr>
                <w:rFonts w:ascii="Times New Roman"/>
                <w:spacing w:val="-2"/>
                <w:sz w:val="16"/>
              </w:rPr>
              <w:t>35,671,232.88</w:t>
            </w:r>
          </w:p>
        </w:tc>
        <w:tc>
          <w:tcPr>
            <w:tcW w:w="929"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28"/>
              <w:jc w:val="right"/>
              <w:rPr>
                <w:rFonts w:ascii="Times New Roman" w:hAnsi="Times New Roman" w:cs="Times New Roman" w:eastAsia="Times New Roman" w:hint="default"/>
                <w:sz w:val="16"/>
                <w:szCs w:val="16"/>
              </w:rPr>
            </w:pPr>
            <w:r>
              <w:rPr>
                <w:rFonts w:ascii="Times New Roman"/>
                <w:spacing w:val="-1"/>
                <w:sz w:val="16"/>
              </w:rPr>
              <w:t>0.00</w:t>
            </w:r>
          </w:p>
        </w:tc>
        <w:tc>
          <w:tcPr>
            <w:tcW w:w="1256"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102"/>
              <w:jc w:val="right"/>
              <w:rPr>
                <w:rFonts w:ascii="Times New Roman" w:hAnsi="Times New Roman" w:cs="Times New Roman" w:eastAsia="Times New Roman" w:hint="default"/>
                <w:sz w:val="16"/>
                <w:szCs w:val="16"/>
              </w:rPr>
            </w:pPr>
            <w:r>
              <w:rPr>
                <w:rFonts w:ascii="Times New Roman"/>
                <w:spacing w:val="-1"/>
                <w:sz w:val="16"/>
              </w:rPr>
              <w:t>1,038,835,616.44</w:t>
            </w:r>
          </w:p>
        </w:tc>
        <w:tc>
          <w:tcPr>
            <w:tcW w:w="1252"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26"/>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1422" w:type="dxa"/>
            <w:tcBorders>
              <w:top w:val="nil" w:sz="6" w:space="0" w:color="auto"/>
              <w:left w:val="nil" w:sz="6" w:space="0" w:color="auto"/>
              <w:bottom w:val="nil" w:sz="6" w:space="0" w:color="auto"/>
              <w:right w:val="nil" w:sz="6" w:space="0" w:color="auto"/>
            </w:tcBorders>
          </w:tcPr>
          <w:p>
            <w:pPr>
              <w:pStyle w:val="TableParagraph"/>
              <w:spacing w:line="236" w:lineRule="exact"/>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 </w:t>
            </w:r>
            <w:r>
              <w:rPr>
                <w:rFonts w:ascii="宋体" w:hAnsi="宋体" w:cs="宋体" w:eastAsia="宋体" w:hint="default"/>
                <w:sz w:val="18"/>
                <w:szCs w:val="18"/>
              </w:rPr>
              <w:t>同方</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SCP001</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4"/>
              <w:jc w:val="right"/>
              <w:rPr>
                <w:rFonts w:ascii="Times New Roman" w:hAnsi="Times New Roman" w:cs="Times New Roman" w:eastAsia="Times New Roman" w:hint="default"/>
                <w:sz w:val="16"/>
                <w:szCs w:val="16"/>
              </w:rPr>
            </w:pPr>
            <w:r>
              <w:rPr>
                <w:rFonts w:ascii="Times New Roman"/>
                <w:spacing w:val="-1"/>
                <w:sz w:val="16"/>
              </w:rPr>
              <w:t>0.00</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7"/>
              <w:jc w:val="right"/>
              <w:rPr>
                <w:rFonts w:ascii="Times New Roman" w:hAnsi="Times New Roman" w:cs="Times New Roman" w:eastAsia="Times New Roman" w:hint="default"/>
                <w:sz w:val="16"/>
                <w:szCs w:val="16"/>
              </w:rPr>
            </w:pPr>
            <w:r>
              <w:rPr>
                <w:rFonts w:ascii="Times New Roman"/>
                <w:spacing w:val="-1"/>
                <w:sz w:val="16"/>
              </w:rPr>
              <w:t>2,000,000,000.00</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1"/>
              <w:jc w:val="right"/>
              <w:rPr>
                <w:rFonts w:ascii="Times New Roman" w:hAnsi="Times New Roman" w:cs="Times New Roman" w:eastAsia="Times New Roman" w:hint="default"/>
                <w:sz w:val="16"/>
                <w:szCs w:val="16"/>
              </w:rPr>
            </w:pPr>
            <w:r>
              <w:rPr>
                <w:rFonts w:ascii="Times New Roman"/>
                <w:spacing w:val="-1"/>
                <w:sz w:val="16"/>
              </w:rPr>
              <w:t>8,958,904.11</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8"/>
              <w:jc w:val="right"/>
              <w:rPr>
                <w:rFonts w:ascii="Times New Roman" w:hAnsi="Times New Roman" w:cs="Times New Roman" w:eastAsia="Times New Roman" w:hint="default"/>
                <w:sz w:val="16"/>
                <w:szCs w:val="16"/>
              </w:rPr>
            </w:pPr>
            <w:r>
              <w:rPr>
                <w:rFonts w:ascii="Times New Roman"/>
                <w:spacing w:val="-1"/>
                <w:sz w:val="16"/>
              </w:rPr>
              <w:t>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01"/>
              <w:jc w:val="right"/>
              <w:rPr>
                <w:rFonts w:ascii="Times New Roman" w:hAnsi="Times New Roman" w:cs="Times New Roman" w:eastAsia="Times New Roman" w:hint="default"/>
                <w:sz w:val="16"/>
                <w:szCs w:val="16"/>
              </w:rPr>
            </w:pPr>
            <w:r>
              <w:rPr>
                <w:rFonts w:ascii="Times New Roman"/>
                <w:spacing w:val="-1"/>
                <w:sz w:val="16"/>
              </w:rPr>
              <w:t>2,008,958,904.11</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1422" w:type="dxa"/>
            <w:tcBorders>
              <w:top w:val="nil" w:sz="6" w:space="0" w:color="auto"/>
              <w:left w:val="nil" w:sz="6" w:space="0" w:color="auto"/>
              <w:bottom w:val="nil" w:sz="6" w:space="0" w:color="auto"/>
              <w:right w:val="nil" w:sz="6" w:space="0" w:color="auto"/>
            </w:tcBorders>
          </w:tcPr>
          <w:p>
            <w:pPr>
              <w:pStyle w:val="TableParagraph"/>
              <w:spacing w:line="236" w:lineRule="exact"/>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 </w:t>
            </w:r>
            <w:r>
              <w:rPr>
                <w:rFonts w:ascii="宋体" w:hAnsi="宋体" w:cs="宋体" w:eastAsia="宋体" w:hint="default"/>
                <w:sz w:val="18"/>
                <w:szCs w:val="18"/>
              </w:rPr>
              <w:t>同方</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SCP002</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4"/>
              <w:jc w:val="right"/>
              <w:rPr>
                <w:rFonts w:ascii="Times New Roman" w:hAnsi="Times New Roman" w:cs="Times New Roman" w:eastAsia="Times New Roman" w:hint="default"/>
                <w:sz w:val="16"/>
                <w:szCs w:val="16"/>
              </w:rPr>
            </w:pPr>
            <w:r>
              <w:rPr>
                <w:rFonts w:ascii="Times New Roman"/>
                <w:spacing w:val="-1"/>
                <w:sz w:val="16"/>
              </w:rPr>
              <w:t>0.00</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7"/>
              <w:jc w:val="right"/>
              <w:rPr>
                <w:rFonts w:ascii="Times New Roman" w:hAnsi="Times New Roman" w:cs="Times New Roman" w:eastAsia="Times New Roman" w:hint="default"/>
                <w:sz w:val="16"/>
                <w:szCs w:val="16"/>
              </w:rPr>
            </w:pPr>
            <w:r>
              <w:rPr>
                <w:rFonts w:ascii="Times New Roman"/>
                <w:spacing w:val="-1"/>
                <w:sz w:val="16"/>
              </w:rPr>
              <w:t>1,000,000,000.00</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1"/>
              <w:jc w:val="right"/>
              <w:rPr>
                <w:rFonts w:ascii="Times New Roman" w:hAnsi="Times New Roman" w:cs="Times New Roman" w:eastAsia="Times New Roman" w:hint="default"/>
                <w:sz w:val="16"/>
                <w:szCs w:val="16"/>
              </w:rPr>
            </w:pPr>
            <w:r>
              <w:rPr>
                <w:rFonts w:ascii="Times New Roman"/>
                <w:spacing w:val="-2"/>
                <w:sz w:val="16"/>
              </w:rPr>
              <w:t>37,549,180.33</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8"/>
              <w:jc w:val="right"/>
              <w:rPr>
                <w:rFonts w:ascii="Times New Roman" w:hAnsi="Times New Roman" w:cs="Times New Roman" w:eastAsia="Times New Roman" w:hint="default"/>
                <w:sz w:val="16"/>
                <w:szCs w:val="16"/>
              </w:rPr>
            </w:pPr>
            <w:r>
              <w:rPr>
                <w:rFonts w:ascii="Times New Roman"/>
                <w:spacing w:val="-1"/>
                <w:sz w:val="16"/>
              </w:rPr>
              <w:t>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02"/>
              <w:jc w:val="right"/>
              <w:rPr>
                <w:rFonts w:ascii="Times New Roman" w:hAnsi="Times New Roman" w:cs="Times New Roman" w:eastAsia="Times New Roman" w:hint="default"/>
                <w:sz w:val="16"/>
                <w:szCs w:val="16"/>
              </w:rPr>
            </w:pPr>
            <w:r>
              <w:rPr>
                <w:rFonts w:ascii="Times New Roman"/>
                <w:spacing w:val="-1"/>
                <w:sz w:val="16"/>
              </w:rPr>
              <w:t>1,037,549,180.33</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3" w:hRule="exact"/>
        </w:trPr>
        <w:tc>
          <w:tcPr>
            <w:tcW w:w="1422" w:type="dxa"/>
            <w:tcBorders>
              <w:top w:val="nil" w:sz="6" w:space="0" w:color="auto"/>
              <w:left w:val="nil" w:sz="6" w:space="0" w:color="auto"/>
              <w:bottom w:val="nil" w:sz="6" w:space="0" w:color="auto"/>
              <w:right w:val="nil" w:sz="6" w:space="0" w:color="auto"/>
            </w:tcBorders>
          </w:tcPr>
          <w:p>
            <w:pPr>
              <w:pStyle w:val="TableParagraph"/>
              <w:spacing w:line="236" w:lineRule="exact"/>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 </w:t>
            </w:r>
            <w:r>
              <w:rPr>
                <w:rFonts w:ascii="宋体" w:hAnsi="宋体" w:cs="宋体" w:eastAsia="宋体" w:hint="default"/>
                <w:sz w:val="18"/>
                <w:szCs w:val="18"/>
              </w:rPr>
              <w:t>同方</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SCP003</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4"/>
              <w:jc w:val="right"/>
              <w:rPr>
                <w:rFonts w:ascii="Times New Roman" w:hAnsi="Times New Roman" w:cs="Times New Roman" w:eastAsia="Times New Roman" w:hint="default"/>
                <w:sz w:val="16"/>
                <w:szCs w:val="16"/>
              </w:rPr>
            </w:pPr>
            <w:r>
              <w:rPr>
                <w:rFonts w:ascii="Times New Roman"/>
                <w:spacing w:val="-1"/>
                <w:sz w:val="16"/>
              </w:rPr>
              <w:t>0.00</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7"/>
              <w:jc w:val="right"/>
              <w:rPr>
                <w:rFonts w:ascii="Times New Roman" w:hAnsi="Times New Roman" w:cs="Times New Roman" w:eastAsia="Times New Roman" w:hint="default"/>
                <w:sz w:val="16"/>
                <w:szCs w:val="16"/>
              </w:rPr>
            </w:pPr>
            <w:r>
              <w:rPr>
                <w:rFonts w:ascii="Times New Roman"/>
                <w:spacing w:val="-1"/>
                <w:sz w:val="16"/>
              </w:rPr>
              <w:t>1,000,000,000.00</w:t>
            </w:r>
          </w:p>
        </w:tc>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1"/>
              <w:jc w:val="right"/>
              <w:rPr>
                <w:rFonts w:ascii="Times New Roman" w:hAnsi="Times New Roman" w:cs="Times New Roman" w:eastAsia="Times New Roman" w:hint="default"/>
                <w:sz w:val="16"/>
                <w:szCs w:val="16"/>
              </w:rPr>
            </w:pPr>
            <w:r>
              <w:rPr>
                <w:rFonts w:ascii="Times New Roman"/>
                <w:spacing w:val="-2"/>
                <w:sz w:val="16"/>
              </w:rPr>
              <w:t>12,619,178.08</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8"/>
              <w:jc w:val="right"/>
              <w:rPr>
                <w:rFonts w:ascii="Times New Roman" w:hAnsi="Times New Roman" w:cs="Times New Roman" w:eastAsia="Times New Roman" w:hint="default"/>
                <w:sz w:val="16"/>
                <w:szCs w:val="16"/>
              </w:rPr>
            </w:pPr>
            <w:r>
              <w:rPr>
                <w:rFonts w:ascii="Times New Roman"/>
                <w:spacing w:val="-1"/>
                <w:sz w:val="16"/>
              </w:rPr>
              <w:t>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0"/>
              <w:jc w:val="right"/>
              <w:rPr>
                <w:rFonts w:ascii="Times New Roman" w:hAnsi="Times New Roman" w:cs="Times New Roman" w:eastAsia="Times New Roman" w:hint="default"/>
                <w:sz w:val="16"/>
                <w:szCs w:val="16"/>
              </w:rPr>
            </w:pPr>
            <w:r>
              <w:rPr>
                <w:rFonts w:ascii="Times New Roman"/>
                <w:spacing w:val="-1"/>
                <w:sz w:val="16"/>
              </w:rPr>
              <w:t>0.00</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6"/>
              <w:jc w:val="right"/>
              <w:rPr>
                <w:rFonts w:ascii="Times New Roman" w:hAnsi="Times New Roman" w:cs="Times New Roman" w:eastAsia="Times New Roman" w:hint="default"/>
                <w:sz w:val="16"/>
                <w:szCs w:val="16"/>
              </w:rPr>
            </w:pPr>
            <w:r>
              <w:rPr>
                <w:rFonts w:ascii="Times New Roman"/>
                <w:spacing w:val="-1"/>
                <w:sz w:val="16"/>
              </w:rPr>
              <w:t>1,012,619,178.08</w:t>
            </w:r>
          </w:p>
        </w:tc>
      </w:tr>
      <w:tr>
        <w:trPr>
          <w:trHeight w:val="257" w:hRule="exact"/>
        </w:trPr>
        <w:tc>
          <w:tcPr>
            <w:tcW w:w="1422" w:type="dxa"/>
            <w:tcBorders>
              <w:top w:val="nil" w:sz="6" w:space="0" w:color="auto"/>
              <w:left w:val="nil" w:sz="6" w:space="0" w:color="auto"/>
              <w:bottom w:val="single" w:sz="4" w:space="0" w:color="000000"/>
              <w:right w:val="nil" w:sz="6" w:space="0" w:color="auto"/>
            </w:tcBorders>
          </w:tcPr>
          <w:p>
            <w:pPr>
              <w:pStyle w:val="TableParagraph"/>
              <w:spacing w:line="236" w:lineRule="exact"/>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 </w:t>
            </w:r>
            <w:r>
              <w:rPr>
                <w:rFonts w:ascii="宋体" w:hAnsi="宋体" w:cs="宋体" w:eastAsia="宋体" w:hint="default"/>
                <w:sz w:val="18"/>
                <w:szCs w:val="18"/>
              </w:rPr>
              <w:t>同方</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SCP004</w:t>
            </w:r>
          </w:p>
        </w:tc>
        <w:tc>
          <w:tcPr>
            <w:tcW w:w="1395"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94"/>
              <w:jc w:val="right"/>
              <w:rPr>
                <w:rFonts w:ascii="Times New Roman" w:hAnsi="Times New Roman" w:cs="Times New Roman" w:eastAsia="Times New Roman" w:hint="default"/>
                <w:sz w:val="16"/>
                <w:szCs w:val="16"/>
              </w:rPr>
            </w:pPr>
            <w:r>
              <w:rPr>
                <w:rFonts w:ascii="Times New Roman"/>
                <w:spacing w:val="-1"/>
                <w:sz w:val="16"/>
              </w:rPr>
              <w:t>0.00</w:t>
            </w:r>
          </w:p>
        </w:tc>
        <w:tc>
          <w:tcPr>
            <w:tcW w:w="1247"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27"/>
              <w:jc w:val="right"/>
              <w:rPr>
                <w:rFonts w:ascii="Times New Roman" w:hAnsi="Times New Roman" w:cs="Times New Roman" w:eastAsia="Times New Roman" w:hint="default"/>
                <w:sz w:val="16"/>
                <w:szCs w:val="16"/>
              </w:rPr>
            </w:pPr>
            <w:r>
              <w:rPr>
                <w:rFonts w:ascii="Times New Roman"/>
                <w:spacing w:val="-1"/>
                <w:sz w:val="16"/>
              </w:rPr>
              <w:t>1,000,000,000.00</w:t>
            </w:r>
          </w:p>
        </w:tc>
        <w:tc>
          <w:tcPr>
            <w:tcW w:w="1251"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91"/>
              <w:jc w:val="right"/>
              <w:rPr>
                <w:rFonts w:ascii="Times New Roman" w:hAnsi="Times New Roman" w:cs="Times New Roman" w:eastAsia="Times New Roman" w:hint="default"/>
                <w:sz w:val="16"/>
                <w:szCs w:val="16"/>
              </w:rPr>
            </w:pPr>
            <w:r>
              <w:rPr>
                <w:rFonts w:ascii="Times New Roman"/>
                <w:spacing w:val="-1"/>
                <w:sz w:val="16"/>
              </w:rPr>
              <w:t>6,787,945.21</w:t>
            </w:r>
          </w:p>
        </w:tc>
        <w:tc>
          <w:tcPr>
            <w:tcW w:w="929"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28"/>
              <w:jc w:val="right"/>
              <w:rPr>
                <w:rFonts w:ascii="Times New Roman" w:hAnsi="Times New Roman" w:cs="Times New Roman" w:eastAsia="Times New Roman" w:hint="default"/>
                <w:sz w:val="16"/>
                <w:szCs w:val="16"/>
              </w:rPr>
            </w:pPr>
            <w:r>
              <w:rPr>
                <w:rFonts w:ascii="Times New Roman"/>
                <w:spacing w:val="-1"/>
                <w:sz w:val="16"/>
              </w:rPr>
              <w:t>0.00</w:t>
            </w:r>
          </w:p>
        </w:tc>
        <w:tc>
          <w:tcPr>
            <w:tcW w:w="1256"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100"/>
              <w:jc w:val="right"/>
              <w:rPr>
                <w:rFonts w:ascii="Times New Roman" w:hAnsi="Times New Roman" w:cs="Times New Roman" w:eastAsia="Times New Roman" w:hint="default"/>
                <w:sz w:val="16"/>
                <w:szCs w:val="16"/>
              </w:rPr>
            </w:pPr>
            <w:r>
              <w:rPr>
                <w:rFonts w:ascii="Times New Roman"/>
                <w:spacing w:val="-1"/>
                <w:sz w:val="16"/>
              </w:rPr>
              <w:t>0.00</w:t>
            </w:r>
          </w:p>
        </w:tc>
        <w:tc>
          <w:tcPr>
            <w:tcW w:w="1252"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6"/>
                <w:szCs w:val="16"/>
              </w:rPr>
            </w:pPr>
            <w:r>
              <w:rPr>
                <w:rFonts w:ascii="Times New Roman"/>
                <w:spacing w:val="-1"/>
                <w:sz w:val="16"/>
              </w:rPr>
              <w:t>1,006,787,945.21</w:t>
            </w:r>
          </w:p>
        </w:tc>
      </w:tr>
      <w:tr>
        <w:trPr>
          <w:trHeight w:val="305" w:hRule="exact"/>
        </w:trPr>
        <w:tc>
          <w:tcPr>
            <w:tcW w:w="1422" w:type="dxa"/>
            <w:tcBorders>
              <w:top w:val="single" w:sz="4" w:space="0" w:color="000000"/>
              <w:left w:val="nil" w:sz="6" w:space="0" w:color="auto"/>
              <w:bottom w:val="single" w:sz="12" w:space="0" w:color="000000"/>
              <w:right w:val="nil" w:sz="6" w:space="0" w:color="auto"/>
            </w:tcBorders>
          </w:tcPr>
          <w:p>
            <w:pPr>
              <w:pStyle w:val="TableParagraph"/>
              <w:spacing w:line="240" w:lineRule="auto" w:before="50"/>
              <w:ind w:left="26" w:right="0"/>
              <w:jc w:val="left"/>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c>
        <w:tc>
          <w:tcPr>
            <w:tcW w:w="1395"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96"/>
              <w:jc w:val="right"/>
              <w:rPr>
                <w:rFonts w:ascii="Times New Roman" w:hAnsi="Times New Roman" w:cs="Times New Roman" w:eastAsia="Times New Roman" w:hint="default"/>
                <w:sz w:val="16"/>
                <w:szCs w:val="16"/>
              </w:rPr>
            </w:pPr>
            <w:r>
              <w:rPr>
                <w:rFonts w:ascii="Times New Roman"/>
                <w:b/>
                <w:spacing w:val="-1"/>
                <w:sz w:val="16"/>
              </w:rPr>
              <w:t>1,003,164,383.56</w:t>
            </w:r>
            <w:r>
              <w:rPr>
                <w:rFonts w:ascii="Times New Roman"/>
                <w:spacing w:val="-1"/>
                <w:sz w:val="16"/>
              </w:rPr>
            </w:r>
          </w:p>
        </w:tc>
        <w:tc>
          <w:tcPr>
            <w:tcW w:w="1247"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27"/>
              <w:jc w:val="right"/>
              <w:rPr>
                <w:rFonts w:ascii="Times New Roman" w:hAnsi="Times New Roman" w:cs="Times New Roman" w:eastAsia="Times New Roman" w:hint="default"/>
                <w:sz w:val="16"/>
                <w:szCs w:val="16"/>
              </w:rPr>
            </w:pPr>
            <w:r>
              <w:rPr>
                <w:rFonts w:ascii="Times New Roman"/>
                <w:b/>
                <w:spacing w:val="-1"/>
                <w:sz w:val="16"/>
              </w:rPr>
              <w:t>5,000,000,000.00</w:t>
            </w:r>
            <w:r>
              <w:rPr>
                <w:rFonts w:ascii="Times New Roman"/>
                <w:spacing w:val="-1"/>
                <w:sz w:val="16"/>
              </w:rPr>
            </w:r>
          </w:p>
        </w:tc>
        <w:tc>
          <w:tcPr>
            <w:tcW w:w="1251"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91"/>
              <w:jc w:val="right"/>
              <w:rPr>
                <w:rFonts w:ascii="Times New Roman" w:hAnsi="Times New Roman" w:cs="Times New Roman" w:eastAsia="Times New Roman" w:hint="default"/>
                <w:sz w:val="16"/>
                <w:szCs w:val="16"/>
              </w:rPr>
            </w:pPr>
            <w:r>
              <w:rPr>
                <w:rFonts w:ascii="Times New Roman"/>
                <w:b/>
                <w:spacing w:val="-1"/>
                <w:sz w:val="16"/>
              </w:rPr>
              <w:t>101,586,440.61</w:t>
            </w:r>
            <w:r>
              <w:rPr>
                <w:rFonts w:ascii="Times New Roman"/>
                <w:spacing w:val="-1"/>
                <w:sz w:val="16"/>
              </w:rPr>
            </w:r>
          </w:p>
        </w:tc>
        <w:tc>
          <w:tcPr>
            <w:tcW w:w="929"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28"/>
              <w:jc w:val="right"/>
              <w:rPr>
                <w:rFonts w:ascii="Times New Roman" w:hAnsi="Times New Roman" w:cs="Times New Roman" w:eastAsia="Times New Roman" w:hint="default"/>
                <w:sz w:val="16"/>
                <w:szCs w:val="16"/>
              </w:rPr>
            </w:pPr>
            <w:r>
              <w:rPr>
                <w:rFonts w:ascii="Times New Roman"/>
                <w:b/>
                <w:spacing w:val="-1"/>
                <w:sz w:val="16"/>
              </w:rPr>
              <w:t>0.00</w:t>
            </w:r>
            <w:r>
              <w:rPr>
                <w:rFonts w:ascii="Times New Roman"/>
                <w:spacing w:val="-1"/>
                <w:sz w:val="16"/>
              </w:rPr>
            </w:r>
          </w:p>
        </w:tc>
        <w:tc>
          <w:tcPr>
            <w:tcW w:w="1256"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102"/>
              <w:jc w:val="right"/>
              <w:rPr>
                <w:rFonts w:ascii="Times New Roman" w:hAnsi="Times New Roman" w:cs="Times New Roman" w:eastAsia="Times New Roman" w:hint="default"/>
                <w:sz w:val="16"/>
                <w:szCs w:val="16"/>
              </w:rPr>
            </w:pPr>
            <w:r>
              <w:rPr>
                <w:rFonts w:ascii="Times New Roman"/>
                <w:b/>
                <w:spacing w:val="-1"/>
                <w:sz w:val="16"/>
              </w:rPr>
              <w:t>4,085,343,700.88</w:t>
            </w:r>
            <w:r>
              <w:rPr>
                <w:rFonts w:ascii="Times New Roman"/>
                <w:spacing w:val="-1"/>
                <w:sz w:val="16"/>
              </w:rPr>
            </w:r>
          </w:p>
        </w:tc>
        <w:tc>
          <w:tcPr>
            <w:tcW w:w="1252"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26"/>
              <w:jc w:val="right"/>
              <w:rPr>
                <w:rFonts w:ascii="Times New Roman" w:hAnsi="Times New Roman" w:cs="Times New Roman" w:eastAsia="Times New Roman" w:hint="default"/>
                <w:sz w:val="16"/>
                <w:szCs w:val="16"/>
              </w:rPr>
            </w:pPr>
            <w:r>
              <w:rPr>
                <w:rFonts w:ascii="Times New Roman"/>
                <w:b/>
                <w:spacing w:val="-1"/>
                <w:sz w:val="16"/>
              </w:rPr>
              <w:t>2,019,407,123.29</w:t>
            </w:r>
            <w:r>
              <w:rPr>
                <w:rFonts w:ascii="Times New Roman"/>
                <w:spacing w:val="-1"/>
                <w:sz w:val="16"/>
              </w:rPr>
            </w:r>
          </w:p>
        </w:tc>
      </w:tr>
    </w:tbl>
    <w:p>
      <w:pPr>
        <w:spacing w:before="81"/>
        <w:ind w:left="64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33.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长期借款</w:t>
      </w:r>
    </w:p>
    <w:p>
      <w:pPr>
        <w:spacing w:line="240" w:lineRule="auto" w:before="8"/>
        <w:rPr>
          <w:rFonts w:ascii="宋体" w:hAnsi="宋体" w:cs="宋体" w:eastAsia="宋体" w:hint="default"/>
          <w:sz w:val="11"/>
          <w:szCs w:val="11"/>
        </w:rPr>
      </w:pPr>
    </w:p>
    <w:tbl>
      <w:tblPr>
        <w:tblW w:w="0" w:type="auto"/>
        <w:jc w:val="left"/>
        <w:tblInd w:w="134" w:type="dxa"/>
        <w:tblLayout w:type="fixed"/>
        <w:tblCellMar>
          <w:top w:w="0" w:type="dxa"/>
          <w:left w:w="0" w:type="dxa"/>
          <w:bottom w:w="0" w:type="dxa"/>
          <w:right w:w="0" w:type="dxa"/>
        </w:tblCellMar>
        <w:tblLook w:val="01E0"/>
      </w:tblPr>
      <w:tblGrid>
        <w:gridCol w:w="2638"/>
        <w:gridCol w:w="3895"/>
        <w:gridCol w:w="2192"/>
      </w:tblGrid>
      <w:tr>
        <w:trPr>
          <w:trHeight w:val="305" w:hRule="exact"/>
        </w:trPr>
        <w:tc>
          <w:tcPr>
            <w:tcW w:w="263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借款类别</w:t>
            </w:r>
            <w:r>
              <w:rPr>
                <w:rFonts w:ascii="宋体" w:hAnsi="宋体" w:cs="宋体" w:eastAsia="宋体" w:hint="default"/>
                <w:sz w:val="18"/>
                <w:szCs w:val="18"/>
              </w:rPr>
            </w:r>
          </w:p>
        </w:tc>
        <w:tc>
          <w:tcPr>
            <w:tcW w:w="389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24"/>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19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4" w:hRule="exact"/>
        </w:trPr>
        <w:tc>
          <w:tcPr>
            <w:tcW w:w="2638"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89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825"/>
              <w:jc w:val="right"/>
              <w:rPr>
                <w:rFonts w:ascii="Times New Roman" w:hAnsi="Times New Roman" w:cs="Times New Roman" w:eastAsia="Times New Roman" w:hint="default"/>
                <w:sz w:val="18"/>
                <w:szCs w:val="18"/>
              </w:rPr>
            </w:pPr>
            <w:r>
              <w:rPr>
                <w:rFonts w:ascii="Times New Roman"/>
                <w:spacing w:val="-1"/>
                <w:sz w:val="18"/>
              </w:rPr>
              <w:t>44,807,714.79</w:t>
            </w:r>
          </w:p>
        </w:tc>
        <w:tc>
          <w:tcPr>
            <w:tcW w:w="2192"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60,524,703.12</w:t>
            </w:r>
          </w:p>
        </w:tc>
      </w:tr>
      <w:tr>
        <w:trPr>
          <w:trHeight w:val="284" w:hRule="exact"/>
        </w:trPr>
        <w:tc>
          <w:tcPr>
            <w:tcW w:w="2638"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抵押借款</w:t>
            </w:r>
          </w:p>
        </w:tc>
        <w:tc>
          <w:tcPr>
            <w:tcW w:w="389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22"/>
              <w:jc w:val="right"/>
              <w:rPr>
                <w:rFonts w:ascii="Times New Roman" w:hAnsi="Times New Roman" w:cs="Times New Roman" w:eastAsia="Times New Roman" w:hint="default"/>
                <w:sz w:val="18"/>
                <w:szCs w:val="18"/>
              </w:rPr>
            </w:pPr>
            <w:r>
              <w:rPr>
                <w:rFonts w:ascii="Times New Roman"/>
                <w:spacing w:val="-1"/>
                <w:sz w:val="18"/>
              </w:rPr>
              <w:t>3,966,355.12</w:t>
            </w:r>
          </w:p>
        </w:tc>
        <w:tc>
          <w:tcPr>
            <w:tcW w:w="21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30,394,117.53</w:t>
            </w:r>
          </w:p>
        </w:tc>
      </w:tr>
      <w:tr>
        <w:trPr>
          <w:trHeight w:val="286" w:hRule="exact"/>
        </w:trPr>
        <w:tc>
          <w:tcPr>
            <w:tcW w:w="263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8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4"/>
              <w:jc w:val="right"/>
              <w:rPr>
                <w:rFonts w:ascii="Times New Roman" w:hAnsi="Times New Roman" w:cs="Times New Roman" w:eastAsia="Times New Roman" w:hint="default"/>
                <w:sz w:val="18"/>
                <w:szCs w:val="18"/>
              </w:rPr>
            </w:pPr>
            <w:r>
              <w:rPr>
                <w:rFonts w:ascii="Times New Roman"/>
                <w:spacing w:val="-1"/>
                <w:sz w:val="18"/>
              </w:rPr>
              <w:t>3,026,393,191.37</w:t>
            </w:r>
          </w:p>
        </w:tc>
        <w:tc>
          <w:tcPr>
            <w:tcW w:w="21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Times New Roman" w:hAnsi="Times New Roman" w:cs="Times New Roman" w:eastAsia="Times New Roman" w:hint="default"/>
                <w:sz w:val="18"/>
                <w:szCs w:val="18"/>
              </w:rPr>
            </w:pPr>
            <w:r>
              <w:rPr>
                <w:rFonts w:ascii="Times New Roman"/>
                <w:spacing w:val="-1"/>
                <w:sz w:val="18"/>
              </w:rPr>
              <w:t>3,593,168,805.44</w:t>
            </w:r>
          </w:p>
        </w:tc>
      </w:tr>
      <w:tr>
        <w:trPr>
          <w:trHeight w:val="256" w:hRule="exact"/>
        </w:trPr>
        <w:tc>
          <w:tcPr>
            <w:tcW w:w="2638"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质押借款</w:t>
            </w:r>
          </w:p>
        </w:tc>
        <w:tc>
          <w:tcPr>
            <w:tcW w:w="389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822"/>
              <w:jc w:val="right"/>
              <w:rPr>
                <w:rFonts w:ascii="Times New Roman" w:hAnsi="Times New Roman" w:cs="Times New Roman" w:eastAsia="Times New Roman" w:hint="default"/>
                <w:sz w:val="18"/>
                <w:szCs w:val="18"/>
              </w:rPr>
            </w:pPr>
            <w:r>
              <w:rPr>
                <w:rFonts w:ascii="Times New Roman"/>
                <w:spacing w:val="-1"/>
                <w:sz w:val="18"/>
              </w:rPr>
              <w:t>465,920,833.33</w:t>
            </w:r>
          </w:p>
        </w:tc>
        <w:tc>
          <w:tcPr>
            <w:tcW w:w="2192"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400,170,833.33</w:t>
            </w:r>
          </w:p>
        </w:tc>
      </w:tr>
      <w:tr>
        <w:trPr>
          <w:trHeight w:val="307" w:hRule="exact"/>
        </w:trPr>
        <w:tc>
          <w:tcPr>
            <w:tcW w:w="2638"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89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825"/>
              <w:jc w:val="right"/>
              <w:rPr>
                <w:rFonts w:ascii="Times New Roman" w:hAnsi="Times New Roman" w:cs="Times New Roman" w:eastAsia="Times New Roman" w:hint="default"/>
                <w:sz w:val="18"/>
                <w:szCs w:val="18"/>
              </w:rPr>
            </w:pPr>
            <w:r>
              <w:rPr>
                <w:rFonts w:ascii="Times New Roman"/>
                <w:b/>
                <w:spacing w:val="-1"/>
                <w:sz w:val="18"/>
              </w:rPr>
              <w:t>3,541,088,094.61</w:t>
            </w:r>
            <w:r>
              <w:rPr>
                <w:rFonts w:ascii="Times New Roman"/>
                <w:spacing w:val="-1"/>
                <w:sz w:val="18"/>
              </w:rPr>
            </w:r>
          </w:p>
        </w:tc>
        <w:tc>
          <w:tcPr>
            <w:tcW w:w="219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4,084,258,459.42</w:t>
            </w:r>
            <w:r>
              <w:rPr>
                <w:rFonts w:ascii="Times New Roman"/>
                <w:spacing w:val="-1"/>
                <w:sz w:val="18"/>
              </w:rPr>
            </w:r>
          </w:p>
        </w:tc>
      </w:tr>
    </w:tbl>
    <w:p>
      <w:pPr>
        <w:spacing w:line="280" w:lineRule="auto" w:before="21"/>
        <w:ind w:left="242" w:right="215" w:firstLine="439"/>
        <w:jc w:val="both"/>
        <w:rPr>
          <w:rFonts w:ascii="宋体" w:hAnsi="宋体" w:cs="宋体" w:eastAsia="宋体" w:hint="default"/>
          <w:sz w:val="22"/>
          <w:szCs w:val="22"/>
        </w:rPr>
      </w:pPr>
      <w:r>
        <w:rPr>
          <w:rFonts w:ascii="宋体" w:hAnsi="宋体" w:cs="宋体" w:eastAsia="宋体" w:hint="default"/>
          <w:sz w:val="22"/>
          <w:szCs w:val="22"/>
        </w:rPr>
        <w:t>截至 </w:t>
      </w:r>
      <w:r>
        <w:rPr>
          <w:rFonts w:ascii="Times New Roman" w:hAnsi="Times New Roman" w:cs="Times New Roman" w:eastAsia="Times New Roman" w:hint="default"/>
          <w:sz w:val="22"/>
          <w:szCs w:val="22"/>
        </w:rPr>
        <w:t>2015 </w:t>
      </w:r>
      <w:r>
        <w:rPr>
          <w:rFonts w:ascii="宋体" w:hAnsi="宋体" w:cs="宋体" w:eastAsia="宋体" w:hint="default"/>
          <w:sz w:val="22"/>
          <w:szCs w:val="22"/>
        </w:rPr>
        <w:t>年 </w:t>
      </w:r>
      <w:r>
        <w:rPr>
          <w:rFonts w:ascii="Times New Roman" w:hAnsi="Times New Roman" w:cs="Times New Roman" w:eastAsia="Times New Roman" w:hint="default"/>
          <w:sz w:val="22"/>
          <w:szCs w:val="22"/>
        </w:rPr>
        <w:t>12 </w:t>
      </w:r>
      <w:r>
        <w:rPr>
          <w:rFonts w:ascii="宋体" w:hAnsi="宋体" w:cs="宋体" w:eastAsia="宋体" w:hint="default"/>
          <w:sz w:val="22"/>
          <w:szCs w:val="22"/>
        </w:rPr>
        <w:t>月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21"/>
          <w:sz w:val="22"/>
          <w:szCs w:val="22"/>
        </w:rPr>
        <w:t> </w:t>
      </w:r>
      <w:r>
        <w:rPr>
          <w:rFonts w:ascii="宋体" w:hAnsi="宋体" w:cs="宋体" w:eastAsia="宋体" w:hint="default"/>
          <w:spacing w:val="2"/>
          <w:sz w:val="22"/>
          <w:szCs w:val="22"/>
        </w:rPr>
        <w:t>日，本公司长期抵押借款情况如下：本公司之三级子公司</w:t>
      </w:r>
      <w:r>
        <w:rPr>
          <w:rFonts w:ascii="宋体" w:hAnsi="宋体" w:cs="宋体" w:eastAsia="宋体" w:hint="default"/>
          <w:w w:val="100"/>
          <w:sz w:val="22"/>
          <w:szCs w:val="22"/>
        </w:rPr>
        <w:t> </w:t>
      </w:r>
      <w:r>
        <w:rPr>
          <w:rFonts w:ascii="Times New Roman" w:hAnsi="Times New Roman" w:cs="Times New Roman" w:eastAsia="Times New Roman" w:hint="default"/>
          <w:sz w:val="22"/>
          <w:szCs w:val="22"/>
        </w:rPr>
        <w:t>NUCTECH PANAMA, S.A.</w:t>
      </w:r>
      <w:r>
        <w:rPr>
          <w:rFonts w:ascii="宋体" w:hAnsi="宋体" w:cs="宋体" w:eastAsia="宋体" w:hint="default"/>
          <w:sz w:val="22"/>
          <w:szCs w:val="22"/>
        </w:rPr>
        <w:t>以账面价值为人民币 </w:t>
      </w:r>
      <w:r>
        <w:rPr>
          <w:rFonts w:ascii="Times New Roman" w:hAnsi="Times New Roman" w:cs="Times New Roman" w:eastAsia="Times New Roman" w:hint="default"/>
          <w:sz w:val="22"/>
          <w:szCs w:val="22"/>
        </w:rPr>
        <w:t>6,698,205.54</w:t>
      </w:r>
      <w:r>
        <w:rPr>
          <w:rFonts w:ascii="Times New Roman" w:hAnsi="Times New Roman" w:cs="Times New Roman" w:eastAsia="Times New Roman" w:hint="default"/>
          <w:spacing w:val="7"/>
          <w:sz w:val="22"/>
          <w:szCs w:val="22"/>
        </w:rPr>
        <w:t> </w:t>
      </w:r>
      <w:r>
        <w:rPr>
          <w:rFonts w:ascii="宋体" w:hAnsi="宋体" w:cs="宋体" w:eastAsia="宋体" w:hint="default"/>
          <w:sz w:val="22"/>
          <w:szCs w:val="22"/>
        </w:rPr>
        <w:t>元的固定资产抵押取得借款</w:t>
      </w:r>
      <w:r>
        <w:rPr>
          <w:rFonts w:ascii="宋体" w:hAnsi="宋体" w:cs="宋体" w:eastAsia="宋体" w:hint="default"/>
          <w:w w:val="100"/>
          <w:sz w:val="22"/>
          <w:szCs w:val="22"/>
        </w:rPr>
        <w:t> </w:t>
      </w:r>
      <w:r>
        <w:rPr>
          <w:rFonts w:ascii="Times New Roman" w:hAnsi="Times New Roman" w:cs="Times New Roman" w:eastAsia="Times New Roman" w:hint="default"/>
          <w:sz w:val="22"/>
          <w:szCs w:val="22"/>
        </w:rPr>
        <w:t>610,809.89</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美元（折合人民币</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3,966,355.12</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元）。</w:t>
      </w:r>
    </w:p>
    <w:p>
      <w:pPr>
        <w:spacing w:before="69"/>
        <w:ind w:left="657" w:right="0" w:firstLine="0"/>
        <w:jc w:val="left"/>
        <w:rPr>
          <w:rFonts w:ascii="宋体" w:hAnsi="宋体" w:cs="宋体" w:eastAsia="宋体" w:hint="default"/>
          <w:sz w:val="22"/>
          <w:szCs w:val="22"/>
        </w:rPr>
      </w:pPr>
      <w:r>
        <w:rPr>
          <w:rFonts w:ascii="宋体" w:hAnsi="宋体" w:cs="宋体" w:eastAsia="宋体" w:hint="default"/>
          <w:spacing w:val="-8"/>
          <w:sz w:val="22"/>
          <w:szCs w:val="22"/>
        </w:rPr>
        <w:t>截至</w:t>
      </w:r>
      <w:r>
        <w:rPr>
          <w:rFonts w:ascii="宋体" w:hAnsi="宋体" w:cs="宋体" w:eastAsia="宋体" w:hint="default"/>
          <w:spacing w:val="-65"/>
          <w:sz w:val="22"/>
          <w:szCs w:val="22"/>
        </w:rPr>
        <w:t> </w:t>
      </w:r>
      <w:r>
        <w:rPr>
          <w:rFonts w:ascii="Times New Roman" w:hAnsi="Times New Roman" w:cs="Times New Roman" w:eastAsia="Times New Roman" w:hint="default"/>
          <w:spacing w:val="-6"/>
          <w:sz w:val="22"/>
          <w:szCs w:val="22"/>
        </w:rPr>
        <w:t>2015</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年</w:t>
      </w:r>
      <w:r>
        <w:rPr>
          <w:rFonts w:ascii="宋体" w:hAnsi="宋体" w:cs="宋体" w:eastAsia="宋体" w:hint="default"/>
          <w:spacing w:val="-63"/>
          <w:sz w:val="22"/>
          <w:szCs w:val="22"/>
        </w:rPr>
        <w:t> </w:t>
      </w:r>
      <w:r>
        <w:rPr>
          <w:rFonts w:ascii="Times New Roman" w:hAnsi="Times New Roman" w:cs="Times New Roman" w:eastAsia="Times New Roman" w:hint="default"/>
          <w:spacing w:val="-4"/>
          <w:sz w:val="22"/>
          <w:szCs w:val="22"/>
        </w:rPr>
        <w:t>12</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月</w:t>
      </w:r>
      <w:r>
        <w:rPr>
          <w:rFonts w:ascii="宋体" w:hAnsi="宋体" w:cs="宋体" w:eastAsia="宋体" w:hint="default"/>
          <w:spacing w:val="-64"/>
          <w:sz w:val="22"/>
          <w:szCs w:val="22"/>
        </w:rPr>
        <w:t> </w:t>
      </w:r>
      <w:r>
        <w:rPr>
          <w:rFonts w:ascii="Times New Roman" w:hAnsi="Times New Roman" w:cs="Times New Roman" w:eastAsia="Times New Roman" w:hint="default"/>
          <w:spacing w:val="-4"/>
          <w:sz w:val="22"/>
          <w:szCs w:val="22"/>
        </w:rPr>
        <w:t>31</w:t>
      </w:r>
      <w:r>
        <w:rPr>
          <w:rFonts w:ascii="Times New Roman" w:hAnsi="Times New Roman" w:cs="Times New Roman" w:eastAsia="Times New Roman" w:hint="default"/>
          <w:spacing w:val="2"/>
          <w:sz w:val="22"/>
          <w:szCs w:val="22"/>
        </w:rPr>
        <w:t> </w:t>
      </w:r>
      <w:r>
        <w:rPr>
          <w:rFonts w:ascii="宋体" w:hAnsi="宋体" w:cs="宋体" w:eastAsia="宋体" w:hint="default"/>
          <w:spacing w:val="-13"/>
          <w:sz w:val="22"/>
          <w:szCs w:val="22"/>
        </w:rPr>
        <w:t>日，本公司长期保证借款的担保情况详见附注十一、（二）、</w:t>
      </w:r>
      <w:r>
        <w:rPr>
          <w:rFonts w:ascii="Times New Roman" w:hAnsi="Times New Roman" w:cs="Times New Roman" w:eastAsia="Times New Roman" w:hint="default"/>
          <w:spacing w:val="-13"/>
          <w:sz w:val="22"/>
          <w:szCs w:val="22"/>
        </w:rPr>
        <w:t>4</w:t>
      </w:r>
      <w:r>
        <w:rPr>
          <w:rFonts w:ascii="宋体" w:hAnsi="宋体" w:cs="宋体" w:eastAsia="宋体" w:hint="default"/>
          <w:spacing w:val="-13"/>
          <w:sz w:val="22"/>
          <w:szCs w:val="22"/>
        </w:rPr>
        <w:t>。</w:t>
      </w:r>
    </w:p>
    <w:p>
      <w:pPr>
        <w:spacing w:line="280" w:lineRule="auto" w:before="113"/>
        <w:ind w:left="242" w:right="215" w:firstLine="415"/>
        <w:jc w:val="both"/>
        <w:rPr>
          <w:rFonts w:ascii="宋体" w:hAnsi="宋体" w:cs="宋体" w:eastAsia="宋体" w:hint="default"/>
          <w:sz w:val="22"/>
          <w:szCs w:val="22"/>
        </w:rPr>
      </w:pPr>
      <w:r>
        <w:rPr>
          <w:rFonts w:ascii="宋体" w:hAnsi="宋体" w:cs="宋体" w:eastAsia="宋体" w:hint="default"/>
          <w:spacing w:val="-8"/>
          <w:sz w:val="22"/>
          <w:szCs w:val="22"/>
        </w:rPr>
        <w:t>截至</w:t>
      </w:r>
      <w:r>
        <w:rPr>
          <w:rFonts w:ascii="宋体" w:hAnsi="宋体" w:cs="宋体" w:eastAsia="宋体" w:hint="default"/>
          <w:spacing w:val="-57"/>
          <w:sz w:val="22"/>
          <w:szCs w:val="22"/>
        </w:rPr>
        <w:t> </w:t>
      </w:r>
      <w:r>
        <w:rPr>
          <w:rFonts w:ascii="Times New Roman" w:hAnsi="Times New Roman" w:cs="Times New Roman" w:eastAsia="Times New Roman" w:hint="default"/>
          <w:spacing w:val="-6"/>
          <w:sz w:val="22"/>
          <w:szCs w:val="22"/>
        </w:rPr>
        <w:t>2015</w:t>
      </w:r>
      <w:r>
        <w:rPr>
          <w:rFonts w:ascii="Times New Roman" w:hAnsi="Times New Roman" w:cs="Times New Roman" w:eastAsia="Times New Roman" w:hint="default"/>
          <w:spacing w:val="4"/>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Times New Roman" w:hAnsi="Times New Roman" w:cs="Times New Roman" w:eastAsia="Times New Roman" w:hint="default"/>
          <w:spacing w:val="-4"/>
          <w:sz w:val="22"/>
          <w:szCs w:val="22"/>
        </w:rPr>
        <w:t>12</w:t>
      </w:r>
      <w:r>
        <w:rPr>
          <w:rFonts w:ascii="Times New Roman" w:hAnsi="Times New Roman" w:cs="Times New Roman" w:eastAsia="Times New Roman" w:hint="default"/>
          <w:spacing w:val="4"/>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Times New Roman" w:hAnsi="Times New Roman" w:cs="Times New Roman" w:eastAsia="Times New Roman" w:hint="default"/>
          <w:spacing w:val="-4"/>
          <w:sz w:val="22"/>
          <w:szCs w:val="22"/>
        </w:rPr>
        <w:t>31</w:t>
      </w:r>
      <w:r>
        <w:rPr>
          <w:rFonts w:ascii="Times New Roman" w:hAnsi="Times New Roman" w:cs="Times New Roman" w:eastAsia="Times New Roman" w:hint="default"/>
          <w:spacing w:val="6"/>
          <w:sz w:val="22"/>
          <w:szCs w:val="22"/>
        </w:rPr>
        <w:t> </w:t>
      </w:r>
      <w:r>
        <w:rPr>
          <w:rFonts w:ascii="宋体" w:hAnsi="宋体" w:cs="宋体" w:eastAsia="宋体" w:hint="default"/>
          <w:spacing w:val="-12"/>
          <w:sz w:val="22"/>
          <w:szCs w:val="22"/>
        </w:rPr>
        <w:t>日，本公司长期质押借款情况如下：本公司之二级子公司佳木斯龙</w:t>
      </w:r>
      <w:r>
        <w:rPr>
          <w:rFonts w:ascii="宋体" w:hAnsi="宋体" w:cs="宋体" w:eastAsia="宋体" w:hint="default"/>
          <w:w w:val="100"/>
          <w:sz w:val="22"/>
          <w:szCs w:val="22"/>
        </w:rPr>
        <w:t> </w:t>
      </w:r>
      <w:r>
        <w:rPr>
          <w:rFonts w:ascii="宋体" w:hAnsi="宋体" w:cs="宋体" w:eastAsia="宋体" w:hint="default"/>
          <w:sz w:val="22"/>
          <w:szCs w:val="22"/>
        </w:rPr>
        <w:t>江环保水务有限公司以部分</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BOT</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项目特许经营权质押取得借款</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37,900,000.00</w:t>
      </w:r>
      <w:r>
        <w:rPr>
          <w:rFonts w:ascii="Times New Roman" w:hAnsi="Times New Roman" w:cs="Times New Roman" w:eastAsia="Times New Roman" w:hint="default"/>
          <w:spacing w:val="-1"/>
          <w:sz w:val="22"/>
          <w:szCs w:val="22"/>
        </w:rPr>
        <w:t> </w:t>
      </w:r>
      <w:r>
        <w:rPr>
          <w:rFonts w:ascii="宋体" w:hAnsi="宋体" w:cs="宋体" w:eastAsia="宋体" w:hint="default"/>
          <w:spacing w:val="-5"/>
          <w:sz w:val="22"/>
          <w:szCs w:val="22"/>
        </w:rPr>
        <w:t>元；本公司</w:t>
      </w:r>
    </w:p>
    <w:p>
      <w:pPr>
        <w:spacing w:after="0" w:line="280" w:lineRule="auto"/>
        <w:jc w:val="both"/>
        <w:rPr>
          <w:rFonts w:ascii="宋体" w:hAnsi="宋体" w:cs="宋体" w:eastAsia="宋体" w:hint="default"/>
          <w:sz w:val="22"/>
          <w:szCs w:val="22"/>
        </w:rPr>
        <w:sectPr>
          <w:headerReference w:type="default" r:id="rId79"/>
          <w:pgSz w:w="11910" w:h="16840"/>
          <w:pgMar w:header="0" w:footer="816" w:top="560" w:bottom="1020" w:left="1460" w:right="1480"/>
        </w:sectPr>
      </w:pPr>
    </w:p>
    <w:p>
      <w:pPr>
        <w:spacing w:line="240" w:lineRule="auto" w:before="1"/>
        <w:rPr>
          <w:rFonts w:ascii="宋体" w:hAnsi="宋体" w:cs="宋体" w:eastAsia="宋体" w:hint="default"/>
          <w:sz w:val="22"/>
          <w:szCs w:val="22"/>
        </w:rPr>
      </w:pPr>
    </w:p>
    <w:p>
      <w:pPr>
        <w:spacing w:line="280" w:lineRule="auto" w:before="32"/>
        <w:ind w:left="242" w:right="215" w:firstLine="0"/>
        <w:jc w:val="both"/>
        <w:rPr>
          <w:rFonts w:ascii="宋体" w:hAnsi="宋体" w:cs="宋体" w:eastAsia="宋体" w:hint="default"/>
          <w:sz w:val="22"/>
          <w:szCs w:val="22"/>
        </w:rPr>
      </w:pPr>
      <w:r>
        <w:rPr>
          <w:rFonts w:ascii="宋体" w:hAnsi="宋体" w:cs="宋体" w:eastAsia="宋体" w:hint="default"/>
          <w:spacing w:val="8"/>
          <w:sz w:val="22"/>
          <w:szCs w:val="22"/>
        </w:rPr>
        <w:t>之二级子公司牡丹江龙江环保供水有限公司以部分</w:t>
      </w:r>
      <w:r>
        <w:rPr>
          <w:rFonts w:ascii="宋体" w:hAnsi="宋体" w:cs="宋体" w:eastAsia="宋体" w:hint="default"/>
          <w:spacing w:val="46"/>
          <w:sz w:val="22"/>
          <w:szCs w:val="22"/>
        </w:rPr>
        <w:t> </w:t>
      </w:r>
      <w:r>
        <w:rPr>
          <w:rFonts w:ascii="Times New Roman" w:hAnsi="Times New Roman" w:cs="Times New Roman" w:eastAsia="Times New Roman" w:hint="default"/>
          <w:sz w:val="22"/>
          <w:szCs w:val="22"/>
        </w:rPr>
        <w:t>TOT</w:t>
      </w:r>
      <w:r>
        <w:rPr>
          <w:rFonts w:ascii="Times New Roman" w:hAnsi="Times New Roman" w:cs="Times New Roman" w:eastAsia="Times New Roman" w:hint="default"/>
          <w:spacing w:val="39"/>
          <w:sz w:val="22"/>
          <w:szCs w:val="22"/>
        </w:rPr>
        <w:t> </w:t>
      </w:r>
      <w:r>
        <w:rPr>
          <w:rFonts w:ascii="宋体" w:hAnsi="宋体" w:cs="宋体" w:eastAsia="宋体" w:hint="default"/>
          <w:spacing w:val="8"/>
          <w:sz w:val="22"/>
          <w:szCs w:val="22"/>
        </w:rPr>
        <w:t>项目的收费权质押取得借款</w:t>
      </w:r>
      <w:r>
        <w:rPr>
          <w:rFonts w:ascii="宋体" w:hAnsi="宋体" w:cs="宋体" w:eastAsia="宋体" w:hint="default"/>
          <w:spacing w:val="-105"/>
          <w:sz w:val="22"/>
          <w:szCs w:val="22"/>
        </w:rPr>
        <w:t> </w:t>
      </w:r>
      <w:r>
        <w:rPr>
          <w:rFonts w:ascii="宋体" w:hAnsi="宋体" w:cs="宋体" w:eastAsia="宋体" w:hint="default"/>
          <w:spacing w:val="-105"/>
          <w:sz w:val="22"/>
          <w:szCs w:val="22"/>
        </w:rPr>
      </w:r>
      <w:r>
        <w:rPr>
          <w:rFonts w:ascii="Times New Roman" w:hAnsi="Times New Roman" w:cs="Times New Roman" w:eastAsia="Times New Roman" w:hint="default"/>
          <w:sz w:val="22"/>
          <w:szCs w:val="22"/>
        </w:rPr>
        <w:t>70,000,000.00</w:t>
      </w:r>
      <w:r>
        <w:rPr>
          <w:rFonts w:ascii="Times New Roman" w:hAnsi="Times New Roman" w:cs="Times New Roman" w:eastAsia="Times New Roman" w:hint="default"/>
          <w:spacing w:val="42"/>
          <w:sz w:val="22"/>
          <w:szCs w:val="22"/>
        </w:rPr>
        <w:t> </w:t>
      </w:r>
      <w:r>
        <w:rPr>
          <w:rFonts w:ascii="宋体" w:hAnsi="宋体" w:cs="宋体" w:eastAsia="宋体" w:hint="default"/>
          <w:spacing w:val="-4"/>
          <w:sz w:val="22"/>
          <w:szCs w:val="22"/>
        </w:rPr>
        <w:t>元，并由其母公司龙江环保集团股份有限公司提供保证担保；本公司之二级</w:t>
      </w:r>
      <w:r>
        <w:rPr>
          <w:rFonts w:ascii="宋体" w:hAnsi="宋体" w:cs="宋体" w:eastAsia="宋体" w:hint="default"/>
          <w:spacing w:val="-101"/>
          <w:sz w:val="22"/>
          <w:szCs w:val="22"/>
        </w:rPr>
        <w:t> </w:t>
      </w:r>
      <w:r>
        <w:rPr>
          <w:rFonts w:ascii="宋体" w:hAnsi="宋体" w:cs="宋体" w:eastAsia="宋体" w:hint="default"/>
          <w:spacing w:val="-101"/>
          <w:sz w:val="22"/>
          <w:szCs w:val="22"/>
        </w:rPr>
      </w:r>
      <w:r>
        <w:rPr>
          <w:rFonts w:ascii="宋体" w:hAnsi="宋体" w:cs="宋体" w:eastAsia="宋体" w:hint="default"/>
          <w:spacing w:val="2"/>
          <w:sz w:val="22"/>
          <w:szCs w:val="22"/>
        </w:rPr>
        <w:t>子公司哈尔滨文太升龙江环保水务有限责任公司以部分</w:t>
      </w:r>
      <w:r>
        <w:rPr>
          <w:rFonts w:ascii="宋体" w:hAnsi="宋体" w:cs="宋体" w:eastAsia="宋体" w:hint="default"/>
          <w:spacing w:val="33"/>
          <w:sz w:val="22"/>
          <w:szCs w:val="22"/>
        </w:rPr>
        <w:t> </w:t>
      </w:r>
      <w:r>
        <w:rPr>
          <w:rFonts w:ascii="Times New Roman" w:hAnsi="Times New Roman" w:cs="Times New Roman" w:eastAsia="Times New Roman" w:hint="default"/>
          <w:sz w:val="22"/>
          <w:szCs w:val="22"/>
        </w:rPr>
        <w:t>BOT</w:t>
      </w:r>
      <w:r>
        <w:rPr>
          <w:rFonts w:ascii="Times New Roman" w:hAnsi="Times New Roman" w:cs="Times New Roman" w:eastAsia="Times New Roman" w:hint="default"/>
          <w:spacing w:val="26"/>
          <w:sz w:val="22"/>
          <w:szCs w:val="22"/>
        </w:rPr>
        <w:t> </w:t>
      </w:r>
      <w:r>
        <w:rPr>
          <w:rFonts w:ascii="宋体" w:hAnsi="宋体" w:cs="宋体" w:eastAsia="宋体" w:hint="default"/>
          <w:spacing w:val="2"/>
          <w:sz w:val="22"/>
          <w:szCs w:val="22"/>
        </w:rPr>
        <w:t>项目收费权质押取得借款</w:t>
      </w:r>
      <w:r>
        <w:rPr>
          <w:rFonts w:ascii="宋体" w:hAnsi="宋体" w:cs="宋体" w:eastAsia="宋体" w:hint="default"/>
          <w:spacing w:val="-107"/>
          <w:sz w:val="22"/>
          <w:szCs w:val="22"/>
        </w:rPr>
        <w:t> </w:t>
      </w:r>
      <w:r>
        <w:rPr>
          <w:rFonts w:ascii="宋体" w:hAnsi="宋体" w:cs="宋体" w:eastAsia="宋体" w:hint="default"/>
          <w:spacing w:val="-107"/>
          <w:sz w:val="22"/>
          <w:szCs w:val="22"/>
        </w:rPr>
      </w:r>
      <w:r>
        <w:rPr>
          <w:rFonts w:ascii="Times New Roman" w:hAnsi="Times New Roman" w:cs="Times New Roman" w:eastAsia="Times New Roman" w:hint="default"/>
          <w:sz w:val="22"/>
          <w:szCs w:val="22"/>
        </w:rPr>
        <w:t>157,020,833.33 </w:t>
      </w:r>
      <w:r>
        <w:rPr>
          <w:rFonts w:ascii="宋体" w:hAnsi="宋体" w:cs="宋体" w:eastAsia="宋体" w:hint="default"/>
          <w:spacing w:val="-4"/>
          <w:sz w:val="22"/>
          <w:szCs w:val="22"/>
        </w:rPr>
        <w:t>元，由其母公司龙江环保集团股份有限公司以部分 </w:t>
      </w:r>
      <w:r>
        <w:rPr>
          <w:rFonts w:ascii="Times New Roman" w:hAnsi="Times New Roman" w:cs="Times New Roman" w:eastAsia="Times New Roman" w:hint="default"/>
          <w:sz w:val="22"/>
          <w:szCs w:val="22"/>
        </w:rPr>
        <w:t>TOT</w:t>
      </w:r>
      <w:r>
        <w:rPr>
          <w:rFonts w:ascii="Times New Roman" w:hAnsi="Times New Roman" w:cs="Times New Roman" w:eastAsia="Times New Roman" w:hint="default"/>
          <w:spacing w:val="-32"/>
          <w:sz w:val="22"/>
          <w:szCs w:val="22"/>
        </w:rPr>
        <w:t> </w:t>
      </w:r>
      <w:r>
        <w:rPr>
          <w:rFonts w:ascii="宋体" w:hAnsi="宋体" w:cs="宋体" w:eastAsia="宋体" w:hint="default"/>
          <w:sz w:val="22"/>
          <w:szCs w:val="22"/>
        </w:rPr>
        <w:t>项目的收费权提供</w:t>
      </w:r>
      <w:r>
        <w:rPr>
          <w:rFonts w:ascii="宋体" w:hAnsi="宋体" w:cs="宋体" w:eastAsia="宋体" w:hint="default"/>
          <w:w w:val="100"/>
          <w:sz w:val="22"/>
          <w:szCs w:val="22"/>
        </w:rPr>
        <w:t> </w:t>
      </w:r>
      <w:r>
        <w:rPr>
          <w:rFonts w:ascii="宋体" w:hAnsi="宋体" w:cs="宋体" w:eastAsia="宋体" w:hint="default"/>
          <w:sz w:val="22"/>
          <w:szCs w:val="22"/>
        </w:rPr>
        <w:t>质押担保并提供保证担保；本公司之子公司淮安同方水务有限公司以部分 </w:t>
      </w:r>
      <w:r>
        <w:rPr>
          <w:rFonts w:ascii="Times New Roman" w:hAnsi="Times New Roman" w:cs="Times New Roman" w:eastAsia="Times New Roman" w:hint="default"/>
          <w:sz w:val="22"/>
          <w:szCs w:val="22"/>
        </w:rPr>
        <w:t>BOT</w:t>
      </w:r>
      <w:r>
        <w:rPr>
          <w:rFonts w:ascii="宋体" w:hAnsi="宋体" w:cs="宋体" w:eastAsia="宋体" w:hint="default"/>
          <w:sz w:val="22"/>
          <w:szCs w:val="22"/>
        </w:rPr>
        <w:t>、</w:t>
      </w:r>
      <w:r>
        <w:rPr>
          <w:rFonts w:ascii="Times New Roman" w:hAnsi="Times New Roman" w:cs="Times New Roman" w:eastAsia="Times New Roman" w:hint="default"/>
          <w:sz w:val="22"/>
          <w:szCs w:val="22"/>
        </w:rPr>
        <w:t>TOT</w:t>
      </w:r>
      <w:r>
        <w:rPr>
          <w:rFonts w:ascii="Times New Roman" w:hAnsi="Times New Roman" w:cs="Times New Roman" w:eastAsia="Times New Roman" w:hint="default"/>
          <w:spacing w:val="-13"/>
          <w:sz w:val="22"/>
          <w:szCs w:val="22"/>
        </w:rPr>
        <w:t> </w:t>
      </w:r>
      <w:r>
        <w:rPr>
          <w:rFonts w:ascii="宋体" w:hAnsi="宋体" w:cs="宋体" w:eastAsia="宋体" w:hint="default"/>
          <w:sz w:val="22"/>
          <w:szCs w:val="22"/>
        </w:rPr>
        <w:t>项</w:t>
      </w:r>
      <w:r>
        <w:rPr>
          <w:rFonts w:ascii="宋体" w:hAnsi="宋体" w:cs="宋体" w:eastAsia="宋体" w:hint="default"/>
          <w:w w:val="100"/>
          <w:sz w:val="22"/>
          <w:szCs w:val="22"/>
        </w:rPr>
        <w:t> </w:t>
      </w:r>
      <w:r>
        <w:rPr>
          <w:rFonts w:ascii="宋体" w:hAnsi="宋体" w:cs="宋体" w:eastAsia="宋体" w:hint="default"/>
          <w:sz w:val="22"/>
          <w:szCs w:val="22"/>
        </w:rPr>
        <w:t>目收费权质押取得借款</w:t>
      </w:r>
      <w:r>
        <w:rPr>
          <w:rFonts w:ascii="宋体" w:hAnsi="宋体" w:cs="宋体" w:eastAsia="宋体" w:hint="default"/>
          <w:spacing w:val="-59"/>
          <w:sz w:val="22"/>
          <w:szCs w:val="22"/>
        </w:rPr>
        <w:t> </w:t>
      </w:r>
      <w:r>
        <w:rPr>
          <w:rFonts w:ascii="Times New Roman" w:hAnsi="Times New Roman" w:cs="Times New Roman" w:eastAsia="Times New Roman" w:hint="default"/>
          <w:sz w:val="22"/>
          <w:szCs w:val="22"/>
        </w:rPr>
        <w:t>201,000,000.00</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元，并由本公司提供保证担保。</w:t>
      </w:r>
    </w:p>
    <w:p>
      <w:pPr>
        <w:spacing w:before="71"/>
        <w:ind w:left="64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34.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应付债券</w:t>
      </w:r>
    </w:p>
    <w:p>
      <w:pPr>
        <w:spacing w:before="113"/>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应付债券分类</w:t>
      </w:r>
    </w:p>
    <w:p>
      <w:pPr>
        <w:spacing w:line="240" w:lineRule="auto" w:before="5"/>
        <w:rPr>
          <w:rFonts w:ascii="宋体" w:hAnsi="宋体" w:cs="宋体" w:eastAsia="宋体" w:hint="default"/>
          <w:sz w:val="11"/>
          <w:szCs w:val="11"/>
        </w:rPr>
      </w:pPr>
    </w:p>
    <w:tbl>
      <w:tblPr>
        <w:tblW w:w="0" w:type="auto"/>
        <w:jc w:val="left"/>
        <w:tblInd w:w="134" w:type="dxa"/>
        <w:tblLayout w:type="fixed"/>
        <w:tblCellMar>
          <w:top w:w="0" w:type="dxa"/>
          <w:left w:w="0" w:type="dxa"/>
          <w:bottom w:w="0" w:type="dxa"/>
          <w:right w:w="0" w:type="dxa"/>
        </w:tblCellMar>
        <w:tblLook w:val="01E0"/>
      </w:tblPr>
      <w:tblGrid>
        <w:gridCol w:w="2638"/>
        <w:gridCol w:w="3895"/>
        <w:gridCol w:w="2193"/>
      </w:tblGrid>
      <w:tr>
        <w:trPr>
          <w:trHeight w:val="305" w:hRule="exact"/>
        </w:trPr>
        <w:tc>
          <w:tcPr>
            <w:tcW w:w="263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89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22"/>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19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295" w:hRule="exact"/>
        </w:trPr>
        <w:tc>
          <w:tcPr>
            <w:tcW w:w="2638"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中期票据</w:t>
            </w:r>
          </w:p>
        </w:tc>
        <w:tc>
          <w:tcPr>
            <w:tcW w:w="389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822"/>
              <w:jc w:val="right"/>
              <w:rPr>
                <w:rFonts w:ascii="Times New Roman" w:hAnsi="Times New Roman" w:cs="Times New Roman" w:eastAsia="Times New Roman" w:hint="default"/>
                <w:sz w:val="18"/>
                <w:szCs w:val="18"/>
              </w:rPr>
            </w:pPr>
            <w:r>
              <w:rPr>
                <w:rFonts w:ascii="Times New Roman"/>
                <w:spacing w:val="-1"/>
                <w:sz w:val="18"/>
              </w:rPr>
              <w:t>1,500,000,000.00</w:t>
            </w:r>
          </w:p>
        </w:tc>
        <w:tc>
          <w:tcPr>
            <w:tcW w:w="219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spacing w:val="-1"/>
                <w:sz w:val="18"/>
              </w:rPr>
              <w:t>1,500,000,000.00</w:t>
            </w:r>
          </w:p>
        </w:tc>
      </w:tr>
      <w:tr>
        <w:trPr>
          <w:trHeight w:val="307" w:hRule="exact"/>
        </w:trPr>
        <w:tc>
          <w:tcPr>
            <w:tcW w:w="2638"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89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822"/>
              <w:jc w:val="right"/>
              <w:rPr>
                <w:rFonts w:ascii="Times New Roman" w:hAnsi="Times New Roman" w:cs="Times New Roman" w:eastAsia="Times New Roman" w:hint="default"/>
                <w:sz w:val="18"/>
                <w:szCs w:val="18"/>
              </w:rPr>
            </w:pPr>
            <w:r>
              <w:rPr>
                <w:rFonts w:ascii="Times New Roman"/>
                <w:b/>
                <w:spacing w:val="-1"/>
                <w:sz w:val="18"/>
              </w:rPr>
              <w:t>1,500,000,000.00</w:t>
            </w:r>
            <w:r>
              <w:rPr>
                <w:rFonts w:ascii="Times New Roman"/>
                <w:spacing w:val="-1"/>
                <w:sz w:val="18"/>
              </w:rPr>
            </w:r>
          </w:p>
        </w:tc>
        <w:tc>
          <w:tcPr>
            <w:tcW w:w="219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1,500,000,000.00</w:t>
            </w:r>
            <w:r>
              <w:rPr>
                <w:rFonts w:ascii="Times New Roman"/>
                <w:spacing w:val="-1"/>
                <w:sz w:val="18"/>
              </w:rPr>
            </w:r>
          </w:p>
        </w:tc>
      </w:tr>
    </w:tbl>
    <w:p>
      <w:pPr>
        <w:spacing w:before="82"/>
        <w:ind w:left="1602"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r>
      <w:r>
        <w:rPr>
          <w:rFonts w:ascii="Times New Roman" w:hAnsi="Times New Roman" w:cs="Times New Roman" w:eastAsia="Times New Roman" w:hint="default"/>
          <w:b/>
          <w:bCs/>
          <w:spacing w:val="8"/>
          <w:sz w:val="22"/>
          <w:szCs w:val="22"/>
        </w:rPr>
        <w:t> </w:t>
      </w:r>
      <w:r>
        <w:rPr>
          <w:rFonts w:ascii="宋体" w:hAnsi="宋体" w:cs="宋体" w:eastAsia="宋体" w:hint="default"/>
          <w:sz w:val="22"/>
          <w:szCs w:val="22"/>
        </w:rPr>
        <w:t>应付债券的增减变动</w:t>
      </w:r>
    </w:p>
    <w:p>
      <w:pPr>
        <w:spacing w:line="240" w:lineRule="auto" w:before="5"/>
        <w:rPr>
          <w:rFonts w:ascii="宋体" w:hAnsi="宋体" w:cs="宋体" w:eastAsia="宋体" w:hint="default"/>
          <w:sz w:val="11"/>
          <w:szCs w:val="11"/>
        </w:rPr>
      </w:pPr>
    </w:p>
    <w:tbl>
      <w:tblPr>
        <w:tblW w:w="0" w:type="auto"/>
        <w:jc w:val="left"/>
        <w:tblInd w:w="184" w:type="dxa"/>
        <w:tblLayout w:type="fixed"/>
        <w:tblCellMar>
          <w:top w:w="0" w:type="dxa"/>
          <w:left w:w="0" w:type="dxa"/>
          <w:bottom w:w="0" w:type="dxa"/>
          <w:right w:w="0" w:type="dxa"/>
        </w:tblCellMar>
        <w:tblLook w:val="01E0"/>
      </w:tblPr>
      <w:tblGrid>
        <w:gridCol w:w="1455"/>
        <w:gridCol w:w="1429"/>
        <w:gridCol w:w="1009"/>
        <w:gridCol w:w="559"/>
        <w:gridCol w:w="1440"/>
        <w:gridCol w:w="1673"/>
        <w:gridCol w:w="1116"/>
      </w:tblGrid>
      <w:tr>
        <w:trPr>
          <w:trHeight w:val="487" w:hRule="exact"/>
        </w:trPr>
        <w:tc>
          <w:tcPr>
            <w:tcW w:w="1455" w:type="dxa"/>
            <w:tcBorders>
              <w:top w:val="single" w:sz="12" w:space="0" w:color="000000"/>
              <w:left w:val="nil" w:sz="6" w:space="0" w:color="auto"/>
              <w:bottom w:val="single" w:sz="4" w:space="0" w:color="000000"/>
              <w:right w:val="nil" w:sz="6" w:space="0" w:color="auto"/>
            </w:tcBorders>
          </w:tcPr>
          <w:p>
            <w:pPr>
              <w:pStyle w:val="TableParagraph"/>
              <w:spacing w:line="240" w:lineRule="auto" w:before="89"/>
              <w:ind w:left="57" w:right="0"/>
              <w:jc w:val="left"/>
              <w:rPr>
                <w:rFonts w:ascii="宋体" w:hAnsi="宋体" w:cs="宋体" w:eastAsia="宋体" w:hint="default"/>
                <w:sz w:val="18"/>
                <w:szCs w:val="18"/>
              </w:rPr>
            </w:pPr>
            <w:r>
              <w:rPr>
                <w:rFonts w:ascii="宋体" w:hAnsi="宋体" w:cs="宋体" w:eastAsia="宋体" w:hint="default"/>
                <w:b/>
                <w:bCs/>
                <w:sz w:val="18"/>
                <w:szCs w:val="18"/>
              </w:rPr>
              <w:t>债券名称</w:t>
            </w:r>
            <w:r>
              <w:rPr>
                <w:rFonts w:ascii="宋体" w:hAnsi="宋体" w:cs="宋体" w:eastAsia="宋体" w:hint="default"/>
                <w:sz w:val="18"/>
                <w:szCs w:val="18"/>
              </w:rPr>
            </w:r>
          </w:p>
        </w:tc>
        <w:tc>
          <w:tcPr>
            <w:tcW w:w="1429" w:type="dxa"/>
            <w:tcBorders>
              <w:top w:val="single" w:sz="12" w:space="0" w:color="000000"/>
              <w:left w:val="nil" w:sz="6" w:space="0" w:color="auto"/>
              <w:bottom w:val="single" w:sz="4" w:space="0" w:color="000000"/>
              <w:right w:val="nil" w:sz="6" w:space="0" w:color="auto"/>
            </w:tcBorders>
          </w:tcPr>
          <w:p>
            <w:pPr>
              <w:pStyle w:val="TableParagraph"/>
              <w:spacing w:line="240" w:lineRule="auto" w:before="89"/>
              <w:ind w:right="71"/>
              <w:jc w:val="right"/>
              <w:rPr>
                <w:rFonts w:ascii="宋体" w:hAnsi="宋体" w:cs="宋体" w:eastAsia="宋体" w:hint="default"/>
                <w:sz w:val="18"/>
                <w:szCs w:val="18"/>
              </w:rPr>
            </w:pPr>
            <w:r>
              <w:rPr>
                <w:rFonts w:ascii="宋体" w:hAnsi="宋体" w:cs="宋体" w:eastAsia="宋体" w:hint="default"/>
                <w:b/>
                <w:bCs/>
                <w:w w:val="95"/>
                <w:sz w:val="18"/>
                <w:szCs w:val="18"/>
              </w:rPr>
              <w:t>面值总额</w:t>
            </w:r>
            <w:r>
              <w:rPr>
                <w:rFonts w:ascii="宋体" w:hAnsi="宋体" w:cs="宋体" w:eastAsia="宋体" w:hint="default"/>
                <w:sz w:val="18"/>
                <w:szCs w:val="18"/>
              </w:rPr>
            </w:r>
          </w:p>
        </w:tc>
        <w:tc>
          <w:tcPr>
            <w:tcW w:w="1009" w:type="dxa"/>
            <w:tcBorders>
              <w:top w:val="single" w:sz="12" w:space="0" w:color="000000"/>
              <w:left w:val="nil" w:sz="6" w:space="0" w:color="auto"/>
              <w:bottom w:val="single" w:sz="4" w:space="0" w:color="000000"/>
              <w:right w:val="nil" w:sz="6" w:space="0" w:color="auto"/>
            </w:tcBorders>
          </w:tcPr>
          <w:p>
            <w:pPr>
              <w:pStyle w:val="TableParagraph"/>
              <w:spacing w:line="240" w:lineRule="auto" w:before="89"/>
              <w:ind w:right="23"/>
              <w:jc w:val="center"/>
              <w:rPr>
                <w:rFonts w:ascii="宋体" w:hAnsi="宋体" w:cs="宋体" w:eastAsia="宋体" w:hint="default"/>
                <w:sz w:val="18"/>
                <w:szCs w:val="18"/>
              </w:rPr>
            </w:pPr>
            <w:r>
              <w:rPr>
                <w:rFonts w:ascii="宋体" w:hAnsi="宋体" w:cs="宋体" w:eastAsia="宋体" w:hint="default"/>
                <w:b/>
                <w:bCs/>
                <w:sz w:val="18"/>
                <w:szCs w:val="18"/>
              </w:rPr>
              <w:t>发行日期</w:t>
            </w:r>
            <w:r>
              <w:rPr>
                <w:rFonts w:ascii="宋体" w:hAnsi="宋体" w:cs="宋体" w:eastAsia="宋体" w:hint="default"/>
                <w:sz w:val="18"/>
                <w:szCs w:val="18"/>
              </w:rPr>
            </w:r>
          </w:p>
        </w:tc>
        <w:tc>
          <w:tcPr>
            <w:tcW w:w="559" w:type="dxa"/>
            <w:tcBorders>
              <w:top w:val="single" w:sz="12" w:space="0" w:color="000000"/>
              <w:left w:val="nil" w:sz="6" w:space="0" w:color="auto"/>
              <w:bottom w:val="single" w:sz="4" w:space="0" w:color="000000"/>
              <w:right w:val="nil" w:sz="6" w:space="0" w:color="auto"/>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债券</w:t>
            </w:r>
            <w:r>
              <w:rPr>
                <w:rFonts w:ascii="宋体" w:hAnsi="宋体" w:cs="宋体" w:eastAsia="宋体" w:hint="default"/>
                <w:sz w:val="18"/>
                <w:szCs w:val="18"/>
              </w:rPr>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期限</w:t>
            </w:r>
            <w:r>
              <w:rPr>
                <w:rFonts w:ascii="宋体" w:hAnsi="宋体" w:cs="宋体" w:eastAsia="宋体" w:hint="default"/>
                <w:sz w:val="18"/>
                <w:szCs w:val="18"/>
              </w:rPr>
            </w:r>
          </w:p>
        </w:tc>
        <w:tc>
          <w:tcPr>
            <w:tcW w:w="1440" w:type="dxa"/>
            <w:tcBorders>
              <w:top w:val="single" w:sz="12" w:space="0" w:color="000000"/>
              <w:left w:val="nil" w:sz="6" w:space="0" w:color="auto"/>
              <w:bottom w:val="single" w:sz="4" w:space="0" w:color="000000"/>
              <w:right w:val="nil" w:sz="6" w:space="0" w:color="auto"/>
            </w:tcBorders>
          </w:tcPr>
          <w:p>
            <w:pPr>
              <w:pStyle w:val="TableParagraph"/>
              <w:spacing w:line="240" w:lineRule="auto" w:before="89"/>
              <w:ind w:right="77"/>
              <w:jc w:val="right"/>
              <w:rPr>
                <w:rFonts w:ascii="宋体" w:hAnsi="宋体" w:cs="宋体" w:eastAsia="宋体" w:hint="default"/>
                <w:sz w:val="18"/>
                <w:szCs w:val="18"/>
              </w:rPr>
            </w:pPr>
            <w:r>
              <w:rPr>
                <w:rFonts w:ascii="宋体" w:hAnsi="宋体" w:cs="宋体" w:eastAsia="宋体" w:hint="default"/>
                <w:b/>
                <w:bCs/>
                <w:w w:val="95"/>
                <w:sz w:val="18"/>
                <w:szCs w:val="18"/>
              </w:rPr>
              <w:t>发行金额</w:t>
            </w:r>
            <w:r>
              <w:rPr>
                <w:rFonts w:ascii="宋体" w:hAnsi="宋体" w:cs="宋体" w:eastAsia="宋体" w:hint="default"/>
                <w:sz w:val="18"/>
                <w:szCs w:val="18"/>
              </w:rPr>
            </w:r>
          </w:p>
        </w:tc>
        <w:tc>
          <w:tcPr>
            <w:tcW w:w="1673" w:type="dxa"/>
            <w:tcBorders>
              <w:top w:val="single" w:sz="12" w:space="0" w:color="000000"/>
              <w:left w:val="nil" w:sz="6" w:space="0" w:color="auto"/>
              <w:bottom w:val="single" w:sz="4" w:space="0" w:color="000000"/>
              <w:right w:val="nil" w:sz="6" w:space="0" w:color="auto"/>
            </w:tcBorders>
          </w:tcPr>
          <w:p>
            <w:pPr>
              <w:pStyle w:val="TableParagraph"/>
              <w:spacing w:line="240" w:lineRule="auto" w:before="89"/>
              <w:ind w:right="332"/>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c>
          <w:tcPr>
            <w:tcW w:w="1116" w:type="dxa"/>
            <w:tcBorders>
              <w:top w:val="single" w:sz="12" w:space="0" w:color="000000"/>
              <w:left w:val="nil" w:sz="6" w:space="0" w:color="auto"/>
              <w:bottom w:val="single" w:sz="4" w:space="0" w:color="000000"/>
              <w:right w:val="nil" w:sz="6" w:space="0" w:color="auto"/>
            </w:tcBorders>
          </w:tcPr>
          <w:p>
            <w:pPr>
              <w:pStyle w:val="TableParagraph"/>
              <w:spacing w:line="240" w:lineRule="auto" w:before="89"/>
              <w:ind w:right="58"/>
              <w:jc w:val="right"/>
              <w:rPr>
                <w:rFonts w:ascii="宋体" w:hAnsi="宋体" w:cs="宋体" w:eastAsia="宋体" w:hint="default"/>
                <w:sz w:val="18"/>
                <w:szCs w:val="18"/>
              </w:rPr>
            </w:pPr>
            <w:r>
              <w:rPr>
                <w:rFonts w:ascii="宋体" w:hAnsi="宋体" w:cs="宋体" w:eastAsia="宋体" w:hint="default"/>
                <w:b/>
                <w:bCs/>
                <w:w w:val="95"/>
                <w:sz w:val="18"/>
                <w:szCs w:val="18"/>
              </w:rPr>
              <w:t>本年发行</w:t>
            </w:r>
            <w:r>
              <w:rPr>
                <w:rFonts w:ascii="宋体" w:hAnsi="宋体" w:cs="宋体" w:eastAsia="宋体" w:hint="default"/>
                <w:sz w:val="18"/>
                <w:szCs w:val="18"/>
              </w:rPr>
            </w:r>
          </w:p>
        </w:tc>
      </w:tr>
      <w:tr>
        <w:trPr>
          <w:trHeight w:val="325" w:hRule="exact"/>
        </w:trPr>
        <w:tc>
          <w:tcPr>
            <w:tcW w:w="1455"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5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14 </w:t>
            </w:r>
            <w:r>
              <w:rPr>
                <w:rFonts w:ascii="宋体" w:hAnsi="宋体" w:cs="宋体" w:eastAsia="宋体" w:hint="default"/>
                <w:sz w:val="18"/>
                <w:szCs w:val="18"/>
              </w:rPr>
              <w:t>同方</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MTN001</w:t>
            </w:r>
          </w:p>
        </w:tc>
        <w:tc>
          <w:tcPr>
            <w:tcW w:w="1429"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71"/>
              <w:jc w:val="right"/>
              <w:rPr>
                <w:rFonts w:ascii="Times New Roman" w:hAnsi="Times New Roman" w:cs="Times New Roman" w:eastAsia="Times New Roman" w:hint="default"/>
                <w:sz w:val="18"/>
                <w:szCs w:val="18"/>
              </w:rPr>
            </w:pPr>
            <w:r>
              <w:rPr>
                <w:rFonts w:ascii="Times New Roman"/>
                <w:spacing w:val="-1"/>
                <w:sz w:val="18"/>
              </w:rPr>
              <w:t>800,000,000.00</w:t>
            </w:r>
          </w:p>
        </w:tc>
        <w:tc>
          <w:tcPr>
            <w:tcW w:w="1009"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8"/>
              <w:jc w:val="center"/>
              <w:rPr>
                <w:rFonts w:ascii="Times New Roman" w:hAnsi="Times New Roman" w:cs="Times New Roman" w:eastAsia="Times New Roman" w:hint="default"/>
                <w:sz w:val="18"/>
                <w:szCs w:val="18"/>
              </w:rPr>
            </w:pPr>
            <w:r>
              <w:rPr>
                <w:rFonts w:ascii="Times New Roman"/>
                <w:sz w:val="18"/>
              </w:rPr>
              <w:t>2014-03-21</w:t>
            </w:r>
          </w:p>
        </w:tc>
        <w:tc>
          <w:tcPr>
            <w:tcW w:w="559"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40"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77"/>
              <w:jc w:val="right"/>
              <w:rPr>
                <w:rFonts w:ascii="Times New Roman" w:hAnsi="Times New Roman" w:cs="Times New Roman" w:eastAsia="Times New Roman" w:hint="default"/>
                <w:sz w:val="18"/>
                <w:szCs w:val="18"/>
              </w:rPr>
            </w:pPr>
            <w:r>
              <w:rPr>
                <w:rFonts w:ascii="Times New Roman"/>
                <w:spacing w:val="-1"/>
                <w:sz w:val="18"/>
              </w:rPr>
              <w:t>800,000,000.00</w:t>
            </w:r>
          </w:p>
        </w:tc>
        <w:tc>
          <w:tcPr>
            <w:tcW w:w="1673"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331"/>
              <w:jc w:val="right"/>
              <w:rPr>
                <w:rFonts w:ascii="Times New Roman" w:hAnsi="Times New Roman" w:cs="Times New Roman" w:eastAsia="Times New Roman" w:hint="default"/>
                <w:sz w:val="18"/>
                <w:szCs w:val="18"/>
              </w:rPr>
            </w:pPr>
            <w:r>
              <w:rPr>
                <w:rFonts w:ascii="Times New Roman"/>
                <w:spacing w:val="-1"/>
                <w:sz w:val="18"/>
              </w:rPr>
              <w:t>800,000,000.00</w:t>
            </w:r>
          </w:p>
        </w:tc>
        <w:tc>
          <w:tcPr>
            <w:tcW w:w="1116"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5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55" w:hRule="exact"/>
        </w:trPr>
        <w:tc>
          <w:tcPr>
            <w:tcW w:w="1455" w:type="dxa"/>
            <w:tcBorders>
              <w:top w:val="nil" w:sz="6" w:space="0" w:color="auto"/>
              <w:left w:val="nil" w:sz="6" w:space="0" w:color="auto"/>
              <w:bottom w:val="single" w:sz="4" w:space="0" w:color="000000"/>
              <w:right w:val="nil" w:sz="6" w:space="0" w:color="auto"/>
            </w:tcBorders>
          </w:tcPr>
          <w:p>
            <w:pPr>
              <w:pStyle w:val="TableParagraph"/>
              <w:spacing w:line="237" w:lineRule="exact"/>
              <w:ind w:left="5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14 </w:t>
            </w:r>
            <w:r>
              <w:rPr>
                <w:rFonts w:ascii="宋体" w:hAnsi="宋体" w:cs="宋体" w:eastAsia="宋体" w:hint="default"/>
                <w:sz w:val="18"/>
                <w:szCs w:val="18"/>
              </w:rPr>
              <w:t>同方</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MTN002</w:t>
            </w:r>
          </w:p>
        </w:tc>
        <w:tc>
          <w:tcPr>
            <w:tcW w:w="1429"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71"/>
              <w:jc w:val="right"/>
              <w:rPr>
                <w:rFonts w:ascii="Times New Roman" w:hAnsi="Times New Roman" w:cs="Times New Roman" w:eastAsia="Times New Roman" w:hint="default"/>
                <w:sz w:val="18"/>
                <w:szCs w:val="18"/>
              </w:rPr>
            </w:pPr>
            <w:r>
              <w:rPr>
                <w:rFonts w:ascii="Times New Roman"/>
                <w:spacing w:val="-1"/>
                <w:sz w:val="18"/>
              </w:rPr>
              <w:t>700,000,000.00</w:t>
            </w:r>
          </w:p>
        </w:tc>
        <w:tc>
          <w:tcPr>
            <w:tcW w:w="1009"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8"/>
              <w:jc w:val="center"/>
              <w:rPr>
                <w:rFonts w:ascii="Times New Roman" w:hAnsi="Times New Roman" w:cs="Times New Roman" w:eastAsia="Times New Roman" w:hint="default"/>
                <w:sz w:val="18"/>
                <w:szCs w:val="18"/>
              </w:rPr>
            </w:pPr>
            <w:r>
              <w:rPr>
                <w:rFonts w:ascii="Times New Roman"/>
                <w:sz w:val="18"/>
              </w:rPr>
              <w:t>2014-10-24</w:t>
            </w:r>
          </w:p>
        </w:tc>
        <w:tc>
          <w:tcPr>
            <w:tcW w:w="559" w:type="dxa"/>
            <w:tcBorders>
              <w:top w:val="nil" w:sz="6" w:space="0" w:color="auto"/>
              <w:left w:val="nil" w:sz="6" w:space="0" w:color="auto"/>
              <w:bottom w:val="single" w:sz="4" w:space="0" w:color="000000"/>
              <w:right w:val="nil" w:sz="6" w:space="0" w:color="auto"/>
            </w:tcBorders>
          </w:tcPr>
          <w:p>
            <w:pPr>
              <w:pStyle w:val="TableParagraph"/>
              <w:spacing w:line="237" w:lineRule="exact"/>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40"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77"/>
              <w:jc w:val="right"/>
              <w:rPr>
                <w:rFonts w:ascii="Times New Roman" w:hAnsi="Times New Roman" w:cs="Times New Roman" w:eastAsia="Times New Roman" w:hint="default"/>
                <w:sz w:val="18"/>
                <w:szCs w:val="18"/>
              </w:rPr>
            </w:pPr>
            <w:r>
              <w:rPr>
                <w:rFonts w:ascii="Times New Roman"/>
                <w:spacing w:val="-1"/>
                <w:sz w:val="18"/>
              </w:rPr>
              <w:t>700,000,000.00</w:t>
            </w:r>
          </w:p>
        </w:tc>
        <w:tc>
          <w:tcPr>
            <w:tcW w:w="1673"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331"/>
              <w:jc w:val="right"/>
              <w:rPr>
                <w:rFonts w:ascii="Times New Roman" w:hAnsi="Times New Roman" w:cs="Times New Roman" w:eastAsia="Times New Roman" w:hint="default"/>
                <w:sz w:val="18"/>
                <w:szCs w:val="18"/>
              </w:rPr>
            </w:pPr>
            <w:r>
              <w:rPr>
                <w:rFonts w:ascii="Times New Roman"/>
                <w:spacing w:val="-1"/>
                <w:sz w:val="18"/>
              </w:rPr>
              <w:t>700,000,000.00</w:t>
            </w:r>
          </w:p>
        </w:tc>
        <w:tc>
          <w:tcPr>
            <w:tcW w:w="1116"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57"/>
              <w:jc w:val="right"/>
              <w:rPr>
                <w:rFonts w:ascii="Times New Roman" w:hAnsi="Times New Roman" w:cs="Times New Roman" w:eastAsia="Times New Roman" w:hint="default"/>
                <w:sz w:val="18"/>
                <w:szCs w:val="18"/>
              </w:rPr>
            </w:pPr>
            <w:r>
              <w:rPr>
                <w:rFonts w:ascii="Times New Roman"/>
                <w:spacing w:val="-1"/>
                <w:sz w:val="18"/>
              </w:rPr>
              <w:t>0.00</w:t>
            </w:r>
          </w:p>
        </w:tc>
      </w:tr>
      <w:tr>
        <w:trPr>
          <w:trHeight w:val="307" w:hRule="exact"/>
        </w:trPr>
        <w:tc>
          <w:tcPr>
            <w:tcW w:w="1455"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57"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42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72"/>
              <w:jc w:val="right"/>
              <w:rPr>
                <w:rFonts w:ascii="Times New Roman" w:hAnsi="Times New Roman" w:cs="Times New Roman" w:eastAsia="Times New Roman" w:hint="default"/>
                <w:sz w:val="18"/>
                <w:szCs w:val="18"/>
              </w:rPr>
            </w:pPr>
            <w:r>
              <w:rPr>
                <w:rFonts w:ascii="Times New Roman"/>
                <w:b/>
                <w:spacing w:val="-1"/>
                <w:sz w:val="18"/>
              </w:rPr>
              <w:t>1,500,000,000.00</w:t>
            </w:r>
            <w:r>
              <w:rPr>
                <w:rFonts w:ascii="Times New Roman"/>
                <w:spacing w:val="-1"/>
                <w:sz w:val="18"/>
              </w:rPr>
            </w:r>
          </w:p>
        </w:tc>
        <w:tc>
          <w:tcPr>
            <w:tcW w:w="100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23"/>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55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7"/>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440"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77"/>
              <w:jc w:val="right"/>
              <w:rPr>
                <w:rFonts w:ascii="Times New Roman" w:hAnsi="Times New Roman" w:cs="Times New Roman" w:eastAsia="Times New Roman" w:hint="default"/>
                <w:sz w:val="18"/>
                <w:szCs w:val="18"/>
              </w:rPr>
            </w:pPr>
            <w:r>
              <w:rPr>
                <w:rFonts w:ascii="Times New Roman"/>
                <w:b/>
                <w:spacing w:val="-1"/>
                <w:sz w:val="18"/>
              </w:rPr>
              <w:t>1,500,000,000.00</w:t>
            </w:r>
            <w:r>
              <w:rPr>
                <w:rFonts w:ascii="Times New Roman"/>
                <w:spacing w:val="-1"/>
                <w:sz w:val="18"/>
              </w:rPr>
            </w:r>
          </w:p>
        </w:tc>
        <w:tc>
          <w:tcPr>
            <w:tcW w:w="167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332"/>
              <w:jc w:val="right"/>
              <w:rPr>
                <w:rFonts w:ascii="Times New Roman" w:hAnsi="Times New Roman" w:cs="Times New Roman" w:eastAsia="Times New Roman" w:hint="default"/>
                <w:sz w:val="18"/>
                <w:szCs w:val="18"/>
              </w:rPr>
            </w:pPr>
            <w:r>
              <w:rPr>
                <w:rFonts w:ascii="Times New Roman"/>
                <w:b/>
                <w:spacing w:val="-1"/>
                <w:sz w:val="18"/>
              </w:rPr>
              <w:t>1,500,000,000.00</w:t>
            </w:r>
            <w:r>
              <w:rPr>
                <w:rFonts w:ascii="Times New Roman"/>
                <w:spacing w:val="-1"/>
                <w:sz w:val="18"/>
              </w:rPr>
            </w:r>
          </w:p>
        </w:tc>
        <w:tc>
          <w:tcPr>
            <w:tcW w:w="1116"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57"/>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r>
    </w:tbl>
    <w:p>
      <w:pPr>
        <w:spacing w:before="81"/>
        <w:ind w:left="242" w:right="0" w:firstLine="0"/>
        <w:jc w:val="left"/>
        <w:rPr>
          <w:rFonts w:ascii="宋体" w:hAnsi="宋体" w:cs="宋体" w:eastAsia="宋体" w:hint="default"/>
          <w:sz w:val="22"/>
          <w:szCs w:val="22"/>
        </w:rPr>
      </w:pPr>
      <w:r>
        <w:rPr>
          <w:rFonts w:ascii="宋体" w:hAnsi="宋体" w:cs="宋体" w:eastAsia="宋体" w:hint="default"/>
          <w:sz w:val="22"/>
          <w:szCs w:val="22"/>
        </w:rPr>
        <w:t>（续）</w:t>
      </w:r>
    </w:p>
    <w:p>
      <w:pPr>
        <w:spacing w:line="240" w:lineRule="auto" w:before="9"/>
        <w:rPr>
          <w:rFonts w:ascii="宋体" w:hAnsi="宋体" w:cs="宋体" w:eastAsia="宋体" w:hint="default"/>
          <w:sz w:val="12"/>
          <w:szCs w:val="12"/>
        </w:rPr>
      </w:pPr>
    </w:p>
    <w:tbl>
      <w:tblPr>
        <w:tblW w:w="0" w:type="auto"/>
        <w:jc w:val="left"/>
        <w:tblInd w:w="158" w:type="dxa"/>
        <w:tblLayout w:type="fixed"/>
        <w:tblCellMar>
          <w:top w:w="0" w:type="dxa"/>
          <w:left w:w="0" w:type="dxa"/>
          <w:bottom w:w="0" w:type="dxa"/>
          <w:right w:w="0" w:type="dxa"/>
        </w:tblCellMar>
        <w:tblLook w:val="01E0"/>
      </w:tblPr>
      <w:tblGrid>
        <w:gridCol w:w="1416"/>
        <w:gridCol w:w="1175"/>
        <w:gridCol w:w="847"/>
        <w:gridCol w:w="975"/>
        <w:gridCol w:w="1498"/>
        <w:gridCol w:w="1358"/>
        <w:gridCol w:w="1407"/>
      </w:tblGrid>
      <w:tr>
        <w:trPr>
          <w:trHeight w:val="487" w:hRule="exact"/>
        </w:trPr>
        <w:tc>
          <w:tcPr>
            <w:tcW w:w="1416" w:type="dxa"/>
            <w:tcBorders>
              <w:top w:val="single" w:sz="12" w:space="0" w:color="000000"/>
              <w:left w:val="nil" w:sz="6" w:space="0" w:color="auto"/>
              <w:bottom w:val="single" w:sz="4" w:space="0" w:color="000000"/>
              <w:right w:val="nil" w:sz="6" w:space="0" w:color="auto"/>
            </w:tcBorders>
          </w:tcPr>
          <w:p>
            <w:pPr>
              <w:pStyle w:val="TableParagraph"/>
              <w:spacing w:line="240" w:lineRule="auto" w:before="87"/>
              <w:ind w:left="26" w:right="0"/>
              <w:jc w:val="left"/>
              <w:rPr>
                <w:rFonts w:ascii="宋体" w:hAnsi="宋体" w:cs="宋体" w:eastAsia="宋体" w:hint="default"/>
                <w:sz w:val="18"/>
                <w:szCs w:val="18"/>
              </w:rPr>
            </w:pPr>
            <w:r>
              <w:rPr>
                <w:rFonts w:ascii="宋体" w:hAnsi="宋体" w:cs="宋体" w:eastAsia="宋体" w:hint="default"/>
                <w:b/>
                <w:bCs/>
                <w:sz w:val="18"/>
                <w:szCs w:val="18"/>
              </w:rPr>
              <w:t>债券名称</w:t>
            </w:r>
            <w:r>
              <w:rPr>
                <w:rFonts w:ascii="宋体" w:hAnsi="宋体" w:cs="宋体" w:eastAsia="宋体" w:hint="default"/>
                <w:sz w:val="18"/>
                <w:szCs w:val="18"/>
              </w:rPr>
            </w:r>
          </w:p>
        </w:tc>
        <w:tc>
          <w:tcPr>
            <w:tcW w:w="1175" w:type="dxa"/>
            <w:tcBorders>
              <w:top w:val="single" w:sz="12" w:space="0" w:color="000000"/>
              <w:left w:val="nil" w:sz="6" w:space="0" w:color="auto"/>
              <w:bottom w:val="single" w:sz="4" w:space="0" w:color="000000"/>
              <w:right w:val="nil" w:sz="6" w:space="0" w:color="auto"/>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按面值计提</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利息</w:t>
            </w:r>
            <w:r>
              <w:rPr>
                <w:rFonts w:ascii="宋体" w:hAnsi="宋体" w:cs="宋体" w:eastAsia="宋体" w:hint="default"/>
                <w:sz w:val="18"/>
                <w:szCs w:val="18"/>
              </w:rPr>
            </w:r>
          </w:p>
        </w:tc>
        <w:tc>
          <w:tcPr>
            <w:tcW w:w="847" w:type="dxa"/>
            <w:tcBorders>
              <w:top w:val="single" w:sz="12" w:space="0" w:color="000000"/>
              <w:left w:val="nil" w:sz="6" w:space="0" w:color="auto"/>
              <w:bottom w:val="single" w:sz="4" w:space="0" w:color="000000"/>
              <w:right w:val="nil" w:sz="6" w:space="0" w:color="auto"/>
            </w:tcBorders>
          </w:tcPr>
          <w:p>
            <w:pPr>
              <w:pStyle w:val="TableParagraph"/>
              <w:spacing w:line="206" w:lineRule="exact"/>
              <w:ind w:left="140" w:right="0" w:hanging="89"/>
              <w:jc w:val="left"/>
              <w:rPr>
                <w:rFonts w:ascii="宋体" w:hAnsi="宋体" w:cs="宋体" w:eastAsia="宋体" w:hint="default"/>
                <w:sz w:val="18"/>
                <w:szCs w:val="18"/>
              </w:rPr>
            </w:pPr>
            <w:r>
              <w:rPr>
                <w:rFonts w:ascii="宋体" w:hAnsi="宋体" w:cs="宋体" w:eastAsia="宋体" w:hint="default"/>
                <w:b/>
                <w:bCs/>
                <w:sz w:val="18"/>
                <w:szCs w:val="18"/>
              </w:rPr>
              <w:t>溢折价</w:t>
            </w:r>
            <w:r>
              <w:rPr>
                <w:rFonts w:ascii="宋体" w:hAnsi="宋体" w:cs="宋体" w:eastAsia="宋体" w:hint="default"/>
                <w:sz w:val="18"/>
                <w:szCs w:val="18"/>
              </w:rPr>
            </w:r>
          </w:p>
          <w:p>
            <w:pPr>
              <w:pStyle w:val="TableParagraph"/>
              <w:spacing w:line="234" w:lineRule="exact"/>
              <w:ind w:left="140" w:right="0"/>
              <w:jc w:val="left"/>
              <w:rPr>
                <w:rFonts w:ascii="宋体" w:hAnsi="宋体" w:cs="宋体" w:eastAsia="宋体" w:hint="default"/>
                <w:sz w:val="18"/>
                <w:szCs w:val="18"/>
              </w:rPr>
            </w:pPr>
            <w:r>
              <w:rPr>
                <w:rFonts w:ascii="宋体" w:hAnsi="宋体" w:cs="宋体" w:eastAsia="宋体" w:hint="default"/>
                <w:b/>
                <w:bCs/>
                <w:sz w:val="18"/>
                <w:szCs w:val="18"/>
              </w:rPr>
              <w:t>摊销</w:t>
            </w:r>
            <w:r>
              <w:rPr>
                <w:rFonts w:ascii="宋体" w:hAnsi="宋体" w:cs="宋体" w:eastAsia="宋体" w:hint="default"/>
                <w:sz w:val="18"/>
                <w:szCs w:val="18"/>
              </w:rPr>
            </w:r>
          </w:p>
        </w:tc>
        <w:tc>
          <w:tcPr>
            <w:tcW w:w="975" w:type="dxa"/>
            <w:tcBorders>
              <w:top w:val="single" w:sz="12" w:space="0" w:color="000000"/>
              <w:left w:val="nil" w:sz="6" w:space="0" w:color="auto"/>
              <w:bottom w:val="single" w:sz="4" w:space="0" w:color="000000"/>
              <w:right w:val="nil" w:sz="6" w:space="0" w:color="auto"/>
            </w:tcBorders>
          </w:tcPr>
          <w:p>
            <w:pPr>
              <w:pStyle w:val="TableParagraph"/>
              <w:spacing w:line="240" w:lineRule="auto" w:before="87"/>
              <w:ind w:right="42"/>
              <w:jc w:val="right"/>
              <w:rPr>
                <w:rFonts w:ascii="宋体" w:hAnsi="宋体" w:cs="宋体" w:eastAsia="宋体" w:hint="default"/>
                <w:sz w:val="18"/>
                <w:szCs w:val="18"/>
              </w:rPr>
            </w:pPr>
            <w:r>
              <w:rPr>
                <w:rFonts w:ascii="宋体" w:hAnsi="宋体" w:cs="宋体" w:eastAsia="宋体" w:hint="default"/>
                <w:b/>
                <w:bCs/>
                <w:w w:val="95"/>
                <w:sz w:val="18"/>
                <w:szCs w:val="18"/>
              </w:rPr>
              <w:t>本年偿还</w:t>
            </w:r>
            <w:r>
              <w:rPr>
                <w:rFonts w:ascii="宋体" w:hAnsi="宋体" w:cs="宋体" w:eastAsia="宋体" w:hint="default"/>
                <w:sz w:val="18"/>
                <w:szCs w:val="18"/>
              </w:rPr>
            </w:r>
          </w:p>
        </w:tc>
        <w:tc>
          <w:tcPr>
            <w:tcW w:w="1498" w:type="dxa"/>
            <w:tcBorders>
              <w:top w:val="single" w:sz="12" w:space="0" w:color="000000"/>
              <w:left w:val="nil" w:sz="6" w:space="0" w:color="auto"/>
              <w:bottom w:val="single" w:sz="4" w:space="0" w:color="000000"/>
              <w:right w:val="nil" w:sz="6" w:space="0" w:color="auto"/>
            </w:tcBorders>
          </w:tcPr>
          <w:p>
            <w:pPr>
              <w:pStyle w:val="TableParagraph"/>
              <w:spacing w:line="206" w:lineRule="exact"/>
              <w:ind w:left="131" w:right="0" w:hanging="89"/>
              <w:jc w:val="left"/>
              <w:rPr>
                <w:rFonts w:ascii="宋体" w:hAnsi="宋体" w:cs="宋体" w:eastAsia="宋体" w:hint="default"/>
                <w:sz w:val="18"/>
                <w:szCs w:val="18"/>
              </w:rPr>
            </w:pPr>
            <w:r>
              <w:rPr>
                <w:rFonts w:ascii="宋体" w:hAnsi="宋体" w:cs="宋体" w:eastAsia="宋体" w:hint="default"/>
                <w:b/>
                <w:bCs/>
                <w:sz w:val="18"/>
                <w:szCs w:val="18"/>
              </w:rPr>
              <w:t>转入一年内到期</w:t>
            </w:r>
            <w:r>
              <w:rPr>
                <w:rFonts w:ascii="宋体" w:hAnsi="宋体" w:cs="宋体" w:eastAsia="宋体" w:hint="default"/>
                <w:sz w:val="18"/>
                <w:szCs w:val="18"/>
              </w:rPr>
            </w:r>
          </w:p>
          <w:p>
            <w:pPr>
              <w:pStyle w:val="TableParagraph"/>
              <w:spacing w:line="234" w:lineRule="exact"/>
              <w:ind w:left="131" w:right="0"/>
              <w:jc w:val="left"/>
              <w:rPr>
                <w:rFonts w:ascii="宋体" w:hAnsi="宋体" w:cs="宋体" w:eastAsia="宋体" w:hint="default"/>
                <w:sz w:val="18"/>
                <w:szCs w:val="18"/>
              </w:rPr>
            </w:pPr>
            <w:r>
              <w:rPr>
                <w:rFonts w:ascii="宋体" w:hAnsi="宋体" w:cs="宋体" w:eastAsia="宋体" w:hint="default"/>
                <w:b/>
                <w:bCs/>
                <w:sz w:val="18"/>
                <w:szCs w:val="18"/>
              </w:rPr>
              <w:t>的非流动负债</w:t>
            </w:r>
            <w:r>
              <w:rPr>
                <w:rFonts w:ascii="宋体" w:hAnsi="宋体" w:cs="宋体" w:eastAsia="宋体" w:hint="default"/>
                <w:sz w:val="18"/>
                <w:szCs w:val="18"/>
              </w:rPr>
            </w:r>
          </w:p>
        </w:tc>
        <w:tc>
          <w:tcPr>
            <w:tcW w:w="1358" w:type="dxa"/>
            <w:tcBorders>
              <w:top w:val="single" w:sz="12" w:space="0" w:color="000000"/>
              <w:left w:val="nil" w:sz="6" w:space="0" w:color="auto"/>
              <w:bottom w:val="single" w:sz="4" w:space="0" w:color="000000"/>
              <w:right w:val="nil" w:sz="6" w:space="0" w:color="auto"/>
            </w:tcBorders>
          </w:tcPr>
          <w:p>
            <w:pPr>
              <w:pStyle w:val="TableParagraph"/>
              <w:spacing w:line="240" w:lineRule="auto" w:before="87"/>
              <w:ind w:right="113"/>
              <w:jc w:val="right"/>
              <w:rPr>
                <w:rFonts w:ascii="宋体" w:hAnsi="宋体" w:cs="宋体" w:eastAsia="宋体" w:hint="default"/>
                <w:sz w:val="18"/>
                <w:szCs w:val="18"/>
              </w:rPr>
            </w:pPr>
            <w:r>
              <w:rPr>
                <w:rFonts w:ascii="宋体" w:hAnsi="宋体" w:cs="宋体" w:eastAsia="宋体" w:hint="default"/>
                <w:b/>
                <w:bCs/>
                <w:w w:val="95"/>
                <w:sz w:val="18"/>
                <w:szCs w:val="18"/>
              </w:rPr>
              <w:t>转入应付利息</w:t>
            </w:r>
            <w:r>
              <w:rPr>
                <w:rFonts w:ascii="宋体" w:hAnsi="宋体" w:cs="宋体" w:eastAsia="宋体" w:hint="default"/>
                <w:sz w:val="18"/>
                <w:szCs w:val="18"/>
              </w:rPr>
            </w:r>
          </w:p>
        </w:tc>
        <w:tc>
          <w:tcPr>
            <w:tcW w:w="1407" w:type="dxa"/>
            <w:tcBorders>
              <w:top w:val="single" w:sz="12" w:space="0" w:color="000000"/>
              <w:left w:val="nil" w:sz="6" w:space="0" w:color="auto"/>
              <w:bottom w:val="single" w:sz="4" w:space="0" w:color="000000"/>
              <w:right w:val="nil" w:sz="6" w:space="0" w:color="auto"/>
            </w:tcBorders>
          </w:tcPr>
          <w:p>
            <w:pPr>
              <w:pStyle w:val="TableParagraph"/>
              <w:spacing w:line="240" w:lineRule="auto" w:before="87"/>
              <w:ind w:right="27"/>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r>
      <w:tr>
        <w:trPr>
          <w:trHeight w:val="325" w:hRule="exact"/>
        </w:trPr>
        <w:tc>
          <w:tcPr>
            <w:tcW w:w="1416"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14 </w:t>
            </w:r>
            <w:r>
              <w:rPr>
                <w:rFonts w:ascii="宋体" w:hAnsi="宋体" w:cs="宋体" w:eastAsia="宋体" w:hint="default"/>
                <w:sz w:val="18"/>
                <w:szCs w:val="18"/>
              </w:rPr>
              <w:t>同方</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MTN001</w:t>
            </w:r>
          </w:p>
        </w:tc>
        <w:tc>
          <w:tcPr>
            <w:tcW w:w="117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left="36" w:right="0"/>
              <w:jc w:val="center"/>
              <w:rPr>
                <w:rFonts w:ascii="Times New Roman" w:hAnsi="Times New Roman" w:cs="Times New Roman" w:eastAsia="Times New Roman" w:hint="default"/>
                <w:sz w:val="18"/>
                <w:szCs w:val="18"/>
              </w:rPr>
            </w:pPr>
            <w:r>
              <w:rPr>
                <w:rFonts w:ascii="Times New Roman"/>
                <w:sz w:val="18"/>
              </w:rPr>
              <w:t>52,800,000.00</w:t>
            </w:r>
          </w:p>
        </w:tc>
        <w:tc>
          <w:tcPr>
            <w:tcW w:w="847"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206"/>
              <w:jc w:val="right"/>
              <w:rPr>
                <w:rFonts w:ascii="Times New Roman" w:hAnsi="Times New Roman" w:cs="Times New Roman" w:eastAsia="Times New Roman" w:hint="default"/>
                <w:sz w:val="18"/>
                <w:szCs w:val="18"/>
              </w:rPr>
            </w:pPr>
            <w:r>
              <w:rPr>
                <w:rFonts w:ascii="Times New Roman"/>
                <w:spacing w:val="-1"/>
                <w:sz w:val="18"/>
              </w:rPr>
              <w:t>0.00</w:t>
            </w:r>
          </w:p>
        </w:tc>
        <w:tc>
          <w:tcPr>
            <w:tcW w:w="97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43"/>
              <w:jc w:val="right"/>
              <w:rPr>
                <w:rFonts w:ascii="Times New Roman" w:hAnsi="Times New Roman" w:cs="Times New Roman" w:eastAsia="Times New Roman" w:hint="default"/>
                <w:sz w:val="18"/>
                <w:szCs w:val="18"/>
              </w:rPr>
            </w:pPr>
            <w:r>
              <w:rPr>
                <w:rFonts w:ascii="Times New Roman"/>
                <w:spacing w:val="-1"/>
                <w:sz w:val="18"/>
              </w:rPr>
              <w:t>0.00</w:t>
            </w:r>
          </w:p>
        </w:tc>
        <w:tc>
          <w:tcPr>
            <w:tcW w:w="149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58"/>
              <w:jc w:val="right"/>
              <w:rPr>
                <w:rFonts w:ascii="Times New Roman" w:hAnsi="Times New Roman" w:cs="Times New Roman" w:eastAsia="Times New Roman" w:hint="default"/>
                <w:sz w:val="18"/>
                <w:szCs w:val="18"/>
              </w:rPr>
            </w:pPr>
            <w:r>
              <w:rPr>
                <w:rFonts w:ascii="Times New Roman"/>
                <w:spacing w:val="-1"/>
                <w:sz w:val="18"/>
              </w:rPr>
              <w:t>0.00</w:t>
            </w:r>
          </w:p>
        </w:tc>
        <w:tc>
          <w:tcPr>
            <w:tcW w:w="135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15"/>
              <w:jc w:val="right"/>
              <w:rPr>
                <w:rFonts w:ascii="Times New Roman" w:hAnsi="Times New Roman" w:cs="Times New Roman" w:eastAsia="Times New Roman" w:hint="default"/>
                <w:sz w:val="18"/>
                <w:szCs w:val="18"/>
              </w:rPr>
            </w:pPr>
            <w:r>
              <w:rPr>
                <w:rFonts w:ascii="Times New Roman"/>
                <w:spacing w:val="-1"/>
                <w:sz w:val="18"/>
              </w:rPr>
              <w:t>52,800,000.00</w:t>
            </w:r>
          </w:p>
        </w:tc>
        <w:tc>
          <w:tcPr>
            <w:tcW w:w="1407"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26"/>
              <w:jc w:val="right"/>
              <w:rPr>
                <w:rFonts w:ascii="Times New Roman" w:hAnsi="Times New Roman" w:cs="Times New Roman" w:eastAsia="Times New Roman" w:hint="default"/>
                <w:sz w:val="18"/>
                <w:szCs w:val="18"/>
              </w:rPr>
            </w:pPr>
            <w:r>
              <w:rPr>
                <w:rFonts w:ascii="Times New Roman"/>
                <w:spacing w:val="-1"/>
                <w:sz w:val="18"/>
              </w:rPr>
              <w:t>800,000,000.00</w:t>
            </w:r>
          </w:p>
        </w:tc>
      </w:tr>
      <w:tr>
        <w:trPr>
          <w:trHeight w:val="255" w:hRule="exact"/>
        </w:trPr>
        <w:tc>
          <w:tcPr>
            <w:tcW w:w="1416" w:type="dxa"/>
            <w:tcBorders>
              <w:top w:val="nil" w:sz="6" w:space="0" w:color="auto"/>
              <w:left w:val="nil" w:sz="6" w:space="0" w:color="auto"/>
              <w:bottom w:val="single" w:sz="4" w:space="0" w:color="000000"/>
              <w:right w:val="nil" w:sz="6" w:space="0" w:color="auto"/>
            </w:tcBorders>
          </w:tcPr>
          <w:p>
            <w:pPr>
              <w:pStyle w:val="TableParagraph"/>
              <w:spacing w:line="237" w:lineRule="exact"/>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14 </w:t>
            </w:r>
            <w:r>
              <w:rPr>
                <w:rFonts w:ascii="宋体" w:hAnsi="宋体" w:cs="宋体" w:eastAsia="宋体" w:hint="default"/>
                <w:sz w:val="18"/>
                <w:szCs w:val="18"/>
              </w:rPr>
              <w:t>同方</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MTN002</w:t>
            </w:r>
          </w:p>
        </w:tc>
        <w:tc>
          <w:tcPr>
            <w:tcW w:w="117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left="36" w:right="0"/>
              <w:jc w:val="center"/>
              <w:rPr>
                <w:rFonts w:ascii="Times New Roman" w:hAnsi="Times New Roman" w:cs="Times New Roman" w:eastAsia="Times New Roman" w:hint="default"/>
                <w:sz w:val="18"/>
                <w:szCs w:val="18"/>
              </w:rPr>
            </w:pPr>
            <w:r>
              <w:rPr>
                <w:rFonts w:ascii="Times New Roman"/>
                <w:sz w:val="18"/>
              </w:rPr>
              <w:t>34,650,000.00</w:t>
            </w:r>
          </w:p>
        </w:tc>
        <w:tc>
          <w:tcPr>
            <w:tcW w:w="847"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206"/>
              <w:jc w:val="right"/>
              <w:rPr>
                <w:rFonts w:ascii="Times New Roman" w:hAnsi="Times New Roman" w:cs="Times New Roman" w:eastAsia="Times New Roman" w:hint="default"/>
                <w:sz w:val="18"/>
                <w:szCs w:val="18"/>
              </w:rPr>
            </w:pPr>
            <w:r>
              <w:rPr>
                <w:rFonts w:ascii="Times New Roman"/>
                <w:spacing w:val="-1"/>
                <w:sz w:val="18"/>
              </w:rPr>
              <w:t>0.00</w:t>
            </w:r>
          </w:p>
        </w:tc>
        <w:tc>
          <w:tcPr>
            <w:tcW w:w="97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43"/>
              <w:jc w:val="right"/>
              <w:rPr>
                <w:rFonts w:ascii="Times New Roman" w:hAnsi="Times New Roman" w:cs="Times New Roman" w:eastAsia="Times New Roman" w:hint="default"/>
                <w:sz w:val="18"/>
                <w:szCs w:val="18"/>
              </w:rPr>
            </w:pPr>
            <w:r>
              <w:rPr>
                <w:rFonts w:ascii="Times New Roman"/>
                <w:spacing w:val="-1"/>
                <w:sz w:val="18"/>
              </w:rPr>
              <w:t>0.00</w:t>
            </w:r>
          </w:p>
        </w:tc>
        <w:tc>
          <w:tcPr>
            <w:tcW w:w="149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58"/>
              <w:jc w:val="right"/>
              <w:rPr>
                <w:rFonts w:ascii="Times New Roman" w:hAnsi="Times New Roman" w:cs="Times New Roman" w:eastAsia="Times New Roman" w:hint="default"/>
                <w:sz w:val="18"/>
                <w:szCs w:val="18"/>
              </w:rPr>
            </w:pPr>
            <w:r>
              <w:rPr>
                <w:rFonts w:ascii="Times New Roman"/>
                <w:spacing w:val="-1"/>
                <w:sz w:val="18"/>
              </w:rPr>
              <w:t>0.00</w:t>
            </w:r>
          </w:p>
        </w:tc>
        <w:tc>
          <w:tcPr>
            <w:tcW w:w="135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13"/>
              <w:jc w:val="right"/>
              <w:rPr>
                <w:rFonts w:ascii="Times New Roman" w:hAnsi="Times New Roman" w:cs="Times New Roman" w:eastAsia="Times New Roman" w:hint="default"/>
                <w:sz w:val="18"/>
                <w:szCs w:val="18"/>
              </w:rPr>
            </w:pPr>
            <w:r>
              <w:rPr>
                <w:rFonts w:ascii="Times New Roman"/>
                <w:spacing w:val="-1"/>
                <w:sz w:val="18"/>
              </w:rPr>
              <w:t>34,650,000.00</w:t>
            </w:r>
          </w:p>
        </w:tc>
        <w:tc>
          <w:tcPr>
            <w:tcW w:w="1407"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26"/>
              <w:jc w:val="right"/>
              <w:rPr>
                <w:rFonts w:ascii="Times New Roman" w:hAnsi="Times New Roman" w:cs="Times New Roman" w:eastAsia="Times New Roman" w:hint="default"/>
                <w:sz w:val="18"/>
                <w:szCs w:val="18"/>
              </w:rPr>
            </w:pPr>
            <w:r>
              <w:rPr>
                <w:rFonts w:ascii="Times New Roman"/>
                <w:spacing w:val="-1"/>
                <w:sz w:val="18"/>
              </w:rPr>
              <w:t>700,000,000.00</w:t>
            </w:r>
          </w:p>
        </w:tc>
      </w:tr>
      <w:tr>
        <w:trPr>
          <w:trHeight w:val="305" w:hRule="exact"/>
        </w:trPr>
        <w:tc>
          <w:tcPr>
            <w:tcW w:w="1416"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26"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175" w:type="dxa"/>
            <w:tcBorders>
              <w:top w:val="single" w:sz="4" w:space="0" w:color="000000"/>
              <w:left w:val="nil" w:sz="6" w:space="0" w:color="auto"/>
              <w:bottom w:val="single" w:sz="12" w:space="0" w:color="000000"/>
              <w:right w:val="nil" w:sz="6" w:space="0" w:color="auto"/>
            </w:tcBorders>
          </w:tcPr>
          <w:p>
            <w:pPr>
              <w:pStyle w:val="TableParagraph"/>
              <w:spacing w:line="240" w:lineRule="auto" w:before="77"/>
              <w:ind w:left="36" w:right="0"/>
              <w:jc w:val="center"/>
              <w:rPr>
                <w:rFonts w:ascii="Times New Roman" w:hAnsi="Times New Roman" w:cs="Times New Roman" w:eastAsia="Times New Roman" w:hint="default"/>
                <w:sz w:val="18"/>
                <w:szCs w:val="18"/>
              </w:rPr>
            </w:pPr>
            <w:r>
              <w:rPr>
                <w:rFonts w:ascii="Times New Roman"/>
                <w:b/>
                <w:sz w:val="18"/>
              </w:rPr>
              <w:t>87,450,000.00</w:t>
            </w:r>
            <w:r>
              <w:rPr>
                <w:rFonts w:ascii="Times New Roman"/>
                <w:sz w:val="18"/>
              </w:rPr>
            </w:r>
          </w:p>
        </w:tc>
        <w:tc>
          <w:tcPr>
            <w:tcW w:w="847" w:type="dxa"/>
            <w:tcBorders>
              <w:top w:val="single" w:sz="4" w:space="0" w:color="000000"/>
              <w:left w:val="nil" w:sz="6" w:space="0" w:color="auto"/>
              <w:bottom w:val="single" w:sz="12" w:space="0" w:color="000000"/>
              <w:right w:val="nil" w:sz="6" w:space="0" w:color="auto"/>
            </w:tcBorders>
          </w:tcPr>
          <w:p>
            <w:pPr>
              <w:pStyle w:val="TableParagraph"/>
              <w:spacing w:line="240" w:lineRule="auto" w:before="77"/>
              <w:ind w:right="206"/>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975" w:type="dxa"/>
            <w:tcBorders>
              <w:top w:val="single" w:sz="4" w:space="0" w:color="000000"/>
              <w:left w:val="nil" w:sz="6" w:space="0" w:color="auto"/>
              <w:bottom w:val="single" w:sz="12" w:space="0" w:color="000000"/>
              <w:right w:val="nil" w:sz="6" w:space="0" w:color="auto"/>
            </w:tcBorders>
          </w:tcPr>
          <w:p>
            <w:pPr>
              <w:pStyle w:val="TableParagraph"/>
              <w:spacing w:line="240" w:lineRule="auto" w:before="77"/>
              <w:ind w:right="41"/>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98" w:type="dxa"/>
            <w:tcBorders>
              <w:top w:val="single" w:sz="4" w:space="0" w:color="000000"/>
              <w:left w:val="nil" w:sz="6" w:space="0" w:color="auto"/>
              <w:bottom w:val="single" w:sz="12" w:space="0" w:color="000000"/>
              <w:right w:val="nil" w:sz="6" w:space="0" w:color="auto"/>
            </w:tcBorders>
          </w:tcPr>
          <w:p>
            <w:pPr>
              <w:pStyle w:val="TableParagraph"/>
              <w:spacing w:line="240" w:lineRule="auto" w:before="77"/>
              <w:ind w:right="156"/>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358" w:type="dxa"/>
            <w:tcBorders>
              <w:top w:val="single" w:sz="4" w:space="0" w:color="000000"/>
              <w:left w:val="nil" w:sz="6" w:space="0" w:color="auto"/>
              <w:bottom w:val="single" w:sz="12" w:space="0" w:color="000000"/>
              <w:right w:val="nil" w:sz="6" w:space="0" w:color="auto"/>
            </w:tcBorders>
          </w:tcPr>
          <w:p>
            <w:pPr>
              <w:pStyle w:val="TableParagraph"/>
              <w:spacing w:line="240" w:lineRule="auto" w:before="77"/>
              <w:ind w:right="113"/>
              <w:jc w:val="right"/>
              <w:rPr>
                <w:rFonts w:ascii="Times New Roman" w:hAnsi="Times New Roman" w:cs="Times New Roman" w:eastAsia="Times New Roman" w:hint="default"/>
                <w:sz w:val="18"/>
                <w:szCs w:val="18"/>
              </w:rPr>
            </w:pPr>
            <w:r>
              <w:rPr>
                <w:rFonts w:ascii="Times New Roman"/>
                <w:b/>
                <w:spacing w:val="-1"/>
                <w:sz w:val="18"/>
              </w:rPr>
              <w:t>87,450,000.00</w:t>
            </w:r>
            <w:r>
              <w:rPr>
                <w:rFonts w:ascii="Times New Roman"/>
                <w:spacing w:val="-1"/>
                <w:sz w:val="18"/>
              </w:rPr>
            </w:r>
          </w:p>
        </w:tc>
        <w:tc>
          <w:tcPr>
            <w:tcW w:w="1407" w:type="dxa"/>
            <w:tcBorders>
              <w:top w:val="single" w:sz="4" w:space="0" w:color="000000"/>
              <w:left w:val="nil" w:sz="6" w:space="0" w:color="auto"/>
              <w:bottom w:val="single" w:sz="12" w:space="0" w:color="000000"/>
              <w:right w:val="nil" w:sz="6" w:space="0" w:color="auto"/>
            </w:tcBorders>
          </w:tcPr>
          <w:p>
            <w:pPr>
              <w:pStyle w:val="TableParagraph"/>
              <w:spacing w:line="240" w:lineRule="auto" w:before="77"/>
              <w:ind w:right="29"/>
              <w:jc w:val="right"/>
              <w:rPr>
                <w:rFonts w:ascii="Times New Roman" w:hAnsi="Times New Roman" w:cs="Times New Roman" w:eastAsia="Times New Roman" w:hint="default"/>
                <w:sz w:val="18"/>
                <w:szCs w:val="18"/>
              </w:rPr>
            </w:pPr>
            <w:r>
              <w:rPr>
                <w:rFonts w:ascii="Times New Roman"/>
                <w:b/>
                <w:spacing w:val="-1"/>
                <w:sz w:val="18"/>
              </w:rPr>
              <w:t>1,500,000,000.00</w:t>
            </w:r>
            <w:r>
              <w:rPr>
                <w:rFonts w:ascii="Times New Roman"/>
                <w:spacing w:val="-1"/>
                <w:sz w:val="18"/>
              </w:rPr>
            </w:r>
          </w:p>
        </w:tc>
      </w:tr>
    </w:tbl>
    <w:p>
      <w:pPr>
        <w:spacing w:before="81"/>
        <w:ind w:left="64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35.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长期应付款</w:t>
      </w:r>
    </w:p>
    <w:p>
      <w:pPr>
        <w:spacing w:line="240" w:lineRule="auto" w:before="8"/>
        <w:rPr>
          <w:rFonts w:ascii="宋体" w:hAnsi="宋体" w:cs="宋体" w:eastAsia="宋体" w:hint="default"/>
          <w:sz w:val="11"/>
          <w:szCs w:val="11"/>
        </w:rPr>
      </w:pPr>
    </w:p>
    <w:tbl>
      <w:tblPr>
        <w:tblW w:w="0" w:type="auto"/>
        <w:jc w:val="left"/>
        <w:tblInd w:w="134" w:type="dxa"/>
        <w:tblLayout w:type="fixed"/>
        <w:tblCellMar>
          <w:top w:w="0" w:type="dxa"/>
          <w:left w:w="0" w:type="dxa"/>
          <w:bottom w:w="0" w:type="dxa"/>
          <w:right w:w="0" w:type="dxa"/>
        </w:tblCellMar>
        <w:tblLook w:val="01E0"/>
      </w:tblPr>
      <w:tblGrid>
        <w:gridCol w:w="3003"/>
        <w:gridCol w:w="3715"/>
        <w:gridCol w:w="2008"/>
      </w:tblGrid>
      <w:tr>
        <w:trPr>
          <w:trHeight w:val="305" w:hRule="exact"/>
        </w:trPr>
        <w:tc>
          <w:tcPr>
            <w:tcW w:w="300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款项性质</w:t>
            </w:r>
            <w:r>
              <w:rPr>
                <w:rFonts w:ascii="宋体" w:hAnsi="宋体" w:cs="宋体" w:eastAsia="宋体" w:hint="default"/>
                <w:sz w:val="18"/>
                <w:szCs w:val="18"/>
              </w:rPr>
            </w:r>
          </w:p>
        </w:tc>
        <w:tc>
          <w:tcPr>
            <w:tcW w:w="371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775"/>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00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4" w:hRule="exact"/>
        </w:trPr>
        <w:tc>
          <w:tcPr>
            <w:tcW w:w="3003"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融资租赁借款</w:t>
            </w:r>
          </w:p>
        </w:tc>
        <w:tc>
          <w:tcPr>
            <w:tcW w:w="371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772"/>
              <w:jc w:val="right"/>
              <w:rPr>
                <w:rFonts w:ascii="Times New Roman" w:hAnsi="Times New Roman" w:cs="Times New Roman" w:eastAsia="Times New Roman" w:hint="default"/>
                <w:sz w:val="18"/>
                <w:szCs w:val="18"/>
              </w:rPr>
            </w:pPr>
            <w:r>
              <w:rPr>
                <w:rFonts w:ascii="Times New Roman"/>
                <w:spacing w:val="-1"/>
                <w:sz w:val="18"/>
              </w:rPr>
              <w:t>295,857,110.86</w:t>
            </w:r>
          </w:p>
        </w:tc>
        <w:tc>
          <w:tcPr>
            <w:tcW w:w="200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315,019,406.64</w:t>
            </w:r>
          </w:p>
        </w:tc>
      </w:tr>
      <w:tr>
        <w:trPr>
          <w:trHeight w:val="284"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银行贷款转贷</w:t>
            </w:r>
          </w:p>
        </w:tc>
        <w:tc>
          <w:tcPr>
            <w:tcW w:w="371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72"/>
              <w:jc w:val="right"/>
              <w:rPr>
                <w:rFonts w:ascii="Times New Roman" w:hAnsi="Times New Roman" w:cs="Times New Roman" w:eastAsia="Times New Roman" w:hint="default"/>
                <w:sz w:val="18"/>
                <w:szCs w:val="18"/>
              </w:rPr>
            </w:pPr>
            <w:r>
              <w:rPr>
                <w:rFonts w:ascii="Times New Roman"/>
                <w:spacing w:val="-1"/>
                <w:sz w:val="18"/>
              </w:rPr>
              <w:t>26,015,069.87</w:t>
            </w:r>
          </w:p>
        </w:tc>
        <w:tc>
          <w:tcPr>
            <w:tcW w:w="200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24,267,251.29</w:t>
            </w:r>
          </w:p>
        </w:tc>
      </w:tr>
      <w:tr>
        <w:trPr>
          <w:trHeight w:val="255" w:hRule="exact"/>
        </w:trPr>
        <w:tc>
          <w:tcPr>
            <w:tcW w:w="3003"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零星余额</w:t>
            </w:r>
          </w:p>
        </w:tc>
        <w:tc>
          <w:tcPr>
            <w:tcW w:w="371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772"/>
              <w:jc w:val="right"/>
              <w:rPr>
                <w:rFonts w:ascii="Times New Roman" w:hAnsi="Times New Roman" w:cs="Times New Roman" w:eastAsia="Times New Roman" w:hint="default"/>
                <w:sz w:val="18"/>
                <w:szCs w:val="18"/>
              </w:rPr>
            </w:pPr>
            <w:r>
              <w:rPr>
                <w:rFonts w:ascii="Times New Roman"/>
                <w:spacing w:val="-1"/>
                <w:sz w:val="18"/>
              </w:rPr>
              <w:t>232,094.08</w:t>
            </w:r>
          </w:p>
        </w:tc>
        <w:tc>
          <w:tcPr>
            <w:tcW w:w="200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232,094.08</w:t>
            </w:r>
          </w:p>
        </w:tc>
      </w:tr>
      <w:tr>
        <w:trPr>
          <w:trHeight w:val="307" w:hRule="exact"/>
        </w:trPr>
        <w:tc>
          <w:tcPr>
            <w:tcW w:w="3003"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71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772"/>
              <w:jc w:val="right"/>
              <w:rPr>
                <w:rFonts w:ascii="Times New Roman" w:hAnsi="Times New Roman" w:cs="Times New Roman" w:eastAsia="Times New Roman" w:hint="default"/>
                <w:sz w:val="18"/>
                <w:szCs w:val="18"/>
              </w:rPr>
            </w:pPr>
            <w:r>
              <w:rPr>
                <w:rFonts w:ascii="Times New Roman"/>
                <w:b/>
                <w:spacing w:val="-1"/>
                <w:sz w:val="18"/>
              </w:rPr>
              <w:t>322,104,274.81</w:t>
            </w:r>
            <w:r>
              <w:rPr>
                <w:rFonts w:ascii="Times New Roman"/>
                <w:spacing w:val="-1"/>
                <w:sz w:val="18"/>
              </w:rPr>
            </w:r>
          </w:p>
        </w:tc>
        <w:tc>
          <w:tcPr>
            <w:tcW w:w="2008"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b/>
                <w:spacing w:val="-1"/>
                <w:sz w:val="18"/>
              </w:rPr>
              <w:t>339,518,752.01</w:t>
            </w:r>
            <w:r>
              <w:rPr>
                <w:rFonts w:ascii="Times New Roman"/>
                <w:spacing w:val="-1"/>
                <w:sz w:val="18"/>
              </w:rPr>
            </w:r>
          </w:p>
        </w:tc>
      </w:tr>
    </w:tbl>
    <w:p>
      <w:pPr>
        <w:spacing w:before="81"/>
        <w:ind w:left="666" w:right="0" w:firstLine="0"/>
        <w:jc w:val="left"/>
        <w:rPr>
          <w:rFonts w:ascii="宋体" w:hAnsi="宋体" w:cs="宋体" w:eastAsia="宋体" w:hint="default"/>
          <w:sz w:val="22"/>
          <w:szCs w:val="22"/>
        </w:rPr>
      </w:pPr>
      <w:r>
        <w:rPr>
          <w:rFonts w:ascii="宋体" w:hAnsi="宋体" w:cs="宋体" w:eastAsia="宋体" w:hint="default"/>
          <w:spacing w:val="-5"/>
          <w:sz w:val="22"/>
          <w:szCs w:val="22"/>
        </w:rPr>
        <w:t>截至</w:t>
      </w:r>
      <w:r>
        <w:rPr>
          <w:rFonts w:ascii="宋体" w:hAnsi="宋体" w:cs="宋体" w:eastAsia="宋体" w:hint="default"/>
          <w:spacing w:val="-62"/>
          <w:sz w:val="22"/>
          <w:szCs w:val="22"/>
        </w:rPr>
        <w:t> </w:t>
      </w:r>
      <w:r>
        <w:rPr>
          <w:rFonts w:ascii="Times New Roman" w:hAnsi="Times New Roman" w:cs="Times New Roman" w:eastAsia="Times New Roman" w:hint="default"/>
          <w:spacing w:val="-4"/>
          <w:sz w:val="22"/>
          <w:szCs w:val="22"/>
        </w:rPr>
        <w:t>2015</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年</w:t>
      </w:r>
      <w:r>
        <w:rPr>
          <w:rFonts w:ascii="宋体" w:hAnsi="宋体" w:cs="宋体" w:eastAsia="宋体" w:hint="default"/>
          <w:spacing w:val="-62"/>
          <w:sz w:val="22"/>
          <w:szCs w:val="22"/>
        </w:rPr>
        <w:t> </w:t>
      </w:r>
      <w:r>
        <w:rPr>
          <w:rFonts w:ascii="Times New Roman" w:hAnsi="Times New Roman" w:cs="Times New Roman" w:eastAsia="Times New Roman" w:hint="default"/>
          <w:spacing w:val="-3"/>
          <w:sz w:val="22"/>
          <w:szCs w:val="22"/>
        </w:rPr>
        <w:t>12</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月</w:t>
      </w:r>
      <w:r>
        <w:rPr>
          <w:rFonts w:ascii="宋体" w:hAnsi="宋体" w:cs="宋体" w:eastAsia="宋体" w:hint="default"/>
          <w:spacing w:val="-62"/>
          <w:sz w:val="22"/>
          <w:szCs w:val="22"/>
        </w:rPr>
        <w:t> </w:t>
      </w:r>
      <w:r>
        <w:rPr>
          <w:rFonts w:ascii="Times New Roman" w:hAnsi="Times New Roman" w:cs="Times New Roman" w:eastAsia="Times New Roman" w:hint="default"/>
          <w:spacing w:val="-3"/>
          <w:sz w:val="22"/>
          <w:szCs w:val="22"/>
        </w:rPr>
        <w:t>31</w:t>
      </w:r>
      <w:r>
        <w:rPr>
          <w:rFonts w:ascii="Times New Roman" w:hAnsi="Times New Roman" w:cs="Times New Roman" w:eastAsia="Times New Roman" w:hint="default"/>
          <w:spacing w:val="1"/>
          <w:sz w:val="22"/>
          <w:szCs w:val="22"/>
        </w:rPr>
        <w:t> </w:t>
      </w:r>
      <w:r>
        <w:rPr>
          <w:rFonts w:ascii="宋体" w:hAnsi="宋体" w:cs="宋体" w:eastAsia="宋体" w:hint="default"/>
          <w:spacing w:val="-9"/>
          <w:sz w:val="22"/>
          <w:szCs w:val="22"/>
        </w:rPr>
        <w:t>日，本公司长期应付款的担保情况详见附注十一、（二）、</w:t>
      </w:r>
      <w:r>
        <w:rPr>
          <w:rFonts w:ascii="Times New Roman" w:hAnsi="Times New Roman" w:cs="Times New Roman" w:eastAsia="Times New Roman" w:hint="default"/>
          <w:spacing w:val="-9"/>
          <w:sz w:val="22"/>
          <w:szCs w:val="22"/>
        </w:rPr>
        <w:t>4</w:t>
      </w:r>
      <w:r>
        <w:rPr>
          <w:rFonts w:ascii="宋体" w:hAnsi="宋体" w:cs="宋体" w:eastAsia="宋体" w:hint="default"/>
          <w:spacing w:val="-9"/>
          <w:sz w:val="22"/>
          <w:szCs w:val="22"/>
        </w:rPr>
        <w:t>。</w:t>
      </w:r>
    </w:p>
    <w:p>
      <w:pPr>
        <w:spacing w:line="280" w:lineRule="auto" w:before="113"/>
        <w:ind w:left="242" w:right="216" w:firstLine="439"/>
        <w:jc w:val="both"/>
        <w:rPr>
          <w:rFonts w:ascii="宋体" w:hAnsi="宋体" w:cs="宋体" w:eastAsia="宋体" w:hint="default"/>
          <w:sz w:val="22"/>
          <w:szCs w:val="22"/>
        </w:rPr>
      </w:pPr>
      <w:r>
        <w:rPr>
          <w:rFonts w:ascii="宋体" w:hAnsi="宋体" w:cs="宋体" w:eastAsia="宋体" w:hint="default"/>
          <w:sz w:val="22"/>
          <w:szCs w:val="22"/>
        </w:rPr>
        <w:t>截至</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日，本公司长期应付款中质押贷款情况如下：本公司之子公司</w:t>
      </w:r>
      <w:r>
        <w:rPr>
          <w:rFonts w:ascii="宋体" w:hAnsi="宋体" w:cs="宋体" w:eastAsia="宋体" w:hint="default"/>
          <w:w w:val="100"/>
          <w:sz w:val="22"/>
          <w:szCs w:val="22"/>
        </w:rPr>
        <w:t> </w:t>
      </w:r>
      <w:r>
        <w:rPr>
          <w:rFonts w:ascii="宋体" w:hAnsi="宋体" w:cs="宋体" w:eastAsia="宋体" w:hint="default"/>
          <w:sz w:val="22"/>
          <w:szCs w:val="22"/>
        </w:rPr>
        <w:t>龙江环保集团股份有限公司以部分 </w:t>
      </w:r>
      <w:r>
        <w:rPr>
          <w:rFonts w:ascii="Times New Roman" w:hAnsi="Times New Roman" w:cs="Times New Roman" w:eastAsia="Times New Roman" w:hint="default"/>
          <w:sz w:val="22"/>
          <w:szCs w:val="22"/>
        </w:rPr>
        <w:t>BOT</w:t>
      </w:r>
      <w:r>
        <w:rPr>
          <w:rFonts w:ascii="Times New Roman" w:hAnsi="Times New Roman" w:cs="Times New Roman" w:eastAsia="Times New Roman" w:hint="default"/>
          <w:spacing w:val="-24"/>
          <w:sz w:val="22"/>
          <w:szCs w:val="22"/>
        </w:rPr>
        <w:t> </w:t>
      </w:r>
      <w:r>
        <w:rPr>
          <w:rFonts w:ascii="宋体" w:hAnsi="宋体" w:cs="宋体" w:eastAsia="宋体" w:hint="default"/>
          <w:sz w:val="22"/>
          <w:szCs w:val="22"/>
        </w:rPr>
        <w:t>项目的收费权质押从富锦市财政局取得贷款转贷</w:t>
      </w:r>
      <w:r>
        <w:rPr>
          <w:rFonts w:ascii="宋体" w:hAnsi="宋体" w:cs="宋体" w:eastAsia="宋体" w:hint="default"/>
          <w:w w:val="100"/>
          <w:sz w:val="22"/>
          <w:szCs w:val="22"/>
        </w:rPr>
        <w:t> </w:t>
      </w:r>
      <w:r>
        <w:rPr>
          <w:rFonts w:ascii="Times New Roman" w:hAnsi="Times New Roman" w:cs="Times New Roman" w:eastAsia="Times New Roman" w:hint="default"/>
          <w:sz w:val="22"/>
          <w:szCs w:val="22"/>
        </w:rPr>
        <w:t>26,015,069.87</w:t>
      </w:r>
      <w:r>
        <w:rPr>
          <w:rFonts w:ascii="Times New Roman" w:hAnsi="Times New Roman" w:cs="Times New Roman" w:eastAsia="Times New Roman" w:hint="default"/>
          <w:spacing w:val="52"/>
          <w:sz w:val="22"/>
          <w:szCs w:val="22"/>
        </w:rPr>
        <w:t> </w:t>
      </w:r>
      <w:r>
        <w:rPr>
          <w:rFonts w:ascii="宋体" w:hAnsi="宋体" w:cs="宋体" w:eastAsia="宋体" w:hint="default"/>
          <w:spacing w:val="-4"/>
          <w:sz w:val="22"/>
          <w:szCs w:val="22"/>
        </w:rPr>
        <w:t>元；本公司之子公司龙江环保集团股份有限公司以部分项目设备通过售后回</w:t>
      </w:r>
    </w:p>
    <w:p>
      <w:pPr>
        <w:spacing w:line="280" w:lineRule="auto" w:before="9"/>
        <w:ind w:left="242" w:right="203" w:firstLine="0"/>
        <w:jc w:val="left"/>
        <w:rPr>
          <w:rFonts w:ascii="宋体" w:hAnsi="宋体" w:cs="宋体" w:eastAsia="宋体" w:hint="default"/>
          <w:sz w:val="22"/>
          <w:szCs w:val="22"/>
        </w:rPr>
      </w:pPr>
      <w:r>
        <w:rPr>
          <w:rFonts w:ascii="宋体" w:hAnsi="宋体" w:cs="宋体" w:eastAsia="宋体" w:hint="default"/>
          <w:sz w:val="22"/>
          <w:szCs w:val="22"/>
        </w:rPr>
        <w:t>租方式取得融资租赁借款 </w:t>
      </w:r>
      <w:r>
        <w:rPr>
          <w:rFonts w:ascii="Times New Roman" w:hAnsi="Times New Roman" w:cs="Times New Roman" w:eastAsia="Times New Roman" w:hint="default"/>
          <w:sz w:val="22"/>
          <w:szCs w:val="22"/>
        </w:rPr>
        <w:t>51,207,737.95</w:t>
      </w:r>
      <w:r>
        <w:rPr>
          <w:rFonts w:ascii="Times New Roman" w:hAnsi="Times New Roman" w:cs="Times New Roman" w:eastAsia="Times New Roman" w:hint="default"/>
          <w:spacing w:val="33"/>
          <w:sz w:val="22"/>
          <w:szCs w:val="22"/>
        </w:rPr>
        <w:t> </w:t>
      </w:r>
      <w:r>
        <w:rPr>
          <w:rFonts w:ascii="宋体" w:hAnsi="宋体" w:cs="宋体" w:eastAsia="宋体" w:hint="default"/>
          <w:sz w:val="22"/>
          <w:szCs w:val="22"/>
        </w:rPr>
        <w:t>元，并由其子公司哈尔滨平义龙江环保治水有限</w:t>
      </w:r>
      <w:r>
        <w:rPr>
          <w:rFonts w:ascii="宋体" w:hAnsi="宋体" w:cs="宋体" w:eastAsia="宋体" w:hint="default"/>
          <w:w w:val="100"/>
          <w:sz w:val="22"/>
          <w:szCs w:val="22"/>
        </w:rPr>
        <w:t> </w:t>
      </w:r>
      <w:r>
        <w:rPr>
          <w:rFonts w:ascii="宋体" w:hAnsi="宋体" w:cs="宋体" w:eastAsia="宋体" w:hint="default"/>
          <w:sz w:val="22"/>
          <w:szCs w:val="22"/>
        </w:rPr>
        <w:t>责任公司以部分</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BOT </w:t>
      </w:r>
      <w:r>
        <w:rPr>
          <w:rFonts w:ascii="宋体" w:hAnsi="宋体" w:cs="宋体" w:eastAsia="宋体" w:hint="default"/>
          <w:sz w:val="22"/>
          <w:szCs w:val="22"/>
        </w:rPr>
        <w:t>项目收费权提供质押担保。</w:t>
      </w:r>
    </w:p>
    <w:p>
      <w:pPr>
        <w:spacing w:before="71"/>
        <w:ind w:left="64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36.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专项应付款</w:t>
      </w:r>
    </w:p>
    <w:p>
      <w:pPr>
        <w:spacing w:line="240" w:lineRule="auto" w:before="5"/>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2655"/>
        <w:gridCol w:w="1428"/>
        <w:gridCol w:w="1077"/>
        <w:gridCol w:w="1045"/>
        <w:gridCol w:w="1048"/>
        <w:gridCol w:w="1499"/>
      </w:tblGrid>
      <w:tr>
        <w:trPr>
          <w:trHeight w:val="305" w:hRule="exact"/>
        </w:trPr>
        <w:tc>
          <w:tcPr>
            <w:tcW w:w="265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6"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2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92"/>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c>
          <w:tcPr>
            <w:tcW w:w="107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58"/>
              <w:jc w:val="right"/>
              <w:rPr>
                <w:rFonts w:ascii="宋体" w:hAnsi="宋体" w:cs="宋体" w:eastAsia="宋体" w:hint="default"/>
                <w:sz w:val="18"/>
                <w:szCs w:val="18"/>
              </w:rPr>
            </w:pPr>
            <w:r>
              <w:rPr>
                <w:rFonts w:ascii="宋体" w:hAnsi="宋体" w:cs="宋体" w:eastAsia="宋体" w:hint="default"/>
                <w:b/>
                <w:bCs/>
                <w:w w:val="95"/>
                <w:sz w:val="18"/>
                <w:szCs w:val="18"/>
              </w:rPr>
              <w:t>本年增加</w:t>
            </w:r>
            <w:r>
              <w:rPr>
                <w:rFonts w:ascii="宋体" w:hAnsi="宋体" w:cs="宋体" w:eastAsia="宋体" w:hint="default"/>
                <w:sz w:val="18"/>
                <w:szCs w:val="18"/>
              </w:rPr>
            </w:r>
          </w:p>
        </w:tc>
        <w:tc>
          <w:tcPr>
            <w:tcW w:w="104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72"/>
              <w:jc w:val="right"/>
              <w:rPr>
                <w:rFonts w:ascii="宋体" w:hAnsi="宋体" w:cs="宋体" w:eastAsia="宋体" w:hint="default"/>
                <w:sz w:val="18"/>
                <w:szCs w:val="18"/>
              </w:rPr>
            </w:pPr>
            <w:r>
              <w:rPr>
                <w:rFonts w:ascii="宋体" w:hAnsi="宋体" w:cs="宋体" w:eastAsia="宋体" w:hint="default"/>
                <w:b/>
                <w:bCs/>
                <w:w w:val="95"/>
                <w:sz w:val="18"/>
                <w:szCs w:val="18"/>
              </w:rPr>
              <w:t>本年减少</w:t>
            </w:r>
            <w:r>
              <w:rPr>
                <w:rFonts w:ascii="宋体" w:hAnsi="宋体" w:cs="宋体" w:eastAsia="宋体" w:hint="default"/>
                <w:sz w:val="18"/>
                <w:szCs w:val="18"/>
              </w:rPr>
            </w:r>
          </w:p>
        </w:tc>
        <w:tc>
          <w:tcPr>
            <w:tcW w:w="104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6"/>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149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b/>
                <w:bCs/>
                <w:sz w:val="18"/>
                <w:szCs w:val="18"/>
              </w:rPr>
              <w:t>形成原因</w:t>
            </w:r>
            <w:r>
              <w:rPr>
                <w:rFonts w:ascii="宋体" w:hAnsi="宋体" w:cs="宋体" w:eastAsia="宋体" w:hint="default"/>
                <w:sz w:val="18"/>
                <w:szCs w:val="18"/>
              </w:rPr>
            </w:r>
          </w:p>
        </w:tc>
      </w:tr>
      <w:tr>
        <w:trPr>
          <w:trHeight w:val="485" w:hRule="exact"/>
        </w:trPr>
        <w:tc>
          <w:tcPr>
            <w:tcW w:w="2655" w:type="dxa"/>
            <w:tcBorders>
              <w:top w:val="single" w:sz="4" w:space="0" w:color="000000"/>
              <w:left w:val="nil" w:sz="6" w:space="0" w:color="auto"/>
              <w:bottom w:val="nil" w:sz="6" w:space="0" w:color="auto"/>
              <w:right w:val="nil" w:sz="6" w:space="0" w:color="auto"/>
            </w:tcBorders>
          </w:tcPr>
          <w:p>
            <w:pPr>
              <w:pStyle w:val="TableParagraph"/>
              <w:spacing w:line="240" w:lineRule="auto" w:before="87"/>
              <w:ind w:left="26" w:right="0"/>
              <w:jc w:val="left"/>
              <w:rPr>
                <w:rFonts w:ascii="宋体" w:hAnsi="宋体" w:cs="宋体" w:eastAsia="宋体" w:hint="default"/>
                <w:sz w:val="18"/>
                <w:szCs w:val="18"/>
              </w:rPr>
            </w:pPr>
            <w:r>
              <w:rPr>
                <w:rFonts w:ascii="宋体" w:hAnsi="宋体" w:cs="宋体" w:eastAsia="宋体" w:hint="default"/>
                <w:sz w:val="18"/>
                <w:szCs w:val="18"/>
              </w:rPr>
              <w:t>云计算数据中心容灾备份服务</w:t>
            </w:r>
          </w:p>
        </w:tc>
        <w:tc>
          <w:tcPr>
            <w:tcW w:w="1428" w:type="dxa"/>
            <w:tcBorders>
              <w:top w:val="single" w:sz="4" w:space="0" w:color="000000"/>
              <w:left w:val="nil" w:sz="6" w:space="0" w:color="auto"/>
              <w:bottom w:val="nil" w:sz="6" w:space="0" w:color="auto"/>
              <w:right w:val="nil" w:sz="6" w:space="0" w:color="auto"/>
            </w:tcBorders>
          </w:tcPr>
          <w:p>
            <w:pPr>
              <w:pStyle w:val="TableParagraph"/>
              <w:spacing w:line="240" w:lineRule="auto" w:before="127"/>
              <w:ind w:right="192"/>
              <w:jc w:val="right"/>
              <w:rPr>
                <w:rFonts w:ascii="Times New Roman" w:hAnsi="Times New Roman" w:cs="Times New Roman" w:eastAsia="Times New Roman" w:hint="default"/>
                <w:sz w:val="18"/>
                <w:szCs w:val="18"/>
              </w:rPr>
            </w:pPr>
            <w:r>
              <w:rPr>
                <w:rFonts w:ascii="Times New Roman"/>
                <w:spacing w:val="-1"/>
                <w:sz w:val="18"/>
              </w:rPr>
              <w:t>8,000,000.00</w:t>
            </w:r>
          </w:p>
        </w:tc>
        <w:tc>
          <w:tcPr>
            <w:tcW w:w="1077" w:type="dxa"/>
            <w:tcBorders>
              <w:top w:val="single" w:sz="4" w:space="0" w:color="000000"/>
              <w:left w:val="nil" w:sz="6" w:space="0" w:color="auto"/>
              <w:bottom w:val="nil" w:sz="6" w:space="0" w:color="auto"/>
              <w:right w:val="nil" w:sz="6" w:space="0" w:color="auto"/>
            </w:tcBorders>
          </w:tcPr>
          <w:p>
            <w:pPr>
              <w:pStyle w:val="TableParagraph"/>
              <w:spacing w:line="240" w:lineRule="auto" w:before="127"/>
              <w:ind w:right="157"/>
              <w:jc w:val="right"/>
              <w:rPr>
                <w:rFonts w:ascii="Times New Roman" w:hAnsi="Times New Roman" w:cs="Times New Roman" w:eastAsia="Times New Roman" w:hint="default"/>
                <w:sz w:val="18"/>
                <w:szCs w:val="18"/>
              </w:rPr>
            </w:pPr>
            <w:r>
              <w:rPr>
                <w:rFonts w:ascii="Times New Roman"/>
                <w:spacing w:val="-1"/>
                <w:sz w:val="18"/>
              </w:rPr>
              <w:t>0.00</w:t>
            </w:r>
          </w:p>
        </w:tc>
        <w:tc>
          <w:tcPr>
            <w:tcW w:w="1045" w:type="dxa"/>
            <w:tcBorders>
              <w:top w:val="single" w:sz="4" w:space="0" w:color="000000"/>
              <w:left w:val="nil" w:sz="6" w:space="0" w:color="auto"/>
              <w:bottom w:val="nil" w:sz="6" w:space="0" w:color="auto"/>
              <w:right w:val="nil" w:sz="6" w:space="0" w:color="auto"/>
            </w:tcBorders>
          </w:tcPr>
          <w:p>
            <w:pPr>
              <w:pStyle w:val="TableParagraph"/>
              <w:spacing w:line="240" w:lineRule="auto" w:before="127"/>
              <w:ind w:right="74"/>
              <w:jc w:val="right"/>
              <w:rPr>
                <w:rFonts w:ascii="Times New Roman" w:hAnsi="Times New Roman" w:cs="Times New Roman" w:eastAsia="Times New Roman" w:hint="default"/>
                <w:sz w:val="18"/>
                <w:szCs w:val="18"/>
              </w:rPr>
            </w:pPr>
            <w:r>
              <w:rPr>
                <w:rFonts w:ascii="Times New Roman"/>
                <w:spacing w:val="-1"/>
                <w:sz w:val="18"/>
              </w:rPr>
              <w:t>0.00</w:t>
            </w:r>
          </w:p>
        </w:tc>
        <w:tc>
          <w:tcPr>
            <w:tcW w:w="1048" w:type="dxa"/>
            <w:tcBorders>
              <w:top w:val="single" w:sz="4" w:space="0" w:color="000000"/>
              <w:left w:val="nil" w:sz="6" w:space="0" w:color="auto"/>
              <w:bottom w:val="nil" w:sz="6" w:space="0" w:color="auto"/>
              <w:right w:val="nil" w:sz="6" w:space="0" w:color="auto"/>
            </w:tcBorders>
          </w:tcPr>
          <w:p>
            <w:pPr>
              <w:pStyle w:val="TableParagraph"/>
              <w:spacing w:line="240" w:lineRule="auto" w:before="127"/>
              <w:ind w:right="25"/>
              <w:jc w:val="right"/>
              <w:rPr>
                <w:rFonts w:ascii="Times New Roman" w:hAnsi="Times New Roman" w:cs="Times New Roman" w:eastAsia="Times New Roman" w:hint="default"/>
                <w:sz w:val="18"/>
                <w:szCs w:val="18"/>
              </w:rPr>
            </w:pPr>
            <w:r>
              <w:rPr>
                <w:rFonts w:ascii="Times New Roman"/>
                <w:spacing w:val="-1"/>
                <w:sz w:val="18"/>
              </w:rPr>
              <w:t>8,000,000.00</w:t>
            </w:r>
          </w:p>
        </w:tc>
        <w:tc>
          <w:tcPr>
            <w:tcW w:w="1499" w:type="dxa"/>
            <w:tcBorders>
              <w:top w:val="single" w:sz="4" w:space="0" w:color="000000"/>
              <w:left w:val="nil" w:sz="6" w:space="0" w:color="auto"/>
              <w:bottom w:val="nil" w:sz="6" w:space="0" w:color="auto"/>
              <w:right w:val="nil" w:sz="6" w:space="0" w:color="auto"/>
            </w:tcBorders>
          </w:tcPr>
          <w:p>
            <w:pPr>
              <w:pStyle w:val="TableParagraph"/>
              <w:spacing w:line="206" w:lineRule="exact"/>
              <w:ind w:left="27" w:right="0"/>
              <w:jc w:val="left"/>
              <w:rPr>
                <w:rFonts w:ascii="宋体" w:hAnsi="宋体" w:cs="宋体" w:eastAsia="宋体" w:hint="default"/>
                <w:sz w:val="18"/>
                <w:szCs w:val="18"/>
              </w:rPr>
            </w:pPr>
            <w:r>
              <w:rPr>
                <w:rFonts w:ascii="宋体" w:hAnsi="宋体" w:cs="宋体" w:eastAsia="宋体" w:hint="default"/>
                <w:sz w:val="18"/>
                <w:szCs w:val="18"/>
              </w:rPr>
              <w:t>委托及合作开发的</w:t>
            </w:r>
          </w:p>
          <w:p>
            <w:pPr>
              <w:pStyle w:val="TableParagraph"/>
              <w:spacing w:line="234" w:lineRule="exact"/>
              <w:ind w:left="27" w:right="0"/>
              <w:jc w:val="left"/>
              <w:rPr>
                <w:rFonts w:ascii="宋体" w:hAnsi="宋体" w:cs="宋体" w:eastAsia="宋体" w:hint="default"/>
                <w:sz w:val="18"/>
                <w:szCs w:val="18"/>
              </w:rPr>
            </w:pPr>
            <w:r>
              <w:rPr>
                <w:rFonts w:ascii="宋体" w:hAnsi="宋体" w:cs="宋体" w:eastAsia="宋体" w:hint="default"/>
                <w:sz w:val="18"/>
                <w:szCs w:val="18"/>
              </w:rPr>
              <w:t>研发项目</w:t>
            </w:r>
          </w:p>
        </w:tc>
      </w:tr>
      <w:tr>
        <w:trPr>
          <w:trHeight w:val="288" w:hRule="exact"/>
        </w:trPr>
        <w:tc>
          <w:tcPr>
            <w:tcW w:w="2655" w:type="dxa"/>
            <w:tcBorders>
              <w:top w:val="nil" w:sz="6" w:space="0" w:color="auto"/>
              <w:left w:val="nil" w:sz="6" w:space="0" w:color="auto"/>
              <w:bottom w:val="single" w:sz="12" w:space="0" w:color="000000"/>
              <w:right w:val="nil" w:sz="6" w:space="0" w:color="auto"/>
            </w:tcBorders>
          </w:tcPr>
          <w:p>
            <w:pPr>
              <w:pStyle w:val="TableParagraph"/>
              <w:spacing w:line="220" w:lineRule="exact"/>
              <w:ind w:left="26" w:right="0"/>
              <w:jc w:val="left"/>
              <w:rPr>
                <w:rFonts w:ascii="宋体" w:hAnsi="宋体" w:cs="宋体" w:eastAsia="宋体" w:hint="default"/>
                <w:sz w:val="18"/>
                <w:szCs w:val="18"/>
              </w:rPr>
            </w:pPr>
            <w:r>
              <w:rPr>
                <w:rFonts w:ascii="宋体" w:hAnsi="宋体" w:cs="宋体" w:eastAsia="宋体" w:hint="default"/>
                <w:sz w:val="18"/>
                <w:szCs w:val="18"/>
              </w:rPr>
              <w:t>高端智能卡芯片研发项目</w:t>
            </w:r>
          </w:p>
        </w:tc>
        <w:tc>
          <w:tcPr>
            <w:tcW w:w="1428"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192"/>
              <w:jc w:val="right"/>
              <w:rPr>
                <w:rFonts w:ascii="Times New Roman" w:hAnsi="Times New Roman" w:cs="Times New Roman" w:eastAsia="Times New Roman" w:hint="default"/>
                <w:sz w:val="18"/>
                <w:szCs w:val="18"/>
              </w:rPr>
            </w:pPr>
            <w:r>
              <w:rPr>
                <w:rFonts w:ascii="Times New Roman"/>
                <w:spacing w:val="-1"/>
                <w:sz w:val="18"/>
              </w:rPr>
              <w:t>2,190,000.00</w:t>
            </w:r>
          </w:p>
        </w:tc>
        <w:tc>
          <w:tcPr>
            <w:tcW w:w="1077"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159"/>
              <w:jc w:val="right"/>
              <w:rPr>
                <w:rFonts w:ascii="Times New Roman" w:hAnsi="Times New Roman" w:cs="Times New Roman" w:eastAsia="Times New Roman" w:hint="default"/>
                <w:sz w:val="18"/>
                <w:szCs w:val="18"/>
              </w:rPr>
            </w:pPr>
            <w:r>
              <w:rPr>
                <w:rFonts w:ascii="Times New Roman"/>
                <w:spacing w:val="-1"/>
                <w:sz w:val="18"/>
              </w:rPr>
              <w:t>0.00</w:t>
            </w:r>
          </w:p>
        </w:tc>
        <w:tc>
          <w:tcPr>
            <w:tcW w:w="1045"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72"/>
              <w:jc w:val="right"/>
              <w:rPr>
                <w:rFonts w:ascii="Times New Roman" w:hAnsi="Times New Roman" w:cs="Times New Roman" w:eastAsia="Times New Roman" w:hint="default"/>
                <w:sz w:val="18"/>
                <w:szCs w:val="18"/>
              </w:rPr>
            </w:pPr>
            <w:r>
              <w:rPr>
                <w:rFonts w:ascii="Times New Roman"/>
                <w:spacing w:val="-1"/>
                <w:sz w:val="18"/>
              </w:rPr>
              <w:t>730,008.00</w:t>
            </w:r>
          </w:p>
        </w:tc>
        <w:tc>
          <w:tcPr>
            <w:tcW w:w="1048"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25"/>
              <w:jc w:val="right"/>
              <w:rPr>
                <w:rFonts w:ascii="Times New Roman" w:hAnsi="Times New Roman" w:cs="Times New Roman" w:eastAsia="Times New Roman" w:hint="default"/>
                <w:sz w:val="18"/>
                <w:szCs w:val="18"/>
              </w:rPr>
            </w:pPr>
            <w:r>
              <w:rPr>
                <w:rFonts w:ascii="Times New Roman"/>
                <w:spacing w:val="-1"/>
                <w:sz w:val="18"/>
              </w:rPr>
              <w:t>1,459,992.00</w:t>
            </w:r>
          </w:p>
        </w:tc>
        <w:tc>
          <w:tcPr>
            <w:tcW w:w="149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委托及合作开发的</w:t>
            </w:r>
          </w:p>
        </w:tc>
      </w:tr>
    </w:tbl>
    <w:p>
      <w:pPr>
        <w:spacing w:after="0" w:line="240" w:lineRule="auto"/>
        <w:jc w:val="center"/>
        <w:rPr>
          <w:rFonts w:ascii="宋体" w:hAnsi="宋体" w:cs="宋体" w:eastAsia="宋体" w:hint="default"/>
          <w:sz w:val="18"/>
          <w:szCs w:val="18"/>
        </w:rPr>
        <w:sectPr>
          <w:headerReference w:type="default" r:id="rId80"/>
          <w:pgSz w:w="11910" w:h="16840"/>
          <w:pgMar w:header="645" w:footer="816" w:top="1080" w:bottom="1020" w:left="1460" w:right="1480"/>
        </w:sectPr>
      </w:pPr>
    </w:p>
    <w:p>
      <w:pPr>
        <w:spacing w:line="240" w:lineRule="auto" w:before="7"/>
        <w:rPr>
          <w:rFonts w:ascii="宋体" w:hAnsi="宋体" w:cs="宋体" w:eastAsia="宋体"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2623"/>
        <w:gridCol w:w="1474"/>
        <w:gridCol w:w="1009"/>
        <w:gridCol w:w="1068"/>
        <w:gridCol w:w="1094"/>
        <w:gridCol w:w="1498"/>
      </w:tblGrid>
      <w:tr>
        <w:trPr>
          <w:trHeight w:val="307" w:hRule="exact"/>
        </w:trPr>
        <w:tc>
          <w:tcPr>
            <w:tcW w:w="262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40"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7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92"/>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c>
          <w:tcPr>
            <w:tcW w:w="100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90"/>
              <w:jc w:val="right"/>
              <w:rPr>
                <w:rFonts w:ascii="宋体" w:hAnsi="宋体" w:cs="宋体" w:eastAsia="宋体" w:hint="default"/>
                <w:sz w:val="18"/>
                <w:szCs w:val="18"/>
              </w:rPr>
            </w:pPr>
            <w:r>
              <w:rPr>
                <w:rFonts w:ascii="宋体" w:hAnsi="宋体" w:cs="宋体" w:eastAsia="宋体" w:hint="default"/>
                <w:b/>
                <w:bCs/>
                <w:w w:val="95"/>
                <w:sz w:val="18"/>
                <w:szCs w:val="18"/>
              </w:rPr>
              <w:t>本年增加</w:t>
            </w:r>
            <w:r>
              <w:rPr>
                <w:rFonts w:ascii="宋体" w:hAnsi="宋体" w:cs="宋体" w:eastAsia="宋体" w:hint="default"/>
                <w:sz w:val="18"/>
                <w:szCs w:val="18"/>
              </w:rPr>
            </w:r>
          </w:p>
        </w:tc>
        <w:tc>
          <w:tcPr>
            <w:tcW w:w="106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7"/>
              <w:jc w:val="right"/>
              <w:rPr>
                <w:rFonts w:ascii="宋体" w:hAnsi="宋体" w:cs="宋体" w:eastAsia="宋体" w:hint="default"/>
                <w:sz w:val="18"/>
                <w:szCs w:val="18"/>
              </w:rPr>
            </w:pPr>
            <w:r>
              <w:rPr>
                <w:rFonts w:ascii="宋体" w:hAnsi="宋体" w:cs="宋体" w:eastAsia="宋体" w:hint="default"/>
                <w:b/>
                <w:bCs/>
                <w:w w:val="95"/>
                <w:sz w:val="18"/>
                <w:szCs w:val="18"/>
              </w:rPr>
              <w:t>本年减少</w:t>
            </w:r>
            <w:r>
              <w:rPr>
                <w:rFonts w:ascii="宋体" w:hAnsi="宋体" w:cs="宋体" w:eastAsia="宋体" w:hint="default"/>
                <w:sz w:val="18"/>
                <w:szCs w:val="18"/>
              </w:rPr>
            </w:r>
          </w:p>
        </w:tc>
        <w:tc>
          <w:tcPr>
            <w:tcW w:w="109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6"/>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149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387" w:right="0"/>
              <w:jc w:val="left"/>
              <w:rPr>
                <w:rFonts w:ascii="宋体" w:hAnsi="宋体" w:cs="宋体" w:eastAsia="宋体" w:hint="default"/>
                <w:sz w:val="18"/>
                <w:szCs w:val="18"/>
              </w:rPr>
            </w:pPr>
            <w:r>
              <w:rPr>
                <w:rFonts w:ascii="宋体" w:hAnsi="宋体" w:cs="宋体" w:eastAsia="宋体" w:hint="default"/>
                <w:b/>
                <w:bCs/>
                <w:sz w:val="18"/>
                <w:szCs w:val="18"/>
              </w:rPr>
              <w:t>形成原因</w:t>
            </w:r>
            <w:r>
              <w:rPr>
                <w:rFonts w:ascii="宋体" w:hAnsi="宋体" w:cs="宋体" w:eastAsia="宋体" w:hint="default"/>
                <w:sz w:val="18"/>
                <w:szCs w:val="18"/>
              </w:rPr>
            </w:r>
          </w:p>
        </w:tc>
      </w:tr>
      <w:tr>
        <w:trPr>
          <w:trHeight w:val="263" w:hRule="exact"/>
        </w:trPr>
        <w:tc>
          <w:tcPr>
            <w:tcW w:w="2623" w:type="dxa"/>
            <w:tcBorders>
              <w:top w:val="single" w:sz="4" w:space="0" w:color="000000"/>
              <w:left w:val="nil" w:sz="6" w:space="0" w:color="auto"/>
              <w:bottom w:val="nil" w:sz="6" w:space="0" w:color="auto"/>
              <w:right w:val="nil" w:sz="6" w:space="0" w:color="auto"/>
            </w:tcBorders>
          </w:tcPr>
          <w:p>
            <w:pPr/>
          </w:p>
        </w:tc>
        <w:tc>
          <w:tcPr>
            <w:tcW w:w="1474" w:type="dxa"/>
            <w:tcBorders>
              <w:top w:val="single" w:sz="4" w:space="0" w:color="000000"/>
              <w:left w:val="nil" w:sz="6" w:space="0" w:color="auto"/>
              <w:bottom w:val="nil" w:sz="6" w:space="0" w:color="auto"/>
              <w:right w:val="nil" w:sz="6" w:space="0" w:color="auto"/>
            </w:tcBorders>
          </w:tcPr>
          <w:p>
            <w:pPr/>
          </w:p>
        </w:tc>
        <w:tc>
          <w:tcPr>
            <w:tcW w:w="1009" w:type="dxa"/>
            <w:tcBorders>
              <w:top w:val="single" w:sz="4" w:space="0" w:color="000000"/>
              <w:left w:val="nil" w:sz="6" w:space="0" w:color="auto"/>
              <w:bottom w:val="nil" w:sz="6" w:space="0" w:color="auto"/>
              <w:right w:val="nil" w:sz="6" w:space="0" w:color="auto"/>
            </w:tcBorders>
          </w:tcPr>
          <w:p>
            <w:pPr/>
          </w:p>
        </w:tc>
        <w:tc>
          <w:tcPr>
            <w:tcW w:w="1068" w:type="dxa"/>
            <w:tcBorders>
              <w:top w:val="single" w:sz="4" w:space="0" w:color="000000"/>
              <w:left w:val="nil" w:sz="6" w:space="0" w:color="auto"/>
              <w:bottom w:val="nil" w:sz="6" w:space="0" w:color="auto"/>
              <w:right w:val="nil" w:sz="6" w:space="0" w:color="auto"/>
            </w:tcBorders>
          </w:tcPr>
          <w:p>
            <w:pPr/>
          </w:p>
        </w:tc>
        <w:tc>
          <w:tcPr>
            <w:tcW w:w="1094" w:type="dxa"/>
            <w:tcBorders>
              <w:top w:val="single" w:sz="4" w:space="0" w:color="000000"/>
              <w:left w:val="nil" w:sz="6" w:space="0" w:color="auto"/>
              <w:bottom w:val="nil" w:sz="6" w:space="0" w:color="auto"/>
              <w:right w:val="nil" w:sz="6" w:space="0" w:color="auto"/>
            </w:tcBorders>
          </w:tcPr>
          <w:p>
            <w:pPr/>
          </w:p>
        </w:tc>
        <w:tc>
          <w:tcPr>
            <w:tcW w:w="1498" w:type="dxa"/>
            <w:tcBorders>
              <w:top w:val="single" w:sz="4" w:space="0" w:color="000000"/>
              <w:left w:val="nil" w:sz="6" w:space="0" w:color="auto"/>
              <w:bottom w:val="nil" w:sz="6" w:space="0" w:color="auto"/>
              <w:right w:val="nil" w:sz="6" w:space="0" w:color="auto"/>
            </w:tcBorders>
          </w:tcPr>
          <w:p>
            <w:pPr>
              <w:pStyle w:val="TableParagraph"/>
              <w:spacing w:line="206" w:lineRule="exact"/>
              <w:ind w:left="27" w:right="0"/>
              <w:jc w:val="left"/>
              <w:rPr>
                <w:rFonts w:ascii="宋体" w:hAnsi="宋体" w:cs="宋体" w:eastAsia="宋体" w:hint="default"/>
                <w:sz w:val="18"/>
                <w:szCs w:val="18"/>
              </w:rPr>
            </w:pPr>
            <w:r>
              <w:rPr>
                <w:rFonts w:ascii="宋体" w:hAnsi="宋体" w:cs="宋体" w:eastAsia="宋体" w:hint="default"/>
                <w:sz w:val="18"/>
                <w:szCs w:val="18"/>
              </w:rPr>
              <w:t>研发项目</w:t>
            </w:r>
          </w:p>
        </w:tc>
      </w:tr>
      <w:tr>
        <w:trPr>
          <w:trHeight w:val="492" w:hRule="exact"/>
        </w:trPr>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40" w:right="0"/>
              <w:jc w:val="left"/>
              <w:rPr>
                <w:rFonts w:ascii="宋体" w:hAnsi="宋体" w:cs="宋体" w:eastAsia="宋体" w:hint="default"/>
                <w:sz w:val="18"/>
                <w:szCs w:val="18"/>
              </w:rPr>
            </w:pPr>
            <w:r>
              <w:rPr>
                <w:rFonts w:ascii="宋体" w:hAnsi="宋体" w:cs="宋体" w:eastAsia="宋体" w:hint="default"/>
                <w:spacing w:val="-16"/>
                <w:sz w:val="18"/>
                <w:szCs w:val="18"/>
              </w:rPr>
              <w:t>功率器件用硅基</w:t>
            </w:r>
            <w:r>
              <w:rPr>
                <w:rFonts w:ascii="Times New Roman" w:hAnsi="Times New Roman" w:cs="Times New Roman" w:eastAsia="Times New Roman" w:hint="default"/>
                <w:spacing w:val="-16"/>
                <w:sz w:val="18"/>
                <w:szCs w:val="18"/>
              </w:rPr>
              <w:t>GaN</w:t>
            </w:r>
            <w:r>
              <w:rPr>
                <w:rFonts w:ascii="Times New Roman" w:hAnsi="Times New Roman" w:cs="Times New Roman" w:eastAsia="Times New Roman" w:hint="default"/>
                <w:spacing w:val="-15"/>
                <w:sz w:val="18"/>
                <w:szCs w:val="18"/>
              </w:rPr>
              <w:t> </w:t>
            </w:r>
            <w:r>
              <w:rPr>
                <w:rFonts w:ascii="宋体" w:hAnsi="宋体" w:cs="宋体" w:eastAsia="宋体" w:hint="default"/>
                <w:spacing w:val="-24"/>
                <w:sz w:val="18"/>
                <w:szCs w:val="18"/>
              </w:rPr>
              <w:t>外延片研究</w:t>
            </w:r>
            <w:r>
              <w:rPr>
                <w:rFonts w:ascii="宋体" w:hAnsi="宋体" w:cs="宋体" w:eastAsia="宋体" w:hint="default"/>
                <w:sz w:val="18"/>
                <w:szCs w:val="18"/>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192"/>
              <w:jc w:val="right"/>
              <w:rPr>
                <w:rFonts w:ascii="Times New Roman" w:hAnsi="Times New Roman" w:cs="Times New Roman" w:eastAsia="Times New Roman" w:hint="default"/>
                <w:sz w:val="18"/>
                <w:szCs w:val="18"/>
              </w:rPr>
            </w:pPr>
            <w:r>
              <w:rPr>
                <w:rFonts w:ascii="Times New Roman"/>
                <w:spacing w:val="-1"/>
                <w:sz w:val="18"/>
              </w:rPr>
              <w:t>1,400,000.00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91"/>
              <w:jc w:val="right"/>
              <w:rPr>
                <w:rFonts w:ascii="Times New Roman" w:hAnsi="Times New Roman" w:cs="Times New Roman" w:eastAsia="Times New Roman" w:hint="default"/>
                <w:sz w:val="18"/>
                <w:szCs w:val="18"/>
              </w:rPr>
            </w:pPr>
            <w:r>
              <w:rPr>
                <w:rFonts w:ascii="Times New Roman"/>
                <w:spacing w:val="-1"/>
                <w:sz w:val="18"/>
              </w:rPr>
              <w:t>0.00</w:t>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27"/>
              <w:jc w:val="right"/>
              <w:rPr>
                <w:rFonts w:ascii="Times New Roman" w:hAnsi="Times New Roman" w:cs="Times New Roman" w:eastAsia="Times New Roman" w:hint="default"/>
                <w:sz w:val="18"/>
                <w:szCs w:val="18"/>
              </w:rPr>
            </w:pPr>
            <w:r>
              <w:rPr>
                <w:rFonts w:ascii="Times New Roman"/>
                <w:spacing w:val="-1"/>
                <w:sz w:val="18"/>
              </w:rPr>
              <w:t>1,400,000.00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25"/>
              <w:jc w:val="right"/>
              <w:rPr>
                <w:rFonts w:ascii="Times New Roman" w:hAnsi="Times New Roman" w:cs="Times New Roman" w:eastAsia="Times New Roman" w:hint="default"/>
                <w:sz w:val="18"/>
                <w:szCs w:val="18"/>
              </w:rPr>
            </w:pPr>
            <w:r>
              <w:rPr>
                <w:rFonts w:ascii="Times New Roman"/>
                <w:spacing w:val="-1"/>
                <w:sz w:val="18"/>
              </w:rPr>
              <w:t>0.00</w:t>
            </w:r>
          </w:p>
        </w:tc>
        <w:tc>
          <w:tcPr>
            <w:tcW w:w="1498" w:type="dxa"/>
            <w:tcBorders>
              <w:top w:val="nil" w:sz="6" w:space="0" w:color="auto"/>
              <w:left w:val="nil" w:sz="6" w:space="0" w:color="auto"/>
              <w:bottom w:val="nil" w:sz="6" w:space="0" w:color="auto"/>
              <w:right w:val="nil" w:sz="6" w:space="0" w:color="auto"/>
            </w:tcBorders>
          </w:tcPr>
          <w:p>
            <w:pPr>
              <w:pStyle w:val="TableParagraph"/>
              <w:spacing w:line="232" w:lineRule="exact" w:before="22"/>
              <w:ind w:left="27" w:right="29"/>
              <w:jc w:val="left"/>
              <w:rPr>
                <w:rFonts w:ascii="宋体" w:hAnsi="宋体" w:cs="宋体" w:eastAsia="宋体" w:hint="default"/>
                <w:sz w:val="18"/>
                <w:szCs w:val="18"/>
              </w:rPr>
            </w:pPr>
            <w:r>
              <w:rPr>
                <w:rFonts w:ascii="宋体" w:hAnsi="宋体" w:cs="宋体" w:eastAsia="宋体" w:hint="default"/>
                <w:sz w:val="18"/>
                <w:szCs w:val="18"/>
              </w:rPr>
              <w:t>委托及合作开发的 研发项目</w:t>
            </w:r>
          </w:p>
        </w:tc>
      </w:tr>
      <w:tr>
        <w:trPr>
          <w:trHeight w:val="467" w:hRule="exact"/>
        </w:trPr>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88"/>
              <w:ind w:left="40" w:right="0"/>
              <w:jc w:val="left"/>
              <w:rPr>
                <w:rFonts w:ascii="宋体" w:hAnsi="宋体" w:cs="宋体" w:eastAsia="宋体" w:hint="default"/>
                <w:sz w:val="18"/>
                <w:szCs w:val="18"/>
              </w:rPr>
            </w:pPr>
            <w:r>
              <w:rPr>
                <w:rFonts w:ascii="宋体" w:hAnsi="宋体" w:cs="宋体" w:eastAsia="宋体" w:hint="default"/>
                <w:sz w:val="18"/>
                <w:szCs w:val="18"/>
              </w:rPr>
              <w:t>河北省信息产业专项资金项目</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2"/>
              <w:jc w:val="right"/>
              <w:rPr>
                <w:rFonts w:ascii="Times New Roman" w:hAnsi="Times New Roman" w:cs="Times New Roman" w:eastAsia="Times New Roman" w:hint="default"/>
                <w:sz w:val="18"/>
                <w:szCs w:val="18"/>
              </w:rPr>
            </w:pPr>
            <w:r>
              <w:rPr>
                <w:rFonts w:ascii="Times New Roman"/>
                <w:spacing w:val="-1"/>
                <w:sz w:val="18"/>
              </w:rPr>
              <w:t>1,000,000.00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91"/>
              <w:jc w:val="right"/>
              <w:rPr>
                <w:rFonts w:ascii="Times New Roman" w:hAnsi="Times New Roman" w:cs="Times New Roman" w:eastAsia="Times New Roman" w:hint="default"/>
                <w:sz w:val="18"/>
                <w:szCs w:val="18"/>
              </w:rPr>
            </w:pPr>
            <w:r>
              <w:rPr>
                <w:rFonts w:ascii="Times New Roman"/>
                <w:spacing w:val="-1"/>
                <w:sz w:val="18"/>
              </w:rPr>
              <w:t>0.00</w:t>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8"/>
              <w:jc w:val="right"/>
              <w:rPr>
                <w:rFonts w:ascii="Times New Roman" w:hAnsi="Times New Roman" w:cs="Times New Roman" w:eastAsia="Times New Roman" w:hint="default"/>
                <w:sz w:val="18"/>
                <w:szCs w:val="18"/>
              </w:rPr>
            </w:pPr>
            <w:r>
              <w:rPr>
                <w:rFonts w:ascii="Times New Roman"/>
                <w:spacing w:val="-1"/>
                <w:sz w:val="18"/>
              </w:rPr>
              <w:t>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6"/>
              <w:jc w:val="right"/>
              <w:rPr>
                <w:rFonts w:ascii="Times New Roman" w:hAnsi="Times New Roman" w:cs="Times New Roman" w:eastAsia="Times New Roman" w:hint="default"/>
                <w:sz w:val="18"/>
                <w:szCs w:val="18"/>
              </w:rPr>
            </w:pPr>
            <w:r>
              <w:rPr>
                <w:rFonts w:ascii="Times New Roman"/>
                <w:spacing w:val="-1"/>
                <w:sz w:val="18"/>
              </w:rPr>
              <w:t>1,000,000.00</w:t>
            </w:r>
          </w:p>
        </w:tc>
        <w:tc>
          <w:tcPr>
            <w:tcW w:w="1498" w:type="dxa"/>
            <w:tcBorders>
              <w:top w:val="nil" w:sz="6" w:space="0" w:color="auto"/>
              <w:left w:val="nil" w:sz="6" w:space="0" w:color="auto"/>
              <w:bottom w:val="nil" w:sz="6" w:space="0" w:color="auto"/>
              <w:right w:val="nil" w:sz="6" w:space="0" w:color="auto"/>
            </w:tcBorders>
          </w:tcPr>
          <w:p>
            <w:pPr>
              <w:pStyle w:val="TableParagraph"/>
              <w:spacing w:line="205" w:lineRule="exact"/>
              <w:ind w:left="27" w:right="0"/>
              <w:jc w:val="left"/>
              <w:rPr>
                <w:rFonts w:ascii="宋体" w:hAnsi="宋体" w:cs="宋体" w:eastAsia="宋体" w:hint="default"/>
                <w:sz w:val="18"/>
                <w:szCs w:val="18"/>
              </w:rPr>
            </w:pPr>
            <w:r>
              <w:rPr>
                <w:rFonts w:ascii="宋体" w:hAnsi="宋体" w:cs="宋体" w:eastAsia="宋体" w:hint="default"/>
                <w:sz w:val="18"/>
                <w:szCs w:val="18"/>
              </w:rPr>
              <w:t>河北省信息产业专</w:t>
            </w:r>
          </w:p>
          <w:p>
            <w:pPr>
              <w:pStyle w:val="TableParagraph"/>
              <w:spacing w:line="234" w:lineRule="exact"/>
              <w:ind w:left="27" w:right="0"/>
              <w:jc w:val="left"/>
              <w:rPr>
                <w:rFonts w:ascii="宋体" w:hAnsi="宋体" w:cs="宋体" w:eastAsia="宋体" w:hint="default"/>
                <w:sz w:val="18"/>
                <w:szCs w:val="18"/>
              </w:rPr>
            </w:pPr>
            <w:r>
              <w:rPr>
                <w:rFonts w:ascii="宋体" w:hAnsi="宋体" w:cs="宋体" w:eastAsia="宋体" w:hint="default"/>
                <w:sz w:val="18"/>
                <w:szCs w:val="18"/>
              </w:rPr>
              <w:t>项资金项目</w:t>
            </w:r>
          </w:p>
        </w:tc>
      </w:tr>
      <w:tr>
        <w:trPr>
          <w:trHeight w:val="493" w:hRule="exact"/>
        </w:trPr>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87"/>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SOC</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芯片研发项目</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92"/>
              <w:jc w:val="right"/>
              <w:rPr>
                <w:rFonts w:ascii="Times New Roman" w:hAnsi="Times New Roman" w:cs="Times New Roman" w:eastAsia="Times New Roman" w:hint="default"/>
                <w:sz w:val="18"/>
                <w:szCs w:val="18"/>
              </w:rPr>
            </w:pPr>
            <w:r>
              <w:rPr>
                <w:rFonts w:ascii="Times New Roman"/>
                <w:spacing w:val="-1"/>
                <w:sz w:val="18"/>
              </w:rPr>
              <w:t>800,000.00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91"/>
              <w:jc w:val="right"/>
              <w:rPr>
                <w:rFonts w:ascii="Times New Roman" w:hAnsi="Times New Roman" w:cs="Times New Roman" w:eastAsia="Times New Roman" w:hint="default"/>
                <w:sz w:val="18"/>
                <w:szCs w:val="18"/>
              </w:rPr>
            </w:pPr>
            <w:r>
              <w:rPr>
                <w:rFonts w:ascii="Times New Roman"/>
                <w:spacing w:val="-1"/>
                <w:sz w:val="18"/>
              </w:rPr>
              <w:t>0.00</w:t>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26"/>
              <w:jc w:val="right"/>
              <w:rPr>
                <w:rFonts w:ascii="Times New Roman" w:hAnsi="Times New Roman" w:cs="Times New Roman" w:eastAsia="Times New Roman" w:hint="default"/>
                <w:sz w:val="18"/>
                <w:szCs w:val="18"/>
              </w:rPr>
            </w:pPr>
            <w:r>
              <w:rPr>
                <w:rFonts w:ascii="Times New Roman"/>
                <w:spacing w:val="-1"/>
                <w:sz w:val="18"/>
              </w:rPr>
              <w:t>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26"/>
              <w:jc w:val="right"/>
              <w:rPr>
                <w:rFonts w:ascii="Times New Roman" w:hAnsi="Times New Roman" w:cs="Times New Roman" w:eastAsia="Times New Roman" w:hint="default"/>
                <w:sz w:val="18"/>
                <w:szCs w:val="18"/>
              </w:rPr>
            </w:pPr>
            <w:r>
              <w:rPr>
                <w:rFonts w:ascii="Times New Roman"/>
                <w:spacing w:val="-1"/>
                <w:sz w:val="18"/>
              </w:rPr>
              <w:t>800,000.00</w:t>
            </w:r>
          </w:p>
        </w:tc>
        <w:tc>
          <w:tcPr>
            <w:tcW w:w="1498" w:type="dxa"/>
            <w:tcBorders>
              <w:top w:val="nil" w:sz="6" w:space="0" w:color="auto"/>
              <w:left w:val="nil" w:sz="6" w:space="0" w:color="auto"/>
              <w:bottom w:val="nil" w:sz="6" w:space="0" w:color="auto"/>
              <w:right w:val="nil" w:sz="6" w:space="0" w:color="auto"/>
            </w:tcBorders>
          </w:tcPr>
          <w:p>
            <w:pPr>
              <w:pStyle w:val="TableParagraph"/>
              <w:spacing w:line="206" w:lineRule="exact"/>
              <w:ind w:left="27" w:right="0"/>
              <w:jc w:val="left"/>
              <w:rPr>
                <w:rFonts w:ascii="宋体" w:hAnsi="宋体" w:cs="宋体" w:eastAsia="宋体" w:hint="default"/>
                <w:sz w:val="18"/>
                <w:szCs w:val="18"/>
              </w:rPr>
            </w:pPr>
            <w:r>
              <w:rPr>
                <w:rFonts w:ascii="宋体" w:hAnsi="宋体" w:cs="宋体" w:eastAsia="宋体" w:hint="default"/>
                <w:sz w:val="18"/>
                <w:szCs w:val="18"/>
              </w:rPr>
              <w:t>委托及合作开发的</w:t>
            </w:r>
          </w:p>
          <w:p>
            <w:pPr>
              <w:pStyle w:val="TableParagraph"/>
              <w:spacing w:line="234" w:lineRule="exact"/>
              <w:ind w:left="27" w:right="0"/>
              <w:jc w:val="left"/>
              <w:rPr>
                <w:rFonts w:ascii="宋体" w:hAnsi="宋体" w:cs="宋体" w:eastAsia="宋体" w:hint="default"/>
                <w:sz w:val="18"/>
                <w:szCs w:val="18"/>
              </w:rPr>
            </w:pPr>
            <w:r>
              <w:rPr>
                <w:rFonts w:ascii="宋体" w:hAnsi="宋体" w:cs="宋体" w:eastAsia="宋体" w:hint="default"/>
                <w:sz w:val="18"/>
                <w:szCs w:val="18"/>
              </w:rPr>
              <w:t>研发项目</w:t>
            </w:r>
          </w:p>
        </w:tc>
      </w:tr>
      <w:tr>
        <w:trPr>
          <w:trHeight w:val="265" w:hRule="exact"/>
        </w:trPr>
        <w:tc>
          <w:tcPr>
            <w:tcW w:w="2623" w:type="dxa"/>
            <w:tcBorders>
              <w:top w:val="nil" w:sz="6" w:space="0" w:color="auto"/>
              <w:left w:val="nil" w:sz="6" w:space="0" w:color="auto"/>
              <w:bottom w:val="single" w:sz="4" w:space="0" w:color="000000"/>
              <w:right w:val="nil" w:sz="6" w:space="0" w:color="auto"/>
            </w:tcBorders>
          </w:tcPr>
          <w:p>
            <w:pPr>
              <w:pStyle w:val="TableParagraph"/>
              <w:spacing w:line="233" w:lineRule="exact"/>
              <w:ind w:left="40" w:right="0"/>
              <w:jc w:val="left"/>
              <w:rPr>
                <w:rFonts w:ascii="宋体" w:hAnsi="宋体" w:cs="宋体" w:eastAsia="宋体" w:hint="default"/>
                <w:sz w:val="18"/>
                <w:szCs w:val="18"/>
              </w:rPr>
            </w:pPr>
            <w:r>
              <w:rPr>
                <w:rFonts w:ascii="宋体" w:hAnsi="宋体" w:cs="宋体" w:eastAsia="宋体" w:hint="default"/>
                <w:sz w:val="18"/>
                <w:szCs w:val="18"/>
              </w:rPr>
              <w:t>蓄冰池工程</w:t>
            </w:r>
          </w:p>
        </w:tc>
        <w:tc>
          <w:tcPr>
            <w:tcW w:w="1474" w:type="dxa"/>
            <w:tcBorders>
              <w:top w:val="nil" w:sz="6" w:space="0" w:color="auto"/>
              <w:left w:val="nil" w:sz="6" w:space="0" w:color="auto"/>
              <w:bottom w:val="single" w:sz="4" w:space="0" w:color="000000"/>
              <w:right w:val="nil" w:sz="6" w:space="0" w:color="auto"/>
            </w:tcBorders>
          </w:tcPr>
          <w:p>
            <w:pPr>
              <w:pStyle w:val="TableParagraph"/>
              <w:spacing w:line="240" w:lineRule="auto" w:before="49"/>
              <w:ind w:right="192"/>
              <w:jc w:val="right"/>
              <w:rPr>
                <w:rFonts w:ascii="Times New Roman" w:hAnsi="Times New Roman" w:cs="Times New Roman" w:eastAsia="Times New Roman" w:hint="default"/>
                <w:sz w:val="18"/>
                <w:szCs w:val="18"/>
              </w:rPr>
            </w:pPr>
            <w:r>
              <w:rPr>
                <w:rFonts w:ascii="Times New Roman"/>
                <w:spacing w:val="-1"/>
                <w:sz w:val="18"/>
              </w:rPr>
              <w:t>100,000.00</w:t>
            </w:r>
          </w:p>
        </w:tc>
        <w:tc>
          <w:tcPr>
            <w:tcW w:w="1009" w:type="dxa"/>
            <w:tcBorders>
              <w:top w:val="nil" w:sz="6" w:space="0" w:color="auto"/>
              <w:left w:val="nil" w:sz="6" w:space="0" w:color="auto"/>
              <w:bottom w:val="single" w:sz="4" w:space="0" w:color="000000"/>
              <w:right w:val="nil" w:sz="6" w:space="0" w:color="auto"/>
            </w:tcBorders>
          </w:tcPr>
          <w:p>
            <w:pPr>
              <w:pStyle w:val="TableParagraph"/>
              <w:spacing w:line="240" w:lineRule="auto" w:before="49"/>
              <w:ind w:right="91"/>
              <w:jc w:val="right"/>
              <w:rPr>
                <w:rFonts w:ascii="Times New Roman" w:hAnsi="Times New Roman" w:cs="Times New Roman" w:eastAsia="Times New Roman" w:hint="default"/>
                <w:sz w:val="18"/>
                <w:szCs w:val="18"/>
              </w:rPr>
            </w:pPr>
            <w:r>
              <w:rPr>
                <w:rFonts w:ascii="Times New Roman"/>
                <w:spacing w:val="-1"/>
                <w:sz w:val="18"/>
              </w:rPr>
              <w:t>0.00</w:t>
            </w:r>
          </w:p>
        </w:tc>
        <w:tc>
          <w:tcPr>
            <w:tcW w:w="1068" w:type="dxa"/>
            <w:tcBorders>
              <w:top w:val="nil" w:sz="6" w:space="0" w:color="auto"/>
              <w:left w:val="nil" w:sz="6" w:space="0" w:color="auto"/>
              <w:bottom w:val="single" w:sz="4" w:space="0" w:color="000000"/>
              <w:right w:val="nil" w:sz="6" w:space="0" w:color="auto"/>
            </w:tcBorders>
          </w:tcPr>
          <w:p>
            <w:pPr>
              <w:pStyle w:val="TableParagraph"/>
              <w:spacing w:line="240" w:lineRule="auto" w:before="49"/>
              <w:ind w:right="26"/>
              <w:jc w:val="right"/>
              <w:rPr>
                <w:rFonts w:ascii="Times New Roman" w:hAnsi="Times New Roman" w:cs="Times New Roman" w:eastAsia="Times New Roman" w:hint="default"/>
                <w:sz w:val="18"/>
                <w:szCs w:val="18"/>
              </w:rPr>
            </w:pPr>
            <w:r>
              <w:rPr>
                <w:rFonts w:ascii="Times New Roman"/>
                <w:spacing w:val="-1"/>
                <w:sz w:val="18"/>
              </w:rPr>
              <w:t>0.00</w:t>
            </w:r>
          </w:p>
        </w:tc>
        <w:tc>
          <w:tcPr>
            <w:tcW w:w="1094" w:type="dxa"/>
            <w:tcBorders>
              <w:top w:val="nil" w:sz="6" w:space="0" w:color="auto"/>
              <w:left w:val="nil" w:sz="6" w:space="0" w:color="auto"/>
              <w:bottom w:val="single" w:sz="4" w:space="0" w:color="000000"/>
              <w:right w:val="nil" w:sz="6" w:space="0" w:color="auto"/>
            </w:tcBorders>
          </w:tcPr>
          <w:p>
            <w:pPr>
              <w:pStyle w:val="TableParagraph"/>
              <w:spacing w:line="240" w:lineRule="auto" w:before="49"/>
              <w:ind w:right="26"/>
              <w:jc w:val="right"/>
              <w:rPr>
                <w:rFonts w:ascii="Times New Roman" w:hAnsi="Times New Roman" w:cs="Times New Roman" w:eastAsia="Times New Roman" w:hint="default"/>
                <w:sz w:val="18"/>
                <w:szCs w:val="18"/>
              </w:rPr>
            </w:pPr>
            <w:r>
              <w:rPr>
                <w:rFonts w:ascii="Times New Roman"/>
                <w:spacing w:val="-1"/>
                <w:sz w:val="18"/>
              </w:rPr>
              <w:t>100,000.00</w:t>
            </w:r>
          </w:p>
        </w:tc>
        <w:tc>
          <w:tcPr>
            <w:tcW w:w="1498" w:type="dxa"/>
            <w:tcBorders>
              <w:top w:val="nil" w:sz="6" w:space="0" w:color="auto"/>
              <w:left w:val="nil" w:sz="6" w:space="0" w:color="auto"/>
              <w:bottom w:val="single" w:sz="4" w:space="0" w:color="000000"/>
              <w:right w:val="nil" w:sz="6" w:space="0" w:color="auto"/>
            </w:tcBorders>
          </w:tcPr>
          <w:p>
            <w:pPr/>
          </w:p>
        </w:tc>
      </w:tr>
      <w:tr>
        <w:trPr>
          <w:trHeight w:val="305" w:hRule="exact"/>
        </w:trPr>
        <w:tc>
          <w:tcPr>
            <w:tcW w:w="2623"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40"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47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94"/>
              <w:jc w:val="right"/>
              <w:rPr>
                <w:rFonts w:ascii="Times New Roman" w:hAnsi="Times New Roman" w:cs="Times New Roman" w:eastAsia="Times New Roman" w:hint="default"/>
                <w:sz w:val="18"/>
                <w:szCs w:val="18"/>
              </w:rPr>
            </w:pPr>
            <w:r>
              <w:rPr>
                <w:rFonts w:ascii="Times New Roman"/>
                <w:b/>
                <w:spacing w:val="-1"/>
                <w:sz w:val="18"/>
              </w:rPr>
              <w:t>13,490,000.00</w:t>
            </w:r>
            <w:r>
              <w:rPr>
                <w:rFonts w:ascii="Times New Roman"/>
                <w:spacing w:val="-1"/>
                <w:sz w:val="18"/>
              </w:rPr>
            </w:r>
          </w:p>
        </w:tc>
        <w:tc>
          <w:tcPr>
            <w:tcW w:w="100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91"/>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068"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27"/>
              <w:jc w:val="right"/>
              <w:rPr>
                <w:rFonts w:ascii="Times New Roman" w:hAnsi="Times New Roman" w:cs="Times New Roman" w:eastAsia="Times New Roman" w:hint="default"/>
                <w:sz w:val="18"/>
                <w:szCs w:val="18"/>
              </w:rPr>
            </w:pPr>
            <w:r>
              <w:rPr>
                <w:rFonts w:ascii="Times New Roman"/>
                <w:b/>
                <w:spacing w:val="-1"/>
                <w:sz w:val="18"/>
              </w:rPr>
              <w:t>2,130,008.00</w:t>
            </w:r>
            <w:r>
              <w:rPr>
                <w:rFonts w:ascii="Times New Roman"/>
                <w:spacing w:val="-1"/>
                <w:sz w:val="18"/>
              </w:rPr>
            </w:r>
          </w:p>
        </w:tc>
        <w:tc>
          <w:tcPr>
            <w:tcW w:w="109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29"/>
              <w:jc w:val="right"/>
              <w:rPr>
                <w:rFonts w:ascii="Times New Roman" w:hAnsi="Times New Roman" w:cs="Times New Roman" w:eastAsia="Times New Roman" w:hint="default"/>
                <w:sz w:val="18"/>
                <w:szCs w:val="18"/>
              </w:rPr>
            </w:pPr>
            <w:r>
              <w:rPr>
                <w:rFonts w:ascii="Times New Roman"/>
                <w:b/>
                <w:spacing w:val="-1"/>
                <w:sz w:val="18"/>
              </w:rPr>
              <w:t>11,359,992.00</w:t>
            </w:r>
            <w:r>
              <w:rPr>
                <w:rFonts w:ascii="Times New Roman"/>
                <w:spacing w:val="-1"/>
                <w:sz w:val="18"/>
              </w:rPr>
            </w:r>
          </w:p>
        </w:tc>
        <w:tc>
          <w:tcPr>
            <w:tcW w:w="1498" w:type="dxa"/>
            <w:tcBorders>
              <w:top w:val="single" w:sz="4" w:space="0" w:color="000000"/>
              <w:left w:val="nil" w:sz="6" w:space="0" w:color="auto"/>
              <w:bottom w:val="single" w:sz="12" w:space="0" w:color="000000"/>
              <w:right w:val="nil" w:sz="6" w:space="0" w:color="auto"/>
            </w:tcBorders>
          </w:tcPr>
          <w:p>
            <w:pPr/>
          </w:p>
        </w:tc>
      </w:tr>
    </w:tbl>
    <w:p>
      <w:pPr>
        <w:spacing w:before="21"/>
        <w:ind w:left="66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37.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预计负债</w:t>
      </w:r>
    </w:p>
    <w:p>
      <w:pPr>
        <w:spacing w:line="240" w:lineRule="auto" w:before="8"/>
        <w:rPr>
          <w:rFonts w:ascii="宋体" w:hAnsi="宋体" w:cs="宋体" w:eastAsia="宋体" w:hint="default"/>
          <w:sz w:val="11"/>
          <w:szCs w:val="11"/>
        </w:rPr>
      </w:pPr>
    </w:p>
    <w:tbl>
      <w:tblPr>
        <w:tblW w:w="0" w:type="auto"/>
        <w:jc w:val="left"/>
        <w:tblInd w:w="139" w:type="dxa"/>
        <w:tblLayout w:type="fixed"/>
        <w:tblCellMar>
          <w:top w:w="0" w:type="dxa"/>
          <w:left w:w="0" w:type="dxa"/>
          <w:bottom w:w="0" w:type="dxa"/>
          <w:right w:w="0" w:type="dxa"/>
        </w:tblCellMar>
        <w:tblLook w:val="01E0"/>
      </w:tblPr>
      <w:tblGrid>
        <w:gridCol w:w="2148"/>
        <w:gridCol w:w="2552"/>
        <w:gridCol w:w="1791"/>
        <w:gridCol w:w="2249"/>
      </w:tblGrid>
      <w:tr>
        <w:trPr>
          <w:trHeight w:val="305" w:hRule="exact"/>
        </w:trPr>
        <w:tc>
          <w:tcPr>
            <w:tcW w:w="214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5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478"/>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179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363"/>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c>
          <w:tcPr>
            <w:tcW w:w="224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58"/>
              <w:jc w:val="center"/>
              <w:rPr>
                <w:rFonts w:ascii="宋体" w:hAnsi="宋体" w:cs="宋体" w:eastAsia="宋体" w:hint="default"/>
                <w:sz w:val="18"/>
                <w:szCs w:val="18"/>
              </w:rPr>
            </w:pPr>
            <w:r>
              <w:rPr>
                <w:rFonts w:ascii="宋体" w:hAnsi="宋体" w:cs="宋体" w:eastAsia="宋体" w:hint="default"/>
                <w:b/>
                <w:bCs/>
                <w:sz w:val="18"/>
                <w:szCs w:val="18"/>
              </w:rPr>
              <w:t>形成原因</w:t>
            </w:r>
            <w:r>
              <w:rPr>
                <w:rFonts w:ascii="宋体" w:hAnsi="宋体" w:cs="宋体" w:eastAsia="宋体" w:hint="default"/>
                <w:sz w:val="18"/>
                <w:szCs w:val="18"/>
              </w:rPr>
            </w:r>
          </w:p>
        </w:tc>
      </w:tr>
      <w:tr>
        <w:trPr>
          <w:trHeight w:val="295" w:hRule="exact"/>
        </w:trPr>
        <w:tc>
          <w:tcPr>
            <w:tcW w:w="2148"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产品保修费</w:t>
            </w:r>
          </w:p>
        </w:tc>
        <w:tc>
          <w:tcPr>
            <w:tcW w:w="2552"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478"/>
              <w:jc w:val="right"/>
              <w:rPr>
                <w:rFonts w:ascii="Times New Roman" w:hAnsi="Times New Roman" w:cs="Times New Roman" w:eastAsia="Times New Roman" w:hint="default"/>
                <w:sz w:val="18"/>
                <w:szCs w:val="18"/>
              </w:rPr>
            </w:pPr>
            <w:r>
              <w:rPr>
                <w:rFonts w:ascii="Times New Roman"/>
                <w:spacing w:val="-1"/>
                <w:sz w:val="18"/>
              </w:rPr>
              <w:t>2,915,029.01</w:t>
            </w:r>
          </w:p>
        </w:tc>
        <w:tc>
          <w:tcPr>
            <w:tcW w:w="1791"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363"/>
              <w:jc w:val="right"/>
              <w:rPr>
                <w:rFonts w:ascii="Times New Roman" w:hAnsi="Times New Roman" w:cs="Times New Roman" w:eastAsia="Times New Roman" w:hint="default"/>
                <w:sz w:val="18"/>
                <w:szCs w:val="18"/>
              </w:rPr>
            </w:pPr>
            <w:r>
              <w:rPr>
                <w:rFonts w:ascii="Times New Roman"/>
                <w:spacing w:val="-1"/>
                <w:sz w:val="18"/>
              </w:rPr>
              <w:t>3,127,733.04</w:t>
            </w:r>
          </w:p>
        </w:tc>
        <w:tc>
          <w:tcPr>
            <w:tcW w:w="2249"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256"/>
              <w:jc w:val="center"/>
              <w:rPr>
                <w:rFonts w:ascii="宋体" w:hAnsi="宋体" w:cs="宋体" w:eastAsia="宋体" w:hint="default"/>
                <w:sz w:val="18"/>
                <w:szCs w:val="18"/>
              </w:rPr>
            </w:pPr>
            <w:r>
              <w:rPr>
                <w:rFonts w:ascii="宋体" w:hAnsi="宋体" w:cs="宋体" w:eastAsia="宋体" w:hint="default"/>
                <w:sz w:val="18"/>
                <w:szCs w:val="18"/>
              </w:rPr>
              <w:t>计提船舶维修费</w:t>
            </w:r>
          </w:p>
        </w:tc>
      </w:tr>
      <w:tr>
        <w:trPr>
          <w:trHeight w:val="308" w:hRule="exact"/>
        </w:trPr>
        <w:tc>
          <w:tcPr>
            <w:tcW w:w="2148"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5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478"/>
              <w:jc w:val="right"/>
              <w:rPr>
                <w:rFonts w:ascii="Times New Roman" w:hAnsi="Times New Roman" w:cs="Times New Roman" w:eastAsia="Times New Roman" w:hint="default"/>
                <w:sz w:val="18"/>
                <w:szCs w:val="18"/>
              </w:rPr>
            </w:pPr>
            <w:r>
              <w:rPr>
                <w:rFonts w:ascii="Times New Roman"/>
                <w:b/>
                <w:spacing w:val="-1"/>
                <w:sz w:val="18"/>
              </w:rPr>
              <w:t>2,915,029.01</w:t>
            </w:r>
            <w:r>
              <w:rPr>
                <w:rFonts w:ascii="Times New Roman"/>
                <w:spacing w:val="-1"/>
                <w:sz w:val="18"/>
              </w:rPr>
            </w:r>
          </w:p>
        </w:tc>
        <w:tc>
          <w:tcPr>
            <w:tcW w:w="1791"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363"/>
              <w:jc w:val="right"/>
              <w:rPr>
                <w:rFonts w:ascii="Times New Roman" w:hAnsi="Times New Roman" w:cs="Times New Roman" w:eastAsia="Times New Roman" w:hint="default"/>
                <w:sz w:val="18"/>
                <w:szCs w:val="18"/>
              </w:rPr>
            </w:pPr>
            <w:r>
              <w:rPr>
                <w:rFonts w:ascii="Times New Roman"/>
                <w:b/>
                <w:spacing w:val="-1"/>
                <w:sz w:val="18"/>
              </w:rPr>
              <w:t>3,127,733.04</w:t>
            </w:r>
            <w:r>
              <w:rPr>
                <w:rFonts w:ascii="Times New Roman"/>
                <w:spacing w:val="-1"/>
                <w:sz w:val="18"/>
              </w:rPr>
            </w:r>
          </w:p>
        </w:tc>
        <w:tc>
          <w:tcPr>
            <w:tcW w:w="2249" w:type="dxa"/>
            <w:tcBorders>
              <w:top w:val="single" w:sz="4" w:space="0" w:color="000000"/>
              <w:left w:val="nil" w:sz="6" w:space="0" w:color="auto"/>
              <w:bottom w:val="single" w:sz="12" w:space="0" w:color="000000"/>
              <w:right w:val="nil" w:sz="6" w:space="0" w:color="auto"/>
            </w:tcBorders>
          </w:tcPr>
          <w:p>
            <w:pPr/>
          </w:p>
        </w:tc>
      </w:tr>
    </w:tbl>
    <w:p>
      <w:pPr>
        <w:spacing w:before="21"/>
        <w:ind w:left="66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38.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递延收益</w:t>
      </w:r>
    </w:p>
    <w:p>
      <w:pPr>
        <w:spacing w:before="110"/>
        <w:ind w:left="71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递延收益分类</w:t>
      </w:r>
    </w:p>
    <w:p>
      <w:pPr>
        <w:spacing w:line="240" w:lineRule="auto" w:before="8"/>
        <w:rPr>
          <w:rFonts w:ascii="宋体" w:hAnsi="宋体" w:cs="宋体" w:eastAsia="宋体" w:hint="default"/>
          <w:sz w:val="11"/>
          <w:szCs w:val="11"/>
        </w:rPr>
      </w:pPr>
    </w:p>
    <w:tbl>
      <w:tblPr>
        <w:tblW w:w="0" w:type="auto"/>
        <w:jc w:val="left"/>
        <w:tblInd w:w="178" w:type="dxa"/>
        <w:tblLayout w:type="fixed"/>
        <w:tblCellMar>
          <w:top w:w="0" w:type="dxa"/>
          <w:left w:w="0" w:type="dxa"/>
          <w:bottom w:w="0" w:type="dxa"/>
          <w:right w:w="0" w:type="dxa"/>
        </w:tblCellMar>
        <w:tblLook w:val="01E0"/>
      </w:tblPr>
      <w:tblGrid>
        <w:gridCol w:w="1014"/>
        <w:gridCol w:w="1410"/>
        <w:gridCol w:w="1347"/>
        <w:gridCol w:w="1346"/>
        <w:gridCol w:w="1346"/>
        <w:gridCol w:w="2273"/>
      </w:tblGrid>
      <w:tr>
        <w:trPr>
          <w:trHeight w:val="305" w:hRule="exact"/>
        </w:trPr>
        <w:tc>
          <w:tcPr>
            <w:tcW w:w="101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1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11"/>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c>
          <w:tcPr>
            <w:tcW w:w="134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本年增加</w:t>
            </w:r>
            <w:r>
              <w:rPr>
                <w:rFonts w:ascii="宋体" w:hAnsi="宋体" w:cs="宋体" w:eastAsia="宋体" w:hint="default"/>
                <w:sz w:val="18"/>
                <w:szCs w:val="18"/>
              </w:rPr>
            </w:r>
          </w:p>
        </w:tc>
        <w:tc>
          <w:tcPr>
            <w:tcW w:w="134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11"/>
              <w:jc w:val="right"/>
              <w:rPr>
                <w:rFonts w:ascii="宋体" w:hAnsi="宋体" w:cs="宋体" w:eastAsia="宋体" w:hint="default"/>
                <w:sz w:val="18"/>
                <w:szCs w:val="18"/>
              </w:rPr>
            </w:pPr>
            <w:r>
              <w:rPr>
                <w:rFonts w:ascii="宋体" w:hAnsi="宋体" w:cs="宋体" w:eastAsia="宋体" w:hint="default"/>
                <w:b/>
                <w:bCs/>
                <w:w w:val="95"/>
                <w:sz w:val="18"/>
                <w:szCs w:val="18"/>
              </w:rPr>
              <w:t>本年减少</w:t>
            </w:r>
            <w:r>
              <w:rPr>
                <w:rFonts w:ascii="宋体" w:hAnsi="宋体" w:cs="宋体" w:eastAsia="宋体" w:hint="default"/>
                <w:sz w:val="18"/>
                <w:szCs w:val="18"/>
              </w:rPr>
            </w:r>
          </w:p>
        </w:tc>
        <w:tc>
          <w:tcPr>
            <w:tcW w:w="134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27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b/>
                <w:bCs/>
                <w:sz w:val="18"/>
                <w:szCs w:val="18"/>
              </w:rPr>
              <w:t>形成原因</w:t>
            </w:r>
            <w:r>
              <w:rPr>
                <w:rFonts w:ascii="宋体" w:hAnsi="宋体" w:cs="宋体" w:eastAsia="宋体" w:hint="default"/>
                <w:sz w:val="18"/>
                <w:szCs w:val="18"/>
              </w:rPr>
            </w:r>
          </w:p>
        </w:tc>
      </w:tr>
      <w:tr>
        <w:trPr>
          <w:trHeight w:val="496" w:hRule="exact"/>
        </w:trPr>
        <w:tc>
          <w:tcPr>
            <w:tcW w:w="1014" w:type="dxa"/>
            <w:tcBorders>
              <w:top w:val="single" w:sz="4" w:space="0" w:color="000000"/>
              <w:left w:val="nil" w:sz="6" w:space="0" w:color="auto"/>
              <w:bottom w:val="nil" w:sz="6" w:space="0" w:color="auto"/>
              <w:right w:val="nil" w:sz="6" w:space="0" w:color="auto"/>
            </w:tcBorders>
          </w:tcPr>
          <w:p>
            <w:pPr>
              <w:pStyle w:val="TableParagraph"/>
              <w:spacing w:line="240" w:lineRule="auto" w:before="87"/>
              <w:ind w:left="122" w:right="0"/>
              <w:jc w:val="left"/>
              <w:rPr>
                <w:rFonts w:ascii="宋体" w:hAnsi="宋体" w:cs="宋体" w:eastAsia="宋体" w:hint="default"/>
                <w:sz w:val="18"/>
                <w:szCs w:val="18"/>
              </w:rPr>
            </w:pPr>
            <w:r>
              <w:rPr>
                <w:rFonts w:ascii="宋体" w:hAnsi="宋体" w:cs="宋体" w:eastAsia="宋体" w:hint="default"/>
                <w:sz w:val="18"/>
                <w:szCs w:val="18"/>
              </w:rPr>
              <w:t>项目补助</w:t>
            </w:r>
          </w:p>
        </w:tc>
        <w:tc>
          <w:tcPr>
            <w:tcW w:w="1410" w:type="dxa"/>
            <w:tcBorders>
              <w:top w:val="single" w:sz="4" w:space="0" w:color="000000"/>
              <w:left w:val="nil" w:sz="6" w:space="0" w:color="auto"/>
              <w:bottom w:val="nil" w:sz="6" w:space="0" w:color="auto"/>
              <w:right w:val="nil" w:sz="6" w:space="0" w:color="auto"/>
            </w:tcBorders>
          </w:tcPr>
          <w:p>
            <w:pPr>
              <w:pStyle w:val="TableParagraph"/>
              <w:spacing w:line="240" w:lineRule="auto" w:before="124"/>
              <w:ind w:right="111"/>
              <w:jc w:val="right"/>
              <w:rPr>
                <w:rFonts w:ascii="Times New Roman" w:hAnsi="Times New Roman" w:cs="Times New Roman" w:eastAsia="Times New Roman" w:hint="default"/>
                <w:sz w:val="18"/>
                <w:szCs w:val="18"/>
              </w:rPr>
            </w:pPr>
            <w:r>
              <w:rPr>
                <w:rFonts w:ascii="Times New Roman"/>
                <w:spacing w:val="-1"/>
                <w:sz w:val="18"/>
              </w:rPr>
              <w:t>752,761,877.99</w:t>
            </w:r>
          </w:p>
        </w:tc>
        <w:tc>
          <w:tcPr>
            <w:tcW w:w="1347" w:type="dxa"/>
            <w:tcBorders>
              <w:top w:val="single" w:sz="4" w:space="0" w:color="000000"/>
              <w:left w:val="nil" w:sz="6" w:space="0" w:color="auto"/>
              <w:bottom w:val="nil" w:sz="6" w:space="0" w:color="auto"/>
              <w:right w:val="nil" w:sz="6" w:space="0" w:color="auto"/>
            </w:tcBorders>
          </w:tcPr>
          <w:p>
            <w:pPr>
              <w:pStyle w:val="TableParagraph"/>
              <w:spacing w:line="240" w:lineRule="auto" w:before="124"/>
              <w:ind w:right="106"/>
              <w:jc w:val="right"/>
              <w:rPr>
                <w:rFonts w:ascii="Times New Roman" w:hAnsi="Times New Roman" w:cs="Times New Roman" w:eastAsia="Times New Roman" w:hint="default"/>
                <w:sz w:val="18"/>
                <w:szCs w:val="18"/>
              </w:rPr>
            </w:pPr>
            <w:r>
              <w:rPr>
                <w:rFonts w:ascii="Times New Roman"/>
                <w:spacing w:val="-1"/>
                <w:sz w:val="18"/>
              </w:rPr>
              <w:t>299,938,829.60</w:t>
            </w:r>
          </w:p>
        </w:tc>
        <w:tc>
          <w:tcPr>
            <w:tcW w:w="1346" w:type="dxa"/>
            <w:tcBorders>
              <w:top w:val="single" w:sz="4" w:space="0" w:color="000000"/>
              <w:left w:val="nil" w:sz="6" w:space="0" w:color="auto"/>
              <w:bottom w:val="nil" w:sz="6" w:space="0" w:color="auto"/>
              <w:right w:val="nil" w:sz="6" w:space="0" w:color="auto"/>
            </w:tcBorders>
          </w:tcPr>
          <w:p>
            <w:pPr>
              <w:pStyle w:val="TableParagraph"/>
              <w:spacing w:line="240" w:lineRule="auto" w:before="124"/>
              <w:ind w:right="111"/>
              <w:jc w:val="right"/>
              <w:rPr>
                <w:rFonts w:ascii="Times New Roman" w:hAnsi="Times New Roman" w:cs="Times New Roman" w:eastAsia="Times New Roman" w:hint="default"/>
                <w:sz w:val="18"/>
                <w:szCs w:val="18"/>
              </w:rPr>
            </w:pPr>
            <w:r>
              <w:rPr>
                <w:rFonts w:ascii="Times New Roman"/>
                <w:spacing w:val="-1"/>
                <w:sz w:val="18"/>
              </w:rPr>
              <w:t>159,150,074.98</w:t>
            </w:r>
          </w:p>
        </w:tc>
        <w:tc>
          <w:tcPr>
            <w:tcW w:w="1346" w:type="dxa"/>
            <w:tcBorders>
              <w:top w:val="single" w:sz="4" w:space="0" w:color="000000"/>
              <w:left w:val="nil" w:sz="6" w:space="0" w:color="auto"/>
              <w:bottom w:val="nil" w:sz="6" w:space="0" w:color="auto"/>
              <w:right w:val="nil" w:sz="6" w:space="0" w:color="auto"/>
            </w:tcBorders>
          </w:tcPr>
          <w:p>
            <w:pPr>
              <w:pStyle w:val="TableParagraph"/>
              <w:spacing w:line="240" w:lineRule="auto" w:before="124"/>
              <w:ind w:right="106"/>
              <w:jc w:val="right"/>
              <w:rPr>
                <w:rFonts w:ascii="Times New Roman" w:hAnsi="Times New Roman" w:cs="Times New Roman" w:eastAsia="Times New Roman" w:hint="default"/>
                <w:sz w:val="18"/>
                <w:szCs w:val="18"/>
              </w:rPr>
            </w:pPr>
            <w:r>
              <w:rPr>
                <w:rFonts w:ascii="Times New Roman"/>
                <w:spacing w:val="-1"/>
                <w:sz w:val="18"/>
              </w:rPr>
              <w:t>893,550,632.61</w:t>
            </w:r>
          </w:p>
        </w:tc>
        <w:tc>
          <w:tcPr>
            <w:tcW w:w="2273" w:type="dxa"/>
            <w:tcBorders>
              <w:top w:val="single" w:sz="4" w:space="0" w:color="000000"/>
              <w:left w:val="nil" w:sz="6" w:space="0" w:color="auto"/>
              <w:bottom w:val="nil" w:sz="6" w:space="0" w:color="auto"/>
              <w:right w:val="nil" w:sz="6" w:space="0" w:color="auto"/>
            </w:tcBorders>
          </w:tcPr>
          <w:p>
            <w:pPr>
              <w:pStyle w:val="TableParagraph"/>
              <w:spacing w:line="204" w:lineRule="exact"/>
              <w:ind w:left="108" w:right="0"/>
              <w:jc w:val="left"/>
              <w:rPr>
                <w:rFonts w:ascii="宋体" w:hAnsi="宋体" w:cs="宋体" w:eastAsia="宋体" w:hint="default"/>
                <w:sz w:val="18"/>
                <w:szCs w:val="18"/>
              </w:rPr>
            </w:pPr>
            <w:r>
              <w:rPr>
                <w:rFonts w:ascii="宋体" w:hAnsi="宋体" w:cs="宋体" w:eastAsia="宋体" w:hint="default"/>
                <w:sz w:val="18"/>
                <w:szCs w:val="18"/>
              </w:rPr>
              <w:t>委托及合作开发的研发项</w:t>
            </w:r>
          </w:p>
          <w:p>
            <w:pPr>
              <w:pStyle w:val="TableParagraph"/>
              <w:spacing w:line="234" w:lineRule="exact"/>
              <w:ind w:left="108" w:right="0"/>
              <w:jc w:val="left"/>
              <w:rPr>
                <w:rFonts w:ascii="宋体" w:hAnsi="宋体" w:cs="宋体" w:eastAsia="宋体" w:hint="default"/>
                <w:sz w:val="18"/>
                <w:szCs w:val="18"/>
              </w:rPr>
            </w:pPr>
            <w:r>
              <w:rPr>
                <w:rFonts w:ascii="宋体" w:hAnsi="宋体" w:cs="宋体" w:eastAsia="宋体" w:hint="default"/>
                <w:sz w:val="18"/>
                <w:szCs w:val="18"/>
              </w:rPr>
              <w:t>目补助</w:t>
            </w:r>
          </w:p>
        </w:tc>
      </w:tr>
      <w:tr>
        <w:trPr>
          <w:trHeight w:val="295" w:hRule="exact"/>
        </w:trPr>
        <w:tc>
          <w:tcPr>
            <w:tcW w:w="1014"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贴息补助</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1"/>
              <w:jc w:val="right"/>
              <w:rPr>
                <w:rFonts w:ascii="Times New Roman" w:hAnsi="Times New Roman" w:cs="Times New Roman" w:eastAsia="Times New Roman" w:hint="default"/>
                <w:sz w:val="18"/>
                <w:szCs w:val="18"/>
              </w:rPr>
            </w:pPr>
            <w:r>
              <w:rPr>
                <w:rFonts w:ascii="Times New Roman"/>
                <w:spacing w:val="-1"/>
                <w:sz w:val="18"/>
              </w:rPr>
              <w:t>24,039,730.17</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Times New Roman" w:hAnsi="Times New Roman" w:cs="Times New Roman" w:eastAsia="Times New Roman" w:hint="default"/>
                <w:sz w:val="18"/>
                <w:szCs w:val="18"/>
              </w:rPr>
            </w:pPr>
            <w:r>
              <w:rPr>
                <w:rFonts w:ascii="Times New Roman"/>
                <w:spacing w:val="-1"/>
                <w:sz w:val="18"/>
              </w:rPr>
              <w:t>356,400.00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2"/>
              <w:jc w:val="right"/>
              <w:rPr>
                <w:rFonts w:ascii="Times New Roman" w:hAnsi="Times New Roman" w:cs="Times New Roman" w:eastAsia="Times New Roman" w:hint="default"/>
                <w:sz w:val="18"/>
                <w:szCs w:val="18"/>
              </w:rPr>
            </w:pPr>
            <w:r>
              <w:rPr>
                <w:rFonts w:ascii="Times New Roman"/>
                <w:spacing w:val="-1"/>
                <w:sz w:val="18"/>
              </w:rPr>
              <w:t>3,262,861.80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Times New Roman" w:hAnsi="Times New Roman" w:cs="Times New Roman" w:eastAsia="Times New Roman" w:hint="default"/>
                <w:sz w:val="18"/>
                <w:szCs w:val="18"/>
              </w:rPr>
            </w:pPr>
            <w:r>
              <w:rPr>
                <w:rFonts w:ascii="Times New Roman"/>
                <w:spacing w:val="-1"/>
                <w:sz w:val="18"/>
              </w:rPr>
              <w:t>21,133,268.37</w:t>
            </w:r>
          </w:p>
        </w:tc>
        <w:tc>
          <w:tcPr>
            <w:tcW w:w="2273"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进口设备贴息</w:t>
            </w:r>
          </w:p>
        </w:tc>
      </w:tr>
      <w:tr>
        <w:trPr>
          <w:trHeight w:val="259" w:hRule="exact"/>
        </w:trPr>
        <w:tc>
          <w:tcPr>
            <w:tcW w:w="101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土地补助</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1"/>
              <w:jc w:val="right"/>
              <w:rPr>
                <w:rFonts w:ascii="Times New Roman" w:hAnsi="Times New Roman" w:cs="Times New Roman" w:eastAsia="Times New Roman" w:hint="default"/>
                <w:sz w:val="18"/>
                <w:szCs w:val="18"/>
              </w:rPr>
            </w:pPr>
            <w:r>
              <w:rPr>
                <w:rFonts w:ascii="Times New Roman"/>
                <w:spacing w:val="-1"/>
                <w:sz w:val="18"/>
              </w:rPr>
              <w:t>2,449,455.14</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0.00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136,272.49</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2,313,182.65</w:t>
            </w:r>
          </w:p>
        </w:tc>
        <w:tc>
          <w:tcPr>
            <w:tcW w:w="2273" w:type="dxa"/>
            <w:tcBorders>
              <w:top w:val="nil" w:sz="6" w:space="0" w:color="auto"/>
              <w:left w:val="nil" w:sz="6" w:space="0" w:color="auto"/>
              <w:bottom w:val="nil" w:sz="6" w:space="0" w:color="auto"/>
              <w:right w:val="nil" w:sz="6" w:space="0" w:color="auto"/>
            </w:tcBorders>
          </w:tcPr>
          <w:p>
            <w:pPr/>
          </w:p>
        </w:tc>
      </w:tr>
      <w:tr>
        <w:trPr>
          <w:trHeight w:val="464" w:hRule="exact"/>
        </w:trPr>
        <w:tc>
          <w:tcPr>
            <w:tcW w:w="1014" w:type="dxa"/>
            <w:tcBorders>
              <w:top w:val="nil" w:sz="6" w:space="0" w:color="auto"/>
              <w:left w:val="nil" w:sz="6" w:space="0" w:color="auto"/>
              <w:bottom w:val="single" w:sz="4" w:space="0" w:color="000000"/>
              <w:right w:val="nil" w:sz="6" w:space="0" w:color="auto"/>
            </w:tcBorders>
          </w:tcPr>
          <w:p>
            <w:pPr>
              <w:pStyle w:val="TableParagraph"/>
              <w:spacing w:line="240" w:lineRule="auto" w:before="78"/>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0" w:type="dxa"/>
            <w:tcBorders>
              <w:top w:val="nil" w:sz="6" w:space="0" w:color="auto"/>
              <w:left w:val="nil" w:sz="6" w:space="0" w:color="auto"/>
              <w:bottom w:val="single" w:sz="4" w:space="0" w:color="000000"/>
              <w:right w:val="nil" w:sz="6" w:space="0" w:color="auto"/>
            </w:tcBorders>
          </w:tcPr>
          <w:p>
            <w:pPr>
              <w:pStyle w:val="TableParagraph"/>
              <w:spacing w:line="240" w:lineRule="auto" w:before="116"/>
              <w:ind w:right="111"/>
              <w:jc w:val="right"/>
              <w:rPr>
                <w:rFonts w:ascii="Times New Roman" w:hAnsi="Times New Roman" w:cs="Times New Roman" w:eastAsia="Times New Roman" w:hint="default"/>
                <w:sz w:val="18"/>
                <w:szCs w:val="18"/>
              </w:rPr>
            </w:pPr>
            <w:r>
              <w:rPr>
                <w:rFonts w:ascii="Times New Roman"/>
                <w:spacing w:val="-1"/>
                <w:sz w:val="18"/>
              </w:rPr>
              <w:t>2,290,328.04</w:t>
            </w:r>
          </w:p>
        </w:tc>
        <w:tc>
          <w:tcPr>
            <w:tcW w:w="1347" w:type="dxa"/>
            <w:tcBorders>
              <w:top w:val="nil" w:sz="6" w:space="0" w:color="auto"/>
              <w:left w:val="nil" w:sz="6" w:space="0" w:color="auto"/>
              <w:bottom w:val="single" w:sz="4" w:space="0" w:color="000000"/>
              <w:right w:val="nil" w:sz="6" w:space="0" w:color="auto"/>
            </w:tcBorders>
          </w:tcPr>
          <w:p>
            <w:pPr>
              <w:pStyle w:val="TableParagraph"/>
              <w:spacing w:line="240" w:lineRule="auto" w:before="116"/>
              <w:ind w:right="106"/>
              <w:jc w:val="right"/>
              <w:rPr>
                <w:rFonts w:ascii="Times New Roman" w:hAnsi="Times New Roman" w:cs="Times New Roman" w:eastAsia="Times New Roman" w:hint="default"/>
                <w:sz w:val="18"/>
                <w:szCs w:val="18"/>
              </w:rPr>
            </w:pPr>
            <w:r>
              <w:rPr>
                <w:rFonts w:ascii="Times New Roman"/>
                <w:spacing w:val="-1"/>
                <w:sz w:val="18"/>
              </w:rPr>
              <w:t>750,003.39</w:t>
            </w:r>
          </w:p>
        </w:tc>
        <w:tc>
          <w:tcPr>
            <w:tcW w:w="1346" w:type="dxa"/>
            <w:tcBorders>
              <w:top w:val="nil" w:sz="6" w:space="0" w:color="auto"/>
              <w:left w:val="nil" w:sz="6" w:space="0" w:color="auto"/>
              <w:bottom w:val="single" w:sz="4" w:space="0" w:color="000000"/>
              <w:right w:val="nil" w:sz="6" w:space="0" w:color="auto"/>
            </w:tcBorders>
          </w:tcPr>
          <w:p>
            <w:pPr>
              <w:pStyle w:val="TableParagraph"/>
              <w:spacing w:line="240" w:lineRule="auto" w:before="116"/>
              <w:ind w:right="110"/>
              <w:jc w:val="right"/>
              <w:rPr>
                <w:rFonts w:ascii="Times New Roman" w:hAnsi="Times New Roman" w:cs="Times New Roman" w:eastAsia="Times New Roman" w:hint="default"/>
                <w:sz w:val="18"/>
                <w:szCs w:val="18"/>
              </w:rPr>
            </w:pPr>
            <w:r>
              <w:rPr>
                <w:rFonts w:ascii="Times New Roman"/>
                <w:spacing w:val="-1"/>
                <w:sz w:val="18"/>
              </w:rPr>
              <w:t>99,444.73</w:t>
            </w:r>
          </w:p>
        </w:tc>
        <w:tc>
          <w:tcPr>
            <w:tcW w:w="1346" w:type="dxa"/>
            <w:tcBorders>
              <w:top w:val="nil" w:sz="6" w:space="0" w:color="auto"/>
              <w:left w:val="nil" w:sz="6" w:space="0" w:color="auto"/>
              <w:bottom w:val="single" w:sz="4" w:space="0" w:color="000000"/>
              <w:right w:val="nil" w:sz="6" w:space="0" w:color="auto"/>
            </w:tcBorders>
          </w:tcPr>
          <w:p>
            <w:pPr>
              <w:pStyle w:val="TableParagraph"/>
              <w:spacing w:line="240" w:lineRule="auto" w:before="116"/>
              <w:ind w:right="105"/>
              <w:jc w:val="right"/>
              <w:rPr>
                <w:rFonts w:ascii="Times New Roman" w:hAnsi="Times New Roman" w:cs="Times New Roman" w:eastAsia="Times New Roman" w:hint="default"/>
                <w:sz w:val="18"/>
                <w:szCs w:val="18"/>
              </w:rPr>
            </w:pPr>
            <w:r>
              <w:rPr>
                <w:rFonts w:ascii="Times New Roman"/>
                <w:spacing w:val="-1"/>
                <w:sz w:val="18"/>
              </w:rPr>
              <w:t>2,940,886.70</w:t>
            </w:r>
          </w:p>
        </w:tc>
        <w:tc>
          <w:tcPr>
            <w:tcW w:w="2273" w:type="dxa"/>
            <w:tcBorders>
              <w:top w:val="nil" w:sz="6" w:space="0" w:color="auto"/>
              <w:left w:val="nil" w:sz="6" w:space="0" w:color="auto"/>
              <w:bottom w:val="single" w:sz="4" w:space="0" w:color="000000"/>
              <w:right w:val="nil" w:sz="6" w:space="0" w:color="auto"/>
            </w:tcBorders>
          </w:tcPr>
          <w:p>
            <w:pPr>
              <w:pStyle w:val="TableParagraph"/>
              <w:spacing w:line="195" w:lineRule="exact"/>
              <w:ind w:left="108" w:right="0"/>
              <w:jc w:val="left"/>
              <w:rPr>
                <w:rFonts w:ascii="宋体" w:hAnsi="宋体" w:cs="宋体" w:eastAsia="宋体" w:hint="default"/>
                <w:sz w:val="18"/>
                <w:szCs w:val="18"/>
              </w:rPr>
            </w:pPr>
            <w:r>
              <w:rPr>
                <w:rFonts w:ascii="宋体" w:hAnsi="宋体" w:cs="宋体" w:eastAsia="宋体" w:hint="default"/>
                <w:sz w:val="18"/>
                <w:szCs w:val="18"/>
              </w:rPr>
              <w:t>待摊销自来水特许经营权</w:t>
            </w:r>
          </w:p>
          <w:p>
            <w:pPr>
              <w:pStyle w:val="TableParagraph"/>
              <w:spacing w:line="234" w:lineRule="exact"/>
              <w:ind w:left="108" w:right="0"/>
              <w:jc w:val="left"/>
              <w:rPr>
                <w:rFonts w:ascii="宋体" w:hAnsi="宋体" w:cs="宋体" w:eastAsia="宋体" w:hint="default"/>
                <w:sz w:val="18"/>
                <w:szCs w:val="18"/>
              </w:rPr>
            </w:pPr>
            <w:r>
              <w:rPr>
                <w:rFonts w:ascii="宋体" w:hAnsi="宋体" w:cs="宋体" w:eastAsia="宋体" w:hint="default"/>
                <w:sz w:val="18"/>
                <w:szCs w:val="18"/>
              </w:rPr>
              <w:t>项下资产处置收益</w:t>
            </w:r>
          </w:p>
        </w:tc>
      </w:tr>
      <w:tr>
        <w:trPr>
          <w:trHeight w:val="305" w:hRule="exact"/>
        </w:trPr>
        <w:tc>
          <w:tcPr>
            <w:tcW w:w="1014"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410"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11"/>
              <w:jc w:val="right"/>
              <w:rPr>
                <w:rFonts w:ascii="Times New Roman" w:hAnsi="Times New Roman" w:cs="Times New Roman" w:eastAsia="Times New Roman" w:hint="default"/>
                <w:sz w:val="18"/>
                <w:szCs w:val="18"/>
              </w:rPr>
            </w:pPr>
            <w:r>
              <w:rPr>
                <w:rFonts w:ascii="Times New Roman"/>
                <w:b/>
                <w:spacing w:val="-1"/>
                <w:sz w:val="18"/>
              </w:rPr>
              <w:t>781,541,391.34</w:t>
            </w:r>
            <w:r>
              <w:rPr>
                <w:rFonts w:ascii="Times New Roman"/>
                <w:spacing w:val="-1"/>
                <w:sz w:val="18"/>
              </w:rPr>
            </w:r>
          </w:p>
        </w:tc>
        <w:tc>
          <w:tcPr>
            <w:tcW w:w="1347"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b/>
                <w:spacing w:val="-1"/>
                <w:sz w:val="18"/>
              </w:rPr>
              <w:t>301,045,232.99</w:t>
            </w:r>
            <w:r>
              <w:rPr>
                <w:rFonts w:ascii="Times New Roman"/>
                <w:spacing w:val="-1"/>
                <w:sz w:val="18"/>
              </w:rPr>
            </w:r>
          </w:p>
        </w:tc>
        <w:tc>
          <w:tcPr>
            <w:tcW w:w="1346"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11"/>
              <w:jc w:val="right"/>
              <w:rPr>
                <w:rFonts w:ascii="Times New Roman" w:hAnsi="Times New Roman" w:cs="Times New Roman" w:eastAsia="Times New Roman" w:hint="default"/>
                <w:sz w:val="18"/>
                <w:szCs w:val="18"/>
              </w:rPr>
            </w:pPr>
            <w:r>
              <w:rPr>
                <w:rFonts w:ascii="Times New Roman"/>
                <w:b/>
                <w:spacing w:val="-1"/>
                <w:sz w:val="18"/>
              </w:rPr>
              <w:t>162,648,654.00</w:t>
            </w:r>
            <w:r>
              <w:rPr>
                <w:rFonts w:ascii="Times New Roman"/>
                <w:spacing w:val="-1"/>
                <w:sz w:val="18"/>
              </w:rPr>
            </w:r>
          </w:p>
        </w:tc>
        <w:tc>
          <w:tcPr>
            <w:tcW w:w="1346"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b/>
                <w:spacing w:val="-1"/>
                <w:sz w:val="18"/>
              </w:rPr>
              <w:t>919,937,970.33</w:t>
            </w:r>
            <w:r>
              <w:rPr>
                <w:rFonts w:ascii="Times New Roman"/>
                <w:spacing w:val="-1"/>
                <w:sz w:val="18"/>
              </w:rPr>
            </w:r>
          </w:p>
        </w:tc>
        <w:tc>
          <w:tcPr>
            <w:tcW w:w="2273" w:type="dxa"/>
            <w:tcBorders>
              <w:top w:val="single" w:sz="4" w:space="0" w:color="000000"/>
              <w:left w:val="nil" w:sz="6" w:space="0" w:color="auto"/>
              <w:bottom w:val="single" w:sz="12" w:space="0" w:color="000000"/>
              <w:right w:val="nil" w:sz="6" w:space="0" w:color="auto"/>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before="81"/>
        <w:ind w:left="71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政府补助项目</w:t>
      </w:r>
    </w:p>
    <w:p>
      <w:pPr>
        <w:spacing w:line="240" w:lineRule="auto" w:before="8"/>
        <w:rPr>
          <w:rFonts w:ascii="宋体" w:hAnsi="宋体" w:cs="宋体" w:eastAsia="宋体" w:hint="default"/>
          <w:sz w:val="11"/>
          <w:szCs w:val="11"/>
        </w:rPr>
      </w:pPr>
    </w:p>
    <w:tbl>
      <w:tblPr>
        <w:tblW w:w="0" w:type="auto"/>
        <w:jc w:val="left"/>
        <w:tblInd w:w="190" w:type="dxa"/>
        <w:tblLayout w:type="fixed"/>
        <w:tblCellMar>
          <w:top w:w="0" w:type="dxa"/>
          <w:left w:w="0" w:type="dxa"/>
          <w:bottom w:w="0" w:type="dxa"/>
          <w:right w:w="0" w:type="dxa"/>
        </w:tblCellMar>
        <w:tblLook w:val="01E0"/>
      </w:tblPr>
      <w:tblGrid>
        <w:gridCol w:w="2055"/>
        <w:gridCol w:w="1147"/>
        <w:gridCol w:w="1135"/>
        <w:gridCol w:w="1175"/>
        <w:gridCol w:w="1093"/>
        <w:gridCol w:w="1132"/>
        <w:gridCol w:w="985"/>
      </w:tblGrid>
      <w:tr>
        <w:trPr>
          <w:trHeight w:val="435" w:hRule="exact"/>
        </w:trPr>
        <w:tc>
          <w:tcPr>
            <w:tcW w:w="2055" w:type="dxa"/>
            <w:tcBorders>
              <w:top w:val="single" w:sz="12" w:space="0" w:color="000000"/>
              <w:left w:val="nil" w:sz="6" w:space="0" w:color="auto"/>
              <w:bottom w:val="single" w:sz="4" w:space="0" w:color="000000"/>
              <w:right w:val="nil" w:sz="6" w:space="0" w:color="auto"/>
            </w:tcBorders>
          </w:tcPr>
          <w:p>
            <w:pPr>
              <w:pStyle w:val="TableParagraph"/>
              <w:spacing w:line="240" w:lineRule="auto" w:before="77"/>
              <w:ind w:left="554" w:right="0"/>
              <w:jc w:val="left"/>
              <w:rPr>
                <w:rFonts w:ascii="宋体" w:hAnsi="宋体" w:cs="宋体" w:eastAsia="宋体" w:hint="default"/>
                <w:sz w:val="16"/>
                <w:szCs w:val="16"/>
              </w:rPr>
            </w:pPr>
            <w:r>
              <w:rPr>
                <w:rFonts w:ascii="宋体" w:hAnsi="宋体" w:cs="宋体" w:eastAsia="宋体" w:hint="default"/>
                <w:b/>
                <w:bCs/>
                <w:sz w:val="16"/>
                <w:szCs w:val="16"/>
              </w:rPr>
              <w:t>政府补助项目</w:t>
            </w:r>
            <w:r>
              <w:rPr>
                <w:rFonts w:ascii="宋体" w:hAnsi="宋体" w:cs="宋体" w:eastAsia="宋体" w:hint="default"/>
                <w:sz w:val="16"/>
                <w:szCs w:val="16"/>
              </w:rPr>
            </w:r>
          </w:p>
        </w:tc>
        <w:tc>
          <w:tcPr>
            <w:tcW w:w="1147" w:type="dxa"/>
            <w:tcBorders>
              <w:top w:val="single" w:sz="12" w:space="0" w:color="000000"/>
              <w:left w:val="nil" w:sz="6" w:space="0" w:color="auto"/>
              <w:bottom w:val="single" w:sz="4" w:space="0" w:color="000000"/>
              <w:right w:val="nil" w:sz="6" w:space="0" w:color="auto"/>
            </w:tcBorders>
          </w:tcPr>
          <w:p>
            <w:pPr>
              <w:pStyle w:val="TableParagraph"/>
              <w:spacing w:line="240" w:lineRule="auto" w:before="77"/>
              <w:ind w:left="247" w:right="0"/>
              <w:jc w:val="left"/>
              <w:rPr>
                <w:rFonts w:ascii="宋体" w:hAnsi="宋体" w:cs="宋体" w:eastAsia="宋体" w:hint="default"/>
                <w:sz w:val="16"/>
                <w:szCs w:val="16"/>
              </w:rPr>
            </w:pPr>
            <w:r>
              <w:rPr>
                <w:rFonts w:ascii="宋体" w:hAnsi="宋体" w:cs="宋体" w:eastAsia="宋体" w:hint="default"/>
                <w:b/>
                <w:bCs/>
                <w:sz w:val="16"/>
                <w:szCs w:val="16"/>
              </w:rPr>
              <w:t>年初余额</w:t>
            </w:r>
            <w:r>
              <w:rPr>
                <w:rFonts w:ascii="宋体" w:hAnsi="宋体" w:cs="宋体" w:eastAsia="宋体" w:hint="default"/>
                <w:sz w:val="16"/>
                <w:szCs w:val="16"/>
              </w:rPr>
            </w:r>
          </w:p>
        </w:tc>
        <w:tc>
          <w:tcPr>
            <w:tcW w:w="1135" w:type="dxa"/>
            <w:tcBorders>
              <w:top w:val="single" w:sz="12" w:space="0" w:color="000000"/>
              <w:left w:val="nil" w:sz="6" w:space="0" w:color="auto"/>
              <w:bottom w:val="single" w:sz="4" w:space="0" w:color="000000"/>
              <w:right w:val="nil" w:sz="6" w:space="0" w:color="auto"/>
            </w:tcBorders>
          </w:tcPr>
          <w:p>
            <w:pPr>
              <w:pStyle w:val="TableParagraph"/>
              <w:spacing w:line="183" w:lineRule="exact"/>
              <w:ind w:right="21"/>
              <w:jc w:val="center"/>
              <w:rPr>
                <w:rFonts w:ascii="宋体" w:hAnsi="宋体" w:cs="宋体" w:eastAsia="宋体" w:hint="default"/>
                <w:sz w:val="16"/>
                <w:szCs w:val="16"/>
              </w:rPr>
            </w:pPr>
            <w:r>
              <w:rPr>
                <w:rFonts w:ascii="宋体" w:hAnsi="宋体" w:cs="宋体" w:eastAsia="宋体" w:hint="default"/>
                <w:b/>
                <w:bCs/>
                <w:sz w:val="16"/>
                <w:szCs w:val="16"/>
              </w:rPr>
              <w:t>本年新增补助</w:t>
            </w:r>
            <w:r>
              <w:rPr>
                <w:rFonts w:ascii="宋体" w:hAnsi="宋体" w:cs="宋体" w:eastAsia="宋体" w:hint="default"/>
                <w:sz w:val="16"/>
                <w:szCs w:val="16"/>
              </w:rPr>
            </w:r>
          </w:p>
          <w:p>
            <w:pPr>
              <w:pStyle w:val="TableParagraph"/>
              <w:spacing w:line="209" w:lineRule="exact"/>
              <w:ind w:right="21"/>
              <w:jc w:val="center"/>
              <w:rPr>
                <w:rFonts w:ascii="宋体" w:hAnsi="宋体" w:cs="宋体" w:eastAsia="宋体" w:hint="default"/>
                <w:sz w:val="16"/>
                <w:szCs w:val="16"/>
              </w:rPr>
            </w:pPr>
            <w:r>
              <w:rPr>
                <w:rFonts w:ascii="宋体" w:hAnsi="宋体" w:cs="宋体" w:eastAsia="宋体" w:hint="default"/>
                <w:b/>
                <w:bCs/>
                <w:sz w:val="16"/>
                <w:szCs w:val="16"/>
              </w:rPr>
              <w:t>金额</w:t>
            </w:r>
            <w:r>
              <w:rPr>
                <w:rFonts w:ascii="宋体" w:hAnsi="宋体" w:cs="宋体" w:eastAsia="宋体" w:hint="default"/>
                <w:sz w:val="16"/>
                <w:szCs w:val="16"/>
              </w:rPr>
            </w:r>
          </w:p>
        </w:tc>
        <w:tc>
          <w:tcPr>
            <w:tcW w:w="1175" w:type="dxa"/>
            <w:tcBorders>
              <w:top w:val="single" w:sz="12" w:space="0" w:color="000000"/>
              <w:left w:val="nil" w:sz="6" w:space="0" w:color="auto"/>
              <w:bottom w:val="single" w:sz="4" w:space="0" w:color="000000"/>
              <w:right w:val="nil" w:sz="6" w:space="0" w:color="auto"/>
            </w:tcBorders>
          </w:tcPr>
          <w:p>
            <w:pPr>
              <w:pStyle w:val="TableParagraph"/>
              <w:spacing w:line="183" w:lineRule="exact"/>
              <w:ind w:left="155" w:right="0" w:hanging="82"/>
              <w:jc w:val="left"/>
              <w:rPr>
                <w:rFonts w:ascii="宋体" w:hAnsi="宋体" w:cs="宋体" w:eastAsia="宋体" w:hint="default"/>
                <w:sz w:val="16"/>
                <w:szCs w:val="16"/>
              </w:rPr>
            </w:pPr>
            <w:r>
              <w:rPr>
                <w:rFonts w:ascii="宋体" w:hAnsi="宋体" w:cs="宋体" w:eastAsia="宋体" w:hint="default"/>
                <w:b/>
                <w:bCs/>
                <w:sz w:val="16"/>
                <w:szCs w:val="16"/>
              </w:rPr>
              <w:t>本年计入营业</w:t>
            </w:r>
            <w:r>
              <w:rPr>
                <w:rFonts w:ascii="宋体" w:hAnsi="宋体" w:cs="宋体" w:eastAsia="宋体" w:hint="default"/>
                <w:sz w:val="16"/>
                <w:szCs w:val="16"/>
              </w:rPr>
            </w:r>
          </w:p>
          <w:p>
            <w:pPr>
              <w:pStyle w:val="TableParagraph"/>
              <w:spacing w:line="209" w:lineRule="exact"/>
              <w:ind w:left="155" w:right="0"/>
              <w:jc w:val="left"/>
              <w:rPr>
                <w:rFonts w:ascii="宋体" w:hAnsi="宋体" w:cs="宋体" w:eastAsia="宋体" w:hint="default"/>
                <w:sz w:val="16"/>
                <w:szCs w:val="16"/>
              </w:rPr>
            </w:pPr>
            <w:r>
              <w:rPr>
                <w:rFonts w:ascii="宋体" w:hAnsi="宋体" w:cs="宋体" w:eastAsia="宋体" w:hint="default"/>
                <w:b/>
                <w:bCs/>
                <w:sz w:val="16"/>
                <w:szCs w:val="16"/>
              </w:rPr>
              <w:t>外收入金额</w:t>
            </w:r>
            <w:r>
              <w:rPr>
                <w:rFonts w:ascii="宋体" w:hAnsi="宋体" w:cs="宋体" w:eastAsia="宋体" w:hint="default"/>
                <w:sz w:val="16"/>
                <w:szCs w:val="16"/>
              </w:rPr>
            </w:r>
          </w:p>
        </w:tc>
        <w:tc>
          <w:tcPr>
            <w:tcW w:w="1093" w:type="dxa"/>
            <w:tcBorders>
              <w:top w:val="single" w:sz="12" w:space="0" w:color="000000"/>
              <w:left w:val="nil" w:sz="6" w:space="0" w:color="auto"/>
              <w:bottom w:val="single" w:sz="4" w:space="0" w:color="000000"/>
              <w:right w:val="nil" w:sz="6" w:space="0" w:color="auto"/>
            </w:tcBorders>
          </w:tcPr>
          <w:p>
            <w:pPr>
              <w:pStyle w:val="TableParagraph"/>
              <w:spacing w:line="240" w:lineRule="auto" w:before="77"/>
              <w:ind w:left="192" w:right="0"/>
              <w:jc w:val="left"/>
              <w:rPr>
                <w:rFonts w:ascii="宋体" w:hAnsi="宋体" w:cs="宋体" w:eastAsia="宋体" w:hint="default"/>
                <w:sz w:val="16"/>
                <w:szCs w:val="16"/>
              </w:rPr>
            </w:pPr>
            <w:r>
              <w:rPr>
                <w:rFonts w:ascii="宋体" w:hAnsi="宋体" w:cs="宋体" w:eastAsia="宋体" w:hint="default"/>
                <w:b/>
                <w:bCs/>
                <w:sz w:val="16"/>
                <w:szCs w:val="16"/>
              </w:rPr>
              <w:t>其他变动</w:t>
            </w:r>
            <w:r>
              <w:rPr>
                <w:rFonts w:ascii="宋体" w:hAnsi="宋体" w:cs="宋体" w:eastAsia="宋体" w:hint="default"/>
                <w:sz w:val="16"/>
                <w:szCs w:val="16"/>
              </w:rPr>
            </w:r>
          </w:p>
        </w:tc>
        <w:tc>
          <w:tcPr>
            <w:tcW w:w="1132" w:type="dxa"/>
            <w:tcBorders>
              <w:top w:val="single" w:sz="12" w:space="0" w:color="000000"/>
              <w:left w:val="nil" w:sz="6" w:space="0" w:color="auto"/>
              <w:bottom w:val="single" w:sz="4" w:space="0" w:color="000000"/>
              <w:right w:val="nil" w:sz="6" w:space="0" w:color="auto"/>
            </w:tcBorders>
          </w:tcPr>
          <w:p>
            <w:pPr>
              <w:pStyle w:val="TableParagraph"/>
              <w:spacing w:line="240" w:lineRule="auto" w:before="77"/>
              <w:ind w:left="235" w:right="0"/>
              <w:jc w:val="left"/>
              <w:rPr>
                <w:rFonts w:ascii="宋体" w:hAnsi="宋体" w:cs="宋体" w:eastAsia="宋体" w:hint="default"/>
                <w:sz w:val="16"/>
                <w:szCs w:val="16"/>
              </w:rPr>
            </w:pPr>
            <w:r>
              <w:rPr>
                <w:rFonts w:ascii="宋体" w:hAnsi="宋体" w:cs="宋体" w:eastAsia="宋体" w:hint="default"/>
                <w:b/>
                <w:bCs/>
                <w:sz w:val="16"/>
                <w:szCs w:val="16"/>
              </w:rPr>
              <w:t>年末余额</w:t>
            </w:r>
            <w:r>
              <w:rPr>
                <w:rFonts w:ascii="宋体" w:hAnsi="宋体" w:cs="宋体" w:eastAsia="宋体" w:hint="default"/>
                <w:sz w:val="16"/>
                <w:szCs w:val="16"/>
              </w:rPr>
            </w:r>
          </w:p>
        </w:tc>
        <w:tc>
          <w:tcPr>
            <w:tcW w:w="985" w:type="dxa"/>
            <w:tcBorders>
              <w:top w:val="single" w:sz="12" w:space="0" w:color="000000"/>
              <w:left w:val="nil" w:sz="6" w:space="0" w:color="auto"/>
              <w:bottom w:val="single" w:sz="4" w:space="0" w:color="000000"/>
              <w:right w:val="nil" w:sz="6" w:space="0" w:color="auto"/>
            </w:tcBorders>
          </w:tcPr>
          <w:p>
            <w:pPr>
              <w:pStyle w:val="TableParagraph"/>
              <w:spacing w:line="189" w:lineRule="exact"/>
              <w:ind w:left="84" w:right="0" w:hanging="22"/>
              <w:jc w:val="left"/>
              <w:rPr>
                <w:rFonts w:ascii="Times New Roman" w:hAnsi="Times New Roman" w:cs="Times New Roman" w:eastAsia="Times New Roman" w:hint="default"/>
                <w:sz w:val="16"/>
                <w:szCs w:val="16"/>
              </w:rPr>
            </w:pPr>
            <w:r>
              <w:rPr>
                <w:rFonts w:ascii="宋体" w:hAnsi="宋体" w:cs="宋体" w:eastAsia="宋体" w:hint="default"/>
                <w:b/>
                <w:bCs/>
                <w:sz w:val="16"/>
                <w:szCs w:val="16"/>
              </w:rPr>
              <w:t>与资产相关</w:t>
            </w:r>
            <w:r>
              <w:rPr>
                <w:rFonts w:ascii="Times New Roman" w:hAnsi="Times New Roman" w:cs="Times New Roman" w:eastAsia="Times New Roman" w:hint="default"/>
                <w:b/>
                <w:bCs/>
                <w:sz w:val="16"/>
                <w:szCs w:val="16"/>
              </w:rPr>
              <w:t>/</w:t>
            </w:r>
            <w:r>
              <w:rPr>
                <w:rFonts w:ascii="Times New Roman" w:hAnsi="Times New Roman" w:cs="Times New Roman" w:eastAsia="Times New Roman" w:hint="default"/>
                <w:sz w:val="16"/>
                <w:szCs w:val="16"/>
              </w:rPr>
            </w:r>
          </w:p>
          <w:p>
            <w:pPr>
              <w:pStyle w:val="TableParagraph"/>
              <w:spacing w:line="203" w:lineRule="exact"/>
              <w:ind w:left="84" w:right="0"/>
              <w:jc w:val="left"/>
              <w:rPr>
                <w:rFonts w:ascii="宋体" w:hAnsi="宋体" w:cs="宋体" w:eastAsia="宋体" w:hint="default"/>
                <w:sz w:val="16"/>
                <w:szCs w:val="16"/>
              </w:rPr>
            </w:pPr>
            <w:r>
              <w:rPr>
                <w:rFonts w:ascii="宋体" w:hAnsi="宋体" w:cs="宋体" w:eastAsia="宋体" w:hint="default"/>
                <w:b/>
                <w:bCs/>
                <w:sz w:val="16"/>
                <w:szCs w:val="16"/>
              </w:rPr>
              <w:t>与收益相关</w:t>
            </w:r>
            <w:r>
              <w:rPr>
                <w:rFonts w:ascii="宋体" w:hAnsi="宋体" w:cs="宋体" w:eastAsia="宋体" w:hint="default"/>
                <w:sz w:val="16"/>
                <w:szCs w:val="16"/>
              </w:rPr>
            </w:r>
          </w:p>
        </w:tc>
      </w:tr>
      <w:tr>
        <w:trPr>
          <w:trHeight w:val="314" w:hRule="exact"/>
        </w:trPr>
        <w:tc>
          <w:tcPr>
            <w:tcW w:w="2055" w:type="dxa"/>
            <w:tcBorders>
              <w:top w:val="single" w:sz="4" w:space="0" w:color="000000"/>
              <w:left w:val="nil" w:sz="6" w:space="0" w:color="auto"/>
              <w:bottom w:val="nil" w:sz="6" w:space="0" w:color="auto"/>
              <w:right w:val="nil" w:sz="6" w:space="0" w:color="auto"/>
            </w:tcBorders>
          </w:tcPr>
          <w:p>
            <w:pPr>
              <w:pStyle w:val="TableParagraph"/>
              <w:spacing w:line="240" w:lineRule="auto" w:before="53"/>
              <w:ind w:left="71"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特种集成电路研发项目</w:t>
            </w:r>
            <w:r>
              <w:rPr>
                <w:rFonts w:ascii="宋体" w:hAnsi="宋体" w:cs="宋体" w:eastAsia="宋体" w:hint="default"/>
                <w:spacing w:val="-38"/>
                <w:sz w:val="16"/>
                <w:szCs w:val="16"/>
              </w:rPr>
              <w:t> </w:t>
            </w:r>
            <w:r>
              <w:rPr>
                <w:rFonts w:ascii="Times New Roman" w:hAnsi="Times New Roman" w:cs="Times New Roman" w:eastAsia="Times New Roman" w:hint="default"/>
                <w:sz w:val="16"/>
                <w:szCs w:val="16"/>
              </w:rPr>
              <w:t>I</w:t>
            </w:r>
          </w:p>
        </w:tc>
        <w:tc>
          <w:tcPr>
            <w:tcW w:w="1147" w:type="dxa"/>
            <w:tcBorders>
              <w:top w:val="single" w:sz="4" w:space="0" w:color="000000"/>
              <w:left w:val="nil" w:sz="6" w:space="0" w:color="auto"/>
              <w:bottom w:val="nil" w:sz="6" w:space="0" w:color="auto"/>
              <w:right w:val="nil" w:sz="6" w:space="0" w:color="auto"/>
            </w:tcBorders>
          </w:tcPr>
          <w:p>
            <w:pPr>
              <w:pStyle w:val="TableParagraph"/>
              <w:spacing w:line="240" w:lineRule="auto" w:before="45"/>
              <w:ind w:right="63"/>
              <w:jc w:val="right"/>
              <w:rPr>
                <w:rFonts w:ascii="Times New Roman" w:hAnsi="Times New Roman" w:cs="Times New Roman" w:eastAsia="Times New Roman" w:hint="default"/>
                <w:sz w:val="16"/>
                <w:szCs w:val="16"/>
              </w:rPr>
            </w:pPr>
            <w:r>
              <w:rPr>
                <w:rFonts w:ascii="Times New Roman"/>
                <w:spacing w:val="-1"/>
                <w:sz w:val="16"/>
              </w:rPr>
              <w:t>367,313,882.15</w:t>
            </w:r>
          </w:p>
        </w:tc>
        <w:tc>
          <w:tcPr>
            <w:tcW w:w="1135" w:type="dxa"/>
            <w:tcBorders>
              <w:top w:val="single" w:sz="4" w:space="0" w:color="000000"/>
              <w:left w:val="nil" w:sz="6" w:space="0" w:color="auto"/>
              <w:bottom w:val="nil" w:sz="6" w:space="0" w:color="auto"/>
              <w:right w:val="nil" w:sz="6" w:space="0" w:color="auto"/>
            </w:tcBorders>
          </w:tcPr>
          <w:p>
            <w:pPr>
              <w:pStyle w:val="TableParagraph"/>
              <w:spacing w:line="240" w:lineRule="auto" w:before="45"/>
              <w:ind w:right="65"/>
              <w:jc w:val="right"/>
              <w:rPr>
                <w:rFonts w:ascii="Times New Roman" w:hAnsi="Times New Roman" w:cs="Times New Roman" w:eastAsia="Times New Roman" w:hint="default"/>
                <w:sz w:val="16"/>
                <w:szCs w:val="16"/>
              </w:rPr>
            </w:pPr>
            <w:r>
              <w:rPr>
                <w:rFonts w:ascii="Times New Roman"/>
                <w:spacing w:val="-1"/>
                <w:sz w:val="16"/>
              </w:rPr>
              <w:t>117,592,800.00</w:t>
            </w:r>
          </w:p>
        </w:tc>
        <w:tc>
          <w:tcPr>
            <w:tcW w:w="1175" w:type="dxa"/>
            <w:tcBorders>
              <w:top w:val="single" w:sz="4" w:space="0" w:color="000000"/>
              <w:left w:val="nil" w:sz="6" w:space="0" w:color="auto"/>
              <w:bottom w:val="nil" w:sz="6" w:space="0" w:color="auto"/>
              <w:right w:val="nil" w:sz="6" w:space="0" w:color="auto"/>
            </w:tcBorders>
          </w:tcPr>
          <w:p>
            <w:pPr>
              <w:pStyle w:val="TableParagraph"/>
              <w:spacing w:line="240" w:lineRule="auto" w:before="45"/>
              <w:ind w:right="104"/>
              <w:jc w:val="right"/>
              <w:rPr>
                <w:rFonts w:ascii="Times New Roman" w:hAnsi="Times New Roman" w:cs="Times New Roman" w:eastAsia="Times New Roman" w:hint="default"/>
                <w:sz w:val="16"/>
                <w:szCs w:val="16"/>
              </w:rPr>
            </w:pPr>
            <w:r>
              <w:rPr>
                <w:rFonts w:ascii="Times New Roman"/>
                <w:spacing w:val="-2"/>
                <w:sz w:val="16"/>
              </w:rPr>
              <w:t>17,914,405.56</w:t>
            </w:r>
          </w:p>
        </w:tc>
        <w:tc>
          <w:tcPr>
            <w:tcW w:w="1093" w:type="dxa"/>
            <w:tcBorders>
              <w:top w:val="single" w:sz="4" w:space="0" w:color="000000"/>
              <w:left w:val="nil" w:sz="6" w:space="0" w:color="auto"/>
              <w:bottom w:val="nil" w:sz="6" w:space="0" w:color="auto"/>
              <w:right w:val="nil" w:sz="6" w:space="0" w:color="auto"/>
            </w:tcBorders>
          </w:tcPr>
          <w:p>
            <w:pPr>
              <w:pStyle w:val="TableParagraph"/>
              <w:spacing w:line="240" w:lineRule="auto" w:before="45"/>
              <w:ind w:right="65"/>
              <w:jc w:val="right"/>
              <w:rPr>
                <w:rFonts w:ascii="Times New Roman" w:hAnsi="Times New Roman" w:cs="Times New Roman" w:eastAsia="Times New Roman" w:hint="default"/>
                <w:sz w:val="16"/>
                <w:szCs w:val="16"/>
              </w:rPr>
            </w:pPr>
            <w:r>
              <w:rPr>
                <w:rFonts w:ascii="Times New Roman"/>
                <w:spacing w:val="-1"/>
                <w:sz w:val="16"/>
              </w:rPr>
              <w:t>4,081,300.00</w:t>
            </w:r>
          </w:p>
        </w:tc>
        <w:tc>
          <w:tcPr>
            <w:tcW w:w="1132" w:type="dxa"/>
            <w:tcBorders>
              <w:top w:val="single" w:sz="4" w:space="0" w:color="000000"/>
              <w:left w:val="nil" w:sz="6" w:space="0" w:color="auto"/>
              <w:bottom w:val="nil" w:sz="6" w:space="0" w:color="auto"/>
              <w:right w:val="nil" w:sz="6" w:space="0" w:color="auto"/>
            </w:tcBorders>
          </w:tcPr>
          <w:p>
            <w:pPr>
              <w:pStyle w:val="TableParagraph"/>
              <w:spacing w:line="240" w:lineRule="auto" w:before="45"/>
              <w:ind w:right="62"/>
              <w:jc w:val="right"/>
              <w:rPr>
                <w:rFonts w:ascii="Times New Roman" w:hAnsi="Times New Roman" w:cs="Times New Roman" w:eastAsia="Times New Roman" w:hint="default"/>
                <w:sz w:val="16"/>
                <w:szCs w:val="16"/>
              </w:rPr>
            </w:pPr>
            <w:r>
              <w:rPr>
                <w:rFonts w:ascii="Times New Roman"/>
                <w:spacing w:val="-1"/>
                <w:sz w:val="16"/>
              </w:rPr>
              <w:t>462,910,976.59</w:t>
            </w:r>
          </w:p>
        </w:tc>
        <w:tc>
          <w:tcPr>
            <w:tcW w:w="985"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9"/>
              <w:jc w:val="center"/>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280" w:hRule="exact"/>
        </w:trPr>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27"/>
              <w:ind w:left="71" w:right="0"/>
              <w:jc w:val="left"/>
              <w:rPr>
                <w:rFonts w:ascii="宋体" w:hAnsi="宋体" w:cs="宋体" w:eastAsia="宋体" w:hint="default"/>
                <w:sz w:val="16"/>
                <w:szCs w:val="16"/>
              </w:rPr>
            </w:pPr>
            <w:r>
              <w:rPr>
                <w:rFonts w:ascii="宋体" w:hAnsi="宋体" w:cs="宋体" w:eastAsia="宋体" w:hint="default"/>
                <w:sz w:val="16"/>
                <w:szCs w:val="16"/>
              </w:rPr>
              <w:t>南通科技园项目扶持资金</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63"/>
              <w:jc w:val="right"/>
              <w:rPr>
                <w:rFonts w:ascii="Times New Roman" w:hAnsi="Times New Roman" w:cs="Times New Roman" w:eastAsia="Times New Roman" w:hint="default"/>
                <w:sz w:val="16"/>
                <w:szCs w:val="16"/>
              </w:rPr>
            </w:pPr>
            <w:r>
              <w:rPr>
                <w:rFonts w:ascii="Times New Roman"/>
                <w:spacing w:val="-2"/>
                <w:sz w:val="16"/>
              </w:rPr>
              <w:t>99,444,000.00</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65"/>
              <w:jc w:val="right"/>
              <w:rPr>
                <w:rFonts w:ascii="Times New Roman" w:hAnsi="Times New Roman" w:cs="Times New Roman" w:eastAsia="Times New Roman" w:hint="default"/>
                <w:sz w:val="16"/>
                <w:szCs w:val="16"/>
              </w:rPr>
            </w:pPr>
            <w:r>
              <w:rPr>
                <w:rFonts w:ascii="Times New Roman"/>
                <w:spacing w:val="-1"/>
                <w:sz w:val="16"/>
              </w:rPr>
              <w:t>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4"/>
              <w:jc w:val="right"/>
              <w:rPr>
                <w:rFonts w:ascii="Times New Roman" w:hAnsi="Times New Roman" w:cs="Times New Roman" w:eastAsia="Times New Roman" w:hint="default"/>
                <w:sz w:val="16"/>
                <w:szCs w:val="16"/>
              </w:rPr>
            </w:pPr>
            <w:r>
              <w:rPr>
                <w:rFonts w:ascii="Times New Roman"/>
                <w:spacing w:val="-1"/>
                <w:sz w:val="16"/>
              </w:rPr>
              <w:t>3,556,000.00</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64"/>
              <w:jc w:val="right"/>
              <w:rPr>
                <w:rFonts w:ascii="Times New Roman" w:hAnsi="Times New Roman" w:cs="Times New Roman" w:eastAsia="Times New Roman" w:hint="default"/>
                <w:sz w:val="16"/>
                <w:szCs w:val="16"/>
              </w:rPr>
            </w:pPr>
            <w:r>
              <w:rPr>
                <w:rFonts w:ascii="Times New Roman"/>
                <w:spacing w:val="-1"/>
                <w:sz w:val="16"/>
              </w:rPr>
              <w:t>0.00</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61"/>
              <w:jc w:val="right"/>
              <w:rPr>
                <w:rFonts w:ascii="Times New Roman" w:hAnsi="Times New Roman" w:cs="Times New Roman" w:eastAsia="Times New Roman" w:hint="default"/>
                <w:sz w:val="16"/>
                <w:szCs w:val="16"/>
              </w:rPr>
            </w:pPr>
            <w:r>
              <w:rPr>
                <w:rFonts w:ascii="Times New Roman"/>
                <w:spacing w:val="-2"/>
                <w:sz w:val="16"/>
              </w:rPr>
              <w:t>95,888,000.00</w:t>
            </w:r>
          </w:p>
        </w:tc>
        <w:tc>
          <w:tcPr>
            <w:tcW w:w="985" w:type="dxa"/>
            <w:tcBorders>
              <w:top w:val="nil" w:sz="6" w:space="0" w:color="auto"/>
              <w:left w:val="nil" w:sz="6" w:space="0" w:color="auto"/>
              <w:bottom w:val="nil" w:sz="6" w:space="0" w:color="auto"/>
              <w:right w:val="nil" w:sz="6" w:space="0" w:color="auto"/>
            </w:tcBorders>
          </w:tcPr>
          <w:p>
            <w:pPr>
              <w:pStyle w:val="TableParagraph"/>
              <w:spacing w:line="198" w:lineRule="exact"/>
              <w:ind w:right="6"/>
              <w:jc w:val="center"/>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290" w:hRule="exact"/>
        </w:trPr>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71"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高端智能卡芯片研发项目</w:t>
            </w:r>
            <w:r>
              <w:rPr>
                <w:rFonts w:ascii="宋体" w:hAnsi="宋体" w:cs="宋体" w:eastAsia="宋体" w:hint="default"/>
                <w:spacing w:val="-40"/>
                <w:sz w:val="16"/>
                <w:szCs w:val="16"/>
              </w:rPr>
              <w:t> </w:t>
            </w:r>
            <w:r>
              <w:rPr>
                <w:rFonts w:ascii="Times New Roman" w:hAnsi="Times New Roman" w:cs="Times New Roman" w:eastAsia="Times New Roman" w:hint="default"/>
                <w:sz w:val="16"/>
                <w:szCs w:val="16"/>
              </w:rPr>
              <w:t>I</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63"/>
              <w:jc w:val="right"/>
              <w:rPr>
                <w:rFonts w:ascii="Times New Roman" w:hAnsi="Times New Roman" w:cs="Times New Roman" w:eastAsia="Times New Roman" w:hint="default"/>
                <w:sz w:val="16"/>
                <w:szCs w:val="16"/>
              </w:rPr>
            </w:pPr>
            <w:r>
              <w:rPr>
                <w:rFonts w:ascii="Times New Roman"/>
                <w:spacing w:val="-2"/>
                <w:sz w:val="16"/>
              </w:rPr>
              <w:t>23,277,000.00</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65"/>
              <w:jc w:val="right"/>
              <w:rPr>
                <w:rFonts w:ascii="Times New Roman" w:hAnsi="Times New Roman" w:cs="Times New Roman" w:eastAsia="Times New Roman" w:hint="default"/>
                <w:sz w:val="16"/>
                <w:szCs w:val="16"/>
              </w:rPr>
            </w:pPr>
            <w:r>
              <w:rPr>
                <w:rFonts w:ascii="Times New Roman"/>
                <w:spacing w:val="-1"/>
                <w:sz w:val="16"/>
              </w:rPr>
              <w:t>6,000,000.00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04"/>
              <w:jc w:val="right"/>
              <w:rPr>
                <w:rFonts w:ascii="Times New Roman" w:hAnsi="Times New Roman" w:cs="Times New Roman" w:eastAsia="Times New Roman" w:hint="default"/>
                <w:sz w:val="16"/>
                <w:szCs w:val="16"/>
              </w:rPr>
            </w:pPr>
            <w:r>
              <w:rPr>
                <w:rFonts w:ascii="Times New Roman"/>
                <w:spacing w:val="-1"/>
                <w:sz w:val="16"/>
              </w:rPr>
              <w:t>1,399,004.00</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64"/>
              <w:jc w:val="right"/>
              <w:rPr>
                <w:rFonts w:ascii="Times New Roman" w:hAnsi="Times New Roman" w:cs="Times New Roman" w:eastAsia="Times New Roman" w:hint="default"/>
                <w:sz w:val="16"/>
                <w:szCs w:val="16"/>
              </w:rPr>
            </w:pPr>
            <w:r>
              <w:rPr>
                <w:rFonts w:ascii="Times New Roman"/>
                <w:spacing w:val="-1"/>
                <w:sz w:val="16"/>
              </w:rPr>
              <w:t>0.00</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61"/>
              <w:jc w:val="right"/>
              <w:rPr>
                <w:rFonts w:ascii="Times New Roman" w:hAnsi="Times New Roman" w:cs="Times New Roman" w:eastAsia="Times New Roman" w:hint="default"/>
                <w:sz w:val="16"/>
                <w:szCs w:val="16"/>
              </w:rPr>
            </w:pPr>
            <w:r>
              <w:rPr>
                <w:rFonts w:ascii="Times New Roman"/>
                <w:spacing w:val="-2"/>
                <w:sz w:val="16"/>
              </w:rPr>
              <w:t>27,877,996.00</w:t>
            </w:r>
          </w:p>
        </w:tc>
        <w:tc>
          <w:tcPr>
            <w:tcW w:w="985" w:type="dxa"/>
            <w:tcBorders>
              <w:top w:val="nil" w:sz="6" w:space="0" w:color="auto"/>
              <w:left w:val="nil" w:sz="6" w:space="0" w:color="auto"/>
              <w:bottom w:val="nil" w:sz="6" w:space="0" w:color="auto"/>
              <w:right w:val="nil" w:sz="6" w:space="0" w:color="auto"/>
            </w:tcBorders>
          </w:tcPr>
          <w:p>
            <w:pPr>
              <w:pStyle w:val="TableParagraph"/>
              <w:spacing w:line="204" w:lineRule="exact"/>
              <w:ind w:right="6"/>
              <w:jc w:val="center"/>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265" w:hRule="exact"/>
        </w:trPr>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71"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高端智能卡芯片研发项目</w:t>
            </w:r>
            <w:r>
              <w:rPr>
                <w:rFonts w:ascii="宋体" w:hAnsi="宋体" w:cs="宋体" w:eastAsia="宋体" w:hint="default"/>
                <w:spacing w:val="-40"/>
                <w:sz w:val="16"/>
                <w:szCs w:val="16"/>
              </w:rPr>
              <w:t> </w:t>
            </w:r>
            <w:r>
              <w:rPr>
                <w:rFonts w:ascii="Times New Roman" w:hAnsi="Times New Roman" w:cs="Times New Roman" w:eastAsia="Times New Roman" w:hint="default"/>
                <w:spacing w:val="-4"/>
                <w:sz w:val="16"/>
                <w:szCs w:val="16"/>
              </w:rPr>
              <w:t>II</w:t>
            </w:r>
            <w:r>
              <w:rPr>
                <w:rFonts w:ascii="Times New Roman" w:hAnsi="Times New Roman" w:cs="Times New Roman" w:eastAsia="Times New Roman" w:hint="default"/>
                <w:sz w:val="16"/>
                <w:szCs w:val="16"/>
              </w:rPr>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3"/>
              <w:jc w:val="right"/>
              <w:rPr>
                <w:rFonts w:ascii="Times New Roman" w:hAnsi="Times New Roman" w:cs="Times New Roman" w:eastAsia="Times New Roman" w:hint="default"/>
                <w:sz w:val="16"/>
                <w:szCs w:val="16"/>
              </w:rPr>
            </w:pPr>
            <w:r>
              <w:rPr>
                <w:rFonts w:ascii="Times New Roman"/>
                <w:spacing w:val="-2"/>
                <w:sz w:val="16"/>
              </w:rPr>
              <w:t>28,000,000.00</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5"/>
              <w:jc w:val="right"/>
              <w:rPr>
                <w:rFonts w:ascii="Times New Roman" w:hAnsi="Times New Roman" w:cs="Times New Roman" w:eastAsia="Times New Roman" w:hint="default"/>
                <w:sz w:val="16"/>
                <w:szCs w:val="16"/>
              </w:rPr>
            </w:pPr>
            <w:r>
              <w:rPr>
                <w:rFonts w:ascii="Times New Roman"/>
                <w:spacing w:val="-1"/>
                <w:sz w:val="16"/>
              </w:rPr>
              <w:t>936,000.00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Times New Roman" w:hAnsi="Times New Roman" w:cs="Times New Roman" w:eastAsia="Times New Roman" w:hint="default"/>
                <w:sz w:val="16"/>
                <w:szCs w:val="16"/>
              </w:rPr>
            </w:pPr>
            <w:r>
              <w:rPr>
                <w:rFonts w:ascii="Times New Roman"/>
                <w:spacing w:val="-2"/>
                <w:sz w:val="16"/>
              </w:rPr>
              <w:t>26,666,666.67</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4"/>
              <w:jc w:val="right"/>
              <w:rPr>
                <w:rFonts w:ascii="Times New Roman" w:hAnsi="Times New Roman" w:cs="Times New Roman" w:eastAsia="Times New Roman" w:hint="default"/>
                <w:sz w:val="16"/>
                <w:szCs w:val="16"/>
              </w:rPr>
            </w:pPr>
            <w:r>
              <w:rPr>
                <w:rFonts w:ascii="Times New Roman"/>
                <w:spacing w:val="-1"/>
                <w:sz w:val="16"/>
              </w:rPr>
              <w:t>0.00</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1"/>
              <w:jc w:val="right"/>
              <w:rPr>
                <w:rFonts w:ascii="Times New Roman" w:hAnsi="Times New Roman" w:cs="Times New Roman" w:eastAsia="Times New Roman" w:hint="default"/>
                <w:sz w:val="16"/>
                <w:szCs w:val="16"/>
              </w:rPr>
            </w:pPr>
            <w:r>
              <w:rPr>
                <w:rFonts w:ascii="Times New Roman"/>
                <w:spacing w:val="-1"/>
                <w:sz w:val="16"/>
              </w:rPr>
              <w:t>2,269,333.33</w:t>
            </w:r>
          </w:p>
        </w:tc>
        <w:tc>
          <w:tcPr>
            <w:tcW w:w="985" w:type="dxa"/>
            <w:tcBorders>
              <w:top w:val="nil" w:sz="6" w:space="0" w:color="auto"/>
              <w:left w:val="nil" w:sz="6" w:space="0" w:color="auto"/>
              <w:bottom w:val="nil" w:sz="6" w:space="0" w:color="auto"/>
              <w:right w:val="nil" w:sz="6" w:space="0" w:color="auto"/>
            </w:tcBorders>
          </w:tcPr>
          <w:p>
            <w:pPr>
              <w:pStyle w:val="TableParagraph"/>
              <w:spacing w:line="199" w:lineRule="exact"/>
              <w:ind w:right="6"/>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430" w:hRule="exact"/>
        </w:trPr>
        <w:tc>
          <w:tcPr>
            <w:tcW w:w="2055" w:type="dxa"/>
            <w:tcBorders>
              <w:top w:val="nil" w:sz="6" w:space="0" w:color="auto"/>
              <w:left w:val="nil" w:sz="6" w:space="0" w:color="auto"/>
              <w:bottom w:val="nil" w:sz="6" w:space="0" w:color="auto"/>
              <w:right w:val="nil" w:sz="6" w:space="0" w:color="auto"/>
            </w:tcBorders>
          </w:tcPr>
          <w:p>
            <w:pPr>
              <w:pStyle w:val="TableParagraph"/>
              <w:spacing w:line="185" w:lineRule="exact"/>
              <w:ind w:left="71" w:right="0"/>
              <w:jc w:val="left"/>
              <w:rPr>
                <w:rFonts w:ascii="宋体" w:hAnsi="宋体" w:cs="宋体" w:eastAsia="宋体" w:hint="default"/>
                <w:sz w:val="16"/>
                <w:szCs w:val="16"/>
              </w:rPr>
            </w:pPr>
            <w:r>
              <w:rPr>
                <w:rFonts w:ascii="宋体" w:hAnsi="宋体" w:cs="宋体" w:eastAsia="宋体" w:hint="default"/>
                <w:sz w:val="16"/>
                <w:szCs w:val="16"/>
              </w:rPr>
              <w:t>高亮度发光二极管</w:t>
            </w:r>
            <w:r>
              <w:rPr>
                <w:rFonts w:ascii="Times New Roman" w:hAnsi="Times New Roman" w:cs="Times New Roman" w:eastAsia="Times New Roman" w:hint="default"/>
                <w:sz w:val="16"/>
                <w:szCs w:val="16"/>
              </w:rPr>
              <w:t>(LED)</w:t>
            </w:r>
            <w:r>
              <w:rPr>
                <w:rFonts w:ascii="宋体" w:hAnsi="宋体" w:cs="宋体" w:eastAsia="宋体" w:hint="default"/>
                <w:sz w:val="16"/>
                <w:szCs w:val="16"/>
              </w:rPr>
              <w:t>外</w:t>
            </w:r>
          </w:p>
          <w:p>
            <w:pPr>
              <w:pStyle w:val="TableParagraph"/>
              <w:spacing w:line="203" w:lineRule="exact"/>
              <w:ind w:left="71" w:right="0"/>
              <w:jc w:val="left"/>
              <w:rPr>
                <w:rFonts w:ascii="宋体" w:hAnsi="宋体" w:cs="宋体" w:eastAsia="宋体" w:hint="default"/>
                <w:sz w:val="16"/>
                <w:szCs w:val="16"/>
              </w:rPr>
            </w:pPr>
            <w:r>
              <w:rPr>
                <w:rFonts w:ascii="宋体" w:hAnsi="宋体" w:cs="宋体" w:eastAsia="宋体" w:hint="default"/>
                <w:sz w:val="16"/>
                <w:szCs w:val="16"/>
              </w:rPr>
              <w:t>延片、芯片产业化工程</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63"/>
              <w:jc w:val="right"/>
              <w:rPr>
                <w:rFonts w:ascii="Times New Roman" w:hAnsi="Times New Roman" w:cs="Times New Roman" w:eastAsia="Times New Roman" w:hint="default"/>
                <w:sz w:val="16"/>
                <w:szCs w:val="16"/>
              </w:rPr>
            </w:pPr>
            <w:r>
              <w:rPr>
                <w:rFonts w:ascii="Times New Roman"/>
                <w:spacing w:val="-2"/>
                <w:sz w:val="16"/>
              </w:rPr>
              <w:t>25,939,333.08</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65"/>
              <w:jc w:val="right"/>
              <w:rPr>
                <w:rFonts w:ascii="Times New Roman" w:hAnsi="Times New Roman" w:cs="Times New Roman" w:eastAsia="Times New Roman" w:hint="default"/>
                <w:sz w:val="16"/>
                <w:szCs w:val="16"/>
              </w:rPr>
            </w:pPr>
            <w:r>
              <w:rPr>
                <w:rFonts w:ascii="Times New Roman"/>
                <w:spacing w:val="-1"/>
                <w:sz w:val="16"/>
              </w:rPr>
              <w:t>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6"/>
                <w:szCs w:val="16"/>
              </w:rPr>
            </w:pPr>
            <w:r>
              <w:rPr>
                <w:rFonts w:ascii="Times New Roman"/>
                <w:spacing w:val="-1"/>
                <w:sz w:val="16"/>
              </w:rPr>
              <w:t>3,795,999.96</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64"/>
              <w:jc w:val="right"/>
              <w:rPr>
                <w:rFonts w:ascii="Times New Roman" w:hAnsi="Times New Roman" w:cs="Times New Roman" w:eastAsia="Times New Roman" w:hint="default"/>
                <w:sz w:val="16"/>
                <w:szCs w:val="16"/>
              </w:rPr>
            </w:pPr>
            <w:r>
              <w:rPr>
                <w:rFonts w:ascii="Times New Roman"/>
                <w:spacing w:val="-1"/>
                <w:sz w:val="16"/>
              </w:rPr>
              <w:t>0.00</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61"/>
              <w:jc w:val="right"/>
              <w:rPr>
                <w:rFonts w:ascii="Times New Roman" w:hAnsi="Times New Roman" w:cs="Times New Roman" w:eastAsia="Times New Roman" w:hint="default"/>
                <w:sz w:val="16"/>
                <w:szCs w:val="16"/>
              </w:rPr>
            </w:pPr>
            <w:r>
              <w:rPr>
                <w:rFonts w:ascii="Times New Roman"/>
                <w:spacing w:val="-2"/>
                <w:sz w:val="16"/>
              </w:rPr>
              <w:t>22,143,333.12</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6"/>
              <w:jc w:val="center"/>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309" w:hRule="exact"/>
        </w:trPr>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71"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特种集成电路研发项目</w:t>
            </w:r>
            <w:r>
              <w:rPr>
                <w:rFonts w:ascii="宋体" w:hAnsi="宋体" w:cs="宋体" w:eastAsia="宋体" w:hint="default"/>
                <w:spacing w:val="-38"/>
                <w:sz w:val="16"/>
                <w:szCs w:val="16"/>
              </w:rPr>
              <w:t> </w:t>
            </w:r>
            <w:r>
              <w:rPr>
                <w:rFonts w:ascii="Times New Roman" w:hAnsi="Times New Roman" w:cs="Times New Roman" w:eastAsia="Times New Roman" w:hint="default"/>
                <w:spacing w:val="-4"/>
                <w:sz w:val="16"/>
                <w:szCs w:val="16"/>
              </w:rPr>
              <w:t>II</w:t>
            </w:r>
            <w:r>
              <w:rPr>
                <w:rFonts w:ascii="Times New Roman" w:hAnsi="Times New Roman" w:cs="Times New Roman" w:eastAsia="Times New Roman" w:hint="default"/>
                <w:sz w:val="16"/>
                <w:szCs w:val="16"/>
              </w:rPr>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63"/>
              <w:jc w:val="right"/>
              <w:rPr>
                <w:rFonts w:ascii="Times New Roman" w:hAnsi="Times New Roman" w:cs="Times New Roman" w:eastAsia="Times New Roman" w:hint="default"/>
                <w:sz w:val="16"/>
                <w:szCs w:val="16"/>
              </w:rPr>
            </w:pPr>
            <w:r>
              <w:rPr>
                <w:rFonts w:ascii="Times New Roman"/>
                <w:spacing w:val="-2"/>
                <w:sz w:val="16"/>
              </w:rPr>
              <w:t>22,300,246.29</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65"/>
              <w:jc w:val="right"/>
              <w:rPr>
                <w:rFonts w:ascii="Times New Roman" w:hAnsi="Times New Roman" w:cs="Times New Roman" w:eastAsia="Times New Roman" w:hint="default"/>
                <w:sz w:val="16"/>
                <w:szCs w:val="16"/>
              </w:rPr>
            </w:pPr>
            <w:r>
              <w:rPr>
                <w:rFonts w:ascii="Times New Roman"/>
                <w:spacing w:val="-2"/>
                <w:sz w:val="16"/>
              </w:rPr>
              <w:t>76,106,000.00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4"/>
              <w:jc w:val="right"/>
              <w:rPr>
                <w:rFonts w:ascii="Times New Roman" w:hAnsi="Times New Roman" w:cs="Times New Roman" w:eastAsia="Times New Roman" w:hint="default"/>
                <w:sz w:val="16"/>
                <w:szCs w:val="16"/>
              </w:rPr>
            </w:pPr>
            <w:r>
              <w:rPr>
                <w:rFonts w:ascii="Times New Roman"/>
                <w:spacing w:val="-2"/>
                <w:sz w:val="16"/>
              </w:rPr>
              <w:t>32,606,311.56</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64"/>
              <w:jc w:val="right"/>
              <w:rPr>
                <w:rFonts w:ascii="Times New Roman" w:hAnsi="Times New Roman" w:cs="Times New Roman" w:eastAsia="Times New Roman" w:hint="default"/>
                <w:sz w:val="16"/>
                <w:szCs w:val="16"/>
              </w:rPr>
            </w:pPr>
            <w:r>
              <w:rPr>
                <w:rFonts w:ascii="Times New Roman"/>
                <w:spacing w:val="-1"/>
                <w:sz w:val="16"/>
              </w:rPr>
              <w:t>0.00</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61"/>
              <w:jc w:val="right"/>
              <w:rPr>
                <w:rFonts w:ascii="Times New Roman" w:hAnsi="Times New Roman" w:cs="Times New Roman" w:eastAsia="Times New Roman" w:hint="default"/>
                <w:sz w:val="16"/>
                <w:szCs w:val="16"/>
              </w:rPr>
            </w:pPr>
            <w:r>
              <w:rPr>
                <w:rFonts w:ascii="Times New Roman"/>
                <w:spacing w:val="-2"/>
                <w:sz w:val="16"/>
              </w:rPr>
              <w:t>65,799,934.73</w:t>
            </w:r>
          </w:p>
        </w:tc>
        <w:tc>
          <w:tcPr>
            <w:tcW w:w="985" w:type="dxa"/>
            <w:tcBorders>
              <w:top w:val="nil" w:sz="6" w:space="0" w:color="auto"/>
              <w:left w:val="nil" w:sz="6" w:space="0" w:color="auto"/>
              <w:bottom w:val="nil" w:sz="6" w:space="0" w:color="auto"/>
              <w:right w:val="nil" w:sz="6" w:space="0" w:color="auto"/>
            </w:tcBorders>
          </w:tcPr>
          <w:p>
            <w:pPr>
              <w:pStyle w:val="TableParagraph"/>
              <w:spacing w:line="203" w:lineRule="exact"/>
              <w:ind w:right="9"/>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88" w:hRule="exact"/>
        </w:trPr>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8"/>
              <w:ind w:left="71" w:right="0"/>
              <w:jc w:val="left"/>
              <w:rPr>
                <w:rFonts w:ascii="宋体" w:hAnsi="宋体" w:cs="宋体" w:eastAsia="宋体" w:hint="default"/>
                <w:sz w:val="16"/>
                <w:szCs w:val="16"/>
              </w:rPr>
            </w:pPr>
            <w:r>
              <w:rPr>
                <w:rFonts w:ascii="宋体" w:hAnsi="宋体" w:cs="宋体" w:eastAsia="宋体" w:hint="default"/>
                <w:sz w:val="16"/>
                <w:szCs w:val="16"/>
              </w:rPr>
              <w:t>进口设备贴息项目</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63"/>
              <w:jc w:val="right"/>
              <w:rPr>
                <w:rFonts w:ascii="Times New Roman" w:hAnsi="Times New Roman" w:cs="Times New Roman" w:eastAsia="Times New Roman" w:hint="default"/>
                <w:sz w:val="16"/>
                <w:szCs w:val="16"/>
              </w:rPr>
            </w:pPr>
            <w:r>
              <w:rPr>
                <w:rFonts w:ascii="Times New Roman"/>
                <w:spacing w:val="-2"/>
                <w:sz w:val="16"/>
              </w:rPr>
              <w:t>21,097,900.20</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65"/>
              <w:jc w:val="right"/>
              <w:rPr>
                <w:rFonts w:ascii="Times New Roman" w:hAnsi="Times New Roman" w:cs="Times New Roman" w:eastAsia="Times New Roman" w:hint="default"/>
                <w:sz w:val="16"/>
                <w:szCs w:val="16"/>
              </w:rPr>
            </w:pPr>
            <w:r>
              <w:rPr>
                <w:rFonts w:ascii="Times New Roman"/>
                <w:spacing w:val="-1"/>
                <w:sz w:val="16"/>
              </w:rPr>
              <w:t>356,400.00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4"/>
              <w:jc w:val="right"/>
              <w:rPr>
                <w:rFonts w:ascii="Times New Roman" w:hAnsi="Times New Roman" w:cs="Times New Roman" w:eastAsia="Times New Roman" w:hint="default"/>
                <w:sz w:val="16"/>
                <w:szCs w:val="16"/>
              </w:rPr>
            </w:pPr>
            <w:r>
              <w:rPr>
                <w:rFonts w:ascii="Times New Roman"/>
                <w:spacing w:val="-1"/>
                <w:sz w:val="16"/>
              </w:rPr>
              <w:t>2,843,677.80</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64"/>
              <w:jc w:val="right"/>
              <w:rPr>
                <w:rFonts w:ascii="Times New Roman" w:hAnsi="Times New Roman" w:cs="Times New Roman" w:eastAsia="Times New Roman" w:hint="default"/>
                <w:sz w:val="16"/>
                <w:szCs w:val="16"/>
              </w:rPr>
            </w:pPr>
            <w:r>
              <w:rPr>
                <w:rFonts w:ascii="Times New Roman"/>
                <w:spacing w:val="-1"/>
                <w:sz w:val="16"/>
              </w:rPr>
              <w:t>0.00</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61"/>
              <w:jc w:val="right"/>
              <w:rPr>
                <w:rFonts w:ascii="Times New Roman" w:hAnsi="Times New Roman" w:cs="Times New Roman" w:eastAsia="Times New Roman" w:hint="default"/>
                <w:sz w:val="16"/>
                <w:szCs w:val="16"/>
              </w:rPr>
            </w:pPr>
            <w:r>
              <w:rPr>
                <w:rFonts w:ascii="Times New Roman"/>
                <w:spacing w:val="-2"/>
                <w:sz w:val="16"/>
              </w:rPr>
              <w:t>18,610,622.40</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
              <w:jc w:val="center"/>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243" w:hRule="exact"/>
        </w:trPr>
        <w:tc>
          <w:tcPr>
            <w:tcW w:w="2055" w:type="dxa"/>
            <w:tcBorders>
              <w:top w:val="nil" w:sz="6" w:space="0" w:color="auto"/>
              <w:left w:val="nil" w:sz="6" w:space="0" w:color="auto"/>
              <w:bottom w:val="single" w:sz="4" w:space="0" w:color="000000"/>
              <w:right w:val="nil" w:sz="6" w:space="0" w:color="auto"/>
            </w:tcBorders>
          </w:tcPr>
          <w:p>
            <w:pPr>
              <w:pStyle w:val="TableParagraph"/>
              <w:spacing w:line="240" w:lineRule="auto" w:before="5"/>
              <w:ind w:left="71"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147"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63"/>
              <w:jc w:val="right"/>
              <w:rPr>
                <w:rFonts w:ascii="Times New Roman" w:hAnsi="Times New Roman" w:cs="Times New Roman" w:eastAsia="Times New Roman" w:hint="default"/>
                <w:sz w:val="16"/>
                <w:szCs w:val="16"/>
              </w:rPr>
            </w:pPr>
            <w:r>
              <w:rPr>
                <w:rFonts w:ascii="Times New Roman"/>
                <w:spacing w:val="-1"/>
                <w:sz w:val="16"/>
              </w:rPr>
              <w:t>194,169,029.62</w:t>
            </w:r>
          </w:p>
        </w:tc>
        <w:tc>
          <w:tcPr>
            <w:tcW w:w="1135"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65"/>
              <w:jc w:val="right"/>
              <w:rPr>
                <w:rFonts w:ascii="Times New Roman" w:hAnsi="Times New Roman" w:cs="Times New Roman" w:eastAsia="Times New Roman" w:hint="default"/>
                <w:sz w:val="16"/>
                <w:szCs w:val="16"/>
              </w:rPr>
            </w:pPr>
            <w:r>
              <w:rPr>
                <w:rFonts w:ascii="Times New Roman"/>
                <w:spacing w:val="-1"/>
                <w:sz w:val="16"/>
              </w:rPr>
              <w:t>100,054,032.99</w:t>
            </w:r>
          </w:p>
        </w:tc>
        <w:tc>
          <w:tcPr>
            <w:tcW w:w="1175"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6"/>
                <w:szCs w:val="16"/>
              </w:rPr>
            </w:pPr>
            <w:r>
              <w:rPr>
                <w:rFonts w:ascii="Times New Roman"/>
                <w:spacing w:val="-2"/>
                <w:sz w:val="16"/>
              </w:rPr>
              <w:t>62,527,151.05</w:t>
            </w:r>
          </w:p>
        </w:tc>
        <w:tc>
          <w:tcPr>
            <w:tcW w:w="1093"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65"/>
              <w:jc w:val="right"/>
              <w:rPr>
                <w:rFonts w:ascii="Times New Roman" w:hAnsi="Times New Roman" w:cs="Times New Roman" w:eastAsia="Times New Roman" w:hint="default"/>
                <w:sz w:val="16"/>
                <w:szCs w:val="16"/>
              </w:rPr>
            </w:pPr>
            <w:r>
              <w:rPr>
                <w:rFonts w:ascii="Times New Roman"/>
                <w:spacing w:val="-1"/>
                <w:sz w:val="16"/>
              </w:rPr>
              <w:t>7,258,137.40</w:t>
            </w:r>
          </w:p>
        </w:tc>
        <w:tc>
          <w:tcPr>
            <w:tcW w:w="1132"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60"/>
              <w:jc w:val="right"/>
              <w:rPr>
                <w:rFonts w:ascii="Times New Roman" w:hAnsi="Times New Roman" w:cs="Times New Roman" w:eastAsia="Times New Roman" w:hint="default"/>
                <w:sz w:val="16"/>
                <w:szCs w:val="16"/>
              </w:rPr>
            </w:pPr>
            <w:r>
              <w:rPr>
                <w:rFonts w:ascii="Times New Roman"/>
                <w:spacing w:val="-1"/>
                <w:sz w:val="16"/>
              </w:rPr>
              <w:t>224,437,774.16</w:t>
            </w:r>
          </w:p>
        </w:tc>
        <w:tc>
          <w:tcPr>
            <w:tcW w:w="985" w:type="dxa"/>
            <w:tcBorders>
              <w:top w:val="nil" w:sz="6" w:space="0" w:color="auto"/>
              <w:left w:val="nil" w:sz="6" w:space="0" w:color="auto"/>
              <w:bottom w:val="single" w:sz="4" w:space="0" w:color="000000"/>
              <w:right w:val="nil" w:sz="6" w:space="0" w:color="auto"/>
            </w:tcBorders>
          </w:tcPr>
          <w:p>
            <w:pPr/>
          </w:p>
        </w:tc>
      </w:tr>
      <w:tr>
        <w:trPr>
          <w:trHeight w:val="307" w:hRule="exact"/>
        </w:trPr>
        <w:tc>
          <w:tcPr>
            <w:tcW w:w="2055" w:type="dxa"/>
            <w:tcBorders>
              <w:top w:val="single" w:sz="4" w:space="0" w:color="000000"/>
              <w:left w:val="nil" w:sz="6" w:space="0" w:color="auto"/>
              <w:bottom w:val="single" w:sz="12" w:space="0" w:color="000000"/>
              <w:right w:val="nil" w:sz="6" w:space="0" w:color="auto"/>
            </w:tcBorders>
          </w:tcPr>
          <w:p>
            <w:pPr>
              <w:pStyle w:val="TableParagraph"/>
              <w:spacing w:line="240" w:lineRule="auto" w:before="53"/>
              <w:ind w:left="71" w:right="0"/>
              <w:jc w:val="left"/>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c>
        <w:tc>
          <w:tcPr>
            <w:tcW w:w="1147" w:type="dxa"/>
            <w:tcBorders>
              <w:top w:val="single" w:sz="4" w:space="0" w:color="000000"/>
              <w:left w:val="nil" w:sz="6" w:space="0" w:color="auto"/>
              <w:bottom w:val="single" w:sz="12" w:space="0" w:color="000000"/>
              <w:right w:val="nil" w:sz="6" w:space="0" w:color="auto"/>
            </w:tcBorders>
          </w:tcPr>
          <w:p>
            <w:pPr>
              <w:pStyle w:val="TableParagraph"/>
              <w:spacing w:line="240" w:lineRule="auto" w:before="100"/>
              <w:ind w:right="63"/>
              <w:jc w:val="right"/>
              <w:rPr>
                <w:rFonts w:ascii="Times New Roman" w:hAnsi="Times New Roman" w:cs="Times New Roman" w:eastAsia="Times New Roman" w:hint="default"/>
                <w:sz w:val="16"/>
                <w:szCs w:val="16"/>
              </w:rPr>
            </w:pPr>
            <w:r>
              <w:rPr>
                <w:rFonts w:ascii="Times New Roman"/>
                <w:b/>
                <w:spacing w:val="-1"/>
                <w:sz w:val="16"/>
              </w:rPr>
              <w:t>781,541,391.34</w:t>
            </w:r>
            <w:r>
              <w:rPr>
                <w:rFonts w:ascii="Times New Roman"/>
                <w:spacing w:val="-1"/>
                <w:sz w:val="16"/>
              </w:rPr>
            </w:r>
          </w:p>
        </w:tc>
        <w:tc>
          <w:tcPr>
            <w:tcW w:w="1135" w:type="dxa"/>
            <w:tcBorders>
              <w:top w:val="single" w:sz="4" w:space="0" w:color="000000"/>
              <w:left w:val="nil" w:sz="6" w:space="0" w:color="auto"/>
              <w:bottom w:val="single" w:sz="12" w:space="0" w:color="000000"/>
              <w:right w:val="nil" w:sz="6" w:space="0" w:color="auto"/>
            </w:tcBorders>
          </w:tcPr>
          <w:p>
            <w:pPr>
              <w:pStyle w:val="TableParagraph"/>
              <w:spacing w:line="240" w:lineRule="auto" w:before="100"/>
              <w:ind w:right="64"/>
              <w:jc w:val="right"/>
              <w:rPr>
                <w:rFonts w:ascii="Times New Roman" w:hAnsi="Times New Roman" w:cs="Times New Roman" w:eastAsia="Times New Roman" w:hint="default"/>
                <w:sz w:val="16"/>
                <w:szCs w:val="16"/>
              </w:rPr>
            </w:pPr>
            <w:r>
              <w:rPr>
                <w:rFonts w:ascii="Times New Roman"/>
                <w:b/>
                <w:spacing w:val="-1"/>
                <w:sz w:val="16"/>
              </w:rPr>
              <w:t>301,045,232.99</w:t>
            </w:r>
            <w:r>
              <w:rPr>
                <w:rFonts w:ascii="Times New Roman"/>
                <w:spacing w:val="-1"/>
                <w:sz w:val="16"/>
              </w:rPr>
            </w:r>
          </w:p>
        </w:tc>
        <w:tc>
          <w:tcPr>
            <w:tcW w:w="1175" w:type="dxa"/>
            <w:tcBorders>
              <w:top w:val="single" w:sz="4" w:space="0" w:color="000000"/>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6"/>
                <w:szCs w:val="16"/>
              </w:rPr>
            </w:pPr>
            <w:r>
              <w:rPr>
                <w:rFonts w:ascii="Times New Roman"/>
                <w:b/>
                <w:spacing w:val="-1"/>
                <w:sz w:val="16"/>
              </w:rPr>
              <w:t>151,309,216.60</w:t>
            </w:r>
            <w:r>
              <w:rPr>
                <w:rFonts w:ascii="Times New Roman"/>
                <w:spacing w:val="-1"/>
                <w:sz w:val="16"/>
              </w:rPr>
            </w:r>
          </w:p>
        </w:tc>
        <w:tc>
          <w:tcPr>
            <w:tcW w:w="1093" w:type="dxa"/>
            <w:tcBorders>
              <w:top w:val="single" w:sz="4" w:space="0" w:color="000000"/>
              <w:left w:val="nil" w:sz="6" w:space="0" w:color="auto"/>
              <w:bottom w:val="single" w:sz="12" w:space="0" w:color="000000"/>
              <w:right w:val="nil" w:sz="6" w:space="0" w:color="auto"/>
            </w:tcBorders>
          </w:tcPr>
          <w:p>
            <w:pPr>
              <w:pStyle w:val="TableParagraph"/>
              <w:spacing w:line="240" w:lineRule="auto" w:before="100"/>
              <w:ind w:right="65"/>
              <w:jc w:val="right"/>
              <w:rPr>
                <w:rFonts w:ascii="Times New Roman" w:hAnsi="Times New Roman" w:cs="Times New Roman" w:eastAsia="Times New Roman" w:hint="default"/>
                <w:sz w:val="16"/>
                <w:szCs w:val="16"/>
              </w:rPr>
            </w:pPr>
            <w:r>
              <w:rPr>
                <w:rFonts w:ascii="Times New Roman"/>
                <w:b/>
                <w:spacing w:val="-2"/>
                <w:sz w:val="16"/>
              </w:rPr>
              <w:t>11,339,437.40</w:t>
            </w:r>
            <w:r>
              <w:rPr>
                <w:rFonts w:ascii="Times New Roman"/>
                <w:spacing w:val="-2"/>
                <w:sz w:val="16"/>
              </w:rPr>
            </w:r>
          </w:p>
        </w:tc>
        <w:tc>
          <w:tcPr>
            <w:tcW w:w="1132" w:type="dxa"/>
            <w:tcBorders>
              <w:top w:val="single" w:sz="4" w:space="0" w:color="000000"/>
              <w:left w:val="nil" w:sz="6" w:space="0" w:color="auto"/>
              <w:bottom w:val="single" w:sz="12" w:space="0" w:color="000000"/>
              <w:right w:val="nil" w:sz="6" w:space="0" w:color="auto"/>
            </w:tcBorders>
          </w:tcPr>
          <w:p>
            <w:pPr>
              <w:pStyle w:val="TableParagraph"/>
              <w:spacing w:line="240" w:lineRule="auto" w:before="100"/>
              <w:ind w:right="59"/>
              <w:jc w:val="right"/>
              <w:rPr>
                <w:rFonts w:ascii="Times New Roman" w:hAnsi="Times New Roman" w:cs="Times New Roman" w:eastAsia="Times New Roman" w:hint="default"/>
                <w:sz w:val="16"/>
                <w:szCs w:val="16"/>
              </w:rPr>
            </w:pPr>
            <w:r>
              <w:rPr>
                <w:rFonts w:ascii="Times New Roman"/>
                <w:b/>
                <w:spacing w:val="-1"/>
                <w:sz w:val="16"/>
              </w:rPr>
              <w:t>919,937,970.33</w:t>
            </w:r>
            <w:r>
              <w:rPr>
                <w:rFonts w:ascii="Times New Roman"/>
                <w:sz w:val="16"/>
              </w:rPr>
            </w:r>
          </w:p>
        </w:tc>
        <w:tc>
          <w:tcPr>
            <w:tcW w:w="985" w:type="dxa"/>
            <w:tcBorders>
              <w:top w:val="single" w:sz="4" w:space="0" w:color="000000"/>
              <w:left w:val="nil" w:sz="6" w:space="0" w:color="auto"/>
              <w:bottom w:val="single" w:sz="12" w:space="0" w:color="000000"/>
              <w:right w:val="nil" w:sz="6" w:space="0" w:color="auto"/>
            </w:tcBorders>
          </w:tcPr>
          <w:p>
            <w:pPr/>
          </w:p>
        </w:tc>
      </w:tr>
    </w:tbl>
    <w:p>
      <w:pPr>
        <w:spacing w:before="81"/>
        <w:ind w:left="701" w:right="0" w:firstLine="0"/>
        <w:jc w:val="left"/>
        <w:rPr>
          <w:rFonts w:ascii="宋体" w:hAnsi="宋体" w:cs="宋体" w:eastAsia="宋体" w:hint="default"/>
          <w:sz w:val="22"/>
          <w:szCs w:val="22"/>
        </w:rPr>
      </w:pPr>
      <w:r>
        <w:rPr>
          <w:rFonts w:ascii="宋体" w:hAnsi="宋体" w:cs="宋体" w:eastAsia="宋体" w:hint="default"/>
          <w:sz w:val="22"/>
          <w:szCs w:val="22"/>
        </w:rPr>
        <w:t>注：本年新增补助金额中包括因合并范围增加转入的政府补助项目 </w:t>
      </w:r>
      <w:r>
        <w:rPr>
          <w:rFonts w:ascii="Times New Roman" w:hAnsi="Times New Roman" w:cs="Times New Roman" w:eastAsia="Times New Roman" w:hint="default"/>
          <w:sz w:val="22"/>
          <w:szCs w:val="22"/>
        </w:rPr>
        <w:t>2,695,218.82</w:t>
      </w:r>
      <w:r>
        <w:rPr>
          <w:rFonts w:ascii="Times New Roman" w:hAnsi="Times New Roman" w:cs="Times New Roman" w:eastAsia="Times New Roman" w:hint="default"/>
          <w:spacing w:val="33"/>
          <w:sz w:val="22"/>
          <w:szCs w:val="22"/>
        </w:rPr>
        <w:t> </w:t>
      </w:r>
      <w:r>
        <w:rPr>
          <w:rFonts w:ascii="宋体" w:hAnsi="宋体" w:cs="宋体" w:eastAsia="宋体" w:hint="default"/>
          <w:sz w:val="22"/>
          <w:szCs w:val="22"/>
        </w:rPr>
        <w:t>元。</w:t>
      </w:r>
    </w:p>
    <w:p>
      <w:pPr>
        <w:spacing w:before="111"/>
        <w:ind w:left="66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39. </w:t>
      </w:r>
      <w:r>
        <w:rPr>
          <w:rFonts w:ascii="Times New Roman" w:hAnsi="Times New Roman" w:cs="Times New Roman" w:eastAsia="Times New Roman" w:hint="default"/>
          <w:b/>
          <w:bCs/>
          <w:spacing w:val="13"/>
          <w:sz w:val="22"/>
          <w:szCs w:val="22"/>
        </w:rPr>
        <w:t> </w:t>
      </w:r>
      <w:r>
        <w:rPr>
          <w:rFonts w:ascii="宋体" w:hAnsi="宋体" w:cs="宋体" w:eastAsia="宋体" w:hint="default"/>
          <w:sz w:val="22"/>
          <w:szCs w:val="22"/>
        </w:rPr>
        <w:t>其他非流动负债</w:t>
      </w:r>
    </w:p>
    <w:p>
      <w:pPr>
        <w:spacing w:line="240" w:lineRule="auto" w:before="8"/>
        <w:rPr>
          <w:rFonts w:ascii="宋体" w:hAnsi="宋体" w:cs="宋体" w:eastAsia="宋体" w:hint="default"/>
          <w:sz w:val="11"/>
          <w:szCs w:val="11"/>
        </w:rPr>
      </w:pPr>
    </w:p>
    <w:tbl>
      <w:tblPr>
        <w:tblW w:w="0" w:type="auto"/>
        <w:jc w:val="left"/>
        <w:tblInd w:w="154" w:type="dxa"/>
        <w:tblLayout w:type="fixed"/>
        <w:tblCellMar>
          <w:top w:w="0" w:type="dxa"/>
          <w:left w:w="0" w:type="dxa"/>
          <w:bottom w:w="0" w:type="dxa"/>
          <w:right w:w="0" w:type="dxa"/>
        </w:tblCellMar>
        <w:tblLook w:val="01E0"/>
      </w:tblPr>
      <w:tblGrid>
        <w:gridCol w:w="3087"/>
        <w:gridCol w:w="3514"/>
        <w:gridCol w:w="2125"/>
      </w:tblGrid>
      <w:tr>
        <w:trPr>
          <w:trHeight w:val="305" w:hRule="exact"/>
        </w:trPr>
        <w:tc>
          <w:tcPr>
            <w:tcW w:w="308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51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90"/>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212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295" w:hRule="exact"/>
        </w:trPr>
        <w:tc>
          <w:tcPr>
            <w:tcW w:w="3087"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金融负债筹资</w:t>
            </w:r>
          </w:p>
        </w:tc>
        <w:tc>
          <w:tcPr>
            <w:tcW w:w="3514"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889"/>
              <w:jc w:val="right"/>
              <w:rPr>
                <w:rFonts w:ascii="Times New Roman" w:hAnsi="Times New Roman" w:cs="Times New Roman" w:eastAsia="Times New Roman" w:hint="default"/>
                <w:sz w:val="18"/>
                <w:szCs w:val="18"/>
              </w:rPr>
            </w:pPr>
            <w:r>
              <w:rPr>
                <w:rFonts w:ascii="Times New Roman"/>
                <w:spacing w:val="-1"/>
                <w:sz w:val="18"/>
              </w:rPr>
              <w:t>0.00</w:t>
            </w:r>
          </w:p>
        </w:tc>
        <w:tc>
          <w:tcPr>
            <w:tcW w:w="212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207,510,517.19</w:t>
            </w:r>
          </w:p>
        </w:tc>
      </w:tr>
      <w:tr>
        <w:trPr>
          <w:trHeight w:val="307" w:hRule="exact"/>
        </w:trPr>
        <w:tc>
          <w:tcPr>
            <w:tcW w:w="3087"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51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889"/>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212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b/>
                <w:spacing w:val="-1"/>
                <w:sz w:val="18"/>
              </w:rPr>
              <w:t>207,510,517.19</w:t>
            </w:r>
            <w:r>
              <w:rPr>
                <w:rFonts w:ascii="Times New Roman"/>
                <w:spacing w:val="-1"/>
                <w:sz w:val="18"/>
              </w:rPr>
            </w:r>
          </w:p>
        </w:tc>
      </w:tr>
    </w:tbl>
    <w:p>
      <w:pPr>
        <w:spacing w:before="81"/>
        <w:ind w:left="66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40.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股本</w:t>
      </w:r>
    </w:p>
    <w:p>
      <w:pPr>
        <w:spacing w:line="240" w:lineRule="auto" w:before="5"/>
        <w:rPr>
          <w:rFonts w:ascii="宋体" w:hAnsi="宋体" w:cs="宋体" w:eastAsia="宋体" w:hint="default"/>
          <w:sz w:val="11"/>
          <w:szCs w:val="11"/>
        </w:rPr>
      </w:pPr>
    </w:p>
    <w:tbl>
      <w:tblPr>
        <w:tblW w:w="0" w:type="auto"/>
        <w:jc w:val="left"/>
        <w:tblInd w:w="154" w:type="dxa"/>
        <w:tblLayout w:type="fixed"/>
        <w:tblCellMar>
          <w:top w:w="0" w:type="dxa"/>
          <w:left w:w="0" w:type="dxa"/>
          <w:bottom w:w="0" w:type="dxa"/>
          <w:right w:w="0" w:type="dxa"/>
        </w:tblCellMar>
        <w:tblLook w:val="01E0"/>
      </w:tblPr>
      <w:tblGrid>
        <w:gridCol w:w="1912"/>
        <w:gridCol w:w="2538"/>
        <w:gridCol w:w="2446"/>
        <w:gridCol w:w="1829"/>
      </w:tblGrid>
      <w:tr>
        <w:trPr>
          <w:trHeight w:val="307" w:hRule="exact"/>
        </w:trPr>
        <w:tc>
          <w:tcPr>
            <w:tcW w:w="191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3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95"/>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c>
          <w:tcPr>
            <w:tcW w:w="244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459"/>
              <w:jc w:val="right"/>
              <w:rPr>
                <w:rFonts w:ascii="宋体" w:hAnsi="宋体" w:cs="宋体" w:eastAsia="宋体" w:hint="default"/>
                <w:sz w:val="18"/>
                <w:szCs w:val="18"/>
              </w:rPr>
            </w:pPr>
            <w:r>
              <w:rPr>
                <w:rFonts w:ascii="宋体" w:hAnsi="宋体" w:cs="宋体" w:eastAsia="宋体" w:hint="default"/>
                <w:b/>
                <w:bCs/>
                <w:w w:val="95"/>
                <w:sz w:val="18"/>
                <w:szCs w:val="18"/>
              </w:rPr>
              <w:t>本年变动增减（</w:t>
            </w:r>
            <w:r>
              <w:rPr>
                <w:rFonts w:ascii="Times New Roman" w:hAnsi="Times New Roman" w:cs="Times New Roman" w:eastAsia="Times New Roman" w:hint="default"/>
                <w:b/>
                <w:bCs/>
                <w:w w:val="95"/>
                <w:sz w:val="18"/>
                <w:szCs w:val="18"/>
              </w:rPr>
              <w:t>+</w:t>
            </w:r>
            <w:r>
              <w:rPr>
                <w:rFonts w:ascii="宋体" w:hAnsi="宋体" w:cs="宋体" w:eastAsia="宋体" w:hint="default"/>
                <w:b/>
                <w:bCs/>
                <w:w w:val="95"/>
                <w:sz w:val="18"/>
                <w:szCs w:val="18"/>
              </w:rPr>
              <w:t>、</w:t>
            </w:r>
            <w:r>
              <w:rPr>
                <w:rFonts w:ascii="Times New Roman" w:hAnsi="Times New Roman" w:cs="Times New Roman" w:eastAsia="Times New Roman" w:hint="default"/>
                <w:b/>
                <w:bCs/>
                <w:w w:val="95"/>
                <w:sz w:val="18"/>
                <w:szCs w:val="18"/>
              </w:rPr>
              <w:t>-</w:t>
            </w:r>
            <w:r>
              <w:rPr>
                <w:rFonts w:ascii="宋体" w:hAnsi="宋体" w:cs="宋体" w:eastAsia="宋体" w:hint="default"/>
                <w:b/>
                <w:bCs/>
                <w:w w:val="95"/>
                <w:sz w:val="18"/>
                <w:szCs w:val="18"/>
              </w:rPr>
              <w:t>）</w:t>
            </w:r>
            <w:r>
              <w:rPr>
                <w:rFonts w:ascii="宋体" w:hAnsi="宋体" w:cs="宋体" w:eastAsia="宋体" w:hint="default"/>
                <w:sz w:val="18"/>
                <w:szCs w:val="18"/>
              </w:rPr>
            </w:r>
          </w:p>
        </w:tc>
        <w:tc>
          <w:tcPr>
            <w:tcW w:w="182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r>
      <w:tr>
        <w:trPr>
          <w:trHeight w:val="305" w:hRule="exact"/>
        </w:trPr>
        <w:tc>
          <w:tcPr>
            <w:tcW w:w="1912"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b/>
                <w:bCs/>
                <w:sz w:val="18"/>
                <w:szCs w:val="18"/>
              </w:rPr>
              <w:t>股份总额</w:t>
            </w:r>
            <w:r>
              <w:rPr>
                <w:rFonts w:ascii="宋体" w:hAnsi="宋体" w:cs="宋体" w:eastAsia="宋体" w:hint="default"/>
                <w:sz w:val="18"/>
                <w:szCs w:val="18"/>
              </w:rPr>
            </w:r>
          </w:p>
        </w:tc>
        <w:tc>
          <w:tcPr>
            <w:tcW w:w="2538"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95"/>
              <w:jc w:val="right"/>
              <w:rPr>
                <w:rFonts w:ascii="Times New Roman" w:hAnsi="Times New Roman" w:cs="Times New Roman" w:eastAsia="Times New Roman" w:hint="default"/>
                <w:sz w:val="18"/>
                <w:szCs w:val="18"/>
              </w:rPr>
            </w:pPr>
            <w:r>
              <w:rPr>
                <w:rFonts w:ascii="Times New Roman"/>
                <w:b/>
                <w:spacing w:val="-1"/>
                <w:sz w:val="18"/>
              </w:rPr>
              <w:t>2,197,882,238.00</w:t>
            </w:r>
            <w:r>
              <w:rPr>
                <w:rFonts w:ascii="Times New Roman"/>
                <w:spacing w:val="-1"/>
                <w:sz w:val="18"/>
              </w:rPr>
            </w:r>
          </w:p>
        </w:tc>
        <w:tc>
          <w:tcPr>
            <w:tcW w:w="2446"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459"/>
              <w:jc w:val="right"/>
              <w:rPr>
                <w:rFonts w:ascii="Times New Roman" w:hAnsi="Times New Roman" w:cs="Times New Roman" w:eastAsia="Times New Roman" w:hint="default"/>
                <w:sz w:val="18"/>
                <w:szCs w:val="18"/>
              </w:rPr>
            </w:pPr>
            <w:r>
              <w:rPr>
                <w:rFonts w:ascii="Times New Roman"/>
                <w:b/>
                <w:spacing w:val="-1"/>
                <w:sz w:val="18"/>
              </w:rPr>
              <w:t>766,016,713.00</w:t>
            </w:r>
            <w:r>
              <w:rPr>
                <w:rFonts w:ascii="Times New Roman"/>
                <w:spacing w:val="-1"/>
                <w:sz w:val="18"/>
              </w:rPr>
            </w:r>
          </w:p>
        </w:tc>
        <w:tc>
          <w:tcPr>
            <w:tcW w:w="1829"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b/>
                <w:spacing w:val="-1"/>
                <w:sz w:val="18"/>
              </w:rPr>
              <w:t>2,963,898,951.00</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645" w:footer="816" w:top="1080" w:bottom="1020" w:left="1440" w:right="1440"/>
        </w:sectPr>
      </w:pPr>
    </w:p>
    <w:p>
      <w:pPr>
        <w:spacing w:line="240" w:lineRule="auto" w:before="1"/>
        <w:rPr>
          <w:rFonts w:ascii="宋体" w:hAnsi="宋体" w:cs="宋体" w:eastAsia="宋体" w:hint="default"/>
          <w:sz w:val="22"/>
          <w:szCs w:val="22"/>
        </w:rPr>
      </w:pPr>
    </w:p>
    <w:p>
      <w:pPr>
        <w:spacing w:line="280" w:lineRule="auto" w:before="32"/>
        <w:ind w:left="302" w:right="332" w:firstLine="499"/>
        <w:jc w:val="both"/>
        <w:rPr>
          <w:rFonts w:ascii="宋体" w:hAnsi="宋体" w:cs="宋体" w:eastAsia="宋体" w:hint="default"/>
          <w:sz w:val="22"/>
          <w:szCs w:val="22"/>
        </w:rPr>
      </w:pP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48"/>
          <w:sz w:val="22"/>
          <w:szCs w:val="22"/>
        </w:rPr>
        <w:t> </w:t>
      </w:r>
      <w:r>
        <w:rPr>
          <w:rFonts w:ascii="Times New Roman" w:hAnsi="Times New Roman" w:cs="Times New Roman" w:eastAsia="Times New Roman" w:hint="default"/>
          <w:sz w:val="22"/>
          <w:szCs w:val="22"/>
        </w:rPr>
        <w:t>1</w:t>
      </w:r>
      <w:r>
        <w:rPr>
          <w:rFonts w:ascii="Times New Roman" w:hAnsi="Times New Roman" w:cs="Times New Roman" w:eastAsia="Times New Roman" w:hint="default"/>
          <w:spacing w:val="4"/>
          <w:sz w:val="22"/>
          <w:szCs w:val="22"/>
        </w:rPr>
        <w:t> </w:t>
      </w:r>
      <w:r>
        <w:rPr>
          <w:rFonts w:ascii="宋体" w:hAnsi="宋体" w:cs="宋体" w:eastAsia="宋体" w:hint="default"/>
          <w:sz w:val="22"/>
          <w:szCs w:val="22"/>
        </w:rPr>
        <w:t>月</w:t>
      </w:r>
      <w:r>
        <w:rPr>
          <w:rFonts w:ascii="宋体" w:hAnsi="宋体" w:cs="宋体" w:eastAsia="宋体" w:hint="default"/>
          <w:spacing w:val="-48"/>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5"/>
          <w:sz w:val="22"/>
          <w:szCs w:val="22"/>
        </w:rPr>
        <w:t> </w:t>
      </w:r>
      <w:r>
        <w:rPr>
          <w:rFonts w:ascii="宋体" w:hAnsi="宋体" w:cs="宋体" w:eastAsia="宋体" w:hint="default"/>
          <w:spacing w:val="-4"/>
          <w:sz w:val="22"/>
          <w:szCs w:val="22"/>
        </w:rPr>
        <w:t>日，中国证监会印发《关于核准同方股份有限公司非公开发行股票的</w:t>
      </w:r>
      <w:r>
        <w:rPr>
          <w:rFonts w:ascii="宋体" w:hAnsi="宋体" w:cs="宋体" w:eastAsia="宋体" w:hint="default"/>
          <w:w w:val="100"/>
          <w:sz w:val="22"/>
          <w:szCs w:val="22"/>
        </w:rPr>
        <w:t> </w:t>
      </w:r>
      <w:r>
        <w:rPr>
          <w:rFonts w:ascii="宋体" w:hAnsi="宋体" w:cs="宋体" w:eastAsia="宋体" w:hint="default"/>
          <w:sz w:val="22"/>
          <w:szCs w:val="22"/>
        </w:rPr>
        <w:t>批复》（证监许可</w:t>
      </w:r>
      <w:r>
        <w:rPr>
          <w:rFonts w:ascii="Times New Roman" w:hAnsi="Times New Roman" w:cs="Times New Roman" w:eastAsia="Times New Roman" w:hint="default"/>
          <w:sz w:val="22"/>
          <w:szCs w:val="22"/>
        </w:rPr>
        <w:t>[2015]73 </w:t>
      </w:r>
      <w:r>
        <w:rPr>
          <w:rFonts w:ascii="宋体" w:hAnsi="宋体" w:cs="宋体" w:eastAsia="宋体" w:hint="default"/>
          <w:sz w:val="22"/>
          <w:szCs w:val="22"/>
        </w:rPr>
        <w:t>号），核准本公司非公开发行人民币普通股 </w:t>
      </w:r>
      <w:r>
        <w:rPr>
          <w:rFonts w:ascii="Times New Roman" w:hAnsi="Times New Roman" w:cs="Times New Roman" w:eastAsia="Times New Roman" w:hint="default"/>
          <w:sz w:val="22"/>
          <w:szCs w:val="22"/>
        </w:rPr>
        <w:t>766,016,713</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股。</w:t>
      </w:r>
      <w:r>
        <w:rPr>
          <w:rFonts w:ascii="宋体" w:hAnsi="宋体" w:cs="宋体" w:eastAsia="宋体" w:hint="default"/>
          <w:w w:val="100"/>
          <w:sz w:val="22"/>
          <w:szCs w:val="22"/>
        </w:rPr>
        <w:t> 截至</w:t>
      </w:r>
      <w:r>
        <w:rPr>
          <w:rFonts w:ascii="宋体" w:hAnsi="宋体" w:cs="宋体" w:eastAsia="宋体" w:hint="default"/>
          <w:spacing w:val="-68"/>
          <w:w w:val="100"/>
          <w:sz w:val="22"/>
          <w:szCs w:val="22"/>
        </w:rPr>
        <w:t> </w:t>
      </w:r>
      <w:r>
        <w:rPr>
          <w:rFonts w:ascii="Times New Roman" w:hAnsi="Times New Roman" w:cs="Times New Roman" w:eastAsia="Times New Roman" w:hint="default"/>
          <w:spacing w:val="-1"/>
          <w:w w:val="100"/>
          <w:sz w:val="22"/>
          <w:szCs w:val="22"/>
        </w:rPr>
        <w:t>2015</w:t>
      </w:r>
      <w:r>
        <w:rPr>
          <w:rFonts w:ascii="Times New Roman" w:hAnsi="Times New Roman" w:cs="Times New Roman" w:eastAsia="Times New Roman" w:hint="default"/>
          <w:spacing w:val="-12"/>
          <w:w w:val="100"/>
          <w:sz w:val="22"/>
          <w:szCs w:val="22"/>
        </w:rPr>
        <w:t> </w:t>
      </w:r>
      <w:r>
        <w:rPr>
          <w:rFonts w:ascii="宋体" w:hAnsi="宋体" w:cs="宋体" w:eastAsia="宋体" w:hint="default"/>
          <w:w w:val="100"/>
          <w:sz w:val="22"/>
          <w:szCs w:val="22"/>
        </w:rPr>
        <w:t>年</w:t>
      </w:r>
      <w:r>
        <w:rPr>
          <w:rFonts w:ascii="宋体" w:hAnsi="宋体" w:cs="宋体" w:eastAsia="宋体" w:hint="default"/>
          <w:spacing w:val="-68"/>
          <w:w w:val="100"/>
          <w:sz w:val="22"/>
          <w:szCs w:val="22"/>
        </w:rPr>
        <w:t> </w:t>
      </w:r>
      <w:r>
        <w:rPr>
          <w:rFonts w:ascii="Times New Roman" w:hAnsi="Times New Roman" w:cs="Times New Roman" w:eastAsia="Times New Roman" w:hint="default"/>
          <w:w w:val="100"/>
          <w:sz w:val="22"/>
          <w:szCs w:val="22"/>
        </w:rPr>
        <w:t>2</w:t>
      </w:r>
      <w:r>
        <w:rPr>
          <w:rFonts w:ascii="Times New Roman" w:hAnsi="Times New Roman" w:cs="Times New Roman" w:eastAsia="Times New Roman" w:hint="default"/>
          <w:spacing w:val="-16"/>
          <w:w w:val="100"/>
          <w:sz w:val="22"/>
          <w:szCs w:val="22"/>
        </w:rPr>
        <w:t> </w:t>
      </w:r>
      <w:r>
        <w:rPr>
          <w:rFonts w:ascii="宋体" w:hAnsi="宋体" w:cs="宋体" w:eastAsia="宋体" w:hint="default"/>
          <w:w w:val="100"/>
          <w:sz w:val="22"/>
          <w:szCs w:val="22"/>
        </w:rPr>
        <w:t>月</w:t>
      </w:r>
      <w:r>
        <w:rPr>
          <w:rFonts w:ascii="宋体" w:hAnsi="宋体" w:cs="宋体" w:eastAsia="宋体" w:hint="default"/>
          <w:spacing w:val="-68"/>
          <w:w w:val="100"/>
          <w:sz w:val="22"/>
          <w:szCs w:val="22"/>
        </w:rPr>
        <w:t> </w:t>
      </w:r>
      <w:r>
        <w:rPr>
          <w:rFonts w:ascii="Times New Roman" w:hAnsi="Times New Roman" w:cs="Times New Roman" w:eastAsia="Times New Roman" w:hint="default"/>
          <w:w w:val="100"/>
          <w:sz w:val="22"/>
          <w:szCs w:val="22"/>
        </w:rPr>
        <w:t>13</w:t>
      </w:r>
      <w:r>
        <w:rPr>
          <w:rFonts w:ascii="Times New Roman" w:hAnsi="Times New Roman" w:cs="Times New Roman" w:eastAsia="Times New Roman" w:hint="default"/>
          <w:spacing w:val="-14"/>
          <w:w w:val="100"/>
          <w:sz w:val="22"/>
          <w:szCs w:val="22"/>
        </w:rPr>
        <w:t> </w:t>
      </w:r>
      <w:r>
        <w:rPr>
          <w:rFonts w:ascii="宋体" w:hAnsi="宋体" w:cs="宋体" w:eastAsia="宋体" w:hint="default"/>
          <w:spacing w:val="-8"/>
          <w:w w:val="100"/>
          <w:sz w:val="22"/>
          <w:szCs w:val="22"/>
        </w:rPr>
        <w:t>日，本公司收到四名发行对象清华控股有限公司、紫光集团有限公司、</w:t>
      </w:r>
    </w:p>
    <w:p>
      <w:pPr>
        <w:spacing w:before="9"/>
        <w:ind w:left="302" w:right="110" w:firstLine="0"/>
        <w:jc w:val="left"/>
        <w:rPr>
          <w:rFonts w:ascii="宋体" w:hAnsi="宋体" w:cs="宋体" w:eastAsia="宋体" w:hint="default"/>
          <w:sz w:val="22"/>
          <w:szCs w:val="22"/>
        </w:rPr>
      </w:pPr>
      <w:r>
        <w:rPr>
          <w:rFonts w:ascii="宋体" w:hAnsi="宋体" w:cs="宋体" w:eastAsia="宋体" w:hint="default"/>
          <w:sz w:val="22"/>
          <w:szCs w:val="22"/>
        </w:rPr>
        <w:t>工银瑞信基金管理有限公司和博时基金管理有限公司全部认购资金合计 </w:t>
      </w:r>
      <w:r>
        <w:rPr>
          <w:rFonts w:ascii="Times New Roman" w:hAnsi="Times New Roman" w:cs="Times New Roman" w:eastAsia="Times New Roman" w:hint="default"/>
          <w:sz w:val="22"/>
          <w:szCs w:val="22"/>
        </w:rPr>
        <w:t>55</w:t>
      </w:r>
      <w:r>
        <w:rPr>
          <w:rFonts w:ascii="Times New Roman" w:hAnsi="Times New Roman" w:cs="Times New Roman" w:eastAsia="Times New Roman" w:hint="default"/>
          <w:spacing w:val="-23"/>
          <w:sz w:val="22"/>
          <w:szCs w:val="22"/>
        </w:rPr>
        <w:t> </w:t>
      </w:r>
      <w:r>
        <w:rPr>
          <w:rFonts w:ascii="宋体" w:hAnsi="宋体" w:cs="宋体" w:eastAsia="宋体" w:hint="default"/>
          <w:sz w:val="22"/>
          <w:szCs w:val="22"/>
        </w:rPr>
        <w:t>亿元。本公司</w:t>
      </w:r>
    </w:p>
    <w:p>
      <w:pPr>
        <w:spacing w:line="280" w:lineRule="auto" w:before="53"/>
        <w:ind w:left="302" w:right="110" w:firstLine="0"/>
        <w:jc w:val="left"/>
        <w:rPr>
          <w:rFonts w:ascii="宋体" w:hAnsi="宋体" w:cs="宋体" w:eastAsia="宋体" w:hint="default"/>
          <w:sz w:val="22"/>
          <w:szCs w:val="22"/>
        </w:rPr>
      </w:pPr>
      <w:r>
        <w:rPr>
          <w:rFonts w:ascii="宋体" w:hAnsi="宋体" w:cs="宋体" w:eastAsia="宋体" w:hint="default"/>
          <w:sz w:val="22"/>
          <w:szCs w:val="22"/>
        </w:rPr>
        <w:t>于</w:t>
      </w:r>
      <w:r>
        <w:rPr>
          <w:rFonts w:ascii="宋体" w:hAnsi="宋体" w:cs="宋体" w:eastAsia="宋体" w:hint="default"/>
          <w:spacing w:val="-68"/>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16"/>
          <w:sz w:val="22"/>
          <w:szCs w:val="22"/>
        </w:rPr>
        <w:t> </w:t>
      </w:r>
      <w:r>
        <w:rPr>
          <w:rFonts w:ascii="宋体" w:hAnsi="宋体" w:cs="宋体" w:eastAsia="宋体" w:hint="default"/>
          <w:sz w:val="22"/>
          <w:szCs w:val="22"/>
        </w:rPr>
        <w:t>年</w:t>
      </w:r>
      <w:r>
        <w:rPr>
          <w:rFonts w:ascii="宋体" w:hAnsi="宋体" w:cs="宋体" w:eastAsia="宋体" w:hint="default"/>
          <w:spacing w:val="-68"/>
          <w:sz w:val="22"/>
          <w:szCs w:val="22"/>
        </w:rPr>
        <w:t> </w:t>
      </w:r>
      <w:r>
        <w:rPr>
          <w:rFonts w:ascii="Times New Roman" w:hAnsi="Times New Roman" w:cs="Times New Roman" w:eastAsia="Times New Roman" w:hint="default"/>
          <w:sz w:val="22"/>
          <w:szCs w:val="22"/>
        </w:rPr>
        <w:t>2</w:t>
      </w:r>
      <w:r>
        <w:rPr>
          <w:rFonts w:ascii="Times New Roman" w:hAnsi="Times New Roman" w:cs="Times New Roman" w:eastAsia="Times New Roman" w:hint="default"/>
          <w:spacing w:val="-16"/>
          <w:sz w:val="22"/>
          <w:szCs w:val="22"/>
        </w:rPr>
        <w:t> </w:t>
      </w:r>
      <w:r>
        <w:rPr>
          <w:rFonts w:ascii="宋体" w:hAnsi="宋体" w:cs="宋体" w:eastAsia="宋体" w:hint="default"/>
          <w:sz w:val="22"/>
          <w:szCs w:val="22"/>
        </w:rPr>
        <w:t>月</w:t>
      </w:r>
      <w:r>
        <w:rPr>
          <w:rFonts w:ascii="宋体" w:hAnsi="宋体" w:cs="宋体" w:eastAsia="宋体" w:hint="default"/>
          <w:spacing w:val="-68"/>
          <w:sz w:val="22"/>
          <w:szCs w:val="22"/>
        </w:rPr>
        <w:t> </w:t>
      </w:r>
      <w:r>
        <w:rPr>
          <w:rFonts w:ascii="Times New Roman" w:hAnsi="Times New Roman" w:cs="Times New Roman" w:eastAsia="Times New Roman" w:hint="default"/>
          <w:sz w:val="22"/>
          <w:szCs w:val="22"/>
        </w:rPr>
        <w:t>26</w:t>
      </w:r>
      <w:r>
        <w:rPr>
          <w:rFonts w:ascii="Times New Roman" w:hAnsi="Times New Roman" w:cs="Times New Roman" w:eastAsia="Times New Roman" w:hint="default"/>
          <w:spacing w:val="-13"/>
          <w:sz w:val="22"/>
          <w:szCs w:val="22"/>
        </w:rPr>
        <w:t> </w:t>
      </w:r>
      <w:r>
        <w:rPr>
          <w:rFonts w:ascii="宋体" w:hAnsi="宋体" w:cs="宋体" w:eastAsia="宋体" w:hint="default"/>
          <w:sz w:val="22"/>
          <w:szCs w:val="22"/>
        </w:rPr>
        <w:t>日向中国证券登记结算有限责任公司上海分公司办理完成证券登记手续，</w:t>
      </w:r>
      <w:r>
        <w:rPr>
          <w:rFonts w:ascii="宋体" w:hAnsi="宋体" w:cs="宋体" w:eastAsia="宋体" w:hint="default"/>
          <w:w w:val="100"/>
          <w:sz w:val="22"/>
          <w:szCs w:val="22"/>
        </w:rPr>
        <w:t> </w:t>
      </w:r>
      <w:r>
        <w:rPr>
          <w:rFonts w:ascii="宋体" w:hAnsi="宋体" w:cs="宋体" w:eastAsia="宋体" w:hint="default"/>
          <w:sz w:val="22"/>
          <w:szCs w:val="22"/>
        </w:rPr>
        <w:t>本公司非公开发行股票事项已经完成。</w:t>
      </w:r>
    </w:p>
    <w:p>
      <w:pPr>
        <w:spacing w:before="152"/>
        <w:ind w:left="705" w:right="11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41.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资本公积</w:t>
      </w:r>
    </w:p>
    <w:p>
      <w:pPr>
        <w:spacing w:line="240" w:lineRule="auto" w:before="8"/>
        <w:rPr>
          <w:rFonts w:ascii="宋体" w:hAnsi="宋体" w:cs="宋体" w:eastAsia="宋体" w:hint="default"/>
          <w:sz w:val="11"/>
          <w:szCs w:val="11"/>
        </w:rPr>
      </w:pPr>
    </w:p>
    <w:tbl>
      <w:tblPr>
        <w:tblW w:w="0" w:type="auto"/>
        <w:jc w:val="left"/>
        <w:tblInd w:w="194" w:type="dxa"/>
        <w:tblLayout w:type="fixed"/>
        <w:tblCellMar>
          <w:top w:w="0" w:type="dxa"/>
          <w:left w:w="0" w:type="dxa"/>
          <w:bottom w:w="0" w:type="dxa"/>
          <w:right w:w="0" w:type="dxa"/>
        </w:tblCellMar>
        <w:tblLook w:val="01E0"/>
      </w:tblPr>
      <w:tblGrid>
        <w:gridCol w:w="1654"/>
        <w:gridCol w:w="1968"/>
        <w:gridCol w:w="1812"/>
        <w:gridCol w:w="1678"/>
        <w:gridCol w:w="1613"/>
      </w:tblGrid>
      <w:tr>
        <w:trPr>
          <w:trHeight w:val="305" w:hRule="exact"/>
        </w:trPr>
        <w:tc>
          <w:tcPr>
            <w:tcW w:w="165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6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40"/>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c>
          <w:tcPr>
            <w:tcW w:w="181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307"/>
              <w:jc w:val="right"/>
              <w:rPr>
                <w:rFonts w:ascii="宋体" w:hAnsi="宋体" w:cs="宋体" w:eastAsia="宋体" w:hint="default"/>
                <w:sz w:val="18"/>
                <w:szCs w:val="18"/>
              </w:rPr>
            </w:pPr>
            <w:r>
              <w:rPr>
                <w:rFonts w:ascii="宋体" w:hAnsi="宋体" w:cs="宋体" w:eastAsia="宋体" w:hint="default"/>
                <w:b/>
                <w:bCs/>
                <w:w w:val="95"/>
                <w:sz w:val="18"/>
                <w:szCs w:val="18"/>
              </w:rPr>
              <w:t>本年增加</w:t>
            </w:r>
            <w:r>
              <w:rPr>
                <w:rFonts w:ascii="宋体" w:hAnsi="宋体" w:cs="宋体" w:eastAsia="宋体" w:hint="default"/>
                <w:sz w:val="18"/>
                <w:szCs w:val="18"/>
              </w:rPr>
            </w:r>
          </w:p>
        </w:tc>
        <w:tc>
          <w:tcPr>
            <w:tcW w:w="167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40"/>
              <w:jc w:val="right"/>
              <w:rPr>
                <w:rFonts w:ascii="宋体" w:hAnsi="宋体" w:cs="宋体" w:eastAsia="宋体" w:hint="default"/>
                <w:sz w:val="18"/>
                <w:szCs w:val="18"/>
              </w:rPr>
            </w:pPr>
            <w:r>
              <w:rPr>
                <w:rFonts w:ascii="宋体" w:hAnsi="宋体" w:cs="宋体" w:eastAsia="宋体" w:hint="default"/>
                <w:b/>
                <w:bCs/>
                <w:w w:val="95"/>
                <w:sz w:val="18"/>
                <w:szCs w:val="18"/>
              </w:rPr>
              <w:t>本年减少</w:t>
            </w:r>
            <w:r>
              <w:rPr>
                <w:rFonts w:ascii="宋体" w:hAnsi="宋体" w:cs="宋体" w:eastAsia="宋体" w:hint="default"/>
                <w:sz w:val="18"/>
                <w:szCs w:val="18"/>
              </w:rPr>
            </w:r>
          </w:p>
        </w:tc>
        <w:tc>
          <w:tcPr>
            <w:tcW w:w="161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r>
      <w:tr>
        <w:trPr>
          <w:trHeight w:val="324" w:hRule="exact"/>
        </w:trPr>
        <w:tc>
          <w:tcPr>
            <w:tcW w:w="1654"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股本溢价</w:t>
            </w:r>
          </w:p>
        </w:tc>
        <w:tc>
          <w:tcPr>
            <w:tcW w:w="196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240"/>
              <w:jc w:val="right"/>
              <w:rPr>
                <w:rFonts w:ascii="Times New Roman" w:hAnsi="Times New Roman" w:cs="Times New Roman" w:eastAsia="Times New Roman" w:hint="default"/>
                <w:sz w:val="18"/>
                <w:szCs w:val="18"/>
              </w:rPr>
            </w:pPr>
            <w:r>
              <w:rPr>
                <w:rFonts w:ascii="Times New Roman"/>
                <w:spacing w:val="-1"/>
                <w:sz w:val="18"/>
              </w:rPr>
              <w:t>4,419,048,881.20</w:t>
            </w:r>
          </w:p>
        </w:tc>
        <w:tc>
          <w:tcPr>
            <w:tcW w:w="1812"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308"/>
              <w:jc w:val="right"/>
              <w:rPr>
                <w:rFonts w:ascii="Times New Roman" w:hAnsi="Times New Roman" w:cs="Times New Roman" w:eastAsia="Times New Roman" w:hint="default"/>
                <w:sz w:val="18"/>
                <w:szCs w:val="18"/>
              </w:rPr>
            </w:pPr>
            <w:r>
              <w:rPr>
                <w:rFonts w:ascii="Times New Roman"/>
                <w:spacing w:val="-1"/>
                <w:sz w:val="18"/>
              </w:rPr>
              <w:t>4,952,430,907.11</w:t>
            </w:r>
          </w:p>
        </w:tc>
        <w:tc>
          <w:tcPr>
            <w:tcW w:w="167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240"/>
              <w:jc w:val="right"/>
              <w:rPr>
                <w:rFonts w:ascii="Times New Roman" w:hAnsi="Times New Roman" w:cs="Times New Roman" w:eastAsia="Times New Roman" w:hint="default"/>
                <w:sz w:val="18"/>
                <w:szCs w:val="18"/>
              </w:rPr>
            </w:pPr>
            <w:r>
              <w:rPr>
                <w:rFonts w:ascii="Times New Roman"/>
                <w:spacing w:val="-1"/>
                <w:sz w:val="18"/>
              </w:rPr>
              <w:t>57,023,699.68</w:t>
            </w:r>
          </w:p>
        </w:tc>
        <w:tc>
          <w:tcPr>
            <w:tcW w:w="1613"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9,314,456,088.63</w:t>
            </w:r>
          </w:p>
        </w:tc>
      </w:tr>
      <w:tr>
        <w:trPr>
          <w:trHeight w:val="257" w:hRule="exact"/>
        </w:trPr>
        <w:tc>
          <w:tcPr>
            <w:tcW w:w="1654" w:type="dxa"/>
            <w:tcBorders>
              <w:top w:val="nil" w:sz="6" w:space="0" w:color="auto"/>
              <w:left w:val="nil" w:sz="6" w:space="0" w:color="auto"/>
              <w:bottom w:val="single" w:sz="4" w:space="0" w:color="000000"/>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68"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40"/>
              <w:jc w:val="right"/>
              <w:rPr>
                <w:rFonts w:ascii="Times New Roman" w:hAnsi="Times New Roman" w:cs="Times New Roman" w:eastAsia="Times New Roman" w:hint="default"/>
                <w:sz w:val="18"/>
                <w:szCs w:val="18"/>
              </w:rPr>
            </w:pPr>
            <w:r>
              <w:rPr>
                <w:rFonts w:ascii="Times New Roman"/>
                <w:spacing w:val="-1"/>
                <w:sz w:val="18"/>
              </w:rPr>
              <w:t>396,415,495.15</w:t>
            </w:r>
          </w:p>
        </w:tc>
        <w:tc>
          <w:tcPr>
            <w:tcW w:w="1812"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309"/>
              <w:jc w:val="right"/>
              <w:rPr>
                <w:rFonts w:ascii="Times New Roman" w:hAnsi="Times New Roman" w:cs="Times New Roman" w:eastAsia="Times New Roman" w:hint="default"/>
                <w:sz w:val="18"/>
                <w:szCs w:val="18"/>
              </w:rPr>
            </w:pPr>
            <w:r>
              <w:rPr>
                <w:rFonts w:ascii="Times New Roman"/>
                <w:spacing w:val="-1"/>
                <w:sz w:val="18"/>
              </w:rPr>
              <w:t>65,746,654.30</w:t>
            </w:r>
          </w:p>
        </w:tc>
        <w:tc>
          <w:tcPr>
            <w:tcW w:w="1678"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40"/>
              <w:jc w:val="right"/>
              <w:rPr>
                <w:rFonts w:ascii="Times New Roman" w:hAnsi="Times New Roman" w:cs="Times New Roman" w:eastAsia="Times New Roman" w:hint="default"/>
                <w:sz w:val="18"/>
                <w:szCs w:val="18"/>
              </w:rPr>
            </w:pPr>
            <w:r>
              <w:rPr>
                <w:rFonts w:ascii="Times New Roman"/>
                <w:spacing w:val="-1"/>
                <w:sz w:val="18"/>
              </w:rPr>
              <w:t>321,978,923.17</w:t>
            </w:r>
          </w:p>
        </w:tc>
        <w:tc>
          <w:tcPr>
            <w:tcW w:w="1613"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140,183,226.28</w:t>
            </w:r>
          </w:p>
        </w:tc>
      </w:tr>
      <w:tr>
        <w:trPr>
          <w:trHeight w:val="305" w:hRule="exact"/>
        </w:trPr>
        <w:tc>
          <w:tcPr>
            <w:tcW w:w="1654"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68"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240"/>
              <w:jc w:val="right"/>
              <w:rPr>
                <w:rFonts w:ascii="Times New Roman" w:hAnsi="Times New Roman" w:cs="Times New Roman" w:eastAsia="Times New Roman" w:hint="default"/>
                <w:sz w:val="18"/>
                <w:szCs w:val="18"/>
              </w:rPr>
            </w:pPr>
            <w:r>
              <w:rPr>
                <w:rFonts w:ascii="Times New Roman"/>
                <w:b/>
                <w:spacing w:val="-1"/>
                <w:sz w:val="18"/>
              </w:rPr>
              <w:t>4,815,464,376.35</w:t>
            </w:r>
            <w:r>
              <w:rPr>
                <w:rFonts w:ascii="Times New Roman"/>
                <w:spacing w:val="-1"/>
                <w:sz w:val="18"/>
              </w:rPr>
            </w:r>
          </w:p>
        </w:tc>
        <w:tc>
          <w:tcPr>
            <w:tcW w:w="1812"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308"/>
              <w:jc w:val="right"/>
              <w:rPr>
                <w:rFonts w:ascii="Times New Roman" w:hAnsi="Times New Roman" w:cs="Times New Roman" w:eastAsia="Times New Roman" w:hint="default"/>
                <w:sz w:val="18"/>
                <w:szCs w:val="18"/>
              </w:rPr>
            </w:pPr>
            <w:r>
              <w:rPr>
                <w:rFonts w:ascii="Times New Roman"/>
                <w:b/>
                <w:spacing w:val="-1"/>
                <w:sz w:val="18"/>
              </w:rPr>
              <w:t>5,018,177,561.41</w:t>
            </w:r>
            <w:r>
              <w:rPr>
                <w:rFonts w:ascii="Times New Roman"/>
                <w:spacing w:val="-1"/>
                <w:sz w:val="18"/>
              </w:rPr>
            </w:r>
          </w:p>
        </w:tc>
        <w:tc>
          <w:tcPr>
            <w:tcW w:w="1678"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240"/>
              <w:jc w:val="right"/>
              <w:rPr>
                <w:rFonts w:ascii="Times New Roman" w:hAnsi="Times New Roman" w:cs="Times New Roman" w:eastAsia="Times New Roman" w:hint="default"/>
                <w:sz w:val="18"/>
                <w:szCs w:val="18"/>
              </w:rPr>
            </w:pPr>
            <w:r>
              <w:rPr>
                <w:rFonts w:ascii="Times New Roman"/>
                <w:b/>
                <w:spacing w:val="-1"/>
                <w:sz w:val="18"/>
              </w:rPr>
              <w:t>379,002,622.85</w:t>
            </w:r>
            <w:r>
              <w:rPr>
                <w:rFonts w:ascii="Times New Roman"/>
                <w:spacing w:val="-1"/>
                <w:sz w:val="18"/>
              </w:rPr>
            </w:r>
          </w:p>
        </w:tc>
        <w:tc>
          <w:tcPr>
            <w:tcW w:w="1613"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8"/>
              <w:jc w:val="right"/>
              <w:rPr>
                <w:rFonts w:ascii="Times New Roman" w:hAnsi="Times New Roman" w:cs="Times New Roman" w:eastAsia="Times New Roman" w:hint="default"/>
                <w:sz w:val="18"/>
                <w:szCs w:val="18"/>
              </w:rPr>
            </w:pPr>
            <w:r>
              <w:rPr>
                <w:rFonts w:ascii="Times New Roman"/>
                <w:b/>
                <w:spacing w:val="-1"/>
                <w:sz w:val="18"/>
              </w:rPr>
              <w:t>9,454,639,314.91</w:t>
            </w:r>
            <w:r>
              <w:rPr>
                <w:rFonts w:ascii="Times New Roman"/>
                <w:spacing w:val="-1"/>
                <w:sz w:val="18"/>
              </w:rPr>
            </w:r>
          </w:p>
        </w:tc>
      </w:tr>
    </w:tbl>
    <w:p>
      <w:pPr>
        <w:spacing w:before="22"/>
        <w:ind w:left="1662" w:right="11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20"/>
          <w:sz w:val="22"/>
          <w:szCs w:val="22"/>
        </w:rPr>
        <w:t> </w:t>
      </w:r>
      <w:r>
        <w:rPr>
          <w:rFonts w:ascii="宋体" w:hAnsi="宋体" w:cs="宋体" w:eastAsia="宋体" w:hint="default"/>
          <w:sz w:val="22"/>
          <w:szCs w:val="22"/>
        </w:rPr>
        <w:t>股本溢价变动原因：本公司本期完成非公开发行股票事项，导致股本溢</w:t>
      </w:r>
    </w:p>
    <w:p>
      <w:pPr>
        <w:spacing w:before="53"/>
        <w:ind w:left="1209" w:right="110" w:firstLine="0"/>
        <w:jc w:val="left"/>
        <w:rPr>
          <w:rFonts w:ascii="宋体" w:hAnsi="宋体" w:cs="宋体" w:eastAsia="宋体" w:hint="default"/>
          <w:sz w:val="22"/>
          <w:szCs w:val="22"/>
        </w:rPr>
      </w:pPr>
      <w:r>
        <w:rPr>
          <w:rFonts w:ascii="宋体" w:hAnsi="宋体" w:cs="宋体" w:eastAsia="宋体" w:hint="default"/>
          <w:sz w:val="22"/>
          <w:szCs w:val="22"/>
        </w:rPr>
        <w:t>价增加</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4,691,656,684.67</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元。</w:t>
      </w:r>
    </w:p>
    <w:p>
      <w:pPr>
        <w:spacing w:line="297" w:lineRule="auto" w:before="110"/>
        <w:ind w:left="302" w:right="337" w:firstLine="439"/>
        <w:jc w:val="both"/>
        <w:rPr>
          <w:rFonts w:ascii="宋体" w:hAnsi="宋体" w:cs="宋体" w:eastAsia="宋体" w:hint="default"/>
          <w:sz w:val="22"/>
          <w:szCs w:val="22"/>
        </w:rPr>
      </w:pPr>
      <w:r>
        <w:rPr>
          <w:rFonts w:ascii="宋体" w:hAnsi="宋体" w:cs="宋体" w:eastAsia="宋体" w:hint="default"/>
          <w:spacing w:val="-3"/>
          <w:sz w:val="22"/>
          <w:szCs w:val="22"/>
        </w:rPr>
        <w:t>在未丧失对合并报表范围内子公司实际控制权的前提下，本公司因对子公司持股比例</w:t>
      </w:r>
      <w:r>
        <w:rPr>
          <w:rFonts w:ascii="宋体" w:hAnsi="宋体" w:cs="宋体" w:eastAsia="宋体" w:hint="default"/>
          <w:w w:val="100"/>
          <w:sz w:val="22"/>
          <w:szCs w:val="22"/>
        </w:rPr>
        <w:t> </w:t>
      </w:r>
      <w:r>
        <w:rPr>
          <w:rFonts w:ascii="宋体" w:hAnsi="宋体" w:cs="宋体" w:eastAsia="宋体" w:hint="default"/>
          <w:spacing w:val="-3"/>
          <w:sz w:val="22"/>
          <w:szCs w:val="22"/>
        </w:rPr>
        <w:t>发生变化，导致在子公司归属于母公司所有者权益中所占份额增减变动，按权益性交易进</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行会计处理，相应增加股本溢价</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259,931,155.51</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元，减少股本溢价</w:t>
      </w:r>
      <w:r>
        <w:rPr>
          <w:rFonts w:ascii="宋体" w:hAnsi="宋体" w:cs="宋体" w:eastAsia="宋体" w:hint="default"/>
          <w:spacing w:val="-59"/>
          <w:sz w:val="22"/>
          <w:szCs w:val="22"/>
        </w:rPr>
        <w:t> </w:t>
      </w:r>
      <w:r>
        <w:rPr>
          <w:rFonts w:ascii="Times New Roman" w:hAnsi="Times New Roman" w:cs="Times New Roman" w:eastAsia="Times New Roman" w:hint="default"/>
          <w:sz w:val="22"/>
          <w:szCs w:val="22"/>
        </w:rPr>
        <w:t>53,151,426.07</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元。</w:t>
      </w:r>
    </w:p>
    <w:p>
      <w:pPr>
        <w:spacing w:line="297" w:lineRule="auto" w:before="54"/>
        <w:ind w:left="302" w:right="110" w:firstLine="439"/>
        <w:jc w:val="left"/>
        <w:rPr>
          <w:rFonts w:ascii="宋体" w:hAnsi="宋体" w:cs="宋体" w:eastAsia="宋体" w:hint="default"/>
          <w:sz w:val="22"/>
          <w:szCs w:val="22"/>
        </w:rPr>
      </w:pPr>
      <w:r>
        <w:rPr>
          <w:rFonts w:ascii="宋体" w:hAnsi="宋体" w:cs="宋体" w:eastAsia="宋体" w:hint="default"/>
          <w:spacing w:val="-3"/>
          <w:sz w:val="22"/>
          <w:szCs w:val="22"/>
        </w:rPr>
        <w:t>本公司在对子公司持股比例未发生变化的情况下，由于子公司发生除净损益、其他综</w:t>
      </w:r>
      <w:r>
        <w:rPr>
          <w:rFonts w:ascii="宋体" w:hAnsi="宋体" w:cs="宋体" w:eastAsia="宋体" w:hint="default"/>
          <w:w w:val="100"/>
          <w:sz w:val="22"/>
          <w:szCs w:val="22"/>
        </w:rPr>
        <w:t> </w:t>
      </w:r>
      <w:r>
        <w:rPr>
          <w:rFonts w:ascii="宋体" w:hAnsi="宋体" w:cs="宋体" w:eastAsia="宋体" w:hint="default"/>
          <w:spacing w:val="-3"/>
          <w:sz w:val="22"/>
          <w:szCs w:val="22"/>
        </w:rPr>
        <w:t>合收益以外的直接计入所有者权益的交易事项，导致其归属于母公司所有者权益发生变化，</w:t>
      </w:r>
      <w:r>
        <w:rPr>
          <w:rFonts w:ascii="宋体" w:hAnsi="宋体" w:cs="宋体" w:eastAsia="宋体" w:hint="default"/>
          <w:spacing w:val="-69"/>
          <w:sz w:val="22"/>
          <w:szCs w:val="22"/>
        </w:rPr>
        <w:t> </w:t>
      </w:r>
      <w:r>
        <w:rPr>
          <w:rFonts w:ascii="宋体" w:hAnsi="宋体" w:cs="宋体" w:eastAsia="宋体" w:hint="default"/>
          <w:spacing w:val="-69"/>
          <w:sz w:val="22"/>
          <w:szCs w:val="22"/>
        </w:rPr>
      </w:r>
      <w:r>
        <w:rPr>
          <w:rFonts w:ascii="宋体" w:hAnsi="宋体" w:cs="宋体" w:eastAsia="宋体" w:hint="default"/>
          <w:sz w:val="22"/>
          <w:szCs w:val="22"/>
        </w:rPr>
        <w:t>本公司按持股比例确认应享有的金额，相应增加股本溢价 </w:t>
      </w:r>
      <w:r>
        <w:rPr>
          <w:rFonts w:ascii="Times New Roman" w:hAnsi="Times New Roman" w:cs="Times New Roman" w:eastAsia="Times New Roman" w:hint="default"/>
          <w:sz w:val="22"/>
          <w:szCs w:val="22"/>
        </w:rPr>
        <w:t>843,066.93 </w:t>
      </w:r>
      <w:r>
        <w:rPr>
          <w:rFonts w:ascii="Times New Roman" w:hAnsi="Times New Roman" w:cs="Times New Roman" w:eastAsia="Times New Roman" w:hint="default"/>
          <w:spacing w:val="37"/>
          <w:sz w:val="22"/>
          <w:szCs w:val="22"/>
        </w:rPr>
        <w:t> </w:t>
      </w:r>
      <w:r>
        <w:rPr>
          <w:rFonts w:ascii="宋体" w:hAnsi="宋体" w:cs="宋体" w:eastAsia="宋体" w:hint="default"/>
          <w:sz w:val="22"/>
          <w:szCs w:val="22"/>
        </w:rPr>
        <w:t>元，减少股本溢价</w:t>
      </w:r>
    </w:p>
    <w:p>
      <w:pPr>
        <w:spacing w:line="299" w:lineRule="exact" w:before="0"/>
        <w:ind w:left="302" w:right="110"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3,872,273.61</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元。</w:t>
      </w:r>
    </w:p>
    <w:p>
      <w:pPr>
        <w:spacing w:line="290" w:lineRule="auto" w:before="110"/>
        <w:ind w:left="1209" w:right="335" w:firstLine="453"/>
        <w:jc w:val="both"/>
        <w:rPr>
          <w:rFonts w:ascii="宋体" w:hAnsi="宋体" w:cs="宋体" w:eastAsia="宋体" w:hint="default"/>
          <w:sz w:val="22"/>
          <w:szCs w:val="22"/>
        </w:rPr>
      </w:pPr>
      <w:r>
        <w:rPr>
          <w:rFonts w:ascii="Times New Roman" w:hAnsi="Times New Roman" w:cs="Times New Roman" w:eastAsia="Times New Roman" w:hint="default"/>
          <w:b/>
          <w:bCs/>
          <w:sz w:val="22"/>
          <w:szCs w:val="22"/>
        </w:rPr>
        <w:t>2)</w:t>
      </w:r>
      <w:r>
        <w:rPr>
          <w:rFonts w:ascii="Times New Roman" w:hAnsi="Times New Roman" w:cs="Times New Roman" w:eastAsia="Times New Roman" w:hint="default"/>
          <w:b/>
          <w:bCs/>
          <w:spacing w:val="21"/>
          <w:sz w:val="22"/>
          <w:szCs w:val="22"/>
        </w:rPr>
        <w:t> </w:t>
      </w:r>
      <w:r>
        <w:rPr>
          <w:rFonts w:ascii="宋体" w:hAnsi="宋体" w:cs="宋体" w:eastAsia="宋体" w:hint="default"/>
          <w:sz w:val="22"/>
          <w:szCs w:val="22"/>
        </w:rPr>
        <w:t>其他资本公积本期变动原因：在对联营企业未丧失重大影响的前提下，</w:t>
      </w:r>
      <w:r>
        <w:rPr>
          <w:rFonts w:ascii="宋体" w:hAnsi="宋体" w:cs="宋体" w:eastAsia="宋体" w:hint="default"/>
          <w:w w:val="100"/>
          <w:sz w:val="22"/>
          <w:szCs w:val="22"/>
        </w:rPr>
        <w:t> </w:t>
      </w:r>
      <w:r>
        <w:rPr>
          <w:rFonts w:ascii="宋体" w:hAnsi="宋体" w:cs="宋体" w:eastAsia="宋体" w:hint="default"/>
          <w:spacing w:val="-4"/>
          <w:w w:val="100"/>
          <w:sz w:val="22"/>
          <w:szCs w:val="22"/>
        </w:rPr>
        <w:t>本公司因对联营企业持股比例发生变化，导致在联营企业归属于母公司所有者权</w:t>
      </w:r>
      <w:r>
        <w:rPr>
          <w:rFonts w:ascii="宋体" w:hAnsi="宋体" w:cs="宋体" w:eastAsia="宋体" w:hint="default"/>
          <w:spacing w:val="-105"/>
          <w:w w:val="100"/>
          <w:sz w:val="22"/>
          <w:szCs w:val="22"/>
        </w:rPr>
        <w:t> </w:t>
      </w:r>
      <w:r>
        <w:rPr>
          <w:rFonts w:ascii="宋体" w:hAnsi="宋体" w:cs="宋体" w:eastAsia="宋体" w:hint="default"/>
          <w:spacing w:val="-105"/>
          <w:w w:val="100"/>
          <w:sz w:val="22"/>
          <w:szCs w:val="22"/>
        </w:rPr>
      </w:r>
      <w:r>
        <w:rPr>
          <w:rFonts w:ascii="宋体" w:hAnsi="宋体" w:cs="宋体" w:eastAsia="宋体" w:hint="default"/>
          <w:sz w:val="22"/>
          <w:szCs w:val="22"/>
        </w:rPr>
        <w:t>益中所占份额增减变动，相应增加其他资本公积</w:t>
      </w:r>
      <w:r>
        <w:rPr>
          <w:rFonts w:ascii="宋体" w:hAnsi="宋体" w:cs="宋体" w:eastAsia="宋体" w:hint="default"/>
          <w:spacing w:val="-65"/>
          <w:sz w:val="22"/>
          <w:szCs w:val="22"/>
        </w:rPr>
        <w:t> </w:t>
      </w:r>
      <w:r>
        <w:rPr>
          <w:rFonts w:ascii="Times New Roman" w:hAnsi="Times New Roman" w:cs="Times New Roman" w:eastAsia="Times New Roman" w:hint="default"/>
          <w:sz w:val="22"/>
          <w:szCs w:val="22"/>
        </w:rPr>
        <w:t>57,529,391.3</w:t>
      </w:r>
      <w:r>
        <w:rPr>
          <w:rFonts w:ascii="Times New Roman" w:hAnsi="Times New Roman" w:cs="Times New Roman" w:eastAsia="Times New Roman" w:hint="default"/>
          <w:spacing w:val="-9"/>
          <w:sz w:val="22"/>
          <w:szCs w:val="22"/>
        </w:rPr>
        <w:t> </w:t>
      </w:r>
      <w:r>
        <w:rPr>
          <w:rFonts w:ascii="宋体" w:hAnsi="宋体" w:cs="宋体" w:eastAsia="宋体" w:hint="default"/>
          <w:spacing w:val="-4"/>
          <w:sz w:val="22"/>
          <w:szCs w:val="22"/>
        </w:rPr>
        <w:t>元，减少其他资本</w:t>
      </w:r>
    </w:p>
    <w:p>
      <w:pPr>
        <w:spacing w:line="304" w:lineRule="exact" w:before="0"/>
        <w:ind w:left="1209" w:right="110" w:firstLine="0"/>
        <w:jc w:val="left"/>
        <w:rPr>
          <w:rFonts w:ascii="宋体" w:hAnsi="宋体" w:cs="宋体" w:eastAsia="宋体" w:hint="default"/>
          <w:sz w:val="22"/>
          <w:szCs w:val="22"/>
        </w:rPr>
      </w:pPr>
      <w:r>
        <w:rPr>
          <w:rFonts w:ascii="宋体" w:hAnsi="宋体" w:cs="宋体" w:eastAsia="宋体" w:hint="default"/>
          <w:sz w:val="22"/>
          <w:szCs w:val="22"/>
        </w:rPr>
        <w:t>公积</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320,307,741.02</w:t>
      </w:r>
      <w:r>
        <w:rPr>
          <w:rFonts w:ascii="Times New Roman" w:hAnsi="Times New Roman" w:cs="Times New Roman" w:eastAsia="Times New Roman" w:hint="default"/>
          <w:spacing w:val="1"/>
          <w:sz w:val="22"/>
          <w:szCs w:val="22"/>
        </w:rPr>
        <w:t> </w:t>
      </w:r>
      <w:r>
        <w:rPr>
          <w:rFonts w:ascii="宋体" w:hAnsi="宋体" w:cs="宋体" w:eastAsia="宋体" w:hint="default"/>
          <w:spacing w:val="-3"/>
          <w:sz w:val="22"/>
          <w:szCs w:val="22"/>
        </w:rPr>
        <w:t>元。</w:t>
      </w:r>
      <w:r>
        <w:rPr>
          <w:rFonts w:ascii="宋体" w:hAnsi="宋体" w:cs="宋体" w:eastAsia="宋体" w:hint="default"/>
          <w:sz w:val="22"/>
          <w:szCs w:val="22"/>
        </w:rPr>
      </w:r>
    </w:p>
    <w:p>
      <w:pPr>
        <w:spacing w:line="297" w:lineRule="auto" w:before="113"/>
        <w:ind w:left="302" w:right="110" w:firstLine="439"/>
        <w:jc w:val="left"/>
        <w:rPr>
          <w:rFonts w:ascii="宋体" w:hAnsi="宋体" w:cs="宋体" w:eastAsia="宋体" w:hint="default"/>
          <w:sz w:val="22"/>
          <w:szCs w:val="22"/>
        </w:rPr>
      </w:pPr>
      <w:r>
        <w:rPr>
          <w:rFonts w:ascii="宋体" w:hAnsi="宋体" w:cs="宋体" w:eastAsia="宋体" w:hint="default"/>
          <w:spacing w:val="-3"/>
          <w:sz w:val="22"/>
          <w:szCs w:val="22"/>
        </w:rPr>
        <w:t>本公司所属联营企业发生除净损益、其他综合收益以外的直接计入所有者权益的交易</w:t>
      </w:r>
      <w:r>
        <w:rPr>
          <w:rFonts w:ascii="宋体" w:hAnsi="宋体" w:cs="宋体" w:eastAsia="宋体" w:hint="default"/>
          <w:w w:val="100"/>
          <w:sz w:val="22"/>
          <w:szCs w:val="22"/>
        </w:rPr>
        <w:t> </w:t>
      </w:r>
      <w:r>
        <w:rPr>
          <w:rFonts w:ascii="宋体" w:hAnsi="宋体" w:cs="宋体" w:eastAsia="宋体" w:hint="default"/>
          <w:sz w:val="22"/>
          <w:szCs w:val="22"/>
        </w:rPr>
        <w:t>事项，导致其归属于母公司所有者权益发生变化，本公司按持股比例确认应享有的金额，</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相应增加其他资本公积</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3,012,672.65 </w:t>
      </w:r>
      <w:r>
        <w:rPr>
          <w:rFonts w:ascii="宋体" w:hAnsi="宋体" w:cs="宋体" w:eastAsia="宋体" w:hint="default"/>
          <w:sz w:val="22"/>
          <w:szCs w:val="22"/>
        </w:rPr>
        <w:t>元，减少其他资本公积</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26,001.87 </w:t>
      </w:r>
      <w:r>
        <w:rPr>
          <w:rFonts w:ascii="宋体" w:hAnsi="宋体" w:cs="宋体" w:eastAsia="宋体" w:hint="default"/>
          <w:sz w:val="22"/>
          <w:szCs w:val="22"/>
        </w:rPr>
        <w:t>元。</w:t>
      </w:r>
    </w:p>
    <w:p>
      <w:pPr>
        <w:spacing w:line="297" w:lineRule="auto" w:before="54"/>
        <w:ind w:left="302" w:right="337" w:firstLine="439"/>
        <w:jc w:val="both"/>
        <w:rPr>
          <w:rFonts w:ascii="宋体" w:hAnsi="宋体" w:cs="宋体" w:eastAsia="宋体" w:hint="default"/>
          <w:sz w:val="22"/>
          <w:szCs w:val="22"/>
        </w:rPr>
      </w:pPr>
      <w:r>
        <w:rPr>
          <w:rFonts w:ascii="宋体" w:hAnsi="宋体" w:cs="宋体" w:eastAsia="宋体" w:hint="default"/>
          <w:spacing w:val="-3"/>
          <w:sz w:val="22"/>
          <w:szCs w:val="22"/>
        </w:rPr>
        <w:t>本公司之子公司同方泰德国际科技有限公司、同方友友控股有限公司本年因权益结算</w:t>
      </w:r>
      <w:r>
        <w:rPr>
          <w:rFonts w:ascii="宋体" w:hAnsi="宋体" w:cs="宋体" w:eastAsia="宋体" w:hint="default"/>
          <w:w w:val="100"/>
          <w:sz w:val="22"/>
          <w:szCs w:val="22"/>
        </w:rPr>
        <w:t> </w:t>
      </w:r>
      <w:r>
        <w:rPr>
          <w:rFonts w:ascii="宋体" w:hAnsi="宋体" w:cs="宋体" w:eastAsia="宋体" w:hint="default"/>
          <w:spacing w:val="-3"/>
          <w:sz w:val="22"/>
          <w:szCs w:val="22"/>
        </w:rPr>
        <w:t>股份支付计划，导致其归属于母公司所有者权益发生变化，本公司按持股比例确认应享有</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的金额，相应增加其他资本公积</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5,204,590.35</w:t>
      </w:r>
      <w:r>
        <w:rPr>
          <w:rFonts w:ascii="Times New Roman" w:hAnsi="Times New Roman" w:cs="Times New Roman" w:eastAsia="Times New Roman" w:hint="default"/>
          <w:spacing w:val="-1"/>
          <w:sz w:val="22"/>
          <w:szCs w:val="22"/>
        </w:rPr>
        <w:t> </w:t>
      </w:r>
      <w:r>
        <w:rPr>
          <w:rFonts w:ascii="宋体" w:hAnsi="宋体" w:cs="宋体" w:eastAsia="宋体" w:hint="default"/>
          <w:spacing w:val="-3"/>
          <w:sz w:val="22"/>
          <w:szCs w:val="22"/>
        </w:rPr>
        <w:t>元。</w:t>
      </w:r>
      <w:r>
        <w:rPr>
          <w:rFonts w:ascii="宋体" w:hAnsi="宋体" w:cs="宋体" w:eastAsia="宋体" w:hint="default"/>
          <w:sz w:val="22"/>
          <w:szCs w:val="22"/>
        </w:rPr>
      </w:r>
    </w:p>
    <w:p>
      <w:pPr>
        <w:spacing w:line="297" w:lineRule="auto" w:before="52"/>
        <w:ind w:left="302" w:right="110" w:firstLine="439"/>
        <w:jc w:val="left"/>
        <w:rPr>
          <w:rFonts w:ascii="宋体" w:hAnsi="宋体" w:cs="宋体" w:eastAsia="宋体" w:hint="default"/>
          <w:sz w:val="22"/>
          <w:szCs w:val="22"/>
        </w:rPr>
      </w:pPr>
      <w:r>
        <w:rPr>
          <w:rFonts w:ascii="宋体" w:hAnsi="宋体" w:cs="宋体" w:eastAsia="宋体" w:hint="default"/>
          <w:spacing w:val="-3"/>
          <w:sz w:val="22"/>
          <w:szCs w:val="22"/>
        </w:rPr>
        <w:t>本公司因处置联营企业，将以前年度已确认的其他资本公积结转至当期损益，导致其</w:t>
      </w:r>
      <w:r>
        <w:rPr>
          <w:rFonts w:ascii="宋体" w:hAnsi="宋体" w:cs="宋体" w:eastAsia="宋体" w:hint="default"/>
          <w:w w:val="100"/>
          <w:sz w:val="22"/>
          <w:szCs w:val="22"/>
        </w:rPr>
        <w:t> </w:t>
      </w:r>
      <w:r>
        <w:rPr>
          <w:rFonts w:ascii="宋体" w:hAnsi="宋体" w:cs="宋体" w:eastAsia="宋体" w:hint="default"/>
          <w:sz w:val="22"/>
          <w:szCs w:val="22"/>
        </w:rPr>
        <w:t>他资本公积减少</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1,645,180.28</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元。</w:t>
      </w:r>
    </w:p>
    <w:p>
      <w:pPr>
        <w:spacing w:before="54"/>
        <w:ind w:left="755" w:right="11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42.</w:t>
      </w:r>
      <w:r>
        <w:rPr>
          <w:rFonts w:ascii="Times New Roman" w:hAnsi="Times New Roman" w:cs="Times New Roman" w:eastAsia="Times New Roman" w:hint="default"/>
          <w:b/>
          <w:bCs/>
          <w:spacing w:val="16"/>
          <w:sz w:val="22"/>
          <w:szCs w:val="22"/>
        </w:rPr>
        <w:t> </w:t>
      </w:r>
      <w:r>
        <w:rPr>
          <w:rFonts w:ascii="宋体" w:hAnsi="宋体" w:cs="宋体" w:eastAsia="宋体" w:hint="default"/>
          <w:sz w:val="22"/>
          <w:szCs w:val="22"/>
        </w:rPr>
        <w:t>其他综合收益</w:t>
      </w:r>
    </w:p>
    <w:p>
      <w:pPr>
        <w:spacing w:line="240" w:lineRule="auto" w:before="5"/>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1710"/>
        <w:gridCol w:w="1031"/>
        <w:gridCol w:w="1074"/>
        <w:gridCol w:w="1206"/>
        <w:gridCol w:w="776"/>
        <w:gridCol w:w="1073"/>
        <w:gridCol w:w="969"/>
        <w:gridCol w:w="970"/>
      </w:tblGrid>
      <w:tr>
        <w:trPr>
          <w:trHeight w:val="305" w:hRule="exact"/>
        </w:trPr>
        <w:tc>
          <w:tcPr>
            <w:tcW w:w="8810" w:type="dxa"/>
            <w:gridSpan w:val="8"/>
            <w:tcBorders>
              <w:top w:val="single" w:sz="12" w:space="0" w:color="000000"/>
              <w:left w:val="nil" w:sz="6" w:space="0" w:color="auto"/>
              <w:bottom w:val="nil" w:sz="6" w:space="0" w:color="auto"/>
              <w:right w:val="nil" w:sz="6" w:space="0" w:color="auto"/>
            </w:tcBorders>
          </w:tcPr>
          <w:p>
            <w:pPr>
              <w:pStyle w:val="TableParagraph"/>
              <w:spacing w:line="240" w:lineRule="auto" w:before="53"/>
              <w:ind w:left="1769" w:right="0"/>
              <w:jc w:val="center"/>
              <w:rPr>
                <w:rFonts w:ascii="宋体" w:hAnsi="宋体" w:cs="宋体" w:eastAsia="宋体" w:hint="default"/>
                <w:sz w:val="16"/>
                <w:szCs w:val="16"/>
              </w:rPr>
            </w:pPr>
            <w:r>
              <w:rPr>
                <w:rFonts w:ascii="宋体" w:hAnsi="宋体" w:cs="宋体" w:eastAsia="宋体" w:hint="default"/>
                <w:b/>
                <w:bCs/>
                <w:sz w:val="16"/>
                <w:szCs w:val="16"/>
              </w:rPr>
              <w:t>本年发生额</w:t>
            </w:r>
            <w:r>
              <w:rPr>
                <w:rFonts w:ascii="宋体" w:hAnsi="宋体" w:cs="宋体" w:eastAsia="宋体" w:hint="default"/>
                <w:sz w:val="16"/>
                <w:szCs w:val="16"/>
              </w:rPr>
            </w:r>
          </w:p>
        </w:tc>
      </w:tr>
      <w:tr>
        <w:trPr>
          <w:trHeight w:val="653" w:hRule="exact"/>
        </w:trPr>
        <w:tc>
          <w:tcPr>
            <w:tcW w:w="1710"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4"/>
              <w:jc w:val="center"/>
              <w:rPr>
                <w:rFonts w:ascii="宋体" w:hAnsi="宋体" w:cs="宋体" w:eastAsia="宋体" w:hint="default"/>
                <w:sz w:val="16"/>
                <w:szCs w:val="16"/>
              </w:rPr>
            </w:pPr>
            <w:r>
              <w:rPr>
                <w:rFonts w:ascii="宋体" w:hAnsi="宋体" w:cs="宋体" w:eastAsia="宋体" w:hint="default"/>
                <w:b/>
                <w:bCs/>
                <w:sz w:val="16"/>
                <w:szCs w:val="16"/>
              </w:rPr>
              <w:t>项目</w:t>
            </w:r>
            <w:r>
              <w:rPr>
                <w:rFonts w:ascii="宋体" w:hAnsi="宋体" w:cs="宋体" w:eastAsia="宋体" w:hint="default"/>
                <w:sz w:val="16"/>
                <w:szCs w:val="16"/>
              </w:rPr>
            </w:r>
          </w:p>
        </w:tc>
        <w:tc>
          <w:tcPr>
            <w:tcW w:w="1031"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1"/>
              <w:jc w:val="center"/>
              <w:rPr>
                <w:rFonts w:ascii="宋体" w:hAnsi="宋体" w:cs="宋体" w:eastAsia="宋体" w:hint="default"/>
                <w:sz w:val="16"/>
                <w:szCs w:val="16"/>
              </w:rPr>
            </w:pPr>
            <w:r>
              <w:rPr>
                <w:rFonts w:ascii="宋体" w:hAnsi="宋体" w:cs="宋体" w:eastAsia="宋体" w:hint="default"/>
                <w:b/>
                <w:bCs/>
                <w:sz w:val="16"/>
                <w:szCs w:val="16"/>
              </w:rPr>
              <w:t>年初余额</w:t>
            </w:r>
            <w:r>
              <w:rPr>
                <w:rFonts w:ascii="宋体" w:hAnsi="宋体" w:cs="宋体" w:eastAsia="宋体" w:hint="default"/>
                <w:sz w:val="16"/>
                <w:szCs w:val="16"/>
              </w:rPr>
            </w:r>
          </w:p>
        </w:tc>
        <w:tc>
          <w:tcPr>
            <w:tcW w:w="1074" w:type="dxa"/>
            <w:tcBorders>
              <w:top w:val="single" w:sz="4" w:space="0" w:color="000000"/>
              <w:left w:val="nil" w:sz="6" w:space="0" w:color="auto"/>
              <w:bottom w:val="single" w:sz="4" w:space="0" w:color="000000"/>
              <w:right w:val="nil" w:sz="6" w:space="0" w:color="auto"/>
            </w:tcBorders>
          </w:tcPr>
          <w:p>
            <w:pPr>
              <w:pStyle w:val="TableParagraph"/>
              <w:spacing w:line="240" w:lineRule="auto" w:before="98"/>
              <w:ind w:left="211" w:right="135" w:hanging="80"/>
              <w:jc w:val="left"/>
              <w:rPr>
                <w:rFonts w:ascii="宋体" w:hAnsi="宋体" w:cs="宋体" w:eastAsia="宋体" w:hint="default"/>
                <w:sz w:val="16"/>
                <w:szCs w:val="16"/>
              </w:rPr>
            </w:pPr>
            <w:r>
              <w:rPr>
                <w:rFonts w:ascii="宋体" w:hAnsi="宋体" w:cs="宋体" w:eastAsia="宋体" w:hint="default"/>
                <w:b/>
                <w:bCs/>
                <w:sz w:val="16"/>
                <w:szCs w:val="16"/>
              </w:rPr>
              <w:t>本年所得税</w:t>
            </w:r>
            <w:r>
              <w:rPr>
                <w:rFonts w:ascii="宋体" w:hAnsi="宋体" w:cs="宋体" w:eastAsia="宋体" w:hint="default"/>
                <w:b/>
                <w:bCs/>
                <w:w w:val="100"/>
                <w:sz w:val="16"/>
                <w:szCs w:val="16"/>
              </w:rPr>
              <w:t> </w:t>
            </w:r>
            <w:r>
              <w:rPr>
                <w:rFonts w:ascii="宋体" w:hAnsi="宋体" w:cs="宋体" w:eastAsia="宋体" w:hint="default"/>
                <w:b/>
                <w:bCs/>
                <w:sz w:val="16"/>
                <w:szCs w:val="16"/>
              </w:rPr>
              <w:t>前发生额</w:t>
            </w:r>
            <w:r>
              <w:rPr>
                <w:rFonts w:ascii="宋体" w:hAnsi="宋体" w:cs="宋体" w:eastAsia="宋体" w:hint="default"/>
                <w:sz w:val="16"/>
                <w:szCs w:val="16"/>
              </w:rPr>
            </w:r>
          </w:p>
        </w:tc>
        <w:tc>
          <w:tcPr>
            <w:tcW w:w="1206" w:type="dxa"/>
            <w:tcBorders>
              <w:top w:val="single" w:sz="4" w:space="0" w:color="000000"/>
              <w:left w:val="nil" w:sz="6" w:space="0" w:color="auto"/>
              <w:bottom w:val="single" w:sz="4" w:space="0" w:color="000000"/>
              <w:right w:val="nil" w:sz="6" w:space="0" w:color="auto"/>
            </w:tcBorders>
          </w:tcPr>
          <w:p>
            <w:pPr>
              <w:pStyle w:val="TableParagraph"/>
              <w:spacing w:line="237" w:lineRule="auto"/>
              <w:ind w:left="54" w:right="72"/>
              <w:jc w:val="center"/>
              <w:rPr>
                <w:rFonts w:ascii="宋体" w:hAnsi="宋体" w:cs="宋体" w:eastAsia="宋体" w:hint="default"/>
                <w:sz w:val="16"/>
                <w:szCs w:val="16"/>
              </w:rPr>
            </w:pPr>
            <w:r>
              <w:rPr>
                <w:rFonts w:ascii="宋体" w:hAnsi="宋体" w:cs="宋体" w:eastAsia="宋体" w:hint="default"/>
                <w:b/>
                <w:bCs/>
                <w:spacing w:val="-7"/>
                <w:sz w:val="16"/>
                <w:szCs w:val="16"/>
              </w:rPr>
              <w:t>减：前期计入其</w:t>
            </w:r>
            <w:r>
              <w:rPr>
                <w:rFonts w:ascii="宋体" w:hAnsi="宋体" w:cs="宋体" w:eastAsia="宋体" w:hint="default"/>
                <w:b/>
                <w:bCs/>
                <w:w w:val="100"/>
                <w:sz w:val="16"/>
                <w:szCs w:val="16"/>
              </w:rPr>
              <w:t> </w:t>
            </w:r>
            <w:r>
              <w:rPr>
                <w:rFonts w:ascii="宋体" w:hAnsi="宋体" w:cs="宋体" w:eastAsia="宋体" w:hint="default"/>
                <w:b/>
                <w:bCs/>
                <w:sz w:val="16"/>
                <w:szCs w:val="16"/>
              </w:rPr>
              <w:t>他综合收益当</w:t>
            </w:r>
            <w:r>
              <w:rPr>
                <w:rFonts w:ascii="宋体" w:hAnsi="宋体" w:cs="宋体" w:eastAsia="宋体" w:hint="default"/>
                <w:b/>
                <w:bCs/>
                <w:w w:val="100"/>
                <w:sz w:val="16"/>
                <w:szCs w:val="16"/>
              </w:rPr>
              <w:t> </w:t>
            </w:r>
            <w:r>
              <w:rPr>
                <w:rFonts w:ascii="宋体" w:hAnsi="宋体" w:cs="宋体" w:eastAsia="宋体" w:hint="default"/>
                <w:b/>
                <w:bCs/>
                <w:sz w:val="16"/>
                <w:szCs w:val="16"/>
              </w:rPr>
              <w:t>期转入损益</w:t>
            </w:r>
            <w:r>
              <w:rPr>
                <w:rFonts w:ascii="宋体" w:hAnsi="宋体" w:cs="宋体" w:eastAsia="宋体" w:hint="default"/>
                <w:sz w:val="16"/>
                <w:szCs w:val="16"/>
              </w:rPr>
            </w:r>
          </w:p>
        </w:tc>
        <w:tc>
          <w:tcPr>
            <w:tcW w:w="776" w:type="dxa"/>
            <w:tcBorders>
              <w:top w:val="single" w:sz="4" w:space="0" w:color="000000"/>
              <w:left w:val="nil" w:sz="6" w:space="0" w:color="auto"/>
              <w:bottom w:val="single" w:sz="4" w:space="0" w:color="000000"/>
              <w:right w:val="nil" w:sz="6" w:space="0" w:color="auto"/>
            </w:tcBorders>
          </w:tcPr>
          <w:p>
            <w:pPr>
              <w:pStyle w:val="TableParagraph"/>
              <w:spacing w:line="240" w:lineRule="auto" w:before="98"/>
              <w:ind w:left="146" w:right="63" w:hanging="80"/>
              <w:jc w:val="left"/>
              <w:rPr>
                <w:rFonts w:ascii="宋体" w:hAnsi="宋体" w:cs="宋体" w:eastAsia="宋体" w:hint="default"/>
                <w:sz w:val="16"/>
                <w:szCs w:val="16"/>
              </w:rPr>
            </w:pPr>
            <w:r>
              <w:rPr>
                <w:rFonts w:ascii="宋体" w:hAnsi="宋体" w:cs="宋体" w:eastAsia="宋体" w:hint="default"/>
                <w:b/>
                <w:bCs/>
                <w:sz w:val="16"/>
                <w:szCs w:val="16"/>
              </w:rPr>
              <w:t>减：所得</w:t>
            </w:r>
            <w:r>
              <w:rPr>
                <w:rFonts w:ascii="宋体" w:hAnsi="宋体" w:cs="宋体" w:eastAsia="宋体" w:hint="default"/>
                <w:b/>
                <w:bCs/>
                <w:w w:val="100"/>
                <w:sz w:val="16"/>
                <w:szCs w:val="16"/>
              </w:rPr>
              <w:t> </w:t>
            </w:r>
            <w:r>
              <w:rPr>
                <w:rFonts w:ascii="宋体" w:hAnsi="宋体" w:cs="宋体" w:eastAsia="宋体" w:hint="default"/>
                <w:b/>
                <w:bCs/>
                <w:sz w:val="16"/>
                <w:szCs w:val="16"/>
              </w:rPr>
              <w:t>税费用</w:t>
            </w:r>
            <w:r>
              <w:rPr>
                <w:rFonts w:ascii="宋体" w:hAnsi="宋体" w:cs="宋体" w:eastAsia="宋体" w:hint="default"/>
                <w:sz w:val="16"/>
                <w:szCs w:val="16"/>
              </w:rPr>
            </w:r>
          </w:p>
        </w:tc>
        <w:tc>
          <w:tcPr>
            <w:tcW w:w="1073" w:type="dxa"/>
            <w:tcBorders>
              <w:top w:val="single" w:sz="4" w:space="0" w:color="000000"/>
              <w:left w:val="nil" w:sz="6" w:space="0" w:color="auto"/>
              <w:bottom w:val="single" w:sz="4" w:space="0" w:color="000000"/>
              <w:right w:val="nil" w:sz="6" w:space="0" w:color="auto"/>
            </w:tcBorders>
          </w:tcPr>
          <w:p>
            <w:pPr>
              <w:pStyle w:val="TableParagraph"/>
              <w:spacing w:line="240" w:lineRule="auto" w:before="98"/>
              <w:ind w:left="292" w:right="135" w:hanging="161"/>
              <w:jc w:val="left"/>
              <w:rPr>
                <w:rFonts w:ascii="宋体" w:hAnsi="宋体" w:cs="宋体" w:eastAsia="宋体" w:hint="default"/>
                <w:sz w:val="16"/>
                <w:szCs w:val="16"/>
              </w:rPr>
            </w:pPr>
            <w:r>
              <w:rPr>
                <w:rFonts w:ascii="宋体" w:hAnsi="宋体" w:cs="宋体" w:eastAsia="宋体" w:hint="default"/>
                <w:b/>
                <w:bCs/>
                <w:sz w:val="16"/>
                <w:szCs w:val="16"/>
              </w:rPr>
              <w:t>税后归属于</w:t>
            </w:r>
            <w:r>
              <w:rPr>
                <w:rFonts w:ascii="宋体" w:hAnsi="宋体" w:cs="宋体" w:eastAsia="宋体" w:hint="default"/>
                <w:b/>
                <w:bCs/>
                <w:w w:val="100"/>
                <w:sz w:val="16"/>
                <w:szCs w:val="16"/>
              </w:rPr>
              <w:t> </w:t>
            </w:r>
            <w:r>
              <w:rPr>
                <w:rFonts w:ascii="宋体" w:hAnsi="宋体" w:cs="宋体" w:eastAsia="宋体" w:hint="default"/>
                <w:b/>
                <w:bCs/>
                <w:sz w:val="16"/>
                <w:szCs w:val="16"/>
              </w:rPr>
              <w:t>母公司</w:t>
            </w:r>
            <w:r>
              <w:rPr>
                <w:rFonts w:ascii="宋体" w:hAnsi="宋体" w:cs="宋体" w:eastAsia="宋体" w:hint="default"/>
                <w:sz w:val="16"/>
                <w:szCs w:val="16"/>
              </w:rPr>
            </w:r>
          </w:p>
        </w:tc>
        <w:tc>
          <w:tcPr>
            <w:tcW w:w="969" w:type="dxa"/>
            <w:tcBorders>
              <w:top w:val="single" w:sz="4" w:space="0" w:color="000000"/>
              <w:left w:val="nil" w:sz="6" w:space="0" w:color="auto"/>
              <w:bottom w:val="single" w:sz="4" w:space="0" w:color="000000"/>
              <w:right w:val="nil" w:sz="6" w:space="0" w:color="auto"/>
            </w:tcBorders>
          </w:tcPr>
          <w:p>
            <w:pPr>
              <w:pStyle w:val="TableParagraph"/>
              <w:spacing w:line="240" w:lineRule="auto" w:before="98"/>
              <w:ind w:left="153" w:right="91" w:hanging="82"/>
              <w:jc w:val="left"/>
              <w:rPr>
                <w:rFonts w:ascii="宋体" w:hAnsi="宋体" w:cs="宋体" w:eastAsia="宋体" w:hint="default"/>
                <w:sz w:val="16"/>
                <w:szCs w:val="16"/>
              </w:rPr>
            </w:pPr>
            <w:r>
              <w:rPr>
                <w:rFonts w:ascii="宋体" w:hAnsi="宋体" w:cs="宋体" w:eastAsia="宋体" w:hint="default"/>
                <w:b/>
                <w:bCs/>
                <w:sz w:val="16"/>
                <w:szCs w:val="16"/>
              </w:rPr>
              <w:t>税后归属于</w:t>
            </w:r>
            <w:r>
              <w:rPr>
                <w:rFonts w:ascii="宋体" w:hAnsi="宋体" w:cs="宋体" w:eastAsia="宋体" w:hint="default"/>
                <w:b/>
                <w:bCs/>
                <w:w w:val="100"/>
                <w:sz w:val="16"/>
                <w:szCs w:val="16"/>
              </w:rPr>
              <w:t> </w:t>
            </w:r>
            <w:r>
              <w:rPr>
                <w:rFonts w:ascii="宋体" w:hAnsi="宋体" w:cs="宋体" w:eastAsia="宋体" w:hint="default"/>
                <w:b/>
                <w:bCs/>
                <w:sz w:val="16"/>
                <w:szCs w:val="16"/>
              </w:rPr>
              <w:t>少数股东</w:t>
            </w:r>
            <w:r>
              <w:rPr>
                <w:rFonts w:ascii="宋体" w:hAnsi="宋体" w:cs="宋体" w:eastAsia="宋体" w:hint="default"/>
                <w:sz w:val="16"/>
                <w:szCs w:val="16"/>
              </w:rPr>
            </w:r>
          </w:p>
        </w:tc>
        <w:tc>
          <w:tcPr>
            <w:tcW w:w="970"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0"/>
              <w:jc w:val="center"/>
              <w:rPr>
                <w:rFonts w:ascii="宋体" w:hAnsi="宋体" w:cs="宋体" w:eastAsia="宋体" w:hint="default"/>
                <w:sz w:val="16"/>
                <w:szCs w:val="16"/>
              </w:rPr>
            </w:pPr>
            <w:r>
              <w:rPr>
                <w:rFonts w:ascii="宋体" w:hAnsi="宋体" w:cs="宋体" w:eastAsia="宋体" w:hint="default"/>
                <w:b/>
                <w:bCs/>
                <w:sz w:val="16"/>
                <w:szCs w:val="16"/>
              </w:rPr>
              <w:t>年末余额</w:t>
            </w:r>
            <w:r>
              <w:rPr>
                <w:rFonts w:ascii="宋体" w:hAnsi="宋体" w:cs="宋体" w:eastAsia="宋体" w:hint="default"/>
                <w:sz w:val="16"/>
                <w:szCs w:val="16"/>
              </w:rPr>
            </w:r>
          </w:p>
        </w:tc>
      </w:tr>
      <w:tr>
        <w:trPr>
          <w:trHeight w:val="441" w:hRule="exact"/>
        </w:trPr>
        <w:tc>
          <w:tcPr>
            <w:tcW w:w="1710" w:type="dxa"/>
            <w:tcBorders>
              <w:top w:val="single" w:sz="4" w:space="0" w:color="000000"/>
              <w:left w:val="nil" w:sz="6" w:space="0" w:color="auto"/>
              <w:bottom w:val="nil" w:sz="6" w:space="0" w:color="auto"/>
              <w:right w:val="nil" w:sz="6" w:space="0" w:color="auto"/>
            </w:tcBorders>
          </w:tcPr>
          <w:p>
            <w:pPr>
              <w:pStyle w:val="TableParagraph"/>
              <w:spacing w:line="183" w:lineRule="exact"/>
              <w:ind w:left="55" w:right="0"/>
              <w:jc w:val="left"/>
              <w:rPr>
                <w:rFonts w:ascii="宋体" w:hAnsi="宋体" w:cs="宋体" w:eastAsia="宋体" w:hint="default"/>
                <w:sz w:val="16"/>
                <w:szCs w:val="16"/>
              </w:rPr>
            </w:pPr>
            <w:r>
              <w:rPr>
                <w:rFonts w:ascii="宋体" w:hAnsi="宋体" w:cs="宋体" w:eastAsia="宋体" w:hint="default"/>
                <w:sz w:val="16"/>
                <w:szCs w:val="16"/>
              </w:rPr>
              <w:t>一、以后将重分类进损</w:t>
            </w:r>
          </w:p>
          <w:p>
            <w:pPr>
              <w:pStyle w:val="TableParagraph"/>
              <w:spacing w:line="209" w:lineRule="exact"/>
              <w:ind w:left="55" w:right="0"/>
              <w:jc w:val="left"/>
              <w:rPr>
                <w:rFonts w:ascii="宋体" w:hAnsi="宋体" w:cs="宋体" w:eastAsia="宋体" w:hint="default"/>
                <w:sz w:val="16"/>
                <w:szCs w:val="16"/>
              </w:rPr>
            </w:pPr>
            <w:r>
              <w:rPr>
                <w:rFonts w:ascii="宋体" w:hAnsi="宋体" w:cs="宋体" w:eastAsia="宋体" w:hint="default"/>
                <w:sz w:val="16"/>
                <w:szCs w:val="16"/>
              </w:rPr>
              <w:t>益的其他综合收益</w:t>
            </w:r>
          </w:p>
        </w:tc>
        <w:tc>
          <w:tcPr>
            <w:tcW w:w="1031" w:type="dxa"/>
            <w:tcBorders>
              <w:top w:val="single" w:sz="4" w:space="0" w:color="000000"/>
              <w:left w:val="nil" w:sz="6" w:space="0" w:color="auto"/>
              <w:bottom w:val="nil" w:sz="6" w:space="0" w:color="auto"/>
              <w:right w:val="nil" w:sz="6" w:space="0" w:color="auto"/>
            </w:tcBorders>
          </w:tcPr>
          <w:p>
            <w:pPr/>
          </w:p>
        </w:tc>
        <w:tc>
          <w:tcPr>
            <w:tcW w:w="1074" w:type="dxa"/>
            <w:tcBorders>
              <w:top w:val="single" w:sz="4" w:space="0" w:color="000000"/>
              <w:left w:val="nil" w:sz="6" w:space="0" w:color="auto"/>
              <w:bottom w:val="nil" w:sz="6" w:space="0" w:color="auto"/>
              <w:right w:val="nil" w:sz="6" w:space="0" w:color="auto"/>
            </w:tcBorders>
          </w:tcPr>
          <w:p>
            <w:pPr/>
          </w:p>
        </w:tc>
        <w:tc>
          <w:tcPr>
            <w:tcW w:w="1206" w:type="dxa"/>
            <w:tcBorders>
              <w:top w:val="single" w:sz="4" w:space="0" w:color="000000"/>
              <w:left w:val="nil" w:sz="6" w:space="0" w:color="auto"/>
              <w:bottom w:val="nil" w:sz="6" w:space="0" w:color="auto"/>
              <w:right w:val="nil" w:sz="6" w:space="0" w:color="auto"/>
            </w:tcBorders>
          </w:tcPr>
          <w:p>
            <w:pPr/>
          </w:p>
        </w:tc>
        <w:tc>
          <w:tcPr>
            <w:tcW w:w="776" w:type="dxa"/>
            <w:tcBorders>
              <w:top w:val="single" w:sz="4" w:space="0" w:color="000000"/>
              <w:left w:val="nil" w:sz="6" w:space="0" w:color="auto"/>
              <w:bottom w:val="nil" w:sz="6" w:space="0" w:color="auto"/>
              <w:right w:val="nil" w:sz="6" w:space="0" w:color="auto"/>
            </w:tcBorders>
          </w:tcPr>
          <w:p>
            <w:pPr/>
          </w:p>
        </w:tc>
        <w:tc>
          <w:tcPr>
            <w:tcW w:w="1073" w:type="dxa"/>
            <w:tcBorders>
              <w:top w:val="single" w:sz="4" w:space="0" w:color="000000"/>
              <w:left w:val="nil" w:sz="6" w:space="0" w:color="auto"/>
              <w:bottom w:val="nil" w:sz="6" w:space="0" w:color="auto"/>
              <w:right w:val="nil" w:sz="6" w:space="0" w:color="auto"/>
            </w:tcBorders>
          </w:tcPr>
          <w:p>
            <w:pPr/>
          </w:p>
        </w:tc>
        <w:tc>
          <w:tcPr>
            <w:tcW w:w="969" w:type="dxa"/>
            <w:tcBorders>
              <w:top w:val="single" w:sz="4" w:space="0" w:color="000000"/>
              <w:left w:val="nil" w:sz="6" w:space="0" w:color="auto"/>
              <w:bottom w:val="nil" w:sz="6" w:space="0" w:color="auto"/>
              <w:right w:val="nil" w:sz="6" w:space="0" w:color="auto"/>
            </w:tcBorders>
          </w:tcPr>
          <w:p>
            <w:pPr/>
          </w:p>
        </w:tc>
        <w:tc>
          <w:tcPr>
            <w:tcW w:w="970" w:type="dxa"/>
            <w:tcBorders>
              <w:top w:val="single" w:sz="4" w:space="0" w:color="000000"/>
              <w:left w:val="nil" w:sz="6" w:space="0" w:color="auto"/>
              <w:bottom w:val="nil" w:sz="6" w:space="0" w:color="auto"/>
              <w:right w:val="nil" w:sz="6" w:space="0" w:color="auto"/>
            </w:tcBorders>
          </w:tcPr>
          <w:p>
            <w:pPr/>
          </w:p>
        </w:tc>
      </w:tr>
      <w:tr>
        <w:trPr>
          <w:trHeight w:val="242" w:hRule="exact"/>
        </w:trPr>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
              <w:jc w:val="center"/>
              <w:rPr>
                <w:rFonts w:ascii="宋体" w:hAnsi="宋体" w:cs="宋体" w:eastAsia="宋体" w:hint="default"/>
                <w:sz w:val="16"/>
                <w:szCs w:val="16"/>
              </w:rPr>
            </w:pPr>
            <w:r>
              <w:rPr>
                <w:rFonts w:ascii="宋体" w:hAnsi="宋体" w:cs="宋体" w:eastAsia="宋体" w:hint="default"/>
                <w:sz w:val="16"/>
                <w:szCs w:val="16"/>
              </w:rPr>
              <w:t>其中：权益法下在被投</w:t>
            </w:r>
          </w:p>
        </w:tc>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7" w:right="0"/>
              <w:jc w:val="center"/>
              <w:rPr>
                <w:rFonts w:ascii="Times New Roman" w:hAnsi="Times New Roman" w:cs="Times New Roman" w:eastAsia="Times New Roman" w:hint="default"/>
                <w:sz w:val="16"/>
                <w:szCs w:val="16"/>
              </w:rPr>
            </w:pPr>
            <w:r>
              <w:rPr>
                <w:rFonts w:ascii="Times New Roman"/>
                <w:spacing w:val="-6"/>
                <w:sz w:val="16"/>
              </w:rPr>
              <w:t>315,791,938.61</w:t>
            </w:r>
          </w:p>
        </w:tc>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7" w:right="0"/>
              <w:jc w:val="left"/>
              <w:rPr>
                <w:rFonts w:ascii="Times New Roman" w:hAnsi="Times New Roman" w:cs="Times New Roman" w:eastAsia="Times New Roman" w:hint="default"/>
                <w:sz w:val="16"/>
                <w:szCs w:val="16"/>
              </w:rPr>
            </w:pPr>
            <w:r>
              <w:rPr>
                <w:rFonts w:ascii="Times New Roman"/>
                <w:spacing w:val="-6"/>
                <w:sz w:val="16"/>
              </w:rPr>
              <w:t>-306,014,499.15</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41" w:right="0"/>
              <w:jc w:val="left"/>
              <w:rPr>
                <w:rFonts w:ascii="Times New Roman" w:hAnsi="Times New Roman" w:cs="Times New Roman" w:eastAsia="Times New Roman" w:hint="default"/>
                <w:sz w:val="16"/>
                <w:szCs w:val="16"/>
              </w:rPr>
            </w:pPr>
            <w:r>
              <w:rPr>
                <w:rFonts w:ascii="Times New Roman"/>
                <w:spacing w:val="-6"/>
                <w:sz w:val="16"/>
              </w:rPr>
              <w:t>-11,016,178.79</w:t>
            </w:r>
          </w:p>
        </w:tc>
        <w:tc>
          <w:tcPr>
            <w:tcW w:w="77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82" w:right="0"/>
              <w:jc w:val="left"/>
              <w:rPr>
                <w:rFonts w:ascii="Times New Roman" w:hAnsi="Times New Roman" w:cs="Times New Roman" w:eastAsia="Times New Roman" w:hint="default"/>
                <w:sz w:val="16"/>
                <w:szCs w:val="16"/>
              </w:rPr>
            </w:pPr>
            <w:r>
              <w:rPr>
                <w:rFonts w:ascii="Times New Roman"/>
                <w:spacing w:val="-5"/>
                <w:sz w:val="16"/>
              </w:rPr>
              <w:t>0.00</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0" w:right="0"/>
              <w:jc w:val="left"/>
              <w:rPr>
                <w:rFonts w:ascii="Times New Roman" w:hAnsi="Times New Roman" w:cs="Times New Roman" w:eastAsia="Times New Roman" w:hint="default"/>
                <w:sz w:val="16"/>
                <w:szCs w:val="16"/>
              </w:rPr>
            </w:pPr>
            <w:r>
              <w:rPr>
                <w:rFonts w:ascii="Times New Roman"/>
                <w:spacing w:val="-6"/>
                <w:sz w:val="16"/>
              </w:rPr>
              <w:t>-293,121,344.38</w:t>
            </w:r>
          </w:p>
        </w:tc>
        <w:tc>
          <w:tcPr>
            <w:tcW w:w="96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97" w:right="0"/>
              <w:jc w:val="left"/>
              <w:rPr>
                <w:rFonts w:ascii="Times New Roman" w:hAnsi="Times New Roman" w:cs="Times New Roman" w:eastAsia="Times New Roman" w:hint="default"/>
                <w:sz w:val="16"/>
                <w:szCs w:val="16"/>
              </w:rPr>
            </w:pPr>
            <w:r>
              <w:rPr>
                <w:rFonts w:ascii="Times New Roman"/>
                <w:spacing w:val="-6"/>
                <w:sz w:val="16"/>
              </w:rPr>
              <w:t>-1,876,975.98</w:t>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0" w:right="0"/>
              <w:jc w:val="center"/>
              <w:rPr>
                <w:rFonts w:ascii="Times New Roman" w:hAnsi="Times New Roman" w:cs="Times New Roman" w:eastAsia="Times New Roman" w:hint="default"/>
                <w:sz w:val="16"/>
                <w:szCs w:val="16"/>
              </w:rPr>
            </w:pPr>
            <w:r>
              <w:rPr>
                <w:rFonts w:ascii="Times New Roman"/>
                <w:spacing w:val="-6"/>
                <w:sz w:val="16"/>
              </w:rPr>
              <w:t>22,670,594.23</w:t>
            </w:r>
          </w:p>
        </w:tc>
      </w:tr>
    </w:tbl>
    <w:p>
      <w:pPr>
        <w:spacing w:after="0" w:line="240" w:lineRule="auto"/>
        <w:jc w:val="center"/>
        <w:rPr>
          <w:rFonts w:ascii="Times New Roman" w:hAnsi="Times New Roman" w:cs="Times New Roman" w:eastAsia="Times New Roman" w:hint="default"/>
          <w:sz w:val="16"/>
          <w:szCs w:val="16"/>
        </w:rPr>
        <w:sectPr>
          <w:pgSz w:w="11910" w:h="16840"/>
          <w:pgMar w:header="645" w:footer="816" w:top="1080" w:bottom="1020" w:left="1400" w:right="1360"/>
        </w:sectPr>
      </w:pPr>
    </w:p>
    <w:p>
      <w:pPr>
        <w:spacing w:line="240" w:lineRule="auto" w:before="7"/>
        <w:rPr>
          <w:rFonts w:ascii="宋体" w:hAnsi="宋体" w:cs="宋体" w:eastAsia="宋体" w:hint="default"/>
          <w:sz w:val="27"/>
          <w:szCs w:val="27"/>
        </w:rPr>
      </w:pPr>
    </w:p>
    <w:tbl>
      <w:tblPr>
        <w:tblW w:w="0" w:type="auto"/>
        <w:jc w:val="left"/>
        <w:tblInd w:w="105" w:type="dxa"/>
        <w:tblLayout w:type="fixed"/>
        <w:tblCellMar>
          <w:top w:w="0" w:type="dxa"/>
          <w:left w:w="0" w:type="dxa"/>
          <w:bottom w:w="0" w:type="dxa"/>
          <w:right w:w="0" w:type="dxa"/>
        </w:tblCellMar>
        <w:tblLook w:val="01E0"/>
      </w:tblPr>
      <w:tblGrid>
        <w:gridCol w:w="1723"/>
        <w:gridCol w:w="1032"/>
        <w:gridCol w:w="1075"/>
        <w:gridCol w:w="1205"/>
        <w:gridCol w:w="778"/>
        <w:gridCol w:w="1048"/>
        <w:gridCol w:w="993"/>
        <w:gridCol w:w="970"/>
      </w:tblGrid>
      <w:tr>
        <w:trPr>
          <w:trHeight w:val="307" w:hRule="exact"/>
        </w:trPr>
        <w:tc>
          <w:tcPr>
            <w:tcW w:w="8824" w:type="dxa"/>
            <w:gridSpan w:val="8"/>
            <w:tcBorders>
              <w:top w:val="single" w:sz="12" w:space="0" w:color="000000"/>
              <w:left w:val="nil" w:sz="6" w:space="0" w:color="auto"/>
              <w:bottom w:val="nil" w:sz="6" w:space="0" w:color="auto"/>
              <w:right w:val="nil" w:sz="6" w:space="0" w:color="auto"/>
            </w:tcBorders>
          </w:tcPr>
          <w:p>
            <w:pPr>
              <w:pStyle w:val="TableParagraph"/>
              <w:spacing w:line="240" w:lineRule="auto" w:before="53"/>
              <w:ind w:left="1783" w:right="0"/>
              <w:jc w:val="center"/>
              <w:rPr>
                <w:rFonts w:ascii="宋体" w:hAnsi="宋体" w:cs="宋体" w:eastAsia="宋体" w:hint="default"/>
                <w:sz w:val="16"/>
                <w:szCs w:val="16"/>
              </w:rPr>
            </w:pPr>
            <w:r>
              <w:rPr>
                <w:rFonts w:ascii="宋体" w:hAnsi="宋体" w:cs="宋体" w:eastAsia="宋体" w:hint="default"/>
                <w:b/>
                <w:bCs/>
                <w:sz w:val="16"/>
                <w:szCs w:val="16"/>
              </w:rPr>
              <w:t>本年发生额</w:t>
            </w:r>
            <w:r>
              <w:rPr>
                <w:rFonts w:ascii="宋体" w:hAnsi="宋体" w:cs="宋体" w:eastAsia="宋体" w:hint="default"/>
                <w:sz w:val="16"/>
                <w:szCs w:val="16"/>
              </w:rPr>
            </w:r>
          </w:p>
        </w:tc>
      </w:tr>
      <w:tr>
        <w:trPr>
          <w:trHeight w:val="653" w:hRule="exact"/>
        </w:trPr>
        <w:tc>
          <w:tcPr>
            <w:tcW w:w="1723" w:type="dxa"/>
            <w:tcBorders>
              <w:top w:val="nil" w:sz="6" w:space="0" w:color="auto"/>
              <w:left w:val="nil" w:sz="6" w:space="0" w:color="auto"/>
              <w:bottom w:val="single" w:sz="4" w:space="0" w:color="000000"/>
              <w:right w:val="nil" w:sz="6" w:space="0" w:color="auto"/>
            </w:tcBorders>
          </w:tcPr>
          <w:p>
            <w:pPr>
              <w:pStyle w:val="TableParagraph"/>
              <w:spacing w:line="240" w:lineRule="auto" w:before="48"/>
              <w:ind w:left="9" w:right="0"/>
              <w:jc w:val="center"/>
              <w:rPr>
                <w:rFonts w:ascii="宋体" w:hAnsi="宋体" w:cs="宋体" w:eastAsia="宋体" w:hint="default"/>
                <w:sz w:val="16"/>
                <w:szCs w:val="16"/>
              </w:rPr>
            </w:pPr>
            <w:r>
              <w:rPr>
                <w:rFonts w:ascii="宋体" w:hAnsi="宋体" w:cs="宋体" w:eastAsia="宋体" w:hint="default"/>
                <w:b/>
                <w:bCs/>
                <w:sz w:val="16"/>
                <w:szCs w:val="16"/>
              </w:rPr>
              <w:t>项目</w:t>
            </w:r>
            <w:r>
              <w:rPr>
                <w:rFonts w:ascii="宋体" w:hAnsi="宋体" w:cs="宋体" w:eastAsia="宋体" w:hint="default"/>
                <w:sz w:val="16"/>
                <w:szCs w:val="16"/>
              </w:rPr>
            </w:r>
          </w:p>
        </w:tc>
        <w:tc>
          <w:tcPr>
            <w:tcW w:w="1032" w:type="dxa"/>
            <w:tcBorders>
              <w:top w:val="nil" w:sz="6" w:space="0" w:color="auto"/>
              <w:left w:val="nil" w:sz="6" w:space="0" w:color="auto"/>
              <w:bottom w:val="single" w:sz="4" w:space="0" w:color="000000"/>
              <w:right w:val="nil" w:sz="6" w:space="0" w:color="auto"/>
            </w:tcBorders>
          </w:tcPr>
          <w:p>
            <w:pPr>
              <w:pStyle w:val="TableParagraph"/>
              <w:spacing w:line="240" w:lineRule="auto" w:before="48"/>
              <w:ind w:left="194" w:right="0"/>
              <w:jc w:val="left"/>
              <w:rPr>
                <w:rFonts w:ascii="宋体" w:hAnsi="宋体" w:cs="宋体" w:eastAsia="宋体" w:hint="default"/>
                <w:sz w:val="16"/>
                <w:szCs w:val="16"/>
              </w:rPr>
            </w:pPr>
            <w:r>
              <w:rPr>
                <w:rFonts w:ascii="宋体" w:hAnsi="宋体" w:cs="宋体" w:eastAsia="宋体" w:hint="default"/>
                <w:b/>
                <w:bCs/>
                <w:sz w:val="16"/>
                <w:szCs w:val="16"/>
              </w:rPr>
              <w:t>年初余额</w:t>
            </w:r>
            <w:r>
              <w:rPr>
                <w:rFonts w:ascii="宋体" w:hAnsi="宋体" w:cs="宋体" w:eastAsia="宋体" w:hint="default"/>
                <w:sz w:val="16"/>
                <w:szCs w:val="16"/>
              </w:rPr>
            </w:r>
          </w:p>
        </w:tc>
        <w:tc>
          <w:tcPr>
            <w:tcW w:w="1075" w:type="dxa"/>
            <w:tcBorders>
              <w:top w:val="single" w:sz="4" w:space="0" w:color="000000"/>
              <w:left w:val="nil" w:sz="6" w:space="0" w:color="auto"/>
              <w:bottom w:val="single" w:sz="4" w:space="0" w:color="000000"/>
              <w:right w:val="nil" w:sz="6" w:space="0" w:color="auto"/>
            </w:tcBorders>
          </w:tcPr>
          <w:p>
            <w:pPr>
              <w:pStyle w:val="TableParagraph"/>
              <w:spacing w:line="240" w:lineRule="auto" w:before="96"/>
              <w:ind w:left="211" w:right="136" w:hanging="80"/>
              <w:jc w:val="left"/>
              <w:rPr>
                <w:rFonts w:ascii="宋体" w:hAnsi="宋体" w:cs="宋体" w:eastAsia="宋体" w:hint="default"/>
                <w:sz w:val="16"/>
                <w:szCs w:val="16"/>
              </w:rPr>
            </w:pPr>
            <w:r>
              <w:rPr>
                <w:rFonts w:ascii="宋体" w:hAnsi="宋体" w:cs="宋体" w:eastAsia="宋体" w:hint="default"/>
                <w:b/>
                <w:bCs/>
                <w:sz w:val="16"/>
                <w:szCs w:val="16"/>
              </w:rPr>
              <w:t>本年所得税</w:t>
            </w:r>
            <w:r>
              <w:rPr>
                <w:rFonts w:ascii="宋体" w:hAnsi="宋体" w:cs="宋体" w:eastAsia="宋体" w:hint="default"/>
                <w:b/>
                <w:bCs/>
                <w:w w:val="100"/>
                <w:sz w:val="16"/>
                <w:szCs w:val="16"/>
              </w:rPr>
              <w:t> </w:t>
            </w:r>
            <w:r>
              <w:rPr>
                <w:rFonts w:ascii="宋体" w:hAnsi="宋体" w:cs="宋体" w:eastAsia="宋体" w:hint="default"/>
                <w:b/>
                <w:bCs/>
                <w:sz w:val="16"/>
                <w:szCs w:val="16"/>
              </w:rPr>
              <w:t>前发生额</w:t>
            </w:r>
            <w:r>
              <w:rPr>
                <w:rFonts w:ascii="宋体" w:hAnsi="宋体" w:cs="宋体" w:eastAsia="宋体" w:hint="default"/>
                <w:sz w:val="16"/>
                <w:szCs w:val="16"/>
              </w:rPr>
            </w:r>
          </w:p>
        </w:tc>
        <w:tc>
          <w:tcPr>
            <w:tcW w:w="1205" w:type="dxa"/>
            <w:tcBorders>
              <w:top w:val="single" w:sz="4" w:space="0" w:color="000000"/>
              <w:left w:val="nil" w:sz="6" w:space="0" w:color="auto"/>
              <w:bottom w:val="single" w:sz="4" w:space="0" w:color="000000"/>
              <w:right w:val="nil" w:sz="6" w:space="0" w:color="auto"/>
            </w:tcBorders>
          </w:tcPr>
          <w:p>
            <w:pPr>
              <w:pStyle w:val="TableParagraph"/>
              <w:spacing w:line="237" w:lineRule="auto"/>
              <w:ind w:left="53" w:right="72"/>
              <w:jc w:val="center"/>
              <w:rPr>
                <w:rFonts w:ascii="宋体" w:hAnsi="宋体" w:cs="宋体" w:eastAsia="宋体" w:hint="default"/>
                <w:sz w:val="16"/>
                <w:szCs w:val="16"/>
              </w:rPr>
            </w:pPr>
            <w:r>
              <w:rPr>
                <w:rFonts w:ascii="宋体" w:hAnsi="宋体" w:cs="宋体" w:eastAsia="宋体" w:hint="default"/>
                <w:b/>
                <w:bCs/>
                <w:spacing w:val="-7"/>
                <w:sz w:val="16"/>
                <w:szCs w:val="16"/>
              </w:rPr>
              <w:t>减：前期计入其</w:t>
            </w:r>
            <w:r>
              <w:rPr>
                <w:rFonts w:ascii="宋体" w:hAnsi="宋体" w:cs="宋体" w:eastAsia="宋体" w:hint="default"/>
                <w:b/>
                <w:bCs/>
                <w:w w:val="100"/>
                <w:sz w:val="16"/>
                <w:szCs w:val="16"/>
              </w:rPr>
              <w:t> </w:t>
            </w:r>
            <w:r>
              <w:rPr>
                <w:rFonts w:ascii="宋体" w:hAnsi="宋体" w:cs="宋体" w:eastAsia="宋体" w:hint="default"/>
                <w:b/>
                <w:bCs/>
                <w:sz w:val="16"/>
                <w:szCs w:val="16"/>
              </w:rPr>
              <w:t>他综合收益当</w:t>
            </w:r>
            <w:r>
              <w:rPr>
                <w:rFonts w:ascii="宋体" w:hAnsi="宋体" w:cs="宋体" w:eastAsia="宋体" w:hint="default"/>
                <w:b/>
                <w:bCs/>
                <w:w w:val="100"/>
                <w:sz w:val="16"/>
                <w:szCs w:val="16"/>
              </w:rPr>
              <w:t> </w:t>
            </w:r>
            <w:r>
              <w:rPr>
                <w:rFonts w:ascii="宋体" w:hAnsi="宋体" w:cs="宋体" w:eastAsia="宋体" w:hint="default"/>
                <w:b/>
                <w:bCs/>
                <w:sz w:val="16"/>
                <w:szCs w:val="16"/>
              </w:rPr>
              <w:t>期转入损益</w:t>
            </w:r>
            <w:r>
              <w:rPr>
                <w:rFonts w:ascii="宋体" w:hAnsi="宋体" w:cs="宋体" w:eastAsia="宋体" w:hint="default"/>
                <w:sz w:val="16"/>
                <w:szCs w:val="16"/>
              </w:rPr>
            </w:r>
          </w:p>
        </w:tc>
        <w:tc>
          <w:tcPr>
            <w:tcW w:w="778" w:type="dxa"/>
            <w:tcBorders>
              <w:top w:val="single" w:sz="4" w:space="0" w:color="000000"/>
              <w:left w:val="nil" w:sz="6" w:space="0" w:color="auto"/>
              <w:bottom w:val="single" w:sz="4" w:space="0" w:color="000000"/>
              <w:right w:val="nil" w:sz="6" w:space="0" w:color="auto"/>
            </w:tcBorders>
          </w:tcPr>
          <w:p>
            <w:pPr>
              <w:pStyle w:val="TableParagraph"/>
              <w:spacing w:line="240" w:lineRule="auto" w:before="96"/>
              <w:ind w:left="146" w:right="64" w:hanging="80"/>
              <w:jc w:val="left"/>
              <w:rPr>
                <w:rFonts w:ascii="宋体" w:hAnsi="宋体" w:cs="宋体" w:eastAsia="宋体" w:hint="default"/>
                <w:sz w:val="16"/>
                <w:szCs w:val="16"/>
              </w:rPr>
            </w:pPr>
            <w:r>
              <w:rPr>
                <w:rFonts w:ascii="宋体" w:hAnsi="宋体" w:cs="宋体" w:eastAsia="宋体" w:hint="default"/>
                <w:b/>
                <w:bCs/>
                <w:sz w:val="16"/>
                <w:szCs w:val="16"/>
              </w:rPr>
              <w:t>减：所得</w:t>
            </w:r>
            <w:r>
              <w:rPr>
                <w:rFonts w:ascii="宋体" w:hAnsi="宋体" w:cs="宋体" w:eastAsia="宋体" w:hint="default"/>
                <w:b/>
                <w:bCs/>
                <w:w w:val="100"/>
                <w:sz w:val="16"/>
                <w:szCs w:val="16"/>
              </w:rPr>
              <w:t> </w:t>
            </w:r>
            <w:r>
              <w:rPr>
                <w:rFonts w:ascii="宋体" w:hAnsi="宋体" w:cs="宋体" w:eastAsia="宋体" w:hint="default"/>
                <w:b/>
                <w:bCs/>
                <w:sz w:val="16"/>
                <w:szCs w:val="16"/>
              </w:rPr>
              <w:t>税费用</w:t>
            </w:r>
            <w:r>
              <w:rPr>
                <w:rFonts w:ascii="宋体" w:hAnsi="宋体" w:cs="宋体" w:eastAsia="宋体" w:hint="default"/>
                <w:sz w:val="16"/>
                <w:szCs w:val="16"/>
              </w:rPr>
            </w:r>
          </w:p>
        </w:tc>
        <w:tc>
          <w:tcPr>
            <w:tcW w:w="1048" w:type="dxa"/>
            <w:tcBorders>
              <w:top w:val="single" w:sz="4" w:space="0" w:color="000000"/>
              <w:left w:val="nil" w:sz="6" w:space="0" w:color="auto"/>
              <w:bottom w:val="single" w:sz="4" w:space="0" w:color="000000"/>
              <w:right w:val="nil" w:sz="6" w:space="0" w:color="auto"/>
            </w:tcBorders>
          </w:tcPr>
          <w:p>
            <w:pPr>
              <w:pStyle w:val="TableParagraph"/>
              <w:spacing w:line="240" w:lineRule="auto" w:before="96"/>
              <w:ind w:left="290" w:right="111" w:hanging="161"/>
              <w:jc w:val="left"/>
              <w:rPr>
                <w:rFonts w:ascii="宋体" w:hAnsi="宋体" w:cs="宋体" w:eastAsia="宋体" w:hint="default"/>
                <w:sz w:val="16"/>
                <w:szCs w:val="16"/>
              </w:rPr>
            </w:pPr>
            <w:r>
              <w:rPr>
                <w:rFonts w:ascii="宋体" w:hAnsi="宋体" w:cs="宋体" w:eastAsia="宋体" w:hint="default"/>
                <w:b/>
                <w:bCs/>
                <w:sz w:val="16"/>
                <w:szCs w:val="16"/>
              </w:rPr>
              <w:t>税后归属于</w:t>
            </w:r>
            <w:r>
              <w:rPr>
                <w:rFonts w:ascii="宋体" w:hAnsi="宋体" w:cs="宋体" w:eastAsia="宋体" w:hint="default"/>
                <w:b/>
                <w:bCs/>
                <w:w w:val="100"/>
                <w:sz w:val="16"/>
                <w:szCs w:val="16"/>
              </w:rPr>
              <w:t> </w:t>
            </w:r>
            <w:r>
              <w:rPr>
                <w:rFonts w:ascii="宋体" w:hAnsi="宋体" w:cs="宋体" w:eastAsia="宋体" w:hint="default"/>
                <w:b/>
                <w:bCs/>
                <w:sz w:val="16"/>
                <w:szCs w:val="16"/>
              </w:rPr>
              <w:t>母公司</w:t>
            </w:r>
            <w:r>
              <w:rPr>
                <w:rFonts w:ascii="宋体" w:hAnsi="宋体" w:cs="宋体" w:eastAsia="宋体" w:hint="default"/>
                <w:sz w:val="16"/>
                <w:szCs w:val="16"/>
              </w:rPr>
            </w:r>
          </w:p>
        </w:tc>
        <w:tc>
          <w:tcPr>
            <w:tcW w:w="993" w:type="dxa"/>
            <w:tcBorders>
              <w:top w:val="single" w:sz="4" w:space="0" w:color="000000"/>
              <w:left w:val="nil" w:sz="6" w:space="0" w:color="auto"/>
              <w:bottom w:val="single" w:sz="4" w:space="0" w:color="000000"/>
              <w:right w:val="nil" w:sz="6" w:space="0" w:color="auto"/>
            </w:tcBorders>
          </w:tcPr>
          <w:p>
            <w:pPr>
              <w:pStyle w:val="TableParagraph"/>
              <w:spacing w:line="240" w:lineRule="auto" w:before="96"/>
              <w:ind w:left="177" w:right="91" w:hanging="82"/>
              <w:jc w:val="left"/>
              <w:rPr>
                <w:rFonts w:ascii="宋体" w:hAnsi="宋体" w:cs="宋体" w:eastAsia="宋体" w:hint="default"/>
                <w:sz w:val="16"/>
                <w:szCs w:val="16"/>
              </w:rPr>
            </w:pPr>
            <w:r>
              <w:rPr>
                <w:rFonts w:ascii="宋体" w:hAnsi="宋体" w:cs="宋体" w:eastAsia="宋体" w:hint="default"/>
                <w:b/>
                <w:bCs/>
                <w:sz w:val="16"/>
                <w:szCs w:val="16"/>
              </w:rPr>
              <w:t>税后归属于</w:t>
            </w:r>
            <w:r>
              <w:rPr>
                <w:rFonts w:ascii="宋体" w:hAnsi="宋体" w:cs="宋体" w:eastAsia="宋体" w:hint="default"/>
                <w:b/>
                <w:bCs/>
                <w:w w:val="100"/>
                <w:sz w:val="16"/>
                <w:szCs w:val="16"/>
              </w:rPr>
              <w:t> </w:t>
            </w:r>
            <w:r>
              <w:rPr>
                <w:rFonts w:ascii="宋体" w:hAnsi="宋体" w:cs="宋体" w:eastAsia="宋体" w:hint="default"/>
                <w:b/>
                <w:bCs/>
                <w:sz w:val="16"/>
                <w:szCs w:val="16"/>
              </w:rPr>
              <w:t>少数股东</w:t>
            </w:r>
            <w:r>
              <w:rPr>
                <w:rFonts w:ascii="宋体" w:hAnsi="宋体" w:cs="宋体" w:eastAsia="宋体" w:hint="default"/>
                <w:sz w:val="16"/>
                <w:szCs w:val="16"/>
              </w:rPr>
            </w:r>
          </w:p>
        </w:tc>
        <w:tc>
          <w:tcPr>
            <w:tcW w:w="970" w:type="dxa"/>
            <w:tcBorders>
              <w:top w:val="nil" w:sz="6" w:space="0" w:color="auto"/>
              <w:left w:val="nil" w:sz="6" w:space="0" w:color="auto"/>
              <w:bottom w:val="single" w:sz="4" w:space="0" w:color="000000"/>
              <w:right w:val="nil" w:sz="6" w:space="0" w:color="auto"/>
            </w:tcBorders>
          </w:tcPr>
          <w:p>
            <w:pPr>
              <w:pStyle w:val="TableParagraph"/>
              <w:spacing w:line="240" w:lineRule="auto" w:before="48"/>
              <w:ind w:left="163" w:right="0"/>
              <w:jc w:val="left"/>
              <w:rPr>
                <w:rFonts w:ascii="宋体" w:hAnsi="宋体" w:cs="宋体" w:eastAsia="宋体" w:hint="default"/>
                <w:sz w:val="16"/>
                <w:szCs w:val="16"/>
              </w:rPr>
            </w:pPr>
            <w:r>
              <w:rPr>
                <w:rFonts w:ascii="宋体" w:hAnsi="宋体" w:cs="宋体" w:eastAsia="宋体" w:hint="default"/>
                <w:b/>
                <w:bCs/>
                <w:sz w:val="16"/>
                <w:szCs w:val="16"/>
              </w:rPr>
              <w:t>年末余额</w:t>
            </w:r>
            <w:r>
              <w:rPr>
                <w:rFonts w:ascii="宋体" w:hAnsi="宋体" w:cs="宋体" w:eastAsia="宋体" w:hint="default"/>
                <w:sz w:val="16"/>
                <w:szCs w:val="16"/>
              </w:rPr>
            </w:r>
          </w:p>
        </w:tc>
      </w:tr>
      <w:tr>
        <w:trPr>
          <w:trHeight w:val="626" w:hRule="exact"/>
        </w:trPr>
        <w:tc>
          <w:tcPr>
            <w:tcW w:w="1723" w:type="dxa"/>
            <w:tcBorders>
              <w:top w:val="single" w:sz="4" w:space="0" w:color="000000"/>
              <w:left w:val="nil" w:sz="6" w:space="0" w:color="auto"/>
              <w:bottom w:val="nil" w:sz="6" w:space="0" w:color="auto"/>
              <w:right w:val="nil" w:sz="6" w:space="0" w:color="auto"/>
            </w:tcBorders>
          </w:tcPr>
          <w:p>
            <w:pPr>
              <w:pStyle w:val="TableParagraph"/>
              <w:spacing w:line="182" w:lineRule="exact"/>
              <w:ind w:left="69" w:right="0"/>
              <w:jc w:val="left"/>
              <w:rPr>
                <w:rFonts w:ascii="宋体" w:hAnsi="宋体" w:cs="宋体" w:eastAsia="宋体" w:hint="default"/>
                <w:sz w:val="16"/>
                <w:szCs w:val="16"/>
              </w:rPr>
            </w:pPr>
            <w:r>
              <w:rPr>
                <w:rFonts w:ascii="宋体" w:hAnsi="宋体" w:cs="宋体" w:eastAsia="宋体" w:hint="default"/>
                <w:spacing w:val="14"/>
                <w:sz w:val="16"/>
                <w:szCs w:val="16"/>
              </w:rPr>
              <w:t>资单位以后将重分类</w:t>
            </w:r>
          </w:p>
          <w:p>
            <w:pPr>
              <w:pStyle w:val="TableParagraph"/>
              <w:spacing w:line="240" w:lineRule="auto"/>
              <w:ind w:left="69" w:right="55"/>
              <w:jc w:val="left"/>
              <w:rPr>
                <w:rFonts w:ascii="宋体" w:hAnsi="宋体" w:cs="宋体" w:eastAsia="宋体" w:hint="default"/>
                <w:sz w:val="16"/>
                <w:szCs w:val="16"/>
              </w:rPr>
            </w:pPr>
            <w:r>
              <w:rPr>
                <w:rFonts w:ascii="宋体" w:hAnsi="宋体" w:cs="宋体" w:eastAsia="宋体" w:hint="default"/>
                <w:spacing w:val="14"/>
                <w:sz w:val="16"/>
                <w:szCs w:val="16"/>
              </w:rPr>
              <w:t>进损益的其他综合收</w:t>
            </w:r>
            <w:r>
              <w:rPr>
                <w:rFonts w:ascii="宋体" w:hAnsi="宋体" w:cs="宋体" w:eastAsia="宋体" w:hint="default"/>
                <w:spacing w:val="-57"/>
                <w:sz w:val="16"/>
                <w:szCs w:val="16"/>
              </w:rPr>
              <w:t> </w:t>
            </w:r>
            <w:r>
              <w:rPr>
                <w:rFonts w:ascii="宋体" w:hAnsi="宋体" w:cs="宋体" w:eastAsia="宋体" w:hint="default"/>
                <w:spacing w:val="-57"/>
                <w:sz w:val="16"/>
                <w:szCs w:val="16"/>
              </w:rPr>
            </w:r>
            <w:r>
              <w:rPr>
                <w:rFonts w:ascii="宋体" w:hAnsi="宋体" w:cs="宋体" w:eastAsia="宋体" w:hint="default"/>
                <w:sz w:val="16"/>
                <w:szCs w:val="16"/>
              </w:rPr>
              <w:t>益中享有的份额</w:t>
            </w:r>
          </w:p>
        </w:tc>
        <w:tc>
          <w:tcPr>
            <w:tcW w:w="1032" w:type="dxa"/>
            <w:tcBorders>
              <w:top w:val="single" w:sz="4" w:space="0" w:color="000000"/>
              <w:left w:val="nil" w:sz="6" w:space="0" w:color="auto"/>
              <w:bottom w:val="nil" w:sz="6" w:space="0" w:color="auto"/>
              <w:right w:val="nil" w:sz="6" w:space="0" w:color="auto"/>
            </w:tcBorders>
          </w:tcPr>
          <w:p>
            <w:pPr/>
          </w:p>
        </w:tc>
        <w:tc>
          <w:tcPr>
            <w:tcW w:w="1075" w:type="dxa"/>
            <w:tcBorders>
              <w:top w:val="single" w:sz="4" w:space="0" w:color="000000"/>
              <w:left w:val="nil" w:sz="6" w:space="0" w:color="auto"/>
              <w:bottom w:val="nil" w:sz="6" w:space="0" w:color="auto"/>
              <w:right w:val="nil" w:sz="6" w:space="0" w:color="auto"/>
            </w:tcBorders>
          </w:tcPr>
          <w:p>
            <w:pPr/>
          </w:p>
        </w:tc>
        <w:tc>
          <w:tcPr>
            <w:tcW w:w="1205" w:type="dxa"/>
            <w:tcBorders>
              <w:top w:val="single" w:sz="4" w:space="0" w:color="000000"/>
              <w:left w:val="nil" w:sz="6" w:space="0" w:color="auto"/>
              <w:bottom w:val="nil" w:sz="6" w:space="0" w:color="auto"/>
              <w:right w:val="nil" w:sz="6" w:space="0" w:color="auto"/>
            </w:tcBorders>
          </w:tcPr>
          <w:p>
            <w:pPr/>
          </w:p>
        </w:tc>
        <w:tc>
          <w:tcPr>
            <w:tcW w:w="778" w:type="dxa"/>
            <w:tcBorders>
              <w:top w:val="single" w:sz="4" w:space="0" w:color="000000"/>
              <w:left w:val="nil" w:sz="6" w:space="0" w:color="auto"/>
              <w:bottom w:val="nil" w:sz="6" w:space="0" w:color="auto"/>
              <w:right w:val="nil" w:sz="6" w:space="0" w:color="auto"/>
            </w:tcBorders>
          </w:tcPr>
          <w:p>
            <w:pPr/>
          </w:p>
        </w:tc>
        <w:tc>
          <w:tcPr>
            <w:tcW w:w="1048" w:type="dxa"/>
            <w:tcBorders>
              <w:top w:val="single" w:sz="4" w:space="0" w:color="000000"/>
              <w:left w:val="nil" w:sz="6" w:space="0" w:color="auto"/>
              <w:bottom w:val="nil" w:sz="6" w:space="0" w:color="auto"/>
              <w:right w:val="nil" w:sz="6" w:space="0" w:color="auto"/>
            </w:tcBorders>
          </w:tcPr>
          <w:p>
            <w:pPr/>
          </w:p>
        </w:tc>
        <w:tc>
          <w:tcPr>
            <w:tcW w:w="993" w:type="dxa"/>
            <w:tcBorders>
              <w:top w:val="single" w:sz="4" w:space="0" w:color="000000"/>
              <w:left w:val="nil" w:sz="6" w:space="0" w:color="auto"/>
              <w:bottom w:val="nil" w:sz="6" w:space="0" w:color="auto"/>
              <w:right w:val="nil" w:sz="6" w:space="0" w:color="auto"/>
            </w:tcBorders>
          </w:tcPr>
          <w:p>
            <w:pPr/>
          </w:p>
        </w:tc>
        <w:tc>
          <w:tcPr>
            <w:tcW w:w="970" w:type="dxa"/>
            <w:tcBorders>
              <w:top w:val="single" w:sz="4" w:space="0" w:color="000000"/>
              <w:left w:val="nil" w:sz="6" w:space="0" w:color="auto"/>
              <w:bottom w:val="nil" w:sz="6" w:space="0" w:color="auto"/>
              <w:right w:val="nil" w:sz="6" w:space="0" w:color="auto"/>
            </w:tcBorders>
          </w:tcPr>
          <w:p>
            <w:pPr/>
          </w:p>
        </w:tc>
      </w:tr>
      <w:tr>
        <w:trPr>
          <w:trHeight w:val="436" w:hRule="exact"/>
        </w:trPr>
        <w:tc>
          <w:tcPr>
            <w:tcW w:w="1723" w:type="dxa"/>
            <w:tcBorders>
              <w:top w:val="nil" w:sz="6" w:space="0" w:color="auto"/>
              <w:left w:val="nil" w:sz="6" w:space="0" w:color="auto"/>
              <w:bottom w:val="nil" w:sz="6" w:space="0" w:color="auto"/>
              <w:right w:val="nil" w:sz="6" w:space="0" w:color="auto"/>
            </w:tcBorders>
          </w:tcPr>
          <w:p>
            <w:pPr>
              <w:pStyle w:val="TableParagraph"/>
              <w:spacing w:line="183" w:lineRule="exact"/>
              <w:ind w:left="69" w:right="0"/>
              <w:jc w:val="left"/>
              <w:rPr>
                <w:rFonts w:ascii="宋体" w:hAnsi="宋体" w:cs="宋体" w:eastAsia="宋体" w:hint="default"/>
                <w:sz w:val="16"/>
                <w:szCs w:val="16"/>
              </w:rPr>
            </w:pPr>
            <w:r>
              <w:rPr>
                <w:rFonts w:ascii="宋体" w:hAnsi="宋体" w:cs="宋体" w:eastAsia="宋体" w:hint="default"/>
                <w:spacing w:val="14"/>
                <w:sz w:val="16"/>
                <w:szCs w:val="16"/>
              </w:rPr>
              <w:t>可供出售金融资产公</w:t>
            </w:r>
          </w:p>
          <w:p>
            <w:pPr>
              <w:pStyle w:val="TableParagraph"/>
              <w:spacing w:line="209" w:lineRule="exact"/>
              <w:ind w:left="69" w:right="0"/>
              <w:jc w:val="left"/>
              <w:rPr>
                <w:rFonts w:ascii="宋体" w:hAnsi="宋体" w:cs="宋体" w:eastAsia="宋体" w:hint="default"/>
                <w:sz w:val="16"/>
                <w:szCs w:val="16"/>
              </w:rPr>
            </w:pPr>
            <w:r>
              <w:rPr>
                <w:rFonts w:ascii="宋体" w:hAnsi="宋体" w:cs="宋体" w:eastAsia="宋体" w:hint="default"/>
                <w:sz w:val="16"/>
                <w:szCs w:val="16"/>
              </w:rPr>
              <w:t>允价值变动损益</w:t>
            </w:r>
          </w:p>
        </w:tc>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49"/>
              <w:jc w:val="right"/>
              <w:rPr>
                <w:rFonts w:ascii="Times New Roman" w:hAnsi="Times New Roman" w:cs="Times New Roman" w:eastAsia="Times New Roman" w:hint="default"/>
                <w:sz w:val="16"/>
                <w:szCs w:val="16"/>
              </w:rPr>
            </w:pPr>
            <w:r>
              <w:rPr>
                <w:rFonts w:ascii="Times New Roman"/>
                <w:spacing w:val="-6"/>
                <w:sz w:val="16"/>
              </w:rPr>
              <w:t>3,919,746.08</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66" w:right="0"/>
              <w:jc w:val="center"/>
              <w:rPr>
                <w:rFonts w:ascii="Times New Roman" w:hAnsi="Times New Roman" w:cs="Times New Roman" w:eastAsia="Times New Roman" w:hint="default"/>
                <w:sz w:val="16"/>
                <w:szCs w:val="16"/>
              </w:rPr>
            </w:pPr>
            <w:r>
              <w:rPr>
                <w:rFonts w:ascii="Times New Roman"/>
                <w:spacing w:val="-6"/>
                <w:sz w:val="16"/>
              </w:rPr>
              <w:t>-21,002,585.92</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65"/>
              <w:jc w:val="right"/>
              <w:rPr>
                <w:rFonts w:ascii="Times New Roman" w:hAnsi="Times New Roman" w:cs="Times New Roman" w:eastAsia="Times New Roman" w:hint="default"/>
                <w:sz w:val="16"/>
                <w:szCs w:val="16"/>
              </w:rPr>
            </w:pPr>
            <w:r>
              <w:rPr>
                <w:rFonts w:ascii="Times New Roman"/>
                <w:spacing w:val="-5"/>
                <w:sz w:val="16"/>
              </w:rPr>
              <w:t>0.00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7"/>
              <w:jc w:val="right"/>
              <w:rPr>
                <w:rFonts w:ascii="Times New Roman" w:hAnsi="Times New Roman" w:cs="Times New Roman" w:eastAsia="Times New Roman" w:hint="default"/>
                <w:sz w:val="16"/>
                <w:szCs w:val="16"/>
              </w:rPr>
            </w:pPr>
            <w:r>
              <w:rPr>
                <w:rFonts w:ascii="Times New Roman"/>
                <w:spacing w:val="-6"/>
                <w:sz w:val="16"/>
              </w:rPr>
              <w:t>225,613.09</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125" w:right="0"/>
              <w:jc w:val="center"/>
              <w:rPr>
                <w:rFonts w:ascii="Times New Roman" w:hAnsi="Times New Roman" w:cs="Times New Roman" w:eastAsia="Times New Roman" w:hint="default"/>
                <w:sz w:val="16"/>
                <w:szCs w:val="16"/>
              </w:rPr>
            </w:pPr>
            <w:r>
              <w:rPr>
                <w:rFonts w:ascii="Times New Roman"/>
                <w:spacing w:val="-6"/>
                <w:sz w:val="16"/>
              </w:rPr>
              <w:t>-8,034,787.24</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47" w:right="0"/>
              <w:jc w:val="left"/>
              <w:rPr>
                <w:rFonts w:ascii="Times New Roman" w:hAnsi="Times New Roman" w:cs="Times New Roman" w:eastAsia="Times New Roman" w:hint="default"/>
                <w:sz w:val="16"/>
                <w:szCs w:val="16"/>
              </w:rPr>
            </w:pPr>
            <w:r>
              <w:rPr>
                <w:rFonts w:ascii="Times New Roman"/>
                <w:spacing w:val="-6"/>
                <w:sz w:val="16"/>
              </w:rPr>
              <w:t>-13,193,411.77</w:t>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49"/>
              <w:jc w:val="right"/>
              <w:rPr>
                <w:rFonts w:ascii="Times New Roman" w:hAnsi="Times New Roman" w:cs="Times New Roman" w:eastAsia="Times New Roman" w:hint="default"/>
                <w:sz w:val="16"/>
                <w:szCs w:val="16"/>
              </w:rPr>
            </w:pPr>
            <w:r>
              <w:rPr>
                <w:rFonts w:ascii="Times New Roman"/>
                <w:spacing w:val="-6"/>
                <w:sz w:val="16"/>
              </w:rPr>
              <w:t>-4,115,041.16</w:t>
            </w:r>
          </w:p>
        </w:tc>
      </w:tr>
      <w:tr>
        <w:trPr>
          <w:trHeight w:val="269" w:hRule="exact"/>
        </w:trPr>
        <w:tc>
          <w:tcPr>
            <w:tcW w:w="1723" w:type="dxa"/>
            <w:tcBorders>
              <w:top w:val="nil" w:sz="6" w:space="0" w:color="auto"/>
              <w:left w:val="nil" w:sz="6" w:space="0" w:color="auto"/>
              <w:bottom w:val="single" w:sz="4" w:space="0" w:color="000000"/>
              <w:right w:val="nil" w:sz="6" w:space="0" w:color="auto"/>
            </w:tcBorders>
          </w:tcPr>
          <w:p>
            <w:pPr>
              <w:pStyle w:val="TableParagraph"/>
              <w:spacing w:line="240" w:lineRule="auto" w:before="29"/>
              <w:ind w:left="69" w:right="0"/>
              <w:jc w:val="left"/>
              <w:rPr>
                <w:rFonts w:ascii="宋体" w:hAnsi="宋体" w:cs="宋体" w:eastAsia="宋体" w:hint="default"/>
                <w:sz w:val="16"/>
                <w:szCs w:val="16"/>
              </w:rPr>
            </w:pPr>
            <w:r>
              <w:rPr>
                <w:rFonts w:ascii="宋体" w:hAnsi="宋体" w:cs="宋体" w:eastAsia="宋体" w:hint="default"/>
                <w:spacing w:val="-13"/>
                <w:sz w:val="16"/>
                <w:szCs w:val="16"/>
              </w:rPr>
              <w:t>外币财务报表折算差额</w:t>
            </w:r>
          </w:p>
        </w:tc>
        <w:tc>
          <w:tcPr>
            <w:tcW w:w="1032" w:type="dxa"/>
            <w:tcBorders>
              <w:top w:val="nil" w:sz="6" w:space="0" w:color="auto"/>
              <w:left w:val="nil" w:sz="6" w:space="0" w:color="auto"/>
              <w:bottom w:val="single" w:sz="4" w:space="0" w:color="000000"/>
              <w:right w:val="nil" w:sz="6" w:space="0" w:color="auto"/>
            </w:tcBorders>
          </w:tcPr>
          <w:p>
            <w:pPr>
              <w:pStyle w:val="TableParagraph"/>
              <w:spacing w:line="240" w:lineRule="auto" w:before="24"/>
              <w:ind w:right="49"/>
              <w:jc w:val="right"/>
              <w:rPr>
                <w:rFonts w:ascii="Times New Roman" w:hAnsi="Times New Roman" w:cs="Times New Roman" w:eastAsia="Times New Roman" w:hint="default"/>
                <w:sz w:val="16"/>
                <w:szCs w:val="16"/>
              </w:rPr>
            </w:pPr>
            <w:r>
              <w:rPr>
                <w:rFonts w:ascii="Times New Roman"/>
                <w:spacing w:val="-6"/>
                <w:sz w:val="16"/>
              </w:rPr>
              <w:t>-60,624,353.95</w:t>
            </w:r>
          </w:p>
        </w:tc>
        <w:tc>
          <w:tcPr>
            <w:tcW w:w="1075" w:type="dxa"/>
            <w:tcBorders>
              <w:top w:val="nil" w:sz="6" w:space="0" w:color="auto"/>
              <w:left w:val="nil" w:sz="6" w:space="0" w:color="auto"/>
              <w:bottom w:val="single" w:sz="4" w:space="0" w:color="000000"/>
              <w:right w:val="nil" w:sz="6" w:space="0" w:color="auto"/>
            </w:tcBorders>
          </w:tcPr>
          <w:p>
            <w:pPr>
              <w:pStyle w:val="TableParagraph"/>
              <w:spacing w:line="240" w:lineRule="auto" w:before="24"/>
              <w:ind w:left="112" w:right="0"/>
              <w:jc w:val="center"/>
              <w:rPr>
                <w:rFonts w:ascii="Times New Roman" w:hAnsi="Times New Roman" w:cs="Times New Roman" w:eastAsia="Times New Roman" w:hint="default"/>
                <w:sz w:val="16"/>
                <w:szCs w:val="16"/>
              </w:rPr>
            </w:pPr>
            <w:r>
              <w:rPr>
                <w:rFonts w:ascii="Times New Roman"/>
                <w:spacing w:val="-6"/>
                <w:sz w:val="16"/>
              </w:rPr>
              <w:t>24,786,178.59</w:t>
            </w:r>
          </w:p>
        </w:tc>
        <w:tc>
          <w:tcPr>
            <w:tcW w:w="1205" w:type="dxa"/>
            <w:tcBorders>
              <w:top w:val="nil" w:sz="6" w:space="0" w:color="auto"/>
              <w:left w:val="nil" w:sz="6" w:space="0" w:color="auto"/>
              <w:bottom w:val="single" w:sz="4" w:space="0" w:color="000000"/>
              <w:right w:val="nil" w:sz="6" w:space="0" w:color="auto"/>
            </w:tcBorders>
          </w:tcPr>
          <w:p>
            <w:pPr>
              <w:pStyle w:val="TableParagraph"/>
              <w:spacing w:line="240" w:lineRule="auto" w:before="24"/>
              <w:ind w:right="65"/>
              <w:jc w:val="right"/>
              <w:rPr>
                <w:rFonts w:ascii="Times New Roman" w:hAnsi="Times New Roman" w:cs="Times New Roman" w:eastAsia="Times New Roman" w:hint="default"/>
                <w:sz w:val="16"/>
                <w:szCs w:val="16"/>
              </w:rPr>
            </w:pPr>
            <w:r>
              <w:rPr>
                <w:rFonts w:ascii="Times New Roman"/>
                <w:spacing w:val="-6"/>
                <w:sz w:val="16"/>
              </w:rPr>
              <w:t>-335,237.94</w:t>
            </w:r>
          </w:p>
        </w:tc>
        <w:tc>
          <w:tcPr>
            <w:tcW w:w="778" w:type="dxa"/>
            <w:tcBorders>
              <w:top w:val="nil" w:sz="6" w:space="0" w:color="auto"/>
              <w:left w:val="nil" w:sz="6" w:space="0" w:color="auto"/>
              <w:bottom w:val="single" w:sz="4" w:space="0" w:color="000000"/>
              <w:right w:val="nil" w:sz="6" w:space="0" w:color="auto"/>
            </w:tcBorders>
          </w:tcPr>
          <w:p>
            <w:pPr>
              <w:pStyle w:val="TableParagraph"/>
              <w:spacing w:line="240" w:lineRule="auto" w:before="24"/>
              <w:ind w:right="29"/>
              <w:jc w:val="right"/>
              <w:rPr>
                <w:rFonts w:ascii="Times New Roman" w:hAnsi="Times New Roman" w:cs="Times New Roman" w:eastAsia="Times New Roman" w:hint="default"/>
                <w:sz w:val="16"/>
                <w:szCs w:val="16"/>
              </w:rPr>
            </w:pPr>
            <w:r>
              <w:rPr>
                <w:rFonts w:ascii="Times New Roman"/>
                <w:spacing w:val="-5"/>
                <w:sz w:val="16"/>
              </w:rPr>
              <w:t>0.00</w:t>
            </w:r>
          </w:p>
        </w:tc>
        <w:tc>
          <w:tcPr>
            <w:tcW w:w="1048" w:type="dxa"/>
            <w:tcBorders>
              <w:top w:val="nil" w:sz="6" w:space="0" w:color="auto"/>
              <w:left w:val="nil" w:sz="6" w:space="0" w:color="auto"/>
              <w:bottom w:val="single" w:sz="4" w:space="0" w:color="000000"/>
              <w:right w:val="nil" w:sz="6" w:space="0" w:color="auto"/>
            </w:tcBorders>
          </w:tcPr>
          <w:p>
            <w:pPr>
              <w:pStyle w:val="TableParagraph"/>
              <w:spacing w:line="240" w:lineRule="auto" w:before="24"/>
              <w:ind w:left="51" w:right="0"/>
              <w:jc w:val="center"/>
              <w:rPr>
                <w:rFonts w:ascii="Times New Roman" w:hAnsi="Times New Roman" w:cs="Times New Roman" w:eastAsia="Times New Roman" w:hint="default"/>
                <w:sz w:val="16"/>
                <w:szCs w:val="16"/>
              </w:rPr>
            </w:pPr>
            <w:r>
              <w:rPr>
                <w:rFonts w:ascii="Times New Roman"/>
                <w:spacing w:val="-6"/>
                <w:sz w:val="16"/>
              </w:rPr>
              <w:t>-19,973,916.64</w:t>
            </w:r>
          </w:p>
        </w:tc>
        <w:tc>
          <w:tcPr>
            <w:tcW w:w="993" w:type="dxa"/>
            <w:tcBorders>
              <w:top w:val="nil" w:sz="6" w:space="0" w:color="auto"/>
              <w:left w:val="nil" w:sz="6" w:space="0" w:color="auto"/>
              <w:bottom w:val="single" w:sz="4" w:space="0" w:color="000000"/>
              <w:right w:val="nil" w:sz="6" w:space="0" w:color="auto"/>
            </w:tcBorders>
          </w:tcPr>
          <w:p>
            <w:pPr>
              <w:pStyle w:val="TableParagraph"/>
              <w:spacing w:line="240" w:lineRule="auto" w:before="24"/>
              <w:ind w:left="95" w:right="0"/>
              <w:jc w:val="left"/>
              <w:rPr>
                <w:rFonts w:ascii="Times New Roman" w:hAnsi="Times New Roman" w:cs="Times New Roman" w:eastAsia="Times New Roman" w:hint="default"/>
                <w:sz w:val="16"/>
                <w:szCs w:val="16"/>
              </w:rPr>
            </w:pPr>
            <w:r>
              <w:rPr>
                <w:rFonts w:ascii="Times New Roman"/>
                <w:spacing w:val="-6"/>
                <w:sz w:val="16"/>
              </w:rPr>
              <w:t>45,095,333.17</w:t>
            </w:r>
          </w:p>
        </w:tc>
        <w:tc>
          <w:tcPr>
            <w:tcW w:w="970" w:type="dxa"/>
            <w:tcBorders>
              <w:top w:val="nil" w:sz="6" w:space="0" w:color="auto"/>
              <w:left w:val="nil" w:sz="6" w:space="0" w:color="auto"/>
              <w:bottom w:val="single" w:sz="4" w:space="0" w:color="000000"/>
              <w:right w:val="nil" w:sz="6" w:space="0" w:color="auto"/>
            </w:tcBorders>
          </w:tcPr>
          <w:p>
            <w:pPr>
              <w:pStyle w:val="TableParagraph"/>
              <w:spacing w:line="240" w:lineRule="auto" w:before="24"/>
              <w:ind w:right="49"/>
              <w:jc w:val="right"/>
              <w:rPr>
                <w:rFonts w:ascii="Times New Roman" w:hAnsi="Times New Roman" w:cs="Times New Roman" w:eastAsia="Times New Roman" w:hint="default"/>
                <w:sz w:val="16"/>
                <w:szCs w:val="16"/>
              </w:rPr>
            </w:pPr>
            <w:r>
              <w:rPr>
                <w:rFonts w:ascii="Times New Roman"/>
                <w:spacing w:val="-6"/>
                <w:sz w:val="16"/>
              </w:rPr>
              <w:t>-80,598,270.59</w:t>
            </w:r>
          </w:p>
        </w:tc>
      </w:tr>
      <w:tr>
        <w:trPr>
          <w:trHeight w:val="305" w:hRule="exact"/>
        </w:trPr>
        <w:tc>
          <w:tcPr>
            <w:tcW w:w="1723" w:type="dxa"/>
            <w:tcBorders>
              <w:top w:val="single" w:sz="4" w:space="0" w:color="000000"/>
              <w:left w:val="nil" w:sz="6" w:space="0" w:color="auto"/>
              <w:bottom w:val="single" w:sz="12" w:space="0" w:color="000000"/>
              <w:right w:val="nil" w:sz="6" w:space="0" w:color="auto"/>
            </w:tcBorders>
          </w:tcPr>
          <w:p>
            <w:pPr>
              <w:pStyle w:val="TableParagraph"/>
              <w:spacing w:line="240" w:lineRule="auto" w:before="50"/>
              <w:ind w:left="69" w:right="0"/>
              <w:jc w:val="left"/>
              <w:rPr>
                <w:rFonts w:ascii="宋体" w:hAnsi="宋体" w:cs="宋体" w:eastAsia="宋体" w:hint="default"/>
                <w:sz w:val="16"/>
                <w:szCs w:val="16"/>
              </w:rPr>
            </w:pPr>
            <w:r>
              <w:rPr>
                <w:rFonts w:ascii="宋体" w:hAnsi="宋体" w:cs="宋体" w:eastAsia="宋体" w:hint="default"/>
                <w:b/>
                <w:bCs/>
                <w:sz w:val="16"/>
                <w:szCs w:val="16"/>
              </w:rPr>
              <w:t>其他综合收益合计</w:t>
            </w:r>
            <w:r>
              <w:rPr>
                <w:rFonts w:ascii="宋体" w:hAnsi="宋体" w:cs="宋体" w:eastAsia="宋体" w:hint="default"/>
                <w:sz w:val="16"/>
                <w:szCs w:val="16"/>
              </w:rPr>
            </w:r>
          </w:p>
        </w:tc>
        <w:tc>
          <w:tcPr>
            <w:tcW w:w="1032"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47"/>
              <w:jc w:val="right"/>
              <w:rPr>
                <w:rFonts w:ascii="Times New Roman" w:hAnsi="Times New Roman" w:cs="Times New Roman" w:eastAsia="Times New Roman" w:hint="default"/>
                <w:sz w:val="16"/>
                <w:szCs w:val="16"/>
              </w:rPr>
            </w:pPr>
            <w:r>
              <w:rPr>
                <w:rFonts w:ascii="Times New Roman"/>
                <w:b/>
                <w:spacing w:val="-6"/>
                <w:sz w:val="16"/>
              </w:rPr>
              <w:t>259,087,330.74</w:t>
            </w:r>
            <w:r>
              <w:rPr>
                <w:rFonts w:ascii="Times New Roman"/>
                <w:spacing w:val="-6"/>
                <w:sz w:val="16"/>
              </w:rPr>
            </w:r>
          </w:p>
        </w:tc>
        <w:tc>
          <w:tcPr>
            <w:tcW w:w="1075"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0"/>
              <w:jc w:val="center"/>
              <w:rPr>
                <w:rFonts w:ascii="Times New Roman" w:hAnsi="Times New Roman" w:cs="Times New Roman" w:eastAsia="Times New Roman" w:hint="default"/>
                <w:sz w:val="16"/>
                <w:szCs w:val="16"/>
              </w:rPr>
            </w:pPr>
            <w:r>
              <w:rPr>
                <w:rFonts w:ascii="Times New Roman"/>
                <w:b/>
                <w:spacing w:val="-6"/>
                <w:sz w:val="16"/>
              </w:rPr>
              <w:t>-302,230,906.48</w:t>
            </w:r>
            <w:r>
              <w:rPr>
                <w:rFonts w:ascii="Times New Roman"/>
                <w:spacing w:val="-6"/>
                <w:sz w:val="16"/>
              </w:rPr>
            </w:r>
          </w:p>
        </w:tc>
        <w:tc>
          <w:tcPr>
            <w:tcW w:w="1205"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65"/>
              <w:jc w:val="right"/>
              <w:rPr>
                <w:rFonts w:ascii="Times New Roman" w:hAnsi="Times New Roman" w:cs="Times New Roman" w:eastAsia="Times New Roman" w:hint="default"/>
                <w:sz w:val="16"/>
                <w:szCs w:val="16"/>
              </w:rPr>
            </w:pPr>
            <w:r>
              <w:rPr>
                <w:rFonts w:ascii="Times New Roman"/>
                <w:b/>
                <w:spacing w:val="-6"/>
                <w:sz w:val="16"/>
              </w:rPr>
              <w:t>-11,351,416.73</w:t>
            </w:r>
            <w:r>
              <w:rPr>
                <w:rFonts w:ascii="Times New Roman"/>
                <w:spacing w:val="-6"/>
                <w:sz w:val="16"/>
              </w:rPr>
            </w:r>
          </w:p>
        </w:tc>
        <w:tc>
          <w:tcPr>
            <w:tcW w:w="778"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27"/>
              <w:jc w:val="right"/>
              <w:rPr>
                <w:rFonts w:ascii="Times New Roman" w:hAnsi="Times New Roman" w:cs="Times New Roman" w:eastAsia="Times New Roman" w:hint="default"/>
                <w:sz w:val="16"/>
                <w:szCs w:val="16"/>
              </w:rPr>
            </w:pPr>
            <w:r>
              <w:rPr>
                <w:rFonts w:ascii="Times New Roman"/>
                <w:b/>
                <w:spacing w:val="-6"/>
                <w:sz w:val="16"/>
              </w:rPr>
              <w:t>225,613.09</w:t>
            </w:r>
            <w:r>
              <w:rPr>
                <w:rFonts w:ascii="Times New Roman"/>
                <w:spacing w:val="-6"/>
                <w:sz w:val="16"/>
              </w:rPr>
            </w:r>
          </w:p>
        </w:tc>
        <w:tc>
          <w:tcPr>
            <w:tcW w:w="1048"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16"/>
              <w:jc w:val="center"/>
              <w:rPr>
                <w:rFonts w:ascii="Times New Roman" w:hAnsi="Times New Roman" w:cs="Times New Roman" w:eastAsia="Times New Roman" w:hint="default"/>
                <w:sz w:val="16"/>
                <w:szCs w:val="16"/>
              </w:rPr>
            </w:pPr>
            <w:r>
              <w:rPr>
                <w:rFonts w:ascii="Times New Roman"/>
                <w:b/>
                <w:spacing w:val="-6"/>
                <w:sz w:val="16"/>
              </w:rPr>
              <w:t>-321,130,048.26</w:t>
            </w:r>
            <w:r>
              <w:rPr>
                <w:rFonts w:ascii="Times New Roman"/>
                <w:spacing w:val="-6"/>
                <w:sz w:val="16"/>
              </w:rPr>
            </w:r>
          </w:p>
        </w:tc>
        <w:tc>
          <w:tcPr>
            <w:tcW w:w="993"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left="95" w:right="0"/>
              <w:jc w:val="left"/>
              <w:rPr>
                <w:rFonts w:ascii="Times New Roman" w:hAnsi="Times New Roman" w:cs="Times New Roman" w:eastAsia="Times New Roman" w:hint="default"/>
                <w:sz w:val="16"/>
                <w:szCs w:val="16"/>
              </w:rPr>
            </w:pPr>
            <w:r>
              <w:rPr>
                <w:rFonts w:ascii="Times New Roman"/>
                <w:b/>
                <w:spacing w:val="-6"/>
                <w:sz w:val="16"/>
              </w:rPr>
              <w:t>30,024,945.42</w:t>
            </w:r>
            <w:r>
              <w:rPr>
                <w:rFonts w:ascii="Times New Roman"/>
                <w:spacing w:val="-6"/>
                <w:sz w:val="16"/>
              </w:rPr>
            </w:r>
          </w:p>
        </w:tc>
        <w:tc>
          <w:tcPr>
            <w:tcW w:w="970"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49"/>
              <w:jc w:val="right"/>
              <w:rPr>
                <w:rFonts w:ascii="Times New Roman" w:hAnsi="Times New Roman" w:cs="Times New Roman" w:eastAsia="Times New Roman" w:hint="default"/>
                <w:sz w:val="16"/>
                <w:szCs w:val="16"/>
              </w:rPr>
            </w:pPr>
            <w:r>
              <w:rPr>
                <w:rFonts w:ascii="Times New Roman"/>
                <w:b/>
                <w:spacing w:val="-6"/>
                <w:sz w:val="16"/>
              </w:rPr>
              <w:t>-62,042,717.52</w:t>
            </w:r>
            <w:r>
              <w:rPr>
                <w:rFonts w:ascii="Times New Roman"/>
                <w:spacing w:val="-6"/>
                <w:sz w:val="16"/>
              </w:rPr>
            </w:r>
          </w:p>
        </w:tc>
      </w:tr>
    </w:tbl>
    <w:p>
      <w:pPr>
        <w:spacing w:before="81"/>
        <w:ind w:left="705" w:right="62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43.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盈余公积</w:t>
      </w:r>
    </w:p>
    <w:p>
      <w:pPr>
        <w:spacing w:line="240" w:lineRule="auto" w:before="8"/>
        <w:rPr>
          <w:rFonts w:ascii="宋体" w:hAnsi="宋体" w:cs="宋体" w:eastAsia="宋体" w:hint="default"/>
          <w:sz w:val="11"/>
          <w:szCs w:val="11"/>
        </w:rPr>
      </w:pPr>
    </w:p>
    <w:tbl>
      <w:tblPr>
        <w:tblW w:w="0" w:type="auto"/>
        <w:jc w:val="left"/>
        <w:tblInd w:w="194" w:type="dxa"/>
        <w:tblLayout w:type="fixed"/>
        <w:tblCellMar>
          <w:top w:w="0" w:type="dxa"/>
          <w:left w:w="0" w:type="dxa"/>
          <w:bottom w:w="0" w:type="dxa"/>
          <w:right w:w="0" w:type="dxa"/>
        </w:tblCellMar>
        <w:tblLook w:val="01E0"/>
      </w:tblPr>
      <w:tblGrid>
        <w:gridCol w:w="1721"/>
        <w:gridCol w:w="1968"/>
        <w:gridCol w:w="1947"/>
        <w:gridCol w:w="1543"/>
        <w:gridCol w:w="1546"/>
      </w:tblGrid>
      <w:tr>
        <w:trPr>
          <w:trHeight w:val="305" w:hRule="exact"/>
        </w:trPr>
        <w:tc>
          <w:tcPr>
            <w:tcW w:w="172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6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307"/>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c>
          <w:tcPr>
            <w:tcW w:w="194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509"/>
              <w:jc w:val="right"/>
              <w:rPr>
                <w:rFonts w:ascii="宋体" w:hAnsi="宋体" w:cs="宋体" w:eastAsia="宋体" w:hint="default"/>
                <w:sz w:val="18"/>
                <w:szCs w:val="18"/>
              </w:rPr>
            </w:pPr>
            <w:r>
              <w:rPr>
                <w:rFonts w:ascii="宋体" w:hAnsi="宋体" w:cs="宋体" w:eastAsia="宋体" w:hint="default"/>
                <w:b/>
                <w:bCs/>
                <w:w w:val="95"/>
                <w:sz w:val="18"/>
                <w:szCs w:val="18"/>
              </w:rPr>
              <w:t>本年增加</w:t>
            </w:r>
            <w:r>
              <w:rPr>
                <w:rFonts w:ascii="宋体" w:hAnsi="宋体" w:cs="宋体" w:eastAsia="宋体" w:hint="default"/>
                <w:sz w:val="18"/>
                <w:szCs w:val="18"/>
              </w:rPr>
            </w:r>
          </w:p>
        </w:tc>
        <w:tc>
          <w:tcPr>
            <w:tcW w:w="154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308"/>
              <w:jc w:val="right"/>
              <w:rPr>
                <w:rFonts w:ascii="宋体" w:hAnsi="宋体" w:cs="宋体" w:eastAsia="宋体" w:hint="default"/>
                <w:sz w:val="18"/>
                <w:szCs w:val="18"/>
              </w:rPr>
            </w:pPr>
            <w:r>
              <w:rPr>
                <w:rFonts w:ascii="宋体" w:hAnsi="宋体" w:cs="宋体" w:eastAsia="宋体" w:hint="default"/>
                <w:b/>
                <w:bCs/>
                <w:w w:val="95"/>
                <w:sz w:val="18"/>
                <w:szCs w:val="18"/>
              </w:rPr>
              <w:t>本年减少</w:t>
            </w:r>
            <w:r>
              <w:rPr>
                <w:rFonts w:ascii="宋体" w:hAnsi="宋体" w:cs="宋体" w:eastAsia="宋体" w:hint="default"/>
                <w:sz w:val="18"/>
                <w:szCs w:val="18"/>
              </w:rPr>
            </w:r>
          </w:p>
        </w:tc>
        <w:tc>
          <w:tcPr>
            <w:tcW w:w="154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r>
      <w:tr>
        <w:trPr>
          <w:trHeight w:val="324" w:hRule="exact"/>
        </w:trPr>
        <w:tc>
          <w:tcPr>
            <w:tcW w:w="1721"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6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307"/>
              <w:jc w:val="right"/>
              <w:rPr>
                <w:rFonts w:ascii="Times New Roman" w:hAnsi="Times New Roman" w:cs="Times New Roman" w:eastAsia="Times New Roman" w:hint="default"/>
                <w:sz w:val="18"/>
                <w:szCs w:val="18"/>
              </w:rPr>
            </w:pPr>
            <w:r>
              <w:rPr>
                <w:rFonts w:ascii="Times New Roman"/>
                <w:spacing w:val="-1"/>
                <w:sz w:val="18"/>
              </w:rPr>
              <w:t>690,474,345.42</w:t>
            </w:r>
          </w:p>
        </w:tc>
        <w:tc>
          <w:tcPr>
            <w:tcW w:w="1947"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509"/>
              <w:jc w:val="right"/>
              <w:rPr>
                <w:rFonts w:ascii="Times New Roman" w:hAnsi="Times New Roman" w:cs="Times New Roman" w:eastAsia="Times New Roman" w:hint="default"/>
                <w:sz w:val="18"/>
                <w:szCs w:val="18"/>
              </w:rPr>
            </w:pPr>
            <w:r>
              <w:rPr>
                <w:rFonts w:ascii="Times New Roman"/>
                <w:spacing w:val="-1"/>
                <w:sz w:val="18"/>
              </w:rPr>
              <w:t>126,159,337.00</w:t>
            </w:r>
          </w:p>
        </w:tc>
        <w:tc>
          <w:tcPr>
            <w:tcW w:w="1543"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309"/>
              <w:jc w:val="right"/>
              <w:rPr>
                <w:rFonts w:ascii="Times New Roman" w:hAnsi="Times New Roman" w:cs="Times New Roman" w:eastAsia="Times New Roman" w:hint="default"/>
                <w:sz w:val="18"/>
                <w:szCs w:val="18"/>
              </w:rPr>
            </w:pPr>
            <w:r>
              <w:rPr>
                <w:rFonts w:ascii="Times New Roman"/>
                <w:spacing w:val="-1"/>
                <w:sz w:val="18"/>
              </w:rPr>
              <w:t>0.00</w:t>
            </w:r>
          </w:p>
        </w:tc>
        <w:tc>
          <w:tcPr>
            <w:tcW w:w="1546"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816,633,682.42</w:t>
            </w:r>
          </w:p>
        </w:tc>
      </w:tr>
      <w:tr>
        <w:trPr>
          <w:trHeight w:val="257" w:hRule="exact"/>
        </w:trPr>
        <w:tc>
          <w:tcPr>
            <w:tcW w:w="1721" w:type="dxa"/>
            <w:tcBorders>
              <w:top w:val="nil" w:sz="6" w:space="0" w:color="auto"/>
              <w:left w:val="nil" w:sz="6" w:space="0" w:color="auto"/>
              <w:bottom w:val="single" w:sz="4" w:space="0" w:color="000000"/>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任意盈余公积</w:t>
            </w:r>
          </w:p>
        </w:tc>
        <w:tc>
          <w:tcPr>
            <w:tcW w:w="1968"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310"/>
              <w:jc w:val="right"/>
              <w:rPr>
                <w:rFonts w:ascii="Times New Roman" w:hAnsi="Times New Roman" w:cs="Times New Roman" w:eastAsia="Times New Roman" w:hint="default"/>
                <w:sz w:val="18"/>
                <w:szCs w:val="18"/>
              </w:rPr>
            </w:pPr>
            <w:r>
              <w:rPr>
                <w:rFonts w:ascii="Times New Roman"/>
                <w:spacing w:val="-1"/>
                <w:sz w:val="18"/>
              </w:rPr>
              <w:t>67,644,490.85</w:t>
            </w:r>
          </w:p>
        </w:tc>
        <w:tc>
          <w:tcPr>
            <w:tcW w:w="194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510"/>
              <w:jc w:val="right"/>
              <w:rPr>
                <w:rFonts w:ascii="Times New Roman" w:hAnsi="Times New Roman" w:cs="Times New Roman" w:eastAsia="Times New Roman" w:hint="default"/>
                <w:sz w:val="18"/>
                <w:szCs w:val="18"/>
              </w:rPr>
            </w:pPr>
            <w:r>
              <w:rPr>
                <w:rFonts w:ascii="Times New Roman"/>
                <w:spacing w:val="-1"/>
                <w:sz w:val="18"/>
              </w:rPr>
              <w:t>0.00</w:t>
            </w:r>
          </w:p>
        </w:tc>
        <w:tc>
          <w:tcPr>
            <w:tcW w:w="1543"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309"/>
              <w:jc w:val="right"/>
              <w:rPr>
                <w:rFonts w:ascii="Times New Roman" w:hAnsi="Times New Roman" w:cs="Times New Roman" w:eastAsia="Times New Roman" w:hint="default"/>
                <w:sz w:val="18"/>
                <w:szCs w:val="18"/>
              </w:rPr>
            </w:pPr>
            <w:r>
              <w:rPr>
                <w:rFonts w:ascii="Times New Roman"/>
                <w:spacing w:val="-1"/>
                <w:sz w:val="18"/>
              </w:rPr>
              <w:t>0.00</w:t>
            </w:r>
          </w:p>
        </w:tc>
        <w:tc>
          <w:tcPr>
            <w:tcW w:w="1546"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67,644,490.85</w:t>
            </w:r>
          </w:p>
        </w:tc>
      </w:tr>
      <w:tr>
        <w:trPr>
          <w:trHeight w:val="305" w:hRule="exact"/>
        </w:trPr>
        <w:tc>
          <w:tcPr>
            <w:tcW w:w="1721"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68"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307"/>
              <w:jc w:val="right"/>
              <w:rPr>
                <w:rFonts w:ascii="Times New Roman" w:hAnsi="Times New Roman" w:cs="Times New Roman" w:eastAsia="Times New Roman" w:hint="default"/>
                <w:sz w:val="18"/>
                <w:szCs w:val="18"/>
              </w:rPr>
            </w:pPr>
            <w:r>
              <w:rPr>
                <w:rFonts w:ascii="Times New Roman"/>
                <w:b/>
                <w:spacing w:val="-1"/>
                <w:sz w:val="18"/>
              </w:rPr>
              <w:t>758,118,836.27</w:t>
            </w:r>
            <w:r>
              <w:rPr>
                <w:rFonts w:ascii="Times New Roman"/>
                <w:spacing w:val="-1"/>
                <w:sz w:val="18"/>
              </w:rPr>
            </w:r>
          </w:p>
        </w:tc>
        <w:tc>
          <w:tcPr>
            <w:tcW w:w="1947"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509"/>
              <w:jc w:val="right"/>
              <w:rPr>
                <w:rFonts w:ascii="Times New Roman" w:hAnsi="Times New Roman" w:cs="Times New Roman" w:eastAsia="Times New Roman" w:hint="default"/>
                <w:sz w:val="18"/>
                <w:szCs w:val="18"/>
              </w:rPr>
            </w:pPr>
            <w:r>
              <w:rPr>
                <w:rFonts w:ascii="Times New Roman"/>
                <w:b/>
                <w:spacing w:val="-1"/>
                <w:sz w:val="18"/>
              </w:rPr>
              <w:t>126,159,337.00</w:t>
            </w:r>
            <w:r>
              <w:rPr>
                <w:rFonts w:ascii="Times New Roman"/>
                <w:spacing w:val="-1"/>
                <w:sz w:val="18"/>
              </w:rPr>
            </w:r>
          </w:p>
        </w:tc>
        <w:tc>
          <w:tcPr>
            <w:tcW w:w="1543"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309"/>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546"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8"/>
              <w:jc w:val="right"/>
              <w:rPr>
                <w:rFonts w:ascii="Times New Roman" w:hAnsi="Times New Roman" w:cs="Times New Roman" w:eastAsia="Times New Roman" w:hint="default"/>
                <w:sz w:val="18"/>
                <w:szCs w:val="18"/>
              </w:rPr>
            </w:pPr>
            <w:r>
              <w:rPr>
                <w:rFonts w:ascii="Times New Roman"/>
                <w:b/>
                <w:spacing w:val="-1"/>
                <w:sz w:val="18"/>
              </w:rPr>
              <w:t>884,278,173.27</w:t>
            </w:r>
            <w:r>
              <w:rPr>
                <w:rFonts w:ascii="Times New Roman"/>
                <w:spacing w:val="-1"/>
                <w:sz w:val="18"/>
              </w:rPr>
            </w:r>
          </w:p>
        </w:tc>
      </w:tr>
    </w:tbl>
    <w:p>
      <w:pPr>
        <w:spacing w:before="81"/>
        <w:ind w:left="705" w:right="62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44.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未分配利润</w:t>
      </w:r>
    </w:p>
    <w:p>
      <w:pPr>
        <w:spacing w:line="240" w:lineRule="auto" w:before="8"/>
        <w:rPr>
          <w:rFonts w:ascii="宋体" w:hAnsi="宋体" w:cs="宋体" w:eastAsia="宋体" w:hint="default"/>
          <w:sz w:val="11"/>
          <w:szCs w:val="11"/>
        </w:rPr>
      </w:pPr>
    </w:p>
    <w:tbl>
      <w:tblPr>
        <w:tblW w:w="0" w:type="auto"/>
        <w:jc w:val="left"/>
        <w:tblInd w:w="194" w:type="dxa"/>
        <w:tblLayout w:type="fixed"/>
        <w:tblCellMar>
          <w:top w:w="0" w:type="dxa"/>
          <w:left w:w="0" w:type="dxa"/>
          <w:bottom w:w="0" w:type="dxa"/>
          <w:right w:w="0" w:type="dxa"/>
        </w:tblCellMar>
        <w:tblLook w:val="01E0"/>
      </w:tblPr>
      <w:tblGrid>
        <w:gridCol w:w="4094"/>
        <w:gridCol w:w="2724"/>
        <w:gridCol w:w="1908"/>
      </w:tblGrid>
      <w:tr>
        <w:trPr>
          <w:trHeight w:val="305" w:hRule="exact"/>
        </w:trPr>
        <w:tc>
          <w:tcPr>
            <w:tcW w:w="409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72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533"/>
              <w:jc w:val="right"/>
              <w:rPr>
                <w:rFonts w:ascii="宋体" w:hAnsi="宋体" w:cs="宋体" w:eastAsia="宋体" w:hint="default"/>
                <w:sz w:val="18"/>
                <w:szCs w:val="18"/>
              </w:rPr>
            </w:pPr>
            <w:r>
              <w:rPr>
                <w:rFonts w:ascii="宋体" w:hAnsi="宋体" w:cs="宋体" w:eastAsia="宋体" w:hint="default"/>
                <w:b/>
                <w:bCs/>
                <w:sz w:val="18"/>
                <w:szCs w:val="18"/>
              </w:rPr>
              <w:t>本年</w:t>
            </w:r>
            <w:r>
              <w:rPr>
                <w:rFonts w:ascii="宋体" w:hAnsi="宋体" w:cs="宋体" w:eastAsia="宋体" w:hint="default"/>
                <w:sz w:val="18"/>
                <w:szCs w:val="18"/>
              </w:rPr>
            </w:r>
          </w:p>
        </w:tc>
        <w:tc>
          <w:tcPr>
            <w:tcW w:w="190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10"/>
              <w:jc w:val="right"/>
              <w:rPr>
                <w:rFonts w:ascii="宋体" w:hAnsi="宋体" w:cs="宋体" w:eastAsia="宋体" w:hint="default"/>
                <w:sz w:val="18"/>
                <w:szCs w:val="18"/>
              </w:rPr>
            </w:pPr>
            <w:r>
              <w:rPr>
                <w:rFonts w:ascii="宋体" w:hAnsi="宋体" w:cs="宋体" w:eastAsia="宋体" w:hint="default"/>
                <w:b/>
                <w:bCs/>
                <w:w w:val="95"/>
                <w:sz w:val="18"/>
                <w:szCs w:val="18"/>
              </w:rPr>
              <w:t>上年</w:t>
            </w:r>
            <w:r>
              <w:rPr>
                <w:rFonts w:ascii="宋体" w:hAnsi="宋体" w:cs="宋体" w:eastAsia="宋体" w:hint="default"/>
                <w:sz w:val="18"/>
                <w:szCs w:val="18"/>
              </w:rPr>
            </w:r>
          </w:p>
        </w:tc>
      </w:tr>
      <w:tr>
        <w:trPr>
          <w:trHeight w:val="327" w:hRule="exact"/>
        </w:trPr>
        <w:tc>
          <w:tcPr>
            <w:tcW w:w="4094"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上年年末余额</w:t>
            </w:r>
            <w:r>
              <w:rPr>
                <w:rFonts w:ascii="宋体" w:hAnsi="宋体" w:cs="宋体" w:eastAsia="宋体" w:hint="default"/>
                <w:sz w:val="18"/>
                <w:szCs w:val="18"/>
              </w:rPr>
            </w:r>
          </w:p>
        </w:tc>
        <w:tc>
          <w:tcPr>
            <w:tcW w:w="2724" w:type="dxa"/>
            <w:tcBorders>
              <w:top w:val="single" w:sz="4" w:space="0" w:color="000000"/>
              <w:left w:val="nil" w:sz="6" w:space="0" w:color="auto"/>
              <w:bottom w:val="nil" w:sz="6" w:space="0" w:color="auto"/>
              <w:right w:val="nil" w:sz="6" w:space="0" w:color="auto"/>
            </w:tcBorders>
          </w:tcPr>
          <w:p>
            <w:pPr>
              <w:pStyle w:val="TableParagraph"/>
              <w:spacing w:line="240" w:lineRule="auto" w:before="79"/>
              <w:ind w:right="536"/>
              <w:jc w:val="right"/>
              <w:rPr>
                <w:rFonts w:ascii="Times New Roman" w:hAnsi="Times New Roman" w:cs="Times New Roman" w:eastAsia="Times New Roman" w:hint="default"/>
                <w:sz w:val="18"/>
                <w:szCs w:val="18"/>
              </w:rPr>
            </w:pPr>
            <w:r>
              <w:rPr>
                <w:rFonts w:ascii="Times New Roman"/>
                <w:b/>
                <w:spacing w:val="-1"/>
                <w:sz w:val="18"/>
              </w:rPr>
              <w:t>3,512,346,548.71</w:t>
            </w:r>
            <w:r>
              <w:rPr>
                <w:rFonts w:ascii="Times New Roman"/>
                <w:spacing w:val="-1"/>
                <w:sz w:val="18"/>
              </w:rPr>
            </w:r>
          </w:p>
        </w:tc>
        <w:tc>
          <w:tcPr>
            <w:tcW w:w="1908" w:type="dxa"/>
            <w:tcBorders>
              <w:top w:val="single" w:sz="4" w:space="0" w:color="000000"/>
              <w:left w:val="nil" w:sz="6" w:space="0" w:color="auto"/>
              <w:bottom w:val="nil" w:sz="6" w:space="0" w:color="auto"/>
              <w:right w:val="nil" w:sz="6" w:space="0" w:color="auto"/>
            </w:tcBorders>
          </w:tcPr>
          <w:p>
            <w:pPr>
              <w:pStyle w:val="TableParagraph"/>
              <w:spacing w:line="240" w:lineRule="auto" w:before="79"/>
              <w:ind w:right="110"/>
              <w:jc w:val="right"/>
              <w:rPr>
                <w:rFonts w:ascii="Times New Roman" w:hAnsi="Times New Roman" w:cs="Times New Roman" w:eastAsia="Times New Roman" w:hint="default"/>
                <w:sz w:val="18"/>
                <w:szCs w:val="18"/>
              </w:rPr>
            </w:pPr>
            <w:r>
              <w:rPr>
                <w:rFonts w:ascii="Times New Roman"/>
                <w:b/>
                <w:spacing w:val="-1"/>
                <w:sz w:val="18"/>
              </w:rPr>
              <w:t>3,052,057,061.10</w:t>
            </w:r>
            <w:r>
              <w:rPr>
                <w:rFonts w:ascii="Times New Roman"/>
                <w:spacing w:val="-1"/>
                <w:sz w:val="18"/>
              </w:rPr>
            </w:r>
          </w:p>
        </w:tc>
      </w:tr>
      <w:tr>
        <w:trPr>
          <w:trHeight w:val="282" w:hRule="exact"/>
        </w:trPr>
        <w:tc>
          <w:tcPr>
            <w:tcW w:w="4094" w:type="dxa"/>
            <w:tcBorders>
              <w:top w:val="nil" w:sz="6" w:space="0" w:color="auto"/>
              <w:left w:val="nil" w:sz="6" w:space="0" w:color="auto"/>
              <w:bottom w:val="nil" w:sz="6" w:space="0" w:color="auto"/>
              <w:right w:val="nil" w:sz="6" w:space="0" w:color="auto"/>
            </w:tcBorders>
          </w:tcPr>
          <w:p>
            <w:pPr>
              <w:pStyle w:val="TableParagraph"/>
              <w:spacing w:line="219" w:lineRule="exact"/>
              <w:ind w:left="108" w:right="0"/>
              <w:jc w:val="left"/>
              <w:rPr>
                <w:rFonts w:ascii="宋体" w:hAnsi="宋体" w:cs="宋体" w:eastAsia="宋体" w:hint="default"/>
                <w:sz w:val="18"/>
                <w:szCs w:val="18"/>
              </w:rPr>
            </w:pPr>
            <w:r>
              <w:rPr>
                <w:rFonts w:ascii="宋体" w:hAnsi="宋体" w:cs="宋体" w:eastAsia="宋体" w:hint="default"/>
                <w:sz w:val="18"/>
                <w:szCs w:val="18"/>
              </w:rPr>
              <w:t>加：年初未分配利润调整数</w:t>
            </w:r>
          </w:p>
        </w:tc>
        <w:tc>
          <w:tcPr>
            <w:tcW w:w="272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37"/>
              <w:jc w:val="right"/>
              <w:rPr>
                <w:rFonts w:ascii="Times New Roman" w:hAnsi="Times New Roman" w:cs="Times New Roman" w:eastAsia="Times New Roman" w:hint="default"/>
                <w:sz w:val="18"/>
                <w:szCs w:val="18"/>
              </w:rPr>
            </w:pPr>
            <w:r>
              <w:rPr>
                <w:rFonts w:ascii="Times New Roman"/>
                <w:spacing w:val="-1"/>
                <w:sz w:val="18"/>
              </w:rPr>
              <w:t>0.00</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9"/>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8" w:hRule="exact"/>
        </w:trPr>
        <w:tc>
          <w:tcPr>
            <w:tcW w:w="409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b/>
                <w:bCs/>
                <w:sz w:val="18"/>
                <w:szCs w:val="18"/>
              </w:rPr>
              <w:t>本年年初余额</w:t>
            </w:r>
            <w:r>
              <w:rPr>
                <w:rFonts w:ascii="宋体" w:hAnsi="宋体" w:cs="宋体" w:eastAsia="宋体" w:hint="default"/>
                <w:sz w:val="18"/>
                <w:szCs w:val="18"/>
              </w:rPr>
            </w:r>
          </w:p>
        </w:tc>
        <w:tc>
          <w:tcPr>
            <w:tcW w:w="272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36"/>
              <w:jc w:val="right"/>
              <w:rPr>
                <w:rFonts w:ascii="Times New Roman" w:hAnsi="Times New Roman" w:cs="Times New Roman" w:eastAsia="Times New Roman" w:hint="default"/>
                <w:sz w:val="18"/>
                <w:szCs w:val="18"/>
              </w:rPr>
            </w:pPr>
            <w:r>
              <w:rPr>
                <w:rFonts w:ascii="Times New Roman"/>
                <w:b/>
                <w:spacing w:val="-1"/>
                <w:sz w:val="18"/>
              </w:rPr>
              <w:t>3,512,346,548.71</w:t>
            </w:r>
            <w:r>
              <w:rPr>
                <w:rFonts w:ascii="Times New Roman"/>
                <w:spacing w:val="-1"/>
                <w:sz w:val="18"/>
              </w:rPr>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0"/>
              <w:jc w:val="right"/>
              <w:rPr>
                <w:rFonts w:ascii="Times New Roman" w:hAnsi="Times New Roman" w:cs="Times New Roman" w:eastAsia="Times New Roman" w:hint="default"/>
                <w:sz w:val="18"/>
                <w:szCs w:val="18"/>
              </w:rPr>
            </w:pPr>
            <w:r>
              <w:rPr>
                <w:rFonts w:ascii="Times New Roman"/>
                <w:b/>
                <w:spacing w:val="-1"/>
                <w:sz w:val="18"/>
              </w:rPr>
              <w:t>3,052,057,061.10</w:t>
            </w:r>
            <w:r>
              <w:rPr>
                <w:rFonts w:ascii="Times New Roman"/>
                <w:spacing w:val="-1"/>
                <w:sz w:val="18"/>
              </w:rPr>
            </w:r>
          </w:p>
        </w:tc>
      </w:tr>
      <w:tr>
        <w:trPr>
          <w:trHeight w:val="283" w:hRule="exact"/>
        </w:trPr>
        <w:tc>
          <w:tcPr>
            <w:tcW w:w="4094" w:type="dxa"/>
            <w:tcBorders>
              <w:top w:val="nil" w:sz="6" w:space="0" w:color="auto"/>
              <w:left w:val="nil" w:sz="6" w:space="0" w:color="auto"/>
              <w:bottom w:val="nil" w:sz="6" w:space="0" w:color="auto"/>
              <w:right w:val="nil" w:sz="6" w:space="0" w:color="auto"/>
            </w:tcBorders>
          </w:tcPr>
          <w:p>
            <w:pPr>
              <w:pStyle w:val="TableParagraph"/>
              <w:spacing w:line="221" w:lineRule="exact"/>
              <w:ind w:left="108" w:right="0"/>
              <w:jc w:val="left"/>
              <w:rPr>
                <w:rFonts w:ascii="宋体" w:hAnsi="宋体" w:cs="宋体" w:eastAsia="宋体" w:hint="default"/>
                <w:sz w:val="18"/>
                <w:szCs w:val="18"/>
              </w:rPr>
            </w:pPr>
            <w:r>
              <w:rPr>
                <w:rFonts w:ascii="宋体" w:hAnsi="宋体" w:cs="宋体" w:eastAsia="宋体" w:hint="default"/>
                <w:sz w:val="18"/>
                <w:szCs w:val="18"/>
              </w:rPr>
              <w:t>加：本年归属于母公司所有者的净利润</w:t>
            </w:r>
          </w:p>
        </w:tc>
        <w:tc>
          <w:tcPr>
            <w:tcW w:w="2724"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536"/>
              <w:jc w:val="right"/>
              <w:rPr>
                <w:rFonts w:ascii="Times New Roman" w:hAnsi="Times New Roman" w:cs="Times New Roman" w:eastAsia="Times New Roman" w:hint="default"/>
                <w:sz w:val="18"/>
                <w:szCs w:val="18"/>
              </w:rPr>
            </w:pPr>
            <w:r>
              <w:rPr>
                <w:rFonts w:ascii="Times New Roman"/>
                <w:spacing w:val="-1"/>
                <w:sz w:val="18"/>
              </w:rPr>
              <w:t>1,261,593,370.02</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8"/>
              <w:jc w:val="right"/>
              <w:rPr>
                <w:rFonts w:ascii="Times New Roman" w:hAnsi="Times New Roman" w:cs="Times New Roman" w:eastAsia="Times New Roman" w:hint="default"/>
                <w:sz w:val="18"/>
                <w:szCs w:val="18"/>
              </w:rPr>
            </w:pPr>
            <w:r>
              <w:rPr>
                <w:rFonts w:ascii="Times New Roman"/>
                <w:spacing w:val="-1"/>
                <w:sz w:val="18"/>
              </w:rPr>
              <w:t>755,641,901.57</w:t>
            </w:r>
          </w:p>
        </w:tc>
      </w:tr>
      <w:tr>
        <w:trPr>
          <w:trHeight w:val="284" w:hRule="exact"/>
        </w:trPr>
        <w:tc>
          <w:tcPr>
            <w:tcW w:w="409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7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35"/>
              <w:jc w:val="right"/>
              <w:rPr>
                <w:rFonts w:ascii="Times New Roman" w:hAnsi="Times New Roman" w:cs="Times New Roman" w:eastAsia="Times New Roman" w:hint="default"/>
                <w:sz w:val="18"/>
                <w:szCs w:val="18"/>
              </w:rPr>
            </w:pPr>
            <w:r>
              <w:rPr>
                <w:rFonts w:ascii="Times New Roman"/>
                <w:spacing w:val="-1"/>
                <w:sz w:val="18"/>
              </w:rPr>
              <w:t>126,159,337.00</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75,564,190.16</w:t>
            </w:r>
          </w:p>
        </w:tc>
      </w:tr>
      <w:tr>
        <w:trPr>
          <w:trHeight w:val="284" w:hRule="exact"/>
        </w:trPr>
        <w:tc>
          <w:tcPr>
            <w:tcW w:w="4094" w:type="dxa"/>
            <w:tcBorders>
              <w:top w:val="nil" w:sz="6" w:space="0" w:color="auto"/>
              <w:left w:val="nil" w:sz="6" w:space="0" w:color="auto"/>
              <w:bottom w:val="nil" w:sz="6" w:space="0" w:color="auto"/>
              <w:right w:val="nil" w:sz="6" w:space="0" w:color="auto"/>
            </w:tcBorders>
          </w:tcPr>
          <w:p>
            <w:pPr>
              <w:pStyle w:val="TableParagraph"/>
              <w:spacing w:line="222" w:lineRule="exact"/>
              <w:ind w:left="467"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72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35"/>
              <w:jc w:val="right"/>
              <w:rPr>
                <w:rFonts w:ascii="Times New Roman" w:hAnsi="Times New Roman" w:cs="Times New Roman" w:eastAsia="Times New Roman" w:hint="default"/>
                <w:sz w:val="18"/>
                <w:szCs w:val="18"/>
              </w:rPr>
            </w:pPr>
            <w:r>
              <w:rPr>
                <w:rFonts w:ascii="Times New Roman"/>
                <w:spacing w:val="-1"/>
                <w:sz w:val="18"/>
              </w:rPr>
              <w:t>237,111,916.08</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219,788,223.80</w:t>
            </w:r>
          </w:p>
        </w:tc>
      </w:tr>
      <w:tr>
        <w:trPr>
          <w:trHeight w:val="267" w:hRule="exact"/>
        </w:trPr>
        <w:tc>
          <w:tcPr>
            <w:tcW w:w="4094" w:type="dxa"/>
            <w:tcBorders>
              <w:top w:val="nil" w:sz="6" w:space="0" w:color="auto"/>
              <w:left w:val="nil" w:sz="6" w:space="0" w:color="auto"/>
              <w:bottom w:val="single" w:sz="12"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b/>
                <w:bCs/>
                <w:sz w:val="18"/>
                <w:szCs w:val="18"/>
              </w:rPr>
              <w:t>本年年末余额</w:t>
            </w:r>
            <w:r>
              <w:rPr>
                <w:rFonts w:ascii="宋体" w:hAnsi="宋体" w:cs="宋体" w:eastAsia="宋体" w:hint="default"/>
                <w:sz w:val="18"/>
                <w:szCs w:val="18"/>
              </w:rPr>
            </w:r>
          </w:p>
        </w:tc>
        <w:tc>
          <w:tcPr>
            <w:tcW w:w="2724"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right="536"/>
              <w:jc w:val="right"/>
              <w:rPr>
                <w:rFonts w:ascii="Times New Roman" w:hAnsi="Times New Roman" w:cs="Times New Roman" w:eastAsia="Times New Roman" w:hint="default"/>
                <w:sz w:val="18"/>
                <w:szCs w:val="18"/>
              </w:rPr>
            </w:pPr>
            <w:r>
              <w:rPr>
                <w:rFonts w:ascii="Times New Roman"/>
                <w:b/>
                <w:spacing w:val="-1"/>
                <w:sz w:val="18"/>
              </w:rPr>
              <w:t>4,410,668,665.65</w:t>
            </w:r>
            <w:r>
              <w:rPr>
                <w:rFonts w:ascii="Times New Roman"/>
                <w:spacing w:val="-1"/>
                <w:sz w:val="18"/>
              </w:rPr>
            </w:r>
          </w:p>
        </w:tc>
        <w:tc>
          <w:tcPr>
            <w:tcW w:w="1908"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right="108"/>
              <w:jc w:val="right"/>
              <w:rPr>
                <w:rFonts w:ascii="Times New Roman" w:hAnsi="Times New Roman" w:cs="Times New Roman" w:eastAsia="Times New Roman" w:hint="default"/>
                <w:sz w:val="18"/>
                <w:szCs w:val="18"/>
              </w:rPr>
            </w:pPr>
            <w:r>
              <w:rPr>
                <w:rFonts w:ascii="Times New Roman"/>
                <w:b/>
                <w:spacing w:val="-1"/>
                <w:sz w:val="18"/>
              </w:rPr>
              <w:t>3,512,346,548.71</w:t>
            </w:r>
            <w:r>
              <w:rPr>
                <w:rFonts w:ascii="Times New Roman"/>
                <w:spacing w:val="-1"/>
                <w:sz w:val="18"/>
              </w:rPr>
            </w:r>
          </w:p>
        </w:tc>
      </w:tr>
    </w:tbl>
    <w:p>
      <w:pPr>
        <w:spacing w:before="21"/>
        <w:ind w:left="705" w:right="62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45.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营业收入、营业成本</w:t>
      </w:r>
    </w:p>
    <w:p>
      <w:pPr>
        <w:spacing w:line="240" w:lineRule="auto" w:before="6"/>
        <w:rPr>
          <w:rFonts w:ascii="宋体" w:hAnsi="宋体" w:cs="宋体" w:eastAsia="宋体" w:hint="default"/>
          <w:sz w:val="11"/>
          <w:szCs w:val="11"/>
        </w:rPr>
      </w:pPr>
    </w:p>
    <w:p>
      <w:pPr>
        <w:spacing w:line="28" w:lineRule="exact"/>
        <w:ind w:left="179" w:right="0" w:firstLine="0"/>
        <w:rPr>
          <w:rFonts w:ascii="宋体" w:hAnsi="宋体" w:cs="宋体" w:eastAsia="宋体" w:hint="default"/>
          <w:sz w:val="2"/>
          <w:szCs w:val="2"/>
        </w:rPr>
      </w:pPr>
      <w:r>
        <w:rPr>
          <w:rFonts w:ascii="宋体" w:hAnsi="宋体" w:cs="宋体" w:eastAsia="宋体" w:hint="default"/>
          <w:position w:val="0"/>
          <w:sz w:val="2"/>
          <w:szCs w:val="2"/>
        </w:rPr>
        <w:pict>
          <v:group style="width:437.75pt;height:1.45pt;mso-position-horizontal-relative:char;mso-position-vertical-relative:line" coordorigin="0,0" coordsize="8755,29">
            <v:group style="position:absolute;left:14;top:14;width:1952;height:2" coordorigin="14,14" coordsize="1952,2">
              <v:shape style="position:absolute;left:14;top:14;width:1952;height:2" coordorigin="14,14" coordsize="1952,0" path="m14,14l1966,14e" filled="false" stroked="true" strokeweight="1.44pt" strokecolor="#000000">
                <v:path arrowok="t"/>
              </v:shape>
            </v:group>
            <v:group style="position:absolute;left:1966;top:14;width:29;height:2" coordorigin="1966,14" coordsize="29,2">
              <v:shape style="position:absolute;left:1966;top:14;width:29;height:2" coordorigin="1966,14" coordsize="29,0" path="m1966,14l1994,14e" filled="false" stroked="true" strokeweight="1.44pt" strokecolor="#000000">
                <v:path arrowok="t"/>
              </v:shape>
            </v:group>
            <v:group style="position:absolute;left:1994;top:14;width:3378;height:2" coordorigin="1994,14" coordsize="3378,2">
              <v:shape style="position:absolute;left:1994;top:14;width:3378;height:2" coordorigin="1994,14" coordsize="3378,0" path="m1994,14l5372,14e" filled="false" stroked="true" strokeweight="1.44pt" strokecolor="#000000">
                <v:path arrowok="t"/>
              </v:shape>
            </v:group>
            <v:group style="position:absolute;left:5372;top:14;width:29;height:2" coordorigin="5372,14" coordsize="29,2">
              <v:shape style="position:absolute;left:5372;top:14;width:29;height:2" coordorigin="5372,14" coordsize="29,0" path="m5372,14l5401,14e" filled="false" stroked="true" strokeweight="1.44pt" strokecolor="#000000">
                <v:path arrowok="t"/>
              </v:shape>
            </v:group>
            <v:group style="position:absolute;left:5401;top:14;width:3339;height:2" coordorigin="5401,14" coordsize="3339,2">
              <v:shape style="position:absolute;left:5401;top:14;width:3339;height:2" coordorigin="5401,14" coordsize="3339,0" path="m5401,14l8740,14e" filled="false" stroked="true" strokeweight="1.44pt" strokecolor="#000000">
                <v:path arrowok="t"/>
              </v:shape>
            </v:group>
          </v:group>
        </w:pict>
      </w:r>
      <w:r>
        <w:rPr>
          <w:rFonts w:ascii="宋体" w:hAnsi="宋体" w:cs="宋体" w:eastAsia="宋体" w:hint="default"/>
          <w:position w:val="0"/>
          <w:sz w:val="2"/>
          <w:szCs w:val="2"/>
        </w:rPr>
      </w:r>
    </w:p>
    <w:p>
      <w:pPr>
        <w:tabs>
          <w:tab w:pos="6780" w:val="left" w:leader="none"/>
        </w:tabs>
        <w:spacing w:before="23"/>
        <w:ind w:left="3393" w:right="620" w:firstLine="0"/>
        <w:jc w:val="left"/>
        <w:rPr>
          <w:rFonts w:ascii="宋体" w:hAnsi="宋体" w:cs="宋体" w:eastAsia="宋体" w:hint="default"/>
          <w:sz w:val="18"/>
          <w:szCs w:val="18"/>
        </w:rPr>
      </w:pPr>
      <w:r>
        <w:rPr/>
        <w:pict>
          <v:shape style="position:absolute;margin-left:79.704002pt;margin-top:10.527347pt;width:436.3pt;height:65.6pt;mso-position-horizontal-relative:page;mso-position-vertical-relative:paragraph;z-index:21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11"/>
                    <w:gridCol w:w="2211"/>
                    <w:gridCol w:w="1701"/>
                    <w:gridCol w:w="1683"/>
                    <w:gridCol w:w="1620"/>
                  </w:tblGrid>
                  <w:tr>
                    <w:trPr>
                      <w:trHeight w:val="397" w:hRule="exact"/>
                    </w:trPr>
                    <w:tc>
                      <w:tcPr>
                        <w:tcW w:w="1511" w:type="dxa"/>
                        <w:tcBorders>
                          <w:top w:val="nil" w:sz="6" w:space="0" w:color="auto"/>
                          <w:left w:val="nil" w:sz="6" w:space="0" w:color="auto"/>
                          <w:bottom w:val="single" w:sz="4" w:space="0" w:color="000000"/>
                          <w:right w:val="nil" w:sz="6" w:space="0" w:color="auto"/>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11" w:type="dxa"/>
                        <w:tcBorders>
                          <w:top w:val="nil" w:sz="6" w:space="0" w:color="auto"/>
                          <w:left w:val="nil" w:sz="6" w:space="0" w:color="auto"/>
                          <w:bottom w:val="single" w:sz="4" w:space="0" w:color="000000"/>
                          <w:right w:val="nil" w:sz="6" w:space="0" w:color="auto"/>
                        </w:tcBorders>
                      </w:tcPr>
                      <w:p>
                        <w:pPr>
                          <w:pStyle w:val="TableParagraph"/>
                          <w:spacing w:line="240" w:lineRule="auto" w:before="129"/>
                          <w:ind w:left="369" w:right="0"/>
                          <w:jc w:val="center"/>
                          <w:rPr>
                            <w:rFonts w:ascii="宋体" w:hAnsi="宋体" w:cs="宋体" w:eastAsia="宋体" w:hint="default"/>
                            <w:sz w:val="18"/>
                            <w:szCs w:val="18"/>
                          </w:rPr>
                        </w:pPr>
                        <w:r>
                          <w:rPr>
                            <w:rFonts w:ascii="宋体" w:hAnsi="宋体" w:cs="宋体" w:eastAsia="宋体" w:hint="default"/>
                            <w:b/>
                            <w:bCs/>
                            <w:sz w:val="18"/>
                            <w:szCs w:val="18"/>
                          </w:rPr>
                          <w:t>收入</w:t>
                        </w:r>
                        <w:r>
                          <w:rPr>
                            <w:rFonts w:ascii="宋体" w:hAnsi="宋体" w:cs="宋体" w:eastAsia="宋体" w:hint="default"/>
                            <w:sz w:val="18"/>
                            <w:szCs w:val="18"/>
                          </w:rPr>
                        </w:r>
                      </w:p>
                    </w:tc>
                    <w:tc>
                      <w:tcPr>
                        <w:tcW w:w="1701" w:type="dxa"/>
                        <w:tcBorders>
                          <w:top w:val="nil" w:sz="6" w:space="0" w:color="auto"/>
                          <w:left w:val="nil" w:sz="6" w:space="0" w:color="auto"/>
                          <w:bottom w:val="single" w:sz="4" w:space="0" w:color="000000"/>
                          <w:right w:val="nil" w:sz="6" w:space="0" w:color="auto"/>
                        </w:tcBorders>
                      </w:tcPr>
                      <w:p>
                        <w:pPr>
                          <w:pStyle w:val="TableParagraph"/>
                          <w:spacing w:line="240" w:lineRule="auto" w:before="129"/>
                          <w:ind w:right="131"/>
                          <w:jc w:val="center"/>
                          <w:rPr>
                            <w:rFonts w:ascii="宋体" w:hAnsi="宋体" w:cs="宋体" w:eastAsia="宋体" w:hint="default"/>
                            <w:sz w:val="18"/>
                            <w:szCs w:val="18"/>
                          </w:rPr>
                        </w:pPr>
                        <w:r>
                          <w:rPr>
                            <w:rFonts w:ascii="宋体" w:hAnsi="宋体" w:cs="宋体" w:eastAsia="宋体" w:hint="default"/>
                            <w:b/>
                            <w:bCs/>
                            <w:sz w:val="18"/>
                            <w:szCs w:val="18"/>
                          </w:rPr>
                          <w:t>成本</w:t>
                        </w:r>
                        <w:r>
                          <w:rPr>
                            <w:rFonts w:ascii="宋体" w:hAnsi="宋体" w:cs="宋体" w:eastAsia="宋体" w:hint="default"/>
                            <w:sz w:val="18"/>
                            <w:szCs w:val="18"/>
                          </w:rPr>
                        </w:r>
                      </w:p>
                    </w:tc>
                    <w:tc>
                      <w:tcPr>
                        <w:tcW w:w="1683" w:type="dxa"/>
                        <w:tcBorders>
                          <w:top w:val="nil" w:sz="6" w:space="0" w:color="auto"/>
                          <w:left w:val="nil" w:sz="6" w:space="0" w:color="auto"/>
                          <w:bottom w:val="single" w:sz="4" w:space="0" w:color="000000"/>
                          <w:right w:val="nil" w:sz="6" w:space="0" w:color="auto"/>
                        </w:tcBorders>
                      </w:tcPr>
                      <w:p>
                        <w:pPr>
                          <w:pStyle w:val="TableParagraph"/>
                          <w:spacing w:line="240" w:lineRule="auto" w:before="129"/>
                          <w:ind w:right="115"/>
                          <w:jc w:val="center"/>
                          <w:rPr>
                            <w:rFonts w:ascii="宋体" w:hAnsi="宋体" w:cs="宋体" w:eastAsia="宋体" w:hint="default"/>
                            <w:sz w:val="18"/>
                            <w:szCs w:val="18"/>
                          </w:rPr>
                        </w:pPr>
                        <w:r>
                          <w:rPr>
                            <w:rFonts w:ascii="宋体" w:hAnsi="宋体" w:cs="宋体" w:eastAsia="宋体" w:hint="default"/>
                            <w:b/>
                            <w:bCs/>
                            <w:sz w:val="18"/>
                            <w:szCs w:val="18"/>
                          </w:rPr>
                          <w:t>收入</w:t>
                        </w:r>
                        <w:r>
                          <w:rPr>
                            <w:rFonts w:ascii="宋体" w:hAnsi="宋体" w:cs="宋体" w:eastAsia="宋体" w:hint="default"/>
                            <w:sz w:val="18"/>
                            <w:szCs w:val="18"/>
                          </w:rPr>
                        </w:r>
                      </w:p>
                    </w:tc>
                    <w:tc>
                      <w:tcPr>
                        <w:tcW w:w="1620" w:type="dxa"/>
                        <w:tcBorders>
                          <w:top w:val="nil" w:sz="6" w:space="0" w:color="auto"/>
                          <w:left w:val="nil" w:sz="6" w:space="0" w:color="auto"/>
                          <w:bottom w:val="single" w:sz="4" w:space="0" w:color="000000"/>
                          <w:right w:val="nil" w:sz="6" w:space="0" w:color="auto"/>
                        </w:tcBorders>
                      </w:tcPr>
                      <w:p>
                        <w:pPr>
                          <w:pStyle w:val="TableParagraph"/>
                          <w:spacing w:line="240" w:lineRule="auto" w:before="129"/>
                          <w:ind w:right="48"/>
                          <w:jc w:val="center"/>
                          <w:rPr>
                            <w:rFonts w:ascii="宋体" w:hAnsi="宋体" w:cs="宋体" w:eastAsia="宋体" w:hint="default"/>
                            <w:sz w:val="18"/>
                            <w:szCs w:val="18"/>
                          </w:rPr>
                        </w:pPr>
                        <w:r>
                          <w:rPr>
                            <w:rFonts w:ascii="宋体" w:hAnsi="宋体" w:cs="宋体" w:eastAsia="宋体" w:hint="default"/>
                            <w:b/>
                            <w:bCs/>
                            <w:sz w:val="18"/>
                            <w:szCs w:val="18"/>
                          </w:rPr>
                          <w:t>成本</w:t>
                        </w:r>
                        <w:r>
                          <w:rPr>
                            <w:rFonts w:ascii="宋体" w:hAnsi="宋体" w:cs="宋体" w:eastAsia="宋体" w:hint="default"/>
                            <w:sz w:val="18"/>
                            <w:szCs w:val="18"/>
                          </w:rPr>
                        </w:r>
                      </w:p>
                    </w:tc>
                  </w:tr>
                  <w:tr>
                    <w:trPr>
                      <w:trHeight w:val="324" w:hRule="exact"/>
                    </w:trPr>
                    <w:tc>
                      <w:tcPr>
                        <w:tcW w:w="1511"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2211"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74"/>
                          <w:jc w:val="right"/>
                          <w:rPr>
                            <w:rFonts w:ascii="Times New Roman" w:hAnsi="Times New Roman" w:cs="Times New Roman" w:eastAsia="Times New Roman" w:hint="default"/>
                            <w:sz w:val="18"/>
                            <w:szCs w:val="18"/>
                          </w:rPr>
                        </w:pPr>
                        <w:r>
                          <w:rPr>
                            <w:rFonts w:ascii="Times New Roman"/>
                            <w:spacing w:val="-1"/>
                            <w:sz w:val="18"/>
                          </w:rPr>
                          <w:t>28,232,009,400.08</w:t>
                        </w:r>
                      </w:p>
                    </w:tc>
                    <w:tc>
                      <w:tcPr>
                        <w:tcW w:w="1701"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71"/>
                          <w:jc w:val="right"/>
                          <w:rPr>
                            <w:rFonts w:ascii="Times New Roman" w:hAnsi="Times New Roman" w:cs="Times New Roman" w:eastAsia="Times New Roman" w:hint="default"/>
                            <w:sz w:val="18"/>
                            <w:szCs w:val="18"/>
                          </w:rPr>
                        </w:pPr>
                        <w:r>
                          <w:rPr>
                            <w:rFonts w:ascii="Times New Roman"/>
                            <w:spacing w:val="-1"/>
                            <w:sz w:val="18"/>
                          </w:rPr>
                          <w:t>22,810,605,913.79</w:t>
                        </w:r>
                      </w:p>
                    </w:tc>
                    <w:tc>
                      <w:tcPr>
                        <w:tcW w:w="1683"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57"/>
                          <w:jc w:val="right"/>
                          <w:rPr>
                            <w:rFonts w:ascii="Times New Roman" w:hAnsi="Times New Roman" w:cs="Times New Roman" w:eastAsia="Times New Roman" w:hint="default"/>
                            <w:sz w:val="18"/>
                            <w:szCs w:val="18"/>
                          </w:rPr>
                        </w:pPr>
                        <w:r>
                          <w:rPr>
                            <w:rFonts w:ascii="Times New Roman"/>
                            <w:spacing w:val="-1"/>
                            <w:sz w:val="18"/>
                          </w:rPr>
                          <w:t>25,756,912,811.44</w:t>
                        </w:r>
                      </w:p>
                    </w:tc>
                    <w:tc>
                      <w:tcPr>
                        <w:tcW w:w="1620"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20,727,570,171.44</w:t>
                        </w:r>
                      </w:p>
                    </w:tc>
                  </w:tr>
                  <w:tr>
                    <w:trPr>
                      <w:trHeight w:val="257" w:hRule="exact"/>
                    </w:trPr>
                    <w:tc>
                      <w:tcPr>
                        <w:tcW w:w="1511" w:type="dxa"/>
                        <w:tcBorders>
                          <w:top w:val="nil" w:sz="6" w:space="0" w:color="auto"/>
                          <w:left w:val="nil" w:sz="6" w:space="0" w:color="auto"/>
                          <w:bottom w:val="single" w:sz="4" w:space="0" w:color="000000"/>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2211"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74"/>
                          <w:jc w:val="right"/>
                          <w:rPr>
                            <w:rFonts w:ascii="Times New Roman" w:hAnsi="Times New Roman" w:cs="Times New Roman" w:eastAsia="Times New Roman" w:hint="default"/>
                            <w:sz w:val="18"/>
                            <w:szCs w:val="18"/>
                          </w:rPr>
                        </w:pPr>
                        <w:r>
                          <w:rPr>
                            <w:rFonts w:ascii="Times New Roman"/>
                            <w:spacing w:val="-1"/>
                            <w:sz w:val="18"/>
                          </w:rPr>
                          <w:t>215,274,780.20</w:t>
                        </w:r>
                      </w:p>
                    </w:tc>
                    <w:tc>
                      <w:tcPr>
                        <w:tcW w:w="1701"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71"/>
                          <w:jc w:val="right"/>
                          <w:rPr>
                            <w:rFonts w:ascii="Times New Roman" w:hAnsi="Times New Roman" w:cs="Times New Roman" w:eastAsia="Times New Roman" w:hint="default"/>
                            <w:sz w:val="18"/>
                            <w:szCs w:val="18"/>
                          </w:rPr>
                        </w:pPr>
                        <w:r>
                          <w:rPr>
                            <w:rFonts w:ascii="Times New Roman"/>
                            <w:spacing w:val="-1"/>
                            <w:sz w:val="18"/>
                          </w:rPr>
                          <w:t>120,133,023.78</w:t>
                        </w:r>
                      </w:p>
                    </w:tc>
                    <w:tc>
                      <w:tcPr>
                        <w:tcW w:w="1683"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56"/>
                          <w:jc w:val="right"/>
                          <w:rPr>
                            <w:rFonts w:ascii="Times New Roman" w:hAnsi="Times New Roman" w:cs="Times New Roman" w:eastAsia="Times New Roman" w:hint="default"/>
                            <w:sz w:val="18"/>
                            <w:szCs w:val="18"/>
                          </w:rPr>
                        </w:pPr>
                        <w:r>
                          <w:rPr>
                            <w:rFonts w:ascii="Times New Roman"/>
                            <w:spacing w:val="-1"/>
                            <w:sz w:val="18"/>
                          </w:rPr>
                          <w:t>236,811,215.42</w:t>
                        </w:r>
                      </w:p>
                    </w:tc>
                    <w:tc>
                      <w:tcPr>
                        <w:tcW w:w="1620"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102,122,044.82</w:t>
                        </w:r>
                      </w:p>
                    </w:tc>
                  </w:tr>
                  <w:tr>
                    <w:trPr>
                      <w:trHeight w:val="305" w:hRule="exact"/>
                    </w:trPr>
                    <w:tc>
                      <w:tcPr>
                        <w:tcW w:w="1511"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11"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74"/>
                          <w:jc w:val="right"/>
                          <w:rPr>
                            <w:rFonts w:ascii="Times New Roman" w:hAnsi="Times New Roman" w:cs="Times New Roman" w:eastAsia="Times New Roman" w:hint="default"/>
                            <w:sz w:val="18"/>
                            <w:szCs w:val="18"/>
                          </w:rPr>
                        </w:pPr>
                        <w:r>
                          <w:rPr>
                            <w:rFonts w:ascii="Times New Roman"/>
                            <w:b/>
                            <w:spacing w:val="-1"/>
                            <w:sz w:val="18"/>
                          </w:rPr>
                          <w:t>28,447,284,180.28</w:t>
                        </w:r>
                        <w:r>
                          <w:rPr>
                            <w:rFonts w:ascii="Times New Roman"/>
                            <w:spacing w:val="-1"/>
                            <w:sz w:val="18"/>
                          </w:rPr>
                        </w:r>
                      </w:p>
                    </w:tc>
                    <w:tc>
                      <w:tcPr>
                        <w:tcW w:w="1701"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71"/>
                          <w:jc w:val="right"/>
                          <w:rPr>
                            <w:rFonts w:ascii="Times New Roman" w:hAnsi="Times New Roman" w:cs="Times New Roman" w:eastAsia="Times New Roman" w:hint="default"/>
                            <w:sz w:val="18"/>
                            <w:szCs w:val="18"/>
                          </w:rPr>
                        </w:pPr>
                        <w:r>
                          <w:rPr>
                            <w:rFonts w:ascii="Times New Roman"/>
                            <w:b/>
                            <w:spacing w:val="-1"/>
                            <w:sz w:val="18"/>
                          </w:rPr>
                          <w:t>22,930,738,937.57</w:t>
                        </w:r>
                        <w:r>
                          <w:rPr>
                            <w:rFonts w:ascii="Times New Roman"/>
                            <w:spacing w:val="-1"/>
                            <w:sz w:val="18"/>
                          </w:rPr>
                        </w:r>
                      </w:p>
                    </w:tc>
                    <w:tc>
                      <w:tcPr>
                        <w:tcW w:w="1683"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57"/>
                          <w:jc w:val="right"/>
                          <w:rPr>
                            <w:rFonts w:ascii="Times New Roman" w:hAnsi="Times New Roman" w:cs="Times New Roman" w:eastAsia="Times New Roman" w:hint="default"/>
                            <w:sz w:val="18"/>
                            <w:szCs w:val="18"/>
                          </w:rPr>
                        </w:pPr>
                        <w:r>
                          <w:rPr>
                            <w:rFonts w:ascii="Times New Roman"/>
                            <w:b/>
                            <w:spacing w:val="-1"/>
                            <w:sz w:val="18"/>
                          </w:rPr>
                          <w:t>25,993,724,026.86</w:t>
                        </w:r>
                        <w:r>
                          <w:rPr>
                            <w:rFonts w:ascii="Times New Roman"/>
                            <w:spacing w:val="-1"/>
                            <w:sz w:val="18"/>
                          </w:rPr>
                        </w:r>
                      </w:p>
                    </w:tc>
                    <w:tc>
                      <w:tcPr>
                        <w:tcW w:w="1620"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8"/>
                          <w:jc w:val="right"/>
                          <w:rPr>
                            <w:rFonts w:ascii="Times New Roman" w:hAnsi="Times New Roman" w:cs="Times New Roman" w:eastAsia="Times New Roman" w:hint="default"/>
                            <w:sz w:val="18"/>
                            <w:szCs w:val="18"/>
                          </w:rPr>
                        </w:pPr>
                        <w:r>
                          <w:rPr>
                            <w:rFonts w:ascii="Times New Roman"/>
                            <w:b/>
                            <w:spacing w:val="-1"/>
                            <w:sz w:val="18"/>
                          </w:rPr>
                          <w:t>20,829,692,216.26</w:t>
                        </w:r>
                        <w:r>
                          <w:rPr>
                            <w:rFonts w:ascii="Times New Roman"/>
                            <w:spacing w:val="-1"/>
                            <w:sz w:val="18"/>
                          </w:rPr>
                        </w:r>
                      </w:p>
                    </w:tc>
                  </w:tr>
                </w:tbl>
                <w:p>
                  <w:pPr/>
                </w:p>
              </w:txbxContent>
            </v:textbox>
            <w10:wrap type="none"/>
          </v:shape>
        </w:pict>
      </w:r>
      <w:r>
        <w:rPr>
          <w:rFonts w:ascii="宋体" w:hAnsi="宋体" w:cs="宋体" w:eastAsia="宋体" w:hint="default"/>
          <w:b/>
          <w:bCs/>
          <w:w w:val="95"/>
          <w:sz w:val="18"/>
          <w:szCs w:val="18"/>
        </w:rPr>
        <w:t>本年发生额</w:t>
        <w:tab/>
      </w:r>
      <w:r>
        <w:rPr>
          <w:rFonts w:ascii="宋体" w:hAnsi="宋体" w:cs="宋体" w:eastAsia="宋体" w:hint="default"/>
          <w:b/>
          <w:bCs/>
          <w:sz w:val="18"/>
          <w:szCs w:val="18"/>
        </w:rPr>
        <w:t>上年发生额</w:t>
      </w:r>
      <w:r>
        <w:rPr>
          <w:rFonts w:ascii="宋体" w:hAnsi="宋体" w:cs="宋体" w:eastAsia="宋体" w:hint="default"/>
          <w:sz w:val="18"/>
          <w:szCs w:val="18"/>
        </w:rPr>
      </w:r>
    </w:p>
    <w:p>
      <w:pPr>
        <w:spacing w:line="240" w:lineRule="auto" w:before="4"/>
        <w:rPr>
          <w:rFonts w:ascii="宋体" w:hAnsi="宋体" w:cs="宋体" w:eastAsia="宋体" w:hint="default"/>
          <w:b/>
          <w:bCs/>
          <w:sz w:val="2"/>
          <w:szCs w:val="2"/>
        </w:rPr>
      </w:pPr>
    </w:p>
    <w:p>
      <w:pPr>
        <w:spacing w:line="20" w:lineRule="exact"/>
        <w:ind w:left="2140" w:right="0" w:firstLine="0"/>
        <w:rPr>
          <w:rFonts w:ascii="宋体" w:hAnsi="宋体" w:cs="宋体" w:eastAsia="宋体" w:hint="default"/>
          <w:sz w:val="2"/>
          <w:szCs w:val="2"/>
        </w:rPr>
      </w:pPr>
      <w:r>
        <w:rPr>
          <w:rFonts w:ascii="宋体" w:hAnsi="宋体" w:cs="宋体" w:eastAsia="宋体" w:hint="default"/>
          <w:sz w:val="2"/>
          <w:szCs w:val="2"/>
        </w:rPr>
        <w:pict>
          <v:group style="width:339.2pt;height:.5pt;mso-position-horizontal-relative:char;mso-position-vertical-relative:line" coordorigin="0,0" coordsize="6784,10">
            <v:group style="position:absolute;left:5;top:5;width:1703;height:2" coordorigin="5,5" coordsize="1703,2">
              <v:shape style="position:absolute;left:5;top:5;width:1703;height:2" coordorigin="5,5" coordsize="1703,0" path="m5,5l1707,5e" filled="false" stroked="true" strokeweight=".47998pt" strokecolor="#000000">
                <v:path arrowok="t"/>
              </v:shape>
            </v:group>
            <v:group style="position:absolute;left:1707;top:5;width:10;height:2" coordorigin="1707,5" coordsize="10,2">
              <v:shape style="position:absolute;left:1707;top:5;width:10;height:2" coordorigin="1707,5" coordsize="10,0" path="m1707,5l1717,5e" filled="false" stroked="true" strokeweight=".47998pt" strokecolor="#000000">
                <v:path arrowok="t"/>
              </v:shape>
            </v:group>
            <v:group style="position:absolute;left:1717;top:5;width:1695;height:2" coordorigin="1717,5" coordsize="1695,2">
              <v:shape style="position:absolute;left:1717;top:5;width:1695;height:2" coordorigin="1717,5" coordsize="1695,0" path="m1717,5l3411,5e" filled="false" stroked="true" strokeweight=".47998pt" strokecolor="#000000">
                <v:path arrowok="t"/>
              </v:shape>
            </v:group>
            <v:group style="position:absolute;left:3411;top:5;width:10;height:2" coordorigin="3411,5" coordsize="10,2">
              <v:shape style="position:absolute;left:3411;top:5;width:10;height:2" coordorigin="3411,5" coordsize="10,0" path="m3411,5l3421,5e" filled="false" stroked="true" strokeweight=".47998pt" strokecolor="#000000">
                <v:path arrowok="t"/>
              </v:shape>
            </v:group>
            <v:group style="position:absolute;left:3421;top:5;width:1691;height:2" coordorigin="3421,5" coordsize="1691,2">
              <v:shape style="position:absolute;left:3421;top:5;width:1691;height:2" coordorigin="3421,5" coordsize="1691,0" path="m3421,5l5111,5e" filled="false" stroked="true" strokeweight=".47998pt" strokecolor="#000000">
                <v:path arrowok="t"/>
              </v:shape>
            </v:group>
            <v:group style="position:absolute;left:5111;top:5;width:10;height:2" coordorigin="5111,5" coordsize="10,2">
              <v:shape style="position:absolute;left:5111;top:5;width:10;height:2" coordorigin="5111,5" coordsize="10,0" path="m5111,5l5121,5e" filled="false" stroked="true" strokeweight=".47998pt" strokecolor="#000000">
                <v:path arrowok="t"/>
              </v:shape>
            </v:group>
            <v:group style="position:absolute;left:5121;top:5;width:1659;height:2" coordorigin="5121,5" coordsize="1659,2">
              <v:shape style="position:absolute;left:5121;top:5;width:1659;height:2" coordorigin="5121,5" coordsize="1659,0" path="m5121,5l6779,5e" filled="false" stroked="true" strokeweight=".4799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5"/>
          <w:szCs w:val="15"/>
        </w:rPr>
      </w:pPr>
    </w:p>
    <w:p>
      <w:pPr>
        <w:spacing w:before="32"/>
        <w:ind w:left="705" w:right="62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46. </w:t>
      </w:r>
      <w:r>
        <w:rPr>
          <w:rFonts w:ascii="Times New Roman" w:hAnsi="Times New Roman" w:cs="Times New Roman" w:eastAsia="Times New Roman" w:hint="default"/>
          <w:b/>
          <w:bCs/>
          <w:spacing w:val="13"/>
          <w:sz w:val="22"/>
          <w:szCs w:val="22"/>
        </w:rPr>
        <w:t> </w:t>
      </w:r>
      <w:r>
        <w:rPr>
          <w:rFonts w:ascii="宋体" w:hAnsi="宋体" w:cs="宋体" w:eastAsia="宋体" w:hint="default"/>
          <w:sz w:val="22"/>
          <w:szCs w:val="22"/>
        </w:rPr>
        <w:t>营业税金及附加</w:t>
      </w:r>
    </w:p>
    <w:p>
      <w:pPr>
        <w:spacing w:line="240" w:lineRule="auto" w:before="8"/>
        <w:rPr>
          <w:rFonts w:ascii="宋体" w:hAnsi="宋体" w:cs="宋体" w:eastAsia="宋体" w:hint="default"/>
          <w:sz w:val="11"/>
          <w:szCs w:val="11"/>
        </w:rPr>
      </w:pPr>
    </w:p>
    <w:tbl>
      <w:tblPr>
        <w:tblW w:w="0" w:type="auto"/>
        <w:jc w:val="left"/>
        <w:tblInd w:w="194" w:type="dxa"/>
        <w:tblLayout w:type="fixed"/>
        <w:tblCellMar>
          <w:top w:w="0" w:type="dxa"/>
          <w:left w:w="0" w:type="dxa"/>
          <w:bottom w:w="0" w:type="dxa"/>
          <w:right w:w="0" w:type="dxa"/>
        </w:tblCellMar>
        <w:tblLook w:val="01E0"/>
      </w:tblPr>
      <w:tblGrid>
        <w:gridCol w:w="3250"/>
        <w:gridCol w:w="3624"/>
        <w:gridCol w:w="1852"/>
      </w:tblGrid>
      <w:tr>
        <w:trPr>
          <w:trHeight w:val="305" w:hRule="exact"/>
        </w:trPr>
        <w:tc>
          <w:tcPr>
            <w:tcW w:w="325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62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614"/>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185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24" w:hRule="exact"/>
        </w:trPr>
        <w:tc>
          <w:tcPr>
            <w:tcW w:w="3250"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62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614"/>
              <w:jc w:val="right"/>
              <w:rPr>
                <w:rFonts w:ascii="Times New Roman" w:hAnsi="Times New Roman" w:cs="Times New Roman" w:eastAsia="Times New Roman" w:hint="default"/>
                <w:sz w:val="18"/>
                <w:szCs w:val="18"/>
              </w:rPr>
            </w:pPr>
            <w:r>
              <w:rPr>
                <w:rFonts w:ascii="Times New Roman"/>
                <w:spacing w:val="-1"/>
                <w:sz w:val="18"/>
              </w:rPr>
              <w:t>49,771,406.47</w:t>
            </w:r>
          </w:p>
        </w:tc>
        <w:tc>
          <w:tcPr>
            <w:tcW w:w="1852"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48,527,906.19</w:t>
            </w:r>
          </w:p>
        </w:tc>
      </w:tr>
      <w:tr>
        <w:trPr>
          <w:trHeight w:val="284" w:hRule="exact"/>
        </w:trPr>
        <w:tc>
          <w:tcPr>
            <w:tcW w:w="3250"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62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14"/>
              <w:jc w:val="right"/>
              <w:rPr>
                <w:rFonts w:ascii="Times New Roman" w:hAnsi="Times New Roman" w:cs="Times New Roman" w:eastAsia="Times New Roman" w:hint="default"/>
                <w:sz w:val="18"/>
                <w:szCs w:val="18"/>
              </w:rPr>
            </w:pPr>
            <w:r>
              <w:rPr>
                <w:rFonts w:ascii="Times New Roman"/>
                <w:spacing w:val="-1"/>
                <w:sz w:val="18"/>
              </w:rPr>
              <w:t>67,195,908.95</w:t>
            </w:r>
          </w:p>
        </w:tc>
        <w:tc>
          <w:tcPr>
            <w:tcW w:w="185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32,584,996.94</w:t>
            </w:r>
          </w:p>
        </w:tc>
      </w:tr>
      <w:tr>
        <w:trPr>
          <w:trHeight w:val="286" w:hRule="exact"/>
        </w:trPr>
        <w:tc>
          <w:tcPr>
            <w:tcW w:w="3250"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6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14"/>
              <w:jc w:val="right"/>
              <w:rPr>
                <w:rFonts w:ascii="Times New Roman" w:hAnsi="Times New Roman" w:cs="Times New Roman" w:eastAsia="Times New Roman" w:hint="default"/>
                <w:sz w:val="18"/>
                <w:szCs w:val="18"/>
              </w:rPr>
            </w:pPr>
            <w:r>
              <w:rPr>
                <w:rFonts w:ascii="Times New Roman"/>
                <w:spacing w:val="-1"/>
                <w:sz w:val="18"/>
              </w:rPr>
              <w:t>47,820,356.10</w:t>
            </w:r>
          </w:p>
        </w:tc>
        <w:tc>
          <w:tcPr>
            <w:tcW w:w="185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23,873,277.11</w:t>
            </w:r>
          </w:p>
        </w:tc>
      </w:tr>
      <w:tr>
        <w:trPr>
          <w:trHeight w:val="255" w:hRule="exact"/>
        </w:trPr>
        <w:tc>
          <w:tcPr>
            <w:tcW w:w="3250"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62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613"/>
              <w:jc w:val="right"/>
              <w:rPr>
                <w:rFonts w:ascii="Times New Roman" w:hAnsi="Times New Roman" w:cs="Times New Roman" w:eastAsia="Times New Roman" w:hint="default"/>
                <w:sz w:val="18"/>
                <w:szCs w:val="18"/>
              </w:rPr>
            </w:pPr>
            <w:r>
              <w:rPr>
                <w:rFonts w:ascii="Times New Roman"/>
                <w:spacing w:val="-1"/>
                <w:sz w:val="18"/>
              </w:rPr>
              <w:t>1,338,884.42</w:t>
            </w:r>
          </w:p>
        </w:tc>
        <w:tc>
          <w:tcPr>
            <w:tcW w:w="1852"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2,861,138.08</w:t>
            </w:r>
          </w:p>
        </w:tc>
      </w:tr>
      <w:tr>
        <w:trPr>
          <w:trHeight w:val="305" w:hRule="exact"/>
        </w:trPr>
        <w:tc>
          <w:tcPr>
            <w:tcW w:w="3250" w:type="dxa"/>
            <w:tcBorders>
              <w:top w:val="single" w:sz="4" w:space="0" w:color="000000"/>
              <w:left w:val="nil" w:sz="6" w:space="0" w:color="auto"/>
              <w:bottom w:val="single" w:sz="12" w:space="0" w:color="000000"/>
              <w:right w:val="nil" w:sz="6" w:space="0" w:color="auto"/>
            </w:tcBorders>
          </w:tcPr>
          <w:p>
            <w:pPr>
              <w:pStyle w:val="TableParagraph"/>
              <w:spacing w:line="240" w:lineRule="auto" w:before="2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62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614"/>
              <w:jc w:val="right"/>
              <w:rPr>
                <w:rFonts w:ascii="Times New Roman" w:hAnsi="Times New Roman" w:cs="Times New Roman" w:eastAsia="Times New Roman" w:hint="default"/>
                <w:sz w:val="18"/>
                <w:szCs w:val="18"/>
              </w:rPr>
            </w:pPr>
            <w:r>
              <w:rPr>
                <w:rFonts w:ascii="Times New Roman"/>
                <w:b/>
                <w:spacing w:val="-1"/>
                <w:sz w:val="18"/>
              </w:rPr>
              <w:t>166,126,555.94</w:t>
            </w:r>
            <w:r>
              <w:rPr>
                <w:rFonts w:ascii="Times New Roman"/>
                <w:spacing w:val="-1"/>
                <w:sz w:val="18"/>
              </w:rPr>
            </w:r>
          </w:p>
        </w:tc>
        <w:tc>
          <w:tcPr>
            <w:tcW w:w="185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107,847,318.32</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645" w:footer="816" w:top="1080" w:bottom="1020" w:left="1400" w:right="1460"/>
        </w:sectPr>
      </w:pPr>
    </w:p>
    <w:p>
      <w:pPr>
        <w:spacing w:line="240" w:lineRule="auto" w:before="0"/>
        <w:rPr>
          <w:rFonts w:ascii="宋体" w:hAnsi="宋体" w:cs="宋体" w:eastAsia="宋体" w:hint="default"/>
          <w:sz w:val="20"/>
          <w:szCs w:val="20"/>
        </w:rPr>
      </w:pPr>
    </w:p>
    <w:p>
      <w:pPr>
        <w:spacing w:before="179"/>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47.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销售费用</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4252"/>
        <w:gridCol w:w="2545"/>
        <w:gridCol w:w="1928"/>
      </w:tblGrid>
      <w:tr>
        <w:trPr>
          <w:trHeight w:val="305" w:hRule="exact"/>
        </w:trPr>
        <w:tc>
          <w:tcPr>
            <w:tcW w:w="425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4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560"/>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192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25" w:hRule="exact"/>
        </w:trPr>
        <w:tc>
          <w:tcPr>
            <w:tcW w:w="4252"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人工费用</w:t>
            </w:r>
          </w:p>
        </w:tc>
        <w:tc>
          <w:tcPr>
            <w:tcW w:w="254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558"/>
              <w:jc w:val="right"/>
              <w:rPr>
                <w:rFonts w:ascii="Times New Roman" w:hAnsi="Times New Roman" w:cs="Times New Roman" w:eastAsia="Times New Roman" w:hint="default"/>
                <w:sz w:val="18"/>
                <w:szCs w:val="18"/>
              </w:rPr>
            </w:pPr>
            <w:r>
              <w:rPr>
                <w:rFonts w:ascii="Times New Roman"/>
                <w:spacing w:val="-1"/>
                <w:sz w:val="18"/>
              </w:rPr>
              <w:t>707,837,495.89</w:t>
            </w:r>
          </w:p>
        </w:tc>
        <w:tc>
          <w:tcPr>
            <w:tcW w:w="192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570,362,087.32</w:t>
            </w:r>
          </w:p>
        </w:tc>
      </w:tr>
      <w:tr>
        <w:trPr>
          <w:trHeight w:val="284"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业务宣传费、广告费、经营费用、佣金</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8"/>
              <w:jc w:val="right"/>
              <w:rPr>
                <w:rFonts w:ascii="Times New Roman" w:hAnsi="Times New Roman" w:cs="Times New Roman" w:eastAsia="Times New Roman" w:hint="default"/>
                <w:sz w:val="18"/>
                <w:szCs w:val="18"/>
              </w:rPr>
            </w:pPr>
            <w:r>
              <w:rPr>
                <w:rFonts w:ascii="Times New Roman"/>
                <w:spacing w:val="-1"/>
                <w:sz w:val="18"/>
              </w:rPr>
              <w:t>312,699,368.81</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222,328,577.25</w:t>
            </w:r>
          </w:p>
        </w:tc>
      </w:tr>
      <w:tr>
        <w:trPr>
          <w:trHeight w:val="284"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差旅、会议、招待费</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58"/>
              <w:jc w:val="right"/>
              <w:rPr>
                <w:rFonts w:ascii="Times New Roman" w:hAnsi="Times New Roman" w:cs="Times New Roman" w:eastAsia="Times New Roman" w:hint="default"/>
                <w:sz w:val="18"/>
                <w:szCs w:val="18"/>
              </w:rPr>
            </w:pPr>
            <w:r>
              <w:rPr>
                <w:rFonts w:ascii="Times New Roman"/>
                <w:spacing w:val="-1"/>
                <w:sz w:val="18"/>
              </w:rPr>
              <w:t>237,837,180.27</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206,687,092.06</w:t>
            </w:r>
          </w:p>
        </w:tc>
      </w:tr>
      <w:tr>
        <w:trPr>
          <w:trHeight w:val="286"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运杂费（运输费、车辆费用等）</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8"/>
              <w:jc w:val="right"/>
              <w:rPr>
                <w:rFonts w:ascii="Times New Roman" w:hAnsi="Times New Roman" w:cs="Times New Roman" w:eastAsia="Times New Roman" w:hint="default"/>
                <w:sz w:val="18"/>
                <w:szCs w:val="18"/>
              </w:rPr>
            </w:pPr>
            <w:r>
              <w:rPr>
                <w:rFonts w:ascii="Times New Roman"/>
                <w:spacing w:val="-1"/>
                <w:sz w:val="18"/>
              </w:rPr>
              <w:t>145,546,168.53</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166,323,162.17</w:t>
            </w:r>
          </w:p>
        </w:tc>
      </w:tr>
      <w:tr>
        <w:trPr>
          <w:trHeight w:val="286"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代理、服务费、咨询及中介机构费</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8"/>
              <w:jc w:val="right"/>
              <w:rPr>
                <w:rFonts w:ascii="Times New Roman" w:hAnsi="Times New Roman" w:cs="Times New Roman" w:eastAsia="Times New Roman" w:hint="default"/>
                <w:sz w:val="18"/>
                <w:szCs w:val="18"/>
              </w:rPr>
            </w:pPr>
            <w:r>
              <w:rPr>
                <w:rFonts w:ascii="Times New Roman"/>
                <w:spacing w:val="-1"/>
                <w:sz w:val="18"/>
              </w:rPr>
              <w:t>151,185,444.91</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153,034,913.03</w:t>
            </w:r>
          </w:p>
        </w:tc>
      </w:tr>
      <w:tr>
        <w:trPr>
          <w:trHeight w:val="284"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办公费、资料费、年费</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8"/>
              <w:jc w:val="right"/>
              <w:rPr>
                <w:rFonts w:ascii="Times New Roman" w:hAnsi="Times New Roman" w:cs="Times New Roman" w:eastAsia="Times New Roman" w:hint="default"/>
                <w:sz w:val="18"/>
                <w:szCs w:val="18"/>
              </w:rPr>
            </w:pPr>
            <w:r>
              <w:rPr>
                <w:rFonts w:ascii="Times New Roman"/>
                <w:spacing w:val="-1"/>
                <w:sz w:val="18"/>
              </w:rPr>
              <w:t>77,757,576.18</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76,972,533.33</w:t>
            </w:r>
          </w:p>
        </w:tc>
      </w:tr>
      <w:tr>
        <w:trPr>
          <w:trHeight w:val="284"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物料消耗</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58"/>
              <w:jc w:val="right"/>
              <w:rPr>
                <w:rFonts w:ascii="Times New Roman" w:hAnsi="Times New Roman" w:cs="Times New Roman" w:eastAsia="Times New Roman" w:hint="default"/>
                <w:sz w:val="18"/>
                <w:szCs w:val="18"/>
              </w:rPr>
            </w:pPr>
            <w:r>
              <w:rPr>
                <w:rFonts w:ascii="Times New Roman"/>
                <w:spacing w:val="-1"/>
                <w:sz w:val="18"/>
              </w:rPr>
              <w:t>57,126,363.89</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49,873,291.11</w:t>
            </w:r>
          </w:p>
        </w:tc>
      </w:tr>
      <w:tr>
        <w:trPr>
          <w:trHeight w:val="286"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产品维修费</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8"/>
              <w:jc w:val="right"/>
              <w:rPr>
                <w:rFonts w:ascii="Times New Roman" w:hAnsi="Times New Roman" w:cs="Times New Roman" w:eastAsia="Times New Roman" w:hint="default"/>
                <w:sz w:val="18"/>
                <w:szCs w:val="18"/>
              </w:rPr>
            </w:pPr>
            <w:r>
              <w:rPr>
                <w:rFonts w:ascii="Times New Roman"/>
                <w:spacing w:val="-1"/>
                <w:sz w:val="18"/>
              </w:rPr>
              <w:t>52,757,364.04</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58,407,312.23</w:t>
            </w:r>
          </w:p>
        </w:tc>
      </w:tr>
      <w:tr>
        <w:trPr>
          <w:trHeight w:val="286"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外事活动费、出口费用</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8"/>
              <w:jc w:val="right"/>
              <w:rPr>
                <w:rFonts w:ascii="Times New Roman" w:hAnsi="Times New Roman" w:cs="Times New Roman" w:eastAsia="Times New Roman" w:hint="default"/>
                <w:sz w:val="18"/>
                <w:szCs w:val="18"/>
              </w:rPr>
            </w:pPr>
            <w:r>
              <w:rPr>
                <w:rFonts w:ascii="Times New Roman"/>
                <w:spacing w:val="-1"/>
                <w:sz w:val="18"/>
              </w:rPr>
              <w:t>47,679,330.16</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56,541,898.21</w:t>
            </w:r>
          </w:p>
        </w:tc>
      </w:tr>
      <w:tr>
        <w:trPr>
          <w:trHeight w:val="284"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仓储、场地、展台费、验货、模具、整改费</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8"/>
              <w:jc w:val="right"/>
              <w:rPr>
                <w:rFonts w:ascii="Times New Roman" w:hAnsi="Times New Roman" w:cs="Times New Roman" w:eastAsia="Times New Roman" w:hint="default"/>
                <w:sz w:val="18"/>
                <w:szCs w:val="18"/>
              </w:rPr>
            </w:pPr>
            <w:r>
              <w:rPr>
                <w:rFonts w:ascii="Times New Roman"/>
                <w:spacing w:val="-1"/>
                <w:sz w:val="18"/>
              </w:rPr>
              <w:t>45,929,715.63</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33,344,491.76</w:t>
            </w:r>
          </w:p>
        </w:tc>
      </w:tr>
      <w:tr>
        <w:trPr>
          <w:trHeight w:val="285"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房租物业费</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58"/>
              <w:jc w:val="right"/>
              <w:rPr>
                <w:rFonts w:ascii="Times New Roman" w:hAnsi="Times New Roman" w:cs="Times New Roman" w:eastAsia="Times New Roman" w:hint="default"/>
                <w:sz w:val="18"/>
                <w:szCs w:val="18"/>
              </w:rPr>
            </w:pPr>
            <w:r>
              <w:rPr>
                <w:rFonts w:ascii="Times New Roman"/>
                <w:spacing w:val="-1"/>
                <w:sz w:val="18"/>
              </w:rPr>
              <w:t>43,523,608.57</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33,571,101.97</w:t>
            </w:r>
          </w:p>
        </w:tc>
      </w:tr>
      <w:tr>
        <w:trPr>
          <w:trHeight w:val="286"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折旧与摊销</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8"/>
              <w:jc w:val="right"/>
              <w:rPr>
                <w:rFonts w:ascii="Times New Roman" w:hAnsi="Times New Roman" w:cs="Times New Roman" w:eastAsia="Times New Roman" w:hint="default"/>
                <w:sz w:val="18"/>
                <w:szCs w:val="18"/>
              </w:rPr>
            </w:pPr>
            <w:r>
              <w:rPr>
                <w:rFonts w:ascii="Times New Roman"/>
                <w:spacing w:val="-1"/>
                <w:sz w:val="18"/>
              </w:rPr>
              <w:t>18,127,140.45</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15,176,930.09</w:t>
            </w:r>
          </w:p>
        </w:tc>
      </w:tr>
      <w:tr>
        <w:trPr>
          <w:trHeight w:val="286"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试验测试、加工安装制作费</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8"/>
              <w:jc w:val="right"/>
              <w:rPr>
                <w:rFonts w:ascii="Times New Roman" w:hAnsi="Times New Roman" w:cs="Times New Roman" w:eastAsia="Times New Roman" w:hint="default"/>
                <w:sz w:val="18"/>
                <w:szCs w:val="18"/>
              </w:rPr>
            </w:pPr>
            <w:r>
              <w:rPr>
                <w:rFonts w:ascii="Times New Roman"/>
                <w:spacing w:val="-1"/>
                <w:sz w:val="18"/>
              </w:rPr>
              <w:t>8,247,728.72</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8,382,171.68</w:t>
            </w:r>
          </w:p>
        </w:tc>
      </w:tr>
      <w:tr>
        <w:trPr>
          <w:trHeight w:val="284"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保险费</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8"/>
              <w:jc w:val="right"/>
              <w:rPr>
                <w:rFonts w:ascii="Times New Roman" w:hAnsi="Times New Roman" w:cs="Times New Roman" w:eastAsia="Times New Roman" w:hint="default"/>
                <w:sz w:val="18"/>
                <w:szCs w:val="18"/>
              </w:rPr>
            </w:pPr>
            <w:r>
              <w:rPr>
                <w:rFonts w:ascii="Times New Roman"/>
                <w:spacing w:val="-1"/>
                <w:sz w:val="18"/>
              </w:rPr>
              <w:t>8,638,296.41</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4,746,390.43</w:t>
            </w:r>
          </w:p>
        </w:tc>
      </w:tr>
      <w:tr>
        <w:trPr>
          <w:trHeight w:val="284"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水电费、暖气费、蒸汽费</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58"/>
              <w:jc w:val="right"/>
              <w:rPr>
                <w:rFonts w:ascii="Times New Roman" w:hAnsi="Times New Roman" w:cs="Times New Roman" w:eastAsia="Times New Roman" w:hint="default"/>
                <w:sz w:val="18"/>
                <w:szCs w:val="18"/>
              </w:rPr>
            </w:pPr>
            <w:r>
              <w:rPr>
                <w:rFonts w:ascii="Times New Roman"/>
                <w:spacing w:val="-1"/>
                <w:sz w:val="18"/>
              </w:rPr>
              <w:t>4,823,184.63</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3,603,342.05</w:t>
            </w:r>
          </w:p>
        </w:tc>
      </w:tr>
      <w:tr>
        <w:trPr>
          <w:trHeight w:val="286" w:hRule="exact"/>
        </w:trPr>
        <w:tc>
          <w:tcPr>
            <w:tcW w:w="425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税金</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8"/>
              <w:jc w:val="right"/>
              <w:rPr>
                <w:rFonts w:ascii="Times New Roman" w:hAnsi="Times New Roman" w:cs="Times New Roman" w:eastAsia="Times New Roman" w:hint="default"/>
                <w:sz w:val="18"/>
                <w:szCs w:val="18"/>
              </w:rPr>
            </w:pPr>
            <w:r>
              <w:rPr>
                <w:rFonts w:ascii="Times New Roman"/>
                <w:spacing w:val="-1"/>
                <w:sz w:val="18"/>
              </w:rPr>
              <w:t>1,012,859.01</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1,354,606.04</w:t>
            </w:r>
          </w:p>
        </w:tc>
      </w:tr>
      <w:tr>
        <w:trPr>
          <w:trHeight w:val="255" w:hRule="exact"/>
        </w:trPr>
        <w:tc>
          <w:tcPr>
            <w:tcW w:w="4252"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54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558"/>
              <w:jc w:val="right"/>
              <w:rPr>
                <w:rFonts w:ascii="Times New Roman" w:hAnsi="Times New Roman" w:cs="Times New Roman" w:eastAsia="Times New Roman" w:hint="default"/>
                <w:sz w:val="18"/>
                <w:szCs w:val="18"/>
              </w:rPr>
            </w:pPr>
            <w:r>
              <w:rPr>
                <w:rFonts w:ascii="Times New Roman"/>
                <w:spacing w:val="-1"/>
                <w:sz w:val="18"/>
              </w:rPr>
              <w:t>43,723,981.69</w:t>
            </w:r>
          </w:p>
        </w:tc>
        <w:tc>
          <w:tcPr>
            <w:tcW w:w="192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42,245,234.77</w:t>
            </w:r>
          </w:p>
        </w:tc>
      </w:tr>
      <w:tr>
        <w:trPr>
          <w:trHeight w:val="307" w:hRule="exact"/>
        </w:trPr>
        <w:tc>
          <w:tcPr>
            <w:tcW w:w="4252"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4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559"/>
              <w:jc w:val="right"/>
              <w:rPr>
                <w:rFonts w:ascii="Times New Roman" w:hAnsi="Times New Roman" w:cs="Times New Roman" w:eastAsia="Times New Roman" w:hint="default"/>
                <w:sz w:val="18"/>
                <w:szCs w:val="18"/>
              </w:rPr>
            </w:pPr>
            <w:r>
              <w:rPr>
                <w:rFonts w:ascii="Times New Roman"/>
                <w:b/>
                <w:spacing w:val="-1"/>
                <w:sz w:val="18"/>
              </w:rPr>
              <w:t>1,964,452,807.79</w:t>
            </w:r>
            <w:r>
              <w:rPr>
                <w:rFonts w:ascii="Times New Roman"/>
                <w:spacing w:val="-1"/>
                <w:sz w:val="18"/>
              </w:rPr>
            </w:r>
          </w:p>
        </w:tc>
        <w:tc>
          <w:tcPr>
            <w:tcW w:w="1928"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1,702,955,135.50</w:t>
            </w:r>
            <w:r>
              <w:rPr>
                <w:rFonts w:ascii="Times New Roman"/>
                <w:spacing w:val="-1"/>
                <w:sz w:val="18"/>
              </w:rPr>
            </w:r>
          </w:p>
        </w:tc>
      </w:tr>
    </w:tbl>
    <w:p>
      <w:pPr>
        <w:spacing w:before="21"/>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48.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管理费用</w:t>
      </w:r>
    </w:p>
    <w:p>
      <w:pPr>
        <w:spacing w:line="240" w:lineRule="auto" w:before="5"/>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4067"/>
        <w:gridCol w:w="2725"/>
        <w:gridCol w:w="1933"/>
      </w:tblGrid>
      <w:tr>
        <w:trPr>
          <w:trHeight w:val="305" w:hRule="exact"/>
        </w:trPr>
        <w:tc>
          <w:tcPr>
            <w:tcW w:w="406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72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563"/>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193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25" w:hRule="exact"/>
        </w:trPr>
        <w:tc>
          <w:tcPr>
            <w:tcW w:w="4067"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人工费用</w:t>
            </w:r>
          </w:p>
        </w:tc>
        <w:tc>
          <w:tcPr>
            <w:tcW w:w="272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563"/>
              <w:jc w:val="right"/>
              <w:rPr>
                <w:rFonts w:ascii="Times New Roman" w:hAnsi="Times New Roman" w:cs="Times New Roman" w:eastAsia="Times New Roman" w:hint="default"/>
                <w:sz w:val="18"/>
                <w:szCs w:val="18"/>
              </w:rPr>
            </w:pPr>
            <w:r>
              <w:rPr>
                <w:rFonts w:ascii="Times New Roman"/>
                <w:spacing w:val="-1"/>
                <w:sz w:val="18"/>
              </w:rPr>
              <w:t>702,475,194.97</w:t>
            </w:r>
          </w:p>
        </w:tc>
        <w:tc>
          <w:tcPr>
            <w:tcW w:w="1933"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583,960,202.50</w:t>
            </w:r>
          </w:p>
        </w:tc>
      </w:tr>
      <w:tr>
        <w:trPr>
          <w:trHeight w:val="286"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技术开发费</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63"/>
              <w:jc w:val="right"/>
              <w:rPr>
                <w:rFonts w:ascii="Times New Roman" w:hAnsi="Times New Roman" w:cs="Times New Roman" w:eastAsia="Times New Roman" w:hint="default"/>
                <w:sz w:val="18"/>
                <w:szCs w:val="18"/>
              </w:rPr>
            </w:pPr>
            <w:r>
              <w:rPr>
                <w:rFonts w:ascii="Times New Roman"/>
                <w:spacing w:val="-1"/>
                <w:sz w:val="18"/>
              </w:rPr>
              <w:t>840,783,917.14</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497,402,304.36</w:t>
            </w:r>
          </w:p>
        </w:tc>
      </w:tr>
      <w:tr>
        <w:trPr>
          <w:trHeight w:val="285"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折旧与摊销</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63"/>
              <w:jc w:val="right"/>
              <w:rPr>
                <w:rFonts w:ascii="Times New Roman" w:hAnsi="Times New Roman" w:cs="Times New Roman" w:eastAsia="Times New Roman" w:hint="default"/>
                <w:sz w:val="18"/>
                <w:szCs w:val="18"/>
              </w:rPr>
            </w:pPr>
            <w:r>
              <w:rPr>
                <w:rFonts w:ascii="Times New Roman"/>
                <w:spacing w:val="-1"/>
                <w:sz w:val="18"/>
              </w:rPr>
              <w:t>318,990,270.68</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248,629,674.82</w:t>
            </w:r>
          </w:p>
        </w:tc>
      </w:tr>
      <w:tr>
        <w:trPr>
          <w:trHeight w:val="285"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咨询费、服务费、中介费</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63"/>
              <w:jc w:val="right"/>
              <w:rPr>
                <w:rFonts w:ascii="Times New Roman" w:hAnsi="Times New Roman" w:cs="Times New Roman" w:eastAsia="Times New Roman" w:hint="default"/>
                <w:sz w:val="18"/>
                <w:szCs w:val="18"/>
              </w:rPr>
            </w:pPr>
            <w:r>
              <w:rPr>
                <w:rFonts w:ascii="Times New Roman"/>
                <w:spacing w:val="-1"/>
                <w:sz w:val="18"/>
              </w:rPr>
              <w:t>121,953,125.25</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105,004,287.56</w:t>
            </w:r>
          </w:p>
        </w:tc>
      </w:tr>
      <w:tr>
        <w:trPr>
          <w:trHeight w:val="286"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差旅、会议、招待费</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63"/>
              <w:jc w:val="right"/>
              <w:rPr>
                <w:rFonts w:ascii="Times New Roman" w:hAnsi="Times New Roman" w:cs="Times New Roman" w:eastAsia="Times New Roman" w:hint="default"/>
                <w:sz w:val="18"/>
                <w:szCs w:val="18"/>
              </w:rPr>
            </w:pPr>
            <w:r>
              <w:rPr>
                <w:rFonts w:ascii="Times New Roman"/>
                <w:spacing w:val="-1"/>
                <w:sz w:val="18"/>
              </w:rPr>
              <w:t>75,704,266.96</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85,539,586.33</w:t>
            </w:r>
          </w:p>
        </w:tc>
      </w:tr>
      <w:tr>
        <w:trPr>
          <w:trHeight w:val="286"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税金</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63"/>
              <w:jc w:val="right"/>
              <w:rPr>
                <w:rFonts w:ascii="Times New Roman" w:hAnsi="Times New Roman" w:cs="Times New Roman" w:eastAsia="Times New Roman" w:hint="default"/>
                <w:sz w:val="18"/>
                <w:szCs w:val="18"/>
              </w:rPr>
            </w:pPr>
            <w:r>
              <w:rPr>
                <w:rFonts w:ascii="Times New Roman"/>
                <w:spacing w:val="-1"/>
                <w:sz w:val="18"/>
              </w:rPr>
              <w:t>70,826,422.93</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63,899,512.27</w:t>
            </w:r>
          </w:p>
        </w:tc>
      </w:tr>
      <w:tr>
        <w:trPr>
          <w:trHeight w:val="284"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办公、资料费</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63"/>
              <w:jc w:val="right"/>
              <w:rPr>
                <w:rFonts w:ascii="Times New Roman" w:hAnsi="Times New Roman" w:cs="Times New Roman" w:eastAsia="Times New Roman" w:hint="default"/>
                <w:sz w:val="18"/>
                <w:szCs w:val="18"/>
              </w:rPr>
            </w:pPr>
            <w:r>
              <w:rPr>
                <w:rFonts w:ascii="Times New Roman"/>
                <w:spacing w:val="-1"/>
                <w:sz w:val="18"/>
              </w:rPr>
              <w:t>56,408,899.97</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54,011,954.09</w:t>
            </w:r>
          </w:p>
        </w:tc>
      </w:tr>
      <w:tr>
        <w:trPr>
          <w:trHeight w:val="284"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商标注册、专利申请费、开办费、年费</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63"/>
              <w:jc w:val="right"/>
              <w:rPr>
                <w:rFonts w:ascii="Times New Roman" w:hAnsi="Times New Roman" w:cs="Times New Roman" w:eastAsia="Times New Roman" w:hint="default"/>
                <w:sz w:val="18"/>
                <w:szCs w:val="18"/>
              </w:rPr>
            </w:pPr>
            <w:r>
              <w:rPr>
                <w:rFonts w:ascii="Times New Roman"/>
                <w:spacing w:val="-1"/>
                <w:sz w:val="18"/>
              </w:rPr>
              <w:t>70,549,394.60</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44,490,894.83</w:t>
            </w:r>
          </w:p>
        </w:tc>
      </w:tr>
      <w:tr>
        <w:trPr>
          <w:trHeight w:val="286"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运杂、交通费</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63"/>
              <w:jc w:val="right"/>
              <w:rPr>
                <w:rFonts w:ascii="Times New Roman" w:hAnsi="Times New Roman" w:cs="Times New Roman" w:eastAsia="Times New Roman" w:hint="default"/>
                <w:sz w:val="18"/>
                <w:szCs w:val="18"/>
              </w:rPr>
            </w:pPr>
            <w:r>
              <w:rPr>
                <w:rFonts w:ascii="Times New Roman"/>
                <w:spacing w:val="-1"/>
                <w:sz w:val="18"/>
              </w:rPr>
              <w:t>16,151,928.29</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21,946,629.75</w:t>
            </w:r>
          </w:p>
        </w:tc>
      </w:tr>
      <w:tr>
        <w:trPr>
          <w:trHeight w:val="286"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维修费</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63"/>
              <w:jc w:val="right"/>
              <w:rPr>
                <w:rFonts w:ascii="Times New Roman" w:hAnsi="Times New Roman" w:cs="Times New Roman" w:eastAsia="Times New Roman" w:hint="default"/>
                <w:sz w:val="18"/>
                <w:szCs w:val="18"/>
              </w:rPr>
            </w:pPr>
            <w:r>
              <w:rPr>
                <w:rFonts w:ascii="Times New Roman"/>
                <w:spacing w:val="-1"/>
                <w:sz w:val="18"/>
              </w:rPr>
              <w:t>14,077,569.45</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16,148,648.88</w:t>
            </w:r>
          </w:p>
        </w:tc>
      </w:tr>
      <w:tr>
        <w:trPr>
          <w:trHeight w:val="284"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水电、蒸汽、暖气费</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63"/>
              <w:jc w:val="right"/>
              <w:rPr>
                <w:rFonts w:ascii="Times New Roman" w:hAnsi="Times New Roman" w:cs="Times New Roman" w:eastAsia="Times New Roman" w:hint="default"/>
                <w:sz w:val="18"/>
                <w:szCs w:val="18"/>
              </w:rPr>
            </w:pPr>
            <w:r>
              <w:rPr>
                <w:rFonts w:ascii="Times New Roman"/>
                <w:spacing w:val="-1"/>
                <w:sz w:val="18"/>
              </w:rPr>
              <w:t>11,753,750.36</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11,381,425.63</w:t>
            </w:r>
          </w:p>
        </w:tc>
      </w:tr>
      <w:tr>
        <w:trPr>
          <w:trHeight w:val="284"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保险费</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63"/>
              <w:jc w:val="right"/>
              <w:rPr>
                <w:rFonts w:ascii="Times New Roman" w:hAnsi="Times New Roman" w:cs="Times New Roman" w:eastAsia="Times New Roman" w:hint="default"/>
                <w:sz w:val="18"/>
                <w:szCs w:val="18"/>
              </w:rPr>
            </w:pPr>
            <w:r>
              <w:rPr>
                <w:rFonts w:ascii="Times New Roman"/>
                <w:spacing w:val="-1"/>
                <w:sz w:val="18"/>
              </w:rPr>
              <w:t>10,608,972.69</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10,498,154.75</w:t>
            </w:r>
          </w:p>
        </w:tc>
      </w:tr>
      <w:tr>
        <w:trPr>
          <w:trHeight w:val="286"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物料消耗</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63"/>
              <w:jc w:val="right"/>
              <w:rPr>
                <w:rFonts w:ascii="Times New Roman" w:hAnsi="Times New Roman" w:cs="Times New Roman" w:eastAsia="Times New Roman" w:hint="default"/>
                <w:sz w:val="18"/>
                <w:szCs w:val="18"/>
              </w:rPr>
            </w:pPr>
            <w:r>
              <w:rPr>
                <w:rFonts w:ascii="Times New Roman"/>
                <w:spacing w:val="-1"/>
                <w:sz w:val="18"/>
              </w:rPr>
              <w:t>10,580,953.65</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9,350,049.72</w:t>
            </w:r>
          </w:p>
        </w:tc>
      </w:tr>
      <w:tr>
        <w:trPr>
          <w:trHeight w:val="286"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房租物业费</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63"/>
              <w:jc w:val="right"/>
              <w:rPr>
                <w:rFonts w:ascii="Times New Roman" w:hAnsi="Times New Roman" w:cs="Times New Roman" w:eastAsia="Times New Roman" w:hint="default"/>
                <w:sz w:val="18"/>
                <w:szCs w:val="18"/>
              </w:rPr>
            </w:pPr>
            <w:r>
              <w:rPr>
                <w:rFonts w:ascii="Times New Roman"/>
                <w:spacing w:val="-1"/>
                <w:sz w:val="18"/>
              </w:rPr>
              <w:t>15,574,731.67</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7,151,181.57</w:t>
            </w:r>
          </w:p>
        </w:tc>
      </w:tr>
      <w:tr>
        <w:trPr>
          <w:trHeight w:val="285"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租赁、仓储费</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63"/>
              <w:jc w:val="right"/>
              <w:rPr>
                <w:rFonts w:ascii="Times New Roman" w:hAnsi="Times New Roman" w:cs="Times New Roman" w:eastAsia="Times New Roman" w:hint="default"/>
                <w:sz w:val="18"/>
                <w:szCs w:val="18"/>
              </w:rPr>
            </w:pPr>
            <w:r>
              <w:rPr>
                <w:rFonts w:ascii="Times New Roman"/>
                <w:spacing w:val="-1"/>
                <w:sz w:val="18"/>
              </w:rPr>
              <w:t>2,730,083.45</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5,425,595.07</w:t>
            </w:r>
          </w:p>
        </w:tc>
      </w:tr>
      <w:tr>
        <w:trPr>
          <w:trHeight w:val="285"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机构管理费、行政费</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63"/>
              <w:jc w:val="right"/>
              <w:rPr>
                <w:rFonts w:ascii="Times New Roman" w:hAnsi="Times New Roman" w:cs="Times New Roman" w:eastAsia="Times New Roman" w:hint="default"/>
                <w:sz w:val="18"/>
                <w:szCs w:val="18"/>
              </w:rPr>
            </w:pPr>
            <w:r>
              <w:rPr>
                <w:rFonts w:ascii="Times New Roman"/>
                <w:spacing w:val="-1"/>
                <w:sz w:val="18"/>
              </w:rPr>
              <w:t>1,181,094.13</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4,963,386.26</w:t>
            </w:r>
          </w:p>
        </w:tc>
      </w:tr>
      <w:tr>
        <w:trPr>
          <w:trHeight w:val="286"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试验测试、加工安装制作费</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63"/>
              <w:jc w:val="right"/>
              <w:rPr>
                <w:rFonts w:ascii="Times New Roman" w:hAnsi="Times New Roman" w:cs="Times New Roman" w:eastAsia="Times New Roman" w:hint="default"/>
                <w:sz w:val="18"/>
                <w:szCs w:val="18"/>
              </w:rPr>
            </w:pPr>
            <w:r>
              <w:rPr>
                <w:rFonts w:ascii="Times New Roman"/>
                <w:spacing w:val="-1"/>
                <w:sz w:val="18"/>
              </w:rPr>
              <w:t>31,582,142.78</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4,117,020.84</w:t>
            </w:r>
          </w:p>
        </w:tc>
      </w:tr>
      <w:tr>
        <w:trPr>
          <w:trHeight w:val="286" w:hRule="exact"/>
        </w:trPr>
        <w:tc>
          <w:tcPr>
            <w:tcW w:w="406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董事会经费</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63"/>
              <w:jc w:val="right"/>
              <w:rPr>
                <w:rFonts w:ascii="Times New Roman" w:hAnsi="Times New Roman" w:cs="Times New Roman" w:eastAsia="Times New Roman" w:hint="default"/>
                <w:sz w:val="18"/>
                <w:szCs w:val="18"/>
              </w:rPr>
            </w:pPr>
            <w:r>
              <w:rPr>
                <w:rFonts w:ascii="Times New Roman"/>
                <w:spacing w:val="-1"/>
                <w:sz w:val="18"/>
              </w:rPr>
              <w:t>2,047,199.15</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1,828,243.27</w:t>
            </w:r>
          </w:p>
        </w:tc>
      </w:tr>
      <w:tr>
        <w:trPr>
          <w:trHeight w:val="255" w:hRule="exact"/>
        </w:trPr>
        <w:tc>
          <w:tcPr>
            <w:tcW w:w="4067"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72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563"/>
              <w:jc w:val="right"/>
              <w:rPr>
                <w:rFonts w:ascii="Times New Roman" w:hAnsi="Times New Roman" w:cs="Times New Roman" w:eastAsia="Times New Roman" w:hint="default"/>
                <w:sz w:val="18"/>
                <w:szCs w:val="18"/>
              </w:rPr>
            </w:pPr>
            <w:r>
              <w:rPr>
                <w:rFonts w:ascii="Times New Roman"/>
                <w:spacing w:val="-1"/>
                <w:sz w:val="18"/>
              </w:rPr>
              <w:t>54,946,052.08</w:t>
            </w:r>
          </w:p>
        </w:tc>
        <w:tc>
          <w:tcPr>
            <w:tcW w:w="1933"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43,322,841.49</w:t>
            </w:r>
          </w:p>
        </w:tc>
      </w:tr>
      <w:tr>
        <w:trPr>
          <w:trHeight w:val="305" w:hRule="exact"/>
        </w:trPr>
        <w:tc>
          <w:tcPr>
            <w:tcW w:w="4067"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72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563"/>
              <w:jc w:val="right"/>
              <w:rPr>
                <w:rFonts w:ascii="Times New Roman" w:hAnsi="Times New Roman" w:cs="Times New Roman" w:eastAsia="Times New Roman" w:hint="default"/>
                <w:sz w:val="18"/>
                <w:szCs w:val="18"/>
              </w:rPr>
            </w:pPr>
            <w:r>
              <w:rPr>
                <w:rFonts w:ascii="Times New Roman"/>
                <w:b/>
                <w:spacing w:val="-1"/>
                <w:sz w:val="18"/>
              </w:rPr>
              <w:t>2,428,925,970.20</w:t>
            </w:r>
            <w:r>
              <w:rPr>
                <w:rFonts w:ascii="Times New Roman"/>
                <w:spacing w:val="-1"/>
                <w:sz w:val="18"/>
              </w:rPr>
            </w:r>
          </w:p>
        </w:tc>
        <w:tc>
          <w:tcPr>
            <w:tcW w:w="193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1,819,071,593.99</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645" w:footer="816" w:top="1080" w:bottom="1020" w:left="1480" w:right="1480"/>
        </w:sectPr>
      </w:pPr>
    </w:p>
    <w:p>
      <w:pPr>
        <w:spacing w:line="240" w:lineRule="auto" w:before="13"/>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3162"/>
        <w:gridCol w:w="3680"/>
        <w:gridCol w:w="1948"/>
      </w:tblGrid>
      <w:tr>
        <w:trPr>
          <w:trHeight w:val="305" w:hRule="exact"/>
        </w:trPr>
        <w:tc>
          <w:tcPr>
            <w:tcW w:w="316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68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578"/>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194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25" w:hRule="exact"/>
        </w:trPr>
        <w:tc>
          <w:tcPr>
            <w:tcW w:w="3162"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680"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577"/>
              <w:jc w:val="right"/>
              <w:rPr>
                <w:rFonts w:ascii="Times New Roman" w:hAnsi="Times New Roman" w:cs="Times New Roman" w:eastAsia="Times New Roman" w:hint="default"/>
                <w:sz w:val="18"/>
                <w:szCs w:val="18"/>
              </w:rPr>
            </w:pPr>
            <w:r>
              <w:rPr>
                <w:rFonts w:ascii="Times New Roman"/>
                <w:spacing w:val="-1"/>
                <w:sz w:val="18"/>
              </w:rPr>
              <w:t>984,903,113.73</w:t>
            </w:r>
          </w:p>
        </w:tc>
        <w:tc>
          <w:tcPr>
            <w:tcW w:w="194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spacing w:val="-1"/>
                <w:sz w:val="18"/>
              </w:rPr>
              <w:t>1,089,589,403.42</w:t>
            </w:r>
          </w:p>
        </w:tc>
      </w:tr>
      <w:tr>
        <w:trPr>
          <w:trHeight w:val="284" w:hRule="exact"/>
        </w:trPr>
        <w:tc>
          <w:tcPr>
            <w:tcW w:w="316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68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77"/>
              <w:jc w:val="right"/>
              <w:rPr>
                <w:rFonts w:ascii="Times New Roman" w:hAnsi="Times New Roman" w:cs="Times New Roman" w:eastAsia="Times New Roman" w:hint="default"/>
                <w:sz w:val="18"/>
                <w:szCs w:val="18"/>
              </w:rPr>
            </w:pPr>
            <w:r>
              <w:rPr>
                <w:rFonts w:ascii="Times New Roman"/>
                <w:spacing w:val="-1"/>
                <w:sz w:val="18"/>
              </w:rPr>
              <w:t>122,196,768.73</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80,932,352.71</w:t>
            </w:r>
          </w:p>
        </w:tc>
      </w:tr>
      <w:tr>
        <w:trPr>
          <w:trHeight w:val="284" w:hRule="exact"/>
        </w:trPr>
        <w:tc>
          <w:tcPr>
            <w:tcW w:w="3162"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加：汇兑损失</w:t>
            </w:r>
          </w:p>
        </w:tc>
        <w:tc>
          <w:tcPr>
            <w:tcW w:w="368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79"/>
              <w:jc w:val="right"/>
              <w:rPr>
                <w:rFonts w:ascii="Times New Roman" w:hAnsi="Times New Roman" w:cs="Times New Roman" w:eastAsia="Times New Roman" w:hint="default"/>
                <w:sz w:val="18"/>
                <w:szCs w:val="18"/>
              </w:rPr>
            </w:pPr>
            <w:r>
              <w:rPr>
                <w:rFonts w:ascii="Times New Roman"/>
                <w:spacing w:val="-1"/>
                <w:sz w:val="18"/>
              </w:rPr>
              <w:t>43,833,594.44</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52,807,191.42</w:t>
            </w:r>
          </w:p>
        </w:tc>
      </w:tr>
      <w:tr>
        <w:trPr>
          <w:trHeight w:val="255" w:hRule="exact"/>
        </w:trPr>
        <w:tc>
          <w:tcPr>
            <w:tcW w:w="3162"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加：其他支出</w:t>
            </w:r>
          </w:p>
        </w:tc>
        <w:tc>
          <w:tcPr>
            <w:tcW w:w="3680"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579"/>
              <w:jc w:val="right"/>
              <w:rPr>
                <w:rFonts w:ascii="Times New Roman" w:hAnsi="Times New Roman" w:cs="Times New Roman" w:eastAsia="Times New Roman" w:hint="default"/>
                <w:sz w:val="18"/>
                <w:szCs w:val="18"/>
              </w:rPr>
            </w:pPr>
            <w:r>
              <w:rPr>
                <w:rFonts w:ascii="Times New Roman"/>
                <w:spacing w:val="-1"/>
                <w:sz w:val="18"/>
              </w:rPr>
              <w:t>54,193,864.95</w:t>
            </w:r>
          </w:p>
        </w:tc>
        <w:tc>
          <w:tcPr>
            <w:tcW w:w="194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72,483,759.62</w:t>
            </w:r>
          </w:p>
        </w:tc>
      </w:tr>
      <w:tr>
        <w:trPr>
          <w:trHeight w:val="307" w:hRule="exact"/>
        </w:trPr>
        <w:tc>
          <w:tcPr>
            <w:tcW w:w="3162"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680"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577"/>
              <w:jc w:val="right"/>
              <w:rPr>
                <w:rFonts w:ascii="Times New Roman" w:hAnsi="Times New Roman" w:cs="Times New Roman" w:eastAsia="Times New Roman" w:hint="default"/>
                <w:sz w:val="18"/>
                <w:szCs w:val="18"/>
              </w:rPr>
            </w:pPr>
            <w:r>
              <w:rPr>
                <w:rFonts w:ascii="Times New Roman"/>
                <w:b/>
                <w:spacing w:val="-1"/>
                <w:sz w:val="18"/>
              </w:rPr>
              <w:t>960,733,804.39</w:t>
            </w:r>
            <w:r>
              <w:rPr>
                <w:rFonts w:ascii="Times New Roman"/>
                <w:spacing w:val="-1"/>
                <w:sz w:val="18"/>
              </w:rPr>
            </w:r>
          </w:p>
        </w:tc>
        <w:tc>
          <w:tcPr>
            <w:tcW w:w="1948"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1,133,948,001.75</w:t>
            </w:r>
            <w:r>
              <w:rPr>
                <w:rFonts w:ascii="Times New Roman"/>
                <w:spacing w:val="-1"/>
                <w:sz w:val="18"/>
              </w:rPr>
            </w:r>
          </w:p>
        </w:tc>
      </w:tr>
    </w:tbl>
    <w:p>
      <w:pPr>
        <w:spacing w:before="81"/>
        <w:ind w:left="645" w:right="142"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50.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资产减值损失</w:t>
      </w:r>
    </w:p>
    <w:p>
      <w:pPr>
        <w:spacing w:line="240" w:lineRule="auto" w:before="5"/>
        <w:rPr>
          <w:rFonts w:ascii="宋体" w:hAnsi="宋体" w:cs="宋体" w:eastAsia="宋体" w:hint="default"/>
          <w:sz w:val="11"/>
          <w:szCs w:val="11"/>
        </w:rPr>
      </w:pPr>
    </w:p>
    <w:tbl>
      <w:tblPr>
        <w:tblW w:w="0" w:type="auto"/>
        <w:jc w:val="left"/>
        <w:tblInd w:w="134" w:type="dxa"/>
        <w:tblLayout w:type="fixed"/>
        <w:tblCellMar>
          <w:top w:w="0" w:type="dxa"/>
          <w:left w:w="0" w:type="dxa"/>
          <w:bottom w:w="0" w:type="dxa"/>
          <w:right w:w="0" w:type="dxa"/>
        </w:tblCellMar>
        <w:tblLook w:val="01E0"/>
      </w:tblPr>
      <w:tblGrid>
        <w:gridCol w:w="3498"/>
        <w:gridCol w:w="3354"/>
        <w:gridCol w:w="1873"/>
      </w:tblGrid>
      <w:tr>
        <w:trPr>
          <w:trHeight w:val="307" w:hRule="exact"/>
        </w:trPr>
        <w:tc>
          <w:tcPr>
            <w:tcW w:w="349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5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636"/>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187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23" w:hRule="exact"/>
        </w:trPr>
        <w:tc>
          <w:tcPr>
            <w:tcW w:w="3498"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坏账损失</w:t>
            </w:r>
          </w:p>
        </w:tc>
        <w:tc>
          <w:tcPr>
            <w:tcW w:w="3354"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635"/>
              <w:jc w:val="right"/>
              <w:rPr>
                <w:rFonts w:ascii="Times New Roman" w:hAnsi="Times New Roman" w:cs="Times New Roman" w:eastAsia="Times New Roman" w:hint="default"/>
                <w:sz w:val="18"/>
                <w:szCs w:val="18"/>
              </w:rPr>
            </w:pPr>
            <w:r>
              <w:rPr>
                <w:rFonts w:ascii="Times New Roman"/>
                <w:spacing w:val="-1"/>
                <w:sz w:val="18"/>
              </w:rPr>
              <w:t>275,018,477.61</w:t>
            </w:r>
          </w:p>
        </w:tc>
        <w:tc>
          <w:tcPr>
            <w:tcW w:w="1873"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199,365,222.79</w:t>
            </w:r>
            <w:r>
              <w:rPr>
                <w:rFonts w:ascii="Times New Roman"/>
                <w:sz w:val="18"/>
              </w:rPr>
            </w:r>
          </w:p>
        </w:tc>
      </w:tr>
      <w:tr>
        <w:trPr>
          <w:trHeight w:val="286" w:hRule="exact"/>
        </w:trPr>
        <w:tc>
          <w:tcPr>
            <w:tcW w:w="349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存货跌价损失</w:t>
            </w:r>
          </w:p>
        </w:tc>
        <w:tc>
          <w:tcPr>
            <w:tcW w:w="33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35"/>
              <w:jc w:val="right"/>
              <w:rPr>
                <w:rFonts w:ascii="Times New Roman" w:hAnsi="Times New Roman" w:cs="Times New Roman" w:eastAsia="Times New Roman" w:hint="default"/>
                <w:sz w:val="18"/>
                <w:szCs w:val="18"/>
              </w:rPr>
            </w:pPr>
            <w:r>
              <w:rPr>
                <w:rFonts w:ascii="Times New Roman"/>
                <w:spacing w:val="-1"/>
                <w:sz w:val="18"/>
              </w:rPr>
              <w:t>160,560,589.78</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68,131,358.38</w:t>
            </w:r>
          </w:p>
        </w:tc>
      </w:tr>
      <w:tr>
        <w:trPr>
          <w:trHeight w:val="286" w:hRule="exact"/>
        </w:trPr>
        <w:tc>
          <w:tcPr>
            <w:tcW w:w="349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商誉减值损失</w:t>
            </w:r>
          </w:p>
        </w:tc>
        <w:tc>
          <w:tcPr>
            <w:tcW w:w="33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37"/>
              <w:jc w:val="right"/>
              <w:rPr>
                <w:rFonts w:ascii="Times New Roman" w:hAnsi="Times New Roman" w:cs="Times New Roman" w:eastAsia="Times New Roman" w:hint="default"/>
                <w:sz w:val="18"/>
                <w:szCs w:val="18"/>
              </w:rPr>
            </w:pPr>
            <w:r>
              <w:rPr>
                <w:rFonts w:ascii="Times New Roman"/>
                <w:spacing w:val="-1"/>
                <w:sz w:val="18"/>
              </w:rPr>
              <w:t>0.00</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7,358,681.20</w:t>
            </w:r>
          </w:p>
        </w:tc>
      </w:tr>
      <w:tr>
        <w:trPr>
          <w:trHeight w:val="285" w:hRule="exact"/>
        </w:trPr>
        <w:tc>
          <w:tcPr>
            <w:tcW w:w="349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长期股权投资减值损失</w:t>
            </w:r>
          </w:p>
        </w:tc>
        <w:tc>
          <w:tcPr>
            <w:tcW w:w="33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35"/>
              <w:jc w:val="right"/>
              <w:rPr>
                <w:rFonts w:ascii="Times New Roman" w:hAnsi="Times New Roman" w:cs="Times New Roman" w:eastAsia="Times New Roman" w:hint="default"/>
                <w:sz w:val="18"/>
                <w:szCs w:val="18"/>
              </w:rPr>
            </w:pPr>
            <w:r>
              <w:rPr>
                <w:rFonts w:ascii="Times New Roman"/>
                <w:spacing w:val="-1"/>
                <w:sz w:val="18"/>
              </w:rPr>
              <w:t>0.00</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1,473,934.90</w:t>
            </w:r>
          </w:p>
        </w:tc>
      </w:tr>
      <w:tr>
        <w:trPr>
          <w:trHeight w:val="284" w:hRule="exact"/>
        </w:trPr>
        <w:tc>
          <w:tcPr>
            <w:tcW w:w="3498"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固定资产减值损失</w:t>
            </w:r>
          </w:p>
        </w:tc>
        <w:tc>
          <w:tcPr>
            <w:tcW w:w="335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36"/>
              <w:jc w:val="right"/>
              <w:rPr>
                <w:rFonts w:ascii="Times New Roman" w:hAnsi="Times New Roman" w:cs="Times New Roman" w:eastAsia="Times New Roman" w:hint="default"/>
                <w:sz w:val="18"/>
                <w:szCs w:val="18"/>
              </w:rPr>
            </w:pPr>
            <w:r>
              <w:rPr>
                <w:rFonts w:ascii="Times New Roman"/>
                <w:spacing w:val="-1"/>
                <w:sz w:val="18"/>
              </w:rPr>
              <w:t>29,094,593.05</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55" w:hRule="exact"/>
        </w:trPr>
        <w:tc>
          <w:tcPr>
            <w:tcW w:w="3498"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在建工程减值损失</w:t>
            </w:r>
          </w:p>
        </w:tc>
        <w:tc>
          <w:tcPr>
            <w:tcW w:w="335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636"/>
              <w:jc w:val="right"/>
              <w:rPr>
                <w:rFonts w:ascii="Times New Roman" w:hAnsi="Times New Roman" w:cs="Times New Roman" w:eastAsia="Times New Roman" w:hint="default"/>
                <w:sz w:val="18"/>
                <w:szCs w:val="18"/>
              </w:rPr>
            </w:pPr>
            <w:r>
              <w:rPr>
                <w:rFonts w:ascii="Times New Roman"/>
                <w:spacing w:val="-1"/>
                <w:sz w:val="18"/>
              </w:rPr>
              <w:t>13,768,136.84</w:t>
            </w:r>
          </w:p>
        </w:tc>
        <w:tc>
          <w:tcPr>
            <w:tcW w:w="1873"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307" w:hRule="exact"/>
        </w:trPr>
        <w:tc>
          <w:tcPr>
            <w:tcW w:w="3498"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35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635"/>
              <w:jc w:val="right"/>
              <w:rPr>
                <w:rFonts w:ascii="Times New Roman" w:hAnsi="Times New Roman" w:cs="Times New Roman" w:eastAsia="Times New Roman" w:hint="default"/>
                <w:sz w:val="18"/>
                <w:szCs w:val="18"/>
              </w:rPr>
            </w:pPr>
            <w:r>
              <w:rPr>
                <w:rFonts w:ascii="Times New Roman"/>
                <w:b/>
                <w:spacing w:val="-1"/>
                <w:sz w:val="18"/>
              </w:rPr>
              <w:t>478,441,797.28</w:t>
            </w:r>
            <w:r>
              <w:rPr>
                <w:rFonts w:ascii="Times New Roman"/>
                <w:spacing w:val="-1"/>
                <w:sz w:val="18"/>
              </w:rPr>
            </w:r>
          </w:p>
        </w:tc>
        <w:tc>
          <w:tcPr>
            <w:tcW w:w="187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276,329,197.27</w:t>
            </w:r>
            <w:r>
              <w:rPr>
                <w:rFonts w:ascii="Times New Roman"/>
                <w:spacing w:val="-1"/>
                <w:sz w:val="18"/>
              </w:rPr>
            </w:r>
          </w:p>
        </w:tc>
      </w:tr>
    </w:tbl>
    <w:p>
      <w:pPr>
        <w:spacing w:before="21"/>
        <w:ind w:left="645" w:right="142"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51. </w:t>
      </w:r>
      <w:r>
        <w:rPr>
          <w:rFonts w:ascii="Times New Roman" w:hAnsi="Times New Roman" w:cs="Times New Roman" w:eastAsia="Times New Roman" w:hint="default"/>
          <w:b/>
          <w:bCs/>
          <w:spacing w:val="8"/>
          <w:sz w:val="22"/>
          <w:szCs w:val="22"/>
        </w:rPr>
        <w:t> </w:t>
      </w:r>
      <w:r>
        <w:rPr>
          <w:rFonts w:ascii="宋体" w:hAnsi="宋体" w:cs="宋体" w:eastAsia="宋体" w:hint="default"/>
          <w:sz w:val="22"/>
          <w:szCs w:val="22"/>
        </w:rPr>
        <w:t>公允价值变动收益</w:t>
      </w:r>
      <w:r>
        <w:rPr>
          <w:rFonts w:ascii="Times New Roman" w:hAnsi="Times New Roman" w:cs="Times New Roman" w:eastAsia="Times New Roman" w:hint="default"/>
          <w:sz w:val="22"/>
          <w:szCs w:val="22"/>
        </w:rPr>
        <w:t>/</w:t>
      </w:r>
      <w:r>
        <w:rPr>
          <w:rFonts w:ascii="宋体" w:hAnsi="宋体" w:cs="宋体" w:eastAsia="宋体" w:hint="default"/>
          <w:sz w:val="22"/>
          <w:szCs w:val="22"/>
        </w:rPr>
        <w:t>损失</w:t>
      </w:r>
    </w:p>
    <w:p>
      <w:pPr>
        <w:spacing w:line="240" w:lineRule="auto" w:before="5"/>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4635"/>
        <w:gridCol w:w="2248"/>
        <w:gridCol w:w="1908"/>
      </w:tblGrid>
      <w:tr>
        <w:trPr>
          <w:trHeight w:val="307" w:hRule="exact"/>
        </w:trPr>
        <w:tc>
          <w:tcPr>
            <w:tcW w:w="463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4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673"/>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190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23" w:hRule="exact"/>
        </w:trPr>
        <w:tc>
          <w:tcPr>
            <w:tcW w:w="4635"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以公允价值计量的且其变动计入当期损益的金融资产</w:t>
            </w:r>
          </w:p>
        </w:tc>
        <w:tc>
          <w:tcPr>
            <w:tcW w:w="2248"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673"/>
              <w:jc w:val="right"/>
              <w:rPr>
                <w:rFonts w:ascii="Times New Roman" w:hAnsi="Times New Roman" w:cs="Times New Roman" w:eastAsia="Times New Roman" w:hint="default"/>
                <w:sz w:val="18"/>
                <w:szCs w:val="18"/>
              </w:rPr>
            </w:pPr>
            <w:r>
              <w:rPr>
                <w:rFonts w:ascii="Times New Roman"/>
                <w:spacing w:val="-1"/>
                <w:sz w:val="18"/>
              </w:rPr>
              <w:t>-227,244,716.21</w:t>
            </w:r>
          </w:p>
        </w:tc>
        <w:tc>
          <w:tcPr>
            <w:tcW w:w="1908"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134,143,594.36</w:t>
            </w:r>
          </w:p>
        </w:tc>
      </w:tr>
      <w:tr>
        <w:trPr>
          <w:trHeight w:val="286" w:hRule="exact"/>
        </w:trPr>
        <w:tc>
          <w:tcPr>
            <w:tcW w:w="463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采用公允价值计量的投资性房地产</w:t>
            </w:r>
          </w:p>
        </w:tc>
        <w:tc>
          <w:tcPr>
            <w:tcW w:w="22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73"/>
              <w:jc w:val="right"/>
              <w:rPr>
                <w:rFonts w:ascii="Times New Roman" w:hAnsi="Times New Roman" w:cs="Times New Roman" w:eastAsia="Times New Roman" w:hint="default"/>
                <w:sz w:val="18"/>
                <w:szCs w:val="18"/>
              </w:rPr>
            </w:pPr>
            <w:r>
              <w:rPr>
                <w:rFonts w:ascii="Times New Roman"/>
                <w:spacing w:val="-1"/>
                <w:sz w:val="18"/>
              </w:rPr>
              <w:t>-1,794,889.76</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166,886.78</w:t>
            </w:r>
          </w:p>
        </w:tc>
      </w:tr>
      <w:tr>
        <w:trPr>
          <w:trHeight w:val="255" w:hRule="exact"/>
        </w:trPr>
        <w:tc>
          <w:tcPr>
            <w:tcW w:w="4635"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24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672"/>
              <w:jc w:val="right"/>
              <w:rPr>
                <w:rFonts w:ascii="Times New Roman" w:hAnsi="Times New Roman" w:cs="Times New Roman" w:eastAsia="Times New Roman" w:hint="default"/>
                <w:sz w:val="18"/>
                <w:szCs w:val="18"/>
              </w:rPr>
            </w:pPr>
            <w:r>
              <w:rPr>
                <w:rFonts w:ascii="Times New Roman"/>
                <w:spacing w:val="-1"/>
                <w:sz w:val="18"/>
              </w:rPr>
              <w:t>0.00</w:t>
            </w:r>
          </w:p>
        </w:tc>
        <w:tc>
          <w:tcPr>
            <w:tcW w:w="190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-6,176,723.32</w:t>
            </w:r>
          </w:p>
        </w:tc>
      </w:tr>
      <w:tr>
        <w:trPr>
          <w:trHeight w:val="305" w:hRule="exact"/>
        </w:trPr>
        <w:tc>
          <w:tcPr>
            <w:tcW w:w="4635"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48"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673"/>
              <w:jc w:val="right"/>
              <w:rPr>
                <w:rFonts w:ascii="Times New Roman" w:hAnsi="Times New Roman" w:cs="Times New Roman" w:eastAsia="Times New Roman" w:hint="default"/>
                <w:sz w:val="18"/>
                <w:szCs w:val="18"/>
              </w:rPr>
            </w:pPr>
            <w:r>
              <w:rPr>
                <w:rFonts w:ascii="Times New Roman"/>
                <w:b/>
                <w:spacing w:val="-1"/>
                <w:sz w:val="18"/>
              </w:rPr>
              <w:t>-229,039,605.97</w:t>
            </w:r>
            <w:r>
              <w:rPr>
                <w:rFonts w:ascii="Times New Roman"/>
                <w:spacing w:val="-1"/>
                <w:sz w:val="18"/>
              </w:rPr>
            </w:r>
          </w:p>
        </w:tc>
        <w:tc>
          <w:tcPr>
            <w:tcW w:w="1908"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b/>
                <w:spacing w:val="-1"/>
                <w:sz w:val="18"/>
              </w:rPr>
              <w:t>128,133,757.82</w:t>
            </w:r>
            <w:r>
              <w:rPr>
                <w:rFonts w:ascii="Times New Roman"/>
                <w:spacing w:val="-1"/>
                <w:sz w:val="18"/>
              </w:rPr>
            </w:r>
          </w:p>
        </w:tc>
      </w:tr>
    </w:tbl>
    <w:p>
      <w:pPr>
        <w:spacing w:before="81"/>
        <w:ind w:left="645" w:right="142"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52.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投资收益</w:t>
      </w:r>
    </w:p>
    <w:p>
      <w:pPr>
        <w:spacing w:line="240" w:lineRule="auto" w:before="8"/>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6095"/>
        <w:gridCol w:w="1432"/>
        <w:gridCol w:w="1254"/>
      </w:tblGrid>
      <w:tr>
        <w:trPr>
          <w:trHeight w:val="305" w:hRule="exact"/>
        </w:trPr>
        <w:tc>
          <w:tcPr>
            <w:tcW w:w="609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55"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3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70"/>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125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55"/>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25" w:hRule="exact"/>
        </w:trPr>
        <w:tc>
          <w:tcPr>
            <w:tcW w:w="6095"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55"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1432"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70"/>
              <w:jc w:val="right"/>
              <w:rPr>
                <w:rFonts w:ascii="Times New Roman" w:hAnsi="Times New Roman" w:cs="Times New Roman" w:eastAsia="Times New Roman" w:hint="default"/>
                <w:sz w:val="18"/>
                <w:szCs w:val="18"/>
              </w:rPr>
            </w:pPr>
            <w:r>
              <w:rPr>
                <w:rFonts w:ascii="Times New Roman"/>
                <w:spacing w:val="-1"/>
                <w:sz w:val="18"/>
              </w:rPr>
              <w:t>1,358,888,257.26</w:t>
            </w:r>
          </w:p>
        </w:tc>
        <w:tc>
          <w:tcPr>
            <w:tcW w:w="125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55"/>
              <w:jc w:val="right"/>
              <w:rPr>
                <w:rFonts w:ascii="Times New Roman" w:hAnsi="Times New Roman" w:cs="Times New Roman" w:eastAsia="Times New Roman" w:hint="default"/>
                <w:sz w:val="18"/>
                <w:szCs w:val="18"/>
              </w:rPr>
            </w:pPr>
            <w:r>
              <w:rPr>
                <w:rFonts w:ascii="Times New Roman"/>
                <w:spacing w:val="-1"/>
                <w:sz w:val="18"/>
              </w:rPr>
              <w:t>853,612,638.62</w:t>
            </w:r>
          </w:p>
        </w:tc>
      </w:tr>
      <w:tr>
        <w:trPr>
          <w:trHeight w:val="284" w:hRule="exact"/>
        </w:trPr>
        <w:tc>
          <w:tcPr>
            <w:tcW w:w="6095" w:type="dxa"/>
            <w:tcBorders>
              <w:top w:val="nil" w:sz="6" w:space="0" w:color="auto"/>
              <w:left w:val="nil" w:sz="6" w:space="0" w:color="auto"/>
              <w:bottom w:val="nil" w:sz="6" w:space="0" w:color="auto"/>
              <w:right w:val="nil" w:sz="6" w:space="0" w:color="auto"/>
            </w:tcBorders>
          </w:tcPr>
          <w:p>
            <w:pPr>
              <w:pStyle w:val="TableParagraph"/>
              <w:spacing w:line="223" w:lineRule="exact"/>
              <w:ind w:left="55"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691,673,601.28</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-4,804,640.16</w:t>
            </w:r>
          </w:p>
        </w:tc>
      </w:tr>
      <w:tr>
        <w:trPr>
          <w:trHeight w:val="284" w:hRule="exact"/>
        </w:trPr>
        <w:tc>
          <w:tcPr>
            <w:tcW w:w="6095" w:type="dxa"/>
            <w:tcBorders>
              <w:top w:val="nil" w:sz="6" w:space="0" w:color="auto"/>
              <w:left w:val="nil" w:sz="6" w:space="0" w:color="auto"/>
              <w:bottom w:val="nil" w:sz="6" w:space="0" w:color="auto"/>
              <w:right w:val="nil" w:sz="6" w:space="0" w:color="auto"/>
            </w:tcBorders>
          </w:tcPr>
          <w:p>
            <w:pPr>
              <w:pStyle w:val="TableParagraph"/>
              <w:spacing w:line="222" w:lineRule="exact"/>
              <w:ind w:left="55" w:right="0"/>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处置以公允价值计量且其变动计入当期损益的金融资产取得的投资收益</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9"/>
              <w:jc w:val="right"/>
              <w:rPr>
                <w:rFonts w:ascii="Times New Roman" w:hAnsi="Times New Roman" w:cs="Times New Roman" w:eastAsia="Times New Roman" w:hint="default"/>
                <w:sz w:val="18"/>
                <w:szCs w:val="18"/>
              </w:rPr>
            </w:pPr>
            <w:r>
              <w:rPr>
                <w:rFonts w:ascii="Times New Roman"/>
                <w:spacing w:val="-1"/>
                <w:sz w:val="18"/>
              </w:rPr>
              <w:t>585,002,265.22</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5"/>
              <w:jc w:val="right"/>
              <w:rPr>
                <w:rFonts w:ascii="Times New Roman" w:hAnsi="Times New Roman" w:cs="Times New Roman" w:eastAsia="Times New Roman" w:hint="default"/>
                <w:sz w:val="18"/>
                <w:szCs w:val="18"/>
              </w:rPr>
            </w:pPr>
            <w:r>
              <w:rPr>
                <w:rFonts w:ascii="Times New Roman"/>
                <w:spacing w:val="-1"/>
                <w:sz w:val="18"/>
              </w:rPr>
              <w:t>12,756,939.32</w:t>
            </w:r>
          </w:p>
        </w:tc>
      </w:tr>
      <w:tr>
        <w:trPr>
          <w:trHeight w:val="286" w:hRule="exact"/>
        </w:trPr>
        <w:tc>
          <w:tcPr>
            <w:tcW w:w="6095" w:type="dxa"/>
            <w:tcBorders>
              <w:top w:val="nil" w:sz="6" w:space="0" w:color="auto"/>
              <w:left w:val="nil" w:sz="6" w:space="0" w:color="auto"/>
              <w:bottom w:val="nil" w:sz="6" w:space="0" w:color="auto"/>
              <w:right w:val="nil" w:sz="6" w:space="0" w:color="auto"/>
            </w:tcBorders>
          </w:tcPr>
          <w:p>
            <w:pPr>
              <w:pStyle w:val="TableParagraph"/>
              <w:spacing w:line="223" w:lineRule="exact"/>
              <w:ind w:left="55" w:right="0"/>
              <w:jc w:val="left"/>
              <w:rPr>
                <w:rFonts w:ascii="宋体" w:hAnsi="宋体" w:cs="宋体" w:eastAsia="宋体" w:hint="default"/>
                <w:sz w:val="18"/>
                <w:szCs w:val="18"/>
              </w:rPr>
            </w:pPr>
            <w:r>
              <w:rPr>
                <w:rFonts w:ascii="宋体" w:hAnsi="宋体" w:cs="宋体" w:eastAsia="宋体" w:hint="default"/>
                <w:sz w:val="18"/>
                <w:szCs w:val="18"/>
              </w:rPr>
              <w:t>持有以公允价值计量且其变动计入当期损益的金融资产期间取得的投资收益</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5,551,414.60</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10,507,583.90</w:t>
            </w:r>
          </w:p>
        </w:tc>
      </w:tr>
      <w:tr>
        <w:trPr>
          <w:trHeight w:val="275" w:hRule="exact"/>
        </w:trPr>
        <w:tc>
          <w:tcPr>
            <w:tcW w:w="6095" w:type="dxa"/>
            <w:tcBorders>
              <w:top w:val="nil" w:sz="6" w:space="0" w:color="auto"/>
              <w:left w:val="nil" w:sz="6" w:space="0" w:color="auto"/>
              <w:bottom w:val="nil" w:sz="6" w:space="0" w:color="auto"/>
              <w:right w:val="nil" w:sz="6" w:space="0" w:color="auto"/>
            </w:tcBorders>
          </w:tcPr>
          <w:p>
            <w:pPr>
              <w:pStyle w:val="TableParagraph"/>
              <w:spacing w:line="223" w:lineRule="exact"/>
              <w:ind w:left="55"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
              <w:jc w:val="right"/>
              <w:rPr>
                <w:rFonts w:ascii="Times New Roman" w:hAnsi="Times New Roman" w:cs="Times New Roman" w:eastAsia="Times New Roman" w:hint="default"/>
                <w:sz w:val="18"/>
                <w:szCs w:val="18"/>
              </w:rPr>
            </w:pPr>
            <w:r>
              <w:rPr>
                <w:rFonts w:ascii="Times New Roman"/>
                <w:spacing w:val="-1"/>
                <w:sz w:val="18"/>
              </w:rPr>
              <w:t>-644,957.71</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95" w:hRule="exact"/>
        </w:trPr>
        <w:tc>
          <w:tcPr>
            <w:tcW w:w="6095" w:type="dxa"/>
            <w:tcBorders>
              <w:top w:val="nil" w:sz="6" w:space="0" w:color="auto"/>
              <w:left w:val="nil" w:sz="6" w:space="0" w:color="auto"/>
              <w:bottom w:val="nil" w:sz="6" w:space="0" w:color="auto"/>
              <w:right w:val="nil" w:sz="6" w:space="0" w:color="auto"/>
            </w:tcBorders>
          </w:tcPr>
          <w:p>
            <w:pPr>
              <w:pStyle w:val="TableParagraph"/>
              <w:spacing w:line="232" w:lineRule="exact"/>
              <w:ind w:left="55" w:right="0"/>
              <w:jc w:val="left"/>
              <w:rPr>
                <w:rFonts w:ascii="宋体" w:hAnsi="宋体" w:cs="宋体" w:eastAsia="宋体" w:hint="default"/>
                <w:sz w:val="20"/>
                <w:szCs w:val="20"/>
              </w:rPr>
            </w:pPr>
            <w:r>
              <w:rPr>
                <w:rFonts w:ascii="宋体" w:hAnsi="宋体" w:cs="宋体" w:eastAsia="宋体" w:hint="default"/>
                <w:sz w:val="20"/>
                <w:szCs w:val="20"/>
              </w:rPr>
              <w:t>可供出售金融资产在持有期间的投资收益</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9"/>
              <w:jc w:val="right"/>
              <w:rPr>
                <w:rFonts w:ascii="Times New Roman" w:hAnsi="Times New Roman" w:cs="Times New Roman" w:eastAsia="Times New Roman" w:hint="default"/>
                <w:sz w:val="18"/>
                <w:szCs w:val="18"/>
              </w:rPr>
            </w:pPr>
            <w:r>
              <w:rPr>
                <w:rFonts w:ascii="Times New Roman"/>
                <w:spacing w:val="-1"/>
                <w:sz w:val="18"/>
              </w:rPr>
              <w:t>1,205,853.00</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5"/>
              <w:jc w:val="right"/>
              <w:rPr>
                <w:rFonts w:ascii="Times New Roman" w:hAnsi="Times New Roman" w:cs="Times New Roman" w:eastAsia="Times New Roman" w:hint="default"/>
                <w:sz w:val="18"/>
                <w:szCs w:val="18"/>
              </w:rPr>
            </w:pPr>
            <w:r>
              <w:rPr>
                <w:rFonts w:ascii="Times New Roman"/>
                <w:spacing w:val="-1"/>
                <w:sz w:val="18"/>
              </w:rPr>
              <w:t>5,236,011.68</w:t>
            </w:r>
          </w:p>
        </w:tc>
      </w:tr>
      <w:tr>
        <w:trPr>
          <w:trHeight w:val="257" w:hRule="exact"/>
        </w:trPr>
        <w:tc>
          <w:tcPr>
            <w:tcW w:w="6095" w:type="dxa"/>
            <w:tcBorders>
              <w:top w:val="nil" w:sz="6" w:space="0" w:color="auto"/>
              <w:left w:val="nil" w:sz="6" w:space="0" w:color="auto"/>
              <w:bottom w:val="single" w:sz="4" w:space="0" w:color="000000"/>
              <w:right w:val="nil" w:sz="6" w:space="0" w:color="auto"/>
            </w:tcBorders>
          </w:tcPr>
          <w:p>
            <w:pPr>
              <w:pStyle w:val="TableParagraph"/>
              <w:spacing w:line="222" w:lineRule="exact"/>
              <w:ind w:left="5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32"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68"/>
              <w:jc w:val="right"/>
              <w:rPr>
                <w:rFonts w:ascii="Times New Roman" w:hAnsi="Times New Roman" w:cs="Times New Roman" w:eastAsia="Times New Roman" w:hint="default"/>
                <w:sz w:val="18"/>
                <w:szCs w:val="18"/>
              </w:rPr>
            </w:pPr>
            <w:r>
              <w:rPr>
                <w:rFonts w:ascii="Times New Roman"/>
                <w:spacing w:val="-1"/>
                <w:sz w:val="18"/>
              </w:rPr>
              <w:t>0.00</w:t>
            </w:r>
          </w:p>
        </w:tc>
        <w:tc>
          <w:tcPr>
            <w:tcW w:w="1254"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55"/>
              <w:jc w:val="right"/>
              <w:rPr>
                <w:rFonts w:ascii="Times New Roman" w:hAnsi="Times New Roman" w:cs="Times New Roman" w:eastAsia="Times New Roman" w:hint="default"/>
                <w:sz w:val="18"/>
                <w:szCs w:val="18"/>
              </w:rPr>
            </w:pPr>
            <w:r>
              <w:rPr>
                <w:rFonts w:ascii="Times New Roman"/>
                <w:spacing w:val="-1"/>
                <w:sz w:val="18"/>
              </w:rPr>
              <w:t>94,082.20</w:t>
            </w:r>
          </w:p>
        </w:tc>
      </w:tr>
      <w:tr>
        <w:trPr>
          <w:trHeight w:val="305" w:hRule="exact"/>
        </w:trPr>
        <w:tc>
          <w:tcPr>
            <w:tcW w:w="6095"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5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432"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70"/>
              <w:jc w:val="right"/>
              <w:rPr>
                <w:rFonts w:ascii="Times New Roman" w:hAnsi="Times New Roman" w:cs="Times New Roman" w:eastAsia="Times New Roman" w:hint="default"/>
                <w:sz w:val="18"/>
                <w:szCs w:val="18"/>
              </w:rPr>
            </w:pPr>
            <w:r>
              <w:rPr>
                <w:rFonts w:ascii="Times New Roman"/>
                <w:b/>
                <w:spacing w:val="-1"/>
                <w:sz w:val="18"/>
              </w:rPr>
              <w:t>2,641,676,433.65</w:t>
            </w:r>
            <w:r>
              <w:rPr>
                <w:rFonts w:ascii="Times New Roman"/>
                <w:spacing w:val="-1"/>
                <w:sz w:val="18"/>
              </w:rPr>
            </w:r>
          </w:p>
        </w:tc>
        <w:tc>
          <w:tcPr>
            <w:tcW w:w="1254"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55"/>
              <w:jc w:val="right"/>
              <w:rPr>
                <w:rFonts w:ascii="Times New Roman" w:hAnsi="Times New Roman" w:cs="Times New Roman" w:eastAsia="Times New Roman" w:hint="default"/>
                <w:sz w:val="18"/>
                <w:szCs w:val="18"/>
              </w:rPr>
            </w:pPr>
            <w:r>
              <w:rPr>
                <w:rFonts w:ascii="Times New Roman"/>
                <w:b/>
                <w:spacing w:val="-1"/>
                <w:sz w:val="18"/>
              </w:rPr>
              <w:t>877,402,615.56</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headerReference w:type="default" r:id="rId81"/>
          <w:pgSz w:w="11910" w:h="16840"/>
          <w:pgMar w:header="645" w:footer="816" w:top="1820" w:bottom="1020" w:left="1460" w:right="1440"/>
        </w:sectPr>
      </w:pPr>
    </w:p>
    <w:p>
      <w:pPr>
        <w:spacing w:line="240" w:lineRule="auto" w:before="0"/>
        <w:rPr>
          <w:rFonts w:ascii="宋体" w:hAnsi="宋体" w:cs="宋体" w:eastAsia="宋体" w:hint="default"/>
          <w:sz w:val="20"/>
          <w:szCs w:val="20"/>
        </w:rPr>
      </w:pPr>
    </w:p>
    <w:p>
      <w:pPr>
        <w:spacing w:before="179"/>
        <w:ind w:left="64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53.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营业外收入</w:t>
      </w:r>
    </w:p>
    <w:p>
      <w:pPr>
        <w:spacing w:before="173"/>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3"/>
          <w:sz w:val="22"/>
          <w:szCs w:val="22"/>
        </w:rPr>
        <w:t> </w:t>
      </w:r>
      <w:r>
        <w:rPr>
          <w:rFonts w:ascii="宋体" w:hAnsi="宋体" w:cs="宋体" w:eastAsia="宋体" w:hint="default"/>
          <w:sz w:val="22"/>
          <w:szCs w:val="22"/>
        </w:rPr>
        <w:t>营业外收入明细</w:t>
      </w:r>
    </w:p>
    <w:p>
      <w:pPr>
        <w:spacing w:line="240" w:lineRule="auto" w:before="8"/>
        <w:rPr>
          <w:rFonts w:ascii="宋体" w:hAnsi="宋体" w:cs="宋体" w:eastAsia="宋体" w:hint="default"/>
          <w:sz w:val="11"/>
          <w:szCs w:val="11"/>
        </w:rPr>
      </w:pPr>
    </w:p>
    <w:tbl>
      <w:tblPr>
        <w:tblW w:w="0" w:type="auto"/>
        <w:jc w:val="left"/>
        <w:tblInd w:w="134" w:type="dxa"/>
        <w:tblLayout w:type="fixed"/>
        <w:tblCellMar>
          <w:top w:w="0" w:type="dxa"/>
          <w:left w:w="0" w:type="dxa"/>
          <w:bottom w:w="0" w:type="dxa"/>
          <w:right w:w="0" w:type="dxa"/>
        </w:tblCellMar>
        <w:tblLook w:val="01E0"/>
      </w:tblPr>
      <w:tblGrid>
        <w:gridCol w:w="2512"/>
        <w:gridCol w:w="1825"/>
        <w:gridCol w:w="1665"/>
        <w:gridCol w:w="2723"/>
      </w:tblGrid>
      <w:tr>
        <w:trPr>
          <w:trHeight w:val="305" w:hRule="exact"/>
        </w:trPr>
        <w:tc>
          <w:tcPr>
            <w:tcW w:w="251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2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73"/>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166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63"/>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c>
          <w:tcPr>
            <w:tcW w:w="272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7"/>
              <w:jc w:val="right"/>
              <w:rPr>
                <w:rFonts w:ascii="宋体" w:hAnsi="宋体" w:cs="宋体" w:eastAsia="宋体" w:hint="default"/>
                <w:sz w:val="18"/>
                <w:szCs w:val="18"/>
              </w:rPr>
            </w:pPr>
            <w:r>
              <w:rPr>
                <w:rFonts w:ascii="宋体" w:hAnsi="宋体" w:cs="宋体" w:eastAsia="宋体" w:hint="default"/>
                <w:b/>
                <w:bCs/>
                <w:w w:val="95"/>
                <w:sz w:val="18"/>
                <w:szCs w:val="18"/>
              </w:rPr>
              <w:t>计入本年非经常性损益的金额</w:t>
            </w:r>
            <w:r>
              <w:rPr>
                <w:rFonts w:ascii="宋体" w:hAnsi="宋体" w:cs="宋体" w:eastAsia="宋体" w:hint="default"/>
                <w:sz w:val="18"/>
                <w:szCs w:val="18"/>
              </w:rPr>
            </w:r>
          </w:p>
        </w:tc>
      </w:tr>
      <w:tr>
        <w:trPr>
          <w:trHeight w:val="324" w:hRule="exact"/>
        </w:trPr>
        <w:tc>
          <w:tcPr>
            <w:tcW w:w="2512"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非流动资产处置利得</w:t>
            </w:r>
          </w:p>
        </w:tc>
        <w:tc>
          <w:tcPr>
            <w:tcW w:w="182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275"/>
              <w:jc w:val="right"/>
              <w:rPr>
                <w:rFonts w:ascii="Times New Roman" w:hAnsi="Times New Roman" w:cs="Times New Roman" w:eastAsia="Times New Roman" w:hint="default"/>
                <w:sz w:val="18"/>
                <w:szCs w:val="18"/>
              </w:rPr>
            </w:pPr>
            <w:r>
              <w:rPr>
                <w:rFonts w:ascii="Times New Roman"/>
                <w:spacing w:val="-1"/>
                <w:sz w:val="18"/>
              </w:rPr>
              <w:t>28,138,021.22</w:t>
            </w:r>
          </w:p>
        </w:tc>
        <w:tc>
          <w:tcPr>
            <w:tcW w:w="166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263"/>
              <w:jc w:val="right"/>
              <w:rPr>
                <w:rFonts w:ascii="Times New Roman" w:hAnsi="Times New Roman" w:cs="Times New Roman" w:eastAsia="Times New Roman" w:hint="default"/>
                <w:sz w:val="18"/>
                <w:szCs w:val="18"/>
              </w:rPr>
            </w:pPr>
            <w:r>
              <w:rPr>
                <w:rFonts w:ascii="Times New Roman"/>
                <w:spacing w:val="-1"/>
                <w:sz w:val="18"/>
              </w:rPr>
              <w:t>60,460,323.94</w:t>
            </w:r>
          </w:p>
        </w:tc>
        <w:tc>
          <w:tcPr>
            <w:tcW w:w="2723"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28,138,021.22</w:t>
            </w:r>
          </w:p>
        </w:tc>
      </w:tr>
      <w:tr>
        <w:trPr>
          <w:trHeight w:val="284" w:hRule="exact"/>
        </w:trPr>
        <w:tc>
          <w:tcPr>
            <w:tcW w:w="2512"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其中：固定资产处置利得</w:t>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73"/>
              <w:jc w:val="right"/>
              <w:rPr>
                <w:rFonts w:ascii="Times New Roman" w:hAnsi="Times New Roman" w:cs="Times New Roman" w:eastAsia="Times New Roman" w:hint="default"/>
                <w:sz w:val="18"/>
                <w:szCs w:val="18"/>
              </w:rPr>
            </w:pPr>
            <w:r>
              <w:rPr>
                <w:rFonts w:ascii="Times New Roman"/>
                <w:spacing w:val="-1"/>
                <w:sz w:val="18"/>
              </w:rPr>
              <w:t>683,344.86</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3"/>
              <w:jc w:val="right"/>
              <w:rPr>
                <w:rFonts w:ascii="Times New Roman" w:hAnsi="Times New Roman" w:cs="Times New Roman" w:eastAsia="Times New Roman" w:hint="default"/>
                <w:sz w:val="18"/>
                <w:szCs w:val="18"/>
              </w:rPr>
            </w:pPr>
            <w:r>
              <w:rPr>
                <w:rFonts w:ascii="Times New Roman"/>
                <w:spacing w:val="-1"/>
                <w:sz w:val="18"/>
              </w:rPr>
              <w:t>57,549,598.94</w:t>
            </w:r>
          </w:p>
        </w:tc>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683,344.86</w:t>
            </w:r>
          </w:p>
        </w:tc>
      </w:tr>
      <w:tr>
        <w:trPr>
          <w:trHeight w:val="286" w:hRule="exact"/>
        </w:trPr>
        <w:tc>
          <w:tcPr>
            <w:tcW w:w="2512" w:type="dxa"/>
            <w:tcBorders>
              <w:top w:val="nil" w:sz="6" w:space="0" w:color="auto"/>
              <w:left w:val="nil" w:sz="6" w:space="0" w:color="auto"/>
              <w:bottom w:val="nil" w:sz="6" w:space="0" w:color="auto"/>
              <w:right w:val="nil" w:sz="6" w:space="0" w:color="auto"/>
            </w:tcBorders>
          </w:tcPr>
          <w:p>
            <w:pPr>
              <w:pStyle w:val="TableParagraph"/>
              <w:spacing w:line="223" w:lineRule="exact"/>
              <w:ind w:left="647" w:right="0"/>
              <w:jc w:val="left"/>
              <w:rPr>
                <w:rFonts w:ascii="宋体" w:hAnsi="宋体" w:cs="宋体" w:eastAsia="宋体" w:hint="default"/>
                <w:sz w:val="18"/>
                <w:szCs w:val="18"/>
              </w:rPr>
            </w:pPr>
            <w:r>
              <w:rPr>
                <w:rFonts w:ascii="宋体" w:hAnsi="宋体" w:cs="宋体" w:eastAsia="宋体" w:hint="default"/>
                <w:sz w:val="18"/>
                <w:szCs w:val="18"/>
              </w:rPr>
              <w:t>无形资产处置利得</w:t>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75"/>
              <w:jc w:val="right"/>
              <w:rPr>
                <w:rFonts w:ascii="Times New Roman" w:hAnsi="Times New Roman" w:cs="Times New Roman" w:eastAsia="Times New Roman" w:hint="default"/>
                <w:sz w:val="18"/>
                <w:szCs w:val="18"/>
              </w:rPr>
            </w:pPr>
            <w:r>
              <w:rPr>
                <w:rFonts w:ascii="Times New Roman"/>
                <w:spacing w:val="-1"/>
                <w:sz w:val="18"/>
              </w:rPr>
              <w:t>27,454,676.36</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3"/>
              <w:jc w:val="right"/>
              <w:rPr>
                <w:rFonts w:ascii="Times New Roman" w:hAnsi="Times New Roman" w:cs="Times New Roman" w:eastAsia="Times New Roman" w:hint="default"/>
                <w:sz w:val="18"/>
                <w:szCs w:val="18"/>
              </w:rPr>
            </w:pPr>
            <w:r>
              <w:rPr>
                <w:rFonts w:ascii="Times New Roman"/>
                <w:spacing w:val="-1"/>
                <w:sz w:val="18"/>
              </w:rPr>
              <w:t>2,910,725.00</w:t>
            </w:r>
          </w:p>
        </w:tc>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27,454,676.36</w:t>
            </w:r>
          </w:p>
        </w:tc>
      </w:tr>
      <w:tr>
        <w:trPr>
          <w:trHeight w:val="286" w:hRule="exact"/>
        </w:trPr>
        <w:tc>
          <w:tcPr>
            <w:tcW w:w="251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73"/>
              <w:jc w:val="right"/>
              <w:rPr>
                <w:rFonts w:ascii="Times New Roman" w:hAnsi="Times New Roman" w:cs="Times New Roman" w:eastAsia="Times New Roman" w:hint="default"/>
                <w:sz w:val="18"/>
                <w:szCs w:val="18"/>
              </w:rPr>
            </w:pPr>
            <w:r>
              <w:rPr>
                <w:rFonts w:ascii="Times New Roman"/>
                <w:spacing w:val="-1"/>
                <w:sz w:val="18"/>
              </w:rPr>
              <w:t>416,652,806.44</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3"/>
              <w:jc w:val="right"/>
              <w:rPr>
                <w:rFonts w:ascii="Times New Roman" w:hAnsi="Times New Roman" w:cs="Times New Roman" w:eastAsia="Times New Roman" w:hint="default"/>
                <w:sz w:val="18"/>
                <w:szCs w:val="18"/>
              </w:rPr>
            </w:pPr>
            <w:r>
              <w:rPr>
                <w:rFonts w:ascii="Times New Roman"/>
                <w:spacing w:val="-1"/>
                <w:sz w:val="18"/>
              </w:rPr>
              <w:t>288,427,221.78</w:t>
            </w:r>
          </w:p>
        </w:tc>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220,786,354.82</w:t>
            </w:r>
          </w:p>
        </w:tc>
      </w:tr>
      <w:tr>
        <w:trPr>
          <w:trHeight w:val="284" w:hRule="exact"/>
        </w:trPr>
        <w:tc>
          <w:tcPr>
            <w:tcW w:w="251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赔偿金</w:t>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72"/>
              <w:jc w:val="right"/>
              <w:rPr>
                <w:rFonts w:ascii="Times New Roman" w:hAnsi="Times New Roman" w:cs="Times New Roman" w:eastAsia="Times New Roman" w:hint="default"/>
                <w:sz w:val="18"/>
                <w:szCs w:val="18"/>
              </w:rPr>
            </w:pPr>
            <w:r>
              <w:rPr>
                <w:rFonts w:ascii="Times New Roman"/>
                <w:spacing w:val="-1"/>
                <w:sz w:val="18"/>
              </w:rPr>
              <w:t>0.00</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5"/>
              <w:jc w:val="right"/>
              <w:rPr>
                <w:rFonts w:ascii="Times New Roman" w:hAnsi="Times New Roman" w:cs="Times New Roman" w:eastAsia="Times New Roman" w:hint="default"/>
                <w:sz w:val="18"/>
                <w:szCs w:val="18"/>
              </w:rPr>
            </w:pPr>
            <w:r>
              <w:rPr>
                <w:rFonts w:ascii="Times New Roman"/>
                <w:spacing w:val="-1"/>
                <w:sz w:val="18"/>
              </w:rPr>
              <w:t>25,401,254.80</w:t>
            </w:r>
          </w:p>
        </w:tc>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0.00</w:t>
            </w:r>
          </w:p>
        </w:tc>
      </w:tr>
      <w:tr>
        <w:trPr>
          <w:trHeight w:val="257" w:hRule="exact"/>
        </w:trPr>
        <w:tc>
          <w:tcPr>
            <w:tcW w:w="2512" w:type="dxa"/>
            <w:tcBorders>
              <w:top w:val="nil" w:sz="6" w:space="0" w:color="auto"/>
              <w:left w:val="nil" w:sz="6" w:space="0" w:color="auto"/>
              <w:bottom w:val="single" w:sz="4" w:space="0" w:color="000000"/>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25"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73"/>
              <w:jc w:val="right"/>
              <w:rPr>
                <w:rFonts w:ascii="Times New Roman" w:hAnsi="Times New Roman" w:cs="Times New Roman" w:eastAsia="Times New Roman" w:hint="default"/>
                <w:sz w:val="18"/>
                <w:szCs w:val="18"/>
              </w:rPr>
            </w:pPr>
            <w:r>
              <w:rPr>
                <w:rFonts w:ascii="Times New Roman"/>
                <w:spacing w:val="-1"/>
                <w:sz w:val="18"/>
              </w:rPr>
              <w:t>10,199,801.98</w:t>
            </w:r>
          </w:p>
        </w:tc>
        <w:tc>
          <w:tcPr>
            <w:tcW w:w="1665"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63"/>
              <w:jc w:val="right"/>
              <w:rPr>
                <w:rFonts w:ascii="Times New Roman" w:hAnsi="Times New Roman" w:cs="Times New Roman" w:eastAsia="Times New Roman" w:hint="default"/>
                <w:sz w:val="18"/>
                <w:szCs w:val="18"/>
              </w:rPr>
            </w:pPr>
            <w:r>
              <w:rPr>
                <w:rFonts w:ascii="Times New Roman"/>
                <w:spacing w:val="-1"/>
                <w:sz w:val="18"/>
              </w:rPr>
              <w:t>4,912,134.78</w:t>
            </w:r>
          </w:p>
        </w:tc>
        <w:tc>
          <w:tcPr>
            <w:tcW w:w="2723"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10,199,801.98</w:t>
            </w:r>
          </w:p>
        </w:tc>
      </w:tr>
      <w:tr>
        <w:trPr>
          <w:trHeight w:val="305" w:hRule="exact"/>
        </w:trPr>
        <w:tc>
          <w:tcPr>
            <w:tcW w:w="2512"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25"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273"/>
              <w:jc w:val="right"/>
              <w:rPr>
                <w:rFonts w:ascii="Times New Roman" w:hAnsi="Times New Roman" w:cs="Times New Roman" w:eastAsia="Times New Roman" w:hint="default"/>
                <w:sz w:val="18"/>
                <w:szCs w:val="18"/>
              </w:rPr>
            </w:pPr>
            <w:r>
              <w:rPr>
                <w:rFonts w:ascii="Times New Roman"/>
                <w:b/>
                <w:spacing w:val="-1"/>
                <w:sz w:val="18"/>
              </w:rPr>
              <w:t>454,990,629.64</w:t>
            </w:r>
            <w:r>
              <w:rPr>
                <w:rFonts w:ascii="Times New Roman"/>
                <w:spacing w:val="-1"/>
                <w:sz w:val="18"/>
              </w:rPr>
            </w:r>
          </w:p>
        </w:tc>
        <w:tc>
          <w:tcPr>
            <w:tcW w:w="1665"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263"/>
              <w:jc w:val="right"/>
              <w:rPr>
                <w:rFonts w:ascii="Times New Roman" w:hAnsi="Times New Roman" w:cs="Times New Roman" w:eastAsia="Times New Roman" w:hint="default"/>
                <w:sz w:val="18"/>
                <w:szCs w:val="18"/>
              </w:rPr>
            </w:pPr>
            <w:r>
              <w:rPr>
                <w:rFonts w:ascii="Times New Roman"/>
                <w:b/>
                <w:spacing w:val="-1"/>
                <w:sz w:val="18"/>
              </w:rPr>
              <w:t>379,200,935.30</w:t>
            </w:r>
            <w:r>
              <w:rPr>
                <w:rFonts w:ascii="Times New Roman"/>
                <w:spacing w:val="-1"/>
                <w:sz w:val="18"/>
              </w:rPr>
            </w:r>
          </w:p>
        </w:tc>
        <w:tc>
          <w:tcPr>
            <w:tcW w:w="2723"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b/>
                <w:spacing w:val="-1"/>
                <w:sz w:val="18"/>
              </w:rPr>
              <w:t>259,124,178.02</w:t>
            </w:r>
            <w:r>
              <w:rPr>
                <w:rFonts w:ascii="Times New Roman"/>
                <w:spacing w:val="-1"/>
                <w:sz w:val="18"/>
              </w:rPr>
            </w:r>
          </w:p>
        </w:tc>
      </w:tr>
    </w:tbl>
    <w:p>
      <w:pPr>
        <w:spacing w:before="81"/>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政府补助明细</w:t>
      </w:r>
    </w:p>
    <w:p>
      <w:pPr>
        <w:spacing w:line="240" w:lineRule="auto" w:before="8"/>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2713"/>
        <w:gridCol w:w="1417"/>
        <w:gridCol w:w="1175"/>
        <w:gridCol w:w="2496"/>
        <w:gridCol w:w="965"/>
      </w:tblGrid>
      <w:tr>
        <w:trPr>
          <w:trHeight w:val="435" w:hRule="exact"/>
        </w:trPr>
        <w:tc>
          <w:tcPr>
            <w:tcW w:w="2713" w:type="dxa"/>
            <w:tcBorders>
              <w:top w:val="single" w:sz="12" w:space="0" w:color="000000"/>
              <w:left w:val="nil" w:sz="6" w:space="0" w:color="auto"/>
              <w:bottom w:val="single" w:sz="4" w:space="0" w:color="000000"/>
              <w:right w:val="nil" w:sz="6" w:space="0" w:color="auto"/>
            </w:tcBorders>
          </w:tcPr>
          <w:p>
            <w:pPr>
              <w:pStyle w:val="TableParagraph"/>
              <w:spacing w:line="240" w:lineRule="auto" w:before="77"/>
              <w:ind w:right="162"/>
              <w:jc w:val="center"/>
              <w:rPr>
                <w:rFonts w:ascii="宋体" w:hAnsi="宋体" w:cs="宋体" w:eastAsia="宋体" w:hint="default"/>
                <w:sz w:val="16"/>
                <w:szCs w:val="16"/>
              </w:rPr>
            </w:pPr>
            <w:r>
              <w:rPr>
                <w:rFonts w:ascii="宋体" w:hAnsi="宋体" w:cs="宋体" w:eastAsia="宋体" w:hint="default"/>
                <w:b/>
                <w:bCs/>
                <w:sz w:val="16"/>
                <w:szCs w:val="16"/>
              </w:rPr>
              <w:t>项目</w:t>
            </w:r>
            <w:r>
              <w:rPr>
                <w:rFonts w:ascii="宋体" w:hAnsi="宋体" w:cs="宋体" w:eastAsia="宋体" w:hint="default"/>
                <w:sz w:val="16"/>
                <w:szCs w:val="16"/>
              </w:rPr>
            </w:r>
          </w:p>
        </w:tc>
        <w:tc>
          <w:tcPr>
            <w:tcW w:w="1417" w:type="dxa"/>
            <w:tcBorders>
              <w:top w:val="single" w:sz="12" w:space="0" w:color="000000"/>
              <w:left w:val="nil" w:sz="6" w:space="0" w:color="auto"/>
              <w:bottom w:val="single" w:sz="4" w:space="0" w:color="000000"/>
              <w:right w:val="nil" w:sz="6" w:space="0" w:color="auto"/>
            </w:tcBorders>
          </w:tcPr>
          <w:p>
            <w:pPr>
              <w:pStyle w:val="TableParagraph"/>
              <w:spacing w:line="240" w:lineRule="auto" w:before="77"/>
              <w:ind w:right="196"/>
              <w:jc w:val="right"/>
              <w:rPr>
                <w:rFonts w:ascii="宋体" w:hAnsi="宋体" w:cs="宋体" w:eastAsia="宋体" w:hint="default"/>
                <w:sz w:val="16"/>
                <w:szCs w:val="16"/>
              </w:rPr>
            </w:pPr>
            <w:r>
              <w:rPr>
                <w:rFonts w:ascii="宋体" w:hAnsi="宋体" w:cs="宋体" w:eastAsia="宋体" w:hint="default"/>
                <w:b/>
                <w:bCs/>
                <w:sz w:val="16"/>
                <w:szCs w:val="16"/>
              </w:rPr>
              <w:t>本年发生额</w:t>
            </w:r>
            <w:r>
              <w:rPr>
                <w:rFonts w:ascii="宋体" w:hAnsi="宋体" w:cs="宋体" w:eastAsia="宋体" w:hint="default"/>
                <w:sz w:val="16"/>
                <w:szCs w:val="16"/>
              </w:rPr>
            </w:r>
          </w:p>
        </w:tc>
        <w:tc>
          <w:tcPr>
            <w:tcW w:w="1175" w:type="dxa"/>
            <w:tcBorders>
              <w:top w:val="single" w:sz="12" w:space="0" w:color="000000"/>
              <w:left w:val="nil" w:sz="6" w:space="0" w:color="auto"/>
              <w:bottom w:val="single" w:sz="4" w:space="0" w:color="000000"/>
              <w:right w:val="nil" w:sz="6" w:space="0" w:color="auto"/>
            </w:tcBorders>
          </w:tcPr>
          <w:p>
            <w:pPr>
              <w:pStyle w:val="TableParagraph"/>
              <w:spacing w:line="240" w:lineRule="auto" w:before="77"/>
              <w:ind w:right="57"/>
              <w:jc w:val="right"/>
              <w:rPr>
                <w:rFonts w:ascii="宋体" w:hAnsi="宋体" w:cs="宋体" w:eastAsia="宋体" w:hint="default"/>
                <w:sz w:val="16"/>
                <w:szCs w:val="16"/>
              </w:rPr>
            </w:pPr>
            <w:r>
              <w:rPr>
                <w:rFonts w:ascii="宋体" w:hAnsi="宋体" w:cs="宋体" w:eastAsia="宋体" w:hint="default"/>
                <w:b/>
                <w:bCs/>
                <w:sz w:val="16"/>
                <w:szCs w:val="16"/>
              </w:rPr>
              <w:t>上年发生额</w:t>
            </w:r>
            <w:r>
              <w:rPr>
                <w:rFonts w:ascii="宋体" w:hAnsi="宋体" w:cs="宋体" w:eastAsia="宋体" w:hint="default"/>
                <w:sz w:val="16"/>
                <w:szCs w:val="16"/>
              </w:rPr>
            </w:r>
          </w:p>
        </w:tc>
        <w:tc>
          <w:tcPr>
            <w:tcW w:w="2496" w:type="dxa"/>
            <w:tcBorders>
              <w:top w:val="single" w:sz="12" w:space="0" w:color="000000"/>
              <w:left w:val="nil" w:sz="6" w:space="0" w:color="auto"/>
              <w:bottom w:val="single" w:sz="4" w:space="0" w:color="000000"/>
              <w:right w:val="nil" w:sz="6" w:space="0" w:color="auto"/>
            </w:tcBorders>
          </w:tcPr>
          <w:p>
            <w:pPr>
              <w:pStyle w:val="TableParagraph"/>
              <w:spacing w:line="240" w:lineRule="auto" w:before="77"/>
              <w:ind w:right="5"/>
              <w:jc w:val="center"/>
              <w:rPr>
                <w:rFonts w:ascii="宋体" w:hAnsi="宋体" w:cs="宋体" w:eastAsia="宋体" w:hint="default"/>
                <w:sz w:val="16"/>
                <w:szCs w:val="16"/>
              </w:rPr>
            </w:pPr>
            <w:r>
              <w:rPr>
                <w:rFonts w:ascii="宋体" w:hAnsi="宋体" w:cs="宋体" w:eastAsia="宋体" w:hint="default"/>
                <w:b/>
                <w:bCs/>
                <w:sz w:val="16"/>
                <w:szCs w:val="16"/>
              </w:rPr>
              <w:t>来源和依据</w:t>
            </w:r>
            <w:r>
              <w:rPr>
                <w:rFonts w:ascii="宋体" w:hAnsi="宋体" w:cs="宋体" w:eastAsia="宋体" w:hint="default"/>
                <w:sz w:val="16"/>
                <w:szCs w:val="16"/>
              </w:rPr>
            </w:r>
          </w:p>
        </w:tc>
        <w:tc>
          <w:tcPr>
            <w:tcW w:w="965" w:type="dxa"/>
            <w:tcBorders>
              <w:top w:val="single" w:sz="12" w:space="0" w:color="000000"/>
              <w:left w:val="nil" w:sz="6" w:space="0" w:color="auto"/>
              <w:bottom w:val="single" w:sz="4" w:space="0" w:color="000000"/>
              <w:right w:val="nil" w:sz="6" w:space="0" w:color="auto"/>
            </w:tcBorders>
          </w:tcPr>
          <w:p>
            <w:pPr>
              <w:pStyle w:val="TableParagraph"/>
              <w:spacing w:line="190" w:lineRule="exact"/>
              <w:ind w:left="79" w:right="0" w:hanging="22"/>
              <w:jc w:val="left"/>
              <w:rPr>
                <w:rFonts w:ascii="Times New Roman" w:hAnsi="Times New Roman" w:cs="Times New Roman" w:eastAsia="Times New Roman" w:hint="default"/>
                <w:sz w:val="16"/>
                <w:szCs w:val="16"/>
              </w:rPr>
            </w:pPr>
            <w:r>
              <w:rPr>
                <w:rFonts w:ascii="宋体" w:hAnsi="宋体" w:cs="宋体" w:eastAsia="宋体" w:hint="default"/>
                <w:b/>
                <w:bCs/>
                <w:sz w:val="16"/>
                <w:szCs w:val="16"/>
              </w:rPr>
              <w:t>与资产相关</w:t>
            </w:r>
            <w:r>
              <w:rPr>
                <w:rFonts w:ascii="Times New Roman" w:hAnsi="Times New Roman" w:cs="Times New Roman" w:eastAsia="Times New Roman" w:hint="default"/>
                <w:b/>
                <w:bCs/>
                <w:sz w:val="16"/>
                <w:szCs w:val="16"/>
              </w:rPr>
              <w:t>/</w:t>
            </w:r>
            <w:r>
              <w:rPr>
                <w:rFonts w:ascii="Times New Roman" w:hAnsi="Times New Roman" w:cs="Times New Roman" w:eastAsia="Times New Roman" w:hint="default"/>
                <w:sz w:val="16"/>
                <w:szCs w:val="16"/>
              </w:rPr>
            </w:r>
          </w:p>
          <w:p>
            <w:pPr>
              <w:pStyle w:val="TableParagraph"/>
              <w:spacing w:line="203" w:lineRule="exact"/>
              <w:ind w:left="79" w:right="0"/>
              <w:jc w:val="left"/>
              <w:rPr>
                <w:rFonts w:ascii="宋体" w:hAnsi="宋体" w:cs="宋体" w:eastAsia="宋体" w:hint="default"/>
                <w:sz w:val="16"/>
                <w:szCs w:val="16"/>
              </w:rPr>
            </w:pPr>
            <w:r>
              <w:rPr>
                <w:rFonts w:ascii="宋体" w:hAnsi="宋体" w:cs="宋体" w:eastAsia="宋体" w:hint="default"/>
                <w:b/>
                <w:bCs/>
                <w:sz w:val="16"/>
                <w:szCs w:val="16"/>
              </w:rPr>
              <w:t>与收益相关</w:t>
            </w:r>
            <w:r>
              <w:rPr>
                <w:rFonts w:ascii="宋体" w:hAnsi="宋体" w:cs="宋体" w:eastAsia="宋体" w:hint="default"/>
                <w:sz w:val="16"/>
                <w:szCs w:val="16"/>
              </w:rPr>
            </w:r>
          </w:p>
        </w:tc>
      </w:tr>
      <w:tr>
        <w:trPr>
          <w:trHeight w:val="293" w:hRule="exact"/>
        </w:trPr>
        <w:tc>
          <w:tcPr>
            <w:tcW w:w="2713"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left="55" w:right="0"/>
              <w:jc w:val="left"/>
              <w:rPr>
                <w:rFonts w:ascii="宋体" w:hAnsi="宋体" w:cs="宋体" w:eastAsia="宋体" w:hint="default"/>
                <w:sz w:val="16"/>
                <w:szCs w:val="16"/>
              </w:rPr>
            </w:pPr>
            <w:r>
              <w:rPr>
                <w:rFonts w:ascii="宋体" w:hAnsi="宋体" w:cs="宋体" w:eastAsia="宋体" w:hint="default"/>
                <w:sz w:val="16"/>
                <w:szCs w:val="16"/>
              </w:rPr>
              <w:t>软件退税</w:t>
            </w:r>
          </w:p>
        </w:tc>
        <w:tc>
          <w:tcPr>
            <w:tcW w:w="1417" w:type="dxa"/>
            <w:tcBorders>
              <w:top w:val="single" w:sz="4" w:space="0" w:color="000000"/>
              <w:left w:val="nil" w:sz="6" w:space="0" w:color="auto"/>
              <w:bottom w:val="nil" w:sz="6" w:space="0" w:color="auto"/>
              <w:right w:val="nil" w:sz="6" w:space="0" w:color="auto"/>
            </w:tcBorders>
          </w:tcPr>
          <w:p>
            <w:pPr>
              <w:pStyle w:val="TableParagraph"/>
              <w:spacing w:line="240" w:lineRule="auto" w:before="45"/>
              <w:ind w:right="195"/>
              <w:jc w:val="right"/>
              <w:rPr>
                <w:rFonts w:ascii="Times New Roman" w:hAnsi="Times New Roman" w:cs="Times New Roman" w:eastAsia="Times New Roman" w:hint="default"/>
                <w:sz w:val="16"/>
                <w:szCs w:val="16"/>
              </w:rPr>
            </w:pPr>
            <w:r>
              <w:rPr>
                <w:rFonts w:ascii="Times New Roman"/>
                <w:spacing w:val="-1"/>
                <w:sz w:val="16"/>
              </w:rPr>
              <w:t>115,076,485.93</w:t>
            </w:r>
          </w:p>
        </w:tc>
        <w:tc>
          <w:tcPr>
            <w:tcW w:w="1175" w:type="dxa"/>
            <w:tcBorders>
              <w:top w:val="single" w:sz="4" w:space="0" w:color="000000"/>
              <w:left w:val="nil" w:sz="6" w:space="0" w:color="auto"/>
              <w:bottom w:val="nil" w:sz="6" w:space="0" w:color="auto"/>
              <w:right w:val="nil" w:sz="6" w:space="0" w:color="auto"/>
            </w:tcBorders>
          </w:tcPr>
          <w:p>
            <w:pPr>
              <w:pStyle w:val="TableParagraph"/>
              <w:spacing w:line="240" w:lineRule="auto" w:before="45"/>
              <w:ind w:right="55"/>
              <w:jc w:val="right"/>
              <w:rPr>
                <w:rFonts w:ascii="Times New Roman" w:hAnsi="Times New Roman" w:cs="Times New Roman" w:eastAsia="Times New Roman" w:hint="default"/>
                <w:sz w:val="16"/>
                <w:szCs w:val="16"/>
              </w:rPr>
            </w:pPr>
            <w:r>
              <w:rPr>
                <w:rFonts w:ascii="Times New Roman"/>
                <w:spacing w:val="-2"/>
                <w:sz w:val="16"/>
              </w:rPr>
              <w:t>60,811,237.31</w:t>
            </w:r>
          </w:p>
        </w:tc>
        <w:tc>
          <w:tcPr>
            <w:tcW w:w="2496"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left="57" w:right="0"/>
              <w:jc w:val="left"/>
              <w:rPr>
                <w:rFonts w:ascii="宋体" w:hAnsi="宋体" w:cs="宋体" w:eastAsia="宋体" w:hint="default"/>
                <w:sz w:val="16"/>
                <w:szCs w:val="16"/>
              </w:rPr>
            </w:pPr>
            <w:r>
              <w:rPr>
                <w:rFonts w:ascii="宋体" w:hAnsi="宋体" w:cs="宋体" w:eastAsia="宋体" w:hint="default"/>
                <w:sz w:val="16"/>
                <w:szCs w:val="16"/>
              </w:rPr>
              <w:t>财税</w:t>
            </w:r>
            <w:r>
              <w:rPr>
                <w:rFonts w:ascii="Times New Roman" w:hAnsi="Times New Roman" w:cs="Times New Roman" w:eastAsia="Times New Roman" w:hint="default"/>
                <w:sz w:val="16"/>
                <w:szCs w:val="16"/>
              </w:rPr>
              <w:t>[2011]100</w:t>
            </w:r>
            <w:r>
              <w:rPr>
                <w:rFonts w:ascii="Times New Roman" w:hAnsi="Times New Roman" w:cs="Times New Roman" w:eastAsia="Times New Roman" w:hint="default"/>
                <w:spacing w:val="-6"/>
                <w:sz w:val="16"/>
                <w:szCs w:val="16"/>
              </w:rPr>
              <w:t> </w:t>
            </w:r>
            <w:r>
              <w:rPr>
                <w:rFonts w:ascii="宋体" w:hAnsi="宋体" w:cs="宋体" w:eastAsia="宋体" w:hint="default"/>
                <w:sz w:val="16"/>
                <w:szCs w:val="16"/>
              </w:rPr>
              <w:t>号</w:t>
            </w:r>
          </w:p>
        </w:tc>
        <w:tc>
          <w:tcPr>
            <w:tcW w:w="965"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64"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5" w:right="0"/>
              <w:jc w:val="left"/>
              <w:rPr>
                <w:rFonts w:ascii="宋体" w:hAnsi="宋体" w:cs="宋体" w:eastAsia="宋体" w:hint="default"/>
                <w:sz w:val="16"/>
                <w:szCs w:val="16"/>
              </w:rPr>
            </w:pPr>
            <w:r>
              <w:rPr>
                <w:rFonts w:ascii="宋体" w:hAnsi="宋体" w:cs="宋体" w:eastAsia="宋体" w:hint="default"/>
                <w:sz w:val="16"/>
                <w:szCs w:val="16"/>
              </w:rPr>
              <w:t>同方国芯并入</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95"/>
              <w:jc w:val="right"/>
              <w:rPr>
                <w:rFonts w:ascii="Times New Roman" w:hAnsi="Times New Roman" w:cs="Times New Roman" w:eastAsia="Times New Roman" w:hint="default"/>
                <w:sz w:val="16"/>
                <w:szCs w:val="16"/>
              </w:rPr>
            </w:pPr>
            <w:r>
              <w:rPr>
                <w:rFonts w:ascii="Times New Roman"/>
                <w:spacing w:val="-2"/>
                <w:sz w:val="16"/>
              </w:rPr>
              <w:t>94,687,926.16</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5"/>
              <w:jc w:val="right"/>
              <w:rPr>
                <w:rFonts w:ascii="Times New Roman" w:hAnsi="Times New Roman" w:cs="Times New Roman" w:eastAsia="Times New Roman" w:hint="default"/>
                <w:sz w:val="16"/>
                <w:szCs w:val="16"/>
              </w:rPr>
            </w:pPr>
            <w:r>
              <w:rPr>
                <w:rFonts w:ascii="Times New Roman"/>
                <w:spacing w:val="-2"/>
                <w:sz w:val="16"/>
              </w:rPr>
              <w:t>62,063,232.20</w:t>
            </w:r>
          </w:p>
        </w:tc>
        <w:tc>
          <w:tcPr>
            <w:tcW w:w="2496" w:type="dxa"/>
            <w:tcBorders>
              <w:top w:val="nil" w:sz="6" w:space="0" w:color="auto"/>
              <w:left w:val="nil" w:sz="6" w:space="0" w:color="auto"/>
              <w:bottom w:val="nil" w:sz="6" w:space="0" w:color="auto"/>
              <w:right w:val="nil" w:sz="6" w:space="0" w:color="auto"/>
            </w:tcBorders>
          </w:tcPr>
          <w:p>
            <w:pPr>
              <w:pStyle w:val="TableParagraph"/>
              <w:spacing w:line="240" w:lineRule="auto" w:before="9"/>
              <w:ind w:left="57" w:right="0"/>
              <w:jc w:val="left"/>
              <w:rPr>
                <w:rFonts w:ascii="宋体" w:hAnsi="宋体" w:cs="宋体" w:eastAsia="宋体" w:hint="default"/>
                <w:sz w:val="16"/>
                <w:szCs w:val="16"/>
              </w:rPr>
            </w:pPr>
            <w:r>
              <w:rPr>
                <w:rFonts w:ascii="宋体" w:hAnsi="宋体" w:cs="宋体" w:eastAsia="宋体" w:hint="default"/>
                <w:sz w:val="16"/>
                <w:szCs w:val="16"/>
              </w:rPr>
              <w:t>同方国芯并入</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0"/>
              <w:jc w:val="center"/>
              <w:rPr>
                <w:rFonts w:ascii="Times New Roman" w:hAnsi="Times New Roman" w:cs="Times New Roman" w:eastAsia="Times New Roman" w:hint="default"/>
                <w:sz w:val="16"/>
                <w:szCs w:val="16"/>
              </w:rPr>
            </w:pPr>
            <w:r>
              <w:rPr>
                <w:rFonts w:ascii="Times New Roman" w:hAnsi="Times New Roman" w:cs="Times New Roman" w:eastAsia="Times New Roman" w:hint="default"/>
                <w:w w:val="100"/>
                <w:sz w:val="16"/>
                <w:szCs w:val="16"/>
              </w:rPr>
              <w:t>—</w:t>
            </w:r>
          </w:p>
        </w:tc>
      </w:tr>
      <w:tr>
        <w:trPr>
          <w:trHeight w:val="456"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95"/>
              <w:ind w:left="55" w:right="0"/>
              <w:jc w:val="left"/>
              <w:rPr>
                <w:rFonts w:ascii="宋体" w:hAnsi="宋体" w:cs="宋体" w:eastAsia="宋体" w:hint="default"/>
                <w:sz w:val="16"/>
                <w:szCs w:val="16"/>
              </w:rPr>
            </w:pPr>
            <w:r>
              <w:rPr>
                <w:rFonts w:ascii="宋体" w:hAnsi="宋体" w:cs="宋体" w:eastAsia="宋体" w:hint="default"/>
                <w:sz w:val="16"/>
                <w:szCs w:val="16"/>
              </w:rPr>
              <w:t>自来水水价补贴（龙江环保并入）</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95"/>
              <w:jc w:val="right"/>
              <w:rPr>
                <w:rFonts w:ascii="Times New Roman" w:hAnsi="Times New Roman" w:cs="Times New Roman" w:eastAsia="Times New Roman" w:hint="default"/>
                <w:sz w:val="16"/>
                <w:szCs w:val="16"/>
              </w:rPr>
            </w:pPr>
            <w:r>
              <w:rPr>
                <w:rFonts w:ascii="Times New Roman"/>
                <w:spacing w:val="-2"/>
                <w:sz w:val="16"/>
              </w:rPr>
              <w:t>54,000,000.00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55"/>
              <w:jc w:val="right"/>
              <w:rPr>
                <w:rFonts w:ascii="Times New Roman" w:hAnsi="Times New Roman" w:cs="Times New Roman" w:eastAsia="Times New Roman" w:hint="default"/>
                <w:sz w:val="16"/>
                <w:szCs w:val="16"/>
              </w:rPr>
            </w:pPr>
            <w:r>
              <w:rPr>
                <w:rFonts w:ascii="Times New Roman"/>
                <w:spacing w:val="-2"/>
                <w:sz w:val="16"/>
              </w:rPr>
              <w:t>62,500,000.00</w:t>
            </w:r>
          </w:p>
        </w:tc>
        <w:tc>
          <w:tcPr>
            <w:tcW w:w="2496" w:type="dxa"/>
            <w:tcBorders>
              <w:top w:val="nil" w:sz="6" w:space="0" w:color="auto"/>
              <w:left w:val="nil" w:sz="6" w:space="0" w:color="auto"/>
              <w:bottom w:val="nil" w:sz="6" w:space="0" w:color="auto"/>
              <w:right w:val="nil" w:sz="6" w:space="0" w:color="auto"/>
            </w:tcBorders>
          </w:tcPr>
          <w:p>
            <w:pPr>
              <w:pStyle w:val="TableParagraph"/>
              <w:spacing w:line="206" w:lineRule="exact" w:before="14"/>
              <w:ind w:left="57" w:right="687"/>
              <w:jc w:val="left"/>
              <w:rPr>
                <w:rFonts w:ascii="宋体" w:hAnsi="宋体" w:cs="宋体" w:eastAsia="宋体" w:hint="default"/>
                <w:sz w:val="16"/>
                <w:szCs w:val="16"/>
              </w:rPr>
            </w:pPr>
            <w:r>
              <w:rPr>
                <w:rFonts w:ascii="宋体" w:hAnsi="宋体" w:cs="宋体" w:eastAsia="宋体" w:hint="default"/>
                <w:sz w:val="16"/>
                <w:szCs w:val="16"/>
              </w:rPr>
              <w:t>牡财建</w:t>
            </w:r>
            <w:r>
              <w:rPr>
                <w:rFonts w:ascii="Times New Roman" w:hAnsi="Times New Roman" w:cs="Times New Roman" w:eastAsia="Times New Roman" w:hint="default"/>
                <w:sz w:val="16"/>
                <w:szCs w:val="16"/>
              </w:rPr>
              <w:t>[2011]38</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号文件、</w:t>
            </w:r>
            <w:r>
              <w:rPr>
                <w:rFonts w:ascii="宋体" w:hAnsi="宋体" w:cs="宋体" w:eastAsia="宋体" w:hint="default"/>
                <w:w w:val="100"/>
                <w:sz w:val="16"/>
                <w:szCs w:val="16"/>
              </w:rPr>
              <w:t> </w:t>
            </w:r>
            <w:r>
              <w:rPr>
                <w:rFonts w:ascii="宋体" w:hAnsi="宋体" w:cs="宋体" w:eastAsia="宋体" w:hint="default"/>
                <w:sz w:val="16"/>
                <w:szCs w:val="16"/>
              </w:rPr>
              <w:t>牡财建</w:t>
            </w:r>
            <w:r>
              <w:rPr>
                <w:rFonts w:ascii="Times New Roman" w:hAnsi="Times New Roman" w:cs="Times New Roman" w:eastAsia="Times New Roman" w:hint="default"/>
                <w:sz w:val="16"/>
                <w:szCs w:val="16"/>
              </w:rPr>
              <w:t>[2013]21</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号文件</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65"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199" w:lineRule="exact"/>
              <w:ind w:left="55" w:right="0"/>
              <w:jc w:val="left"/>
              <w:rPr>
                <w:rFonts w:ascii="宋体" w:hAnsi="宋体" w:cs="宋体" w:eastAsia="宋体" w:hint="default"/>
                <w:sz w:val="16"/>
                <w:szCs w:val="16"/>
              </w:rPr>
            </w:pPr>
            <w:r>
              <w:rPr>
                <w:rFonts w:ascii="宋体" w:hAnsi="宋体" w:cs="宋体" w:eastAsia="宋体" w:hint="default"/>
                <w:sz w:val="16"/>
                <w:szCs w:val="16"/>
              </w:rPr>
              <w:t>污水处理增值税税收返还</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5"/>
              <w:jc w:val="right"/>
              <w:rPr>
                <w:rFonts w:ascii="Times New Roman" w:hAnsi="Times New Roman" w:cs="Times New Roman" w:eastAsia="Times New Roman" w:hint="default"/>
                <w:sz w:val="16"/>
                <w:szCs w:val="16"/>
              </w:rPr>
            </w:pPr>
            <w:r>
              <w:rPr>
                <w:rFonts w:ascii="Times New Roman"/>
                <w:spacing w:val="-2"/>
                <w:sz w:val="16"/>
              </w:rPr>
              <w:t>26,789,965.69</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212" w:lineRule="exact"/>
              <w:ind w:left="57" w:right="0"/>
              <w:jc w:val="left"/>
              <w:rPr>
                <w:rFonts w:ascii="宋体" w:hAnsi="宋体" w:cs="宋体" w:eastAsia="宋体" w:hint="default"/>
                <w:sz w:val="16"/>
                <w:szCs w:val="16"/>
              </w:rPr>
            </w:pPr>
            <w:r>
              <w:rPr>
                <w:rFonts w:ascii="宋体" w:hAnsi="宋体" w:cs="宋体" w:eastAsia="宋体" w:hint="default"/>
                <w:sz w:val="16"/>
                <w:szCs w:val="16"/>
              </w:rPr>
              <w:t>财税</w:t>
            </w:r>
            <w:r>
              <w:rPr>
                <w:rFonts w:ascii="Times New Roman" w:hAnsi="Times New Roman" w:cs="Times New Roman" w:eastAsia="Times New Roman" w:hint="default"/>
                <w:sz w:val="16"/>
                <w:szCs w:val="16"/>
              </w:rPr>
              <w:t>[2015]78</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号</w:t>
            </w:r>
          </w:p>
        </w:tc>
        <w:tc>
          <w:tcPr>
            <w:tcW w:w="965" w:type="dxa"/>
            <w:tcBorders>
              <w:top w:val="nil" w:sz="6" w:space="0" w:color="auto"/>
              <w:left w:val="nil" w:sz="6" w:space="0" w:color="auto"/>
              <w:bottom w:val="nil" w:sz="6" w:space="0" w:color="auto"/>
              <w:right w:val="nil" w:sz="6" w:space="0" w:color="auto"/>
            </w:tcBorders>
          </w:tcPr>
          <w:p>
            <w:pPr>
              <w:pStyle w:val="TableParagraph"/>
              <w:spacing w:line="199" w:lineRule="exact"/>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84"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8"/>
              <w:ind w:left="55" w:right="0"/>
              <w:jc w:val="left"/>
              <w:rPr>
                <w:rFonts w:ascii="宋体" w:hAnsi="宋体" w:cs="宋体" w:eastAsia="宋体" w:hint="default"/>
                <w:sz w:val="16"/>
                <w:szCs w:val="16"/>
              </w:rPr>
            </w:pPr>
            <w:r>
              <w:rPr>
                <w:rFonts w:ascii="宋体" w:hAnsi="宋体" w:cs="宋体" w:eastAsia="宋体" w:hint="default"/>
                <w:sz w:val="16"/>
                <w:szCs w:val="16"/>
              </w:rPr>
              <w:t>生产能力迁移搬迁补偿费</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95"/>
              <w:jc w:val="right"/>
              <w:rPr>
                <w:rFonts w:ascii="Times New Roman" w:hAnsi="Times New Roman" w:cs="Times New Roman" w:eastAsia="Times New Roman" w:hint="default"/>
                <w:sz w:val="16"/>
                <w:szCs w:val="16"/>
              </w:rPr>
            </w:pPr>
            <w:r>
              <w:rPr>
                <w:rFonts w:ascii="Times New Roman"/>
                <w:spacing w:val="-2"/>
                <w:sz w:val="16"/>
              </w:rPr>
              <w:t>15,000,000.00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240" w:lineRule="auto" w:before="8"/>
              <w:ind w:left="57" w:right="0"/>
              <w:jc w:val="left"/>
              <w:rPr>
                <w:rFonts w:ascii="宋体" w:hAnsi="宋体" w:cs="宋体" w:eastAsia="宋体" w:hint="default"/>
                <w:sz w:val="16"/>
                <w:szCs w:val="16"/>
              </w:rPr>
            </w:pPr>
            <w:r>
              <w:rPr>
                <w:rFonts w:ascii="宋体" w:hAnsi="宋体" w:cs="宋体" w:eastAsia="宋体" w:hint="default"/>
                <w:sz w:val="16"/>
                <w:szCs w:val="16"/>
              </w:rPr>
              <w:t>坛开发区管</w:t>
            </w:r>
            <w:r>
              <w:rPr>
                <w:rFonts w:ascii="Times New Roman" w:hAnsi="Times New Roman" w:cs="Times New Roman" w:eastAsia="Times New Roman" w:hint="default"/>
                <w:sz w:val="16"/>
                <w:szCs w:val="16"/>
              </w:rPr>
              <w:t>[2015]151</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号</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86"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5"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EMC </w:t>
            </w:r>
            <w:r>
              <w:rPr>
                <w:rFonts w:ascii="宋体" w:hAnsi="宋体" w:cs="宋体" w:eastAsia="宋体" w:hint="default"/>
                <w:sz w:val="16"/>
                <w:szCs w:val="16"/>
              </w:rPr>
              <w:t>节能补贴</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95"/>
              <w:jc w:val="right"/>
              <w:rPr>
                <w:rFonts w:ascii="Times New Roman" w:hAnsi="Times New Roman" w:cs="Times New Roman" w:eastAsia="Times New Roman" w:hint="default"/>
                <w:sz w:val="16"/>
                <w:szCs w:val="16"/>
              </w:rPr>
            </w:pPr>
            <w:r>
              <w:rPr>
                <w:rFonts w:ascii="Times New Roman"/>
                <w:spacing w:val="-2"/>
                <w:sz w:val="16"/>
              </w:rPr>
              <w:t>14,373,500.00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5"/>
              <w:jc w:val="right"/>
              <w:rPr>
                <w:rFonts w:ascii="Times New Roman" w:hAnsi="Times New Roman" w:cs="Times New Roman" w:eastAsia="Times New Roman" w:hint="default"/>
                <w:sz w:val="16"/>
                <w:szCs w:val="16"/>
              </w:rPr>
            </w:pPr>
            <w:r>
              <w:rPr>
                <w:rFonts w:ascii="Times New Roman"/>
                <w:spacing w:val="-1"/>
                <w:sz w:val="16"/>
              </w:rPr>
              <w:t>7,144,104.00</w:t>
            </w:r>
          </w:p>
        </w:tc>
        <w:tc>
          <w:tcPr>
            <w:tcW w:w="2496" w:type="dxa"/>
            <w:tcBorders>
              <w:top w:val="nil" w:sz="6" w:space="0" w:color="auto"/>
              <w:left w:val="nil" w:sz="6" w:space="0" w:color="auto"/>
              <w:bottom w:val="nil" w:sz="6" w:space="0" w:color="auto"/>
              <w:right w:val="nil" w:sz="6" w:space="0" w:color="auto"/>
            </w:tcBorders>
          </w:tcPr>
          <w:p>
            <w:pPr>
              <w:pStyle w:val="TableParagraph"/>
              <w:spacing w:line="240" w:lineRule="auto" w:before="9"/>
              <w:ind w:left="57" w:right="0"/>
              <w:jc w:val="left"/>
              <w:rPr>
                <w:rFonts w:ascii="宋体" w:hAnsi="宋体" w:cs="宋体" w:eastAsia="宋体" w:hint="default"/>
                <w:sz w:val="16"/>
                <w:szCs w:val="16"/>
              </w:rPr>
            </w:pPr>
            <w:r>
              <w:rPr>
                <w:rFonts w:ascii="宋体" w:hAnsi="宋体" w:cs="宋体" w:eastAsia="宋体" w:hint="default"/>
                <w:sz w:val="16"/>
                <w:szCs w:val="16"/>
              </w:rPr>
              <w:t>渝建发</w:t>
            </w:r>
            <w:r>
              <w:rPr>
                <w:rFonts w:ascii="Times New Roman" w:hAnsi="Times New Roman" w:cs="Times New Roman" w:eastAsia="Times New Roman" w:hint="default"/>
                <w:sz w:val="16"/>
                <w:szCs w:val="16"/>
              </w:rPr>
              <w:t>[2012]111</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号</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64"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5" w:right="0"/>
              <w:jc w:val="left"/>
              <w:rPr>
                <w:rFonts w:ascii="宋体" w:hAnsi="宋体" w:cs="宋体" w:eastAsia="宋体" w:hint="default"/>
                <w:sz w:val="16"/>
                <w:szCs w:val="16"/>
              </w:rPr>
            </w:pPr>
            <w:r>
              <w:rPr>
                <w:rFonts w:ascii="宋体" w:hAnsi="宋体" w:cs="宋体" w:eastAsia="宋体" w:hint="default"/>
                <w:sz w:val="16"/>
                <w:szCs w:val="16"/>
              </w:rPr>
              <w:t>怀柔区政府扶持企业资金</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95"/>
              <w:jc w:val="right"/>
              <w:rPr>
                <w:rFonts w:ascii="Times New Roman" w:hAnsi="Times New Roman" w:cs="Times New Roman" w:eastAsia="Times New Roman" w:hint="default"/>
                <w:sz w:val="16"/>
                <w:szCs w:val="16"/>
              </w:rPr>
            </w:pPr>
            <w:r>
              <w:rPr>
                <w:rFonts w:ascii="Times New Roman"/>
                <w:spacing w:val="-1"/>
                <w:sz w:val="16"/>
              </w:rPr>
              <w:t>6,742,601.22</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5"/>
              <w:jc w:val="right"/>
              <w:rPr>
                <w:rFonts w:ascii="Times New Roman" w:hAnsi="Times New Roman" w:cs="Times New Roman" w:eastAsia="Times New Roman" w:hint="default"/>
                <w:sz w:val="16"/>
                <w:szCs w:val="16"/>
              </w:rPr>
            </w:pPr>
            <w:r>
              <w:rPr>
                <w:rFonts w:ascii="Times New Roman"/>
                <w:spacing w:val="-1"/>
                <w:sz w:val="16"/>
              </w:rPr>
              <w:t>3,350,153.68</w:t>
            </w:r>
          </w:p>
        </w:tc>
        <w:tc>
          <w:tcPr>
            <w:tcW w:w="2496" w:type="dxa"/>
            <w:tcBorders>
              <w:top w:val="nil" w:sz="6" w:space="0" w:color="auto"/>
              <w:left w:val="nil" w:sz="6" w:space="0" w:color="auto"/>
              <w:bottom w:val="nil" w:sz="6" w:space="0" w:color="auto"/>
              <w:right w:val="nil" w:sz="6" w:space="0" w:color="auto"/>
            </w:tcBorders>
          </w:tcPr>
          <w:p>
            <w:pPr>
              <w:pStyle w:val="TableParagraph"/>
              <w:spacing w:line="240" w:lineRule="auto" w:before="9"/>
              <w:ind w:left="57" w:right="0"/>
              <w:jc w:val="left"/>
              <w:rPr>
                <w:rFonts w:ascii="宋体" w:hAnsi="宋体" w:cs="宋体" w:eastAsia="宋体" w:hint="default"/>
                <w:sz w:val="16"/>
                <w:szCs w:val="16"/>
              </w:rPr>
            </w:pPr>
            <w:r>
              <w:rPr>
                <w:rFonts w:ascii="宋体" w:hAnsi="宋体" w:cs="宋体" w:eastAsia="宋体" w:hint="default"/>
                <w:sz w:val="16"/>
                <w:szCs w:val="16"/>
              </w:rPr>
              <w:t>怀北镇人民政府</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431"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06" w:lineRule="exact" w:before="14"/>
              <w:ind w:left="55" w:right="215"/>
              <w:jc w:val="left"/>
              <w:rPr>
                <w:rFonts w:ascii="宋体" w:hAnsi="宋体" w:cs="宋体" w:eastAsia="宋体" w:hint="default"/>
                <w:sz w:val="16"/>
                <w:szCs w:val="16"/>
              </w:rPr>
            </w:pPr>
            <w:r>
              <w:rPr>
                <w:rFonts w:ascii="宋体" w:hAnsi="宋体" w:cs="宋体" w:eastAsia="宋体" w:hint="default"/>
                <w:sz w:val="16"/>
                <w:szCs w:val="16"/>
              </w:rPr>
              <w:t>数字电视</w:t>
            </w:r>
            <w:r>
              <w:rPr>
                <w:rFonts w:ascii="宋体" w:hAnsi="宋体" w:cs="宋体" w:eastAsia="宋体" w:hint="default"/>
                <w:spacing w:val="-58"/>
                <w:sz w:val="16"/>
                <w:szCs w:val="16"/>
              </w:rPr>
              <w:t> </w:t>
            </w:r>
            <w:r>
              <w:rPr>
                <w:rFonts w:ascii="Times New Roman" w:hAnsi="Times New Roman" w:cs="Times New Roman" w:eastAsia="Times New Roman" w:hint="default"/>
                <w:sz w:val="16"/>
                <w:szCs w:val="16"/>
              </w:rPr>
              <w:t>SOC</w:t>
            </w:r>
            <w:r>
              <w:rPr>
                <w:rFonts w:ascii="Times New Roman" w:hAnsi="Times New Roman" w:cs="Times New Roman" w:eastAsia="Times New Roman" w:hint="default"/>
                <w:spacing w:val="-17"/>
                <w:sz w:val="16"/>
                <w:szCs w:val="16"/>
              </w:rPr>
              <w:t> </w:t>
            </w:r>
            <w:r>
              <w:rPr>
                <w:rFonts w:ascii="宋体" w:hAnsi="宋体" w:cs="宋体" w:eastAsia="宋体" w:hint="default"/>
                <w:sz w:val="16"/>
                <w:szCs w:val="16"/>
              </w:rPr>
              <w:t>芯片设计和产业化项</w:t>
            </w:r>
            <w:r>
              <w:rPr>
                <w:rFonts w:ascii="宋体" w:hAnsi="宋体" w:cs="宋体" w:eastAsia="宋体" w:hint="default"/>
                <w:w w:val="100"/>
                <w:sz w:val="16"/>
                <w:szCs w:val="16"/>
              </w:rPr>
              <w:t> </w:t>
            </w:r>
            <w:r>
              <w:rPr>
                <w:rFonts w:ascii="宋体" w:hAnsi="宋体" w:cs="宋体" w:eastAsia="宋体" w:hint="default"/>
                <w:sz w:val="16"/>
                <w:szCs w:val="16"/>
              </w:rPr>
              <w:t>目</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95"/>
              <w:jc w:val="right"/>
              <w:rPr>
                <w:rFonts w:ascii="Times New Roman" w:hAnsi="Times New Roman" w:cs="Times New Roman" w:eastAsia="Times New Roman" w:hint="default"/>
                <w:sz w:val="16"/>
                <w:szCs w:val="16"/>
              </w:rPr>
            </w:pPr>
            <w:r>
              <w:rPr>
                <w:rFonts w:ascii="Times New Roman"/>
                <w:spacing w:val="-1"/>
                <w:sz w:val="16"/>
              </w:rPr>
              <w:t>6,733,333.32</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55"/>
              <w:jc w:val="right"/>
              <w:rPr>
                <w:rFonts w:ascii="Times New Roman" w:hAnsi="Times New Roman" w:cs="Times New Roman" w:eastAsia="Times New Roman" w:hint="default"/>
                <w:sz w:val="16"/>
                <w:szCs w:val="16"/>
              </w:rPr>
            </w:pPr>
            <w:r>
              <w:rPr>
                <w:rFonts w:ascii="Times New Roman"/>
                <w:spacing w:val="-1"/>
                <w:sz w:val="16"/>
              </w:rPr>
              <w:t>2,244,444.44</w:t>
            </w:r>
          </w:p>
        </w:tc>
        <w:tc>
          <w:tcPr>
            <w:tcW w:w="2496" w:type="dxa"/>
            <w:tcBorders>
              <w:top w:val="nil" w:sz="6" w:space="0" w:color="auto"/>
              <w:left w:val="nil" w:sz="6" w:space="0" w:color="auto"/>
              <w:bottom w:val="nil" w:sz="6" w:space="0" w:color="auto"/>
              <w:right w:val="nil" w:sz="6" w:space="0" w:color="auto"/>
            </w:tcBorders>
          </w:tcPr>
          <w:p>
            <w:pPr>
              <w:pStyle w:val="TableParagraph"/>
              <w:spacing w:line="206" w:lineRule="exact" w:before="14"/>
              <w:ind w:left="57" w:right="353"/>
              <w:jc w:val="left"/>
              <w:rPr>
                <w:rFonts w:ascii="宋体" w:hAnsi="宋体" w:cs="宋体" w:eastAsia="宋体" w:hint="default"/>
                <w:sz w:val="16"/>
                <w:szCs w:val="16"/>
              </w:rPr>
            </w:pPr>
            <w:r>
              <w:rPr>
                <w:rFonts w:ascii="宋体" w:hAnsi="宋体" w:cs="宋体" w:eastAsia="宋体" w:hint="default"/>
                <w:sz w:val="16"/>
                <w:szCs w:val="16"/>
              </w:rPr>
              <w:t>中华人民共和国财政部、</w:t>
            </w:r>
            <w:r>
              <w:rPr>
                <w:rFonts w:ascii="宋体" w:hAnsi="宋体" w:cs="宋体" w:eastAsia="宋体" w:hint="default"/>
                <w:w w:val="100"/>
                <w:sz w:val="16"/>
                <w:szCs w:val="16"/>
              </w:rPr>
              <w:t> </w:t>
            </w:r>
            <w:r>
              <w:rPr>
                <w:rFonts w:ascii="宋体" w:hAnsi="宋体" w:cs="宋体" w:eastAsia="宋体" w:hint="default"/>
                <w:spacing w:val="-1"/>
                <w:sz w:val="16"/>
                <w:szCs w:val="16"/>
              </w:rPr>
              <w:t>北京经济技术开发区管理委员</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0"/>
              <w:jc w:val="center"/>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415"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189" w:lineRule="exact"/>
              <w:ind w:left="55" w:right="0"/>
              <w:jc w:val="left"/>
              <w:rPr>
                <w:rFonts w:ascii="宋体" w:hAnsi="宋体" w:cs="宋体" w:eastAsia="宋体" w:hint="default"/>
                <w:sz w:val="16"/>
                <w:szCs w:val="16"/>
              </w:rPr>
            </w:pPr>
            <w:r>
              <w:rPr>
                <w:rFonts w:ascii="宋体" w:hAnsi="宋体" w:cs="宋体" w:eastAsia="宋体" w:hint="default"/>
                <w:sz w:val="16"/>
                <w:szCs w:val="16"/>
              </w:rPr>
              <w:t>高亮度发光二极管</w:t>
            </w:r>
            <w:r>
              <w:rPr>
                <w:rFonts w:ascii="宋体" w:hAnsi="宋体" w:cs="宋体" w:eastAsia="宋体" w:hint="default"/>
                <w:spacing w:val="-39"/>
                <w:sz w:val="16"/>
                <w:szCs w:val="16"/>
              </w:rPr>
              <w:t> </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1"/>
                <w:sz w:val="16"/>
                <w:szCs w:val="16"/>
              </w:rPr>
              <w:t> </w:t>
            </w:r>
            <w:r>
              <w:rPr>
                <w:rFonts w:ascii="宋体" w:hAnsi="宋体" w:cs="宋体" w:eastAsia="宋体" w:hint="default"/>
                <w:spacing w:val="-7"/>
                <w:sz w:val="16"/>
                <w:szCs w:val="16"/>
              </w:rPr>
              <w:t>外延片、芯</w:t>
            </w:r>
          </w:p>
          <w:p>
            <w:pPr>
              <w:pStyle w:val="TableParagraph"/>
              <w:spacing w:line="203" w:lineRule="exact"/>
              <w:ind w:left="55" w:right="0"/>
              <w:jc w:val="left"/>
              <w:rPr>
                <w:rFonts w:ascii="宋体" w:hAnsi="宋体" w:cs="宋体" w:eastAsia="宋体" w:hint="default"/>
                <w:sz w:val="16"/>
                <w:szCs w:val="16"/>
              </w:rPr>
            </w:pPr>
            <w:r>
              <w:rPr>
                <w:rFonts w:ascii="宋体" w:hAnsi="宋体" w:cs="宋体" w:eastAsia="宋体" w:hint="default"/>
                <w:sz w:val="16"/>
                <w:szCs w:val="16"/>
              </w:rPr>
              <w:t>片研究及产业化项目</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95"/>
              <w:jc w:val="right"/>
              <w:rPr>
                <w:rFonts w:ascii="Times New Roman" w:hAnsi="Times New Roman" w:cs="Times New Roman" w:eastAsia="Times New Roman" w:hint="default"/>
                <w:sz w:val="16"/>
                <w:szCs w:val="16"/>
              </w:rPr>
            </w:pPr>
            <w:r>
              <w:rPr>
                <w:rFonts w:ascii="Times New Roman"/>
                <w:spacing w:val="-1"/>
                <w:sz w:val="16"/>
              </w:rPr>
              <w:t>3,795,999.96</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55"/>
              <w:jc w:val="right"/>
              <w:rPr>
                <w:rFonts w:ascii="Times New Roman" w:hAnsi="Times New Roman" w:cs="Times New Roman" w:eastAsia="Times New Roman" w:hint="default"/>
                <w:sz w:val="16"/>
                <w:szCs w:val="16"/>
              </w:rPr>
            </w:pPr>
            <w:r>
              <w:rPr>
                <w:rFonts w:ascii="Times New Roman"/>
                <w:spacing w:val="-1"/>
                <w:sz w:val="16"/>
              </w:rPr>
              <w:t>3,795,999.96</w:t>
            </w:r>
          </w:p>
        </w:tc>
        <w:tc>
          <w:tcPr>
            <w:tcW w:w="2496" w:type="dxa"/>
            <w:tcBorders>
              <w:top w:val="nil" w:sz="6" w:space="0" w:color="auto"/>
              <w:left w:val="nil" w:sz="6" w:space="0" w:color="auto"/>
              <w:bottom w:val="nil" w:sz="6" w:space="0" w:color="auto"/>
              <w:right w:val="nil" w:sz="6" w:space="0" w:color="auto"/>
            </w:tcBorders>
          </w:tcPr>
          <w:p>
            <w:pPr>
              <w:pStyle w:val="TableParagraph"/>
              <w:spacing w:line="183" w:lineRule="exact"/>
              <w:ind w:left="57" w:right="0"/>
              <w:jc w:val="left"/>
              <w:rPr>
                <w:rFonts w:ascii="宋体" w:hAnsi="宋体" w:cs="宋体" w:eastAsia="宋体" w:hint="default"/>
                <w:sz w:val="16"/>
                <w:szCs w:val="16"/>
              </w:rPr>
            </w:pPr>
            <w:r>
              <w:rPr>
                <w:rFonts w:ascii="宋体" w:hAnsi="宋体" w:cs="宋体" w:eastAsia="宋体" w:hint="default"/>
                <w:sz w:val="16"/>
                <w:szCs w:val="16"/>
              </w:rPr>
              <w:t>工促局、北京市科委、</w:t>
            </w:r>
          </w:p>
          <w:p>
            <w:pPr>
              <w:pStyle w:val="TableParagraph"/>
              <w:spacing w:line="209" w:lineRule="exact"/>
              <w:ind w:left="57" w:right="0"/>
              <w:jc w:val="left"/>
              <w:rPr>
                <w:rFonts w:ascii="宋体" w:hAnsi="宋体" w:cs="宋体" w:eastAsia="宋体" w:hint="default"/>
                <w:sz w:val="16"/>
                <w:szCs w:val="16"/>
              </w:rPr>
            </w:pPr>
            <w:r>
              <w:rPr>
                <w:rFonts w:ascii="宋体" w:hAnsi="宋体" w:cs="宋体" w:eastAsia="宋体" w:hint="default"/>
                <w:sz w:val="16"/>
                <w:szCs w:val="16"/>
              </w:rPr>
              <w:t>经济与信息化产业部</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0"/>
              <w:jc w:val="center"/>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623"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06" w:lineRule="exact" w:before="101"/>
              <w:ind w:left="55" w:right="215"/>
              <w:jc w:val="left"/>
              <w:rPr>
                <w:rFonts w:ascii="宋体" w:hAnsi="宋体" w:cs="宋体" w:eastAsia="宋体" w:hint="default"/>
                <w:sz w:val="16"/>
                <w:szCs w:val="16"/>
              </w:rPr>
            </w:pPr>
            <w:r>
              <w:rPr>
                <w:rFonts w:ascii="宋体" w:hAnsi="宋体" w:cs="宋体" w:eastAsia="宋体" w:hint="default"/>
                <w:sz w:val="16"/>
                <w:szCs w:val="16"/>
              </w:rPr>
              <w:t>高性能</w:t>
            </w:r>
            <w:r>
              <w:rPr>
                <w:rFonts w:ascii="宋体" w:hAnsi="宋体" w:cs="宋体" w:eastAsia="宋体" w:hint="default"/>
                <w:spacing w:val="-57"/>
                <w:sz w:val="16"/>
                <w:szCs w:val="16"/>
              </w:rPr>
              <w:t> </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17"/>
                <w:sz w:val="16"/>
                <w:szCs w:val="16"/>
              </w:rPr>
              <w:t> </w:t>
            </w:r>
            <w:r>
              <w:rPr>
                <w:rFonts w:ascii="宋体" w:hAnsi="宋体" w:cs="宋体" w:eastAsia="宋体" w:hint="default"/>
                <w:sz w:val="16"/>
                <w:szCs w:val="16"/>
              </w:rPr>
              <w:t>外延芯片制备关键技术</w:t>
            </w:r>
            <w:r>
              <w:rPr>
                <w:rFonts w:ascii="宋体" w:hAnsi="宋体" w:cs="宋体" w:eastAsia="宋体" w:hint="default"/>
                <w:w w:val="100"/>
                <w:sz w:val="16"/>
                <w:szCs w:val="16"/>
              </w:rPr>
              <w:t> </w:t>
            </w:r>
            <w:r>
              <w:rPr>
                <w:rFonts w:ascii="宋体" w:hAnsi="宋体" w:cs="宋体" w:eastAsia="宋体" w:hint="default"/>
                <w:sz w:val="16"/>
                <w:szCs w:val="16"/>
              </w:rPr>
              <w:t>研发及产业化</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95"/>
              <w:jc w:val="right"/>
              <w:rPr>
                <w:rFonts w:ascii="Times New Roman" w:hAnsi="Times New Roman" w:cs="Times New Roman" w:eastAsia="Times New Roman" w:hint="default"/>
                <w:sz w:val="16"/>
                <w:szCs w:val="16"/>
              </w:rPr>
            </w:pPr>
            <w:r>
              <w:rPr>
                <w:rFonts w:ascii="Times New Roman"/>
                <w:spacing w:val="-1"/>
                <w:sz w:val="16"/>
              </w:rPr>
              <w:t>3,564,825.00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183" w:lineRule="exact"/>
              <w:ind w:left="57" w:right="0"/>
              <w:jc w:val="left"/>
              <w:rPr>
                <w:rFonts w:ascii="宋体" w:hAnsi="宋体" w:cs="宋体" w:eastAsia="宋体" w:hint="default"/>
                <w:sz w:val="16"/>
                <w:szCs w:val="16"/>
              </w:rPr>
            </w:pPr>
            <w:r>
              <w:rPr>
                <w:rFonts w:ascii="宋体" w:hAnsi="宋体" w:cs="宋体" w:eastAsia="宋体" w:hint="default"/>
                <w:spacing w:val="8"/>
                <w:sz w:val="16"/>
                <w:szCs w:val="16"/>
              </w:rPr>
              <w:t>广东省战略性新兴产业发展专项</w:t>
            </w:r>
            <w:r>
              <w:rPr>
                <w:rFonts w:ascii="宋体" w:hAnsi="宋体" w:cs="宋体" w:eastAsia="宋体" w:hint="default"/>
                <w:sz w:val="16"/>
                <w:szCs w:val="16"/>
              </w:rPr>
            </w:r>
          </w:p>
          <w:p>
            <w:pPr>
              <w:pStyle w:val="TableParagraph"/>
              <w:spacing w:line="206" w:lineRule="exact" w:before="22"/>
              <w:ind w:left="57" w:right="58"/>
              <w:jc w:val="left"/>
              <w:rPr>
                <w:rFonts w:ascii="宋体" w:hAnsi="宋体" w:cs="宋体" w:eastAsia="宋体" w:hint="default"/>
                <w:sz w:val="16"/>
                <w:szCs w:val="16"/>
              </w:rPr>
            </w:pPr>
            <w:r>
              <w:rPr>
                <w:rFonts w:ascii="宋体" w:hAnsi="宋体" w:cs="宋体" w:eastAsia="宋体" w:hint="default"/>
                <w:spacing w:val="-6"/>
                <w:sz w:val="16"/>
                <w:szCs w:val="16"/>
              </w:rPr>
              <w:t>资金（</w:t>
            </w:r>
            <w:r>
              <w:rPr>
                <w:rFonts w:ascii="Times New Roman" w:hAnsi="Times New Roman" w:cs="Times New Roman" w:eastAsia="Times New Roman" w:hint="default"/>
                <w:spacing w:val="-6"/>
                <w:sz w:val="16"/>
                <w:szCs w:val="16"/>
              </w:rPr>
              <w:t>LED</w:t>
            </w:r>
            <w:r>
              <w:rPr>
                <w:rFonts w:ascii="Times New Roman" w:hAnsi="Times New Roman" w:cs="Times New Roman" w:eastAsia="Times New Roman" w:hint="default"/>
                <w:spacing w:val="17"/>
                <w:sz w:val="16"/>
                <w:szCs w:val="16"/>
              </w:rPr>
              <w:t> </w:t>
            </w:r>
            <w:r>
              <w:rPr>
                <w:rFonts w:ascii="宋体" w:hAnsi="宋体" w:cs="宋体" w:eastAsia="宋体" w:hint="default"/>
                <w:spacing w:val="-4"/>
                <w:sz w:val="16"/>
                <w:szCs w:val="16"/>
              </w:rPr>
              <w:t>产业）推进类计划项目</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的通知</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642"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55" w:right="0"/>
              <w:jc w:val="left"/>
              <w:rPr>
                <w:rFonts w:ascii="宋体" w:hAnsi="宋体" w:cs="宋体" w:eastAsia="宋体" w:hint="default"/>
                <w:sz w:val="16"/>
                <w:szCs w:val="16"/>
              </w:rPr>
            </w:pPr>
            <w:r>
              <w:rPr>
                <w:rFonts w:ascii="宋体" w:hAnsi="宋体" w:cs="宋体" w:eastAsia="宋体" w:hint="default"/>
                <w:sz w:val="16"/>
                <w:szCs w:val="16"/>
              </w:rPr>
              <w:t>南通科技园项目扶持资金</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95"/>
              <w:jc w:val="right"/>
              <w:rPr>
                <w:rFonts w:ascii="Times New Roman" w:hAnsi="Times New Roman" w:cs="Times New Roman" w:eastAsia="Times New Roman" w:hint="default"/>
                <w:sz w:val="16"/>
                <w:szCs w:val="16"/>
              </w:rPr>
            </w:pPr>
            <w:r>
              <w:rPr>
                <w:rFonts w:ascii="Times New Roman"/>
                <w:spacing w:val="-1"/>
                <w:sz w:val="16"/>
              </w:rPr>
              <w:t>3,556,000.00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55"/>
              <w:jc w:val="right"/>
              <w:rPr>
                <w:rFonts w:ascii="Times New Roman" w:hAnsi="Times New Roman" w:cs="Times New Roman" w:eastAsia="Times New Roman" w:hint="default"/>
                <w:sz w:val="16"/>
                <w:szCs w:val="16"/>
              </w:rPr>
            </w:pPr>
            <w:r>
              <w:rPr>
                <w:rFonts w:ascii="Times New Roman"/>
                <w:spacing w:val="-1"/>
                <w:sz w:val="16"/>
              </w:rPr>
              <w:t>3,556,000.00</w:t>
            </w:r>
          </w:p>
        </w:tc>
        <w:tc>
          <w:tcPr>
            <w:tcW w:w="2496" w:type="dxa"/>
            <w:tcBorders>
              <w:top w:val="nil" w:sz="6" w:space="0" w:color="auto"/>
              <w:left w:val="nil" w:sz="6" w:space="0" w:color="auto"/>
              <w:bottom w:val="nil" w:sz="6" w:space="0" w:color="auto"/>
              <w:right w:val="nil" w:sz="6" w:space="0" w:color="auto"/>
            </w:tcBorders>
          </w:tcPr>
          <w:p>
            <w:pPr>
              <w:pStyle w:val="TableParagraph"/>
              <w:spacing w:line="183" w:lineRule="exact"/>
              <w:ind w:left="57" w:right="0"/>
              <w:jc w:val="left"/>
              <w:rPr>
                <w:rFonts w:ascii="宋体" w:hAnsi="宋体" w:cs="宋体" w:eastAsia="宋体" w:hint="default"/>
                <w:sz w:val="16"/>
                <w:szCs w:val="16"/>
              </w:rPr>
            </w:pPr>
            <w:r>
              <w:rPr>
                <w:rFonts w:ascii="宋体" w:hAnsi="宋体" w:cs="宋体" w:eastAsia="宋体" w:hint="default"/>
                <w:spacing w:val="8"/>
                <w:sz w:val="16"/>
                <w:szCs w:val="16"/>
              </w:rPr>
              <w:t>南通市经济开发区财政局关于给</w:t>
            </w:r>
            <w:r>
              <w:rPr>
                <w:rFonts w:ascii="宋体" w:hAnsi="宋体" w:cs="宋体" w:eastAsia="宋体" w:hint="default"/>
                <w:sz w:val="16"/>
                <w:szCs w:val="16"/>
              </w:rPr>
            </w:r>
          </w:p>
          <w:p>
            <w:pPr>
              <w:pStyle w:val="TableParagraph"/>
              <w:spacing w:line="240" w:lineRule="auto"/>
              <w:ind w:left="57" w:right="51"/>
              <w:jc w:val="left"/>
              <w:rPr>
                <w:rFonts w:ascii="宋体" w:hAnsi="宋体" w:cs="宋体" w:eastAsia="宋体" w:hint="default"/>
                <w:sz w:val="16"/>
                <w:szCs w:val="16"/>
              </w:rPr>
            </w:pPr>
            <w:r>
              <w:rPr>
                <w:rFonts w:ascii="宋体" w:hAnsi="宋体" w:cs="宋体" w:eastAsia="宋体" w:hint="default"/>
                <w:spacing w:val="8"/>
                <w:sz w:val="16"/>
                <w:szCs w:val="16"/>
              </w:rPr>
              <w:t>予南通同方科技园有限公司项目</w:t>
            </w:r>
            <w:r>
              <w:rPr>
                <w:rFonts w:ascii="宋体" w:hAnsi="宋体" w:cs="宋体" w:eastAsia="宋体" w:hint="default"/>
                <w:spacing w:val="-56"/>
                <w:sz w:val="16"/>
                <w:szCs w:val="16"/>
              </w:rPr>
              <w:t> </w:t>
            </w:r>
            <w:r>
              <w:rPr>
                <w:rFonts w:ascii="宋体" w:hAnsi="宋体" w:cs="宋体" w:eastAsia="宋体" w:hint="default"/>
                <w:sz w:val="16"/>
                <w:szCs w:val="16"/>
              </w:rPr>
              <w:t>扶持资金的批复</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267"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03" w:lineRule="exact"/>
              <w:ind w:left="55" w:right="0"/>
              <w:jc w:val="left"/>
              <w:rPr>
                <w:rFonts w:ascii="宋体" w:hAnsi="宋体" w:cs="宋体" w:eastAsia="宋体" w:hint="default"/>
                <w:sz w:val="16"/>
                <w:szCs w:val="16"/>
              </w:rPr>
            </w:pPr>
            <w:r>
              <w:rPr>
                <w:rFonts w:ascii="宋体" w:hAnsi="宋体" w:cs="宋体" w:eastAsia="宋体" w:hint="default"/>
                <w:sz w:val="16"/>
                <w:szCs w:val="16"/>
              </w:rPr>
              <w:t>海淀区扶植基金</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95"/>
              <w:jc w:val="right"/>
              <w:rPr>
                <w:rFonts w:ascii="Times New Roman" w:hAnsi="Times New Roman" w:cs="Times New Roman" w:eastAsia="Times New Roman" w:hint="default"/>
                <w:sz w:val="16"/>
                <w:szCs w:val="16"/>
              </w:rPr>
            </w:pPr>
            <w:r>
              <w:rPr>
                <w:rFonts w:ascii="Times New Roman"/>
                <w:spacing w:val="-1"/>
                <w:sz w:val="16"/>
              </w:rPr>
              <w:t>3,500,000.00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55"/>
              <w:jc w:val="right"/>
              <w:rPr>
                <w:rFonts w:ascii="Times New Roman" w:hAnsi="Times New Roman" w:cs="Times New Roman" w:eastAsia="Times New Roman" w:hint="default"/>
                <w:sz w:val="16"/>
                <w:szCs w:val="16"/>
              </w:rPr>
            </w:pPr>
            <w:r>
              <w:rPr>
                <w:rFonts w:ascii="Times New Roman"/>
                <w:spacing w:val="-1"/>
                <w:sz w:val="16"/>
              </w:rPr>
              <w:t>2,050,000.00</w:t>
            </w:r>
          </w:p>
        </w:tc>
        <w:tc>
          <w:tcPr>
            <w:tcW w:w="2496" w:type="dxa"/>
            <w:tcBorders>
              <w:top w:val="nil" w:sz="6" w:space="0" w:color="auto"/>
              <w:left w:val="nil" w:sz="6" w:space="0" w:color="auto"/>
              <w:bottom w:val="nil" w:sz="6" w:space="0" w:color="auto"/>
              <w:right w:val="nil" w:sz="6" w:space="0" w:color="auto"/>
            </w:tcBorders>
          </w:tcPr>
          <w:p>
            <w:pPr>
              <w:pStyle w:val="TableParagraph"/>
              <w:spacing w:line="203" w:lineRule="exact"/>
              <w:ind w:left="57" w:right="0"/>
              <w:jc w:val="left"/>
              <w:rPr>
                <w:rFonts w:ascii="宋体" w:hAnsi="宋体" w:cs="宋体" w:eastAsia="宋体" w:hint="default"/>
                <w:sz w:val="16"/>
                <w:szCs w:val="16"/>
              </w:rPr>
            </w:pPr>
            <w:r>
              <w:rPr>
                <w:rFonts w:ascii="宋体" w:hAnsi="宋体" w:cs="宋体" w:eastAsia="宋体" w:hint="default"/>
                <w:spacing w:val="-13"/>
                <w:sz w:val="16"/>
                <w:szCs w:val="16"/>
              </w:rPr>
              <w:t>中关村科技园区海淀园管理委员会</w:t>
            </w:r>
          </w:p>
        </w:tc>
        <w:tc>
          <w:tcPr>
            <w:tcW w:w="965" w:type="dxa"/>
            <w:tcBorders>
              <w:top w:val="nil" w:sz="6" w:space="0" w:color="auto"/>
              <w:left w:val="nil" w:sz="6" w:space="0" w:color="auto"/>
              <w:bottom w:val="nil" w:sz="6" w:space="0" w:color="auto"/>
              <w:right w:val="nil" w:sz="6" w:space="0" w:color="auto"/>
            </w:tcBorders>
          </w:tcPr>
          <w:p>
            <w:pPr>
              <w:pStyle w:val="TableParagraph"/>
              <w:spacing w:line="203" w:lineRule="exact"/>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86"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5" w:right="0"/>
              <w:jc w:val="left"/>
              <w:rPr>
                <w:rFonts w:ascii="宋体" w:hAnsi="宋体" w:cs="宋体" w:eastAsia="宋体" w:hint="default"/>
                <w:sz w:val="16"/>
                <w:szCs w:val="16"/>
              </w:rPr>
            </w:pPr>
            <w:r>
              <w:rPr>
                <w:rFonts w:ascii="宋体" w:hAnsi="宋体" w:cs="宋体" w:eastAsia="宋体" w:hint="default"/>
                <w:sz w:val="16"/>
                <w:szCs w:val="16"/>
              </w:rPr>
              <w:t>国外先进技术成果落地款</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5"/>
              <w:jc w:val="right"/>
              <w:rPr>
                <w:rFonts w:ascii="Times New Roman" w:hAnsi="Times New Roman" w:cs="Times New Roman" w:eastAsia="Times New Roman" w:hint="default"/>
                <w:sz w:val="16"/>
                <w:szCs w:val="16"/>
              </w:rPr>
            </w:pPr>
            <w:r>
              <w:rPr>
                <w:rFonts w:ascii="Times New Roman"/>
                <w:spacing w:val="-1"/>
                <w:sz w:val="16"/>
              </w:rPr>
              <w:t>3,400,000.00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7" w:right="0"/>
              <w:jc w:val="left"/>
              <w:rPr>
                <w:rFonts w:ascii="宋体" w:hAnsi="宋体" w:cs="宋体" w:eastAsia="宋体" w:hint="default"/>
                <w:sz w:val="16"/>
                <w:szCs w:val="16"/>
              </w:rPr>
            </w:pPr>
            <w:r>
              <w:rPr>
                <w:rFonts w:ascii="宋体" w:hAnsi="宋体" w:cs="宋体" w:eastAsia="宋体" w:hint="default"/>
                <w:sz w:val="16"/>
                <w:szCs w:val="16"/>
              </w:rPr>
              <w:t>北京市科学技术委员会</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65"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5" w:right="0"/>
              <w:jc w:val="left"/>
              <w:rPr>
                <w:rFonts w:ascii="宋体" w:hAnsi="宋体" w:cs="宋体" w:eastAsia="宋体" w:hint="default"/>
                <w:sz w:val="16"/>
                <w:szCs w:val="16"/>
              </w:rPr>
            </w:pPr>
            <w:r>
              <w:rPr>
                <w:rFonts w:ascii="宋体" w:hAnsi="宋体" w:cs="宋体" w:eastAsia="宋体" w:hint="default"/>
                <w:sz w:val="16"/>
                <w:szCs w:val="16"/>
              </w:rPr>
              <w:t>北京市全民阅读公共服务平台</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5"/>
              <w:jc w:val="right"/>
              <w:rPr>
                <w:rFonts w:ascii="Times New Roman" w:hAnsi="Times New Roman" w:cs="Times New Roman" w:eastAsia="Times New Roman" w:hint="default"/>
                <w:sz w:val="16"/>
                <w:szCs w:val="16"/>
              </w:rPr>
            </w:pPr>
            <w:r>
              <w:rPr>
                <w:rFonts w:ascii="Times New Roman"/>
                <w:spacing w:val="-1"/>
                <w:sz w:val="16"/>
              </w:rPr>
              <w:t>3,000,000.00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7" w:right="0"/>
              <w:jc w:val="left"/>
              <w:rPr>
                <w:rFonts w:ascii="宋体" w:hAnsi="宋体" w:cs="宋体" w:eastAsia="宋体" w:hint="default"/>
                <w:sz w:val="16"/>
                <w:szCs w:val="16"/>
              </w:rPr>
            </w:pPr>
            <w:r>
              <w:rPr>
                <w:rFonts w:ascii="宋体" w:hAnsi="宋体" w:cs="宋体" w:eastAsia="宋体" w:hint="default"/>
                <w:sz w:val="16"/>
                <w:szCs w:val="16"/>
              </w:rPr>
              <w:t>北京市科学技术委员会</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452"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97"/>
              <w:ind w:left="55" w:right="0"/>
              <w:jc w:val="left"/>
              <w:rPr>
                <w:rFonts w:ascii="宋体" w:hAnsi="宋体" w:cs="宋体" w:eastAsia="宋体" w:hint="default"/>
                <w:sz w:val="16"/>
                <w:szCs w:val="16"/>
              </w:rPr>
            </w:pPr>
            <w:r>
              <w:rPr>
                <w:rFonts w:ascii="宋体" w:hAnsi="宋体" w:cs="宋体" w:eastAsia="宋体" w:hint="default"/>
                <w:sz w:val="16"/>
                <w:szCs w:val="16"/>
              </w:rPr>
              <w:t>国内贸易信用险财政补助资金</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95"/>
              <w:jc w:val="right"/>
              <w:rPr>
                <w:rFonts w:ascii="Times New Roman" w:hAnsi="Times New Roman" w:cs="Times New Roman" w:eastAsia="Times New Roman" w:hint="default"/>
                <w:sz w:val="16"/>
                <w:szCs w:val="16"/>
              </w:rPr>
            </w:pPr>
            <w:r>
              <w:rPr>
                <w:rFonts w:ascii="Times New Roman"/>
                <w:spacing w:val="-1"/>
                <w:sz w:val="16"/>
              </w:rPr>
              <w:t>2,801,900.00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55"/>
              <w:jc w:val="right"/>
              <w:rPr>
                <w:rFonts w:ascii="Times New Roman" w:hAnsi="Times New Roman" w:cs="Times New Roman" w:eastAsia="Times New Roman" w:hint="default"/>
                <w:sz w:val="16"/>
                <w:szCs w:val="16"/>
              </w:rPr>
            </w:pPr>
            <w:r>
              <w:rPr>
                <w:rFonts w:ascii="Times New Roman"/>
                <w:spacing w:val="-1"/>
                <w:sz w:val="16"/>
              </w:rPr>
              <w:t>5,400,000.00</w:t>
            </w:r>
          </w:p>
        </w:tc>
        <w:tc>
          <w:tcPr>
            <w:tcW w:w="2496" w:type="dxa"/>
            <w:tcBorders>
              <w:top w:val="nil" w:sz="6" w:space="0" w:color="auto"/>
              <w:left w:val="nil" w:sz="6" w:space="0" w:color="auto"/>
              <w:bottom w:val="nil" w:sz="6" w:space="0" w:color="auto"/>
              <w:right w:val="nil" w:sz="6" w:space="0" w:color="auto"/>
            </w:tcBorders>
          </w:tcPr>
          <w:p>
            <w:pPr>
              <w:pStyle w:val="TableParagraph"/>
              <w:spacing w:line="208" w:lineRule="exact" w:before="11"/>
              <w:ind w:left="57" w:right="51"/>
              <w:jc w:val="left"/>
              <w:rPr>
                <w:rFonts w:ascii="宋体" w:hAnsi="宋体" w:cs="宋体" w:eastAsia="宋体" w:hint="default"/>
                <w:sz w:val="16"/>
                <w:szCs w:val="16"/>
              </w:rPr>
            </w:pPr>
            <w:r>
              <w:rPr>
                <w:rFonts w:ascii="宋体" w:hAnsi="宋体" w:cs="宋体" w:eastAsia="宋体" w:hint="default"/>
                <w:spacing w:val="8"/>
                <w:sz w:val="16"/>
                <w:szCs w:val="16"/>
              </w:rPr>
              <w:t>北京市商务委员会拨付的国内贸</w:t>
            </w:r>
            <w:r>
              <w:rPr>
                <w:rFonts w:ascii="宋体" w:hAnsi="宋体" w:cs="宋体" w:eastAsia="宋体" w:hint="default"/>
                <w:spacing w:val="-56"/>
                <w:sz w:val="16"/>
                <w:szCs w:val="16"/>
              </w:rPr>
              <w:t> </w:t>
            </w:r>
            <w:r>
              <w:rPr>
                <w:rFonts w:ascii="宋体" w:hAnsi="宋体" w:cs="宋体" w:eastAsia="宋体" w:hint="default"/>
                <w:sz w:val="16"/>
                <w:szCs w:val="16"/>
              </w:rPr>
              <w:t>易信用险财政补助资金</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50"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03" w:lineRule="exact"/>
              <w:ind w:left="55" w:right="0"/>
              <w:jc w:val="left"/>
              <w:rPr>
                <w:rFonts w:ascii="宋体" w:hAnsi="宋体" w:cs="宋体" w:eastAsia="宋体" w:hint="default"/>
                <w:sz w:val="16"/>
                <w:szCs w:val="16"/>
              </w:rPr>
            </w:pPr>
            <w:r>
              <w:rPr>
                <w:rFonts w:ascii="宋体" w:hAnsi="宋体" w:cs="宋体" w:eastAsia="宋体" w:hint="default"/>
                <w:sz w:val="16"/>
                <w:szCs w:val="16"/>
              </w:rPr>
              <w:t>贴息补助</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95"/>
              <w:jc w:val="right"/>
              <w:rPr>
                <w:rFonts w:ascii="Times New Roman" w:hAnsi="Times New Roman" w:cs="Times New Roman" w:eastAsia="Times New Roman" w:hint="default"/>
                <w:sz w:val="16"/>
                <w:szCs w:val="16"/>
              </w:rPr>
            </w:pPr>
            <w:r>
              <w:rPr>
                <w:rFonts w:ascii="Times New Roman"/>
                <w:spacing w:val="-1"/>
                <w:sz w:val="16"/>
              </w:rPr>
              <w:t>2,843,677.80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55"/>
              <w:jc w:val="right"/>
              <w:rPr>
                <w:rFonts w:ascii="Times New Roman" w:hAnsi="Times New Roman" w:cs="Times New Roman" w:eastAsia="Times New Roman" w:hint="default"/>
                <w:sz w:val="16"/>
                <w:szCs w:val="16"/>
              </w:rPr>
            </w:pPr>
            <w:r>
              <w:rPr>
                <w:rFonts w:ascii="Times New Roman"/>
                <w:spacing w:val="-2"/>
                <w:sz w:val="16"/>
              </w:rPr>
              <w:t>10,682,791.80</w:t>
            </w:r>
          </w:p>
        </w:tc>
        <w:tc>
          <w:tcPr>
            <w:tcW w:w="2496" w:type="dxa"/>
            <w:tcBorders>
              <w:top w:val="nil" w:sz="6" w:space="0" w:color="auto"/>
              <w:left w:val="nil" w:sz="6" w:space="0" w:color="auto"/>
              <w:bottom w:val="nil" w:sz="6" w:space="0" w:color="auto"/>
              <w:right w:val="nil" w:sz="6" w:space="0" w:color="auto"/>
            </w:tcBorders>
          </w:tcPr>
          <w:p>
            <w:pPr>
              <w:pStyle w:val="TableParagraph"/>
              <w:spacing w:line="215" w:lineRule="exact"/>
              <w:ind w:left="57" w:right="0"/>
              <w:jc w:val="left"/>
              <w:rPr>
                <w:rFonts w:ascii="宋体" w:hAnsi="宋体" w:cs="宋体" w:eastAsia="宋体" w:hint="default"/>
                <w:sz w:val="16"/>
                <w:szCs w:val="16"/>
              </w:rPr>
            </w:pPr>
            <w:r>
              <w:rPr>
                <w:rFonts w:ascii="宋体" w:hAnsi="宋体" w:cs="宋体" w:eastAsia="宋体" w:hint="default"/>
                <w:sz w:val="16"/>
                <w:szCs w:val="16"/>
              </w:rPr>
              <w:t>苏财工贸【</w:t>
            </w:r>
            <w:r>
              <w:rPr>
                <w:rFonts w:ascii="Times New Roman" w:hAnsi="Times New Roman" w:cs="Times New Roman" w:eastAsia="Times New Roman" w:hint="default"/>
                <w:sz w:val="16"/>
                <w:szCs w:val="16"/>
              </w:rPr>
              <w:t>2012</w:t>
            </w:r>
            <w:r>
              <w:rPr>
                <w:rFonts w:ascii="宋体" w:hAnsi="宋体" w:cs="宋体" w:eastAsia="宋体" w:hint="default"/>
                <w:sz w:val="16"/>
                <w:szCs w:val="16"/>
              </w:rPr>
              <w:t>】</w:t>
            </w:r>
            <w:r>
              <w:rPr>
                <w:rFonts w:ascii="Times New Roman" w:hAnsi="Times New Roman" w:cs="Times New Roman" w:eastAsia="Times New Roman" w:hint="default"/>
                <w:sz w:val="16"/>
                <w:szCs w:val="16"/>
              </w:rPr>
              <w:t>135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号</w:t>
            </w:r>
          </w:p>
        </w:tc>
        <w:tc>
          <w:tcPr>
            <w:tcW w:w="965" w:type="dxa"/>
            <w:tcBorders>
              <w:top w:val="nil" w:sz="6" w:space="0" w:color="auto"/>
              <w:left w:val="nil" w:sz="6" w:space="0" w:color="auto"/>
              <w:bottom w:val="nil" w:sz="6" w:space="0" w:color="auto"/>
              <w:right w:val="nil" w:sz="6" w:space="0" w:color="auto"/>
            </w:tcBorders>
          </w:tcPr>
          <w:p>
            <w:pPr>
              <w:pStyle w:val="TableParagraph"/>
              <w:spacing w:line="203" w:lineRule="exact"/>
              <w:ind w:right="55"/>
              <w:jc w:val="center"/>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431"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93"/>
              <w:ind w:left="55" w:right="0"/>
              <w:jc w:val="left"/>
              <w:rPr>
                <w:rFonts w:ascii="宋体" w:hAnsi="宋体" w:cs="宋体" w:eastAsia="宋体" w:hint="default"/>
                <w:sz w:val="16"/>
                <w:szCs w:val="16"/>
              </w:rPr>
            </w:pPr>
            <w:r>
              <w:rPr>
                <w:rFonts w:ascii="宋体" w:hAnsi="宋体" w:cs="宋体" w:eastAsia="宋体" w:hint="default"/>
                <w:sz w:val="16"/>
                <w:szCs w:val="16"/>
              </w:rPr>
              <w:t>污泥处理补贴</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5"/>
              <w:jc w:val="right"/>
              <w:rPr>
                <w:rFonts w:ascii="Times New Roman" w:hAnsi="Times New Roman" w:cs="Times New Roman" w:eastAsia="Times New Roman" w:hint="default"/>
                <w:sz w:val="16"/>
                <w:szCs w:val="16"/>
              </w:rPr>
            </w:pPr>
            <w:r>
              <w:rPr>
                <w:rFonts w:ascii="Times New Roman"/>
                <w:spacing w:val="-1"/>
                <w:sz w:val="16"/>
              </w:rPr>
              <w:t>2,499,324.22</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208" w:lineRule="exact" w:before="10"/>
              <w:ind w:left="57" w:right="51"/>
              <w:jc w:val="left"/>
              <w:rPr>
                <w:rFonts w:ascii="宋体" w:hAnsi="宋体" w:cs="宋体" w:eastAsia="宋体" w:hint="default"/>
                <w:sz w:val="16"/>
                <w:szCs w:val="16"/>
              </w:rPr>
            </w:pPr>
            <w:r>
              <w:rPr>
                <w:rFonts w:ascii="宋体" w:hAnsi="宋体" w:cs="宋体" w:eastAsia="宋体" w:hint="default"/>
                <w:spacing w:val="8"/>
                <w:sz w:val="16"/>
                <w:szCs w:val="16"/>
              </w:rPr>
              <w:t>《特许经营协议污泥运输处置费</w:t>
            </w:r>
            <w:r>
              <w:rPr>
                <w:rFonts w:ascii="宋体" w:hAnsi="宋体" w:cs="宋体" w:eastAsia="宋体" w:hint="default"/>
                <w:spacing w:val="-55"/>
                <w:sz w:val="16"/>
                <w:szCs w:val="16"/>
              </w:rPr>
              <w:t> </w:t>
            </w:r>
            <w:r>
              <w:rPr>
                <w:rFonts w:ascii="宋体" w:hAnsi="宋体" w:cs="宋体" w:eastAsia="宋体" w:hint="default"/>
                <w:sz w:val="16"/>
                <w:szCs w:val="16"/>
              </w:rPr>
              <w:t>用补偿补充协议》</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433"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77"/>
              <w:ind w:left="55" w:right="0"/>
              <w:jc w:val="left"/>
              <w:rPr>
                <w:rFonts w:ascii="宋体" w:hAnsi="宋体" w:cs="宋体" w:eastAsia="宋体" w:hint="default"/>
                <w:sz w:val="16"/>
                <w:szCs w:val="16"/>
              </w:rPr>
            </w:pPr>
            <w:r>
              <w:rPr>
                <w:rFonts w:ascii="宋体" w:hAnsi="宋体" w:cs="宋体" w:eastAsia="宋体" w:hint="default"/>
                <w:sz w:val="16"/>
                <w:szCs w:val="16"/>
              </w:rPr>
              <w:t>科技产业基地财政扶持款</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95"/>
              <w:jc w:val="right"/>
              <w:rPr>
                <w:rFonts w:ascii="Times New Roman" w:hAnsi="Times New Roman" w:cs="Times New Roman" w:eastAsia="Times New Roman" w:hint="default"/>
                <w:sz w:val="16"/>
                <w:szCs w:val="16"/>
              </w:rPr>
            </w:pPr>
            <w:r>
              <w:rPr>
                <w:rFonts w:ascii="Times New Roman"/>
                <w:spacing w:val="-1"/>
                <w:sz w:val="16"/>
              </w:rPr>
              <w:t>2,317,400.00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182" w:lineRule="exact"/>
              <w:ind w:left="57" w:right="0"/>
              <w:jc w:val="left"/>
              <w:rPr>
                <w:rFonts w:ascii="宋体" w:hAnsi="宋体" w:cs="宋体" w:eastAsia="宋体" w:hint="default"/>
                <w:sz w:val="16"/>
                <w:szCs w:val="16"/>
              </w:rPr>
            </w:pPr>
            <w:r>
              <w:rPr>
                <w:rFonts w:ascii="宋体" w:hAnsi="宋体" w:cs="宋体" w:eastAsia="宋体" w:hint="default"/>
                <w:spacing w:val="-3"/>
                <w:sz w:val="16"/>
                <w:szCs w:val="16"/>
              </w:rPr>
              <w:t>清华同方（南通）科技产业基地项</w:t>
            </w:r>
          </w:p>
          <w:p>
            <w:pPr>
              <w:pStyle w:val="TableParagraph"/>
              <w:spacing w:line="208" w:lineRule="exact"/>
              <w:ind w:left="57" w:right="0"/>
              <w:jc w:val="left"/>
              <w:rPr>
                <w:rFonts w:ascii="宋体" w:hAnsi="宋体" w:cs="宋体" w:eastAsia="宋体" w:hint="default"/>
                <w:sz w:val="16"/>
                <w:szCs w:val="16"/>
              </w:rPr>
            </w:pPr>
            <w:r>
              <w:rPr>
                <w:rFonts w:ascii="宋体" w:hAnsi="宋体" w:cs="宋体" w:eastAsia="宋体" w:hint="default"/>
                <w:sz w:val="16"/>
                <w:szCs w:val="16"/>
              </w:rPr>
              <w:t>目补充协议</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49"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04" w:lineRule="exact"/>
              <w:ind w:left="55" w:right="0"/>
              <w:jc w:val="left"/>
              <w:rPr>
                <w:rFonts w:ascii="宋体" w:hAnsi="宋体" w:cs="宋体" w:eastAsia="宋体" w:hint="default"/>
                <w:sz w:val="16"/>
                <w:szCs w:val="16"/>
              </w:rPr>
            </w:pPr>
            <w:r>
              <w:rPr>
                <w:rFonts w:ascii="宋体" w:hAnsi="宋体" w:cs="宋体" w:eastAsia="宋体" w:hint="default"/>
                <w:sz w:val="16"/>
                <w:szCs w:val="16"/>
              </w:rPr>
              <w:t>节能项目补贴</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95"/>
              <w:jc w:val="right"/>
              <w:rPr>
                <w:rFonts w:ascii="Times New Roman" w:hAnsi="Times New Roman" w:cs="Times New Roman" w:eastAsia="Times New Roman" w:hint="default"/>
                <w:sz w:val="16"/>
                <w:szCs w:val="16"/>
              </w:rPr>
            </w:pPr>
            <w:r>
              <w:rPr>
                <w:rFonts w:ascii="Times New Roman"/>
                <w:spacing w:val="-1"/>
                <w:sz w:val="16"/>
              </w:rPr>
              <w:t>2,250,000.00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204" w:lineRule="exact"/>
              <w:ind w:left="57" w:right="0"/>
              <w:jc w:val="left"/>
              <w:rPr>
                <w:rFonts w:ascii="宋体" w:hAnsi="宋体" w:cs="宋体" w:eastAsia="宋体" w:hint="default"/>
                <w:sz w:val="16"/>
                <w:szCs w:val="16"/>
              </w:rPr>
            </w:pPr>
            <w:r>
              <w:rPr>
                <w:rFonts w:ascii="宋体" w:hAnsi="宋体" w:cs="宋体" w:eastAsia="宋体" w:hint="default"/>
                <w:sz w:val="16"/>
                <w:szCs w:val="16"/>
              </w:rPr>
              <w:t>山西省财政厅</w:t>
            </w:r>
          </w:p>
        </w:tc>
        <w:tc>
          <w:tcPr>
            <w:tcW w:w="965" w:type="dxa"/>
            <w:tcBorders>
              <w:top w:val="nil" w:sz="6" w:space="0" w:color="auto"/>
              <w:left w:val="nil" w:sz="6" w:space="0" w:color="auto"/>
              <w:bottom w:val="nil" w:sz="6" w:space="0" w:color="auto"/>
              <w:right w:val="nil" w:sz="6" w:space="0" w:color="auto"/>
            </w:tcBorders>
          </w:tcPr>
          <w:p>
            <w:pPr>
              <w:pStyle w:val="TableParagraph"/>
              <w:spacing w:line="204" w:lineRule="exact"/>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640"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55"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E</w:t>
            </w:r>
            <w:r>
              <w:rPr>
                <w:rFonts w:ascii="Times New Roman" w:hAnsi="Times New Roman" w:cs="Times New Roman" w:eastAsia="Times New Roman" w:hint="default"/>
                <w:spacing w:val="-10"/>
                <w:sz w:val="16"/>
                <w:szCs w:val="16"/>
              </w:rPr>
              <w:t> </w:t>
            </w:r>
            <w:r>
              <w:rPr>
                <w:rFonts w:ascii="宋体" w:hAnsi="宋体" w:cs="宋体" w:eastAsia="宋体" w:hint="default"/>
                <w:sz w:val="16"/>
                <w:szCs w:val="16"/>
              </w:rPr>
              <w:t>人</w:t>
            </w:r>
            <w:r>
              <w:rPr>
                <w:rFonts w:ascii="宋体" w:hAnsi="宋体" w:cs="宋体" w:eastAsia="宋体" w:hint="default"/>
                <w:spacing w:val="-56"/>
                <w:sz w:val="16"/>
                <w:szCs w:val="16"/>
              </w:rPr>
              <w:t> </w:t>
            </w:r>
            <w:r>
              <w:rPr>
                <w:rFonts w:ascii="Times New Roman" w:hAnsi="Times New Roman" w:cs="Times New Roman" w:eastAsia="Times New Roman" w:hint="default"/>
                <w:sz w:val="16"/>
                <w:szCs w:val="16"/>
              </w:rPr>
              <w:t>E</w:t>
            </w:r>
            <w:r>
              <w:rPr>
                <w:rFonts w:ascii="Times New Roman" w:hAnsi="Times New Roman" w:cs="Times New Roman" w:eastAsia="Times New Roman" w:hint="default"/>
                <w:spacing w:val="-10"/>
                <w:sz w:val="16"/>
                <w:szCs w:val="16"/>
              </w:rPr>
              <w:t> </w:t>
            </w:r>
            <w:r>
              <w:rPr>
                <w:rFonts w:ascii="宋体" w:hAnsi="宋体" w:cs="宋体" w:eastAsia="宋体" w:hint="default"/>
                <w:spacing w:val="-17"/>
                <w:sz w:val="16"/>
                <w:szCs w:val="16"/>
              </w:rPr>
              <w:t>本安全综合移动服务平台项目</w:t>
            </w:r>
            <w:r>
              <w:rPr>
                <w:rFonts w:ascii="宋体" w:hAnsi="宋体" w:cs="宋体" w:eastAsia="宋体" w:hint="default"/>
                <w:sz w:val="16"/>
                <w:szCs w:val="16"/>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95"/>
              <w:jc w:val="right"/>
              <w:rPr>
                <w:rFonts w:ascii="Times New Roman" w:hAnsi="Times New Roman" w:cs="Times New Roman" w:eastAsia="Times New Roman" w:hint="default"/>
                <w:sz w:val="16"/>
                <w:szCs w:val="16"/>
              </w:rPr>
            </w:pPr>
            <w:r>
              <w:rPr>
                <w:rFonts w:ascii="Times New Roman"/>
                <w:spacing w:val="-1"/>
                <w:sz w:val="16"/>
              </w:rPr>
              <w:t>2,233,333.32</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55"/>
              <w:jc w:val="right"/>
              <w:rPr>
                <w:rFonts w:ascii="Times New Roman" w:hAnsi="Times New Roman" w:cs="Times New Roman" w:eastAsia="Times New Roman" w:hint="default"/>
                <w:sz w:val="16"/>
                <w:szCs w:val="16"/>
              </w:rPr>
            </w:pPr>
            <w:r>
              <w:rPr>
                <w:rFonts w:ascii="Times New Roman"/>
                <w:spacing w:val="-1"/>
                <w:sz w:val="16"/>
              </w:rPr>
              <w:t>2,233,333.33</w:t>
            </w:r>
          </w:p>
        </w:tc>
        <w:tc>
          <w:tcPr>
            <w:tcW w:w="2496" w:type="dxa"/>
            <w:tcBorders>
              <w:top w:val="nil" w:sz="6" w:space="0" w:color="auto"/>
              <w:left w:val="nil" w:sz="6" w:space="0" w:color="auto"/>
              <w:bottom w:val="nil" w:sz="6" w:space="0" w:color="auto"/>
              <w:right w:val="nil" w:sz="6" w:space="0" w:color="auto"/>
            </w:tcBorders>
          </w:tcPr>
          <w:p>
            <w:pPr>
              <w:pStyle w:val="TableParagraph"/>
              <w:spacing w:line="237" w:lineRule="auto"/>
              <w:ind w:left="57" w:right="51"/>
              <w:jc w:val="both"/>
              <w:rPr>
                <w:rFonts w:ascii="宋体" w:hAnsi="宋体" w:cs="宋体" w:eastAsia="宋体" w:hint="default"/>
                <w:sz w:val="16"/>
                <w:szCs w:val="16"/>
              </w:rPr>
            </w:pPr>
            <w:r>
              <w:rPr>
                <w:rFonts w:ascii="宋体" w:hAnsi="宋体" w:cs="宋体" w:eastAsia="宋体" w:hint="default"/>
                <w:spacing w:val="8"/>
                <w:sz w:val="16"/>
                <w:szCs w:val="16"/>
              </w:rPr>
              <w:t>北京市经济和信息化委员会中关</w:t>
            </w:r>
            <w:r>
              <w:rPr>
                <w:rFonts w:ascii="宋体" w:hAnsi="宋体" w:cs="宋体" w:eastAsia="宋体" w:hint="default"/>
                <w:spacing w:val="-56"/>
                <w:sz w:val="16"/>
                <w:szCs w:val="16"/>
              </w:rPr>
              <w:t> </w:t>
            </w:r>
            <w:r>
              <w:rPr>
                <w:rFonts w:ascii="宋体" w:hAnsi="宋体" w:cs="宋体" w:eastAsia="宋体" w:hint="default"/>
                <w:spacing w:val="8"/>
                <w:sz w:val="16"/>
                <w:szCs w:val="16"/>
              </w:rPr>
              <w:t>村现代服务业专项资金拨款项目</w:t>
            </w:r>
            <w:r>
              <w:rPr>
                <w:rFonts w:ascii="宋体" w:hAnsi="宋体" w:cs="宋体" w:eastAsia="宋体" w:hint="default"/>
                <w:spacing w:val="-56"/>
                <w:sz w:val="16"/>
                <w:szCs w:val="16"/>
              </w:rPr>
              <w:t> </w:t>
            </w:r>
            <w:r>
              <w:rPr>
                <w:rFonts w:ascii="宋体" w:hAnsi="宋体" w:cs="宋体" w:eastAsia="宋体" w:hint="default"/>
                <w:sz w:val="16"/>
                <w:szCs w:val="16"/>
              </w:rPr>
              <w:t>合同书</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414"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77"/>
              <w:ind w:left="55" w:right="0"/>
              <w:jc w:val="left"/>
              <w:rPr>
                <w:rFonts w:ascii="宋体" w:hAnsi="宋体" w:cs="宋体" w:eastAsia="宋体" w:hint="default"/>
                <w:sz w:val="16"/>
                <w:szCs w:val="16"/>
              </w:rPr>
            </w:pPr>
            <w:r>
              <w:rPr>
                <w:rFonts w:ascii="宋体" w:hAnsi="宋体" w:cs="宋体" w:eastAsia="宋体" w:hint="default"/>
                <w:sz w:val="16"/>
                <w:szCs w:val="16"/>
              </w:rPr>
              <w:t>中小企业发展专项资金</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95"/>
              <w:jc w:val="right"/>
              <w:rPr>
                <w:rFonts w:ascii="Times New Roman" w:hAnsi="Times New Roman" w:cs="Times New Roman" w:eastAsia="Times New Roman" w:hint="default"/>
                <w:sz w:val="16"/>
                <w:szCs w:val="16"/>
              </w:rPr>
            </w:pPr>
            <w:r>
              <w:rPr>
                <w:rFonts w:ascii="Times New Roman"/>
                <w:spacing w:val="-1"/>
                <w:sz w:val="16"/>
              </w:rPr>
              <w:t>2,179,200.00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182" w:lineRule="exact"/>
              <w:ind w:left="57" w:right="0"/>
              <w:jc w:val="left"/>
              <w:rPr>
                <w:rFonts w:ascii="宋体" w:hAnsi="宋体" w:cs="宋体" w:eastAsia="宋体" w:hint="default"/>
                <w:sz w:val="16"/>
                <w:szCs w:val="16"/>
              </w:rPr>
            </w:pPr>
            <w:r>
              <w:rPr>
                <w:rFonts w:ascii="宋体" w:hAnsi="宋体" w:cs="宋体" w:eastAsia="宋体" w:hint="default"/>
                <w:spacing w:val="8"/>
                <w:sz w:val="16"/>
                <w:szCs w:val="16"/>
              </w:rPr>
              <w:t>南通市经济开发区财政局城建财</w:t>
            </w:r>
            <w:r>
              <w:rPr>
                <w:rFonts w:ascii="宋体" w:hAnsi="宋体" w:cs="宋体" w:eastAsia="宋体" w:hint="default"/>
                <w:sz w:val="16"/>
                <w:szCs w:val="16"/>
              </w:rPr>
            </w:r>
          </w:p>
          <w:p>
            <w:pPr>
              <w:pStyle w:val="TableParagraph"/>
              <w:spacing w:line="208" w:lineRule="exact"/>
              <w:ind w:left="57" w:right="0"/>
              <w:jc w:val="left"/>
              <w:rPr>
                <w:rFonts w:ascii="宋体" w:hAnsi="宋体" w:cs="宋体" w:eastAsia="宋体" w:hint="default"/>
                <w:sz w:val="16"/>
                <w:szCs w:val="16"/>
              </w:rPr>
            </w:pPr>
            <w:r>
              <w:rPr>
                <w:rFonts w:ascii="宋体" w:hAnsi="宋体" w:cs="宋体" w:eastAsia="宋体" w:hint="default"/>
                <w:sz w:val="16"/>
                <w:szCs w:val="16"/>
              </w:rPr>
              <w:t>政奖励批复文件</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646"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55"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OTT</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智能网络电视产业化项目</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95"/>
              <w:jc w:val="right"/>
              <w:rPr>
                <w:rFonts w:ascii="Times New Roman" w:hAnsi="Times New Roman" w:cs="Times New Roman" w:eastAsia="Times New Roman" w:hint="default"/>
                <w:sz w:val="16"/>
                <w:szCs w:val="16"/>
              </w:rPr>
            </w:pPr>
            <w:r>
              <w:rPr>
                <w:rFonts w:ascii="Times New Roman"/>
                <w:spacing w:val="-1"/>
                <w:sz w:val="16"/>
              </w:rPr>
              <w:t>3,870,000.00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189" w:lineRule="exact"/>
              <w:ind w:left="5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2015 </w:t>
            </w:r>
            <w:r>
              <w:rPr>
                <w:rFonts w:ascii="Times New Roman" w:hAnsi="Times New Roman" w:cs="Times New Roman" w:eastAsia="Times New Roman" w:hint="default"/>
                <w:spacing w:val="24"/>
                <w:sz w:val="16"/>
                <w:szCs w:val="16"/>
              </w:rPr>
              <w:t> </w:t>
            </w:r>
            <w:r>
              <w:rPr>
                <w:rFonts w:ascii="宋体" w:hAnsi="宋体" w:cs="宋体" w:eastAsia="宋体" w:hint="default"/>
                <w:spacing w:val="2"/>
                <w:sz w:val="16"/>
                <w:szCs w:val="16"/>
              </w:rPr>
              <w:t>年度辽宁省第一批科学技术</w:t>
            </w:r>
          </w:p>
          <w:p>
            <w:pPr>
              <w:pStyle w:val="TableParagraph"/>
              <w:spacing w:line="202" w:lineRule="exact"/>
              <w:ind w:left="57" w:right="0"/>
              <w:jc w:val="left"/>
              <w:rPr>
                <w:rFonts w:ascii="宋体" w:hAnsi="宋体" w:cs="宋体" w:eastAsia="宋体" w:hint="default"/>
                <w:sz w:val="16"/>
                <w:szCs w:val="16"/>
              </w:rPr>
            </w:pPr>
            <w:r>
              <w:rPr>
                <w:rFonts w:ascii="宋体" w:hAnsi="宋体" w:cs="宋体" w:eastAsia="宋体" w:hint="default"/>
                <w:spacing w:val="8"/>
                <w:sz w:val="16"/>
                <w:szCs w:val="16"/>
              </w:rPr>
              <w:t>计划拟立项项目公示、沈财指企</w:t>
            </w:r>
            <w:r>
              <w:rPr>
                <w:rFonts w:ascii="宋体" w:hAnsi="宋体" w:cs="宋体" w:eastAsia="宋体" w:hint="default"/>
                <w:sz w:val="16"/>
                <w:szCs w:val="16"/>
              </w:rPr>
            </w:r>
          </w:p>
          <w:p>
            <w:pPr>
              <w:pStyle w:val="TableParagraph"/>
              <w:spacing w:line="221" w:lineRule="exact"/>
              <w:ind w:left="57"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2015</w:t>
            </w:r>
            <w:r>
              <w:rPr>
                <w:rFonts w:ascii="宋体" w:hAnsi="宋体" w:cs="宋体" w:eastAsia="宋体" w:hint="default"/>
                <w:sz w:val="16"/>
                <w:szCs w:val="16"/>
              </w:rPr>
              <w:t>】</w:t>
            </w:r>
            <w:r>
              <w:rPr>
                <w:rFonts w:ascii="Times New Roman" w:hAnsi="Times New Roman" w:cs="Times New Roman" w:eastAsia="Times New Roman" w:hint="default"/>
                <w:sz w:val="16"/>
                <w:szCs w:val="16"/>
              </w:rPr>
              <w:t>1059</w:t>
            </w:r>
            <w:r>
              <w:rPr>
                <w:rFonts w:ascii="Times New Roman" w:hAnsi="Times New Roman" w:cs="Times New Roman" w:eastAsia="Times New Roman" w:hint="default"/>
                <w:spacing w:val="-6"/>
                <w:sz w:val="16"/>
                <w:szCs w:val="16"/>
              </w:rPr>
              <w:t> </w:t>
            </w:r>
            <w:r>
              <w:rPr>
                <w:rFonts w:ascii="宋体" w:hAnsi="宋体" w:cs="宋体" w:eastAsia="宋体" w:hint="default"/>
                <w:sz w:val="16"/>
                <w:szCs w:val="16"/>
              </w:rPr>
              <w:t>号</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63"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198" w:lineRule="exact"/>
              <w:ind w:left="55" w:right="0"/>
              <w:jc w:val="left"/>
              <w:rPr>
                <w:rFonts w:ascii="宋体" w:hAnsi="宋体" w:cs="宋体" w:eastAsia="宋体" w:hint="default"/>
                <w:sz w:val="16"/>
                <w:szCs w:val="16"/>
              </w:rPr>
            </w:pPr>
            <w:r>
              <w:rPr>
                <w:rFonts w:ascii="宋体" w:hAnsi="宋体" w:cs="宋体" w:eastAsia="宋体" w:hint="default"/>
                <w:sz w:val="16"/>
                <w:szCs w:val="16"/>
              </w:rPr>
              <w:t>产业化发展基金</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95"/>
              <w:jc w:val="right"/>
              <w:rPr>
                <w:rFonts w:ascii="Times New Roman" w:hAnsi="Times New Roman" w:cs="Times New Roman" w:eastAsia="Times New Roman" w:hint="default"/>
                <w:sz w:val="16"/>
                <w:szCs w:val="16"/>
              </w:rPr>
            </w:pPr>
            <w:r>
              <w:rPr>
                <w:rFonts w:ascii="Times New Roman"/>
                <w:spacing w:val="-1"/>
                <w:sz w:val="16"/>
              </w:rPr>
              <w:t>2,000,000.00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198" w:lineRule="exact"/>
              <w:ind w:left="57" w:right="0"/>
              <w:jc w:val="left"/>
              <w:rPr>
                <w:rFonts w:ascii="宋体" w:hAnsi="宋体" w:cs="宋体" w:eastAsia="宋体" w:hint="default"/>
                <w:sz w:val="16"/>
                <w:szCs w:val="16"/>
              </w:rPr>
            </w:pPr>
            <w:r>
              <w:rPr>
                <w:rFonts w:ascii="宋体" w:hAnsi="宋体" w:cs="宋体" w:eastAsia="宋体" w:hint="default"/>
                <w:sz w:val="16"/>
                <w:szCs w:val="16"/>
              </w:rPr>
              <w:t>工信部</w:t>
            </w:r>
          </w:p>
        </w:tc>
        <w:tc>
          <w:tcPr>
            <w:tcW w:w="965" w:type="dxa"/>
            <w:tcBorders>
              <w:top w:val="nil" w:sz="6" w:space="0" w:color="auto"/>
              <w:left w:val="nil" w:sz="6" w:space="0" w:color="auto"/>
              <w:bottom w:val="nil" w:sz="6" w:space="0" w:color="auto"/>
              <w:right w:val="nil" w:sz="6" w:space="0" w:color="auto"/>
            </w:tcBorders>
          </w:tcPr>
          <w:p>
            <w:pPr>
              <w:pStyle w:val="TableParagraph"/>
              <w:spacing w:line="198" w:lineRule="exact"/>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88" w:hRule="exact"/>
        </w:trPr>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5" w:right="0"/>
              <w:jc w:val="left"/>
              <w:rPr>
                <w:rFonts w:ascii="宋体" w:hAnsi="宋体" w:cs="宋体" w:eastAsia="宋体" w:hint="default"/>
                <w:sz w:val="16"/>
                <w:szCs w:val="16"/>
              </w:rPr>
            </w:pPr>
            <w:r>
              <w:rPr>
                <w:rFonts w:ascii="宋体" w:hAnsi="宋体" w:cs="宋体" w:eastAsia="宋体" w:hint="default"/>
                <w:sz w:val="16"/>
                <w:szCs w:val="16"/>
              </w:rPr>
              <w:t>国家战略性重点新产品</w:t>
            </w:r>
            <w:r>
              <w:rPr>
                <w:rFonts w:ascii="Times New Roman" w:hAnsi="Times New Roman" w:cs="Times New Roman" w:eastAsia="Times New Roman" w:hint="default"/>
                <w:sz w:val="16"/>
                <w:szCs w:val="16"/>
              </w:rPr>
              <w:t>-</w:t>
            </w:r>
            <w:r>
              <w:rPr>
                <w:rFonts w:ascii="宋体" w:hAnsi="宋体" w:cs="宋体" w:eastAsia="宋体" w:hint="default"/>
                <w:sz w:val="16"/>
                <w:szCs w:val="16"/>
              </w:rPr>
              <w:t>离子迁移</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5"/>
              <w:jc w:val="right"/>
              <w:rPr>
                <w:rFonts w:ascii="Times New Roman" w:hAnsi="Times New Roman" w:cs="Times New Roman" w:eastAsia="Times New Roman" w:hint="default"/>
                <w:sz w:val="16"/>
                <w:szCs w:val="16"/>
              </w:rPr>
            </w:pPr>
            <w:r>
              <w:rPr>
                <w:rFonts w:ascii="Times New Roman"/>
                <w:spacing w:val="-1"/>
                <w:sz w:val="16"/>
              </w:rPr>
              <w:t>2,000,000.00</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7" w:right="0"/>
              <w:jc w:val="left"/>
              <w:rPr>
                <w:rFonts w:ascii="宋体" w:hAnsi="宋体" w:cs="宋体" w:eastAsia="宋体" w:hint="default"/>
                <w:sz w:val="16"/>
                <w:szCs w:val="16"/>
              </w:rPr>
            </w:pPr>
            <w:r>
              <w:rPr>
                <w:rFonts w:ascii="宋体" w:hAnsi="宋体" w:cs="宋体" w:eastAsia="宋体" w:hint="default"/>
                <w:sz w:val="16"/>
                <w:szCs w:val="16"/>
              </w:rPr>
              <w:t>财政部</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97" w:hRule="exact"/>
        </w:trPr>
        <w:tc>
          <w:tcPr>
            <w:tcW w:w="2713"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55" w:right="0"/>
              <w:jc w:val="left"/>
              <w:rPr>
                <w:rFonts w:ascii="宋体" w:hAnsi="宋体" w:cs="宋体" w:eastAsia="宋体" w:hint="default"/>
                <w:sz w:val="16"/>
                <w:szCs w:val="16"/>
              </w:rPr>
            </w:pPr>
            <w:r>
              <w:rPr>
                <w:rFonts w:ascii="宋体" w:hAnsi="宋体" w:cs="宋体" w:eastAsia="宋体" w:hint="default"/>
                <w:sz w:val="16"/>
                <w:szCs w:val="16"/>
              </w:rPr>
              <w:t>英国威尔士就业扶持政府补贴</w:t>
            </w:r>
          </w:p>
        </w:tc>
        <w:tc>
          <w:tcPr>
            <w:tcW w:w="1417"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95"/>
              <w:jc w:val="right"/>
              <w:rPr>
                <w:rFonts w:ascii="Times New Roman" w:hAnsi="Times New Roman" w:cs="Times New Roman" w:eastAsia="Times New Roman" w:hint="default"/>
                <w:sz w:val="16"/>
                <w:szCs w:val="16"/>
              </w:rPr>
            </w:pPr>
            <w:r>
              <w:rPr>
                <w:rFonts w:ascii="Times New Roman"/>
                <w:spacing w:val="-1"/>
                <w:sz w:val="16"/>
              </w:rPr>
              <w:t>1,957,101.81</w:t>
            </w:r>
          </w:p>
        </w:tc>
        <w:tc>
          <w:tcPr>
            <w:tcW w:w="1175"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55"/>
              <w:jc w:val="right"/>
              <w:rPr>
                <w:rFonts w:ascii="Times New Roman" w:hAnsi="Times New Roman" w:cs="Times New Roman" w:eastAsia="Times New Roman" w:hint="default"/>
                <w:sz w:val="16"/>
                <w:szCs w:val="16"/>
              </w:rPr>
            </w:pPr>
            <w:r>
              <w:rPr>
                <w:rFonts w:ascii="Times New Roman"/>
                <w:spacing w:val="-1"/>
                <w:sz w:val="16"/>
              </w:rPr>
              <w:t>3,330,847.45</w:t>
            </w:r>
          </w:p>
        </w:tc>
        <w:tc>
          <w:tcPr>
            <w:tcW w:w="2496"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57" w:right="0"/>
              <w:jc w:val="left"/>
              <w:rPr>
                <w:rFonts w:ascii="宋体" w:hAnsi="宋体" w:cs="宋体" w:eastAsia="宋体" w:hint="default"/>
                <w:sz w:val="16"/>
                <w:szCs w:val="16"/>
              </w:rPr>
            </w:pPr>
            <w:r>
              <w:rPr>
                <w:rFonts w:ascii="宋体" w:hAnsi="宋体" w:cs="宋体" w:eastAsia="宋体" w:hint="default"/>
                <w:sz w:val="16"/>
                <w:szCs w:val="16"/>
              </w:rPr>
              <w:t>英国威尔士政府</w:t>
            </w:r>
          </w:p>
        </w:tc>
        <w:tc>
          <w:tcPr>
            <w:tcW w:w="965"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center"/>
              <w:rPr>
                <w:rFonts w:ascii="宋体" w:hAnsi="宋体" w:cs="宋体" w:eastAsia="宋体" w:hint="default"/>
                <w:sz w:val="16"/>
                <w:szCs w:val="16"/>
              </w:rPr>
            </w:pPr>
            <w:r>
              <w:rPr>
                <w:rFonts w:ascii="宋体" w:hAnsi="宋体" w:cs="宋体" w:eastAsia="宋体" w:hint="default"/>
                <w:sz w:val="16"/>
                <w:szCs w:val="16"/>
              </w:rPr>
              <w:t>与收益相关</w:t>
            </w:r>
          </w:p>
        </w:tc>
      </w:tr>
    </w:tbl>
    <w:p>
      <w:pPr>
        <w:spacing w:after="0" w:line="240" w:lineRule="auto"/>
        <w:jc w:val="center"/>
        <w:rPr>
          <w:rFonts w:ascii="宋体" w:hAnsi="宋体" w:cs="宋体" w:eastAsia="宋体" w:hint="default"/>
          <w:sz w:val="16"/>
          <w:szCs w:val="16"/>
        </w:rPr>
        <w:sectPr>
          <w:headerReference w:type="default" r:id="rId82"/>
          <w:pgSz w:w="11910" w:h="16840"/>
          <w:pgMar w:header="645" w:footer="816" w:top="1080" w:bottom="1020" w:left="1460" w:right="1480"/>
        </w:sectPr>
      </w:pPr>
    </w:p>
    <w:p>
      <w:pPr>
        <w:spacing w:line="240" w:lineRule="auto" w:before="2"/>
        <w:rPr>
          <w:rFonts w:ascii="Times New Roman" w:hAnsi="Times New Roman" w:cs="Times New Roman" w:eastAsia="Times New Roman" w:hint="default"/>
          <w:sz w:val="6"/>
          <w:szCs w:val="6"/>
        </w:rPr>
      </w:pPr>
    </w:p>
    <w:p>
      <w:pPr>
        <w:spacing w:line="417" w:lineRule="exact"/>
        <w:ind w:left="165"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7"/>
          <w:sz w:val="20"/>
          <w:szCs w:val="20"/>
        </w:rPr>
        <w:drawing>
          <wp:inline distT="0" distB="0" distL="0" distR="0">
            <wp:extent cx="861822" cy="265175"/>
            <wp:effectExtent l="0" t="0" r="0" b="0"/>
            <wp:docPr id="31" name="image1.jpeg" descr=""/>
            <wp:cNvGraphicFramePr>
              <a:graphicFrameLocks noChangeAspect="1"/>
            </wp:cNvGraphicFramePr>
            <a:graphic>
              <a:graphicData uri="http://schemas.openxmlformats.org/drawingml/2006/picture">
                <pic:pic>
                  <pic:nvPicPr>
                    <pic:cNvPr id="32" name="image1.jpeg"/>
                    <pic:cNvPicPr/>
                  </pic:nvPicPr>
                  <pic:blipFill>
                    <a:blip r:embed="rId35" cstate="print"/>
                    <a:stretch>
                      <a:fillRect/>
                    </a:stretch>
                  </pic:blipFill>
                  <pic:spPr>
                    <a:xfrm>
                      <a:off x="0" y="0"/>
                      <a:ext cx="861822" cy="265175"/>
                    </a:xfrm>
                    <a:prstGeom prst="rect">
                      <a:avLst/>
                    </a:prstGeom>
                  </pic:spPr>
                </pic:pic>
              </a:graphicData>
            </a:graphic>
          </wp:inline>
        </w:drawing>
      </w:r>
      <w:r>
        <w:rPr>
          <w:rFonts w:ascii="Times New Roman" w:hAnsi="Times New Roman" w:cs="Times New Roman" w:eastAsia="Times New Roman" w:hint="default"/>
          <w:position w:val="-7"/>
          <w:sz w:val="20"/>
          <w:szCs w:val="20"/>
        </w:rPr>
      </w:r>
    </w:p>
    <w:tbl>
      <w:tblPr>
        <w:tblW w:w="0" w:type="auto"/>
        <w:jc w:val="left"/>
        <w:tblInd w:w="106" w:type="dxa"/>
        <w:tblLayout w:type="fixed"/>
        <w:tblCellMar>
          <w:top w:w="0" w:type="dxa"/>
          <w:left w:w="0" w:type="dxa"/>
          <w:bottom w:w="0" w:type="dxa"/>
          <w:right w:w="0" w:type="dxa"/>
        </w:tblCellMar>
        <w:tblLook w:val="01E0"/>
      </w:tblPr>
      <w:tblGrid>
        <w:gridCol w:w="2729"/>
        <w:gridCol w:w="1375"/>
        <w:gridCol w:w="1216"/>
        <w:gridCol w:w="2496"/>
        <w:gridCol w:w="965"/>
      </w:tblGrid>
      <w:tr>
        <w:trPr>
          <w:trHeight w:val="382" w:hRule="exact"/>
        </w:trPr>
        <w:tc>
          <w:tcPr>
            <w:tcW w:w="2729" w:type="dxa"/>
            <w:tcBorders>
              <w:top w:val="single" w:sz="6" w:space="0" w:color="000000"/>
              <w:left w:val="nil" w:sz="6" w:space="0" w:color="auto"/>
              <w:bottom w:val="single" w:sz="12" w:space="0" w:color="000000"/>
              <w:right w:val="nil" w:sz="6" w:space="0" w:color="auto"/>
            </w:tcBorders>
          </w:tcPr>
          <w:p>
            <w:pPr/>
          </w:p>
        </w:tc>
        <w:tc>
          <w:tcPr>
            <w:tcW w:w="1375" w:type="dxa"/>
            <w:tcBorders>
              <w:top w:val="single" w:sz="6" w:space="0" w:color="000000"/>
              <w:left w:val="nil" w:sz="6" w:space="0" w:color="auto"/>
              <w:bottom w:val="single" w:sz="12" w:space="0" w:color="000000"/>
              <w:right w:val="nil" w:sz="6" w:space="0" w:color="auto"/>
            </w:tcBorders>
          </w:tcPr>
          <w:p>
            <w:pPr/>
          </w:p>
        </w:tc>
        <w:tc>
          <w:tcPr>
            <w:tcW w:w="1216" w:type="dxa"/>
            <w:tcBorders>
              <w:top w:val="single" w:sz="6" w:space="0" w:color="000000"/>
              <w:left w:val="nil" w:sz="6" w:space="0" w:color="auto"/>
              <w:bottom w:val="single" w:sz="12" w:space="0" w:color="000000"/>
              <w:right w:val="nil" w:sz="6" w:space="0" w:color="auto"/>
            </w:tcBorders>
          </w:tcPr>
          <w:p>
            <w:pPr/>
          </w:p>
        </w:tc>
        <w:tc>
          <w:tcPr>
            <w:tcW w:w="2496" w:type="dxa"/>
            <w:tcBorders>
              <w:top w:val="single" w:sz="6" w:space="0" w:color="000000"/>
              <w:left w:val="nil" w:sz="6" w:space="0" w:color="auto"/>
              <w:bottom w:val="single" w:sz="12" w:space="0" w:color="000000"/>
              <w:right w:val="nil" w:sz="6" w:space="0" w:color="auto"/>
            </w:tcBorders>
          </w:tcPr>
          <w:p>
            <w:pPr/>
          </w:p>
        </w:tc>
        <w:tc>
          <w:tcPr>
            <w:tcW w:w="965" w:type="dxa"/>
            <w:tcBorders>
              <w:top w:val="single" w:sz="6" w:space="0" w:color="000000"/>
              <w:left w:val="nil" w:sz="6" w:space="0" w:color="auto"/>
              <w:bottom w:val="single" w:sz="12" w:space="0" w:color="000000"/>
              <w:right w:val="nil" w:sz="6" w:space="0" w:color="auto"/>
            </w:tcBorders>
          </w:tcPr>
          <w:p>
            <w:pPr/>
          </w:p>
        </w:tc>
      </w:tr>
      <w:tr>
        <w:trPr>
          <w:trHeight w:val="437" w:hRule="exact"/>
        </w:trPr>
        <w:tc>
          <w:tcPr>
            <w:tcW w:w="2729" w:type="dxa"/>
            <w:tcBorders>
              <w:top w:val="single" w:sz="12" w:space="0" w:color="000000"/>
              <w:left w:val="nil" w:sz="6" w:space="0" w:color="auto"/>
              <w:bottom w:val="single" w:sz="4" w:space="0" w:color="000000"/>
              <w:right w:val="nil" w:sz="6" w:space="0" w:color="auto"/>
            </w:tcBorders>
          </w:tcPr>
          <w:p>
            <w:pPr>
              <w:pStyle w:val="TableParagraph"/>
              <w:spacing w:line="240" w:lineRule="auto" w:before="79"/>
              <w:ind w:right="149"/>
              <w:jc w:val="center"/>
              <w:rPr>
                <w:rFonts w:ascii="宋体" w:hAnsi="宋体" w:cs="宋体" w:eastAsia="宋体" w:hint="default"/>
                <w:sz w:val="16"/>
                <w:szCs w:val="16"/>
              </w:rPr>
            </w:pPr>
            <w:r>
              <w:rPr>
                <w:rFonts w:ascii="宋体" w:hAnsi="宋体" w:cs="宋体" w:eastAsia="宋体" w:hint="default"/>
                <w:b/>
                <w:bCs/>
                <w:sz w:val="16"/>
                <w:szCs w:val="16"/>
              </w:rPr>
              <w:t>项目</w:t>
            </w:r>
            <w:r>
              <w:rPr>
                <w:rFonts w:ascii="宋体" w:hAnsi="宋体" w:cs="宋体" w:eastAsia="宋体" w:hint="default"/>
                <w:sz w:val="16"/>
                <w:szCs w:val="16"/>
              </w:rPr>
            </w:r>
          </w:p>
        </w:tc>
        <w:tc>
          <w:tcPr>
            <w:tcW w:w="1375" w:type="dxa"/>
            <w:tcBorders>
              <w:top w:val="single" w:sz="12" w:space="0" w:color="000000"/>
              <w:left w:val="nil" w:sz="6" w:space="0" w:color="auto"/>
              <w:bottom w:val="single" w:sz="4" w:space="0" w:color="000000"/>
              <w:right w:val="nil" w:sz="6" w:space="0" w:color="auto"/>
            </w:tcBorders>
          </w:tcPr>
          <w:p>
            <w:pPr>
              <w:pStyle w:val="TableParagraph"/>
              <w:spacing w:line="240" w:lineRule="auto" w:before="79"/>
              <w:ind w:right="155"/>
              <w:jc w:val="right"/>
              <w:rPr>
                <w:rFonts w:ascii="宋体" w:hAnsi="宋体" w:cs="宋体" w:eastAsia="宋体" w:hint="default"/>
                <w:sz w:val="16"/>
                <w:szCs w:val="16"/>
              </w:rPr>
            </w:pPr>
            <w:r>
              <w:rPr>
                <w:rFonts w:ascii="宋体" w:hAnsi="宋体" w:cs="宋体" w:eastAsia="宋体" w:hint="default"/>
                <w:b/>
                <w:bCs/>
                <w:sz w:val="16"/>
                <w:szCs w:val="16"/>
              </w:rPr>
              <w:t>本年发生额</w:t>
            </w:r>
            <w:r>
              <w:rPr>
                <w:rFonts w:ascii="宋体" w:hAnsi="宋体" w:cs="宋体" w:eastAsia="宋体" w:hint="default"/>
                <w:sz w:val="16"/>
                <w:szCs w:val="16"/>
              </w:rPr>
            </w:r>
          </w:p>
        </w:tc>
        <w:tc>
          <w:tcPr>
            <w:tcW w:w="1216" w:type="dxa"/>
            <w:tcBorders>
              <w:top w:val="single" w:sz="12" w:space="0" w:color="000000"/>
              <w:left w:val="nil" w:sz="6" w:space="0" w:color="auto"/>
              <w:bottom w:val="single" w:sz="4" w:space="0" w:color="000000"/>
              <w:right w:val="nil" w:sz="6" w:space="0" w:color="auto"/>
            </w:tcBorders>
          </w:tcPr>
          <w:p>
            <w:pPr>
              <w:pStyle w:val="TableParagraph"/>
              <w:spacing w:line="240" w:lineRule="auto" w:before="79"/>
              <w:ind w:right="57"/>
              <w:jc w:val="right"/>
              <w:rPr>
                <w:rFonts w:ascii="宋体" w:hAnsi="宋体" w:cs="宋体" w:eastAsia="宋体" w:hint="default"/>
                <w:sz w:val="16"/>
                <w:szCs w:val="16"/>
              </w:rPr>
            </w:pPr>
            <w:r>
              <w:rPr>
                <w:rFonts w:ascii="宋体" w:hAnsi="宋体" w:cs="宋体" w:eastAsia="宋体" w:hint="default"/>
                <w:b/>
                <w:bCs/>
                <w:sz w:val="16"/>
                <w:szCs w:val="16"/>
              </w:rPr>
              <w:t>上年发生额</w:t>
            </w:r>
            <w:r>
              <w:rPr>
                <w:rFonts w:ascii="宋体" w:hAnsi="宋体" w:cs="宋体" w:eastAsia="宋体" w:hint="default"/>
                <w:sz w:val="16"/>
                <w:szCs w:val="16"/>
              </w:rPr>
            </w:r>
          </w:p>
        </w:tc>
        <w:tc>
          <w:tcPr>
            <w:tcW w:w="2496" w:type="dxa"/>
            <w:tcBorders>
              <w:top w:val="single" w:sz="12" w:space="0" w:color="000000"/>
              <w:left w:val="nil" w:sz="6" w:space="0" w:color="auto"/>
              <w:bottom w:val="single" w:sz="4" w:space="0" w:color="000000"/>
              <w:right w:val="nil" w:sz="6" w:space="0" w:color="auto"/>
            </w:tcBorders>
          </w:tcPr>
          <w:p>
            <w:pPr>
              <w:pStyle w:val="TableParagraph"/>
              <w:spacing w:line="240" w:lineRule="auto" w:before="79"/>
              <w:ind w:right="5"/>
              <w:jc w:val="center"/>
              <w:rPr>
                <w:rFonts w:ascii="宋体" w:hAnsi="宋体" w:cs="宋体" w:eastAsia="宋体" w:hint="default"/>
                <w:sz w:val="16"/>
                <w:szCs w:val="16"/>
              </w:rPr>
            </w:pPr>
            <w:r>
              <w:rPr>
                <w:rFonts w:ascii="宋体" w:hAnsi="宋体" w:cs="宋体" w:eastAsia="宋体" w:hint="default"/>
                <w:b/>
                <w:bCs/>
                <w:sz w:val="16"/>
                <w:szCs w:val="16"/>
              </w:rPr>
              <w:t>来源和依据</w:t>
            </w:r>
            <w:r>
              <w:rPr>
                <w:rFonts w:ascii="宋体" w:hAnsi="宋体" w:cs="宋体" w:eastAsia="宋体" w:hint="default"/>
                <w:sz w:val="16"/>
                <w:szCs w:val="16"/>
              </w:rPr>
            </w:r>
          </w:p>
        </w:tc>
        <w:tc>
          <w:tcPr>
            <w:tcW w:w="965" w:type="dxa"/>
            <w:tcBorders>
              <w:top w:val="single" w:sz="12" w:space="0" w:color="000000"/>
              <w:left w:val="nil" w:sz="6" w:space="0" w:color="auto"/>
              <w:bottom w:val="single" w:sz="4" w:space="0" w:color="000000"/>
              <w:right w:val="nil" w:sz="6" w:space="0" w:color="auto"/>
            </w:tcBorders>
          </w:tcPr>
          <w:p>
            <w:pPr>
              <w:pStyle w:val="TableParagraph"/>
              <w:spacing w:line="190" w:lineRule="exact"/>
              <w:ind w:left="79" w:right="0" w:hanging="22"/>
              <w:jc w:val="left"/>
              <w:rPr>
                <w:rFonts w:ascii="Times New Roman" w:hAnsi="Times New Roman" w:cs="Times New Roman" w:eastAsia="Times New Roman" w:hint="default"/>
                <w:sz w:val="16"/>
                <w:szCs w:val="16"/>
              </w:rPr>
            </w:pPr>
            <w:r>
              <w:rPr>
                <w:rFonts w:ascii="宋体" w:hAnsi="宋体" w:cs="宋体" w:eastAsia="宋体" w:hint="default"/>
                <w:b/>
                <w:bCs/>
                <w:sz w:val="16"/>
                <w:szCs w:val="16"/>
              </w:rPr>
              <w:t>与资产相关</w:t>
            </w:r>
            <w:r>
              <w:rPr>
                <w:rFonts w:ascii="Times New Roman" w:hAnsi="Times New Roman" w:cs="Times New Roman" w:eastAsia="Times New Roman" w:hint="default"/>
                <w:b/>
                <w:bCs/>
                <w:sz w:val="16"/>
                <w:szCs w:val="16"/>
              </w:rPr>
              <w:t>/</w:t>
            </w:r>
            <w:r>
              <w:rPr>
                <w:rFonts w:ascii="Times New Roman" w:hAnsi="Times New Roman" w:cs="Times New Roman" w:eastAsia="Times New Roman" w:hint="default"/>
                <w:sz w:val="16"/>
                <w:szCs w:val="16"/>
              </w:rPr>
            </w:r>
          </w:p>
          <w:p>
            <w:pPr>
              <w:pStyle w:val="TableParagraph"/>
              <w:spacing w:line="202" w:lineRule="exact"/>
              <w:ind w:left="79" w:right="0"/>
              <w:jc w:val="left"/>
              <w:rPr>
                <w:rFonts w:ascii="宋体" w:hAnsi="宋体" w:cs="宋体" w:eastAsia="宋体" w:hint="default"/>
                <w:sz w:val="16"/>
                <w:szCs w:val="16"/>
              </w:rPr>
            </w:pPr>
            <w:r>
              <w:rPr>
                <w:rFonts w:ascii="宋体" w:hAnsi="宋体" w:cs="宋体" w:eastAsia="宋体" w:hint="default"/>
                <w:b/>
                <w:bCs/>
                <w:sz w:val="16"/>
                <w:szCs w:val="16"/>
              </w:rPr>
              <w:t>与收益相关</w:t>
            </w:r>
            <w:r>
              <w:rPr>
                <w:rFonts w:ascii="宋体" w:hAnsi="宋体" w:cs="宋体" w:eastAsia="宋体" w:hint="default"/>
                <w:sz w:val="16"/>
                <w:szCs w:val="16"/>
              </w:rPr>
            </w:r>
          </w:p>
        </w:tc>
      </w:tr>
      <w:tr>
        <w:trPr>
          <w:trHeight w:val="438" w:hRule="exact"/>
        </w:trPr>
        <w:tc>
          <w:tcPr>
            <w:tcW w:w="2729" w:type="dxa"/>
            <w:tcBorders>
              <w:top w:val="single" w:sz="4" w:space="0" w:color="000000"/>
              <w:left w:val="nil" w:sz="6" w:space="0" w:color="auto"/>
              <w:bottom w:val="nil" w:sz="6" w:space="0" w:color="auto"/>
              <w:right w:val="nil" w:sz="6" w:space="0" w:color="auto"/>
            </w:tcBorders>
          </w:tcPr>
          <w:p>
            <w:pPr>
              <w:pStyle w:val="TableParagraph"/>
              <w:spacing w:line="182" w:lineRule="exact"/>
              <w:ind w:left="69" w:right="0"/>
              <w:jc w:val="left"/>
              <w:rPr>
                <w:rFonts w:ascii="宋体" w:hAnsi="宋体" w:cs="宋体" w:eastAsia="宋体" w:hint="default"/>
                <w:sz w:val="16"/>
                <w:szCs w:val="16"/>
              </w:rPr>
            </w:pPr>
            <w:r>
              <w:rPr>
                <w:rFonts w:ascii="宋体" w:hAnsi="宋体" w:cs="宋体" w:eastAsia="宋体" w:hint="default"/>
                <w:sz w:val="16"/>
                <w:szCs w:val="16"/>
              </w:rPr>
              <w:t>高效环保型底环境温度空气源热泵</w:t>
            </w:r>
          </w:p>
          <w:p>
            <w:pPr>
              <w:pStyle w:val="TableParagraph"/>
              <w:spacing w:line="208" w:lineRule="exact"/>
              <w:ind w:left="69" w:right="0"/>
              <w:jc w:val="left"/>
              <w:rPr>
                <w:rFonts w:ascii="宋体" w:hAnsi="宋体" w:cs="宋体" w:eastAsia="宋体" w:hint="default"/>
                <w:sz w:val="16"/>
                <w:szCs w:val="16"/>
              </w:rPr>
            </w:pPr>
            <w:r>
              <w:rPr>
                <w:rFonts w:ascii="宋体" w:hAnsi="宋体" w:cs="宋体" w:eastAsia="宋体" w:hint="default"/>
                <w:sz w:val="16"/>
                <w:szCs w:val="16"/>
              </w:rPr>
              <w:t>机组研究及产业化</w:t>
            </w:r>
          </w:p>
        </w:tc>
        <w:tc>
          <w:tcPr>
            <w:tcW w:w="1375" w:type="dxa"/>
            <w:tcBorders>
              <w:top w:val="single" w:sz="4" w:space="0" w:color="000000"/>
              <w:left w:val="nil" w:sz="6" w:space="0" w:color="auto"/>
              <w:bottom w:val="nil" w:sz="6" w:space="0" w:color="auto"/>
              <w:right w:val="nil" w:sz="6" w:space="0" w:color="auto"/>
            </w:tcBorders>
          </w:tcPr>
          <w:p>
            <w:pPr>
              <w:pStyle w:val="TableParagraph"/>
              <w:spacing w:line="240" w:lineRule="auto" w:before="110"/>
              <w:ind w:right="155"/>
              <w:jc w:val="right"/>
              <w:rPr>
                <w:rFonts w:ascii="Times New Roman" w:hAnsi="Times New Roman" w:cs="Times New Roman" w:eastAsia="Times New Roman" w:hint="default"/>
                <w:sz w:val="16"/>
                <w:szCs w:val="16"/>
              </w:rPr>
            </w:pPr>
            <w:r>
              <w:rPr>
                <w:rFonts w:ascii="Times New Roman"/>
                <w:spacing w:val="-1"/>
                <w:sz w:val="16"/>
              </w:rPr>
              <w:t>1,800,000.00</w:t>
            </w:r>
          </w:p>
        </w:tc>
        <w:tc>
          <w:tcPr>
            <w:tcW w:w="1216" w:type="dxa"/>
            <w:tcBorders>
              <w:top w:val="single" w:sz="4" w:space="0" w:color="000000"/>
              <w:left w:val="nil" w:sz="6" w:space="0" w:color="auto"/>
              <w:bottom w:val="nil" w:sz="6" w:space="0" w:color="auto"/>
              <w:right w:val="nil" w:sz="6" w:space="0" w:color="auto"/>
            </w:tcBorders>
          </w:tcPr>
          <w:p>
            <w:pPr>
              <w:pStyle w:val="TableParagraph"/>
              <w:spacing w:line="240" w:lineRule="auto" w:before="110"/>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single" w:sz="4" w:space="0" w:color="000000"/>
              <w:left w:val="nil" w:sz="6" w:space="0" w:color="auto"/>
              <w:bottom w:val="nil" w:sz="6" w:space="0" w:color="auto"/>
              <w:right w:val="nil" w:sz="6" w:space="0" w:color="auto"/>
            </w:tcBorders>
          </w:tcPr>
          <w:p>
            <w:pPr>
              <w:pStyle w:val="TableParagraph"/>
              <w:spacing w:line="240" w:lineRule="auto" w:before="77"/>
              <w:ind w:left="57" w:right="0"/>
              <w:jc w:val="left"/>
              <w:rPr>
                <w:rFonts w:ascii="宋体" w:hAnsi="宋体" w:cs="宋体" w:eastAsia="宋体" w:hint="default"/>
                <w:sz w:val="16"/>
                <w:szCs w:val="16"/>
              </w:rPr>
            </w:pPr>
            <w:r>
              <w:rPr>
                <w:rFonts w:ascii="宋体" w:hAnsi="宋体" w:cs="宋体" w:eastAsia="宋体" w:hint="default"/>
                <w:sz w:val="16"/>
                <w:szCs w:val="16"/>
              </w:rPr>
              <w:t>北京市海淀区科学技术委员会</w:t>
            </w:r>
          </w:p>
        </w:tc>
        <w:tc>
          <w:tcPr>
            <w:tcW w:w="965" w:type="dxa"/>
            <w:tcBorders>
              <w:top w:val="single" w:sz="4" w:space="0" w:color="000000"/>
              <w:left w:val="nil" w:sz="6" w:space="0" w:color="auto"/>
              <w:bottom w:val="nil" w:sz="6" w:space="0" w:color="auto"/>
              <w:right w:val="nil" w:sz="6" w:space="0" w:color="auto"/>
            </w:tcBorders>
          </w:tcPr>
          <w:p>
            <w:pPr>
              <w:pStyle w:val="TableParagraph"/>
              <w:spacing w:line="240" w:lineRule="auto" w:before="77"/>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52"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04" w:lineRule="exact"/>
              <w:ind w:left="69" w:right="0"/>
              <w:jc w:val="left"/>
              <w:rPr>
                <w:rFonts w:ascii="宋体" w:hAnsi="宋体" w:cs="宋体" w:eastAsia="宋体" w:hint="default"/>
                <w:sz w:val="16"/>
                <w:szCs w:val="16"/>
              </w:rPr>
            </w:pPr>
            <w:r>
              <w:rPr>
                <w:rFonts w:ascii="宋体" w:hAnsi="宋体" w:cs="宋体" w:eastAsia="宋体" w:hint="default"/>
                <w:sz w:val="16"/>
                <w:szCs w:val="16"/>
              </w:rPr>
              <w:t>可信网络支付系统项目</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54"/>
              <w:jc w:val="right"/>
              <w:rPr>
                <w:rFonts w:ascii="Times New Roman" w:hAnsi="Times New Roman" w:cs="Times New Roman" w:eastAsia="Times New Roman" w:hint="default"/>
                <w:sz w:val="16"/>
                <w:szCs w:val="16"/>
              </w:rPr>
            </w:pPr>
            <w:r>
              <w:rPr>
                <w:rFonts w:ascii="Times New Roman"/>
                <w:spacing w:val="-1"/>
                <w:sz w:val="16"/>
              </w:rPr>
              <w:t>1,666,666.65</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57"/>
              <w:jc w:val="right"/>
              <w:rPr>
                <w:rFonts w:ascii="Times New Roman" w:hAnsi="Times New Roman" w:cs="Times New Roman" w:eastAsia="Times New Roman" w:hint="default"/>
                <w:sz w:val="16"/>
                <w:szCs w:val="16"/>
              </w:rPr>
            </w:pPr>
            <w:r>
              <w:rPr>
                <w:rFonts w:ascii="Times New Roman"/>
                <w:spacing w:val="-2"/>
                <w:sz w:val="16"/>
              </w:rPr>
              <w:t>1,666,666.67</w:t>
            </w:r>
          </w:p>
        </w:tc>
        <w:tc>
          <w:tcPr>
            <w:tcW w:w="2496" w:type="dxa"/>
            <w:tcBorders>
              <w:top w:val="nil" w:sz="6" w:space="0" w:color="auto"/>
              <w:left w:val="nil" w:sz="6" w:space="0" w:color="auto"/>
              <w:bottom w:val="nil" w:sz="6" w:space="0" w:color="auto"/>
              <w:right w:val="nil" w:sz="6" w:space="0" w:color="auto"/>
            </w:tcBorders>
          </w:tcPr>
          <w:p>
            <w:pPr>
              <w:pStyle w:val="TableParagraph"/>
              <w:spacing w:line="216" w:lineRule="exact"/>
              <w:ind w:left="57" w:right="0"/>
              <w:jc w:val="left"/>
              <w:rPr>
                <w:rFonts w:ascii="宋体" w:hAnsi="宋体" w:cs="宋体" w:eastAsia="宋体" w:hint="default"/>
                <w:sz w:val="16"/>
                <w:szCs w:val="16"/>
              </w:rPr>
            </w:pPr>
            <w:r>
              <w:rPr>
                <w:rFonts w:ascii="宋体" w:hAnsi="宋体" w:cs="宋体" w:eastAsia="宋体" w:hint="default"/>
                <w:sz w:val="16"/>
                <w:szCs w:val="16"/>
              </w:rPr>
              <w:t>发改办高技</w:t>
            </w:r>
            <w:r>
              <w:rPr>
                <w:rFonts w:ascii="Times New Roman" w:hAnsi="Times New Roman" w:cs="Times New Roman" w:eastAsia="Times New Roman" w:hint="default"/>
                <w:sz w:val="16"/>
                <w:szCs w:val="16"/>
              </w:rPr>
              <w:t>[2008]1736</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号</w:t>
            </w:r>
          </w:p>
        </w:tc>
        <w:tc>
          <w:tcPr>
            <w:tcW w:w="965" w:type="dxa"/>
            <w:tcBorders>
              <w:top w:val="nil" w:sz="6" w:space="0" w:color="auto"/>
              <w:left w:val="nil" w:sz="6" w:space="0" w:color="auto"/>
              <w:bottom w:val="nil" w:sz="6" w:space="0" w:color="auto"/>
              <w:right w:val="nil" w:sz="6" w:space="0" w:color="auto"/>
            </w:tcBorders>
          </w:tcPr>
          <w:p>
            <w:pPr>
              <w:pStyle w:val="TableParagraph"/>
              <w:spacing w:line="204" w:lineRule="exact"/>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430"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06" w:lineRule="exact" w:before="12"/>
              <w:ind w:left="69" w:right="216"/>
              <w:jc w:val="left"/>
              <w:rPr>
                <w:rFonts w:ascii="宋体" w:hAnsi="宋体" w:cs="宋体" w:eastAsia="宋体" w:hint="default"/>
                <w:sz w:val="16"/>
                <w:szCs w:val="16"/>
              </w:rPr>
            </w:pPr>
            <w:r>
              <w:rPr>
                <w:rFonts w:ascii="Times New Roman" w:hAnsi="Times New Roman" w:cs="Times New Roman" w:eastAsia="Times New Roman" w:hint="default"/>
                <w:sz w:val="16"/>
                <w:szCs w:val="16"/>
              </w:rPr>
              <w:t>DTMB </w:t>
            </w:r>
            <w:r>
              <w:rPr>
                <w:rFonts w:ascii="宋体" w:hAnsi="宋体" w:cs="宋体" w:eastAsia="宋体" w:hint="default"/>
                <w:sz w:val="16"/>
                <w:szCs w:val="16"/>
              </w:rPr>
              <w:t>和 </w:t>
            </w:r>
            <w:r>
              <w:rPr>
                <w:rFonts w:ascii="Times New Roman" w:hAnsi="Times New Roman" w:cs="Times New Roman" w:eastAsia="Times New Roman" w:hint="default"/>
                <w:sz w:val="16"/>
                <w:szCs w:val="16"/>
              </w:rPr>
              <w:t>DVB-C</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标准数字电视信</w:t>
            </w:r>
            <w:r>
              <w:rPr>
                <w:rFonts w:ascii="宋体" w:hAnsi="宋体" w:cs="宋体" w:eastAsia="宋体" w:hint="default"/>
                <w:w w:val="100"/>
                <w:sz w:val="16"/>
                <w:szCs w:val="16"/>
              </w:rPr>
              <w:t> </w:t>
            </w:r>
            <w:r>
              <w:rPr>
                <w:rFonts w:ascii="宋体" w:hAnsi="宋体" w:cs="宋体" w:eastAsia="宋体" w:hint="default"/>
                <w:sz w:val="16"/>
                <w:szCs w:val="16"/>
              </w:rPr>
              <w:t>道解调单芯片项目</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55"/>
              <w:jc w:val="right"/>
              <w:rPr>
                <w:rFonts w:ascii="Times New Roman" w:hAnsi="Times New Roman" w:cs="Times New Roman" w:eastAsia="Times New Roman" w:hint="default"/>
                <w:sz w:val="16"/>
                <w:szCs w:val="16"/>
              </w:rPr>
            </w:pPr>
            <w:r>
              <w:rPr>
                <w:rFonts w:ascii="Times New Roman"/>
                <w:spacing w:val="-1"/>
                <w:sz w:val="16"/>
              </w:rPr>
              <w:t>1,500,000.00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240" w:lineRule="auto" w:before="93"/>
              <w:ind w:left="57" w:right="0"/>
              <w:jc w:val="left"/>
              <w:rPr>
                <w:rFonts w:ascii="宋体" w:hAnsi="宋体" w:cs="宋体" w:eastAsia="宋体" w:hint="default"/>
                <w:sz w:val="16"/>
                <w:szCs w:val="16"/>
              </w:rPr>
            </w:pPr>
            <w:r>
              <w:rPr>
                <w:rFonts w:ascii="宋体" w:hAnsi="宋体" w:cs="宋体" w:eastAsia="宋体" w:hint="default"/>
                <w:sz w:val="16"/>
                <w:szCs w:val="16"/>
              </w:rPr>
              <w:t>电子信息产业发展基金</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3"/>
              <w:ind w:left="81" w:right="0"/>
              <w:jc w:val="left"/>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645"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183" w:lineRule="exact"/>
              <w:ind w:left="69" w:right="0"/>
              <w:jc w:val="left"/>
              <w:rPr>
                <w:rFonts w:ascii="宋体" w:hAnsi="宋体" w:cs="宋体" w:eastAsia="宋体" w:hint="default"/>
                <w:sz w:val="16"/>
                <w:szCs w:val="16"/>
              </w:rPr>
            </w:pPr>
            <w:r>
              <w:rPr>
                <w:rFonts w:ascii="宋体" w:hAnsi="宋体" w:cs="宋体" w:eastAsia="宋体" w:hint="default"/>
                <w:sz w:val="16"/>
                <w:szCs w:val="16"/>
              </w:rPr>
              <w:t>北京市半导体照明材料与器件工程</w:t>
            </w:r>
          </w:p>
          <w:p>
            <w:pPr>
              <w:pStyle w:val="TableParagraph"/>
              <w:spacing w:line="206" w:lineRule="exact" w:before="20"/>
              <w:ind w:left="69" w:right="214"/>
              <w:jc w:val="left"/>
              <w:rPr>
                <w:rFonts w:ascii="宋体" w:hAnsi="宋体" w:cs="宋体" w:eastAsia="宋体" w:hint="default"/>
                <w:sz w:val="16"/>
                <w:szCs w:val="16"/>
              </w:rPr>
            </w:pPr>
            <w:r>
              <w:rPr>
                <w:rFonts w:ascii="宋体" w:hAnsi="宋体" w:cs="宋体" w:eastAsia="宋体" w:hint="default"/>
                <w:sz w:val="16"/>
                <w:szCs w:val="16"/>
              </w:rPr>
              <w:t>技术研究中心 </w:t>
            </w:r>
            <w:r>
              <w:rPr>
                <w:rFonts w:ascii="Times New Roman" w:hAnsi="Times New Roman" w:cs="Times New Roman" w:eastAsia="Times New Roman" w:hint="default"/>
                <w:sz w:val="16"/>
                <w:szCs w:val="16"/>
              </w:rPr>
              <w:t>2013</w:t>
            </w:r>
            <w:r>
              <w:rPr>
                <w:rFonts w:ascii="Times New Roman" w:hAnsi="Times New Roman" w:cs="Times New Roman" w:eastAsia="Times New Roman" w:hint="default"/>
                <w:spacing w:val="22"/>
                <w:sz w:val="16"/>
                <w:szCs w:val="16"/>
              </w:rPr>
              <w:t> </w:t>
            </w:r>
            <w:r>
              <w:rPr>
                <w:rFonts w:ascii="宋体" w:hAnsi="宋体" w:cs="宋体" w:eastAsia="宋体" w:hint="default"/>
                <w:spacing w:val="2"/>
                <w:sz w:val="16"/>
                <w:szCs w:val="16"/>
              </w:rPr>
              <w:t>年度科技创新</w:t>
            </w:r>
            <w:r>
              <w:rPr>
                <w:rFonts w:ascii="宋体" w:hAnsi="宋体" w:cs="宋体" w:eastAsia="宋体" w:hint="default"/>
                <w:spacing w:val="2"/>
                <w:w w:val="100"/>
                <w:sz w:val="16"/>
                <w:szCs w:val="16"/>
              </w:rPr>
              <w:t> </w:t>
            </w:r>
            <w:r>
              <w:rPr>
                <w:rFonts w:ascii="宋体" w:hAnsi="宋体" w:cs="宋体" w:eastAsia="宋体" w:hint="default"/>
                <w:sz w:val="16"/>
                <w:szCs w:val="16"/>
              </w:rPr>
              <w:t>基地培育与发展工程专项款</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right="155"/>
              <w:jc w:val="right"/>
              <w:rPr>
                <w:rFonts w:ascii="Times New Roman" w:hAnsi="Times New Roman" w:cs="Times New Roman" w:eastAsia="Times New Roman" w:hint="default"/>
                <w:sz w:val="16"/>
                <w:szCs w:val="16"/>
              </w:rPr>
            </w:pPr>
            <w:r>
              <w:rPr>
                <w:rFonts w:ascii="Times New Roman"/>
                <w:spacing w:val="-1"/>
                <w:sz w:val="16"/>
              </w:rPr>
              <w:t>1,400,000.00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183" w:lineRule="exact"/>
              <w:ind w:left="57" w:right="0"/>
              <w:jc w:val="left"/>
              <w:rPr>
                <w:rFonts w:ascii="宋体" w:hAnsi="宋体" w:cs="宋体" w:eastAsia="宋体" w:hint="default"/>
                <w:sz w:val="16"/>
                <w:szCs w:val="16"/>
              </w:rPr>
            </w:pPr>
            <w:r>
              <w:rPr>
                <w:rFonts w:ascii="宋体" w:hAnsi="宋体" w:cs="宋体" w:eastAsia="宋体" w:hint="default"/>
                <w:spacing w:val="2"/>
                <w:sz w:val="16"/>
                <w:szCs w:val="16"/>
              </w:rPr>
              <w:t>北京市科学技术委员会</w:t>
            </w:r>
            <w:r>
              <w:rPr>
                <w:rFonts w:ascii="宋体" w:hAnsi="宋体" w:cs="宋体" w:eastAsia="宋体" w:hint="default"/>
                <w:spacing w:val="33"/>
                <w:sz w:val="16"/>
                <w:szCs w:val="16"/>
              </w:rPr>
              <w:t> </w:t>
            </w:r>
            <w:r>
              <w:rPr>
                <w:rFonts w:ascii="宋体" w:hAnsi="宋体" w:cs="宋体" w:eastAsia="宋体" w:hint="default"/>
                <w:sz w:val="16"/>
                <w:szCs w:val="16"/>
              </w:rPr>
              <w:t>北京市科</w:t>
            </w:r>
          </w:p>
          <w:p>
            <w:pPr>
              <w:pStyle w:val="TableParagraph"/>
              <w:spacing w:line="206" w:lineRule="exact"/>
              <w:ind w:left="57" w:right="0"/>
              <w:jc w:val="left"/>
              <w:rPr>
                <w:rFonts w:ascii="宋体" w:hAnsi="宋体" w:cs="宋体" w:eastAsia="宋体" w:hint="default"/>
                <w:sz w:val="16"/>
                <w:szCs w:val="16"/>
              </w:rPr>
            </w:pPr>
            <w:r>
              <w:rPr>
                <w:rFonts w:ascii="宋体" w:hAnsi="宋体" w:cs="宋体" w:eastAsia="宋体" w:hint="default"/>
                <w:sz w:val="16"/>
                <w:szCs w:val="16"/>
              </w:rPr>
              <w:t>技  专  项  工  作  任  务</w:t>
            </w:r>
            <w:r>
              <w:rPr>
                <w:rFonts w:ascii="宋体" w:hAnsi="宋体" w:cs="宋体" w:eastAsia="宋体" w:hint="default"/>
                <w:spacing w:val="58"/>
                <w:sz w:val="16"/>
                <w:szCs w:val="16"/>
              </w:rPr>
              <w:t> </w:t>
            </w:r>
            <w:r>
              <w:rPr>
                <w:rFonts w:ascii="宋体" w:hAnsi="宋体" w:cs="宋体" w:eastAsia="宋体" w:hint="default"/>
                <w:sz w:val="16"/>
                <w:szCs w:val="16"/>
              </w:rPr>
              <w:t>书</w:t>
            </w:r>
          </w:p>
          <w:p>
            <w:pPr>
              <w:pStyle w:val="TableParagraph"/>
              <w:spacing w:line="220" w:lineRule="exact"/>
              <w:ind w:left="57"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Z131109002813028</w:t>
            </w:r>
            <w:r>
              <w:rPr>
                <w:rFonts w:ascii="宋体" w:hAnsi="宋体" w:cs="宋体" w:eastAsia="宋体" w:hint="default"/>
                <w:sz w:val="16"/>
                <w:szCs w:val="16"/>
              </w:rPr>
              <w:t>）</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5"/>
                <w:szCs w:val="15"/>
              </w:rPr>
            </w:pPr>
          </w:p>
          <w:p>
            <w:pPr>
              <w:pStyle w:val="TableParagraph"/>
              <w:spacing w:line="240" w:lineRule="auto"/>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45"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199" w:lineRule="exact"/>
              <w:ind w:left="69" w:right="0"/>
              <w:jc w:val="left"/>
              <w:rPr>
                <w:rFonts w:ascii="宋体" w:hAnsi="宋体" w:cs="宋体" w:eastAsia="宋体" w:hint="default"/>
                <w:sz w:val="16"/>
                <w:szCs w:val="16"/>
              </w:rPr>
            </w:pPr>
            <w:r>
              <w:rPr>
                <w:rFonts w:ascii="宋体" w:hAnsi="宋体" w:cs="宋体" w:eastAsia="宋体" w:hint="default"/>
                <w:sz w:val="16"/>
                <w:szCs w:val="16"/>
              </w:rPr>
              <w:t>双冷源温湿分控节能空调系统</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5"/>
              <w:jc w:val="right"/>
              <w:rPr>
                <w:rFonts w:ascii="Times New Roman" w:hAnsi="Times New Roman" w:cs="Times New Roman" w:eastAsia="Times New Roman" w:hint="default"/>
                <w:sz w:val="16"/>
                <w:szCs w:val="16"/>
              </w:rPr>
            </w:pPr>
            <w:r>
              <w:rPr>
                <w:rFonts w:ascii="Times New Roman"/>
                <w:spacing w:val="-1"/>
                <w:sz w:val="16"/>
              </w:rPr>
              <w:t>1,387,080.00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199" w:lineRule="exact"/>
              <w:ind w:left="57" w:right="0"/>
              <w:jc w:val="left"/>
              <w:rPr>
                <w:rFonts w:ascii="宋体" w:hAnsi="宋体" w:cs="宋体" w:eastAsia="宋体" w:hint="default"/>
                <w:sz w:val="16"/>
                <w:szCs w:val="16"/>
              </w:rPr>
            </w:pPr>
            <w:r>
              <w:rPr>
                <w:rFonts w:ascii="宋体" w:hAnsi="宋体" w:cs="宋体" w:eastAsia="宋体" w:hint="default"/>
                <w:sz w:val="16"/>
                <w:szCs w:val="16"/>
              </w:rPr>
              <w:t>科学技术部</w:t>
            </w:r>
          </w:p>
        </w:tc>
        <w:tc>
          <w:tcPr>
            <w:tcW w:w="965" w:type="dxa"/>
            <w:tcBorders>
              <w:top w:val="nil" w:sz="6" w:space="0" w:color="auto"/>
              <w:left w:val="nil" w:sz="6" w:space="0" w:color="auto"/>
              <w:bottom w:val="nil" w:sz="6" w:space="0" w:color="auto"/>
              <w:right w:val="nil" w:sz="6" w:space="0" w:color="auto"/>
            </w:tcBorders>
          </w:tcPr>
          <w:p>
            <w:pPr>
              <w:pStyle w:val="TableParagraph"/>
              <w:spacing w:line="199" w:lineRule="exact"/>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432"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06" w:lineRule="exact" w:before="14"/>
              <w:ind w:left="69" w:right="218"/>
              <w:jc w:val="left"/>
              <w:rPr>
                <w:rFonts w:ascii="宋体" w:hAnsi="宋体" w:cs="宋体" w:eastAsia="宋体" w:hint="default"/>
                <w:sz w:val="16"/>
                <w:szCs w:val="16"/>
              </w:rPr>
            </w:pPr>
            <w:r>
              <w:rPr>
                <w:rFonts w:ascii="宋体" w:hAnsi="宋体" w:cs="宋体" w:eastAsia="宋体" w:hint="default"/>
                <w:sz w:val="16"/>
                <w:szCs w:val="16"/>
              </w:rPr>
              <w:t>北京社会服务之窗信息资源平台研</w:t>
            </w:r>
            <w:r>
              <w:rPr>
                <w:rFonts w:ascii="宋体" w:hAnsi="宋体" w:cs="宋体" w:eastAsia="宋体" w:hint="default"/>
                <w:spacing w:val="-45"/>
                <w:sz w:val="16"/>
                <w:szCs w:val="16"/>
              </w:rPr>
              <w:t> </w:t>
            </w:r>
            <w:r>
              <w:rPr>
                <w:rFonts w:ascii="宋体" w:hAnsi="宋体" w:cs="宋体" w:eastAsia="宋体" w:hint="default"/>
                <w:spacing w:val="-45"/>
                <w:sz w:val="16"/>
                <w:szCs w:val="16"/>
              </w:rPr>
            </w:r>
            <w:r>
              <w:rPr>
                <w:rFonts w:ascii="宋体" w:hAnsi="宋体" w:cs="宋体" w:eastAsia="宋体" w:hint="default"/>
                <w:sz w:val="16"/>
                <w:szCs w:val="16"/>
              </w:rPr>
              <w:t>发及示范应用</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55"/>
              <w:jc w:val="right"/>
              <w:rPr>
                <w:rFonts w:ascii="Times New Roman" w:hAnsi="Times New Roman" w:cs="Times New Roman" w:eastAsia="Times New Roman" w:hint="default"/>
                <w:sz w:val="16"/>
                <w:szCs w:val="16"/>
              </w:rPr>
            </w:pPr>
            <w:r>
              <w:rPr>
                <w:rFonts w:ascii="Times New Roman"/>
                <w:spacing w:val="-1"/>
                <w:sz w:val="16"/>
              </w:rPr>
              <w:t>1,250,000.00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57" w:right="0"/>
              <w:jc w:val="left"/>
              <w:rPr>
                <w:rFonts w:ascii="宋体" w:hAnsi="宋体" w:cs="宋体" w:eastAsia="宋体" w:hint="default"/>
                <w:sz w:val="16"/>
                <w:szCs w:val="16"/>
              </w:rPr>
            </w:pPr>
            <w:r>
              <w:rPr>
                <w:rFonts w:ascii="宋体" w:hAnsi="宋体" w:cs="宋体" w:eastAsia="宋体" w:hint="default"/>
                <w:sz w:val="16"/>
                <w:szCs w:val="16"/>
              </w:rPr>
              <w:t>北京市科学技术委员会</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5"/>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415"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189" w:lineRule="exact"/>
              <w:ind w:left="69" w:right="0"/>
              <w:jc w:val="left"/>
              <w:rPr>
                <w:rFonts w:ascii="宋体" w:hAnsi="宋体" w:cs="宋体" w:eastAsia="宋体" w:hint="default"/>
                <w:sz w:val="16"/>
                <w:szCs w:val="16"/>
              </w:rPr>
            </w:pPr>
            <w:r>
              <w:rPr>
                <w:rFonts w:ascii="宋体" w:hAnsi="宋体" w:cs="宋体" w:eastAsia="宋体" w:hint="default"/>
                <w:sz w:val="16"/>
                <w:szCs w:val="16"/>
              </w:rPr>
              <w:t>高性能</w:t>
            </w:r>
            <w:r>
              <w:rPr>
                <w:rFonts w:ascii="宋体" w:hAnsi="宋体" w:cs="宋体" w:eastAsia="宋体" w:hint="default"/>
                <w:spacing w:val="-57"/>
                <w:sz w:val="16"/>
                <w:szCs w:val="16"/>
              </w:rPr>
              <w:t> </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17"/>
                <w:sz w:val="16"/>
                <w:szCs w:val="16"/>
              </w:rPr>
              <w:t> </w:t>
            </w:r>
            <w:r>
              <w:rPr>
                <w:rFonts w:ascii="宋体" w:hAnsi="宋体" w:cs="宋体" w:eastAsia="宋体" w:hint="default"/>
                <w:sz w:val="16"/>
                <w:szCs w:val="16"/>
              </w:rPr>
              <w:t>氧化铝陶瓷基板及材料</w:t>
            </w:r>
          </w:p>
          <w:p>
            <w:pPr>
              <w:pStyle w:val="TableParagraph"/>
              <w:spacing w:line="202" w:lineRule="exact"/>
              <w:ind w:left="69" w:right="0"/>
              <w:jc w:val="left"/>
              <w:rPr>
                <w:rFonts w:ascii="宋体" w:hAnsi="宋体" w:cs="宋体" w:eastAsia="宋体" w:hint="default"/>
                <w:sz w:val="16"/>
                <w:szCs w:val="16"/>
              </w:rPr>
            </w:pPr>
            <w:r>
              <w:rPr>
                <w:rFonts w:ascii="宋体" w:hAnsi="宋体" w:cs="宋体" w:eastAsia="宋体" w:hint="default"/>
                <w:sz w:val="16"/>
                <w:szCs w:val="16"/>
              </w:rPr>
              <w:t>的研发和产业化</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55"/>
              <w:jc w:val="right"/>
              <w:rPr>
                <w:rFonts w:ascii="Times New Roman" w:hAnsi="Times New Roman" w:cs="Times New Roman" w:eastAsia="Times New Roman" w:hint="default"/>
                <w:sz w:val="16"/>
                <w:szCs w:val="16"/>
              </w:rPr>
            </w:pPr>
            <w:r>
              <w:rPr>
                <w:rFonts w:ascii="Times New Roman"/>
                <w:spacing w:val="-1"/>
                <w:sz w:val="16"/>
              </w:rPr>
              <w:t>1,000,000.00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240" w:lineRule="auto" w:before="78"/>
              <w:ind w:left="57" w:right="0"/>
              <w:jc w:val="left"/>
              <w:rPr>
                <w:rFonts w:ascii="宋体" w:hAnsi="宋体" w:cs="宋体" w:eastAsia="宋体" w:hint="default"/>
                <w:sz w:val="16"/>
                <w:szCs w:val="16"/>
              </w:rPr>
            </w:pPr>
            <w:r>
              <w:rPr>
                <w:rFonts w:ascii="宋体" w:hAnsi="宋体" w:cs="宋体" w:eastAsia="宋体" w:hint="default"/>
                <w:sz w:val="16"/>
                <w:szCs w:val="16"/>
              </w:rPr>
              <w:t>临财教（</w:t>
            </w:r>
            <w:r>
              <w:rPr>
                <w:rFonts w:ascii="Times New Roman" w:hAnsi="Times New Roman" w:cs="Times New Roman" w:eastAsia="Times New Roman" w:hint="default"/>
                <w:sz w:val="16"/>
                <w:szCs w:val="16"/>
              </w:rPr>
              <w:t>2014</w:t>
            </w:r>
            <w:r>
              <w:rPr>
                <w:rFonts w:ascii="宋体" w:hAnsi="宋体" w:cs="宋体" w:eastAsia="宋体" w:hint="default"/>
                <w:sz w:val="16"/>
                <w:szCs w:val="16"/>
              </w:rPr>
              <w:t>）</w:t>
            </w:r>
            <w:r>
              <w:rPr>
                <w:rFonts w:ascii="Times New Roman" w:hAnsi="Times New Roman" w:cs="Times New Roman" w:eastAsia="Times New Roman" w:hint="default"/>
                <w:sz w:val="16"/>
                <w:szCs w:val="16"/>
              </w:rPr>
              <w:t>39</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号</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78"/>
              <w:ind w:left="81" w:right="0"/>
              <w:jc w:val="left"/>
              <w:rPr>
                <w:rFonts w:ascii="宋体" w:hAnsi="宋体" w:cs="宋体" w:eastAsia="宋体" w:hint="default"/>
                <w:sz w:val="16"/>
                <w:szCs w:val="16"/>
              </w:rPr>
            </w:pPr>
            <w:r>
              <w:rPr>
                <w:rFonts w:ascii="宋体" w:hAnsi="宋体" w:cs="宋体" w:eastAsia="宋体" w:hint="default"/>
                <w:sz w:val="16"/>
                <w:szCs w:val="16"/>
              </w:rPr>
              <w:t>以收益相关</w:t>
            </w:r>
          </w:p>
        </w:tc>
      </w:tr>
      <w:tr>
        <w:trPr>
          <w:trHeight w:val="414"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40" w:lineRule="auto" w:before="78"/>
              <w:ind w:left="69" w:right="0"/>
              <w:jc w:val="left"/>
              <w:rPr>
                <w:rFonts w:ascii="宋体" w:hAnsi="宋体" w:cs="宋体" w:eastAsia="宋体" w:hint="default"/>
                <w:sz w:val="16"/>
                <w:szCs w:val="16"/>
              </w:rPr>
            </w:pPr>
            <w:r>
              <w:rPr>
                <w:rFonts w:ascii="宋体" w:hAnsi="宋体" w:cs="宋体" w:eastAsia="宋体" w:hint="default"/>
                <w:sz w:val="16"/>
                <w:szCs w:val="16"/>
              </w:rPr>
              <w:t>公共服务平台项目</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55"/>
              <w:jc w:val="right"/>
              <w:rPr>
                <w:rFonts w:ascii="Times New Roman" w:hAnsi="Times New Roman" w:cs="Times New Roman" w:eastAsia="Times New Roman" w:hint="default"/>
                <w:sz w:val="16"/>
                <w:szCs w:val="16"/>
              </w:rPr>
            </w:pPr>
            <w:r>
              <w:rPr>
                <w:rFonts w:ascii="Times New Roman"/>
                <w:spacing w:val="-1"/>
                <w:sz w:val="16"/>
              </w:rPr>
              <w:t>1,000,000.00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189" w:lineRule="exact"/>
              <w:ind w:left="57" w:right="0"/>
              <w:jc w:val="left"/>
              <w:rPr>
                <w:rFonts w:ascii="宋体" w:hAnsi="宋体" w:cs="宋体" w:eastAsia="宋体" w:hint="default"/>
                <w:sz w:val="16"/>
                <w:szCs w:val="16"/>
              </w:rPr>
            </w:pPr>
            <w:r>
              <w:rPr>
                <w:rFonts w:ascii="宋体" w:hAnsi="宋体" w:cs="宋体" w:eastAsia="宋体" w:hint="default"/>
                <w:sz w:val="16"/>
                <w:szCs w:val="16"/>
              </w:rPr>
              <w:t>关于申报 </w:t>
            </w:r>
            <w:r>
              <w:rPr>
                <w:rFonts w:ascii="Times New Roman" w:hAnsi="Times New Roman" w:cs="Times New Roman" w:eastAsia="Times New Roman" w:hint="default"/>
                <w:sz w:val="16"/>
                <w:szCs w:val="16"/>
              </w:rPr>
              <w:t>2014</w:t>
            </w:r>
            <w:r>
              <w:rPr>
                <w:rFonts w:ascii="Times New Roman" w:hAnsi="Times New Roman" w:cs="Times New Roman" w:eastAsia="Times New Roman" w:hint="default"/>
                <w:spacing w:val="12"/>
                <w:sz w:val="16"/>
                <w:szCs w:val="16"/>
              </w:rPr>
              <w:t> </w:t>
            </w:r>
            <w:r>
              <w:rPr>
                <w:rFonts w:ascii="宋体" w:hAnsi="宋体" w:cs="宋体" w:eastAsia="宋体" w:hint="default"/>
                <w:sz w:val="16"/>
                <w:szCs w:val="16"/>
              </w:rPr>
              <w:t>年度沈阳市外经贸</w:t>
            </w:r>
          </w:p>
          <w:p>
            <w:pPr>
              <w:pStyle w:val="TableParagraph"/>
              <w:spacing w:line="202" w:lineRule="exact"/>
              <w:ind w:left="57" w:right="0"/>
              <w:jc w:val="left"/>
              <w:rPr>
                <w:rFonts w:ascii="宋体" w:hAnsi="宋体" w:cs="宋体" w:eastAsia="宋体" w:hint="default"/>
                <w:sz w:val="16"/>
                <w:szCs w:val="16"/>
              </w:rPr>
            </w:pPr>
            <w:r>
              <w:rPr>
                <w:rFonts w:ascii="宋体" w:hAnsi="宋体" w:cs="宋体" w:eastAsia="宋体" w:hint="default"/>
                <w:sz w:val="16"/>
                <w:szCs w:val="16"/>
              </w:rPr>
              <w:t>发展专项资金项目的通知</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78"/>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416"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69" w:right="0"/>
              <w:jc w:val="left"/>
              <w:rPr>
                <w:rFonts w:ascii="宋体" w:hAnsi="宋体" w:cs="宋体" w:eastAsia="宋体" w:hint="default"/>
                <w:sz w:val="16"/>
                <w:szCs w:val="16"/>
              </w:rPr>
            </w:pPr>
            <w:r>
              <w:rPr>
                <w:rFonts w:ascii="宋体" w:hAnsi="宋体" w:cs="宋体" w:eastAsia="宋体" w:hint="default"/>
                <w:sz w:val="16"/>
                <w:szCs w:val="16"/>
              </w:rPr>
              <w:t>开拓国际市场产品认证服务费</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55"/>
              <w:jc w:val="right"/>
              <w:rPr>
                <w:rFonts w:ascii="Times New Roman" w:hAnsi="Times New Roman" w:cs="Times New Roman" w:eastAsia="Times New Roman" w:hint="default"/>
                <w:sz w:val="16"/>
                <w:szCs w:val="16"/>
              </w:rPr>
            </w:pPr>
            <w:r>
              <w:rPr>
                <w:rFonts w:ascii="Times New Roman"/>
                <w:spacing w:val="-1"/>
                <w:sz w:val="16"/>
              </w:rPr>
              <w:t>1,000,000.00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190" w:lineRule="exact"/>
              <w:ind w:left="57" w:right="0"/>
              <w:jc w:val="left"/>
              <w:rPr>
                <w:rFonts w:ascii="宋体" w:hAnsi="宋体" w:cs="宋体" w:eastAsia="宋体" w:hint="default"/>
                <w:sz w:val="16"/>
                <w:szCs w:val="16"/>
              </w:rPr>
            </w:pPr>
            <w:r>
              <w:rPr>
                <w:rFonts w:ascii="宋体" w:hAnsi="宋体" w:cs="宋体" w:eastAsia="宋体" w:hint="default"/>
                <w:sz w:val="16"/>
                <w:szCs w:val="16"/>
              </w:rPr>
              <w:t>关于申报 </w:t>
            </w:r>
            <w:r>
              <w:rPr>
                <w:rFonts w:ascii="Times New Roman" w:hAnsi="Times New Roman" w:cs="Times New Roman" w:eastAsia="Times New Roman" w:hint="default"/>
                <w:sz w:val="16"/>
                <w:szCs w:val="16"/>
              </w:rPr>
              <w:t>2014</w:t>
            </w:r>
            <w:r>
              <w:rPr>
                <w:rFonts w:ascii="Times New Roman" w:hAnsi="Times New Roman" w:cs="Times New Roman" w:eastAsia="Times New Roman" w:hint="default"/>
                <w:spacing w:val="12"/>
                <w:sz w:val="16"/>
                <w:szCs w:val="16"/>
              </w:rPr>
              <w:t> </w:t>
            </w:r>
            <w:r>
              <w:rPr>
                <w:rFonts w:ascii="宋体" w:hAnsi="宋体" w:cs="宋体" w:eastAsia="宋体" w:hint="default"/>
                <w:sz w:val="16"/>
                <w:szCs w:val="16"/>
              </w:rPr>
              <w:t>年度沈阳市外经贸</w:t>
            </w:r>
          </w:p>
          <w:p>
            <w:pPr>
              <w:pStyle w:val="TableParagraph"/>
              <w:spacing w:line="203" w:lineRule="exact"/>
              <w:ind w:left="57" w:right="0"/>
              <w:jc w:val="left"/>
              <w:rPr>
                <w:rFonts w:ascii="宋体" w:hAnsi="宋体" w:cs="宋体" w:eastAsia="宋体" w:hint="default"/>
                <w:sz w:val="16"/>
                <w:szCs w:val="16"/>
              </w:rPr>
            </w:pPr>
            <w:r>
              <w:rPr>
                <w:rFonts w:ascii="宋体" w:hAnsi="宋体" w:cs="宋体" w:eastAsia="宋体" w:hint="default"/>
                <w:sz w:val="16"/>
                <w:szCs w:val="16"/>
              </w:rPr>
              <w:t>发展专项资金项目的通知</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79"/>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434"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183" w:lineRule="exact"/>
              <w:ind w:left="69" w:right="0"/>
              <w:jc w:val="left"/>
              <w:rPr>
                <w:rFonts w:ascii="宋体" w:hAnsi="宋体" w:cs="宋体" w:eastAsia="宋体" w:hint="default"/>
                <w:sz w:val="16"/>
                <w:szCs w:val="16"/>
              </w:rPr>
            </w:pPr>
            <w:r>
              <w:rPr>
                <w:rFonts w:ascii="宋体" w:hAnsi="宋体" w:cs="宋体" w:eastAsia="宋体" w:hint="default"/>
                <w:sz w:val="16"/>
                <w:szCs w:val="16"/>
              </w:rPr>
              <w:t>中关村科技园区海淀园管委会重大</w:t>
            </w:r>
          </w:p>
          <w:p>
            <w:pPr>
              <w:pStyle w:val="TableParagraph"/>
              <w:spacing w:line="209" w:lineRule="exact"/>
              <w:ind w:left="69" w:right="0"/>
              <w:jc w:val="left"/>
              <w:rPr>
                <w:rFonts w:ascii="宋体" w:hAnsi="宋体" w:cs="宋体" w:eastAsia="宋体" w:hint="default"/>
                <w:sz w:val="16"/>
                <w:szCs w:val="16"/>
              </w:rPr>
            </w:pPr>
            <w:r>
              <w:rPr>
                <w:rFonts w:ascii="宋体" w:hAnsi="宋体" w:cs="宋体" w:eastAsia="宋体" w:hint="default"/>
                <w:sz w:val="16"/>
                <w:szCs w:val="16"/>
              </w:rPr>
              <w:t>产业专项资金</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55"/>
              <w:jc w:val="right"/>
              <w:rPr>
                <w:rFonts w:ascii="Times New Roman" w:hAnsi="Times New Roman" w:cs="Times New Roman" w:eastAsia="Times New Roman" w:hint="default"/>
                <w:sz w:val="16"/>
                <w:szCs w:val="16"/>
              </w:rPr>
            </w:pPr>
            <w:r>
              <w:rPr>
                <w:rFonts w:ascii="Times New Roman"/>
                <w:spacing w:val="-1"/>
                <w:sz w:val="16"/>
              </w:rPr>
              <w:t>1,000,000.00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2496"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7" w:right="0"/>
              <w:jc w:val="left"/>
              <w:rPr>
                <w:rFonts w:ascii="宋体" w:hAnsi="宋体" w:cs="宋体" w:eastAsia="宋体" w:hint="default"/>
                <w:sz w:val="16"/>
                <w:szCs w:val="16"/>
              </w:rPr>
            </w:pPr>
            <w:r>
              <w:rPr>
                <w:rFonts w:ascii="宋体" w:hAnsi="宋体" w:cs="宋体" w:eastAsia="宋体" w:hint="default"/>
                <w:sz w:val="16"/>
                <w:szCs w:val="16"/>
              </w:rPr>
              <w:t>中关村科技园区海淀园管委会</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79"/>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48"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03" w:lineRule="exact"/>
              <w:ind w:left="69" w:right="0"/>
              <w:jc w:val="left"/>
              <w:rPr>
                <w:rFonts w:ascii="宋体" w:hAnsi="宋体" w:cs="宋体" w:eastAsia="宋体" w:hint="default"/>
                <w:sz w:val="16"/>
                <w:szCs w:val="16"/>
              </w:rPr>
            </w:pPr>
            <w:r>
              <w:rPr>
                <w:rFonts w:ascii="宋体" w:hAnsi="宋体" w:cs="宋体" w:eastAsia="宋体" w:hint="default"/>
                <w:sz w:val="16"/>
                <w:szCs w:val="16"/>
              </w:rPr>
              <w:t>专利资助金</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57"/>
              <w:jc w:val="right"/>
              <w:rPr>
                <w:rFonts w:ascii="Times New Roman" w:hAnsi="Times New Roman" w:cs="Times New Roman" w:eastAsia="Times New Roman" w:hint="default"/>
                <w:sz w:val="16"/>
                <w:szCs w:val="16"/>
              </w:rPr>
            </w:pPr>
            <w:r>
              <w:rPr>
                <w:rFonts w:ascii="Times New Roman"/>
                <w:spacing w:val="-2"/>
                <w:sz w:val="16"/>
              </w:rPr>
              <w:t>601,300.00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55"/>
              <w:jc w:val="right"/>
              <w:rPr>
                <w:rFonts w:ascii="Times New Roman" w:hAnsi="Times New Roman" w:cs="Times New Roman" w:eastAsia="Times New Roman" w:hint="default"/>
                <w:sz w:val="16"/>
                <w:szCs w:val="16"/>
              </w:rPr>
            </w:pPr>
            <w:r>
              <w:rPr>
                <w:rFonts w:ascii="Times New Roman"/>
                <w:spacing w:val="-1"/>
                <w:sz w:val="16"/>
              </w:rPr>
              <w:t>4,469,440.00</w:t>
            </w:r>
          </w:p>
        </w:tc>
        <w:tc>
          <w:tcPr>
            <w:tcW w:w="2496" w:type="dxa"/>
            <w:tcBorders>
              <w:top w:val="nil" w:sz="6" w:space="0" w:color="auto"/>
              <w:left w:val="nil" w:sz="6" w:space="0" w:color="auto"/>
              <w:bottom w:val="nil" w:sz="6" w:space="0" w:color="auto"/>
              <w:right w:val="nil" w:sz="6" w:space="0" w:color="auto"/>
            </w:tcBorders>
          </w:tcPr>
          <w:p>
            <w:pPr>
              <w:pStyle w:val="TableParagraph"/>
              <w:spacing w:line="203" w:lineRule="exact"/>
              <w:ind w:left="57" w:right="0"/>
              <w:jc w:val="left"/>
              <w:rPr>
                <w:rFonts w:ascii="宋体" w:hAnsi="宋体" w:cs="宋体" w:eastAsia="宋体" w:hint="default"/>
                <w:sz w:val="16"/>
                <w:szCs w:val="16"/>
              </w:rPr>
            </w:pPr>
            <w:r>
              <w:rPr>
                <w:rFonts w:ascii="宋体" w:hAnsi="宋体" w:cs="宋体" w:eastAsia="宋体" w:hint="default"/>
                <w:sz w:val="16"/>
                <w:szCs w:val="16"/>
              </w:rPr>
              <w:t>国家知识产权局</w:t>
            </w:r>
          </w:p>
        </w:tc>
        <w:tc>
          <w:tcPr>
            <w:tcW w:w="965" w:type="dxa"/>
            <w:tcBorders>
              <w:top w:val="nil" w:sz="6" w:space="0" w:color="auto"/>
              <w:left w:val="nil" w:sz="6" w:space="0" w:color="auto"/>
              <w:bottom w:val="nil" w:sz="6" w:space="0" w:color="auto"/>
              <w:right w:val="nil" w:sz="6" w:space="0" w:color="auto"/>
            </w:tcBorders>
          </w:tcPr>
          <w:p>
            <w:pPr>
              <w:pStyle w:val="TableParagraph"/>
              <w:spacing w:line="203" w:lineRule="exact"/>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437"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06" w:lineRule="exact" w:before="14"/>
              <w:ind w:left="69" w:right="216"/>
              <w:jc w:val="left"/>
              <w:rPr>
                <w:rFonts w:ascii="宋体" w:hAnsi="宋体" w:cs="宋体" w:eastAsia="宋体" w:hint="default"/>
                <w:sz w:val="16"/>
                <w:szCs w:val="16"/>
              </w:rPr>
            </w:pPr>
            <w:r>
              <w:rPr>
                <w:rFonts w:ascii="宋体" w:hAnsi="宋体" w:cs="宋体" w:eastAsia="宋体" w:hint="default"/>
                <w:sz w:val="16"/>
                <w:szCs w:val="16"/>
              </w:rPr>
              <w:t>超大尺寸</w:t>
            </w:r>
            <w:r>
              <w:rPr>
                <w:rFonts w:ascii="宋体" w:hAnsi="宋体" w:cs="宋体" w:eastAsia="宋体" w:hint="default"/>
                <w:spacing w:val="-57"/>
                <w:sz w:val="16"/>
                <w:szCs w:val="16"/>
              </w:rPr>
              <w:t> </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17"/>
                <w:sz w:val="16"/>
                <w:szCs w:val="16"/>
              </w:rPr>
              <w:t> </w:t>
            </w:r>
            <w:r>
              <w:rPr>
                <w:rFonts w:ascii="宋体" w:hAnsi="宋体" w:cs="宋体" w:eastAsia="宋体" w:hint="default"/>
                <w:sz w:val="16"/>
                <w:szCs w:val="16"/>
              </w:rPr>
              <w:t>背光一体机产业化项</w:t>
            </w:r>
            <w:r>
              <w:rPr>
                <w:rFonts w:ascii="宋体" w:hAnsi="宋体" w:cs="宋体" w:eastAsia="宋体" w:hint="default"/>
                <w:w w:val="100"/>
                <w:sz w:val="16"/>
                <w:szCs w:val="16"/>
              </w:rPr>
              <w:t> </w:t>
            </w:r>
            <w:r>
              <w:rPr>
                <w:rFonts w:ascii="宋体" w:hAnsi="宋体" w:cs="宋体" w:eastAsia="宋体" w:hint="default"/>
                <w:sz w:val="16"/>
                <w:szCs w:val="16"/>
              </w:rPr>
              <w:t>目补贴</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55"/>
              <w:jc w:val="right"/>
              <w:rPr>
                <w:rFonts w:ascii="Times New Roman" w:hAnsi="Times New Roman" w:cs="Times New Roman" w:eastAsia="Times New Roman" w:hint="default"/>
                <w:sz w:val="16"/>
                <w:szCs w:val="16"/>
              </w:rPr>
            </w:pPr>
            <w:r>
              <w:rPr>
                <w:rFonts w:ascii="Times New Roman"/>
                <w:spacing w:val="-1"/>
                <w:sz w:val="16"/>
              </w:rPr>
              <w:t>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55"/>
              <w:jc w:val="right"/>
              <w:rPr>
                <w:rFonts w:ascii="Times New Roman" w:hAnsi="Times New Roman" w:cs="Times New Roman" w:eastAsia="Times New Roman" w:hint="default"/>
                <w:sz w:val="16"/>
                <w:szCs w:val="16"/>
              </w:rPr>
            </w:pPr>
            <w:r>
              <w:rPr>
                <w:rFonts w:ascii="Times New Roman"/>
                <w:spacing w:val="-1"/>
                <w:sz w:val="16"/>
              </w:rPr>
              <w:t>7,000,000.00</w:t>
            </w:r>
          </w:p>
        </w:tc>
        <w:tc>
          <w:tcPr>
            <w:tcW w:w="2496" w:type="dxa"/>
            <w:tcBorders>
              <w:top w:val="nil" w:sz="6" w:space="0" w:color="auto"/>
              <w:left w:val="nil" w:sz="6" w:space="0" w:color="auto"/>
              <w:bottom w:val="nil" w:sz="6" w:space="0" w:color="auto"/>
              <w:right w:val="nil" w:sz="6" w:space="0" w:color="auto"/>
            </w:tcBorders>
          </w:tcPr>
          <w:p>
            <w:pPr>
              <w:pStyle w:val="TableParagraph"/>
              <w:spacing w:line="206" w:lineRule="exact"/>
              <w:ind w:left="57" w:right="0"/>
              <w:jc w:val="left"/>
              <w:rPr>
                <w:rFonts w:ascii="宋体" w:hAnsi="宋体" w:cs="宋体" w:eastAsia="宋体" w:hint="default"/>
                <w:sz w:val="16"/>
                <w:szCs w:val="16"/>
              </w:rPr>
            </w:pPr>
            <w:r>
              <w:rPr>
                <w:rFonts w:ascii="宋体" w:hAnsi="宋体" w:cs="宋体" w:eastAsia="宋体" w:hint="default"/>
                <w:sz w:val="16"/>
                <w:szCs w:val="16"/>
              </w:rPr>
              <w:t>沈财指企</w:t>
            </w:r>
            <w:r>
              <w:rPr>
                <w:rFonts w:ascii="Times New Roman" w:hAnsi="Times New Roman" w:cs="Times New Roman" w:eastAsia="Times New Roman" w:hint="default"/>
                <w:sz w:val="16"/>
                <w:szCs w:val="16"/>
              </w:rPr>
              <w:t>[2014]1422 </w:t>
            </w:r>
            <w:r>
              <w:rPr>
                <w:rFonts w:ascii="宋体" w:hAnsi="宋体" w:cs="宋体" w:eastAsia="宋体" w:hint="default"/>
                <w:spacing w:val="-3"/>
                <w:sz w:val="16"/>
                <w:szCs w:val="16"/>
              </w:rPr>
              <w:t>号、沈经信发</w:t>
            </w:r>
          </w:p>
          <w:p>
            <w:pPr>
              <w:pStyle w:val="TableParagraph"/>
              <w:spacing w:line="214" w:lineRule="exact"/>
              <w:ind w:left="5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[2014]129</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号</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5"/>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618"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69" w:right="0"/>
              <w:jc w:val="left"/>
              <w:rPr>
                <w:rFonts w:ascii="宋体" w:hAnsi="宋体" w:cs="宋体" w:eastAsia="宋体" w:hint="default"/>
                <w:sz w:val="16"/>
                <w:szCs w:val="16"/>
              </w:rPr>
            </w:pPr>
            <w:r>
              <w:rPr>
                <w:rFonts w:ascii="宋体" w:hAnsi="宋体" w:cs="宋体" w:eastAsia="宋体" w:hint="default"/>
                <w:sz w:val="16"/>
                <w:szCs w:val="16"/>
              </w:rPr>
              <w:t>热泵技术在船舶领域的应用研究</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155"/>
              <w:jc w:val="right"/>
              <w:rPr>
                <w:rFonts w:ascii="Times New Roman" w:hAnsi="Times New Roman" w:cs="Times New Roman" w:eastAsia="Times New Roman" w:hint="default"/>
                <w:sz w:val="16"/>
                <w:szCs w:val="16"/>
              </w:rPr>
            </w:pPr>
            <w:r>
              <w:rPr>
                <w:rFonts w:ascii="Times New Roman"/>
                <w:spacing w:val="-1"/>
                <w:sz w:val="16"/>
              </w:rPr>
              <w:t>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55"/>
              <w:jc w:val="right"/>
              <w:rPr>
                <w:rFonts w:ascii="Times New Roman" w:hAnsi="Times New Roman" w:cs="Times New Roman" w:eastAsia="Times New Roman" w:hint="default"/>
                <w:sz w:val="16"/>
                <w:szCs w:val="16"/>
              </w:rPr>
            </w:pPr>
            <w:r>
              <w:rPr>
                <w:rFonts w:ascii="Times New Roman"/>
                <w:spacing w:val="-1"/>
                <w:sz w:val="16"/>
              </w:rPr>
              <w:t>5,923,050.00</w:t>
            </w:r>
          </w:p>
        </w:tc>
        <w:tc>
          <w:tcPr>
            <w:tcW w:w="2496" w:type="dxa"/>
            <w:tcBorders>
              <w:top w:val="nil" w:sz="6" w:space="0" w:color="auto"/>
              <w:left w:val="nil" w:sz="6" w:space="0" w:color="auto"/>
              <w:bottom w:val="nil" w:sz="6" w:space="0" w:color="auto"/>
              <w:right w:val="nil" w:sz="6" w:space="0" w:color="auto"/>
            </w:tcBorders>
          </w:tcPr>
          <w:p>
            <w:pPr>
              <w:pStyle w:val="TableParagraph"/>
              <w:spacing w:line="185" w:lineRule="exact"/>
              <w:ind w:left="57" w:right="0"/>
              <w:jc w:val="left"/>
              <w:rPr>
                <w:rFonts w:ascii="宋体" w:hAnsi="宋体" w:cs="宋体" w:eastAsia="宋体" w:hint="default"/>
                <w:sz w:val="16"/>
                <w:szCs w:val="16"/>
              </w:rPr>
            </w:pPr>
            <w:r>
              <w:rPr>
                <w:rFonts w:ascii="宋体" w:hAnsi="宋体" w:cs="宋体" w:eastAsia="宋体" w:hint="default"/>
                <w:spacing w:val="2"/>
                <w:sz w:val="16"/>
                <w:szCs w:val="16"/>
              </w:rPr>
              <w:t>国家高技术船舶科研项目</w:t>
            </w:r>
            <w:r>
              <w:rPr>
                <w:rFonts w:ascii="Times New Roman" w:hAnsi="Times New Roman" w:cs="Times New Roman" w:eastAsia="Times New Roman" w:hint="default"/>
                <w:spacing w:val="2"/>
                <w:sz w:val="16"/>
                <w:szCs w:val="16"/>
              </w:rPr>
              <w:t>“</w:t>
            </w:r>
            <w:r>
              <w:rPr>
                <w:rFonts w:ascii="宋体" w:hAnsi="宋体" w:cs="宋体" w:eastAsia="宋体" w:hint="default"/>
                <w:spacing w:val="2"/>
                <w:sz w:val="16"/>
                <w:szCs w:val="16"/>
              </w:rPr>
              <w:t>热泵技</w:t>
            </w:r>
          </w:p>
          <w:p>
            <w:pPr>
              <w:pStyle w:val="TableParagraph"/>
              <w:spacing w:line="208" w:lineRule="exact" w:before="13"/>
              <w:ind w:left="57" w:right="59"/>
              <w:jc w:val="left"/>
              <w:rPr>
                <w:rFonts w:ascii="宋体" w:hAnsi="宋体" w:cs="宋体" w:eastAsia="宋体" w:hint="default"/>
                <w:sz w:val="16"/>
                <w:szCs w:val="16"/>
              </w:rPr>
            </w:pPr>
            <w:r>
              <w:rPr>
                <w:rFonts w:ascii="宋体" w:hAnsi="宋体" w:cs="宋体" w:eastAsia="宋体" w:hint="default"/>
                <w:spacing w:val="2"/>
                <w:sz w:val="16"/>
                <w:szCs w:val="16"/>
              </w:rPr>
              <w:t>术在船舶领域的应用研究</w:t>
            </w:r>
            <w:r>
              <w:rPr>
                <w:rFonts w:ascii="Times New Roman" w:hAnsi="Times New Roman" w:cs="Times New Roman" w:eastAsia="Times New Roman" w:hint="default"/>
                <w:spacing w:val="2"/>
                <w:sz w:val="16"/>
                <w:szCs w:val="16"/>
              </w:rPr>
              <w:t>”</w:t>
            </w:r>
            <w:r>
              <w:rPr>
                <w:rFonts w:ascii="宋体" w:hAnsi="宋体" w:cs="宋体" w:eastAsia="宋体" w:hint="default"/>
                <w:spacing w:val="2"/>
                <w:sz w:val="16"/>
                <w:szCs w:val="16"/>
              </w:rPr>
              <w:t>专题评</w:t>
            </w:r>
            <w:r>
              <w:rPr>
                <w:rFonts w:ascii="宋体" w:hAnsi="宋体" w:cs="宋体" w:eastAsia="宋体" w:hint="default"/>
                <w:spacing w:val="-50"/>
                <w:sz w:val="16"/>
                <w:szCs w:val="16"/>
              </w:rPr>
              <w:t> </w:t>
            </w:r>
            <w:r>
              <w:rPr>
                <w:rFonts w:ascii="宋体" w:hAnsi="宋体" w:cs="宋体" w:eastAsia="宋体" w:hint="default"/>
                <w:spacing w:val="-50"/>
                <w:sz w:val="16"/>
                <w:szCs w:val="16"/>
              </w:rPr>
            </w:r>
            <w:r>
              <w:rPr>
                <w:rFonts w:ascii="宋体" w:hAnsi="宋体" w:cs="宋体" w:eastAsia="宋体" w:hint="default"/>
                <w:sz w:val="16"/>
                <w:szCs w:val="16"/>
              </w:rPr>
              <w:t>审会评审意见</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81" w:right="0"/>
              <w:jc w:val="left"/>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415"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183" w:lineRule="exact"/>
              <w:ind w:left="69" w:right="0"/>
              <w:jc w:val="left"/>
              <w:rPr>
                <w:rFonts w:ascii="宋体" w:hAnsi="宋体" w:cs="宋体" w:eastAsia="宋体" w:hint="default"/>
                <w:sz w:val="16"/>
                <w:szCs w:val="16"/>
              </w:rPr>
            </w:pPr>
            <w:r>
              <w:rPr>
                <w:rFonts w:ascii="宋体" w:hAnsi="宋体" w:cs="宋体" w:eastAsia="宋体" w:hint="default"/>
                <w:sz w:val="16"/>
                <w:szCs w:val="16"/>
              </w:rPr>
              <w:t>中小企业专用安全电脑研发及产业</w:t>
            </w:r>
          </w:p>
          <w:p>
            <w:pPr>
              <w:pStyle w:val="TableParagraph"/>
              <w:spacing w:line="209" w:lineRule="exact"/>
              <w:ind w:left="69" w:right="0"/>
              <w:jc w:val="left"/>
              <w:rPr>
                <w:rFonts w:ascii="宋体" w:hAnsi="宋体" w:cs="宋体" w:eastAsia="宋体" w:hint="default"/>
                <w:sz w:val="16"/>
                <w:szCs w:val="16"/>
              </w:rPr>
            </w:pPr>
            <w:r>
              <w:rPr>
                <w:rFonts w:ascii="宋体" w:hAnsi="宋体" w:cs="宋体" w:eastAsia="宋体" w:hint="default"/>
                <w:w w:val="100"/>
                <w:sz w:val="16"/>
                <w:szCs w:val="16"/>
              </w:rPr>
              <w:t>化</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55"/>
              <w:jc w:val="right"/>
              <w:rPr>
                <w:rFonts w:ascii="Times New Roman" w:hAnsi="Times New Roman" w:cs="Times New Roman" w:eastAsia="Times New Roman" w:hint="default"/>
                <w:sz w:val="16"/>
                <w:szCs w:val="16"/>
              </w:rPr>
            </w:pPr>
            <w:r>
              <w:rPr>
                <w:rFonts w:ascii="Times New Roman"/>
                <w:spacing w:val="-1"/>
                <w:sz w:val="16"/>
              </w:rPr>
              <w:t>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55"/>
              <w:jc w:val="right"/>
              <w:rPr>
                <w:rFonts w:ascii="Times New Roman" w:hAnsi="Times New Roman" w:cs="Times New Roman" w:eastAsia="Times New Roman" w:hint="default"/>
                <w:sz w:val="16"/>
                <w:szCs w:val="16"/>
              </w:rPr>
            </w:pPr>
            <w:r>
              <w:rPr>
                <w:rFonts w:ascii="Times New Roman"/>
                <w:spacing w:val="-1"/>
                <w:sz w:val="16"/>
              </w:rPr>
              <w:t>3,250,000.00</w:t>
            </w:r>
          </w:p>
        </w:tc>
        <w:tc>
          <w:tcPr>
            <w:tcW w:w="2496"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7" w:right="0"/>
              <w:jc w:val="left"/>
              <w:rPr>
                <w:rFonts w:ascii="宋体" w:hAnsi="宋体" w:cs="宋体" w:eastAsia="宋体" w:hint="default"/>
                <w:sz w:val="16"/>
                <w:szCs w:val="16"/>
              </w:rPr>
            </w:pPr>
            <w:r>
              <w:rPr>
                <w:rFonts w:ascii="宋体" w:hAnsi="宋体" w:cs="宋体" w:eastAsia="宋体" w:hint="default"/>
                <w:sz w:val="16"/>
                <w:szCs w:val="16"/>
              </w:rPr>
              <w:t>京财经一指</w:t>
            </w:r>
            <w:r>
              <w:rPr>
                <w:rFonts w:ascii="Times New Roman" w:hAnsi="Times New Roman" w:cs="Times New Roman" w:eastAsia="Times New Roman" w:hint="default"/>
                <w:sz w:val="16"/>
                <w:szCs w:val="16"/>
              </w:rPr>
              <w:t>[2009]871</w:t>
            </w:r>
            <w:r>
              <w:rPr>
                <w:rFonts w:ascii="宋体" w:hAnsi="宋体" w:cs="宋体" w:eastAsia="宋体" w:hint="default"/>
                <w:sz w:val="16"/>
                <w:szCs w:val="16"/>
              </w:rPr>
              <w:t>、</w:t>
            </w:r>
            <w:r>
              <w:rPr>
                <w:rFonts w:ascii="Times New Roman" w:hAnsi="Times New Roman" w:cs="Times New Roman" w:eastAsia="Times New Roman" w:hint="default"/>
                <w:sz w:val="16"/>
                <w:szCs w:val="16"/>
              </w:rPr>
              <w:t>877</w:t>
            </w:r>
            <w:r>
              <w:rPr>
                <w:rFonts w:ascii="Times New Roman" w:hAnsi="Times New Roman" w:cs="Times New Roman" w:eastAsia="Times New Roman" w:hint="default"/>
                <w:spacing w:val="-6"/>
                <w:sz w:val="16"/>
                <w:szCs w:val="16"/>
              </w:rPr>
              <w:t> </w:t>
            </w:r>
            <w:r>
              <w:rPr>
                <w:rFonts w:ascii="宋体" w:hAnsi="宋体" w:cs="宋体" w:eastAsia="宋体" w:hint="default"/>
                <w:sz w:val="16"/>
                <w:szCs w:val="16"/>
              </w:rPr>
              <w:t>号</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79"/>
              <w:ind w:left="81" w:right="0"/>
              <w:jc w:val="left"/>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627"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left="69" w:right="0"/>
              <w:jc w:val="left"/>
              <w:rPr>
                <w:rFonts w:ascii="宋体" w:hAnsi="宋体" w:cs="宋体" w:eastAsia="宋体" w:hint="default"/>
                <w:sz w:val="16"/>
                <w:szCs w:val="16"/>
              </w:rPr>
            </w:pPr>
            <w:r>
              <w:rPr>
                <w:rFonts w:ascii="宋体" w:hAnsi="宋体" w:cs="宋体" w:eastAsia="宋体" w:hint="default"/>
                <w:sz w:val="16"/>
                <w:szCs w:val="16"/>
              </w:rPr>
              <w:t>灾后重建及应急科技支撑体系建设</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right="155"/>
              <w:jc w:val="right"/>
              <w:rPr>
                <w:rFonts w:ascii="Times New Roman" w:hAnsi="Times New Roman" w:cs="Times New Roman" w:eastAsia="Times New Roman" w:hint="default"/>
                <w:sz w:val="16"/>
                <w:szCs w:val="16"/>
              </w:rPr>
            </w:pPr>
            <w:r>
              <w:rPr>
                <w:rFonts w:ascii="Times New Roman"/>
                <w:spacing w:val="-1"/>
                <w:sz w:val="16"/>
              </w:rPr>
              <w:t>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right="55"/>
              <w:jc w:val="right"/>
              <w:rPr>
                <w:rFonts w:ascii="Times New Roman" w:hAnsi="Times New Roman" w:cs="Times New Roman" w:eastAsia="Times New Roman" w:hint="default"/>
                <w:sz w:val="16"/>
                <w:szCs w:val="16"/>
              </w:rPr>
            </w:pPr>
            <w:r>
              <w:rPr>
                <w:rFonts w:ascii="Times New Roman"/>
                <w:spacing w:val="-1"/>
                <w:sz w:val="16"/>
              </w:rPr>
              <w:t>3,120,600.00</w:t>
            </w:r>
          </w:p>
        </w:tc>
        <w:tc>
          <w:tcPr>
            <w:tcW w:w="2496" w:type="dxa"/>
            <w:tcBorders>
              <w:top w:val="nil" w:sz="6" w:space="0" w:color="auto"/>
              <w:left w:val="nil" w:sz="6" w:space="0" w:color="auto"/>
              <w:bottom w:val="nil" w:sz="6" w:space="0" w:color="auto"/>
              <w:right w:val="nil" w:sz="6" w:space="0" w:color="auto"/>
            </w:tcBorders>
          </w:tcPr>
          <w:p>
            <w:pPr>
              <w:pStyle w:val="TableParagraph"/>
              <w:spacing w:line="183" w:lineRule="exact"/>
              <w:ind w:left="57" w:right="0"/>
              <w:jc w:val="left"/>
              <w:rPr>
                <w:rFonts w:ascii="宋体" w:hAnsi="宋体" w:cs="宋体" w:eastAsia="宋体" w:hint="default"/>
                <w:sz w:val="16"/>
                <w:szCs w:val="16"/>
              </w:rPr>
            </w:pPr>
            <w:r>
              <w:rPr>
                <w:rFonts w:ascii="宋体" w:hAnsi="宋体" w:cs="宋体" w:eastAsia="宋体" w:hint="default"/>
                <w:sz w:val="16"/>
                <w:szCs w:val="16"/>
              </w:rPr>
              <w:t>北京市科学技术委员会课题</w:t>
            </w:r>
          </w:p>
          <w:p>
            <w:pPr>
              <w:pStyle w:val="TableParagraph"/>
              <w:spacing w:line="206" w:lineRule="exact" w:before="21"/>
              <w:ind w:left="57" w:right="136"/>
              <w:jc w:val="left"/>
              <w:rPr>
                <w:rFonts w:ascii="宋体" w:hAnsi="宋体" w:cs="宋体" w:eastAsia="宋体" w:hint="default"/>
                <w:sz w:val="16"/>
                <w:szCs w:val="16"/>
              </w:rPr>
            </w:pPr>
            <w:r>
              <w:rPr>
                <w:rFonts w:ascii="宋体" w:hAnsi="宋体" w:cs="宋体" w:eastAsia="宋体" w:hint="default"/>
                <w:sz w:val="16"/>
                <w:szCs w:val="16"/>
              </w:rPr>
              <w:t>（课题编号</w:t>
            </w:r>
            <w:r>
              <w:rPr>
                <w:rFonts w:ascii="宋体" w:hAnsi="宋体" w:cs="宋体" w:eastAsia="宋体" w:hint="default"/>
                <w:spacing w:val="-50"/>
                <w:sz w:val="16"/>
                <w:szCs w:val="16"/>
              </w:rPr>
              <w:t> </w:t>
            </w:r>
            <w:r>
              <w:rPr>
                <w:rFonts w:ascii="Times New Roman" w:hAnsi="Times New Roman" w:cs="Times New Roman" w:eastAsia="Times New Roman" w:hint="default"/>
                <w:sz w:val="16"/>
                <w:szCs w:val="16"/>
              </w:rPr>
              <w:t>Z121100000112010</w:t>
            </w:r>
            <w:r>
              <w:rPr>
                <w:rFonts w:ascii="宋体" w:hAnsi="宋体" w:cs="宋体" w:eastAsia="宋体" w:hint="default"/>
                <w:sz w:val="16"/>
                <w:szCs w:val="16"/>
              </w:rPr>
              <w:t>、</w:t>
            </w:r>
            <w:r>
              <w:rPr>
                <w:rFonts w:ascii="宋体" w:hAnsi="宋体" w:cs="宋体" w:eastAsia="宋体" w:hint="default"/>
                <w:w w:val="100"/>
                <w:sz w:val="16"/>
                <w:szCs w:val="16"/>
              </w:rPr>
              <w:t> </w:t>
            </w:r>
            <w:r>
              <w:rPr>
                <w:rFonts w:ascii="Times New Roman" w:hAnsi="Times New Roman" w:cs="Times New Roman" w:eastAsia="Times New Roman" w:hint="default"/>
                <w:sz w:val="16"/>
                <w:szCs w:val="16"/>
              </w:rPr>
              <w:t>Z121100000112011</w:t>
            </w:r>
            <w:r>
              <w:rPr>
                <w:rFonts w:ascii="宋体" w:hAnsi="宋体" w:cs="宋体" w:eastAsia="宋体" w:hint="default"/>
                <w:sz w:val="16"/>
                <w:szCs w:val="16"/>
              </w:rPr>
              <w:t>）</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430"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185" w:lineRule="exact"/>
              <w:ind w:left="69"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2014</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年北京市高新技术成果转化项</w:t>
            </w:r>
          </w:p>
          <w:p>
            <w:pPr>
              <w:pStyle w:val="TableParagraph"/>
              <w:spacing w:line="202" w:lineRule="exact"/>
              <w:ind w:left="69" w:right="0"/>
              <w:jc w:val="left"/>
              <w:rPr>
                <w:rFonts w:ascii="宋体" w:hAnsi="宋体" w:cs="宋体" w:eastAsia="宋体" w:hint="default"/>
                <w:sz w:val="16"/>
                <w:szCs w:val="16"/>
              </w:rPr>
            </w:pPr>
            <w:r>
              <w:rPr>
                <w:rFonts w:ascii="宋体" w:hAnsi="宋体" w:cs="宋体" w:eastAsia="宋体" w:hint="default"/>
                <w:w w:val="100"/>
                <w:sz w:val="16"/>
                <w:szCs w:val="16"/>
              </w:rPr>
              <w:t>目</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55"/>
              <w:jc w:val="right"/>
              <w:rPr>
                <w:rFonts w:ascii="Times New Roman" w:hAnsi="Times New Roman" w:cs="Times New Roman" w:eastAsia="Times New Roman" w:hint="default"/>
                <w:sz w:val="16"/>
                <w:szCs w:val="16"/>
              </w:rPr>
            </w:pPr>
            <w:r>
              <w:rPr>
                <w:rFonts w:ascii="Times New Roman"/>
                <w:spacing w:val="-1"/>
                <w:sz w:val="16"/>
              </w:rPr>
              <w:t>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5"/>
              <w:jc w:val="right"/>
              <w:rPr>
                <w:rFonts w:ascii="Times New Roman" w:hAnsi="Times New Roman" w:cs="Times New Roman" w:eastAsia="Times New Roman" w:hint="default"/>
                <w:sz w:val="16"/>
                <w:szCs w:val="16"/>
              </w:rPr>
            </w:pPr>
            <w:r>
              <w:rPr>
                <w:rFonts w:ascii="Times New Roman"/>
                <w:spacing w:val="-1"/>
                <w:sz w:val="16"/>
              </w:rPr>
              <w:t>3,000,000.00</w:t>
            </w:r>
          </w:p>
        </w:tc>
        <w:tc>
          <w:tcPr>
            <w:tcW w:w="249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57" w:right="0"/>
              <w:jc w:val="left"/>
              <w:rPr>
                <w:rFonts w:ascii="宋体" w:hAnsi="宋体" w:cs="宋体" w:eastAsia="宋体" w:hint="default"/>
                <w:sz w:val="16"/>
                <w:szCs w:val="16"/>
              </w:rPr>
            </w:pPr>
            <w:r>
              <w:rPr>
                <w:rFonts w:ascii="宋体" w:hAnsi="宋体" w:cs="宋体" w:eastAsia="宋体" w:hint="default"/>
                <w:sz w:val="16"/>
                <w:szCs w:val="16"/>
              </w:rPr>
              <w:t>北京市科学技术委员会</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81" w:right="0"/>
              <w:jc w:val="left"/>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251"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16" w:lineRule="exact"/>
              <w:ind w:left="69"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2014</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年度外经贸产业发展</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55"/>
              <w:jc w:val="right"/>
              <w:rPr>
                <w:rFonts w:ascii="Times New Roman" w:hAnsi="Times New Roman" w:cs="Times New Roman" w:eastAsia="Times New Roman" w:hint="default"/>
                <w:sz w:val="16"/>
                <w:szCs w:val="16"/>
              </w:rPr>
            </w:pPr>
            <w:r>
              <w:rPr>
                <w:rFonts w:ascii="Times New Roman"/>
                <w:spacing w:val="-1"/>
                <w:sz w:val="16"/>
              </w:rPr>
              <w:t>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55"/>
              <w:jc w:val="right"/>
              <w:rPr>
                <w:rFonts w:ascii="Times New Roman" w:hAnsi="Times New Roman" w:cs="Times New Roman" w:eastAsia="Times New Roman" w:hint="default"/>
                <w:sz w:val="16"/>
                <w:szCs w:val="16"/>
              </w:rPr>
            </w:pPr>
            <w:r>
              <w:rPr>
                <w:rFonts w:ascii="Times New Roman"/>
                <w:spacing w:val="-1"/>
                <w:sz w:val="16"/>
              </w:rPr>
              <w:t>2,938,400.00</w:t>
            </w:r>
          </w:p>
        </w:tc>
        <w:tc>
          <w:tcPr>
            <w:tcW w:w="2496" w:type="dxa"/>
            <w:tcBorders>
              <w:top w:val="nil" w:sz="6" w:space="0" w:color="auto"/>
              <w:left w:val="nil" w:sz="6" w:space="0" w:color="auto"/>
              <w:bottom w:val="nil" w:sz="6" w:space="0" w:color="auto"/>
              <w:right w:val="nil" w:sz="6" w:space="0" w:color="auto"/>
            </w:tcBorders>
          </w:tcPr>
          <w:p>
            <w:pPr>
              <w:pStyle w:val="TableParagraph"/>
              <w:spacing w:line="204" w:lineRule="exact"/>
              <w:ind w:left="57" w:right="0"/>
              <w:jc w:val="left"/>
              <w:rPr>
                <w:rFonts w:ascii="宋体" w:hAnsi="宋体" w:cs="宋体" w:eastAsia="宋体" w:hint="default"/>
                <w:sz w:val="16"/>
                <w:szCs w:val="16"/>
              </w:rPr>
            </w:pPr>
            <w:r>
              <w:rPr>
                <w:rFonts w:ascii="宋体" w:hAnsi="宋体" w:cs="宋体" w:eastAsia="宋体" w:hint="default"/>
                <w:sz w:val="16"/>
                <w:szCs w:val="16"/>
              </w:rPr>
              <w:t>沈阳市外经贸发展专项资金</w:t>
            </w:r>
          </w:p>
        </w:tc>
        <w:tc>
          <w:tcPr>
            <w:tcW w:w="965" w:type="dxa"/>
            <w:tcBorders>
              <w:top w:val="nil" w:sz="6" w:space="0" w:color="auto"/>
              <w:left w:val="nil" w:sz="6" w:space="0" w:color="auto"/>
              <w:bottom w:val="nil" w:sz="6" w:space="0" w:color="auto"/>
              <w:right w:val="nil" w:sz="6" w:space="0" w:color="auto"/>
            </w:tcBorders>
          </w:tcPr>
          <w:p>
            <w:pPr>
              <w:pStyle w:val="TableParagraph"/>
              <w:spacing w:line="204" w:lineRule="exact"/>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865"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17"/>
              <w:ind w:left="69" w:right="0"/>
              <w:jc w:val="left"/>
              <w:rPr>
                <w:rFonts w:ascii="宋体" w:hAnsi="宋体" w:cs="宋体" w:eastAsia="宋体" w:hint="default"/>
                <w:sz w:val="16"/>
                <w:szCs w:val="16"/>
              </w:rPr>
            </w:pPr>
            <w:r>
              <w:rPr>
                <w:rFonts w:ascii="宋体" w:hAnsi="宋体" w:cs="宋体" w:eastAsia="宋体" w:hint="default"/>
                <w:sz w:val="16"/>
                <w:szCs w:val="16"/>
              </w:rPr>
              <w:t>望奎项目财政节能奖励</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0"/>
              <w:ind w:right="0"/>
              <w:jc w:val="left"/>
              <w:rPr>
                <w:rFonts w:ascii="Times New Roman" w:hAnsi="Times New Roman" w:cs="Times New Roman" w:eastAsia="Times New Roman" w:hint="default"/>
                <w:sz w:val="13"/>
                <w:szCs w:val="13"/>
              </w:rPr>
            </w:pPr>
          </w:p>
          <w:p>
            <w:pPr>
              <w:pStyle w:val="TableParagraph"/>
              <w:spacing w:line="240" w:lineRule="auto"/>
              <w:ind w:right="155"/>
              <w:jc w:val="right"/>
              <w:rPr>
                <w:rFonts w:ascii="Times New Roman" w:hAnsi="Times New Roman" w:cs="Times New Roman" w:eastAsia="Times New Roman" w:hint="default"/>
                <w:sz w:val="16"/>
                <w:szCs w:val="16"/>
              </w:rPr>
            </w:pPr>
            <w:r>
              <w:rPr>
                <w:rFonts w:ascii="Times New Roman"/>
                <w:spacing w:val="-1"/>
                <w:sz w:val="16"/>
              </w:rPr>
              <w:t>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0"/>
              <w:ind w:right="0"/>
              <w:jc w:val="left"/>
              <w:rPr>
                <w:rFonts w:ascii="Times New Roman" w:hAnsi="Times New Roman" w:cs="Times New Roman" w:eastAsia="Times New Roman" w:hint="default"/>
                <w:sz w:val="13"/>
                <w:szCs w:val="13"/>
              </w:rPr>
            </w:pPr>
          </w:p>
          <w:p>
            <w:pPr>
              <w:pStyle w:val="TableParagraph"/>
              <w:spacing w:line="240" w:lineRule="auto"/>
              <w:ind w:right="55"/>
              <w:jc w:val="right"/>
              <w:rPr>
                <w:rFonts w:ascii="Times New Roman" w:hAnsi="Times New Roman" w:cs="Times New Roman" w:eastAsia="Times New Roman" w:hint="default"/>
                <w:sz w:val="16"/>
                <w:szCs w:val="16"/>
              </w:rPr>
            </w:pPr>
            <w:r>
              <w:rPr>
                <w:rFonts w:ascii="Times New Roman"/>
                <w:spacing w:val="-1"/>
                <w:sz w:val="16"/>
              </w:rPr>
              <w:t>2,486,300.00</w:t>
            </w:r>
          </w:p>
        </w:tc>
        <w:tc>
          <w:tcPr>
            <w:tcW w:w="2496" w:type="dxa"/>
            <w:tcBorders>
              <w:top w:val="nil" w:sz="6" w:space="0" w:color="auto"/>
              <w:left w:val="nil" w:sz="6" w:space="0" w:color="auto"/>
              <w:bottom w:val="nil" w:sz="6" w:space="0" w:color="auto"/>
              <w:right w:val="nil" w:sz="6" w:space="0" w:color="auto"/>
            </w:tcBorders>
          </w:tcPr>
          <w:p>
            <w:pPr>
              <w:pStyle w:val="TableParagraph"/>
              <w:spacing w:line="208" w:lineRule="exact" w:before="9"/>
              <w:ind w:left="57" w:right="57"/>
              <w:jc w:val="left"/>
              <w:rPr>
                <w:rFonts w:ascii="宋体" w:hAnsi="宋体" w:cs="宋体" w:eastAsia="宋体" w:hint="default"/>
                <w:sz w:val="16"/>
                <w:szCs w:val="16"/>
              </w:rPr>
            </w:pPr>
            <w:r>
              <w:rPr>
                <w:rFonts w:ascii="宋体" w:hAnsi="宋体" w:cs="宋体" w:eastAsia="宋体" w:hint="default"/>
                <w:spacing w:val="-3"/>
                <w:sz w:val="16"/>
                <w:szCs w:val="16"/>
              </w:rPr>
              <w:t>黑龙江省财政厅《关于下达节能专</w:t>
            </w:r>
            <w:r>
              <w:rPr>
                <w:rFonts w:ascii="宋体" w:hAnsi="宋体" w:cs="宋体" w:eastAsia="宋体" w:hint="default"/>
                <w:spacing w:val="-59"/>
                <w:sz w:val="16"/>
                <w:szCs w:val="16"/>
              </w:rPr>
              <w:t> </w:t>
            </w:r>
            <w:r>
              <w:rPr>
                <w:rFonts w:ascii="宋体" w:hAnsi="宋体" w:cs="宋体" w:eastAsia="宋体" w:hint="default"/>
                <w:spacing w:val="-59"/>
                <w:sz w:val="16"/>
                <w:szCs w:val="16"/>
              </w:rPr>
            </w:r>
            <w:r>
              <w:rPr>
                <w:rFonts w:ascii="宋体" w:hAnsi="宋体" w:cs="宋体" w:eastAsia="宋体" w:hint="default"/>
                <w:spacing w:val="2"/>
                <w:sz w:val="16"/>
                <w:szCs w:val="16"/>
              </w:rPr>
              <w:t>项资金（第十九批）的通知</w:t>
            </w:r>
            <w:r>
              <w:rPr>
                <w:rFonts w:ascii="宋体" w:hAnsi="宋体" w:cs="宋体" w:eastAsia="宋体" w:hint="default"/>
                <w:spacing w:val="30"/>
                <w:sz w:val="16"/>
                <w:szCs w:val="16"/>
              </w:rPr>
              <w:t> </w:t>
            </w:r>
            <w:r>
              <w:rPr>
                <w:rFonts w:ascii="宋体" w:hAnsi="宋体" w:cs="宋体" w:eastAsia="宋体" w:hint="default"/>
                <w:sz w:val="16"/>
                <w:szCs w:val="16"/>
              </w:rPr>
              <w:t>》、</w:t>
            </w:r>
          </w:p>
          <w:p>
            <w:pPr>
              <w:pStyle w:val="TableParagraph"/>
              <w:spacing w:line="193" w:lineRule="exact"/>
              <w:ind w:left="57" w:right="0"/>
              <w:jc w:val="left"/>
              <w:rPr>
                <w:rFonts w:ascii="宋体" w:hAnsi="宋体" w:cs="宋体" w:eastAsia="宋体" w:hint="default"/>
                <w:sz w:val="16"/>
                <w:szCs w:val="16"/>
              </w:rPr>
            </w:pPr>
            <w:r>
              <w:rPr>
                <w:rFonts w:ascii="宋体" w:hAnsi="宋体" w:cs="宋体" w:eastAsia="宋体" w:hint="default"/>
                <w:sz w:val="16"/>
                <w:szCs w:val="16"/>
              </w:rPr>
              <w:t>《关于下达 </w:t>
            </w:r>
            <w:r>
              <w:rPr>
                <w:rFonts w:ascii="Times New Roman" w:hAnsi="Times New Roman" w:cs="Times New Roman" w:eastAsia="Times New Roman" w:hint="default"/>
                <w:sz w:val="16"/>
                <w:szCs w:val="16"/>
              </w:rPr>
              <w:t>2014</w:t>
            </w:r>
            <w:r>
              <w:rPr>
                <w:rFonts w:ascii="Times New Roman" w:hAnsi="Times New Roman" w:cs="Times New Roman" w:eastAsia="Times New Roman" w:hint="default"/>
                <w:spacing w:val="13"/>
                <w:sz w:val="16"/>
                <w:szCs w:val="16"/>
              </w:rPr>
              <w:t> </w:t>
            </w:r>
            <w:r>
              <w:rPr>
                <w:rFonts w:ascii="宋体" w:hAnsi="宋体" w:cs="宋体" w:eastAsia="宋体" w:hint="default"/>
                <w:sz w:val="16"/>
                <w:szCs w:val="16"/>
              </w:rPr>
              <w:t>年合同能源管理</w:t>
            </w:r>
          </w:p>
          <w:p>
            <w:pPr>
              <w:pStyle w:val="TableParagraph"/>
              <w:spacing w:line="203" w:lineRule="exact"/>
              <w:ind w:left="57" w:right="0"/>
              <w:jc w:val="left"/>
              <w:rPr>
                <w:rFonts w:ascii="宋体" w:hAnsi="宋体" w:cs="宋体" w:eastAsia="宋体" w:hint="default"/>
                <w:sz w:val="16"/>
                <w:szCs w:val="16"/>
              </w:rPr>
            </w:pPr>
            <w:r>
              <w:rPr>
                <w:rFonts w:ascii="宋体" w:hAnsi="宋体" w:cs="宋体" w:eastAsia="宋体" w:hint="default"/>
                <w:sz w:val="16"/>
                <w:szCs w:val="16"/>
              </w:rPr>
              <w:t>省级配套资金的通知》</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17"/>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67"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03" w:lineRule="exact"/>
              <w:ind w:left="69" w:right="0"/>
              <w:jc w:val="left"/>
              <w:rPr>
                <w:rFonts w:ascii="宋体" w:hAnsi="宋体" w:cs="宋体" w:eastAsia="宋体" w:hint="default"/>
                <w:sz w:val="16"/>
                <w:szCs w:val="16"/>
              </w:rPr>
            </w:pPr>
            <w:r>
              <w:rPr>
                <w:rFonts w:ascii="宋体" w:hAnsi="宋体" w:cs="宋体" w:eastAsia="宋体" w:hint="default"/>
                <w:sz w:val="16"/>
                <w:szCs w:val="16"/>
              </w:rPr>
              <w:t>财政奖励</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55"/>
              <w:jc w:val="right"/>
              <w:rPr>
                <w:rFonts w:ascii="Times New Roman" w:hAnsi="Times New Roman" w:cs="Times New Roman" w:eastAsia="Times New Roman" w:hint="default"/>
                <w:sz w:val="16"/>
                <w:szCs w:val="16"/>
              </w:rPr>
            </w:pPr>
            <w:r>
              <w:rPr>
                <w:rFonts w:ascii="Times New Roman"/>
                <w:spacing w:val="-1"/>
                <w:sz w:val="16"/>
              </w:rPr>
              <w:t>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55"/>
              <w:jc w:val="right"/>
              <w:rPr>
                <w:rFonts w:ascii="Times New Roman" w:hAnsi="Times New Roman" w:cs="Times New Roman" w:eastAsia="Times New Roman" w:hint="default"/>
                <w:sz w:val="16"/>
                <w:szCs w:val="16"/>
              </w:rPr>
            </w:pPr>
            <w:r>
              <w:rPr>
                <w:rFonts w:ascii="Times New Roman"/>
                <w:spacing w:val="-1"/>
                <w:sz w:val="16"/>
              </w:rPr>
              <w:t>1,839,900.00</w:t>
            </w:r>
          </w:p>
        </w:tc>
        <w:tc>
          <w:tcPr>
            <w:tcW w:w="2496" w:type="dxa"/>
            <w:tcBorders>
              <w:top w:val="nil" w:sz="6" w:space="0" w:color="auto"/>
              <w:left w:val="nil" w:sz="6" w:space="0" w:color="auto"/>
              <w:bottom w:val="nil" w:sz="6" w:space="0" w:color="auto"/>
              <w:right w:val="nil" w:sz="6" w:space="0" w:color="auto"/>
            </w:tcBorders>
          </w:tcPr>
          <w:p>
            <w:pPr>
              <w:pStyle w:val="TableParagraph"/>
              <w:spacing w:line="203" w:lineRule="exact"/>
              <w:ind w:left="57" w:right="0"/>
              <w:jc w:val="left"/>
              <w:rPr>
                <w:rFonts w:ascii="宋体" w:hAnsi="宋体" w:cs="宋体" w:eastAsia="宋体" w:hint="default"/>
                <w:sz w:val="16"/>
                <w:szCs w:val="16"/>
              </w:rPr>
            </w:pPr>
            <w:r>
              <w:rPr>
                <w:rFonts w:ascii="宋体" w:hAnsi="宋体" w:cs="宋体" w:eastAsia="宋体" w:hint="default"/>
                <w:sz w:val="16"/>
                <w:szCs w:val="16"/>
              </w:rPr>
              <w:t>南通市经济技术开发区财政局</w:t>
            </w:r>
          </w:p>
        </w:tc>
        <w:tc>
          <w:tcPr>
            <w:tcW w:w="965" w:type="dxa"/>
            <w:tcBorders>
              <w:top w:val="nil" w:sz="6" w:space="0" w:color="auto"/>
              <w:left w:val="nil" w:sz="6" w:space="0" w:color="auto"/>
              <w:bottom w:val="nil" w:sz="6" w:space="0" w:color="auto"/>
              <w:right w:val="nil" w:sz="6" w:space="0" w:color="auto"/>
            </w:tcBorders>
          </w:tcPr>
          <w:p>
            <w:pPr>
              <w:pStyle w:val="TableParagraph"/>
              <w:spacing w:line="203" w:lineRule="exact"/>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66"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9" w:right="0"/>
              <w:jc w:val="left"/>
              <w:rPr>
                <w:rFonts w:ascii="宋体" w:hAnsi="宋体" w:cs="宋体" w:eastAsia="宋体" w:hint="default"/>
                <w:sz w:val="16"/>
                <w:szCs w:val="16"/>
              </w:rPr>
            </w:pPr>
            <w:r>
              <w:rPr>
                <w:rFonts w:ascii="宋体" w:hAnsi="宋体" w:cs="宋体" w:eastAsia="宋体" w:hint="default"/>
                <w:sz w:val="16"/>
                <w:szCs w:val="16"/>
              </w:rPr>
              <w:t>政府补贴扶持款（退地税款）</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55"/>
              <w:jc w:val="right"/>
              <w:rPr>
                <w:rFonts w:ascii="Times New Roman" w:hAnsi="Times New Roman" w:cs="Times New Roman" w:eastAsia="Times New Roman" w:hint="default"/>
                <w:sz w:val="16"/>
                <w:szCs w:val="16"/>
              </w:rPr>
            </w:pPr>
            <w:r>
              <w:rPr>
                <w:rFonts w:ascii="Times New Roman"/>
                <w:spacing w:val="-1"/>
                <w:sz w:val="16"/>
              </w:rPr>
              <w:t>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5"/>
              <w:jc w:val="right"/>
              <w:rPr>
                <w:rFonts w:ascii="Times New Roman" w:hAnsi="Times New Roman" w:cs="Times New Roman" w:eastAsia="Times New Roman" w:hint="default"/>
                <w:sz w:val="16"/>
                <w:szCs w:val="16"/>
              </w:rPr>
            </w:pPr>
            <w:r>
              <w:rPr>
                <w:rFonts w:ascii="Times New Roman"/>
                <w:spacing w:val="-1"/>
                <w:sz w:val="16"/>
              </w:rPr>
              <w:t>1,494,964.56</w:t>
            </w:r>
          </w:p>
        </w:tc>
        <w:tc>
          <w:tcPr>
            <w:tcW w:w="249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7" w:right="0"/>
              <w:jc w:val="left"/>
              <w:rPr>
                <w:rFonts w:ascii="宋体" w:hAnsi="宋体" w:cs="宋体" w:eastAsia="宋体" w:hint="default"/>
                <w:sz w:val="16"/>
                <w:szCs w:val="16"/>
              </w:rPr>
            </w:pPr>
            <w:r>
              <w:rPr>
                <w:rFonts w:ascii="宋体" w:hAnsi="宋体" w:cs="宋体" w:eastAsia="宋体" w:hint="default"/>
                <w:sz w:val="16"/>
                <w:szCs w:val="16"/>
              </w:rPr>
              <w:t>友谊县城区集中供热项目协议书</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452"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06" w:lineRule="exact" w:before="14"/>
              <w:ind w:left="69" w:right="216"/>
              <w:jc w:val="left"/>
              <w:rPr>
                <w:rFonts w:ascii="宋体" w:hAnsi="宋体" w:cs="宋体" w:eastAsia="宋体" w:hint="default"/>
                <w:sz w:val="16"/>
                <w:szCs w:val="16"/>
              </w:rPr>
            </w:pPr>
            <w:r>
              <w:rPr>
                <w:rFonts w:ascii="Times New Roman" w:hAnsi="Times New Roman" w:cs="Times New Roman" w:eastAsia="Times New Roman" w:hint="default"/>
                <w:sz w:val="16"/>
                <w:szCs w:val="16"/>
              </w:rPr>
              <w:t>2014</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年度中关村技术创新能力建设</w:t>
            </w:r>
            <w:r>
              <w:rPr>
                <w:rFonts w:ascii="宋体" w:hAnsi="宋体" w:cs="宋体" w:eastAsia="宋体" w:hint="default"/>
                <w:w w:val="100"/>
                <w:sz w:val="16"/>
                <w:szCs w:val="16"/>
              </w:rPr>
              <w:t> </w:t>
            </w:r>
            <w:r>
              <w:rPr>
                <w:rFonts w:ascii="宋体" w:hAnsi="宋体" w:cs="宋体" w:eastAsia="宋体" w:hint="default"/>
                <w:sz w:val="16"/>
                <w:szCs w:val="16"/>
              </w:rPr>
              <w:t>商标部分专项资金</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55"/>
              <w:jc w:val="right"/>
              <w:rPr>
                <w:rFonts w:ascii="Times New Roman" w:hAnsi="Times New Roman" w:cs="Times New Roman" w:eastAsia="Times New Roman" w:hint="default"/>
                <w:sz w:val="16"/>
                <w:szCs w:val="16"/>
              </w:rPr>
            </w:pPr>
            <w:r>
              <w:rPr>
                <w:rFonts w:ascii="Times New Roman"/>
                <w:spacing w:val="-1"/>
                <w:sz w:val="16"/>
              </w:rPr>
              <w:t>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55"/>
              <w:jc w:val="right"/>
              <w:rPr>
                <w:rFonts w:ascii="Times New Roman" w:hAnsi="Times New Roman" w:cs="Times New Roman" w:eastAsia="Times New Roman" w:hint="default"/>
                <w:sz w:val="16"/>
                <w:szCs w:val="16"/>
              </w:rPr>
            </w:pPr>
            <w:r>
              <w:rPr>
                <w:rFonts w:ascii="Times New Roman"/>
                <w:spacing w:val="-1"/>
                <w:sz w:val="16"/>
              </w:rPr>
              <w:t>1,100,000.00</w:t>
            </w:r>
          </w:p>
        </w:tc>
        <w:tc>
          <w:tcPr>
            <w:tcW w:w="249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57" w:right="0"/>
              <w:jc w:val="left"/>
              <w:rPr>
                <w:rFonts w:ascii="宋体" w:hAnsi="宋体" w:cs="宋体" w:eastAsia="宋体" w:hint="default"/>
                <w:sz w:val="16"/>
                <w:szCs w:val="16"/>
              </w:rPr>
            </w:pPr>
            <w:r>
              <w:rPr>
                <w:rFonts w:ascii="宋体" w:hAnsi="宋体" w:cs="宋体" w:eastAsia="宋体" w:hint="default"/>
                <w:sz w:val="16"/>
                <w:szCs w:val="16"/>
              </w:rPr>
              <w:t>中科园发</w:t>
            </w:r>
            <w:r>
              <w:rPr>
                <w:rFonts w:ascii="Times New Roman" w:hAnsi="Times New Roman" w:cs="Times New Roman" w:eastAsia="Times New Roman" w:hint="default"/>
                <w:sz w:val="16"/>
                <w:szCs w:val="16"/>
              </w:rPr>
              <w:t>[2013]43</w:t>
            </w:r>
            <w:r>
              <w:rPr>
                <w:rFonts w:ascii="Times New Roman" w:hAnsi="Times New Roman" w:cs="Times New Roman" w:eastAsia="Times New Roman" w:hint="default"/>
                <w:spacing w:val="-6"/>
                <w:sz w:val="16"/>
                <w:szCs w:val="16"/>
              </w:rPr>
              <w:t> </w:t>
            </w:r>
            <w:r>
              <w:rPr>
                <w:rFonts w:ascii="宋体" w:hAnsi="宋体" w:cs="宋体" w:eastAsia="宋体" w:hint="default"/>
                <w:sz w:val="16"/>
                <w:szCs w:val="16"/>
              </w:rPr>
              <w:t>号</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5"/>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50"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04" w:lineRule="exact"/>
              <w:ind w:left="69" w:right="0"/>
              <w:jc w:val="left"/>
              <w:rPr>
                <w:rFonts w:ascii="宋体" w:hAnsi="宋体" w:cs="宋体" w:eastAsia="宋体" w:hint="default"/>
                <w:sz w:val="16"/>
                <w:szCs w:val="16"/>
              </w:rPr>
            </w:pPr>
            <w:r>
              <w:rPr>
                <w:rFonts w:ascii="宋体" w:hAnsi="宋体" w:cs="宋体" w:eastAsia="宋体" w:hint="default"/>
                <w:sz w:val="16"/>
                <w:szCs w:val="16"/>
              </w:rPr>
              <w:t>加快发展服务外包产业专项资金</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55"/>
              <w:jc w:val="right"/>
              <w:rPr>
                <w:rFonts w:ascii="Times New Roman" w:hAnsi="Times New Roman" w:cs="Times New Roman" w:eastAsia="Times New Roman" w:hint="default"/>
                <w:sz w:val="16"/>
                <w:szCs w:val="16"/>
              </w:rPr>
            </w:pPr>
            <w:r>
              <w:rPr>
                <w:rFonts w:ascii="Times New Roman"/>
                <w:spacing w:val="-1"/>
                <w:sz w:val="16"/>
              </w:rPr>
              <w:t>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55"/>
              <w:jc w:val="right"/>
              <w:rPr>
                <w:rFonts w:ascii="Times New Roman" w:hAnsi="Times New Roman" w:cs="Times New Roman" w:eastAsia="Times New Roman" w:hint="default"/>
                <w:sz w:val="16"/>
                <w:szCs w:val="16"/>
              </w:rPr>
            </w:pPr>
            <w:r>
              <w:rPr>
                <w:rFonts w:ascii="Times New Roman"/>
                <w:spacing w:val="-1"/>
                <w:sz w:val="16"/>
              </w:rPr>
              <w:t>1,000,000.00</w:t>
            </w:r>
          </w:p>
        </w:tc>
        <w:tc>
          <w:tcPr>
            <w:tcW w:w="2496" w:type="dxa"/>
            <w:tcBorders>
              <w:top w:val="nil" w:sz="6" w:space="0" w:color="auto"/>
              <w:left w:val="nil" w:sz="6" w:space="0" w:color="auto"/>
              <w:bottom w:val="nil" w:sz="6" w:space="0" w:color="auto"/>
              <w:right w:val="nil" w:sz="6" w:space="0" w:color="auto"/>
            </w:tcBorders>
          </w:tcPr>
          <w:p>
            <w:pPr>
              <w:pStyle w:val="TableParagraph"/>
              <w:spacing w:line="216" w:lineRule="exact"/>
              <w:ind w:left="57" w:right="0"/>
              <w:jc w:val="left"/>
              <w:rPr>
                <w:rFonts w:ascii="宋体" w:hAnsi="宋体" w:cs="宋体" w:eastAsia="宋体" w:hint="default"/>
                <w:sz w:val="16"/>
                <w:szCs w:val="16"/>
              </w:rPr>
            </w:pPr>
            <w:r>
              <w:rPr>
                <w:rFonts w:ascii="宋体" w:hAnsi="宋体" w:cs="宋体" w:eastAsia="宋体" w:hint="default"/>
                <w:sz w:val="16"/>
                <w:szCs w:val="16"/>
              </w:rPr>
              <w:t>粤财工</w:t>
            </w:r>
            <w:r>
              <w:rPr>
                <w:rFonts w:ascii="Times New Roman" w:hAnsi="Times New Roman" w:cs="Times New Roman" w:eastAsia="Times New Roman" w:hint="default"/>
                <w:sz w:val="16"/>
                <w:szCs w:val="16"/>
              </w:rPr>
              <w:t>[2013]235</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号</w:t>
            </w:r>
          </w:p>
        </w:tc>
        <w:tc>
          <w:tcPr>
            <w:tcW w:w="965" w:type="dxa"/>
            <w:tcBorders>
              <w:top w:val="nil" w:sz="6" w:space="0" w:color="auto"/>
              <w:left w:val="nil" w:sz="6" w:space="0" w:color="auto"/>
              <w:bottom w:val="nil" w:sz="6" w:space="0" w:color="auto"/>
              <w:right w:val="nil" w:sz="6" w:space="0" w:color="auto"/>
            </w:tcBorders>
          </w:tcPr>
          <w:p>
            <w:pPr>
              <w:pStyle w:val="TableParagraph"/>
              <w:spacing w:line="204" w:lineRule="exact"/>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430"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08" w:lineRule="exact" w:before="9"/>
              <w:ind w:left="69" w:right="218"/>
              <w:jc w:val="left"/>
              <w:rPr>
                <w:rFonts w:ascii="宋体" w:hAnsi="宋体" w:cs="宋体" w:eastAsia="宋体" w:hint="default"/>
                <w:sz w:val="16"/>
                <w:szCs w:val="16"/>
              </w:rPr>
            </w:pPr>
            <w:r>
              <w:rPr>
                <w:rFonts w:ascii="宋体" w:hAnsi="宋体" w:cs="宋体" w:eastAsia="宋体" w:hint="default"/>
                <w:sz w:val="16"/>
                <w:szCs w:val="16"/>
              </w:rPr>
              <w:t>北京商务委员会服务外包发展配套</w:t>
            </w:r>
            <w:r>
              <w:rPr>
                <w:rFonts w:ascii="宋体" w:hAnsi="宋体" w:cs="宋体" w:eastAsia="宋体" w:hint="default"/>
                <w:spacing w:val="-45"/>
                <w:sz w:val="16"/>
                <w:szCs w:val="16"/>
              </w:rPr>
              <w:t> </w:t>
            </w:r>
            <w:r>
              <w:rPr>
                <w:rFonts w:ascii="宋体" w:hAnsi="宋体" w:cs="宋体" w:eastAsia="宋体" w:hint="default"/>
                <w:spacing w:val="-45"/>
                <w:sz w:val="16"/>
                <w:szCs w:val="16"/>
              </w:rPr>
            </w:r>
            <w:r>
              <w:rPr>
                <w:rFonts w:ascii="宋体" w:hAnsi="宋体" w:cs="宋体" w:eastAsia="宋体" w:hint="default"/>
                <w:sz w:val="16"/>
                <w:szCs w:val="16"/>
              </w:rPr>
              <w:t>资金</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55"/>
              <w:jc w:val="right"/>
              <w:rPr>
                <w:rFonts w:ascii="Times New Roman" w:hAnsi="Times New Roman" w:cs="Times New Roman" w:eastAsia="Times New Roman" w:hint="default"/>
                <w:sz w:val="16"/>
                <w:szCs w:val="16"/>
              </w:rPr>
            </w:pPr>
            <w:r>
              <w:rPr>
                <w:rFonts w:ascii="Times New Roman"/>
                <w:spacing w:val="-1"/>
                <w:sz w:val="16"/>
              </w:rPr>
              <w:t>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55"/>
              <w:jc w:val="right"/>
              <w:rPr>
                <w:rFonts w:ascii="Times New Roman" w:hAnsi="Times New Roman" w:cs="Times New Roman" w:eastAsia="Times New Roman" w:hint="default"/>
                <w:sz w:val="16"/>
                <w:szCs w:val="16"/>
              </w:rPr>
            </w:pPr>
            <w:r>
              <w:rPr>
                <w:rFonts w:ascii="Times New Roman"/>
                <w:spacing w:val="-1"/>
                <w:sz w:val="16"/>
              </w:rPr>
              <w:t>780,988.00</w:t>
            </w:r>
          </w:p>
        </w:tc>
        <w:tc>
          <w:tcPr>
            <w:tcW w:w="2496" w:type="dxa"/>
            <w:tcBorders>
              <w:top w:val="nil" w:sz="6" w:space="0" w:color="auto"/>
              <w:left w:val="nil" w:sz="6" w:space="0" w:color="auto"/>
              <w:bottom w:val="nil" w:sz="6" w:space="0" w:color="auto"/>
              <w:right w:val="nil" w:sz="6" w:space="0" w:color="auto"/>
            </w:tcBorders>
          </w:tcPr>
          <w:p>
            <w:pPr>
              <w:pStyle w:val="TableParagraph"/>
              <w:spacing w:line="208" w:lineRule="exact" w:before="9"/>
              <w:ind w:left="57" w:right="51"/>
              <w:jc w:val="left"/>
              <w:rPr>
                <w:rFonts w:ascii="宋体" w:hAnsi="宋体" w:cs="宋体" w:eastAsia="宋体" w:hint="default"/>
                <w:sz w:val="16"/>
                <w:szCs w:val="16"/>
              </w:rPr>
            </w:pPr>
            <w:r>
              <w:rPr>
                <w:rFonts w:ascii="宋体" w:hAnsi="宋体" w:cs="宋体" w:eastAsia="宋体" w:hint="default"/>
                <w:spacing w:val="8"/>
                <w:sz w:val="16"/>
                <w:szCs w:val="16"/>
              </w:rPr>
              <w:t>北京市服务外包发展配套资金管</w:t>
            </w:r>
            <w:r>
              <w:rPr>
                <w:rFonts w:ascii="宋体" w:hAnsi="宋体" w:cs="宋体" w:eastAsia="宋体" w:hint="default"/>
                <w:spacing w:val="-55"/>
                <w:sz w:val="16"/>
                <w:szCs w:val="16"/>
              </w:rPr>
              <w:t> </w:t>
            </w:r>
            <w:r>
              <w:rPr>
                <w:rFonts w:ascii="宋体" w:hAnsi="宋体" w:cs="宋体" w:eastAsia="宋体" w:hint="default"/>
                <w:sz w:val="16"/>
                <w:szCs w:val="16"/>
              </w:rPr>
              <w:t>理办法（暂行）实施细则</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4"/>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850" w:hRule="exact"/>
        </w:trPr>
        <w:tc>
          <w:tcPr>
            <w:tcW w:w="27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06" w:lineRule="exact"/>
              <w:ind w:left="69" w:right="216"/>
              <w:jc w:val="left"/>
              <w:rPr>
                <w:rFonts w:ascii="宋体" w:hAnsi="宋体" w:cs="宋体" w:eastAsia="宋体" w:hint="default"/>
                <w:sz w:val="16"/>
                <w:szCs w:val="16"/>
              </w:rPr>
            </w:pPr>
            <w:r>
              <w:rPr>
                <w:rFonts w:ascii="宋体" w:hAnsi="宋体" w:cs="宋体" w:eastAsia="宋体" w:hint="default"/>
                <w:sz w:val="16"/>
                <w:szCs w:val="16"/>
              </w:rPr>
              <w:t>采用</w:t>
            </w:r>
            <w:r>
              <w:rPr>
                <w:rFonts w:ascii="宋体" w:hAnsi="宋体" w:cs="宋体" w:eastAsia="宋体" w:hint="default"/>
                <w:spacing w:val="-44"/>
                <w:sz w:val="16"/>
                <w:szCs w:val="16"/>
              </w:rPr>
              <w:t> </w:t>
            </w:r>
            <w:r>
              <w:rPr>
                <w:rFonts w:ascii="Times New Roman" w:hAnsi="Times New Roman" w:cs="Times New Roman" w:eastAsia="Times New Roman" w:hint="default"/>
                <w:sz w:val="16"/>
                <w:szCs w:val="16"/>
              </w:rPr>
              <w:t>R32</w:t>
            </w:r>
            <w:r>
              <w:rPr>
                <w:rFonts w:ascii="Times New Roman" w:hAnsi="Times New Roman" w:cs="Times New Roman" w:eastAsia="Times New Roman" w:hint="default"/>
                <w:spacing w:val="-6"/>
                <w:sz w:val="16"/>
                <w:szCs w:val="16"/>
              </w:rPr>
              <w:t> </w:t>
            </w:r>
            <w:r>
              <w:rPr>
                <w:rFonts w:ascii="宋体" w:hAnsi="宋体" w:cs="宋体" w:eastAsia="宋体" w:hint="default"/>
                <w:sz w:val="16"/>
                <w:szCs w:val="16"/>
              </w:rPr>
              <w:t>代替</w:t>
            </w:r>
            <w:r>
              <w:rPr>
                <w:rFonts w:ascii="宋体" w:hAnsi="宋体" w:cs="宋体" w:eastAsia="宋体" w:hint="default"/>
                <w:spacing w:val="-47"/>
                <w:sz w:val="16"/>
                <w:szCs w:val="16"/>
              </w:rPr>
              <w:t> </w:t>
            </w:r>
            <w:r>
              <w:rPr>
                <w:rFonts w:ascii="Times New Roman" w:hAnsi="Times New Roman" w:cs="Times New Roman" w:eastAsia="Times New Roman" w:hint="default"/>
                <w:sz w:val="16"/>
                <w:szCs w:val="16"/>
              </w:rPr>
              <w:t>R22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在小型商用空气</w:t>
            </w:r>
            <w:r>
              <w:rPr>
                <w:rFonts w:ascii="宋体" w:hAnsi="宋体" w:cs="宋体" w:eastAsia="宋体" w:hint="default"/>
                <w:w w:val="100"/>
                <w:sz w:val="16"/>
                <w:szCs w:val="16"/>
              </w:rPr>
              <w:t> </w:t>
            </w:r>
            <w:r>
              <w:rPr>
                <w:rFonts w:ascii="宋体" w:hAnsi="宋体" w:cs="宋体" w:eastAsia="宋体" w:hint="default"/>
                <w:sz w:val="16"/>
                <w:szCs w:val="16"/>
              </w:rPr>
              <w:t>源冷水</w:t>
            </w:r>
            <w:r>
              <w:rPr>
                <w:rFonts w:ascii="Times New Roman" w:hAnsi="Times New Roman" w:cs="Times New Roman" w:eastAsia="Times New Roman" w:hint="default"/>
                <w:sz w:val="16"/>
                <w:szCs w:val="16"/>
              </w:rPr>
              <w:t>/</w:t>
            </w:r>
            <w:r>
              <w:rPr>
                <w:rFonts w:ascii="宋体" w:hAnsi="宋体" w:cs="宋体" w:eastAsia="宋体" w:hint="default"/>
                <w:sz w:val="16"/>
                <w:szCs w:val="16"/>
              </w:rPr>
              <w:t>热泵中的应用示范项目</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35"/>
              <w:ind w:right="155"/>
              <w:jc w:val="right"/>
              <w:rPr>
                <w:rFonts w:ascii="Times New Roman" w:hAnsi="Times New Roman" w:cs="Times New Roman" w:eastAsia="Times New Roman" w:hint="default"/>
                <w:sz w:val="16"/>
                <w:szCs w:val="16"/>
              </w:rPr>
            </w:pPr>
            <w:r>
              <w:rPr>
                <w:rFonts w:ascii="Times New Roman"/>
                <w:spacing w:val="-1"/>
                <w:sz w:val="16"/>
              </w:rPr>
              <w:t>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35"/>
              <w:ind w:right="55"/>
              <w:jc w:val="right"/>
              <w:rPr>
                <w:rFonts w:ascii="Times New Roman" w:hAnsi="Times New Roman" w:cs="Times New Roman" w:eastAsia="Times New Roman" w:hint="default"/>
                <w:sz w:val="16"/>
                <w:szCs w:val="16"/>
              </w:rPr>
            </w:pPr>
            <w:r>
              <w:rPr>
                <w:rFonts w:ascii="Times New Roman"/>
                <w:spacing w:val="-1"/>
                <w:sz w:val="16"/>
              </w:rPr>
              <w:t>517,350.41</w:t>
            </w:r>
          </w:p>
        </w:tc>
        <w:tc>
          <w:tcPr>
            <w:tcW w:w="2496" w:type="dxa"/>
            <w:tcBorders>
              <w:top w:val="nil" w:sz="6" w:space="0" w:color="auto"/>
              <w:left w:val="nil" w:sz="6" w:space="0" w:color="auto"/>
              <w:bottom w:val="nil" w:sz="6" w:space="0" w:color="auto"/>
              <w:right w:val="nil" w:sz="6" w:space="0" w:color="auto"/>
            </w:tcBorders>
          </w:tcPr>
          <w:p>
            <w:pPr>
              <w:pStyle w:val="TableParagraph"/>
              <w:spacing w:line="183" w:lineRule="exact"/>
              <w:ind w:left="57" w:right="0"/>
              <w:jc w:val="both"/>
              <w:rPr>
                <w:rFonts w:ascii="宋体" w:hAnsi="宋体" w:cs="宋体" w:eastAsia="宋体" w:hint="default"/>
                <w:sz w:val="16"/>
                <w:szCs w:val="16"/>
              </w:rPr>
            </w:pPr>
            <w:r>
              <w:rPr>
                <w:rFonts w:ascii="宋体" w:hAnsi="宋体" w:cs="宋体" w:eastAsia="宋体" w:hint="default"/>
                <w:spacing w:val="8"/>
                <w:sz w:val="16"/>
                <w:szCs w:val="16"/>
              </w:rPr>
              <w:t>环境保护部环境保护对外合作中</w:t>
            </w:r>
            <w:r>
              <w:rPr>
                <w:rFonts w:ascii="宋体" w:hAnsi="宋体" w:cs="宋体" w:eastAsia="宋体" w:hint="default"/>
                <w:sz w:val="16"/>
                <w:szCs w:val="16"/>
              </w:rPr>
            </w:r>
          </w:p>
          <w:p>
            <w:pPr>
              <w:pStyle w:val="TableParagraph"/>
              <w:spacing w:line="225" w:lineRule="auto" w:before="11"/>
              <w:ind w:left="57" w:right="57"/>
              <w:jc w:val="both"/>
              <w:rPr>
                <w:rFonts w:ascii="宋体" w:hAnsi="宋体" w:cs="宋体" w:eastAsia="宋体" w:hint="default"/>
                <w:sz w:val="16"/>
                <w:szCs w:val="16"/>
              </w:rPr>
            </w:pPr>
            <w:r>
              <w:rPr>
                <w:rFonts w:ascii="宋体" w:hAnsi="宋体" w:cs="宋体" w:eastAsia="宋体" w:hint="default"/>
                <w:sz w:val="16"/>
                <w:szCs w:val="16"/>
              </w:rPr>
              <w:t>心</w:t>
            </w:r>
            <w:r>
              <w:rPr>
                <w:rFonts w:ascii="Times New Roman" w:hAnsi="Times New Roman" w:cs="Times New Roman" w:eastAsia="Times New Roman" w:hint="default"/>
                <w:sz w:val="16"/>
                <w:szCs w:val="16"/>
              </w:rPr>
              <w:t>/</w:t>
            </w:r>
            <w:r>
              <w:rPr>
                <w:rFonts w:ascii="宋体" w:hAnsi="宋体" w:cs="宋体" w:eastAsia="宋体" w:hint="default"/>
                <w:sz w:val="16"/>
                <w:szCs w:val="16"/>
              </w:rPr>
              <w:t>采用</w:t>
            </w:r>
            <w:r>
              <w:rPr>
                <w:rFonts w:ascii="宋体" w:hAnsi="宋体" w:cs="宋体" w:eastAsia="宋体" w:hint="default"/>
                <w:spacing w:val="-33"/>
                <w:sz w:val="16"/>
                <w:szCs w:val="16"/>
              </w:rPr>
              <w:t> </w:t>
            </w:r>
            <w:r>
              <w:rPr>
                <w:rFonts w:ascii="Times New Roman" w:hAnsi="Times New Roman" w:cs="Times New Roman" w:eastAsia="Times New Roman" w:hint="default"/>
                <w:sz w:val="16"/>
                <w:szCs w:val="16"/>
              </w:rPr>
              <w:t>R32</w:t>
            </w:r>
            <w:r>
              <w:rPr>
                <w:rFonts w:ascii="Times New Roman" w:hAnsi="Times New Roman" w:cs="Times New Roman" w:eastAsia="Times New Roman" w:hint="default"/>
                <w:spacing w:val="8"/>
                <w:sz w:val="16"/>
                <w:szCs w:val="16"/>
              </w:rPr>
              <w:t> </w:t>
            </w:r>
            <w:r>
              <w:rPr>
                <w:rFonts w:ascii="宋体" w:hAnsi="宋体" w:cs="宋体" w:eastAsia="宋体" w:hint="default"/>
                <w:sz w:val="16"/>
                <w:szCs w:val="16"/>
              </w:rPr>
              <w:t>代替</w:t>
            </w:r>
            <w:r>
              <w:rPr>
                <w:rFonts w:ascii="宋体" w:hAnsi="宋体" w:cs="宋体" w:eastAsia="宋体" w:hint="default"/>
                <w:spacing w:val="-33"/>
                <w:sz w:val="16"/>
                <w:szCs w:val="16"/>
              </w:rPr>
              <w:t> </w:t>
            </w:r>
            <w:r>
              <w:rPr>
                <w:rFonts w:ascii="Times New Roman" w:hAnsi="Times New Roman" w:cs="Times New Roman" w:eastAsia="Times New Roman" w:hint="default"/>
                <w:sz w:val="16"/>
                <w:szCs w:val="16"/>
              </w:rPr>
              <w:t>R22</w:t>
            </w:r>
            <w:r>
              <w:rPr>
                <w:rFonts w:ascii="Times New Roman" w:hAnsi="Times New Roman" w:cs="Times New Roman" w:eastAsia="Times New Roman" w:hint="default"/>
                <w:spacing w:val="9"/>
                <w:sz w:val="16"/>
                <w:szCs w:val="16"/>
              </w:rPr>
              <w:t> </w:t>
            </w:r>
            <w:r>
              <w:rPr>
                <w:rFonts w:ascii="宋体" w:hAnsi="宋体" w:cs="宋体" w:eastAsia="宋体" w:hint="default"/>
                <w:sz w:val="16"/>
                <w:szCs w:val="16"/>
              </w:rPr>
              <w:t>在小型商用</w:t>
            </w:r>
            <w:r>
              <w:rPr>
                <w:rFonts w:ascii="宋体" w:hAnsi="宋体" w:cs="宋体" w:eastAsia="宋体" w:hint="default"/>
                <w:w w:val="100"/>
                <w:sz w:val="16"/>
                <w:szCs w:val="16"/>
              </w:rPr>
              <w:t> </w:t>
            </w:r>
            <w:r>
              <w:rPr>
                <w:rFonts w:ascii="宋体" w:hAnsi="宋体" w:cs="宋体" w:eastAsia="宋体" w:hint="default"/>
                <w:spacing w:val="4"/>
                <w:sz w:val="16"/>
                <w:szCs w:val="16"/>
              </w:rPr>
              <w:t>空气源冷水</w:t>
            </w:r>
            <w:r>
              <w:rPr>
                <w:rFonts w:ascii="Times New Roman" w:hAnsi="Times New Roman" w:cs="Times New Roman" w:eastAsia="Times New Roman" w:hint="default"/>
                <w:spacing w:val="4"/>
                <w:sz w:val="16"/>
                <w:szCs w:val="16"/>
              </w:rPr>
              <w:t>/</w:t>
            </w:r>
            <w:r>
              <w:rPr>
                <w:rFonts w:ascii="宋体" w:hAnsi="宋体" w:cs="宋体" w:eastAsia="宋体" w:hint="default"/>
                <w:spacing w:val="4"/>
                <w:sz w:val="16"/>
                <w:szCs w:val="16"/>
              </w:rPr>
              <w:t>热泵中的应用示范项</w:t>
            </w:r>
            <w:r>
              <w:rPr>
                <w:rFonts w:ascii="宋体" w:hAnsi="宋体" w:cs="宋体" w:eastAsia="宋体" w:hint="default"/>
                <w:spacing w:val="-53"/>
                <w:sz w:val="16"/>
                <w:szCs w:val="16"/>
              </w:rPr>
              <w:t> </w:t>
            </w:r>
            <w:r>
              <w:rPr>
                <w:rFonts w:ascii="宋体" w:hAnsi="宋体" w:cs="宋体" w:eastAsia="宋体" w:hint="default"/>
                <w:spacing w:val="-53"/>
                <w:sz w:val="16"/>
                <w:szCs w:val="16"/>
              </w:rPr>
            </w:r>
            <w:r>
              <w:rPr>
                <w:rFonts w:ascii="宋体" w:hAnsi="宋体" w:cs="宋体" w:eastAsia="宋体" w:hint="default"/>
                <w:sz w:val="16"/>
                <w:szCs w:val="16"/>
              </w:rPr>
              <w:t>目合同书</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02"/>
              <w:ind w:left="81"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271" w:hRule="exact"/>
        </w:trPr>
        <w:tc>
          <w:tcPr>
            <w:tcW w:w="2729" w:type="dxa"/>
            <w:tcBorders>
              <w:top w:val="nil" w:sz="6" w:space="0" w:color="auto"/>
              <w:left w:val="nil" w:sz="6" w:space="0" w:color="auto"/>
              <w:bottom w:val="single" w:sz="4" w:space="0" w:color="000000"/>
              <w:right w:val="nil" w:sz="6" w:space="0" w:color="auto"/>
            </w:tcBorders>
          </w:tcPr>
          <w:p>
            <w:pPr>
              <w:pStyle w:val="TableParagraph"/>
              <w:spacing w:line="203" w:lineRule="exact"/>
              <w:ind w:left="69" w:right="0"/>
              <w:jc w:val="left"/>
              <w:rPr>
                <w:rFonts w:ascii="宋体" w:hAnsi="宋体" w:cs="宋体" w:eastAsia="宋体" w:hint="default"/>
                <w:sz w:val="16"/>
                <w:szCs w:val="16"/>
              </w:rPr>
            </w:pPr>
            <w:r>
              <w:rPr>
                <w:rFonts w:ascii="宋体" w:hAnsi="宋体" w:cs="宋体" w:eastAsia="宋体" w:hint="default"/>
                <w:sz w:val="16"/>
                <w:szCs w:val="16"/>
              </w:rPr>
              <w:t>其他补助</w:t>
            </w:r>
          </w:p>
        </w:tc>
        <w:tc>
          <w:tcPr>
            <w:tcW w:w="1375" w:type="dxa"/>
            <w:tcBorders>
              <w:top w:val="nil" w:sz="6" w:space="0" w:color="auto"/>
              <w:left w:val="nil" w:sz="6" w:space="0" w:color="auto"/>
              <w:bottom w:val="single" w:sz="4" w:space="0" w:color="000000"/>
              <w:right w:val="nil" w:sz="6" w:space="0" w:color="auto"/>
            </w:tcBorders>
          </w:tcPr>
          <w:p>
            <w:pPr>
              <w:pStyle w:val="TableParagraph"/>
              <w:spacing w:line="240" w:lineRule="auto" w:before="26"/>
              <w:ind w:right="155"/>
              <w:jc w:val="right"/>
              <w:rPr>
                <w:rFonts w:ascii="Times New Roman" w:hAnsi="Times New Roman" w:cs="Times New Roman" w:eastAsia="Times New Roman" w:hint="default"/>
                <w:sz w:val="16"/>
                <w:szCs w:val="16"/>
              </w:rPr>
            </w:pPr>
            <w:r>
              <w:rPr>
                <w:rFonts w:ascii="Times New Roman"/>
                <w:spacing w:val="-2"/>
                <w:sz w:val="16"/>
              </w:rPr>
              <w:t>21,875,185.36</w:t>
            </w:r>
          </w:p>
        </w:tc>
        <w:tc>
          <w:tcPr>
            <w:tcW w:w="1216" w:type="dxa"/>
            <w:tcBorders>
              <w:top w:val="nil" w:sz="6" w:space="0" w:color="auto"/>
              <w:left w:val="nil" w:sz="6" w:space="0" w:color="auto"/>
              <w:bottom w:val="single" w:sz="4" w:space="0" w:color="000000"/>
              <w:right w:val="nil" w:sz="6" w:space="0" w:color="auto"/>
            </w:tcBorders>
          </w:tcPr>
          <w:p>
            <w:pPr>
              <w:pStyle w:val="TableParagraph"/>
              <w:spacing w:line="240" w:lineRule="auto" w:before="26"/>
              <w:ind w:right="55"/>
              <w:jc w:val="right"/>
              <w:rPr>
                <w:rFonts w:ascii="Times New Roman" w:hAnsi="Times New Roman" w:cs="Times New Roman" w:eastAsia="Times New Roman" w:hint="default"/>
                <w:sz w:val="16"/>
                <w:szCs w:val="16"/>
              </w:rPr>
            </w:pPr>
            <w:r>
              <w:rPr>
                <w:rFonts w:ascii="Times New Roman"/>
                <w:spacing w:val="-2"/>
                <w:sz w:val="16"/>
              </w:rPr>
              <w:t>18,677,417.97</w:t>
            </w:r>
          </w:p>
        </w:tc>
        <w:tc>
          <w:tcPr>
            <w:tcW w:w="2496" w:type="dxa"/>
            <w:tcBorders>
              <w:top w:val="nil" w:sz="6" w:space="0" w:color="auto"/>
              <w:left w:val="nil" w:sz="6" w:space="0" w:color="auto"/>
              <w:bottom w:val="single" w:sz="4" w:space="0" w:color="000000"/>
              <w:right w:val="nil" w:sz="6" w:space="0" w:color="auto"/>
            </w:tcBorders>
          </w:tcPr>
          <w:p>
            <w:pPr>
              <w:pStyle w:val="TableParagraph"/>
              <w:spacing w:line="240" w:lineRule="auto" w:before="76"/>
              <w:ind w:left="57" w:right="0"/>
              <w:jc w:val="left"/>
              <w:rPr>
                <w:rFonts w:ascii="Times New Roman" w:hAnsi="Times New Roman" w:cs="Times New Roman" w:eastAsia="Times New Roman" w:hint="default"/>
                <w:sz w:val="16"/>
                <w:szCs w:val="16"/>
              </w:rPr>
            </w:pPr>
            <w:r>
              <w:rPr>
                <w:rFonts w:ascii="Times New Roman"/>
                <w:w w:val="100"/>
                <w:sz w:val="16"/>
              </w:rPr>
              <w:t>-</w:t>
            </w:r>
          </w:p>
        </w:tc>
        <w:tc>
          <w:tcPr>
            <w:tcW w:w="965" w:type="dxa"/>
            <w:tcBorders>
              <w:top w:val="nil" w:sz="6" w:space="0" w:color="auto"/>
              <w:left w:val="nil" w:sz="6" w:space="0" w:color="auto"/>
              <w:bottom w:val="single" w:sz="4" w:space="0" w:color="000000"/>
              <w:right w:val="nil" w:sz="6" w:space="0" w:color="auto"/>
            </w:tcBorders>
          </w:tcPr>
          <w:p>
            <w:pPr>
              <w:pStyle w:val="TableParagraph"/>
              <w:spacing w:line="240" w:lineRule="auto" w:before="76"/>
              <w:ind w:left="53" w:right="0"/>
              <w:jc w:val="left"/>
              <w:rPr>
                <w:rFonts w:ascii="Times New Roman" w:hAnsi="Times New Roman" w:cs="Times New Roman" w:eastAsia="Times New Roman" w:hint="default"/>
                <w:sz w:val="16"/>
                <w:szCs w:val="16"/>
              </w:rPr>
            </w:pPr>
            <w:r>
              <w:rPr>
                <w:rFonts w:ascii="Times New Roman"/>
                <w:w w:val="100"/>
                <w:sz w:val="16"/>
              </w:rPr>
              <w:t>-</w:t>
            </w:r>
          </w:p>
        </w:tc>
      </w:tr>
      <w:tr>
        <w:trPr>
          <w:trHeight w:val="305" w:hRule="exact"/>
        </w:trPr>
        <w:tc>
          <w:tcPr>
            <w:tcW w:w="2729" w:type="dxa"/>
            <w:tcBorders>
              <w:top w:val="single" w:sz="4" w:space="0" w:color="000000"/>
              <w:left w:val="nil" w:sz="6" w:space="0" w:color="auto"/>
              <w:bottom w:val="single" w:sz="12" w:space="0" w:color="000000"/>
              <w:right w:val="nil" w:sz="6" w:space="0" w:color="auto"/>
            </w:tcBorders>
          </w:tcPr>
          <w:p>
            <w:pPr>
              <w:pStyle w:val="TableParagraph"/>
              <w:spacing w:line="240" w:lineRule="auto" w:before="51"/>
              <w:ind w:left="69" w:right="0"/>
              <w:jc w:val="left"/>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c>
        <w:tc>
          <w:tcPr>
            <w:tcW w:w="1375"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155"/>
              <w:jc w:val="right"/>
              <w:rPr>
                <w:rFonts w:ascii="Times New Roman" w:hAnsi="Times New Roman" w:cs="Times New Roman" w:eastAsia="Times New Roman" w:hint="default"/>
                <w:sz w:val="16"/>
                <w:szCs w:val="16"/>
              </w:rPr>
            </w:pPr>
            <w:r>
              <w:rPr>
                <w:rFonts w:ascii="Times New Roman"/>
                <w:b/>
                <w:spacing w:val="-1"/>
                <w:sz w:val="16"/>
              </w:rPr>
              <w:t>416,652,806.44</w:t>
            </w:r>
            <w:r>
              <w:rPr>
                <w:rFonts w:ascii="Times New Roman"/>
                <w:spacing w:val="-1"/>
                <w:sz w:val="16"/>
              </w:rPr>
            </w:r>
          </w:p>
        </w:tc>
        <w:tc>
          <w:tcPr>
            <w:tcW w:w="1216"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56"/>
              <w:jc w:val="right"/>
              <w:rPr>
                <w:rFonts w:ascii="Times New Roman" w:hAnsi="Times New Roman" w:cs="Times New Roman" w:eastAsia="Times New Roman" w:hint="default"/>
                <w:sz w:val="16"/>
                <w:szCs w:val="16"/>
              </w:rPr>
            </w:pPr>
            <w:r>
              <w:rPr>
                <w:rFonts w:ascii="Times New Roman"/>
                <w:b/>
                <w:spacing w:val="-1"/>
                <w:sz w:val="16"/>
              </w:rPr>
              <w:t>288,427,221.78</w:t>
            </w:r>
            <w:r>
              <w:rPr>
                <w:rFonts w:ascii="Times New Roman"/>
                <w:spacing w:val="-1"/>
                <w:sz w:val="16"/>
              </w:rPr>
            </w:r>
          </w:p>
        </w:tc>
        <w:tc>
          <w:tcPr>
            <w:tcW w:w="2496" w:type="dxa"/>
            <w:tcBorders>
              <w:top w:val="single" w:sz="4" w:space="0" w:color="000000"/>
              <w:left w:val="nil" w:sz="6" w:space="0" w:color="auto"/>
              <w:bottom w:val="single" w:sz="12" w:space="0" w:color="000000"/>
              <w:right w:val="nil" w:sz="6" w:space="0" w:color="auto"/>
            </w:tcBorders>
          </w:tcPr>
          <w:p>
            <w:pPr/>
          </w:p>
        </w:tc>
        <w:tc>
          <w:tcPr>
            <w:tcW w:w="965" w:type="dxa"/>
            <w:tcBorders>
              <w:top w:val="single" w:sz="4" w:space="0" w:color="000000"/>
              <w:left w:val="nil" w:sz="6" w:space="0" w:color="auto"/>
              <w:bottom w:val="single" w:sz="12" w:space="0" w:color="000000"/>
              <w:right w:val="nil" w:sz="6" w:space="0" w:color="auto"/>
            </w:tcBorders>
          </w:tcPr>
          <w:p>
            <w:pPr/>
          </w:p>
        </w:tc>
      </w:tr>
    </w:tbl>
    <w:p>
      <w:pPr>
        <w:spacing w:after="0"/>
        <w:sectPr>
          <w:headerReference w:type="default" r:id="rId83"/>
          <w:pgSz w:w="11910" w:h="16840"/>
          <w:pgMar w:header="0" w:footer="816" w:top="560" w:bottom="1000" w:left="1440" w:right="148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8"/>
          <w:szCs w:val="18"/>
        </w:rPr>
      </w:pPr>
    </w:p>
    <w:p>
      <w:pPr>
        <w:spacing w:before="0"/>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54.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营业外支出</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574"/>
        <w:gridCol w:w="1834"/>
        <w:gridCol w:w="1603"/>
        <w:gridCol w:w="2714"/>
      </w:tblGrid>
      <w:tr>
        <w:trPr>
          <w:trHeight w:val="305" w:hRule="exact"/>
        </w:trPr>
        <w:tc>
          <w:tcPr>
            <w:tcW w:w="257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3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311"/>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160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51"/>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c>
          <w:tcPr>
            <w:tcW w:w="271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9"/>
              <w:jc w:val="right"/>
              <w:rPr>
                <w:rFonts w:ascii="宋体" w:hAnsi="宋体" w:cs="宋体" w:eastAsia="宋体" w:hint="default"/>
                <w:sz w:val="18"/>
                <w:szCs w:val="18"/>
              </w:rPr>
            </w:pPr>
            <w:r>
              <w:rPr>
                <w:rFonts w:ascii="宋体" w:hAnsi="宋体" w:cs="宋体" w:eastAsia="宋体" w:hint="default"/>
                <w:b/>
                <w:bCs/>
                <w:w w:val="95"/>
                <w:sz w:val="18"/>
                <w:szCs w:val="18"/>
              </w:rPr>
              <w:t>计入本年非经常性损益的金额</w:t>
            </w:r>
            <w:r>
              <w:rPr>
                <w:rFonts w:ascii="宋体" w:hAnsi="宋体" w:cs="宋体" w:eastAsia="宋体" w:hint="default"/>
                <w:sz w:val="18"/>
                <w:szCs w:val="18"/>
              </w:rPr>
            </w:r>
          </w:p>
        </w:tc>
      </w:tr>
      <w:tr>
        <w:trPr>
          <w:trHeight w:val="325" w:hRule="exact"/>
        </w:trPr>
        <w:tc>
          <w:tcPr>
            <w:tcW w:w="2574"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非流动资产处置损失</w:t>
            </w:r>
          </w:p>
        </w:tc>
        <w:tc>
          <w:tcPr>
            <w:tcW w:w="183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311"/>
              <w:jc w:val="right"/>
              <w:rPr>
                <w:rFonts w:ascii="Times New Roman" w:hAnsi="Times New Roman" w:cs="Times New Roman" w:eastAsia="Times New Roman" w:hint="default"/>
                <w:sz w:val="18"/>
                <w:szCs w:val="18"/>
              </w:rPr>
            </w:pPr>
            <w:r>
              <w:rPr>
                <w:rFonts w:ascii="Times New Roman"/>
                <w:spacing w:val="-1"/>
                <w:sz w:val="18"/>
              </w:rPr>
              <w:t>3,440,305.08</w:t>
            </w:r>
          </w:p>
        </w:tc>
        <w:tc>
          <w:tcPr>
            <w:tcW w:w="1603"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253"/>
              <w:jc w:val="right"/>
              <w:rPr>
                <w:rFonts w:ascii="Times New Roman" w:hAnsi="Times New Roman" w:cs="Times New Roman" w:eastAsia="Times New Roman" w:hint="default"/>
                <w:sz w:val="18"/>
                <w:szCs w:val="18"/>
              </w:rPr>
            </w:pPr>
            <w:r>
              <w:rPr>
                <w:rFonts w:ascii="Times New Roman"/>
                <w:spacing w:val="-1"/>
                <w:sz w:val="18"/>
              </w:rPr>
              <w:t>58,290,610.80</w:t>
            </w:r>
          </w:p>
        </w:tc>
        <w:tc>
          <w:tcPr>
            <w:tcW w:w="271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3,440,305.08</w:t>
            </w:r>
          </w:p>
        </w:tc>
      </w:tr>
      <w:tr>
        <w:trPr>
          <w:trHeight w:val="284" w:hRule="exact"/>
        </w:trPr>
        <w:tc>
          <w:tcPr>
            <w:tcW w:w="257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11"/>
              <w:jc w:val="right"/>
              <w:rPr>
                <w:rFonts w:ascii="Times New Roman" w:hAnsi="Times New Roman" w:cs="Times New Roman" w:eastAsia="Times New Roman" w:hint="default"/>
                <w:sz w:val="18"/>
                <w:szCs w:val="18"/>
              </w:rPr>
            </w:pPr>
            <w:r>
              <w:rPr>
                <w:rFonts w:ascii="Times New Roman"/>
                <w:spacing w:val="-1"/>
                <w:sz w:val="18"/>
              </w:rPr>
              <w:t>3,434,094.21</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53"/>
              <w:jc w:val="right"/>
              <w:rPr>
                <w:rFonts w:ascii="Times New Roman" w:hAnsi="Times New Roman" w:cs="Times New Roman" w:eastAsia="Times New Roman" w:hint="default"/>
                <w:sz w:val="18"/>
                <w:szCs w:val="18"/>
              </w:rPr>
            </w:pPr>
            <w:r>
              <w:rPr>
                <w:rFonts w:ascii="Times New Roman"/>
                <w:spacing w:val="-1"/>
                <w:sz w:val="18"/>
              </w:rPr>
              <w:t>21,699,592.86</w:t>
            </w:r>
          </w:p>
        </w:tc>
        <w:tc>
          <w:tcPr>
            <w:tcW w:w="27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3,434,094.21</w:t>
            </w:r>
          </w:p>
        </w:tc>
      </w:tr>
      <w:tr>
        <w:trPr>
          <w:trHeight w:val="284" w:hRule="exact"/>
        </w:trPr>
        <w:tc>
          <w:tcPr>
            <w:tcW w:w="2574" w:type="dxa"/>
            <w:tcBorders>
              <w:top w:val="nil" w:sz="6" w:space="0" w:color="auto"/>
              <w:left w:val="nil" w:sz="6" w:space="0" w:color="auto"/>
              <w:bottom w:val="nil" w:sz="6" w:space="0" w:color="auto"/>
              <w:right w:val="nil" w:sz="6" w:space="0" w:color="auto"/>
            </w:tcBorders>
          </w:tcPr>
          <w:p>
            <w:pPr>
              <w:pStyle w:val="TableParagraph"/>
              <w:spacing w:line="222" w:lineRule="exact"/>
              <w:ind w:left="647" w:right="0"/>
              <w:jc w:val="left"/>
              <w:rPr>
                <w:rFonts w:ascii="宋体" w:hAnsi="宋体" w:cs="宋体" w:eastAsia="宋体" w:hint="default"/>
                <w:sz w:val="18"/>
                <w:szCs w:val="18"/>
              </w:rPr>
            </w:pPr>
            <w:r>
              <w:rPr>
                <w:rFonts w:ascii="宋体" w:hAnsi="宋体" w:cs="宋体" w:eastAsia="宋体" w:hint="default"/>
                <w:sz w:val="18"/>
                <w:szCs w:val="18"/>
              </w:rPr>
              <w:t>无形资产处置损失</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11"/>
              <w:jc w:val="right"/>
              <w:rPr>
                <w:rFonts w:ascii="Times New Roman" w:hAnsi="Times New Roman" w:cs="Times New Roman" w:eastAsia="Times New Roman" w:hint="default"/>
                <w:sz w:val="18"/>
                <w:szCs w:val="18"/>
              </w:rPr>
            </w:pPr>
            <w:r>
              <w:rPr>
                <w:rFonts w:ascii="Times New Roman"/>
                <w:w w:val="95"/>
                <w:sz w:val="18"/>
              </w:rPr>
              <w:t>6,210.87</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51"/>
              <w:jc w:val="right"/>
              <w:rPr>
                <w:rFonts w:ascii="Times New Roman" w:hAnsi="Times New Roman" w:cs="Times New Roman" w:eastAsia="Times New Roman" w:hint="default"/>
                <w:sz w:val="18"/>
                <w:szCs w:val="18"/>
              </w:rPr>
            </w:pPr>
            <w:r>
              <w:rPr>
                <w:rFonts w:ascii="Times New Roman"/>
                <w:spacing w:val="-1"/>
                <w:sz w:val="18"/>
              </w:rPr>
              <w:t>9,674,390.42</w:t>
            </w:r>
          </w:p>
        </w:tc>
        <w:tc>
          <w:tcPr>
            <w:tcW w:w="271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w w:val="95"/>
                <w:sz w:val="18"/>
              </w:rPr>
              <w:t>6,210.87</w:t>
            </w:r>
          </w:p>
        </w:tc>
      </w:tr>
      <w:tr>
        <w:trPr>
          <w:trHeight w:val="286" w:hRule="exact"/>
        </w:trPr>
        <w:tc>
          <w:tcPr>
            <w:tcW w:w="257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11"/>
              <w:jc w:val="right"/>
              <w:rPr>
                <w:rFonts w:ascii="Times New Roman" w:hAnsi="Times New Roman" w:cs="Times New Roman" w:eastAsia="Times New Roman" w:hint="default"/>
                <w:sz w:val="18"/>
                <w:szCs w:val="18"/>
              </w:rPr>
            </w:pPr>
            <w:r>
              <w:rPr>
                <w:rFonts w:ascii="Times New Roman"/>
                <w:spacing w:val="-1"/>
                <w:sz w:val="18"/>
              </w:rPr>
              <w:t>1,625,029.52</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51"/>
              <w:jc w:val="right"/>
              <w:rPr>
                <w:rFonts w:ascii="Times New Roman" w:hAnsi="Times New Roman" w:cs="Times New Roman" w:eastAsia="Times New Roman" w:hint="default"/>
                <w:sz w:val="18"/>
                <w:szCs w:val="18"/>
              </w:rPr>
            </w:pPr>
            <w:r>
              <w:rPr>
                <w:rFonts w:ascii="Times New Roman"/>
                <w:spacing w:val="-1"/>
                <w:sz w:val="18"/>
              </w:rPr>
              <w:t>3,612,855.70</w:t>
            </w:r>
          </w:p>
        </w:tc>
        <w:tc>
          <w:tcPr>
            <w:tcW w:w="27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1,625,029.52</w:t>
            </w:r>
          </w:p>
        </w:tc>
      </w:tr>
      <w:tr>
        <w:trPr>
          <w:trHeight w:val="255" w:hRule="exact"/>
        </w:trPr>
        <w:tc>
          <w:tcPr>
            <w:tcW w:w="2574"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3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311"/>
              <w:jc w:val="right"/>
              <w:rPr>
                <w:rFonts w:ascii="Times New Roman" w:hAnsi="Times New Roman" w:cs="Times New Roman" w:eastAsia="Times New Roman" w:hint="default"/>
                <w:sz w:val="18"/>
                <w:szCs w:val="18"/>
              </w:rPr>
            </w:pPr>
            <w:r>
              <w:rPr>
                <w:rFonts w:ascii="Times New Roman"/>
                <w:spacing w:val="-1"/>
                <w:sz w:val="18"/>
              </w:rPr>
              <w:t>7,063,200.64</w:t>
            </w:r>
          </w:p>
        </w:tc>
        <w:tc>
          <w:tcPr>
            <w:tcW w:w="1603"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251"/>
              <w:jc w:val="right"/>
              <w:rPr>
                <w:rFonts w:ascii="Times New Roman" w:hAnsi="Times New Roman" w:cs="Times New Roman" w:eastAsia="Times New Roman" w:hint="default"/>
                <w:sz w:val="18"/>
                <w:szCs w:val="18"/>
              </w:rPr>
            </w:pPr>
            <w:r>
              <w:rPr>
                <w:rFonts w:ascii="Times New Roman"/>
                <w:spacing w:val="-1"/>
                <w:sz w:val="18"/>
              </w:rPr>
              <w:t>23,534,362.30</w:t>
            </w:r>
          </w:p>
        </w:tc>
        <w:tc>
          <w:tcPr>
            <w:tcW w:w="271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7,063,200.64</w:t>
            </w:r>
          </w:p>
        </w:tc>
      </w:tr>
      <w:tr>
        <w:trPr>
          <w:trHeight w:val="307" w:hRule="exact"/>
        </w:trPr>
        <w:tc>
          <w:tcPr>
            <w:tcW w:w="2574"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3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311"/>
              <w:jc w:val="right"/>
              <w:rPr>
                <w:rFonts w:ascii="Times New Roman" w:hAnsi="Times New Roman" w:cs="Times New Roman" w:eastAsia="Times New Roman" w:hint="default"/>
                <w:sz w:val="18"/>
                <w:szCs w:val="18"/>
              </w:rPr>
            </w:pPr>
            <w:r>
              <w:rPr>
                <w:rFonts w:ascii="Times New Roman"/>
                <w:b/>
                <w:spacing w:val="-1"/>
                <w:sz w:val="18"/>
              </w:rPr>
              <w:t>12,128,535.24</w:t>
            </w:r>
            <w:r>
              <w:rPr>
                <w:rFonts w:ascii="Times New Roman"/>
                <w:spacing w:val="-1"/>
                <w:sz w:val="18"/>
              </w:rPr>
            </w:r>
          </w:p>
        </w:tc>
        <w:tc>
          <w:tcPr>
            <w:tcW w:w="160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253"/>
              <w:jc w:val="right"/>
              <w:rPr>
                <w:rFonts w:ascii="Times New Roman" w:hAnsi="Times New Roman" w:cs="Times New Roman" w:eastAsia="Times New Roman" w:hint="default"/>
                <w:sz w:val="18"/>
                <w:szCs w:val="18"/>
              </w:rPr>
            </w:pPr>
            <w:r>
              <w:rPr>
                <w:rFonts w:ascii="Times New Roman"/>
                <w:b/>
                <w:spacing w:val="-1"/>
                <w:sz w:val="18"/>
              </w:rPr>
              <w:t>85,437,828.80</w:t>
            </w:r>
            <w:r>
              <w:rPr>
                <w:rFonts w:ascii="Times New Roman"/>
                <w:spacing w:val="-1"/>
                <w:sz w:val="18"/>
              </w:rPr>
            </w:r>
          </w:p>
        </w:tc>
        <w:tc>
          <w:tcPr>
            <w:tcW w:w="271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10"/>
              <w:jc w:val="right"/>
              <w:rPr>
                <w:rFonts w:ascii="Times New Roman" w:hAnsi="Times New Roman" w:cs="Times New Roman" w:eastAsia="Times New Roman" w:hint="default"/>
                <w:sz w:val="18"/>
                <w:szCs w:val="18"/>
              </w:rPr>
            </w:pPr>
            <w:r>
              <w:rPr>
                <w:rFonts w:ascii="Times New Roman"/>
                <w:b/>
                <w:spacing w:val="-1"/>
                <w:sz w:val="18"/>
              </w:rPr>
              <w:t>12,128,535.24</w:t>
            </w:r>
            <w:r>
              <w:rPr>
                <w:rFonts w:ascii="Times New Roman"/>
                <w:spacing w:val="-1"/>
                <w:sz w:val="18"/>
              </w:rPr>
            </w:r>
          </w:p>
        </w:tc>
      </w:tr>
    </w:tbl>
    <w:p>
      <w:pPr>
        <w:spacing w:before="81"/>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55.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所得税费用</w:t>
      </w:r>
    </w:p>
    <w:p>
      <w:pPr>
        <w:spacing w:line="240" w:lineRule="auto" w:before="5"/>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945"/>
        <w:gridCol w:w="3655"/>
        <w:gridCol w:w="2125"/>
      </w:tblGrid>
      <w:tr>
        <w:trPr>
          <w:trHeight w:val="305" w:hRule="exact"/>
        </w:trPr>
        <w:tc>
          <w:tcPr>
            <w:tcW w:w="294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65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90"/>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212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25" w:hRule="exact"/>
        </w:trPr>
        <w:tc>
          <w:tcPr>
            <w:tcW w:w="2945"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当年所得税费用</w:t>
            </w:r>
          </w:p>
        </w:tc>
        <w:tc>
          <w:tcPr>
            <w:tcW w:w="365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889"/>
              <w:jc w:val="right"/>
              <w:rPr>
                <w:rFonts w:ascii="Times New Roman" w:hAnsi="Times New Roman" w:cs="Times New Roman" w:eastAsia="Times New Roman" w:hint="default"/>
                <w:sz w:val="18"/>
                <w:szCs w:val="18"/>
              </w:rPr>
            </w:pPr>
            <w:r>
              <w:rPr>
                <w:rFonts w:ascii="Times New Roman"/>
                <w:spacing w:val="-1"/>
                <w:sz w:val="18"/>
              </w:rPr>
              <w:t>280,567,763.09</w:t>
            </w:r>
          </w:p>
        </w:tc>
        <w:tc>
          <w:tcPr>
            <w:tcW w:w="212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4"/>
              <w:jc w:val="right"/>
              <w:rPr>
                <w:rFonts w:ascii="Times New Roman" w:hAnsi="Times New Roman" w:cs="Times New Roman" w:eastAsia="Times New Roman" w:hint="default"/>
                <w:sz w:val="18"/>
                <w:szCs w:val="18"/>
              </w:rPr>
            </w:pPr>
            <w:r>
              <w:rPr>
                <w:rFonts w:ascii="Times New Roman"/>
                <w:spacing w:val="-1"/>
                <w:sz w:val="18"/>
              </w:rPr>
              <w:t>221,227,209.56</w:t>
            </w:r>
          </w:p>
        </w:tc>
      </w:tr>
      <w:tr>
        <w:trPr>
          <w:trHeight w:val="256" w:hRule="exact"/>
        </w:trPr>
        <w:tc>
          <w:tcPr>
            <w:tcW w:w="2945"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65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981"/>
              <w:jc w:val="right"/>
              <w:rPr>
                <w:rFonts w:ascii="Times New Roman" w:hAnsi="Times New Roman" w:cs="Times New Roman" w:eastAsia="Times New Roman" w:hint="default"/>
                <w:sz w:val="18"/>
                <w:szCs w:val="18"/>
              </w:rPr>
            </w:pPr>
            <w:r>
              <w:rPr>
                <w:rFonts w:ascii="Times New Roman"/>
                <w:spacing w:val="-1"/>
                <w:sz w:val="18"/>
              </w:rPr>
              <w:t>-70,011,792.78</w:t>
            </w:r>
          </w:p>
        </w:tc>
        <w:tc>
          <w:tcPr>
            <w:tcW w:w="212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4"/>
              <w:jc w:val="right"/>
              <w:rPr>
                <w:rFonts w:ascii="Times New Roman" w:hAnsi="Times New Roman" w:cs="Times New Roman" w:eastAsia="Times New Roman" w:hint="default"/>
                <w:sz w:val="18"/>
                <w:szCs w:val="18"/>
              </w:rPr>
            </w:pPr>
            <w:r>
              <w:rPr>
                <w:rFonts w:ascii="Times New Roman"/>
                <w:spacing w:val="-1"/>
                <w:sz w:val="18"/>
              </w:rPr>
              <w:t>-11,457,858.04</w:t>
            </w:r>
          </w:p>
        </w:tc>
      </w:tr>
      <w:tr>
        <w:trPr>
          <w:trHeight w:val="307" w:hRule="exact"/>
        </w:trPr>
        <w:tc>
          <w:tcPr>
            <w:tcW w:w="2945"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65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889"/>
              <w:jc w:val="right"/>
              <w:rPr>
                <w:rFonts w:ascii="Times New Roman" w:hAnsi="Times New Roman" w:cs="Times New Roman" w:eastAsia="Times New Roman" w:hint="default"/>
                <w:sz w:val="18"/>
                <w:szCs w:val="18"/>
              </w:rPr>
            </w:pPr>
            <w:r>
              <w:rPr>
                <w:rFonts w:ascii="Times New Roman"/>
                <w:b/>
                <w:spacing w:val="-1"/>
                <w:sz w:val="18"/>
              </w:rPr>
              <w:t>210,555,970.31</w:t>
            </w:r>
            <w:r>
              <w:rPr>
                <w:rFonts w:ascii="Times New Roman"/>
                <w:spacing w:val="-1"/>
                <w:sz w:val="18"/>
              </w:rPr>
            </w:r>
          </w:p>
        </w:tc>
        <w:tc>
          <w:tcPr>
            <w:tcW w:w="212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b/>
                <w:spacing w:val="-1"/>
                <w:sz w:val="18"/>
              </w:rPr>
              <w:t>209,769,351.52</w:t>
            </w:r>
            <w:r>
              <w:rPr>
                <w:rFonts w:ascii="Times New Roman"/>
                <w:spacing w:val="-1"/>
                <w:sz w:val="18"/>
              </w:rPr>
            </w:r>
          </w:p>
        </w:tc>
      </w:tr>
    </w:tbl>
    <w:p>
      <w:pPr>
        <w:spacing w:before="81"/>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56.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其他综合收益</w:t>
      </w:r>
    </w:p>
    <w:p>
      <w:pPr>
        <w:spacing w:before="110"/>
        <w:ind w:left="605" w:right="0" w:firstLine="0"/>
        <w:jc w:val="left"/>
        <w:rPr>
          <w:rFonts w:ascii="宋体" w:hAnsi="宋体" w:cs="宋体" w:eastAsia="宋体" w:hint="default"/>
          <w:sz w:val="22"/>
          <w:szCs w:val="22"/>
        </w:rPr>
      </w:pPr>
      <w:r>
        <w:rPr>
          <w:rFonts w:ascii="宋体" w:hAnsi="宋体" w:cs="宋体" w:eastAsia="宋体" w:hint="default"/>
          <w:sz w:val="22"/>
          <w:szCs w:val="22"/>
        </w:rPr>
        <w:t>详见本附注“六、</w:t>
      </w:r>
      <w:r>
        <w:rPr>
          <w:rFonts w:ascii="Times New Roman" w:hAnsi="Times New Roman" w:cs="Times New Roman" w:eastAsia="Times New Roman" w:hint="default"/>
          <w:sz w:val="22"/>
          <w:szCs w:val="22"/>
        </w:rPr>
        <w:t>42</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其他综合收益”相关内容。</w:t>
      </w:r>
    </w:p>
    <w:p>
      <w:pPr>
        <w:spacing w:before="113"/>
        <w:ind w:left="62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57. </w:t>
      </w:r>
      <w:r>
        <w:rPr>
          <w:rFonts w:ascii="Times New Roman" w:hAnsi="Times New Roman" w:cs="Times New Roman" w:eastAsia="Times New Roman" w:hint="default"/>
          <w:b/>
          <w:bCs/>
          <w:spacing w:val="13"/>
          <w:sz w:val="22"/>
          <w:szCs w:val="22"/>
        </w:rPr>
        <w:t> </w:t>
      </w:r>
      <w:r>
        <w:rPr>
          <w:rFonts w:ascii="宋体" w:hAnsi="宋体" w:cs="宋体" w:eastAsia="宋体" w:hint="default"/>
          <w:sz w:val="22"/>
          <w:szCs w:val="22"/>
        </w:rPr>
        <w:t>现金流量表项目</w:t>
      </w:r>
    </w:p>
    <w:p>
      <w:pPr>
        <w:spacing w:before="110"/>
        <w:ind w:left="67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27"/>
          <w:sz w:val="22"/>
          <w:szCs w:val="22"/>
        </w:rPr>
        <w:t> </w:t>
      </w:r>
      <w:r>
        <w:rPr>
          <w:rFonts w:ascii="宋体" w:hAnsi="宋体" w:cs="宋体" w:eastAsia="宋体" w:hint="default"/>
          <w:sz w:val="22"/>
          <w:szCs w:val="22"/>
        </w:rPr>
        <w:t>收到</w:t>
      </w:r>
      <w:r>
        <w:rPr>
          <w:rFonts w:ascii="Times New Roman" w:hAnsi="Times New Roman" w:cs="Times New Roman" w:eastAsia="Times New Roman" w:hint="default"/>
          <w:sz w:val="22"/>
          <w:szCs w:val="22"/>
        </w:rPr>
        <w:t>/</w:t>
      </w:r>
      <w:r>
        <w:rPr>
          <w:rFonts w:ascii="宋体" w:hAnsi="宋体" w:cs="宋体" w:eastAsia="宋体" w:hint="default"/>
          <w:sz w:val="22"/>
          <w:szCs w:val="22"/>
        </w:rPr>
        <w:t>支付的其他与经营</w:t>
      </w:r>
      <w:r>
        <w:rPr>
          <w:rFonts w:ascii="Times New Roman" w:hAnsi="Times New Roman" w:cs="Times New Roman" w:eastAsia="Times New Roman" w:hint="default"/>
          <w:sz w:val="22"/>
          <w:szCs w:val="22"/>
        </w:rPr>
        <w:t>/</w:t>
      </w:r>
      <w:r>
        <w:rPr>
          <w:rFonts w:ascii="宋体" w:hAnsi="宋体" w:cs="宋体" w:eastAsia="宋体" w:hint="default"/>
          <w:sz w:val="22"/>
          <w:szCs w:val="22"/>
        </w:rPr>
        <w:t>投资</w:t>
      </w:r>
      <w:r>
        <w:rPr>
          <w:rFonts w:ascii="Times New Roman" w:hAnsi="Times New Roman" w:cs="Times New Roman" w:eastAsia="Times New Roman" w:hint="default"/>
          <w:sz w:val="22"/>
          <w:szCs w:val="22"/>
        </w:rPr>
        <w:t>/</w:t>
      </w:r>
      <w:r>
        <w:rPr>
          <w:rFonts w:ascii="宋体" w:hAnsi="宋体" w:cs="宋体" w:eastAsia="宋体" w:hint="default"/>
          <w:sz w:val="22"/>
          <w:szCs w:val="22"/>
        </w:rPr>
        <w:t>筹资活动有关的现金</w:t>
      </w:r>
    </w:p>
    <w:p>
      <w:pPr>
        <w:spacing w:before="113"/>
        <w:ind w:left="821"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6"/>
          <w:sz w:val="22"/>
          <w:szCs w:val="22"/>
        </w:rPr>
        <w:t> </w:t>
      </w:r>
      <w:r>
        <w:rPr>
          <w:rFonts w:ascii="宋体" w:hAnsi="宋体" w:cs="宋体" w:eastAsia="宋体" w:hint="default"/>
          <w:sz w:val="22"/>
          <w:szCs w:val="22"/>
        </w:rPr>
        <w:t>收到的其他与经营活动有关的现金</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818"/>
        <w:gridCol w:w="3714"/>
        <w:gridCol w:w="2194"/>
      </w:tblGrid>
      <w:tr>
        <w:trPr>
          <w:trHeight w:val="274" w:hRule="exact"/>
        </w:trPr>
        <w:tc>
          <w:tcPr>
            <w:tcW w:w="2818" w:type="dxa"/>
            <w:tcBorders>
              <w:top w:val="single" w:sz="12" w:space="0" w:color="000000"/>
              <w:left w:val="nil" w:sz="6" w:space="0" w:color="auto"/>
              <w:bottom w:val="single" w:sz="4" w:space="0" w:color="000000"/>
              <w:right w:val="nil" w:sz="6" w:space="0" w:color="auto"/>
            </w:tcBorders>
          </w:tcPr>
          <w:p>
            <w:pPr>
              <w:pStyle w:val="TableParagraph"/>
              <w:spacing w:line="227" w:lineRule="exact"/>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714" w:type="dxa"/>
            <w:tcBorders>
              <w:top w:val="single" w:sz="12" w:space="0" w:color="000000"/>
              <w:left w:val="nil" w:sz="6" w:space="0" w:color="auto"/>
              <w:bottom w:val="single" w:sz="4" w:space="0" w:color="000000"/>
              <w:right w:val="nil" w:sz="6" w:space="0" w:color="auto"/>
            </w:tcBorders>
          </w:tcPr>
          <w:p>
            <w:pPr>
              <w:pStyle w:val="TableParagraph"/>
              <w:spacing w:line="227" w:lineRule="exact"/>
              <w:ind w:right="821"/>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2194" w:type="dxa"/>
            <w:tcBorders>
              <w:top w:val="single" w:sz="12" w:space="0" w:color="000000"/>
              <w:left w:val="nil" w:sz="6" w:space="0" w:color="auto"/>
              <w:bottom w:val="single" w:sz="4" w:space="0" w:color="000000"/>
              <w:right w:val="nil" w:sz="6" w:space="0" w:color="auto"/>
            </w:tcBorders>
          </w:tcPr>
          <w:p>
            <w:pPr>
              <w:pStyle w:val="TableParagraph"/>
              <w:spacing w:line="227" w:lineRule="exact"/>
              <w:ind w:right="106"/>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12" w:hRule="exact"/>
        </w:trPr>
        <w:tc>
          <w:tcPr>
            <w:tcW w:w="2818" w:type="dxa"/>
            <w:tcBorders>
              <w:top w:val="single" w:sz="4" w:space="0" w:color="000000"/>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18"/>
                <w:szCs w:val="18"/>
              </w:rPr>
            </w:pPr>
            <w:r>
              <w:rPr>
                <w:rFonts w:ascii="宋体" w:hAnsi="宋体" w:cs="宋体" w:eastAsia="宋体" w:hint="default"/>
                <w:sz w:val="18"/>
                <w:szCs w:val="18"/>
              </w:rPr>
              <w:t>各项政府补助</w:t>
            </w:r>
          </w:p>
        </w:tc>
        <w:tc>
          <w:tcPr>
            <w:tcW w:w="3714" w:type="dxa"/>
            <w:tcBorders>
              <w:top w:val="single" w:sz="4" w:space="0" w:color="000000"/>
              <w:left w:val="nil" w:sz="6" w:space="0" w:color="auto"/>
              <w:bottom w:val="nil" w:sz="6" w:space="0" w:color="auto"/>
              <w:right w:val="nil" w:sz="6" w:space="0" w:color="auto"/>
            </w:tcBorders>
          </w:tcPr>
          <w:p>
            <w:pPr>
              <w:pStyle w:val="TableParagraph"/>
              <w:spacing w:line="240" w:lineRule="auto" w:before="62"/>
              <w:ind w:right="821"/>
              <w:jc w:val="right"/>
              <w:rPr>
                <w:rFonts w:ascii="Times New Roman" w:hAnsi="Times New Roman" w:cs="Times New Roman" w:eastAsia="Times New Roman" w:hint="default"/>
                <w:sz w:val="18"/>
                <w:szCs w:val="18"/>
              </w:rPr>
            </w:pPr>
            <w:r>
              <w:rPr>
                <w:rFonts w:ascii="Times New Roman"/>
                <w:spacing w:val="-1"/>
                <w:sz w:val="18"/>
              </w:rPr>
              <w:t>399,523,000.53</w:t>
            </w:r>
          </w:p>
        </w:tc>
        <w:tc>
          <w:tcPr>
            <w:tcW w:w="2194" w:type="dxa"/>
            <w:tcBorders>
              <w:top w:val="single" w:sz="4" w:space="0" w:color="000000"/>
              <w:left w:val="nil" w:sz="6" w:space="0" w:color="auto"/>
              <w:bottom w:val="nil" w:sz="6" w:space="0" w:color="auto"/>
              <w:right w:val="nil" w:sz="6" w:space="0" w:color="auto"/>
            </w:tcBorders>
          </w:tcPr>
          <w:p>
            <w:pPr>
              <w:pStyle w:val="TableParagraph"/>
              <w:spacing w:line="240" w:lineRule="auto" w:before="62"/>
              <w:ind w:right="105"/>
              <w:jc w:val="right"/>
              <w:rPr>
                <w:rFonts w:ascii="Times New Roman" w:hAnsi="Times New Roman" w:cs="Times New Roman" w:eastAsia="Times New Roman" w:hint="default"/>
                <w:sz w:val="18"/>
                <w:szCs w:val="18"/>
              </w:rPr>
            </w:pPr>
            <w:r>
              <w:rPr>
                <w:rFonts w:ascii="Times New Roman"/>
                <w:spacing w:val="-1"/>
                <w:sz w:val="18"/>
              </w:rPr>
              <w:t>377,265,258.45</w:t>
            </w:r>
          </w:p>
        </w:tc>
      </w:tr>
      <w:tr>
        <w:trPr>
          <w:trHeight w:val="284"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21"/>
              <w:jc w:val="right"/>
              <w:rPr>
                <w:rFonts w:ascii="Times New Roman" w:hAnsi="Times New Roman" w:cs="Times New Roman" w:eastAsia="Times New Roman" w:hint="default"/>
                <w:sz w:val="18"/>
                <w:szCs w:val="18"/>
              </w:rPr>
            </w:pPr>
            <w:r>
              <w:rPr>
                <w:rFonts w:ascii="Times New Roman"/>
                <w:spacing w:val="-1"/>
                <w:sz w:val="18"/>
              </w:rPr>
              <w:t>161,352,369.28</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305,649,682.10</w:t>
            </w:r>
          </w:p>
        </w:tc>
      </w:tr>
      <w:tr>
        <w:trPr>
          <w:trHeight w:val="285"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1"/>
              <w:jc w:val="right"/>
              <w:rPr>
                <w:rFonts w:ascii="Times New Roman" w:hAnsi="Times New Roman" w:cs="Times New Roman" w:eastAsia="Times New Roman" w:hint="default"/>
                <w:sz w:val="18"/>
                <w:szCs w:val="18"/>
              </w:rPr>
            </w:pPr>
            <w:r>
              <w:rPr>
                <w:rFonts w:ascii="Times New Roman"/>
                <w:spacing w:val="-1"/>
                <w:sz w:val="18"/>
              </w:rPr>
              <w:t>393,361,000.77</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283,131,242.19</w:t>
            </w:r>
          </w:p>
        </w:tc>
      </w:tr>
      <w:tr>
        <w:trPr>
          <w:trHeight w:val="283"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代收款</w:t>
            </w:r>
          </w:p>
        </w:tc>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21"/>
              <w:jc w:val="right"/>
              <w:rPr>
                <w:rFonts w:ascii="Times New Roman" w:hAnsi="Times New Roman" w:cs="Times New Roman" w:eastAsia="Times New Roman" w:hint="default"/>
                <w:sz w:val="18"/>
                <w:szCs w:val="18"/>
              </w:rPr>
            </w:pPr>
            <w:r>
              <w:rPr>
                <w:rFonts w:ascii="Times New Roman"/>
                <w:spacing w:val="-1"/>
                <w:sz w:val="18"/>
              </w:rPr>
              <w:t>295,550,382.13</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161,198,658.88</w:t>
            </w:r>
          </w:p>
        </w:tc>
      </w:tr>
      <w:tr>
        <w:trPr>
          <w:trHeight w:val="284"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24"/>
              <w:jc w:val="right"/>
              <w:rPr>
                <w:rFonts w:ascii="Times New Roman" w:hAnsi="Times New Roman" w:cs="Times New Roman" w:eastAsia="Times New Roman" w:hint="default"/>
                <w:sz w:val="18"/>
                <w:szCs w:val="18"/>
              </w:rPr>
            </w:pPr>
            <w:r>
              <w:rPr>
                <w:rFonts w:ascii="Times New Roman"/>
                <w:spacing w:val="-1"/>
                <w:sz w:val="18"/>
              </w:rPr>
              <w:t>97,645,543.16</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79,316,862.54</w:t>
            </w:r>
          </w:p>
        </w:tc>
      </w:tr>
      <w:tr>
        <w:trPr>
          <w:trHeight w:val="284"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4"/>
              <w:jc w:val="right"/>
              <w:rPr>
                <w:rFonts w:ascii="Times New Roman" w:hAnsi="Times New Roman" w:cs="Times New Roman" w:eastAsia="Times New Roman" w:hint="default"/>
                <w:sz w:val="18"/>
                <w:szCs w:val="18"/>
              </w:rPr>
            </w:pPr>
            <w:r>
              <w:rPr>
                <w:rFonts w:ascii="Times New Roman"/>
                <w:spacing w:val="-1"/>
                <w:sz w:val="18"/>
              </w:rPr>
              <w:t>28,246,238.65</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61,444,803.69</w:t>
            </w:r>
          </w:p>
        </w:tc>
      </w:tr>
      <w:tr>
        <w:trPr>
          <w:trHeight w:val="283" w:hRule="exact"/>
        </w:trPr>
        <w:tc>
          <w:tcPr>
            <w:tcW w:w="2818"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保险理赔款</w:t>
            </w:r>
          </w:p>
        </w:tc>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23"/>
              <w:jc w:val="right"/>
              <w:rPr>
                <w:rFonts w:ascii="Times New Roman" w:hAnsi="Times New Roman" w:cs="Times New Roman" w:eastAsia="Times New Roman" w:hint="default"/>
                <w:sz w:val="18"/>
                <w:szCs w:val="18"/>
              </w:rPr>
            </w:pPr>
            <w:r>
              <w:rPr>
                <w:rFonts w:ascii="Times New Roman"/>
                <w:spacing w:val="-1"/>
                <w:sz w:val="18"/>
              </w:rPr>
              <w:t>0.00</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26,626,529.39</w:t>
            </w:r>
          </w:p>
        </w:tc>
      </w:tr>
      <w:tr>
        <w:trPr>
          <w:trHeight w:val="257" w:hRule="exact"/>
        </w:trPr>
        <w:tc>
          <w:tcPr>
            <w:tcW w:w="2818" w:type="dxa"/>
            <w:tcBorders>
              <w:top w:val="nil" w:sz="6" w:space="0" w:color="auto"/>
              <w:left w:val="nil" w:sz="6" w:space="0" w:color="auto"/>
              <w:bottom w:val="single" w:sz="4" w:space="0" w:color="000000"/>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714"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821"/>
              <w:jc w:val="right"/>
              <w:rPr>
                <w:rFonts w:ascii="Times New Roman" w:hAnsi="Times New Roman" w:cs="Times New Roman" w:eastAsia="Times New Roman" w:hint="default"/>
                <w:sz w:val="18"/>
                <w:szCs w:val="18"/>
              </w:rPr>
            </w:pPr>
            <w:r>
              <w:rPr>
                <w:rFonts w:ascii="Times New Roman"/>
                <w:spacing w:val="-1"/>
                <w:sz w:val="18"/>
              </w:rPr>
              <w:t>8,766,088.91</w:t>
            </w:r>
          </w:p>
        </w:tc>
        <w:tc>
          <w:tcPr>
            <w:tcW w:w="2194"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11,968,578.99</w:t>
            </w:r>
          </w:p>
        </w:tc>
      </w:tr>
      <w:tr>
        <w:trPr>
          <w:trHeight w:val="293" w:hRule="exact"/>
        </w:trPr>
        <w:tc>
          <w:tcPr>
            <w:tcW w:w="2818" w:type="dxa"/>
            <w:tcBorders>
              <w:top w:val="single" w:sz="4" w:space="0" w:color="000000"/>
              <w:left w:val="nil" w:sz="6" w:space="0" w:color="auto"/>
              <w:bottom w:val="single" w:sz="12" w:space="0" w:color="000000"/>
              <w:right w:val="nil" w:sz="6" w:space="0" w:color="auto"/>
            </w:tcBorders>
          </w:tcPr>
          <w:p>
            <w:pPr>
              <w:pStyle w:val="TableParagraph"/>
              <w:spacing w:line="240" w:lineRule="auto" w:before="10"/>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714" w:type="dxa"/>
            <w:tcBorders>
              <w:top w:val="single" w:sz="4" w:space="0" w:color="000000"/>
              <w:left w:val="nil" w:sz="6" w:space="0" w:color="auto"/>
              <w:bottom w:val="single" w:sz="12" w:space="0" w:color="000000"/>
              <w:right w:val="nil" w:sz="6" w:space="0" w:color="auto"/>
            </w:tcBorders>
          </w:tcPr>
          <w:p>
            <w:pPr>
              <w:pStyle w:val="TableParagraph"/>
              <w:spacing w:line="240" w:lineRule="auto" w:before="67"/>
              <w:ind w:right="821"/>
              <w:jc w:val="right"/>
              <w:rPr>
                <w:rFonts w:ascii="Times New Roman" w:hAnsi="Times New Roman" w:cs="Times New Roman" w:eastAsia="Times New Roman" w:hint="default"/>
                <w:sz w:val="18"/>
                <w:szCs w:val="18"/>
              </w:rPr>
            </w:pPr>
            <w:r>
              <w:rPr>
                <w:rFonts w:ascii="Times New Roman"/>
                <w:b/>
                <w:spacing w:val="-1"/>
                <w:sz w:val="18"/>
              </w:rPr>
              <w:t>1,384,444,623.43</w:t>
            </w:r>
            <w:r>
              <w:rPr>
                <w:rFonts w:ascii="Times New Roman"/>
                <w:spacing w:val="-1"/>
                <w:sz w:val="18"/>
              </w:rPr>
            </w:r>
          </w:p>
        </w:tc>
        <w:tc>
          <w:tcPr>
            <w:tcW w:w="2194" w:type="dxa"/>
            <w:tcBorders>
              <w:top w:val="single" w:sz="4" w:space="0" w:color="000000"/>
              <w:left w:val="nil" w:sz="6" w:space="0" w:color="auto"/>
              <w:bottom w:val="single" w:sz="12" w:space="0" w:color="000000"/>
              <w:right w:val="nil" w:sz="6" w:space="0" w:color="auto"/>
            </w:tcBorders>
          </w:tcPr>
          <w:p>
            <w:pPr>
              <w:pStyle w:val="TableParagraph"/>
              <w:spacing w:line="240" w:lineRule="auto" w:before="67"/>
              <w:ind w:right="108"/>
              <w:jc w:val="right"/>
              <w:rPr>
                <w:rFonts w:ascii="Times New Roman" w:hAnsi="Times New Roman" w:cs="Times New Roman" w:eastAsia="Times New Roman" w:hint="default"/>
                <w:sz w:val="18"/>
                <w:szCs w:val="18"/>
              </w:rPr>
            </w:pPr>
            <w:r>
              <w:rPr>
                <w:rFonts w:ascii="Times New Roman"/>
                <w:b/>
                <w:spacing w:val="-1"/>
                <w:sz w:val="18"/>
              </w:rPr>
              <w:t>1,306,601,616.23</w:t>
            </w:r>
            <w:r>
              <w:rPr>
                <w:rFonts w:ascii="Times New Roman"/>
                <w:spacing w:val="-1"/>
                <w:sz w:val="18"/>
              </w:rPr>
            </w:r>
          </w:p>
        </w:tc>
      </w:tr>
    </w:tbl>
    <w:p>
      <w:pPr>
        <w:spacing w:before="21"/>
        <w:ind w:left="821"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6"/>
          <w:sz w:val="22"/>
          <w:szCs w:val="22"/>
        </w:rPr>
        <w:t> </w:t>
      </w:r>
      <w:r>
        <w:rPr>
          <w:rFonts w:ascii="宋体" w:hAnsi="宋体" w:cs="宋体" w:eastAsia="宋体" w:hint="default"/>
          <w:sz w:val="22"/>
          <w:szCs w:val="22"/>
        </w:rPr>
        <w:t>支付的其他与经营活动有关的现金</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3088"/>
        <w:gridCol w:w="3445"/>
        <w:gridCol w:w="2193"/>
      </w:tblGrid>
      <w:tr>
        <w:trPr>
          <w:trHeight w:val="305" w:hRule="exact"/>
        </w:trPr>
        <w:tc>
          <w:tcPr>
            <w:tcW w:w="308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44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22"/>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219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25" w:hRule="exact"/>
        </w:trPr>
        <w:tc>
          <w:tcPr>
            <w:tcW w:w="3088"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期间费用、制造费用</w:t>
            </w:r>
          </w:p>
        </w:tc>
        <w:tc>
          <w:tcPr>
            <w:tcW w:w="344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823"/>
              <w:jc w:val="right"/>
              <w:rPr>
                <w:rFonts w:ascii="Times New Roman" w:hAnsi="Times New Roman" w:cs="Times New Roman" w:eastAsia="Times New Roman" w:hint="default"/>
                <w:sz w:val="18"/>
                <w:szCs w:val="18"/>
              </w:rPr>
            </w:pPr>
            <w:r>
              <w:rPr>
                <w:rFonts w:ascii="Times New Roman"/>
                <w:spacing w:val="-1"/>
                <w:sz w:val="18"/>
              </w:rPr>
              <w:t>1,614,133,031.55</w:t>
            </w:r>
          </w:p>
        </w:tc>
        <w:tc>
          <w:tcPr>
            <w:tcW w:w="2193"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spacing w:val="-1"/>
                <w:sz w:val="18"/>
              </w:rPr>
              <w:t>1,566,124,714.08</w:t>
            </w:r>
          </w:p>
        </w:tc>
      </w:tr>
      <w:tr>
        <w:trPr>
          <w:trHeight w:val="284"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4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2"/>
              <w:jc w:val="right"/>
              <w:rPr>
                <w:rFonts w:ascii="Times New Roman" w:hAnsi="Times New Roman" w:cs="Times New Roman" w:eastAsia="Times New Roman" w:hint="default"/>
                <w:sz w:val="18"/>
                <w:szCs w:val="18"/>
              </w:rPr>
            </w:pPr>
            <w:r>
              <w:rPr>
                <w:rFonts w:ascii="Times New Roman"/>
                <w:spacing w:val="-1"/>
                <w:sz w:val="18"/>
              </w:rPr>
              <w:t>297,829,369.30</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331,152,245.03</w:t>
            </w:r>
          </w:p>
        </w:tc>
      </w:tr>
      <w:tr>
        <w:trPr>
          <w:trHeight w:val="285"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44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22"/>
              <w:jc w:val="right"/>
              <w:rPr>
                <w:rFonts w:ascii="Times New Roman" w:hAnsi="Times New Roman" w:cs="Times New Roman" w:eastAsia="Times New Roman" w:hint="default"/>
                <w:sz w:val="18"/>
                <w:szCs w:val="18"/>
              </w:rPr>
            </w:pPr>
            <w:r>
              <w:rPr>
                <w:rFonts w:ascii="Times New Roman"/>
                <w:spacing w:val="-1"/>
                <w:sz w:val="18"/>
              </w:rPr>
              <w:t>471,035,093.05</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297,435,416.49</w:t>
            </w:r>
          </w:p>
        </w:tc>
      </w:tr>
      <w:tr>
        <w:trPr>
          <w:trHeight w:val="286"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代付款</w:t>
            </w:r>
          </w:p>
        </w:tc>
        <w:tc>
          <w:tcPr>
            <w:tcW w:w="34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2"/>
              <w:jc w:val="right"/>
              <w:rPr>
                <w:rFonts w:ascii="Times New Roman" w:hAnsi="Times New Roman" w:cs="Times New Roman" w:eastAsia="Times New Roman" w:hint="default"/>
                <w:sz w:val="18"/>
                <w:szCs w:val="18"/>
              </w:rPr>
            </w:pPr>
            <w:r>
              <w:rPr>
                <w:rFonts w:ascii="Times New Roman"/>
                <w:spacing w:val="-1"/>
                <w:sz w:val="18"/>
              </w:rPr>
              <w:t>252,936,782.03</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178,149,701.64</w:t>
            </w:r>
          </w:p>
        </w:tc>
      </w:tr>
      <w:tr>
        <w:trPr>
          <w:trHeight w:val="286"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4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2"/>
              <w:jc w:val="right"/>
              <w:rPr>
                <w:rFonts w:ascii="Times New Roman" w:hAnsi="Times New Roman" w:cs="Times New Roman" w:eastAsia="Times New Roman" w:hint="default"/>
                <w:sz w:val="18"/>
                <w:szCs w:val="18"/>
              </w:rPr>
            </w:pPr>
            <w:r>
              <w:rPr>
                <w:rFonts w:ascii="Times New Roman"/>
                <w:spacing w:val="-1"/>
                <w:sz w:val="18"/>
              </w:rPr>
              <w:t>173,242,867.81</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169,932,431.01</w:t>
            </w:r>
          </w:p>
        </w:tc>
      </w:tr>
      <w:tr>
        <w:trPr>
          <w:trHeight w:val="255" w:hRule="exact"/>
        </w:trPr>
        <w:tc>
          <w:tcPr>
            <w:tcW w:w="3088"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44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822"/>
              <w:jc w:val="right"/>
              <w:rPr>
                <w:rFonts w:ascii="Times New Roman" w:hAnsi="Times New Roman" w:cs="Times New Roman" w:eastAsia="Times New Roman" w:hint="default"/>
                <w:sz w:val="18"/>
                <w:szCs w:val="18"/>
              </w:rPr>
            </w:pPr>
            <w:r>
              <w:rPr>
                <w:rFonts w:ascii="Times New Roman"/>
                <w:spacing w:val="-1"/>
                <w:sz w:val="18"/>
              </w:rPr>
              <w:t>16,515,424.53</w:t>
            </w:r>
          </w:p>
        </w:tc>
        <w:tc>
          <w:tcPr>
            <w:tcW w:w="2193"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23,475,491.15</w:t>
            </w:r>
          </w:p>
        </w:tc>
      </w:tr>
      <w:tr>
        <w:trPr>
          <w:trHeight w:val="305" w:hRule="exact"/>
        </w:trPr>
        <w:tc>
          <w:tcPr>
            <w:tcW w:w="3088"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44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823"/>
              <w:jc w:val="right"/>
              <w:rPr>
                <w:rFonts w:ascii="Times New Roman" w:hAnsi="Times New Roman" w:cs="Times New Roman" w:eastAsia="Times New Roman" w:hint="default"/>
                <w:sz w:val="18"/>
                <w:szCs w:val="18"/>
              </w:rPr>
            </w:pPr>
            <w:r>
              <w:rPr>
                <w:rFonts w:ascii="Times New Roman"/>
                <w:b/>
                <w:spacing w:val="-1"/>
                <w:sz w:val="18"/>
              </w:rPr>
              <w:t>2,825,692,568.27</w:t>
            </w:r>
            <w:r>
              <w:rPr>
                <w:rFonts w:ascii="Times New Roman"/>
                <w:spacing w:val="-1"/>
                <w:sz w:val="18"/>
              </w:rPr>
            </w:r>
          </w:p>
        </w:tc>
        <w:tc>
          <w:tcPr>
            <w:tcW w:w="219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2,566,269,999.40</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0" w:footer="816" w:top="1080" w:bottom="1000" w:left="1480" w:right="1480"/>
        </w:sectPr>
      </w:pPr>
    </w:p>
    <w:p>
      <w:pPr>
        <w:spacing w:line="240" w:lineRule="auto" w:before="8"/>
        <w:rPr>
          <w:rFonts w:ascii="宋体" w:hAnsi="宋体" w:cs="宋体" w:eastAsia="宋体" w:hint="default"/>
          <w:sz w:val="26"/>
          <w:szCs w:val="26"/>
        </w:rPr>
      </w:pPr>
    </w:p>
    <w:p>
      <w:pPr>
        <w:spacing w:before="32"/>
        <w:ind w:left="821"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6"/>
          <w:sz w:val="22"/>
          <w:szCs w:val="22"/>
        </w:rPr>
        <w:t> </w:t>
      </w:r>
      <w:r>
        <w:rPr>
          <w:rFonts w:ascii="宋体" w:hAnsi="宋体" w:cs="宋体" w:eastAsia="宋体" w:hint="default"/>
          <w:sz w:val="22"/>
          <w:szCs w:val="22"/>
        </w:rPr>
        <w:t>收到的其他与投资活动有关的现金</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5118"/>
        <w:gridCol w:w="1958"/>
        <w:gridCol w:w="1649"/>
      </w:tblGrid>
      <w:tr>
        <w:trPr>
          <w:trHeight w:val="274" w:hRule="exact"/>
        </w:trPr>
        <w:tc>
          <w:tcPr>
            <w:tcW w:w="5118" w:type="dxa"/>
            <w:tcBorders>
              <w:top w:val="single" w:sz="12" w:space="0" w:color="000000"/>
              <w:left w:val="nil" w:sz="6" w:space="0" w:color="auto"/>
              <w:bottom w:val="single" w:sz="4" w:space="0" w:color="000000"/>
              <w:right w:val="nil" w:sz="6" w:space="0" w:color="auto"/>
            </w:tcBorders>
          </w:tcPr>
          <w:p>
            <w:pPr>
              <w:pStyle w:val="TableParagraph"/>
              <w:spacing w:line="227" w:lineRule="exact"/>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58" w:type="dxa"/>
            <w:tcBorders>
              <w:top w:val="single" w:sz="12" w:space="0" w:color="000000"/>
              <w:left w:val="nil" w:sz="6" w:space="0" w:color="auto"/>
              <w:bottom w:val="single" w:sz="4" w:space="0" w:color="000000"/>
              <w:right w:val="nil" w:sz="6" w:space="0" w:color="auto"/>
            </w:tcBorders>
          </w:tcPr>
          <w:p>
            <w:pPr>
              <w:pStyle w:val="TableParagraph"/>
              <w:spacing w:line="227" w:lineRule="exact"/>
              <w:ind w:right="411"/>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1649" w:type="dxa"/>
            <w:tcBorders>
              <w:top w:val="single" w:sz="12" w:space="0" w:color="000000"/>
              <w:left w:val="nil" w:sz="6" w:space="0" w:color="auto"/>
              <w:bottom w:val="single" w:sz="4" w:space="0" w:color="000000"/>
              <w:right w:val="nil" w:sz="6" w:space="0" w:color="auto"/>
            </w:tcBorders>
          </w:tcPr>
          <w:p>
            <w:pPr>
              <w:pStyle w:val="TableParagraph"/>
              <w:spacing w:line="227" w:lineRule="exact"/>
              <w:ind w:right="108"/>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13" w:hRule="exact"/>
        </w:trPr>
        <w:tc>
          <w:tcPr>
            <w:tcW w:w="5118" w:type="dxa"/>
            <w:tcBorders>
              <w:top w:val="single" w:sz="4" w:space="0" w:color="000000"/>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18"/>
                <w:szCs w:val="18"/>
              </w:rPr>
            </w:pPr>
            <w:r>
              <w:rPr>
                <w:rFonts w:ascii="宋体" w:hAnsi="宋体" w:cs="宋体" w:eastAsia="宋体" w:hint="default"/>
                <w:sz w:val="18"/>
                <w:szCs w:val="18"/>
              </w:rPr>
              <w:t>工程项目代建款</w:t>
            </w:r>
          </w:p>
        </w:tc>
        <w:tc>
          <w:tcPr>
            <w:tcW w:w="1958" w:type="dxa"/>
            <w:tcBorders>
              <w:top w:val="single" w:sz="4" w:space="0" w:color="000000"/>
              <w:left w:val="nil" w:sz="6" w:space="0" w:color="auto"/>
              <w:bottom w:val="nil" w:sz="6" w:space="0" w:color="auto"/>
              <w:right w:val="nil" w:sz="6" w:space="0" w:color="auto"/>
            </w:tcBorders>
          </w:tcPr>
          <w:p>
            <w:pPr>
              <w:pStyle w:val="TableParagraph"/>
              <w:spacing w:line="240" w:lineRule="auto" w:before="62"/>
              <w:ind w:right="411"/>
              <w:jc w:val="right"/>
              <w:rPr>
                <w:rFonts w:ascii="Times New Roman" w:hAnsi="Times New Roman" w:cs="Times New Roman" w:eastAsia="Times New Roman" w:hint="default"/>
                <w:sz w:val="18"/>
                <w:szCs w:val="18"/>
              </w:rPr>
            </w:pPr>
            <w:r>
              <w:rPr>
                <w:rFonts w:ascii="Times New Roman"/>
                <w:spacing w:val="-1"/>
                <w:sz w:val="18"/>
              </w:rPr>
              <w:t>39,158,788.86</w:t>
            </w:r>
          </w:p>
        </w:tc>
        <w:tc>
          <w:tcPr>
            <w:tcW w:w="1649" w:type="dxa"/>
            <w:tcBorders>
              <w:top w:val="single" w:sz="4" w:space="0" w:color="000000"/>
              <w:left w:val="nil" w:sz="6" w:space="0" w:color="auto"/>
              <w:bottom w:val="nil" w:sz="6" w:space="0" w:color="auto"/>
              <w:right w:val="nil" w:sz="6" w:space="0" w:color="auto"/>
            </w:tcBorders>
          </w:tcPr>
          <w:p>
            <w:pPr>
              <w:pStyle w:val="TableParagraph"/>
              <w:spacing w:line="240" w:lineRule="auto" w:before="62"/>
              <w:ind w:right="108"/>
              <w:jc w:val="right"/>
              <w:rPr>
                <w:rFonts w:ascii="Times New Roman" w:hAnsi="Times New Roman" w:cs="Times New Roman" w:eastAsia="Times New Roman" w:hint="default"/>
                <w:sz w:val="18"/>
                <w:szCs w:val="18"/>
              </w:rPr>
            </w:pPr>
            <w:r>
              <w:rPr>
                <w:rFonts w:ascii="Times New Roman"/>
                <w:spacing w:val="-1"/>
                <w:sz w:val="18"/>
              </w:rPr>
              <w:t>69,896,714.21</w:t>
            </w:r>
          </w:p>
        </w:tc>
      </w:tr>
      <w:tr>
        <w:trPr>
          <w:trHeight w:val="284" w:hRule="exact"/>
        </w:trPr>
        <w:tc>
          <w:tcPr>
            <w:tcW w:w="511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本年新纳入合并范围的子公司现金余额</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11"/>
              <w:jc w:val="right"/>
              <w:rPr>
                <w:rFonts w:ascii="Times New Roman" w:hAnsi="Times New Roman" w:cs="Times New Roman" w:eastAsia="Times New Roman" w:hint="default"/>
                <w:sz w:val="18"/>
                <w:szCs w:val="18"/>
              </w:rPr>
            </w:pPr>
            <w:r>
              <w:rPr>
                <w:rFonts w:ascii="Times New Roman"/>
                <w:spacing w:val="-1"/>
                <w:sz w:val="18"/>
              </w:rPr>
              <w:t>4,469,914.57</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155,782,107.05</w:t>
            </w:r>
          </w:p>
        </w:tc>
      </w:tr>
      <w:tr>
        <w:trPr>
          <w:trHeight w:val="283" w:hRule="exact"/>
        </w:trPr>
        <w:tc>
          <w:tcPr>
            <w:tcW w:w="5118"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东方欢旅科技有限公司（原北京同方易豪科技有限公司）</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10"/>
              <w:jc w:val="right"/>
              <w:rPr>
                <w:rFonts w:ascii="Times New Roman" w:hAnsi="Times New Roman" w:cs="Times New Roman" w:eastAsia="Times New Roman" w:hint="default"/>
                <w:sz w:val="18"/>
                <w:szCs w:val="18"/>
              </w:rPr>
            </w:pPr>
            <w:r>
              <w:rPr>
                <w:rFonts w:ascii="Times New Roman"/>
                <w:spacing w:val="-1"/>
                <w:sz w:val="18"/>
              </w:rPr>
              <w:t>0.00</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5,000,000.00</w:t>
            </w:r>
          </w:p>
        </w:tc>
      </w:tr>
      <w:tr>
        <w:trPr>
          <w:trHeight w:val="257" w:hRule="exact"/>
        </w:trPr>
        <w:tc>
          <w:tcPr>
            <w:tcW w:w="5118" w:type="dxa"/>
            <w:tcBorders>
              <w:top w:val="nil" w:sz="6" w:space="0" w:color="auto"/>
              <w:left w:val="nil" w:sz="6" w:space="0" w:color="auto"/>
              <w:bottom w:val="single" w:sz="4" w:space="0" w:color="000000"/>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sz w:val="18"/>
              </w:rPr>
              <w:t>Seiki Digital Company</w:t>
            </w:r>
            <w:r>
              <w:rPr>
                <w:rFonts w:ascii="宋体"/>
                <w:spacing w:val="-11"/>
                <w:sz w:val="18"/>
              </w:rPr>
              <w:t> </w:t>
            </w:r>
            <w:r>
              <w:rPr>
                <w:rFonts w:ascii="宋体"/>
                <w:sz w:val="18"/>
              </w:rPr>
              <w:t>Limited</w:t>
            </w:r>
          </w:p>
        </w:tc>
        <w:tc>
          <w:tcPr>
            <w:tcW w:w="1958"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410"/>
              <w:jc w:val="right"/>
              <w:rPr>
                <w:rFonts w:ascii="Times New Roman" w:hAnsi="Times New Roman" w:cs="Times New Roman" w:eastAsia="Times New Roman" w:hint="default"/>
                <w:sz w:val="18"/>
                <w:szCs w:val="18"/>
              </w:rPr>
            </w:pPr>
            <w:r>
              <w:rPr>
                <w:rFonts w:ascii="Times New Roman"/>
                <w:spacing w:val="-1"/>
                <w:sz w:val="18"/>
              </w:rPr>
              <w:t>0.00</w:t>
            </w:r>
          </w:p>
        </w:tc>
        <w:tc>
          <w:tcPr>
            <w:tcW w:w="1649"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4,275,553.07</w:t>
            </w:r>
          </w:p>
        </w:tc>
      </w:tr>
      <w:tr>
        <w:trPr>
          <w:trHeight w:val="295" w:hRule="exact"/>
        </w:trPr>
        <w:tc>
          <w:tcPr>
            <w:tcW w:w="5118" w:type="dxa"/>
            <w:tcBorders>
              <w:top w:val="single" w:sz="4" w:space="0" w:color="000000"/>
              <w:left w:val="nil" w:sz="6" w:space="0" w:color="auto"/>
              <w:bottom w:val="single" w:sz="12" w:space="0" w:color="000000"/>
              <w:right w:val="nil" w:sz="6" w:space="0" w:color="auto"/>
            </w:tcBorders>
          </w:tcPr>
          <w:p>
            <w:pPr>
              <w:pStyle w:val="TableParagraph"/>
              <w:spacing w:line="240" w:lineRule="auto" w:before="10"/>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58" w:type="dxa"/>
            <w:tcBorders>
              <w:top w:val="single" w:sz="4" w:space="0" w:color="000000"/>
              <w:left w:val="nil" w:sz="6" w:space="0" w:color="auto"/>
              <w:bottom w:val="single" w:sz="12" w:space="0" w:color="000000"/>
              <w:right w:val="nil" w:sz="6" w:space="0" w:color="auto"/>
            </w:tcBorders>
          </w:tcPr>
          <w:p>
            <w:pPr>
              <w:pStyle w:val="TableParagraph"/>
              <w:spacing w:line="240" w:lineRule="auto" w:before="67"/>
              <w:ind w:right="411"/>
              <w:jc w:val="right"/>
              <w:rPr>
                <w:rFonts w:ascii="Times New Roman" w:hAnsi="Times New Roman" w:cs="Times New Roman" w:eastAsia="Times New Roman" w:hint="default"/>
                <w:sz w:val="18"/>
                <w:szCs w:val="18"/>
              </w:rPr>
            </w:pPr>
            <w:r>
              <w:rPr>
                <w:rFonts w:ascii="Times New Roman"/>
                <w:b/>
                <w:spacing w:val="-1"/>
                <w:sz w:val="18"/>
              </w:rPr>
              <w:t>43,628,703.43</w:t>
            </w:r>
            <w:r>
              <w:rPr>
                <w:rFonts w:ascii="Times New Roman"/>
                <w:spacing w:val="-1"/>
                <w:sz w:val="18"/>
              </w:rPr>
            </w:r>
          </w:p>
        </w:tc>
        <w:tc>
          <w:tcPr>
            <w:tcW w:w="1649" w:type="dxa"/>
            <w:tcBorders>
              <w:top w:val="single" w:sz="4" w:space="0" w:color="000000"/>
              <w:left w:val="nil" w:sz="6" w:space="0" w:color="auto"/>
              <w:bottom w:val="single" w:sz="12" w:space="0" w:color="000000"/>
              <w:right w:val="nil" w:sz="6" w:space="0" w:color="auto"/>
            </w:tcBorders>
          </w:tcPr>
          <w:p>
            <w:pPr>
              <w:pStyle w:val="TableParagraph"/>
              <w:spacing w:line="240" w:lineRule="auto" w:before="67"/>
              <w:ind w:right="108"/>
              <w:jc w:val="right"/>
              <w:rPr>
                <w:rFonts w:ascii="Times New Roman" w:hAnsi="Times New Roman" w:cs="Times New Roman" w:eastAsia="Times New Roman" w:hint="default"/>
                <w:sz w:val="18"/>
                <w:szCs w:val="18"/>
              </w:rPr>
            </w:pPr>
            <w:r>
              <w:rPr>
                <w:rFonts w:ascii="Times New Roman"/>
                <w:b/>
                <w:spacing w:val="-1"/>
                <w:sz w:val="18"/>
              </w:rPr>
              <w:t>234,954,374.33</w:t>
            </w:r>
            <w:r>
              <w:rPr>
                <w:rFonts w:ascii="Times New Roman"/>
                <w:spacing w:val="-1"/>
                <w:sz w:val="18"/>
              </w:rPr>
            </w:r>
          </w:p>
        </w:tc>
      </w:tr>
    </w:tbl>
    <w:p>
      <w:pPr>
        <w:spacing w:before="21"/>
        <w:ind w:left="821"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 </w:t>
      </w:r>
      <w:r>
        <w:rPr>
          <w:rFonts w:ascii="Times New Roman" w:hAnsi="Times New Roman" w:cs="Times New Roman" w:eastAsia="Times New Roman" w:hint="default"/>
          <w:b/>
          <w:bCs/>
          <w:spacing w:val="6"/>
          <w:sz w:val="22"/>
          <w:szCs w:val="22"/>
        </w:rPr>
        <w:t> </w:t>
      </w:r>
      <w:r>
        <w:rPr>
          <w:rFonts w:ascii="宋体" w:hAnsi="宋体" w:cs="宋体" w:eastAsia="宋体" w:hint="default"/>
          <w:sz w:val="22"/>
          <w:szCs w:val="22"/>
        </w:rPr>
        <w:t>支付的其他与投资活动有关的现金</w:t>
      </w:r>
    </w:p>
    <w:p>
      <w:pPr>
        <w:spacing w:line="240" w:lineRule="auto" w:before="5"/>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5118"/>
        <w:gridCol w:w="2003"/>
        <w:gridCol w:w="1604"/>
      </w:tblGrid>
      <w:tr>
        <w:trPr>
          <w:trHeight w:val="274" w:hRule="exact"/>
        </w:trPr>
        <w:tc>
          <w:tcPr>
            <w:tcW w:w="5118" w:type="dxa"/>
            <w:tcBorders>
              <w:top w:val="single" w:sz="12" w:space="0" w:color="000000"/>
              <w:left w:val="nil" w:sz="6" w:space="0" w:color="auto"/>
              <w:bottom w:val="single" w:sz="4" w:space="0" w:color="000000"/>
              <w:right w:val="nil" w:sz="6" w:space="0" w:color="auto"/>
            </w:tcBorders>
          </w:tcPr>
          <w:p>
            <w:pPr>
              <w:pStyle w:val="TableParagraph"/>
              <w:spacing w:line="227" w:lineRule="exact"/>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003" w:type="dxa"/>
            <w:tcBorders>
              <w:top w:val="single" w:sz="12" w:space="0" w:color="000000"/>
              <w:left w:val="nil" w:sz="6" w:space="0" w:color="auto"/>
              <w:bottom w:val="single" w:sz="4" w:space="0" w:color="000000"/>
              <w:right w:val="nil" w:sz="6" w:space="0" w:color="auto"/>
            </w:tcBorders>
          </w:tcPr>
          <w:p>
            <w:pPr>
              <w:pStyle w:val="TableParagraph"/>
              <w:spacing w:line="227" w:lineRule="exact"/>
              <w:ind w:right="456"/>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1604" w:type="dxa"/>
            <w:tcBorders>
              <w:top w:val="single" w:sz="12" w:space="0" w:color="000000"/>
              <w:left w:val="nil" w:sz="6" w:space="0" w:color="auto"/>
              <w:bottom w:val="single" w:sz="4" w:space="0" w:color="000000"/>
              <w:right w:val="nil" w:sz="6" w:space="0" w:color="auto"/>
            </w:tcBorders>
          </w:tcPr>
          <w:p>
            <w:pPr>
              <w:pStyle w:val="TableParagraph"/>
              <w:spacing w:line="227" w:lineRule="exact"/>
              <w:ind w:right="108"/>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15" w:hRule="exact"/>
        </w:trPr>
        <w:tc>
          <w:tcPr>
            <w:tcW w:w="5118"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left="108" w:right="0"/>
              <w:jc w:val="left"/>
              <w:rPr>
                <w:rFonts w:ascii="宋体" w:hAnsi="宋体" w:cs="宋体" w:eastAsia="宋体" w:hint="default"/>
                <w:sz w:val="18"/>
                <w:szCs w:val="18"/>
              </w:rPr>
            </w:pPr>
            <w:r>
              <w:rPr>
                <w:rFonts w:ascii="宋体" w:hAnsi="宋体" w:cs="宋体" w:eastAsia="宋体" w:hint="default"/>
                <w:sz w:val="18"/>
                <w:szCs w:val="18"/>
              </w:rPr>
              <w:t>往来款（同方国芯并入）</w:t>
            </w:r>
          </w:p>
        </w:tc>
        <w:tc>
          <w:tcPr>
            <w:tcW w:w="2003" w:type="dxa"/>
            <w:tcBorders>
              <w:top w:val="single" w:sz="4" w:space="0" w:color="000000"/>
              <w:left w:val="nil" w:sz="6" w:space="0" w:color="auto"/>
              <w:bottom w:val="nil" w:sz="6" w:space="0" w:color="auto"/>
              <w:right w:val="nil" w:sz="6" w:space="0" w:color="auto"/>
            </w:tcBorders>
          </w:tcPr>
          <w:p>
            <w:pPr>
              <w:pStyle w:val="TableParagraph"/>
              <w:spacing w:line="240" w:lineRule="auto" w:before="64"/>
              <w:ind w:right="456"/>
              <w:jc w:val="right"/>
              <w:rPr>
                <w:rFonts w:ascii="Times New Roman" w:hAnsi="Times New Roman" w:cs="Times New Roman" w:eastAsia="Times New Roman" w:hint="default"/>
                <w:sz w:val="18"/>
                <w:szCs w:val="18"/>
              </w:rPr>
            </w:pPr>
            <w:r>
              <w:rPr>
                <w:rFonts w:ascii="Times New Roman"/>
                <w:spacing w:val="-1"/>
                <w:sz w:val="18"/>
              </w:rPr>
              <w:t>30,000,000.00</w:t>
            </w:r>
          </w:p>
        </w:tc>
        <w:tc>
          <w:tcPr>
            <w:tcW w:w="1604" w:type="dxa"/>
            <w:tcBorders>
              <w:top w:val="single" w:sz="4" w:space="0" w:color="000000"/>
              <w:left w:val="nil" w:sz="6" w:space="0" w:color="auto"/>
              <w:bottom w:val="nil" w:sz="6" w:space="0" w:color="auto"/>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3" w:hRule="exact"/>
        </w:trPr>
        <w:tc>
          <w:tcPr>
            <w:tcW w:w="5118"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工程项目代建款</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56"/>
              <w:jc w:val="right"/>
              <w:rPr>
                <w:rFonts w:ascii="Times New Roman" w:hAnsi="Times New Roman" w:cs="Times New Roman" w:eastAsia="Times New Roman" w:hint="default"/>
                <w:sz w:val="18"/>
                <w:szCs w:val="18"/>
              </w:rPr>
            </w:pPr>
            <w:r>
              <w:rPr>
                <w:rFonts w:ascii="Times New Roman"/>
                <w:spacing w:val="-1"/>
                <w:sz w:val="18"/>
              </w:rPr>
              <w:t>14,371,172.56</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61,789,121.93</w:t>
            </w:r>
          </w:p>
        </w:tc>
      </w:tr>
      <w:tr>
        <w:trPr>
          <w:trHeight w:val="285" w:hRule="exact"/>
        </w:trPr>
        <w:tc>
          <w:tcPr>
            <w:tcW w:w="5118"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非公开发行认购保证金</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56"/>
              <w:jc w:val="right"/>
              <w:rPr>
                <w:rFonts w:ascii="Times New Roman" w:hAnsi="Times New Roman" w:cs="Times New Roman" w:eastAsia="Times New Roman" w:hint="default"/>
                <w:sz w:val="18"/>
                <w:szCs w:val="18"/>
              </w:rPr>
            </w:pPr>
            <w:r>
              <w:rPr>
                <w:rFonts w:ascii="Times New Roman"/>
                <w:spacing w:val="-1"/>
                <w:sz w:val="18"/>
              </w:rPr>
              <w:t>14,000,000.00</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5" w:hRule="exact"/>
        </w:trPr>
        <w:tc>
          <w:tcPr>
            <w:tcW w:w="511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山东产权交易中心履约保证金</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56"/>
              <w:jc w:val="right"/>
              <w:rPr>
                <w:rFonts w:ascii="Times New Roman" w:hAnsi="Times New Roman" w:cs="Times New Roman" w:eastAsia="Times New Roman" w:hint="default"/>
                <w:sz w:val="18"/>
                <w:szCs w:val="18"/>
              </w:rPr>
            </w:pPr>
            <w:r>
              <w:rPr>
                <w:rFonts w:ascii="Times New Roman"/>
                <w:spacing w:val="-1"/>
                <w:sz w:val="18"/>
              </w:rPr>
              <w:t>10,000,000.00</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3" w:hRule="exact"/>
        </w:trPr>
        <w:tc>
          <w:tcPr>
            <w:tcW w:w="5118"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北京朗视仪器有限公司</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55"/>
              <w:jc w:val="right"/>
              <w:rPr>
                <w:rFonts w:ascii="Times New Roman" w:hAnsi="Times New Roman" w:cs="Times New Roman" w:eastAsia="Times New Roman" w:hint="default"/>
                <w:sz w:val="18"/>
                <w:szCs w:val="18"/>
              </w:rPr>
            </w:pPr>
            <w:r>
              <w:rPr>
                <w:rFonts w:ascii="Times New Roman"/>
                <w:spacing w:val="-1"/>
                <w:sz w:val="18"/>
              </w:rPr>
              <w:t>8,000,000.00</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5118"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西安紫光国芯半导体有限公司咨询顾问费</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55"/>
              <w:jc w:val="right"/>
              <w:rPr>
                <w:rFonts w:ascii="Times New Roman" w:hAnsi="Times New Roman" w:cs="Times New Roman" w:eastAsia="Times New Roman" w:hint="default"/>
                <w:sz w:val="18"/>
                <w:szCs w:val="18"/>
              </w:rPr>
            </w:pPr>
            <w:r>
              <w:rPr>
                <w:rFonts w:ascii="Times New Roman"/>
                <w:spacing w:val="-1"/>
                <w:sz w:val="18"/>
              </w:rPr>
              <w:t>6,215,996.14</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5118"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本年不再纳入合并范围的子公司现金余额</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55"/>
              <w:jc w:val="right"/>
              <w:rPr>
                <w:rFonts w:ascii="Times New Roman" w:hAnsi="Times New Roman" w:cs="Times New Roman" w:eastAsia="Times New Roman" w:hint="default"/>
                <w:sz w:val="18"/>
                <w:szCs w:val="18"/>
              </w:rPr>
            </w:pPr>
            <w:r>
              <w:rPr>
                <w:rFonts w:ascii="Times New Roman"/>
                <w:spacing w:val="-1"/>
                <w:sz w:val="18"/>
              </w:rPr>
              <w:t>132,872.60</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3,630,845.22</w:t>
            </w:r>
          </w:p>
        </w:tc>
      </w:tr>
      <w:tr>
        <w:trPr>
          <w:trHeight w:val="283" w:hRule="exact"/>
        </w:trPr>
        <w:tc>
          <w:tcPr>
            <w:tcW w:w="5118"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东方欢旅科技有限公司（原北京同方易豪科技有限公司）</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55"/>
              <w:jc w:val="right"/>
              <w:rPr>
                <w:rFonts w:ascii="Times New Roman" w:hAnsi="Times New Roman" w:cs="Times New Roman" w:eastAsia="Times New Roman" w:hint="default"/>
                <w:sz w:val="18"/>
                <w:szCs w:val="18"/>
              </w:rPr>
            </w:pPr>
            <w:r>
              <w:rPr>
                <w:rFonts w:ascii="Times New Roman"/>
                <w:spacing w:val="-1"/>
                <w:sz w:val="18"/>
              </w:rPr>
              <w:t>0.00</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5,000,000.00</w:t>
            </w:r>
          </w:p>
        </w:tc>
      </w:tr>
      <w:tr>
        <w:trPr>
          <w:trHeight w:val="254" w:hRule="exact"/>
        </w:trPr>
        <w:tc>
          <w:tcPr>
            <w:tcW w:w="5118" w:type="dxa"/>
            <w:tcBorders>
              <w:top w:val="nil" w:sz="6" w:space="0" w:color="auto"/>
              <w:left w:val="nil" w:sz="6" w:space="0" w:color="auto"/>
              <w:bottom w:val="single" w:sz="4" w:space="0" w:color="000000"/>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sz w:val="18"/>
              </w:rPr>
              <w:t>Seiki Digital Company</w:t>
            </w:r>
            <w:r>
              <w:rPr>
                <w:rFonts w:ascii="宋体"/>
                <w:spacing w:val="-11"/>
                <w:sz w:val="18"/>
              </w:rPr>
              <w:t> </w:t>
            </w:r>
            <w:r>
              <w:rPr>
                <w:rFonts w:ascii="宋体"/>
                <w:sz w:val="18"/>
              </w:rPr>
              <w:t>Limited</w:t>
            </w:r>
          </w:p>
        </w:tc>
        <w:tc>
          <w:tcPr>
            <w:tcW w:w="2003"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455"/>
              <w:jc w:val="right"/>
              <w:rPr>
                <w:rFonts w:ascii="Times New Roman" w:hAnsi="Times New Roman" w:cs="Times New Roman" w:eastAsia="Times New Roman" w:hint="default"/>
                <w:sz w:val="18"/>
                <w:szCs w:val="18"/>
              </w:rPr>
            </w:pPr>
            <w:r>
              <w:rPr>
                <w:rFonts w:ascii="Times New Roman"/>
                <w:spacing w:val="-1"/>
                <w:sz w:val="18"/>
              </w:rPr>
              <w:t>0.00</w:t>
            </w:r>
          </w:p>
        </w:tc>
        <w:tc>
          <w:tcPr>
            <w:tcW w:w="1604"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4,275,565.00</w:t>
            </w:r>
          </w:p>
        </w:tc>
      </w:tr>
      <w:tr>
        <w:trPr>
          <w:trHeight w:val="295" w:hRule="exact"/>
        </w:trPr>
        <w:tc>
          <w:tcPr>
            <w:tcW w:w="5118" w:type="dxa"/>
            <w:tcBorders>
              <w:top w:val="single" w:sz="4" w:space="0" w:color="000000"/>
              <w:left w:val="nil" w:sz="6" w:space="0" w:color="auto"/>
              <w:bottom w:val="single" w:sz="12" w:space="0" w:color="000000"/>
              <w:right w:val="nil" w:sz="6" w:space="0" w:color="auto"/>
            </w:tcBorders>
          </w:tcPr>
          <w:p>
            <w:pPr>
              <w:pStyle w:val="TableParagraph"/>
              <w:spacing w:line="240" w:lineRule="auto" w:before="1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003" w:type="dxa"/>
            <w:tcBorders>
              <w:top w:val="single" w:sz="4" w:space="0" w:color="000000"/>
              <w:left w:val="nil" w:sz="6" w:space="0" w:color="auto"/>
              <w:bottom w:val="single" w:sz="12" w:space="0" w:color="000000"/>
              <w:right w:val="nil" w:sz="6" w:space="0" w:color="auto"/>
            </w:tcBorders>
          </w:tcPr>
          <w:p>
            <w:pPr>
              <w:pStyle w:val="TableParagraph"/>
              <w:spacing w:line="240" w:lineRule="auto" w:before="69"/>
              <w:ind w:right="456"/>
              <w:jc w:val="right"/>
              <w:rPr>
                <w:rFonts w:ascii="Times New Roman" w:hAnsi="Times New Roman" w:cs="Times New Roman" w:eastAsia="Times New Roman" w:hint="default"/>
                <w:sz w:val="18"/>
                <w:szCs w:val="18"/>
              </w:rPr>
            </w:pPr>
            <w:r>
              <w:rPr>
                <w:rFonts w:ascii="Times New Roman"/>
                <w:b/>
                <w:spacing w:val="-1"/>
                <w:sz w:val="18"/>
              </w:rPr>
              <w:t>82,720,041.30</w:t>
            </w:r>
            <w:r>
              <w:rPr>
                <w:rFonts w:ascii="Times New Roman"/>
                <w:spacing w:val="-1"/>
                <w:sz w:val="18"/>
              </w:rPr>
            </w:r>
          </w:p>
        </w:tc>
        <w:tc>
          <w:tcPr>
            <w:tcW w:w="1604" w:type="dxa"/>
            <w:tcBorders>
              <w:top w:val="single" w:sz="4" w:space="0" w:color="000000"/>
              <w:left w:val="nil" w:sz="6" w:space="0" w:color="auto"/>
              <w:bottom w:val="single" w:sz="12" w:space="0" w:color="000000"/>
              <w:right w:val="nil" w:sz="6" w:space="0" w:color="auto"/>
            </w:tcBorders>
          </w:tcPr>
          <w:p>
            <w:pPr>
              <w:pStyle w:val="TableParagraph"/>
              <w:spacing w:line="240" w:lineRule="auto" w:before="69"/>
              <w:ind w:right="110"/>
              <w:jc w:val="right"/>
              <w:rPr>
                <w:rFonts w:ascii="Times New Roman" w:hAnsi="Times New Roman" w:cs="Times New Roman" w:eastAsia="Times New Roman" w:hint="default"/>
                <w:sz w:val="18"/>
                <w:szCs w:val="18"/>
              </w:rPr>
            </w:pPr>
            <w:r>
              <w:rPr>
                <w:rFonts w:ascii="Times New Roman"/>
                <w:b/>
                <w:spacing w:val="-1"/>
                <w:sz w:val="18"/>
              </w:rPr>
              <w:t>74,695,532.15</w:t>
            </w:r>
            <w:r>
              <w:rPr>
                <w:rFonts w:ascii="Times New Roman"/>
                <w:spacing w:val="-1"/>
                <w:sz w:val="18"/>
              </w:rPr>
            </w:r>
          </w:p>
        </w:tc>
      </w:tr>
    </w:tbl>
    <w:p>
      <w:pPr>
        <w:spacing w:before="21"/>
        <w:ind w:left="821"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 </w:t>
      </w:r>
      <w:r>
        <w:rPr>
          <w:rFonts w:ascii="Times New Roman" w:hAnsi="Times New Roman" w:cs="Times New Roman" w:eastAsia="Times New Roman" w:hint="default"/>
          <w:b/>
          <w:bCs/>
          <w:spacing w:val="6"/>
          <w:sz w:val="22"/>
          <w:szCs w:val="22"/>
        </w:rPr>
        <w:t> </w:t>
      </w:r>
      <w:r>
        <w:rPr>
          <w:rFonts w:ascii="宋体" w:hAnsi="宋体" w:cs="宋体" w:eastAsia="宋体" w:hint="default"/>
          <w:sz w:val="22"/>
          <w:szCs w:val="22"/>
        </w:rPr>
        <w:t>收到的其他与筹资活动有关的现金</w:t>
      </w:r>
    </w:p>
    <w:p>
      <w:pPr>
        <w:spacing w:line="240" w:lineRule="auto" w:before="8"/>
        <w:rPr>
          <w:rFonts w:ascii="宋体" w:hAnsi="宋体" w:cs="宋体" w:eastAsia="宋体" w:hint="default"/>
          <w:sz w:val="11"/>
          <w:szCs w:val="11"/>
        </w:rPr>
      </w:pPr>
    </w:p>
    <w:tbl>
      <w:tblPr>
        <w:tblW w:w="0" w:type="auto"/>
        <w:jc w:val="left"/>
        <w:tblInd w:w="109" w:type="dxa"/>
        <w:tblLayout w:type="fixed"/>
        <w:tblCellMar>
          <w:top w:w="0" w:type="dxa"/>
          <w:left w:w="0" w:type="dxa"/>
          <w:bottom w:w="0" w:type="dxa"/>
          <w:right w:w="0" w:type="dxa"/>
        </w:tblCellMar>
        <w:tblLook w:val="01E0"/>
      </w:tblPr>
      <w:tblGrid>
        <w:gridCol w:w="4120"/>
        <w:gridCol w:w="2454"/>
        <w:gridCol w:w="2149"/>
      </w:tblGrid>
      <w:tr>
        <w:trPr>
          <w:trHeight w:val="305" w:hRule="exact"/>
        </w:trPr>
        <w:tc>
          <w:tcPr>
            <w:tcW w:w="4120" w:type="dxa"/>
            <w:tcBorders>
              <w:top w:val="single" w:sz="12" w:space="0" w:color="000000"/>
              <w:left w:val="nil" w:sz="6" w:space="0" w:color="auto"/>
              <w:bottom w:val="single" w:sz="4" w:space="0" w:color="000000"/>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454" w:type="dxa"/>
            <w:tcBorders>
              <w:top w:val="single" w:sz="12" w:space="0" w:color="000000"/>
              <w:left w:val="nil" w:sz="6" w:space="0" w:color="auto"/>
              <w:bottom w:val="single" w:sz="4" w:space="0" w:color="000000"/>
              <w:right w:val="nil" w:sz="6" w:space="0" w:color="auto"/>
            </w:tcBorders>
          </w:tcPr>
          <w:p>
            <w:pPr>
              <w:pStyle w:val="TableParagraph"/>
              <w:spacing w:line="240" w:lineRule="auto" w:before="20"/>
              <w:ind w:right="914"/>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2149" w:type="dxa"/>
            <w:tcBorders>
              <w:top w:val="single" w:sz="12" w:space="0" w:color="000000"/>
              <w:left w:val="nil" w:sz="6" w:space="0" w:color="auto"/>
              <w:bottom w:val="single" w:sz="4" w:space="0" w:color="000000"/>
              <w:right w:val="nil" w:sz="6" w:space="0" w:color="auto"/>
            </w:tcBorders>
          </w:tcPr>
          <w:p>
            <w:pPr>
              <w:pStyle w:val="TableParagraph"/>
              <w:spacing w:line="240" w:lineRule="auto" w:before="20"/>
              <w:ind w:right="106"/>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22" w:hRule="exact"/>
        </w:trPr>
        <w:tc>
          <w:tcPr>
            <w:tcW w:w="4120"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收回受限的现金</w:t>
            </w:r>
          </w:p>
        </w:tc>
        <w:tc>
          <w:tcPr>
            <w:tcW w:w="2454"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914"/>
              <w:jc w:val="right"/>
              <w:rPr>
                <w:rFonts w:ascii="Times New Roman" w:hAnsi="Times New Roman" w:cs="Times New Roman" w:eastAsia="Times New Roman" w:hint="default"/>
                <w:sz w:val="18"/>
                <w:szCs w:val="18"/>
              </w:rPr>
            </w:pPr>
            <w:r>
              <w:rPr>
                <w:rFonts w:ascii="Times New Roman"/>
                <w:spacing w:val="-1"/>
                <w:sz w:val="18"/>
              </w:rPr>
              <w:t>200,848,497.54</w:t>
            </w:r>
          </w:p>
        </w:tc>
        <w:tc>
          <w:tcPr>
            <w:tcW w:w="2149"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165,085,893.80</w:t>
            </w:r>
          </w:p>
        </w:tc>
      </w:tr>
      <w:tr>
        <w:trPr>
          <w:trHeight w:val="284" w:hRule="exact"/>
        </w:trPr>
        <w:tc>
          <w:tcPr>
            <w:tcW w:w="4120"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金坛市国发国际投资发展有限公司</w:t>
            </w:r>
          </w:p>
        </w:tc>
        <w:tc>
          <w:tcPr>
            <w:tcW w:w="245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14"/>
              <w:jc w:val="right"/>
              <w:rPr>
                <w:rFonts w:ascii="Times New Roman" w:hAnsi="Times New Roman" w:cs="Times New Roman" w:eastAsia="Times New Roman" w:hint="default"/>
                <w:sz w:val="18"/>
                <w:szCs w:val="18"/>
              </w:rPr>
            </w:pPr>
            <w:r>
              <w:rPr>
                <w:rFonts w:ascii="Times New Roman"/>
                <w:spacing w:val="-1"/>
                <w:sz w:val="18"/>
              </w:rPr>
              <w:t>86,400,000.00</w:t>
            </w:r>
          </w:p>
        </w:tc>
        <w:tc>
          <w:tcPr>
            <w:tcW w:w="21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0.00</w:t>
            </w:r>
          </w:p>
        </w:tc>
      </w:tr>
      <w:tr>
        <w:trPr>
          <w:trHeight w:val="271" w:hRule="exact"/>
        </w:trPr>
        <w:tc>
          <w:tcPr>
            <w:tcW w:w="4120" w:type="dxa"/>
            <w:tcBorders>
              <w:top w:val="nil" w:sz="6" w:space="0" w:color="auto"/>
              <w:left w:val="nil" w:sz="6" w:space="0" w:color="auto"/>
              <w:bottom w:val="nil" w:sz="6" w:space="0" w:color="auto"/>
              <w:right w:val="nil" w:sz="6" w:space="0" w:color="auto"/>
            </w:tcBorders>
          </w:tcPr>
          <w:p>
            <w:pPr>
              <w:pStyle w:val="TableParagraph"/>
              <w:spacing w:line="237" w:lineRule="exact"/>
              <w:ind w:left="108" w:right="0"/>
              <w:jc w:val="left"/>
              <w:rPr>
                <w:rFonts w:ascii="宋体" w:hAnsi="宋体" w:cs="宋体" w:eastAsia="宋体" w:hint="default"/>
                <w:sz w:val="18"/>
                <w:szCs w:val="18"/>
              </w:rPr>
            </w:pPr>
            <w:r>
              <w:rPr>
                <w:rFonts w:ascii="宋体" w:hAnsi="宋体" w:cs="宋体" w:eastAsia="宋体" w:hint="default"/>
                <w:sz w:val="18"/>
                <w:szCs w:val="18"/>
              </w:rPr>
              <w:t>出售深圳市同创国芯电子有限公司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27%</w:t>
            </w:r>
            <w:r>
              <w:rPr>
                <w:rFonts w:ascii="宋体" w:hAnsi="宋体" w:cs="宋体" w:eastAsia="宋体" w:hint="default"/>
                <w:sz w:val="18"/>
                <w:szCs w:val="18"/>
              </w:rPr>
              <w:t>股权</w:t>
            </w:r>
          </w:p>
        </w:tc>
        <w:tc>
          <w:tcPr>
            <w:tcW w:w="24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14"/>
              <w:jc w:val="right"/>
              <w:rPr>
                <w:rFonts w:ascii="Times New Roman" w:hAnsi="Times New Roman" w:cs="Times New Roman" w:eastAsia="Times New Roman" w:hint="default"/>
                <w:sz w:val="18"/>
                <w:szCs w:val="18"/>
              </w:rPr>
            </w:pPr>
            <w:r>
              <w:rPr>
                <w:rFonts w:ascii="Times New Roman"/>
                <w:spacing w:val="-1"/>
                <w:sz w:val="18"/>
              </w:rPr>
              <w:t>13,840,000.00</w:t>
            </w:r>
          </w:p>
        </w:tc>
        <w:tc>
          <w:tcPr>
            <w:tcW w:w="21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5" w:hRule="exact"/>
        </w:trPr>
        <w:tc>
          <w:tcPr>
            <w:tcW w:w="4120" w:type="dxa"/>
            <w:tcBorders>
              <w:top w:val="nil" w:sz="6" w:space="0" w:color="auto"/>
              <w:left w:val="nil" w:sz="6" w:space="0" w:color="auto"/>
              <w:bottom w:val="nil" w:sz="6" w:space="0" w:color="auto"/>
              <w:right w:val="nil" w:sz="6" w:space="0" w:color="auto"/>
            </w:tcBorders>
          </w:tcPr>
          <w:p>
            <w:pPr>
              <w:pStyle w:val="TableParagraph"/>
              <w:spacing w:line="209" w:lineRule="exact"/>
              <w:ind w:left="108" w:right="0"/>
              <w:jc w:val="left"/>
              <w:rPr>
                <w:rFonts w:ascii="宋体" w:hAnsi="宋体" w:cs="宋体" w:eastAsia="宋体" w:hint="default"/>
                <w:sz w:val="18"/>
                <w:szCs w:val="18"/>
              </w:rPr>
            </w:pPr>
            <w:r>
              <w:rPr>
                <w:rFonts w:ascii="宋体" w:hAnsi="宋体" w:cs="宋体" w:eastAsia="宋体" w:hint="default"/>
                <w:sz w:val="18"/>
                <w:szCs w:val="18"/>
              </w:rPr>
              <w:t>定向增发保证金（清华控股有限公司</w:t>
            </w:r>
            <w:r>
              <w:rPr>
                <w:rFonts w:ascii="宋体" w:hAnsi="宋体" w:cs="宋体" w:eastAsia="宋体" w:hint="default"/>
                <w:spacing w:val="1"/>
                <w:sz w:val="18"/>
                <w:szCs w:val="18"/>
              </w:rPr>
              <w:t> </w:t>
            </w:r>
            <w:r>
              <w:rPr>
                <w:rFonts w:ascii="宋体" w:hAnsi="宋体" w:cs="宋体" w:eastAsia="宋体" w:hint="default"/>
                <w:sz w:val="18"/>
                <w:szCs w:val="18"/>
              </w:rPr>
              <w:t>）</w:t>
            </w:r>
          </w:p>
        </w:tc>
        <w:tc>
          <w:tcPr>
            <w:tcW w:w="245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913"/>
              <w:jc w:val="right"/>
              <w:rPr>
                <w:rFonts w:ascii="Times New Roman" w:hAnsi="Times New Roman" w:cs="Times New Roman" w:eastAsia="Times New Roman" w:hint="default"/>
                <w:sz w:val="18"/>
                <w:szCs w:val="18"/>
              </w:rPr>
            </w:pPr>
            <w:r>
              <w:rPr>
                <w:rFonts w:ascii="Times New Roman"/>
                <w:spacing w:val="-1"/>
                <w:sz w:val="18"/>
              </w:rPr>
              <w:t>0.00</w:t>
            </w:r>
          </w:p>
        </w:tc>
        <w:tc>
          <w:tcPr>
            <w:tcW w:w="214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8"/>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283" w:hRule="exact"/>
        </w:trPr>
        <w:tc>
          <w:tcPr>
            <w:tcW w:w="4120" w:type="dxa"/>
            <w:tcBorders>
              <w:top w:val="nil" w:sz="6" w:space="0" w:color="auto"/>
              <w:left w:val="nil" w:sz="6" w:space="0" w:color="auto"/>
              <w:bottom w:val="nil" w:sz="6" w:space="0" w:color="auto"/>
              <w:right w:val="nil" w:sz="6" w:space="0" w:color="auto"/>
            </w:tcBorders>
          </w:tcPr>
          <w:p>
            <w:pPr>
              <w:pStyle w:val="TableParagraph"/>
              <w:spacing w:line="210" w:lineRule="exact"/>
              <w:ind w:left="108" w:right="0"/>
              <w:jc w:val="left"/>
              <w:rPr>
                <w:rFonts w:ascii="宋体" w:hAnsi="宋体" w:cs="宋体" w:eastAsia="宋体" w:hint="default"/>
                <w:sz w:val="18"/>
                <w:szCs w:val="18"/>
              </w:rPr>
            </w:pPr>
            <w:r>
              <w:rPr>
                <w:rFonts w:ascii="宋体" w:hAnsi="宋体" w:cs="宋体" w:eastAsia="宋体" w:hint="default"/>
                <w:sz w:val="18"/>
                <w:szCs w:val="18"/>
              </w:rPr>
              <w:t>定向增发保证金（工银瑞信基金管理有限司）</w:t>
            </w:r>
          </w:p>
        </w:tc>
        <w:tc>
          <w:tcPr>
            <w:tcW w:w="245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913"/>
              <w:jc w:val="right"/>
              <w:rPr>
                <w:rFonts w:ascii="Times New Roman" w:hAnsi="Times New Roman" w:cs="Times New Roman" w:eastAsia="Times New Roman" w:hint="default"/>
                <w:sz w:val="18"/>
                <w:szCs w:val="18"/>
              </w:rPr>
            </w:pPr>
            <w:r>
              <w:rPr>
                <w:rFonts w:ascii="Times New Roman"/>
                <w:spacing w:val="-1"/>
                <w:sz w:val="18"/>
              </w:rPr>
              <w:t>0.00</w:t>
            </w:r>
          </w:p>
        </w:tc>
        <w:tc>
          <w:tcPr>
            <w:tcW w:w="214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8"/>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284" w:hRule="exact"/>
        </w:trPr>
        <w:tc>
          <w:tcPr>
            <w:tcW w:w="4120" w:type="dxa"/>
            <w:tcBorders>
              <w:top w:val="nil" w:sz="6" w:space="0" w:color="auto"/>
              <w:left w:val="nil" w:sz="6" w:space="0" w:color="auto"/>
              <w:bottom w:val="nil" w:sz="6" w:space="0" w:color="auto"/>
              <w:right w:val="nil" w:sz="6" w:space="0" w:color="auto"/>
            </w:tcBorders>
          </w:tcPr>
          <w:p>
            <w:pPr>
              <w:pStyle w:val="TableParagraph"/>
              <w:spacing w:line="210" w:lineRule="exact"/>
              <w:ind w:left="108" w:right="0"/>
              <w:jc w:val="left"/>
              <w:rPr>
                <w:rFonts w:ascii="宋体" w:hAnsi="宋体" w:cs="宋体" w:eastAsia="宋体" w:hint="default"/>
                <w:sz w:val="18"/>
                <w:szCs w:val="18"/>
              </w:rPr>
            </w:pPr>
            <w:r>
              <w:rPr>
                <w:rFonts w:ascii="宋体" w:hAnsi="宋体" w:cs="宋体" w:eastAsia="宋体" w:hint="default"/>
                <w:sz w:val="18"/>
                <w:szCs w:val="18"/>
              </w:rPr>
              <w:t>定向增发保证金（博时基金管理有限公司）</w:t>
            </w:r>
          </w:p>
        </w:tc>
        <w:tc>
          <w:tcPr>
            <w:tcW w:w="245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913"/>
              <w:jc w:val="right"/>
              <w:rPr>
                <w:rFonts w:ascii="Times New Roman" w:hAnsi="Times New Roman" w:cs="Times New Roman" w:eastAsia="Times New Roman" w:hint="default"/>
                <w:sz w:val="18"/>
                <w:szCs w:val="18"/>
              </w:rPr>
            </w:pPr>
            <w:r>
              <w:rPr>
                <w:rFonts w:ascii="Times New Roman"/>
                <w:spacing w:val="-1"/>
                <w:sz w:val="18"/>
              </w:rPr>
              <w:t>0.00</w:t>
            </w:r>
          </w:p>
        </w:tc>
        <w:tc>
          <w:tcPr>
            <w:tcW w:w="214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8"/>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296" w:hRule="exact"/>
        </w:trPr>
        <w:tc>
          <w:tcPr>
            <w:tcW w:w="4120" w:type="dxa"/>
            <w:tcBorders>
              <w:top w:val="nil" w:sz="6" w:space="0" w:color="auto"/>
              <w:left w:val="nil" w:sz="6" w:space="0" w:color="auto"/>
              <w:bottom w:val="nil" w:sz="6" w:space="0" w:color="auto"/>
              <w:right w:val="nil" w:sz="6" w:space="0" w:color="auto"/>
            </w:tcBorders>
          </w:tcPr>
          <w:p>
            <w:pPr>
              <w:pStyle w:val="TableParagraph"/>
              <w:spacing w:line="209" w:lineRule="exact"/>
              <w:ind w:left="108" w:right="0"/>
              <w:jc w:val="left"/>
              <w:rPr>
                <w:rFonts w:ascii="宋体" w:hAnsi="宋体" w:cs="宋体" w:eastAsia="宋体" w:hint="default"/>
                <w:sz w:val="18"/>
                <w:szCs w:val="18"/>
              </w:rPr>
            </w:pPr>
            <w:r>
              <w:rPr>
                <w:rFonts w:ascii="宋体" w:hAnsi="宋体" w:cs="宋体" w:eastAsia="宋体" w:hint="default"/>
                <w:sz w:val="18"/>
                <w:szCs w:val="18"/>
              </w:rPr>
              <w:t>定向增发保证金（紫光集团有限公司）</w:t>
            </w:r>
          </w:p>
        </w:tc>
        <w:tc>
          <w:tcPr>
            <w:tcW w:w="245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913"/>
              <w:jc w:val="right"/>
              <w:rPr>
                <w:rFonts w:ascii="Times New Roman" w:hAnsi="Times New Roman" w:cs="Times New Roman" w:eastAsia="Times New Roman" w:hint="default"/>
                <w:sz w:val="18"/>
                <w:szCs w:val="18"/>
              </w:rPr>
            </w:pPr>
            <w:r>
              <w:rPr>
                <w:rFonts w:ascii="Times New Roman"/>
                <w:spacing w:val="-1"/>
                <w:sz w:val="18"/>
              </w:rPr>
              <w:t>0.00</w:t>
            </w:r>
          </w:p>
        </w:tc>
        <w:tc>
          <w:tcPr>
            <w:tcW w:w="214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5,000,000.00</w:t>
            </w:r>
          </w:p>
        </w:tc>
      </w:tr>
      <w:tr>
        <w:trPr>
          <w:trHeight w:val="284" w:hRule="exact"/>
        </w:trPr>
        <w:tc>
          <w:tcPr>
            <w:tcW w:w="4120"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富锦市财政局转贷资金</w:t>
            </w:r>
          </w:p>
        </w:tc>
        <w:tc>
          <w:tcPr>
            <w:tcW w:w="245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13"/>
              <w:jc w:val="right"/>
              <w:rPr>
                <w:rFonts w:ascii="Times New Roman" w:hAnsi="Times New Roman" w:cs="Times New Roman" w:eastAsia="Times New Roman" w:hint="default"/>
                <w:sz w:val="18"/>
                <w:szCs w:val="18"/>
              </w:rPr>
            </w:pPr>
            <w:r>
              <w:rPr>
                <w:rFonts w:ascii="Times New Roman"/>
                <w:spacing w:val="-1"/>
                <w:sz w:val="18"/>
              </w:rPr>
              <w:t>0.00</w:t>
            </w:r>
          </w:p>
        </w:tc>
        <w:tc>
          <w:tcPr>
            <w:tcW w:w="21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5,302,477.40</w:t>
            </w:r>
          </w:p>
        </w:tc>
      </w:tr>
      <w:tr>
        <w:trPr>
          <w:trHeight w:val="255" w:hRule="exact"/>
        </w:trPr>
        <w:tc>
          <w:tcPr>
            <w:tcW w:w="4120"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45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913"/>
              <w:jc w:val="right"/>
              <w:rPr>
                <w:rFonts w:ascii="Times New Roman" w:hAnsi="Times New Roman" w:cs="Times New Roman" w:eastAsia="Times New Roman" w:hint="default"/>
                <w:sz w:val="18"/>
                <w:szCs w:val="18"/>
              </w:rPr>
            </w:pPr>
            <w:r>
              <w:rPr>
                <w:rFonts w:ascii="Times New Roman"/>
                <w:spacing w:val="-1"/>
                <w:sz w:val="18"/>
              </w:rPr>
              <w:t>0.00</w:t>
            </w:r>
          </w:p>
        </w:tc>
        <w:tc>
          <w:tcPr>
            <w:tcW w:w="2149"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16,504.27</w:t>
            </w:r>
          </w:p>
        </w:tc>
      </w:tr>
      <w:tr>
        <w:trPr>
          <w:trHeight w:val="305" w:hRule="exact"/>
        </w:trPr>
        <w:tc>
          <w:tcPr>
            <w:tcW w:w="4120"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454"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914"/>
              <w:jc w:val="right"/>
              <w:rPr>
                <w:rFonts w:ascii="Times New Roman" w:hAnsi="Times New Roman" w:cs="Times New Roman" w:eastAsia="Times New Roman" w:hint="default"/>
                <w:sz w:val="18"/>
                <w:szCs w:val="18"/>
              </w:rPr>
            </w:pPr>
            <w:r>
              <w:rPr>
                <w:rFonts w:ascii="Times New Roman"/>
                <w:b/>
                <w:spacing w:val="-1"/>
                <w:sz w:val="18"/>
              </w:rPr>
              <w:t>301,088,497.54</w:t>
            </w:r>
            <w:r>
              <w:rPr>
                <w:rFonts w:ascii="Times New Roman"/>
                <w:spacing w:val="-1"/>
                <w:sz w:val="18"/>
              </w:rPr>
            </w:r>
          </w:p>
        </w:tc>
        <w:tc>
          <w:tcPr>
            <w:tcW w:w="2149"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b/>
                <w:spacing w:val="-1"/>
                <w:sz w:val="18"/>
              </w:rPr>
              <w:t>225,404,875.47</w:t>
            </w:r>
            <w:r>
              <w:rPr>
                <w:rFonts w:ascii="Times New Roman"/>
                <w:spacing w:val="-1"/>
                <w:sz w:val="18"/>
              </w:rPr>
            </w:r>
          </w:p>
        </w:tc>
      </w:tr>
    </w:tbl>
    <w:p>
      <w:pPr>
        <w:spacing w:before="21"/>
        <w:ind w:left="821"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6) </w:t>
      </w:r>
      <w:r>
        <w:rPr>
          <w:rFonts w:ascii="Times New Roman" w:hAnsi="Times New Roman" w:cs="Times New Roman" w:eastAsia="Times New Roman" w:hint="default"/>
          <w:b/>
          <w:bCs/>
          <w:spacing w:val="6"/>
          <w:sz w:val="22"/>
          <w:szCs w:val="22"/>
        </w:rPr>
        <w:t> </w:t>
      </w:r>
      <w:r>
        <w:rPr>
          <w:rFonts w:ascii="宋体" w:hAnsi="宋体" w:cs="宋体" w:eastAsia="宋体" w:hint="default"/>
          <w:sz w:val="22"/>
          <w:szCs w:val="22"/>
        </w:rPr>
        <w:t>支付的其他与筹资活动有关的现金</w:t>
      </w:r>
    </w:p>
    <w:p>
      <w:pPr>
        <w:spacing w:line="240" w:lineRule="auto" w:before="5"/>
        <w:rPr>
          <w:rFonts w:ascii="宋体" w:hAnsi="宋体" w:cs="宋体" w:eastAsia="宋体" w:hint="default"/>
          <w:sz w:val="11"/>
          <w:szCs w:val="11"/>
        </w:rPr>
      </w:pPr>
    </w:p>
    <w:tbl>
      <w:tblPr>
        <w:tblW w:w="0" w:type="auto"/>
        <w:jc w:val="left"/>
        <w:tblInd w:w="138" w:type="dxa"/>
        <w:tblLayout w:type="fixed"/>
        <w:tblCellMar>
          <w:top w:w="0" w:type="dxa"/>
          <w:left w:w="0" w:type="dxa"/>
          <w:bottom w:w="0" w:type="dxa"/>
          <w:right w:w="0" w:type="dxa"/>
        </w:tblCellMar>
        <w:tblLook w:val="01E0"/>
      </w:tblPr>
      <w:tblGrid>
        <w:gridCol w:w="3881"/>
        <w:gridCol w:w="2702"/>
        <w:gridCol w:w="2094"/>
      </w:tblGrid>
      <w:tr>
        <w:trPr>
          <w:trHeight w:val="276" w:hRule="exact"/>
        </w:trPr>
        <w:tc>
          <w:tcPr>
            <w:tcW w:w="3881" w:type="dxa"/>
            <w:tcBorders>
              <w:top w:val="single" w:sz="12" w:space="0" w:color="000000"/>
              <w:left w:val="nil" w:sz="6" w:space="0" w:color="auto"/>
              <w:bottom w:val="single" w:sz="4" w:space="0" w:color="000000"/>
              <w:right w:val="nil" w:sz="6" w:space="0" w:color="auto"/>
            </w:tcBorders>
          </w:tcPr>
          <w:p>
            <w:pPr>
              <w:pStyle w:val="TableParagraph"/>
              <w:spacing w:line="229" w:lineRule="exact"/>
              <w:ind w:left="84"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702" w:type="dxa"/>
            <w:tcBorders>
              <w:top w:val="single" w:sz="12" w:space="0" w:color="000000"/>
              <w:left w:val="nil" w:sz="6" w:space="0" w:color="auto"/>
              <w:bottom w:val="single" w:sz="4" w:space="0" w:color="000000"/>
              <w:right w:val="nil" w:sz="6" w:space="0" w:color="auto"/>
            </w:tcBorders>
          </w:tcPr>
          <w:p>
            <w:pPr>
              <w:pStyle w:val="TableParagraph"/>
              <w:spacing w:line="229" w:lineRule="exact"/>
              <w:ind w:right="883"/>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2094" w:type="dxa"/>
            <w:tcBorders>
              <w:top w:val="single" w:sz="12" w:space="0" w:color="000000"/>
              <w:left w:val="nil" w:sz="6" w:space="0" w:color="auto"/>
              <w:bottom w:val="single" w:sz="4" w:space="0" w:color="000000"/>
              <w:right w:val="nil" w:sz="6" w:space="0" w:color="auto"/>
            </w:tcBorders>
          </w:tcPr>
          <w:p>
            <w:pPr>
              <w:pStyle w:val="TableParagraph"/>
              <w:spacing w:line="229" w:lineRule="exact"/>
              <w:ind w:right="82"/>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12" w:hRule="exact"/>
        </w:trPr>
        <w:tc>
          <w:tcPr>
            <w:tcW w:w="3881" w:type="dxa"/>
            <w:tcBorders>
              <w:top w:val="single" w:sz="4" w:space="0" w:color="000000"/>
              <w:left w:val="nil" w:sz="6" w:space="0" w:color="auto"/>
              <w:bottom w:val="nil" w:sz="6" w:space="0" w:color="auto"/>
              <w:right w:val="nil" w:sz="6" w:space="0" w:color="auto"/>
            </w:tcBorders>
          </w:tcPr>
          <w:p>
            <w:pPr>
              <w:pStyle w:val="TableParagraph"/>
              <w:spacing w:line="240" w:lineRule="auto" w:before="10"/>
              <w:ind w:left="84"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2702" w:type="dxa"/>
            <w:tcBorders>
              <w:top w:val="single" w:sz="4" w:space="0" w:color="000000"/>
              <w:left w:val="nil" w:sz="6" w:space="0" w:color="auto"/>
              <w:bottom w:val="nil" w:sz="6" w:space="0" w:color="auto"/>
              <w:right w:val="nil" w:sz="6" w:space="0" w:color="auto"/>
            </w:tcBorders>
          </w:tcPr>
          <w:p>
            <w:pPr>
              <w:pStyle w:val="TableParagraph"/>
              <w:spacing w:line="240" w:lineRule="auto" w:before="62"/>
              <w:ind w:right="883"/>
              <w:jc w:val="right"/>
              <w:rPr>
                <w:rFonts w:ascii="Times New Roman" w:hAnsi="Times New Roman" w:cs="Times New Roman" w:eastAsia="Times New Roman" w:hint="default"/>
                <w:sz w:val="18"/>
                <w:szCs w:val="18"/>
              </w:rPr>
            </w:pPr>
            <w:r>
              <w:rPr>
                <w:rFonts w:ascii="Times New Roman"/>
                <w:spacing w:val="-1"/>
                <w:sz w:val="18"/>
              </w:rPr>
              <w:t>1,940,279,444.70</w:t>
            </w:r>
          </w:p>
        </w:tc>
        <w:tc>
          <w:tcPr>
            <w:tcW w:w="2094" w:type="dxa"/>
            <w:tcBorders>
              <w:top w:val="single" w:sz="4" w:space="0" w:color="000000"/>
              <w:left w:val="nil" w:sz="6" w:space="0" w:color="auto"/>
              <w:bottom w:val="nil" w:sz="6" w:space="0" w:color="auto"/>
              <w:right w:val="nil" w:sz="6" w:space="0" w:color="auto"/>
            </w:tcBorders>
          </w:tcPr>
          <w:p>
            <w:pPr>
              <w:pStyle w:val="TableParagraph"/>
              <w:spacing w:line="240" w:lineRule="auto" w:before="62"/>
              <w:ind w:right="81"/>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3881" w:type="dxa"/>
            <w:tcBorders>
              <w:top w:val="nil" w:sz="6" w:space="0" w:color="auto"/>
              <w:left w:val="nil" w:sz="6" w:space="0" w:color="auto"/>
              <w:bottom w:val="nil" w:sz="6" w:space="0" w:color="auto"/>
              <w:right w:val="nil" w:sz="6" w:space="0" w:color="auto"/>
            </w:tcBorders>
          </w:tcPr>
          <w:p>
            <w:pPr>
              <w:pStyle w:val="TableParagraph"/>
              <w:spacing w:line="222" w:lineRule="exact"/>
              <w:ind w:left="84" w:right="0"/>
              <w:jc w:val="left"/>
              <w:rPr>
                <w:rFonts w:ascii="宋体" w:hAnsi="宋体" w:cs="宋体" w:eastAsia="宋体" w:hint="default"/>
                <w:sz w:val="18"/>
                <w:szCs w:val="18"/>
              </w:rPr>
            </w:pPr>
            <w:r>
              <w:rPr>
                <w:rFonts w:ascii="宋体" w:hAnsi="宋体" w:cs="宋体" w:eastAsia="宋体" w:hint="default"/>
                <w:sz w:val="18"/>
                <w:szCs w:val="18"/>
              </w:rPr>
              <w:t>使用受限制的现金</w:t>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83"/>
              <w:jc w:val="right"/>
              <w:rPr>
                <w:rFonts w:ascii="Times New Roman" w:hAnsi="Times New Roman" w:cs="Times New Roman" w:eastAsia="Times New Roman" w:hint="default"/>
                <w:sz w:val="18"/>
                <w:szCs w:val="18"/>
              </w:rPr>
            </w:pPr>
            <w:r>
              <w:rPr>
                <w:rFonts w:ascii="Times New Roman"/>
                <w:spacing w:val="-1"/>
                <w:sz w:val="18"/>
              </w:rPr>
              <w:t>81,620,539.66</w:t>
            </w:r>
          </w:p>
        </w:tc>
        <w:tc>
          <w:tcPr>
            <w:tcW w:w="20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1"/>
              <w:jc w:val="right"/>
              <w:rPr>
                <w:rFonts w:ascii="Times New Roman" w:hAnsi="Times New Roman" w:cs="Times New Roman" w:eastAsia="Times New Roman" w:hint="default"/>
                <w:sz w:val="18"/>
                <w:szCs w:val="18"/>
              </w:rPr>
            </w:pPr>
            <w:r>
              <w:rPr>
                <w:rFonts w:ascii="Times New Roman"/>
                <w:spacing w:val="-1"/>
                <w:sz w:val="18"/>
              </w:rPr>
              <w:t>208,529,224.29</w:t>
            </w:r>
          </w:p>
        </w:tc>
      </w:tr>
      <w:tr>
        <w:trPr>
          <w:trHeight w:val="285" w:hRule="exact"/>
        </w:trPr>
        <w:tc>
          <w:tcPr>
            <w:tcW w:w="3881" w:type="dxa"/>
            <w:tcBorders>
              <w:top w:val="nil" w:sz="6" w:space="0" w:color="auto"/>
              <w:left w:val="nil" w:sz="6" w:space="0" w:color="auto"/>
              <w:bottom w:val="nil" w:sz="6" w:space="0" w:color="auto"/>
              <w:right w:val="nil" w:sz="6" w:space="0" w:color="auto"/>
            </w:tcBorders>
          </w:tcPr>
          <w:p>
            <w:pPr>
              <w:pStyle w:val="TableParagraph"/>
              <w:spacing w:line="223" w:lineRule="exact"/>
              <w:ind w:left="84" w:right="0"/>
              <w:jc w:val="left"/>
              <w:rPr>
                <w:rFonts w:ascii="宋体" w:hAnsi="宋体" w:cs="宋体" w:eastAsia="宋体" w:hint="default"/>
                <w:sz w:val="18"/>
                <w:szCs w:val="18"/>
              </w:rPr>
            </w:pPr>
            <w:r>
              <w:rPr>
                <w:rFonts w:ascii="宋体" w:hAnsi="宋体" w:cs="宋体" w:eastAsia="宋体" w:hint="default"/>
                <w:sz w:val="18"/>
                <w:szCs w:val="18"/>
              </w:rPr>
              <w:t>退回认购非公开发行股票保证金</w:t>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83"/>
              <w:jc w:val="right"/>
              <w:rPr>
                <w:rFonts w:ascii="Times New Roman" w:hAnsi="Times New Roman" w:cs="Times New Roman" w:eastAsia="Times New Roman" w:hint="default"/>
                <w:sz w:val="18"/>
                <w:szCs w:val="18"/>
              </w:rPr>
            </w:pPr>
            <w:r>
              <w:rPr>
                <w:rFonts w:ascii="Times New Roman"/>
                <w:spacing w:val="-1"/>
                <w:sz w:val="18"/>
              </w:rPr>
              <w:t>55,000,000.00</w:t>
            </w:r>
          </w:p>
        </w:tc>
        <w:tc>
          <w:tcPr>
            <w:tcW w:w="20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3" w:hRule="exact"/>
        </w:trPr>
        <w:tc>
          <w:tcPr>
            <w:tcW w:w="3881" w:type="dxa"/>
            <w:tcBorders>
              <w:top w:val="nil" w:sz="6" w:space="0" w:color="auto"/>
              <w:left w:val="nil" w:sz="6" w:space="0" w:color="auto"/>
              <w:bottom w:val="nil" w:sz="6" w:space="0" w:color="auto"/>
              <w:right w:val="nil" w:sz="6" w:space="0" w:color="auto"/>
            </w:tcBorders>
          </w:tcPr>
          <w:p>
            <w:pPr>
              <w:pStyle w:val="TableParagraph"/>
              <w:spacing w:line="222" w:lineRule="exact"/>
              <w:ind w:left="84" w:right="0"/>
              <w:jc w:val="left"/>
              <w:rPr>
                <w:rFonts w:ascii="宋体" w:hAnsi="宋体" w:cs="宋体" w:eastAsia="宋体" w:hint="default"/>
                <w:sz w:val="18"/>
                <w:szCs w:val="18"/>
              </w:rPr>
            </w:pPr>
            <w:r>
              <w:rPr>
                <w:rFonts w:ascii="宋体" w:hAnsi="宋体" w:cs="宋体" w:eastAsia="宋体" w:hint="default"/>
                <w:sz w:val="18"/>
                <w:szCs w:val="18"/>
              </w:rPr>
              <w:t>发行股票、债券的募集费用和中介机构费</w:t>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83"/>
              <w:jc w:val="right"/>
              <w:rPr>
                <w:rFonts w:ascii="Times New Roman" w:hAnsi="Times New Roman" w:cs="Times New Roman" w:eastAsia="Times New Roman" w:hint="default"/>
                <w:sz w:val="18"/>
                <w:szCs w:val="18"/>
              </w:rPr>
            </w:pPr>
            <w:r>
              <w:rPr>
                <w:rFonts w:ascii="Times New Roman"/>
                <w:spacing w:val="-1"/>
                <w:sz w:val="18"/>
              </w:rPr>
              <w:t>27,601,444.51</w:t>
            </w:r>
          </w:p>
        </w:tc>
        <w:tc>
          <w:tcPr>
            <w:tcW w:w="20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1"/>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3881" w:type="dxa"/>
            <w:tcBorders>
              <w:top w:val="nil" w:sz="6" w:space="0" w:color="auto"/>
              <w:left w:val="nil" w:sz="6" w:space="0" w:color="auto"/>
              <w:bottom w:val="nil" w:sz="6" w:space="0" w:color="auto"/>
              <w:right w:val="nil" w:sz="6" w:space="0" w:color="auto"/>
            </w:tcBorders>
          </w:tcPr>
          <w:p>
            <w:pPr>
              <w:pStyle w:val="TableParagraph"/>
              <w:spacing w:line="222" w:lineRule="exact"/>
              <w:ind w:left="84" w:right="0"/>
              <w:jc w:val="left"/>
              <w:rPr>
                <w:rFonts w:ascii="宋体" w:hAnsi="宋体" w:cs="宋体" w:eastAsia="宋体" w:hint="default"/>
                <w:sz w:val="18"/>
                <w:szCs w:val="18"/>
              </w:rPr>
            </w:pPr>
            <w:r>
              <w:rPr>
                <w:rFonts w:ascii="宋体" w:hAnsi="宋体" w:cs="宋体" w:eastAsia="宋体" w:hint="default"/>
                <w:sz w:val="18"/>
                <w:szCs w:val="18"/>
              </w:rPr>
              <w:t>购买少数股东权益支付的现金</w:t>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83"/>
              <w:jc w:val="right"/>
              <w:rPr>
                <w:rFonts w:ascii="Times New Roman" w:hAnsi="Times New Roman" w:cs="Times New Roman" w:eastAsia="Times New Roman" w:hint="default"/>
                <w:sz w:val="18"/>
                <w:szCs w:val="18"/>
              </w:rPr>
            </w:pPr>
            <w:r>
              <w:rPr>
                <w:rFonts w:ascii="Times New Roman"/>
                <w:spacing w:val="-1"/>
                <w:sz w:val="18"/>
              </w:rPr>
              <w:t>41,073,875.06</w:t>
            </w:r>
          </w:p>
        </w:tc>
        <w:tc>
          <w:tcPr>
            <w:tcW w:w="20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1"/>
              <w:jc w:val="right"/>
              <w:rPr>
                <w:rFonts w:ascii="Times New Roman" w:hAnsi="Times New Roman" w:cs="Times New Roman" w:eastAsia="Times New Roman" w:hint="default"/>
                <w:sz w:val="18"/>
                <w:szCs w:val="18"/>
              </w:rPr>
            </w:pPr>
            <w:r>
              <w:rPr>
                <w:rFonts w:ascii="Times New Roman"/>
                <w:spacing w:val="-1"/>
                <w:sz w:val="18"/>
              </w:rPr>
              <w:t>43,279,160.00</w:t>
            </w:r>
          </w:p>
        </w:tc>
      </w:tr>
      <w:tr>
        <w:trPr>
          <w:trHeight w:val="255" w:hRule="exact"/>
        </w:trPr>
        <w:tc>
          <w:tcPr>
            <w:tcW w:w="3881" w:type="dxa"/>
            <w:tcBorders>
              <w:top w:val="nil" w:sz="6" w:space="0" w:color="auto"/>
              <w:left w:val="nil" w:sz="6" w:space="0" w:color="auto"/>
              <w:bottom w:val="single" w:sz="4" w:space="0" w:color="000000"/>
              <w:right w:val="nil" w:sz="6" w:space="0" w:color="auto"/>
            </w:tcBorders>
          </w:tcPr>
          <w:p>
            <w:pPr>
              <w:pStyle w:val="TableParagraph"/>
              <w:spacing w:line="223" w:lineRule="exact"/>
              <w:ind w:left="8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702"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882"/>
              <w:jc w:val="right"/>
              <w:rPr>
                <w:rFonts w:ascii="Times New Roman" w:hAnsi="Times New Roman" w:cs="Times New Roman" w:eastAsia="Times New Roman" w:hint="default"/>
                <w:sz w:val="18"/>
                <w:szCs w:val="18"/>
              </w:rPr>
            </w:pPr>
            <w:r>
              <w:rPr>
                <w:rFonts w:ascii="Times New Roman"/>
                <w:spacing w:val="-1"/>
                <w:sz w:val="18"/>
              </w:rPr>
              <w:t>0.00</w:t>
            </w:r>
          </w:p>
        </w:tc>
        <w:tc>
          <w:tcPr>
            <w:tcW w:w="209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81"/>
              <w:jc w:val="right"/>
              <w:rPr>
                <w:rFonts w:ascii="Times New Roman" w:hAnsi="Times New Roman" w:cs="Times New Roman" w:eastAsia="Times New Roman" w:hint="default"/>
                <w:sz w:val="18"/>
                <w:szCs w:val="18"/>
              </w:rPr>
            </w:pPr>
            <w:r>
              <w:rPr>
                <w:rFonts w:ascii="Times New Roman"/>
                <w:spacing w:val="-1"/>
                <w:sz w:val="18"/>
              </w:rPr>
              <w:t>380,415.38</w:t>
            </w:r>
          </w:p>
        </w:tc>
      </w:tr>
      <w:tr>
        <w:trPr>
          <w:trHeight w:val="295" w:hRule="exact"/>
        </w:trPr>
        <w:tc>
          <w:tcPr>
            <w:tcW w:w="3881" w:type="dxa"/>
            <w:tcBorders>
              <w:top w:val="single" w:sz="4" w:space="0" w:color="000000"/>
              <w:left w:val="nil" w:sz="6" w:space="0" w:color="auto"/>
              <w:bottom w:val="single" w:sz="12" w:space="0" w:color="000000"/>
              <w:right w:val="nil" w:sz="6" w:space="0" w:color="auto"/>
            </w:tcBorders>
          </w:tcPr>
          <w:p>
            <w:pPr>
              <w:pStyle w:val="TableParagraph"/>
              <w:spacing w:line="240" w:lineRule="auto" w:before="10"/>
              <w:ind w:left="84"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702" w:type="dxa"/>
            <w:tcBorders>
              <w:top w:val="single" w:sz="4" w:space="0" w:color="000000"/>
              <w:left w:val="nil" w:sz="6" w:space="0" w:color="auto"/>
              <w:bottom w:val="single" w:sz="12" w:space="0" w:color="000000"/>
              <w:right w:val="nil" w:sz="6" w:space="0" w:color="auto"/>
            </w:tcBorders>
          </w:tcPr>
          <w:p>
            <w:pPr>
              <w:pStyle w:val="TableParagraph"/>
              <w:spacing w:line="240" w:lineRule="auto" w:before="67"/>
              <w:ind w:right="883"/>
              <w:jc w:val="right"/>
              <w:rPr>
                <w:rFonts w:ascii="Times New Roman" w:hAnsi="Times New Roman" w:cs="Times New Roman" w:eastAsia="Times New Roman" w:hint="default"/>
                <w:sz w:val="18"/>
                <w:szCs w:val="18"/>
              </w:rPr>
            </w:pPr>
            <w:r>
              <w:rPr>
                <w:rFonts w:ascii="Times New Roman"/>
                <w:b/>
                <w:spacing w:val="-1"/>
                <w:sz w:val="18"/>
              </w:rPr>
              <w:t>2,145,575,303.93</w:t>
            </w:r>
            <w:r>
              <w:rPr>
                <w:rFonts w:ascii="Times New Roman"/>
                <w:spacing w:val="-1"/>
                <w:sz w:val="18"/>
              </w:rPr>
            </w:r>
          </w:p>
        </w:tc>
        <w:tc>
          <w:tcPr>
            <w:tcW w:w="2094" w:type="dxa"/>
            <w:tcBorders>
              <w:top w:val="single" w:sz="4" w:space="0" w:color="000000"/>
              <w:left w:val="nil" w:sz="6" w:space="0" w:color="auto"/>
              <w:bottom w:val="single" w:sz="12" w:space="0" w:color="000000"/>
              <w:right w:val="nil" w:sz="6" w:space="0" w:color="auto"/>
            </w:tcBorders>
          </w:tcPr>
          <w:p>
            <w:pPr>
              <w:pStyle w:val="TableParagraph"/>
              <w:spacing w:line="240" w:lineRule="auto" w:before="67"/>
              <w:ind w:right="81"/>
              <w:jc w:val="right"/>
              <w:rPr>
                <w:rFonts w:ascii="Times New Roman" w:hAnsi="Times New Roman" w:cs="Times New Roman" w:eastAsia="Times New Roman" w:hint="default"/>
                <w:sz w:val="18"/>
                <w:szCs w:val="18"/>
              </w:rPr>
            </w:pPr>
            <w:r>
              <w:rPr>
                <w:rFonts w:ascii="Times New Roman"/>
                <w:b/>
                <w:spacing w:val="-1"/>
                <w:sz w:val="18"/>
              </w:rPr>
              <w:t>252,188,799.67</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0" w:footer="816" w:top="1080" w:bottom="1000" w:left="1480" w:right="1480"/>
        </w:sectPr>
      </w:pPr>
    </w:p>
    <w:p>
      <w:pPr>
        <w:spacing w:line="240" w:lineRule="auto" w:before="0"/>
        <w:rPr>
          <w:rFonts w:ascii="宋体" w:hAnsi="宋体" w:cs="宋体" w:eastAsia="宋体" w:hint="default"/>
          <w:sz w:val="20"/>
          <w:szCs w:val="20"/>
        </w:rPr>
      </w:pPr>
    </w:p>
    <w:p>
      <w:pPr>
        <w:spacing w:before="179"/>
        <w:ind w:left="67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合并现金流量表补充资料</w:t>
      </w:r>
    </w:p>
    <w:p>
      <w:pPr>
        <w:spacing w:line="240" w:lineRule="auto" w:before="8"/>
        <w:rPr>
          <w:rFonts w:ascii="宋体" w:hAnsi="宋体" w:cs="宋体" w:eastAsia="宋体" w:hint="default"/>
          <w:sz w:val="11"/>
          <w:szCs w:val="11"/>
        </w:rPr>
      </w:pPr>
    </w:p>
    <w:tbl>
      <w:tblPr>
        <w:tblW w:w="0" w:type="auto"/>
        <w:jc w:val="left"/>
        <w:tblInd w:w="150" w:type="dxa"/>
        <w:tblLayout w:type="fixed"/>
        <w:tblCellMar>
          <w:top w:w="0" w:type="dxa"/>
          <w:left w:w="0" w:type="dxa"/>
          <w:bottom w:w="0" w:type="dxa"/>
          <w:right w:w="0" w:type="dxa"/>
        </w:tblCellMar>
        <w:tblLook w:val="01E0"/>
      </w:tblPr>
      <w:tblGrid>
        <w:gridCol w:w="5683"/>
        <w:gridCol w:w="1505"/>
        <w:gridCol w:w="1480"/>
      </w:tblGrid>
      <w:tr>
        <w:trPr>
          <w:trHeight w:val="305" w:hRule="exact"/>
        </w:trPr>
        <w:tc>
          <w:tcPr>
            <w:tcW w:w="568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71"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50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2"/>
              <w:jc w:val="right"/>
              <w:rPr>
                <w:rFonts w:ascii="宋体" w:hAnsi="宋体" w:cs="宋体" w:eastAsia="宋体" w:hint="default"/>
                <w:sz w:val="18"/>
                <w:szCs w:val="18"/>
              </w:rPr>
            </w:pPr>
            <w:r>
              <w:rPr>
                <w:rFonts w:ascii="宋体" w:hAnsi="宋体" w:cs="宋体" w:eastAsia="宋体" w:hint="default"/>
                <w:b/>
                <w:bCs/>
                <w:w w:val="95"/>
                <w:sz w:val="18"/>
                <w:szCs w:val="18"/>
              </w:rPr>
              <w:t>本年金额</w:t>
            </w:r>
            <w:r>
              <w:rPr>
                <w:rFonts w:ascii="宋体" w:hAnsi="宋体" w:cs="宋体" w:eastAsia="宋体" w:hint="default"/>
                <w:sz w:val="18"/>
                <w:szCs w:val="18"/>
              </w:rPr>
            </w:r>
          </w:p>
        </w:tc>
        <w:tc>
          <w:tcPr>
            <w:tcW w:w="148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55"/>
              <w:jc w:val="right"/>
              <w:rPr>
                <w:rFonts w:ascii="宋体" w:hAnsi="宋体" w:cs="宋体" w:eastAsia="宋体" w:hint="default"/>
                <w:sz w:val="18"/>
                <w:szCs w:val="18"/>
              </w:rPr>
            </w:pPr>
            <w:r>
              <w:rPr>
                <w:rFonts w:ascii="宋体" w:hAnsi="宋体" w:cs="宋体" w:eastAsia="宋体" w:hint="default"/>
                <w:b/>
                <w:bCs/>
                <w:w w:val="95"/>
                <w:sz w:val="18"/>
                <w:szCs w:val="18"/>
              </w:rPr>
              <w:t>上年金额</w:t>
            </w:r>
            <w:r>
              <w:rPr>
                <w:rFonts w:ascii="宋体" w:hAnsi="宋体" w:cs="宋体" w:eastAsia="宋体" w:hint="default"/>
                <w:sz w:val="18"/>
                <w:szCs w:val="18"/>
              </w:rPr>
            </w:r>
          </w:p>
        </w:tc>
      </w:tr>
      <w:tr>
        <w:trPr>
          <w:trHeight w:val="321" w:hRule="exact"/>
        </w:trPr>
        <w:tc>
          <w:tcPr>
            <w:tcW w:w="5683"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71"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将净利润调节为经营活动现金流量：</w:t>
            </w:r>
            <w:r>
              <w:rPr>
                <w:rFonts w:ascii="宋体" w:hAnsi="宋体" w:cs="宋体" w:eastAsia="宋体" w:hint="default"/>
                <w:sz w:val="18"/>
                <w:szCs w:val="18"/>
              </w:rPr>
            </w:r>
          </w:p>
        </w:tc>
        <w:tc>
          <w:tcPr>
            <w:tcW w:w="1505" w:type="dxa"/>
            <w:tcBorders>
              <w:top w:val="single" w:sz="4" w:space="0" w:color="000000"/>
              <w:left w:val="nil" w:sz="6" w:space="0" w:color="auto"/>
              <w:bottom w:val="nil" w:sz="6" w:space="0" w:color="auto"/>
              <w:right w:val="nil" w:sz="6" w:space="0" w:color="auto"/>
            </w:tcBorders>
          </w:tcPr>
          <w:p>
            <w:pPr/>
          </w:p>
        </w:tc>
        <w:tc>
          <w:tcPr>
            <w:tcW w:w="1480" w:type="dxa"/>
            <w:tcBorders>
              <w:top w:val="single" w:sz="4" w:space="0" w:color="000000"/>
              <w:left w:val="nil" w:sz="6" w:space="0" w:color="auto"/>
              <w:bottom w:val="nil" w:sz="6" w:space="0" w:color="auto"/>
              <w:right w:val="nil" w:sz="6" w:space="0" w:color="auto"/>
            </w:tcBorders>
          </w:tcPr>
          <w:p>
            <w:pPr/>
          </w:p>
        </w:tc>
      </w:tr>
      <w:tr>
        <w:trPr>
          <w:trHeight w:val="292"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28" w:lineRule="exact"/>
              <w:ind w:left="7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spacing w:val="-1"/>
                <w:sz w:val="18"/>
              </w:rPr>
              <w:t>2,162,807,258.88</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5"/>
              <w:jc w:val="right"/>
              <w:rPr>
                <w:rFonts w:ascii="Times New Roman" w:hAnsi="Times New Roman" w:cs="Times New Roman" w:eastAsia="Times New Roman" w:hint="default"/>
                <w:sz w:val="18"/>
                <w:szCs w:val="18"/>
              </w:rPr>
            </w:pPr>
            <w:r>
              <w:rPr>
                <w:rFonts w:ascii="Times New Roman"/>
                <w:spacing w:val="-1"/>
                <w:sz w:val="18"/>
              </w:rPr>
              <w:t>1,213,410,692.13</w:t>
            </w:r>
          </w:p>
        </w:tc>
      </w:tr>
      <w:tr>
        <w:trPr>
          <w:trHeight w:val="284"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19" w:lineRule="exact"/>
              <w:ind w:left="71"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2"/>
              <w:jc w:val="right"/>
              <w:rPr>
                <w:rFonts w:ascii="Times New Roman" w:hAnsi="Times New Roman" w:cs="Times New Roman" w:eastAsia="Times New Roman" w:hint="default"/>
                <w:sz w:val="18"/>
                <w:szCs w:val="18"/>
              </w:rPr>
            </w:pPr>
            <w:r>
              <w:rPr>
                <w:rFonts w:ascii="Times New Roman"/>
                <w:spacing w:val="-1"/>
                <w:sz w:val="18"/>
              </w:rPr>
              <w:t>478,441,797.28</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55"/>
              <w:jc w:val="right"/>
              <w:rPr>
                <w:rFonts w:ascii="Times New Roman" w:hAnsi="Times New Roman" w:cs="Times New Roman" w:eastAsia="Times New Roman" w:hint="default"/>
                <w:sz w:val="18"/>
                <w:szCs w:val="18"/>
              </w:rPr>
            </w:pPr>
            <w:r>
              <w:rPr>
                <w:rFonts w:ascii="Times New Roman"/>
                <w:spacing w:val="-1"/>
                <w:sz w:val="18"/>
              </w:rPr>
              <w:t>276,329,197.27</w:t>
            </w:r>
          </w:p>
        </w:tc>
      </w:tr>
      <w:tr>
        <w:trPr>
          <w:trHeight w:val="286"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21" w:lineRule="exact"/>
              <w:ind w:left="794"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2"/>
              <w:jc w:val="right"/>
              <w:rPr>
                <w:rFonts w:ascii="Times New Roman" w:hAnsi="Times New Roman" w:cs="Times New Roman" w:eastAsia="Times New Roman" w:hint="default"/>
                <w:sz w:val="18"/>
                <w:szCs w:val="18"/>
              </w:rPr>
            </w:pPr>
            <w:r>
              <w:rPr>
                <w:rFonts w:ascii="Times New Roman"/>
                <w:spacing w:val="-1"/>
                <w:sz w:val="18"/>
              </w:rPr>
              <w:t>602,813,987.03</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
              <w:jc w:val="right"/>
              <w:rPr>
                <w:rFonts w:ascii="Times New Roman" w:hAnsi="Times New Roman" w:cs="Times New Roman" w:eastAsia="Times New Roman" w:hint="default"/>
                <w:sz w:val="18"/>
                <w:szCs w:val="18"/>
              </w:rPr>
            </w:pPr>
            <w:r>
              <w:rPr>
                <w:rFonts w:ascii="Times New Roman"/>
                <w:spacing w:val="-1"/>
                <w:sz w:val="18"/>
              </w:rPr>
              <w:t>543,357,627.24</w:t>
            </w:r>
          </w:p>
        </w:tc>
      </w:tr>
      <w:tr>
        <w:trPr>
          <w:trHeight w:val="286"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21" w:lineRule="exact"/>
              <w:ind w:left="705"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2"/>
              <w:jc w:val="right"/>
              <w:rPr>
                <w:rFonts w:ascii="Times New Roman" w:hAnsi="Times New Roman" w:cs="Times New Roman" w:eastAsia="Times New Roman" w:hint="default"/>
                <w:sz w:val="18"/>
                <w:szCs w:val="18"/>
              </w:rPr>
            </w:pPr>
            <w:r>
              <w:rPr>
                <w:rFonts w:ascii="Times New Roman"/>
                <w:spacing w:val="-1"/>
                <w:sz w:val="18"/>
              </w:rPr>
              <w:t>297,963,753.68</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
              <w:jc w:val="right"/>
              <w:rPr>
                <w:rFonts w:ascii="Times New Roman" w:hAnsi="Times New Roman" w:cs="Times New Roman" w:eastAsia="Times New Roman" w:hint="default"/>
                <w:sz w:val="18"/>
                <w:szCs w:val="18"/>
              </w:rPr>
            </w:pPr>
            <w:r>
              <w:rPr>
                <w:rFonts w:ascii="Times New Roman"/>
                <w:spacing w:val="-1"/>
                <w:sz w:val="18"/>
              </w:rPr>
              <w:t>230,770,273.98</w:t>
            </w:r>
          </w:p>
        </w:tc>
      </w:tr>
      <w:tr>
        <w:trPr>
          <w:trHeight w:val="284"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21" w:lineRule="exact"/>
              <w:ind w:left="705"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2"/>
              <w:jc w:val="right"/>
              <w:rPr>
                <w:rFonts w:ascii="Times New Roman" w:hAnsi="Times New Roman" w:cs="Times New Roman" w:eastAsia="Times New Roman" w:hint="default"/>
                <w:sz w:val="18"/>
                <w:szCs w:val="18"/>
              </w:rPr>
            </w:pPr>
            <w:r>
              <w:rPr>
                <w:rFonts w:ascii="Times New Roman"/>
                <w:spacing w:val="-1"/>
                <w:sz w:val="18"/>
              </w:rPr>
              <w:t>25,337,873.78</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
              <w:jc w:val="right"/>
              <w:rPr>
                <w:rFonts w:ascii="Times New Roman" w:hAnsi="Times New Roman" w:cs="Times New Roman" w:eastAsia="Times New Roman" w:hint="default"/>
                <w:sz w:val="18"/>
                <w:szCs w:val="18"/>
              </w:rPr>
            </w:pPr>
            <w:r>
              <w:rPr>
                <w:rFonts w:ascii="Times New Roman"/>
                <w:spacing w:val="-1"/>
                <w:sz w:val="18"/>
              </w:rPr>
              <w:t>49,057,544.30</w:t>
            </w:r>
          </w:p>
        </w:tc>
      </w:tr>
      <w:tr>
        <w:trPr>
          <w:trHeight w:val="284"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33" w:lineRule="exact"/>
              <w:ind w:left="695" w:right="0"/>
              <w:jc w:val="left"/>
              <w:rPr>
                <w:rFonts w:ascii="宋体" w:hAnsi="宋体" w:cs="宋体" w:eastAsia="宋体" w:hint="default"/>
                <w:sz w:val="18"/>
                <w:szCs w:val="18"/>
              </w:rPr>
            </w:pPr>
            <w:r>
              <w:rPr>
                <w:rFonts w:ascii="宋体" w:hAnsi="宋体" w:cs="宋体" w:eastAsia="宋体" w:hint="default"/>
                <w:spacing w:val="-12"/>
                <w:sz w:val="18"/>
                <w:szCs w:val="18"/>
              </w:rPr>
              <w:t>处置固定资产、无形资产和其他长期资产的损失（收益以</w:t>
            </w:r>
            <w:r>
              <w:rPr>
                <w:rFonts w:ascii="Times New Roman" w:hAnsi="Times New Roman" w:cs="Times New Roman" w:eastAsia="Times New Roman" w:hint="default"/>
                <w:spacing w:val="-12"/>
                <w:sz w:val="18"/>
                <w:szCs w:val="18"/>
              </w:rPr>
              <w:t>“</w:t>
            </w:r>
            <w:r>
              <w:rPr>
                <w:rFonts w:ascii="Times New Roman" w:hAnsi="Times New Roman" w:cs="Times New Roman" w:eastAsia="Times New Roman" w:hint="default"/>
                <w:spacing w:val="-12"/>
                <w:sz w:val="18"/>
                <w:szCs w:val="18"/>
              </w:rPr>
              <w:t>-</w:t>
            </w:r>
            <w:r>
              <w:rPr>
                <w:rFonts w:ascii="Times New Roman" w:hAnsi="Times New Roman" w:cs="Times New Roman" w:eastAsia="Times New Roman" w:hint="default"/>
                <w:spacing w:val="-12"/>
                <w:sz w:val="18"/>
                <w:szCs w:val="18"/>
              </w:rPr>
              <w:t>”</w:t>
            </w:r>
            <w:r>
              <w:rPr>
                <w:rFonts w:ascii="宋体" w:hAnsi="宋体" w:cs="宋体" w:eastAsia="宋体" w:hint="default"/>
                <w:spacing w:val="-12"/>
                <w:sz w:val="18"/>
                <w:szCs w:val="18"/>
              </w:rPr>
              <w:t>填列）</w:t>
            </w:r>
            <w:r>
              <w:rPr>
                <w:rFonts w:ascii="宋体" w:hAnsi="宋体" w:cs="宋体" w:eastAsia="宋体" w:hint="default"/>
                <w:sz w:val="18"/>
                <w:szCs w:val="18"/>
              </w:rPr>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2"/>
              <w:jc w:val="right"/>
              <w:rPr>
                <w:rFonts w:ascii="Times New Roman" w:hAnsi="Times New Roman" w:cs="Times New Roman" w:eastAsia="Times New Roman" w:hint="default"/>
                <w:sz w:val="18"/>
                <w:szCs w:val="18"/>
              </w:rPr>
            </w:pPr>
            <w:r>
              <w:rPr>
                <w:rFonts w:ascii="Times New Roman"/>
                <w:spacing w:val="-1"/>
                <w:sz w:val="18"/>
              </w:rPr>
              <w:t>-26,193,784.22</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54"/>
              <w:jc w:val="right"/>
              <w:rPr>
                <w:rFonts w:ascii="Times New Roman" w:hAnsi="Times New Roman" w:cs="Times New Roman" w:eastAsia="Times New Roman" w:hint="default"/>
                <w:sz w:val="18"/>
                <w:szCs w:val="18"/>
              </w:rPr>
            </w:pPr>
            <w:r>
              <w:rPr>
                <w:rFonts w:ascii="Times New Roman"/>
                <w:spacing w:val="-1"/>
                <w:sz w:val="18"/>
              </w:rPr>
              <w:t>-2,201,442.85</w:t>
            </w:r>
          </w:p>
        </w:tc>
      </w:tr>
      <w:tr>
        <w:trPr>
          <w:trHeight w:val="286"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34" w:lineRule="exact"/>
              <w:ind w:left="705"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2"/>
              <w:jc w:val="right"/>
              <w:rPr>
                <w:rFonts w:ascii="Times New Roman" w:hAnsi="Times New Roman" w:cs="Times New Roman" w:eastAsia="Times New Roman" w:hint="default"/>
                <w:sz w:val="18"/>
                <w:szCs w:val="18"/>
              </w:rPr>
            </w:pPr>
            <w:r>
              <w:rPr>
                <w:rFonts w:ascii="Times New Roman"/>
                <w:spacing w:val="-1"/>
                <w:sz w:val="18"/>
              </w:rPr>
              <w:t>1,496,068.08</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
              <w:jc w:val="right"/>
              <w:rPr>
                <w:rFonts w:ascii="Times New Roman" w:hAnsi="Times New Roman" w:cs="Times New Roman" w:eastAsia="Times New Roman" w:hint="default"/>
                <w:sz w:val="18"/>
                <w:szCs w:val="18"/>
              </w:rPr>
            </w:pPr>
            <w:r>
              <w:rPr>
                <w:rFonts w:ascii="Times New Roman"/>
                <w:spacing w:val="-1"/>
                <w:sz w:val="18"/>
              </w:rPr>
              <w:t>31,729.71</w:t>
            </w:r>
          </w:p>
        </w:tc>
      </w:tr>
      <w:tr>
        <w:trPr>
          <w:trHeight w:val="286"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34" w:lineRule="exact"/>
              <w:ind w:left="705" w:right="0"/>
              <w:jc w:val="left"/>
              <w:rPr>
                <w:rFonts w:ascii="宋体" w:hAnsi="宋体" w:cs="宋体" w:eastAsia="宋体" w:hint="default"/>
                <w:sz w:val="18"/>
                <w:szCs w:val="18"/>
              </w:rPr>
            </w:pPr>
            <w:r>
              <w:rPr>
                <w:rFonts w:ascii="宋体" w:hAnsi="宋体" w:cs="宋体" w:eastAsia="宋体" w:hint="default"/>
                <w:sz w:val="18"/>
                <w:szCs w:val="18"/>
              </w:rPr>
              <w:t>公允价值变动损益（收益以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2"/>
              <w:jc w:val="right"/>
              <w:rPr>
                <w:rFonts w:ascii="Times New Roman" w:hAnsi="Times New Roman" w:cs="Times New Roman" w:eastAsia="Times New Roman" w:hint="default"/>
                <w:sz w:val="18"/>
                <w:szCs w:val="18"/>
              </w:rPr>
            </w:pPr>
            <w:r>
              <w:rPr>
                <w:rFonts w:ascii="Times New Roman"/>
                <w:spacing w:val="-1"/>
                <w:sz w:val="18"/>
              </w:rPr>
              <w:t>229,039,605.97</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
              <w:jc w:val="right"/>
              <w:rPr>
                <w:rFonts w:ascii="Times New Roman" w:hAnsi="Times New Roman" w:cs="Times New Roman" w:eastAsia="Times New Roman" w:hint="default"/>
                <w:sz w:val="18"/>
                <w:szCs w:val="18"/>
              </w:rPr>
            </w:pPr>
            <w:r>
              <w:rPr>
                <w:rFonts w:ascii="Times New Roman"/>
                <w:spacing w:val="-1"/>
                <w:sz w:val="18"/>
              </w:rPr>
              <w:t>-128,133,757.82</w:t>
            </w:r>
          </w:p>
        </w:tc>
      </w:tr>
      <w:tr>
        <w:trPr>
          <w:trHeight w:val="284"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34" w:lineRule="exact"/>
              <w:ind w:left="705"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2"/>
              <w:jc w:val="right"/>
              <w:rPr>
                <w:rFonts w:ascii="Times New Roman" w:hAnsi="Times New Roman" w:cs="Times New Roman" w:eastAsia="Times New Roman" w:hint="default"/>
                <w:sz w:val="18"/>
                <w:szCs w:val="18"/>
              </w:rPr>
            </w:pPr>
            <w:r>
              <w:rPr>
                <w:rFonts w:ascii="Times New Roman"/>
                <w:spacing w:val="-1"/>
                <w:sz w:val="18"/>
              </w:rPr>
              <w:t>1,076,121,608.54</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
              <w:jc w:val="right"/>
              <w:rPr>
                <w:rFonts w:ascii="Times New Roman" w:hAnsi="Times New Roman" w:cs="Times New Roman" w:eastAsia="Times New Roman" w:hint="default"/>
                <w:sz w:val="18"/>
                <w:szCs w:val="18"/>
              </w:rPr>
            </w:pPr>
            <w:r>
              <w:rPr>
                <w:rFonts w:ascii="Times New Roman"/>
                <w:spacing w:val="-1"/>
                <w:sz w:val="18"/>
              </w:rPr>
              <w:t>1,137,908,647.59</w:t>
            </w:r>
          </w:p>
        </w:tc>
      </w:tr>
      <w:tr>
        <w:trPr>
          <w:trHeight w:val="285"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33" w:lineRule="exact"/>
              <w:ind w:left="705"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2"/>
              <w:jc w:val="right"/>
              <w:rPr>
                <w:rFonts w:ascii="Times New Roman" w:hAnsi="Times New Roman" w:cs="Times New Roman" w:eastAsia="Times New Roman" w:hint="default"/>
                <w:sz w:val="18"/>
                <w:szCs w:val="18"/>
              </w:rPr>
            </w:pPr>
            <w:r>
              <w:rPr>
                <w:rFonts w:ascii="Times New Roman"/>
                <w:spacing w:val="-1"/>
                <w:sz w:val="18"/>
              </w:rPr>
              <w:t>-2,641,676,433.65</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55"/>
              <w:jc w:val="right"/>
              <w:rPr>
                <w:rFonts w:ascii="Times New Roman" w:hAnsi="Times New Roman" w:cs="Times New Roman" w:eastAsia="Times New Roman" w:hint="default"/>
                <w:sz w:val="18"/>
                <w:szCs w:val="18"/>
              </w:rPr>
            </w:pPr>
            <w:r>
              <w:rPr>
                <w:rFonts w:ascii="Times New Roman"/>
                <w:spacing w:val="-1"/>
                <w:sz w:val="18"/>
              </w:rPr>
              <w:t>-877,402,615.56</w:t>
            </w:r>
          </w:p>
        </w:tc>
      </w:tr>
      <w:tr>
        <w:trPr>
          <w:trHeight w:val="286"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35" w:lineRule="exact"/>
              <w:ind w:left="705" w:right="0"/>
              <w:jc w:val="left"/>
              <w:rPr>
                <w:rFonts w:ascii="宋体" w:hAnsi="宋体" w:cs="宋体" w:eastAsia="宋体" w:hint="default"/>
                <w:sz w:val="18"/>
                <w:szCs w:val="18"/>
              </w:rPr>
            </w:pPr>
            <w:r>
              <w:rPr>
                <w:rFonts w:ascii="宋体" w:hAnsi="宋体" w:cs="宋体" w:eastAsia="宋体" w:hint="default"/>
                <w:sz w:val="18"/>
                <w:szCs w:val="18"/>
              </w:rPr>
              <w:t>递延所得税资产的减少（增加以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2"/>
              <w:jc w:val="right"/>
              <w:rPr>
                <w:rFonts w:ascii="Times New Roman" w:hAnsi="Times New Roman" w:cs="Times New Roman" w:eastAsia="Times New Roman" w:hint="default"/>
                <w:sz w:val="18"/>
                <w:szCs w:val="18"/>
              </w:rPr>
            </w:pPr>
            <w:r>
              <w:rPr>
                <w:rFonts w:ascii="Times New Roman"/>
                <w:spacing w:val="-1"/>
                <w:sz w:val="18"/>
              </w:rPr>
              <w:t>-83,573,770.61</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5"/>
              <w:jc w:val="right"/>
              <w:rPr>
                <w:rFonts w:ascii="Times New Roman" w:hAnsi="Times New Roman" w:cs="Times New Roman" w:eastAsia="Times New Roman" w:hint="default"/>
                <w:sz w:val="18"/>
                <w:szCs w:val="18"/>
              </w:rPr>
            </w:pPr>
            <w:r>
              <w:rPr>
                <w:rFonts w:ascii="Times New Roman"/>
                <w:spacing w:val="-1"/>
                <w:sz w:val="18"/>
              </w:rPr>
              <w:t>113,516,110.95</w:t>
            </w:r>
          </w:p>
        </w:tc>
      </w:tr>
      <w:tr>
        <w:trPr>
          <w:trHeight w:val="286"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34" w:lineRule="exact"/>
              <w:ind w:left="705" w:right="0"/>
              <w:jc w:val="left"/>
              <w:rPr>
                <w:rFonts w:ascii="宋体" w:hAnsi="宋体" w:cs="宋体" w:eastAsia="宋体" w:hint="default"/>
                <w:sz w:val="18"/>
                <w:szCs w:val="18"/>
              </w:rPr>
            </w:pPr>
            <w:r>
              <w:rPr>
                <w:rFonts w:ascii="宋体" w:hAnsi="宋体" w:cs="宋体" w:eastAsia="宋体" w:hint="default"/>
                <w:sz w:val="18"/>
                <w:szCs w:val="18"/>
              </w:rPr>
              <w:t>递延所得税负债的增加（减少以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2"/>
              <w:jc w:val="right"/>
              <w:rPr>
                <w:rFonts w:ascii="Times New Roman" w:hAnsi="Times New Roman" w:cs="Times New Roman" w:eastAsia="Times New Roman" w:hint="default"/>
                <w:sz w:val="18"/>
                <w:szCs w:val="18"/>
              </w:rPr>
            </w:pPr>
            <w:r>
              <w:rPr>
                <w:rFonts w:ascii="Times New Roman"/>
                <w:spacing w:val="-1"/>
                <w:sz w:val="18"/>
              </w:rPr>
              <w:t>13,561,977.83</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
              <w:jc w:val="right"/>
              <w:rPr>
                <w:rFonts w:ascii="Times New Roman" w:hAnsi="Times New Roman" w:cs="Times New Roman" w:eastAsia="Times New Roman" w:hint="default"/>
                <w:sz w:val="18"/>
                <w:szCs w:val="18"/>
              </w:rPr>
            </w:pPr>
            <w:r>
              <w:rPr>
                <w:rFonts w:ascii="Times New Roman"/>
                <w:spacing w:val="-1"/>
                <w:sz w:val="18"/>
              </w:rPr>
              <w:t>-124,973,968.99</w:t>
            </w:r>
          </w:p>
        </w:tc>
      </w:tr>
      <w:tr>
        <w:trPr>
          <w:trHeight w:val="284"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34" w:lineRule="exact"/>
              <w:ind w:left="705"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2"/>
              <w:jc w:val="right"/>
              <w:rPr>
                <w:rFonts w:ascii="Times New Roman" w:hAnsi="Times New Roman" w:cs="Times New Roman" w:eastAsia="Times New Roman" w:hint="default"/>
                <w:sz w:val="18"/>
                <w:szCs w:val="18"/>
              </w:rPr>
            </w:pPr>
            <w:r>
              <w:rPr>
                <w:rFonts w:ascii="Times New Roman"/>
                <w:spacing w:val="-1"/>
                <w:sz w:val="18"/>
              </w:rPr>
              <w:t>-686,484,564.58</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6"/>
              <w:jc w:val="right"/>
              <w:rPr>
                <w:rFonts w:ascii="Times New Roman" w:hAnsi="Times New Roman" w:cs="Times New Roman" w:eastAsia="Times New Roman" w:hint="default"/>
                <w:sz w:val="18"/>
                <w:szCs w:val="18"/>
              </w:rPr>
            </w:pPr>
            <w:r>
              <w:rPr>
                <w:rFonts w:ascii="Times New Roman"/>
                <w:spacing w:val="-1"/>
                <w:sz w:val="18"/>
              </w:rPr>
              <w:t>-1,476,401,208.75</w:t>
            </w:r>
          </w:p>
        </w:tc>
      </w:tr>
      <w:tr>
        <w:trPr>
          <w:trHeight w:val="284"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33" w:lineRule="exact"/>
              <w:ind w:left="705"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2"/>
              <w:jc w:val="right"/>
              <w:rPr>
                <w:rFonts w:ascii="Times New Roman" w:hAnsi="Times New Roman" w:cs="Times New Roman" w:eastAsia="Times New Roman" w:hint="default"/>
                <w:sz w:val="18"/>
                <w:szCs w:val="18"/>
              </w:rPr>
            </w:pPr>
            <w:r>
              <w:rPr>
                <w:rFonts w:ascii="Times New Roman"/>
                <w:spacing w:val="-1"/>
                <w:sz w:val="18"/>
              </w:rPr>
              <w:t>-1,943,750,936.62</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56"/>
              <w:jc w:val="right"/>
              <w:rPr>
                <w:rFonts w:ascii="Times New Roman" w:hAnsi="Times New Roman" w:cs="Times New Roman" w:eastAsia="Times New Roman" w:hint="default"/>
                <w:sz w:val="18"/>
                <w:szCs w:val="18"/>
              </w:rPr>
            </w:pPr>
            <w:r>
              <w:rPr>
                <w:rFonts w:ascii="Times New Roman"/>
                <w:spacing w:val="-1"/>
                <w:sz w:val="18"/>
              </w:rPr>
              <w:t>-1,520,249,078.68</w:t>
            </w:r>
          </w:p>
        </w:tc>
      </w:tr>
      <w:tr>
        <w:trPr>
          <w:trHeight w:val="286"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34" w:lineRule="exact"/>
              <w:ind w:left="705"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2"/>
              <w:jc w:val="right"/>
              <w:rPr>
                <w:rFonts w:ascii="Times New Roman" w:hAnsi="Times New Roman" w:cs="Times New Roman" w:eastAsia="Times New Roman" w:hint="default"/>
                <w:sz w:val="18"/>
                <w:szCs w:val="18"/>
              </w:rPr>
            </w:pPr>
            <w:r>
              <w:rPr>
                <w:rFonts w:ascii="Times New Roman"/>
                <w:spacing w:val="-1"/>
                <w:sz w:val="18"/>
              </w:rPr>
              <w:t>2,981,904,008.21</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
              <w:jc w:val="right"/>
              <w:rPr>
                <w:rFonts w:ascii="Times New Roman" w:hAnsi="Times New Roman" w:cs="Times New Roman" w:eastAsia="Times New Roman" w:hint="default"/>
                <w:sz w:val="18"/>
                <w:szCs w:val="18"/>
              </w:rPr>
            </w:pPr>
            <w:r>
              <w:rPr>
                <w:rFonts w:ascii="Times New Roman"/>
                <w:spacing w:val="-1"/>
                <w:sz w:val="18"/>
              </w:rPr>
              <w:t>1,404,564,043.29</w:t>
            </w:r>
          </w:p>
        </w:tc>
      </w:tr>
      <w:tr>
        <w:trPr>
          <w:trHeight w:val="286"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21" w:lineRule="exact"/>
              <w:ind w:left="7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2"/>
              <w:jc w:val="right"/>
              <w:rPr>
                <w:rFonts w:ascii="Times New Roman" w:hAnsi="Times New Roman" w:cs="Times New Roman" w:eastAsia="Times New Roman" w:hint="default"/>
                <w:sz w:val="18"/>
                <w:szCs w:val="18"/>
              </w:rPr>
            </w:pPr>
            <w:r>
              <w:rPr>
                <w:rFonts w:ascii="Times New Roman"/>
                <w:spacing w:val="-1"/>
                <w:sz w:val="18"/>
              </w:rPr>
              <w:t>12,956,558.72</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
              <w:jc w:val="right"/>
              <w:rPr>
                <w:rFonts w:ascii="Times New Roman" w:hAnsi="Times New Roman" w:cs="Times New Roman" w:eastAsia="Times New Roman" w:hint="default"/>
                <w:sz w:val="18"/>
                <w:szCs w:val="18"/>
              </w:rPr>
            </w:pPr>
            <w:r>
              <w:rPr>
                <w:rFonts w:ascii="Times New Roman"/>
                <w:spacing w:val="-1"/>
                <w:sz w:val="18"/>
              </w:rPr>
              <w:t>16,519,510.88</w:t>
            </w:r>
          </w:p>
        </w:tc>
      </w:tr>
      <w:tr>
        <w:trPr>
          <w:trHeight w:val="284"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21" w:lineRule="exact"/>
              <w:ind w:left="16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2"/>
              <w:jc w:val="right"/>
              <w:rPr>
                <w:rFonts w:ascii="Times New Roman" w:hAnsi="Times New Roman" w:cs="Times New Roman" w:eastAsia="Times New Roman" w:hint="default"/>
                <w:sz w:val="18"/>
                <w:szCs w:val="18"/>
              </w:rPr>
            </w:pPr>
            <w:r>
              <w:rPr>
                <w:rFonts w:ascii="Times New Roman"/>
                <w:spacing w:val="-1"/>
                <w:sz w:val="18"/>
              </w:rPr>
              <w:t>2,500,765,008.32</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
              <w:jc w:val="right"/>
              <w:rPr>
                <w:rFonts w:ascii="Times New Roman" w:hAnsi="Times New Roman" w:cs="Times New Roman" w:eastAsia="Times New Roman" w:hint="default"/>
                <w:sz w:val="18"/>
                <w:szCs w:val="18"/>
              </w:rPr>
            </w:pPr>
            <w:r>
              <w:rPr>
                <w:rFonts w:ascii="Times New Roman"/>
                <w:spacing w:val="-1"/>
                <w:sz w:val="18"/>
              </w:rPr>
              <w:t>856,103,304.69</w:t>
            </w:r>
          </w:p>
        </w:tc>
      </w:tr>
      <w:tr>
        <w:trPr>
          <w:trHeight w:val="277"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33" w:lineRule="exact"/>
              <w:ind w:left="71"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不涉及现金收支的重大投资和筹资活动：</w:t>
            </w:r>
            <w:r>
              <w:rPr>
                <w:rFonts w:ascii="宋体" w:hAnsi="宋体" w:cs="宋体" w:eastAsia="宋体" w:hint="default"/>
                <w:sz w:val="18"/>
                <w:szCs w:val="18"/>
              </w:rPr>
            </w:r>
          </w:p>
        </w:tc>
        <w:tc>
          <w:tcPr>
            <w:tcW w:w="1505" w:type="dxa"/>
            <w:tcBorders>
              <w:top w:val="nil" w:sz="6" w:space="0" w:color="auto"/>
              <w:left w:val="nil" w:sz="6" w:space="0" w:color="auto"/>
              <w:bottom w:val="nil" w:sz="6" w:space="0" w:color="auto"/>
              <w:right w:val="nil" w:sz="6" w:space="0" w:color="auto"/>
            </w:tcBorders>
          </w:tcPr>
          <w:p>
            <w:pPr/>
          </w:p>
        </w:tc>
        <w:tc>
          <w:tcPr>
            <w:tcW w:w="1480" w:type="dxa"/>
            <w:tcBorders>
              <w:top w:val="nil" w:sz="6" w:space="0" w:color="auto"/>
              <w:left w:val="nil" w:sz="6" w:space="0" w:color="auto"/>
              <w:bottom w:val="nil" w:sz="6" w:space="0" w:color="auto"/>
              <w:right w:val="nil" w:sz="6" w:space="0" w:color="auto"/>
            </w:tcBorders>
          </w:tcPr>
          <w:p>
            <w:pPr/>
          </w:p>
        </w:tc>
      </w:tr>
      <w:tr>
        <w:trPr>
          <w:trHeight w:val="293"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28" w:lineRule="exact"/>
              <w:ind w:left="614"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21" w:lineRule="exact"/>
              <w:ind w:left="614"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21" w:lineRule="exact"/>
              <w:ind w:left="614"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77"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33" w:lineRule="exact"/>
              <w:ind w:left="71"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现金及现金等价物净变动情况：</w:t>
            </w:r>
            <w:r>
              <w:rPr>
                <w:rFonts w:ascii="宋体" w:hAnsi="宋体" w:cs="宋体" w:eastAsia="宋体" w:hint="default"/>
                <w:sz w:val="18"/>
                <w:szCs w:val="18"/>
              </w:rPr>
            </w:r>
          </w:p>
        </w:tc>
        <w:tc>
          <w:tcPr>
            <w:tcW w:w="1505" w:type="dxa"/>
            <w:tcBorders>
              <w:top w:val="nil" w:sz="6" w:space="0" w:color="auto"/>
              <w:left w:val="nil" w:sz="6" w:space="0" w:color="auto"/>
              <w:bottom w:val="nil" w:sz="6" w:space="0" w:color="auto"/>
              <w:right w:val="nil" w:sz="6" w:space="0" w:color="auto"/>
            </w:tcBorders>
          </w:tcPr>
          <w:p>
            <w:pPr/>
          </w:p>
        </w:tc>
        <w:tc>
          <w:tcPr>
            <w:tcW w:w="1480" w:type="dxa"/>
            <w:tcBorders>
              <w:top w:val="nil" w:sz="6" w:space="0" w:color="auto"/>
              <w:left w:val="nil" w:sz="6" w:space="0" w:color="auto"/>
              <w:bottom w:val="nil" w:sz="6" w:space="0" w:color="auto"/>
              <w:right w:val="nil" w:sz="6" w:space="0" w:color="auto"/>
            </w:tcBorders>
          </w:tcPr>
          <w:p>
            <w:pPr/>
          </w:p>
        </w:tc>
      </w:tr>
      <w:tr>
        <w:trPr>
          <w:trHeight w:val="293"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28" w:lineRule="exact"/>
              <w:ind w:left="614" w:right="0"/>
              <w:jc w:val="left"/>
              <w:rPr>
                <w:rFonts w:ascii="宋体" w:hAnsi="宋体" w:cs="宋体" w:eastAsia="宋体" w:hint="default"/>
                <w:sz w:val="18"/>
                <w:szCs w:val="18"/>
              </w:rPr>
            </w:pPr>
            <w:r>
              <w:rPr>
                <w:rFonts w:ascii="宋体" w:hAnsi="宋体" w:cs="宋体" w:eastAsia="宋体" w:hint="default"/>
                <w:sz w:val="18"/>
                <w:szCs w:val="18"/>
              </w:rPr>
              <w:t>现金的年末余额</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spacing w:val="-1"/>
                <w:sz w:val="18"/>
              </w:rPr>
              <w:t>9,687,734,636.22</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5"/>
              <w:jc w:val="right"/>
              <w:rPr>
                <w:rFonts w:ascii="Times New Roman" w:hAnsi="Times New Roman" w:cs="Times New Roman" w:eastAsia="Times New Roman" w:hint="default"/>
                <w:sz w:val="18"/>
                <w:szCs w:val="18"/>
              </w:rPr>
            </w:pPr>
            <w:r>
              <w:rPr>
                <w:rFonts w:ascii="Times New Roman"/>
                <w:spacing w:val="-1"/>
                <w:sz w:val="18"/>
              </w:rPr>
              <w:t>6,177,305,953.83</w:t>
            </w:r>
          </w:p>
        </w:tc>
      </w:tr>
      <w:tr>
        <w:trPr>
          <w:trHeight w:val="286"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21" w:lineRule="exact"/>
              <w:ind w:left="614" w:right="0"/>
              <w:jc w:val="left"/>
              <w:rPr>
                <w:rFonts w:ascii="宋体" w:hAnsi="宋体" w:cs="宋体" w:eastAsia="宋体" w:hint="default"/>
                <w:sz w:val="18"/>
                <w:szCs w:val="18"/>
              </w:rPr>
            </w:pPr>
            <w:r>
              <w:rPr>
                <w:rFonts w:ascii="宋体" w:hAnsi="宋体" w:cs="宋体" w:eastAsia="宋体" w:hint="default"/>
                <w:sz w:val="18"/>
                <w:szCs w:val="18"/>
              </w:rPr>
              <w:t>减：现金的年初余额</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2"/>
              <w:jc w:val="right"/>
              <w:rPr>
                <w:rFonts w:ascii="Times New Roman" w:hAnsi="Times New Roman" w:cs="Times New Roman" w:eastAsia="Times New Roman" w:hint="default"/>
                <w:sz w:val="18"/>
                <w:szCs w:val="18"/>
              </w:rPr>
            </w:pPr>
            <w:r>
              <w:rPr>
                <w:rFonts w:ascii="Times New Roman"/>
                <w:spacing w:val="-1"/>
                <w:sz w:val="18"/>
              </w:rPr>
              <w:t>6,177,305,953.83</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
              <w:jc w:val="right"/>
              <w:rPr>
                <w:rFonts w:ascii="Times New Roman" w:hAnsi="Times New Roman" w:cs="Times New Roman" w:eastAsia="Times New Roman" w:hint="default"/>
                <w:sz w:val="18"/>
                <w:szCs w:val="18"/>
              </w:rPr>
            </w:pPr>
            <w:r>
              <w:rPr>
                <w:rFonts w:ascii="Times New Roman"/>
                <w:spacing w:val="-1"/>
                <w:sz w:val="18"/>
              </w:rPr>
              <w:t>5,344,563,662.67</w:t>
            </w:r>
          </w:p>
        </w:tc>
      </w:tr>
      <w:tr>
        <w:trPr>
          <w:trHeight w:val="284"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21" w:lineRule="exact"/>
              <w:ind w:left="614" w:right="0"/>
              <w:jc w:val="left"/>
              <w:rPr>
                <w:rFonts w:ascii="宋体" w:hAnsi="宋体" w:cs="宋体" w:eastAsia="宋体" w:hint="default"/>
                <w:sz w:val="18"/>
                <w:szCs w:val="18"/>
              </w:rPr>
            </w:pPr>
            <w:r>
              <w:rPr>
                <w:rFonts w:ascii="宋体" w:hAnsi="宋体" w:cs="宋体" w:eastAsia="宋体" w:hint="default"/>
                <w:sz w:val="18"/>
                <w:szCs w:val="18"/>
              </w:rPr>
              <w:t>加：现金等价物的年末余额</w:t>
            </w:r>
          </w:p>
        </w:tc>
        <w:tc>
          <w:tcPr>
            <w:tcW w:w="1505" w:type="dxa"/>
            <w:tcBorders>
              <w:top w:val="nil" w:sz="6" w:space="0" w:color="auto"/>
              <w:left w:val="nil" w:sz="6" w:space="0" w:color="auto"/>
              <w:bottom w:val="nil" w:sz="6" w:space="0" w:color="auto"/>
              <w:right w:val="nil" w:sz="6" w:space="0" w:color="auto"/>
            </w:tcBorders>
          </w:tcPr>
          <w:p>
            <w:pP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5683" w:type="dxa"/>
            <w:tcBorders>
              <w:top w:val="nil" w:sz="6" w:space="0" w:color="auto"/>
              <w:left w:val="nil" w:sz="6" w:space="0" w:color="auto"/>
              <w:bottom w:val="nil" w:sz="6" w:space="0" w:color="auto"/>
              <w:right w:val="nil" w:sz="6" w:space="0" w:color="auto"/>
            </w:tcBorders>
          </w:tcPr>
          <w:p>
            <w:pPr>
              <w:pStyle w:val="TableParagraph"/>
              <w:spacing w:line="219" w:lineRule="exact"/>
              <w:ind w:left="614" w:right="0"/>
              <w:jc w:val="left"/>
              <w:rPr>
                <w:rFonts w:ascii="宋体" w:hAnsi="宋体" w:cs="宋体" w:eastAsia="宋体" w:hint="default"/>
                <w:sz w:val="18"/>
                <w:szCs w:val="18"/>
              </w:rPr>
            </w:pPr>
            <w:r>
              <w:rPr>
                <w:rFonts w:ascii="宋体" w:hAnsi="宋体" w:cs="宋体" w:eastAsia="宋体" w:hint="default"/>
                <w:sz w:val="18"/>
                <w:szCs w:val="18"/>
              </w:rPr>
              <w:t>减：现金等价物的年初余额</w:t>
            </w:r>
          </w:p>
        </w:tc>
        <w:tc>
          <w:tcPr>
            <w:tcW w:w="1505" w:type="dxa"/>
            <w:tcBorders>
              <w:top w:val="nil" w:sz="6" w:space="0" w:color="auto"/>
              <w:left w:val="nil" w:sz="6" w:space="0" w:color="auto"/>
              <w:bottom w:val="nil" w:sz="6" w:space="0" w:color="auto"/>
              <w:right w:val="nil" w:sz="6" w:space="0" w:color="auto"/>
            </w:tcBorders>
          </w:tcPr>
          <w:p>
            <w:pP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65" w:hRule="exact"/>
        </w:trPr>
        <w:tc>
          <w:tcPr>
            <w:tcW w:w="5683" w:type="dxa"/>
            <w:tcBorders>
              <w:top w:val="nil" w:sz="6" w:space="0" w:color="auto"/>
              <w:left w:val="nil" w:sz="6" w:space="0" w:color="auto"/>
              <w:bottom w:val="single" w:sz="12" w:space="0" w:color="000000"/>
              <w:right w:val="nil" w:sz="6" w:space="0" w:color="auto"/>
            </w:tcBorders>
          </w:tcPr>
          <w:p>
            <w:pPr>
              <w:pStyle w:val="TableParagraph"/>
              <w:spacing w:line="221" w:lineRule="exact"/>
              <w:ind w:left="7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505"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102"/>
              <w:jc w:val="right"/>
              <w:rPr>
                <w:rFonts w:ascii="Times New Roman" w:hAnsi="Times New Roman" w:cs="Times New Roman" w:eastAsia="Times New Roman" w:hint="default"/>
                <w:sz w:val="18"/>
                <w:szCs w:val="18"/>
              </w:rPr>
            </w:pPr>
            <w:r>
              <w:rPr>
                <w:rFonts w:ascii="Times New Roman"/>
                <w:spacing w:val="-1"/>
                <w:sz w:val="18"/>
              </w:rPr>
              <w:t>3,510,428,682.39</w:t>
            </w:r>
          </w:p>
        </w:tc>
        <w:tc>
          <w:tcPr>
            <w:tcW w:w="1480"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55"/>
              <w:jc w:val="right"/>
              <w:rPr>
                <w:rFonts w:ascii="Times New Roman" w:hAnsi="Times New Roman" w:cs="Times New Roman" w:eastAsia="Times New Roman" w:hint="default"/>
                <w:sz w:val="18"/>
                <w:szCs w:val="18"/>
              </w:rPr>
            </w:pPr>
            <w:r>
              <w:rPr>
                <w:rFonts w:ascii="Times New Roman"/>
                <w:spacing w:val="-1"/>
                <w:sz w:val="18"/>
              </w:rPr>
              <w:t>832,742,291.16</w:t>
            </w:r>
          </w:p>
        </w:tc>
      </w:tr>
    </w:tbl>
    <w:p>
      <w:pPr>
        <w:spacing w:before="81"/>
        <w:ind w:left="67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31"/>
          <w:sz w:val="22"/>
          <w:szCs w:val="22"/>
        </w:rPr>
        <w:t> </w:t>
      </w:r>
      <w:r>
        <w:rPr>
          <w:rFonts w:ascii="宋体" w:hAnsi="宋体" w:cs="宋体" w:eastAsia="宋体" w:hint="default"/>
          <w:sz w:val="22"/>
          <w:szCs w:val="22"/>
        </w:rPr>
        <w:t>现金和现金等价物</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5392"/>
        <w:gridCol w:w="1823"/>
        <w:gridCol w:w="1511"/>
      </w:tblGrid>
      <w:tr>
        <w:trPr>
          <w:trHeight w:val="305" w:hRule="exact"/>
        </w:trPr>
        <w:tc>
          <w:tcPr>
            <w:tcW w:w="539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2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36"/>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151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3" w:hRule="exact"/>
        </w:trPr>
        <w:tc>
          <w:tcPr>
            <w:tcW w:w="5392"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823"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37"/>
              <w:jc w:val="right"/>
              <w:rPr>
                <w:rFonts w:ascii="Times New Roman" w:hAnsi="Times New Roman" w:cs="Times New Roman" w:eastAsia="Times New Roman" w:hint="default"/>
                <w:sz w:val="18"/>
                <w:szCs w:val="18"/>
              </w:rPr>
            </w:pPr>
            <w:r>
              <w:rPr>
                <w:rFonts w:ascii="Times New Roman"/>
                <w:spacing w:val="-1"/>
                <w:sz w:val="18"/>
              </w:rPr>
              <w:t>9,687,734,636.22</w:t>
            </w:r>
          </w:p>
        </w:tc>
        <w:tc>
          <w:tcPr>
            <w:tcW w:w="1511"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11"/>
              <w:jc w:val="right"/>
              <w:rPr>
                <w:rFonts w:ascii="Times New Roman" w:hAnsi="Times New Roman" w:cs="Times New Roman" w:eastAsia="Times New Roman" w:hint="default"/>
                <w:sz w:val="18"/>
                <w:szCs w:val="18"/>
              </w:rPr>
            </w:pPr>
            <w:r>
              <w:rPr>
                <w:rFonts w:ascii="Times New Roman"/>
                <w:spacing w:val="-1"/>
                <w:sz w:val="18"/>
              </w:rPr>
              <w:t>6,177,305,953.83</w:t>
            </w:r>
          </w:p>
        </w:tc>
      </w:tr>
      <w:tr>
        <w:trPr>
          <w:trHeight w:val="286" w:hRule="exact"/>
        </w:trPr>
        <w:tc>
          <w:tcPr>
            <w:tcW w:w="539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6"/>
              <w:jc w:val="right"/>
              <w:rPr>
                <w:rFonts w:ascii="Times New Roman" w:hAnsi="Times New Roman" w:cs="Times New Roman" w:eastAsia="Times New Roman" w:hint="default"/>
                <w:sz w:val="18"/>
                <w:szCs w:val="18"/>
              </w:rPr>
            </w:pPr>
            <w:r>
              <w:rPr>
                <w:rFonts w:ascii="Times New Roman"/>
                <w:spacing w:val="-1"/>
                <w:sz w:val="18"/>
              </w:rPr>
              <w:t>8,998,325.07</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8,056,069.65</w:t>
            </w:r>
          </w:p>
        </w:tc>
      </w:tr>
      <w:tr>
        <w:trPr>
          <w:trHeight w:val="286" w:hRule="exact"/>
        </w:trPr>
        <w:tc>
          <w:tcPr>
            <w:tcW w:w="5392" w:type="dxa"/>
            <w:tcBorders>
              <w:top w:val="nil" w:sz="6" w:space="0" w:color="auto"/>
              <w:left w:val="nil" w:sz="6" w:space="0" w:color="auto"/>
              <w:bottom w:val="nil" w:sz="6" w:space="0" w:color="auto"/>
              <w:right w:val="nil" w:sz="6" w:space="0" w:color="auto"/>
            </w:tcBorders>
          </w:tcPr>
          <w:p>
            <w:pPr>
              <w:pStyle w:val="TableParagraph"/>
              <w:spacing w:line="223" w:lineRule="exact"/>
              <w:ind w:left="1190"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7"/>
              <w:jc w:val="right"/>
              <w:rPr>
                <w:rFonts w:ascii="Times New Roman" w:hAnsi="Times New Roman" w:cs="Times New Roman" w:eastAsia="Times New Roman" w:hint="default"/>
                <w:sz w:val="18"/>
                <w:szCs w:val="18"/>
              </w:rPr>
            </w:pPr>
            <w:r>
              <w:rPr>
                <w:rFonts w:ascii="Times New Roman"/>
                <w:spacing w:val="-1"/>
                <w:sz w:val="18"/>
              </w:rPr>
              <w:t>9,591,895,056.04</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6,154,575,512.64</w:t>
            </w:r>
          </w:p>
        </w:tc>
      </w:tr>
      <w:tr>
        <w:trPr>
          <w:trHeight w:val="284" w:hRule="exact"/>
        </w:trPr>
        <w:tc>
          <w:tcPr>
            <w:tcW w:w="5392" w:type="dxa"/>
            <w:tcBorders>
              <w:top w:val="nil" w:sz="6" w:space="0" w:color="auto"/>
              <w:left w:val="nil" w:sz="6" w:space="0" w:color="auto"/>
              <w:bottom w:val="nil" w:sz="6" w:space="0" w:color="auto"/>
              <w:right w:val="nil" w:sz="6" w:space="0" w:color="auto"/>
            </w:tcBorders>
          </w:tcPr>
          <w:p>
            <w:pPr>
              <w:pStyle w:val="TableParagraph"/>
              <w:spacing w:line="223" w:lineRule="exact"/>
              <w:ind w:left="1190"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6"/>
              <w:jc w:val="right"/>
              <w:rPr>
                <w:rFonts w:ascii="Times New Roman" w:hAnsi="Times New Roman" w:cs="Times New Roman" w:eastAsia="Times New Roman" w:hint="default"/>
                <w:sz w:val="18"/>
                <w:szCs w:val="18"/>
              </w:rPr>
            </w:pPr>
            <w:r>
              <w:rPr>
                <w:rFonts w:ascii="Times New Roman"/>
                <w:spacing w:val="-1"/>
                <w:sz w:val="18"/>
              </w:rPr>
              <w:t>86,841,255.11</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14,674,371.54</w:t>
            </w:r>
          </w:p>
        </w:tc>
      </w:tr>
      <w:tr>
        <w:trPr>
          <w:trHeight w:val="285" w:hRule="exact"/>
        </w:trPr>
        <w:tc>
          <w:tcPr>
            <w:tcW w:w="5392"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现金等价物</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8"/>
              <w:jc w:val="right"/>
              <w:rPr>
                <w:rFonts w:ascii="Times New Roman" w:hAnsi="Times New Roman" w:cs="Times New Roman" w:eastAsia="Times New Roman" w:hint="default"/>
                <w:sz w:val="18"/>
                <w:szCs w:val="18"/>
              </w:rPr>
            </w:pPr>
            <w:r>
              <w:rPr>
                <w:rFonts w:ascii="Times New Roman"/>
                <w:spacing w:val="-1"/>
                <w:sz w:val="18"/>
              </w:rPr>
              <w:t>0.00</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539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8"/>
              <w:jc w:val="right"/>
              <w:rPr>
                <w:rFonts w:ascii="Times New Roman" w:hAnsi="Times New Roman" w:cs="Times New Roman" w:eastAsia="Times New Roman" w:hint="default"/>
                <w:sz w:val="18"/>
                <w:szCs w:val="18"/>
              </w:rPr>
            </w:pPr>
            <w:r>
              <w:rPr>
                <w:rFonts w:ascii="Times New Roman"/>
                <w:spacing w:val="-1"/>
                <w:sz w:val="18"/>
              </w:rPr>
              <w:t>0.00</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539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年末现金和现金等价物余额</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7"/>
              <w:jc w:val="right"/>
              <w:rPr>
                <w:rFonts w:ascii="Times New Roman" w:hAnsi="Times New Roman" w:cs="Times New Roman" w:eastAsia="Times New Roman" w:hint="default"/>
                <w:sz w:val="18"/>
                <w:szCs w:val="18"/>
              </w:rPr>
            </w:pPr>
            <w:r>
              <w:rPr>
                <w:rFonts w:ascii="Times New Roman"/>
                <w:spacing w:val="-1"/>
                <w:sz w:val="18"/>
              </w:rPr>
              <w:t>9,687,734,636.22</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1"/>
              <w:jc w:val="right"/>
              <w:rPr>
                <w:rFonts w:ascii="Times New Roman" w:hAnsi="Times New Roman" w:cs="Times New Roman" w:eastAsia="Times New Roman" w:hint="default"/>
                <w:sz w:val="18"/>
                <w:szCs w:val="18"/>
              </w:rPr>
            </w:pPr>
            <w:r>
              <w:rPr>
                <w:rFonts w:ascii="Times New Roman"/>
                <w:spacing w:val="-1"/>
                <w:sz w:val="18"/>
              </w:rPr>
              <w:t>6,177,305,953.83</w:t>
            </w:r>
          </w:p>
        </w:tc>
      </w:tr>
      <w:tr>
        <w:trPr>
          <w:trHeight w:val="265" w:hRule="exact"/>
        </w:trPr>
        <w:tc>
          <w:tcPr>
            <w:tcW w:w="5392" w:type="dxa"/>
            <w:tcBorders>
              <w:top w:val="nil" w:sz="6" w:space="0" w:color="auto"/>
              <w:left w:val="nil" w:sz="6" w:space="0" w:color="auto"/>
              <w:bottom w:val="single" w:sz="12"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其中：母公司或集团内子公司使用受限制的现金和现金等价物</w:t>
            </w:r>
          </w:p>
        </w:tc>
        <w:tc>
          <w:tcPr>
            <w:tcW w:w="1823"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35"/>
              <w:jc w:val="right"/>
              <w:rPr>
                <w:rFonts w:ascii="Times New Roman" w:hAnsi="Times New Roman" w:cs="Times New Roman" w:eastAsia="Times New Roman" w:hint="default"/>
                <w:sz w:val="18"/>
                <w:szCs w:val="18"/>
              </w:rPr>
            </w:pPr>
            <w:r>
              <w:rPr>
                <w:rFonts w:ascii="Times New Roman"/>
                <w:spacing w:val="-1"/>
                <w:sz w:val="18"/>
              </w:rPr>
              <w:t>0.00</w:t>
            </w:r>
          </w:p>
        </w:tc>
        <w:tc>
          <w:tcPr>
            <w:tcW w:w="1511"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816" w:top="1080" w:bottom="1000" w:left="1480" w:right="1480"/>
        </w:sectPr>
      </w:pPr>
    </w:p>
    <w:p>
      <w:pPr>
        <w:spacing w:line="240" w:lineRule="auto" w:before="6"/>
        <w:rPr>
          <w:rFonts w:ascii="宋体" w:hAnsi="宋体" w:cs="宋体" w:eastAsia="宋体" w:hint="default"/>
          <w:sz w:val="5"/>
          <w:szCs w:val="5"/>
        </w:rPr>
      </w:pPr>
    </w:p>
    <w:p>
      <w:pPr>
        <w:spacing w:line="447" w:lineRule="exact"/>
        <w:ind w:left="145"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32.15pt;height:22.35pt;mso-position-horizontal-relative:char;mso-position-vertical-relative:line" coordorigin="0,0" coordsize="8643,447">
            <v:group style="position:absolute;left:68;top:440;width:8567;height:2" coordorigin="68,440" coordsize="8567,2">
              <v:shape style="position:absolute;left:68;top:440;width:8567;height:2" coordorigin="68,440" coordsize="8567,0" path="m68,440l8635,440e" filled="false" stroked="true" strokeweight=".72pt" strokecolor="#000000">
                <v:path arrowok="t"/>
              </v:shape>
              <v:shape style="position:absolute;left:0;top:0;width:1365;height:420" type="#_x0000_t75" stroked="false">
                <v:imagedata r:id="rId35" o:title=""/>
              </v:shape>
            </v:group>
          </v:group>
        </w:pict>
      </w:r>
      <w:r>
        <w:rPr>
          <w:rFonts w:ascii="宋体" w:hAnsi="宋体" w:cs="宋体" w:eastAsia="宋体" w:hint="default"/>
          <w:position w:val="-8"/>
          <w:sz w:val="20"/>
          <w:szCs w:val="20"/>
        </w:rPr>
      </w:r>
    </w:p>
    <w:p>
      <w:pPr>
        <w:spacing w:line="240" w:lineRule="auto" w:before="0"/>
        <w:rPr>
          <w:rFonts w:ascii="宋体" w:hAnsi="宋体" w:cs="宋体" w:eastAsia="宋体" w:hint="default"/>
          <w:sz w:val="20"/>
          <w:szCs w:val="20"/>
        </w:rPr>
      </w:pPr>
    </w:p>
    <w:p>
      <w:pPr>
        <w:spacing w:before="179"/>
        <w:ind w:left="64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58. </w:t>
      </w:r>
      <w:r>
        <w:rPr>
          <w:rFonts w:ascii="Times New Roman" w:hAnsi="Times New Roman" w:cs="Times New Roman" w:eastAsia="Times New Roman" w:hint="default"/>
          <w:b/>
          <w:bCs/>
          <w:spacing w:val="13"/>
          <w:sz w:val="22"/>
          <w:szCs w:val="22"/>
        </w:rPr>
        <w:t> </w:t>
      </w:r>
      <w:r>
        <w:rPr>
          <w:rFonts w:ascii="宋体" w:hAnsi="宋体" w:cs="宋体" w:eastAsia="宋体" w:hint="default"/>
          <w:sz w:val="22"/>
          <w:szCs w:val="22"/>
        </w:rPr>
        <w:t>外币货币性项目</w:t>
      </w:r>
    </w:p>
    <w:p>
      <w:pPr>
        <w:spacing w:before="113"/>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3"/>
          <w:sz w:val="22"/>
          <w:szCs w:val="22"/>
        </w:rPr>
        <w:t> </w:t>
      </w:r>
      <w:r>
        <w:rPr>
          <w:rFonts w:ascii="宋体" w:hAnsi="宋体" w:cs="宋体" w:eastAsia="宋体" w:hint="default"/>
          <w:sz w:val="22"/>
          <w:szCs w:val="22"/>
        </w:rPr>
        <w:t>外币货币性项目</w:t>
      </w:r>
    </w:p>
    <w:p>
      <w:pPr>
        <w:spacing w:line="240" w:lineRule="auto" w:before="8"/>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2520"/>
        <w:gridCol w:w="2779"/>
        <w:gridCol w:w="1470"/>
        <w:gridCol w:w="1970"/>
      </w:tblGrid>
      <w:tr>
        <w:trPr>
          <w:trHeight w:val="278" w:hRule="exact"/>
        </w:trPr>
        <w:tc>
          <w:tcPr>
            <w:tcW w:w="2520" w:type="dxa"/>
            <w:tcBorders>
              <w:top w:val="single" w:sz="12" w:space="0" w:color="000000"/>
              <w:left w:val="nil" w:sz="6" w:space="0" w:color="auto"/>
              <w:bottom w:val="single" w:sz="4" w:space="0" w:color="000000"/>
              <w:right w:val="nil" w:sz="6" w:space="0" w:color="auto"/>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779" w:type="dxa"/>
            <w:tcBorders>
              <w:top w:val="single" w:sz="12" w:space="0" w:color="000000"/>
              <w:left w:val="nil" w:sz="6" w:space="0" w:color="auto"/>
              <w:bottom w:val="single" w:sz="4" w:space="0" w:color="000000"/>
              <w:right w:val="nil" w:sz="6" w:space="0" w:color="auto"/>
            </w:tcBorders>
          </w:tcPr>
          <w:p>
            <w:pPr>
              <w:pStyle w:val="TableParagraph"/>
              <w:spacing w:line="234" w:lineRule="exact"/>
              <w:ind w:right="514"/>
              <w:jc w:val="right"/>
              <w:rPr>
                <w:rFonts w:ascii="宋体" w:hAnsi="宋体" w:cs="宋体" w:eastAsia="宋体" w:hint="default"/>
                <w:sz w:val="18"/>
                <w:szCs w:val="18"/>
              </w:rPr>
            </w:pPr>
            <w:r>
              <w:rPr>
                <w:rFonts w:ascii="宋体" w:hAnsi="宋体" w:cs="宋体" w:eastAsia="宋体" w:hint="default"/>
                <w:b/>
                <w:bCs/>
                <w:w w:val="95"/>
                <w:sz w:val="18"/>
                <w:szCs w:val="18"/>
              </w:rPr>
              <w:t>年末外币余额</w:t>
            </w:r>
            <w:r>
              <w:rPr>
                <w:rFonts w:ascii="宋体" w:hAnsi="宋体" w:cs="宋体" w:eastAsia="宋体" w:hint="default"/>
                <w:sz w:val="18"/>
                <w:szCs w:val="18"/>
              </w:rPr>
            </w:r>
          </w:p>
        </w:tc>
        <w:tc>
          <w:tcPr>
            <w:tcW w:w="1470" w:type="dxa"/>
            <w:tcBorders>
              <w:top w:val="single" w:sz="12" w:space="0" w:color="000000"/>
              <w:left w:val="nil" w:sz="6" w:space="0" w:color="auto"/>
              <w:bottom w:val="single" w:sz="4" w:space="0" w:color="000000"/>
              <w:right w:val="nil" w:sz="6" w:space="0" w:color="auto"/>
            </w:tcBorders>
          </w:tcPr>
          <w:p>
            <w:pPr>
              <w:pStyle w:val="TableParagraph"/>
              <w:spacing w:line="234" w:lineRule="exact"/>
              <w:ind w:right="231"/>
              <w:jc w:val="right"/>
              <w:rPr>
                <w:rFonts w:ascii="宋体" w:hAnsi="宋体" w:cs="宋体" w:eastAsia="宋体" w:hint="default"/>
                <w:sz w:val="18"/>
                <w:szCs w:val="18"/>
              </w:rPr>
            </w:pPr>
            <w:r>
              <w:rPr>
                <w:rFonts w:ascii="宋体" w:hAnsi="宋体" w:cs="宋体" w:eastAsia="宋体" w:hint="default"/>
                <w:b/>
                <w:bCs/>
                <w:w w:val="95"/>
                <w:sz w:val="18"/>
                <w:szCs w:val="18"/>
              </w:rPr>
              <w:t>折算汇率</w:t>
            </w:r>
            <w:r>
              <w:rPr>
                <w:rFonts w:ascii="宋体" w:hAnsi="宋体" w:cs="宋体" w:eastAsia="宋体" w:hint="default"/>
                <w:sz w:val="18"/>
                <w:szCs w:val="18"/>
              </w:rPr>
            </w:r>
          </w:p>
        </w:tc>
        <w:tc>
          <w:tcPr>
            <w:tcW w:w="1970" w:type="dxa"/>
            <w:tcBorders>
              <w:top w:val="single" w:sz="12" w:space="0" w:color="000000"/>
              <w:left w:val="nil" w:sz="6" w:space="0" w:color="auto"/>
              <w:bottom w:val="single" w:sz="4" w:space="0" w:color="000000"/>
              <w:right w:val="nil" w:sz="6" w:space="0" w:color="auto"/>
            </w:tcBorders>
          </w:tcPr>
          <w:p>
            <w:pPr>
              <w:pStyle w:val="TableParagraph"/>
              <w:spacing w:line="234" w:lineRule="exact"/>
              <w:ind w:right="108"/>
              <w:jc w:val="right"/>
              <w:rPr>
                <w:rFonts w:ascii="宋体" w:hAnsi="宋体" w:cs="宋体" w:eastAsia="宋体" w:hint="default"/>
                <w:sz w:val="18"/>
                <w:szCs w:val="18"/>
              </w:rPr>
            </w:pPr>
            <w:r>
              <w:rPr>
                <w:rFonts w:ascii="宋体" w:hAnsi="宋体" w:cs="宋体" w:eastAsia="宋体" w:hint="default"/>
                <w:b/>
                <w:bCs/>
                <w:w w:val="95"/>
                <w:sz w:val="18"/>
                <w:szCs w:val="18"/>
              </w:rPr>
              <w:t>年末折算人民币余额</w:t>
            </w:r>
            <w:r>
              <w:rPr>
                <w:rFonts w:ascii="宋体" w:hAnsi="宋体" w:cs="宋体" w:eastAsia="宋体" w:hint="default"/>
                <w:sz w:val="18"/>
                <w:szCs w:val="18"/>
              </w:rPr>
            </w:r>
          </w:p>
        </w:tc>
      </w:tr>
      <w:tr>
        <w:trPr>
          <w:trHeight w:val="281" w:hRule="exact"/>
        </w:trPr>
        <w:tc>
          <w:tcPr>
            <w:tcW w:w="2520" w:type="dxa"/>
            <w:tcBorders>
              <w:top w:val="single" w:sz="4" w:space="0" w:color="000000"/>
              <w:left w:val="nil" w:sz="6" w:space="0" w:color="auto"/>
              <w:bottom w:val="nil" w:sz="6" w:space="0" w:color="auto"/>
              <w:right w:val="nil" w:sz="6" w:space="0" w:color="auto"/>
            </w:tcBorders>
          </w:tcPr>
          <w:p>
            <w:pPr>
              <w:pStyle w:val="TableParagraph"/>
              <w:spacing w:line="240" w:lineRule="auto" w:before="1"/>
              <w:ind w:left="122" w:right="0"/>
              <w:jc w:val="left"/>
              <w:rPr>
                <w:rFonts w:ascii="宋体" w:hAnsi="宋体" w:cs="宋体" w:eastAsia="宋体" w:hint="default"/>
                <w:sz w:val="18"/>
                <w:szCs w:val="18"/>
              </w:rPr>
            </w:pPr>
            <w:r>
              <w:rPr>
                <w:rFonts w:ascii="宋体" w:hAnsi="宋体" w:cs="宋体" w:eastAsia="宋体" w:hint="default"/>
                <w:b/>
                <w:bCs/>
                <w:sz w:val="18"/>
                <w:szCs w:val="18"/>
              </w:rPr>
              <w:t>货币资金</w:t>
            </w:r>
            <w:r>
              <w:rPr>
                <w:rFonts w:ascii="宋体" w:hAnsi="宋体" w:cs="宋体" w:eastAsia="宋体" w:hint="default"/>
                <w:sz w:val="18"/>
                <w:szCs w:val="18"/>
              </w:rPr>
            </w:r>
          </w:p>
        </w:tc>
        <w:tc>
          <w:tcPr>
            <w:tcW w:w="2779" w:type="dxa"/>
            <w:tcBorders>
              <w:top w:val="single" w:sz="4" w:space="0" w:color="000000"/>
              <w:left w:val="nil" w:sz="6" w:space="0" w:color="auto"/>
              <w:bottom w:val="nil" w:sz="6" w:space="0" w:color="auto"/>
              <w:right w:val="nil" w:sz="6" w:space="0" w:color="auto"/>
            </w:tcBorders>
          </w:tcPr>
          <w:p>
            <w:pPr/>
          </w:p>
        </w:tc>
        <w:tc>
          <w:tcPr>
            <w:tcW w:w="1470" w:type="dxa"/>
            <w:tcBorders>
              <w:top w:val="single" w:sz="4" w:space="0" w:color="000000"/>
              <w:left w:val="nil" w:sz="6" w:space="0" w:color="auto"/>
              <w:bottom w:val="nil" w:sz="6" w:space="0" w:color="auto"/>
              <w:right w:val="nil" w:sz="6" w:space="0" w:color="auto"/>
            </w:tcBorders>
          </w:tcPr>
          <w:p>
            <w:pPr/>
          </w:p>
        </w:tc>
        <w:tc>
          <w:tcPr>
            <w:tcW w:w="1970" w:type="dxa"/>
            <w:tcBorders>
              <w:top w:val="single" w:sz="4" w:space="0" w:color="000000"/>
              <w:left w:val="nil" w:sz="6" w:space="0" w:color="auto"/>
              <w:bottom w:val="nil" w:sz="6" w:space="0" w:color="auto"/>
              <w:right w:val="nil" w:sz="6" w:space="0" w:color="auto"/>
            </w:tcBorders>
          </w:tcPr>
          <w:p>
            <w:pPr/>
          </w:p>
        </w:tc>
      </w:tr>
      <w:tr>
        <w:trPr>
          <w:trHeight w:val="264"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20"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513"/>
              <w:jc w:val="right"/>
              <w:rPr>
                <w:rFonts w:ascii="Times New Roman" w:hAnsi="Times New Roman" w:cs="Times New Roman" w:eastAsia="Times New Roman" w:hint="default"/>
                <w:sz w:val="18"/>
                <w:szCs w:val="18"/>
              </w:rPr>
            </w:pPr>
            <w:r>
              <w:rPr>
                <w:rFonts w:ascii="Times New Roman"/>
                <w:spacing w:val="-1"/>
                <w:sz w:val="18"/>
              </w:rPr>
              <w:t>202,364,746.15</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31"/>
              <w:jc w:val="right"/>
              <w:rPr>
                <w:rFonts w:ascii="Times New Roman" w:hAnsi="Times New Roman" w:cs="Times New Roman" w:eastAsia="Times New Roman" w:hint="default"/>
                <w:sz w:val="18"/>
                <w:szCs w:val="18"/>
              </w:rPr>
            </w:pPr>
            <w:r>
              <w:rPr>
                <w:rFonts w:ascii="Times New Roman"/>
                <w:spacing w:val="-1"/>
                <w:sz w:val="18"/>
              </w:rPr>
              <w:t>6.4936</w:t>
            </w:r>
            <w:r>
              <w:rPr>
                <w:rFonts w:ascii="Times New Roman"/>
                <w:sz w:val="18"/>
              </w:rPr>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8"/>
              <w:jc w:val="right"/>
              <w:rPr>
                <w:rFonts w:ascii="Times New Roman" w:hAnsi="Times New Roman" w:cs="Times New Roman" w:eastAsia="Times New Roman" w:hint="default"/>
                <w:sz w:val="18"/>
                <w:szCs w:val="18"/>
              </w:rPr>
            </w:pPr>
            <w:r>
              <w:rPr>
                <w:rFonts w:ascii="Times New Roman"/>
                <w:spacing w:val="-1"/>
                <w:sz w:val="18"/>
              </w:rPr>
              <w:t>1,314,075,715.60</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spacing w:val="-1"/>
                <w:sz w:val="18"/>
              </w:rPr>
              <w:t>714,760,837.41</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0"/>
              <w:jc w:val="right"/>
              <w:rPr>
                <w:rFonts w:ascii="Times New Roman" w:hAnsi="Times New Roman" w:cs="Times New Roman" w:eastAsia="Times New Roman" w:hint="default"/>
                <w:sz w:val="18"/>
                <w:szCs w:val="18"/>
              </w:rPr>
            </w:pPr>
            <w:r>
              <w:rPr>
                <w:rFonts w:ascii="Times New Roman"/>
                <w:spacing w:val="-1"/>
                <w:sz w:val="18"/>
              </w:rPr>
              <w:t>0.83778</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598,812,334.37</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6" w:lineRule="exact"/>
              <w:ind w:left="66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513"/>
              <w:jc w:val="right"/>
              <w:rPr>
                <w:rFonts w:ascii="Times New Roman" w:hAnsi="Times New Roman" w:cs="Times New Roman" w:eastAsia="Times New Roman" w:hint="default"/>
                <w:sz w:val="18"/>
                <w:szCs w:val="18"/>
              </w:rPr>
            </w:pPr>
            <w:r>
              <w:rPr>
                <w:rFonts w:ascii="Times New Roman"/>
                <w:spacing w:val="-1"/>
                <w:sz w:val="18"/>
              </w:rPr>
              <w:t>13,730,537.18</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30"/>
              <w:jc w:val="right"/>
              <w:rPr>
                <w:rFonts w:ascii="Times New Roman" w:hAnsi="Times New Roman" w:cs="Times New Roman" w:eastAsia="Times New Roman" w:hint="default"/>
                <w:sz w:val="18"/>
                <w:szCs w:val="18"/>
              </w:rPr>
            </w:pPr>
            <w:r>
              <w:rPr>
                <w:rFonts w:ascii="Times New Roman"/>
                <w:spacing w:val="-1"/>
                <w:sz w:val="18"/>
              </w:rPr>
              <w:t>7.0952</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8"/>
              <w:jc w:val="right"/>
              <w:rPr>
                <w:rFonts w:ascii="Times New Roman" w:hAnsi="Times New Roman" w:cs="Times New Roman" w:eastAsia="Times New Roman" w:hint="default"/>
                <w:sz w:val="18"/>
                <w:szCs w:val="18"/>
              </w:rPr>
            </w:pPr>
            <w:r>
              <w:rPr>
                <w:rFonts w:ascii="Times New Roman"/>
                <w:spacing w:val="-1"/>
                <w:sz w:val="18"/>
              </w:rPr>
              <w:t>97,420,907.40</w:t>
            </w:r>
          </w:p>
        </w:tc>
      </w:tr>
      <w:tr>
        <w:trPr>
          <w:trHeight w:val="259"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加拿大元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spacing w:val="-1"/>
                <w:sz w:val="18"/>
              </w:rPr>
              <w:t>133,103,319.77</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0"/>
              <w:jc w:val="right"/>
              <w:rPr>
                <w:rFonts w:ascii="Times New Roman" w:hAnsi="Times New Roman" w:cs="Times New Roman" w:eastAsia="Times New Roman" w:hint="default"/>
                <w:sz w:val="18"/>
                <w:szCs w:val="18"/>
              </w:rPr>
            </w:pPr>
            <w:r>
              <w:rPr>
                <w:rFonts w:ascii="Times New Roman"/>
                <w:spacing w:val="-1"/>
                <w:sz w:val="18"/>
              </w:rPr>
              <w:t>4.6814</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623,109,881.17</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spacing w:val="-1"/>
                <w:sz w:val="18"/>
              </w:rPr>
              <w:t>4,537,805.37</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0"/>
              <w:jc w:val="right"/>
              <w:rPr>
                <w:rFonts w:ascii="Times New Roman" w:hAnsi="Times New Roman" w:cs="Times New Roman" w:eastAsia="Times New Roman" w:hint="default"/>
                <w:sz w:val="18"/>
                <w:szCs w:val="18"/>
              </w:rPr>
            </w:pPr>
            <w:r>
              <w:rPr>
                <w:rFonts w:ascii="Times New Roman"/>
                <w:spacing w:val="-1"/>
                <w:sz w:val="18"/>
              </w:rPr>
              <w:t>9.6159</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43,635,082.66</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6" w:lineRule="exact"/>
              <w:ind w:left="66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513"/>
              <w:jc w:val="right"/>
              <w:rPr>
                <w:rFonts w:ascii="Times New Roman" w:hAnsi="Times New Roman" w:cs="Times New Roman" w:eastAsia="Times New Roman" w:hint="default"/>
                <w:sz w:val="18"/>
                <w:szCs w:val="18"/>
              </w:rPr>
            </w:pPr>
            <w:r>
              <w:rPr>
                <w:rFonts w:ascii="Times New Roman"/>
                <w:spacing w:val="-1"/>
                <w:sz w:val="18"/>
              </w:rPr>
              <w:t>44,800,097.00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30"/>
              <w:jc w:val="right"/>
              <w:rPr>
                <w:rFonts w:ascii="Times New Roman" w:hAnsi="Times New Roman" w:cs="Times New Roman" w:eastAsia="Times New Roman" w:hint="default"/>
                <w:sz w:val="18"/>
                <w:szCs w:val="18"/>
              </w:rPr>
            </w:pPr>
            <w:r>
              <w:rPr>
                <w:rFonts w:ascii="Times New Roman"/>
                <w:spacing w:val="-1"/>
                <w:sz w:val="18"/>
              </w:rPr>
              <w:t>0.053875</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8"/>
              <w:jc w:val="right"/>
              <w:rPr>
                <w:rFonts w:ascii="Times New Roman" w:hAnsi="Times New Roman" w:cs="Times New Roman" w:eastAsia="Times New Roman" w:hint="default"/>
                <w:sz w:val="18"/>
                <w:szCs w:val="18"/>
              </w:rPr>
            </w:pPr>
            <w:r>
              <w:rPr>
                <w:rFonts w:ascii="Times New Roman"/>
                <w:spacing w:val="-1"/>
                <w:sz w:val="18"/>
              </w:rPr>
              <w:t>2,413,605.23</w:t>
            </w:r>
          </w:p>
        </w:tc>
      </w:tr>
      <w:tr>
        <w:trPr>
          <w:trHeight w:val="259"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其他币种</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1"/>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64,643,980.58</w:t>
            </w:r>
          </w:p>
        </w:tc>
      </w:tr>
      <w:tr>
        <w:trPr>
          <w:trHeight w:val="255"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应收账款</w:t>
            </w:r>
            <w:r>
              <w:rPr>
                <w:rFonts w:ascii="宋体" w:hAnsi="宋体" w:cs="宋体" w:eastAsia="宋体" w:hint="default"/>
                <w:sz w:val="18"/>
                <w:szCs w:val="18"/>
              </w:rPr>
            </w:r>
          </w:p>
        </w:tc>
        <w:tc>
          <w:tcPr>
            <w:tcW w:w="2779"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1970" w:type="dxa"/>
            <w:tcBorders>
              <w:top w:val="nil" w:sz="6" w:space="0" w:color="auto"/>
              <w:left w:val="nil" w:sz="6" w:space="0" w:color="auto"/>
              <w:bottom w:val="nil" w:sz="6" w:space="0" w:color="auto"/>
              <w:right w:val="nil" w:sz="6" w:space="0" w:color="auto"/>
            </w:tcBorders>
          </w:tcPr>
          <w:p>
            <w:pPr/>
          </w:p>
        </w:tc>
      </w:tr>
      <w:tr>
        <w:trPr>
          <w:trHeight w:val="266"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21"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513"/>
              <w:jc w:val="right"/>
              <w:rPr>
                <w:rFonts w:ascii="Times New Roman" w:hAnsi="Times New Roman" w:cs="Times New Roman" w:eastAsia="Times New Roman" w:hint="default"/>
                <w:sz w:val="18"/>
                <w:szCs w:val="18"/>
              </w:rPr>
            </w:pPr>
            <w:r>
              <w:rPr>
                <w:rFonts w:ascii="Times New Roman"/>
                <w:spacing w:val="-1"/>
                <w:sz w:val="18"/>
              </w:rPr>
              <w:t>468,497,179.99</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30"/>
              <w:jc w:val="right"/>
              <w:rPr>
                <w:rFonts w:ascii="Times New Roman" w:hAnsi="Times New Roman" w:cs="Times New Roman" w:eastAsia="Times New Roman" w:hint="default"/>
                <w:sz w:val="18"/>
                <w:szCs w:val="18"/>
              </w:rPr>
            </w:pPr>
            <w:r>
              <w:rPr>
                <w:rFonts w:ascii="Times New Roman"/>
                <w:spacing w:val="-1"/>
                <w:sz w:val="18"/>
              </w:rPr>
              <w:t>6.4936</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08"/>
              <w:jc w:val="right"/>
              <w:rPr>
                <w:rFonts w:ascii="Times New Roman" w:hAnsi="Times New Roman" w:cs="Times New Roman" w:eastAsia="Times New Roman" w:hint="default"/>
                <w:sz w:val="18"/>
                <w:szCs w:val="18"/>
              </w:rPr>
            </w:pPr>
            <w:r>
              <w:rPr>
                <w:rFonts w:ascii="Times New Roman"/>
                <w:spacing w:val="-1"/>
                <w:sz w:val="18"/>
              </w:rPr>
              <w:t>3,042,233,287.98</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spacing w:val="-1"/>
                <w:sz w:val="18"/>
              </w:rPr>
              <w:t>12,156,264.64</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0"/>
              <w:jc w:val="right"/>
              <w:rPr>
                <w:rFonts w:ascii="Times New Roman" w:hAnsi="Times New Roman" w:cs="Times New Roman" w:eastAsia="Times New Roman" w:hint="default"/>
                <w:sz w:val="18"/>
                <w:szCs w:val="18"/>
              </w:rPr>
            </w:pPr>
            <w:r>
              <w:rPr>
                <w:rFonts w:ascii="Times New Roman"/>
                <w:spacing w:val="-1"/>
                <w:sz w:val="18"/>
              </w:rPr>
              <w:t>0.83778</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10,184,275.39</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spacing w:val="-1"/>
                <w:sz w:val="18"/>
              </w:rPr>
              <w:t>19,528,639.07</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0"/>
              <w:jc w:val="right"/>
              <w:rPr>
                <w:rFonts w:ascii="Times New Roman" w:hAnsi="Times New Roman" w:cs="Times New Roman" w:eastAsia="Times New Roman" w:hint="default"/>
                <w:sz w:val="18"/>
                <w:szCs w:val="18"/>
              </w:rPr>
            </w:pPr>
            <w:r>
              <w:rPr>
                <w:rFonts w:ascii="Times New Roman"/>
                <w:spacing w:val="-1"/>
                <w:sz w:val="18"/>
              </w:rPr>
              <w:t>7.0952</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138,559,599.93</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6" w:lineRule="exact"/>
              <w:ind w:left="662" w:right="0"/>
              <w:jc w:val="left"/>
              <w:rPr>
                <w:rFonts w:ascii="宋体" w:hAnsi="宋体" w:cs="宋体" w:eastAsia="宋体" w:hint="default"/>
                <w:sz w:val="18"/>
                <w:szCs w:val="18"/>
              </w:rPr>
            </w:pPr>
            <w:r>
              <w:rPr>
                <w:rFonts w:ascii="宋体" w:hAnsi="宋体" w:cs="宋体" w:eastAsia="宋体" w:hint="default"/>
                <w:sz w:val="18"/>
                <w:szCs w:val="18"/>
              </w:rPr>
              <w:t>加拿大元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513"/>
              <w:jc w:val="right"/>
              <w:rPr>
                <w:rFonts w:ascii="Times New Roman" w:hAnsi="Times New Roman" w:cs="Times New Roman" w:eastAsia="Times New Roman" w:hint="default"/>
                <w:sz w:val="18"/>
                <w:szCs w:val="18"/>
              </w:rPr>
            </w:pPr>
            <w:r>
              <w:rPr>
                <w:rFonts w:ascii="Times New Roman"/>
                <w:spacing w:val="-1"/>
                <w:sz w:val="18"/>
              </w:rPr>
              <w:t>2,720,459.93</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30"/>
              <w:jc w:val="right"/>
              <w:rPr>
                <w:rFonts w:ascii="Times New Roman" w:hAnsi="Times New Roman" w:cs="Times New Roman" w:eastAsia="Times New Roman" w:hint="default"/>
                <w:sz w:val="18"/>
                <w:szCs w:val="18"/>
              </w:rPr>
            </w:pPr>
            <w:r>
              <w:rPr>
                <w:rFonts w:ascii="Times New Roman"/>
                <w:spacing w:val="-1"/>
                <w:sz w:val="18"/>
              </w:rPr>
              <w:t>4.6814</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8"/>
              <w:jc w:val="right"/>
              <w:rPr>
                <w:rFonts w:ascii="Times New Roman" w:hAnsi="Times New Roman" w:cs="Times New Roman" w:eastAsia="Times New Roman" w:hint="default"/>
                <w:sz w:val="18"/>
                <w:szCs w:val="18"/>
              </w:rPr>
            </w:pPr>
            <w:r>
              <w:rPr>
                <w:rFonts w:ascii="Times New Roman"/>
                <w:spacing w:val="-1"/>
                <w:sz w:val="18"/>
              </w:rPr>
              <w:t>12,735,561.12</w:t>
            </w:r>
          </w:p>
        </w:tc>
      </w:tr>
      <w:tr>
        <w:trPr>
          <w:trHeight w:val="259"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spacing w:val="-1"/>
                <w:sz w:val="18"/>
              </w:rPr>
              <w:t>12,419,586.72</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0"/>
              <w:jc w:val="right"/>
              <w:rPr>
                <w:rFonts w:ascii="Times New Roman" w:hAnsi="Times New Roman" w:cs="Times New Roman" w:eastAsia="Times New Roman" w:hint="default"/>
                <w:sz w:val="18"/>
                <w:szCs w:val="18"/>
              </w:rPr>
            </w:pPr>
            <w:r>
              <w:rPr>
                <w:rFonts w:ascii="Times New Roman"/>
                <w:spacing w:val="-1"/>
                <w:sz w:val="18"/>
              </w:rPr>
              <w:t>9.6159</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119,425,503.94</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其他币种</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1"/>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56,586,210.76</w:t>
            </w:r>
          </w:p>
        </w:tc>
      </w:tr>
      <w:tr>
        <w:trPr>
          <w:trHeight w:val="255"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6"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其他应收款</w:t>
            </w:r>
            <w:r>
              <w:rPr>
                <w:rFonts w:ascii="宋体" w:hAnsi="宋体" w:cs="宋体" w:eastAsia="宋体" w:hint="default"/>
                <w:sz w:val="18"/>
                <w:szCs w:val="18"/>
              </w:rPr>
            </w:r>
          </w:p>
        </w:tc>
        <w:tc>
          <w:tcPr>
            <w:tcW w:w="2779"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1970" w:type="dxa"/>
            <w:tcBorders>
              <w:top w:val="nil" w:sz="6" w:space="0" w:color="auto"/>
              <w:left w:val="nil" w:sz="6" w:space="0" w:color="auto"/>
              <w:bottom w:val="nil" w:sz="6" w:space="0" w:color="auto"/>
              <w:right w:val="nil" w:sz="6" w:space="0" w:color="auto"/>
            </w:tcBorders>
          </w:tcPr>
          <w:p>
            <w:pPr/>
          </w:p>
        </w:tc>
      </w:tr>
      <w:tr>
        <w:trPr>
          <w:trHeight w:val="264"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20"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513"/>
              <w:jc w:val="right"/>
              <w:rPr>
                <w:rFonts w:ascii="Times New Roman" w:hAnsi="Times New Roman" w:cs="Times New Roman" w:eastAsia="Times New Roman" w:hint="default"/>
                <w:sz w:val="18"/>
                <w:szCs w:val="18"/>
              </w:rPr>
            </w:pPr>
            <w:r>
              <w:rPr>
                <w:rFonts w:ascii="Times New Roman"/>
                <w:spacing w:val="-1"/>
                <w:sz w:val="18"/>
              </w:rPr>
              <w:t>2,245,830.74</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30"/>
              <w:jc w:val="right"/>
              <w:rPr>
                <w:rFonts w:ascii="Times New Roman" w:hAnsi="Times New Roman" w:cs="Times New Roman" w:eastAsia="Times New Roman" w:hint="default"/>
                <w:sz w:val="18"/>
                <w:szCs w:val="18"/>
              </w:rPr>
            </w:pPr>
            <w:r>
              <w:rPr>
                <w:rFonts w:ascii="Times New Roman"/>
                <w:spacing w:val="-1"/>
                <w:sz w:val="18"/>
              </w:rPr>
              <w:t>6.4936</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8"/>
              <w:jc w:val="right"/>
              <w:rPr>
                <w:rFonts w:ascii="Times New Roman" w:hAnsi="Times New Roman" w:cs="Times New Roman" w:eastAsia="Times New Roman" w:hint="default"/>
                <w:sz w:val="18"/>
                <w:szCs w:val="18"/>
              </w:rPr>
            </w:pPr>
            <w:r>
              <w:rPr>
                <w:rFonts w:ascii="Times New Roman"/>
                <w:spacing w:val="-1"/>
                <w:sz w:val="18"/>
              </w:rPr>
              <w:t>14,583,526.49</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spacing w:val="-1"/>
                <w:sz w:val="18"/>
              </w:rPr>
              <w:t>13,179,728.80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0"/>
              <w:jc w:val="right"/>
              <w:rPr>
                <w:rFonts w:ascii="Times New Roman" w:hAnsi="Times New Roman" w:cs="Times New Roman" w:eastAsia="Times New Roman" w:hint="default"/>
                <w:sz w:val="18"/>
                <w:szCs w:val="18"/>
              </w:rPr>
            </w:pPr>
            <w:r>
              <w:rPr>
                <w:rFonts w:ascii="Times New Roman"/>
                <w:spacing w:val="-1"/>
                <w:sz w:val="18"/>
              </w:rPr>
              <w:t>0.83778</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11,041,713.19</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6" w:lineRule="exact"/>
              <w:ind w:left="66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513"/>
              <w:jc w:val="right"/>
              <w:rPr>
                <w:rFonts w:ascii="Times New Roman" w:hAnsi="Times New Roman" w:cs="Times New Roman" w:eastAsia="Times New Roman" w:hint="default"/>
                <w:sz w:val="18"/>
                <w:szCs w:val="18"/>
              </w:rPr>
            </w:pPr>
            <w:r>
              <w:rPr>
                <w:rFonts w:ascii="Times New Roman"/>
                <w:spacing w:val="-1"/>
                <w:sz w:val="18"/>
              </w:rPr>
              <w:t>1,834,769.53</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30"/>
              <w:jc w:val="right"/>
              <w:rPr>
                <w:rFonts w:ascii="Times New Roman" w:hAnsi="Times New Roman" w:cs="Times New Roman" w:eastAsia="Times New Roman" w:hint="default"/>
                <w:sz w:val="18"/>
                <w:szCs w:val="18"/>
              </w:rPr>
            </w:pPr>
            <w:r>
              <w:rPr>
                <w:rFonts w:ascii="Times New Roman"/>
                <w:spacing w:val="-1"/>
                <w:sz w:val="18"/>
              </w:rPr>
              <w:t>7.0952</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8"/>
              <w:jc w:val="right"/>
              <w:rPr>
                <w:rFonts w:ascii="Times New Roman" w:hAnsi="Times New Roman" w:cs="Times New Roman" w:eastAsia="Times New Roman" w:hint="default"/>
                <w:sz w:val="18"/>
                <w:szCs w:val="18"/>
              </w:rPr>
            </w:pPr>
            <w:r>
              <w:rPr>
                <w:rFonts w:ascii="Times New Roman"/>
                <w:spacing w:val="-1"/>
                <w:sz w:val="18"/>
              </w:rPr>
              <w:t>13,018,056.77</w:t>
            </w:r>
          </w:p>
        </w:tc>
      </w:tr>
      <w:tr>
        <w:trPr>
          <w:trHeight w:val="259"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加拿大元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spacing w:val="-1"/>
                <w:sz w:val="18"/>
              </w:rPr>
              <w:t>15,168,447.00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0"/>
              <w:jc w:val="right"/>
              <w:rPr>
                <w:rFonts w:ascii="Times New Roman" w:hAnsi="Times New Roman" w:cs="Times New Roman" w:eastAsia="Times New Roman" w:hint="default"/>
                <w:sz w:val="18"/>
                <w:szCs w:val="18"/>
              </w:rPr>
            </w:pPr>
            <w:r>
              <w:rPr>
                <w:rFonts w:ascii="Times New Roman"/>
                <w:spacing w:val="-1"/>
                <w:sz w:val="18"/>
              </w:rPr>
              <w:t>4.6814</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71,009,567.79</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spacing w:val="-1"/>
                <w:sz w:val="18"/>
              </w:rPr>
              <w:t>2,112,395.07</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0"/>
              <w:jc w:val="right"/>
              <w:rPr>
                <w:rFonts w:ascii="Times New Roman" w:hAnsi="Times New Roman" w:cs="Times New Roman" w:eastAsia="Times New Roman" w:hint="default"/>
                <w:sz w:val="18"/>
                <w:szCs w:val="18"/>
              </w:rPr>
            </w:pPr>
            <w:r>
              <w:rPr>
                <w:rFonts w:ascii="Times New Roman"/>
                <w:spacing w:val="-1"/>
                <w:sz w:val="18"/>
              </w:rPr>
              <w:t>9.6159</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20,312,579.75</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6" w:lineRule="exact"/>
              <w:ind w:left="662" w:right="0"/>
              <w:jc w:val="left"/>
              <w:rPr>
                <w:rFonts w:ascii="宋体" w:hAnsi="宋体" w:cs="宋体" w:eastAsia="宋体" w:hint="default"/>
                <w:sz w:val="18"/>
                <w:szCs w:val="18"/>
              </w:rPr>
            </w:pPr>
            <w:r>
              <w:rPr>
                <w:rFonts w:ascii="宋体" w:hAnsi="宋体" w:cs="宋体" w:eastAsia="宋体" w:hint="default"/>
                <w:sz w:val="18"/>
                <w:szCs w:val="18"/>
              </w:rPr>
              <w:t>其他币种</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513"/>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31"/>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8"/>
              <w:jc w:val="right"/>
              <w:rPr>
                <w:rFonts w:ascii="Times New Roman" w:hAnsi="Times New Roman" w:cs="Times New Roman" w:eastAsia="Times New Roman" w:hint="default"/>
                <w:sz w:val="18"/>
                <w:szCs w:val="18"/>
              </w:rPr>
            </w:pPr>
            <w:r>
              <w:rPr>
                <w:rFonts w:ascii="Times New Roman"/>
                <w:spacing w:val="-1"/>
                <w:sz w:val="18"/>
              </w:rPr>
              <w:t>14,021,911.41</w:t>
            </w:r>
          </w:p>
        </w:tc>
      </w:tr>
      <w:tr>
        <w:trPr>
          <w:trHeight w:val="254"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应付账款</w:t>
            </w:r>
            <w:r>
              <w:rPr>
                <w:rFonts w:ascii="宋体" w:hAnsi="宋体" w:cs="宋体" w:eastAsia="宋体" w:hint="default"/>
                <w:sz w:val="18"/>
                <w:szCs w:val="18"/>
              </w:rPr>
            </w:r>
          </w:p>
        </w:tc>
        <w:tc>
          <w:tcPr>
            <w:tcW w:w="2779"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1970" w:type="dxa"/>
            <w:tcBorders>
              <w:top w:val="nil" w:sz="6" w:space="0" w:color="auto"/>
              <w:left w:val="nil" w:sz="6" w:space="0" w:color="auto"/>
              <w:bottom w:val="nil" w:sz="6" w:space="0" w:color="auto"/>
              <w:right w:val="nil" w:sz="6" w:space="0" w:color="auto"/>
            </w:tcBorders>
          </w:tcPr>
          <w:p>
            <w:pPr/>
          </w:p>
        </w:tc>
      </w:tr>
      <w:tr>
        <w:trPr>
          <w:trHeight w:val="266"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20"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513"/>
              <w:jc w:val="right"/>
              <w:rPr>
                <w:rFonts w:ascii="Times New Roman" w:hAnsi="Times New Roman" w:cs="Times New Roman" w:eastAsia="Times New Roman" w:hint="default"/>
                <w:sz w:val="18"/>
                <w:szCs w:val="18"/>
              </w:rPr>
            </w:pPr>
            <w:r>
              <w:rPr>
                <w:rFonts w:ascii="Times New Roman"/>
                <w:spacing w:val="-1"/>
                <w:sz w:val="18"/>
              </w:rPr>
              <w:t>393,342,628.42</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30"/>
              <w:jc w:val="right"/>
              <w:rPr>
                <w:rFonts w:ascii="Times New Roman" w:hAnsi="Times New Roman" w:cs="Times New Roman" w:eastAsia="Times New Roman" w:hint="default"/>
                <w:sz w:val="18"/>
                <w:szCs w:val="18"/>
              </w:rPr>
            </w:pPr>
            <w:r>
              <w:rPr>
                <w:rFonts w:ascii="Times New Roman"/>
                <w:spacing w:val="-1"/>
                <w:sz w:val="18"/>
              </w:rPr>
              <w:t>6.4936</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8"/>
              <w:jc w:val="right"/>
              <w:rPr>
                <w:rFonts w:ascii="Times New Roman" w:hAnsi="Times New Roman" w:cs="Times New Roman" w:eastAsia="Times New Roman" w:hint="default"/>
                <w:sz w:val="18"/>
                <w:szCs w:val="18"/>
              </w:rPr>
            </w:pPr>
            <w:r>
              <w:rPr>
                <w:rFonts w:ascii="Times New Roman"/>
                <w:spacing w:val="-1"/>
                <w:sz w:val="18"/>
              </w:rPr>
              <w:t>2,554,209,691.91</w:t>
            </w:r>
          </w:p>
        </w:tc>
      </w:tr>
      <w:tr>
        <w:trPr>
          <w:trHeight w:val="261"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6" w:lineRule="exact"/>
              <w:ind w:left="66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513"/>
              <w:jc w:val="right"/>
              <w:rPr>
                <w:rFonts w:ascii="Times New Roman" w:hAnsi="Times New Roman" w:cs="Times New Roman" w:eastAsia="Times New Roman" w:hint="default"/>
                <w:sz w:val="18"/>
                <w:szCs w:val="18"/>
              </w:rPr>
            </w:pPr>
            <w:r>
              <w:rPr>
                <w:rFonts w:ascii="Times New Roman"/>
                <w:spacing w:val="-1"/>
                <w:sz w:val="18"/>
              </w:rPr>
              <w:t>6,374,026.93</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30"/>
              <w:jc w:val="right"/>
              <w:rPr>
                <w:rFonts w:ascii="Times New Roman" w:hAnsi="Times New Roman" w:cs="Times New Roman" w:eastAsia="Times New Roman" w:hint="default"/>
                <w:sz w:val="18"/>
                <w:szCs w:val="18"/>
              </w:rPr>
            </w:pPr>
            <w:r>
              <w:rPr>
                <w:rFonts w:ascii="Times New Roman"/>
                <w:spacing w:val="-1"/>
                <w:sz w:val="18"/>
              </w:rPr>
              <w:t>0.83778</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8"/>
              <w:jc w:val="right"/>
              <w:rPr>
                <w:rFonts w:ascii="Times New Roman" w:hAnsi="Times New Roman" w:cs="Times New Roman" w:eastAsia="Times New Roman" w:hint="default"/>
                <w:sz w:val="18"/>
                <w:szCs w:val="18"/>
              </w:rPr>
            </w:pPr>
            <w:r>
              <w:rPr>
                <w:rFonts w:ascii="Times New Roman"/>
                <w:spacing w:val="-1"/>
                <w:sz w:val="18"/>
              </w:rPr>
              <w:t>5,340,032.28</w:t>
            </w:r>
          </w:p>
        </w:tc>
      </w:tr>
      <w:tr>
        <w:trPr>
          <w:trHeight w:val="259"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spacing w:val="-1"/>
                <w:sz w:val="18"/>
              </w:rPr>
              <w:t>5,218,805.65</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0"/>
              <w:jc w:val="right"/>
              <w:rPr>
                <w:rFonts w:ascii="Times New Roman" w:hAnsi="Times New Roman" w:cs="Times New Roman" w:eastAsia="Times New Roman" w:hint="default"/>
                <w:sz w:val="18"/>
                <w:szCs w:val="18"/>
              </w:rPr>
            </w:pPr>
            <w:r>
              <w:rPr>
                <w:rFonts w:ascii="Times New Roman"/>
                <w:spacing w:val="-1"/>
                <w:sz w:val="18"/>
              </w:rPr>
              <w:t>7.0952</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37,028,469.85</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加拿大元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spacing w:val="-1"/>
                <w:sz w:val="18"/>
              </w:rPr>
              <w:t>1,595,437.62</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0"/>
              <w:jc w:val="right"/>
              <w:rPr>
                <w:rFonts w:ascii="Times New Roman" w:hAnsi="Times New Roman" w:cs="Times New Roman" w:eastAsia="Times New Roman" w:hint="default"/>
                <w:sz w:val="18"/>
                <w:szCs w:val="18"/>
              </w:rPr>
            </w:pPr>
            <w:r>
              <w:rPr>
                <w:rFonts w:ascii="Times New Roman"/>
                <w:spacing w:val="-1"/>
                <w:sz w:val="18"/>
              </w:rPr>
              <w:t>4.6814</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7,468,881.67</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6" w:lineRule="exact"/>
              <w:ind w:left="66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513"/>
              <w:jc w:val="right"/>
              <w:rPr>
                <w:rFonts w:ascii="Times New Roman" w:hAnsi="Times New Roman" w:cs="Times New Roman" w:eastAsia="Times New Roman" w:hint="default"/>
                <w:sz w:val="18"/>
                <w:szCs w:val="18"/>
              </w:rPr>
            </w:pPr>
            <w:r>
              <w:rPr>
                <w:rFonts w:ascii="Times New Roman"/>
                <w:spacing w:val="-1"/>
                <w:sz w:val="18"/>
              </w:rPr>
              <w:t>4,723,379.83</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30"/>
              <w:jc w:val="right"/>
              <w:rPr>
                <w:rFonts w:ascii="Times New Roman" w:hAnsi="Times New Roman" w:cs="Times New Roman" w:eastAsia="Times New Roman" w:hint="default"/>
                <w:sz w:val="18"/>
                <w:szCs w:val="18"/>
              </w:rPr>
            </w:pPr>
            <w:r>
              <w:rPr>
                <w:rFonts w:ascii="Times New Roman"/>
                <w:spacing w:val="-1"/>
                <w:sz w:val="18"/>
              </w:rPr>
              <w:t>9.6159</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8"/>
              <w:jc w:val="right"/>
              <w:rPr>
                <w:rFonts w:ascii="Times New Roman" w:hAnsi="Times New Roman" w:cs="Times New Roman" w:eastAsia="Times New Roman" w:hint="default"/>
                <w:sz w:val="18"/>
                <w:szCs w:val="18"/>
              </w:rPr>
            </w:pPr>
            <w:r>
              <w:rPr>
                <w:rFonts w:ascii="Times New Roman"/>
                <w:spacing w:val="-1"/>
                <w:sz w:val="18"/>
              </w:rPr>
              <w:t>45,419,548.11</w:t>
            </w:r>
          </w:p>
        </w:tc>
      </w:tr>
      <w:tr>
        <w:trPr>
          <w:trHeight w:val="259"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spacing w:val="-1"/>
                <w:sz w:val="18"/>
              </w:rPr>
              <w:t>42,879,298.93</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0"/>
              <w:jc w:val="right"/>
              <w:rPr>
                <w:rFonts w:ascii="Times New Roman" w:hAnsi="Times New Roman" w:cs="Times New Roman" w:eastAsia="Times New Roman" w:hint="default"/>
                <w:sz w:val="18"/>
                <w:szCs w:val="18"/>
              </w:rPr>
            </w:pPr>
            <w:r>
              <w:rPr>
                <w:rFonts w:ascii="Times New Roman"/>
                <w:spacing w:val="-1"/>
                <w:sz w:val="18"/>
              </w:rPr>
              <w:t>0.053875</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2,310,122.23</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其他币种</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1"/>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29,369,701.10</w:t>
            </w:r>
          </w:p>
        </w:tc>
      </w:tr>
      <w:tr>
        <w:trPr>
          <w:trHeight w:val="255"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6"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其他应付款</w:t>
            </w:r>
            <w:r>
              <w:rPr>
                <w:rFonts w:ascii="宋体" w:hAnsi="宋体" w:cs="宋体" w:eastAsia="宋体" w:hint="default"/>
                <w:sz w:val="18"/>
                <w:szCs w:val="18"/>
              </w:rPr>
            </w:r>
          </w:p>
        </w:tc>
        <w:tc>
          <w:tcPr>
            <w:tcW w:w="2779"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1970" w:type="dxa"/>
            <w:tcBorders>
              <w:top w:val="nil" w:sz="6" w:space="0" w:color="auto"/>
              <w:left w:val="nil" w:sz="6" w:space="0" w:color="auto"/>
              <w:bottom w:val="nil" w:sz="6" w:space="0" w:color="auto"/>
              <w:right w:val="nil" w:sz="6" w:space="0" w:color="auto"/>
            </w:tcBorders>
          </w:tcPr>
          <w:p>
            <w:pPr/>
          </w:p>
        </w:tc>
      </w:tr>
      <w:tr>
        <w:trPr>
          <w:trHeight w:val="264"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20"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513"/>
              <w:jc w:val="right"/>
              <w:rPr>
                <w:rFonts w:ascii="Times New Roman" w:hAnsi="Times New Roman" w:cs="Times New Roman" w:eastAsia="Times New Roman" w:hint="default"/>
                <w:sz w:val="18"/>
                <w:szCs w:val="18"/>
              </w:rPr>
            </w:pPr>
            <w:r>
              <w:rPr>
                <w:rFonts w:ascii="Times New Roman"/>
                <w:spacing w:val="-1"/>
                <w:sz w:val="18"/>
              </w:rPr>
              <w:t>4,053,495.27</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30"/>
              <w:jc w:val="right"/>
              <w:rPr>
                <w:rFonts w:ascii="Times New Roman" w:hAnsi="Times New Roman" w:cs="Times New Roman" w:eastAsia="Times New Roman" w:hint="default"/>
                <w:sz w:val="18"/>
                <w:szCs w:val="18"/>
              </w:rPr>
            </w:pPr>
            <w:r>
              <w:rPr>
                <w:rFonts w:ascii="Times New Roman"/>
                <w:spacing w:val="-1"/>
                <w:sz w:val="18"/>
              </w:rPr>
              <w:t>6.4936</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8"/>
              <w:jc w:val="right"/>
              <w:rPr>
                <w:rFonts w:ascii="Times New Roman" w:hAnsi="Times New Roman" w:cs="Times New Roman" w:eastAsia="Times New Roman" w:hint="default"/>
                <w:sz w:val="18"/>
                <w:szCs w:val="18"/>
              </w:rPr>
            </w:pPr>
            <w:r>
              <w:rPr>
                <w:rFonts w:ascii="Times New Roman"/>
                <w:spacing w:val="-1"/>
                <w:sz w:val="18"/>
              </w:rPr>
              <w:t>26,321,776.89</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spacing w:val="-1"/>
                <w:sz w:val="18"/>
              </w:rPr>
              <w:t>21,602,594.87</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0"/>
              <w:jc w:val="right"/>
              <w:rPr>
                <w:rFonts w:ascii="Times New Roman" w:hAnsi="Times New Roman" w:cs="Times New Roman" w:eastAsia="Times New Roman" w:hint="default"/>
                <w:sz w:val="18"/>
                <w:szCs w:val="18"/>
              </w:rPr>
            </w:pPr>
            <w:r>
              <w:rPr>
                <w:rFonts w:ascii="Times New Roman"/>
                <w:spacing w:val="-1"/>
                <w:sz w:val="18"/>
              </w:rPr>
              <w:t>0.83778</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18,098,221.93</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6" w:lineRule="exact"/>
              <w:ind w:left="66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513"/>
              <w:jc w:val="right"/>
              <w:rPr>
                <w:rFonts w:ascii="Times New Roman" w:hAnsi="Times New Roman" w:cs="Times New Roman" w:eastAsia="Times New Roman" w:hint="default"/>
                <w:sz w:val="18"/>
                <w:szCs w:val="18"/>
              </w:rPr>
            </w:pPr>
            <w:r>
              <w:rPr>
                <w:rFonts w:ascii="Times New Roman"/>
                <w:spacing w:val="-1"/>
                <w:sz w:val="18"/>
              </w:rPr>
              <w:t>2,885,712.42</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30"/>
              <w:jc w:val="right"/>
              <w:rPr>
                <w:rFonts w:ascii="Times New Roman" w:hAnsi="Times New Roman" w:cs="Times New Roman" w:eastAsia="Times New Roman" w:hint="default"/>
                <w:sz w:val="18"/>
                <w:szCs w:val="18"/>
              </w:rPr>
            </w:pPr>
            <w:r>
              <w:rPr>
                <w:rFonts w:ascii="Times New Roman"/>
                <w:spacing w:val="-1"/>
                <w:sz w:val="18"/>
              </w:rPr>
              <w:t>7.0952</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8"/>
              <w:jc w:val="right"/>
              <w:rPr>
                <w:rFonts w:ascii="Times New Roman" w:hAnsi="Times New Roman" w:cs="Times New Roman" w:eastAsia="Times New Roman" w:hint="default"/>
                <w:sz w:val="18"/>
                <w:szCs w:val="18"/>
              </w:rPr>
            </w:pPr>
            <w:r>
              <w:rPr>
                <w:rFonts w:ascii="Times New Roman"/>
                <w:spacing w:val="-1"/>
                <w:sz w:val="18"/>
              </w:rPr>
              <w:t>20,474,706.76</w:t>
            </w:r>
          </w:p>
        </w:tc>
      </w:tr>
      <w:tr>
        <w:trPr>
          <w:trHeight w:val="259"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spacing w:val="-1"/>
                <w:sz w:val="18"/>
              </w:rPr>
              <w:t>1,000,924.37</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0"/>
              <w:jc w:val="right"/>
              <w:rPr>
                <w:rFonts w:ascii="Times New Roman" w:hAnsi="Times New Roman" w:cs="Times New Roman" w:eastAsia="Times New Roman" w:hint="default"/>
                <w:sz w:val="18"/>
                <w:szCs w:val="18"/>
              </w:rPr>
            </w:pPr>
            <w:r>
              <w:rPr>
                <w:rFonts w:ascii="Times New Roman"/>
                <w:spacing w:val="-1"/>
                <w:sz w:val="18"/>
              </w:rPr>
              <w:t>9.6159</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9,624,788.65</w:t>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其他币种</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1"/>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18,177,889.63</w:t>
            </w:r>
          </w:p>
        </w:tc>
      </w:tr>
      <w:tr>
        <w:trPr>
          <w:trHeight w:val="255"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6"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短期借款</w:t>
            </w:r>
            <w:r>
              <w:rPr>
                <w:rFonts w:ascii="宋体" w:hAnsi="宋体" w:cs="宋体" w:eastAsia="宋体" w:hint="default"/>
                <w:sz w:val="18"/>
                <w:szCs w:val="18"/>
              </w:rPr>
            </w:r>
          </w:p>
        </w:tc>
        <w:tc>
          <w:tcPr>
            <w:tcW w:w="2779"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1970" w:type="dxa"/>
            <w:tcBorders>
              <w:top w:val="nil" w:sz="6" w:space="0" w:color="auto"/>
              <w:left w:val="nil" w:sz="6" w:space="0" w:color="auto"/>
              <w:bottom w:val="nil" w:sz="6" w:space="0" w:color="auto"/>
              <w:right w:val="nil" w:sz="6" w:space="0" w:color="auto"/>
            </w:tcBorders>
          </w:tcPr>
          <w:p>
            <w:pPr/>
          </w:p>
        </w:tc>
      </w:tr>
      <w:tr>
        <w:trPr>
          <w:trHeight w:val="264"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20"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513"/>
              <w:jc w:val="right"/>
              <w:rPr>
                <w:rFonts w:ascii="Times New Roman" w:hAnsi="Times New Roman" w:cs="Times New Roman" w:eastAsia="Times New Roman" w:hint="default"/>
                <w:sz w:val="18"/>
                <w:szCs w:val="18"/>
              </w:rPr>
            </w:pPr>
            <w:r>
              <w:rPr>
                <w:rFonts w:ascii="Times New Roman"/>
                <w:spacing w:val="-1"/>
                <w:sz w:val="18"/>
              </w:rPr>
              <w:t>278,178,267.17</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30"/>
              <w:jc w:val="right"/>
              <w:rPr>
                <w:rFonts w:ascii="Times New Roman" w:hAnsi="Times New Roman" w:cs="Times New Roman" w:eastAsia="Times New Roman" w:hint="default"/>
                <w:sz w:val="18"/>
                <w:szCs w:val="18"/>
              </w:rPr>
            </w:pPr>
            <w:r>
              <w:rPr>
                <w:rFonts w:ascii="Times New Roman"/>
                <w:spacing w:val="-1"/>
                <w:sz w:val="18"/>
              </w:rPr>
              <w:t>6.4936</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7"/>
              <w:jc w:val="right"/>
              <w:rPr>
                <w:rFonts w:ascii="Times New Roman" w:hAnsi="Times New Roman" w:cs="Times New Roman" w:eastAsia="Times New Roman" w:hint="default"/>
                <w:sz w:val="18"/>
                <w:szCs w:val="18"/>
              </w:rPr>
            </w:pPr>
            <w:r>
              <w:rPr>
                <w:rFonts w:ascii="Times New Roman"/>
                <w:spacing w:val="-1"/>
                <w:sz w:val="18"/>
              </w:rPr>
              <w:t>1,806,378,395.67</w:t>
            </w:r>
          </w:p>
        </w:tc>
      </w:tr>
      <w:tr>
        <w:trPr>
          <w:trHeight w:val="261"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66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3"/>
              <w:jc w:val="right"/>
              <w:rPr>
                <w:rFonts w:ascii="Times New Roman" w:hAnsi="Times New Roman" w:cs="Times New Roman" w:eastAsia="Times New Roman" w:hint="default"/>
                <w:sz w:val="18"/>
                <w:szCs w:val="18"/>
              </w:rPr>
            </w:pPr>
            <w:r>
              <w:rPr>
                <w:rFonts w:ascii="Times New Roman"/>
                <w:spacing w:val="-1"/>
                <w:sz w:val="18"/>
              </w:rPr>
              <w:t>13,376,684.73</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0"/>
              <w:jc w:val="right"/>
              <w:rPr>
                <w:rFonts w:ascii="Times New Roman" w:hAnsi="Times New Roman" w:cs="Times New Roman" w:eastAsia="Times New Roman" w:hint="default"/>
                <w:sz w:val="18"/>
                <w:szCs w:val="18"/>
              </w:rPr>
            </w:pPr>
            <w:r>
              <w:rPr>
                <w:rFonts w:ascii="Times New Roman"/>
                <w:spacing w:val="-1"/>
                <w:sz w:val="18"/>
              </w:rPr>
              <w:t>7.0952</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8"/>
              <w:jc w:val="right"/>
              <w:rPr>
                <w:rFonts w:ascii="Times New Roman" w:hAnsi="Times New Roman" w:cs="Times New Roman" w:eastAsia="Times New Roman" w:hint="default"/>
                <w:sz w:val="18"/>
                <w:szCs w:val="18"/>
              </w:rPr>
            </w:pPr>
            <w:r>
              <w:rPr>
                <w:rFonts w:ascii="Times New Roman"/>
                <w:spacing w:val="-1"/>
                <w:sz w:val="18"/>
              </w:rPr>
              <w:t>94,910,253.47</w:t>
            </w:r>
            <w:r>
              <w:rPr>
                <w:rFonts w:ascii="Times New Roman"/>
                <w:sz w:val="18"/>
              </w:rPr>
            </w:r>
          </w:p>
        </w:tc>
      </w:tr>
      <w:tr>
        <w:trPr>
          <w:trHeight w:val="260"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6" w:lineRule="exact"/>
              <w:ind w:left="662" w:right="0"/>
              <w:jc w:val="left"/>
              <w:rPr>
                <w:rFonts w:ascii="宋体" w:hAnsi="宋体" w:cs="宋体" w:eastAsia="宋体" w:hint="default"/>
                <w:sz w:val="18"/>
                <w:szCs w:val="18"/>
              </w:rPr>
            </w:pPr>
            <w:r>
              <w:rPr>
                <w:rFonts w:ascii="宋体" w:hAnsi="宋体" w:cs="宋体" w:eastAsia="宋体" w:hint="default"/>
                <w:sz w:val="18"/>
                <w:szCs w:val="18"/>
              </w:rPr>
              <w:t>其他币种</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513"/>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31"/>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8"/>
              <w:jc w:val="right"/>
              <w:rPr>
                <w:rFonts w:ascii="Times New Roman" w:hAnsi="Times New Roman" w:cs="Times New Roman" w:eastAsia="Times New Roman" w:hint="default"/>
                <w:sz w:val="18"/>
                <w:szCs w:val="18"/>
              </w:rPr>
            </w:pPr>
            <w:r>
              <w:rPr>
                <w:rFonts w:ascii="Times New Roman"/>
                <w:spacing w:val="-1"/>
                <w:sz w:val="18"/>
              </w:rPr>
              <w:t>19,853,419.13</w:t>
            </w:r>
            <w:r>
              <w:rPr>
                <w:rFonts w:ascii="Times New Roman"/>
                <w:sz w:val="18"/>
              </w:rPr>
            </w:r>
          </w:p>
        </w:tc>
      </w:tr>
      <w:tr>
        <w:trPr>
          <w:trHeight w:val="254"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长期借款</w:t>
            </w:r>
            <w:r>
              <w:rPr>
                <w:rFonts w:ascii="宋体" w:hAnsi="宋体" w:cs="宋体" w:eastAsia="宋体" w:hint="default"/>
                <w:sz w:val="18"/>
                <w:szCs w:val="18"/>
              </w:rPr>
            </w:r>
          </w:p>
        </w:tc>
        <w:tc>
          <w:tcPr>
            <w:tcW w:w="2779"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1970" w:type="dxa"/>
            <w:tcBorders>
              <w:top w:val="nil" w:sz="6" w:space="0" w:color="auto"/>
              <w:left w:val="nil" w:sz="6" w:space="0" w:color="auto"/>
              <w:bottom w:val="nil" w:sz="6" w:space="0" w:color="auto"/>
              <w:right w:val="nil" w:sz="6" w:space="0" w:color="auto"/>
            </w:tcBorders>
          </w:tcPr>
          <w:p>
            <w:pPr/>
          </w:p>
        </w:tc>
      </w:tr>
      <w:tr>
        <w:trPr>
          <w:trHeight w:val="265"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20"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512"/>
              <w:jc w:val="right"/>
              <w:rPr>
                <w:rFonts w:ascii="Times New Roman" w:hAnsi="Times New Roman" w:cs="Times New Roman" w:eastAsia="Times New Roman" w:hint="default"/>
                <w:sz w:val="18"/>
                <w:szCs w:val="18"/>
              </w:rPr>
            </w:pPr>
            <w:r>
              <w:rPr>
                <w:rFonts w:ascii="Times New Roman"/>
                <w:spacing w:val="-1"/>
                <w:sz w:val="18"/>
              </w:rPr>
              <w:t>222,222,199.65</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30"/>
              <w:jc w:val="right"/>
              <w:rPr>
                <w:rFonts w:ascii="Times New Roman" w:hAnsi="Times New Roman" w:cs="Times New Roman" w:eastAsia="Times New Roman" w:hint="default"/>
                <w:sz w:val="18"/>
                <w:szCs w:val="18"/>
              </w:rPr>
            </w:pPr>
            <w:r>
              <w:rPr>
                <w:rFonts w:ascii="Times New Roman"/>
                <w:spacing w:val="-1"/>
                <w:sz w:val="18"/>
              </w:rPr>
              <w:t>6.4936</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8"/>
              <w:jc w:val="right"/>
              <w:rPr>
                <w:rFonts w:ascii="Times New Roman" w:hAnsi="Times New Roman" w:cs="Times New Roman" w:eastAsia="Times New Roman" w:hint="default"/>
                <w:sz w:val="18"/>
                <w:szCs w:val="18"/>
              </w:rPr>
            </w:pPr>
            <w:r>
              <w:rPr>
                <w:rFonts w:ascii="Times New Roman"/>
                <w:spacing w:val="-1"/>
                <w:sz w:val="18"/>
              </w:rPr>
              <w:t>1,443,022,075.67</w:t>
            </w:r>
            <w:r>
              <w:rPr>
                <w:rFonts w:ascii="Times New Roman"/>
                <w:sz w:val="18"/>
              </w:rPr>
            </w:r>
          </w:p>
        </w:tc>
      </w:tr>
      <w:tr>
        <w:trPr>
          <w:trHeight w:val="255" w:hRule="exact"/>
        </w:trPr>
        <w:tc>
          <w:tcPr>
            <w:tcW w:w="2520" w:type="dxa"/>
            <w:tcBorders>
              <w:top w:val="nil" w:sz="6" w:space="0" w:color="auto"/>
              <w:left w:val="nil" w:sz="6" w:space="0" w:color="auto"/>
              <w:bottom w:val="nil" w:sz="6" w:space="0" w:color="auto"/>
              <w:right w:val="nil" w:sz="6" w:space="0" w:color="auto"/>
            </w:tcBorders>
          </w:tcPr>
          <w:p>
            <w:pPr>
              <w:pStyle w:val="TableParagraph"/>
              <w:spacing w:line="216"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一年内到期的长期负债</w:t>
            </w:r>
            <w:r>
              <w:rPr>
                <w:rFonts w:ascii="宋体" w:hAnsi="宋体" w:cs="宋体" w:eastAsia="宋体" w:hint="default"/>
                <w:sz w:val="18"/>
                <w:szCs w:val="18"/>
              </w:rPr>
            </w:r>
          </w:p>
        </w:tc>
        <w:tc>
          <w:tcPr>
            <w:tcW w:w="2779"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1970" w:type="dxa"/>
            <w:tcBorders>
              <w:top w:val="nil" w:sz="6" w:space="0" w:color="auto"/>
              <w:left w:val="nil" w:sz="6" w:space="0" w:color="auto"/>
              <w:bottom w:val="nil" w:sz="6" w:space="0" w:color="auto"/>
              <w:right w:val="nil" w:sz="6" w:space="0" w:color="auto"/>
            </w:tcBorders>
          </w:tcPr>
          <w:p>
            <w:pPr/>
          </w:p>
        </w:tc>
      </w:tr>
      <w:tr>
        <w:trPr>
          <w:trHeight w:val="261" w:hRule="exact"/>
        </w:trPr>
        <w:tc>
          <w:tcPr>
            <w:tcW w:w="2520" w:type="dxa"/>
            <w:tcBorders>
              <w:top w:val="nil" w:sz="6" w:space="0" w:color="auto"/>
              <w:left w:val="nil" w:sz="6" w:space="0" w:color="auto"/>
              <w:bottom w:val="single" w:sz="12" w:space="0" w:color="000000"/>
              <w:right w:val="nil" w:sz="6" w:space="0" w:color="auto"/>
            </w:tcBorders>
          </w:tcPr>
          <w:p>
            <w:pPr>
              <w:pStyle w:val="TableParagraph"/>
              <w:spacing w:line="220"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779"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right="513"/>
              <w:jc w:val="right"/>
              <w:rPr>
                <w:rFonts w:ascii="Times New Roman" w:hAnsi="Times New Roman" w:cs="Times New Roman" w:eastAsia="Times New Roman" w:hint="default"/>
                <w:sz w:val="18"/>
                <w:szCs w:val="18"/>
              </w:rPr>
            </w:pPr>
            <w:r>
              <w:rPr>
                <w:rFonts w:ascii="Times New Roman"/>
                <w:spacing w:val="-1"/>
                <w:sz w:val="18"/>
              </w:rPr>
              <w:t>79,700,000.00</w:t>
            </w:r>
          </w:p>
        </w:tc>
        <w:tc>
          <w:tcPr>
            <w:tcW w:w="1470"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right="230"/>
              <w:jc w:val="right"/>
              <w:rPr>
                <w:rFonts w:ascii="Times New Roman" w:hAnsi="Times New Roman" w:cs="Times New Roman" w:eastAsia="Times New Roman" w:hint="default"/>
                <w:sz w:val="18"/>
                <w:szCs w:val="18"/>
              </w:rPr>
            </w:pPr>
            <w:r>
              <w:rPr>
                <w:rFonts w:ascii="Times New Roman"/>
                <w:spacing w:val="-1"/>
                <w:sz w:val="18"/>
              </w:rPr>
              <w:t>6.4936</w:t>
            </w:r>
          </w:p>
        </w:tc>
        <w:tc>
          <w:tcPr>
            <w:tcW w:w="1970"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right="108"/>
              <w:jc w:val="right"/>
              <w:rPr>
                <w:rFonts w:ascii="Times New Roman" w:hAnsi="Times New Roman" w:cs="Times New Roman" w:eastAsia="Times New Roman" w:hint="default"/>
                <w:sz w:val="18"/>
                <w:szCs w:val="18"/>
              </w:rPr>
            </w:pPr>
            <w:r>
              <w:rPr>
                <w:rFonts w:ascii="Times New Roman"/>
                <w:spacing w:val="-1"/>
                <w:sz w:val="18"/>
              </w:rPr>
              <w:t>517,539,920.00</w:t>
            </w:r>
          </w:p>
        </w:tc>
      </w:tr>
    </w:tbl>
    <w:p>
      <w:pPr>
        <w:spacing w:before="81"/>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境外经营实体</w:t>
      </w:r>
    </w:p>
    <w:p>
      <w:pPr>
        <w:spacing w:line="280" w:lineRule="auto" w:before="110"/>
        <w:ind w:left="242" w:right="0" w:firstLine="499"/>
        <w:jc w:val="left"/>
        <w:rPr>
          <w:rFonts w:ascii="宋体" w:hAnsi="宋体" w:cs="宋体" w:eastAsia="宋体" w:hint="default"/>
          <w:sz w:val="22"/>
          <w:szCs w:val="22"/>
        </w:rPr>
      </w:pPr>
      <w:r>
        <w:rPr>
          <w:rFonts w:ascii="宋体" w:hAnsi="宋体" w:cs="宋体" w:eastAsia="宋体" w:hint="default"/>
          <w:sz w:val="22"/>
          <w:szCs w:val="22"/>
        </w:rPr>
        <w:t>本公司之子公司</w:t>
      </w:r>
      <w:r>
        <w:rPr>
          <w:rFonts w:ascii="宋体" w:hAnsi="宋体" w:cs="宋体" w:eastAsia="宋体" w:hint="default"/>
          <w:spacing w:val="-75"/>
          <w:sz w:val="22"/>
          <w:szCs w:val="22"/>
        </w:rPr>
        <w:t> </w:t>
      </w:r>
      <w:r>
        <w:rPr>
          <w:rFonts w:ascii="Times New Roman" w:hAnsi="Times New Roman" w:cs="Times New Roman" w:eastAsia="Times New Roman" w:hint="default"/>
          <w:sz w:val="22"/>
          <w:szCs w:val="22"/>
        </w:rPr>
        <w:t>TongFang</w:t>
      </w:r>
      <w:r>
        <w:rPr>
          <w:rFonts w:ascii="Times New Roman" w:hAnsi="Times New Roman" w:cs="Times New Roman" w:eastAsia="Times New Roman" w:hint="default"/>
          <w:spacing w:val="-4"/>
          <w:sz w:val="22"/>
          <w:szCs w:val="22"/>
        </w:rPr>
        <w:t> </w:t>
      </w:r>
      <w:r>
        <w:rPr>
          <w:rFonts w:ascii="Times New Roman" w:hAnsi="Times New Roman" w:cs="Times New Roman" w:eastAsia="Times New Roman" w:hint="default"/>
          <w:sz w:val="22"/>
          <w:szCs w:val="22"/>
        </w:rPr>
        <w:t>Global Limited</w:t>
      </w:r>
      <w:r>
        <w:rPr>
          <w:rFonts w:ascii="Times New Roman" w:hAnsi="Times New Roman" w:cs="Times New Roman" w:eastAsia="Times New Roman" w:hint="default"/>
          <w:spacing w:val="-19"/>
          <w:sz w:val="22"/>
          <w:szCs w:val="22"/>
        </w:rPr>
        <w:t> </w:t>
      </w:r>
      <w:r>
        <w:rPr>
          <w:rFonts w:ascii="宋体" w:hAnsi="宋体" w:cs="宋体" w:eastAsia="宋体" w:hint="default"/>
          <w:sz w:val="22"/>
          <w:szCs w:val="22"/>
        </w:rPr>
        <w:t>和</w:t>
      </w:r>
      <w:r>
        <w:rPr>
          <w:rFonts w:ascii="宋体" w:hAnsi="宋体" w:cs="宋体" w:eastAsia="宋体" w:hint="default"/>
          <w:spacing w:val="-75"/>
          <w:sz w:val="22"/>
          <w:szCs w:val="22"/>
        </w:rPr>
        <w:t> </w:t>
      </w:r>
      <w:r>
        <w:rPr>
          <w:rFonts w:ascii="Times New Roman" w:hAnsi="Times New Roman" w:cs="Times New Roman" w:eastAsia="Times New Roman" w:hint="default"/>
          <w:sz w:val="22"/>
          <w:szCs w:val="22"/>
        </w:rPr>
        <w:t>TongFang</w:t>
      </w:r>
      <w:r>
        <w:rPr>
          <w:rFonts w:ascii="Times New Roman" w:hAnsi="Times New Roman" w:cs="Times New Roman" w:eastAsia="Times New Roman" w:hint="default"/>
          <w:spacing w:val="-4"/>
          <w:sz w:val="22"/>
          <w:szCs w:val="22"/>
        </w:rPr>
        <w:t> </w:t>
      </w:r>
      <w:r>
        <w:rPr>
          <w:rFonts w:ascii="Times New Roman" w:hAnsi="Times New Roman" w:cs="Times New Roman" w:eastAsia="Times New Roman" w:hint="default"/>
          <w:sz w:val="22"/>
          <w:szCs w:val="22"/>
        </w:rPr>
        <w:t>HongKong</w:t>
      </w:r>
      <w:r>
        <w:rPr>
          <w:rFonts w:ascii="Times New Roman" w:hAnsi="Times New Roman" w:cs="Times New Roman" w:eastAsia="Times New Roman" w:hint="default"/>
          <w:spacing w:val="-4"/>
          <w:sz w:val="22"/>
          <w:szCs w:val="22"/>
        </w:rPr>
        <w:t> </w:t>
      </w:r>
      <w:r>
        <w:rPr>
          <w:rFonts w:ascii="Times New Roman" w:hAnsi="Times New Roman" w:cs="Times New Roman" w:eastAsia="Times New Roman" w:hint="default"/>
          <w:sz w:val="22"/>
          <w:szCs w:val="22"/>
        </w:rPr>
        <w:t>Limited</w:t>
      </w:r>
      <w:r>
        <w:rPr>
          <w:rFonts w:ascii="Times New Roman" w:hAnsi="Times New Roman" w:cs="Times New Roman" w:eastAsia="Times New Roman" w:hint="default"/>
          <w:spacing w:val="-16"/>
          <w:sz w:val="22"/>
          <w:szCs w:val="22"/>
        </w:rPr>
        <w:t> </w:t>
      </w:r>
      <w:r>
        <w:rPr>
          <w:rFonts w:ascii="宋体" w:hAnsi="宋体" w:cs="宋体" w:eastAsia="宋体" w:hint="default"/>
          <w:sz w:val="22"/>
          <w:szCs w:val="22"/>
        </w:rPr>
        <w:t>为重要的境</w:t>
      </w:r>
      <w:r>
        <w:rPr>
          <w:rFonts w:ascii="宋体" w:hAnsi="宋体" w:cs="宋体" w:eastAsia="宋体" w:hint="default"/>
          <w:w w:val="100"/>
          <w:sz w:val="22"/>
          <w:szCs w:val="22"/>
        </w:rPr>
        <w:t> </w:t>
      </w:r>
      <w:r>
        <w:rPr>
          <w:rFonts w:ascii="宋体" w:hAnsi="宋体" w:cs="宋体" w:eastAsia="宋体" w:hint="default"/>
          <w:sz w:val="22"/>
          <w:szCs w:val="22"/>
        </w:rPr>
        <w:t>外经营实体，主要经营地分别在美国及香港，记账本位币均为美元。</w:t>
      </w:r>
    </w:p>
    <w:p>
      <w:pPr>
        <w:spacing w:after="0" w:line="280" w:lineRule="auto"/>
        <w:jc w:val="left"/>
        <w:rPr>
          <w:rFonts w:ascii="宋体" w:hAnsi="宋体" w:cs="宋体" w:eastAsia="宋体" w:hint="default"/>
          <w:sz w:val="22"/>
          <w:szCs w:val="22"/>
        </w:rPr>
        <w:sectPr>
          <w:headerReference w:type="default" r:id="rId84"/>
          <w:footerReference w:type="default" r:id="rId85"/>
          <w:pgSz w:w="11910" w:h="16840"/>
          <w:pgMar w:header="0" w:footer="816" w:top="560" w:bottom="1000" w:left="1460" w:right="1480"/>
          <w:pgNumType w:start="137"/>
        </w:sectPr>
      </w:pPr>
    </w:p>
    <w:p>
      <w:pPr>
        <w:spacing w:line="240" w:lineRule="auto" w:before="1"/>
        <w:rPr>
          <w:rFonts w:ascii="宋体" w:hAnsi="宋体" w:cs="宋体" w:eastAsia="宋体" w:hint="default"/>
          <w:sz w:val="22"/>
          <w:szCs w:val="22"/>
        </w:rPr>
      </w:pPr>
    </w:p>
    <w:p>
      <w:pPr>
        <w:tabs>
          <w:tab w:pos="1334" w:val="left" w:leader="none"/>
        </w:tabs>
        <w:spacing w:before="32"/>
        <w:ind w:left="660" w:right="0" w:firstLine="0"/>
        <w:jc w:val="left"/>
        <w:rPr>
          <w:rFonts w:ascii="宋体" w:hAnsi="宋体" w:cs="宋体" w:eastAsia="宋体" w:hint="default"/>
          <w:sz w:val="22"/>
          <w:szCs w:val="22"/>
        </w:rPr>
      </w:pPr>
      <w:r>
        <w:rPr>
          <w:rFonts w:ascii="Times New Roman" w:hAnsi="Times New Roman" w:cs="Times New Roman" w:eastAsia="Times New Roman" w:hint="default"/>
          <w:b/>
          <w:bCs/>
          <w:spacing w:val="12"/>
          <w:sz w:val="22"/>
          <w:szCs w:val="22"/>
        </w:rPr>
        <w:t>33.</w:t>
        <w:tab/>
      </w:r>
      <w:r>
        <w:rPr>
          <w:rFonts w:ascii="宋体" w:hAnsi="宋体" w:cs="宋体" w:eastAsia="宋体" w:hint="default"/>
          <w:b/>
          <w:bCs/>
          <w:sz w:val="22"/>
          <w:szCs w:val="22"/>
        </w:rPr>
        <w:t>合</w:t>
      </w:r>
      <w:r>
        <w:rPr>
          <w:rFonts w:ascii="宋体" w:hAnsi="宋体" w:cs="宋体" w:eastAsia="宋体" w:hint="default"/>
          <w:b/>
          <w:bCs/>
          <w:spacing w:val="-72"/>
          <w:sz w:val="22"/>
          <w:szCs w:val="22"/>
        </w:rPr>
        <w:t> </w:t>
      </w:r>
      <w:r>
        <w:rPr>
          <w:rFonts w:ascii="宋体" w:hAnsi="宋体" w:cs="宋体" w:eastAsia="宋体" w:hint="default"/>
          <w:b/>
          <w:bCs/>
          <w:sz w:val="22"/>
          <w:szCs w:val="22"/>
        </w:rPr>
        <w:t>并</w:t>
      </w:r>
      <w:r>
        <w:rPr>
          <w:rFonts w:ascii="宋体" w:hAnsi="宋体" w:cs="宋体" w:eastAsia="宋体" w:hint="default"/>
          <w:b/>
          <w:bCs/>
          <w:spacing w:val="-72"/>
          <w:sz w:val="22"/>
          <w:szCs w:val="22"/>
        </w:rPr>
        <w:t> </w:t>
      </w:r>
      <w:r>
        <w:rPr>
          <w:rFonts w:ascii="宋体" w:hAnsi="宋体" w:cs="宋体" w:eastAsia="宋体" w:hint="default"/>
          <w:b/>
          <w:bCs/>
          <w:sz w:val="22"/>
          <w:szCs w:val="22"/>
        </w:rPr>
        <w:t>范</w:t>
      </w:r>
      <w:r>
        <w:rPr>
          <w:rFonts w:ascii="宋体" w:hAnsi="宋体" w:cs="宋体" w:eastAsia="宋体" w:hint="default"/>
          <w:b/>
          <w:bCs/>
          <w:spacing w:val="-72"/>
          <w:sz w:val="22"/>
          <w:szCs w:val="22"/>
        </w:rPr>
        <w:t> </w:t>
      </w:r>
      <w:r>
        <w:rPr>
          <w:rFonts w:ascii="宋体" w:hAnsi="宋体" w:cs="宋体" w:eastAsia="宋体" w:hint="default"/>
          <w:b/>
          <w:bCs/>
          <w:sz w:val="22"/>
          <w:szCs w:val="22"/>
        </w:rPr>
        <w:t>围</w:t>
      </w:r>
      <w:r>
        <w:rPr>
          <w:rFonts w:ascii="宋体" w:hAnsi="宋体" w:cs="宋体" w:eastAsia="宋体" w:hint="default"/>
          <w:b/>
          <w:bCs/>
          <w:spacing w:val="-74"/>
          <w:sz w:val="22"/>
          <w:szCs w:val="22"/>
        </w:rPr>
        <w:t> </w:t>
      </w:r>
      <w:r>
        <w:rPr>
          <w:rFonts w:ascii="宋体" w:hAnsi="宋体" w:cs="宋体" w:eastAsia="宋体" w:hint="default"/>
          <w:b/>
          <w:bCs/>
          <w:sz w:val="22"/>
          <w:szCs w:val="22"/>
        </w:rPr>
        <w:t>的</w:t>
      </w:r>
      <w:r>
        <w:rPr>
          <w:rFonts w:ascii="宋体" w:hAnsi="宋体" w:cs="宋体" w:eastAsia="宋体" w:hint="default"/>
          <w:b/>
          <w:bCs/>
          <w:spacing w:val="-72"/>
          <w:sz w:val="22"/>
          <w:szCs w:val="22"/>
        </w:rPr>
        <w:t> </w:t>
      </w:r>
      <w:r>
        <w:rPr>
          <w:rFonts w:ascii="宋体" w:hAnsi="宋体" w:cs="宋体" w:eastAsia="宋体" w:hint="default"/>
          <w:b/>
          <w:bCs/>
          <w:sz w:val="22"/>
          <w:szCs w:val="22"/>
        </w:rPr>
        <w:t>变</w:t>
      </w:r>
      <w:r>
        <w:rPr>
          <w:rFonts w:ascii="宋体" w:hAnsi="宋体" w:cs="宋体" w:eastAsia="宋体" w:hint="default"/>
          <w:b/>
          <w:bCs/>
          <w:spacing w:val="-72"/>
          <w:sz w:val="22"/>
          <w:szCs w:val="22"/>
        </w:rPr>
        <w:t> </w:t>
      </w:r>
      <w:r>
        <w:rPr>
          <w:rFonts w:ascii="宋体" w:hAnsi="宋体" w:cs="宋体" w:eastAsia="宋体" w:hint="default"/>
          <w:b/>
          <w:bCs/>
          <w:sz w:val="22"/>
          <w:szCs w:val="22"/>
        </w:rPr>
        <w:t>化</w:t>
      </w:r>
      <w:r>
        <w:rPr>
          <w:rFonts w:ascii="宋体" w:hAnsi="宋体" w:cs="宋体" w:eastAsia="宋体" w:hint="default"/>
          <w:sz w:val="22"/>
          <w:szCs w:val="22"/>
        </w:rPr>
      </w:r>
    </w:p>
    <w:p>
      <w:pPr>
        <w:spacing w:before="113"/>
        <w:ind w:left="65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16"/>
          <w:sz w:val="22"/>
          <w:szCs w:val="22"/>
        </w:rPr>
        <w:t> </w:t>
      </w:r>
      <w:r>
        <w:rPr>
          <w:rFonts w:ascii="宋体" w:hAnsi="宋体" w:cs="宋体" w:eastAsia="宋体" w:hint="default"/>
          <w:sz w:val="22"/>
          <w:szCs w:val="22"/>
        </w:rPr>
        <w:t>处置子公司</w:t>
      </w:r>
    </w:p>
    <w:p>
      <w:pPr>
        <w:spacing w:line="240" w:lineRule="auto" w:before="8"/>
        <w:rPr>
          <w:rFonts w:ascii="宋体" w:hAnsi="宋体" w:cs="宋体" w:eastAsia="宋体" w:hint="default"/>
          <w:sz w:val="11"/>
          <w:szCs w:val="11"/>
        </w:rPr>
      </w:pPr>
    </w:p>
    <w:tbl>
      <w:tblPr>
        <w:tblW w:w="0" w:type="auto"/>
        <w:jc w:val="left"/>
        <w:tblInd w:w="144" w:type="dxa"/>
        <w:tblLayout w:type="fixed"/>
        <w:tblCellMar>
          <w:top w:w="0" w:type="dxa"/>
          <w:left w:w="0" w:type="dxa"/>
          <w:bottom w:w="0" w:type="dxa"/>
          <w:right w:w="0" w:type="dxa"/>
        </w:tblCellMar>
        <w:tblLook w:val="01E0"/>
      </w:tblPr>
      <w:tblGrid>
        <w:gridCol w:w="1352"/>
        <w:gridCol w:w="1269"/>
        <w:gridCol w:w="695"/>
        <w:gridCol w:w="713"/>
        <w:gridCol w:w="975"/>
        <w:gridCol w:w="1878"/>
        <w:gridCol w:w="1800"/>
      </w:tblGrid>
      <w:tr>
        <w:trPr>
          <w:trHeight w:val="953" w:hRule="exact"/>
        </w:trPr>
        <w:tc>
          <w:tcPr>
            <w:tcW w:w="1352" w:type="dxa"/>
            <w:tcBorders>
              <w:top w:val="single" w:sz="12"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57"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1269" w:type="dxa"/>
            <w:tcBorders>
              <w:top w:val="single" w:sz="12"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30"/>
              <w:jc w:val="center"/>
              <w:rPr>
                <w:rFonts w:ascii="宋体" w:hAnsi="宋体" w:cs="宋体" w:eastAsia="宋体" w:hint="default"/>
                <w:sz w:val="18"/>
                <w:szCs w:val="18"/>
              </w:rPr>
            </w:pPr>
            <w:r>
              <w:rPr>
                <w:rFonts w:ascii="宋体" w:hAnsi="宋体" w:cs="宋体" w:eastAsia="宋体" w:hint="default"/>
                <w:b/>
                <w:bCs/>
                <w:sz w:val="18"/>
                <w:szCs w:val="18"/>
              </w:rPr>
              <w:t>股权处置价款</w:t>
            </w:r>
            <w:r>
              <w:rPr>
                <w:rFonts w:ascii="宋体" w:hAnsi="宋体" w:cs="宋体" w:eastAsia="宋体" w:hint="default"/>
                <w:sz w:val="18"/>
                <w:szCs w:val="18"/>
              </w:rPr>
            </w:r>
          </w:p>
        </w:tc>
        <w:tc>
          <w:tcPr>
            <w:tcW w:w="695" w:type="dxa"/>
            <w:tcBorders>
              <w:top w:val="single" w:sz="12"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69" w:right="80"/>
              <w:jc w:val="left"/>
              <w:rPr>
                <w:rFonts w:ascii="宋体" w:hAnsi="宋体" w:cs="宋体" w:eastAsia="宋体" w:hint="default"/>
                <w:sz w:val="18"/>
                <w:szCs w:val="18"/>
              </w:rPr>
            </w:pPr>
            <w:r>
              <w:rPr>
                <w:rFonts w:ascii="宋体" w:hAnsi="宋体" w:cs="宋体" w:eastAsia="宋体" w:hint="default"/>
                <w:b/>
                <w:bCs/>
                <w:sz w:val="18"/>
                <w:szCs w:val="18"/>
              </w:rPr>
              <w:t>股权处</w:t>
            </w:r>
            <w:r>
              <w:rPr>
                <w:rFonts w:ascii="宋体" w:hAnsi="宋体" w:cs="宋体" w:eastAsia="宋体" w:hint="default"/>
                <w:b/>
                <w:bCs/>
                <w:w w:val="99"/>
                <w:sz w:val="18"/>
                <w:szCs w:val="18"/>
              </w:rPr>
              <w:t> </w:t>
            </w:r>
            <w:r>
              <w:rPr>
                <w:rFonts w:ascii="宋体" w:hAnsi="宋体" w:cs="宋体" w:eastAsia="宋体" w:hint="default"/>
                <w:b/>
                <w:bCs/>
                <w:sz w:val="18"/>
                <w:szCs w:val="18"/>
              </w:rPr>
              <w:t>置比例</w:t>
            </w:r>
            <w:r>
              <w:rPr>
                <w:rFonts w:ascii="宋体" w:hAnsi="宋体" w:cs="宋体" w:eastAsia="宋体" w:hint="default"/>
                <w:sz w:val="18"/>
                <w:szCs w:val="18"/>
              </w:rPr>
            </w:r>
          </w:p>
        </w:tc>
        <w:tc>
          <w:tcPr>
            <w:tcW w:w="713" w:type="dxa"/>
            <w:tcBorders>
              <w:top w:val="single" w:sz="12"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82" w:right="85"/>
              <w:jc w:val="left"/>
              <w:rPr>
                <w:rFonts w:ascii="宋体" w:hAnsi="宋体" w:cs="宋体" w:eastAsia="宋体" w:hint="default"/>
                <w:sz w:val="18"/>
                <w:szCs w:val="18"/>
              </w:rPr>
            </w:pPr>
            <w:r>
              <w:rPr>
                <w:rFonts w:ascii="宋体" w:hAnsi="宋体" w:cs="宋体" w:eastAsia="宋体" w:hint="default"/>
                <w:b/>
                <w:bCs/>
                <w:sz w:val="18"/>
                <w:szCs w:val="18"/>
              </w:rPr>
              <w:t>股权处</w:t>
            </w:r>
            <w:r>
              <w:rPr>
                <w:rFonts w:ascii="宋体" w:hAnsi="宋体" w:cs="宋体" w:eastAsia="宋体" w:hint="default"/>
                <w:b/>
                <w:bCs/>
                <w:w w:val="99"/>
                <w:sz w:val="18"/>
                <w:szCs w:val="18"/>
              </w:rPr>
              <w:t> </w:t>
            </w:r>
            <w:r>
              <w:rPr>
                <w:rFonts w:ascii="宋体" w:hAnsi="宋体" w:cs="宋体" w:eastAsia="宋体" w:hint="default"/>
                <w:b/>
                <w:bCs/>
                <w:sz w:val="18"/>
                <w:szCs w:val="18"/>
              </w:rPr>
              <w:t>置方式</w:t>
            </w:r>
            <w:r>
              <w:rPr>
                <w:rFonts w:ascii="宋体" w:hAnsi="宋体" w:cs="宋体" w:eastAsia="宋体" w:hint="default"/>
                <w:sz w:val="18"/>
                <w:szCs w:val="18"/>
              </w:rPr>
            </w:r>
          </w:p>
        </w:tc>
        <w:tc>
          <w:tcPr>
            <w:tcW w:w="975" w:type="dxa"/>
            <w:tcBorders>
              <w:top w:val="single" w:sz="12"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30" w:right="119"/>
              <w:jc w:val="left"/>
              <w:rPr>
                <w:rFonts w:ascii="宋体" w:hAnsi="宋体" w:cs="宋体" w:eastAsia="宋体" w:hint="default"/>
                <w:sz w:val="18"/>
                <w:szCs w:val="18"/>
              </w:rPr>
            </w:pPr>
            <w:r>
              <w:rPr>
                <w:rFonts w:ascii="宋体" w:hAnsi="宋体" w:cs="宋体" w:eastAsia="宋体" w:hint="default"/>
                <w:b/>
                <w:bCs/>
                <w:sz w:val="18"/>
                <w:szCs w:val="18"/>
              </w:rPr>
              <w:t>丧失控制</w:t>
            </w:r>
            <w:r>
              <w:rPr>
                <w:rFonts w:ascii="宋体" w:hAnsi="宋体" w:cs="宋体" w:eastAsia="宋体" w:hint="default"/>
                <w:b/>
                <w:bCs/>
                <w:w w:val="99"/>
                <w:sz w:val="18"/>
                <w:szCs w:val="18"/>
              </w:rPr>
              <w:t> </w:t>
            </w:r>
            <w:r>
              <w:rPr>
                <w:rFonts w:ascii="宋体" w:hAnsi="宋体" w:cs="宋体" w:eastAsia="宋体" w:hint="default"/>
                <w:b/>
                <w:bCs/>
                <w:sz w:val="18"/>
                <w:szCs w:val="18"/>
              </w:rPr>
              <w:t>权的时点</w:t>
            </w:r>
            <w:r>
              <w:rPr>
                <w:rFonts w:ascii="宋体" w:hAnsi="宋体" w:cs="宋体" w:eastAsia="宋体" w:hint="default"/>
                <w:sz w:val="18"/>
                <w:szCs w:val="18"/>
              </w:rPr>
            </w:r>
          </w:p>
        </w:tc>
        <w:tc>
          <w:tcPr>
            <w:tcW w:w="1878" w:type="dxa"/>
            <w:tcBorders>
              <w:top w:val="single" w:sz="12"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574" w:right="217" w:hanging="360"/>
              <w:jc w:val="left"/>
              <w:rPr>
                <w:rFonts w:ascii="宋体" w:hAnsi="宋体" w:cs="宋体" w:eastAsia="宋体" w:hint="default"/>
                <w:sz w:val="18"/>
                <w:szCs w:val="18"/>
              </w:rPr>
            </w:pPr>
            <w:r>
              <w:rPr>
                <w:rFonts w:ascii="宋体" w:hAnsi="宋体" w:cs="宋体" w:eastAsia="宋体" w:hint="default"/>
                <w:b/>
                <w:bCs/>
                <w:sz w:val="18"/>
                <w:szCs w:val="18"/>
              </w:rPr>
              <w:t>丧失控制权时点的</w:t>
            </w:r>
            <w:r>
              <w:rPr>
                <w:rFonts w:ascii="宋体" w:hAnsi="宋体" w:cs="宋体" w:eastAsia="宋体" w:hint="default"/>
                <w:b/>
                <w:bCs/>
                <w:w w:val="99"/>
                <w:sz w:val="18"/>
                <w:szCs w:val="18"/>
              </w:rPr>
              <w:t> </w:t>
            </w:r>
            <w:r>
              <w:rPr>
                <w:rFonts w:ascii="宋体" w:hAnsi="宋体" w:cs="宋体" w:eastAsia="宋体" w:hint="default"/>
                <w:b/>
                <w:bCs/>
                <w:sz w:val="18"/>
                <w:szCs w:val="18"/>
              </w:rPr>
              <w:t>确定依据</w:t>
            </w:r>
            <w:r>
              <w:rPr>
                <w:rFonts w:ascii="宋体" w:hAnsi="宋体" w:cs="宋体" w:eastAsia="宋体" w:hint="default"/>
                <w:sz w:val="18"/>
                <w:szCs w:val="18"/>
              </w:rPr>
            </w:r>
          </w:p>
        </w:tc>
        <w:tc>
          <w:tcPr>
            <w:tcW w:w="1800" w:type="dxa"/>
            <w:tcBorders>
              <w:top w:val="single" w:sz="12" w:space="0" w:color="000000"/>
              <w:left w:val="nil" w:sz="6" w:space="0" w:color="auto"/>
              <w:bottom w:val="single" w:sz="4" w:space="0" w:color="000000"/>
              <w:right w:val="nil" w:sz="6" w:space="0" w:color="auto"/>
            </w:tcBorders>
          </w:tcPr>
          <w:p>
            <w:pPr>
              <w:pStyle w:val="TableParagraph"/>
              <w:spacing w:line="204" w:lineRule="exact"/>
              <w:ind w:right="17"/>
              <w:jc w:val="center"/>
              <w:rPr>
                <w:rFonts w:ascii="宋体" w:hAnsi="宋体" w:cs="宋体" w:eastAsia="宋体" w:hint="default"/>
                <w:sz w:val="18"/>
                <w:szCs w:val="18"/>
              </w:rPr>
            </w:pPr>
            <w:r>
              <w:rPr>
                <w:rFonts w:ascii="宋体" w:hAnsi="宋体" w:cs="宋体" w:eastAsia="宋体" w:hint="default"/>
                <w:b/>
                <w:bCs/>
                <w:sz w:val="18"/>
                <w:szCs w:val="18"/>
              </w:rPr>
              <w:t>处置价款与处置投资</w:t>
            </w:r>
            <w:r>
              <w:rPr>
                <w:rFonts w:ascii="宋体" w:hAnsi="宋体" w:cs="宋体" w:eastAsia="宋体" w:hint="default"/>
                <w:sz w:val="18"/>
                <w:szCs w:val="18"/>
              </w:rPr>
            </w:r>
          </w:p>
          <w:p>
            <w:pPr>
              <w:pStyle w:val="TableParagraph"/>
              <w:spacing w:line="237" w:lineRule="auto"/>
              <w:ind w:left="77" w:right="94"/>
              <w:jc w:val="center"/>
              <w:rPr>
                <w:rFonts w:ascii="宋体" w:hAnsi="宋体" w:cs="宋体" w:eastAsia="宋体" w:hint="default"/>
                <w:sz w:val="18"/>
                <w:szCs w:val="18"/>
              </w:rPr>
            </w:pPr>
            <w:r>
              <w:rPr>
                <w:rFonts w:ascii="宋体" w:hAnsi="宋体" w:cs="宋体" w:eastAsia="宋体" w:hint="default"/>
                <w:b/>
                <w:bCs/>
                <w:sz w:val="18"/>
                <w:szCs w:val="18"/>
              </w:rPr>
              <w:t>对应的合并财务报表</w:t>
            </w:r>
            <w:r>
              <w:rPr>
                <w:rFonts w:ascii="宋体" w:hAnsi="宋体" w:cs="宋体" w:eastAsia="宋体" w:hint="default"/>
                <w:b/>
                <w:bCs/>
                <w:w w:val="99"/>
                <w:sz w:val="18"/>
                <w:szCs w:val="18"/>
              </w:rPr>
              <w:t> </w:t>
            </w:r>
            <w:r>
              <w:rPr>
                <w:rFonts w:ascii="宋体" w:hAnsi="宋体" w:cs="宋体" w:eastAsia="宋体" w:hint="default"/>
                <w:b/>
                <w:bCs/>
                <w:sz w:val="18"/>
                <w:szCs w:val="18"/>
              </w:rPr>
              <w:t>层面享有该子公司净</w:t>
            </w:r>
            <w:r>
              <w:rPr>
                <w:rFonts w:ascii="宋体" w:hAnsi="宋体" w:cs="宋体" w:eastAsia="宋体" w:hint="default"/>
                <w:b/>
                <w:bCs/>
                <w:w w:val="99"/>
                <w:sz w:val="18"/>
                <w:szCs w:val="18"/>
              </w:rPr>
              <w:t> </w:t>
            </w:r>
            <w:r>
              <w:rPr>
                <w:rFonts w:ascii="宋体" w:hAnsi="宋体" w:cs="宋体" w:eastAsia="宋体" w:hint="default"/>
                <w:b/>
                <w:bCs/>
                <w:sz w:val="18"/>
                <w:szCs w:val="18"/>
              </w:rPr>
              <w:t>资产份额的差额</w:t>
            </w:r>
            <w:r>
              <w:rPr>
                <w:rFonts w:ascii="宋体" w:hAnsi="宋体" w:cs="宋体" w:eastAsia="宋体" w:hint="default"/>
                <w:sz w:val="18"/>
                <w:szCs w:val="18"/>
              </w:rPr>
            </w:r>
          </w:p>
        </w:tc>
      </w:tr>
      <w:tr>
        <w:trPr>
          <w:trHeight w:val="955" w:hRule="exact"/>
        </w:trPr>
        <w:tc>
          <w:tcPr>
            <w:tcW w:w="1352"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32" w:lineRule="exact"/>
              <w:ind w:left="57" w:right="71"/>
              <w:jc w:val="left"/>
              <w:rPr>
                <w:rFonts w:ascii="宋体" w:hAnsi="宋体" w:cs="宋体" w:eastAsia="宋体" w:hint="default"/>
                <w:sz w:val="18"/>
                <w:szCs w:val="18"/>
              </w:rPr>
            </w:pPr>
            <w:r>
              <w:rPr>
                <w:rFonts w:ascii="宋体" w:hAnsi="宋体" w:cs="宋体" w:eastAsia="宋体" w:hint="default"/>
                <w:sz w:val="18"/>
                <w:szCs w:val="18"/>
              </w:rPr>
              <w:t>同</w:t>
            </w:r>
            <w:r>
              <w:rPr>
                <w:rFonts w:ascii="宋体" w:hAnsi="宋体" w:cs="宋体" w:eastAsia="宋体" w:hint="default"/>
                <w:spacing w:val="-62"/>
                <w:sz w:val="18"/>
                <w:szCs w:val="18"/>
              </w:rPr>
              <w:t> </w:t>
            </w:r>
            <w:r>
              <w:rPr>
                <w:rFonts w:ascii="宋体" w:hAnsi="宋体" w:cs="宋体" w:eastAsia="宋体" w:hint="default"/>
                <w:sz w:val="18"/>
                <w:szCs w:val="18"/>
              </w:rPr>
              <w:t>方</w:t>
            </w:r>
            <w:r>
              <w:rPr>
                <w:rFonts w:ascii="宋体" w:hAnsi="宋体" w:cs="宋体" w:eastAsia="宋体" w:hint="default"/>
                <w:spacing w:val="-62"/>
                <w:sz w:val="18"/>
                <w:szCs w:val="18"/>
              </w:rPr>
              <w:t> </w:t>
            </w:r>
            <w:r>
              <w:rPr>
                <w:rFonts w:ascii="宋体" w:hAnsi="宋体" w:cs="宋体" w:eastAsia="宋体" w:hint="default"/>
                <w:sz w:val="18"/>
                <w:szCs w:val="18"/>
              </w:rPr>
              <w:t>鼎</w:t>
            </w:r>
            <w:r>
              <w:rPr>
                <w:rFonts w:ascii="宋体" w:hAnsi="宋体" w:cs="宋体" w:eastAsia="宋体" w:hint="default"/>
                <w:spacing w:val="-62"/>
                <w:sz w:val="18"/>
                <w:szCs w:val="18"/>
              </w:rPr>
              <w:t> </w:t>
            </w:r>
            <w:r>
              <w:rPr>
                <w:rFonts w:ascii="宋体" w:hAnsi="宋体" w:cs="宋体" w:eastAsia="宋体" w:hint="default"/>
                <w:sz w:val="18"/>
                <w:szCs w:val="18"/>
              </w:rPr>
              <w:t>欣</w:t>
            </w:r>
            <w:r>
              <w:rPr>
                <w:rFonts w:ascii="宋体" w:hAnsi="宋体" w:cs="宋体" w:eastAsia="宋体" w:hint="default"/>
                <w:spacing w:val="-64"/>
                <w:sz w:val="18"/>
                <w:szCs w:val="18"/>
              </w:rPr>
              <w:t> </w:t>
            </w:r>
            <w:r>
              <w:rPr>
                <w:rFonts w:ascii="宋体" w:hAnsi="宋体" w:cs="宋体" w:eastAsia="宋体" w:hint="default"/>
                <w:sz w:val="18"/>
                <w:szCs w:val="18"/>
              </w:rPr>
              <w:t>科</w:t>
            </w:r>
            <w:r>
              <w:rPr>
                <w:rFonts w:ascii="宋体" w:hAnsi="宋体" w:cs="宋体" w:eastAsia="宋体" w:hint="default"/>
                <w:spacing w:val="-62"/>
                <w:sz w:val="18"/>
                <w:szCs w:val="18"/>
              </w:rPr>
              <w:t> </w:t>
            </w:r>
            <w:r>
              <w:rPr>
                <w:rFonts w:ascii="宋体" w:hAnsi="宋体" w:cs="宋体" w:eastAsia="宋体" w:hint="default"/>
                <w:sz w:val="18"/>
                <w:szCs w:val="18"/>
              </w:rPr>
              <w:t>技</w:t>
            </w:r>
            <w:r>
              <w:rPr>
                <w:rFonts w:ascii="宋体" w:hAnsi="宋体" w:cs="宋体" w:eastAsia="宋体" w:hint="default"/>
                <w:sz w:val="18"/>
                <w:szCs w:val="18"/>
              </w:rPr>
              <w:t> 股份有限公司</w:t>
            </w:r>
          </w:p>
        </w:tc>
        <w:tc>
          <w:tcPr>
            <w:tcW w:w="1269"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3" w:right="0"/>
              <w:jc w:val="center"/>
              <w:rPr>
                <w:rFonts w:ascii="Times New Roman" w:hAnsi="Times New Roman" w:cs="Times New Roman" w:eastAsia="Times New Roman" w:hint="default"/>
                <w:sz w:val="18"/>
                <w:szCs w:val="18"/>
              </w:rPr>
            </w:pPr>
            <w:r>
              <w:rPr>
                <w:rFonts w:ascii="Times New Roman"/>
                <w:sz w:val="18"/>
              </w:rPr>
              <w:t>143,105,300.00</w:t>
            </w:r>
          </w:p>
        </w:tc>
        <w:tc>
          <w:tcPr>
            <w:tcW w:w="695"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75" w:right="0"/>
              <w:jc w:val="left"/>
              <w:rPr>
                <w:rFonts w:ascii="Times New Roman" w:hAnsi="Times New Roman" w:cs="Times New Roman" w:eastAsia="Times New Roman" w:hint="default"/>
                <w:sz w:val="18"/>
                <w:szCs w:val="18"/>
              </w:rPr>
            </w:pPr>
            <w:r>
              <w:rPr>
                <w:rFonts w:ascii="Times New Roman"/>
                <w:sz w:val="18"/>
              </w:rPr>
              <w:t>60%</w:t>
            </w:r>
          </w:p>
        </w:tc>
        <w:tc>
          <w:tcPr>
            <w:tcW w:w="713" w:type="dxa"/>
            <w:tcBorders>
              <w:top w:val="single" w:sz="4" w:space="0" w:color="000000"/>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74" w:right="0"/>
              <w:jc w:val="left"/>
              <w:rPr>
                <w:rFonts w:ascii="宋体" w:hAnsi="宋体" w:cs="宋体" w:eastAsia="宋体" w:hint="default"/>
                <w:sz w:val="18"/>
                <w:szCs w:val="18"/>
              </w:rPr>
            </w:pPr>
            <w:r>
              <w:rPr>
                <w:rFonts w:ascii="宋体" w:hAnsi="宋体" w:cs="宋体" w:eastAsia="宋体" w:hint="default"/>
                <w:sz w:val="18"/>
                <w:szCs w:val="18"/>
              </w:rPr>
              <w:t>出售</w:t>
            </w:r>
          </w:p>
        </w:tc>
        <w:tc>
          <w:tcPr>
            <w:tcW w:w="975" w:type="dxa"/>
            <w:tcBorders>
              <w:top w:val="single" w:sz="4" w:space="0" w:color="000000"/>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1" w:lineRule="exact"/>
              <w:ind w:left="1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11</w:t>
            </w:r>
          </w:p>
          <w:p>
            <w:pPr>
              <w:pStyle w:val="TableParagraph"/>
              <w:spacing w:line="241" w:lineRule="exact"/>
              <w:ind w:left="12" w:right="0"/>
              <w:jc w:val="center"/>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878" w:type="dxa"/>
            <w:tcBorders>
              <w:top w:val="single" w:sz="4" w:space="0" w:color="000000"/>
              <w:left w:val="nil" w:sz="6" w:space="0" w:color="auto"/>
              <w:bottom w:val="single" w:sz="12" w:space="0" w:color="000000"/>
              <w:right w:val="nil" w:sz="6" w:space="0" w:color="auto"/>
            </w:tcBorders>
          </w:tcPr>
          <w:p>
            <w:pPr>
              <w:pStyle w:val="TableParagraph"/>
              <w:spacing w:line="205" w:lineRule="exact"/>
              <w:ind w:left="73" w:right="0"/>
              <w:jc w:val="both"/>
              <w:rPr>
                <w:rFonts w:ascii="宋体" w:hAnsi="宋体" w:cs="宋体" w:eastAsia="宋体" w:hint="default"/>
                <w:sz w:val="18"/>
                <w:szCs w:val="18"/>
              </w:rPr>
            </w:pPr>
            <w:r>
              <w:rPr>
                <w:rFonts w:ascii="宋体" w:hAnsi="宋体" w:cs="宋体" w:eastAsia="宋体" w:hint="default"/>
                <w:sz w:val="18"/>
                <w:szCs w:val="18"/>
              </w:rPr>
              <w:t>交易双方已履行完毕</w:t>
            </w:r>
          </w:p>
          <w:p>
            <w:pPr>
              <w:pStyle w:val="TableParagraph"/>
              <w:spacing w:line="232" w:lineRule="exact" w:before="24"/>
              <w:ind w:left="73" w:right="75"/>
              <w:jc w:val="both"/>
              <w:rPr>
                <w:rFonts w:ascii="宋体" w:hAnsi="宋体" w:cs="宋体" w:eastAsia="宋体" w:hint="default"/>
                <w:sz w:val="18"/>
                <w:szCs w:val="18"/>
              </w:rPr>
            </w:pPr>
            <w:r>
              <w:rPr>
                <w:rFonts w:ascii="宋体" w:hAnsi="宋体" w:cs="宋体" w:eastAsia="宋体" w:hint="default"/>
                <w:spacing w:val="-8"/>
                <w:sz w:val="18"/>
                <w:szCs w:val="18"/>
              </w:rPr>
              <w:t>批准手续，股权转让协</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8"/>
                <w:sz w:val="18"/>
                <w:szCs w:val="18"/>
              </w:rPr>
              <w:t>议已签署生效，交易对</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价已收取</w:t>
            </w:r>
          </w:p>
        </w:tc>
        <w:tc>
          <w:tcPr>
            <w:tcW w:w="1800"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708" w:right="0"/>
              <w:jc w:val="left"/>
              <w:rPr>
                <w:rFonts w:ascii="Times New Roman" w:hAnsi="Times New Roman" w:cs="Times New Roman" w:eastAsia="Times New Roman" w:hint="default"/>
                <w:sz w:val="18"/>
                <w:szCs w:val="18"/>
              </w:rPr>
            </w:pPr>
            <w:r>
              <w:rPr>
                <w:rFonts w:ascii="Times New Roman"/>
                <w:sz w:val="18"/>
              </w:rPr>
              <w:t>79,763,677.09</w:t>
            </w:r>
          </w:p>
        </w:tc>
      </w:tr>
    </w:tbl>
    <w:p>
      <w:pPr>
        <w:spacing w:line="288" w:lineRule="auto" w:before="21"/>
        <w:ind w:left="1109" w:right="255" w:hanging="454"/>
        <w:jc w:val="both"/>
        <w:rPr>
          <w:rFonts w:ascii="宋体" w:hAnsi="宋体" w:cs="宋体" w:eastAsia="宋体" w:hint="default"/>
          <w:sz w:val="22"/>
          <w:szCs w:val="22"/>
        </w:rPr>
      </w:pPr>
      <w:r>
        <w:rPr>
          <w:rFonts w:ascii="Times New Roman" w:hAnsi="Times New Roman" w:cs="Times New Roman" w:eastAsia="Times New Roman" w:hint="default"/>
          <w:b/>
          <w:bCs/>
          <w:sz w:val="22"/>
          <w:szCs w:val="22"/>
        </w:rPr>
        <w:t>2.</w:t>
      </w:r>
      <w:r>
        <w:rPr>
          <w:rFonts w:ascii="Times New Roman" w:hAnsi="Times New Roman" w:cs="Times New Roman" w:eastAsia="Times New Roman" w:hint="default"/>
          <w:b/>
          <w:bCs/>
          <w:spacing w:val="22"/>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年</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9</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月</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1</w:t>
      </w:r>
      <w:r>
        <w:rPr>
          <w:rFonts w:ascii="Times New Roman" w:hAnsi="Times New Roman" w:cs="Times New Roman" w:eastAsia="Times New Roman" w:hint="default"/>
          <w:spacing w:val="2"/>
          <w:sz w:val="22"/>
          <w:szCs w:val="22"/>
        </w:rPr>
        <w:t> </w:t>
      </w:r>
      <w:r>
        <w:rPr>
          <w:rFonts w:ascii="宋体" w:hAnsi="宋体" w:cs="宋体" w:eastAsia="宋体" w:hint="default"/>
          <w:spacing w:val="-5"/>
          <w:sz w:val="22"/>
          <w:szCs w:val="22"/>
        </w:rPr>
        <w:t>日，本公司将所持同方炭素科技有限公司</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94%</w:t>
      </w:r>
      <w:r>
        <w:rPr>
          <w:rFonts w:ascii="宋体" w:hAnsi="宋体" w:cs="宋体" w:eastAsia="宋体" w:hint="default"/>
          <w:sz w:val="22"/>
          <w:szCs w:val="22"/>
        </w:rPr>
        <w:t>股权全部转让给全资</w:t>
      </w:r>
      <w:r>
        <w:rPr>
          <w:rFonts w:ascii="宋体" w:hAnsi="宋体" w:cs="宋体" w:eastAsia="宋体" w:hint="default"/>
          <w:w w:val="100"/>
          <w:sz w:val="22"/>
          <w:szCs w:val="22"/>
        </w:rPr>
        <w:t> </w:t>
      </w:r>
      <w:r>
        <w:rPr>
          <w:rFonts w:ascii="宋体" w:hAnsi="宋体" w:cs="宋体" w:eastAsia="宋体" w:hint="default"/>
          <w:spacing w:val="-4"/>
          <w:w w:val="100"/>
          <w:sz w:val="22"/>
          <w:szCs w:val="22"/>
        </w:rPr>
        <w:t>子公司同方计算机有限公司。同方计算机有限公司已于取得同方炭素科技有限公</w:t>
      </w:r>
      <w:r>
        <w:rPr>
          <w:rFonts w:ascii="宋体" w:hAnsi="宋体" w:cs="宋体" w:eastAsia="宋体" w:hint="default"/>
          <w:w w:val="100"/>
          <w:sz w:val="22"/>
          <w:szCs w:val="22"/>
        </w:rPr>
        <w:t> </w:t>
      </w:r>
      <w:r>
        <w:rPr>
          <w:rFonts w:ascii="宋体" w:hAnsi="宋体" w:cs="宋体" w:eastAsia="宋体" w:hint="default"/>
          <w:sz w:val="22"/>
          <w:szCs w:val="22"/>
        </w:rPr>
        <w:t>司股权后吸收合并其全部资产和负债，并注销其法人资格。</w:t>
      </w:r>
    </w:p>
    <w:p>
      <w:pPr>
        <w:tabs>
          <w:tab w:pos="1334" w:val="left" w:leader="none"/>
        </w:tabs>
        <w:spacing w:before="146"/>
        <w:ind w:left="660" w:right="0" w:firstLine="0"/>
        <w:jc w:val="left"/>
        <w:rPr>
          <w:rFonts w:ascii="宋体" w:hAnsi="宋体" w:cs="宋体" w:eastAsia="宋体" w:hint="default"/>
          <w:sz w:val="22"/>
          <w:szCs w:val="22"/>
        </w:rPr>
      </w:pPr>
      <w:r>
        <w:rPr>
          <w:rFonts w:ascii="Times New Roman" w:hAnsi="Times New Roman" w:cs="Times New Roman" w:eastAsia="Times New Roman" w:hint="default"/>
          <w:b/>
          <w:bCs/>
          <w:spacing w:val="12"/>
          <w:sz w:val="22"/>
          <w:szCs w:val="22"/>
        </w:rPr>
        <w:t>34.</w:t>
        <w:tab/>
      </w:r>
      <w:r>
        <w:rPr>
          <w:rFonts w:ascii="宋体" w:hAnsi="宋体" w:cs="宋体" w:eastAsia="宋体" w:hint="default"/>
          <w:b/>
          <w:bCs/>
          <w:sz w:val="22"/>
          <w:szCs w:val="22"/>
        </w:rPr>
        <w:t>在</w:t>
      </w:r>
      <w:r>
        <w:rPr>
          <w:rFonts w:ascii="宋体" w:hAnsi="宋体" w:cs="宋体" w:eastAsia="宋体" w:hint="default"/>
          <w:b/>
          <w:bCs/>
          <w:spacing w:val="-72"/>
          <w:sz w:val="22"/>
          <w:szCs w:val="22"/>
        </w:rPr>
        <w:t> </w:t>
      </w:r>
      <w:r>
        <w:rPr>
          <w:rFonts w:ascii="宋体" w:hAnsi="宋体" w:cs="宋体" w:eastAsia="宋体" w:hint="default"/>
          <w:b/>
          <w:bCs/>
          <w:sz w:val="22"/>
          <w:szCs w:val="22"/>
        </w:rPr>
        <w:t>其</w:t>
      </w:r>
      <w:r>
        <w:rPr>
          <w:rFonts w:ascii="宋体" w:hAnsi="宋体" w:cs="宋体" w:eastAsia="宋体" w:hint="default"/>
          <w:b/>
          <w:bCs/>
          <w:spacing w:val="-72"/>
          <w:sz w:val="22"/>
          <w:szCs w:val="22"/>
        </w:rPr>
        <w:t> </w:t>
      </w:r>
      <w:r>
        <w:rPr>
          <w:rFonts w:ascii="宋体" w:hAnsi="宋体" w:cs="宋体" w:eastAsia="宋体" w:hint="default"/>
          <w:b/>
          <w:bCs/>
          <w:sz w:val="22"/>
          <w:szCs w:val="22"/>
        </w:rPr>
        <w:t>他</w:t>
      </w:r>
      <w:r>
        <w:rPr>
          <w:rFonts w:ascii="宋体" w:hAnsi="宋体" w:cs="宋体" w:eastAsia="宋体" w:hint="default"/>
          <w:b/>
          <w:bCs/>
          <w:spacing w:val="-72"/>
          <w:sz w:val="22"/>
          <w:szCs w:val="22"/>
        </w:rPr>
        <w:t> </w:t>
      </w:r>
      <w:r>
        <w:rPr>
          <w:rFonts w:ascii="宋体" w:hAnsi="宋体" w:cs="宋体" w:eastAsia="宋体" w:hint="default"/>
          <w:b/>
          <w:bCs/>
          <w:sz w:val="22"/>
          <w:szCs w:val="22"/>
        </w:rPr>
        <w:t>主</w:t>
      </w:r>
      <w:r>
        <w:rPr>
          <w:rFonts w:ascii="宋体" w:hAnsi="宋体" w:cs="宋体" w:eastAsia="宋体" w:hint="default"/>
          <w:b/>
          <w:bCs/>
          <w:spacing w:val="-74"/>
          <w:sz w:val="22"/>
          <w:szCs w:val="22"/>
        </w:rPr>
        <w:t> </w:t>
      </w:r>
      <w:r>
        <w:rPr>
          <w:rFonts w:ascii="宋体" w:hAnsi="宋体" w:cs="宋体" w:eastAsia="宋体" w:hint="default"/>
          <w:b/>
          <w:bCs/>
          <w:sz w:val="22"/>
          <w:szCs w:val="22"/>
        </w:rPr>
        <w:t>体</w:t>
      </w:r>
      <w:r>
        <w:rPr>
          <w:rFonts w:ascii="宋体" w:hAnsi="宋体" w:cs="宋体" w:eastAsia="宋体" w:hint="default"/>
          <w:b/>
          <w:bCs/>
          <w:spacing w:val="-72"/>
          <w:sz w:val="22"/>
          <w:szCs w:val="22"/>
        </w:rPr>
        <w:t> </w:t>
      </w:r>
      <w:r>
        <w:rPr>
          <w:rFonts w:ascii="宋体" w:hAnsi="宋体" w:cs="宋体" w:eastAsia="宋体" w:hint="default"/>
          <w:b/>
          <w:bCs/>
          <w:sz w:val="22"/>
          <w:szCs w:val="22"/>
        </w:rPr>
        <w:t>中</w:t>
      </w:r>
      <w:r>
        <w:rPr>
          <w:rFonts w:ascii="宋体" w:hAnsi="宋体" w:cs="宋体" w:eastAsia="宋体" w:hint="default"/>
          <w:b/>
          <w:bCs/>
          <w:spacing w:val="-72"/>
          <w:sz w:val="22"/>
          <w:szCs w:val="22"/>
        </w:rPr>
        <w:t> </w:t>
      </w:r>
      <w:r>
        <w:rPr>
          <w:rFonts w:ascii="宋体" w:hAnsi="宋体" w:cs="宋体" w:eastAsia="宋体" w:hint="default"/>
          <w:b/>
          <w:bCs/>
          <w:sz w:val="22"/>
          <w:szCs w:val="22"/>
        </w:rPr>
        <w:t>的</w:t>
      </w:r>
      <w:r>
        <w:rPr>
          <w:rFonts w:ascii="宋体" w:hAnsi="宋体" w:cs="宋体" w:eastAsia="宋体" w:hint="default"/>
          <w:b/>
          <w:bCs/>
          <w:spacing w:val="-72"/>
          <w:sz w:val="22"/>
          <w:szCs w:val="22"/>
        </w:rPr>
        <w:t> </w:t>
      </w:r>
      <w:r>
        <w:rPr>
          <w:rFonts w:ascii="宋体" w:hAnsi="宋体" w:cs="宋体" w:eastAsia="宋体" w:hint="default"/>
          <w:b/>
          <w:bCs/>
          <w:sz w:val="22"/>
          <w:szCs w:val="22"/>
        </w:rPr>
        <w:t>权</w:t>
      </w:r>
      <w:r>
        <w:rPr>
          <w:rFonts w:ascii="宋体" w:hAnsi="宋体" w:cs="宋体" w:eastAsia="宋体" w:hint="default"/>
          <w:b/>
          <w:bCs/>
          <w:spacing w:val="-74"/>
          <w:sz w:val="22"/>
          <w:szCs w:val="22"/>
        </w:rPr>
        <w:t> </w:t>
      </w:r>
      <w:r>
        <w:rPr>
          <w:rFonts w:ascii="宋体" w:hAnsi="宋体" w:cs="宋体" w:eastAsia="宋体" w:hint="default"/>
          <w:b/>
          <w:bCs/>
          <w:sz w:val="22"/>
          <w:szCs w:val="22"/>
        </w:rPr>
        <w:t>益</w:t>
      </w:r>
      <w:r>
        <w:rPr>
          <w:rFonts w:ascii="宋体" w:hAnsi="宋体" w:cs="宋体" w:eastAsia="宋体" w:hint="default"/>
          <w:sz w:val="22"/>
          <w:szCs w:val="22"/>
        </w:rPr>
      </w:r>
    </w:p>
    <w:p>
      <w:pPr>
        <w:spacing w:before="110"/>
        <w:ind w:left="65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16"/>
          <w:sz w:val="22"/>
          <w:szCs w:val="22"/>
        </w:rPr>
        <w:t> </w:t>
      </w:r>
      <w:r>
        <w:rPr>
          <w:rFonts w:ascii="宋体" w:hAnsi="宋体" w:cs="宋体" w:eastAsia="宋体" w:hint="default"/>
          <w:sz w:val="22"/>
          <w:szCs w:val="22"/>
        </w:rPr>
        <w:t>在子公司中的权益</w:t>
      </w:r>
    </w:p>
    <w:p>
      <w:pPr>
        <w:spacing w:before="113"/>
        <w:ind w:left="65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3"/>
          <w:sz w:val="22"/>
          <w:szCs w:val="22"/>
        </w:rPr>
        <w:t> </w:t>
      </w:r>
      <w:r>
        <w:rPr>
          <w:rFonts w:ascii="宋体" w:hAnsi="宋体" w:cs="宋体" w:eastAsia="宋体" w:hint="default"/>
          <w:sz w:val="22"/>
          <w:szCs w:val="22"/>
        </w:rPr>
        <w:t>企业集团的构成</w:t>
      </w:r>
    </w:p>
    <w:p>
      <w:pPr>
        <w:spacing w:line="240" w:lineRule="auto" w:before="8"/>
        <w:rPr>
          <w:rFonts w:ascii="宋体" w:hAnsi="宋体" w:cs="宋体" w:eastAsia="宋体" w:hint="default"/>
          <w:sz w:val="11"/>
          <w:szCs w:val="11"/>
        </w:rPr>
      </w:pPr>
    </w:p>
    <w:tbl>
      <w:tblPr>
        <w:tblW w:w="0" w:type="auto"/>
        <w:jc w:val="left"/>
        <w:tblInd w:w="173" w:type="dxa"/>
        <w:tblLayout w:type="fixed"/>
        <w:tblCellMar>
          <w:top w:w="0" w:type="dxa"/>
          <w:left w:w="0" w:type="dxa"/>
          <w:bottom w:w="0" w:type="dxa"/>
          <w:right w:w="0" w:type="dxa"/>
        </w:tblCellMar>
        <w:tblLook w:val="01E0"/>
      </w:tblPr>
      <w:tblGrid>
        <w:gridCol w:w="2016"/>
        <w:gridCol w:w="453"/>
        <w:gridCol w:w="1235"/>
        <w:gridCol w:w="788"/>
        <w:gridCol w:w="765"/>
        <w:gridCol w:w="3422"/>
      </w:tblGrid>
      <w:tr>
        <w:trPr>
          <w:trHeight w:val="305" w:hRule="exact"/>
        </w:trPr>
        <w:tc>
          <w:tcPr>
            <w:tcW w:w="2016" w:type="dxa"/>
            <w:tcBorders>
              <w:top w:val="single" w:sz="12" w:space="0" w:color="000000"/>
              <w:left w:val="nil" w:sz="6" w:space="0" w:color="auto"/>
              <w:bottom w:val="single" w:sz="4" w:space="0" w:color="000000"/>
              <w:right w:val="nil" w:sz="6" w:space="0" w:color="auto"/>
            </w:tcBorders>
          </w:tcPr>
          <w:p>
            <w:pPr>
              <w:pStyle w:val="TableParagraph"/>
              <w:spacing w:line="240" w:lineRule="auto" w:before="50"/>
              <w:ind w:right="17"/>
              <w:jc w:val="center"/>
              <w:rPr>
                <w:rFonts w:ascii="宋体" w:hAnsi="宋体" w:cs="宋体" w:eastAsia="宋体" w:hint="default"/>
                <w:sz w:val="16"/>
                <w:szCs w:val="16"/>
              </w:rPr>
            </w:pPr>
            <w:r>
              <w:rPr>
                <w:rFonts w:ascii="宋体" w:hAnsi="宋体" w:cs="宋体" w:eastAsia="宋体" w:hint="default"/>
                <w:b/>
                <w:bCs/>
                <w:sz w:val="16"/>
                <w:szCs w:val="16"/>
              </w:rPr>
              <w:t>公司名称</w:t>
            </w:r>
            <w:r>
              <w:rPr>
                <w:rFonts w:ascii="宋体" w:hAnsi="宋体" w:cs="宋体" w:eastAsia="宋体" w:hint="default"/>
                <w:sz w:val="16"/>
                <w:szCs w:val="16"/>
              </w:rPr>
            </w:r>
          </w:p>
        </w:tc>
        <w:tc>
          <w:tcPr>
            <w:tcW w:w="453" w:type="dxa"/>
            <w:tcBorders>
              <w:top w:val="single" w:sz="12" w:space="0" w:color="000000"/>
              <w:left w:val="nil" w:sz="6" w:space="0" w:color="auto"/>
              <w:bottom w:val="single" w:sz="4" w:space="0" w:color="000000"/>
              <w:right w:val="nil" w:sz="6" w:space="0" w:color="auto"/>
            </w:tcBorders>
          </w:tcPr>
          <w:p>
            <w:pPr>
              <w:pStyle w:val="TableParagraph"/>
              <w:spacing w:line="240" w:lineRule="auto" w:before="50"/>
              <w:ind w:right="0"/>
              <w:jc w:val="center"/>
              <w:rPr>
                <w:rFonts w:ascii="宋体" w:hAnsi="宋体" w:cs="宋体" w:eastAsia="宋体" w:hint="default"/>
                <w:sz w:val="16"/>
                <w:szCs w:val="16"/>
              </w:rPr>
            </w:pPr>
            <w:r>
              <w:rPr>
                <w:rFonts w:ascii="宋体" w:hAnsi="宋体" w:cs="宋体" w:eastAsia="宋体" w:hint="default"/>
                <w:b/>
                <w:bCs/>
                <w:sz w:val="16"/>
                <w:szCs w:val="16"/>
              </w:rPr>
              <w:t>级次</w:t>
            </w:r>
            <w:r>
              <w:rPr>
                <w:rFonts w:ascii="宋体" w:hAnsi="宋体" w:cs="宋体" w:eastAsia="宋体" w:hint="default"/>
                <w:sz w:val="16"/>
                <w:szCs w:val="16"/>
              </w:rPr>
            </w:r>
          </w:p>
        </w:tc>
        <w:tc>
          <w:tcPr>
            <w:tcW w:w="1235" w:type="dxa"/>
            <w:tcBorders>
              <w:top w:val="single" w:sz="12" w:space="0" w:color="000000"/>
              <w:left w:val="nil" w:sz="6" w:space="0" w:color="auto"/>
              <w:bottom w:val="single" w:sz="4" w:space="0" w:color="000000"/>
              <w:right w:val="nil" w:sz="6" w:space="0" w:color="auto"/>
            </w:tcBorders>
          </w:tcPr>
          <w:p>
            <w:pPr>
              <w:pStyle w:val="TableParagraph"/>
              <w:spacing w:line="240" w:lineRule="auto" w:before="50"/>
              <w:ind w:left="293" w:right="0"/>
              <w:jc w:val="left"/>
              <w:rPr>
                <w:rFonts w:ascii="宋体" w:hAnsi="宋体" w:cs="宋体" w:eastAsia="宋体" w:hint="default"/>
                <w:sz w:val="16"/>
                <w:szCs w:val="16"/>
              </w:rPr>
            </w:pPr>
            <w:r>
              <w:rPr>
                <w:rFonts w:ascii="宋体" w:hAnsi="宋体" w:cs="宋体" w:eastAsia="宋体" w:hint="default"/>
                <w:b/>
                <w:bCs/>
                <w:sz w:val="16"/>
                <w:szCs w:val="16"/>
              </w:rPr>
              <w:t>注册资本</w:t>
            </w:r>
            <w:r>
              <w:rPr>
                <w:rFonts w:ascii="宋体" w:hAnsi="宋体" w:cs="宋体" w:eastAsia="宋体" w:hint="default"/>
                <w:sz w:val="16"/>
                <w:szCs w:val="16"/>
              </w:rPr>
            </w:r>
          </w:p>
        </w:tc>
        <w:tc>
          <w:tcPr>
            <w:tcW w:w="788" w:type="dxa"/>
            <w:tcBorders>
              <w:top w:val="single" w:sz="12" w:space="0" w:color="000000"/>
              <w:left w:val="nil" w:sz="6" w:space="0" w:color="auto"/>
              <w:bottom w:val="single" w:sz="4" w:space="0" w:color="000000"/>
              <w:right w:val="nil" w:sz="6" w:space="0" w:color="auto"/>
            </w:tcBorders>
          </w:tcPr>
          <w:p>
            <w:pPr>
              <w:pStyle w:val="TableParagraph"/>
              <w:spacing w:line="240" w:lineRule="auto" w:before="50"/>
              <w:ind w:right="97"/>
              <w:jc w:val="right"/>
              <w:rPr>
                <w:rFonts w:ascii="宋体" w:hAnsi="宋体" w:cs="宋体" w:eastAsia="宋体" w:hint="default"/>
                <w:sz w:val="16"/>
                <w:szCs w:val="16"/>
              </w:rPr>
            </w:pPr>
            <w:r>
              <w:rPr>
                <w:rFonts w:ascii="宋体" w:hAnsi="宋体" w:cs="宋体" w:eastAsia="宋体" w:hint="default"/>
                <w:b/>
                <w:bCs/>
                <w:sz w:val="16"/>
                <w:szCs w:val="16"/>
              </w:rPr>
              <w:t>持股比例</w:t>
            </w:r>
            <w:r>
              <w:rPr>
                <w:rFonts w:ascii="宋体" w:hAnsi="宋体" w:cs="宋体" w:eastAsia="宋体" w:hint="default"/>
                <w:sz w:val="16"/>
                <w:szCs w:val="16"/>
              </w:rPr>
            </w:r>
          </w:p>
        </w:tc>
        <w:tc>
          <w:tcPr>
            <w:tcW w:w="765" w:type="dxa"/>
            <w:tcBorders>
              <w:top w:val="single" w:sz="12" w:space="0" w:color="000000"/>
              <w:left w:val="nil" w:sz="6" w:space="0" w:color="auto"/>
              <w:bottom w:val="single" w:sz="4" w:space="0" w:color="000000"/>
              <w:right w:val="nil" w:sz="6" w:space="0" w:color="auto"/>
            </w:tcBorders>
          </w:tcPr>
          <w:p>
            <w:pPr>
              <w:pStyle w:val="TableParagraph"/>
              <w:spacing w:line="240" w:lineRule="auto" w:before="50"/>
              <w:ind w:right="0"/>
              <w:jc w:val="center"/>
              <w:rPr>
                <w:rFonts w:ascii="宋体" w:hAnsi="宋体" w:cs="宋体" w:eastAsia="宋体" w:hint="default"/>
                <w:sz w:val="16"/>
                <w:szCs w:val="16"/>
              </w:rPr>
            </w:pPr>
            <w:r>
              <w:rPr>
                <w:rFonts w:ascii="宋体" w:hAnsi="宋体" w:cs="宋体" w:eastAsia="宋体" w:hint="default"/>
                <w:b/>
                <w:bCs/>
                <w:sz w:val="16"/>
                <w:szCs w:val="16"/>
              </w:rPr>
              <w:t>注册地址</w:t>
            </w:r>
            <w:r>
              <w:rPr>
                <w:rFonts w:ascii="宋体" w:hAnsi="宋体" w:cs="宋体" w:eastAsia="宋体" w:hint="default"/>
                <w:sz w:val="16"/>
                <w:szCs w:val="16"/>
              </w:rPr>
            </w:r>
          </w:p>
        </w:tc>
        <w:tc>
          <w:tcPr>
            <w:tcW w:w="3422" w:type="dxa"/>
            <w:tcBorders>
              <w:top w:val="single" w:sz="12" w:space="0" w:color="000000"/>
              <w:left w:val="nil" w:sz="6" w:space="0" w:color="auto"/>
              <w:bottom w:val="single" w:sz="4" w:space="0" w:color="000000"/>
              <w:right w:val="nil" w:sz="6" w:space="0" w:color="auto"/>
            </w:tcBorders>
          </w:tcPr>
          <w:p>
            <w:pPr>
              <w:pStyle w:val="TableParagraph"/>
              <w:spacing w:line="240" w:lineRule="auto" w:before="50"/>
              <w:ind w:right="21"/>
              <w:jc w:val="center"/>
              <w:rPr>
                <w:rFonts w:ascii="宋体" w:hAnsi="宋体" w:cs="宋体" w:eastAsia="宋体" w:hint="default"/>
                <w:sz w:val="16"/>
                <w:szCs w:val="16"/>
              </w:rPr>
            </w:pPr>
            <w:r>
              <w:rPr>
                <w:rFonts w:ascii="宋体" w:hAnsi="宋体" w:cs="宋体" w:eastAsia="宋体" w:hint="default"/>
                <w:b/>
                <w:bCs/>
                <w:sz w:val="16"/>
                <w:szCs w:val="16"/>
              </w:rPr>
              <w:t>主营业务</w:t>
            </w:r>
            <w:r>
              <w:rPr>
                <w:rFonts w:ascii="宋体" w:hAnsi="宋体" w:cs="宋体" w:eastAsia="宋体" w:hint="default"/>
                <w:sz w:val="16"/>
                <w:szCs w:val="16"/>
              </w:rPr>
            </w:r>
          </w:p>
        </w:tc>
      </w:tr>
      <w:tr>
        <w:trPr>
          <w:trHeight w:val="323" w:hRule="exact"/>
        </w:trPr>
        <w:tc>
          <w:tcPr>
            <w:tcW w:w="2016" w:type="dxa"/>
            <w:tcBorders>
              <w:top w:val="single" w:sz="4" w:space="0" w:color="000000"/>
              <w:left w:val="nil" w:sz="6" w:space="0" w:color="auto"/>
              <w:bottom w:val="nil" w:sz="6" w:space="0" w:color="auto"/>
              <w:right w:val="nil" w:sz="6" w:space="0" w:color="auto"/>
            </w:tcBorders>
          </w:tcPr>
          <w:p>
            <w:pPr>
              <w:pStyle w:val="TableParagraph"/>
              <w:spacing w:line="240" w:lineRule="auto" w:before="43"/>
              <w:ind w:left="28" w:right="0"/>
              <w:jc w:val="left"/>
              <w:rPr>
                <w:rFonts w:ascii="宋体" w:hAnsi="宋体" w:cs="宋体" w:eastAsia="宋体" w:hint="default"/>
                <w:sz w:val="16"/>
                <w:szCs w:val="16"/>
              </w:rPr>
            </w:pPr>
            <w:r>
              <w:rPr>
                <w:rFonts w:ascii="宋体" w:hAnsi="宋体" w:cs="宋体" w:eastAsia="宋体" w:hint="default"/>
                <w:sz w:val="16"/>
                <w:szCs w:val="16"/>
              </w:rPr>
              <w:t>同方人工环境有限公司</w:t>
            </w:r>
          </w:p>
        </w:tc>
        <w:tc>
          <w:tcPr>
            <w:tcW w:w="453" w:type="dxa"/>
            <w:tcBorders>
              <w:top w:val="single" w:sz="4" w:space="0" w:color="000000"/>
              <w:left w:val="nil" w:sz="6" w:space="0" w:color="auto"/>
              <w:bottom w:val="nil" w:sz="6" w:space="0" w:color="auto"/>
              <w:right w:val="nil" w:sz="6" w:space="0" w:color="auto"/>
            </w:tcBorders>
          </w:tcPr>
          <w:p>
            <w:pPr>
              <w:pStyle w:val="TableParagraph"/>
              <w:spacing w:line="240" w:lineRule="auto" w:before="43"/>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single" w:sz="4" w:space="0" w:color="000000"/>
              <w:left w:val="nil" w:sz="6" w:space="0" w:color="auto"/>
              <w:bottom w:val="nil" w:sz="6" w:space="0" w:color="auto"/>
              <w:right w:val="nil" w:sz="6" w:space="0" w:color="auto"/>
            </w:tcBorders>
          </w:tcPr>
          <w:p>
            <w:pPr>
              <w:pStyle w:val="TableParagraph"/>
              <w:spacing w:line="240" w:lineRule="auto" w:before="43"/>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35358.00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single" w:sz="4" w:space="0" w:color="000000"/>
              <w:left w:val="nil" w:sz="6" w:space="0" w:color="auto"/>
              <w:bottom w:val="nil" w:sz="6" w:space="0" w:color="auto"/>
              <w:right w:val="nil" w:sz="6" w:space="0" w:color="auto"/>
            </w:tcBorders>
          </w:tcPr>
          <w:p>
            <w:pPr>
              <w:pStyle w:val="TableParagraph"/>
              <w:spacing w:line="240" w:lineRule="auto" w:before="43"/>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22" w:type="dxa"/>
            <w:tcBorders>
              <w:top w:val="single" w:sz="4" w:space="0" w:color="000000"/>
              <w:left w:val="nil" w:sz="6" w:space="0" w:color="auto"/>
              <w:bottom w:val="nil" w:sz="6" w:space="0" w:color="auto"/>
              <w:right w:val="nil" w:sz="6" w:space="0" w:color="auto"/>
            </w:tcBorders>
          </w:tcPr>
          <w:p>
            <w:pPr>
              <w:pStyle w:val="TableParagraph"/>
              <w:spacing w:line="240" w:lineRule="auto" w:before="43"/>
              <w:ind w:left="59" w:right="0"/>
              <w:jc w:val="left"/>
              <w:rPr>
                <w:rFonts w:ascii="宋体" w:hAnsi="宋体" w:cs="宋体" w:eastAsia="宋体" w:hint="default"/>
                <w:sz w:val="16"/>
                <w:szCs w:val="16"/>
              </w:rPr>
            </w:pPr>
            <w:r>
              <w:rPr>
                <w:rFonts w:ascii="宋体" w:hAnsi="宋体" w:cs="宋体" w:eastAsia="宋体" w:hint="default"/>
                <w:sz w:val="16"/>
                <w:szCs w:val="16"/>
              </w:rPr>
              <w:t>中央空调机组、空气和水净化系统</w:t>
            </w:r>
          </w:p>
        </w:tc>
      </w:tr>
      <w:tr>
        <w:trPr>
          <w:trHeight w:val="28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8"/>
              <w:ind w:left="28" w:right="0"/>
              <w:jc w:val="left"/>
              <w:rPr>
                <w:rFonts w:ascii="宋体" w:hAnsi="宋体" w:cs="宋体" w:eastAsia="宋体" w:hint="default"/>
                <w:sz w:val="16"/>
                <w:szCs w:val="16"/>
              </w:rPr>
            </w:pPr>
            <w:r>
              <w:rPr>
                <w:rFonts w:ascii="宋体" w:hAnsi="宋体" w:cs="宋体" w:eastAsia="宋体" w:hint="default"/>
                <w:sz w:val="16"/>
                <w:szCs w:val="16"/>
              </w:rPr>
              <w:t>无锡同方人工环境有限公司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8000.00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
              <w:ind w:left="1" w:right="0"/>
              <w:jc w:val="center"/>
              <w:rPr>
                <w:rFonts w:ascii="宋体" w:hAnsi="宋体" w:cs="宋体" w:eastAsia="宋体" w:hint="default"/>
                <w:sz w:val="16"/>
                <w:szCs w:val="16"/>
              </w:rPr>
            </w:pPr>
            <w:r>
              <w:rPr>
                <w:rFonts w:ascii="宋体" w:hAnsi="宋体" w:cs="宋体" w:eastAsia="宋体" w:hint="default"/>
                <w:sz w:val="16"/>
                <w:szCs w:val="16"/>
              </w:rPr>
              <w:t>江苏无锡</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8"/>
              <w:ind w:left="59" w:right="0"/>
              <w:jc w:val="left"/>
              <w:rPr>
                <w:rFonts w:ascii="宋体" w:hAnsi="宋体" w:cs="宋体" w:eastAsia="宋体" w:hint="default"/>
                <w:sz w:val="16"/>
                <w:szCs w:val="16"/>
              </w:rPr>
            </w:pPr>
            <w:r>
              <w:rPr>
                <w:rFonts w:ascii="宋体" w:hAnsi="宋体" w:cs="宋体" w:eastAsia="宋体" w:hint="default"/>
                <w:sz w:val="16"/>
                <w:szCs w:val="16"/>
              </w:rPr>
              <w:t>户式空调机组</w:t>
            </w:r>
          </w:p>
        </w:tc>
      </w:tr>
      <w:tr>
        <w:trPr>
          <w:trHeight w:val="28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北京同方洁净技术有限公司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7"/>
              <w:jc w:val="right"/>
              <w:rPr>
                <w:rFonts w:ascii="Times New Roman" w:hAnsi="Times New Roman" w:cs="Times New Roman" w:eastAsia="Times New Roman" w:hint="default"/>
                <w:sz w:val="16"/>
                <w:szCs w:val="16"/>
              </w:rPr>
            </w:pPr>
            <w:r>
              <w:rPr>
                <w:rFonts w:ascii="Times New Roman"/>
                <w:spacing w:val="-1"/>
                <w:sz w:val="16"/>
              </w:rPr>
              <w:t>58.00%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空气和水净化系统</w:t>
            </w:r>
          </w:p>
        </w:tc>
      </w:tr>
      <w:tr>
        <w:trPr>
          <w:trHeight w:val="478"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8" w:right="0"/>
              <w:jc w:val="left"/>
              <w:rPr>
                <w:rFonts w:ascii="宋体" w:hAnsi="宋体" w:cs="宋体" w:eastAsia="宋体" w:hint="default"/>
                <w:sz w:val="16"/>
                <w:szCs w:val="16"/>
              </w:rPr>
            </w:pPr>
            <w:r>
              <w:rPr>
                <w:rFonts w:ascii="宋体" w:hAnsi="宋体" w:cs="宋体" w:eastAsia="宋体" w:hint="default"/>
                <w:sz w:val="16"/>
                <w:szCs w:val="16"/>
              </w:rPr>
              <w:t>同方国芯电子股份有限公司</w:t>
            </w:r>
          </w:p>
          <w:p>
            <w:pPr>
              <w:pStyle w:val="TableParagraph"/>
              <w:spacing w:line="240" w:lineRule="auto" w:before="20"/>
              <w:ind w:left="28" w:right="0"/>
              <w:jc w:val="left"/>
              <w:rPr>
                <w:rFonts w:ascii="Times New Roman" w:hAnsi="Times New Roman" w:cs="Times New Roman" w:eastAsia="Times New Roman" w:hint="default"/>
                <w:sz w:val="16"/>
                <w:szCs w:val="16"/>
              </w:rPr>
            </w:pPr>
            <w:r>
              <w:rPr>
                <w:rFonts w:ascii="Times New Roman"/>
                <w:sz w:val="16"/>
              </w:rPr>
              <w:t>(002049.SZ)</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60681.7968</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41.38%</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河北唐山</w:t>
            </w:r>
          </w:p>
        </w:tc>
        <w:tc>
          <w:tcPr>
            <w:tcW w:w="3422" w:type="dxa"/>
            <w:tcBorders>
              <w:top w:val="nil" w:sz="6" w:space="0" w:color="auto"/>
              <w:left w:val="nil" w:sz="6" w:space="0" w:color="auto"/>
              <w:bottom w:val="nil" w:sz="6" w:space="0" w:color="auto"/>
              <w:right w:val="nil" w:sz="6" w:space="0" w:color="auto"/>
            </w:tcBorders>
          </w:tcPr>
          <w:p>
            <w:pPr>
              <w:pStyle w:val="TableParagraph"/>
              <w:spacing w:line="215" w:lineRule="exact" w:before="4"/>
              <w:ind w:left="59"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智能卡芯片、特种集成电路、石英晶体及</w:t>
            </w:r>
            <w:r>
              <w:rPr>
                <w:rFonts w:ascii="宋体" w:hAnsi="宋体" w:cs="宋体" w:eastAsia="宋体" w:hint="default"/>
                <w:spacing w:val="6"/>
                <w:sz w:val="16"/>
                <w:szCs w:val="16"/>
              </w:rPr>
              <w:t> </w:t>
            </w:r>
            <w:r>
              <w:rPr>
                <w:rFonts w:ascii="Times New Roman" w:hAnsi="Times New Roman" w:cs="Times New Roman" w:eastAsia="Times New Roman" w:hint="default"/>
                <w:sz w:val="16"/>
                <w:szCs w:val="16"/>
              </w:rPr>
              <w:t>LED</w:t>
            </w:r>
          </w:p>
          <w:p>
            <w:pPr>
              <w:pStyle w:val="TableParagraph"/>
              <w:spacing w:line="203" w:lineRule="exact"/>
              <w:ind w:left="59" w:right="0"/>
              <w:jc w:val="left"/>
              <w:rPr>
                <w:rFonts w:ascii="宋体" w:hAnsi="宋体" w:cs="宋体" w:eastAsia="宋体" w:hint="default"/>
                <w:sz w:val="16"/>
                <w:szCs w:val="16"/>
              </w:rPr>
            </w:pPr>
            <w:r>
              <w:rPr>
                <w:rFonts w:ascii="宋体" w:hAnsi="宋体" w:cs="宋体" w:eastAsia="宋体" w:hint="default"/>
                <w:sz w:val="16"/>
                <w:szCs w:val="16"/>
              </w:rPr>
              <w:t>衬底材料的研发、生产及销售业务</w:t>
            </w:r>
          </w:p>
        </w:tc>
      </w:tr>
      <w:tr>
        <w:trPr>
          <w:trHeight w:val="473"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28" w:right="0"/>
              <w:jc w:val="left"/>
              <w:rPr>
                <w:rFonts w:ascii="宋体" w:hAnsi="宋体" w:cs="宋体" w:eastAsia="宋体" w:hint="default"/>
                <w:sz w:val="16"/>
                <w:szCs w:val="16"/>
              </w:rPr>
            </w:pPr>
            <w:r>
              <w:rPr>
                <w:rFonts w:ascii="宋体" w:hAnsi="宋体" w:cs="宋体" w:eastAsia="宋体" w:hint="default"/>
                <w:sz w:val="16"/>
                <w:szCs w:val="16"/>
              </w:rPr>
              <w:t>唐山晶源电子有限公司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2268.00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38"/>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 w:right="0"/>
              <w:jc w:val="center"/>
              <w:rPr>
                <w:rFonts w:ascii="宋体" w:hAnsi="宋体" w:cs="宋体" w:eastAsia="宋体" w:hint="default"/>
                <w:sz w:val="16"/>
                <w:szCs w:val="16"/>
              </w:rPr>
            </w:pPr>
            <w:r>
              <w:rPr>
                <w:rFonts w:ascii="宋体" w:hAnsi="宋体" w:cs="宋体" w:eastAsia="宋体" w:hint="default"/>
                <w:sz w:val="16"/>
                <w:szCs w:val="16"/>
              </w:rPr>
              <w:t>河北唐山</w:t>
            </w:r>
          </w:p>
        </w:tc>
        <w:tc>
          <w:tcPr>
            <w:tcW w:w="3422" w:type="dxa"/>
            <w:tcBorders>
              <w:top w:val="nil" w:sz="6" w:space="0" w:color="auto"/>
              <w:left w:val="nil" w:sz="6" w:space="0" w:color="auto"/>
              <w:bottom w:val="nil" w:sz="6" w:space="0" w:color="auto"/>
              <w:right w:val="nil" w:sz="6" w:space="0" w:color="auto"/>
            </w:tcBorders>
          </w:tcPr>
          <w:p>
            <w:pPr>
              <w:pStyle w:val="TableParagraph"/>
              <w:spacing w:line="208" w:lineRule="exact" w:before="22"/>
              <w:ind w:left="59" w:right="78"/>
              <w:jc w:val="left"/>
              <w:rPr>
                <w:rFonts w:ascii="宋体" w:hAnsi="宋体" w:cs="宋体" w:eastAsia="宋体" w:hint="default"/>
                <w:sz w:val="16"/>
                <w:szCs w:val="16"/>
              </w:rPr>
            </w:pPr>
            <w:r>
              <w:rPr>
                <w:rFonts w:ascii="宋体" w:hAnsi="宋体" w:cs="宋体" w:eastAsia="宋体" w:hint="default"/>
                <w:sz w:val="16"/>
                <w:szCs w:val="16"/>
              </w:rPr>
              <w:t>石英晶体元器件和</w:t>
            </w:r>
            <w:r>
              <w:rPr>
                <w:rFonts w:ascii="宋体" w:hAnsi="宋体" w:cs="宋体" w:eastAsia="宋体" w:hint="default"/>
                <w:spacing w:val="-37"/>
                <w:sz w:val="16"/>
                <w:szCs w:val="16"/>
              </w:rPr>
              <w:t> </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衬底材料的研发、生产</w:t>
            </w:r>
            <w:r>
              <w:rPr>
                <w:rFonts w:ascii="宋体" w:hAnsi="宋体" w:cs="宋体" w:eastAsia="宋体" w:hint="default"/>
                <w:w w:val="100"/>
                <w:sz w:val="16"/>
                <w:szCs w:val="16"/>
              </w:rPr>
              <w:t> </w:t>
            </w:r>
            <w:r>
              <w:rPr>
                <w:rFonts w:ascii="宋体" w:hAnsi="宋体" w:cs="宋体" w:eastAsia="宋体" w:hint="default"/>
                <w:sz w:val="16"/>
                <w:szCs w:val="16"/>
              </w:rPr>
              <w:t>及销售业务</w:t>
            </w:r>
          </w:p>
        </w:tc>
      </w:tr>
      <w:tr>
        <w:trPr>
          <w:trHeight w:val="47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6"/>
              <w:ind w:left="28" w:right="63"/>
              <w:jc w:val="left"/>
              <w:rPr>
                <w:rFonts w:ascii="宋体" w:hAnsi="宋体" w:cs="宋体" w:eastAsia="宋体" w:hint="default"/>
                <w:sz w:val="16"/>
                <w:szCs w:val="16"/>
              </w:rPr>
            </w:pPr>
            <w:r>
              <w:rPr>
                <w:rFonts w:ascii="宋体" w:hAnsi="宋体" w:cs="宋体" w:eastAsia="宋体" w:hint="default"/>
                <w:spacing w:val="-1"/>
                <w:sz w:val="16"/>
                <w:szCs w:val="16"/>
              </w:rPr>
              <w:t>北京晶源裕丰光学电子器件</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北京朝阳</w:t>
            </w:r>
          </w:p>
        </w:tc>
        <w:tc>
          <w:tcPr>
            <w:tcW w:w="3422" w:type="dxa"/>
            <w:tcBorders>
              <w:top w:val="nil" w:sz="6" w:space="0" w:color="auto"/>
              <w:left w:val="nil" w:sz="6" w:space="0" w:color="auto"/>
              <w:bottom w:val="nil" w:sz="6" w:space="0" w:color="auto"/>
              <w:right w:val="nil" w:sz="6" w:space="0" w:color="auto"/>
            </w:tcBorders>
          </w:tcPr>
          <w:p>
            <w:pPr>
              <w:pStyle w:val="TableParagraph"/>
              <w:spacing w:line="206" w:lineRule="exact" w:before="26"/>
              <w:ind w:left="59" w:right="79"/>
              <w:jc w:val="left"/>
              <w:rPr>
                <w:rFonts w:ascii="宋体" w:hAnsi="宋体" w:cs="宋体" w:eastAsia="宋体" w:hint="default"/>
                <w:sz w:val="16"/>
                <w:szCs w:val="16"/>
              </w:rPr>
            </w:pPr>
            <w:r>
              <w:rPr>
                <w:rFonts w:ascii="宋体" w:hAnsi="宋体" w:cs="宋体" w:eastAsia="宋体" w:hint="default"/>
                <w:spacing w:val="2"/>
                <w:sz w:val="16"/>
                <w:szCs w:val="16"/>
              </w:rPr>
              <w:t>石英晶体器件加工、光学镜片真空镀膜及相关</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销售和进出口业务</w:t>
            </w:r>
          </w:p>
        </w:tc>
      </w:tr>
      <w:tr>
        <w:trPr>
          <w:trHeight w:val="479"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28" w:right="0"/>
              <w:jc w:val="left"/>
              <w:rPr>
                <w:rFonts w:ascii="宋体" w:hAnsi="宋体" w:cs="宋体" w:eastAsia="宋体" w:hint="default"/>
                <w:sz w:val="16"/>
                <w:szCs w:val="16"/>
              </w:rPr>
            </w:pPr>
            <w:r>
              <w:rPr>
                <w:rFonts w:ascii="宋体" w:hAnsi="宋体" w:cs="宋体" w:eastAsia="宋体" w:hint="default"/>
                <w:sz w:val="16"/>
                <w:szCs w:val="16"/>
              </w:rPr>
              <w:t>北京同方微电子有限公司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22"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59" w:right="79"/>
              <w:jc w:val="left"/>
              <w:rPr>
                <w:rFonts w:ascii="宋体" w:hAnsi="宋体" w:cs="宋体" w:eastAsia="宋体" w:hint="default"/>
                <w:sz w:val="16"/>
                <w:szCs w:val="16"/>
              </w:rPr>
            </w:pPr>
            <w:r>
              <w:rPr>
                <w:rFonts w:ascii="宋体" w:hAnsi="宋体" w:cs="宋体" w:eastAsia="宋体" w:hint="default"/>
                <w:spacing w:val="2"/>
                <w:sz w:val="16"/>
                <w:szCs w:val="16"/>
              </w:rPr>
              <w:t>半导体集成电路芯片及相关产品设计、开发和</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销售</w:t>
            </w:r>
          </w:p>
        </w:tc>
      </w:tr>
      <w:tr>
        <w:trPr>
          <w:trHeight w:val="282"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无锡同方微电子有限公司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70.00%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江苏无锡</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半导体功率器件及相关产品设计、开发和销售</w:t>
            </w:r>
          </w:p>
        </w:tc>
      </w:tr>
      <w:tr>
        <w:trPr>
          <w:trHeight w:val="479"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8" w:right="0"/>
              <w:jc w:val="left"/>
              <w:rPr>
                <w:rFonts w:ascii="宋体" w:hAnsi="宋体" w:cs="宋体" w:eastAsia="宋体" w:hint="default"/>
                <w:sz w:val="16"/>
                <w:szCs w:val="16"/>
              </w:rPr>
            </w:pPr>
            <w:r>
              <w:rPr>
                <w:rFonts w:ascii="宋体" w:hAnsi="宋体" w:cs="宋体" w:eastAsia="宋体" w:hint="default"/>
                <w:sz w:val="16"/>
                <w:szCs w:val="16"/>
              </w:rPr>
              <w:t>深圳市国微电子有限公司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15000.00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 w:right="0"/>
              <w:jc w:val="center"/>
              <w:rPr>
                <w:rFonts w:ascii="宋体" w:hAnsi="宋体" w:cs="宋体" w:eastAsia="宋体" w:hint="default"/>
                <w:sz w:val="16"/>
                <w:szCs w:val="16"/>
              </w:rPr>
            </w:pPr>
            <w:r>
              <w:rPr>
                <w:rFonts w:ascii="宋体" w:hAnsi="宋体" w:cs="宋体" w:eastAsia="宋体" w:hint="default"/>
                <w:sz w:val="16"/>
                <w:szCs w:val="16"/>
              </w:rPr>
              <w:t>广东深圳</w:t>
            </w:r>
          </w:p>
        </w:tc>
        <w:tc>
          <w:tcPr>
            <w:tcW w:w="3422"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59" w:right="79"/>
              <w:jc w:val="left"/>
              <w:rPr>
                <w:rFonts w:ascii="宋体" w:hAnsi="宋体" w:cs="宋体" w:eastAsia="宋体" w:hint="default"/>
                <w:sz w:val="16"/>
                <w:szCs w:val="16"/>
              </w:rPr>
            </w:pPr>
            <w:r>
              <w:rPr>
                <w:rFonts w:ascii="宋体" w:hAnsi="宋体" w:cs="宋体" w:eastAsia="宋体" w:hint="default"/>
                <w:spacing w:val="2"/>
                <w:sz w:val="16"/>
                <w:szCs w:val="16"/>
              </w:rPr>
              <w:t>设计、开发、销售各类集成电路、电子信息产</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品及相关技术服务</w:t>
            </w:r>
          </w:p>
        </w:tc>
      </w:tr>
      <w:tr>
        <w:trPr>
          <w:trHeight w:val="2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成都国微电子有限公司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四川成都</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集成电路的研发、设计、生产和技术服务。</w:t>
            </w:r>
          </w:p>
        </w:tc>
      </w:tr>
      <w:tr>
        <w:trPr>
          <w:trHeight w:val="4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8" w:right="0"/>
              <w:jc w:val="left"/>
              <w:rPr>
                <w:rFonts w:ascii="宋体" w:hAnsi="宋体" w:cs="宋体" w:eastAsia="宋体" w:hint="default"/>
                <w:sz w:val="16"/>
                <w:szCs w:val="16"/>
              </w:rPr>
            </w:pPr>
            <w:r>
              <w:rPr>
                <w:rFonts w:ascii="宋体" w:hAnsi="宋体" w:cs="宋体" w:eastAsia="宋体" w:hint="default"/>
                <w:spacing w:val="-23"/>
                <w:sz w:val="16"/>
                <w:szCs w:val="16"/>
              </w:rPr>
              <w:t>深圳市同创国芯电子有限公司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15000.00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73.00%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广东深圳</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
              <w:ind w:left="59" w:right="79"/>
              <w:jc w:val="left"/>
              <w:rPr>
                <w:rFonts w:ascii="宋体" w:hAnsi="宋体" w:cs="宋体" w:eastAsia="宋体" w:hint="default"/>
                <w:sz w:val="16"/>
                <w:szCs w:val="16"/>
              </w:rPr>
            </w:pPr>
            <w:r>
              <w:rPr>
                <w:rFonts w:ascii="宋体" w:hAnsi="宋体" w:cs="宋体" w:eastAsia="宋体" w:hint="default"/>
                <w:spacing w:val="2"/>
                <w:sz w:val="16"/>
                <w:szCs w:val="16"/>
              </w:rPr>
              <w:t>信息安全类集成电路及工具软件研发、生产及</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销售；电子信息产品及技术服务等方面业务。</w:t>
            </w:r>
          </w:p>
        </w:tc>
      </w:tr>
      <w:tr>
        <w:trPr>
          <w:trHeight w:val="28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8" w:right="0"/>
              <w:jc w:val="left"/>
              <w:rPr>
                <w:rFonts w:ascii="Times New Roman" w:hAnsi="Times New Roman" w:cs="Times New Roman" w:eastAsia="Times New Roman" w:hint="default"/>
                <w:sz w:val="16"/>
                <w:szCs w:val="16"/>
              </w:rPr>
            </w:pPr>
            <w:r>
              <w:rPr>
                <w:rFonts w:ascii="Times New Roman"/>
                <w:sz w:val="16"/>
              </w:rPr>
              <w:t>Pango Design</w:t>
            </w:r>
            <w:r>
              <w:rPr>
                <w:rFonts w:ascii="Times New Roman"/>
                <w:spacing w:val="-11"/>
                <w:sz w:val="16"/>
              </w:rPr>
              <w:t> </w:t>
            </w:r>
            <w:r>
              <w:rPr>
                <w:rFonts w:ascii="Times New Roman"/>
                <w:sz w:val="16"/>
              </w:rPr>
              <w:t>Systems,Inc</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US$0.5</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美国加州</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集成电路及工具软件、电子信息产品的研发。</w:t>
            </w:r>
          </w:p>
        </w:tc>
      </w:tr>
      <w:tr>
        <w:trPr>
          <w:trHeight w:val="28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北京晶智意达科技有限公司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研发咨询</w:t>
            </w:r>
          </w:p>
        </w:tc>
      </w:tr>
      <w:tr>
        <w:trPr>
          <w:trHeight w:val="478"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8" w:right="0"/>
              <w:jc w:val="left"/>
              <w:rPr>
                <w:rFonts w:ascii="宋体" w:hAnsi="宋体" w:cs="宋体" w:eastAsia="宋体" w:hint="default"/>
                <w:sz w:val="16"/>
                <w:szCs w:val="16"/>
              </w:rPr>
            </w:pPr>
            <w:r>
              <w:rPr>
                <w:rFonts w:ascii="宋体" w:hAnsi="宋体" w:cs="宋体" w:eastAsia="宋体" w:hint="default"/>
                <w:sz w:val="16"/>
                <w:szCs w:val="16"/>
              </w:rPr>
              <w:t>成都国微科技有限公司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4000.00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四川成都</w:t>
            </w:r>
          </w:p>
        </w:tc>
        <w:tc>
          <w:tcPr>
            <w:tcW w:w="3422" w:type="dxa"/>
            <w:tcBorders>
              <w:top w:val="nil" w:sz="6" w:space="0" w:color="auto"/>
              <w:left w:val="nil" w:sz="6" w:space="0" w:color="auto"/>
              <w:bottom w:val="nil" w:sz="6" w:space="0" w:color="auto"/>
              <w:right w:val="nil" w:sz="6" w:space="0" w:color="auto"/>
            </w:tcBorders>
          </w:tcPr>
          <w:p>
            <w:pPr>
              <w:pStyle w:val="TableParagraph"/>
              <w:spacing w:line="206" w:lineRule="exact" w:before="26"/>
              <w:ind w:left="59" w:right="0"/>
              <w:jc w:val="left"/>
              <w:rPr>
                <w:rFonts w:ascii="宋体" w:hAnsi="宋体" w:cs="宋体" w:eastAsia="宋体" w:hint="default"/>
                <w:sz w:val="16"/>
                <w:szCs w:val="16"/>
              </w:rPr>
            </w:pPr>
            <w:r>
              <w:rPr>
                <w:rFonts w:ascii="宋体" w:hAnsi="宋体" w:cs="宋体" w:eastAsia="宋体" w:hint="default"/>
                <w:spacing w:val="-1"/>
                <w:sz w:val="16"/>
                <w:szCs w:val="16"/>
              </w:rPr>
              <w:t>通信设备的研发、生产、销售及技术咨询服务；</w:t>
            </w:r>
            <w:r>
              <w:rPr>
                <w:rFonts w:ascii="宋体" w:hAnsi="宋体" w:cs="宋体" w:eastAsia="宋体" w:hint="default"/>
                <w:spacing w:val="-61"/>
                <w:sz w:val="16"/>
                <w:szCs w:val="16"/>
              </w:rPr>
              <w:t> </w:t>
            </w:r>
            <w:r>
              <w:rPr>
                <w:rFonts w:ascii="宋体" w:hAnsi="宋体" w:cs="宋体" w:eastAsia="宋体" w:hint="default"/>
                <w:spacing w:val="-61"/>
                <w:sz w:val="16"/>
                <w:szCs w:val="16"/>
              </w:rPr>
            </w:r>
            <w:r>
              <w:rPr>
                <w:rFonts w:ascii="宋体" w:hAnsi="宋体" w:cs="宋体" w:eastAsia="宋体" w:hint="default"/>
                <w:sz w:val="16"/>
                <w:szCs w:val="16"/>
              </w:rPr>
              <w:t>项目投资；物业管理。</w:t>
            </w:r>
          </w:p>
        </w:tc>
      </w:tr>
      <w:tr>
        <w:trPr>
          <w:trHeight w:val="28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香港同芯投资有限公司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HK$1</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半导体高科技企业项目投资</w:t>
            </w:r>
          </w:p>
        </w:tc>
      </w:tr>
      <w:tr>
        <w:trPr>
          <w:trHeight w:val="28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Times New Roman" w:hAnsi="Times New Roman" w:cs="Times New Roman" w:eastAsia="Times New Roman" w:hint="default"/>
                <w:sz w:val="16"/>
                <w:szCs w:val="16"/>
              </w:rPr>
            </w:pPr>
            <w:r>
              <w:rPr>
                <w:rFonts w:ascii="Times New Roman"/>
                <w:sz w:val="16"/>
              </w:rPr>
              <w:t>Concore Investments</w:t>
            </w:r>
            <w:r>
              <w:rPr>
                <w:rFonts w:ascii="Times New Roman"/>
                <w:spacing w:val="-15"/>
                <w:sz w:val="16"/>
              </w:rPr>
              <w:t> </w:t>
            </w:r>
            <w:r>
              <w:rPr>
                <w:rFonts w:ascii="Times New Roman"/>
                <w:sz w:val="16"/>
              </w:rPr>
              <w:t>Limited</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28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北京同芯创展投资有限公司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8000.00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项目投资、投资管理、资产管理</w:t>
            </w:r>
          </w:p>
        </w:tc>
      </w:tr>
      <w:tr>
        <w:trPr>
          <w:trHeight w:val="28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8"/>
              <w:ind w:left="28" w:right="0"/>
              <w:jc w:val="left"/>
              <w:rPr>
                <w:rFonts w:ascii="宋体" w:hAnsi="宋体" w:cs="宋体" w:eastAsia="宋体" w:hint="default"/>
                <w:sz w:val="16"/>
                <w:szCs w:val="16"/>
              </w:rPr>
            </w:pPr>
            <w:r>
              <w:rPr>
                <w:rFonts w:ascii="宋体" w:hAnsi="宋体" w:cs="宋体" w:eastAsia="宋体" w:hint="default"/>
                <w:spacing w:val="-23"/>
                <w:sz w:val="16"/>
                <w:szCs w:val="16"/>
              </w:rPr>
              <w:t>西安紫光国芯半导体有限公司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76.00%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
              <w:ind w:left="1" w:right="0"/>
              <w:jc w:val="center"/>
              <w:rPr>
                <w:rFonts w:ascii="宋体" w:hAnsi="宋体" w:cs="宋体" w:eastAsia="宋体" w:hint="default"/>
                <w:sz w:val="16"/>
                <w:szCs w:val="16"/>
              </w:rPr>
            </w:pPr>
            <w:r>
              <w:rPr>
                <w:rFonts w:ascii="宋体" w:hAnsi="宋体" w:cs="宋体" w:eastAsia="宋体" w:hint="default"/>
                <w:sz w:val="16"/>
                <w:szCs w:val="16"/>
              </w:rPr>
              <w:t>陕西西安</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8"/>
              <w:ind w:left="59" w:right="0"/>
              <w:jc w:val="left"/>
              <w:rPr>
                <w:rFonts w:ascii="宋体" w:hAnsi="宋体" w:cs="宋体" w:eastAsia="宋体" w:hint="default"/>
                <w:sz w:val="16"/>
                <w:szCs w:val="16"/>
              </w:rPr>
            </w:pPr>
            <w:r>
              <w:rPr>
                <w:rFonts w:ascii="宋体" w:hAnsi="宋体" w:cs="宋体" w:eastAsia="宋体" w:hint="default"/>
                <w:sz w:val="16"/>
                <w:szCs w:val="16"/>
              </w:rPr>
              <w:t>集成电路软硬件及相关产品的研发、生产</w:t>
            </w:r>
          </w:p>
        </w:tc>
      </w:tr>
      <w:tr>
        <w:trPr>
          <w:trHeight w:val="479"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8" w:right="63"/>
              <w:jc w:val="left"/>
              <w:rPr>
                <w:rFonts w:ascii="宋体" w:hAnsi="宋体" w:cs="宋体" w:eastAsia="宋体" w:hint="default"/>
                <w:sz w:val="16"/>
                <w:szCs w:val="16"/>
              </w:rPr>
            </w:pPr>
            <w:r>
              <w:rPr>
                <w:rFonts w:ascii="宋体" w:hAnsi="宋体" w:cs="宋体" w:eastAsia="宋体" w:hint="default"/>
                <w:spacing w:val="-1"/>
                <w:sz w:val="16"/>
                <w:szCs w:val="16"/>
              </w:rPr>
              <w:t>华芯先进集成电路技术有限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US$300.00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59" w:right="0"/>
              <w:jc w:val="left"/>
              <w:rPr>
                <w:rFonts w:ascii="宋体" w:hAnsi="宋体" w:cs="宋体" w:eastAsia="宋体" w:hint="default"/>
                <w:sz w:val="16"/>
                <w:szCs w:val="16"/>
              </w:rPr>
            </w:pPr>
            <w:r>
              <w:rPr>
                <w:rFonts w:ascii="宋体" w:hAnsi="宋体" w:cs="宋体" w:eastAsia="宋体" w:hint="default"/>
                <w:sz w:val="16"/>
                <w:szCs w:val="16"/>
              </w:rPr>
              <w:t>集成电路软硬件及相关产品的研发、生产</w:t>
            </w:r>
          </w:p>
        </w:tc>
      </w:tr>
      <w:tr>
        <w:trPr>
          <w:trHeight w:val="28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西藏拓展创芯投资有限公司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西藏拉萨</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股权投资、投资管理</w:t>
            </w:r>
          </w:p>
        </w:tc>
      </w:tr>
      <w:tr>
        <w:trPr>
          <w:trHeight w:val="28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西藏茂业创芯投资有限公司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西藏拉萨</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股权投资、投资管理</w:t>
            </w:r>
          </w:p>
        </w:tc>
      </w:tr>
      <w:tr>
        <w:trPr>
          <w:trHeight w:val="28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西藏微纳芯业投资有限公司</w:t>
            </w:r>
          </w:p>
        </w:tc>
        <w:tc>
          <w:tcPr>
            <w:tcW w:w="4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西藏拉萨</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股权投资、投资管理</w:t>
            </w:r>
          </w:p>
        </w:tc>
      </w:tr>
      <w:tr>
        <w:trPr>
          <w:trHeight w:val="267" w:hRule="exact"/>
        </w:trPr>
        <w:tc>
          <w:tcPr>
            <w:tcW w:w="2016"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28" w:right="0"/>
              <w:jc w:val="left"/>
              <w:rPr>
                <w:rFonts w:ascii="宋体" w:hAnsi="宋体" w:cs="宋体" w:eastAsia="宋体" w:hint="default"/>
                <w:sz w:val="16"/>
                <w:szCs w:val="16"/>
              </w:rPr>
            </w:pPr>
            <w:r>
              <w:rPr>
                <w:rFonts w:ascii="宋体" w:hAnsi="宋体" w:cs="宋体" w:eastAsia="宋体" w:hint="default"/>
                <w:sz w:val="16"/>
                <w:szCs w:val="16"/>
              </w:rPr>
              <w:t>同方威视技术股份有限公司</w:t>
            </w:r>
          </w:p>
        </w:tc>
        <w:tc>
          <w:tcPr>
            <w:tcW w:w="453"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5"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16500.00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57"/>
              <w:jc w:val="right"/>
              <w:rPr>
                <w:rFonts w:ascii="Times New Roman" w:hAnsi="Times New Roman" w:cs="Times New Roman" w:eastAsia="Times New Roman" w:hint="default"/>
                <w:sz w:val="16"/>
                <w:szCs w:val="16"/>
              </w:rPr>
            </w:pPr>
            <w:r>
              <w:rPr>
                <w:rFonts w:ascii="Times New Roman"/>
                <w:spacing w:val="-1"/>
                <w:sz w:val="16"/>
              </w:rPr>
              <w:t>69.09%</w:t>
            </w:r>
          </w:p>
        </w:tc>
        <w:tc>
          <w:tcPr>
            <w:tcW w:w="765"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22"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59" w:right="0"/>
              <w:jc w:val="left"/>
              <w:rPr>
                <w:rFonts w:ascii="宋体" w:hAnsi="宋体" w:cs="宋体" w:eastAsia="宋体" w:hint="default"/>
                <w:sz w:val="16"/>
                <w:szCs w:val="16"/>
              </w:rPr>
            </w:pPr>
            <w:r>
              <w:rPr>
                <w:rFonts w:ascii="宋体" w:hAnsi="宋体" w:cs="宋体" w:eastAsia="宋体" w:hint="default"/>
                <w:sz w:val="16"/>
                <w:szCs w:val="16"/>
              </w:rPr>
              <w:t>核放射集装箱</w:t>
            </w:r>
            <w:r>
              <w:rPr>
                <w:rFonts w:ascii="Times New Roman" w:hAnsi="Times New Roman" w:cs="Times New Roman" w:eastAsia="Times New Roman" w:hint="default"/>
                <w:sz w:val="16"/>
                <w:szCs w:val="16"/>
              </w:rPr>
              <w:t>/</w:t>
            </w:r>
            <w:r>
              <w:rPr>
                <w:rFonts w:ascii="宋体" w:hAnsi="宋体" w:cs="宋体" w:eastAsia="宋体" w:hint="default"/>
                <w:sz w:val="16"/>
                <w:szCs w:val="16"/>
              </w:rPr>
              <w:t>物品检查系统、工业射线装置</w:t>
            </w:r>
          </w:p>
        </w:tc>
      </w:tr>
    </w:tbl>
    <w:p>
      <w:pPr>
        <w:spacing w:after="0" w:line="240" w:lineRule="auto"/>
        <w:jc w:val="left"/>
        <w:rPr>
          <w:rFonts w:ascii="宋体" w:hAnsi="宋体" w:cs="宋体" w:eastAsia="宋体" w:hint="default"/>
          <w:sz w:val="16"/>
          <w:szCs w:val="16"/>
        </w:rPr>
        <w:sectPr>
          <w:headerReference w:type="default" r:id="rId86"/>
          <w:pgSz w:w="11910" w:h="16840"/>
          <w:pgMar w:header="645" w:footer="816" w:top="1080" w:bottom="1000" w:left="1500" w:right="144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1"/>
          <w:szCs w:val="11"/>
        </w:rPr>
      </w:pPr>
    </w:p>
    <w:tbl>
      <w:tblPr>
        <w:tblW w:w="0" w:type="auto"/>
        <w:jc w:val="left"/>
        <w:tblInd w:w="173" w:type="dxa"/>
        <w:tblLayout w:type="fixed"/>
        <w:tblCellMar>
          <w:top w:w="0" w:type="dxa"/>
          <w:left w:w="0" w:type="dxa"/>
          <w:bottom w:w="0" w:type="dxa"/>
          <w:right w:w="0" w:type="dxa"/>
        </w:tblCellMar>
        <w:tblLook w:val="01E0"/>
      </w:tblPr>
      <w:tblGrid>
        <w:gridCol w:w="2016"/>
        <w:gridCol w:w="497"/>
        <w:gridCol w:w="1190"/>
        <w:gridCol w:w="761"/>
        <w:gridCol w:w="820"/>
        <w:gridCol w:w="3395"/>
      </w:tblGrid>
      <w:tr>
        <w:trPr>
          <w:trHeight w:val="307" w:hRule="exact"/>
        </w:trPr>
        <w:tc>
          <w:tcPr>
            <w:tcW w:w="2016"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17"/>
              <w:jc w:val="center"/>
              <w:rPr>
                <w:rFonts w:ascii="宋体" w:hAnsi="宋体" w:cs="宋体" w:eastAsia="宋体" w:hint="default"/>
                <w:sz w:val="16"/>
                <w:szCs w:val="16"/>
              </w:rPr>
            </w:pPr>
            <w:r>
              <w:rPr>
                <w:rFonts w:ascii="宋体" w:hAnsi="宋体" w:cs="宋体" w:eastAsia="宋体" w:hint="default"/>
                <w:b/>
                <w:bCs/>
                <w:sz w:val="16"/>
                <w:szCs w:val="16"/>
              </w:rPr>
              <w:t>公司名称</w:t>
            </w:r>
            <w:r>
              <w:rPr>
                <w:rFonts w:ascii="宋体" w:hAnsi="宋体" w:cs="宋体" w:eastAsia="宋体" w:hint="default"/>
                <w:sz w:val="16"/>
                <w:szCs w:val="16"/>
              </w:rPr>
            </w:r>
          </w:p>
        </w:tc>
        <w:tc>
          <w:tcPr>
            <w:tcW w:w="497"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43"/>
              <w:jc w:val="center"/>
              <w:rPr>
                <w:rFonts w:ascii="宋体" w:hAnsi="宋体" w:cs="宋体" w:eastAsia="宋体" w:hint="default"/>
                <w:sz w:val="16"/>
                <w:szCs w:val="16"/>
              </w:rPr>
            </w:pPr>
            <w:r>
              <w:rPr>
                <w:rFonts w:ascii="宋体" w:hAnsi="宋体" w:cs="宋体" w:eastAsia="宋体" w:hint="default"/>
                <w:b/>
                <w:bCs/>
                <w:sz w:val="16"/>
                <w:szCs w:val="16"/>
              </w:rPr>
              <w:t>级次</w:t>
            </w:r>
            <w:r>
              <w:rPr>
                <w:rFonts w:ascii="宋体" w:hAnsi="宋体" w:cs="宋体" w:eastAsia="宋体" w:hint="default"/>
                <w:sz w:val="16"/>
                <w:szCs w:val="16"/>
              </w:rPr>
            </w:r>
          </w:p>
        </w:tc>
        <w:tc>
          <w:tcPr>
            <w:tcW w:w="1190"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249" w:right="0"/>
              <w:jc w:val="left"/>
              <w:rPr>
                <w:rFonts w:ascii="宋体" w:hAnsi="宋体" w:cs="宋体" w:eastAsia="宋体" w:hint="default"/>
                <w:sz w:val="16"/>
                <w:szCs w:val="16"/>
              </w:rPr>
            </w:pPr>
            <w:r>
              <w:rPr>
                <w:rFonts w:ascii="宋体" w:hAnsi="宋体" w:cs="宋体" w:eastAsia="宋体" w:hint="default"/>
                <w:b/>
                <w:bCs/>
                <w:sz w:val="16"/>
                <w:szCs w:val="16"/>
              </w:rPr>
              <w:t>注册资本</w:t>
            </w:r>
            <w:r>
              <w:rPr>
                <w:rFonts w:ascii="宋体" w:hAnsi="宋体" w:cs="宋体" w:eastAsia="宋体" w:hint="default"/>
                <w:sz w:val="16"/>
                <w:szCs w:val="16"/>
              </w:rPr>
            </w:r>
          </w:p>
        </w:tc>
        <w:tc>
          <w:tcPr>
            <w:tcW w:w="761"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69"/>
              <w:jc w:val="right"/>
              <w:rPr>
                <w:rFonts w:ascii="宋体" w:hAnsi="宋体" w:cs="宋体" w:eastAsia="宋体" w:hint="default"/>
                <w:sz w:val="16"/>
                <w:szCs w:val="16"/>
              </w:rPr>
            </w:pPr>
            <w:r>
              <w:rPr>
                <w:rFonts w:ascii="宋体" w:hAnsi="宋体" w:cs="宋体" w:eastAsia="宋体" w:hint="default"/>
                <w:b/>
                <w:bCs/>
                <w:sz w:val="16"/>
                <w:szCs w:val="16"/>
              </w:rPr>
              <w:t>持股比例</w:t>
            </w:r>
            <w:r>
              <w:rPr>
                <w:rFonts w:ascii="宋体" w:hAnsi="宋体" w:cs="宋体" w:eastAsia="宋体" w:hint="default"/>
                <w:sz w:val="16"/>
                <w:szCs w:val="16"/>
              </w:rPr>
            </w:r>
          </w:p>
        </w:tc>
        <w:tc>
          <w:tcPr>
            <w:tcW w:w="820"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2"/>
              <w:jc w:val="center"/>
              <w:rPr>
                <w:rFonts w:ascii="宋体" w:hAnsi="宋体" w:cs="宋体" w:eastAsia="宋体" w:hint="default"/>
                <w:sz w:val="16"/>
                <w:szCs w:val="16"/>
              </w:rPr>
            </w:pPr>
            <w:r>
              <w:rPr>
                <w:rFonts w:ascii="宋体" w:hAnsi="宋体" w:cs="宋体" w:eastAsia="宋体" w:hint="default"/>
                <w:b/>
                <w:bCs/>
                <w:sz w:val="16"/>
                <w:szCs w:val="16"/>
              </w:rPr>
              <w:t>注册地址</w:t>
            </w:r>
            <w:r>
              <w:rPr>
                <w:rFonts w:ascii="宋体" w:hAnsi="宋体" w:cs="宋体" w:eastAsia="宋体" w:hint="default"/>
                <w:sz w:val="16"/>
                <w:szCs w:val="16"/>
              </w:rPr>
            </w:r>
          </w:p>
        </w:tc>
        <w:tc>
          <w:tcPr>
            <w:tcW w:w="3395"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49"/>
              <w:jc w:val="center"/>
              <w:rPr>
                <w:rFonts w:ascii="宋体" w:hAnsi="宋体" w:cs="宋体" w:eastAsia="宋体" w:hint="default"/>
                <w:sz w:val="16"/>
                <w:szCs w:val="16"/>
              </w:rPr>
            </w:pPr>
            <w:r>
              <w:rPr>
                <w:rFonts w:ascii="宋体" w:hAnsi="宋体" w:cs="宋体" w:eastAsia="宋体" w:hint="default"/>
                <w:b/>
                <w:bCs/>
                <w:sz w:val="16"/>
                <w:szCs w:val="16"/>
              </w:rPr>
              <w:t>主营业务</w:t>
            </w:r>
            <w:r>
              <w:rPr>
                <w:rFonts w:ascii="宋体" w:hAnsi="宋体" w:cs="宋体" w:eastAsia="宋体" w:hint="default"/>
                <w:sz w:val="16"/>
                <w:szCs w:val="16"/>
              </w:rPr>
            </w:r>
          </w:p>
        </w:tc>
      </w:tr>
      <w:tr>
        <w:trPr>
          <w:trHeight w:val="513" w:hRule="exact"/>
        </w:trPr>
        <w:tc>
          <w:tcPr>
            <w:tcW w:w="2016" w:type="dxa"/>
            <w:tcBorders>
              <w:top w:val="single" w:sz="4" w:space="0" w:color="000000"/>
              <w:left w:val="nil" w:sz="6" w:space="0" w:color="auto"/>
              <w:bottom w:val="nil" w:sz="6" w:space="0" w:color="auto"/>
              <w:right w:val="nil" w:sz="6" w:space="0" w:color="auto"/>
            </w:tcBorders>
          </w:tcPr>
          <w:p>
            <w:pPr>
              <w:pStyle w:val="TableParagraph"/>
              <w:spacing w:line="206" w:lineRule="exact" w:before="56"/>
              <w:ind w:left="28" w:right="63"/>
              <w:jc w:val="left"/>
              <w:rPr>
                <w:rFonts w:ascii="宋体" w:hAnsi="宋体" w:cs="宋体" w:eastAsia="宋体" w:hint="default"/>
                <w:sz w:val="16"/>
                <w:szCs w:val="16"/>
              </w:rPr>
            </w:pPr>
            <w:r>
              <w:rPr>
                <w:rFonts w:ascii="宋体" w:hAnsi="宋体" w:cs="宋体" w:eastAsia="宋体" w:hint="default"/>
                <w:spacing w:val="-1"/>
                <w:sz w:val="16"/>
                <w:szCs w:val="16"/>
              </w:rPr>
              <w:t>清华同方威视技术（香港）</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有限公司</w:t>
            </w:r>
          </w:p>
        </w:tc>
        <w:tc>
          <w:tcPr>
            <w:tcW w:w="497" w:type="dxa"/>
            <w:tcBorders>
              <w:top w:val="single" w:sz="4" w:space="0" w:color="000000"/>
              <w:left w:val="nil" w:sz="6" w:space="0" w:color="auto"/>
              <w:bottom w:val="nil" w:sz="6" w:space="0" w:color="auto"/>
              <w:right w:val="nil" w:sz="6" w:space="0" w:color="auto"/>
            </w:tcBorders>
          </w:tcPr>
          <w:p>
            <w:pPr>
              <w:pStyle w:val="TableParagraph"/>
              <w:spacing w:line="240" w:lineRule="auto" w:before="137"/>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single" w:sz="4" w:space="0" w:color="000000"/>
              <w:left w:val="nil" w:sz="6" w:space="0" w:color="auto"/>
              <w:bottom w:val="nil" w:sz="6" w:space="0" w:color="auto"/>
              <w:right w:val="nil" w:sz="6" w:space="0" w:color="auto"/>
            </w:tcBorders>
          </w:tcPr>
          <w:p>
            <w:pPr>
              <w:pStyle w:val="TableParagraph"/>
              <w:spacing w:line="240" w:lineRule="auto" w:before="137"/>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HK$2259.74</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万</w:t>
            </w:r>
          </w:p>
        </w:tc>
        <w:tc>
          <w:tcPr>
            <w:tcW w:w="761"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single" w:sz="4" w:space="0" w:color="000000"/>
              <w:left w:val="nil" w:sz="6" w:space="0" w:color="auto"/>
              <w:bottom w:val="nil" w:sz="6" w:space="0" w:color="auto"/>
              <w:right w:val="nil" w:sz="6" w:space="0" w:color="auto"/>
            </w:tcBorders>
          </w:tcPr>
          <w:p>
            <w:pPr>
              <w:pStyle w:val="TableParagraph"/>
              <w:spacing w:line="240" w:lineRule="auto" w:before="137"/>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395" w:type="dxa"/>
            <w:tcBorders>
              <w:top w:val="single" w:sz="4" w:space="0" w:color="000000"/>
              <w:left w:val="nil" w:sz="6" w:space="0" w:color="auto"/>
              <w:bottom w:val="nil" w:sz="6" w:space="0" w:color="auto"/>
              <w:right w:val="nil" w:sz="6" w:space="0" w:color="auto"/>
            </w:tcBorders>
          </w:tcPr>
          <w:p>
            <w:pPr>
              <w:pStyle w:val="TableParagraph"/>
              <w:spacing w:line="240" w:lineRule="auto" w:before="137"/>
              <w:ind w:left="32" w:right="0"/>
              <w:jc w:val="left"/>
              <w:rPr>
                <w:rFonts w:ascii="宋体" w:hAnsi="宋体" w:cs="宋体" w:eastAsia="宋体" w:hint="default"/>
                <w:sz w:val="16"/>
                <w:szCs w:val="16"/>
              </w:rPr>
            </w:pPr>
            <w:r>
              <w:rPr>
                <w:rFonts w:ascii="宋体" w:hAnsi="宋体" w:cs="宋体" w:eastAsia="宋体" w:hint="default"/>
                <w:sz w:val="16"/>
                <w:szCs w:val="16"/>
              </w:rPr>
              <w:t>集装箱检查系统安装服务与技术支持</w:t>
            </w:r>
          </w:p>
        </w:tc>
      </w:tr>
      <w:tr>
        <w:trPr>
          <w:trHeight w:val="27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8" w:right="0"/>
              <w:jc w:val="left"/>
              <w:rPr>
                <w:rFonts w:ascii="Times New Roman" w:hAnsi="Times New Roman" w:cs="Times New Roman" w:eastAsia="Times New Roman" w:hint="default"/>
                <w:sz w:val="16"/>
                <w:szCs w:val="16"/>
              </w:rPr>
            </w:pPr>
            <w:r>
              <w:rPr>
                <w:rFonts w:ascii="Times New Roman"/>
                <w:sz w:val="16"/>
              </w:rPr>
              <w:t>Nuctech Sydney Pty</w:t>
            </w:r>
            <w:r>
              <w:rPr>
                <w:rFonts w:ascii="Times New Roman"/>
                <w:spacing w:val="-14"/>
                <w:sz w:val="16"/>
              </w:rPr>
              <w:t> </w:t>
            </w:r>
            <w:r>
              <w:rPr>
                <w:rFonts w:ascii="Times New Roman"/>
                <w:sz w:val="16"/>
              </w:rPr>
              <w:t>Ltd.</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AU$7.50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9"/>
              <w:jc w:val="right"/>
              <w:rPr>
                <w:rFonts w:ascii="Times New Roman" w:hAnsi="Times New Roman" w:cs="Times New Roman" w:eastAsia="Times New Roman" w:hint="default"/>
                <w:sz w:val="16"/>
                <w:szCs w:val="16"/>
              </w:rPr>
            </w:pPr>
            <w:r>
              <w:rPr>
                <w:rFonts w:ascii="Times New Roman"/>
                <w:spacing w:val="-1"/>
                <w:sz w:val="16"/>
              </w:rPr>
              <w:t>90.00%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澳洲悉尼</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9"/>
              <w:ind w:left="3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X</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射线检查设备安装、分销及维护</w:t>
            </w:r>
          </w:p>
        </w:tc>
      </w:tr>
      <w:tr>
        <w:trPr>
          <w:trHeight w:val="437"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8" w:right="581"/>
              <w:jc w:val="left"/>
              <w:rPr>
                <w:rFonts w:ascii="Times New Roman" w:hAnsi="Times New Roman" w:cs="Times New Roman" w:eastAsia="Times New Roman" w:hint="default"/>
                <w:sz w:val="16"/>
                <w:szCs w:val="16"/>
              </w:rPr>
            </w:pPr>
            <w:r>
              <w:rPr>
                <w:rFonts w:ascii="Times New Roman"/>
                <w:sz w:val="16"/>
              </w:rPr>
              <w:t>Nuctech Warsaw</w:t>
            </w:r>
            <w:r>
              <w:rPr>
                <w:rFonts w:ascii="Times New Roman"/>
                <w:spacing w:val="-7"/>
                <w:sz w:val="16"/>
              </w:rPr>
              <w:t> </w:t>
            </w:r>
            <w:r>
              <w:rPr>
                <w:rFonts w:ascii="Times New Roman"/>
                <w:sz w:val="16"/>
              </w:rPr>
              <w:t>Co.,</w:t>
            </w:r>
            <w:r>
              <w:rPr>
                <w:rFonts w:ascii="Times New Roman"/>
                <w:w w:val="100"/>
                <w:sz w:val="16"/>
              </w:rPr>
              <w:t> </w:t>
            </w:r>
            <w:r>
              <w:rPr>
                <w:rFonts w:ascii="Times New Roman"/>
                <w:sz w:val="16"/>
              </w:rPr>
              <w:t>Limited Sp. z</w:t>
            </w:r>
            <w:r>
              <w:rPr>
                <w:rFonts w:ascii="Times New Roman"/>
                <w:spacing w:val="-7"/>
                <w:sz w:val="16"/>
              </w:rPr>
              <w:t> </w:t>
            </w:r>
            <w:r>
              <w:rPr>
                <w:rFonts w:ascii="Times New Roman"/>
                <w:sz w:val="16"/>
              </w:rPr>
              <w:t>o.o.</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PolZ1240.00</w:t>
            </w:r>
            <w:r>
              <w:rPr>
                <w:rFonts w:ascii="Times New Roman" w:hAnsi="Times New Roman" w:cs="Times New Roman" w:eastAsia="Times New Roman" w:hint="default"/>
                <w:spacing w:val="-6"/>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9"/>
              <w:jc w:val="right"/>
              <w:rPr>
                <w:rFonts w:ascii="Times New Roman" w:hAnsi="Times New Roman" w:cs="Times New Roman" w:eastAsia="Times New Roman" w:hint="default"/>
                <w:sz w:val="16"/>
                <w:szCs w:val="16"/>
              </w:rPr>
            </w:pPr>
            <w:r>
              <w:rPr>
                <w:rFonts w:ascii="Times New Roman"/>
                <w:spacing w:val="-1"/>
                <w:sz w:val="16"/>
              </w:rPr>
              <w:t>99.99%</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 w:right="0"/>
              <w:jc w:val="center"/>
              <w:rPr>
                <w:rFonts w:ascii="宋体" w:hAnsi="宋体" w:cs="宋体" w:eastAsia="宋体" w:hint="default"/>
                <w:sz w:val="16"/>
                <w:szCs w:val="16"/>
              </w:rPr>
            </w:pPr>
            <w:r>
              <w:rPr>
                <w:rFonts w:ascii="宋体" w:hAnsi="宋体" w:cs="宋体" w:eastAsia="宋体" w:hint="default"/>
                <w:sz w:val="16"/>
                <w:szCs w:val="16"/>
              </w:rPr>
              <w:t>波兰华沙</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X</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射线检查设备安装、分销及维护</w:t>
            </w:r>
          </w:p>
        </w:tc>
      </w:tr>
      <w:tr>
        <w:trPr>
          <w:trHeight w:val="62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8" w:right="304"/>
              <w:jc w:val="left"/>
              <w:rPr>
                <w:rFonts w:ascii="Times New Roman" w:hAnsi="Times New Roman" w:cs="Times New Roman" w:eastAsia="Times New Roman" w:hint="default"/>
                <w:sz w:val="16"/>
                <w:szCs w:val="16"/>
              </w:rPr>
            </w:pPr>
            <w:r>
              <w:rPr>
                <w:rFonts w:ascii="Times New Roman" w:hAnsi="Times New Roman"/>
                <w:sz w:val="16"/>
              </w:rPr>
              <w:t>Nuctech Ankara</w:t>
            </w:r>
            <w:r>
              <w:rPr>
                <w:rFonts w:ascii="Times New Roman" w:hAnsi="Times New Roman"/>
                <w:spacing w:val="-9"/>
                <w:sz w:val="16"/>
              </w:rPr>
              <w:t> </w:t>
            </w:r>
            <w:r>
              <w:rPr>
                <w:rFonts w:ascii="Times New Roman" w:hAnsi="Times New Roman"/>
                <w:sz w:val="16"/>
              </w:rPr>
              <w:t>Güvenlik</w:t>
            </w:r>
            <w:r>
              <w:rPr>
                <w:rFonts w:ascii="Times New Roman" w:hAnsi="Times New Roman"/>
                <w:w w:val="100"/>
                <w:sz w:val="16"/>
              </w:rPr>
              <w:t> </w:t>
            </w:r>
            <w:r>
              <w:rPr>
                <w:rFonts w:ascii="Times New Roman" w:hAnsi="Times New Roman"/>
                <w:sz w:val="16"/>
              </w:rPr>
              <w:t>Sistemleri Sanayi ve</w:t>
            </w:r>
            <w:r>
              <w:rPr>
                <w:rFonts w:ascii="Times New Roman" w:hAnsi="Times New Roman"/>
                <w:spacing w:val="-5"/>
                <w:sz w:val="16"/>
              </w:rPr>
              <w:t> </w:t>
            </w:r>
            <w:r>
              <w:rPr>
                <w:rFonts w:ascii="Times New Roman" w:hAnsi="Times New Roman"/>
                <w:sz w:val="16"/>
              </w:rPr>
              <w:t>Dis</w:t>
            </w:r>
            <w:r>
              <w:rPr>
                <w:rFonts w:ascii="Times New Roman" w:hAnsi="Times New Roman"/>
                <w:w w:val="100"/>
                <w:sz w:val="16"/>
              </w:rPr>
              <w:t> </w:t>
            </w:r>
            <w:r>
              <w:rPr>
                <w:rFonts w:ascii="Times New Roman" w:hAnsi="Times New Roman"/>
                <w:sz w:val="16"/>
              </w:rPr>
              <w:t>Ticaret Limited</w:t>
            </w:r>
            <w:r>
              <w:rPr>
                <w:rFonts w:ascii="Times New Roman" w:hAnsi="Times New Roman"/>
                <w:spacing w:val="-12"/>
                <w:sz w:val="16"/>
              </w:rPr>
              <w:t> </w:t>
            </w:r>
            <w:r>
              <w:rPr>
                <w:rFonts w:ascii="Times New Roman" w:hAnsi="Times New Roman"/>
                <w:sz w:val="16"/>
              </w:rPr>
              <w:t>Sirketi</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5"/>
                <w:szCs w:val="15"/>
              </w:rPr>
            </w:pPr>
          </w:p>
          <w:p>
            <w:pPr>
              <w:pStyle w:val="TableParagraph"/>
              <w:spacing w:line="240" w:lineRule="auto"/>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5"/>
                <w:szCs w:val="15"/>
              </w:rPr>
            </w:pPr>
          </w:p>
          <w:p>
            <w:pPr>
              <w:pStyle w:val="TableParagraph"/>
              <w:spacing w:line="240" w:lineRule="auto"/>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TurL65.00</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29"/>
              <w:jc w:val="right"/>
              <w:rPr>
                <w:rFonts w:ascii="Times New Roman" w:hAnsi="Times New Roman" w:cs="Times New Roman" w:eastAsia="Times New Roman" w:hint="default"/>
                <w:sz w:val="16"/>
                <w:szCs w:val="16"/>
              </w:rPr>
            </w:pPr>
            <w:r>
              <w:rPr>
                <w:rFonts w:ascii="Times New Roman"/>
                <w:spacing w:val="-1"/>
                <w:sz w:val="16"/>
              </w:rPr>
              <w:t>80.00%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68" w:right="167"/>
              <w:jc w:val="left"/>
              <w:rPr>
                <w:rFonts w:ascii="宋体" w:hAnsi="宋体" w:cs="宋体" w:eastAsia="宋体" w:hint="default"/>
                <w:sz w:val="16"/>
                <w:szCs w:val="16"/>
              </w:rPr>
            </w:pPr>
            <w:r>
              <w:rPr>
                <w:rFonts w:ascii="宋体" w:hAnsi="宋体" w:cs="宋体" w:eastAsia="宋体" w:hint="default"/>
                <w:sz w:val="16"/>
                <w:szCs w:val="16"/>
              </w:rPr>
              <w:t>土耳其</w:t>
            </w:r>
            <w:r>
              <w:rPr>
                <w:rFonts w:ascii="宋体" w:hAnsi="宋体" w:cs="宋体" w:eastAsia="宋体" w:hint="default"/>
                <w:spacing w:val="-78"/>
                <w:sz w:val="16"/>
                <w:szCs w:val="16"/>
              </w:rPr>
              <w:t> </w:t>
            </w:r>
            <w:r>
              <w:rPr>
                <w:rFonts w:ascii="宋体" w:hAnsi="宋体" w:cs="宋体" w:eastAsia="宋体" w:hint="default"/>
                <w:sz w:val="16"/>
                <w:szCs w:val="16"/>
              </w:rPr>
              <w:t>安卡拉</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5"/>
                <w:szCs w:val="15"/>
              </w:rPr>
            </w:pPr>
          </w:p>
          <w:p>
            <w:pPr>
              <w:pStyle w:val="TableParagraph"/>
              <w:spacing w:line="240" w:lineRule="auto"/>
              <w:ind w:left="3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X</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射线检查设备安装、分销及维护</w:t>
            </w:r>
          </w:p>
        </w:tc>
      </w:tr>
      <w:tr>
        <w:trPr>
          <w:trHeight w:val="27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8" w:right="0"/>
              <w:jc w:val="left"/>
              <w:rPr>
                <w:rFonts w:ascii="Times New Roman" w:hAnsi="Times New Roman" w:cs="Times New Roman" w:eastAsia="Times New Roman" w:hint="default"/>
                <w:sz w:val="16"/>
                <w:szCs w:val="16"/>
              </w:rPr>
            </w:pPr>
            <w:r>
              <w:rPr>
                <w:rFonts w:ascii="Times New Roman"/>
                <w:sz w:val="16"/>
              </w:rPr>
              <w:t>Deltrade 11 (Proprietary)</w:t>
            </w:r>
            <w:r>
              <w:rPr>
                <w:rFonts w:ascii="Times New Roman"/>
                <w:spacing w:val="-17"/>
                <w:sz w:val="16"/>
              </w:rPr>
              <w:t> </w:t>
            </w:r>
            <w:r>
              <w:rPr>
                <w:rFonts w:ascii="Times New Roman"/>
                <w:sz w:val="16"/>
              </w:rPr>
              <w:t>Ltd.</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SAL0.01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9"/>
              <w:jc w:val="right"/>
              <w:rPr>
                <w:rFonts w:ascii="Times New Roman" w:hAnsi="Times New Roman" w:cs="Times New Roman" w:eastAsia="Times New Roman" w:hint="default"/>
                <w:sz w:val="16"/>
                <w:szCs w:val="16"/>
              </w:rPr>
            </w:pPr>
            <w:r>
              <w:rPr>
                <w:rFonts w:ascii="Times New Roman"/>
                <w:spacing w:val="-1"/>
                <w:sz w:val="16"/>
              </w:rPr>
              <w:t>50.10%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
              <w:ind w:left="1" w:right="0"/>
              <w:jc w:val="center"/>
              <w:rPr>
                <w:rFonts w:ascii="宋体" w:hAnsi="宋体" w:cs="宋体" w:eastAsia="宋体" w:hint="default"/>
                <w:sz w:val="16"/>
                <w:szCs w:val="16"/>
              </w:rPr>
            </w:pPr>
            <w:r>
              <w:rPr>
                <w:rFonts w:ascii="宋体" w:hAnsi="宋体" w:cs="宋体" w:eastAsia="宋体" w:hint="default"/>
                <w:sz w:val="16"/>
                <w:szCs w:val="16"/>
              </w:rPr>
              <w:t>南非</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1"/>
              <w:ind w:left="3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X</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射线检查设备安装、分销及维护</w:t>
            </w:r>
          </w:p>
        </w:tc>
      </w:tr>
      <w:tr>
        <w:trPr>
          <w:trHeight w:val="44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30"/>
              <w:ind w:left="28" w:right="294"/>
              <w:jc w:val="left"/>
              <w:rPr>
                <w:rFonts w:ascii="Times New Roman" w:hAnsi="Times New Roman" w:cs="Times New Roman" w:eastAsia="Times New Roman" w:hint="default"/>
                <w:sz w:val="16"/>
                <w:szCs w:val="16"/>
              </w:rPr>
            </w:pPr>
            <w:r>
              <w:rPr>
                <w:rFonts w:ascii="Times New Roman"/>
                <w:sz w:val="16"/>
              </w:rPr>
              <w:t>NUCTECH</w:t>
            </w:r>
            <w:r>
              <w:rPr>
                <w:rFonts w:ascii="Times New Roman"/>
                <w:spacing w:val="-8"/>
                <w:sz w:val="16"/>
              </w:rPr>
              <w:t> </w:t>
            </w:r>
            <w:r>
              <w:rPr>
                <w:rFonts w:ascii="Times New Roman"/>
                <w:sz w:val="16"/>
              </w:rPr>
              <w:t>SINGAPORE</w:t>
            </w:r>
            <w:r>
              <w:rPr>
                <w:rFonts w:ascii="Times New Roman"/>
                <w:w w:val="100"/>
                <w:sz w:val="16"/>
              </w:rPr>
              <w:t> </w:t>
            </w:r>
            <w:r>
              <w:rPr>
                <w:rFonts w:ascii="Times New Roman"/>
                <w:sz w:val="16"/>
              </w:rPr>
              <w:t>PRIVATE</w:t>
            </w:r>
            <w:r>
              <w:rPr>
                <w:rFonts w:ascii="Times New Roman"/>
                <w:spacing w:val="-9"/>
                <w:sz w:val="16"/>
              </w:rPr>
              <w:t> </w:t>
            </w:r>
            <w:r>
              <w:rPr>
                <w:rFonts w:ascii="Times New Roman"/>
                <w:sz w:val="16"/>
              </w:rPr>
              <w:t>LIMITED</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SGP$150.00</w:t>
            </w:r>
            <w:r>
              <w:rPr>
                <w:rFonts w:ascii="Times New Roman" w:hAnsi="Times New Roman" w:cs="Times New Roman" w:eastAsia="Times New Roman" w:hint="default"/>
                <w:spacing w:val="-6"/>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0"/>
              <w:jc w:val="center"/>
              <w:rPr>
                <w:rFonts w:ascii="宋体" w:hAnsi="宋体" w:cs="宋体" w:eastAsia="宋体" w:hint="default"/>
                <w:sz w:val="16"/>
                <w:szCs w:val="16"/>
              </w:rPr>
            </w:pPr>
            <w:r>
              <w:rPr>
                <w:rFonts w:ascii="宋体" w:hAnsi="宋体" w:cs="宋体" w:eastAsia="宋体" w:hint="default"/>
                <w:sz w:val="16"/>
                <w:szCs w:val="16"/>
              </w:rPr>
              <w:t>新加坡</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X</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射线检查设备安装、分销及维护</w:t>
            </w:r>
          </w:p>
        </w:tc>
      </w:tr>
      <w:tr>
        <w:trPr>
          <w:trHeight w:val="27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32"/>
              <w:ind w:left="28" w:right="0"/>
              <w:jc w:val="left"/>
              <w:rPr>
                <w:rFonts w:ascii="Times New Roman" w:hAnsi="Times New Roman" w:cs="Times New Roman" w:eastAsia="Times New Roman" w:hint="default"/>
                <w:sz w:val="16"/>
                <w:szCs w:val="16"/>
              </w:rPr>
            </w:pPr>
            <w:r>
              <w:rPr>
                <w:rFonts w:ascii="Times New Roman"/>
                <w:sz w:val="16"/>
              </w:rPr>
              <w:t>NUCTECH PANAMA,</w:t>
            </w:r>
            <w:r>
              <w:rPr>
                <w:rFonts w:ascii="Times New Roman"/>
                <w:spacing w:val="-12"/>
                <w:sz w:val="16"/>
              </w:rPr>
              <w:t> </w:t>
            </w:r>
            <w:r>
              <w:rPr>
                <w:rFonts w:ascii="Times New Roman"/>
                <w:sz w:val="16"/>
              </w:rPr>
              <w:t>S.A.</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US$151.00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center"/>
              <w:rPr>
                <w:rFonts w:ascii="宋体" w:hAnsi="宋体" w:cs="宋体" w:eastAsia="宋体" w:hint="default"/>
                <w:sz w:val="16"/>
                <w:szCs w:val="16"/>
              </w:rPr>
            </w:pPr>
            <w:r>
              <w:rPr>
                <w:rFonts w:ascii="宋体" w:hAnsi="宋体" w:cs="宋体" w:eastAsia="宋体" w:hint="default"/>
                <w:sz w:val="16"/>
                <w:szCs w:val="16"/>
              </w:rPr>
              <w:t>巴拿马</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2"/>
              <w:ind w:left="3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X</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射线检查设备安装、分销及维护</w:t>
            </w:r>
          </w:p>
        </w:tc>
      </w:tr>
      <w:tr>
        <w:trPr>
          <w:trHeight w:val="438"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8" w:right="349"/>
              <w:jc w:val="left"/>
              <w:rPr>
                <w:rFonts w:ascii="Times New Roman" w:hAnsi="Times New Roman" w:cs="Times New Roman" w:eastAsia="Times New Roman" w:hint="default"/>
                <w:sz w:val="16"/>
                <w:szCs w:val="16"/>
              </w:rPr>
            </w:pPr>
            <w:r>
              <w:rPr>
                <w:rFonts w:ascii="Times New Roman"/>
                <w:sz w:val="16"/>
              </w:rPr>
              <w:t>NUCTECH DO</w:t>
            </w:r>
            <w:r>
              <w:rPr>
                <w:rFonts w:ascii="Times New Roman"/>
                <w:spacing w:val="-6"/>
                <w:sz w:val="16"/>
              </w:rPr>
              <w:t> </w:t>
            </w:r>
            <w:r>
              <w:rPr>
                <w:rFonts w:ascii="Times New Roman"/>
                <w:sz w:val="16"/>
              </w:rPr>
              <w:t>BRASIL</w:t>
            </w:r>
            <w:r>
              <w:rPr>
                <w:rFonts w:ascii="Times New Roman"/>
                <w:w w:val="100"/>
                <w:sz w:val="16"/>
              </w:rPr>
              <w:t> </w:t>
            </w:r>
            <w:r>
              <w:rPr>
                <w:rFonts w:ascii="Times New Roman"/>
                <w:sz w:val="16"/>
              </w:rPr>
              <w:t>LTDA</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US$80.00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 w:right="0"/>
              <w:jc w:val="center"/>
              <w:rPr>
                <w:rFonts w:ascii="宋体" w:hAnsi="宋体" w:cs="宋体" w:eastAsia="宋体" w:hint="default"/>
                <w:sz w:val="16"/>
                <w:szCs w:val="16"/>
              </w:rPr>
            </w:pPr>
            <w:r>
              <w:rPr>
                <w:rFonts w:ascii="宋体" w:hAnsi="宋体" w:cs="宋体" w:eastAsia="宋体" w:hint="default"/>
                <w:sz w:val="16"/>
                <w:szCs w:val="16"/>
              </w:rPr>
              <w:t>巴西</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87"/>
              <w:ind w:left="3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X</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射线检查设备安装、分销及维护</w:t>
            </w:r>
          </w:p>
        </w:tc>
      </w:tr>
      <w:tr>
        <w:trPr>
          <w:trHeight w:val="468"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28" w:right="0"/>
              <w:jc w:val="left"/>
              <w:rPr>
                <w:rFonts w:ascii="Times New Roman" w:hAnsi="Times New Roman" w:cs="Times New Roman" w:eastAsia="Times New Roman" w:hint="default"/>
                <w:sz w:val="16"/>
                <w:szCs w:val="16"/>
              </w:rPr>
            </w:pPr>
            <w:r>
              <w:rPr>
                <w:rFonts w:ascii="Times New Roman"/>
                <w:sz w:val="16"/>
              </w:rPr>
              <w:t>Nuctech Middle East</w:t>
            </w:r>
            <w:r>
              <w:rPr>
                <w:rFonts w:ascii="Times New Roman"/>
                <w:spacing w:val="-4"/>
                <w:sz w:val="16"/>
              </w:rPr>
              <w:t> </w:t>
            </w:r>
            <w:r>
              <w:rPr>
                <w:rFonts w:ascii="Times New Roman"/>
                <w:spacing w:val="-3"/>
                <w:sz w:val="16"/>
              </w:rPr>
              <w:t>FZE</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AED7.00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06" w:lineRule="exact" w:before="19"/>
              <w:ind w:left="250" w:right="167" w:hanging="82"/>
              <w:jc w:val="left"/>
              <w:rPr>
                <w:rFonts w:ascii="宋体" w:hAnsi="宋体" w:cs="宋体" w:eastAsia="宋体" w:hint="default"/>
                <w:sz w:val="16"/>
                <w:szCs w:val="16"/>
              </w:rPr>
            </w:pPr>
            <w:r>
              <w:rPr>
                <w:rFonts w:ascii="宋体" w:hAnsi="宋体" w:cs="宋体" w:eastAsia="宋体" w:hint="default"/>
                <w:sz w:val="16"/>
                <w:szCs w:val="16"/>
              </w:rPr>
              <w:t>阿联酋</w:t>
            </w:r>
            <w:r>
              <w:rPr>
                <w:rFonts w:ascii="宋体" w:hAnsi="宋体" w:cs="宋体" w:eastAsia="宋体" w:hint="default"/>
                <w:spacing w:val="-78"/>
                <w:sz w:val="16"/>
                <w:szCs w:val="16"/>
              </w:rPr>
              <w:t> </w:t>
            </w:r>
            <w:r>
              <w:rPr>
                <w:rFonts w:ascii="宋体" w:hAnsi="宋体" w:cs="宋体" w:eastAsia="宋体" w:hint="default"/>
                <w:sz w:val="16"/>
                <w:szCs w:val="16"/>
              </w:rPr>
              <w:t>迪拜</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3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X</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射线检查设备安装、分销及维护</w:t>
            </w:r>
          </w:p>
        </w:tc>
      </w:tr>
      <w:tr>
        <w:trPr>
          <w:trHeight w:val="483"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8" w:right="232"/>
              <w:jc w:val="left"/>
              <w:rPr>
                <w:rFonts w:ascii="Times New Roman" w:hAnsi="Times New Roman" w:cs="Times New Roman" w:eastAsia="Times New Roman" w:hint="default"/>
                <w:sz w:val="16"/>
                <w:szCs w:val="16"/>
              </w:rPr>
            </w:pPr>
            <w:r>
              <w:rPr>
                <w:rFonts w:ascii="Times New Roman"/>
                <w:sz w:val="16"/>
              </w:rPr>
              <w:t>Nuctech South Africa</w:t>
            </w:r>
            <w:r>
              <w:rPr>
                <w:rFonts w:ascii="Times New Roman"/>
                <w:spacing w:val="-12"/>
                <w:sz w:val="16"/>
              </w:rPr>
              <w:t> </w:t>
            </w:r>
            <w:r>
              <w:rPr>
                <w:rFonts w:ascii="Times New Roman"/>
                <w:sz w:val="16"/>
              </w:rPr>
              <w:t>(Pty)</w:t>
            </w:r>
            <w:r>
              <w:rPr>
                <w:rFonts w:ascii="Times New Roman"/>
                <w:w w:val="100"/>
                <w:sz w:val="16"/>
              </w:rPr>
              <w:t> </w:t>
            </w:r>
            <w:r>
              <w:rPr>
                <w:rFonts w:ascii="Times New Roman"/>
                <w:sz w:val="16"/>
              </w:rPr>
              <w:t>Ltd</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ZAR0.1</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08" w:lineRule="exact" w:before="5"/>
              <w:ind w:left="89" w:right="0"/>
              <w:jc w:val="left"/>
              <w:rPr>
                <w:rFonts w:ascii="宋体" w:hAnsi="宋体" w:cs="宋体" w:eastAsia="宋体" w:hint="default"/>
                <w:sz w:val="16"/>
                <w:szCs w:val="16"/>
              </w:rPr>
            </w:pPr>
            <w:r>
              <w:rPr>
                <w:rFonts w:ascii="宋体" w:hAnsi="宋体" w:cs="宋体" w:eastAsia="宋体" w:hint="default"/>
                <w:sz w:val="16"/>
                <w:szCs w:val="16"/>
              </w:rPr>
              <w:t>南非豪登</w:t>
            </w:r>
          </w:p>
          <w:p>
            <w:pPr>
              <w:pStyle w:val="TableParagraph"/>
              <w:spacing w:line="220" w:lineRule="exact"/>
              <w:ind w:left="31"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Gauteng)</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X</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射线检查设备安装、分销及维护</w:t>
            </w:r>
          </w:p>
        </w:tc>
      </w:tr>
      <w:tr>
        <w:trPr>
          <w:trHeight w:val="28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28" w:right="0"/>
              <w:jc w:val="left"/>
              <w:rPr>
                <w:rFonts w:ascii="Times New Roman" w:hAnsi="Times New Roman" w:cs="Times New Roman" w:eastAsia="Times New Roman" w:hint="default"/>
                <w:sz w:val="16"/>
                <w:szCs w:val="16"/>
              </w:rPr>
            </w:pPr>
            <w:r>
              <w:rPr>
                <w:rFonts w:ascii="Times New Roman"/>
                <w:sz w:val="16"/>
              </w:rPr>
              <w:t>CRESCIENDO</w:t>
            </w:r>
            <w:r>
              <w:rPr>
                <w:rFonts w:ascii="Times New Roman"/>
                <w:spacing w:val="-4"/>
                <w:sz w:val="16"/>
              </w:rPr>
              <w:t> </w:t>
            </w:r>
            <w:r>
              <w:rPr>
                <w:rFonts w:ascii="Times New Roman"/>
                <w:sz w:val="16"/>
              </w:rPr>
              <w:t>SPA</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CLF 500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 w:right="0"/>
              <w:jc w:val="center"/>
              <w:rPr>
                <w:rFonts w:ascii="宋体" w:hAnsi="宋体" w:cs="宋体" w:eastAsia="宋体" w:hint="default"/>
                <w:sz w:val="16"/>
                <w:szCs w:val="16"/>
              </w:rPr>
            </w:pPr>
            <w:r>
              <w:rPr>
                <w:rFonts w:ascii="宋体" w:hAnsi="宋体" w:cs="宋体" w:eastAsia="宋体" w:hint="default"/>
                <w:sz w:val="16"/>
                <w:szCs w:val="16"/>
              </w:rPr>
              <w:t>智利</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32"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X</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射线检查设备安装、分销及维护</w:t>
            </w:r>
          </w:p>
        </w:tc>
      </w:tr>
      <w:tr>
        <w:trPr>
          <w:trHeight w:val="28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北京固鸿科技有限公司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9"/>
              <w:ind w:left="32" w:right="0"/>
              <w:jc w:val="left"/>
              <w:rPr>
                <w:rFonts w:ascii="宋体" w:hAnsi="宋体" w:cs="宋体" w:eastAsia="宋体" w:hint="default"/>
                <w:sz w:val="16"/>
                <w:szCs w:val="16"/>
              </w:rPr>
            </w:pPr>
            <w:r>
              <w:rPr>
                <w:rFonts w:ascii="宋体" w:hAnsi="宋体" w:cs="宋体" w:eastAsia="宋体" w:hint="default"/>
                <w:sz w:val="16"/>
                <w:szCs w:val="16"/>
              </w:rPr>
              <w:t>工业射线装置销售及安装服务</w:t>
            </w:r>
          </w:p>
        </w:tc>
      </w:tr>
      <w:tr>
        <w:trPr>
          <w:trHeight w:val="4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
              <w:ind w:left="28" w:right="63"/>
              <w:jc w:val="left"/>
              <w:rPr>
                <w:rFonts w:ascii="宋体" w:hAnsi="宋体" w:cs="宋体" w:eastAsia="宋体" w:hint="default"/>
                <w:sz w:val="16"/>
                <w:szCs w:val="16"/>
              </w:rPr>
            </w:pPr>
            <w:r>
              <w:rPr>
                <w:rFonts w:ascii="宋体" w:hAnsi="宋体" w:cs="宋体" w:eastAsia="宋体" w:hint="default"/>
                <w:spacing w:val="-1"/>
                <w:sz w:val="16"/>
                <w:szCs w:val="16"/>
              </w:rPr>
              <w:t>北京华力兴科技发展有限责</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任公司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2100.00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29"/>
              <w:jc w:val="right"/>
              <w:rPr>
                <w:rFonts w:ascii="Times New Roman" w:hAnsi="Times New Roman" w:cs="Times New Roman" w:eastAsia="Times New Roman" w:hint="default"/>
                <w:sz w:val="16"/>
                <w:szCs w:val="16"/>
              </w:rPr>
            </w:pPr>
            <w:r>
              <w:rPr>
                <w:rFonts w:ascii="Times New Roman"/>
                <w:spacing w:val="-1"/>
                <w:sz w:val="16"/>
              </w:rPr>
              <w:t>65.00%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2" w:right="0"/>
              <w:jc w:val="left"/>
              <w:rPr>
                <w:rFonts w:ascii="宋体" w:hAnsi="宋体" w:cs="宋体" w:eastAsia="宋体" w:hint="default"/>
                <w:sz w:val="16"/>
                <w:szCs w:val="16"/>
              </w:rPr>
            </w:pPr>
            <w:r>
              <w:rPr>
                <w:rFonts w:ascii="宋体" w:hAnsi="宋体" w:cs="宋体" w:eastAsia="宋体" w:hint="default"/>
                <w:sz w:val="16"/>
                <w:szCs w:val="16"/>
              </w:rPr>
              <w:t>集装箱检查系统安装服务与技术支持</w:t>
            </w:r>
          </w:p>
        </w:tc>
      </w:tr>
      <w:tr>
        <w:trPr>
          <w:trHeight w:val="2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北京汉鸿投资有限公司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10250.00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9"/>
              <w:ind w:left="32" w:right="0"/>
              <w:jc w:val="left"/>
              <w:rPr>
                <w:rFonts w:ascii="宋体" w:hAnsi="宋体" w:cs="宋体" w:eastAsia="宋体" w:hint="default"/>
                <w:sz w:val="16"/>
                <w:szCs w:val="16"/>
              </w:rPr>
            </w:pPr>
            <w:r>
              <w:rPr>
                <w:rFonts w:ascii="宋体" w:hAnsi="宋体" w:cs="宋体" w:eastAsia="宋体" w:hint="default"/>
                <w:sz w:val="16"/>
                <w:szCs w:val="16"/>
              </w:rPr>
              <w:t>实业投资、投资咨询</w:t>
            </w:r>
          </w:p>
        </w:tc>
      </w:tr>
      <w:tr>
        <w:trPr>
          <w:trHeight w:val="47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8" w:right="0"/>
              <w:jc w:val="left"/>
              <w:rPr>
                <w:rFonts w:ascii="宋体" w:hAnsi="宋体" w:cs="宋体" w:eastAsia="宋体" w:hint="default"/>
                <w:sz w:val="16"/>
                <w:szCs w:val="16"/>
              </w:rPr>
            </w:pPr>
            <w:r>
              <w:rPr>
                <w:rFonts w:ascii="宋体" w:hAnsi="宋体" w:cs="宋体" w:eastAsia="宋体" w:hint="default"/>
                <w:sz w:val="16"/>
                <w:szCs w:val="16"/>
              </w:rPr>
              <w:t>同方威视科技江苏有限公司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江苏常州</w:t>
            </w:r>
          </w:p>
        </w:tc>
        <w:tc>
          <w:tcPr>
            <w:tcW w:w="3395" w:type="dxa"/>
            <w:tcBorders>
              <w:top w:val="nil" w:sz="6" w:space="0" w:color="auto"/>
              <w:left w:val="nil" w:sz="6" w:space="0" w:color="auto"/>
              <w:bottom w:val="nil" w:sz="6" w:space="0" w:color="auto"/>
              <w:right w:val="nil" w:sz="6" w:space="0" w:color="auto"/>
            </w:tcBorders>
          </w:tcPr>
          <w:p>
            <w:pPr>
              <w:pStyle w:val="TableParagraph"/>
              <w:spacing w:line="206" w:lineRule="exact" w:before="26"/>
              <w:ind w:left="32" w:right="79"/>
              <w:jc w:val="left"/>
              <w:rPr>
                <w:rFonts w:ascii="宋体" w:hAnsi="宋体" w:cs="宋体" w:eastAsia="宋体" w:hint="default"/>
                <w:sz w:val="16"/>
                <w:szCs w:val="16"/>
              </w:rPr>
            </w:pPr>
            <w:r>
              <w:rPr>
                <w:rFonts w:ascii="宋体" w:hAnsi="宋体" w:cs="宋体" w:eastAsia="宋体" w:hint="default"/>
                <w:spacing w:val="2"/>
                <w:sz w:val="16"/>
                <w:szCs w:val="16"/>
              </w:rPr>
              <w:t>核仪器仪表的研究、开发、生产、销售及设备</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安装服务</w:t>
            </w:r>
          </w:p>
        </w:tc>
      </w:tr>
      <w:tr>
        <w:trPr>
          <w:trHeight w:val="479"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28" w:right="0"/>
              <w:jc w:val="left"/>
              <w:rPr>
                <w:rFonts w:ascii="宋体" w:hAnsi="宋体" w:cs="宋体" w:eastAsia="宋体" w:hint="default"/>
                <w:sz w:val="16"/>
                <w:szCs w:val="16"/>
              </w:rPr>
            </w:pPr>
            <w:r>
              <w:rPr>
                <w:rFonts w:ascii="宋体" w:hAnsi="宋体" w:cs="宋体" w:eastAsia="宋体" w:hint="default"/>
                <w:sz w:val="16"/>
                <w:szCs w:val="16"/>
              </w:rPr>
              <w:t>北京朗视仪器有限公司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1350.00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9"/>
              <w:jc w:val="right"/>
              <w:rPr>
                <w:rFonts w:ascii="Times New Roman" w:hAnsi="Times New Roman" w:cs="Times New Roman" w:eastAsia="Times New Roman" w:hint="default"/>
                <w:sz w:val="16"/>
                <w:szCs w:val="16"/>
              </w:rPr>
            </w:pPr>
            <w:r>
              <w:rPr>
                <w:rFonts w:ascii="Times New Roman"/>
                <w:spacing w:val="-1"/>
                <w:sz w:val="16"/>
              </w:rPr>
              <w:t>57.00%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95"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32" w:right="77"/>
              <w:jc w:val="left"/>
              <w:rPr>
                <w:rFonts w:ascii="宋体" w:hAnsi="宋体" w:cs="宋体" w:eastAsia="宋体" w:hint="default"/>
                <w:sz w:val="16"/>
                <w:szCs w:val="16"/>
              </w:rPr>
            </w:pPr>
            <w:r>
              <w:rPr>
                <w:rFonts w:ascii="宋体" w:hAnsi="宋体" w:cs="宋体" w:eastAsia="宋体" w:hint="default"/>
                <w:spacing w:val="-4"/>
                <w:sz w:val="16"/>
                <w:szCs w:val="16"/>
              </w:rPr>
              <w:t>仪器仪表、医疗器械的制造、修理及相关</w:t>
            </w:r>
            <w:r>
              <w:rPr>
                <w:rFonts w:ascii="Times New Roman" w:hAnsi="Times New Roman" w:cs="Times New Roman" w:eastAsia="Times New Roman" w:hint="default"/>
                <w:spacing w:val="-4"/>
                <w:sz w:val="16"/>
                <w:szCs w:val="16"/>
              </w:rPr>
              <w:t>“</w:t>
            </w:r>
            <w:r>
              <w:rPr>
                <w:rFonts w:ascii="宋体" w:hAnsi="宋体" w:cs="宋体" w:eastAsia="宋体" w:hint="default"/>
                <w:spacing w:val="-4"/>
                <w:sz w:val="16"/>
                <w:szCs w:val="16"/>
              </w:rPr>
              <w:t>四技</w:t>
            </w:r>
            <w:r>
              <w:rPr>
                <w:rFonts w:ascii="Times New Roman" w:hAnsi="Times New Roman" w:cs="Times New Roman" w:eastAsia="Times New Roman" w:hint="default"/>
                <w:spacing w:val="-4"/>
                <w:sz w:val="16"/>
                <w:szCs w:val="16"/>
              </w:rPr>
              <w:t>”</w:t>
            </w:r>
            <w:r>
              <w:rPr>
                <w:rFonts w:ascii="Times New Roman" w:hAnsi="Times New Roman" w:cs="Times New Roman" w:eastAsia="Times New Roman" w:hint="default"/>
                <w:spacing w:val="-17"/>
                <w:sz w:val="16"/>
                <w:szCs w:val="16"/>
              </w:rPr>
              <w:t> </w:t>
            </w:r>
            <w:r>
              <w:rPr>
                <w:rFonts w:ascii="宋体" w:hAnsi="宋体" w:cs="宋体" w:eastAsia="宋体" w:hint="default"/>
                <w:sz w:val="16"/>
                <w:szCs w:val="16"/>
              </w:rPr>
              <w:t>服务</w:t>
            </w:r>
          </w:p>
        </w:tc>
      </w:tr>
      <w:tr>
        <w:trPr>
          <w:trHeight w:val="28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北京同方创新投资有限公司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18000.00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9"/>
              <w:ind w:left="32" w:right="0"/>
              <w:jc w:val="left"/>
              <w:rPr>
                <w:rFonts w:ascii="宋体" w:hAnsi="宋体" w:cs="宋体" w:eastAsia="宋体" w:hint="default"/>
                <w:sz w:val="16"/>
                <w:szCs w:val="16"/>
              </w:rPr>
            </w:pPr>
            <w:r>
              <w:rPr>
                <w:rFonts w:ascii="宋体" w:hAnsi="宋体" w:cs="宋体" w:eastAsia="宋体" w:hint="default"/>
                <w:sz w:val="16"/>
                <w:szCs w:val="16"/>
              </w:rPr>
              <w:t>技术开发、服务与高新技术投资</w:t>
            </w:r>
          </w:p>
        </w:tc>
      </w:tr>
      <w:tr>
        <w:trPr>
          <w:trHeight w:val="28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南京同方北斗科技有限公司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江苏南京</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9"/>
              <w:ind w:left="32" w:right="0"/>
              <w:jc w:val="left"/>
              <w:rPr>
                <w:rFonts w:ascii="宋体" w:hAnsi="宋体" w:cs="宋体" w:eastAsia="宋体" w:hint="default"/>
                <w:sz w:val="16"/>
                <w:szCs w:val="16"/>
              </w:rPr>
            </w:pPr>
            <w:r>
              <w:rPr>
                <w:rFonts w:ascii="宋体" w:hAnsi="宋体" w:cs="宋体" w:eastAsia="宋体" w:hint="default"/>
                <w:sz w:val="16"/>
                <w:szCs w:val="16"/>
              </w:rPr>
              <w:t>卫星导航定位、授时通讯及应用系统开发</w:t>
            </w:r>
          </w:p>
        </w:tc>
      </w:tr>
      <w:tr>
        <w:trPr>
          <w:trHeight w:val="28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辽宁同方安全技术有限公司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400.00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辽宁沈阳</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9"/>
              <w:ind w:left="32" w:right="0"/>
              <w:jc w:val="left"/>
              <w:rPr>
                <w:rFonts w:ascii="宋体" w:hAnsi="宋体" w:cs="宋体" w:eastAsia="宋体" w:hint="default"/>
                <w:sz w:val="16"/>
                <w:szCs w:val="16"/>
              </w:rPr>
            </w:pPr>
            <w:r>
              <w:rPr>
                <w:rFonts w:ascii="宋体" w:hAnsi="宋体" w:cs="宋体" w:eastAsia="宋体" w:hint="default"/>
                <w:sz w:val="16"/>
                <w:szCs w:val="16"/>
              </w:rPr>
              <w:t>火灾探测器等生产及销售</w:t>
            </w:r>
          </w:p>
        </w:tc>
      </w:tr>
      <w:tr>
        <w:trPr>
          <w:trHeight w:val="28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同方传媒（北京）有限公司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110.00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9"/>
              <w:ind w:left="32" w:right="0"/>
              <w:jc w:val="left"/>
              <w:rPr>
                <w:rFonts w:ascii="宋体" w:hAnsi="宋体" w:cs="宋体" w:eastAsia="宋体" w:hint="default"/>
                <w:sz w:val="16"/>
                <w:szCs w:val="16"/>
              </w:rPr>
            </w:pPr>
            <w:r>
              <w:rPr>
                <w:rFonts w:ascii="宋体" w:hAnsi="宋体" w:cs="宋体" w:eastAsia="宋体" w:hint="default"/>
                <w:sz w:val="16"/>
                <w:szCs w:val="16"/>
              </w:rPr>
              <w:t>广告代理与发布</w:t>
            </w:r>
          </w:p>
        </w:tc>
      </w:tr>
      <w:tr>
        <w:trPr>
          <w:trHeight w:val="47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6"/>
              <w:ind w:left="28" w:right="63"/>
              <w:jc w:val="left"/>
              <w:rPr>
                <w:rFonts w:ascii="宋体" w:hAnsi="宋体" w:cs="宋体" w:eastAsia="宋体" w:hint="default"/>
                <w:sz w:val="16"/>
                <w:szCs w:val="16"/>
              </w:rPr>
            </w:pPr>
            <w:r>
              <w:rPr>
                <w:rFonts w:ascii="宋体" w:hAnsi="宋体" w:cs="宋体" w:eastAsia="宋体" w:hint="default"/>
                <w:spacing w:val="-1"/>
                <w:sz w:val="16"/>
                <w:szCs w:val="16"/>
              </w:rPr>
              <w:t>北京同方影视传媒科技有限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29"/>
              <w:jc w:val="right"/>
              <w:rPr>
                <w:rFonts w:ascii="Times New Roman" w:hAnsi="Times New Roman" w:cs="Times New Roman" w:eastAsia="Times New Roman" w:hint="default"/>
                <w:sz w:val="16"/>
                <w:szCs w:val="16"/>
              </w:rPr>
            </w:pPr>
            <w:r>
              <w:rPr>
                <w:rFonts w:ascii="Times New Roman"/>
                <w:spacing w:val="-1"/>
                <w:sz w:val="16"/>
              </w:rPr>
              <w:t>60.00%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95" w:type="dxa"/>
            <w:tcBorders>
              <w:top w:val="nil" w:sz="6" w:space="0" w:color="auto"/>
              <w:left w:val="nil" w:sz="6" w:space="0" w:color="auto"/>
              <w:bottom w:val="nil" w:sz="6" w:space="0" w:color="auto"/>
              <w:right w:val="nil" w:sz="6" w:space="0" w:color="auto"/>
            </w:tcBorders>
          </w:tcPr>
          <w:p>
            <w:pPr>
              <w:pStyle w:val="TableParagraph"/>
              <w:spacing w:line="206" w:lineRule="exact" w:before="26"/>
              <w:ind w:left="32" w:right="79"/>
              <w:jc w:val="left"/>
              <w:rPr>
                <w:rFonts w:ascii="宋体" w:hAnsi="宋体" w:cs="宋体" w:eastAsia="宋体" w:hint="default"/>
                <w:sz w:val="16"/>
                <w:szCs w:val="16"/>
              </w:rPr>
            </w:pPr>
            <w:r>
              <w:rPr>
                <w:rFonts w:ascii="宋体" w:hAnsi="宋体" w:cs="宋体" w:eastAsia="宋体" w:hint="default"/>
                <w:spacing w:val="2"/>
                <w:sz w:val="16"/>
                <w:szCs w:val="16"/>
              </w:rPr>
              <w:t>数字电影播放服务器研发销售；数字电影广告</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服务</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8" w:right="63"/>
              <w:jc w:val="left"/>
              <w:rPr>
                <w:rFonts w:ascii="宋体" w:hAnsi="宋体" w:cs="宋体" w:eastAsia="宋体" w:hint="default"/>
                <w:sz w:val="16"/>
                <w:szCs w:val="16"/>
              </w:rPr>
            </w:pPr>
            <w:r>
              <w:rPr>
                <w:rFonts w:ascii="宋体" w:hAnsi="宋体" w:cs="宋体" w:eastAsia="宋体" w:hint="default"/>
                <w:spacing w:val="-1"/>
                <w:sz w:val="16"/>
                <w:szCs w:val="16"/>
              </w:rPr>
              <w:t>北京同方嘉映数字电影院线</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32" w:right="0"/>
              <w:jc w:val="left"/>
              <w:rPr>
                <w:rFonts w:ascii="宋体" w:hAnsi="宋体" w:cs="宋体" w:eastAsia="宋体" w:hint="default"/>
                <w:sz w:val="16"/>
                <w:szCs w:val="16"/>
              </w:rPr>
            </w:pPr>
            <w:r>
              <w:rPr>
                <w:rFonts w:ascii="宋体" w:hAnsi="宋体" w:cs="宋体" w:eastAsia="宋体" w:hint="default"/>
                <w:sz w:val="16"/>
                <w:szCs w:val="16"/>
              </w:rPr>
              <w:t>电影放映；广告制作、代理、发布</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8" w:right="63"/>
              <w:jc w:val="left"/>
              <w:rPr>
                <w:rFonts w:ascii="宋体" w:hAnsi="宋体" w:cs="宋体" w:eastAsia="宋体" w:hint="default"/>
                <w:sz w:val="16"/>
                <w:szCs w:val="16"/>
              </w:rPr>
            </w:pPr>
            <w:r>
              <w:rPr>
                <w:rFonts w:ascii="宋体" w:hAnsi="宋体" w:cs="宋体" w:eastAsia="宋体" w:hint="default"/>
                <w:spacing w:val="-1"/>
                <w:sz w:val="16"/>
                <w:szCs w:val="16"/>
              </w:rPr>
              <w:t>北京同方以衡资产管理有限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9"/>
              <w:jc w:val="right"/>
              <w:rPr>
                <w:rFonts w:ascii="Times New Roman" w:hAnsi="Times New Roman" w:cs="Times New Roman" w:eastAsia="Times New Roman" w:hint="default"/>
                <w:sz w:val="16"/>
                <w:szCs w:val="16"/>
              </w:rPr>
            </w:pPr>
            <w:r>
              <w:rPr>
                <w:rFonts w:ascii="Times New Roman"/>
                <w:spacing w:val="-1"/>
                <w:sz w:val="16"/>
              </w:rPr>
              <w:t>70.00%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32" w:right="0"/>
              <w:jc w:val="left"/>
              <w:rPr>
                <w:rFonts w:ascii="宋体" w:hAnsi="宋体" w:cs="宋体" w:eastAsia="宋体" w:hint="default"/>
                <w:sz w:val="16"/>
                <w:szCs w:val="16"/>
              </w:rPr>
            </w:pPr>
            <w:r>
              <w:rPr>
                <w:rFonts w:ascii="宋体" w:hAnsi="宋体" w:cs="宋体" w:eastAsia="宋体" w:hint="default"/>
                <w:sz w:val="16"/>
                <w:szCs w:val="16"/>
              </w:rPr>
              <w:t>投资管理，资产管理，投资咨询，项目投资</w:t>
            </w:r>
          </w:p>
        </w:tc>
      </w:tr>
      <w:tr>
        <w:trPr>
          <w:trHeight w:val="47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28" w:right="0"/>
              <w:jc w:val="left"/>
              <w:rPr>
                <w:rFonts w:ascii="宋体" w:hAnsi="宋体" w:cs="宋体" w:eastAsia="宋体" w:hint="default"/>
                <w:sz w:val="16"/>
                <w:szCs w:val="16"/>
              </w:rPr>
            </w:pPr>
            <w:r>
              <w:rPr>
                <w:rFonts w:ascii="宋体" w:hAnsi="宋体" w:cs="宋体" w:eastAsia="宋体" w:hint="default"/>
                <w:sz w:val="16"/>
                <w:szCs w:val="16"/>
              </w:rPr>
              <w:t>北京亚仕同方科技有限公司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14" w:lineRule="exact" w:before="5"/>
              <w:ind w:right="45"/>
              <w:jc w:val="right"/>
              <w:rPr>
                <w:rFonts w:ascii="Times New Roman" w:hAnsi="Times New Roman" w:cs="Times New Roman" w:eastAsia="Times New Roman" w:hint="default"/>
                <w:sz w:val="16"/>
                <w:szCs w:val="16"/>
              </w:rPr>
            </w:pPr>
            <w:r>
              <w:rPr>
                <w:rFonts w:ascii="宋体" w:hAnsi="宋体" w:cs="宋体" w:eastAsia="宋体" w:hint="default"/>
                <w:spacing w:val="-1"/>
                <w:sz w:val="16"/>
                <w:szCs w:val="16"/>
              </w:rPr>
              <w:t>￥</w:t>
            </w:r>
            <w:r>
              <w:rPr>
                <w:rFonts w:ascii="Times New Roman" w:hAnsi="Times New Roman" w:cs="Times New Roman" w:eastAsia="Times New Roman" w:hint="default"/>
                <w:spacing w:val="-1"/>
                <w:sz w:val="16"/>
                <w:szCs w:val="16"/>
              </w:rPr>
              <w:t>2884.322341</w:t>
            </w:r>
          </w:p>
          <w:p>
            <w:pPr>
              <w:pStyle w:val="TableParagraph"/>
              <w:spacing w:line="202" w:lineRule="exact"/>
              <w:ind w:right="47"/>
              <w:jc w:val="right"/>
              <w:rPr>
                <w:rFonts w:ascii="宋体" w:hAnsi="宋体" w:cs="宋体" w:eastAsia="宋体" w:hint="default"/>
                <w:sz w:val="16"/>
                <w:szCs w:val="16"/>
              </w:rPr>
            </w:pPr>
            <w:r>
              <w:rPr>
                <w:rFonts w:ascii="宋体" w:hAnsi="宋体" w:cs="宋体" w:eastAsia="宋体" w:hint="default"/>
                <w:w w:val="100"/>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95"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32" w:right="79"/>
              <w:jc w:val="left"/>
              <w:rPr>
                <w:rFonts w:ascii="宋体" w:hAnsi="宋体" w:cs="宋体" w:eastAsia="宋体" w:hint="default"/>
                <w:sz w:val="16"/>
                <w:szCs w:val="16"/>
              </w:rPr>
            </w:pPr>
            <w:r>
              <w:rPr>
                <w:rFonts w:ascii="宋体" w:hAnsi="宋体" w:cs="宋体" w:eastAsia="宋体" w:hint="default"/>
                <w:spacing w:val="2"/>
                <w:sz w:val="16"/>
                <w:szCs w:val="16"/>
              </w:rPr>
              <w:t>非接触式纸质票卡、电子标签、电子证照及智</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能卡研发、销售</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8" w:right="0"/>
              <w:jc w:val="left"/>
              <w:rPr>
                <w:rFonts w:ascii="宋体" w:hAnsi="宋体" w:cs="宋体" w:eastAsia="宋体" w:hint="default"/>
                <w:sz w:val="16"/>
                <w:szCs w:val="16"/>
              </w:rPr>
            </w:pPr>
            <w:r>
              <w:rPr>
                <w:rFonts w:ascii="宋体" w:hAnsi="宋体" w:cs="宋体" w:eastAsia="宋体" w:hint="default"/>
                <w:sz w:val="16"/>
                <w:szCs w:val="16"/>
              </w:rPr>
              <w:t>同方工业有限公司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40000.00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95" w:type="dxa"/>
            <w:tcBorders>
              <w:top w:val="nil" w:sz="6" w:space="0" w:color="auto"/>
              <w:left w:val="nil" w:sz="6" w:space="0" w:color="auto"/>
              <w:bottom w:val="nil" w:sz="6" w:space="0" w:color="auto"/>
              <w:right w:val="nil" w:sz="6" w:space="0" w:color="auto"/>
            </w:tcBorders>
          </w:tcPr>
          <w:p>
            <w:pPr>
              <w:pStyle w:val="TableParagraph"/>
              <w:spacing w:line="208" w:lineRule="exact" w:before="24"/>
              <w:ind w:left="32" w:right="78"/>
              <w:jc w:val="left"/>
              <w:rPr>
                <w:rFonts w:ascii="宋体" w:hAnsi="宋体" w:cs="宋体" w:eastAsia="宋体" w:hint="default"/>
                <w:sz w:val="16"/>
                <w:szCs w:val="16"/>
              </w:rPr>
            </w:pPr>
            <w:r>
              <w:rPr>
                <w:rFonts w:ascii="宋体" w:hAnsi="宋体" w:cs="宋体" w:eastAsia="宋体" w:hint="default"/>
                <w:sz w:val="16"/>
                <w:szCs w:val="16"/>
              </w:rPr>
              <w:t>军</w:t>
            </w:r>
            <w:r>
              <w:rPr>
                <w:rFonts w:ascii="Times New Roman" w:hAnsi="Times New Roman" w:cs="Times New Roman" w:eastAsia="Times New Roman" w:hint="default"/>
                <w:sz w:val="16"/>
                <w:szCs w:val="16"/>
              </w:rPr>
              <w:t>/</w:t>
            </w:r>
            <w:r>
              <w:rPr>
                <w:rFonts w:ascii="宋体" w:hAnsi="宋体" w:cs="宋体" w:eastAsia="宋体" w:hint="default"/>
                <w:sz w:val="16"/>
                <w:szCs w:val="16"/>
              </w:rPr>
              <w:t>民用工业项目投资与管理，货物、技术进出</w:t>
            </w:r>
            <w:r>
              <w:rPr>
                <w:rFonts w:ascii="宋体" w:hAnsi="宋体" w:cs="宋体" w:eastAsia="宋体" w:hint="default"/>
                <w:spacing w:val="-46"/>
                <w:sz w:val="16"/>
                <w:szCs w:val="16"/>
              </w:rPr>
              <w:t> </w:t>
            </w:r>
            <w:r>
              <w:rPr>
                <w:rFonts w:ascii="宋体" w:hAnsi="宋体" w:cs="宋体" w:eastAsia="宋体" w:hint="default"/>
                <w:spacing w:val="-46"/>
                <w:sz w:val="16"/>
                <w:szCs w:val="16"/>
              </w:rPr>
            </w:r>
            <w:r>
              <w:rPr>
                <w:rFonts w:ascii="宋体" w:hAnsi="宋体" w:cs="宋体" w:eastAsia="宋体" w:hint="default"/>
                <w:sz w:val="16"/>
                <w:szCs w:val="16"/>
              </w:rPr>
              <w:t>口</w:t>
            </w:r>
          </w:p>
        </w:tc>
      </w:tr>
      <w:tr>
        <w:trPr>
          <w:trHeight w:val="4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
              <w:ind w:left="28" w:right="63"/>
              <w:jc w:val="left"/>
              <w:rPr>
                <w:rFonts w:ascii="宋体" w:hAnsi="宋体" w:cs="宋体" w:eastAsia="宋体" w:hint="default"/>
                <w:sz w:val="16"/>
                <w:szCs w:val="16"/>
              </w:rPr>
            </w:pPr>
            <w:r>
              <w:rPr>
                <w:rFonts w:ascii="宋体" w:hAnsi="宋体" w:cs="宋体" w:eastAsia="宋体" w:hint="default"/>
                <w:spacing w:val="-1"/>
                <w:sz w:val="16"/>
                <w:szCs w:val="16"/>
              </w:rPr>
              <w:t>江西同方昌明消防车辆有限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600.00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68" w:right="167" w:firstLine="81"/>
              <w:jc w:val="left"/>
              <w:rPr>
                <w:rFonts w:ascii="宋体" w:hAnsi="宋体" w:cs="宋体" w:eastAsia="宋体" w:hint="default"/>
                <w:sz w:val="16"/>
                <w:szCs w:val="16"/>
              </w:rPr>
            </w:pPr>
            <w:r>
              <w:rPr>
                <w:rFonts w:ascii="宋体" w:hAnsi="宋体" w:cs="宋体" w:eastAsia="宋体" w:hint="default"/>
                <w:sz w:val="16"/>
                <w:szCs w:val="16"/>
              </w:rPr>
              <w:t>江西</w:t>
            </w:r>
            <w:r>
              <w:rPr>
                <w:rFonts w:ascii="宋体" w:hAnsi="宋体" w:cs="宋体" w:eastAsia="宋体" w:hint="default"/>
                <w:w w:val="100"/>
                <w:sz w:val="16"/>
                <w:szCs w:val="16"/>
              </w:rPr>
              <w:t> </w:t>
            </w:r>
            <w:r>
              <w:rPr>
                <w:rFonts w:ascii="宋体" w:hAnsi="宋体" w:cs="宋体" w:eastAsia="宋体" w:hint="default"/>
                <w:sz w:val="16"/>
                <w:szCs w:val="16"/>
              </w:rPr>
              <w:t>景德镇</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2" w:right="0"/>
              <w:jc w:val="left"/>
              <w:rPr>
                <w:rFonts w:ascii="宋体" w:hAnsi="宋体" w:cs="宋体" w:eastAsia="宋体" w:hint="default"/>
                <w:sz w:val="16"/>
                <w:szCs w:val="16"/>
              </w:rPr>
            </w:pPr>
            <w:r>
              <w:rPr>
                <w:rFonts w:ascii="宋体" w:hAnsi="宋体" w:cs="宋体" w:eastAsia="宋体" w:hint="default"/>
                <w:sz w:val="16"/>
                <w:szCs w:val="16"/>
              </w:rPr>
              <w:t>消防车辆、消防设备、汽柴油发电机组经销</w:t>
            </w:r>
          </w:p>
        </w:tc>
      </w:tr>
      <w:tr>
        <w:trPr>
          <w:trHeight w:val="28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西凯移动通讯设备有限公司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US$2500.00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新疆乌市</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9"/>
              <w:ind w:left="32" w:right="0"/>
              <w:jc w:val="left"/>
              <w:rPr>
                <w:rFonts w:ascii="宋体" w:hAnsi="宋体" w:cs="宋体" w:eastAsia="宋体" w:hint="default"/>
                <w:sz w:val="16"/>
                <w:szCs w:val="16"/>
              </w:rPr>
            </w:pPr>
            <w:r>
              <w:rPr>
                <w:rFonts w:ascii="宋体" w:hAnsi="宋体" w:cs="宋体" w:eastAsia="宋体" w:hint="default"/>
                <w:sz w:val="16"/>
                <w:szCs w:val="16"/>
              </w:rPr>
              <w:t>移动通讯终端研发、制造和市场推广</w:t>
            </w:r>
          </w:p>
        </w:tc>
      </w:tr>
      <w:tr>
        <w:trPr>
          <w:trHeight w:val="28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同方江新造船有限公司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53500.00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江西湖口</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9"/>
              <w:ind w:left="32" w:right="0"/>
              <w:jc w:val="left"/>
              <w:rPr>
                <w:rFonts w:ascii="宋体" w:hAnsi="宋体" w:cs="宋体" w:eastAsia="宋体" w:hint="default"/>
                <w:sz w:val="16"/>
                <w:szCs w:val="16"/>
              </w:rPr>
            </w:pPr>
            <w:r>
              <w:rPr>
                <w:rFonts w:ascii="宋体" w:hAnsi="宋体" w:cs="宋体" w:eastAsia="宋体" w:hint="default"/>
                <w:sz w:val="16"/>
                <w:szCs w:val="16"/>
              </w:rPr>
              <w:t>船舶制造、修理，钢结构制造</w:t>
            </w:r>
          </w:p>
        </w:tc>
      </w:tr>
      <w:tr>
        <w:trPr>
          <w:trHeight w:val="478"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28" w:right="0"/>
              <w:jc w:val="left"/>
              <w:rPr>
                <w:rFonts w:ascii="宋体" w:hAnsi="宋体" w:cs="宋体" w:eastAsia="宋体" w:hint="default"/>
                <w:sz w:val="16"/>
                <w:szCs w:val="16"/>
              </w:rPr>
            </w:pPr>
            <w:r>
              <w:rPr>
                <w:rFonts w:ascii="宋体" w:hAnsi="宋体" w:cs="宋体" w:eastAsia="宋体" w:hint="default"/>
                <w:sz w:val="16"/>
                <w:szCs w:val="16"/>
              </w:rPr>
              <w:t>同方工业南京有限公司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江苏南京</w:t>
            </w:r>
          </w:p>
        </w:tc>
        <w:tc>
          <w:tcPr>
            <w:tcW w:w="3395"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32" w:right="0"/>
              <w:jc w:val="left"/>
              <w:rPr>
                <w:rFonts w:ascii="宋体" w:hAnsi="宋体" w:cs="宋体" w:eastAsia="宋体" w:hint="default"/>
                <w:sz w:val="16"/>
                <w:szCs w:val="16"/>
              </w:rPr>
            </w:pPr>
            <w:r>
              <w:rPr>
                <w:rFonts w:ascii="宋体" w:hAnsi="宋体" w:cs="宋体" w:eastAsia="宋体" w:hint="default"/>
                <w:spacing w:val="-1"/>
                <w:sz w:val="16"/>
                <w:szCs w:val="16"/>
              </w:rPr>
              <w:t>通讯设备、北斗终端、电子产品的研发、产销、</w:t>
            </w:r>
            <w:r>
              <w:rPr>
                <w:rFonts w:ascii="宋体" w:hAnsi="宋体" w:cs="宋体" w:eastAsia="宋体" w:hint="default"/>
                <w:spacing w:val="-61"/>
                <w:sz w:val="16"/>
                <w:szCs w:val="16"/>
              </w:rPr>
              <w:t> </w:t>
            </w:r>
            <w:r>
              <w:rPr>
                <w:rFonts w:ascii="宋体" w:hAnsi="宋体" w:cs="宋体" w:eastAsia="宋体" w:hint="default"/>
                <w:spacing w:val="-61"/>
                <w:sz w:val="16"/>
                <w:szCs w:val="16"/>
              </w:rPr>
            </w:r>
            <w:r>
              <w:rPr>
                <w:rFonts w:ascii="宋体" w:hAnsi="宋体" w:cs="宋体" w:eastAsia="宋体" w:hint="default"/>
                <w:sz w:val="16"/>
                <w:szCs w:val="16"/>
              </w:rPr>
              <w:t>服务</w:t>
            </w:r>
          </w:p>
        </w:tc>
      </w:tr>
      <w:tr>
        <w:trPr>
          <w:trHeight w:val="28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同方电子科技有限公司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16000.00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江西九江</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9"/>
              <w:ind w:left="32" w:right="0"/>
              <w:jc w:val="left"/>
              <w:rPr>
                <w:rFonts w:ascii="宋体" w:hAnsi="宋体" w:cs="宋体" w:eastAsia="宋体" w:hint="default"/>
                <w:sz w:val="16"/>
                <w:szCs w:val="16"/>
              </w:rPr>
            </w:pPr>
            <w:r>
              <w:rPr>
                <w:rFonts w:ascii="宋体" w:hAnsi="宋体" w:cs="宋体" w:eastAsia="宋体" w:hint="default"/>
                <w:sz w:val="16"/>
                <w:szCs w:val="16"/>
              </w:rPr>
              <w:t>军</w:t>
            </w:r>
            <w:r>
              <w:rPr>
                <w:rFonts w:ascii="Times New Roman" w:hAnsi="Times New Roman" w:cs="Times New Roman" w:eastAsia="Times New Roman" w:hint="default"/>
                <w:sz w:val="16"/>
                <w:szCs w:val="16"/>
              </w:rPr>
              <w:t>/</w:t>
            </w:r>
            <w:r>
              <w:rPr>
                <w:rFonts w:ascii="宋体" w:hAnsi="宋体" w:cs="宋体" w:eastAsia="宋体" w:hint="default"/>
                <w:sz w:val="16"/>
                <w:szCs w:val="16"/>
              </w:rPr>
              <w:t>民用通信设备、电子产品</w:t>
            </w:r>
          </w:p>
        </w:tc>
      </w:tr>
      <w:tr>
        <w:trPr>
          <w:trHeight w:val="28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珠海同方爱德科技有限公司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9"/>
              <w:jc w:val="right"/>
              <w:rPr>
                <w:rFonts w:ascii="Times New Roman" w:hAnsi="Times New Roman" w:cs="Times New Roman" w:eastAsia="Times New Roman" w:hint="default"/>
                <w:sz w:val="16"/>
                <w:szCs w:val="16"/>
              </w:rPr>
            </w:pPr>
            <w:r>
              <w:rPr>
                <w:rFonts w:ascii="Times New Roman"/>
                <w:spacing w:val="-1"/>
                <w:sz w:val="16"/>
              </w:rPr>
              <w:t>94.00%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广东珠海</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9"/>
              <w:ind w:left="32" w:right="0"/>
              <w:jc w:val="left"/>
              <w:rPr>
                <w:rFonts w:ascii="宋体" w:hAnsi="宋体" w:cs="宋体" w:eastAsia="宋体" w:hint="default"/>
                <w:sz w:val="16"/>
                <w:szCs w:val="16"/>
              </w:rPr>
            </w:pPr>
            <w:r>
              <w:rPr>
                <w:rFonts w:ascii="宋体" w:hAnsi="宋体" w:cs="宋体" w:eastAsia="宋体" w:hint="default"/>
                <w:sz w:val="16"/>
                <w:szCs w:val="16"/>
              </w:rPr>
              <w:t>电子通信、无线网络开发等</w:t>
            </w:r>
          </w:p>
        </w:tc>
      </w:tr>
      <w:tr>
        <w:trPr>
          <w:trHeight w:val="4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
              <w:ind w:left="28" w:right="63"/>
              <w:jc w:val="left"/>
              <w:rPr>
                <w:rFonts w:ascii="宋体" w:hAnsi="宋体" w:cs="宋体" w:eastAsia="宋体" w:hint="default"/>
                <w:sz w:val="16"/>
                <w:szCs w:val="16"/>
              </w:rPr>
            </w:pPr>
            <w:r>
              <w:rPr>
                <w:rFonts w:ascii="宋体" w:hAnsi="宋体" w:cs="宋体" w:eastAsia="宋体" w:hint="default"/>
                <w:spacing w:val="-1"/>
                <w:sz w:val="16"/>
                <w:szCs w:val="16"/>
              </w:rPr>
              <w:t>同方赛威讯信息技术有限公</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四川成都</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32" w:right="79"/>
              <w:jc w:val="left"/>
              <w:rPr>
                <w:rFonts w:ascii="宋体" w:hAnsi="宋体" w:cs="宋体" w:eastAsia="宋体" w:hint="default"/>
                <w:sz w:val="16"/>
                <w:szCs w:val="16"/>
              </w:rPr>
            </w:pPr>
            <w:r>
              <w:rPr>
                <w:rFonts w:ascii="宋体" w:hAnsi="宋体" w:cs="宋体" w:eastAsia="宋体" w:hint="default"/>
                <w:spacing w:val="2"/>
                <w:sz w:val="16"/>
                <w:szCs w:val="16"/>
              </w:rPr>
              <w:t>信息化系统、无线电监测系统、遥感数据应用</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系统及其配套设备的研发、销售</w:t>
            </w:r>
          </w:p>
        </w:tc>
      </w:tr>
      <w:tr>
        <w:trPr>
          <w:trHeight w:val="28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山东同方鲁颖电子有限公司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8000.00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9"/>
              <w:jc w:val="right"/>
              <w:rPr>
                <w:rFonts w:ascii="Times New Roman" w:hAnsi="Times New Roman" w:cs="Times New Roman" w:eastAsia="Times New Roman" w:hint="default"/>
                <w:sz w:val="16"/>
                <w:szCs w:val="16"/>
              </w:rPr>
            </w:pPr>
            <w:r>
              <w:rPr>
                <w:rFonts w:ascii="Times New Roman"/>
                <w:spacing w:val="-1"/>
                <w:sz w:val="16"/>
              </w:rPr>
              <w:t>97.00%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山东沂南</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9"/>
              <w:ind w:left="32" w:right="0"/>
              <w:jc w:val="left"/>
              <w:rPr>
                <w:rFonts w:ascii="宋体" w:hAnsi="宋体" w:cs="宋体" w:eastAsia="宋体" w:hint="default"/>
                <w:sz w:val="16"/>
                <w:szCs w:val="16"/>
              </w:rPr>
            </w:pPr>
            <w:r>
              <w:rPr>
                <w:rFonts w:ascii="宋体" w:hAnsi="宋体" w:cs="宋体" w:eastAsia="宋体" w:hint="default"/>
                <w:sz w:val="16"/>
                <w:szCs w:val="16"/>
              </w:rPr>
              <w:t>交</w:t>
            </w:r>
            <w:r>
              <w:rPr>
                <w:rFonts w:ascii="Times New Roman" w:hAnsi="Times New Roman" w:cs="Times New Roman" w:eastAsia="Times New Roman" w:hint="default"/>
                <w:sz w:val="16"/>
                <w:szCs w:val="16"/>
              </w:rPr>
              <w:t>/</w:t>
            </w:r>
            <w:r>
              <w:rPr>
                <w:rFonts w:ascii="宋体" w:hAnsi="宋体" w:cs="宋体" w:eastAsia="宋体" w:hint="default"/>
                <w:sz w:val="16"/>
                <w:szCs w:val="16"/>
              </w:rPr>
              <w:t>直流陶瓷电容器、片式电感器和陶瓷滤波器</w:t>
            </w:r>
          </w:p>
        </w:tc>
      </w:tr>
      <w:tr>
        <w:trPr>
          <w:trHeight w:val="28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8"/>
              <w:ind w:left="28" w:right="0"/>
              <w:jc w:val="left"/>
              <w:rPr>
                <w:rFonts w:ascii="宋体" w:hAnsi="宋体" w:cs="宋体" w:eastAsia="宋体" w:hint="default"/>
                <w:sz w:val="16"/>
                <w:szCs w:val="16"/>
              </w:rPr>
            </w:pPr>
            <w:r>
              <w:rPr>
                <w:rFonts w:ascii="宋体" w:hAnsi="宋体" w:cs="宋体" w:eastAsia="宋体" w:hint="default"/>
                <w:sz w:val="16"/>
                <w:szCs w:val="16"/>
              </w:rPr>
              <w:t>沂南同皓电子元件有限公司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US$680.00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9"/>
              <w:jc w:val="right"/>
              <w:rPr>
                <w:rFonts w:ascii="Times New Roman" w:hAnsi="Times New Roman" w:cs="Times New Roman" w:eastAsia="Times New Roman" w:hint="default"/>
                <w:sz w:val="16"/>
                <w:szCs w:val="16"/>
              </w:rPr>
            </w:pPr>
            <w:r>
              <w:rPr>
                <w:rFonts w:ascii="Times New Roman"/>
                <w:spacing w:val="-1"/>
                <w:sz w:val="16"/>
              </w:rPr>
              <w:t>72.73%</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8"/>
              <w:ind w:left="1" w:right="0"/>
              <w:jc w:val="center"/>
              <w:rPr>
                <w:rFonts w:ascii="宋体" w:hAnsi="宋体" w:cs="宋体" w:eastAsia="宋体" w:hint="default"/>
                <w:sz w:val="16"/>
                <w:szCs w:val="16"/>
              </w:rPr>
            </w:pPr>
            <w:r>
              <w:rPr>
                <w:rFonts w:ascii="宋体" w:hAnsi="宋体" w:cs="宋体" w:eastAsia="宋体" w:hint="default"/>
                <w:sz w:val="16"/>
                <w:szCs w:val="16"/>
              </w:rPr>
              <w:t>山东沂南</w:t>
            </w:r>
          </w:p>
        </w:tc>
        <w:tc>
          <w:tcPr>
            <w:tcW w:w="3395" w:type="dxa"/>
            <w:tcBorders>
              <w:top w:val="nil" w:sz="6" w:space="0" w:color="auto"/>
              <w:left w:val="nil" w:sz="6" w:space="0" w:color="auto"/>
              <w:bottom w:val="nil" w:sz="6" w:space="0" w:color="auto"/>
              <w:right w:val="nil" w:sz="6" w:space="0" w:color="auto"/>
            </w:tcBorders>
          </w:tcPr>
          <w:p>
            <w:pPr>
              <w:pStyle w:val="TableParagraph"/>
              <w:spacing w:line="240" w:lineRule="auto" w:before="8"/>
              <w:ind w:left="32" w:right="0"/>
              <w:jc w:val="left"/>
              <w:rPr>
                <w:rFonts w:ascii="宋体" w:hAnsi="宋体" w:cs="宋体" w:eastAsia="宋体" w:hint="default"/>
                <w:sz w:val="16"/>
                <w:szCs w:val="16"/>
              </w:rPr>
            </w:pPr>
            <w:r>
              <w:rPr>
                <w:rFonts w:ascii="宋体" w:hAnsi="宋体" w:cs="宋体" w:eastAsia="宋体" w:hint="default"/>
                <w:sz w:val="16"/>
                <w:szCs w:val="16"/>
              </w:rPr>
              <w:t>陶瓷电容器、交流电容器、网络电容器</w:t>
            </w:r>
          </w:p>
        </w:tc>
      </w:tr>
      <w:tr>
        <w:trPr>
          <w:trHeight w:val="268" w:hRule="exact"/>
        </w:trPr>
        <w:tc>
          <w:tcPr>
            <w:tcW w:w="2016"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同方科技园有限公司</w:t>
            </w:r>
          </w:p>
        </w:tc>
        <w:tc>
          <w:tcPr>
            <w:tcW w:w="497"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61"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29"/>
              <w:jc w:val="right"/>
              <w:rPr>
                <w:rFonts w:ascii="Times New Roman" w:hAnsi="Times New Roman" w:cs="Times New Roman" w:eastAsia="Times New Roman" w:hint="default"/>
                <w:sz w:val="16"/>
                <w:szCs w:val="16"/>
              </w:rPr>
            </w:pPr>
            <w:r>
              <w:rPr>
                <w:rFonts w:ascii="Times New Roman"/>
                <w:spacing w:val="-1"/>
                <w:sz w:val="16"/>
              </w:rPr>
              <w:t>100.00%</w:t>
            </w:r>
          </w:p>
        </w:tc>
        <w:tc>
          <w:tcPr>
            <w:tcW w:w="82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95"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32" w:right="0"/>
              <w:jc w:val="left"/>
              <w:rPr>
                <w:rFonts w:ascii="宋体" w:hAnsi="宋体" w:cs="宋体" w:eastAsia="宋体" w:hint="default"/>
                <w:sz w:val="16"/>
                <w:szCs w:val="16"/>
              </w:rPr>
            </w:pPr>
            <w:r>
              <w:rPr>
                <w:rFonts w:ascii="宋体" w:hAnsi="宋体" w:cs="宋体" w:eastAsia="宋体" w:hint="default"/>
                <w:sz w:val="16"/>
                <w:szCs w:val="16"/>
              </w:rPr>
              <w:t>科技园开发管理</w:t>
            </w:r>
          </w:p>
        </w:tc>
      </w:tr>
    </w:tbl>
    <w:p>
      <w:pPr>
        <w:spacing w:after="0" w:line="240" w:lineRule="auto"/>
        <w:jc w:val="left"/>
        <w:rPr>
          <w:rFonts w:ascii="宋体" w:hAnsi="宋体" w:cs="宋体" w:eastAsia="宋体" w:hint="default"/>
          <w:sz w:val="16"/>
          <w:szCs w:val="16"/>
        </w:rPr>
        <w:sectPr>
          <w:headerReference w:type="default" r:id="rId87"/>
          <w:pgSz w:w="11910" w:h="16840"/>
          <w:pgMar w:header="645" w:footer="816" w:top="1080" w:bottom="1000" w:left="1500" w:right="144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1"/>
          <w:szCs w:val="11"/>
        </w:rPr>
      </w:pPr>
    </w:p>
    <w:tbl>
      <w:tblPr>
        <w:tblW w:w="0" w:type="auto"/>
        <w:jc w:val="left"/>
        <w:tblInd w:w="173" w:type="dxa"/>
        <w:tblLayout w:type="fixed"/>
        <w:tblCellMar>
          <w:top w:w="0" w:type="dxa"/>
          <w:left w:w="0" w:type="dxa"/>
          <w:bottom w:w="0" w:type="dxa"/>
          <w:right w:w="0" w:type="dxa"/>
        </w:tblCellMar>
        <w:tblLook w:val="01E0"/>
      </w:tblPr>
      <w:tblGrid>
        <w:gridCol w:w="2016"/>
        <w:gridCol w:w="457"/>
        <w:gridCol w:w="1230"/>
        <w:gridCol w:w="788"/>
        <w:gridCol w:w="765"/>
        <w:gridCol w:w="3368"/>
      </w:tblGrid>
      <w:tr>
        <w:trPr>
          <w:trHeight w:val="307" w:hRule="exact"/>
        </w:trPr>
        <w:tc>
          <w:tcPr>
            <w:tcW w:w="2016"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17"/>
              <w:jc w:val="center"/>
              <w:rPr>
                <w:rFonts w:ascii="宋体" w:hAnsi="宋体" w:cs="宋体" w:eastAsia="宋体" w:hint="default"/>
                <w:sz w:val="16"/>
                <w:szCs w:val="16"/>
              </w:rPr>
            </w:pPr>
            <w:r>
              <w:rPr>
                <w:rFonts w:ascii="宋体" w:hAnsi="宋体" w:cs="宋体" w:eastAsia="宋体" w:hint="default"/>
                <w:b/>
                <w:bCs/>
                <w:sz w:val="16"/>
                <w:szCs w:val="16"/>
              </w:rPr>
              <w:t>公司名称</w:t>
            </w:r>
            <w:r>
              <w:rPr>
                <w:rFonts w:ascii="宋体" w:hAnsi="宋体" w:cs="宋体" w:eastAsia="宋体" w:hint="default"/>
                <w:sz w:val="16"/>
                <w:szCs w:val="16"/>
              </w:rPr>
            </w:r>
          </w:p>
        </w:tc>
        <w:tc>
          <w:tcPr>
            <w:tcW w:w="457"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3"/>
              <w:jc w:val="center"/>
              <w:rPr>
                <w:rFonts w:ascii="宋体" w:hAnsi="宋体" w:cs="宋体" w:eastAsia="宋体" w:hint="default"/>
                <w:sz w:val="16"/>
                <w:szCs w:val="16"/>
              </w:rPr>
            </w:pPr>
            <w:r>
              <w:rPr>
                <w:rFonts w:ascii="宋体" w:hAnsi="宋体" w:cs="宋体" w:eastAsia="宋体" w:hint="default"/>
                <w:b/>
                <w:bCs/>
                <w:sz w:val="16"/>
                <w:szCs w:val="16"/>
              </w:rPr>
              <w:t>级次</w:t>
            </w:r>
            <w:r>
              <w:rPr>
                <w:rFonts w:ascii="宋体" w:hAnsi="宋体" w:cs="宋体" w:eastAsia="宋体" w:hint="default"/>
                <w:sz w:val="16"/>
                <w:szCs w:val="16"/>
              </w:rPr>
            </w:r>
          </w:p>
        </w:tc>
        <w:tc>
          <w:tcPr>
            <w:tcW w:w="1230"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289" w:right="0"/>
              <w:jc w:val="left"/>
              <w:rPr>
                <w:rFonts w:ascii="宋体" w:hAnsi="宋体" w:cs="宋体" w:eastAsia="宋体" w:hint="default"/>
                <w:sz w:val="16"/>
                <w:szCs w:val="16"/>
              </w:rPr>
            </w:pPr>
            <w:r>
              <w:rPr>
                <w:rFonts w:ascii="宋体" w:hAnsi="宋体" w:cs="宋体" w:eastAsia="宋体" w:hint="default"/>
                <w:b/>
                <w:bCs/>
                <w:sz w:val="16"/>
                <w:szCs w:val="16"/>
              </w:rPr>
              <w:t>注册资本</w:t>
            </w:r>
            <w:r>
              <w:rPr>
                <w:rFonts w:ascii="宋体" w:hAnsi="宋体" w:cs="宋体" w:eastAsia="宋体" w:hint="default"/>
                <w:sz w:val="16"/>
                <w:szCs w:val="16"/>
              </w:rPr>
            </w:r>
          </w:p>
        </w:tc>
        <w:tc>
          <w:tcPr>
            <w:tcW w:w="788"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97"/>
              <w:jc w:val="right"/>
              <w:rPr>
                <w:rFonts w:ascii="宋体" w:hAnsi="宋体" w:cs="宋体" w:eastAsia="宋体" w:hint="default"/>
                <w:sz w:val="16"/>
                <w:szCs w:val="16"/>
              </w:rPr>
            </w:pPr>
            <w:r>
              <w:rPr>
                <w:rFonts w:ascii="宋体" w:hAnsi="宋体" w:cs="宋体" w:eastAsia="宋体" w:hint="default"/>
                <w:b/>
                <w:bCs/>
                <w:sz w:val="16"/>
                <w:szCs w:val="16"/>
              </w:rPr>
              <w:t>持股比例</w:t>
            </w:r>
            <w:r>
              <w:rPr>
                <w:rFonts w:ascii="宋体" w:hAnsi="宋体" w:cs="宋体" w:eastAsia="宋体" w:hint="default"/>
                <w:sz w:val="16"/>
                <w:szCs w:val="16"/>
              </w:rPr>
            </w:r>
          </w:p>
        </w:tc>
        <w:tc>
          <w:tcPr>
            <w:tcW w:w="765"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0"/>
              <w:jc w:val="center"/>
              <w:rPr>
                <w:rFonts w:ascii="宋体" w:hAnsi="宋体" w:cs="宋体" w:eastAsia="宋体" w:hint="default"/>
                <w:sz w:val="16"/>
                <w:szCs w:val="16"/>
              </w:rPr>
            </w:pPr>
            <w:r>
              <w:rPr>
                <w:rFonts w:ascii="宋体" w:hAnsi="宋体" w:cs="宋体" w:eastAsia="宋体" w:hint="default"/>
                <w:b/>
                <w:bCs/>
                <w:sz w:val="16"/>
                <w:szCs w:val="16"/>
              </w:rPr>
              <w:t>注册地址</w:t>
            </w:r>
            <w:r>
              <w:rPr>
                <w:rFonts w:ascii="宋体" w:hAnsi="宋体" w:cs="宋体" w:eastAsia="宋体" w:hint="default"/>
                <w:sz w:val="16"/>
                <w:szCs w:val="16"/>
              </w:rPr>
            </w:r>
          </w:p>
        </w:tc>
        <w:tc>
          <w:tcPr>
            <w:tcW w:w="3368"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30" w:right="0"/>
              <w:jc w:val="center"/>
              <w:rPr>
                <w:rFonts w:ascii="宋体" w:hAnsi="宋体" w:cs="宋体" w:eastAsia="宋体" w:hint="default"/>
                <w:sz w:val="16"/>
                <w:szCs w:val="16"/>
              </w:rPr>
            </w:pPr>
            <w:r>
              <w:rPr>
                <w:rFonts w:ascii="宋体" w:hAnsi="宋体" w:cs="宋体" w:eastAsia="宋体" w:hint="default"/>
                <w:b/>
                <w:bCs/>
                <w:sz w:val="16"/>
                <w:szCs w:val="16"/>
              </w:rPr>
              <w:t>主营业务</w:t>
            </w:r>
            <w:r>
              <w:rPr>
                <w:rFonts w:ascii="宋体" w:hAnsi="宋体" w:cs="宋体" w:eastAsia="宋体" w:hint="default"/>
                <w:sz w:val="16"/>
                <w:szCs w:val="16"/>
              </w:rPr>
            </w:r>
          </w:p>
        </w:tc>
      </w:tr>
      <w:tr>
        <w:trPr>
          <w:trHeight w:val="323" w:hRule="exact"/>
        </w:trPr>
        <w:tc>
          <w:tcPr>
            <w:tcW w:w="2016" w:type="dxa"/>
            <w:tcBorders>
              <w:top w:val="single" w:sz="4" w:space="0" w:color="000000"/>
              <w:left w:val="nil" w:sz="6" w:space="0" w:color="auto"/>
              <w:bottom w:val="nil" w:sz="6" w:space="0" w:color="auto"/>
              <w:right w:val="nil" w:sz="6" w:space="0" w:color="auto"/>
            </w:tcBorders>
          </w:tcPr>
          <w:p>
            <w:pPr>
              <w:pStyle w:val="TableParagraph"/>
              <w:spacing w:line="240" w:lineRule="auto" w:before="41"/>
              <w:ind w:left="28" w:right="0"/>
              <w:jc w:val="left"/>
              <w:rPr>
                <w:rFonts w:ascii="宋体" w:hAnsi="宋体" w:cs="宋体" w:eastAsia="宋体" w:hint="default"/>
                <w:sz w:val="16"/>
                <w:szCs w:val="16"/>
              </w:rPr>
            </w:pPr>
            <w:r>
              <w:rPr>
                <w:rFonts w:ascii="宋体" w:hAnsi="宋体" w:cs="宋体" w:eastAsia="宋体" w:hint="default"/>
                <w:sz w:val="16"/>
                <w:szCs w:val="16"/>
              </w:rPr>
              <w:t>北京同方星城置业有限公司</w:t>
            </w:r>
          </w:p>
        </w:tc>
        <w:tc>
          <w:tcPr>
            <w:tcW w:w="457" w:type="dxa"/>
            <w:tcBorders>
              <w:top w:val="single" w:sz="4" w:space="0" w:color="000000"/>
              <w:left w:val="nil" w:sz="6" w:space="0" w:color="auto"/>
              <w:bottom w:val="nil" w:sz="6" w:space="0" w:color="auto"/>
              <w:right w:val="nil" w:sz="6" w:space="0" w:color="auto"/>
            </w:tcBorders>
          </w:tcPr>
          <w:p>
            <w:pPr>
              <w:pStyle w:val="TableParagraph"/>
              <w:spacing w:line="240" w:lineRule="auto" w:before="41"/>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single" w:sz="4" w:space="0" w:color="000000"/>
              <w:left w:val="nil" w:sz="6" w:space="0" w:color="auto"/>
              <w:bottom w:val="nil" w:sz="6" w:space="0" w:color="auto"/>
              <w:right w:val="nil" w:sz="6" w:space="0" w:color="auto"/>
            </w:tcBorders>
          </w:tcPr>
          <w:p>
            <w:pPr>
              <w:pStyle w:val="TableParagraph"/>
              <w:spacing w:line="240" w:lineRule="auto" w:before="41"/>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5800.00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single" w:sz="4" w:space="0" w:color="000000"/>
              <w:left w:val="nil" w:sz="6" w:space="0" w:color="auto"/>
              <w:bottom w:val="nil" w:sz="6" w:space="0" w:color="auto"/>
              <w:right w:val="nil" w:sz="6" w:space="0" w:color="auto"/>
            </w:tcBorders>
          </w:tcPr>
          <w:p>
            <w:pPr>
              <w:pStyle w:val="TableParagraph"/>
              <w:spacing w:line="240" w:lineRule="auto" w:before="41"/>
              <w:ind w:left="1" w:right="0"/>
              <w:jc w:val="center"/>
              <w:rPr>
                <w:rFonts w:ascii="宋体" w:hAnsi="宋体" w:cs="宋体" w:eastAsia="宋体" w:hint="default"/>
                <w:sz w:val="16"/>
                <w:szCs w:val="16"/>
              </w:rPr>
            </w:pPr>
            <w:r>
              <w:rPr>
                <w:rFonts w:ascii="宋体" w:hAnsi="宋体" w:cs="宋体" w:eastAsia="宋体" w:hint="default"/>
                <w:sz w:val="16"/>
                <w:szCs w:val="16"/>
              </w:rPr>
              <w:t>北京怀柔</w:t>
            </w:r>
          </w:p>
        </w:tc>
        <w:tc>
          <w:tcPr>
            <w:tcW w:w="3368" w:type="dxa"/>
            <w:tcBorders>
              <w:top w:val="single" w:sz="4" w:space="0" w:color="000000"/>
              <w:left w:val="nil" w:sz="6" w:space="0" w:color="auto"/>
              <w:bottom w:val="nil" w:sz="6" w:space="0" w:color="auto"/>
              <w:right w:val="nil" w:sz="6" w:space="0" w:color="auto"/>
            </w:tcBorders>
          </w:tcPr>
          <w:p>
            <w:pPr>
              <w:pStyle w:val="TableParagraph"/>
              <w:spacing w:line="240" w:lineRule="auto" w:before="41"/>
              <w:ind w:left="59" w:right="0"/>
              <w:jc w:val="left"/>
              <w:rPr>
                <w:rFonts w:ascii="宋体" w:hAnsi="宋体" w:cs="宋体" w:eastAsia="宋体" w:hint="default"/>
                <w:sz w:val="16"/>
                <w:szCs w:val="16"/>
              </w:rPr>
            </w:pPr>
            <w:r>
              <w:rPr>
                <w:rFonts w:ascii="宋体" w:hAnsi="宋体" w:cs="宋体" w:eastAsia="宋体" w:hint="default"/>
                <w:sz w:val="16"/>
                <w:szCs w:val="16"/>
              </w:rPr>
              <w:t>房地产开发经营</w:t>
            </w:r>
          </w:p>
        </w:tc>
      </w:tr>
      <w:tr>
        <w:trPr>
          <w:trHeight w:val="28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九江同方实业有限公司</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3565.31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江西九江</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房地产开发、物业管理、室内外装饰工程</w:t>
            </w:r>
          </w:p>
        </w:tc>
      </w:tr>
      <w:tr>
        <w:trPr>
          <w:trHeight w:val="28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北京同方物业管理有限公司</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950.00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物业管理</w:t>
            </w:r>
          </w:p>
        </w:tc>
      </w:tr>
      <w:tr>
        <w:trPr>
          <w:trHeight w:val="47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
              <w:ind w:left="28" w:right="63"/>
              <w:jc w:val="left"/>
              <w:rPr>
                <w:rFonts w:ascii="宋体" w:hAnsi="宋体" w:cs="宋体" w:eastAsia="宋体" w:hint="default"/>
                <w:sz w:val="16"/>
                <w:szCs w:val="16"/>
              </w:rPr>
            </w:pPr>
            <w:r>
              <w:rPr>
                <w:rFonts w:ascii="宋体" w:hAnsi="宋体" w:cs="宋体" w:eastAsia="宋体" w:hint="default"/>
                <w:spacing w:val="-1"/>
                <w:sz w:val="16"/>
                <w:szCs w:val="16"/>
              </w:rPr>
              <w:t>北京华清御都商务服务有限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59" w:right="0"/>
              <w:jc w:val="left"/>
              <w:rPr>
                <w:rFonts w:ascii="宋体" w:hAnsi="宋体" w:cs="宋体" w:eastAsia="宋体" w:hint="default"/>
                <w:sz w:val="16"/>
                <w:szCs w:val="16"/>
              </w:rPr>
            </w:pPr>
            <w:r>
              <w:rPr>
                <w:rFonts w:ascii="宋体" w:hAnsi="宋体" w:cs="宋体" w:eastAsia="宋体" w:hint="default"/>
                <w:sz w:val="16"/>
                <w:szCs w:val="16"/>
              </w:rPr>
              <w:t>餐饮、娱乐服务</w:t>
            </w:r>
          </w:p>
        </w:tc>
      </w:tr>
      <w:tr>
        <w:trPr>
          <w:trHeight w:val="47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8" w:right="0"/>
              <w:jc w:val="left"/>
              <w:rPr>
                <w:rFonts w:ascii="宋体" w:hAnsi="宋体" w:cs="宋体" w:eastAsia="宋体" w:hint="default"/>
                <w:sz w:val="16"/>
                <w:szCs w:val="16"/>
              </w:rPr>
            </w:pPr>
            <w:r>
              <w:rPr>
                <w:rFonts w:ascii="宋体" w:hAnsi="宋体" w:cs="宋体" w:eastAsia="宋体" w:hint="default"/>
                <w:sz w:val="16"/>
                <w:szCs w:val="16"/>
              </w:rPr>
              <w:t>同方计算机有限公司</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60000.00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江苏无锡</w:t>
            </w:r>
          </w:p>
        </w:tc>
        <w:tc>
          <w:tcPr>
            <w:tcW w:w="3368" w:type="dxa"/>
            <w:tcBorders>
              <w:top w:val="nil" w:sz="6" w:space="0" w:color="auto"/>
              <w:left w:val="nil" w:sz="6" w:space="0" w:color="auto"/>
              <w:bottom w:val="nil" w:sz="6" w:space="0" w:color="auto"/>
              <w:right w:val="nil" w:sz="6" w:space="0" w:color="auto"/>
            </w:tcBorders>
          </w:tcPr>
          <w:p>
            <w:pPr>
              <w:pStyle w:val="TableParagraph"/>
              <w:spacing w:line="206" w:lineRule="exact" w:before="26"/>
              <w:ind w:left="59" w:right="25"/>
              <w:jc w:val="left"/>
              <w:rPr>
                <w:rFonts w:ascii="宋体" w:hAnsi="宋体" w:cs="宋体" w:eastAsia="宋体" w:hint="default"/>
                <w:sz w:val="16"/>
                <w:szCs w:val="16"/>
              </w:rPr>
            </w:pPr>
            <w:r>
              <w:rPr>
                <w:rFonts w:ascii="宋体" w:hAnsi="宋体" w:cs="宋体" w:eastAsia="宋体" w:hint="default"/>
                <w:spacing w:val="2"/>
                <w:sz w:val="16"/>
                <w:szCs w:val="16"/>
              </w:rPr>
              <w:t>计算机及相关产品生产、销售和进出口；科技</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园区及配套设施开发管理</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8" w:right="63"/>
              <w:jc w:val="left"/>
              <w:rPr>
                <w:rFonts w:ascii="宋体" w:hAnsi="宋体" w:cs="宋体" w:eastAsia="宋体" w:hint="default"/>
                <w:sz w:val="16"/>
                <w:szCs w:val="16"/>
              </w:rPr>
            </w:pPr>
            <w:r>
              <w:rPr>
                <w:rFonts w:ascii="宋体" w:hAnsi="宋体" w:cs="宋体" w:eastAsia="宋体" w:hint="default"/>
                <w:spacing w:val="-1"/>
                <w:sz w:val="16"/>
                <w:szCs w:val="16"/>
              </w:rPr>
              <w:t>北京同方信息安全技术股份</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有限公司</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3375.00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51.00%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59" w:right="0"/>
              <w:jc w:val="left"/>
              <w:rPr>
                <w:rFonts w:ascii="宋体" w:hAnsi="宋体" w:cs="宋体" w:eastAsia="宋体" w:hint="default"/>
                <w:sz w:val="16"/>
                <w:szCs w:val="16"/>
              </w:rPr>
            </w:pPr>
            <w:r>
              <w:rPr>
                <w:rFonts w:ascii="宋体" w:hAnsi="宋体" w:cs="宋体" w:eastAsia="宋体" w:hint="default"/>
                <w:sz w:val="16"/>
                <w:szCs w:val="16"/>
              </w:rPr>
              <w:t>网络安全产品和技术服务</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8" w:right="63"/>
              <w:jc w:val="left"/>
              <w:rPr>
                <w:rFonts w:ascii="宋体" w:hAnsi="宋体" w:cs="宋体" w:eastAsia="宋体" w:hint="default"/>
                <w:sz w:val="16"/>
                <w:szCs w:val="16"/>
              </w:rPr>
            </w:pPr>
            <w:r>
              <w:rPr>
                <w:rFonts w:ascii="宋体" w:hAnsi="宋体" w:cs="宋体" w:eastAsia="宋体" w:hint="default"/>
                <w:spacing w:val="-1"/>
                <w:sz w:val="16"/>
                <w:szCs w:val="16"/>
              </w:rPr>
              <w:t>西安清芬挺秀电子信息科技</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有限公司</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60.00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陕西西安</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59" w:right="0"/>
              <w:jc w:val="left"/>
              <w:rPr>
                <w:rFonts w:ascii="宋体" w:hAnsi="宋体" w:cs="宋体" w:eastAsia="宋体" w:hint="default"/>
                <w:sz w:val="16"/>
                <w:szCs w:val="16"/>
              </w:rPr>
            </w:pPr>
            <w:r>
              <w:rPr>
                <w:rFonts w:ascii="宋体" w:hAnsi="宋体" w:cs="宋体" w:eastAsia="宋体" w:hint="default"/>
                <w:sz w:val="16"/>
                <w:szCs w:val="16"/>
              </w:rPr>
              <w:t>计算机信息技术研究开发等</w:t>
            </w:r>
          </w:p>
        </w:tc>
      </w:tr>
      <w:tr>
        <w:trPr>
          <w:trHeight w:val="47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8" w:right="63"/>
              <w:jc w:val="left"/>
              <w:rPr>
                <w:rFonts w:ascii="宋体" w:hAnsi="宋体" w:cs="宋体" w:eastAsia="宋体" w:hint="default"/>
                <w:sz w:val="16"/>
                <w:szCs w:val="16"/>
              </w:rPr>
            </w:pPr>
            <w:r>
              <w:rPr>
                <w:rFonts w:ascii="宋体" w:hAnsi="宋体" w:cs="宋体" w:eastAsia="宋体" w:hint="default"/>
                <w:spacing w:val="-1"/>
                <w:sz w:val="16"/>
                <w:szCs w:val="16"/>
              </w:rPr>
              <w:t>同方国际信息技术（苏州）</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有限公司</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江苏苏州</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59" w:right="0"/>
              <w:jc w:val="left"/>
              <w:rPr>
                <w:rFonts w:ascii="宋体" w:hAnsi="宋体" w:cs="宋体" w:eastAsia="宋体" w:hint="default"/>
                <w:sz w:val="16"/>
                <w:szCs w:val="16"/>
              </w:rPr>
            </w:pPr>
            <w:r>
              <w:rPr>
                <w:rFonts w:ascii="宋体" w:hAnsi="宋体" w:cs="宋体" w:eastAsia="宋体" w:hint="default"/>
                <w:sz w:val="16"/>
                <w:szCs w:val="16"/>
              </w:rPr>
              <w:t>计算机及相关产品生产、销售</w:t>
            </w:r>
          </w:p>
        </w:tc>
      </w:tr>
      <w:tr>
        <w:trPr>
          <w:trHeight w:val="43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30"/>
              <w:ind w:left="28" w:right="515"/>
              <w:jc w:val="left"/>
              <w:rPr>
                <w:rFonts w:ascii="Times New Roman" w:hAnsi="Times New Roman" w:cs="Times New Roman" w:eastAsia="Times New Roman" w:hint="default"/>
                <w:sz w:val="16"/>
                <w:szCs w:val="16"/>
              </w:rPr>
            </w:pPr>
            <w:r>
              <w:rPr>
                <w:rFonts w:ascii="Times New Roman"/>
                <w:sz w:val="16"/>
              </w:rPr>
              <w:t>Resuccess</w:t>
            </w:r>
            <w:r>
              <w:rPr>
                <w:rFonts w:ascii="Times New Roman"/>
                <w:spacing w:val="-8"/>
                <w:sz w:val="16"/>
              </w:rPr>
              <w:t> </w:t>
            </w:r>
            <w:r>
              <w:rPr>
                <w:rFonts w:ascii="Times New Roman"/>
                <w:sz w:val="16"/>
              </w:rPr>
              <w:t>Investments</w:t>
            </w:r>
            <w:r>
              <w:rPr>
                <w:rFonts w:ascii="Times New Roman"/>
                <w:w w:val="100"/>
                <w:sz w:val="16"/>
              </w:rPr>
              <w:t> </w:t>
            </w:r>
            <w:r>
              <w:rPr>
                <w:rFonts w:ascii="Times New Roman"/>
                <w:sz w:val="16"/>
              </w:rPr>
              <w:t>Limited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US$2000.00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88"/>
              <w:ind w:left="59" w:right="0"/>
              <w:jc w:val="left"/>
              <w:rPr>
                <w:rFonts w:ascii="宋体" w:hAnsi="宋体" w:cs="宋体" w:eastAsia="宋体" w:hint="default"/>
                <w:sz w:val="16"/>
                <w:szCs w:val="16"/>
              </w:rPr>
            </w:pPr>
            <w:r>
              <w:rPr>
                <w:rFonts w:ascii="宋体" w:hAnsi="宋体" w:cs="宋体" w:eastAsia="宋体" w:hint="default"/>
                <w:sz w:val="16"/>
                <w:szCs w:val="16"/>
              </w:rPr>
              <w:t>科技项目投资与管理</w:t>
            </w:r>
          </w:p>
        </w:tc>
      </w:tr>
      <w:tr>
        <w:trPr>
          <w:trHeight w:val="433"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8" w:right="313"/>
              <w:jc w:val="left"/>
              <w:rPr>
                <w:rFonts w:ascii="Times New Roman" w:hAnsi="Times New Roman" w:cs="Times New Roman" w:eastAsia="Times New Roman" w:hint="default"/>
                <w:sz w:val="16"/>
                <w:szCs w:val="16"/>
              </w:rPr>
            </w:pPr>
            <w:r>
              <w:rPr>
                <w:rFonts w:ascii="Times New Roman"/>
                <w:sz w:val="16"/>
              </w:rPr>
              <w:t>Know China</w:t>
            </w:r>
            <w:r>
              <w:rPr>
                <w:rFonts w:ascii="Times New Roman"/>
                <w:spacing w:val="-12"/>
                <w:sz w:val="16"/>
              </w:rPr>
              <w:t> </w:t>
            </w:r>
            <w:r>
              <w:rPr>
                <w:rFonts w:ascii="Times New Roman"/>
                <w:sz w:val="16"/>
              </w:rPr>
              <w:t>International</w:t>
            </w:r>
            <w:r>
              <w:rPr>
                <w:rFonts w:ascii="Times New Roman"/>
                <w:w w:val="100"/>
                <w:sz w:val="16"/>
              </w:rPr>
              <w:t> </w:t>
            </w:r>
            <w:r>
              <w:rPr>
                <w:rFonts w:ascii="Times New Roman"/>
                <w:sz w:val="16"/>
              </w:rPr>
              <w:t>Holdings</w:t>
            </w:r>
            <w:r>
              <w:rPr>
                <w:rFonts w:ascii="Times New Roman"/>
                <w:spacing w:val="-9"/>
                <w:sz w:val="16"/>
              </w:rPr>
              <w:t> </w:t>
            </w:r>
            <w:r>
              <w:rPr>
                <w:rFonts w:ascii="Times New Roman"/>
                <w:sz w:val="16"/>
              </w:rPr>
              <w:t>Limited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US$1.00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元</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 w:right="0"/>
              <w:jc w:val="center"/>
              <w:rPr>
                <w:rFonts w:ascii="宋体" w:hAnsi="宋体" w:cs="宋体" w:eastAsia="宋体" w:hint="default"/>
                <w:sz w:val="16"/>
                <w:szCs w:val="16"/>
              </w:rPr>
            </w:pPr>
            <w:r>
              <w:rPr>
                <w:rFonts w:ascii="宋体" w:hAnsi="宋体" w:cs="宋体" w:eastAsia="宋体" w:hint="default"/>
                <w:sz w:val="16"/>
                <w:szCs w:val="16"/>
              </w:rPr>
              <w:t>开曼群岛</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9" w:right="0"/>
              <w:jc w:val="left"/>
              <w:rPr>
                <w:rFonts w:ascii="宋体" w:hAnsi="宋体" w:cs="宋体" w:eastAsia="宋体" w:hint="default"/>
                <w:sz w:val="16"/>
                <w:szCs w:val="16"/>
              </w:rPr>
            </w:pPr>
            <w:r>
              <w:rPr>
                <w:rFonts w:ascii="宋体" w:hAnsi="宋体" w:cs="宋体" w:eastAsia="宋体" w:hint="default"/>
                <w:sz w:val="16"/>
                <w:szCs w:val="16"/>
              </w:rPr>
              <w:t>科技项目投资与管理</w:t>
            </w:r>
          </w:p>
        </w:tc>
      </w:tr>
      <w:tr>
        <w:trPr>
          <w:trHeight w:val="472"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8" w:lineRule="exact" w:before="16"/>
              <w:ind w:left="28" w:right="63"/>
              <w:jc w:val="left"/>
              <w:rPr>
                <w:rFonts w:ascii="宋体" w:hAnsi="宋体" w:cs="宋体" w:eastAsia="宋体" w:hint="default"/>
                <w:sz w:val="16"/>
                <w:szCs w:val="16"/>
              </w:rPr>
            </w:pPr>
            <w:r>
              <w:rPr>
                <w:rFonts w:ascii="宋体" w:hAnsi="宋体" w:cs="宋体" w:eastAsia="宋体" w:hint="default"/>
                <w:spacing w:val="-1"/>
                <w:sz w:val="16"/>
                <w:szCs w:val="16"/>
              </w:rPr>
              <w:t>同方知网（北京）技术有限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US$100.00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59" w:right="0"/>
              <w:jc w:val="left"/>
              <w:rPr>
                <w:rFonts w:ascii="宋体" w:hAnsi="宋体" w:cs="宋体" w:eastAsia="宋体" w:hint="default"/>
                <w:sz w:val="16"/>
                <w:szCs w:val="16"/>
              </w:rPr>
            </w:pPr>
            <w:r>
              <w:rPr>
                <w:rFonts w:ascii="宋体" w:hAnsi="宋体" w:cs="宋体" w:eastAsia="宋体" w:hint="default"/>
                <w:sz w:val="16"/>
                <w:szCs w:val="16"/>
              </w:rPr>
              <w:t>网络知识存储与信息检索</w:t>
            </w:r>
          </w:p>
        </w:tc>
      </w:tr>
      <w:tr>
        <w:trPr>
          <w:trHeight w:val="2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8" w:right="0"/>
              <w:jc w:val="left"/>
              <w:rPr>
                <w:rFonts w:ascii="Times New Roman" w:hAnsi="Times New Roman" w:cs="Times New Roman" w:eastAsia="Times New Roman" w:hint="default"/>
                <w:sz w:val="16"/>
                <w:szCs w:val="16"/>
              </w:rPr>
            </w:pPr>
            <w:r>
              <w:rPr>
                <w:rFonts w:ascii="Times New Roman"/>
                <w:sz w:val="16"/>
              </w:rPr>
              <w:t>TF-EPI Co.</w:t>
            </w:r>
            <w:r>
              <w:rPr>
                <w:rFonts w:ascii="Times New Roman"/>
                <w:spacing w:val="-6"/>
                <w:sz w:val="16"/>
              </w:rPr>
              <w:t> </w:t>
            </w:r>
            <w:r>
              <w:rPr>
                <w:rFonts w:ascii="Times New Roman"/>
                <w:sz w:val="16"/>
              </w:rPr>
              <w:t>Limited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开曼群岛</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科技项目投资与管理</w:t>
            </w:r>
          </w:p>
        </w:tc>
      </w:tr>
      <w:tr>
        <w:trPr>
          <w:trHeight w:val="47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8" w:right="0"/>
              <w:jc w:val="left"/>
              <w:rPr>
                <w:rFonts w:ascii="宋体" w:hAnsi="宋体" w:cs="宋体" w:eastAsia="宋体" w:hint="default"/>
                <w:sz w:val="16"/>
                <w:szCs w:val="16"/>
              </w:rPr>
            </w:pPr>
            <w:r>
              <w:rPr>
                <w:rFonts w:ascii="宋体" w:hAnsi="宋体" w:cs="宋体" w:eastAsia="宋体" w:hint="default"/>
                <w:sz w:val="16"/>
                <w:szCs w:val="16"/>
              </w:rPr>
              <w:t>同方资本管理有限公司</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深圳前海</w:t>
            </w:r>
          </w:p>
        </w:tc>
        <w:tc>
          <w:tcPr>
            <w:tcW w:w="3368" w:type="dxa"/>
            <w:tcBorders>
              <w:top w:val="nil" w:sz="6" w:space="0" w:color="auto"/>
              <w:left w:val="nil" w:sz="6" w:space="0" w:color="auto"/>
              <w:bottom w:val="nil" w:sz="6" w:space="0" w:color="auto"/>
              <w:right w:val="nil" w:sz="6" w:space="0" w:color="auto"/>
            </w:tcBorders>
          </w:tcPr>
          <w:p>
            <w:pPr>
              <w:pStyle w:val="TableParagraph"/>
              <w:spacing w:line="206" w:lineRule="exact" w:before="26"/>
              <w:ind w:left="59" w:right="25"/>
              <w:jc w:val="left"/>
              <w:rPr>
                <w:rFonts w:ascii="宋体" w:hAnsi="宋体" w:cs="宋体" w:eastAsia="宋体" w:hint="default"/>
                <w:sz w:val="16"/>
                <w:szCs w:val="16"/>
              </w:rPr>
            </w:pPr>
            <w:r>
              <w:rPr>
                <w:rFonts w:ascii="宋体" w:hAnsi="宋体" w:cs="宋体" w:eastAsia="宋体" w:hint="default"/>
                <w:spacing w:val="2"/>
                <w:sz w:val="16"/>
                <w:szCs w:val="16"/>
              </w:rPr>
              <w:t>发起设立股权投资企业；受托管理股权投资企</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业的投资业务并提供相关服务；股权投资咨询</w:t>
            </w:r>
          </w:p>
        </w:tc>
      </w:tr>
      <w:tr>
        <w:trPr>
          <w:trHeight w:val="44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30"/>
              <w:ind w:left="28" w:right="585"/>
              <w:jc w:val="left"/>
              <w:rPr>
                <w:rFonts w:ascii="Times New Roman" w:hAnsi="Times New Roman" w:cs="Times New Roman" w:eastAsia="Times New Roman" w:hint="default"/>
                <w:sz w:val="16"/>
                <w:szCs w:val="16"/>
              </w:rPr>
            </w:pPr>
            <w:r>
              <w:rPr>
                <w:rFonts w:ascii="Times New Roman"/>
                <w:sz w:val="16"/>
              </w:rPr>
              <w:t>THTF</w:t>
            </w:r>
            <w:r>
              <w:rPr>
                <w:rFonts w:ascii="Times New Roman"/>
                <w:spacing w:val="-7"/>
                <w:sz w:val="16"/>
              </w:rPr>
              <w:t> </w:t>
            </w:r>
            <w:r>
              <w:rPr>
                <w:rFonts w:ascii="Times New Roman"/>
                <w:sz w:val="16"/>
              </w:rPr>
              <w:t>Energy-Saving</w:t>
            </w:r>
            <w:r>
              <w:rPr>
                <w:rFonts w:ascii="Times New Roman"/>
                <w:w w:val="100"/>
                <w:sz w:val="16"/>
              </w:rPr>
              <w:t> </w:t>
            </w:r>
            <w:r>
              <w:rPr>
                <w:rFonts w:ascii="Times New Roman"/>
                <w:sz w:val="16"/>
              </w:rPr>
              <w:t>Holdings</w:t>
            </w:r>
            <w:r>
              <w:rPr>
                <w:rFonts w:ascii="Times New Roman"/>
                <w:spacing w:val="-9"/>
                <w:sz w:val="16"/>
              </w:rPr>
              <w:t> </w:t>
            </w:r>
            <w:r>
              <w:rPr>
                <w:rFonts w:ascii="Times New Roman"/>
                <w:sz w:val="16"/>
              </w:rPr>
              <w:t>Limited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 w:right="0"/>
              <w:jc w:val="center"/>
              <w:rPr>
                <w:rFonts w:ascii="宋体" w:hAnsi="宋体" w:cs="宋体" w:eastAsia="宋体" w:hint="default"/>
                <w:sz w:val="16"/>
                <w:szCs w:val="16"/>
              </w:rPr>
            </w:pPr>
            <w:r>
              <w:rPr>
                <w:rFonts w:ascii="宋体" w:hAnsi="宋体" w:cs="宋体" w:eastAsia="宋体" w:hint="default"/>
                <w:sz w:val="16"/>
                <w:szCs w:val="16"/>
              </w:rPr>
              <w:t>开曼群岛</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88"/>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268"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28" w:right="0"/>
              <w:jc w:val="left"/>
              <w:rPr>
                <w:rFonts w:ascii="宋体" w:hAnsi="宋体" w:cs="宋体" w:eastAsia="宋体" w:hint="default"/>
                <w:sz w:val="16"/>
                <w:szCs w:val="16"/>
              </w:rPr>
            </w:pPr>
            <w:r>
              <w:rPr>
                <w:rFonts w:ascii="宋体" w:hAnsi="宋体" w:cs="宋体" w:eastAsia="宋体" w:hint="default"/>
                <w:sz w:val="16"/>
                <w:szCs w:val="16"/>
              </w:rPr>
              <w:t>同方友友控股有限公司</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HK$50000.00</w:t>
            </w:r>
            <w:r>
              <w:rPr>
                <w:rFonts w:ascii="Times New Roman" w:hAnsi="Times New Roman" w:cs="Times New Roman" w:eastAsia="Times New Roman" w:hint="default"/>
                <w:spacing w:val="-6"/>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7"/>
              <w:jc w:val="right"/>
              <w:rPr>
                <w:rFonts w:ascii="Times New Roman" w:hAnsi="Times New Roman" w:cs="Times New Roman" w:eastAsia="Times New Roman" w:hint="default"/>
                <w:sz w:val="16"/>
                <w:szCs w:val="16"/>
              </w:rPr>
            </w:pPr>
            <w:r>
              <w:rPr>
                <w:rFonts w:ascii="Times New Roman"/>
                <w:spacing w:val="-1"/>
                <w:sz w:val="16"/>
              </w:rPr>
              <w:t>51.75%</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
              <w:ind w:left="1" w:right="0"/>
              <w:jc w:val="center"/>
              <w:rPr>
                <w:rFonts w:ascii="宋体" w:hAnsi="宋体" w:cs="宋体" w:eastAsia="宋体" w:hint="default"/>
                <w:sz w:val="16"/>
                <w:szCs w:val="16"/>
              </w:rPr>
            </w:pPr>
            <w:r>
              <w:rPr>
                <w:rFonts w:ascii="宋体" w:hAnsi="宋体" w:cs="宋体" w:eastAsia="宋体" w:hint="default"/>
                <w:sz w:val="16"/>
                <w:szCs w:val="16"/>
              </w:rPr>
              <w:t>开曼群岛</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1"/>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43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8" w:right="545"/>
              <w:jc w:val="left"/>
              <w:rPr>
                <w:rFonts w:ascii="Times New Roman" w:hAnsi="Times New Roman" w:cs="Times New Roman" w:eastAsia="Times New Roman" w:hint="default"/>
                <w:sz w:val="16"/>
                <w:szCs w:val="16"/>
              </w:rPr>
            </w:pPr>
            <w:r>
              <w:rPr>
                <w:rFonts w:ascii="Times New Roman"/>
                <w:sz w:val="16"/>
              </w:rPr>
              <w:t>THTF Lighting</w:t>
            </w:r>
            <w:r>
              <w:rPr>
                <w:rFonts w:ascii="Times New Roman"/>
                <w:spacing w:val="-9"/>
                <w:sz w:val="16"/>
              </w:rPr>
              <w:t> </w:t>
            </w:r>
            <w:r>
              <w:rPr>
                <w:rFonts w:ascii="Times New Roman"/>
                <w:sz w:val="16"/>
              </w:rPr>
              <w:t>Group</w:t>
            </w:r>
            <w:r>
              <w:rPr>
                <w:rFonts w:ascii="Times New Roman"/>
                <w:w w:val="100"/>
                <w:sz w:val="16"/>
              </w:rPr>
              <w:t> </w:t>
            </w:r>
            <w:r>
              <w:rPr>
                <w:rFonts w:ascii="Times New Roman"/>
                <w:sz w:val="16"/>
              </w:rPr>
              <w:t>Limited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US$1000.00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87"/>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43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1"/>
              <w:ind w:left="28" w:right="418"/>
              <w:jc w:val="left"/>
              <w:rPr>
                <w:rFonts w:ascii="Times New Roman" w:hAnsi="Times New Roman" w:cs="Times New Roman" w:eastAsia="Times New Roman" w:hint="default"/>
                <w:sz w:val="16"/>
                <w:szCs w:val="16"/>
              </w:rPr>
            </w:pPr>
            <w:r>
              <w:rPr>
                <w:rFonts w:ascii="Times New Roman"/>
                <w:sz w:val="16"/>
              </w:rPr>
              <w:t>Neo-Neon</w:t>
            </w:r>
            <w:r>
              <w:rPr>
                <w:rFonts w:ascii="Times New Roman"/>
                <w:spacing w:val="-8"/>
                <w:sz w:val="16"/>
              </w:rPr>
              <w:t> </w:t>
            </w:r>
            <w:r>
              <w:rPr>
                <w:rFonts w:ascii="Times New Roman"/>
                <w:sz w:val="16"/>
              </w:rPr>
              <w:t>Development</w:t>
            </w:r>
            <w:r>
              <w:rPr>
                <w:rFonts w:ascii="Times New Roman"/>
                <w:w w:val="100"/>
                <w:sz w:val="16"/>
              </w:rPr>
              <w:t> </w:t>
            </w:r>
            <w:r>
              <w:rPr>
                <w:rFonts w:ascii="Times New Roman"/>
                <w:sz w:val="16"/>
              </w:rPr>
              <w:t>Co.,Ltd.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269"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8" w:right="0"/>
              <w:jc w:val="left"/>
              <w:rPr>
                <w:rFonts w:ascii="Times New Roman" w:hAnsi="Times New Roman" w:cs="Times New Roman" w:eastAsia="Times New Roman" w:hint="default"/>
                <w:sz w:val="16"/>
                <w:szCs w:val="16"/>
              </w:rPr>
            </w:pPr>
            <w:r>
              <w:rPr>
                <w:rFonts w:ascii="Times New Roman"/>
                <w:sz w:val="16"/>
              </w:rPr>
              <w:t>LED House</w:t>
            </w:r>
            <w:r>
              <w:rPr>
                <w:rFonts w:ascii="Times New Roman"/>
                <w:spacing w:val="-7"/>
                <w:sz w:val="16"/>
              </w:rPr>
              <w:t> </w:t>
            </w:r>
            <w:r>
              <w:rPr>
                <w:rFonts w:ascii="Times New Roman"/>
                <w:sz w:val="16"/>
              </w:rPr>
              <w:t>Limited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HK$1.00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1"/>
              <w:ind w:left="59" w:right="0"/>
              <w:jc w:val="left"/>
              <w:rPr>
                <w:rFonts w:ascii="宋体" w:hAnsi="宋体" w:cs="宋体" w:eastAsia="宋体" w:hint="default"/>
                <w:sz w:val="16"/>
                <w:szCs w:val="16"/>
              </w:rPr>
            </w:pPr>
            <w:r>
              <w:rPr>
                <w:rFonts w:ascii="宋体" w:hAnsi="宋体" w:cs="宋体" w:eastAsia="宋体" w:hint="default"/>
                <w:sz w:val="16"/>
                <w:szCs w:val="16"/>
              </w:rPr>
              <w:t>装饰灯产品的销售</w:t>
            </w:r>
          </w:p>
        </w:tc>
      </w:tr>
      <w:tr>
        <w:trPr>
          <w:trHeight w:val="44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8" w:right="558"/>
              <w:jc w:val="left"/>
              <w:rPr>
                <w:rFonts w:ascii="Times New Roman" w:hAnsi="Times New Roman" w:cs="Times New Roman" w:eastAsia="Times New Roman" w:hint="default"/>
                <w:sz w:val="16"/>
                <w:szCs w:val="16"/>
              </w:rPr>
            </w:pPr>
            <w:r>
              <w:rPr>
                <w:rFonts w:ascii="Times New Roman"/>
                <w:sz w:val="16"/>
              </w:rPr>
              <w:t>Neo-Neon</w:t>
            </w:r>
            <w:r>
              <w:rPr>
                <w:rFonts w:ascii="Times New Roman"/>
                <w:spacing w:val="-5"/>
                <w:sz w:val="16"/>
              </w:rPr>
              <w:t> </w:t>
            </w:r>
            <w:r>
              <w:rPr>
                <w:rFonts w:ascii="Times New Roman"/>
                <w:sz w:val="16"/>
              </w:rPr>
              <w:t>Enterprises</w:t>
            </w:r>
            <w:r>
              <w:rPr>
                <w:rFonts w:ascii="Times New Roman"/>
                <w:w w:val="100"/>
                <w:sz w:val="16"/>
              </w:rPr>
              <w:t> </w:t>
            </w:r>
            <w:r>
              <w:rPr>
                <w:rFonts w:ascii="Times New Roman"/>
                <w:sz w:val="16"/>
              </w:rPr>
              <w:t>Limited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HK$1.00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90"/>
              <w:ind w:left="59" w:right="0"/>
              <w:jc w:val="left"/>
              <w:rPr>
                <w:rFonts w:ascii="宋体" w:hAnsi="宋体" w:cs="宋体" w:eastAsia="宋体" w:hint="default"/>
                <w:sz w:val="16"/>
                <w:szCs w:val="16"/>
              </w:rPr>
            </w:pPr>
            <w:r>
              <w:rPr>
                <w:rFonts w:ascii="宋体" w:hAnsi="宋体" w:cs="宋体" w:eastAsia="宋体" w:hint="default"/>
                <w:sz w:val="16"/>
                <w:szCs w:val="16"/>
              </w:rPr>
              <w:t>装饰灯产品的销售</w:t>
            </w:r>
          </w:p>
        </w:tc>
      </w:tr>
      <w:tr>
        <w:trPr>
          <w:trHeight w:val="272"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28" w:right="0"/>
              <w:jc w:val="left"/>
              <w:rPr>
                <w:rFonts w:ascii="宋体" w:hAnsi="宋体" w:cs="宋体" w:eastAsia="宋体" w:hint="default"/>
                <w:sz w:val="16"/>
                <w:szCs w:val="16"/>
              </w:rPr>
            </w:pPr>
            <w:r>
              <w:rPr>
                <w:rFonts w:ascii="宋体" w:hAnsi="宋体" w:cs="宋体" w:eastAsia="宋体" w:hint="default"/>
                <w:sz w:val="16"/>
                <w:szCs w:val="16"/>
              </w:rPr>
              <w:t>奇创实业有限公司</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TWD8000.00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
              <w:ind w:left="1" w:right="0"/>
              <w:jc w:val="center"/>
              <w:rPr>
                <w:rFonts w:ascii="宋体" w:hAnsi="宋体" w:cs="宋体" w:eastAsia="宋体" w:hint="default"/>
                <w:sz w:val="16"/>
                <w:szCs w:val="16"/>
              </w:rPr>
            </w:pPr>
            <w:r>
              <w:rPr>
                <w:rFonts w:ascii="宋体" w:hAnsi="宋体" w:cs="宋体" w:eastAsia="宋体" w:hint="default"/>
                <w:sz w:val="16"/>
                <w:szCs w:val="16"/>
              </w:rPr>
              <w:t>中国台湾</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1"/>
              <w:ind w:left="59" w:right="0"/>
              <w:jc w:val="left"/>
              <w:rPr>
                <w:rFonts w:ascii="宋体" w:hAnsi="宋体" w:cs="宋体" w:eastAsia="宋体" w:hint="default"/>
                <w:sz w:val="16"/>
                <w:szCs w:val="16"/>
              </w:rPr>
            </w:pPr>
            <w:r>
              <w:rPr>
                <w:rFonts w:ascii="宋体" w:hAnsi="宋体" w:cs="宋体" w:eastAsia="宋体" w:hint="default"/>
                <w:sz w:val="16"/>
                <w:szCs w:val="16"/>
              </w:rPr>
              <w:t>不动产投资</w:t>
            </w:r>
          </w:p>
        </w:tc>
      </w:tr>
      <w:tr>
        <w:trPr>
          <w:trHeight w:val="4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28" w:right="375"/>
              <w:jc w:val="left"/>
              <w:rPr>
                <w:rFonts w:ascii="Times New Roman" w:hAnsi="Times New Roman" w:cs="Times New Roman" w:eastAsia="Times New Roman" w:hint="default"/>
                <w:sz w:val="16"/>
                <w:szCs w:val="16"/>
              </w:rPr>
            </w:pPr>
            <w:r>
              <w:rPr>
                <w:rFonts w:ascii="Times New Roman"/>
                <w:sz w:val="16"/>
              </w:rPr>
              <w:t>Neo-Neon LED</w:t>
            </w:r>
            <w:r>
              <w:rPr>
                <w:rFonts w:ascii="Times New Roman"/>
                <w:spacing w:val="-6"/>
                <w:sz w:val="16"/>
              </w:rPr>
              <w:t> </w:t>
            </w:r>
            <w:r>
              <w:rPr>
                <w:rFonts w:ascii="Times New Roman"/>
                <w:sz w:val="16"/>
              </w:rPr>
              <w:t>Lighting</w:t>
            </w:r>
            <w:r>
              <w:rPr>
                <w:rFonts w:ascii="Times New Roman"/>
                <w:w w:val="100"/>
                <w:sz w:val="16"/>
              </w:rPr>
              <w:t> </w:t>
            </w:r>
            <w:r>
              <w:rPr>
                <w:rFonts w:ascii="Times New Roman"/>
                <w:sz w:val="16"/>
              </w:rPr>
              <w:t>International</w:t>
            </w:r>
            <w:r>
              <w:rPr>
                <w:rFonts w:ascii="Times New Roman"/>
                <w:spacing w:val="-13"/>
                <w:sz w:val="16"/>
              </w:rPr>
              <w:t> </w:t>
            </w:r>
            <w:r>
              <w:rPr>
                <w:rFonts w:ascii="Times New Roman"/>
                <w:sz w:val="16"/>
              </w:rPr>
              <w:t>Limited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US$1.00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4"/>
              <w:ind w:left="222" w:right="59" w:hanging="161"/>
              <w:jc w:val="left"/>
              <w:rPr>
                <w:rFonts w:ascii="宋体" w:hAnsi="宋体" w:cs="宋体" w:eastAsia="宋体" w:hint="default"/>
                <w:sz w:val="16"/>
                <w:szCs w:val="16"/>
              </w:rPr>
            </w:pPr>
            <w:r>
              <w:rPr>
                <w:rFonts w:ascii="宋体" w:hAnsi="宋体" w:cs="宋体" w:eastAsia="宋体" w:hint="default"/>
                <w:sz w:val="16"/>
                <w:szCs w:val="16"/>
              </w:rPr>
              <w:t>西萨摩亚</w:t>
            </w:r>
            <w:r>
              <w:rPr>
                <w:rFonts w:ascii="宋体" w:hAnsi="宋体" w:cs="宋体" w:eastAsia="宋体" w:hint="default"/>
                <w:spacing w:val="-77"/>
                <w:sz w:val="16"/>
                <w:szCs w:val="16"/>
              </w:rPr>
              <w:t> </w:t>
            </w:r>
            <w:r>
              <w:rPr>
                <w:rFonts w:ascii="宋体" w:hAnsi="宋体" w:cs="宋体" w:eastAsia="宋体" w:hint="default"/>
                <w:sz w:val="16"/>
                <w:szCs w:val="16"/>
              </w:rPr>
              <w:t>群岛</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59" w:right="0"/>
              <w:jc w:val="left"/>
              <w:rPr>
                <w:rFonts w:ascii="宋体" w:hAnsi="宋体" w:cs="宋体" w:eastAsia="宋体" w:hint="default"/>
                <w:sz w:val="16"/>
                <w:szCs w:val="16"/>
              </w:rPr>
            </w:pPr>
            <w:r>
              <w:rPr>
                <w:rFonts w:ascii="宋体" w:hAnsi="宋体" w:cs="宋体" w:eastAsia="宋体" w:hint="default"/>
                <w:sz w:val="16"/>
                <w:szCs w:val="16"/>
              </w:rPr>
              <w:t>装饰灯产品的销售</w:t>
            </w:r>
          </w:p>
        </w:tc>
      </w:tr>
      <w:tr>
        <w:trPr>
          <w:trHeight w:val="27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8" w:right="0"/>
              <w:jc w:val="left"/>
              <w:rPr>
                <w:rFonts w:ascii="Times New Roman" w:hAnsi="Times New Roman" w:cs="Times New Roman" w:eastAsia="Times New Roman" w:hint="default"/>
                <w:sz w:val="16"/>
                <w:szCs w:val="16"/>
              </w:rPr>
            </w:pPr>
            <w:r>
              <w:rPr>
                <w:rFonts w:ascii="Times New Roman"/>
                <w:sz w:val="16"/>
              </w:rPr>
              <w:t>Richmax    Enterprises  </w:t>
            </w:r>
            <w:r>
              <w:rPr>
                <w:rFonts w:ascii="Times New Roman"/>
                <w:spacing w:val="27"/>
                <w:sz w:val="16"/>
              </w:rPr>
              <w:t> </w:t>
            </w:r>
            <w:r>
              <w:rPr>
                <w:rFonts w:ascii="Times New Roman"/>
                <w:sz w:val="16"/>
              </w:rPr>
              <w:t>Ltd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619"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8" w:right="420"/>
              <w:jc w:val="left"/>
              <w:rPr>
                <w:rFonts w:ascii="Times New Roman" w:hAnsi="Times New Roman" w:cs="Times New Roman" w:eastAsia="Times New Roman" w:hint="default"/>
                <w:sz w:val="16"/>
                <w:szCs w:val="16"/>
              </w:rPr>
            </w:pPr>
            <w:r>
              <w:rPr>
                <w:rFonts w:ascii="Times New Roman"/>
                <w:sz w:val="16"/>
              </w:rPr>
              <w:t>Star Bright</w:t>
            </w:r>
            <w:r>
              <w:rPr>
                <w:rFonts w:ascii="Times New Roman"/>
                <w:spacing w:val="-11"/>
                <w:sz w:val="16"/>
              </w:rPr>
              <w:t> </w:t>
            </w:r>
            <w:r>
              <w:rPr>
                <w:rFonts w:ascii="Times New Roman"/>
                <w:sz w:val="16"/>
              </w:rPr>
              <w:t>International</w:t>
            </w:r>
            <w:r>
              <w:rPr>
                <w:rFonts w:ascii="Times New Roman"/>
                <w:w w:val="100"/>
                <w:sz w:val="16"/>
              </w:rPr>
              <w:t> </w:t>
            </w:r>
            <w:r>
              <w:rPr>
                <w:rFonts w:ascii="Times New Roman"/>
                <w:sz w:val="16"/>
              </w:rPr>
              <w:t>(Macao</w:t>
            </w:r>
            <w:r>
              <w:rPr>
                <w:rFonts w:ascii="Times New Roman"/>
                <w:spacing w:val="-2"/>
                <w:sz w:val="16"/>
              </w:rPr>
              <w:t> </w:t>
            </w:r>
            <w:r>
              <w:rPr>
                <w:rFonts w:ascii="Times New Roman"/>
                <w:sz w:val="16"/>
              </w:rPr>
              <w:t>Commercial</w:t>
            </w:r>
            <w:r>
              <w:rPr>
                <w:rFonts w:ascii="Times New Roman"/>
                <w:w w:val="100"/>
                <w:sz w:val="16"/>
              </w:rPr>
              <w:t> </w:t>
            </w:r>
            <w:r>
              <w:rPr>
                <w:rFonts w:ascii="Times New Roman"/>
                <w:sz w:val="16"/>
              </w:rPr>
              <w:t>offshore)</w:t>
            </w:r>
            <w:r>
              <w:rPr>
                <w:rFonts w:ascii="Times New Roman"/>
                <w:spacing w:val="-8"/>
                <w:sz w:val="16"/>
              </w:rPr>
              <w:t> </w:t>
            </w:r>
            <w:r>
              <w:rPr>
                <w:rFonts w:ascii="Times New Roman"/>
                <w:sz w:val="16"/>
              </w:rPr>
              <w:t>Ltd.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5"/>
                <w:szCs w:val="15"/>
              </w:rPr>
            </w:pPr>
          </w:p>
          <w:p>
            <w:pPr>
              <w:pStyle w:val="TableParagraph"/>
              <w:spacing w:line="240" w:lineRule="auto"/>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5"/>
                <w:szCs w:val="15"/>
              </w:rPr>
            </w:pPr>
          </w:p>
          <w:p>
            <w:pPr>
              <w:pStyle w:val="TableParagraph"/>
              <w:spacing w:line="240" w:lineRule="auto"/>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MOP $10.00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5"/>
                <w:szCs w:val="15"/>
              </w:rPr>
            </w:pPr>
          </w:p>
          <w:p>
            <w:pPr>
              <w:pStyle w:val="TableParagraph"/>
              <w:spacing w:line="240" w:lineRule="auto"/>
              <w:ind w:left="1" w:right="0"/>
              <w:jc w:val="center"/>
              <w:rPr>
                <w:rFonts w:ascii="宋体" w:hAnsi="宋体" w:cs="宋体" w:eastAsia="宋体" w:hint="default"/>
                <w:sz w:val="16"/>
                <w:szCs w:val="16"/>
              </w:rPr>
            </w:pPr>
            <w:r>
              <w:rPr>
                <w:rFonts w:ascii="宋体" w:hAnsi="宋体" w:cs="宋体" w:eastAsia="宋体" w:hint="default"/>
                <w:sz w:val="16"/>
                <w:szCs w:val="16"/>
              </w:rPr>
              <w:t>中国澳门</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5"/>
                <w:szCs w:val="15"/>
              </w:rPr>
            </w:pPr>
          </w:p>
          <w:p>
            <w:pPr>
              <w:pStyle w:val="TableParagraph"/>
              <w:spacing w:line="240" w:lineRule="auto"/>
              <w:ind w:left="59" w:right="0"/>
              <w:jc w:val="left"/>
              <w:rPr>
                <w:rFonts w:ascii="宋体" w:hAnsi="宋体" w:cs="宋体" w:eastAsia="宋体" w:hint="default"/>
                <w:sz w:val="16"/>
                <w:szCs w:val="16"/>
              </w:rPr>
            </w:pPr>
            <w:r>
              <w:rPr>
                <w:rFonts w:ascii="宋体" w:hAnsi="宋体" w:cs="宋体" w:eastAsia="宋体" w:hint="default"/>
                <w:sz w:val="16"/>
                <w:szCs w:val="16"/>
              </w:rPr>
              <w:t>装饰灯产品的销售</w:t>
            </w:r>
          </w:p>
        </w:tc>
      </w:tr>
      <w:tr>
        <w:trPr>
          <w:trHeight w:val="428"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8" w:right="545"/>
              <w:jc w:val="left"/>
              <w:rPr>
                <w:rFonts w:ascii="Times New Roman" w:hAnsi="Times New Roman" w:cs="Times New Roman" w:eastAsia="Times New Roman" w:hint="default"/>
                <w:sz w:val="16"/>
                <w:szCs w:val="16"/>
              </w:rPr>
            </w:pPr>
            <w:r>
              <w:rPr>
                <w:rFonts w:ascii="Times New Roman"/>
                <w:sz w:val="16"/>
              </w:rPr>
              <w:t>Neo-Neon LED</w:t>
            </w:r>
            <w:r>
              <w:rPr>
                <w:rFonts w:ascii="Times New Roman"/>
                <w:spacing w:val="-4"/>
                <w:sz w:val="16"/>
              </w:rPr>
              <w:t> </w:t>
            </w:r>
            <w:r>
              <w:rPr>
                <w:rFonts w:ascii="Times New Roman"/>
                <w:sz w:val="16"/>
              </w:rPr>
              <w:t>M&amp;A</w:t>
            </w:r>
            <w:r>
              <w:rPr>
                <w:rFonts w:ascii="Times New Roman"/>
                <w:w w:val="100"/>
                <w:sz w:val="16"/>
              </w:rPr>
              <w:t> </w:t>
            </w:r>
            <w:r>
              <w:rPr>
                <w:rFonts w:ascii="Times New Roman"/>
                <w:sz w:val="16"/>
              </w:rPr>
              <w:t>Holdings</w:t>
            </w:r>
            <w:r>
              <w:rPr>
                <w:rFonts w:ascii="Times New Roman"/>
                <w:spacing w:val="-9"/>
                <w:sz w:val="16"/>
              </w:rPr>
              <w:t> </w:t>
            </w:r>
            <w:r>
              <w:rPr>
                <w:rFonts w:ascii="Times New Roman"/>
                <w:sz w:val="16"/>
              </w:rPr>
              <w:t>Limited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80"/>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432"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1"/>
              <w:ind w:left="28" w:right="488"/>
              <w:jc w:val="left"/>
              <w:rPr>
                <w:rFonts w:ascii="Times New Roman" w:hAnsi="Times New Roman" w:cs="Times New Roman" w:eastAsia="Times New Roman" w:hint="default"/>
                <w:sz w:val="16"/>
                <w:szCs w:val="16"/>
              </w:rPr>
            </w:pPr>
            <w:r>
              <w:rPr>
                <w:rFonts w:ascii="Times New Roman"/>
                <w:sz w:val="16"/>
              </w:rPr>
              <w:t>Neo-Neon LED</w:t>
            </w:r>
            <w:r>
              <w:rPr>
                <w:rFonts w:ascii="Times New Roman"/>
                <w:spacing w:val="35"/>
                <w:sz w:val="16"/>
              </w:rPr>
              <w:t> </w:t>
            </w:r>
            <w:r>
              <w:rPr>
                <w:rFonts w:ascii="Times New Roman"/>
                <w:sz w:val="16"/>
              </w:rPr>
              <w:t>USA</w:t>
            </w:r>
            <w:r>
              <w:rPr>
                <w:rFonts w:ascii="Times New Roman"/>
                <w:w w:val="100"/>
                <w:sz w:val="16"/>
              </w:rPr>
              <w:t> </w:t>
            </w:r>
            <w:r>
              <w:rPr>
                <w:rFonts w:ascii="Times New Roman"/>
                <w:sz w:val="16"/>
              </w:rPr>
              <w:t>Holdings</w:t>
            </w:r>
            <w:r>
              <w:rPr>
                <w:rFonts w:ascii="Times New Roman"/>
                <w:spacing w:val="-9"/>
                <w:sz w:val="16"/>
              </w:rPr>
              <w:t> </w:t>
            </w:r>
            <w:r>
              <w:rPr>
                <w:rFonts w:ascii="Times New Roman"/>
                <w:sz w:val="16"/>
              </w:rPr>
              <w:t>Limited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9" w:right="0"/>
              <w:jc w:val="left"/>
              <w:rPr>
                <w:rFonts w:ascii="宋体" w:hAnsi="宋体" w:cs="宋体" w:eastAsia="宋体" w:hint="default"/>
                <w:sz w:val="16"/>
                <w:szCs w:val="16"/>
              </w:rPr>
            </w:pPr>
            <w:r>
              <w:rPr>
                <w:rFonts w:ascii="宋体" w:hAnsi="宋体" w:cs="宋体" w:eastAsia="宋体" w:hint="default"/>
                <w:sz w:val="16"/>
                <w:szCs w:val="16"/>
              </w:rPr>
              <w:t>装饰灯产品的销售</w:t>
            </w:r>
          </w:p>
        </w:tc>
      </w:tr>
      <w:tr>
        <w:trPr>
          <w:trHeight w:val="47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28" w:right="0"/>
              <w:jc w:val="left"/>
              <w:rPr>
                <w:rFonts w:ascii="Times New Roman" w:hAnsi="Times New Roman" w:cs="Times New Roman" w:eastAsia="Times New Roman" w:hint="default"/>
                <w:sz w:val="16"/>
                <w:szCs w:val="16"/>
              </w:rPr>
            </w:pPr>
            <w:r>
              <w:rPr>
                <w:rFonts w:ascii="Times New Roman"/>
                <w:sz w:val="16"/>
              </w:rPr>
              <w:t>American Lighting</w:t>
            </w:r>
            <w:r>
              <w:rPr>
                <w:rFonts w:ascii="Times New Roman"/>
                <w:spacing w:val="-15"/>
                <w:sz w:val="16"/>
              </w:rPr>
              <w:t> </w:t>
            </w:r>
            <w:r>
              <w:rPr>
                <w:rFonts w:ascii="Times New Roman"/>
                <w:sz w:val="16"/>
              </w:rPr>
              <w:t>INC.</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US$794.4505</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06" w:lineRule="exact" w:before="19"/>
              <w:ind w:left="141" w:right="59" w:hanging="80"/>
              <w:jc w:val="left"/>
              <w:rPr>
                <w:rFonts w:ascii="宋体" w:hAnsi="宋体" w:cs="宋体" w:eastAsia="宋体" w:hint="default"/>
                <w:sz w:val="16"/>
                <w:szCs w:val="16"/>
              </w:rPr>
            </w:pPr>
            <w:r>
              <w:rPr>
                <w:rFonts w:ascii="宋体" w:hAnsi="宋体" w:cs="宋体" w:eastAsia="宋体" w:hint="default"/>
                <w:sz w:val="16"/>
                <w:szCs w:val="16"/>
              </w:rPr>
              <w:t>美国科罗</w:t>
            </w:r>
            <w:r>
              <w:rPr>
                <w:rFonts w:ascii="宋体" w:hAnsi="宋体" w:cs="宋体" w:eastAsia="宋体" w:hint="default"/>
                <w:spacing w:val="-77"/>
                <w:sz w:val="16"/>
                <w:szCs w:val="16"/>
              </w:rPr>
              <w:t> </w:t>
            </w:r>
            <w:r>
              <w:rPr>
                <w:rFonts w:ascii="宋体" w:hAnsi="宋体" w:cs="宋体" w:eastAsia="宋体" w:hint="default"/>
                <w:sz w:val="16"/>
                <w:szCs w:val="16"/>
              </w:rPr>
              <w:t>拉多州</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59" w:right="0"/>
              <w:jc w:val="left"/>
              <w:rPr>
                <w:rFonts w:ascii="宋体" w:hAnsi="宋体" w:cs="宋体" w:eastAsia="宋体" w:hint="default"/>
                <w:sz w:val="16"/>
                <w:szCs w:val="16"/>
              </w:rPr>
            </w:pPr>
            <w:r>
              <w:rPr>
                <w:rFonts w:ascii="宋体" w:hAnsi="宋体" w:cs="宋体" w:eastAsia="宋体" w:hint="default"/>
                <w:sz w:val="16"/>
                <w:szCs w:val="16"/>
              </w:rPr>
              <w:t>装饰灯产品的销售</w:t>
            </w:r>
          </w:p>
        </w:tc>
      </w:tr>
      <w:tr>
        <w:trPr>
          <w:trHeight w:val="28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8" w:right="0"/>
              <w:jc w:val="left"/>
              <w:rPr>
                <w:rFonts w:ascii="Times New Roman" w:hAnsi="Times New Roman" w:cs="Times New Roman" w:eastAsia="Times New Roman" w:hint="default"/>
                <w:sz w:val="16"/>
                <w:szCs w:val="16"/>
              </w:rPr>
            </w:pPr>
            <w:r>
              <w:rPr>
                <w:rFonts w:ascii="Times New Roman"/>
                <w:sz w:val="16"/>
              </w:rPr>
              <w:t>TIVOLI, </w:t>
            </w:r>
            <w:r>
              <w:rPr>
                <w:rFonts w:ascii="Times New Roman"/>
                <w:spacing w:val="-3"/>
                <w:sz w:val="16"/>
              </w:rPr>
              <w:t>LLC</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8</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US$450.00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美国加州</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装饰灯产品的销售</w:t>
            </w:r>
          </w:p>
        </w:tc>
      </w:tr>
      <w:tr>
        <w:trPr>
          <w:trHeight w:val="28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Times New Roman" w:hAnsi="Times New Roman" w:cs="Times New Roman" w:eastAsia="Times New Roman" w:hint="default"/>
                <w:sz w:val="16"/>
                <w:szCs w:val="16"/>
              </w:rPr>
            </w:pPr>
            <w:r>
              <w:rPr>
                <w:rFonts w:ascii="Times New Roman"/>
                <w:sz w:val="16"/>
              </w:rPr>
              <w:t>ILIO International</w:t>
            </w:r>
            <w:r>
              <w:rPr>
                <w:rFonts w:ascii="Times New Roman"/>
                <w:spacing w:val="-13"/>
                <w:sz w:val="16"/>
              </w:rPr>
              <w:t> </w:t>
            </w:r>
            <w:r>
              <w:rPr>
                <w:rFonts w:ascii="Times New Roman"/>
                <w:sz w:val="16"/>
              </w:rPr>
              <w:t>Limited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7"/>
              <w:jc w:val="right"/>
              <w:rPr>
                <w:rFonts w:ascii="Times New Roman" w:hAnsi="Times New Roman" w:cs="Times New Roman" w:eastAsia="Times New Roman" w:hint="default"/>
                <w:sz w:val="16"/>
                <w:szCs w:val="16"/>
              </w:rPr>
            </w:pPr>
            <w:r>
              <w:rPr>
                <w:rFonts w:ascii="Times New Roman"/>
                <w:spacing w:val="-1"/>
                <w:sz w:val="16"/>
              </w:rPr>
              <w:t>65.00%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装饰灯产品的销售</w:t>
            </w:r>
          </w:p>
        </w:tc>
      </w:tr>
      <w:tr>
        <w:trPr>
          <w:trHeight w:val="472"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28" w:right="0"/>
              <w:jc w:val="left"/>
              <w:rPr>
                <w:rFonts w:ascii="Times New Roman" w:hAnsi="Times New Roman" w:cs="Times New Roman" w:eastAsia="Times New Roman" w:hint="default"/>
                <w:sz w:val="16"/>
                <w:szCs w:val="16"/>
              </w:rPr>
            </w:pPr>
            <w:r>
              <w:rPr>
                <w:rFonts w:ascii="Times New Roman"/>
                <w:sz w:val="16"/>
              </w:rPr>
              <w:t>DHC-Diogen Lighting,</w:t>
            </w:r>
            <w:r>
              <w:rPr>
                <w:rFonts w:ascii="Times New Roman"/>
                <w:spacing w:val="-14"/>
                <w:sz w:val="16"/>
              </w:rPr>
              <w:t> </w:t>
            </w:r>
            <w:r>
              <w:rPr>
                <w:rFonts w:ascii="Times New Roman"/>
                <w:sz w:val="16"/>
              </w:rPr>
              <w:t>Inc.</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US$820.00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41" w:right="59" w:hanging="80"/>
              <w:jc w:val="left"/>
              <w:rPr>
                <w:rFonts w:ascii="宋体" w:hAnsi="宋体" w:cs="宋体" w:eastAsia="宋体" w:hint="default"/>
                <w:sz w:val="16"/>
                <w:szCs w:val="16"/>
              </w:rPr>
            </w:pPr>
            <w:r>
              <w:rPr>
                <w:rFonts w:ascii="宋体" w:hAnsi="宋体" w:cs="宋体" w:eastAsia="宋体" w:hint="default"/>
                <w:sz w:val="16"/>
                <w:szCs w:val="16"/>
              </w:rPr>
              <w:t>美国科罗</w:t>
            </w:r>
            <w:r>
              <w:rPr>
                <w:rFonts w:ascii="宋体" w:hAnsi="宋体" w:cs="宋体" w:eastAsia="宋体" w:hint="default"/>
                <w:spacing w:val="-77"/>
                <w:sz w:val="16"/>
                <w:szCs w:val="16"/>
              </w:rPr>
              <w:t> </w:t>
            </w:r>
            <w:r>
              <w:rPr>
                <w:rFonts w:ascii="宋体" w:hAnsi="宋体" w:cs="宋体" w:eastAsia="宋体" w:hint="default"/>
                <w:sz w:val="16"/>
                <w:szCs w:val="16"/>
              </w:rPr>
              <w:t>拉多州</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59" w:right="0"/>
              <w:jc w:val="left"/>
              <w:rPr>
                <w:rFonts w:ascii="宋体" w:hAnsi="宋体" w:cs="宋体" w:eastAsia="宋体" w:hint="default"/>
                <w:sz w:val="16"/>
                <w:szCs w:val="16"/>
              </w:rPr>
            </w:pPr>
            <w:r>
              <w:rPr>
                <w:rFonts w:ascii="宋体" w:hAnsi="宋体" w:cs="宋体" w:eastAsia="宋体" w:hint="default"/>
                <w:sz w:val="16"/>
                <w:szCs w:val="16"/>
              </w:rPr>
              <w:t>装饰灯产品的销售</w:t>
            </w:r>
          </w:p>
        </w:tc>
      </w:tr>
      <w:tr>
        <w:trPr>
          <w:trHeight w:val="439"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8" w:right="465"/>
              <w:jc w:val="left"/>
              <w:rPr>
                <w:rFonts w:ascii="Times New Roman" w:hAnsi="Times New Roman" w:cs="Times New Roman" w:eastAsia="Times New Roman" w:hint="default"/>
                <w:sz w:val="16"/>
                <w:szCs w:val="16"/>
              </w:rPr>
            </w:pPr>
            <w:r>
              <w:rPr>
                <w:rFonts w:ascii="Times New Roman"/>
                <w:sz w:val="16"/>
              </w:rPr>
              <w:t>Neo-Neon LED</w:t>
            </w:r>
            <w:r>
              <w:rPr>
                <w:rFonts w:ascii="Times New Roman"/>
                <w:spacing w:val="-5"/>
                <w:sz w:val="16"/>
              </w:rPr>
              <w:t> </w:t>
            </w:r>
            <w:r>
              <w:rPr>
                <w:rFonts w:ascii="Times New Roman"/>
                <w:sz w:val="16"/>
              </w:rPr>
              <w:t>Europe</w:t>
            </w:r>
            <w:r>
              <w:rPr>
                <w:rFonts w:ascii="Times New Roman"/>
                <w:w w:val="100"/>
                <w:sz w:val="16"/>
              </w:rPr>
              <w:t> </w:t>
            </w:r>
            <w:r>
              <w:rPr>
                <w:rFonts w:ascii="Times New Roman"/>
                <w:sz w:val="16"/>
              </w:rPr>
              <w:t>Holdings</w:t>
            </w:r>
            <w:r>
              <w:rPr>
                <w:rFonts w:ascii="Times New Roman"/>
                <w:spacing w:val="-9"/>
                <w:sz w:val="16"/>
              </w:rPr>
              <w:t> </w:t>
            </w:r>
            <w:r>
              <w:rPr>
                <w:rFonts w:ascii="Times New Roman"/>
                <w:sz w:val="16"/>
              </w:rPr>
              <w:t>Limited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87"/>
              <w:ind w:left="59" w:right="0"/>
              <w:jc w:val="left"/>
              <w:rPr>
                <w:rFonts w:ascii="宋体" w:hAnsi="宋体" w:cs="宋体" w:eastAsia="宋体" w:hint="default"/>
                <w:sz w:val="16"/>
                <w:szCs w:val="16"/>
              </w:rPr>
            </w:pPr>
            <w:r>
              <w:rPr>
                <w:rFonts w:ascii="宋体" w:hAnsi="宋体" w:cs="宋体" w:eastAsia="宋体" w:hint="default"/>
                <w:sz w:val="16"/>
                <w:szCs w:val="16"/>
              </w:rPr>
              <w:t>装饰灯产品的销售</w:t>
            </w:r>
          </w:p>
        </w:tc>
      </w:tr>
      <w:tr>
        <w:trPr>
          <w:trHeight w:val="463"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28" w:right="0"/>
              <w:jc w:val="left"/>
              <w:rPr>
                <w:rFonts w:ascii="Times New Roman" w:hAnsi="Times New Roman" w:cs="Times New Roman" w:eastAsia="Times New Roman" w:hint="default"/>
                <w:sz w:val="16"/>
                <w:szCs w:val="16"/>
              </w:rPr>
            </w:pPr>
            <w:r>
              <w:rPr>
                <w:rFonts w:ascii="Times New Roman"/>
                <w:sz w:val="16"/>
              </w:rPr>
              <w:t>Neo-Neon Europe</w:t>
            </w:r>
            <w:r>
              <w:rPr>
                <w:rFonts w:ascii="Times New Roman"/>
                <w:spacing w:val="-9"/>
                <w:sz w:val="16"/>
              </w:rPr>
              <w:t> </w:t>
            </w:r>
            <w:r>
              <w:rPr>
                <w:rFonts w:ascii="Times New Roman"/>
                <w:sz w:val="16"/>
              </w:rPr>
              <w:t>GmbH</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€32.50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08" w:lineRule="exact" w:before="16"/>
              <w:ind w:left="222" w:right="59" w:hanging="161"/>
              <w:jc w:val="left"/>
              <w:rPr>
                <w:rFonts w:ascii="宋体" w:hAnsi="宋体" w:cs="宋体" w:eastAsia="宋体" w:hint="default"/>
                <w:sz w:val="16"/>
                <w:szCs w:val="16"/>
              </w:rPr>
            </w:pPr>
            <w:r>
              <w:rPr>
                <w:rFonts w:ascii="宋体" w:hAnsi="宋体" w:cs="宋体" w:eastAsia="宋体" w:hint="default"/>
                <w:sz w:val="16"/>
                <w:szCs w:val="16"/>
              </w:rPr>
              <w:t>德国北莱</w:t>
            </w:r>
            <w:r>
              <w:rPr>
                <w:rFonts w:ascii="宋体" w:hAnsi="宋体" w:cs="宋体" w:eastAsia="宋体" w:hint="default"/>
                <w:spacing w:val="-77"/>
                <w:sz w:val="16"/>
                <w:szCs w:val="16"/>
              </w:rPr>
              <w:t> </w:t>
            </w:r>
            <w:r>
              <w:rPr>
                <w:rFonts w:ascii="宋体" w:hAnsi="宋体" w:cs="宋体" w:eastAsia="宋体" w:hint="default"/>
                <w:sz w:val="16"/>
                <w:szCs w:val="16"/>
              </w:rPr>
              <w:t>茵州</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59" w:right="0"/>
              <w:jc w:val="left"/>
              <w:rPr>
                <w:rFonts w:ascii="宋体" w:hAnsi="宋体" w:cs="宋体" w:eastAsia="宋体" w:hint="default"/>
                <w:sz w:val="16"/>
                <w:szCs w:val="16"/>
              </w:rPr>
            </w:pPr>
            <w:r>
              <w:rPr>
                <w:rFonts w:ascii="宋体" w:hAnsi="宋体" w:cs="宋体" w:eastAsia="宋体" w:hint="default"/>
                <w:sz w:val="16"/>
                <w:szCs w:val="16"/>
              </w:rPr>
              <w:t>装饰灯产品的销售</w:t>
            </w:r>
          </w:p>
        </w:tc>
      </w:tr>
      <w:tr>
        <w:trPr>
          <w:trHeight w:val="44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8" w:right="635"/>
              <w:jc w:val="left"/>
              <w:rPr>
                <w:rFonts w:ascii="Times New Roman" w:hAnsi="Times New Roman" w:cs="Times New Roman" w:eastAsia="Times New Roman" w:hint="default"/>
                <w:sz w:val="16"/>
                <w:szCs w:val="16"/>
              </w:rPr>
            </w:pPr>
            <w:r>
              <w:rPr>
                <w:rFonts w:ascii="Times New Roman"/>
                <w:sz w:val="16"/>
              </w:rPr>
              <w:t>Neo-Neon LED</w:t>
            </w:r>
            <w:r>
              <w:rPr>
                <w:rFonts w:ascii="Times New Roman"/>
                <w:spacing w:val="-5"/>
                <w:sz w:val="16"/>
              </w:rPr>
              <w:t> </w:t>
            </w:r>
            <w:r>
              <w:rPr>
                <w:rFonts w:ascii="Times New Roman"/>
                <w:sz w:val="16"/>
              </w:rPr>
              <w:t>Asia</w:t>
            </w:r>
            <w:r>
              <w:rPr>
                <w:rFonts w:ascii="Times New Roman"/>
                <w:w w:val="100"/>
                <w:sz w:val="16"/>
              </w:rPr>
              <w:t> </w:t>
            </w:r>
            <w:r>
              <w:rPr>
                <w:rFonts w:ascii="Times New Roman"/>
                <w:sz w:val="16"/>
              </w:rPr>
              <w:t>Holdings</w:t>
            </w:r>
            <w:r>
              <w:rPr>
                <w:rFonts w:ascii="Times New Roman"/>
                <w:spacing w:val="-9"/>
                <w:sz w:val="16"/>
              </w:rPr>
              <w:t> </w:t>
            </w:r>
            <w:r>
              <w:rPr>
                <w:rFonts w:ascii="Times New Roman"/>
                <w:sz w:val="16"/>
              </w:rPr>
              <w:t>Limited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89"/>
              <w:ind w:left="59" w:right="0"/>
              <w:jc w:val="left"/>
              <w:rPr>
                <w:rFonts w:ascii="宋体" w:hAnsi="宋体" w:cs="宋体" w:eastAsia="宋体" w:hint="default"/>
                <w:sz w:val="16"/>
                <w:szCs w:val="16"/>
              </w:rPr>
            </w:pPr>
            <w:r>
              <w:rPr>
                <w:rFonts w:ascii="宋体" w:hAnsi="宋体" w:cs="宋体" w:eastAsia="宋体" w:hint="default"/>
                <w:sz w:val="16"/>
                <w:szCs w:val="16"/>
              </w:rPr>
              <w:t>装饰灯产品的销售</w:t>
            </w:r>
          </w:p>
        </w:tc>
      </w:tr>
      <w:tr>
        <w:trPr>
          <w:trHeight w:val="277"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8" w:right="0"/>
              <w:jc w:val="left"/>
              <w:rPr>
                <w:rFonts w:ascii="Times New Roman" w:hAnsi="Times New Roman" w:cs="Times New Roman" w:eastAsia="Times New Roman" w:hint="default"/>
                <w:sz w:val="16"/>
                <w:szCs w:val="16"/>
              </w:rPr>
            </w:pPr>
            <w:r>
              <w:rPr>
                <w:rFonts w:ascii="Times New Roman"/>
                <w:sz w:val="16"/>
              </w:rPr>
              <w:t>Neo-Power (HK)</w:t>
            </w:r>
            <w:r>
              <w:rPr>
                <w:rFonts w:ascii="Times New Roman"/>
                <w:spacing w:val="-12"/>
                <w:sz w:val="16"/>
              </w:rPr>
              <w:t> </w:t>
            </w:r>
            <w:r>
              <w:rPr>
                <w:rFonts w:ascii="Times New Roman"/>
                <w:sz w:val="16"/>
              </w:rPr>
              <w:t>Limited</w:t>
            </w:r>
          </w:p>
        </w:tc>
        <w:tc>
          <w:tcPr>
            <w:tcW w:w="45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HK$1.00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1"/>
              <w:ind w:left="59" w:right="0"/>
              <w:jc w:val="left"/>
              <w:rPr>
                <w:rFonts w:ascii="宋体" w:hAnsi="宋体" w:cs="宋体" w:eastAsia="宋体" w:hint="default"/>
                <w:sz w:val="16"/>
                <w:szCs w:val="16"/>
              </w:rPr>
            </w:pPr>
            <w:r>
              <w:rPr>
                <w:rFonts w:ascii="宋体" w:hAnsi="宋体" w:cs="宋体" w:eastAsia="宋体" w:hint="default"/>
                <w:sz w:val="16"/>
                <w:szCs w:val="16"/>
              </w:rPr>
              <w:t>装饰灯产品的销售</w:t>
            </w:r>
          </w:p>
        </w:tc>
      </w:tr>
      <w:tr>
        <w:trPr>
          <w:trHeight w:val="268" w:hRule="exact"/>
        </w:trPr>
        <w:tc>
          <w:tcPr>
            <w:tcW w:w="2016"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28" w:right="0"/>
              <w:jc w:val="left"/>
              <w:rPr>
                <w:rFonts w:ascii="Times New Roman" w:hAnsi="Times New Roman" w:cs="Times New Roman" w:eastAsia="Times New Roman" w:hint="default"/>
                <w:sz w:val="16"/>
                <w:szCs w:val="16"/>
              </w:rPr>
            </w:pPr>
            <w:r>
              <w:rPr>
                <w:rFonts w:ascii="Times New Roman"/>
                <w:sz w:val="16"/>
              </w:rPr>
              <w:t>Mitcham Profits</w:t>
            </w:r>
            <w:r>
              <w:rPr>
                <w:rFonts w:ascii="Times New Roman"/>
                <w:spacing w:val="-11"/>
                <w:sz w:val="16"/>
              </w:rPr>
              <w:t> </w:t>
            </w:r>
            <w:r>
              <w:rPr>
                <w:rFonts w:ascii="Times New Roman"/>
                <w:sz w:val="16"/>
              </w:rPr>
              <w:t>Ltd.</w:t>
            </w:r>
          </w:p>
        </w:tc>
        <w:tc>
          <w:tcPr>
            <w:tcW w:w="457"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3"/>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368"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产品营销管理服务的提供</w:t>
            </w:r>
          </w:p>
        </w:tc>
      </w:tr>
    </w:tbl>
    <w:p>
      <w:pPr>
        <w:spacing w:after="0" w:line="240" w:lineRule="auto"/>
        <w:jc w:val="left"/>
        <w:rPr>
          <w:rFonts w:ascii="宋体" w:hAnsi="宋体" w:cs="宋体" w:eastAsia="宋体" w:hint="default"/>
          <w:sz w:val="16"/>
          <w:szCs w:val="16"/>
        </w:rPr>
        <w:sectPr>
          <w:pgSz w:w="11910" w:h="16840"/>
          <w:pgMar w:header="645" w:footer="816" w:top="1080" w:bottom="1000" w:left="1500" w:right="150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1"/>
          <w:szCs w:val="11"/>
        </w:rPr>
      </w:pPr>
    </w:p>
    <w:tbl>
      <w:tblPr>
        <w:tblW w:w="0" w:type="auto"/>
        <w:jc w:val="left"/>
        <w:tblInd w:w="173" w:type="dxa"/>
        <w:tblLayout w:type="fixed"/>
        <w:tblCellMar>
          <w:top w:w="0" w:type="dxa"/>
          <w:left w:w="0" w:type="dxa"/>
          <w:bottom w:w="0" w:type="dxa"/>
          <w:right w:w="0" w:type="dxa"/>
        </w:tblCellMar>
        <w:tblLook w:val="01E0"/>
      </w:tblPr>
      <w:tblGrid>
        <w:gridCol w:w="2016"/>
        <w:gridCol w:w="471"/>
        <w:gridCol w:w="1217"/>
        <w:gridCol w:w="788"/>
        <w:gridCol w:w="765"/>
        <w:gridCol w:w="3423"/>
      </w:tblGrid>
      <w:tr>
        <w:trPr>
          <w:trHeight w:val="307" w:hRule="exact"/>
        </w:trPr>
        <w:tc>
          <w:tcPr>
            <w:tcW w:w="2016"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17"/>
              <w:jc w:val="center"/>
              <w:rPr>
                <w:rFonts w:ascii="宋体" w:hAnsi="宋体" w:cs="宋体" w:eastAsia="宋体" w:hint="default"/>
                <w:sz w:val="16"/>
                <w:szCs w:val="16"/>
              </w:rPr>
            </w:pPr>
            <w:r>
              <w:rPr>
                <w:rFonts w:ascii="宋体" w:hAnsi="宋体" w:cs="宋体" w:eastAsia="宋体" w:hint="default"/>
                <w:b/>
                <w:bCs/>
                <w:sz w:val="16"/>
                <w:szCs w:val="16"/>
              </w:rPr>
              <w:t>公司名称</w:t>
            </w:r>
            <w:r>
              <w:rPr>
                <w:rFonts w:ascii="宋体" w:hAnsi="宋体" w:cs="宋体" w:eastAsia="宋体" w:hint="default"/>
                <w:sz w:val="16"/>
                <w:szCs w:val="16"/>
              </w:rPr>
            </w:r>
          </w:p>
        </w:tc>
        <w:tc>
          <w:tcPr>
            <w:tcW w:w="471"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16"/>
              <w:jc w:val="center"/>
              <w:rPr>
                <w:rFonts w:ascii="宋体" w:hAnsi="宋体" w:cs="宋体" w:eastAsia="宋体" w:hint="default"/>
                <w:sz w:val="16"/>
                <w:szCs w:val="16"/>
              </w:rPr>
            </w:pPr>
            <w:r>
              <w:rPr>
                <w:rFonts w:ascii="宋体" w:hAnsi="宋体" w:cs="宋体" w:eastAsia="宋体" w:hint="default"/>
                <w:b/>
                <w:bCs/>
                <w:sz w:val="16"/>
                <w:szCs w:val="16"/>
              </w:rPr>
              <w:t>级次</w:t>
            </w:r>
            <w:r>
              <w:rPr>
                <w:rFonts w:ascii="宋体" w:hAnsi="宋体" w:cs="宋体" w:eastAsia="宋体" w:hint="default"/>
                <w:sz w:val="16"/>
                <w:szCs w:val="16"/>
              </w:rPr>
            </w:r>
          </w:p>
        </w:tc>
        <w:tc>
          <w:tcPr>
            <w:tcW w:w="1217"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275" w:right="0"/>
              <w:jc w:val="left"/>
              <w:rPr>
                <w:rFonts w:ascii="宋体" w:hAnsi="宋体" w:cs="宋体" w:eastAsia="宋体" w:hint="default"/>
                <w:sz w:val="16"/>
                <w:szCs w:val="16"/>
              </w:rPr>
            </w:pPr>
            <w:r>
              <w:rPr>
                <w:rFonts w:ascii="宋体" w:hAnsi="宋体" w:cs="宋体" w:eastAsia="宋体" w:hint="default"/>
                <w:b/>
                <w:bCs/>
                <w:sz w:val="16"/>
                <w:szCs w:val="16"/>
              </w:rPr>
              <w:t>注册资本</w:t>
            </w:r>
            <w:r>
              <w:rPr>
                <w:rFonts w:ascii="宋体" w:hAnsi="宋体" w:cs="宋体" w:eastAsia="宋体" w:hint="default"/>
                <w:sz w:val="16"/>
                <w:szCs w:val="16"/>
              </w:rPr>
            </w:r>
          </w:p>
        </w:tc>
        <w:tc>
          <w:tcPr>
            <w:tcW w:w="788"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97"/>
              <w:jc w:val="right"/>
              <w:rPr>
                <w:rFonts w:ascii="宋体" w:hAnsi="宋体" w:cs="宋体" w:eastAsia="宋体" w:hint="default"/>
                <w:sz w:val="16"/>
                <w:szCs w:val="16"/>
              </w:rPr>
            </w:pPr>
            <w:r>
              <w:rPr>
                <w:rFonts w:ascii="宋体" w:hAnsi="宋体" w:cs="宋体" w:eastAsia="宋体" w:hint="default"/>
                <w:b/>
                <w:bCs/>
                <w:sz w:val="16"/>
                <w:szCs w:val="16"/>
              </w:rPr>
              <w:t>持股比例</w:t>
            </w:r>
            <w:r>
              <w:rPr>
                <w:rFonts w:ascii="宋体" w:hAnsi="宋体" w:cs="宋体" w:eastAsia="宋体" w:hint="default"/>
                <w:sz w:val="16"/>
                <w:szCs w:val="16"/>
              </w:rPr>
            </w:r>
          </w:p>
        </w:tc>
        <w:tc>
          <w:tcPr>
            <w:tcW w:w="765"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0"/>
              <w:jc w:val="center"/>
              <w:rPr>
                <w:rFonts w:ascii="宋体" w:hAnsi="宋体" w:cs="宋体" w:eastAsia="宋体" w:hint="default"/>
                <w:sz w:val="16"/>
                <w:szCs w:val="16"/>
              </w:rPr>
            </w:pPr>
            <w:r>
              <w:rPr>
                <w:rFonts w:ascii="宋体" w:hAnsi="宋体" w:cs="宋体" w:eastAsia="宋体" w:hint="default"/>
                <w:b/>
                <w:bCs/>
                <w:sz w:val="16"/>
                <w:szCs w:val="16"/>
              </w:rPr>
              <w:t>注册地址</w:t>
            </w:r>
            <w:r>
              <w:rPr>
                <w:rFonts w:ascii="宋体" w:hAnsi="宋体" w:cs="宋体" w:eastAsia="宋体" w:hint="default"/>
                <w:sz w:val="16"/>
                <w:szCs w:val="16"/>
              </w:rPr>
            </w:r>
          </w:p>
        </w:tc>
        <w:tc>
          <w:tcPr>
            <w:tcW w:w="3423"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22"/>
              <w:jc w:val="center"/>
              <w:rPr>
                <w:rFonts w:ascii="宋体" w:hAnsi="宋体" w:cs="宋体" w:eastAsia="宋体" w:hint="default"/>
                <w:sz w:val="16"/>
                <w:szCs w:val="16"/>
              </w:rPr>
            </w:pPr>
            <w:r>
              <w:rPr>
                <w:rFonts w:ascii="宋体" w:hAnsi="宋体" w:cs="宋体" w:eastAsia="宋体" w:hint="default"/>
                <w:b/>
                <w:bCs/>
                <w:sz w:val="16"/>
                <w:szCs w:val="16"/>
              </w:rPr>
              <w:t>主营业务</w:t>
            </w:r>
            <w:r>
              <w:rPr>
                <w:rFonts w:ascii="宋体" w:hAnsi="宋体" w:cs="宋体" w:eastAsia="宋体" w:hint="default"/>
                <w:sz w:val="16"/>
                <w:szCs w:val="16"/>
              </w:rPr>
            </w:r>
          </w:p>
        </w:tc>
      </w:tr>
      <w:tr>
        <w:trPr>
          <w:trHeight w:val="323" w:hRule="exact"/>
        </w:trPr>
        <w:tc>
          <w:tcPr>
            <w:tcW w:w="2016"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left="28" w:right="0"/>
              <w:jc w:val="left"/>
              <w:rPr>
                <w:rFonts w:ascii="Times New Roman" w:hAnsi="Times New Roman" w:cs="Times New Roman" w:eastAsia="Times New Roman" w:hint="default"/>
                <w:sz w:val="16"/>
                <w:szCs w:val="16"/>
              </w:rPr>
            </w:pPr>
            <w:r>
              <w:rPr>
                <w:rFonts w:ascii="Times New Roman"/>
                <w:sz w:val="16"/>
              </w:rPr>
              <w:t>Cashware Technology</w:t>
            </w:r>
            <w:r>
              <w:rPr>
                <w:rFonts w:ascii="Times New Roman"/>
                <w:spacing w:val="-16"/>
                <w:sz w:val="16"/>
              </w:rPr>
              <w:t> </w:t>
            </w:r>
            <w:r>
              <w:rPr>
                <w:rFonts w:ascii="Times New Roman"/>
                <w:sz w:val="16"/>
              </w:rPr>
              <w:t>Ltd.</w:t>
            </w:r>
          </w:p>
        </w:tc>
        <w:tc>
          <w:tcPr>
            <w:tcW w:w="471" w:type="dxa"/>
            <w:tcBorders>
              <w:top w:val="single" w:sz="4" w:space="0" w:color="000000"/>
              <w:left w:val="nil" w:sz="6" w:space="0" w:color="auto"/>
              <w:bottom w:val="nil" w:sz="6" w:space="0" w:color="auto"/>
              <w:right w:val="nil" w:sz="6" w:space="0" w:color="auto"/>
            </w:tcBorders>
          </w:tcPr>
          <w:p>
            <w:pPr>
              <w:pStyle w:val="TableParagraph"/>
              <w:spacing w:line="240" w:lineRule="auto" w:before="41"/>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single" w:sz="4" w:space="0" w:color="000000"/>
              <w:left w:val="nil" w:sz="6" w:space="0" w:color="auto"/>
              <w:bottom w:val="nil" w:sz="6" w:space="0" w:color="auto"/>
              <w:right w:val="nil" w:sz="6" w:space="0" w:color="auto"/>
            </w:tcBorders>
          </w:tcPr>
          <w:p>
            <w:pPr>
              <w:pStyle w:val="TableParagraph"/>
              <w:spacing w:line="240" w:lineRule="auto" w:before="41"/>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single" w:sz="4" w:space="0" w:color="000000"/>
              <w:left w:val="nil" w:sz="6" w:space="0" w:color="auto"/>
              <w:bottom w:val="nil" w:sz="6" w:space="0" w:color="auto"/>
              <w:right w:val="nil" w:sz="6" w:space="0" w:color="auto"/>
            </w:tcBorders>
          </w:tcPr>
          <w:p>
            <w:pPr>
              <w:pStyle w:val="TableParagraph"/>
              <w:spacing w:line="240" w:lineRule="auto" w:before="41"/>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423" w:type="dxa"/>
            <w:tcBorders>
              <w:top w:val="single" w:sz="4" w:space="0" w:color="000000"/>
              <w:left w:val="nil" w:sz="6" w:space="0" w:color="auto"/>
              <w:bottom w:val="nil" w:sz="6" w:space="0" w:color="auto"/>
              <w:right w:val="nil" w:sz="6" w:space="0" w:color="auto"/>
            </w:tcBorders>
          </w:tcPr>
          <w:p>
            <w:pPr>
              <w:pStyle w:val="TableParagraph"/>
              <w:spacing w:line="240" w:lineRule="auto" w:before="41"/>
              <w:ind w:left="59" w:right="0"/>
              <w:jc w:val="left"/>
              <w:rPr>
                <w:rFonts w:ascii="宋体" w:hAnsi="宋体" w:cs="宋体" w:eastAsia="宋体" w:hint="default"/>
                <w:sz w:val="16"/>
                <w:szCs w:val="16"/>
              </w:rPr>
            </w:pPr>
            <w:r>
              <w:rPr>
                <w:rFonts w:ascii="宋体" w:hAnsi="宋体" w:cs="宋体" w:eastAsia="宋体" w:hint="default"/>
                <w:sz w:val="16"/>
                <w:szCs w:val="16"/>
              </w:rPr>
              <w:t>产品调研服务的提供</w:t>
            </w:r>
          </w:p>
        </w:tc>
      </w:tr>
      <w:tr>
        <w:trPr>
          <w:trHeight w:val="28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0"/>
              <w:jc w:val="left"/>
              <w:rPr>
                <w:rFonts w:ascii="Times New Roman" w:hAnsi="Times New Roman" w:cs="Times New Roman" w:eastAsia="Times New Roman" w:hint="default"/>
                <w:sz w:val="16"/>
                <w:szCs w:val="16"/>
              </w:rPr>
            </w:pPr>
            <w:r>
              <w:rPr>
                <w:rFonts w:ascii="Times New Roman"/>
                <w:sz w:val="16"/>
              </w:rPr>
              <w:t>Neo-Neon China</w:t>
            </w:r>
            <w:r>
              <w:rPr>
                <w:rFonts w:ascii="Times New Roman"/>
                <w:spacing w:val="-12"/>
                <w:sz w:val="16"/>
              </w:rPr>
              <w:t> </w:t>
            </w:r>
            <w:r>
              <w:rPr>
                <w:rFonts w:ascii="Times New Roman"/>
                <w:sz w:val="16"/>
              </w:rPr>
              <w:t>Limited</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151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8" w:right="0"/>
              <w:jc w:val="left"/>
              <w:rPr>
                <w:rFonts w:ascii="宋体" w:hAnsi="宋体" w:cs="宋体" w:eastAsia="宋体" w:hint="default"/>
                <w:sz w:val="16"/>
                <w:szCs w:val="16"/>
              </w:rPr>
            </w:pPr>
            <w:r>
              <w:rPr>
                <w:rFonts w:ascii="宋体" w:hAnsi="宋体" w:cs="宋体" w:eastAsia="宋体" w:hint="default"/>
                <w:sz w:val="16"/>
                <w:szCs w:val="16"/>
              </w:rPr>
              <w:t>鹤山同方照明科技有限公司</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US$30000.00</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09"/>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 w:right="0"/>
              <w:jc w:val="center"/>
              <w:rPr>
                <w:rFonts w:ascii="宋体" w:hAnsi="宋体" w:cs="宋体" w:eastAsia="宋体" w:hint="default"/>
                <w:sz w:val="16"/>
                <w:szCs w:val="16"/>
              </w:rPr>
            </w:pPr>
            <w:r>
              <w:rPr>
                <w:rFonts w:ascii="宋体" w:hAnsi="宋体" w:cs="宋体" w:eastAsia="宋体" w:hint="default"/>
                <w:sz w:val="16"/>
                <w:szCs w:val="16"/>
              </w:rPr>
              <w:t>广东江门</w:t>
            </w:r>
          </w:p>
        </w:tc>
        <w:tc>
          <w:tcPr>
            <w:tcW w:w="3423" w:type="dxa"/>
            <w:tcBorders>
              <w:top w:val="nil" w:sz="6" w:space="0" w:color="auto"/>
              <w:left w:val="nil" w:sz="6" w:space="0" w:color="auto"/>
              <w:bottom w:val="nil" w:sz="6" w:space="0" w:color="auto"/>
              <w:right w:val="nil" w:sz="6" w:space="0" w:color="auto"/>
            </w:tcBorders>
          </w:tcPr>
          <w:p>
            <w:pPr>
              <w:pStyle w:val="TableParagraph"/>
              <w:spacing w:line="230" w:lineRule="auto" w:before="12"/>
              <w:ind w:left="59"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LED </w:t>
            </w:r>
            <w:r>
              <w:rPr>
                <w:rFonts w:ascii="宋体" w:hAnsi="宋体" w:cs="宋体" w:eastAsia="宋体" w:hint="default"/>
                <w:sz w:val="16"/>
                <w:szCs w:val="16"/>
              </w:rPr>
              <w:t>光电器件、光电子专用材料、光纤、新型</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pacing w:val="2"/>
                <w:sz w:val="16"/>
                <w:szCs w:val="16"/>
              </w:rPr>
              <w:t>显示屏的研发、制造及光电工程安装；金属、</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pacing w:val="2"/>
                <w:sz w:val="16"/>
                <w:szCs w:val="16"/>
              </w:rPr>
              <w:t>非金属制品模具设计、制造；各款灯饰及配件</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pacing w:val="-8"/>
                <w:sz w:val="16"/>
                <w:szCs w:val="16"/>
              </w:rPr>
              <w:t>的生产；发光二极体（</w:t>
            </w:r>
            <w:r>
              <w:rPr>
                <w:rFonts w:ascii="Times New Roman" w:hAnsi="Times New Roman" w:cs="Times New Roman" w:eastAsia="Times New Roman" w:hint="default"/>
                <w:spacing w:val="-8"/>
                <w:sz w:val="16"/>
                <w:szCs w:val="16"/>
              </w:rPr>
              <w:t>LED</w:t>
            </w:r>
            <w:r>
              <w:rPr>
                <w:rFonts w:ascii="宋体" w:hAnsi="宋体" w:cs="宋体" w:eastAsia="宋体" w:hint="default"/>
                <w:spacing w:val="-8"/>
                <w:sz w:val="16"/>
                <w:szCs w:val="16"/>
              </w:rPr>
              <w:t>）芯片的制造和销售；</w:t>
            </w:r>
            <w:r>
              <w:rPr>
                <w:rFonts w:ascii="宋体" w:hAnsi="宋体" w:cs="宋体" w:eastAsia="宋体" w:hint="default"/>
                <w:spacing w:val="-48"/>
                <w:sz w:val="16"/>
                <w:szCs w:val="16"/>
              </w:rPr>
              <w:t> </w:t>
            </w:r>
            <w:r>
              <w:rPr>
                <w:rFonts w:ascii="宋体" w:hAnsi="宋体" w:cs="宋体" w:eastAsia="宋体" w:hint="default"/>
                <w:spacing w:val="-48"/>
                <w:sz w:val="16"/>
                <w:szCs w:val="16"/>
              </w:rPr>
            </w:r>
            <w:r>
              <w:rPr>
                <w:rFonts w:ascii="Times New Roman" w:hAnsi="Times New Roman" w:cs="Times New Roman" w:eastAsia="Times New Roman" w:hint="default"/>
                <w:sz w:val="16"/>
                <w:szCs w:val="16"/>
              </w:rPr>
              <w:t>PVC </w:t>
            </w:r>
            <w:r>
              <w:rPr>
                <w:rFonts w:ascii="宋体" w:hAnsi="宋体" w:cs="宋体" w:eastAsia="宋体" w:hint="default"/>
                <w:sz w:val="16"/>
                <w:szCs w:val="16"/>
              </w:rPr>
              <w:t>胶粒、电线电缆的生产和销售；音响、视</w:t>
            </w:r>
            <w:r>
              <w:rPr>
                <w:rFonts w:ascii="宋体" w:hAnsi="宋体" w:cs="宋体" w:eastAsia="宋体" w:hint="default"/>
                <w:spacing w:val="-74"/>
                <w:sz w:val="16"/>
                <w:szCs w:val="16"/>
              </w:rPr>
              <w:t> </w:t>
            </w:r>
            <w:r>
              <w:rPr>
                <w:rFonts w:ascii="宋体" w:hAnsi="宋体" w:cs="宋体" w:eastAsia="宋体" w:hint="default"/>
                <w:spacing w:val="-74"/>
                <w:sz w:val="16"/>
                <w:szCs w:val="16"/>
              </w:rPr>
            </w:r>
            <w:r>
              <w:rPr>
                <w:rFonts w:ascii="宋体" w:hAnsi="宋体" w:cs="宋体" w:eastAsia="宋体" w:hint="default"/>
                <w:spacing w:val="2"/>
                <w:sz w:val="16"/>
                <w:szCs w:val="16"/>
              </w:rPr>
              <w:t>频类产品的研发、生产和销售；产品售后维修</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服务。</w:t>
            </w:r>
          </w:p>
        </w:tc>
      </w:tr>
      <w:tr>
        <w:trPr>
          <w:trHeight w:val="439"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30"/>
              <w:ind w:left="28" w:right="204"/>
              <w:jc w:val="left"/>
              <w:rPr>
                <w:rFonts w:ascii="Times New Roman" w:hAnsi="Times New Roman" w:cs="Times New Roman" w:eastAsia="Times New Roman" w:hint="default"/>
                <w:sz w:val="16"/>
                <w:szCs w:val="16"/>
              </w:rPr>
            </w:pPr>
            <w:r>
              <w:rPr>
                <w:rFonts w:ascii="Times New Roman"/>
                <w:sz w:val="16"/>
              </w:rPr>
              <w:t>Hong Kong Lide</w:t>
            </w:r>
            <w:r>
              <w:rPr>
                <w:rFonts w:ascii="Times New Roman"/>
                <w:spacing w:val="-14"/>
                <w:sz w:val="16"/>
              </w:rPr>
              <w:t> </w:t>
            </w:r>
            <w:r>
              <w:rPr>
                <w:rFonts w:ascii="Times New Roman"/>
                <w:sz w:val="16"/>
              </w:rPr>
              <w:t>Electronic</w:t>
            </w:r>
            <w:r>
              <w:rPr>
                <w:rFonts w:ascii="Times New Roman"/>
                <w:w w:val="100"/>
                <w:sz w:val="16"/>
              </w:rPr>
              <w:t> </w:t>
            </w:r>
            <w:r>
              <w:rPr>
                <w:rFonts w:ascii="Times New Roman"/>
                <w:sz w:val="16"/>
              </w:rPr>
              <w:t>Company</w:t>
            </w:r>
            <w:r>
              <w:rPr>
                <w:rFonts w:ascii="Times New Roman"/>
                <w:spacing w:val="-7"/>
                <w:sz w:val="16"/>
              </w:rPr>
              <w:t> </w:t>
            </w:r>
            <w:r>
              <w:rPr>
                <w:rFonts w:ascii="Times New Roman"/>
                <w:sz w:val="16"/>
              </w:rPr>
              <w:t>Limited</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HK$1.00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88"/>
              <w:ind w:left="59" w:right="0"/>
              <w:jc w:val="left"/>
              <w:rPr>
                <w:rFonts w:ascii="宋体" w:hAnsi="宋体" w:cs="宋体" w:eastAsia="宋体" w:hint="default"/>
                <w:sz w:val="16"/>
                <w:szCs w:val="16"/>
              </w:rPr>
            </w:pPr>
            <w:r>
              <w:rPr>
                <w:rFonts w:ascii="宋体" w:hAnsi="宋体" w:cs="宋体" w:eastAsia="宋体" w:hint="default"/>
                <w:sz w:val="16"/>
                <w:szCs w:val="16"/>
              </w:rPr>
              <w:t>装饰灯产品的销售</w:t>
            </w:r>
          </w:p>
        </w:tc>
      </w:tr>
      <w:tr>
        <w:trPr>
          <w:trHeight w:val="6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8" w:right="63"/>
              <w:jc w:val="left"/>
              <w:rPr>
                <w:rFonts w:ascii="宋体" w:hAnsi="宋体" w:cs="宋体" w:eastAsia="宋体" w:hint="default"/>
                <w:sz w:val="16"/>
                <w:szCs w:val="16"/>
              </w:rPr>
            </w:pPr>
            <w:r>
              <w:rPr>
                <w:rFonts w:ascii="宋体" w:hAnsi="宋体" w:cs="宋体" w:eastAsia="宋体" w:hint="default"/>
                <w:spacing w:val="-1"/>
                <w:sz w:val="16"/>
                <w:szCs w:val="16"/>
              </w:rPr>
              <w:t>广东真明丽绿色光源科技企</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业孵化器有限公司</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 w:right="0"/>
              <w:jc w:val="center"/>
              <w:rPr>
                <w:rFonts w:ascii="宋体" w:hAnsi="宋体" w:cs="宋体" w:eastAsia="宋体" w:hint="default"/>
                <w:sz w:val="16"/>
                <w:szCs w:val="16"/>
              </w:rPr>
            </w:pPr>
            <w:r>
              <w:rPr>
                <w:rFonts w:ascii="宋体" w:hAnsi="宋体" w:cs="宋体" w:eastAsia="宋体" w:hint="default"/>
                <w:sz w:val="16"/>
                <w:szCs w:val="16"/>
              </w:rPr>
              <w:t>广东江门</w:t>
            </w:r>
          </w:p>
        </w:tc>
        <w:tc>
          <w:tcPr>
            <w:tcW w:w="3423" w:type="dxa"/>
            <w:tcBorders>
              <w:top w:val="nil" w:sz="6" w:space="0" w:color="auto"/>
              <w:left w:val="nil" w:sz="6" w:space="0" w:color="auto"/>
              <w:bottom w:val="nil" w:sz="6" w:space="0" w:color="auto"/>
              <w:right w:val="nil" w:sz="6" w:space="0" w:color="auto"/>
            </w:tcBorders>
          </w:tcPr>
          <w:p>
            <w:pPr>
              <w:pStyle w:val="TableParagraph"/>
              <w:spacing w:line="237" w:lineRule="auto"/>
              <w:ind w:left="59" w:right="80"/>
              <w:jc w:val="both"/>
              <w:rPr>
                <w:rFonts w:ascii="宋体" w:hAnsi="宋体" w:cs="宋体" w:eastAsia="宋体" w:hint="default"/>
                <w:sz w:val="16"/>
                <w:szCs w:val="16"/>
              </w:rPr>
            </w:pPr>
            <w:r>
              <w:rPr>
                <w:rFonts w:ascii="宋体" w:hAnsi="宋体" w:cs="宋体" w:eastAsia="宋体" w:hint="default"/>
                <w:spacing w:val="2"/>
                <w:sz w:val="16"/>
                <w:szCs w:val="16"/>
              </w:rPr>
              <w:t>招商引资；提供绿色光源、光电子及半导体相</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pacing w:val="2"/>
                <w:sz w:val="16"/>
                <w:szCs w:val="16"/>
              </w:rPr>
              <w:t>关领域的创业辅导、技术研发、工业设计、融</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资、政府项目审批中介科技服务</w:t>
            </w:r>
          </w:p>
        </w:tc>
      </w:tr>
      <w:tr>
        <w:trPr>
          <w:trHeight w:val="28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鹤山市银雨照明有限公司</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广东江门</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各款灯饰及配件的生产、加工、销售</w:t>
            </w:r>
          </w:p>
        </w:tc>
      </w:tr>
      <w:tr>
        <w:trPr>
          <w:trHeight w:val="1098"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5"/>
              <w:ind w:right="0"/>
              <w:jc w:val="left"/>
              <w:rPr>
                <w:rFonts w:ascii="Times New Roman" w:hAnsi="Times New Roman" w:cs="Times New Roman" w:eastAsia="Times New Roman" w:hint="default"/>
                <w:sz w:val="13"/>
                <w:szCs w:val="13"/>
              </w:rPr>
            </w:pPr>
          </w:p>
          <w:p>
            <w:pPr>
              <w:pStyle w:val="TableParagraph"/>
              <w:spacing w:line="206" w:lineRule="exact"/>
              <w:ind w:left="28" w:right="63"/>
              <w:jc w:val="left"/>
              <w:rPr>
                <w:rFonts w:ascii="宋体" w:hAnsi="宋体" w:cs="宋体" w:eastAsia="宋体" w:hint="default"/>
                <w:sz w:val="16"/>
                <w:szCs w:val="16"/>
              </w:rPr>
            </w:pPr>
            <w:r>
              <w:rPr>
                <w:rFonts w:ascii="宋体" w:hAnsi="宋体" w:cs="宋体" w:eastAsia="宋体" w:hint="default"/>
                <w:spacing w:val="-1"/>
                <w:sz w:val="16"/>
                <w:szCs w:val="16"/>
              </w:rPr>
              <w:t>江门市安特力标准检测有限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8</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 w:right="0"/>
              <w:jc w:val="center"/>
              <w:rPr>
                <w:rFonts w:ascii="宋体" w:hAnsi="宋体" w:cs="宋体" w:eastAsia="宋体" w:hint="default"/>
                <w:sz w:val="16"/>
                <w:szCs w:val="16"/>
              </w:rPr>
            </w:pPr>
            <w:r>
              <w:rPr>
                <w:rFonts w:ascii="宋体" w:hAnsi="宋体" w:cs="宋体" w:eastAsia="宋体" w:hint="default"/>
                <w:sz w:val="16"/>
                <w:szCs w:val="16"/>
              </w:rPr>
              <w:t>广东江门</w:t>
            </w:r>
          </w:p>
        </w:tc>
        <w:tc>
          <w:tcPr>
            <w:tcW w:w="3423" w:type="dxa"/>
            <w:tcBorders>
              <w:top w:val="nil" w:sz="6" w:space="0" w:color="auto"/>
              <w:left w:val="nil" w:sz="6" w:space="0" w:color="auto"/>
              <w:bottom w:val="nil" w:sz="6" w:space="0" w:color="auto"/>
              <w:right w:val="nil" w:sz="6" w:space="0" w:color="auto"/>
            </w:tcBorders>
          </w:tcPr>
          <w:p>
            <w:pPr>
              <w:pStyle w:val="TableParagraph"/>
              <w:spacing w:line="237" w:lineRule="auto" w:before="6"/>
              <w:ind w:left="59" w:right="0"/>
              <w:jc w:val="left"/>
              <w:rPr>
                <w:rFonts w:ascii="宋体" w:hAnsi="宋体" w:cs="宋体" w:eastAsia="宋体" w:hint="default"/>
                <w:sz w:val="16"/>
                <w:szCs w:val="16"/>
              </w:rPr>
            </w:pPr>
            <w:r>
              <w:rPr>
                <w:rFonts w:ascii="宋体" w:hAnsi="宋体" w:cs="宋体" w:eastAsia="宋体" w:hint="default"/>
                <w:spacing w:val="-1"/>
                <w:sz w:val="16"/>
                <w:szCs w:val="16"/>
              </w:rPr>
              <w:t>电子产品安全、电磁兼容、理化技术检测服务；</w:t>
            </w:r>
            <w:r>
              <w:rPr>
                <w:rFonts w:ascii="宋体" w:hAnsi="宋体" w:cs="宋体" w:eastAsia="宋体" w:hint="default"/>
                <w:spacing w:val="-61"/>
                <w:sz w:val="16"/>
                <w:szCs w:val="16"/>
              </w:rPr>
              <w:t> </w:t>
            </w:r>
            <w:r>
              <w:rPr>
                <w:rFonts w:ascii="宋体" w:hAnsi="宋体" w:cs="宋体" w:eastAsia="宋体" w:hint="default"/>
                <w:spacing w:val="-61"/>
                <w:sz w:val="16"/>
                <w:szCs w:val="16"/>
              </w:rPr>
            </w:r>
            <w:r>
              <w:rPr>
                <w:rFonts w:ascii="宋体" w:hAnsi="宋体" w:cs="宋体" w:eastAsia="宋体" w:hint="default"/>
                <w:spacing w:val="2"/>
                <w:sz w:val="16"/>
                <w:szCs w:val="16"/>
              </w:rPr>
              <w:t>仪器、仪表、试验序曲备的检测服务及销售；</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pacing w:val="2"/>
                <w:sz w:val="16"/>
                <w:szCs w:val="16"/>
              </w:rPr>
              <w:t>电子产品及配件、微电子产品、电子元器件、</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pacing w:val="2"/>
                <w:sz w:val="16"/>
                <w:szCs w:val="16"/>
              </w:rPr>
              <w:t>机电产品的开发及销售；货物及技术进出口；</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专利代理，商标代理，标准测试信息咨询</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
              <w:ind w:left="28" w:right="63"/>
              <w:jc w:val="left"/>
              <w:rPr>
                <w:rFonts w:ascii="宋体" w:hAnsi="宋体" w:cs="宋体" w:eastAsia="宋体" w:hint="default"/>
                <w:sz w:val="16"/>
                <w:szCs w:val="16"/>
              </w:rPr>
            </w:pPr>
            <w:r>
              <w:rPr>
                <w:rFonts w:ascii="宋体" w:hAnsi="宋体" w:cs="宋体" w:eastAsia="宋体" w:hint="default"/>
                <w:spacing w:val="-1"/>
                <w:sz w:val="16"/>
                <w:szCs w:val="16"/>
              </w:rPr>
              <w:t>江门银雨节能投资服务有限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8</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 w:right="0"/>
              <w:jc w:val="center"/>
              <w:rPr>
                <w:rFonts w:ascii="宋体" w:hAnsi="宋体" w:cs="宋体" w:eastAsia="宋体" w:hint="default"/>
                <w:sz w:val="16"/>
                <w:szCs w:val="16"/>
              </w:rPr>
            </w:pPr>
            <w:r>
              <w:rPr>
                <w:rFonts w:ascii="宋体" w:hAnsi="宋体" w:cs="宋体" w:eastAsia="宋体" w:hint="default"/>
                <w:sz w:val="16"/>
                <w:szCs w:val="16"/>
              </w:rPr>
              <w:t>广东江门</w:t>
            </w:r>
          </w:p>
        </w:tc>
        <w:tc>
          <w:tcPr>
            <w:tcW w:w="3423" w:type="dxa"/>
            <w:tcBorders>
              <w:top w:val="nil" w:sz="6" w:space="0" w:color="auto"/>
              <w:left w:val="nil" w:sz="6" w:space="0" w:color="auto"/>
              <w:bottom w:val="nil" w:sz="6" w:space="0" w:color="auto"/>
              <w:right w:val="nil" w:sz="6" w:space="0" w:color="auto"/>
            </w:tcBorders>
          </w:tcPr>
          <w:p>
            <w:pPr>
              <w:pStyle w:val="TableParagraph"/>
              <w:spacing w:line="208" w:lineRule="exact" w:before="24"/>
              <w:ind w:left="59" w:right="82"/>
              <w:jc w:val="left"/>
              <w:rPr>
                <w:rFonts w:ascii="宋体" w:hAnsi="宋体" w:cs="宋体" w:eastAsia="宋体" w:hint="default"/>
                <w:sz w:val="16"/>
                <w:szCs w:val="16"/>
              </w:rPr>
            </w:pPr>
            <w:r>
              <w:rPr>
                <w:rFonts w:ascii="宋体" w:hAnsi="宋体" w:cs="宋体" w:eastAsia="宋体" w:hint="default"/>
                <w:sz w:val="16"/>
                <w:szCs w:val="16"/>
              </w:rPr>
              <w:t>节能项目投资，销售灯具及配件产品；</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节</w:t>
            </w:r>
            <w:r>
              <w:rPr>
                <w:rFonts w:ascii="宋体" w:hAnsi="宋体" w:cs="宋体" w:eastAsia="宋体" w:hint="default"/>
                <w:w w:val="100"/>
                <w:sz w:val="16"/>
                <w:szCs w:val="16"/>
              </w:rPr>
              <w:t> </w:t>
            </w:r>
            <w:r>
              <w:rPr>
                <w:rFonts w:ascii="宋体" w:hAnsi="宋体" w:cs="宋体" w:eastAsia="宋体" w:hint="default"/>
                <w:sz w:val="16"/>
                <w:szCs w:val="16"/>
              </w:rPr>
              <w:t>能技术服务</w:t>
            </w:r>
          </w:p>
        </w:tc>
      </w:tr>
      <w:tr>
        <w:trPr>
          <w:trHeight w:val="89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06" w:lineRule="exact"/>
              <w:ind w:left="28" w:right="63"/>
              <w:jc w:val="left"/>
              <w:rPr>
                <w:rFonts w:ascii="宋体" w:hAnsi="宋体" w:cs="宋体" w:eastAsia="宋体" w:hint="default"/>
                <w:sz w:val="16"/>
                <w:szCs w:val="16"/>
              </w:rPr>
            </w:pPr>
            <w:r>
              <w:rPr>
                <w:rFonts w:ascii="宋体" w:hAnsi="宋体" w:cs="宋体" w:eastAsia="宋体" w:hint="default"/>
                <w:spacing w:val="-1"/>
                <w:sz w:val="16"/>
                <w:szCs w:val="16"/>
              </w:rPr>
              <w:t>江门市非凡比空间设计工程</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有限公司</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32"/>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8</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32"/>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32"/>
              <w:ind w:left="1" w:right="0"/>
              <w:jc w:val="center"/>
              <w:rPr>
                <w:rFonts w:ascii="宋体" w:hAnsi="宋体" w:cs="宋体" w:eastAsia="宋体" w:hint="default"/>
                <w:sz w:val="16"/>
                <w:szCs w:val="16"/>
              </w:rPr>
            </w:pPr>
            <w:r>
              <w:rPr>
                <w:rFonts w:ascii="宋体" w:hAnsi="宋体" w:cs="宋体" w:eastAsia="宋体" w:hint="default"/>
                <w:sz w:val="16"/>
                <w:szCs w:val="16"/>
              </w:rPr>
              <w:t>广东江门</w:t>
            </w:r>
          </w:p>
        </w:tc>
        <w:tc>
          <w:tcPr>
            <w:tcW w:w="3423" w:type="dxa"/>
            <w:tcBorders>
              <w:top w:val="nil" w:sz="6" w:space="0" w:color="auto"/>
              <w:left w:val="nil" w:sz="6" w:space="0" w:color="auto"/>
              <w:bottom w:val="nil" w:sz="6" w:space="0" w:color="auto"/>
              <w:right w:val="nil" w:sz="6" w:space="0" w:color="auto"/>
            </w:tcBorders>
          </w:tcPr>
          <w:p>
            <w:pPr>
              <w:pStyle w:val="TableParagraph"/>
              <w:spacing w:line="237" w:lineRule="auto" w:before="6"/>
              <w:ind w:left="59" w:right="80"/>
              <w:jc w:val="both"/>
              <w:rPr>
                <w:rFonts w:ascii="宋体" w:hAnsi="宋体" w:cs="宋体" w:eastAsia="宋体" w:hint="default"/>
                <w:sz w:val="16"/>
                <w:szCs w:val="16"/>
              </w:rPr>
            </w:pPr>
            <w:r>
              <w:rPr>
                <w:rFonts w:ascii="宋体" w:hAnsi="宋体" w:cs="宋体" w:eastAsia="宋体" w:hint="default"/>
                <w:spacing w:val="2"/>
                <w:sz w:val="16"/>
                <w:szCs w:val="16"/>
              </w:rPr>
              <w:t>照明工程、机电设备安装工程、建筑智能化工</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pacing w:val="2"/>
                <w:sz w:val="16"/>
                <w:szCs w:val="16"/>
              </w:rPr>
              <w:t>程；室内照明设计，景观照明设计，道路照明</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pacing w:val="2"/>
                <w:sz w:val="16"/>
                <w:szCs w:val="16"/>
              </w:rPr>
              <w:t>设计，装饰设计；工业自动化控制设备，建筑</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材料，劳保用品的销售。</w:t>
            </w:r>
          </w:p>
        </w:tc>
      </w:tr>
      <w:tr>
        <w:trPr>
          <w:trHeight w:val="478"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8" w:right="0"/>
              <w:jc w:val="left"/>
              <w:rPr>
                <w:rFonts w:ascii="宋体" w:hAnsi="宋体" w:cs="宋体" w:eastAsia="宋体" w:hint="default"/>
                <w:sz w:val="16"/>
                <w:szCs w:val="16"/>
              </w:rPr>
            </w:pPr>
            <w:r>
              <w:rPr>
                <w:rFonts w:ascii="宋体" w:hAnsi="宋体" w:cs="宋体" w:eastAsia="宋体" w:hint="default"/>
                <w:sz w:val="16"/>
                <w:szCs w:val="16"/>
              </w:rPr>
              <w:t>鹤山银雨电子商务有限公司</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8</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广东江门</w:t>
            </w:r>
          </w:p>
        </w:tc>
        <w:tc>
          <w:tcPr>
            <w:tcW w:w="3423" w:type="dxa"/>
            <w:tcBorders>
              <w:top w:val="nil" w:sz="6" w:space="0" w:color="auto"/>
              <w:left w:val="nil" w:sz="6" w:space="0" w:color="auto"/>
              <w:bottom w:val="nil" w:sz="6" w:space="0" w:color="auto"/>
              <w:right w:val="nil" w:sz="6" w:space="0" w:color="auto"/>
            </w:tcBorders>
          </w:tcPr>
          <w:p>
            <w:pPr>
              <w:pStyle w:val="TableParagraph"/>
              <w:spacing w:line="206" w:lineRule="exact" w:before="26"/>
              <w:ind w:left="59" w:right="82"/>
              <w:jc w:val="left"/>
              <w:rPr>
                <w:rFonts w:ascii="宋体" w:hAnsi="宋体" w:cs="宋体" w:eastAsia="宋体" w:hint="default"/>
                <w:sz w:val="16"/>
                <w:szCs w:val="16"/>
              </w:rPr>
            </w:pPr>
            <w:r>
              <w:rPr>
                <w:rFonts w:ascii="宋体" w:hAnsi="宋体" w:cs="宋体" w:eastAsia="宋体" w:hint="default"/>
                <w:sz w:val="16"/>
                <w:szCs w:val="16"/>
              </w:rPr>
              <w:t>灯饰及配件、</w:t>
            </w:r>
            <w:r>
              <w:rPr>
                <w:rFonts w:ascii="Times New Roman" w:hAnsi="Times New Roman" w:cs="Times New Roman" w:eastAsia="Times New Roman" w:hint="default"/>
                <w:sz w:val="16"/>
                <w:szCs w:val="16"/>
              </w:rPr>
              <w:t>LED </w:t>
            </w:r>
            <w:r>
              <w:rPr>
                <w:rFonts w:ascii="宋体" w:hAnsi="宋体" w:cs="宋体" w:eastAsia="宋体" w:hint="default"/>
                <w:sz w:val="16"/>
                <w:szCs w:val="16"/>
              </w:rPr>
              <w:t>照明产品的销售，</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13"/>
                <w:sz w:val="16"/>
                <w:szCs w:val="16"/>
              </w:rPr>
              <w:t> </w:t>
            </w:r>
            <w:r>
              <w:rPr>
                <w:rFonts w:ascii="宋体" w:hAnsi="宋体" w:cs="宋体" w:eastAsia="宋体" w:hint="default"/>
                <w:sz w:val="16"/>
                <w:szCs w:val="16"/>
              </w:rPr>
              <w:t>项目</w:t>
            </w:r>
            <w:r>
              <w:rPr>
                <w:rFonts w:ascii="宋体" w:hAnsi="宋体" w:cs="宋体" w:eastAsia="宋体" w:hint="default"/>
                <w:w w:val="100"/>
                <w:sz w:val="16"/>
                <w:szCs w:val="16"/>
              </w:rPr>
              <w:t> </w:t>
            </w:r>
            <w:r>
              <w:rPr>
                <w:rFonts w:ascii="宋体" w:hAnsi="宋体" w:cs="宋体" w:eastAsia="宋体" w:hint="default"/>
                <w:sz w:val="16"/>
                <w:szCs w:val="16"/>
              </w:rPr>
              <w:t>设计，</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照明产品的售后服务及技术咨询</w:t>
            </w:r>
          </w:p>
        </w:tc>
      </w:tr>
      <w:tr>
        <w:trPr>
          <w:trHeight w:val="130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06" w:lineRule="exact"/>
              <w:ind w:left="28" w:right="63"/>
              <w:jc w:val="left"/>
              <w:rPr>
                <w:rFonts w:ascii="宋体" w:hAnsi="宋体" w:cs="宋体" w:eastAsia="宋体" w:hint="default"/>
                <w:sz w:val="16"/>
                <w:szCs w:val="16"/>
              </w:rPr>
            </w:pPr>
            <w:r>
              <w:rPr>
                <w:rFonts w:ascii="宋体" w:hAnsi="宋体" w:cs="宋体" w:eastAsia="宋体" w:hint="default"/>
                <w:spacing w:val="-1"/>
                <w:sz w:val="16"/>
                <w:szCs w:val="16"/>
              </w:rPr>
              <w:t>深圳市明丽影音科技发展有</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限公司</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2"/>
              <w:ind w:right="0"/>
              <w:jc w:val="left"/>
              <w:rPr>
                <w:rFonts w:ascii="Times New Roman" w:hAnsi="Times New Roman" w:cs="Times New Roman" w:eastAsia="Times New Roman" w:hint="default"/>
                <w:sz w:val="13"/>
                <w:szCs w:val="13"/>
              </w:rPr>
            </w:pPr>
          </w:p>
          <w:p>
            <w:pPr>
              <w:pStyle w:val="TableParagraph"/>
              <w:spacing w:line="240" w:lineRule="auto"/>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8</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2"/>
              <w:ind w:right="0"/>
              <w:jc w:val="left"/>
              <w:rPr>
                <w:rFonts w:ascii="Times New Roman" w:hAnsi="Times New Roman" w:cs="Times New Roman" w:eastAsia="Times New Roman" w:hint="default"/>
                <w:sz w:val="13"/>
                <w:szCs w:val="13"/>
              </w:rPr>
            </w:pPr>
          </w:p>
          <w:p>
            <w:pPr>
              <w:pStyle w:val="TableParagraph"/>
              <w:spacing w:line="240" w:lineRule="auto"/>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903.00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57"/>
              <w:jc w:val="right"/>
              <w:rPr>
                <w:rFonts w:ascii="Times New Roman" w:hAnsi="Times New Roman" w:cs="Times New Roman" w:eastAsia="Times New Roman" w:hint="default"/>
                <w:sz w:val="16"/>
                <w:szCs w:val="16"/>
              </w:rPr>
            </w:pPr>
            <w:r>
              <w:rPr>
                <w:rFonts w:ascii="Times New Roman"/>
                <w:spacing w:val="-1"/>
                <w:sz w:val="16"/>
              </w:rPr>
              <w:t>85.00%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2"/>
              <w:ind w:right="0"/>
              <w:jc w:val="left"/>
              <w:rPr>
                <w:rFonts w:ascii="Times New Roman" w:hAnsi="Times New Roman" w:cs="Times New Roman" w:eastAsia="Times New Roman" w:hint="default"/>
                <w:sz w:val="13"/>
                <w:szCs w:val="13"/>
              </w:rPr>
            </w:pPr>
          </w:p>
          <w:p>
            <w:pPr>
              <w:pStyle w:val="TableParagraph"/>
              <w:spacing w:line="240" w:lineRule="auto"/>
              <w:ind w:left="1" w:right="0"/>
              <w:jc w:val="center"/>
              <w:rPr>
                <w:rFonts w:ascii="宋体" w:hAnsi="宋体" w:cs="宋体" w:eastAsia="宋体" w:hint="default"/>
                <w:sz w:val="16"/>
                <w:szCs w:val="16"/>
              </w:rPr>
            </w:pPr>
            <w:r>
              <w:rPr>
                <w:rFonts w:ascii="宋体" w:hAnsi="宋体" w:cs="宋体" w:eastAsia="宋体" w:hint="default"/>
                <w:sz w:val="16"/>
                <w:szCs w:val="16"/>
              </w:rPr>
              <w:t>广东深圳</w:t>
            </w:r>
          </w:p>
        </w:tc>
        <w:tc>
          <w:tcPr>
            <w:tcW w:w="3423" w:type="dxa"/>
            <w:tcBorders>
              <w:top w:val="nil" w:sz="6" w:space="0" w:color="auto"/>
              <w:left w:val="nil" w:sz="6" w:space="0" w:color="auto"/>
              <w:bottom w:val="nil" w:sz="6" w:space="0" w:color="auto"/>
              <w:right w:val="nil" w:sz="6" w:space="0" w:color="auto"/>
            </w:tcBorders>
          </w:tcPr>
          <w:p>
            <w:pPr>
              <w:pStyle w:val="TableParagraph"/>
              <w:spacing w:line="232" w:lineRule="auto" w:before="6"/>
              <w:ind w:left="59" w:right="80"/>
              <w:jc w:val="both"/>
              <w:rPr>
                <w:rFonts w:ascii="宋体" w:hAnsi="宋体" w:cs="宋体" w:eastAsia="宋体" w:hint="default"/>
                <w:sz w:val="16"/>
                <w:szCs w:val="16"/>
              </w:rPr>
            </w:pPr>
            <w:r>
              <w:rPr>
                <w:rFonts w:ascii="宋体" w:hAnsi="宋体" w:cs="宋体" w:eastAsia="宋体" w:hint="default"/>
                <w:spacing w:val="-5"/>
                <w:sz w:val="16"/>
                <w:szCs w:val="16"/>
              </w:rPr>
              <w:t>音响器材的销售；</w:t>
            </w:r>
            <w:r>
              <w:rPr>
                <w:rFonts w:ascii="Times New Roman" w:hAnsi="Times New Roman" w:cs="Times New Roman" w:eastAsia="Times New Roman" w:hint="default"/>
                <w:spacing w:val="-5"/>
                <w:sz w:val="16"/>
                <w:szCs w:val="16"/>
              </w:rPr>
              <w:t>LED </w:t>
            </w:r>
            <w:r>
              <w:rPr>
                <w:rFonts w:ascii="宋体" w:hAnsi="宋体" w:cs="宋体" w:eastAsia="宋体" w:hint="default"/>
                <w:spacing w:val="-7"/>
                <w:sz w:val="16"/>
                <w:szCs w:val="16"/>
              </w:rPr>
              <w:t>显示屏、</w:t>
            </w:r>
            <w:r>
              <w:rPr>
                <w:rFonts w:ascii="Times New Roman" w:hAnsi="Times New Roman" w:cs="Times New Roman" w:eastAsia="Times New Roman" w:hint="default"/>
                <w:spacing w:val="-7"/>
                <w:sz w:val="16"/>
                <w:szCs w:val="16"/>
              </w:rPr>
              <w:t>LED</w:t>
            </w:r>
            <w:r>
              <w:rPr>
                <w:rFonts w:ascii="Times New Roman" w:hAnsi="Times New Roman" w:cs="Times New Roman" w:eastAsia="Times New Roman" w:hint="default"/>
                <w:spacing w:val="23"/>
                <w:sz w:val="16"/>
                <w:szCs w:val="16"/>
              </w:rPr>
              <w:t> </w:t>
            </w:r>
            <w:r>
              <w:rPr>
                <w:rFonts w:ascii="宋体" w:hAnsi="宋体" w:cs="宋体" w:eastAsia="宋体" w:hint="default"/>
                <w:spacing w:val="-9"/>
                <w:sz w:val="16"/>
                <w:szCs w:val="16"/>
              </w:rPr>
              <w:t>灯饰、</w:t>
            </w:r>
            <w:r>
              <w:rPr>
                <w:rFonts w:ascii="Times New Roman" w:hAnsi="Times New Roman" w:cs="Times New Roman" w:eastAsia="Times New Roman" w:hint="default"/>
                <w:spacing w:val="-9"/>
                <w:sz w:val="16"/>
                <w:szCs w:val="16"/>
              </w:rPr>
              <w:t>LED</w:t>
            </w:r>
            <w:r>
              <w:rPr>
                <w:rFonts w:ascii="Times New Roman" w:hAnsi="Times New Roman" w:cs="Times New Roman" w:eastAsia="Times New Roman" w:hint="default"/>
                <w:w w:val="100"/>
                <w:sz w:val="16"/>
                <w:szCs w:val="16"/>
              </w:rPr>
              <w:t> </w:t>
            </w:r>
            <w:r>
              <w:rPr>
                <w:rFonts w:ascii="宋体" w:hAnsi="宋体" w:cs="宋体" w:eastAsia="宋体" w:hint="default"/>
                <w:spacing w:val="2"/>
                <w:sz w:val="16"/>
                <w:szCs w:val="16"/>
              </w:rPr>
              <w:t>照明灯的生产和销售；工程安装；计算机信息</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系统集成及软件开发、电子产品、</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光电应</w:t>
            </w:r>
            <w:r>
              <w:rPr>
                <w:rFonts w:ascii="宋体" w:hAnsi="宋体" w:cs="宋体" w:eastAsia="宋体" w:hint="default"/>
                <w:w w:val="100"/>
                <w:sz w:val="16"/>
                <w:szCs w:val="16"/>
              </w:rPr>
              <w:t> </w:t>
            </w:r>
            <w:r>
              <w:rPr>
                <w:rFonts w:ascii="宋体" w:hAnsi="宋体" w:cs="宋体" w:eastAsia="宋体" w:hint="default"/>
                <w:spacing w:val="2"/>
                <w:sz w:val="16"/>
                <w:szCs w:val="16"/>
              </w:rPr>
              <w:t>用产品的软硬件开发和销售；兴办实业；国内</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pacing w:val="2"/>
                <w:sz w:val="16"/>
                <w:szCs w:val="16"/>
              </w:rPr>
              <w:t>商业、物资供销业，经营进出口业务，销售自</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产产品及提供安装服务。</w:t>
            </w:r>
          </w:p>
        </w:tc>
      </w:tr>
      <w:tr>
        <w:trPr>
          <w:trHeight w:val="2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pacing w:val="-23"/>
                <w:sz w:val="16"/>
                <w:szCs w:val="16"/>
              </w:rPr>
              <w:t>鹤山市丰彩光电科技有限公司</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8</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509.5314</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51.00%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广东江门</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生产、研发、销售</w:t>
            </w:r>
            <w:r>
              <w:rPr>
                <w:rFonts w:ascii="宋体" w:hAnsi="宋体" w:cs="宋体" w:eastAsia="宋体" w:hint="default"/>
                <w:spacing w:val="-41"/>
                <w:sz w:val="16"/>
                <w:szCs w:val="16"/>
              </w:rPr>
              <w:t> </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灯泡系列产品</w:t>
            </w:r>
          </w:p>
        </w:tc>
      </w:tr>
      <w:tr>
        <w:trPr>
          <w:trHeight w:val="683"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8" w:right="0"/>
              <w:jc w:val="left"/>
              <w:rPr>
                <w:rFonts w:ascii="宋体" w:hAnsi="宋体" w:cs="宋体" w:eastAsia="宋体" w:hint="default"/>
                <w:sz w:val="16"/>
                <w:szCs w:val="16"/>
              </w:rPr>
            </w:pPr>
            <w:r>
              <w:rPr>
                <w:rFonts w:ascii="宋体" w:hAnsi="宋体" w:cs="宋体" w:eastAsia="宋体" w:hint="default"/>
                <w:spacing w:val="-23"/>
                <w:sz w:val="16"/>
                <w:szCs w:val="16"/>
              </w:rPr>
              <w:t>北京真明丽光电科技有限公司</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8</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1"/>
                <w:szCs w:val="21"/>
              </w:rPr>
            </w:pPr>
          </w:p>
          <w:p>
            <w:pPr>
              <w:pStyle w:val="TableParagraph"/>
              <w:spacing w:line="240" w:lineRule="auto"/>
              <w:ind w:right="57"/>
              <w:jc w:val="right"/>
              <w:rPr>
                <w:rFonts w:ascii="Times New Roman" w:hAnsi="Times New Roman" w:cs="Times New Roman" w:eastAsia="Times New Roman" w:hint="default"/>
                <w:sz w:val="16"/>
                <w:szCs w:val="16"/>
              </w:rPr>
            </w:pPr>
            <w:r>
              <w:rPr>
                <w:rFonts w:ascii="Times New Roman"/>
                <w:spacing w:val="-1"/>
                <w:sz w:val="16"/>
              </w:rPr>
              <w:t>51.00%</w:t>
            </w:r>
          </w:p>
        </w:tc>
        <w:tc>
          <w:tcPr>
            <w:tcW w:w="765" w:type="dxa"/>
            <w:tcBorders>
              <w:top w:val="nil" w:sz="6" w:space="0" w:color="auto"/>
              <w:left w:val="nil" w:sz="6" w:space="0" w:color="auto"/>
              <w:bottom w:val="nil" w:sz="6" w:space="0" w:color="auto"/>
              <w:right w:val="nil" w:sz="6" w:space="0" w:color="auto"/>
            </w:tcBorders>
          </w:tcPr>
          <w:p>
            <w:pPr>
              <w:pStyle w:val="TableParagraph"/>
              <w:spacing w:line="206" w:lineRule="exact" w:before="132"/>
              <w:ind w:left="141" w:right="139" w:firstLine="81"/>
              <w:jc w:val="left"/>
              <w:rPr>
                <w:rFonts w:ascii="宋体" w:hAnsi="宋体" w:cs="宋体" w:eastAsia="宋体" w:hint="default"/>
                <w:sz w:val="16"/>
                <w:szCs w:val="16"/>
              </w:rPr>
            </w:pPr>
            <w:r>
              <w:rPr>
                <w:rFonts w:ascii="宋体" w:hAnsi="宋体" w:cs="宋体" w:eastAsia="宋体" w:hint="default"/>
                <w:sz w:val="16"/>
                <w:szCs w:val="16"/>
              </w:rPr>
              <w:t>北京</w:t>
            </w:r>
            <w:r>
              <w:rPr>
                <w:rFonts w:ascii="宋体" w:hAnsi="宋体" w:cs="宋体" w:eastAsia="宋体" w:hint="default"/>
                <w:w w:val="100"/>
                <w:sz w:val="16"/>
                <w:szCs w:val="16"/>
              </w:rPr>
              <w:t> </w:t>
            </w:r>
            <w:r>
              <w:rPr>
                <w:rFonts w:ascii="宋体" w:hAnsi="宋体" w:cs="宋体" w:eastAsia="宋体" w:hint="default"/>
                <w:sz w:val="16"/>
                <w:szCs w:val="16"/>
              </w:rPr>
              <w:t>石景山</w:t>
            </w:r>
          </w:p>
        </w:tc>
        <w:tc>
          <w:tcPr>
            <w:tcW w:w="3423" w:type="dxa"/>
            <w:tcBorders>
              <w:top w:val="nil" w:sz="6" w:space="0" w:color="auto"/>
              <w:left w:val="nil" w:sz="6" w:space="0" w:color="auto"/>
              <w:bottom w:val="nil" w:sz="6" w:space="0" w:color="auto"/>
              <w:right w:val="nil" w:sz="6" w:space="0" w:color="auto"/>
            </w:tcBorders>
          </w:tcPr>
          <w:p>
            <w:pPr>
              <w:pStyle w:val="TableParagraph"/>
              <w:spacing w:line="237" w:lineRule="auto" w:before="6"/>
              <w:ind w:left="59" w:right="80"/>
              <w:jc w:val="both"/>
              <w:rPr>
                <w:rFonts w:ascii="宋体" w:hAnsi="宋体" w:cs="宋体" w:eastAsia="宋体" w:hint="default"/>
                <w:sz w:val="16"/>
                <w:szCs w:val="16"/>
              </w:rPr>
            </w:pPr>
            <w:r>
              <w:rPr>
                <w:rFonts w:ascii="宋体" w:hAnsi="宋体" w:cs="宋体" w:eastAsia="宋体" w:hint="default"/>
                <w:spacing w:val="2"/>
                <w:sz w:val="16"/>
                <w:szCs w:val="16"/>
              </w:rPr>
              <w:t>技术开发、技术推广、技术转让、技术咨询；</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pacing w:val="2"/>
                <w:sz w:val="16"/>
                <w:szCs w:val="16"/>
              </w:rPr>
              <w:t>营销策划；投资管理；产品设计；销售机械电</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器设备、专用设备、灯具、建筑材料等</w:t>
            </w:r>
          </w:p>
        </w:tc>
      </w:tr>
      <w:tr>
        <w:trPr>
          <w:trHeight w:val="479"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8" w:right="63"/>
              <w:jc w:val="left"/>
              <w:rPr>
                <w:rFonts w:ascii="宋体" w:hAnsi="宋体" w:cs="宋体" w:eastAsia="宋体" w:hint="default"/>
                <w:sz w:val="16"/>
                <w:szCs w:val="16"/>
              </w:rPr>
            </w:pPr>
            <w:r>
              <w:rPr>
                <w:rFonts w:ascii="宋体" w:hAnsi="宋体" w:cs="宋体" w:eastAsia="宋体" w:hint="default"/>
                <w:spacing w:val="-1"/>
                <w:sz w:val="16"/>
                <w:szCs w:val="16"/>
              </w:rPr>
              <w:t>深圳同方以衡基金管理有限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广东深圳</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59" w:right="0"/>
              <w:jc w:val="left"/>
              <w:rPr>
                <w:rFonts w:ascii="宋体" w:hAnsi="宋体" w:cs="宋体" w:eastAsia="宋体" w:hint="default"/>
                <w:sz w:val="16"/>
                <w:szCs w:val="16"/>
              </w:rPr>
            </w:pPr>
            <w:r>
              <w:rPr>
                <w:rFonts w:ascii="宋体" w:hAnsi="宋体" w:cs="宋体" w:eastAsia="宋体" w:hint="default"/>
                <w:sz w:val="16"/>
                <w:szCs w:val="16"/>
              </w:rPr>
              <w:t>投资管理，资产管理，投资咨询，项目投资</w:t>
            </w:r>
          </w:p>
        </w:tc>
      </w:tr>
      <w:tr>
        <w:trPr>
          <w:trHeight w:val="28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上海翠能光电科技有限公司</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US$60.00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 w:right="0"/>
              <w:jc w:val="center"/>
              <w:rPr>
                <w:rFonts w:ascii="宋体" w:hAnsi="宋体" w:cs="宋体" w:eastAsia="宋体" w:hint="default"/>
                <w:sz w:val="16"/>
                <w:szCs w:val="16"/>
              </w:rPr>
            </w:pPr>
            <w:r>
              <w:rPr>
                <w:rFonts w:ascii="宋体" w:hAnsi="宋体" w:cs="宋体" w:eastAsia="宋体" w:hint="default"/>
                <w:sz w:val="16"/>
                <w:szCs w:val="16"/>
              </w:rPr>
              <w:t>上海闵行</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4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8" w:right="0"/>
              <w:jc w:val="left"/>
              <w:rPr>
                <w:rFonts w:ascii="宋体" w:hAnsi="宋体" w:cs="宋体" w:eastAsia="宋体" w:hint="default"/>
                <w:sz w:val="16"/>
                <w:szCs w:val="16"/>
              </w:rPr>
            </w:pPr>
            <w:r>
              <w:rPr>
                <w:rFonts w:ascii="宋体" w:hAnsi="宋体" w:cs="宋体" w:eastAsia="宋体" w:hint="default"/>
                <w:sz w:val="16"/>
                <w:szCs w:val="16"/>
              </w:rPr>
              <w:t>天津真明丽光电有限公司</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US$69.00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6"/>
                <w:szCs w:val="16"/>
              </w:rPr>
            </w:pPr>
            <w:r>
              <w:rPr>
                <w:rFonts w:ascii="宋体" w:hAnsi="宋体" w:cs="宋体" w:eastAsia="宋体" w:hint="default"/>
                <w:sz w:val="16"/>
                <w:szCs w:val="16"/>
              </w:rPr>
              <w:t>天津东丽</w:t>
            </w:r>
          </w:p>
        </w:tc>
        <w:tc>
          <w:tcPr>
            <w:tcW w:w="3423" w:type="dxa"/>
            <w:tcBorders>
              <w:top w:val="nil" w:sz="6" w:space="0" w:color="auto"/>
              <w:left w:val="nil" w:sz="6" w:space="0" w:color="auto"/>
              <w:bottom w:val="nil" w:sz="6" w:space="0" w:color="auto"/>
              <w:right w:val="nil" w:sz="6" w:space="0" w:color="auto"/>
            </w:tcBorders>
          </w:tcPr>
          <w:p>
            <w:pPr>
              <w:pStyle w:val="TableParagraph"/>
              <w:spacing w:line="208" w:lineRule="exact" w:before="24"/>
              <w:ind w:left="59"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19"/>
                <w:sz w:val="16"/>
                <w:szCs w:val="16"/>
              </w:rPr>
              <w:t> </w:t>
            </w:r>
            <w:r>
              <w:rPr>
                <w:rFonts w:ascii="宋体" w:hAnsi="宋体" w:cs="宋体" w:eastAsia="宋体" w:hint="default"/>
                <w:spacing w:val="-3"/>
                <w:sz w:val="16"/>
                <w:szCs w:val="16"/>
              </w:rPr>
              <w:t>灯饰，照明灯具及照明电器的研发、设计、</w:t>
            </w:r>
            <w:r>
              <w:rPr>
                <w:rFonts w:ascii="宋体" w:hAnsi="宋体" w:cs="宋体" w:eastAsia="宋体" w:hint="default"/>
                <w:spacing w:val="-77"/>
                <w:sz w:val="16"/>
                <w:szCs w:val="16"/>
              </w:rPr>
              <w:t> </w:t>
            </w:r>
            <w:r>
              <w:rPr>
                <w:rFonts w:ascii="宋体" w:hAnsi="宋体" w:cs="宋体" w:eastAsia="宋体" w:hint="default"/>
                <w:spacing w:val="-77"/>
                <w:sz w:val="16"/>
                <w:szCs w:val="16"/>
              </w:rPr>
            </w:r>
            <w:r>
              <w:rPr>
                <w:rFonts w:ascii="宋体" w:hAnsi="宋体" w:cs="宋体" w:eastAsia="宋体" w:hint="default"/>
                <w:sz w:val="16"/>
                <w:szCs w:val="16"/>
              </w:rPr>
              <w:t>生产、销售</w:t>
            </w:r>
          </w:p>
        </w:tc>
      </w:tr>
      <w:tr>
        <w:trPr>
          <w:trHeight w:val="28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鹤山明集有限公司</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US$42.00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51.00%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广东江门</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从事研发、设计，生产经营舞台灯光产品</w:t>
            </w:r>
          </w:p>
        </w:tc>
      </w:tr>
      <w:tr>
        <w:trPr>
          <w:trHeight w:val="28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鹤山金雨灯饰工程有限公司</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US$150.00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广东江门</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从事室内外灯饰设计安装</w:t>
            </w:r>
          </w:p>
        </w:tc>
      </w:tr>
      <w:tr>
        <w:trPr>
          <w:trHeight w:val="28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8" w:right="0"/>
              <w:jc w:val="left"/>
              <w:rPr>
                <w:rFonts w:ascii="Times New Roman" w:hAnsi="Times New Roman" w:cs="Times New Roman" w:eastAsia="Times New Roman" w:hint="default"/>
                <w:sz w:val="16"/>
                <w:szCs w:val="16"/>
              </w:rPr>
            </w:pPr>
            <w:r>
              <w:rPr>
                <w:rFonts w:ascii="Times New Roman"/>
                <w:sz w:val="16"/>
              </w:rPr>
              <w:t>Mentle International</w:t>
            </w:r>
            <w:r>
              <w:rPr>
                <w:rFonts w:ascii="Times New Roman"/>
                <w:spacing w:val="-16"/>
                <w:sz w:val="16"/>
              </w:rPr>
              <w:t> </w:t>
            </w:r>
            <w:r>
              <w:rPr>
                <w:rFonts w:ascii="Times New Roman"/>
                <w:sz w:val="16"/>
              </w:rPr>
              <w:t>Limited</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装饰灯产品的销售</w:t>
            </w:r>
          </w:p>
        </w:tc>
      </w:tr>
      <w:tr>
        <w:trPr>
          <w:trHeight w:val="47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28" w:right="0"/>
              <w:jc w:val="left"/>
              <w:rPr>
                <w:rFonts w:ascii="Times New Roman" w:hAnsi="Times New Roman" w:cs="Times New Roman" w:eastAsia="Times New Roman" w:hint="default"/>
                <w:sz w:val="16"/>
                <w:szCs w:val="16"/>
              </w:rPr>
            </w:pPr>
            <w:r>
              <w:rPr>
                <w:rFonts w:ascii="Times New Roman"/>
                <w:sz w:val="16"/>
              </w:rPr>
              <w:t>Neo-Neon Trading</w:t>
            </w:r>
            <w:r>
              <w:rPr>
                <w:rFonts w:ascii="Times New Roman"/>
                <w:spacing w:val="-14"/>
                <w:sz w:val="16"/>
              </w:rPr>
              <w:t> </w:t>
            </w:r>
            <w:r>
              <w:rPr>
                <w:rFonts w:ascii="Times New Roman"/>
                <w:sz w:val="16"/>
              </w:rPr>
              <w:t>Co.,Ltd.</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US$100.00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22" w:right="59" w:hanging="161"/>
              <w:jc w:val="left"/>
              <w:rPr>
                <w:rFonts w:ascii="宋体" w:hAnsi="宋体" w:cs="宋体" w:eastAsia="宋体" w:hint="default"/>
                <w:sz w:val="16"/>
                <w:szCs w:val="16"/>
              </w:rPr>
            </w:pPr>
            <w:r>
              <w:rPr>
                <w:rFonts w:ascii="宋体" w:hAnsi="宋体" w:cs="宋体" w:eastAsia="宋体" w:hint="default"/>
                <w:sz w:val="16"/>
                <w:szCs w:val="16"/>
              </w:rPr>
              <w:t>西萨摩亚</w:t>
            </w:r>
            <w:r>
              <w:rPr>
                <w:rFonts w:ascii="宋体" w:hAnsi="宋体" w:cs="宋体" w:eastAsia="宋体" w:hint="default"/>
                <w:spacing w:val="-77"/>
                <w:sz w:val="16"/>
                <w:szCs w:val="16"/>
              </w:rPr>
              <w:t> </w:t>
            </w:r>
            <w:r>
              <w:rPr>
                <w:rFonts w:ascii="宋体" w:hAnsi="宋体" w:cs="宋体" w:eastAsia="宋体" w:hint="default"/>
                <w:sz w:val="16"/>
                <w:szCs w:val="16"/>
              </w:rPr>
              <w:t>群岛</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43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30"/>
              <w:ind w:left="28" w:right="576"/>
              <w:jc w:val="left"/>
              <w:rPr>
                <w:rFonts w:ascii="Times New Roman" w:hAnsi="Times New Roman" w:cs="Times New Roman" w:eastAsia="Times New Roman" w:hint="default"/>
                <w:sz w:val="16"/>
                <w:szCs w:val="16"/>
              </w:rPr>
            </w:pPr>
            <w:r>
              <w:rPr>
                <w:rFonts w:ascii="Times New Roman"/>
                <w:sz w:val="16"/>
              </w:rPr>
              <w:t>Total</w:t>
            </w:r>
            <w:r>
              <w:rPr>
                <w:rFonts w:ascii="Times New Roman"/>
                <w:spacing w:val="33"/>
                <w:sz w:val="16"/>
              </w:rPr>
              <w:t> </w:t>
            </w:r>
            <w:r>
              <w:rPr>
                <w:rFonts w:ascii="Times New Roman"/>
                <w:sz w:val="16"/>
              </w:rPr>
              <w:t>Contribution</w:t>
            </w:r>
            <w:r>
              <w:rPr>
                <w:rFonts w:ascii="Times New Roman"/>
                <w:w w:val="100"/>
                <w:sz w:val="16"/>
              </w:rPr>
              <w:t> </w:t>
            </w:r>
            <w:r>
              <w:rPr>
                <w:rFonts w:ascii="Times New Roman"/>
                <w:sz w:val="16"/>
              </w:rPr>
              <w:t>Development</w:t>
            </w:r>
            <w:r>
              <w:rPr>
                <w:rFonts w:ascii="Times New Roman"/>
                <w:spacing w:val="-10"/>
                <w:sz w:val="16"/>
              </w:rPr>
              <w:t> </w:t>
            </w:r>
            <w:r>
              <w:rPr>
                <w:rFonts w:ascii="Times New Roman"/>
                <w:sz w:val="16"/>
              </w:rPr>
              <w:t>Limited</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88"/>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437"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8" w:right="323"/>
              <w:jc w:val="left"/>
              <w:rPr>
                <w:rFonts w:ascii="Times New Roman" w:hAnsi="Times New Roman" w:cs="Times New Roman" w:eastAsia="Times New Roman" w:hint="default"/>
                <w:sz w:val="16"/>
                <w:szCs w:val="16"/>
              </w:rPr>
            </w:pPr>
            <w:r>
              <w:rPr>
                <w:rFonts w:ascii="Times New Roman"/>
                <w:sz w:val="16"/>
              </w:rPr>
              <w:t>Success Link</w:t>
            </w:r>
            <w:r>
              <w:rPr>
                <w:rFonts w:ascii="Times New Roman"/>
                <w:spacing w:val="-11"/>
                <w:sz w:val="16"/>
              </w:rPr>
              <w:t> </w:t>
            </w:r>
            <w:r>
              <w:rPr>
                <w:rFonts w:ascii="Times New Roman"/>
                <w:sz w:val="16"/>
              </w:rPr>
              <w:t>Investments</w:t>
            </w:r>
            <w:r>
              <w:rPr>
                <w:rFonts w:ascii="Times New Roman"/>
                <w:w w:val="100"/>
                <w:sz w:val="16"/>
              </w:rPr>
              <w:t> </w:t>
            </w:r>
            <w:r>
              <w:rPr>
                <w:rFonts w:ascii="Times New Roman"/>
                <w:sz w:val="16"/>
              </w:rPr>
              <w:t>Limited</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80"/>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268"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8" w:right="0"/>
              <w:jc w:val="left"/>
              <w:rPr>
                <w:rFonts w:ascii="Times New Roman" w:hAnsi="Times New Roman" w:cs="Times New Roman" w:eastAsia="Times New Roman" w:hint="default"/>
                <w:sz w:val="16"/>
                <w:szCs w:val="16"/>
              </w:rPr>
            </w:pPr>
            <w:r>
              <w:rPr>
                <w:rFonts w:ascii="Times New Roman"/>
                <w:sz w:val="16"/>
              </w:rPr>
              <w:t>Melrose Holdings</w:t>
            </w:r>
            <w:r>
              <w:rPr>
                <w:rFonts w:ascii="Times New Roman"/>
                <w:spacing w:val="-13"/>
                <w:sz w:val="16"/>
              </w:rPr>
              <w:t> </w:t>
            </w:r>
            <w:r>
              <w:rPr>
                <w:rFonts w:ascii="Times New Roman"/>
                <w:sz w:val="16"/>
              </w:rPr>
              <w:t>Limited</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8</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HK$1.00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1"/>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43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8" w:right="341"/>
              <w:jc w:val="left"/>
              <w:rPr>
                <w:rFonts w:ascii="Times New Roman" w:hAnsi="Times New Roman" w:cs="Times New Roman" w:eastAsia="Times New Roman" w:hint="default"/>
                <w:sz w:val="16"/>
                <w:szCs w:val="16"/>
              </w:rPr>
            </w:pPr>
            <w:r>
              <w:rPr>
                <w:rFonts w:ascii="Times New Roman"/>
                <w:sz w:val="16"/>
              </w:rPr>
              <w:t>Max Choice</w:t>
            </w:r>
            <w:r>
              <w:rPr>
                <w:rFonts w:ascii="Times New Roman"/>
                <w:spacing w:val="-12"/>
                <w:sz w:val="16"/>
              </w:rPr>
              <w:t> </w:t>
            </w:r>
            <w:r>
              <w:rPr>
                <w:rFonts w:ascii="Times New Roman"/>
                <w:sz w:val="16"/>
              </w:rPr>
              <w:t>International</w:t>
            </w:r>
            <w:r>
              <w:rPr>
                <w:rFonts w:ascii="Times New Roman"/>
                <w:w w:val="100"/>
                <w:sz w:val="16"/>
              </w:rPr>
              <w:t> </w:t>
            </w:r>
            <w:r>
              <w:rPr>
                <w:rFonts w:ascii="Times New Roman"/>
                <w:sz w:val="16"/>
              </w:rPr>
              <w:t>Limited</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87"/>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43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1"/>
              <w:ind w:left="28" w:right="250"/>
              <w:jc w:val="left"/>
              <w:rPr>
                <w:rFonts w:ascii="Times New Roman" w:hAnsi="Times New Roman" w:cs="Times New Roman" w:eastAsia="Times New Roman" w:hint="default"/>
                <w:sz w:val="16"/>
                <w:szCs w:val="16"/>
              </w:rPr>
            </w:pPr>
            <w:r>
              <w:rPr>
                <w:rFonts w:ascii="Times New Roman"/>
                <w:sz w:val="16"/>
              </w:rPr>
              <w:t>Geni Electronics</w:t>
            </w:r>
            <w:r>
              <w:rPr>
                <w:rFonts w:ascii="Times New Roman"/>
                <w:spacing w:val="-8"/>
                <w:sz w:val="16"/>
              </w:rPr>
              <w:t> </w:t>
            </w:r>
            <w:r>
              <w:rPr>
                <w:rFonts w:ascii="Times New Roman"/>
                <w:sz w:val="16"/>
              </w:rPr>
              <w:t>Company</w:t>
            </w:r>
            <w:r>
              <w:rPr>
                <w:rFonts w:ascii="Times New Roman"/>
                <w:w w:val="100"/>
                <w:sz w:val="16"/>
              </w:rPr>
              <w:t> </w:t>
            </w:r>
            <w:r>
              <w:rPr>
                <w:rFonts w:ascii="Times New Roman"/>
                <w:sz w:val="16"/>
              </w:rPr>
              <w:t>Ltd</w:t>
            </w:r>
          </w:p>
        </w:tc>
        <w:tc>
          <w:tcPr>
            <w:tcW w:w="47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HK$1.00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57"/>
              <w:jc w:val="right"/>
              <w:rPr>
                <w:rFonts w:ascii="Times New Roman" w:hAnsi="Times New Roman" w:cs="Times New Roman" w:eastAsia="Times New Roman" w:hint="default"/>
                <w:sz w:val="16"/>
                <w:szCs w:val="16"/>
              </w:rPr>
            </w:pPr>
            <w:r>
              <w:rPr>
                <w:rFonts w:ascii="Times New Roman"/>
                <w:spacing w:val="-1"/>
                <w:sz w:val="16"/>
              </w:rPr>
              <w:t>51.00%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260" w:hRule="exact"/>
        </w:trPr>
        <w:tc>
          <w:tcPr>
            <w:tcW w:w="2016"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left="28" w:right="0"/>
              <w:jc w:val="left"/>
              <w:rPr>
                <w:rFonts w:ascii="Times New Roman" w:hAnsi="Times New Roman" w:cs="Times New Roman" w:eastAsia="Times New Roman" w:hint="default"/>
                <w:sz w:val="16"/>
                <w:szCs w:val="16"/>
              </w:rPr>
            </w:pPr>
            <w:r>
              <w:rPr>
                <w:rFonts w:ascii="Times New Roman"/>
                <w:sz w:val="16"/>
              </w:rPr>
              <w:t>Billion Choice</w:t>
            </w:r>
            <w:r>
              <w:rPr>
                <w:rFonts w:ascii="Times New Roman"/>
                <w:spacing w:val="-12"/>
                <w:sz w:val="16"/>
              </w:rPr>
              <w:t> </w:t>
            </w:r>
            <w:r>
              <w:rPr>
                <w:rFonts w:ascii="Times New Roman"/>
                <w:sz w:val="16"/>
              </w:rPr>
              <w:t>Trading</w:t>
            </w:r>
          </w:p>
        </w:tc>
        <w:tc>
          <w:tcPr>
            <w:tcW w:w="471"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16"/>
              <w:jc w:val="center"/>
              <w:rPr>
                <w:rFonts w:ascii="宋体" w:hAnsi="宋体" w:cs="宋体" w:eastAsia="宋体" w:hint="default"/>
                <w:sz w:val="16"/>
                <w:szCs w:val="16"/>
              </w:rPr>
            </w:pP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17"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423"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bl>
    <w:p>
      <w:pPr>
        <w:spacing w:after="0" w:line="240" w:lineRule="auto"/>
        <w:jc w:val="left"/>
        <w:rPr>
          <w:rFonts w:ascii="宋体" w:hAnsi="宋体" w:cs="宋体" w:eastAsia="宋体" w:hint="default"/>
          <w:sz w:val="16"/>
          <w:szCs w:val="16"/>
        </w:rPr>
        <w:sectPr>
          <w:pgSz w:w="11910" w:h="16840"/>
          <w:pgMar w:header="645" w:footer="816" w:top="1080" w:bottom="1000" w:left="1500" w:right="144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1"/>
          <w:szCs w:val="11"/>
        </w:rPr>
      </w:pPr>
    </w:p>
    <w:tbl>
      <w:tblPr>
        <w:tblW w:w="0" w:type="auto"/>
        <w:jc w:val="left"/>
        <w:tblInd w:w="158" w:type="dxa"/>
        <w:tblLayout w:type="fixed"/>
        <w:tblCellMar>
          <w:top w:w="0" w:type="dxa"/>
          <w:left w:w="0" w:type="dxa"/>
          <w:bottom w:w="0" w:type="dxa"/>
          <w:right w:w="0" w:type="dxa"/>
        </w:tblCellMar>
        <w:tblLook w:val="01E0"/>
      </w:tblPr>
      <w:tblGrid>
        <w:gridCol w:w="2031"/>
        <w:gridCol w:w="455"/>
        <w:gridCol w:w="1232"/>
        <w:gridCol w:w="788"/>
        <w:gridCol w:w="765"/>
        <w:gridCol w:w="3423"/>
      </w:tblGrid>
      <w:tr>
        <w:trPr>
          <w:trHeight w:val="307" w:hRule="exact"/>
        </w:trPr>
        <w:tc>
          <w:tcPr>
            <w:tcW w:w="2031"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3"/>
              <w:jc w:val="center"/>
              <w:rPr>
                <w:rFonts w:ascii="宋体" w:hAnsi="宋体" w:cs="宋体" w:eastAsia="宋体" w:hint="default"/>
                <w:sz w:val="16"/>
                <w:szCs w:val="16"/>
              </w:rPr>
            </w:pPr>
            <w:r>
              <w:rPr>
                <w:rFonts w:ascii="宋体" w:hAnsi="宋体" w:cs="宋体" w:eastAsia="宋体" w:hint="default"/>
                <w:b/>
                <w:bCs/>
                <w:sz w:val="16"/>
                <w:szCs w:val="16"/>
              </w:rPr>
              <w:t>公司名称</w:t>
            </w:r>
            <w:r>
              <w:rPr>
                <w:rFonts w:ascii="宋体" w:hAnsi="宋体" w:cs="宋体" w:eastAsia="宋体" w:hint="default"/>
                <w:sz w:val="16"/>
                <w:szCs w:val="16"/>
              </w:rPr>
            </w:r>
          </w:p>
        </w:tc>
        <w:tc>
          <w:tcPr>
            <w:tcW w:w="455"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1"/>
              <w:jc w:val="center"/>
              <w:rPr>
                <w:rFonts w:ascii="宋体" w:hAnsi="宋体" w:cs="宋体" w:eastAsia="宋体" w:hint="default"/>
                <w:sz w:val="16"/>
                <w:szCs w:val="16"/>
              </w:rPr>
            </w:pPr>
            <w:r>
              <w:rPr>
                <w:rFonts w:ascii="宋体" w:hAnsi="宋体" w:cs="宋体" w:eastAsia="宋体" w:hint="default"/>
                <w:b/>
                <w:bCs/>
                <w:sz w:val="16"/>
                <w:szCs w:val="16"/>
              </w:rPr>
              <w:t>级次</w:t>
            </w:r>
            <w:r>
              <w:rPr>
                <w:rFonts w:ascii="宋体" w:hAnsi="宋体" w:cs="宋体" w:eastAsia="宋体" w:hint="default"/>
                <w:sz w:val="16"/>
                <w:szCs w:val="16"/>
              </w:rPr>
            </w:r>
          </w:p>
        </w:tc>
        <w:tc>
          <w:tcPr>
            <w:tcW w:w="1232"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291" w:right="0"/>
              <w:jc w:val="left"/>
              <w:rPr>
                <w:rFonts w:ascii="宋体" w:hAnsi="宋体" w:cs="宋体" w:eastAsia="宋体" w:hint="default"/>
                <w:sz w:val="16"/>
                <w:szCs w:val="16"/>
              </w:rPr>
            </w:pPr>
            <w:r>
              <w:rPr>
                <w:rFonts w:ascii="宋体" w:hAnsi="宋体" w:cs="宋体" w:eastAsia="宋体" w:hint="default"/>
                <w:b/>
                <w:bCs/>
                <w:sz w:val="16"/>
                <w:szCs w:val="16"/>
              </w:rPr>
              <w:t>注册资本</w:t>
            </w:r>
            <w:r>
              <w:rPr>
                <w:rFonts w:ascii="宋体" w:hAnsi="宋体" w:cs="宋体" w:eastAsia="宋体" w:hint="default"/>
                <w:sz w:val="16"/>
                <w:szCs w:val="16"/>
              </w:rPr>
            </w:r>
          </w:p>
        </w:tc>
        <w:tc>
          <w:tcPr>
            <w:tcW w:w="788"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97"/>
              <w:jc w:val="right"/>
              <w:rPr>
                <w:rFonts w:ascii="宋体" w:hAnsi="宋体" w:cs="宋体" w:eastAsia="宋体" w:hint="default"/>
                <w:sz w:val="16"/>
                <w:szCs w:val="16"/>
              </w:rPr>
            </w:pPr>
            <w:r>
              <w:rPr>
                <w:rFonts w:ascii="宋体" w:hAnsi="宋体" w:cs="宋体" w:eastAsia="宋体" w:hint="default"/>
                <w:b/>
                <w:bCs/>
                <w:sz w:val="16"/>
                <w:szCs w:val="16"/>
              </w:rPr>
              <w:t>持股比例</w:t>
            </w:r>
            <w:r>
              <w:rPr>
                <w:rFonts w:ascii="宋体" w:hAnsi="宋体" w:cs="宋体" w:eastAsia="宋体" w:hint="default"/>
                <w:sz w:val="16"/>
                <w:szCs w:val="16"/>
              </w:rPr>
            </w:r>
          </w:p>
        </w:tc>
        <w:tc>
          <w:tcPr>
            <w:tcW w:w="765"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0"/>
              <w:jc w:val="center"/>
              <w:rPr>
                <w:rFonts w:ascii="宋体" w:hAnsi="宋体" w:cs="宋体" w:eastAsia="宋体" w:hint="default"/>
                <w:sz w:val="16"/>
                <w:szCs w:val="16"/>
              </w:rPr>
            </w:pPr>
            <w:r>
              <w:rPr>
                <w:rFonts w:ascii="宋体" w:hAnsi="宋体" w:cs="宋体" w:eastAsia="宋体" w:hint="default"/>
                <w:b/>
                <w:bCs/>
                <w:sz w:val="16"/>
                <w:szCs w:val="16"/>
              </w:rPr>
              <w:t>注册地址</w:t>
            </w:r>
            <w:r>
              <w:rPr>
                <w:rFonts w:ascii="宋体" w:hAnsi="宋体" w:cs="宋体" w:eastAsia="宋体" w:hint="default"/>
                <w:sz w:val="16"/>
                <w:szCs w:val="16"/>
              </w:rPr>
            </w:r>
          </w:p>
        </w:tc>
        <w:tc>
          <w:tcPr>
            <w:tcW w:w="3423"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22"/>
              <w:jc w:val="center"/>
              <w:rPr>
                <w:rFonts w:ascii="宋体" w:hAnsi="宋体" w:cs="宋体" w:eastAsia="宋体" w:hint="default"/>
                <w:sz w:val="16"/>
                <w:szCs w:val="16"/>
              </w:rPr>
            </w:pPr>
            <w:r>
              <w:rPr>
                <w:rFonts w:ascii="宋体" w:hAnsi="宋体" w:cs="宋体" w:eastAsia="宋体" w:hint="default"/>
                <w:b/>
                <w:bCs/>
                <w:sz w:val="16"/>
                <w:szCs w:val="16"/>
              </w:rPr>
              <w:t>主营业务</w:t>
            </w:r>
            <w:r>
              <w:rPr>
                <w:rFonts w:ascii="宋体" w:hAnsi="宋体" w:cs="宋体" w:eastAsia="宋体" w:hint="default"/>
                <w:sz w:val="16"/>
                <w:szCs w:val="16"/>
              </w:rPr>
            </w:r>
          </w:p>
        </w:tc>
      </w:tr>
      <w:tr>
        <w:trPr>
          <w:trHeight w:val="277" w:hRule="exact"/>
        </w:trPr>
        <w:tc>
          <w:tcPr>
            <w:tcW w:w="2031" w:type="dxa"/>
            <w:tcBorders>
              <w:top w:val="single" w:sz="4" w:space="0" w:color="000000"/>
              <w:left w:val="nil" w:sz="6" w:space="0" w:color="auto"/>
              <w:bottom w:val="nil" w:sz="6" w:space="0" w:color="auto"/>
              <w:right w:val="nil" w:sz="6" w:space="0" w:color="auto"/>
            </w:tcBorders>
          </w:tcPr>
          <w:p>
            <w:pPr>
              <w:pStyle w:val="TableParagraph"/>
              <w:spacing w:line="179" w:lineRule="exact"/>
              <w:ind w:left="43" w:right="0"/>
              <w:jc w:val="left"/>
              <w:rPr>
                <w:rFonts w:ascii="Times New Roman" w:hAnsi="Times New Roman" w:cs="Times New Roman" w:eastAsia="Times New Roman" w:hint="default"/>
                <w:sz w:val="16"/>
                <w:szCs w:val="16"/>
              </w:rPr>
            </w:pPr>
            <w:r>
              <w:rPr>
                <w:rFonts w:ascii="Times New Roman"/>
                <w:sz w:val="16"/>
              </w:rPr>
              <w:t>Limited</w:t>
            </w:r>
          </w:p>
        </w:tc>
        <w:tc>
          <w:tcPr>
            <w:tcW w:w="455" w:type="dxa"/>
            <w:tcBorders>
              <w:top w:val="single" w:sz="4" w:space="0" w:color="000000"/>
              <w:left w:val="nil" w:sz="6" w:space="0" w:color="auto"/>
              <w:bottom w:val="nil" w:sz="6" w:space="0" w:color="auto"/>
              <w:right w:val="nil" w:sz="6" w:space="0" w:color="auto"/>
            </w:tcBorders>
          </w:tcPr>
          <w:p>
            <w:pPr/>
          </w:p>
        </w:tc>
        <w:tc>
          <w:tcPr>
            <w:tcW w:w="1232" w:type="dxa"/>
            <w:tcBorders>
              <w:top w:val="single" w:sz="4" w:space="0" w:color="000000"/>
              <w:left w:val="nil" w:sz="6" w:space="0" w:color="auto"/>
              <w:bottom w:val="nil" w:sz="6" w:space="0" w:color="auto"/>
              <w:right w:val="nil" w:sz="6" w:space="0" w:color="auto"/>
            </w:tcBorders>
          </w:tcPr>
          <w:p>
            <w:pPr/>
          </w:p>
        </w:tc>
        <w:tc>
          <w:tcPr>
            <w:tcW w:w="788" w:type="dxa"/>
            <w:tcBorders>
              <w:top w:val="single" w:sz="4" w:space="0" w:color="000000"/>
              <w:left w:val="nil" w:sz="6" w:space="0" w:color="auto"/>
              <w:bottom w:val="nil" w:sz="6" w:space="0" w:color="auto"/>
              <w:right w:val="nil" w:sz="6" w:space="0" w:color="auto"/>
            </w:tcBorders>
          </w:tcPr>
          <w:p>
            <w:pPr/>
          </w:p>
        </w:tc>
        <w:tc>
          <w:tcPr>
            <w:tcW w:w="765" w:type="dxa"/>
            <w:tcBorders>
              <w:top w:val="single" w:sz="4" w:space="0" w:color="000000"/>
              <w:left w:val="nil" w:sz="6" w:space="0" w:color="auto"/>
              <w:bottom w:val="nil" w:sz="6" w:space="0" w:color="auto"/>
              <w:right w:val="nil" w:sz="6" w:space="0" w:color="auto"/>
            </w:tcBorders>
          </w:tcPr>
          <w:p>
            <w:pPr/>
          </w:p>
        </w:tc>
        <w:tc>
          <w:tcPr>
            <w:tcW w:w="3423" w:type="dxa"/>
            <w:tcBorders>
              <w:top w:val="single" w:sz="4" w:space="0" w:color="000000"/>
              <w:left w:val="nil" w:sz="6" w:space="0" w:color="auto"/>
              <w:bottom w:val="nil" w:sz="6" w:space="0" w:color="auto"/>
              <w:right w:val="nil" w:sz="6" w:space="0" w:color="auto"/>
            </w:tcBorders>
          </w:tcPr>
          <w:p>
            <w:pPr/>
          </w:p>
        </w:tc>
      </w:tr>
      <w:tr>
        <w:trPr>
          <w:trHeight w:val="521"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3"/>
                <w:szCs w:val="13"/>
              </w:rPr>
            </w:pPr>
          </w:p>
          <w:p>
            <w:pPr>
              <w:pStyle w:val="TableParagraph"/>
              <w:spacing w:line="240" w:lineRule="auto"/>
              <w:ind w:left="43" w:right="0"/>
              <w:jc w:val="left"/>
              <w:rPr>
                <w:rFonts w:ascii="宋体" w:hAnsi="宋体" w:cs="宋体" w:eastAsia="宋体" w:hint="default"/>
                <w:sz w:val="16"/>
                <w:szCs w:val="16"/>
              </w:rPr>
            </w:pPr>
            <w:r>
              <w:rPr>
                <w:rFonts w:ascii="宋体" w:hAnsi="宋体" w:cs="宋体" w:eastAsia="宋体" w:hint="default"/>
                <w:sz w:val="16"/>
                <w:szCs w:val="16"/>
              </w:rPr>
              <w:t>扬州同方半导体有限公司</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8</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3"/>
                <w:szCs w:val="13"/>
              </w:rPr>
            </w:pPr>
          </w:p>
          <w:p>
            <w:pPr>
              <w:pStyle w:val="TableParagraph"/>
              <w:spacing w:line="240" w:lineRule="auto"/>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3"/>
                <w:szCs w:val="13"/>
              </w:rPr>
            </w:pPr>
          </w:p>
          <w:p>
            <w:pPr>
              <w:pStyle w:val="TableParagraph"/>
              <w:spacing w:line="240" w:lineRule="auto"/>
              <w:ind w:left="1" w:right="0"/>
              <w:jc w:val="center"/>
              <w:rPr>
                <w:rFonts w:ascii="宋体" w:hAnsi="宋体" w:cs="宋体" w:eastAsia="宋体" w:hint="default"/>
                <w:sz w:val="16"/>
                <w:szCs w:val="16"/>
              </w:rPr>
            </w:pPr>
            <w:r>
              <w:rPr>
                <w:rFonts w:ascii="宋体" w:hAnsi="宋体" w:cs="宋体" w:eastAsia="宋体" w:hint="default"/>
                <w:sz w:val="16"/>
                <w:szCs w:val="16"/>
              </w:rPr>
              <w:t>江苏扬州</w:t>
            </w:r>
          </w:p>
        </w:tc>
        <w:tc>
          <w:tcPr>
            <w:tcW w:w="3423" w:type="dxa"/>
            <w:tcBorders>
              <w:top w:val="nil" w:sz="6" w:space="0" w:color="auto"/>
              <w:left w:val="nil" w:sz="6" w:space="0" w:color="auto"/>
              <w:bottom w:val="nil" w:sz="6" w:space="0" w:color="auto"/>
              <w:right w:val="nil" w:sz="6" w:space="0" w:color="auto"/>
            </w:tcBorders>
          </w:tcPr>
          <w:p>
            <w:pPr>
              <w:pStyle w:val="TableParagraph"/>
              <w:spacing w:line="214" w:lineRule="exact" w:before="47"/>
              <w:ind w:left="59" w:right="0"/>
              <w:jc w:val="left"/>
              <w:rPr>
                <w:rFonts w:ascii="宋体" w:hAnsi="宋体" w:cs="宋体" w:eastAsia="宋体" w:hint="default"/>
                <w:sz w:val="16"/>
                <w:szCs w:val="16"/>
              </w:rPr>
            </w:pPr>
            <w:r>
              <w:rPr>
                <w:rFonts w:ascii="宋体" w:hAnsi="宋体" w:cs="宋体" w:eastAsia="宋体" w:hint="default"/>
                <w:spacing w:val="-7"/>
                <w:sz w:val="16"/>
                <w:szCs w:val="16"/>
              </w:rPr>
              <w:t>生产、研发、销售 </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17"/>
                <w:sz w:val="16"/>
                <w:szCs w:val="16"/>
              </w:rPr>
              <w:t> </w:t>
            </w:r>
            <w:r>
              <w:rPr>
                <w:rFonts w:ascii="宋体" w:hAnsi="宋体" w:cs="宋体" w:eastAsia="宋体" w:hint="default"/>
                <w:spacing w:val="-3"/>
                <w:sz w:val="16"/>
                <w:szCs w:val="16"/>
              </w:rPr>
              <w:t>一般照明、发光二极管、</w:t>
            </w:r>
          </w:p>
          <w:p>
            <w:pPr>
              <w:pStyle w:val="TableParagraph"/>
              <w:spacing w:line="214" w:lineRule="exact"/>
              <w:ind w:left="59"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芯片及</w:t>
            </w:r>
            <w:r>
              <w:rPr>
                <w:rFonts w:ascii="宋体" w:hAnsi="宋体" w:cs="宋体" w:eastAsia="宋体" w:hint="default"/>
                <w:spacing w:val="-38"/>
                <w:sz w:val="16"/>
                <w:szCs w:val="16"/>
              </w:rPr>
              <w:t> </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外延片等</w:t>
            </w:r>
          </w:p>
        </w:tc>
      </w:tr>
      <w:tr>
        <w:trPr>
          <w:trHeight w:val="480"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43" w:right="0"/>
              <w:jc w:val="left"/>
              <w:rPr>
                <w:rFonts w:ascii="宋体" w:hAnsi="宋体" w:cs="宋体" w:eastAsia="宋体" w:hint="default"/>
                <w:sz w:val="16"/>
                <w:szCs w:val="16"/>
              </w:rPr>
            </w:pPr>
            <w:r>
              <w:rPr>
                <w:rFonts w:ascii="宋体" w:hAnsi="宋体" w:cs="宋体" w:eastAsia="宋体" w:hint="default"/>
                <w:spacing w:val="-23"/>
                <w:sz w:val="16"/>
                <w:szCs w:val="16"/>
              </w:rPr>
              <w:t>广东银雨芯片半导体有限公司</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8</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US$3000.00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38"/>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 w:right="0"/>
              <w:jc w:val="center"/>
              <w:rPr>
                <w:rFonts w:ascii="宋体" w:hAnsi="宋体" w:cs="宋体" w:eastAsia="宋体" w:hint="default"/>
                <w:sz w:val="16"/>
                <w:szCs w:val="16"/>
              </w:rPr>
            </w:pPr>
            <w:r>
              <w:rPr>
                <w:rFonts w:ascii="宋体" w:hAnsi="宋体" w:cs="宋体" w:eastAsia="宋体" w:hint="default"/>
                <w:sz w:val="16"/>
                <w:szCs w:val="16"/>
              </w:rPr>
              <w:t>广东江门</w:t>
            </w:r>
          </w:p>
        </w:tc>
        <w:tc>
          <w:tcPr>
            <w:tcW w:w="3423" w:type="dxa"/>
            <w:tcBorders>
              <w:top w:val="nil" w:sz="6" w:space="0" w:color="auto"/>
              <w:left w:val="nil" w:sz="6" w:space="0" w:color="auto"/>
              <w:bottom w:val="nil" w:sz="6" w:space="0" w:color="auto"/>
              <w:right w:val="nil" w:sz="6" w:space="0" w:color="auto"/>
            </w:tcBorders>
          </w:tcPr>
          <w:p>
            <w:pPr>
              <w:pStyle w:val="TableParagraph"/>
              <w:spacing w:line="215" w:lineRule="exact"/>
              <w:ind w:left="59" w:right="0"/>
              <w:jc w:val="left"/>
              <w:rPr>
                <w:rFonts w:ascii="宋体" w:hAnsi="宋体" w:cs="宋体" w:eastAsia="宋体" w:hint="default"/>
                <w:sz w:val="16"/>
                <w:szCs w:val="16"/>
              </w:rPr>
            </w:pPr>
            <w:r>
              <w:rPr>
                <w:rFonts w:ascii="宋体" w:hAnsi="宋体" w:cs="宋体" w:eastAsia="宋体" w:hint="default"/>
                <w:spacing w:val="-7"/>
                <w:sz w:val="16"/>
                <w:szCs w:val="16"/>
              </w:rPr>
              <w:t>生产、研发、销售 </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17"/>
                <w:sz w:val="16"/>
                <w:szCs w:val="16"/>
              </w:rPr>
              <w:t> </w:t>
            </w:r>
            <w:r>
              <w:rPr>
                <w:rFonts w:ascii="宋体" w:hAnsi="宋体" w:cs="宋体" w:eastAsia="宋体" w:hint="default"/>
                <w:spacing w:val="-3"/>
                <w:sz w:val="16"/>
                <w:szCs w:val="16"/>
              </w:rPr>
              <w:t>一般照明、发光二极管、</w:t>
            </w:r>
          </w:p>
          <w:p>
            <w:pPr>
              <w:pStyle w:val="TableParagraph"/>
              <w:spacing w:line="215" w:lineRule="exact"/>
              <w:ind w:left="59"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芯片、</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外延片及</w:t>
            </w:r>
            <w:r>
              <w:rPr>
                <w:rFonts w:ascii="宋体" w:hAnsi="宋体" w:cs="宋体" w:eastAsia="宋体" w:hint="default"/>
                <w:spacing w:val="-40"/>
                <w:sz w:val="16"/>
                <w:szCs w:val="16"/>
              </w:rPr>
              <w:t> </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封装等</w:t>
            </w:r>
          </w:p>
        </w:tc>
      </w:tr>
      <w:tr>
        <w:trPr>
          <w:trHeight w:val="281"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37"/>
              <w:ind w:left="43" w:right="0"/>
              <w:jc w:val="left"/>
              <w:rPr>
                <w:rFonts w:ascii="Times New Roman" w:hAnsi="Times New Roman" w:cs="Times New Roman" w:eastAsia="Times New Roman" w:hint="default"/>
                <w:sz w:val="16"/>
                <w:szCs w:val="16"/>
              </w:rPr>
            </w:pPr>
            <w:r>
              <w:rPr>
                <w:rFonts w:ascii="Times New Roman"/>
                <w:sz w:val="16"/>
              </w:rPr>
              <w:t>Ritelight Overseas</w:t>
            </w:r>
            <w:r>
              <w:rPr>
                <w:rFonts w:ascii="Times New Roman"/>
                <w:spacing w:val="-12"/>
                <w:sz w:val="16"/>
              </w:rPr>
              <w:t> </w:t>
            </w:r>
            <w:r>
              <w:rPr>
                <w:rFonts w:ascii="Times New Roman"/>
                <w:sz w:val="16"/>
              </w:rPr>
              <w:t>Limited</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8</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4"/>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286"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9"/>
              <w:ind w:left="43" w:right="0"/>
              <w:jc w:val="left"/>
              <w:rPr>
                <w:rFonts w:ascii="宋体" w:hAnsi="宋体" w:cs="宋体" w:eastAsia="宋体" w:hint="default"/>
                <w:sz w:val="16"/>
                <w:szCs w:val="16"/>
              </w:rPr>
            </w:pPr>
            <w:r>
              <w:rPr>
                <w:rFonts w:ascii="宋体" w:hAnsi="宋体" w:cs="宋体" w:eastAsia="宋体" w:hint="default"/>
                <w:sz w:val="16"/>
                <w:szCs w:val="16"/>
              </w:rPr>
              <w:t>丽得贸易有限公司</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MOP$2.50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中国澳门</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相关贸易活动</w:t>
            </w:r>
          </w:p>
        </w:tc>
      </w:tr>
      <w:tr>
        <w:trPr>
          <w:trHeight w:val="281"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3" w:right="0"/>
              <w:jc w:val="left"/>
              <w:rPr>
                <w:rFonts w:ascii="Times New Roman" w:hAnsi="Times New Roman" w:cs="Times New Roman" w:eastAsia="Times New Roman" w:hint="default"/>
                <w:sz w:val="16"/>
                <w:szCs w:val="16"/>
              </w:rPr>
            </w:pPr>
            <w:r>
              <w:rPr>
                <w:rFonts w:ascii="Times New Roman"/>
                <w:spacing w:val="-8"/>
                <w:sz w:val="16"/>
              </w:rPr>
              <w:t>Neo-Neon Venture (BVI)</w:t>
            </w:r>
            <w:r>
              <w:rPr>
                <w:rFonts w:ascii="Times New Roman"/>
                <w:spacing w:val="-12"/>
                <w:sz w:val="16"/>
              </w:rPr>
              <w:t> </w:t>
            </w:r>
            <w:r>
              <w:rPr>
                <w:rFonts w:ascii="Times New Roman"/>
                <w:spacing w:val="-7"/>
                <w:sz w:val="16"/>
              </w:rPr>
              <w:t>Ltd.</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474"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43" w:right="0"/>
              <w:jc w:val="left"/>
              <w:rPr>
                <w:rFonts w:ascii="Times New Roman" w:hAnsi="Times New Roman" w:cs="Times New Roman" w:eastAsia="Times New Roman" w:hint="default"/>
                <w:sz w:val="16"/>
                <w:szCs w:val="16"/>
              </w:rPr>
            </w:pPr>
            <w:r>
              <w:rPr>
                <w:rFonts w:ascii="Times New Roman"/>
                <w:sz w:val="16"/>
              </w:rPr>
              <w:t>Ever Green Illumination</w:t>
            </w:r>
            <w:r>
              <w:rPr>
                <w:rFonts w:ascii="Times New Roman"/>
                <w:spacing w:val="-13"/>
                <w:sz w:val="16"/>
              </w:rPr>
              <w:t> </w:t>
            </w:r>
            <w:r>
              <w:rPr>
                <w:rFonts w:ascii="Times New Roman"/>
                <w:sz w:val="16"/>
              </w:rPr>
              <w:t>B.V.</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€9.00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51.00%</w:t>
            </w:r>
          </w:p>
        </w:tc>
        <w:tc>
          <w:tcPr>
            <w:tcW w:w="765" w:type="dxa"/>
            <w:tcBorders>
              <w:top w:val="nil" w:sz="6" w:space="0" w:color="auto"/>
              <w:left w:val="nil" w:sz="6" w:space="0" w:color="auto"/>
              <w:bottom w:val="nil" w:sz="6" w:space="0" w:color="auto"/>
              <w:right w:val="nil" w:sz="6" w:space="0" w:color="auto"/>
            </w:tcBorders>
          </w:tcPr>
          <w:p>
            <w:pPr>
              <w:pStyle w:val="TableParagraph"/>
              <w:spacing w:line="206" w:lineRule="exact" w:before="26"/>
              <w:ind w:left="141" w:right="59" w:hanging="80"/>
              <w:jc w:val="left"/>
              <w:rPr>
                <w:rFonts w:ascii="宋体" w:hAnsi="宋体" w:cs="宋体" w:eastAsia="宋体" w:hint="default"/>
                <w:sz w:val="16"/>
                <w:szCs w:val="16"/>
              </w:rPr>
            </w:pPr>
            <w:r>
              <w:rPr>
                <w:rFonts w:ascii="宋体" w:hAnsi="宋体" w:cs="宋体" w:eastAsia="宋体" w:hint="default"/>
                <w:sz w:val="16"/>
                <w:szCs w:val="16"/>
              </w:rPr>
              <w:t>荷兰北部</w:t>
            </w:r>
            <w:r>
              <w:rPr>
                <w:rFonts w:ascii="宋体" w:hAnsi="宋体" w:cs="宋体" w:eastAsia="宋体" w:hint="default"/>
                <w:spacing w:val="-77"/>
                <w:sz w:val="16"/>
                <w:szCs w:val="16"/>
              </w:rPr>
              <w:t> </w:t>
            </w:r>
            <w:r>
              <w:rPr>
                <w:rFonts w:ascii="宋体" w:hAnsi="宋体" w:cs="宋体" w:eastAsia="宋体" w:hint="default"/>
                <w:sz w:val="16"/>
                <w:szCs w:val="16"/>
              </w:rPr>
              <w:t>拉邦省</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59" w:right="0"/>
              <w:jc w:val="left"/>
              <w:rPr>
                <w:rFonts w:ascii="宋体" w:hAnsi="宋体" w:cs="宋体" w:eastAsia="宋体" w:hint="default"/>
                <w:sz w:val="16"/>
                <w:szCs w:val="16"/>
              </w:rPr>
            </w:pPr>
            <w:r>
              <w:rPr>
                <w:rFonts w:ascii="宋体" w:hAnsi="宋体" w:cs="宋体" w:eastAsia="宋体" w:hint="default"/>
                <w:sz w:val="16"/>
                <w:szCs w:val="16"/>
              </w:rPr>
              <w:t>装饰灯的销售</w:t>
            </w:r>
          </w:p>
        </w:tc>
      </w:tr>
      <w:tr>
        <w:trPr>
          <w:trHeight w:val="479"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43" w:right="0"/>
              <w:jc w:val="left"/>
              <w:rPr>
                <w:rFonts w:ascii="Times New Roman" w:hAnsi="Times New Roman" w:cs="Times New Roman" w:eastAsia="Times New Roman" w:hint="default"/>
                <w:sz w:val="16"/>
                <w:szCs w:val="16"/>
              </w:rPr>
            </w:pPr>
            <w:r>
              <w:rPr>
                <w:rFonts w:ascii="Times New Roman"/>
                <w:sz w:val="16"/>
              </w:rPr>
              <w:t>Neo Neon UK</w:t>
            </w:r>
            <w:r>
              <w:rPr>
                <w:rFonts w:ascii="Times New Roman"/>
                <w:spacing w:val="-9"/>
                <w:sz w:val="16"/>
              </w:rPr>
              <w:t> </w:t>
            </w:r>
            <w:r>
              <w:rPr>
                <w:rFonts w:ascii="Times New Roman"/>
                <w:sz w:val="16"/>
              </w:rPr>
              <w:t>PLC</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Times New Roman" w:hAnsi="Times New Roman" w:cs="Times New Roman" w:eastAsia="Times New Roman" w:hint="default"/>
                <w:sz w:val="16"/>
                <w:szCs w:val="16"/>
              </w:rPr>
              <w:t>5.00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90.00%</w:t>
            </w:r>
          </w:p>
        </w:tc>
        <w:tc>
          <w:tcPr>
            <w:tcW w:w="765"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22" w:right="59" w:hanging="161"/>
              <w:jc w:val="left"/>
              <w:rPr>
                <w:rFonts w:ascii="宋体" w:hAnsi="宋体" w:cs="宋体" w:eastAsia="宋体" w:hint="default"/>
                <w:sz w:val="16"/>
                <w:szCs w:val="16"/>
              </w:rPr>
            </w:pPr>
            <w:r>
              <w:rPr>
                <w:rFonts w:ascii="宋体" w:hAnsi="宋体" w:cs="宋体" w:eastAsia="宋体" w:hint="default"/>
                <w:sz w:val="16"/>
                <w:szCs w:val="16"/>
              </w:rPr>
              <w:t>英国白金</w:t>
            </w:r>
            <w:r>
              <w:rPr>
                <w:rFonts w:ascii="宋体" w:hAnsi="宋体" w:cs="宋体" w:eastAsia="宋体" w:hint="default"/>
                <w:spacing w:val="-77"/>
                <w:sz w:val="16"/>
                <w:szCs w:val="16"/>
              </w:rPr>
              <w:t> </w:t>
            </w:r>
            <w:r>
              <w:rPr>
                <w:rFonts w:ascii="宋体" w:hAnsi="宋体" w:cs="宋体" w:eastAsia="宋体" w:hint="default"/>
                <w:sz w:val="16"/>
                <w:szCs w:val="16"/>
              </w:rPr>
              <w:t>汉郡</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59" w:right="0"/>
              <w:jc w:val="left"/>
              <w:rPr>
                <w:rFonts w:ascii="宋体" w:hAnsi="宋体" w:cs="宋体" w:eastAsia="宋体" w:hint="default"/>
                <w:sz w:val="16"/>
                <w:szCs w:val="16"/>
              </w:rPr>
            </w:pPr>
            <w:r>
              <w:rPr>
                <w:rFonts w:ascii="宋体" w:hAnsi="宋体" w:cs="宋体" w:eastAsia="宋体" w:hint="default"/>
                <w:sz w:val="16"/>
                <w:szCs w:val="16"/>
              </w:rPr>
              <w:t>装饰灯的销售</w:t>
            </w:r>
          </w:p>
        </w:tc>
      </w:tr>
      <w:tr>
        <w:trPr>
          <w:trHeight w:val="276"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41"/>
              <w:ind w:left="43" w:right="0"/>
              <w:jc w:val="left"/>
              <w:rPr>
                <w:rFonts w:ascii="Times New Roman" w:hAnsi="Times New Roman" w:cs="Times New Roman" w:eastAsia="Times New Roman" w:hint="default"/>
                <w:sz w:val="16"/>
                <w:szCs w:val="16"/>
              </w:rPr>
            </w:pPr>
            <w:r>
              <w:rPr>
                <w:rFonts w:ascii="Times New Roman"/>
                <w:sz w:val="16"/>
              </w:rPr>
              <w:t>Choicelord</w:t>
            </w:r>
            <w:r>
              <w:rPr>
                <w:rFonts w:ascii="Times New Roman"/>
                <w:spacing w:val="-8"/>
                <w:sz w:val="16"/>
              </w:rPr>
              <w:t> </w:t>
            </w:r>
            <w:r>
              <w:rPr>
                <w:rFonts w:ascii="Times New Roman"/>
                <w:sz w:val="16"/>
              </w:rPr>
              <w:t>Limited</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HK$1.00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装饰灯产品贸易</w:t>
            </w:r>
          </w:p>
        </w:tc>
      </w:tr>
      <w:tr>
        <w:trPr>
          <w:trHeight w:val="441"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3" w:right="552"/>
              <w:jc w:val="left"/>
              <w:rPr>
                <w:rFonts w:ascii="Times New Roman" w:hAnsi="Times New Roman" w:cs="Times New Roman" w:eastAsia="Times New Roman" w:hint="default"/>
                <w:sz w:val="16"/>
                <w:szCs w:val="16"/>
              </w:rPr>
            </w:pPr>
            <w:r>
              <w:rPr>
                <w:rFonts w:ascii="Times New Roman"/>
                <w:sz w:val="16"/>
              </w:rPr>
              <w:t>Mentle</w:t>
            </w:r>
            <w:r>
              <w:rPr>
                <w:rFonts w:ascii="Times New Roman"/>
                <w:spacing w:val="31"/>
                <w:sz w:val="16"/>
              </w:rPr>
              <w:t> </w:t>
            </w:r>
            <w:r>
              <w:rPr>
                <w:rFonts w:ascii="Times New Roman"/>
                <w:sz w:val="16"/>
              </w:rPr>
              <w:t>International</w:t>
            </w:r>
            <w:r>
              <w:rPr>
                <w:rFonts w:ascii="Times New Roman"/>
                <w:w w:val="100"/>
                <w:sz w:val="16"/>
              </w:rPr>
              <w:t> </w:t>
            </w:r>
            <w:r>
              <w:rPr>
                <w:rFonts w:ascii="Times New Roman"/>
                <w:sz w:val="16"/>
              </w:rPr>
              <w:t>Limited</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HK$1.00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90"/>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462"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3" w:right="298"/>
              <w:jc w:val="left"/>
              <w:rPr>
                <w:rFonts w:ascii="Times New Roman" w:hAnsi="Times New Roman" w:cs="Times New Roman" w:eastAsia="Times New Roman" w:hint="default"/>
                <w:sz w:val="16"/>
                <w:szCs w:val="16"/>
              </w:rPr>
            </w:pPr>
            <w:r>
              <w:rPr>
                <w:rFonts w:ascii="Times New Roman"/>
                <w:sz w:val="16"/>
              </w:rPr>
              <w:t>Neo-Neon UK</w:t>
            </w:r>
            <w:r>
              <w:rPr>
                <w:rFonts w:ascii="Times New Roman"/>
                <w:spacing w:val="-10"/>
                <w:sz w:val="16"/>
              </w:rPr>
              <w:t> </w:t>
            </w:r>
            <w:r>
              <w:rPr>
                <w:rFonts w:ascii="Times New Roman"/>
                <w:sz w:val="16"/>
              </w:rPr>
              <w:t>Investment</w:t>
            </w:r>
            <w:r>
              <w:rPr>
                <w:rFonts w:ascii="Times New Roman"/>
                <w:w w:val="100"/>
                <w:sz w:val="16"/>
              </w:rPr>
              <w:t> </w:t>
            </w:r>
            <w:r>
              <w:rPr>
                <w:rFonts w:ascii="Times New Roman"/>
                <w:sz w:val="16"/>
              </w:rPr>
              <w:t>Limited</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Times New Roman" w:hAnsi="Times New Roman" w:cs="Times New Roman" w:eastAsia="Times New Roman" w:hint="default"/>
                <w:sz w:val="16"/>
                <w:szCs w:val="16"/>
              </w:rPr>
              <w:t>100.00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元</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06" w:lineRule="exact" w:before="19"/>
              <w:ind w:left="222" w:right="59" w:hanging="161"/>
              <w:jc w:val="left"/>
              <w:rPr>
                <w:rFonts w:ascii="宋体" w:hAnsi="宋体" w:cs="宋体" w:eastAsia="宋体" w:hint="default"/>
                <w:sz w:val="16"/>
                <w:szCs w:val="16"/>
              </w:rPr>
            </w:pPr>
            <w:r>
              <w:rPr>
                <w:rFonts w:ascii="宋体" w:hAnsi="宋体" w:cs="宋体" w:eastAsia="宋体" w:hint="default"/>
                <w:sz w:val="16"/>
                <w:szCs w:val="16"/>
              </w:rPr>
              <w:t>英国白金</w:t>
            </w:r>
            <w:r>
              <w:rPr>
                <w:rFonts w:ascii="宋体" w:hAnsi="宋体" w:cs="宋体" w:eastAsia="宋体" w:hint="default"/>
                <w:spacing w:val="-77"/>
                <w:sz w:val="16"/>
                <w:szCs w:val="16"/>
              </w:rPr>
              <w:t> </w:t>
            </w:r>
            <w:r>
              <w:rPr>
                <w:rFonts w:ascii="宋体" w:hAnsi="宋体" w:cs="宋体" w:eastAsia="宋体" w:hint="default"/>
                <w:sz w:val="16"/>
                <w:szCs w:val="16"/>
              </w:rPr>
              <w:t>汉郡</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436"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3" w:right="350"/>
              <w:jc w:val="left"/>
              <w:rPr>
                <w:rFonts w:ascii="Times New Roman" w:hAnsi="Times New Roman" w:cs="Times New Roman" w:eastAsia="Times New Roman" w:hint="default"/>
                <w:sz w:val="16"/>
                <w:szCs w:val="16"/>
              </w:rPr>
            </w:pPr>
            <w:r>
              <w:rPr>
                <w:rFonts w:ascii="Times New Roman"/>
                <w:sz w:val="16"/>
              </w:rPr>
              <w:t>Jade Power</w:t>
            </w:r>
            <w:r>
              <w:rPr>
                <w:rFonts w:ascii="Times New Roman"/>
                <w:spacing w:val="-10"/>
                <w:sz w:val="16"/>
              </w:rPr>
              <w:t> </w:t>
            </w:r>
            <w:r>
              <w:rPr>
                <w:rFonts w:ascii="Times New Roman"/>
                <w:sz w:val="16"/>
              </w:rPr>
              <w:t>Development</w:t>
            </w:r>
            <w:r>
              <w:rPr>
                <w:rFonts w:ascii="Times New Roman"/>
                <w:w w:val="100"/>
                <w:sz w:val="16"/>
              </w:rPr>
              <w:t> </w:t>
            </w:r>
            <w:r>
              <w:rPr>
                <w:rFonts w:ascii="Times New Roman"/>
                <w:sz w:val="16"/>
              </w:rPr>
              <w:t>Limited</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89"/>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431"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3" w:right="68"/>
              <w:jc w:val="left"/>
              <w:rPr>
                <w:rFonts w:ascii="Times New Roman" w:hAnsi="Times New Roman" w:cs="Times New Roman" w:eastAsia="Times New Roman" w:hint="default"/>
                <w:sz w:val="16"/>
                <w:szCs w:val="16"/>
              </w:rPr>
            </w:pPr>
            <w:r>
              <w:rPr>
                <w:rFonts w:ascii="Times New Roman"/>
                <w:sz w:val="16"/>
              </w:rPr>
              <w:t>Neo-Neon Lighting Design</w:t>
            </w:r>
            <w:r>
              <w:rPr>
                <w:rFonts w:ascii="Times New Roman"/>
                <w:spacing w:val="-9"/>
                <w:sz w:val="16"/>
              </w:rPr>
              <w:t> </w:t>
            </w:r>
            <w:r>
              <w:rPr>
                <w:rFonts w:ascii="Times New Roman"/>
                <w:sz w:val="16"/>
              </w:rPr>
              <w:t>&amp;</w:t>
            </w:r>
            <w:r>
              <w:rPr>
                <w:rFonts w:ascii="Times New Roman"/>
                <w:w w:val="100"/>
                <w:sz w:val="16"/>
              </w:rPr>
              <w:t> </w:t>
            </w:r>
            <w:r>
              <w:rPr>
                <w:rFonts w:ascii="Times New Roman"/>
                <w:sz w:val="16"/>
              </w:rPr>
              <w:t>Engineering</w:t>
            </w:r>
            <w:r>
              <w:rPr>
                <w:rFonts w:ascii="Times New Roman"/>
                <w:spacing w:val="-9"/>
                <w:sz w:val="16"/>
              </w:rPr>
              <w:t> </w:t>
            </w:r>
            <w:r>
              <w:rPr>
                <w:rFonts w:ascii="Times New Roman"/>
                <w:sz w:val="16"/>
              </w:rPr>
              <w:t>Ltd.</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HK$100.00</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80"/>
              <w:ind w:left="59" w:right="0"/>
              <w:jc w:val="left"/>
              <w:rPr>
                <w:rFonts w:ascii="宋体" w:hAnsi="宋体" w:cs="宋体" w:eastAsia="宋体" w:hint="default"/>
                <w:sz w:val="16"/>
                <w:szCs w:val="16"/>
              </w:rPr>
            </w:pPr>
            <w:r>
              <w:rPr>
                <w:rFonts w:ascii="宋体" w:hAnsi="宋体" w:cs="宋体" w:eastAsia="宋体" w:hint="default"/>
                <w:sz w:val="16"/>
                <w:szCs w:val="16"/>
              </w:rPr>
              <w:t>装饰灯产品的设计</w:t>
            </w:r>
          </w:p>
        </w:tc>
      </w:tr>
      <w:tr>
        <w:trPr>
          <w:trHeight w:val="464"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3" w:right="461"/>
              <w:jc w:val="left"/>
              <w:rPr>
                <w:rFonts w:ascii="Times New Roman" w:hAnsi="Times New Roman" w:cs="Times New Roman" w:eastAsia="Times New Roman" w:hint="default"/>
                <w:sz w:val="16"/>
                <w:szCs w:val="16"/>
              </w:rPr>
            </w:pPr>
            <w:r>
              <w:rPr>
                <w:rFonts w:ascii="Times New Roman"/>
                <w:sz w:val="16"/>
              </w:rPr>
              <w:t>Neo-Neon</w:t>
            </w:r>
            <w:r>
              <w:rPr>
                <w:rFonts w:ascii="Times New Roman"/>
                <w:spacing w:val="-8"/>
                <w:sz w:val="16"/>
              </w:rPr>
              <w:t> </w:t>
            </w:r>
            <w:r>
              <w:rPr>
                <w:rFonts w:ascii="Times New Roman"/>
                <w:sz w:val="16"/>
              </w:rPr>
              <w:t>International</w:t>
            </w:r>
            <w:r>
              <w:rPr>
                <w:rFonts w:ascii="Times New Roman"/>
                <w:w w:val="100"/>
                <w:sz w:val="16"/>
              </w:rPr>
              <w:t> </w:t>
            </w:r>
            <w:r>
              <w:rPr>
                <w:rFonts w:ascii="Times New Roman"/>
                <w:sz w:val="16"/>
              </w:rPr>
              <w:t>Limited</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US$100.00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08" w:lineRule="exact" w:before="17"/>
              <w:ind w:left="222" w:right="59" w:hanging="161"/>
              <w:jc w:val="left"/>
              <w:rPr>
                <w:rFonts w:ascii="宋体" w:hAnsi="宋体" w:cs="宋体" w:eastAsia="宋体" w:hint="default"/>
                <w:sz w:val="16"/>
                <w:szCs w:val="16"/>
              </w:rPr>
            </w:pPr>
            <w:r>
              <w:rPr>
                <w:rFonts w:ascii="宋体" w:hAnsi="宋体" w:cs="宋体" w:eastAsia="宋体" w:hint="default"/>
                <w:sz w:val="16"/>
                <w:szCs w:val="16"/>
              </w:rPr>
              <w:t>西萨摩亚</w:t>
            </w:r>
            <w:r>
              <w:rPr>
                <w:rFonts w:ascii="宋体" w:hAnsi="宋体" w:cs="宋体" w:eastAsia="宋体" w:hint="default"/>
                <w:spacing w:val="-77"/>
                <w:sz w:val="16"/>
                <w:szCs w:val="16"/>
              </w:rPr>
              <w:t> </w:t>
            </w:r>
            <w:r>
              <w:rPr>
                <w:rFonts w:ascii="宋体" w:hAnsi="宋体" w:cs="宋体" w:eastAsia="宋体" w:hint="default"/>
                <w:sz w:val="16"/>
                <w:szCs w:val="16"/>
              </w:rPr>
              <w:t>群岛</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59" w:right="0"/>
              <w:jc w:val="left"/>
              <w:rPr>
                <w:rFonts w:ascii="宋体" w:hAnsi="宋体" w:cs="宋体" w:eastAsia="宋体" w:hint="default"/>
                <w:sz w:val="16"/>
                <w:szCs w:val="16"/>
              </w:rPr>
            </w:pPr>
            <w:r>
              <w:rPr>
                <w:rFonts w:ascii="宋体" w:hAnsi="宋体" w:cs="宋体" w:eastAsia="宋体" w:hint="default"/>
                <w:sz w:val="16"/>
                <w:szCs w:val="16"/>
              </w:rPr>
              <w:t>装饰灯的生产与销售</w:t>
            </w:r>
          </w:p>
        </w:tc>
      </w:tr>
      <w:tr>
        <w:trPr>
          <w:trHeight w:val="439"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3" w:right="389"/>
              <w:jc w:val="left"/>
              <w:rPr>
                <w:rFonts w:ascii="Times New Roman" w:hAnsi="Times New Roman" w:cs="Times New Roman" w:eastAsia="Times New Roman" w:hint="default"/>
                <w:sz w:val="16"/>
                <w:szCs w:val="16"/>
              </w:rPr>
            </w:pPr>
            <w:r>
              <w:rPr>
                <w:rFonts w:ascii="Times New Roman"/>
                <w:sz w:val="16"/>
              </w:rPr>
              <w:t>Maincharm</w:t>
            </w:r>
            <w:r>
              <w:rPr>
                <w:rFonts w:ascii="Times New Roman"/>
                <w:spacing w:val="-9"/>
                <w:sz w:val="16"/>
              </w:rPr>
              <w:t> </w:t>
            </w:r>
            <w:r>
              <w:rPr>
                <w:rFonts w:ascii="Times New Roman"/>
                <w:sz w:val="16"/>
              </w:rPr>
              <w:t>International</w:t>
            </w:r>
            <w:r>
              <w:rPr>
                <w:rFonts w:ascii="Times New Roman"/>
                <w:w w:val="100"/>
                <w:sz w:val="16"/>
              </w:rPr>
              <w:t> </w:t>
            </w:r>
            <w:r>
              <w:rPr>
                <w:rFonts w:ascii="Times New Roman"/>
                <w:sz w:val="16"/>
              </w:rPr>
              <w:t>Limited</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 w:right="0"/>
              <w:jc w:val="center"/>
              <w:rPr>
                <w:rFonts w:ascii="宋体" w:hAnsi="宋体" w:cs="宋体" w:eastAsia="宋体" w:hint="default"/>
                <w:sz w:val="16"/>
                <w:szCs w:val="16"/>
              </w:rPr>
            </w:pPr>
            <w:r>
              <w:rPr>
                <w:rFonts w:ascii="宋体" w:hAnsi="宋体" w:cs="宋体" w:eastAsia="宋体" w:hint="default"/>
                <w:sz w:val="16"/>
                <w:szCs w:val="16"/>
              </w:rPr>
              <w:t>维京群岛</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87"/>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675"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3" w:right="458"/>
              <w:jc w:val="left"/>
              <w:rPr>
                <w:rFonts w:ascii="Times New Roman" w:hAnsi="Times New Roman" w:cs="Times New Roman" w:eastAsia="Times New Roman" w:hint="default"/>
                <w:sz w:val="16"/>
                <w:szCs w:val="16"/>
              </w:rPr>
            </w:pPr>
            <w:r>
              <w:rPr>
                <w:rFonts w:ascii="Times New Roman"/>
                <w:sz w:val="16"/>
              </w:rPr>
              <w:t>Neo-Neon</w:t>
            </w:r>
            <w:r>
              <w:rPr>
                <w:rFonts w:ascii="Times New Roman"/>
                <w:spacing w:val="-1"/>
                <w:sz w:val="16"/>
              </w:rPr>
              <w:t> </w:t>
            </w:r>
            <w:r>
              <w:rPr>
                <w:rFonts w:ascii="Times New Roman"/>
                <w:sz w:val="16"/>
              </w:rPr>
              <w:t>(Vietnam)</w:t>
            </w:r>
            <w:r>
              <w:rPr>
                <w:rFonts w:ascii="Times New Roman"/>
                <w:w w:val="100"/>
                <w:sz w:val="16"/>
              </w:rPr>
              <w:t> </w:t>
            </w:r>
            <w:r>
              <w:rPr>
                <w:rFonts w:ascii="Times New Roman"/>
                <w:sz w:val="16"/>
              </w:rPr>
              <w:t>Development</w:t>
            </w:r>
            <w:r>
              <w:rPr>
                <w:rFonts w:ascii="Times New Roman"/>
                <w:spacing w:val="-6"/>
                <w:sz w:val="16"/>
              </w:rPr>
              <w:t> </w:t>
            </w:r>
            <w:r>
              <w:rPr>
                <w:rFonts w:ascii="Times New Roman"/>
                <w:sz w:val="16"/>
              </w:rPr>
              <w:t>Company</w:t>
            </w:r>
            <w:r>
              <w:rPr>
                <w:rFonts w:ascii="Times New Roman"/>
                <w:w w:val="100"/>
                <w:sz w:val="16"/>
              </w:rPr>
              <w:t> </w:t>
            </w:r>
            <w:r>
              <w:rPr>
                <w:rFonts w:ascii="Times New Roman"/>
                <w:sz w:val="16"/>
              </w:rPr>
              <w:t>Limited</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US$2800.00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06" w:lineRule="exact" w:before="123"/>
              <w:ind w:left="141" w:right="139" w:firstLine="81"/>
              <w:jc w:val="left"/>
              <w:rPr>
                <w:rFonts w:ascii="宋体" w:hAnsi="宋体" w:cs="宋体" w:eastAsia="宋体" w:hint="default"/>
                <w:sz w:val="16"/>
                <w:szCs w:val="16"/>
              </w:rPr>
            </w:pPr>
            <w:r>
              <w:rPr>
                <w:rFonts w:ascii="宋体" w:hAnsi="宋体" w:cs="宋体" w:eastAsia="宋体" w:hint="default"/>
                <w:sz w:val="16"/>
                <w:szCs w:val="16"/>
              </w:rPr>
              <w:t>越南</w:t>
            </w:r>
            <w:r>
              <w:rPr>
                <w:rFonts w:ascii="宋体" w:hAnsi="宋体" w:cs="宋体" w:eastAsia="宋体" w:hint="default"/>
                <w:w w:val="100"/>
                <w:sz w:val="16"/>
                <w:szCs w:val="16"/>
              </w:rPr>
              <w:t> </w:t>
            </w:r>
            <w:r>
              <w:rPr>
                <w:rFonts w:ascii="宋体" w:hAnsi="宋体" w:cs="宋体" w:eastAsia="宋体" w:hint="default"/>
                <w:sz w:val="16"/>
                <w:szCs w:val="16"/>
              </w:rPr>
              <w:t>太平省</w:t>
            </w:r>
          </w:p>
        </w:tc>
        <w:tc>
          <w:tcPr>
            <w:tcW w:w="3423" w:type="dxa"/>
            <w:tcBorders>
              <w:top w:val="nil" w:sz="6" w:space="0" w:color="auto"/>
              <w:left w:val="nil" w:sz="6" w:space="0" w:color="auto"/>
              <w:bottom w:val="nil" w:sz="6" w:space="0" w:color="auto"/>
              <w:right w:val="nil" w:sz="6" w:space="0" w:color="auto"/>
            </w:tcBorders>
          </w:tcPr>
          <w:p>
            <w:pPr>
              <w:pStyle w:val="TableParagraph"/>
              <w:spacing w:line="230" w:lineRule="auto" w:before="3"/>
              <w:ind w:left="59" w:right="80"/>
              <w:jc w:val="both"/>
              <w:rPr>
                <w:rFonts w:ascii="宋体" w:hAnsi="宋体" w:cs="宋体" w:eastAsia="宋体" w:hint="default"/>
                <w:sz w:val="16"/>
                <w:szCs w:val="16"/>
              </w:rPr>
            </w:pP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7"/>
                <w:sz w:val="16"/>
                <w:szCs w:val="16"/>
              </w:rPr>
              <w:t> </w:t>
            </w:r>
            <w:r>
              <w:rPr>
                <w:rFonts w:ascii="宋体" w:hAnsi="宋体" w:cs="宋体" w:eastAsia="宋体" w:hint="default"/>
                <w:sz w:val="16"/>
                <w:szCs w:val="16"/>
              </w:rPr>
              <w:t>照明、装饰灯系列产品生产及销售；米泡</w:t>
            </w:r>
            <w:r>
              <w:rPr>
                <w:rFonts w:ascii="宋体" w:hAnsi="宋体" w:cs="宋体" w:eastAsia="宋体" w:hint="default"/>
                <w:w w:val="100"/>
                <w:sz w:val="16"/>
                <w:szCs w:val="16"/>
              </w:rPr>
              <w:t> </w:t>
            </w:r>
            <w:r>
              <w:rPr>
                <w:rFonts w:ascii="宋体" w:hAnsi="宋体" w:cs="宋体" w:eastAsia="宋体" w:hint="default"/>
                <w:spacing w:val="2"/>
                <w:sz w:val="16"/>
                <w:szCs w:val="16"/>
              </w:rPr>
              <w:t>装饰灯生产及装饰灯配件生产及销售；舞台灯</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系列产品生产及销售</w:t>
            </w:r>
          </w:p>
        </w:tc>
      </w:tr>
      <w:tr>
        <w:trPr>
          <w:trHeight w:val="479"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43" w:right="0"/>
              <w:jc w:val="left"/>
              <w:rPr>
                <w:rFonts w:ascii="宋体" w:hAnsi="宋体" w:cs="宋体" w:eastAsia="宋体" w:hint="default"/>
                <w:sz w:val="16"/>
                <w:szCs w:val="16"/>
              </w:rPr>
            </w:pPr>
            <w:r>
              <w:rPr>
                <w:rFonts w:ascii="宋体" w:hAnsi="宋体" w:cs="宋体" w:eastAsia="宋体" w:hint="default"/>
                <w:sz w:val="16"/>
                <w:szCs w:val="16"/>
              </w:rPr>
              <w:t>清华同方澳门一人有限公司</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MOP$2.50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中国澳门</w:t>
            </w:r>
          </w:p>
        </w:tc>
        <w:tc>
          <w:tcPr>
            <w:tcW w:w="3423"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59" w:right="80"/>
              <w:jc w:val="left"/>
              <w:rPr>
                <w:rFonts w:ascii="宋体" w:hAnsi="宋体" w:cs="宋体" w:eastAsia="宋体" w:hint="default"/>
                <w:sz w:val="16"/>
                <w:szCs w:val="16"/>
              </w:rPr>
            </w:pPr>
            <w:r>
              <w:rPr>
                <w:rFonts w:ascii="宋体" w:hAnsi="宋体" w:cs="宋体" w:eastAsia="宋体" w:hint="default"/>
                <w:spacing w:val="2"/>
                <w:sz w:val="16"/>
                <w:szCs w:val="16"/>
              </w:rPr>
              <w:t>信息技术、环境保护顾问，销售信息电子产品</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及环境保护产品</w:t>
            </w:r>
          </w:p>
        </w:tc>
      </w:tr>
      <w:tr>
        <w:trPr>
          <w:trHeight w:val="281"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9"/>
              <w:ind w:left="43" w:right="0"/>
              <w:jc w:val="left"/>
              <w:rPr>
                <w:rFonts w:ascii="宋体" w:hAnsi="宋体" w:cs="宋体" w:eastAsia="宋体" w:hint="default"/>
                <w:sz w:val="16"/>
                <w:szCs w:val="16"/>
              </w:rPr>
            </w:pPr>
            <w:r>
              <w:rPr>
                <w:rFonts w:ascii="宋体" w:hAnsi="宋体" w:cs="宋体" w:eastAsia="宋体" w:hint="default"/>
                <w:sz w:val="16"/>
                <w:szCs w:val="16"/>
              </w:rPr>
              <w:t>北京同方电子商务有限公司</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13500.00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电子商务项目投资</w:t>
            </w:r>
          </w:p>
        </w:tc>
      </w:tr>
      <w:tr>
        <w:trPr>
          <w:trHeight w:val="472"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43" w:right="0"/>
              <w:jc w:val="left"/>
              <w:rPr>
                <w:rFonts w:ascii="宋体" w:hAnsi="宋体" w:cs="宋体" w:eastAsia="宋体" w:hint="default"/>
                <w:sz w:val="16"/>
                <w:szCs w:val="16"/>
              </w:rPr>
            </w:pPr>
            <w:r>
              <w:rPr>
                <w:rFonts w:ascii="宋体" w:hAnsi="宋体" w:cs="宋体" w:eastAsia="宋体" w:hint="default"/>
                <w:sz w:val="16"/>
                <w:szCs w:val="16"/>
              </w:rPr>
              <w:t>淮安空港同方水务有限公司</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US$1000.00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1" w:right="0"/>
              <w:jc w:val="center"/>
              <w:rPr>
                <w:rFonts w:ascii="宋体" w:hAnsi="宋体" w:cs="宋体" w:eastAsia="宋体" w:hint="default"/>
                <w:sz w:val="16"/>
                <w:szCs w:val="16"/>
              </w:rPr>
            </w:pPr>
            <w:r>
              <w:rPr>
                <w:rFonts w:ascii="宋体" w:hAnsi="宋体" w:cs="宋体" w:eastAsia="宋体" w:hint="default"/>
                <w:sz w:val="16"/>
                <w:szCs w:val="16"/>
              </w:rPr>
              <w:t>江苏淮安</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4"/>
              <w:ind w:left="59" w:right="80"/>
              <w:jc w:val="left"/>
              <w:rPr>
                <w:rFonts w:ascii="宋体" w:hAnsi="宋体" w:cs="宋体" w:eastAsia="宋体" w:hint="default"/>
                <w:sz w:val="16"/>
                <w:szCs w:val="16"/>
              </w:rPr>
            </w:pPr>
            <w:r>
              <w:rPr>
                <w:rFonts w:ascii="宋体" w:hAnsi="宋体" w:cs="宋体" w:eastAsia="宋体" w:hint="default"/>
                <w:spacing w:val="2"/>
                <w:sz w:val="16"/>
                <w:szCs w:val="16"/>
              </w:rPr>
              <w:t>水务方面的建设、运营，新技术开发、研制，</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生产、销售水务新产品</w:t>
            </w:r>
          </w:p>
        </w:tc>
      </w:tr>
      <w:tr>
        <w:trPr>
          <w:trHeight w:val="444"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3" w:right="386"/>
              <w:jc w:val="left"/>
              <w:rPr>
                <w:rFonts w:ascii="Times New Roman" w:hAnsi="Times New Roman" w:cs="Times New Roman" w:eastAsia="Times New Roman" w:hint="default"/>
                <w:sz w:val="16"/>
                <w:szCs w:val="16"/>
              </w:rPr>
            </w:pPr>
            <w:r>
              <w:rPr>
                <w:rFonts w:ascii="Times New Roman"/>
                <w:sz w:val="16"/>
              </w:rPr>
              <w:t>TF Lighting</w:t>
            </w:r>
            <w:r>
              <w:rPr>
                <w:rFonts w:ascii="Times New Roman"/>
                <w:spacing w:val="-11"/>
                <w:sz w:val="16"/>
              </w:rPr>
              <w:t> </w:t>
            </w:r>
            <w:r>
              <w:rPr>
                <w:rFonts w:ascii="Times New Roman"/>
                <w:sz w:val="16"/>
              </w:rPr>
              <w:t>Engineering</w:t>
            </w:r>
            <w:r>
              <w:rPr>
                <w:rFonts w:ascii="Times New Roman"/>
                <w:w w:val="100"/>
                <w:sz w:val="16"/>
              </w:rPr>
              <w:t> </w:t>
            </w:r>
            <w:r>
              <w:rPr>
                <w:rFonts w:ascii="Times New Roman"/>
                <w:sz w:val="16"/>
              </w:rPr>
              <w:t>Limited</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US$5.00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 w:right="0"/>
              <w:jc w:val="center"/>
              <w:rPr>
                <w:rFonts w:ascii="宋体" w:hAnsi="宋体" w:cs="宋体" w:eastAsia="宋体" w:hint="default"/>
                <w:sz w:val="16"/>
                <w:szCs w:val="16"/>
              </w:rPr>
            </w:pPr>
            <w:r>
              <w:rPr>
                <w:rFonts w:ascii="宋体" w:hAnsi="宋体" w:cs="宋体" w:eastAsia="宋体" w:hint="default"/>
                <w:sz w:val="16"/>
                <w:szCs w:val="16"/>
              </w:rPr>
              <w:t>开曼群岛</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89"/>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272"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1"/>
              <w:ind w:left="43" w:right="0"/>
              <w:jc w:val="left"/>
              <w:rPr>
                <w:rFonts w:ascii="宋体" w:hAnsi="宋体" w:cs="宋体" w:eastAsia="宋体" w:hint="default"/>
                <w:sz w:val="16"/>
                <w:szCs w:val="16"/>
              </w:rPr>
            </w:pPr>
            <w:r>
              <w:rPr>
                <w:rFonts w:ascii="宋体" w:hAnsi="宋体" w:cs="宋体" w:eastAsia="宋体" w:hint="default"/>
                <w:sz w:val="16"/>
                <w:szCs w:val="16"/>
              </w:rPr>
              <w:t>北京同方光电环境有限公司</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US$75.00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1"/>
              <w:ind w:left="59" w:right="0"/>
              <w:jc w:val="left"/>
              <w:rPr>
                <w:rFonts w:ascii="宋体" w:hAnsi="宋体" w:cs="宋体" w:eastAsia="宋体" w:hint="default"/>
                <w:sz w:val="16"/>
                <w:szCs w:val="16"/>
              </w:rPr>
            </w:pPr>
            <w:r>
              <w:rPr>
                <w:rFonts w:ascii="宋体" w:hAnsi="宋体" w:cs="宋体" w:eastAsia="宋体" w:hint="default"/>
                <w:sz w:val="16"/>
                <w:szCs w:val="16"/>
              </w:rPr>
              <w:t>节能型</w:t>
            </w:r>
            <w:r>
              <w:rPr>
                <w:rFonts w:ascii="宋体" w:hAnsi="宋体" w:cs="宋体" w:eastAsia="宋体" w:hint="default"/>
                <w:spacing w:val="-40"/>
                <w:sz w:val="16"/>
                <w:szCs w:val="16"/>
              </w:rPr>
              <w:t> </w:t>
            </w:r>
            <w:r>
              <w:rPr>
                <w:rFonts w:ascii="Times New Roman" w:hAnsi="Times New Roman" w:cs="Times New Roman" w:eastAsia="Times New Roman" w:hint="default"/>
                <w:sz w:val="16"/>
                <w:szCs w:val="16"/>
              </w:rPr>
              <w:t>LED </w:t>
            </w:r>
            <w:r>
              <w:rPr>
                <w:rFonts w:ascii="宋体" w:hAnsi="宋体" w:cs="宋体" w:eastAsia="宋体" w:hint="default"/>
                <w:sz w:val="16"/>
                <w:szCs w:val="16"/>
              </w:rPr>
              <w:t>照明产品研发、生产</w:t>
            </w:r>
          </w:p>
        </w:tc>
      </w:tr>
      <w:tr>
        <w:trPr>
          <w:trHeight w:val="660"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43" w:right="317"/>
              <w:jc w:val="left"/>
              <w:rPr>
                <w:rFonts w:ascii="Times New Roman" w:hAnsi="Times New Roman" w:cs="Times New Roman" w:eastAsia="Times New Roman" w:hint="default"/>
                <w:sz w:val="16"/>
                <w:szCs w:val="16"/>
              </w:rPr>
            </w:pPr>
            <w:r>
              <w:rPr>
                <w:rFonts w:ascii="Times New Roman"/>
                <w:sz w:val="16"/>
              </w:rPr>
              <w:t>Technovator</w:t>
            </w:r>
            <w:r>
              <w:rPr>
                <w:rFonts w:ascii="Times New Roman"/>
                <w:spacing w:val="-9"/>
                <w:sz w:val="16"/>
              </w:rPr>
              <w:t> </w:t>
            </w:r>
            <w:r>
              <w:rPr>
                <w:rFonts w:ascii="Times New Roman"/>
                <w:sz w:val="16"/>
              </w:rPr>
              <w:t>International</w:t>
            </w:r>
            <w:r>
              <w:rPr>
                <w:rFonts w:ascii="Times New Roman"/>
                <w:w w:val="100"/>
                <w:sz w:val="16"/>
              </w:rPr>
              <w:t> </w:t>
            </w:r>
            <w:r>
              <w:rPr>
                <w:rFonts w:ascii="Times New Roman"/>
                <w:sz w:val="16"/>
              </w:rPr>
              <w:t>Limited</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US$2419.81</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p>
            <w:pPr>
              <w:pStyle w:val="TableParagraph"/>
              <w:spacing w:line="174" w:lineRule="exact" w:before="8"/>
              <w:ind w:right="45"/>
              <w:jc w:val="right"/>
              <w:rPr>
                <w:rFonts w:ascii="Times New Roman" w:hAnsi="Times New Roman" w:cs="Times New Roman" w:eastAsia="Times New Roman" w:hint="default"/>
                <w:sz w:val="16"/>
                <w:szCs w:val="16"/>
              </w:rPr>
            </w:pPr>
            <w:r>
              <w:rPr>
                <w:rFonts w:ascii="Times New Roman"/>
                <w:spacing w:val="-2"/>
                <w:sz w:val="16"/>
              </w:rPr>
              <w:t>&amp;HK$142212.03</w:t>
            </w:r>
          </w:p>
          <w:p>
            <w:pPr>
              <w:pStyle w:val="TableParagraph"/>
              <w:spacing w:line="199" w:lineRule="exact"/>
              <w:ind w:right="47"/>
              <w:jc w:val="right"/>
              <w:rPr>
                <w:rFonts w:ascii="宋体" w:hAnsi="宋体" w:cs="宋体" w:eastAsia="宋体" w:hint="default"/>
                <w:sz w:val="16"/>
                <w:szCs w:val="16"/>
              </w:rPr>
            </w:pPr>
            <w:r>
              <w:rPr>
                <w:rFonts w:ascii="宋体" w:hAnsi="宋体" w:cs="宋体" w:eastAsia="宋体" w:hint="default"/>
                <w:w w:val="100"/>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57"/>
              <w:jc w:val="right"/>
              <w:rPr>
                <w:rFonts w:ascii="Times New Roman" w:hAnsi="Times New Roman" w:cs="Times New Roman" w:eastAsia="Times New Roman" w:hint="default"/>
                <w:sz w:val="16"/>
                <w:szCs w:val="16"/>
              </w:rPr>
            </w:pPr>
            <w:r>
              <w:rPr>
                <w:rFonts w:ascii="Times New Roman"/>
                <w:spacing w:val="-1"/>
                <w:sz w:val="16"/>
              </w:rPr>
              <w:t>33.72%</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6"/>
                <w:szCs w:val="16"/>
              </w:rPr>
            </w:pPr>
            <w:r>
              <w:rPr>
                <w:rFonts w:ascii="宋体" w:hAnsi="宋体" w:cs="宋体" w:eastAsia="宋体" w:hint="default"/>
                <w:sz w:val="16"/>
                <w:szCs w:val="16"/>
              </w:rPr>
              <w:t>新加坡</w:t>
            </w:r>
          </w:p>
        </w:tc>
        <w:tc>
          <w:tcPr>
            <w:tcW w:w="3423" w:type="dxa"/>
            <w:tcBorders>
              <w:top w:val="nil" w:sz="6" w:space="0" w:color="auto"/>
              <w:left w:val="nil" w:sz="6" w:space="0" w:color="auto"/>
              <w:bottom w:val="nil" w:sz="6" w:space="0" w:color="auto"/>
              <w:right w:val="nil" w:sz="6" w:space="0" w:color="auto"/>
            </w:tcBorders>
          </w:tcPr>
          <w:p>
            <w:pPr>
              <w:pStyle w:val="TableParagraph"/>
              <w:spacing w:line="206" w:lineRule="exact" w:before="120"/>
              <w:ind w:left="59" w:right="80"/>
              <w:jc w:val="left"/>
              <w:rPr>
                <w:rFonts w:ascii="宋体" w:hAnsi="宋体" w:cs="宋体" w:eastAsia="宋体" w:hint="default"/>
                <w:sz w:val="16"/>
                <w:szCs w:val="16"/>
              </w:rPr>
            </w:pPr>
            <w:r>
              <w:rPr>
                <w:rFonts w:ascii="宋体" w:hAnsi="宋体" w:cs="宋体" w:eastAsia="宋体" w:hint="default"/>
                <w:spacing w:val="2"/>
                <w:sz w:val="16"/>
                <w:szCs w:val="16"/>
              </w:rPr>
              <w:t>综合楼宇自动化与能源管理系统及安防与消防</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系统的设计、制造、销售</w:t>
            </w:r>
          </w:p>
        </w:tc>
      </w:tr>
      <w:tr>
        <w:trPr>
          <w:trHeight w:val="474"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43" w:right="103"/>
              <w:jc w:val="left"/>
              <w:rPr>
                <w:rFonts w:ascii="Times New Roman" w:hAnsi="Times New Roman" w:cs="Times New Roman" w:eastAsia="Times New Roman" w:hint="default"/>
                <w:sz w:val="16"/>
                <w:szCs w:val="16"/>
              </w:rPr>
            </w:pPr>
            <w:r>
              <w:rPr>
                <w:rFonts w:ascii="Times New Roman"/>
                <w:sz w:val="16"/>
              </w:rPr>
              <w:t>DISTECH CONTROLS</w:t>
            </w:r>
            <w:r>
              <w:rPr>
                <w:rFonts w:ascii="Times New Roman"/>
                <w:spacing w:val="-10"/>
                <w:sz w:val="16"/>
              </w:rPr>
              <w:t> </w:t>
            </w:r>
            <w:r>
              <w:rPr>
                <w:rFonts w:ascii="Times New Roman"/>
                <w:sz w:val="16"/>
              </w:rPr>
              <w:t>PTE</w:t>
            </w:r>
            <w:r>
              <w:rPr>
                <w:rFonts w:ascii="Times New Roman"/>
                <w:w w:val="100"/>
                <w:sz w:val="16"/>
              </w:rPr>
              <w:t> </w:t>
            </w:r>
            <w:r>
              <w:rPr>
                <w:rFonts w:ascii="Times New Roman"/>
                <w:sz w:val="16"/>
              </w:rPr>
              <w:t>LTD</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US$100.00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0"/>
              <w:jc w:val="center"/>
              <w:rPr>
                <w:rFonts w:ascii="宋体" w:hAnsi="宋体" w:cs="宋体" w:eastAsia="宋体" w:hint="default"/>
                <w:sz w:val="16"/>
                <w:szCs w:val="16"/>
              </w:rPr>
            </w:pPr>
            <w:r>
              <w:rPr>
                <w:rFonts w:ascii="宋体" w:hAnsi="宋体" w:cs="宋体" w:eastAsia="宋体" w:hint="default"/>
                <w:sz w:val="16"/>
                <w:szCs w:val="16"/>
              </w:rPr>
              <w:t>新加坡</w:t>
            </w:r>
          </w:p>
        </w:tc>
        <w:tc>
          <w:tcPr>
            <w:tcW w:w="3423" w:type="dxa"/>
            <w:tcBorders>
              <w:top w:val="nil" w:sz="6" w:space="0" w:color="auto"/>
              <w:left w:val="nil" w:sz="6" w:space="0" w:color="auto"/>
              <w:bottom w:val="nil" w:sz="6" w:space="0" w:color="auto"/>
              <w:right w:val="nil" w:sz="6" w:space="0" w:color="auto"/>
            </w:tcBorders>
          </w:tcPr>
          <w:p>
            <w:pPr>
              <w:pStyle w:val="TableParagraph"/>
              <w:spacing w:line="206" w:lineRule="exact" w:before="26"/>
              <w:ind w:left="59" w:right="80"/>
              <w:jc w:val="left"/>
              <w:rPr>
                <w:rFonts w:ascii="宋体" w:hAnsi="宋体" w:cs="宋体" w:eastAsia="宋体" w:hint="default"/>
                <w:sz w:val="16"/>
                <w:szCs w:val="16"/>
              </w:rPr>
            </w:pPr>
            <w:r>
              <w:rPr>
                <w:rFonts w:ascii="宋体" w:hAnsi="宋体" w:cs="宋体" w:eastAsia="宋体" w:hint="default"/>
                <w:spacing w:val="2"/>
                <w:sz w:val="16"/>
                <w:szCs w:val="16"/>
              </w:rPr>
              <w:t>综合楼宇自动化与能源管理系统及安防与消防</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系统的设计、制造、销售</w:t>
            </w:r>
          </w:p>
        </w:tc>
      </w:tr>
      <w:tr>
        <w:trPr>
          <w:trHeight w:val="475"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43" w:right="63"/>
              <w:jc w:val="left"/>
              <w:rPr>
                <w:rFonts w:ascii="宋体" w:hAnsi="宋体" w:cs="宋体" w:eastAsia="宋体" w:hint="default"/>
                <w:sz w:val="16"/>
                <w:szCs w:val="16"/>
              </w:rPr>
            </w:pPr>
            <w:r>
              <w:rPr>
                <w:rFonts w:ascii="宋体" w:hAnsi="宋体" w:cs="宋体" w:eastAsia="宋体" w:hint="default"/>
                <w:spacing w:val="-1"/>
                <w:sz w:val="16"/>
                <w:szCs w:val="16"/>
              </w:rPr>
              <w:t>同方泰德国际科技（北京）</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有限公司</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US$2000.00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北京怀柔</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59" w:right="0"/>
              <w:jc w:val="left"/>
              <w:rPr>
                <w:rFonts w:ascii="宋体" w:hAnsi="宋体" w:cs="宋体" w:eastAsia="宋体" w:hint="default"/>
                <w:sz w:val="16"/>
                <w:szCs w:val="16"/>
              </w:rPr>
            </w:pPr>
            <w:r>
              <w:rPr>
                <w:rFonts w:ascii="宋体" w:hAnsi="宋体" w:cs="宋体" w:eastAsia="宋体" w:hint="default"/>
                <w:sz w:val="16"/>
                <w:szCs w:val="16"/>
              </w:rPr>
              <w:t>楼宇自动化解决方案的设计、制造、销售</w:t>
            </w:r>
          </w:p>
        </w:tc>
      </w:tr>
      <w:tr>
        <w:trPr>
          <w:trHeight w:val="475"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43" w:right="63"/>
              <w:jc w:val="left"/>
              <w:rPr>
                <w:rFonts w:ascii="宋体" w:hAnsi="宋体" w:cs="宋体" w:eastAsia="宋体" w:hint="default"/>
                <w:sz w:val="16"/>
                <w:szCs w:val="16"/>
              </w:rPr>
            </w:pPr>
            <w:r>
              <w:rPr>
                <w:rFonts w:ascii="宋体" w:hAnsi="宋体" w:cs="宋体" w:eastAsia="宋体" w:hint="default"/>
                <w:spacing w:val="-1"/>
                <w:sz w:val="16"/>
                <w:szCs w:val="16"/>
              </w:rPr>
              <w:t>同方泰德智能科技（上海）</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有限公司</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40.00%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上海普陀</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59" w:right="0"/>
              <w:jc w:val="left"/>
              <w:rPr>
                <w:rFonts w:ascii="宋体" w:hAnsi="宋体" w:cs="宋体" w:eastAsia="宋体" w:hint="default"/>
                <w:sz w:val="16"/>
                <w:szCs w:val="16"/>
              </w:rPr>
            </w:pPr>
            <w:r>
              <w:rPr>
                <w:rFonts w:ascii="宋体" w:hAnsi="宋体" w:cs="宋体" w:eastAsia="宋体" w:hint="default"/>
                <w:sz w:val="16"/>
                <w:szCs w:val="16"/>
              </w:rPr>
              <w:t>楼宇自动化解决方案销售</w:t>
            </w:r>
          </w:p>
        </w:tc>
      </w:tr>
      <w:tr>
        <w:trPr>
          <w:trHeight w:val="476"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08" w:lineRule="exact" w:before="25"/>
              <w:ind w:left="43" w:right="63"/>
              <w:jc w:val="left"/>
              <w:rPr>
                <w:rFonts w:ascii="宋体" w:hAnsi="宋体" w:cs="宋体" w:eastAsia="宋体" w:hint="default"/>
                <w:sz w:val="16"/>
                <w:szCs w:val="16"/>
              </w:rPr>
            </w:pPr>
            <w:r>
              <w:rPr>
                <w:rFonts w:ascii="宋体" w:hAnsi="宋体" w:cs="宋体" w:eastAsia="宋体" w:hint="default"/>
                <w:spacing w:val="-1"/>
                <w:sz w:val="16"/>
                <w:szCs w:val="16"/>
              </w:rPr>
              <w:t>同方泰德软件（北京）有限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 w:right="0"/>
              <w:jc w:val="center"/>
              <w:rPr>
                <w:rFonts w:ascii="宋体" w:hAnsi="宋体" w:cs="宋体" w:eastAsia="宋体" w:hint="default"/>
                <w:sz w:val="16"/>
                <w:szCs w:val="16"/>
              </w:rPr>
            </w:pPr>
            <w:r>
              <w:rPr>
                <w:rFonts w:ascii="宋体" w:hAnsi="宋体" w:cs="宋体" w:eastAsia="宋体" w:hint="default"/>
                <w:sz w:val="16"/>
                <w:szCs w:val="16"/>
              </w:rPr>
              <w:t>北京怀柔</w:t>
            </w:r>
          </w:p>
        </w:tc>
        <w:tc>
          <w:tcPr>
            <w:tcW w:w="3423" w:type="dxa"/>
            <w:tcBorders>
              <w:top w:val="nil" w:sz="6" w:space="0" w:color="auto"/>
              <w:left w:val="nil" w:sz="6" w:space="0" w:color="auto"/>
              <w:bottom w:val="nil" w:sz="6" w:space="0" w:color="auto"/>
              <w:right w:val="nil" w:sz="6" w:space="0" w:color="auto"/>
            </w:tcBorders>
          </w:tcPr>
          <w:p>
            <w:pPr>
              <w:pStyle w:val="TableParagraph"/>
              <w:spacing w:line="208" w:lineRule="exact" w:before="25"/>
              <w:ind w:left="59" w:right="0"/>
              <w:jc w:val="left"/>
              <w:rPr>
                <w:rFonts w:ascii="宋体" w:hAnsi="宋体" w:cs="宋体" w:eastAsia="宋体" w:hint="default"/>
                <w:sz w:val="16"/>
                <w:szCs w:val="16"/>
              </w:rPr>
            </w:pPr>
            <w:r>
              <w:rPr>
                <w:rFonts w:ascii="宋体" w:hAnsi="宋体" w:cs="宋体" w:eastAsia="宋体" w:hint="default"/>
                <w:spacing w:val="-1"/>
                <w:sz w:val="16"/>
                <w:szCs w:val="16"/>
              </w:rPr>
              <w:t>软件开发；信息系统集成服务；销售机械设备、</w:t>
            </w:r>
            <w:r>
              <w:rPr>
                <w:rFonts w:ascii="宋体" w:hAnsi="宋体" w:cs="宋体" w:eastAsia="宋体" w:hint="default"/>
                <w:spacing w:val="-61"/>
                <w:sz w:val="16"/>
                <w:szCs w:val="16"/>
              </w:rPr>
              <w:t> </w:t>
            </w:r>
            <w:r>
              <w:rPr>
                <w:rFonts w:ascii="宋体" w:hAnsi="宋体" w:cs="宋体" w:eastAsia="宋体" w:hint="default"/>
                <w:spacing w:val="-61"/>
                <w:sz w:val="16"/>
                <w:szCs w:val="16"/>
              </w:rPr>
            </w:r>
            <w:r>
              <w:rPr>
                <w:rFonts w:ascii="宋体" w:hAnsi="宋体" w:cs="宋体" w:eastAsia="宋体" w:hint="default"/>
                <w:sz w:val="16"/>
                <w:szCs w:val="16"/>
              </w:rPr>
              <w:t>电子产品、计算机、软件及辅助设备等</w:t>
            </w:r>
          </w:p>
        </w:tc>
      </w:tr>
      <w:tr>
        <w:trPr>
          <w:trHeight w:val="479"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43" w:right="63"/>
              <w:jc w:val="left"/>
              <w:rPr>
                <w:rFonts w:ascii="宋体" w:hAnsi="宋体" w:cs="宋体" w:eastAsia="宋体" w:hint="default"/>
                <w:sz w:val="16"/>
                <w:szCs w:val="16"/>
              </w:rPr>
            </w:pPr>
            <w:r>
              <w:rPr>
                <w:rFonts w:ascii="宋体" w:hAnsi="宋体" w:cs="宋体" w:eastAsia="宋体" w:hint="default"/>
                <w:spacing w:val="-1"/>
                <w:sz w:val="16"/>
                <w:szCs w:val="16"/>
              </w:rPr>
              <w:t>同方泰德（重庆）科技有限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625.00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52.00%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重庆江北</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59" w:right="0"/>
              <w:jc w:val="left"/>
              <w:rPr>
                <w:rFonts w:ascii="宋体" w:hAnsi="宋体" w:cs="宋体" w:eastAsia="宋体" w:hint="default"/>
                <w:sz w:val="16"/>
                <w:szCs w:val="16"/>
              </w:rPr>
            </w:pPr>
            <w:r>
              <w:rPr>
                <w:rFonts w:ascii="宋体" w:hAnsi="宋体" w:cs="宋体" w:eastAsia="宋体" w:hint="default"/>
                <w:sz w:val="16"/>
                <w:szCs w:val="16"/>
              </w:rPr>
              <w:t>弱电及节能工程实施及产品销售</w:t>
            </w:r>
          </w:p>
        </w:tc>
      </w:tr>
      <w:tr>
        <w:trPr>
          <w:trHeight w:val="285"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41"/>
              <w:ind w:left="43" w:right="0"/>
              <w:jc w:val="left"/>
              <w:rPr>
                <w:rFonts w:ascii="Times New Roman" w:hAnsi="Times New Roman" w:cs="Times New Roman" w:eastAsia="Times New Roman" w:hint="default"/>
                <w:sz w:val="16"/>
                <w:szCs w:val="16"/>
              </w:rPr>
            </w:pPr>
            <w:r>
              <w:rPr>
                <w:rFonts w:ascii="Times New Roman"/>
                <w:sz w:val="16"/>
              </w:rPr>
              <w:t>TFRH Investments</w:t>
            </w:r>
            <w:r>
              <w:rPr>
                <w:rFonts w:ascii="Times New Roman"/>
                <w:spacing w:val="-11"/>
                <w:sz w:val="16"/>
              </w:rPr>
              <w:t> </w:t>
            </w:r>
            <w:r>
              <w:rPr>
                <w:rFonts w:ascii="Times New Roman"/>
                <w:sz w:val="16"/>
              </w:rPr>
              <w:t>Limited</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US$3.00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开曼群岛</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281"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9"/>
              <w:ind w:left="43" w:right="0"/>
              <w:jc w:val="left"/>
              <w:rPr>
                <w:rFonts w:ascii="宋体" w:hAnsi="宋体" w:cs="宋体" w:eastAsia="宋体" w:hint="default"/>
                <w:sz w:val="16"/>
                <w:szCs w:val="16"/>
              </w:rPr>
            </w:pPr>
            <w:r>
              <w:rPr>
                <w:rFonts w:ascii="宋体" w:hAnsi="宋体" w:cs="宋体" w:eastAsia="宋体" w:hint="default"/>
                <w:sz w:val="16"/>
                <w:szCs w:val="16"/>
              </w:rPr>
              <w:t>同方节能工程技术有限公司</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6666.67</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吸收式热泵工程及相关项目投资业务</w:t>
            </w:r>
          </w:p>
        </w:tc>
      </w:tr>
      <w:tr>
        <w:trPr>
          <w:trHeight w:val="480"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4"/>
              <w:ind w:left="43" w:right="63"/>
              <w:jc w:val="left"/>
              <w:rPr>
                <w:rFonts w:ascii="宋体" w:hAnsi="宋体" w:cs="宋体" w:eastAsia="宋体" w:hint="default"/>
                <w:sz w:val="16"/>
                <w:szCs w:val="16"/>
              </w:rPr>
            </w:pPr>
            <w:r>
              <w:rPr>
                <w:rFonts w:ascii="宋体" w:hAnsi="宋体" w:cs="宋体" w:eastAsia="宋体" w:hint="default"/>
                <w:spacing w:val="-1"/>
                <w:sz w:val="16"/>
                <w:szCs w:val="16"/>
              </w:rPr>
              <w:t>同方节能（友谊）热力有限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41" w:right="139"/>
              <w:jc w:val="left"/>
              <w:rPr>
                <w:rFonts w:ascii="宋体" w:hAnsi="宋体" w:cs="宋体" w:eastAsia="宋体" w:hint="default"/>
                <w:sz w:val="16"/>
                <w:szCs w:val="16"/>
              </w:rPr>
            </w:pPr>
            <w:r>
              <w:rPr>
                <w:rFonts w:ascii="宋体" w:hAnsi="宋体" w:cs="宋体" w:eastAsia="宋体" w:hint="default"/>
                <w:sz w:val="16"/>
                <w:szCs w:val="16"/>
              </w:rPr>
              <w:t>黑龙江</w:t>
            </w:r>
            <w:r>
              <w:rPr>
                <w:rFonts w:ascii="宋体" w:hAnsi="宋体" w:cs="宋体" w:eastAsia="宋体" w:hint="default"/>
                <w:spacing w:val="-78"/>
                <w:sz w:val="16"/>
                <w:szCs w:val="16"/>
              </w:rPr>
              <w:t> </w:t>
            </w:r>
            <w:r>
              <w:rPr>
                <w:rFonts w:ascii="宋体" w:hAnsi="宋体" w:cs="宋体" w:eastAsia="宋体" w:hint="default"/>
                <w:sz w:val="16"/>
                <w:szCs w:val="16"/>
              </w:rPr>
              <w:t>双鸭山</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59" w:right="0"/>
              <w:jc w:val="left"/>
              <w:rPr>
                <w:rFonts w:ascii="宋体" w:hAnsi="宋体" w:cs="宋体" w:eastAsia="宋体" w:hint="default"/>
                <w:sz w:val="16"/>
                <w:szCs w:val="16"/>
              </w:rPr>
            </w:pPr>
            <w:r>
              <w:rPr>
                <w:rFonts w:ascii="宋体" w:hAnsi="宋体" w:cs="宋体" w:eastAsia="宋体" w:hint="default"/>
                <w:sz w:val="16"/>
                <w:szCs w:val="16"/>
              </w:rPr>
              <w:t>热力回收等</w:t>
            </w:r>
          </w:p>
        </w:tc>
      </w:tr>
      <w:tr>
        <w:trPr>
          <w:trHeight w:val="284"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9"/>
              <w:ind w:left="43" w:right="0"/>
              <w:jc w:val="left"/>
              <w:rPr>
                <w:rFonts w:ascii="宋体" w:hAnsi="宋体" w:cs="宋体" w:eastAsia="宋体" w:hint="default"/>
                <w:sz w:val="16"/>
                <w:szCs w:val="16"/>
              </w:rPr>
            </w:pPr>
            <w:r>
              <w:rPr>
                <w:rFonts w:ascii="宋体" w:hAnsi="宋体" w:cs="宋体" w:eastAsia="宋体" w:hint="default"/>
                <w:sz w:val="16"/>
                <w:szCs w:val="16"/>
              </w:rPr>
              <w:t>群名投资有限公司</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HK$1</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元</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投资控股</w:t>
            </w:r>
          </w:p>
        </w:tc>
      </w:tr>
      <w:tr>
        <w:trPr>
          <w:trHeight w:val="284" w:hRule="exact"/>
        </w:trPr>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43" w:right="0"/>
              <w:jc w:val="left"/>
              <w:rPr>
                <w:rFonts w:ascii="Times New Roman" w:hAnsi="Times New Roman" w:cs="Times New Roman" w:eastAsia="Times New Roman" w:hint="default"/>
                <w:sz w:val="16"/>
                <w:szCs w:val="16"/>
              </w:rPr>
            </w:pPr>
            <w:r>
              <w:rPr>
                <w:rFonts w:ascii="Times New Roman"/>
                <w:sz w:val="16"/>
              </w:rPr>
              <w:t>TongFang Global</w:t>
            </w:r>
            <w:r>
              <w:rPr>
                <w:rFonts w:ascii="Times New Roman"/>
                <w:spacing w:val="-14"/>
                <w:sz w:val="16"/>
              </w:rPr>
              <w:t> </w:t>
            </w:r>
            <w:r>
              <w:rPr>
                <w:rFonts w:ascii="Times New Roman"/>
                <w:sz w:val="16"/>
              </w:rPr>
              <w:t>Limited</w:t>
            </w:r>
          </w:p>
        </w:tc>
        <w:tc>
          <w:tcPr>
            <w:tcW w:w="45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US$1000.00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8"/>
              <w:ind w:left="59" w:right="0"/>
              <w:jc w:val="left"/>
              <w:rPr>
                <w:rFonts w:ascii="宋体" w:hAnsi="宋体" w:cs="宋体" w:eastAsia="宋体" w:hint="default"/>
                <w:sz w:val="16"/>
                <w:szCs w:val="16"/>
              </w:rPr>
            </w:pPr>
            <w:r>
              <w:rPr>
                <w:rFonts w:ascii="宋体" w:hAnsi="宋体" w:cs="宋体" w:eastAsia="宋体" w:hint="default"/>
                <w:sz w:val="16"/>
                <w:szCs w:val="16"/>
              </w:rPr>
              <w:t>数字电视等消费电子产品经销</w:t>
            </w:r>
          </w:p>
        </w:tc>
      </w:tr>
      <w:tr>
        <w:trPr>
          <w:trHeight w:val="268" w:hRule="exact"/>
        </w:trPr>
        <w:tc>
          <w:tcPr>
            <w:tcW w:w="2031"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43" w:right="0"/>
              <w:jc w:val="left"/>
              <w:rPr>
                <w:rFonts w:ascii="Times New Roman" w:hAnsi="Times New Roman" w:cs="Times New Roman" w:eastAsia="Times New Roman" w:hint="default"/>
                <w:sz w:val="16"/>
                <w:szCs w:val="16"/>
              </w:rPr>
            </w:pPr>
            <w:r>
              <w:rPr>
                <w:rFonts w:ascii="Times New Roman"/>
                <w:sz w:val="16"/>
              </w:rPr>
              <w:t>TongFang Global</w:t>
            </w:r>
            <w:r>
              <w:rPr>
                <w:rFonts w:ascii="Times New Roman"/>
                <w:spacing w:val="-15"/>
                <w:sz w:val="16"/>
              </w:rPr>
              <w:t> </w:t>
            </w:r>
            <w:r>
              <w:rPr>
                <w:rFonts w:ascii="Times New Roman"/>
                <w:sz w:val="16"/>
              </w:rPr>
              <w:t>Inc.</w:t>
            </w:r>
          </w:p>
        </w:tc>
        <w:tc>
          <w:tcPr>
            <w:tcW w:w="455"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232"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US$100.00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美国加州</w:t>
            </w:r>
          </w:p>
        </w:tc>
        <w:tc>
          <w:tcPr>
            <w:tcW w:w="3423"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数字电视等消费电子产品经销</w:t>
            </w:r>
          </w:p>
        </w:tc>
      </w:tr>
    </w:tbl>
    <w:p>
      <w:pPr>
        <w:spacing w:after="0" w:line="240" w:lineRule="auto"/>
        <w:jc w:val="left"/>
        <w:rPr>
          <w:rFonts w:ascii="宋体" w:hAnsi="宋体" w:cs="宋体" w:eastAsia="宋体" w:hint="default"/>
          <w:sz w:val="16"/>
          <w:szCs w:val="16"/>
        </w:rPr>
        <w:sectPr>
          <w:pgSz w:w="11910" w:h="16840"/>
          <w:pgMar w:header="645" w:footer="816" w:top="1080" w:bottom="1000" w:left="1500" w:right="144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1"/>
          <w:szCs w:val="11"/>
        </w:rPr>
      </w:pPr>
    </w:p>
    <w:tbl>
      <w:tblPr>
        <w:tblW w:w="0" w:type="auto"/>
        <w:jc w:val="left"/>
        <w:tblInd w:w="173" w:type="dxa"/>
        <w:tblLayout w:type="fixed"/>
        <w:tblCellMar>
          <w:top w:w="0" w:type="dxa"/>
          <w:left w:w="0" w:type="dxa"/>
          <w:bottom w:w="0" w:type="dxa"/>
          <w:right w:w="0" w:type="dxa"/>
        </w:tblCellMar>
        <w:tblLook w:val="01E0"/>
      </w:tblPr>
      <w:tblGrid>
        <w:gridCol w:w="2016"/>
        <w:gridCol w:w="497"/>
        <w:gridCol w:w="1190"/>
        <w:gridCol w:w="788"/>
        <w:gridCol w:w="765"/>
        <w:gridCol w:w="3422"/>
      </w:tblGrid>
      <w:tr>
        <w:trPr>
          <w:trHeight w:val="307" w:hRule="exact"/>
        </w:trPr>
        <w:tc>
          <w:tcPr>
            <w:tcW w:w="2016"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17"/>
              <w:jc w:val="center"/>
              <w:rPr>
                <w:rFonts w:ascii="宋体" w:hAnsi="宋体" w:cs="宋体" w:eastAsia="宋体" w:hint="default"/>
                <w:sz w:val="16"/>
                <w:szCs w:val="16"/>
              </w:rPr>
            </w:pPr>
            <w:r>
              <w:rPr>
                <w:rFonts w:ascii="宋体" w:hAnsi="宋体" w:cs="宋体" w:eastAsia="宋体" w:hint="default"/>
                <w:b/>
                <w:bCs/>
                <w:sz w:val="16"/>
                <w:szCs w:val="16"/>
              </w:rPr>
              <w:t>公司名称</w:t>
            </w:r>
            <w:r>
              <w:rPr>
                <w:rFonts w:ascii="宋体" w:hAnsi="宋体" w:cs="宋体" w:eastAsia="宋体" w:hint="default"/>
                <w:sz w:val="16"/>
                <w:szCs w:val="16"/>
              </w:rPr>
            </w:r>
          </w:p>
        </w:tc>
        <w:tc>
          <w:tcPr>
            <w:tcW w:w="497"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43"/>
              <w:jc w:val="center"/>
              <w:rPr>
                <w:rFonts w:ascii="宋体" w:hAnsi="宋体" w:cs="宋体" w:eastAsia="宋体" w:hint="default"/>
                <w:sz w:val="16"/>
                <w:szCs w:val="16"/>
              </w:rPr>
            </w:pPr>
            <w:r>
              <w:rPr>
                <w:rFonts w:ascii="宋体" w:hAnsi="宋体" w:cs="宋体" w:eastAsia="宋体" w:hint="default"/>
                <w:b/>
                <w:bCs/>
                <w:sz w:val="16"/>
                <w:szCs w:val="16"/>
              </w:rPr>
              <w:t>级次</w:t>
            </w:r>
            <w:r>
              <w:rPr>
                <w:rFonts w:ascii="宋体" w:hAnsi="宋体" w:cs="宋体" w:eastAsia="宋体" w:hint="default"/>
                <w:sz w:val="16"/>
                <w:szCs w:val="16"/>
              </w:rPr>
            </w:r>
          </w:p>
        </w:tc>
        <w:tc>
          <w:tcPr>
            <w:tcW w:w="1190"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249" w:right="0"/>
              <w:jc w:val="left"/>
              <w:rPr>
                <w:rFonts w:ascii="宋体" w:hAnsi="宋体" w:cs="宋体" w:eastAsia="宋体" w:hint="default"/>
                <w:sz w:val="16"/>
                <w:szCs w:val="16"/>
              </w:rPr>
            </w:pPr>
            <w:r>
              <w:rPr>
                <w:rFonts w:ascii="宋体" w:hAnsi="宋体" w:cs="宋体" w:eastAsia="宋体" w:hint="default"/>
                <w:b/>
                <w:bCs/>
                <w:sz w:val="16"/>
                <w:szCs w:val="16"/>
              </w:rPr>
              <w:t>注册资本</w:t>
            </w:r>
            <w:r>
              <w:rPr>
                <w:rFonts w:ascii="宋体" w:hAnsi="宋体" w:cs="宋体" w:eastAsia="宋体" w:hint="default"/>
                <w:sz w:val="16"/>
                <w:szCs w:val="16"/>
              </w:rPr>
            </w:r>
          </w:p>
        </w:tc>
        <w:tc>
          <w:tcPr>
            <w:tcW w:w="788"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97"/>
              <w:jc w:val="right"/>
              <w:rPr>
                <w:rFonts w:ascii="宋体" w:hAnsi="宋体" w:cs="宋体" w:eastAsia="宋体" w:hint="default"/>
                <w:sz w:val="16"/>
                <w:szCs w:val="16"/>
              </w:rPr>
            </w:pPr>
            <w:r>
              <w:rPr>
                <w:rFonts w:ascii="宋体" w:hAnsi="宋体" w:cs="宋体" w:eastAsia="宋体" w:hint="default"/>
                <w:b/>
                <w:bCs/>
                <w:sz w:val="16"/>
                <w:szCs w:val="16"/>
              </w:rPr>
              <w:t>持股比例</w:t>
            </w:r>
            <w:r>
              <w:rPr>
                <w:rFonts w:ascii="宋体" w:hAnsi="宋体" w:cs="宋体" w:eastAsia="宋体" w:hint="default"/>
                <w:sz w:val="16"/>
                <w:szCs w:val="16"/>
              </w:rPr>
            </w:r>
          </w:p>
        </w:tc>
        <w:tc>
          <w:tcPr>
            <w:tcW w:w="765"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0"/>
              <w:jc w:val="center"/>
              <w:rPr>
                <w:rFonts w:ascii="宋体" w:hAnsi="宋体" w:cs="宋体" w:eastAsia="宋体" w:hint="default"/>
                <w:sz w:val="16"/>
                <w:szCs w:val="16"/>
              </w:rPr>
            </w:pPr>
            <w:r>
              <w:rPr>
                <w:rFonts w:ascii="宋体" w:hAnsi="宋体" w:cs="宋体" w:eastAsia="宋体" w:hint="default"/>
                <w:b/>
                <w:bCs/>
                <w:sz w:val="16"/>
                <w:szCs w:val="16"/>
              </w:rPr>
              <w:t>注册地址</w:t>
            </w:r>
            <w:r>
              <w:rPr>
                <w:rFonts w:ascii="宋体" w:hAnsi="宋体" w:cs="宋体" w:eastAsia="宋体" w:hint="default"/>
                <w:sz w:val="16"/>
                <w:szCs w:val="16"/>
              </w:rPr>
            </w:r>
          </w:p>
        </w:tc>
        <w:tc>
          <w:tcPr>
            <w:tcW w:w="3422"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21"/>
              <w:jc w:val="center"/>
              <w:rPr>
                <w:rFonts w:ascii="宋体" w:hAnsi="宋体" w:cs="宋体" w:eastAsia="宋体" w:hint="default"/>
                <w:sz w:val="16"/>
                <w:szCs w:val="16"/>
              </w:rPr>
            </w:pPr>
            <w:r>
              <w:rPr>
                <w:rFonts w:ascii="宋体" w:hAnsi="宋体" w:cs="宋体" w:eastAsia="宋体" w:hint="default"/>
                <w:b/>
                <w:bCs/>
                <w:sz w:val="16"/>
                <w:szCs w:val="16"/>
              </w:rPr>
              <w:t>主营业务</w:t>
            </w:r>
            <w:r>
              <w:rPr>
                <w:rFonts w:ascii="宋体" w:hAnsi="宋体" w:cs="宋体" w:eastAsia="宋体" w:hint="default"/>
                <w:sz w:val="16"/>
                <w:szCs w:val="16"/>
              </w:rPr>
            </w:r>
          </w:p>
        </w:tc>
      </w:tr>
      <w:tr>
        <w:trPr>
          <w:trHeight w:val="509" w:hRule="exact"/>
        </w:trPr>
        <w:tc>
          <w:tcPr>
            <w:tcW w:w="2016" w:type="dxa"/>
            <w:tcBorders>
              <w:top w:val="single" w:sz="4" w:space="0" w:color="000000"/>
              <w:left w:val="nil" w:sz="6" w:space="0" w:color="auto"/>
              <w:bottom w:val="nil" w:sz="6" w:space="0" w:color="auto"/>
              <w:right w:val="nil" w:sz="6" w:space="0" w:color="auto"/>
            </w:tcBorders>
          </w:tcPr>
          <w:p>
            <w:pPr>
              <w:pStyle w:val="TableParagraph"/>
              <w:spacing w:line="240" w:lineRule="auto" w:before="79"/>
              <w:ind w:left="28" w:right="168"/>
              <w:jc w:val="left"/>
              <w:rPr>
                <w:rFonts w:ascii="Times New Roman" w:hAnsi="Times New Roman" w:cs="Times New Roman" w:eastAsia="Times New Roman" w:hint="default"/>
                <w:sz w:val="16"/>
                <w:szCs w:val="16"/>
              </w:rPr>
            </w:pPr>
            <w:r>
              <w:rPr>
                <w:rFonts w:ascii="Times New Roman"/>
                <w:sz w:val="16"/>
              </w:rPr>
              <w:t>TongFang Global (UK)</w:t>
            </w:r>
            <w:r>
              <w:rPr>
                <w:rFonts w:ascii="Times New Roman"/>
                <w:spacing w:val="-14"/>
                <w:sz w:val="16"/>
              </w:rPr>
              <w:t> </w:t>
            </w:r>
            <w:r>
              <w:rPr>
                <w:rFonts w:ascii="Times New Roman"/>
                <w:sz w:val="16"/>
              </w:rPr>
              <w:t>Co.,</w:t>
            </w:r>
            <w:r>
              <w:rPr>
                <w:rFonts w:ascii="Times New Roman"/>
                <w:w w:val="100"/>
                <w:sz w:val="16"/>
              </w:rPr>
              <w:t> </w:t>
            </w:r>
            <w:r>
              <w:rPr>
                <w:rFonts w:ascii="Times New Roman"/>
                <w:sz w:val="16"/>
              </w:rPr>
              <w:t>Limited</w:t>
            </w:r>
          </w:p>
        </w:tc>
        <w:tc>
          <w:tcPr>
            <w:tcW w:w="497" w:type="dxa"/>
            <w:tcBorders>
              <w:top w:val="single" w:sz="4" w:space="0" w:color="000000"/>
              <w:left w:val="nil" w:sz="6" w:space="0" w:color="auto"/>
              <w:bottom w:val="nil" w:sz="6" w:space="0" w:color="auto"/>
              <w:right w:val="nil" w:sz="6" w:space="0" w:color="auto"/>
            </w:tcBorders>
          </w:tcPr>
          <w:p>
            <w:pPr>
              <w:pStyle w:val="TableParagraph"/>
              <w:spacing w:line="240" w:lineRule="auto" w:before="137"/>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single" w:sz="4" w:space="0" w:color="000000"/>
              <w:left w:val="nil" w:sz="6" w:space="0" w:color="auto"/>
              <w:bottom w:val="nil" w:sz="6" w:space="0" w:color="auto"/>
              <w:right w:val="nil" w:sz="6" w:space="0" w:color="auto"/>
            </w:tcBorders>
          </w:tcPr>
          <w:p>
            <w:pPr>
              <w:pStyle w:val="TableParagraph"/>
              <w:spacing w:line="240" w:lineRule="auto" w:before="137"/>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Times New Roman" w:hAnsi="Times New Roman" w:cs="Times New Roman" w:eastAsia="Times New Roman" w:hint="default"/>
                <w:sz w:val="16"/>
                <w:szCs w:val="16"/>
              </w:rPr>
              <w:t>1.00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元</w:t>
            </w:r>
          </w:p>
        </w:tc>
        <w:tc>
          <w:tcPr>
            <w:tcW w:w="788"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single" w:sz="4" w:space="0" w:color="000000"/>
              <w:left w:val="nil" w:sz="6" w:space="0" w:color="auto"/>
              <w:bottom w:val="nil" w:sz="6" w:space="0" w:color="auto"/>
              <w:right w:val="nil" w:sz="6" w:space="0" w:color="auto"/>
            </w:tcBorders>
          </w:tcPr>
          <w:p>
            <w:pPr>
              <w:pStyle w:val="TableParagraph"/>
              <w:spacing w:line="206" w:lineRule="exact" w:before="56"/>
              <w:ind w:left="141" w:right="139" w:firstLine="81"/>
              <w:jc w:val="left"/>
              <w:rPr>
                <w:rFonts w:ascii="宋体" w:hAnsi="宋体" w:cs="宋体" w:eastAsia="宋体" w:hint="default"/>
                <w:sz w:val="16"/>
                <w:szCs w:val="16"/>
              </w:rPr>
            </w:pPr>
            <w:r>
              <w:rPr>
                <w:rFonts w:ascii="宋体" w:hAnsi="宋体" w:cs="宋体" w:eastAsia="宋体" w:hint="default"/>
                <w:sz w:val="16"/>
                <w:szCs w:val="16"/>
              </w:rPr>
              <w:t>英国</w:t>
            </w:r>
            <w:r>
              <w:rPr>
                <w:rFonts w:ascii="宋体" w:hAnsi="宋体" w:cs="宋体" w:eastAsia="宋体" w:hint="default"/>
                <w:w w:val="100"/>
                <w:sz w:val="16"/>
                <w:szCs w:val="16"/>
              </w:rPr>
              <w:t> </w:t>
            </w:r>
            <w:r>
              <w:rPr>
                <w:rFonts w:ascii="宋体" w:hAnsi="宋体" w:cs="宋体" w:eastAsia="宋体" w:hint="default"/>
                <w:sz w:val="16"/>
                <w:szCs w:val="16"/>
              </w:rPr>
              <w:t>威尔士</w:t>
            </w:r>
          </w:p>
        </w:tc>
        <w:tc>
          <w:tcPr>
            <w:tcW w:w="3422" w:type="dxa"/>
            <w:tcBorders>
              <w:top w:val="single" w:sz="4" w:space="0" w:color="000000"/>
              <w:left w:val="nil" w:sz="6" w:space="0" w:color="auto"/>
              <w:bottom w:val="nil" w:sz="6" w:space="0" w:color="auto"/>
              <w:right w:val="nil" w:sz="6" w:space="0" w:color="auto"/>
            </w:tcBorders>
          </w:tcPr>
          <w:p>
            <w:pPr>
              <w:pStyle w:val="TableParagraph"/>
              <w:spacing w:line="240" w:lineRule="auto" w:before="137"/>
              <w:ind w:left="59" w:right="0"/>
              <w:jc w:val="left"/>
              <w:rPr>
                <w:rFonts w:ascii="宋体" w:hAnsi="宋体" w:cs="宋体" w:eastAsia="宋体" w:hint="default"/>
                <w:sz w:val="16"/>
                <w:szCs w:val="16"/>
              </w:rPr>
            </w:pPr>
            <w:r>
              <w:rPr>
                <w:rFonts w:ascii="宋体" w:hAnsi="宋体" w:cs="宋体" w:eastAsia="宋体" w:hint="default"/>
                <w:sz w:val="16"/>
                <w:szCs w:val="16"/>
              </w:rPr>
              <w:t>数字电视等消费电子产品经销</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8" w:right="114"/>
              <w:jc w:val="left"/>
              <w:rPr>
                <w:rFonts w:ascii="Times New Roman" w:hAnsi="Times New Roman" w:cs="Times New Roman" w:eastAsia="Times New Roman" w:hint="default"/>
                <w:sz w:val="16"/>
                <w:szCs w:val="16"/>
              </w:rPr>
            </w:pPr>
            <w:r>
              <w:rPr>
                <w:rFonts w:ascii="Times New Roman"/>
                <w:sz w:val="16"/>
              </w:rPr>
              <w:t>TongFang Global</w:t>
            </w:r>
            <w:r>
              <w:rPr>
                <w:rFonts w:ascii="Times New Roman"/>
                <w:spacing w:val="-14"/>
                <w:sz w:val="16"/>
              </w:rPr>
              <w:t> </w:t>
            </w:r>
            <w:r>
              <w:rPr>
                <w:rFonts w:ascii="Times New Roman"/>
                <w:sz w:val="16"/>
              </w:rPr>
              <w:t>(Germany)</w:t>
            </w:r>
            <w:r>
              <w:rPr>
                <w:rFonts w:ascii="Times New Roman"/>
                <w:w w:val="100"/>
                <w:sz w:val="16"/>
              </w:rPr>
              <w:t> </w:t>
            </w:r>
            <w:r>
              <w:rPr>
                <w:rFonts w:ascii="Times New Roman"/>
                <w:sz w:val="16"/>
              </w:rPr>
              <w:t>GmbH</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€202.50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61" w:right="59" w:firstLine="160"/>
              <w:jc w:val="left"/>
              <w:rPr>
                <w:rFonts w:ascii="宋体" w:hAnsi="宋体" w:cs="宋体" w:eastAsia="宋体" w:hint="default"/>
                <w:sz w:val="16"/>
                <w:szCs w:val="16"/>
              </w:rPr>
            </w:pPr>
            <w:r>
              <w:rPr>
                <w:rFonts w:ascii="宋体" w:hAnsi="宋体" w:cs="宋体" w:eastAsia="宋体" w:hint="default"/>
                <w:sz w:val="16"/>
                <w:szCs w:val="16"/>
              </w:rPr>
              <w:t>德国</w:t>
            </w:r>
            <w:r>
              <w:rPr>
                <w:rFonts w:ascii="宋体" w:hAnsi="宋体" w:cs="宋体" w:eastAsia="宋体" w:hint="default"/>
                <w:w w:val="100"/>
                <w:sz w:val="16"/>
                <w:szCs w:val="16"/>
              </w:rPr>
              <w:t> </w:t>
            </w:r>
            <w:r>
              <w:rPr>
                <w:rFonts w:ascii="宋体" w:hAnsi="宋体" w:cs="宋体" w:eastAsia="宋体" w:hint="default"/>
                <w:sz w:val="16"/>
                <w:szCs w:val="16"/>
              </w:rPr>
              <w:t>法兰克福</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59" w:right="0"/>
              <w:jc w:val="left"/>
              <w:rPr>
                <w:rFonts w:ascii="宋体" w:hAnsi="宋体" w:cs="宋体" w:eastAsia="宋体" w:hint="default"/>
                <w:sz w:val="16"/>
                <w:szCs w:val="16"/>
              </w:rPr>
            </w:pPr>
            <w:r>
              <w:rPr>
                <w:rFonts w:ascii="宋体" w:hAnsi="宋体" w:cs="宋体" w:eastAsia="宋体" w:hint="default"/>
                <w:sz w:val="16"/>
                <w:szCs w:val="16"/>
              </w:rPr>
              <w:t>数字电视等消费电子产品经销</w:t>
            </w:r>
          </w:p>
        </w:tc>
      </w:tr>
      <w:tr>
        <w:trPr>
          <w:trHeight w:val="492"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8" w:right="225"/>
              <w:jc w:val="left"/>
              <w:rPr>
                <w:rFonts w:ascii="Times New Roman" w:hAnsi="Times New Roman" w:cs="Times New Roman" w:eastAsia="Times New Roman" w:hint="default"/>
                <w:sz w:val="16"/>
                <w:szCs w:val="16"/>
              </w:rPr>
            </w:pPr>
            <w:r>
              <w:rPr>
                <w:rFonts w:ascii="Times New Roman"/>
                <w:sz w:val="16"/>
              </w:rPr>
              <w:t>TongFang Global</w:t>
            </w:r>
            <w:r>
              <w:rPr>
                <w:rFonts w:ascii="Times New Roman"/>
                <w:spacing w:val="-12"/>
                <w:sz w:val="16"/>
              </w:rPr>
              <w:t> </w:t>
            </w:r>
            <w:r>
              <w:rPr>
                <w:rFonts w:ascii="Times New Roman"/>
                <w:sz w:val="16"/>
              </w:rPr>
              <w:t>(Canada)</w:t>
            </w:r>
            <w:r>
              <w:rPr>
                <w:rFonts w:ascii="Times New Roman"/>
                <w:w w:val="100"/>
                <w:sz w:val="16"/>
              </w:rPr>
              <w:t> </w:t>
            </w:r>
            <w:r>
              <w:rPr>
                <w:rFonts w:ascii="Times New Roman"/>
                <w:sz w:val="16"/>
              </w:rPr>
              <w:t>Inc.</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CAN$0.01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61" w:right="59" w:firstLine="79"/>
              <w:jc w:val="left"/>
              <w:rPr>
                <w:rFonts w:ascii="宋体" w:hAnsi="宋体" w:cs="宋体" w:eastAsia="宋体" w:hint="default"/>
                <w:sz w:val="16"/>
                <w:szCs w:val="16"/>
              </w:rPr>
            </w:pPr>
            <w:r>
              <w:rPr>
                <w:rFonts w:ascii="宋体" w:hAnsi="宋体" w:cs="宋体" w:eastAsia="宋体" w:hint="default"/>
                <w:sz w:val="16"/>
                <w:szCs w:val="16"/>
              </w:rPr>
              <w:t>加拿大</w:t>
            </w:r>
            <w:r>
              <w:rPr>
                <w:rFonts w:ascii="宋体" w:hAnsi="宋体" w:cs="宋体" w:eastAsia="宋体" w:hint="default"/>
                <w:w w:val="100"/>
                <w:sz w:val="16"/>
                <w:szCs w:val="16"/>
              </w:rPr>
              <w:t> </w:t>
            </w:r>
            <w:r>
              <w:rPr>
                <w:rFonts w:ascii="宋体" w:hAnsi="宋体" w:cs="宋体" w:eastAsia="宋体" w:hint="default"/>
                <w:sz w:val="16"/>
                <w:szCs w:val="16"/>
              </w:rPr>
              <w:t>安大略省</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59" w:right="0"/>
              <w:jc w:val="left"/>
              <w:rPr>
                <w:rFonts w:ascii="宋体" w:hAnsi="宋体" w:cs="宋体" w:eastAsia="宋体" w:hint="default"/>
                <w:sz w:val="16"/>
                <w:szCs w:val="16"/>
              </w:rPr>
            </w:pPr>
            <w:r>
              <w:rPr>
                <w:rFonts w:ascii="宋体" w:hAnsi="宋体" w:cs="宋体" w:eastAsia="宋体" w:hint="default"/>
                <w:sz w:val="16"/>
                <w:szCs w:val="16"/>
              </w:rPr>
              <w:t>数字电视等消费电子产品经销</w:t>
            </w:r>
          </w:p>
        </w:tc>
      </w:tr>
      <w:tr>
        <w:trPr>
          <w:trHeight w:val="303"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8" w:right="0"/>
              <w:jc w:val="left"/>
              <w:rPr>
                <w:rFonts w:ascii="宋体" w:hAnsi="宋体" w:cs="宋体" w:eastAsia="宋体" w:hint="default"/>
                <w:sz w:val="16"/>
                <w:szCs w:val="16"/>
              </w:rPr>
            </w:pPr>
            <w:r>
              <w:rPr>
                <w:rFonts w:ascii="宋体" w:hAnsi="宋体" w:cs="宋体" w:eastAsia="宋体" w:hint="default"/>
                <w:sz w:val="16"/>
                <w:szCs w:val="16"/>
              </w:rPr>
              <w:t>同方光电（沈阳）有限公司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HK$2000.00</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 w:right="0"/>
              <w:jc w:val="center"/>
              <w:rPr>
                <w:rFonts w:ascii="宋体" w:hAnsi="宋体" w:cs="宋体" w:eastAsia="宋体" w:hint="default"/>
                <w:sz w:val="16"/>
                <w:szCs w:val="16"/>
              </w:rPr>
            </w:pPr>
            <w:r>
              <w:rPr>
                <w:rFonts w:ascii="宋体" w:hAnsi="宋体" w:cs="宋体" w:eastAsia="宋体" w:hint="default"/>
                <w:sz w:val="16"/>
                <w:szCs w:val="16"/>
              </w:rPr>
              <w:t>辽宁沈阳</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9" w:right="0"/>
              <w:jc w:val="left"/>
              <w:rPr>
                <w:rFonts w:ascii="宋体" w:hAnsi="宋体" w:cs="宋体" w:eastAsia="宋体" w:hint="default"/>
                <w:sz w:val="16"/>
                <w:szCs w:val="16"/>
              </w:rPr>
            </w:pPr>
            <w:r>
              <w:rPr>
                <w:rFonts w:ascii="宋体" w:hAnsi="宋体" w:cs="宋体" w:eastAsia="宋体" w:hint="default"/>
                <w:sz w:val="16"/>
                <w:szCs w:val="16"/>
              </w:rPr>
              <w:t>液晶显示屏及相关模组的生产销售</w:t>
            </w:r>
          </w:p>
        </w:tc>
      </w:tr>
      <w:tr>
        <w:trPr>
          <w:trHeight w:val="458"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8" w:right="318"/>
              <w:jc w:val="left"/>
              <w:rPr>
                <w:rFonts w:ascii="Times New Roman" w:hAnsi="Times New Roman" w:cs="Times New Roman" w:eastAsia="Times New Roman" w:hint="default"/>
                <w:sz w:val="16"/>
                <w:szCs w:val="16"/>
              </w:rPr>
            </w:pPr>
            <w:r>
              <w:rPr>
                <w:rFonts w:ascii="Times New Roman"/>
                <w:sz w:val="16"/>
              </w:rPr>
              <w:t>Westinghouse</w:t>
            </w:r>
            <w:r>
              <w:rPr>
                <w:rFonts w:ascii="Times New Roman"/>
                <w:spacing w:val="-9"/>
                <w:sz w:val="16"/>
              </w:rPr>
              <w:t> </w:t>
            </w:r>
            <w:r>
              <w:rPr>
                <w:rFonts w:ascii="Times New Roman"/>
                <w:sz w:val="16"/>
              </w:rPr>
              <w:t>Electronics</w:t>
            </w:r>
            <w:r>
              <w:rPr>
                <w:rFonts w:ascii="Times New Roman"/>
                <w:w w:val="100"/>
                <w:sz w:val="16"/>
              </w:rPr>
              <w:t> </w:t>
            </w:r>
            <w:r>
              <w:rPr>
                <w:rFonts w:ascii="Times New Roman"/>
                <w:sz w:val="16"/>
              </w:rPr>
              <w:t>Limited</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US$100.00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59" w:right="0"/>
              <w:jc w:val="left"/>
              <w:rPr>
                <w:rFonts w:ascii="宋体" w:hAnsi="宋体" w:cs="宋体" w:eastAsia="宋体" w:hint="default"/>
                <w:sz w:val="16"/>
                <w:szCs w:val="16"/>
              </w:rPr>
            </w:pPr>
            <w:r>
              <w:rPr>
                <w:rFonts w:ascii="宋体" w:hAnsi="宋体" w:cs="宋体" w:eastAsia="宋体" w:hint="default"/>
                <w:sz w:val="16"/>
                <w:szCs w:val="16"/>
              </w:rPr>
              <w:t>数字电视等消费电子产品经销</w:t>
            </w:r>
          </w:p>
        </w:tc>
      </w:tr>
      <w:tr>
        <w:trPr>
          <w:trHeight w:val="272"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8" w:right="0"/>
              <w:jc w:val="left"/>
              <w:rPr>
                <w:rFonts w:ascii="Times New Roman" w:hAnsi="Times New Roman" w:cs="Times New Roman" w:eastAsia="Times New Roman" w:hint="default"/>
                <w:sz w:val="16"/>
                <w:szCs w:val="16"/>
              </w:rPr>
            </w:pPr>
            <w:r>
              <w:rPr>
                <w:rFonts w:ascii="Times New Roman"/>
                <w:sz w:val="16"/>
              </w:rPr>
              <w:t>Tongfang HongKong</w:t>
            </w:r>
            <w:r>
              <w:rPr>
                <w:rFonts w:ascii="Times New Roman"/>
                <w:spacing w:val="-14"/>
                <w:sz w:val="16"/>
              </w:rPr>
              <w:t> </w:t>
            </w:r>
            <w:r>
              <w:rPr>
                <w:rFonts w:ascii="Times New Roman"/>
                <w:sz w:val="16"/>
              </w:rPr>
              <w:t>Limited</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US$800.00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
              <w:ind w:left="59" w:right="0"/>
              <w:jc w:val="left"/>
              <w:rPr>
                <w:rFonts w:ascii="宋体" w:hAnsi="宋体" w:cs="宋体" w:eastAsia="宋体" w:hint="default"/>
                <w:sz w:val="16"/>
                <w:szCs w:val="16"/>
              </w:rPr>
            </w:pPr>
            <w:r>
              <w:rPr>
                <w:rFonts w:ascii="宋体" w:hAnsi="宋体" w:cs="宋体" w:eastAsia="宋体" w:hint="default"/>
                <w:sz w:val="16"/>
                <w:szCs w:val="16"/>
              </w:rPr>
              <w:t>计算机产品研发和销售</w:t>
            </w:r>
          </w:p>
        </w:tc>
      </w:tr>
      <w:tr>
        <w:trPr>
          <w:trHeight w:val="47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
              <w:ind w:left="28" w:right="63"/>
              <w:jc w:val="left"/>
              <w:rPr>
                <w:rFonts w:ascii="宋体" w:hAnsi="宋体" w:cs="宋体" w:eastAsia="宋体" w:hint="default"/>
                <w:sz w:val="16"/>
                <w:szCs w:val="16"/>
              </w:rPr>
            </w:pPr>
            <w:r>
              <w:rPr>
                <w:rFonts w:ascii="宋体" w:hAnsi="宋体" w:cs="宋体" w:eastAsia="宋体" w:hint="default"/>
                <w:spacing w:val="-1"/>
                <w:sz w:val="16"/>
                <w:szCs w:val="16"/>
              </w:rPr>
              <w:t>同方国际信息技术（深圳）</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1" w:right="0"/>
              <w:jc w:val="center"/>
              <w:rPr>
                <w:rFonts w:ascii="宋体" w:hAnsi="宋体" w:cs="宋体" w:eastAsia="宋体" w:hint="default"/>
                <w:sz w:val="16"/>
                <w:szCs w:val="16"/>
              </w:rPr>
            </w:pPr>
            <w:r>
              <w:rPr>
                <w:rFonts w:ascii="宋体" w:hAnsi="宋体" w:cs="宋体" w:eastAsia="宋体" w:hint="default"/>
                <w:sz w:val="16"/>
                <w:szCs w:val="16"/>
              </w:rPr>
              <w:t>广东深圳</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59" w:right="0"/>
              <w:jc w:val="left"/>
              <w:rPr>
                <w:rFonts w:ascii="宋体" w:hAnsi="宋体" w:cs="宋体" w:eastAsia="宋体" w:hint="default"/>
                <w:sz w:val="16"/>
                <w:szCs w:val="16"/>
              </w:rPr>
            </w:pPr>
            <w:r>
              <w:rPr>
                <w:rFonts w:ascii="宋体" w:hAnsi="宋体" w:cs="宋体" w:eastAsia="宋体" w:hint="default"/>
                <w:sz w:val="16"/>
                <w:szCs w:val="16"/>
              </w:rPr>
              <w:t>计算机产品研发和销售</w:t>
            </w:r>
          </w:p>
        </w:tc>
      </w:tr>
      <w:tr>
        <w:trPr>
          <w:trHeight w:val="4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
              <w:ind w:left="28" w:right="63"/>
              <w:jc w:val="left"/>
              <w:rPr>
                <w:rFonts w:ascii="宋体" w:hAnsi="宋体" w:cs="宋体" w:eastAsia="宋体" w:hint="default"/>
                <w:sz w:val="16"/>
                <w:szCs w:val="16"/>
              </w:rPr>
            </w:pPr>
            <w:r>
              <w:rPr>
                <w:rFonts w:ascii="宋体" w:hAnsi="宋体" w:cs="宋体" w:eastAsia="宋体" w:hint="default"/>
                <w:spacing w:val="-1"/>
                <w:sz w:val="16"/>
                <w:szCs w:val="16"/>
              </w:rPr>
              <w:t>同方计算机（苏州）有限公</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 w:right="0"/>
              <w:jc w:val="center"/>
              <w:rPr>
                <w:rFonts w:ascii="宋体" w:hAnsi="宋体" w:cs="宋体" w:eastAsia="宋体" w:hint="default"/>
                <w:sz w:val="16"/>
                <w:szCs w:val="16"/>
              </w:rPr>
            </w:pPr>
            <w:r>
              <w:rPr>
                <w:rFonts w:ascii="宋体" w:hAnsi="宋体" w:cs="宋体" w:eastAsia="宋体" w:hint="default"/>
                <w:sz w:val="16"/>
                <w:szCs w:val="16"/>
              </w:rPr>
              <w:t>江苏苏州</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59" w:right="0"/>
              <w:jc w:val="left"/>
              <w:rPr>
                <w:rFonts w:ascii="宋体" w:hAnsi="宋体" w:cs="宋体" w:eastAsia="宋体" w:hint="default"/>
                <w:sz w:val="16"/>
                <w:szCs w:val="16"/>
              </w:rPr>
            </w:pPr>
            <w:r>
              <w:rPr>
                <w:rFonts w:ascii="宋体" w:hAnsi="宋体" w:cs="宋体" w:eastAsia="宋体" w:hint="default"/>
                <w:sz w:val="16"/>
                <w:szCs w:val="16"/>
              </w:rPr>
              <w:t>计算机产品研发和生产</w:t>
            </w:r>
          </w:p>
        </w:tc>
      </w:tr>
      <w:tr>
        <w:trPr>
          <w:trHeight w:val="277"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8" w:right="0"/>
              <w:jc w:val="left"/>
              <w:rPr>
                <w:rFonts w:ascii="Times New Roman" w:hAnsi="Times New Roman" w:cs="Times New Roman" w:eastAsia="Times New Roman" w:hint="default"/>
                <w:sz w:val="16"/>
                <w:szCs w:val="16"/>
              </w:rPr>
            </w:pPr>
            <w:r>
              <w:rPr>
                <w:rFonts w:ascii="Times New Roman"/>
                <w:sz w:val="16"/>
              </w:rPr>
              <w:t>THTF U.S.A.  </w:t>
            </w:r>
            <w:r>
              <w:rPr>
                <w:rFonts w:ascii="Times New Roman"/>
                <w:spacing w:val="33"/>
                <w:sz w:val="16"/>
              </w:rPr>
              <w:t> </w:t>
            </w:r>
            <w:r>
              <w:rPr>
                <w:rFonts w:ascii="Times New Roman"/>
                <w:sz w:val="16"/>
              </w:rPr>
              <w:t>Inc.</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US$249.00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美国加州</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科技项目投资与管理</w:t>
            </w:r>
          </w:p>
        </w:tc>
      </w:tr>
      <w:tr>
        <w:trPr>
          <w:trHeight w:val="44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8" w:right="71"/>
              <w:jc w:val="left"/>
              <w:rPr>
                <w:rFonts w:ascii="Times New Roman" w:hAnsi="Times New Roman" w:cs="Times New Roman" w:eastAsia="Times New Roman" w:hint="default"/>
                <w:sz w:val="16"/>
                <w:szCs w:val="16"/>
              </w:rPr>
            </w:pPr>
            <w:r>
              <w:rPr>
                <w:rFonts w:ascii="Times New Roman"/>
                <w:sz w:val="16"/>
              </w:rPr>
              <w:t>TongFang Asia Pacific</w:t>
            </w:r>
            <w:r>
              <w:rPr>
                <w:rFonts w:ascii="Times New Roman"/>
                <w:spacing w:val="-13"/>
                <w:sz w:val="16"/>
              </w:rPr>
              <w:t> </w:t>
            </w:r>
            <w:r>
              <w:rPr>
                <w:rFonts w:ascii="Times New Roman"/>
                <w:sz w:val="16"/>
              </w:rPr>
              <w:t>(R&amp;D</w:t>
            </w:r>
            <w:r>
              <w:rPr>
                <w:rFonts w:ascii="Times New Roman"/>
                <w:w w:val="100"/>
                <w:sz w:val="16"/>
              </w:rPr>
              <w:t> </w:t>
            </w:r>
            <w:r>
              <w:rPr>
                <w:rFonts w:ascii="Times New Roman"/>
                <w:sz w:val="16"/>
              </w:rPr>
              <w:t>Center) Pte</w:t>
            </w:r>
            <w:r>
              <w:rPr>
                <w:rFonts w:ascii="Times New Roman"/>
                <w:spacing w:val="-10"/>
                <w:sz w:val="16"/>
              </w:rPr>
              <w:t> </w:t>
            </w:r>
            <w:r>
              <w:rPr>
                <w:rFonts w:ascii="Times New Roman"/>
                <w:sz w:val="16"/>
              </w:rPr>
              <w:t>Ltd.</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US$300.00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0"/>
              <w:jc w:val="center"/>
              <w:rPr>
                <w:rFonts w:ascii="宋体" w:hAnsi="宋体" w:cs="宋体" w:eastAsia="宋体" w:hint="default"/>
                <w:sz w:val="16"/>
                <w:szCs w:val="16"/>
              </w:rPr>
            </w:pPr>
            <w:r>
              <w:rPr>
                <w:rFonts w:ascii="宋体" w:hAnsi="宋体" w:cs="宋体" w:eastAsia="宋体" w:hint="default"/>
                <w:sz w:val="16"/>
                <w:szCs w:val="16"/>
              </w:rPr>
              <w:t>新加坡</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88"/>
              <w:ind w:left="59" w:right="0"/>
              <w:jc w:val="left"/>
              <w:rPr>
                <w:rFonts w:ascii="宋体" w:hAnsi="宋体" w:cs="宋体" w:eastAsia="宋体" w:hint="default"/>
                <w:sz w:val="16"/>
                <w:szCs w:val="16"/>
              </w:rPr>
            </w:pPr>
            <w:r>
              <w:rPr>
                <w:rFonts w:ascii="宋体" w:hAnsi="宋体" w:cs="宋体" w:eastAsia="宋体" w:hint="default"/>
                <w:sz w:val="16"/>
                <w:szCs w:val="16"/>
              </w:rPr>
              <w:t>智能建筑工程技术研发</w:t>
            </w:r>
          </w:p>
        </w:tc>
      </w:tr>
      <w:tr>
        <w:trPr>
          <w:trHeight w:val="272"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
              <w:ind w:left="28" w:right="0"/>
              <w:jc w:val="left"/>
              <w:rPr>
                <w:rFonts w:ascii="宋体" w:hAnsi="宋体" w:cs="宋体" w:eastAsia="宋体" w:hint="default"/>
                <w:sz w:val="16"/>
                <w:szCs w:val="16"/>
              </w:rPr>
            </w:pPr>
            <w:r>
              <w:rPr>
                <w:rFonts w:ascii="宋体" w:hAnsi="宋体" w:cs="宋体" w:eastAsia="宋体" w:hint="default"/>
                <w:sz w:val="16"/>
                <w:szCs w:val="16"/>
              </w:rPr>
              <w:t>同方锐安科技有限公司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7058.00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7"/>
              <w:jc w:val="right"/>
              <w:rPr>
                <w:rFonts w:ascii="Times New Roman" w:hAnsi="Times New Roman" w:cs="Times New Roman" w:eastAsia="Times New Roman" w:hint="default"/>
                <w:sz w:val="16"/>
                <w:szCs w:val="16"/>
              </w:rPr>
            </w:pPr>
            <w:r>
              <w:rPr>
                <w:rFonts w:ascii="Times New Roman"/>
                <w:spacing w:val="-1"/>
                <w:sz w:val="16"/>
              </w:rPr>
              <w:t>85.00%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
              <w:ind w:left="59" w:right="0"/>
              <w:jc w:val="left"/>
              <w:rPr>
                <w:rFonts w:ascii="宋体" w:hAnsi="宋体" w:cs="宋体" w:eastAsia="宋体" w:hint="default"/>
                <w:sz w:val="16"/>
                <w:szCs w:val="16"/>
              </w:rPr>
            </w:pPr>
            <w:r>
              <w:rPr>
                <w:rFonts w:ascii="宋体" w:hAnsi="宋体" w:cs="宋体" w:eastAsia="宋体" w:hint="default"/>
                <w:sz w:val="16"/>
                <w:szCs w:val="16"/>
              </w:rPr>
              <w:t>卡基存储、射频识别技术与应用；进出口业务</w:t>
            </w:r>
          </w:p>
        </w:tc>
      </w:tr>
      <w:tr>
        <w:trPr>
          <w:trHeight w:val="47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8" w:right="0"/>
              <w:jc w:val="left"/>
              <w:rPr>
                <w:rFonts w:ascii="宋体" w:hAnsi="宋体" w:cs="宋体" w:eastAsia="宋体" w:hint="default"/>
                <w:sz w:val="16"/>
                <w:szCs w:val="16"/>
              </w:rPr>
            </w:pPr>
            <w:r>
              <w:rPr>
                <w:rFonts w:ascii="宋体" w:hAnsi="宋体" w:cs="宋体" w:eastAsia="宋体" w:hint="default"/>
                <w:sz w:val="16"/>
                <w:szCs w:val="16"/>
              </w:rPr>
              <w:t>北京同方软件股份有限公司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4100.00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90.24%</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
              <w:ind w:left="59" w:right="79"/>
              <w:jc w:val="left"/>
              <w:rPr>
                <w:rFonts w:ascii="宋体" w:hAnsi="宋体" w:cs="宋体" w:eastAsia="宋体" w:hint="default"/>
                <w:sz w:val="16"/>
                <w:szCs w:val="16"/>
              </w:rPr>
            </w:pPr>
            <w:r>
              <w:rPr>
                <w:rFonts w:ascii="宋体" w:hAnsi="宋体" w:cs="宋体" w:eastAsia="宋体" w:hint="default"/>
                <w:spacing w:val="2"/>
                <w:sz w:val="16"/>
                <w:szCs w:val="16"/>
              </w:rPr>
              <w:t>物联网系统应用、支撑和过程控制软件及相关</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硬件、增值电信业务</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
              <w:ind w:left="28" w:right="63"/>
              <w:jc w:val="left"/>
              <w:rPr>
                <w:rFonts w:ascii="宋体" w:hAnsi="宋体" w:cs="宋体" w:eastAsia="宋体" w:hint="default"/>
                <w:sz w:val="16"/>
                <w:szCs w:val="16"/>
              </w:rPr>
            </w:pPr>
            <w:r>
              <w:rPr>
                <w:rFonts w:ascii="宋体" w:hAnsi="宋体" w:cs="宋体" w:eastAsia="宋体" w:hint="default"/>
                <w:spacing w:val="-1"/>
                <w:sz w:val="16"/>
                <w:szCs w:val="16"/>
              </w:rPr>
              <w:t>无锡同方融达信息科技有限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1900.00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57.89%</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江苏无锡</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59" w:right="0"/>
              <w:jc w:val="left"/>
              <w:rPr>
                <w:rFonts w:ascii="宋体" w:hAnsi="宋体" w:cs="宋体" w:eastAsia="宋体" w:hint="default"/>
                <w:sz w:val="16"/>
                <w:szCs w:val="16"/>
              </w:rPr>
            </w:pPr>
            <w:r>
              <w:rPr>
                <w:rFonts w:ascii="宋体" w:hAnsi="宋体" w:cs="宋体" w:eastAsia="宋体" w:hint="default"/>
                <w:sz w:val="16"/>
                <w:szCs w:val="16"/>
              </w:rPr>
              <w:t>物联网软件开发与系统集成</w:t>
            </w:r>
          </w:p>
        </w:tc>
      </w:tr>
      <w:tr>
        <w:trPr>
          <w:trHeight w:val="47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6"/>
              <w:ind w:left="28" w:right="63"/>
              <w:jc w:val="left"/>
              <w:rPr>
                <w:rFonts w:ascii="宋体" w:hAnsi="宋体" w:cs="宋体" w:eastAsia="宋体" w:hint="default"/>
                <w:sz w:val="16"/>
                <w:szCs w:val="16"/>
              </w:rPr>
            </w:pPr>
            <w:r>
              <w:rPr>
                <w:rFonts w:ascii="宋体" w:hAnsi="宋体" w:cs="宋体" w:eastAsia="宋体" w:hint="default"/>
                <w:spacing w:val="-1"/>
                <w:sz w:val="16"/>
                <w:szCs w:val="16"/>
              </w:rPr>
              <w:t>重庆同方融达信息科技有限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重庆北新</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59" w:right="0"/>
              <w:jc w:val="left"/>
              <w:rPr>
                <w:rFonts w:ascii="宋体" w:hAnsi="宋体" w:cs="宋体" w:eastAsia="宋体" w:hint="default"/>
                <w:sz w:val="16"/>
                <w:szCs w:val="16"/>
              </w:rPr>
            </w:pPr>
            <w:r>
              <w:rPr>
                <w:rFonts w:ascii="宋体" w:hAnsi="宋体" w:cs="宋体" w:eastAsia="宋体" w:hint="default"/>
                <w:sz w:val="16"/>
                <w:szCs w:val="16"/>
              </w:rPr>
              <w:t>物联网软件开发与系统集成</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8" w:right="63"/>
              <w:jc w:val="left"/>
              <w:rPr>
                <w:rFonts w:ascii="宋体" w:hAnsi="宋体" w:cs="宋体" w:eastAsia="宋体" w:hint="default"/>
                <w:sz w:val="16"/>
                <w:szCs w:val="16"/>
              </w:rPr>
            </w:pPr>
            <w:r>
              <w:rPr>
                <w:rFonts w:ascii="宋体" w:hAnsi="宋体" w:cs="宋体" w:eastAsia="宋体" w:hint="default"/>
                <w:spacing w:val="-1"/>
                <w:sz w:val="16"/>
                <w:szCs w:val="16"/>
              </w:rPr>
              <w:t>同方知网数字出版技术股份</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8000.00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59" w:right="0"/>
              <w:jc w:val="left"/>
              <w:rPr>
                <w:rFonts w:ascii="宋体" w:hAnsi="宋体" w:cs="宋体" w:eastAsia="宋体" w:hint="default"/>
                <w:sz w:val="16"/>
                <w:szCs w:val="16"/>
              </w:rPr>
            </w:pPr>
            <w:r>
              <w:rPr>
                <w:rFonts w:ascii="宋体" w:hAnsi="宋体" w:cs="宋体" w:eastAsia="宋体" w:hint="default"/>
                <w:spacing w:val="-17"/>
                <w:sz w:val="16"/>
                <w:szCs w:val="16"/>
              </w:rPr>
              <w:t>网络信息服务、电子出版物和数据库开发与销售</w:t>
            </w:r>
            <w:r>
              <w:rPr>
                <w:rFonts w:ascii="宋体" w:hAnsi="宋体" w:cs="宋体" w:eastAsia="宋体" w:hint="default"/>
                <w:sz w:val="16"/>
                <w:szCs w:val="16"/>
              </w:rPr>
            </w:r>
          </w:p>
        </w:tc>
      </w:tr>
      <w:tr>
        <w:trPr>
          <w:trHeight w:val="683"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130"/>
              <w:ind w:left="28" w:right="63"/>
              <w:jc w:val="left"/>
              <w:rPr>
                <w:rFonts w:ascii="宋体" w:hAnsi="宋体" w:cs="宋体" w:eastAsia="宋体" w:hint="default"/>
                <w:sz w:val="16"/>
                <w:szCs w:val="16"/>
              </w:rPr>
            </w:pPr>
            <w:r>
              <w:rPr>
                <w:rFonts w:ascii="宋体" w:hAnsi="宋体" w:cs="宋体" w:eastAsia="宋体" w:hint="default"/>
                <w:spacing w:val="-1"/>
                <w:sz w:val="16"/>
                <w:szCs w:val="16"/>
              </w:rPr>
              <w:t>山西同方知网数字出版技术</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6"/>
                <w:szCs w:val="16"/>
              </w:rPr>
            </w:pPr>
            <w:r>
              <w:rPr>
                <w:rFonts w:ascii="宋体" w:hAnsi="宋体" w:cs="宋体" w:eastAsia="宋体" w:hint="default"/>
                <w:sz w:val="16"/>
                <w:szCs w:val="16"/>
              </w:rPr>
              <w:t>山西太原</w:t>
            </w:r>
          </w:p>
        </w:tc>
        <w:tc>
          <w:tcPr>
            <w:tcW w:w="3422" w:type="dxa"/>
            <w:tcBorders>
              <w:top w:val="nil" w:sz="6" w:space="0" w:color="auto"/>
              <w:left w:val="nil" w:sz="6" w:space="0" w:color="auto"/>
              <w:bottom w:val="nil" w:sz="6" w:space="0" w:color="auto"/>
              <w:right w:val="nil" w:sz="6" w:space="0" w:color="auto"/>
            </w:tcBorders>
          </w:tcPr>
          <w:p>
            <w:pPr>
              <w:pStyle w:val="TableParagraph"/>
              <w:spacing w:line="237" w:lineRule="auto" w:before="7"/>
              <w:ind w:left="59" w:right="79"/>
              <w:jc w:val="both"/>
              <w:rPr>
                <w:rFonts w:ascii="宋体" w:hAnsi="宋体" w:cs="宋体" w:eastAsia="宋体" w:hint="default"/>
                <w:sz w:val="16"/>
                <w:szCs w:val="16"/>
              </w:rPr>
            </w:pPr>
            <w:r>
              <w:rPr>
                <w:rFonts w:ascii="宋体" w:hAnsi="宋体" w:cs="宋体" w:eastAsia="宋体" w:hint="default"/>
                <w:spacing w:val="-25"/>
                <w:sz w:val="16"/>
                <w:szCs w:val="16"/>
              </w:rPr>
              <w:t>数据库、计算机软硬件、计算机网络系统的开发；数据</w:t>
            </w:r>
            <w:r>
              <w:rPr>
                <w:rFonts w:ascii="宋体" w:hAnsi="宋体" w:cs="宋体" w:eastAsia="宋体" w:hint="default"/>
                <w:spacing w:val="-40"/>
                <w:sz w:val="16"/>
                <w:szCs w:val="16"/>
              </w:rPr>
              <w:t> </w:t>
            </w:r>
            <w:r>
              <w:rPr>
                <w:rFonts w:ascii="宋体" w:hAnsi="宋体" w:cs="宋体" w:eastAsia="宋体" w:hint="default"/>
                <w:spacing w:val="-40"/>
                <w:sz w:val="16"/>
                <w:szCs w:val="16"/>
              </w:rPr>
            </w:r>
            <w:r>
              <w:rPr>
                <w:rFonts w:ascii="宋体" w:hAnsi="宋体" w:cs="宋体" w:eastAsia="宋体" w:hint="default"/>
                <w:spacing w:val="-25"/>
                <w:sz w:val="16"/>
                <w:szCs w:val="16"/>
              </w:rPr>
              <w:t>库、计算机软硬件、计算机网络系统的销售；电子技术</w:t>
            </w:r>
            <w:r>
              <w:rPr>
                <w:rFonts w:ascii="宋体" w:hAnsi="宋体" w:cs="宋体" w:eastAsia="宋体" w:hint="default"/>
                <w:spacing w:val="-40"/>
                <w:sz w:val="16"/>
                <w:szCs w:val="16"/>
              </w:rPr>
              <w:t> </w:t>
            </w:r>
            <w:r>
              <w:rPr>
                <w:rFonts w:ascii="宋体" w:hAnsi="宋体" w:cs="宋体" w:eastAsia="宋体" w:hint="default"/>
                <w:spacing w:val="-40"/>
                <w:sz w:val="16"/>
                <w:szCs w:val="16"/>
              </w:rPr>
            </w:r>
            <w:r>
              <w:rPr>
                <w:rFonts w:ascii="宋体" w:hAnsi="宋体" w:cs="宋体" w:eastAsia="宋体" w:hint="default"/>
                <w:spacing w:val="-24"/>
                <w:sz w:val="16"/>
                <w:szCs w:val="16"/>
              </w:rPr>
              <w:t>的技术开发、技术转让、技术咨询。</w:t>
            </w:r>
          </w:p>
        </w:tc>
      </w:tr>
      <w:tr>
        <w:trPr>
          <w:trHeight w:val="47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8" w:right="0"/>
              <w:jc w:val="left"/>
              <w:rPr>
                <w:rFonts w:ascii="宋体" w:hAnsi="宋体" w:cs="宋体" w:eastAsia="宋体" w:hint="default"/>
                <w:sz w:val="16"/>
                <w:szCs w:val="16"/>
              </w:rPr>
            </w:pPr>
            <w:r>
              <w:rPr>
                <w:rFonts w:ascii="宋体" w:hAnsi="宋体" w:cs="宋体" w:eastAsia="宋体" w:hint="default"/>
                <w:sz w:val="16"/>
                <w:szCs w:val="16"/>
              </w:rPr>
              <w:t>山西同方知网印刷有限公司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山西太原</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
              <w:ind w:left="59" w:right="79"/>
              <w:jc w:val="left"/>
              <w:rPr>
                <w:rFonts w:ascii="宋体" w:hAnsi="宋体" w:cs="宋体" w:eastAsia="宋体" w:hint="default"/>
                <w:sz w:val="16"/>
                <w:szCs w:val="16"/>
              </w:rPr>
            </w:pPr>
            <w:r>
              <w:rPr>
                <w:rFonts w:ascii="宋体" w:hAnsi="宋体" w:cs="宋体" w:eastAsia="宋体" w:hint="default"/>
                <w:spacing w:val="2"/>
                <w:sz w:val="16"/>
                <w:szCs w:val="16"/>
              </w:rPr>
              <w:t>出版物，其他印刷品。广告制作；包装装订；</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进出口业务</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8" w:right="0"/>
              <w:jc w:val="left"/>
              <w:rPr>
                <w:rFonts w:ascii="宋体" w:hAnsi="宋体" w:cs="宋体" w:eastAsia="宋体" w:hint="default"/>
                <w:sz w:val="16"/>
                <w:szCs w:val="16"/>
              </w:rPr>
            </w:pPr>
            <w:r>
              <w:rPr>
                <w:rFonts w:ascii="宋体" w:hAnsi="宋体" w:cs="宋体" w:eastAsia="宋体" w:hint="default"/>
                <w:sz w:val="16"/>
                <w:szCs w:val="16"/>
              </w:rPr>
              <w:t>北京同方光盘股份有限公司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4000.00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
              <w:ind w:left="59" w:right="79"/>
              <w:jc w:val="left"/>
              <w:rPr>
                <w:rFonts w:ascii="宋体" w:hAnsi="宋体" w:cs="宋体" w:eastAsia="宋体" w:hint="default"/>
                <w:sz w:val="16"/>
                <w:szCs w:val="16"/>
              </w:rPr>
            </w:pPr>
            <w:r>
              <w:rPr>
                <w:rFonts w:ascii="宋体" w:hAnsi="宋体" w:cs="宋体" w:eastAsia="宋体" w:hint="default"/>
                <w:spacing w:val="2"/>
                <w:sz w:val="16"/>
                <w:szCs w:val="16"/>
              </w:rPr>
              <w:t>电子通信设备、网络系统设备、光盘视听设备</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及光盘材料</w:t>
            </w:r>
          </w:p>
        </w:tc>
      </w:tr>
      <w:tr>
        <w:trPr>
          <w:trHeight w:val="889"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28" w:right="63"/>
              <w:jc w:val="left"/>
              <w:rPr>
                <w:rFonts w:ascii="宋体" w:hAnsi="宋体" w:cs="宋体" w:eastAsia="宋体" w:hint="default"/>
                <w:sz w:val="16"/>
                <w:szCs w:val="16"/>
              </w:rPr>
            </w:pPr>
            <w:r>
              <w:rPr>
                <w:rFonts w:ascii="宋体" w:hAnsi="宋体" w:cs="宋体" w:eastAsia="宋体" w:hint="default"/>
                <w:spacing w:val="-1"/>
                <w:sz w:val="16"/>
                <w:szCs w:val="16"/>
              </w:rPr>
              <w:t>北京同方生物芯片技术有限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32"/>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32"/>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2200.00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32"/>
              <w:ind w:left="1" w:right="0"/>
              <w:jc w:val="center"/>
              <w:rPr>
                <w:rFonts w:ascii="宋体" w:hAnsi="宋体" w:cs="宋体" w:eastAsia="宋体" w:hint="default"/>
                <w:sz w:val="16"/>
                <w:szCs w:val="16"/>
              </w:rPr>
            </w:pPr>
            <w:r>
              <w:rPr>
                <w:rFonts w:ascii="宋体" w:hAnsi="宋体" w:cs="宋体" w:eastAsia="宋体" w:hint="default"/>
                <w:sz w:val="16"/>
                <w:szCs w:val="16"/>
              </w:rPr>
              <w:t>北京密云</w:t>
            </w:r>
          </w:p>
        </w:tc>
        <w:tc>
          <w:tcPr>
            <w:tcW w:w="3422" w:type="dxa"/>
            <w:tcBorders>
              <w:top w:val="nil" w:sz="6" w:space="0" w:color="auto"/>
              <w:left w:val="nil" w:sz="6" w:space="0" w:color="auto"/>
              <w:bottom w:val="nil" w:sz="6" w:space="0" w:color="auto"/>
              <w:right w:val="nil" w:sz="6" w:space="0" w:color="auto"/>
            </w:tcBorders>
          </w:tcPr>
          <w:p>
            <w:pPr>
              <w:pStyle w:val="TableParagraph"/>
              <w:spacing w:line="237" w:lineRule="auto" w:before="6"/>
              <w:ind w:left="59" w:right="0"/>
              <w:jc w:val="left"/>
              <w:rPr>
                <w:rFonts w:ascii="宋体" w:hAnsi="宋体" w:cs="宋体" w:eastAsia="宋体" w:hint="default"/>
                <w:sz w:val="16"/>
                <w:szCs w:val="16"/>
              </w:rPr>
            </w:pPr>
            <w:r>
              <w:rPr>
                <w:rFonts w:ascii="宋体" w:hAnsi="宋体" w:cs="宋体" w:eastAsia="宋体" w:hint="default"/>
                <w:spacing w:val="2"/>
                <w:sz w:val="16"/>
                <w:szCs w:val="16"/>
              </w:rPr>
              <w:t>技术开发、咨询、交流、推广、扩散、转移；</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pacing w:val="-1"/>
                <w:sz w:val="16"/>
                <w:szCs w:val="16"/>
              </w:rPr>
              <w:t>应用软件服务；销售计算机、软件及辅助设备、</w:t>
            </w:r>
            <w:r>
              <w:rPr>
                <w:rFonts w:ascii="宋体" w:hAnsi="宋体" w:cs="宋体" w:eastAsia="宋体" w:hint="default"/>
                <w:spacing w:val="-61"/>
                <w:sz w:val="16"/>
                <w:szCs w:val="16"/>
              </w:rPr>
              <w:t> </w:t>
            </w:r>
            <w:r>
              <w:rPr>
                <w:rFonts w:ascii="宋体" w:hAnsi="宋体" w:cs="宋体" w:eastAsia="宋体" w:hint="default"/>
                <w:spacing w:val="-61"/>
                <w:sz w:val="16"/>
                <w:szCs w:val="16"/>
              </w:rPr>
            </w:r>
            <w:r>
              <w:rPr>
                <w:rFonts w:ascii="宋体" w:hAnsi="宋体" w:cs="宋体" w:eastAsia="宋体" w:hint="default"/>
                <w:spacing w:val="2"/>
                <w:sz w:val="16"/>
                <w:szCs w:val="16"/>
              </w:rPr>
              <w:t>仪器仪表；技术进出口、代理进出口、货物进</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出口</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8" w:right="63"/>
              <w:jc w:val="left"/>
              <w:rPr>
                <w:rFonts w:ascii="宋体" w:hAnsi="宋体" w:cs="宋体" w:eastAsia="宋体" w:hint="default"/>
                <w:sz w:val="16"/>
                <w:szCs w:val="16"/>
              </w:rPr>
            </w:pPr>
            <w:r>
              <w:rPr>
                <w:rFonts w:ascii="宋体" w:hAnsi="宋体" w:cs="宋体" w:eastAsia="宋体" w:hint="default"/>
                <w:spacing w:val="-1"/>
                <w:sz w:val="16"/>
                <w:szCs w:val="16"/>
              </w:rPr>
              <w:t>沈阳同方多媒体科技有限公</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31800.00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辽宁沈阳</w:t>
            </w:r>
          </w:p>
        </w:tc>
        <w:tc>
          <w:tcPr>
            <w:tcW w:w="3422"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59" w:right="79"/>
              <w:jc w:val="left"/>
              <w:rPr>
                <w:rFonts w:ascii="宋体" w:hAnsi="宋体" w:cs="宋体" w:eastAsia="宋体" w:hint="default"/>
                <w:sz w:val="16"/>
                <w:szCs w:val="16"/>
              </w:rPr>
            </w:pPr>
            <w:r>
              <w:rPr>
                <w:rFonts w:ascii="宋体" w:hAnsi="宋体" w:cs="宋体" w:eastAsia="宋体" w:hint="default"/>
                <w:spacing w:val="2"/>
                <w:sz w:val="16"/>
                <w:szCs w:val="16"/>
              </w:rPr>
              <w:t>数字电视及数字音视频产品、液晶模组产品的</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开发与生产</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8" w:right="63"/>
              <w:jc w:val="left"/>
              <w:rPr>
                <w:rFonts w:ascii="宋体" w:hAnsi="宋体" w:cs="宋体" w:eastAsia="宋体" w:hint="default"/>
                <w:sz w:val="16"/>
                <w:szCs w:val="16"/>
              </w:rPr>
            </w:pPr>
            <w:r>
              <w:rPr>
                <w:rFonts w:ascii="宋体" w:hAnsi="宋体" w:cs="宋体" w:eastAsia="宋体" w:hint="default"/>
                <w:spacing w:val="-1"/>
                <w:sz w:val="16"/>
                <w:szCs w:val="16"/>
              </w:rPr>
              <w:t>沈阳同臻精密电子科技有限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1800.00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70.00%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辽宁沈阳</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59" w:right="0"/>
              <w:jc w:val="left"/>
              <w:rPr>
                <w:rFonts w:ascii="宋体" w:hAnsi="宋体" w:cs="宋体" w:eastAsia="宋体" w:hint="default"/>
                <w:sz w:val="16"/>
                <w:szCs w:val="16"/>
              </w:rPr>
            </w:pPr>
            <w:r>
              <w:rPr>
                <w:rFonts w:ascii="宋体" w:hAnsi="宋体" w:cs="宋体" w:eastAsia="宋体" w:hint="default"/>
                <w:sz w:val="16"/>
                <w:szCs w:val="16"/>
              </w:rPr>
              <w:t>线材及连接器开发与生产</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8" w:right="63"/>
              <w:jc w:val="left"/>
              <w:rPr>
                <w:rFonts w:ascii="宋体" w:hAnsi="宋体" w:cs="宋体" w:eastAsia="宋体" w:hint="default"/>
                <w:sz w:val="16"/>
                <w:szCs w:val="16"/>
              </w:rPr>
            </w:pPr>
            <w:r>
              <w:rPr>
                <w:rFonts w:ascii="宋体" w:hAnsi="宋体" w:cs="宋体" w:eastAsia="宋体" w:hint="default"/>
                <w:spacing w:val="-1"/>
                <w:sz w:val="16"/>
                <w:szCs w:val="16"/>
              </w:rPr>
              <w:t>深圳市同方多媒体科技有限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30000.00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广东深圳</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59" w:right="0"/>
              <w:jc w:val="left"/>
              <w:rPr>
                <w:rFonts w:ascii="宋体" w:hAnsi="宋体" w:cs="宋体" w:eastAsia="宋体" w:hint="default"/>
                <w:sz w:val="16"/>
                <w:szCs w:val="16"/>
              </w:rPr>
            </w:pPr>
            <w:r>
              <w:rPr>
                <w:rFonts w:ascii="宋体" w:hAnsi="宋体" w:cs="宋体" w:eastAsia="宋体" w:hint="default"/>
                <w:sz w:val="16"/>
                <w:szCs w:val="16"/>
              </w:rPr>
              <w:t>数字音</w:t>
            </w:r>
            <w:r>
              <w:rPr>
                <w:rFonts w:ascii="Times New Roman" w:hAnsi="Times New Roman" w:cs="Times New Roman" w:eastAsia="Times New Roman" w:hint="default"/>
                <w:sz w:val="16"/>
                <w:szCs w:val="16"/>
              </w:rPr>
              <w:t>/</w:t>
            </w:r>
            <w:r>
              <w:rPr>
                <w:rFonts w:ascii="宋体" w:hAnsi="宋体" w:cs="宋体" w:eastAsia="宋体" w:hint="default"/>
                <w:sz w:val="16"/>
                <w:szCs w:val="16"/>
              </w:rPr>
              <w:t>视频和信息产业技术及产品</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28" w:right="0"/>
              <w:jc w:val="left"/>
              <w:rPr>
                <w:rFonts w:ascii="宋体" w:hAnsi="宋体" w:cs="宋体" w:eastAsia="宋体" w:hint="default"/>
                <w:sz w:val="16"/>
                <w:szCs w:val="16"/>
              </w:rPr>
            </w:pPr>
            <w:r>
              <w:rPr>
                <w:rFonts w:ascii="宋体" w:hAnsi="宋体" w:cs="宋体" w:eastAsia="宋体" w:hint="default"/>
                <w:sz w:val="16"/>
                <w:szCs w:val="16"/>
              </w:rPr>
              <w:t>同方光电（香港）有限公司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US$2000.00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45.00%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422"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59" w:right="78"/>
              <w:jc w:val="left"/>
              <w:rPr>
                <w:rFonts w:ascii="宋体" w:hAnsi="宋体" w:cs="宋体" w:eastAsia="宋体" w:hint="default"/>
                <w:sz w:val="16"/>
                <w:szCs w:val="16"/>
              </w:rPr>
            </w:pPr>
            <w:r>
              <w:rPr>
                <w:rFonts w:ascii="Times New Roman" w:hAnsi="Times New Roman" w:cs="Times New Roman" w:eastAsia="Times New Roman" w:hint="default"/>
                <w:sz w:val="16"/>
                <w:szCs w:val="16"/>
              </w:rPr>
              <w:t>LCD </w:t>
            </w:r>
            <w:r>
              <w:rPr>
                <w:rFonts w:ascii="宋体" w:hAnsi="宋体" w:cs="宋体" w:eastAsia="宋体" w:hint="default"/>
                <w:sz w:val="16"/>
                <w:szCs w:val="16"/>
              </w:rPr>
              <w:t>模组产品、</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7"/>
                <w:sz w:val="16"/>
                <w:szCs w:val="16"/>
              </w:rPr>
              <w:t> </w:t>
            </w:r>
            <w:r>
              <w:rPr>
                <w:rFonts w:ascii="宋体" w:hAnsi="宋体" w:cs="宋体" w:eastAsia="宋体" w:hint="default"/>
                <w:sz w:val="16"/>
                <w:szCs w:val="16"/>
              </w:rPr>
              <w:t>芯片及光条、导光板及光</w:t>
            </w:r>
            <w:r>
              <w:rPr>
                <w:rFonts w:ascii="宋体" w:hAnsi="宋体" w:cs="宋体" w:eastAsia="宋体" w:hint="default"/>
                <w:w w:val="100"/>
                <w:sz w:val="16"/>
                <w:szCs w:val="16"/>
              </w:rPr>
              <w:t> </w:t>
            </w:r>
            <w:r>
              <w:rPr>
                <w:rFonts w:ascii="宋体" w:hAnsi="宋体" w:cs="宋体" w:eastAsia="宋体" w:hint="default"/>
                <w:sz w:val="16"/>
                <w:szCs w:val="16"/>
              </w:rPr>
              <w:t>学材料的开发、生产、技术服务</w:t>
            </w:r>
          </w:p>
        </w:tc>
      </w:tr>
      <w:tr>
        <w:trPr>
          <w:trHeight w:val="682"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28" w:right="0"/>
              <w:jc w:val="left"/>
              <w:rPr>
                <w:rFonts w:ascii="宋体" w:hAnsi="宋体" w:cs="宋体" w:eastAsia="宋体" w:hint="default"/>
                <w:sz w:val="16"/>
                <w:szCs w:val="16"/>
              </w:rPr>
            </w:pPr>
            <w:r>
              <w:rPr>
                <w:rFonts w:ascii="宋体" w:hAnsi="宋体" w:cs="宋体" w:eastAsia="宋体" w:hint="default"/>
                <w:sz w:val="16"/>
                <w:szCs w:val="16"/>
              </w:rPr>
              <w:t>广东同方照明有限公司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HK$4050.00</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240" w:lineRule="auto"/>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6"/>
                <w:szCs w:val="16"/>
              </w:rPr>
            </w:pPr>
            <w:r>
              <w:rPr>
                <w:rFonts w:ascii="宋体" w:hAnsi="宋体" w:cs="宋体" w:eastAsia="宋体" w:hint="default"/>
                <w:sz w:val="16"/>
                <w:szCs w:val="16"/>
              </w:rPr>
              <w:t>广东广州</w:t>
            </w:r>
          </w:p>
        </w:tc>
        <w:tc>
          <w:tcPr>
            <w:tcW w:w="3422" w:type="dxa"/>
            <w:tcBorders>
              <w:top w:val="nil" w:sz="6" w:space="0" w:color="auto"/>
              <w:left w:val="nil" w:sz="6" w:space="0" w:color="auto"/>
              <w:bottom w:val="nil" w:sz="6" w:space="0" w:color="auto"/>
              <w:right w:val="nil" w:sz="6" w:space="0" w:color="auto"/>
            </w:tcBorders>
          </w:tcPr>
          <w:p>
            <w:pPr>
              <w:pStyle w:val="TableParagraph"/>
              <w:spacing w:line="237" w:lineRule="auto" w:before="7"/>
              <w:ind w:left="59" w:right="79"/>
              <w:jc w:val="both"/>
              <w:rPr>
                <w:rFonts w:ascii="宋体" w:hAnsi="宋体" w:cs="宋体" w:eastAsia="宋体" w:hint="default"/>
                <w:sz w:val="16"/>
                <w:szCs w:val="16"/>
              </w:rPr>
            </w:pPr>
            <w:r>
              <w:rPr>
                <w:rFonts w:ascii="宋体" w:hAnsi="宋体" w:cs="宋体" w:eastAsia="宋体" w:hint="default"/>
                <w:spacing w:val="2"/>
                <w:sz w:val="16"/>
                <w:szCs w:val="16"/>
              </w:rPr>
              <w:t>半导体应用技术开发；半导体器件、电子元器</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pacing w:val="2"/>
                <w:sz w:val="16"/>
                <w:szCs w:val="16"/>
              </w:rPr>
              <w:t>件、照明电器设备、电子显示屏、灯具制造与</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安装</w:t>
            </w:r>
          </w:p>
        </w:tc>
      </w:tr>
      <w:tr>
        <w:trPr>
          <w:trHeight w:val="683"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28" w:right="0"/>
              <w:jc w:val="left"/>
              <w:rPr>
                <w:rFonts w:ascii="宋体" w:hAnsi="宋体" w:cs="宋体" w:eastAsia="宋体" w:hint="default"/>
                <w:sz w:val="16"/>
                <w:szCs w:val="16"/>
              </w:rPr>
            </w:pPr>
            <w:r>
              <w:rPr>
                <w:rFonts w:ascii="宋体" w:hAnsi="宋体" w:cs="宋体" w:eastAsia="宋体" w:hint="default"/>
                <w:spacing w:val="-23"/>
                <w:sz w:val="16"/>
                <w:szCs w:val="16"/>
              </w:rPr>
              <w:t>深圳市同方光电科技有限公司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HK$2800.00</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6"/>
                <w:szCs w:val="16"/>
              </w:rPr>
            </w:pPr>
            <w:r>
              <w:rPr>
                <w:rFonts w:ascii="宋体" w:hAnsi="宋体" w:cs="宋体" w:eastAsia="宋体" w:hint="default"/>
                <w:sz w:val="16"/>
                <w:szCs w:val="16"/>
              </w:rPr>
              <w:t>广东深圳</w:t>
            </w:r>
          </w:p>
        </w:tc>
        <w:tc>
          <w:tcPr>
            <w:tcW w:w="3422" w:type="dxa"/>
            <w:tcBorders>
              <w:top w:val="nil" w:sz="6" w:space="0" w:color="auto"/>
              <w:left w:val="nil" w:sz="6" w:space="0" w:color="auto"/>
              <w:bottom w:val="nil" w:sz="6" w:space="0" w:color="auto"/>
              <w:right w:val="nil" w:sz="6" w:space="0" w:color="auto"/>
            </w:tcBorders>
          </w:tcPr>
          <w:p>
            <w:pPr>
              <w:pStyle w:val="TableParagraph"/>
              <w:spacing w:line="230" w:lineRule="auto" w:before="12"/>
              <w:ind w:left="59" w:right="78"/>
              <w:jc w:val="both"/>
              <w:rPr>
                <w:rFonts w:ascii="宋体" w:hAnsi="宋体" w:cs="宋体" w:eastAsia="宋体" w:hint="default"/>
                <w:sz w:val="16"/>
                <w:szCs w:val="16"/>
              </w:rPr>
            </w:pPr>
            <w:r>
              <w:rPr>
                <w:rFonts w:ascii="Times New Roman" w:hAnsi="Times New Roman" w:cs="Times New Roman" w:eastAsia="Times New Roman" w:hint="default"/>
                <w:sz w:val="16"/>
                <w:szCs w:val="16"/>
              </w:rPr>
              <w:t>LED </w:t>
            </w:r>
            <w:r>
              <w:rPr>
                <w:rFonts w:ascii="宋体" w:hAnsi="宋体" w:cs="宋体" w:eastAsia="宋体" w:hint="default"/>
                <w:sz w:val="16"/>
                <w:szCs w:val="16"/>
              </w:rPr>
              <w:t>液晶模组的生产经营，</w:t>
            </w:r>
            <w:r>
              <w:rPr>
                <w:rFonts w:ascii="Times New Roman" w:hAnsi="Times New Roman" w:cs="Times New Roman" w:eastAsia="Times New Roman" w:hint="default"/>
                <w:sz w:val="16"/>
                <w:szCs w:val="16"/>
              </w:rPr>
              <w:t>LCD</w:t>
            </w:r>
            <w:r>
              <w:rPr>
                <w:rFonts w:ascii="宋体" w:hAnsi="宋体" w:cs="宋体" w:eastAsia="宋体" w:hint="default"/>
                <w:sz w:val="16"/>
                <w:szCs w:val="16"/>
              </w:rPr>
              <w:t>、</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14"/>
                <w:sz w:val="16"/>
                <w:szCs w:val="16"/>
              </w:rPr>
              <w:t> </w:t>
            </w:r>
            <w:r>
              <w:rPr>
                <w:rFonts w:ascii="宋体" w:hAnsi="宋体" w:cs="宋体" w:eastAsia="宋体" w:hint="default"/>
                <w:sz w:val="16"/>
                <w:szCs w:val="16"/>
              </w:rPr>
              <w:t>芯片及</w:t>
            </w:r>
            <w:r>
              <w:rPr>
                <w:rFonts w:ascii="宋体" w:hAnsi="宋体" w:cs="宋体" w:eastAsia="宋体" w:hint="default"/>
                <w:w w:val="100"/>
                <w:sz w:val="16"/>
                <w:szCs w:val="16"/>
              </w:rPr>
              <w:t> </w:t>
            </w:r>
            <w:r>
              <w:rPr>
                <w:rFonts w:ascii="宋体" w:hAnsi="宋体" w:cs="宋体" w:eastAsia="宋体" w:hint="default"/>
                <w:spacing w:val="2"/>
                <w:sz w:val="16"/>
                <w:szCs w:val="16"/>
              </w:rPr>
              <w:t>光条、导光板、光学材料等的研发、技术咨询</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服务</w:t>
            </w:r>
          </w:p>
        </w:tc>
      </w:tr>
      <w:tr>
        <w:trPr>
          <w:trHeight w:val="4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8" w:right="0"/>
              <w:jc w:val="left"/>
              <w:rPr>
                <w:rFonts w:ascii="宋体" w:hAnsi="宋体" w:cs="宋体" w:eastAsia="宋体" w:hint="default"/>
                <w:sz w:val="16"/>
                <w:szCs w:val="16"/>
              </w:rPr>
            </w:pPr>
            <w:r>
              <w:rPr>
                <w:rFonts w:ascii="宋体" w:hAnsi="宋体" w:cs="宋体" w:eastAsia="宋体" w:hint="default"/>
                <w:sz w:val="16"/>
                <w:szCs w:val="16"/>
              </w:rPr>
              <w:t>沈阳同方科技园有限公司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16000.00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宋体" w:hAnsi="宋体" w:cs="宋体" w:eastAsia="宋体" w:hint="default"/>
                <w:sz w:val="16"/>
                <w:szCs w:val="16"/>
              </w:rPr>
            </w:pPr>
            <w:r>
              <w:rPr>
                <w:rFonts w:ascii="宋体" w:hAnsi="宋体" w:cs="宋体" w:eastAsia="宋体" w:hint="default"/>
                <w:sz w:val="16"/>
                <w:szCs w:val="16"/>
              </w:rPr>
              <w:t>辽宁沈阳</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
              <w:ind w:left="59" w:right="79"/>
              <w:jc w:val="left"/>
              <w:rPr>
                <w:rFonts w:ascii="宋体" w:hAnsi="宋体" w:cs="宋体" w:eastAsia="宋体" w:hint="default"/>
                <w:sz w:val="16"/>
                <w:szCs w:val="16"/>
              </w:rPr>
            </w:pPr>
            <w:r>
              <w:rPr>
                <w:rFonts w:ascii="宋体" w:hAnsi="宋体" w:cs="宋体" w:eastAsia="宋体" w:hint="default"/>
                <w:spacing w:val="2"/>
                <w:sz w:val="16"/>
                <w:szCs w:val="16"/>
              </w:rPr>
              <w:t>科技园配套设施的建设、开发、管理；项目投</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资；房屋租赁；物业管理</w:t>
            </w:r>
          </w:p>
        </w:tc>
      </w:tr>
      <w:tr>
        <w:trPr>
          <w:trHeight w:val="28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pacing w:val="-23"/>
                <w:sz w:val="16"/>
                <w:szCs w:val="16"/>
              </w:rPr>
              <w:t>辽宁同方银州科技园有限公司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辽宁铁岭</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科技园区及配套设施的开发管理</w:t>
            </w:r>
          </w:p>
        </w:tc>
      </w:tr>
      <w:tr>
        <w:trPr>
          <w:trHeight w:val="28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北京同方凌讯科技有限公司</w:t>
            </w:r>
          </w:p>
        </w:tc>
        <w:tc>
          <w:tcPr>
            <w:tcW w:w="4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25000.00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7"/>
              <w:jc w:val="right"/>
              <w:rPr>
                <w:rFonts w:ascii="Times New Roman" w:hAnsi="Times New Roman" w:cs="Times New Roman" w:eastAsia="Times New Roman" w:hint="default"/>
                <w:sz w:val="16"/>
                <w:szCs w:val="16"/>
              </w:rPr>
            </w:pPr>
            <w:r>
              <w:rPr>
                <w:rFonts w:ascii="Times New Roman"/>
                <w:spacing w:val="-1"/>
                <w:sz w:val="16"/>
              </w:rPr>
              <w:t>94.48%</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9"/>
              <w:ind w:left="59" w:right="0"/>
              <w:jc w:val="left"/>
              <w:rPr>
                <w:rFonts w:ascii="宋体" w:hAnsi="宋体" w:cs="宋体" w:eastAsia="宋体" w:hint="default"/>
                <w:sz w:val="16"/>
                <w:szCs w:val="16"/>
              </w:rPr>
            </w:pPr>
            <w:r>
              <w:rPr>
                <w:rFonts w:ascii="宋体" w:hAnsi="宋体" w:cs="宋体" w:eastAsia="宋体" w:hint="default"/>
                <w:sz w:val="16"/>
                <w:szCs w:val="16"/>
              </w:rPr>
              <w:t>微电子集成电路、广播电视、信息家电产品</w:t>
            </w:r>
          </w:p>
        </w:tc>
      </w:tr>
      <w:tr>
        <w:trPr>
          <w:trHeight w:val="267" w:hRule="exact"/>
        </w:trPr>
        <w:tc>
          <w:tcPr>
            <w:tcW w:w="2016"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28" w:right="0"/>
              <w:jc w:val="left"/>
              <w:rPr>
                <w:rFonts w:ascii="宋体" w:hAnsi="宋体" w:cs="宋体" w:eastAsia="宋体" w:hint="default"/>
                <w:sz w:val="16"/>
                <w:szCs w:val="16"/>
              </w:rPr>
            </w:pPr>
            <w:r>
              <w:rPr>
                <w:rFonts w:ascii="宋体" w:hAnsi="宋体" w:cs="宋体" w:eastAsia="宋体" w:hint="default"/>
                <w:sz w:val="16"/>
                <w:szCs w:val="16"/>
              </w:rPr>
              <w:t>北京同方吉兆科技有限公司</w:t>
            </w:r>
          </w:p>
        </w:tc>
        <w:tc>
          <w:tcPr>
            <w:tcW w:w="497"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43"/>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90"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12000.00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22"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59" w:right="0"/>
              <w:jc w:val="left"/>
              <w:rPr>
                <w:rFonts w:ascii="宋体" w:hAnsi="宋体" w:cs="宋体" w:eastAsia="宋体" w:hint="default"/>
                <w:sz w:val="16"/>
                <w:szCs w:val="16"/>
              </w:rPr>
            </w:pPr>
            <w:r>
              <w:rPr>
                <w:rFonts w:ascii="宋体" w:hAnsi="宋体" w:cs="宋体" w:eastAsia="宋体" w:hint="default"/>
                <w:sz w:val="16"/>
                <w:szCs w:val="16"/>
              </w:rPr>
              <w:t>广播电视发射、通信信道和工业控制设备</w:t>
            </w:r>
          </w:p>
        </w:tc>
      </w:tr>
    </w:tbl>
    <w:p>
      <w:pPr>
        <w:spacing w:after="0" w:line="240" w:lineRule="auto"/>
        <w:jc w:val="left"/>
        <w:rPr>
          <w:rFonts w:ascii="宋体" w:hAnsi="宋体" w:cs="宋体" w:eastAsia="宋体" w:hint="default"/>
          <w:sz w:val="16"/>
          <w:szCs w:val="16"/>
        </w:rPr>
        <w:sectPr>
          <w:pgSz w:w="11910" w:h="16840"/>
          <w:pgMar w:header="645" w:footer="816" w:top="1080" w:bottom="1000" w:left="1500" w:right="144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1"/>
          <w:szCs w:val="11"/>
        </w:rPr>
      </w:pPr>
    </w:p>
    <w:tbl>
      <w:tblPr>
        <w:tblW w:w="0" w:type="auto"/>
        <w:jc w:val="left"/>
        <w:tblInd w:w="173" w:type="dxa"/>
        <w:tblLayout w:type="fixed"/>
        <w:tblCellMar>
          <w:top w:w="0" w:type="dxa"/>
          <w:left w:w="0" w:type="dxa"/>
          <w:bottom w:w="0" w:type="dxa"/>
          <w:right w:w="0" w:type="dxa"/>
        </w:tblCellMar>
        <w:tblLook w:val="01E0"/>
      </w:tblPr>
      <w:tblGrid>
        <w:gridCol w:w="2016"/>
        <w:gridCol w:w="510"/>
        <w:gridCol w:w="1177"/>
        <w:gridCol w:w="780"/>
        <w:gridCol w:w="795"/>
        <w:gridCol w:w="3346"/>
      </w:tblGrid>
      <w:tr>
        <w:trPr>
          <w:trHeight w:val="307" w:hRule="exact"/>
        </w:trPr>
        <w:tc>
          <w:tcPr>
            <w:tcW w:w="2016"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17"/>
              <w:jc w:val="center"/>
              <w:rPr>
                <w:rFonts w:ascii="宋体" w:hAnsi="宋体" w:cs="宋体" w:eastAsia="宋体" w:hint="default"/>
                <w:sz w:val="16"/>
                <w:szCs w:val="16"/>
              </w:rPr>
            </w:pPr>
            <w:r>
              <w:rPr>
                <w:rFonts w:ascii="宋体" w:hAnsi="宋体" w:cs="宋体" w:eastAsia="宋体" w:hint="default"/>
                <w:b/>
                <w:bCs/>
                <w:sz w:val="16"/>
                <w:szCs w:val="16"/>
              </w:rPr>
              <w:t>公司名称</w:t>
            </w:r>
            <w:r>
              <w:rPr>
                <w:rFonts w:ascii="宋体" w:hAnsi="宋体" w:cs="宋体" w:eastAsia="宋体" w:hint="default"/>
                <w:sz w:val="16"/>
                <w:szCs w:val="16"/>
              </w:rPr>
            </w:r>
          </w:p>
        </w:tc>
        <w:tc>
          <w:tcPr>
            <w:tcW w:w="510"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56"/>
              <w:jc w:val="center"/>
              <w:rPr>
                <w:rFonts w:ascii="宋体" w:hAnsi="宋体" w:cs="宋体" w:eastAsia="宋体" w:hint="default"/>
                <w:sz w:val="16"/>
                <w:szCs w:val="16"/>
              </w:rPr>
            </w:pPr>
            <w:r>
              <w:rPr>
                <w:rFonts w:ascii="宋体" w:hAnsi="宋体" w:cs="宋体" w:eastAsia="宋体" w:hint="default"/>
                <w:b/>
                <w:bCs/>
                <w:sz w:val="16"/>
                <w:szCs w:val="16"/>
              </w:rPr>
              <w:t>级次</w:t>
            </w:r>
            <w:r>
              <w:rPr>
                <w:rFonts w:ascii="宋体" w:hAnsi="宋体" w:cs="宋体" w:eastAsia="宋体" w:hint="default"/>
                <w:sz w:val="16"/>
                <w:szCs w:val="16"/>
              </w:rPr>
            </w:r>
          </w:p>
        </w:tc>
        <w:tc>
          <w:tcPr>
            <w:tcW w:w="1177"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236" w:right="0"/>
              <w:jc w:val="left"/>
              <w:rPr>
                <w:rFonts w:ascii="宋体" w:hAnsi="宋体" w:cs="宋体" w:eastAsia="宋体" w:hint="default"/>
                <w:sz w:val="16"/>
                <w:szCs w:val="16"/>
              </w:rPr>
            </w:pPr>
            <w:r>
              <w:rPr>
                <w:rFonts w:ascii="宋体" w:hAnsi="宋体" w:cs="宋体" w:eastAsia="宋体" w:hint="default"/>
                <w:b/>
                <w:bCs/>
                <w:sz w:val="16"/>
                <w:szCs w:val="16"/>
              </w:rPr>
              <w:t>注册资本</w:t>
            </w:r>
            <w:r>
              <w:rPr>
                <w:rFonts w:ascii="宋体" w:hAnsi="宋体" w:cs="宋体" w:eastAsia="宋体" w:hint="default"/>
                <w:sz w:val="16"/>
                <w:szCs w:val="16"/>
              </w:rPr>
            </w:r>
          </w:p>
        </w:tc>
        <w:tc>
          <w:tcPr>
            <w:tcW w:w="780"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89"/>
              <w:jc w:val="right"/>
              <w:rPr>
                <w:rFonts w:ascii="宋体" w:hAnsi="宋体" w:cs="宋体" w:eastAsia="宋体" w:hint="default"/>
                <w:sz w:val="16"/>
                <w:szCs w:val="16"/>
              </w:rPr>
            </w:pPr>
            <w:r>
              <w:rPr>
                <w:rFonts w:ascii="宋体" w:hAnsi="宋体" w:cs="宋体" w:eastAsia="宋体" w:hint="default"/>
                <w:b/>
                <w:bCs/>
                <w:sz w:val="16"/>
                <w:szCs w:val="16"/>
              </w:rPr>
              <w:t>持股比例</w:t>
            </w:r>
            <w:r>
              <w:rPr>
                <w:rFonts w:ascii="宋体" w:hAnsi="宋体" w:cs="宋体" w:eastAsia="宋体" w:hint="default"/>
                <w:sz w:val="16"/>
                <w:szCs w:val="16"/>
              </w:rPr>
            </w:r>
          </w:p>
        </w:tc>
        <w:tc>
          <w:tcPr>
            <w:tcW w:w="795"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14"/>
              <w:jc w:val="center"/>
              <w:rPr>
                <w:rFonts w:ascii="宋体" w:hAnsi="宋体" w:cs="宋体" w:eastAsia="宋体" w:hint="default"/>
                <w:sz w:val="16"/>
                <w:szCs w:val="16"/>
              </w:rPr>
            </w:pPr>
            <w:r>
              <w:rPr>
                <w:rFonts w:ascii="宋体" w:hAnsi="宋体" w:cs="宋体" w:eastAsia="宋体" w:hint="default"/>
                <w:b/>
                <w:bCs/>
                <w:sz w:val="16"/>
                <w:szCs w:val="16"/>
              </w:rPr>
              <w:t>注册地址</w:t>
            </w:r>
            <w:r>
              <w:rPr>
                <w:rFonts w:ascii="宋体" w:hAnsi="宋体" w:cs="宋体" w:eastAsia="宋体" w:hint="default"/>
                <w:sz w:val="16"/>
                <w:szCs w:val="16"/>
              </w:rPr>
            </w:r>
          </w:p>
        </w:tc>
        <w:tc>
          <w:tcPr>
            <w:tcW w:w="3346"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9" w:right="0"/>
              <w:jc w:val="center"/>
              <w:rPr>
                <w:rFonts w:ascii="宋体" w:hAnsi="宋体" w:cs="宋体" w:eastAsia="宋体" w:hint="default"/>
                <w:sz w:val="16"/>
                <w:szCs w:val="16"/>
              </w:rPr>
            </w:pPr>
            <w:r>
              <w:rPr>
                <w:rFonts w:ascii="宋体" w:hAnsi="宋体" w:cs="宋体" w:eastAsia="宋体" w:hint="default"/>
                <w:b/>
                <w:bCs/>
                <w:sz w:val="16"/>
                <w:szCs w:val="16"/>
              </w:rPr>
              <w:t>主营业务</w:t>
            </w:r>
            <w:r>
              <w:rPr>
                <w:rFonts w:ascii="宋体" w:hAnsi="宋体" w:cs="宋体" w:eastAsia="宋体" w:hint="default"/>
                <w:sz w:val="16"/>
                <w:szCs w:val="16"/>
              </w:rPr>
            </w:r>
          </w:p>
        </w:tc>
      </w:tr>
      <w:tr>
        <w:trPr>
          <w:trHeight w:val="509" w:hRule="exact"/>
        </w:trPr>
        <w:tc>
          <w:tcPr>
            <w:tcW w:w="2016" w:type="dxa"/>
            <w:tcBorders>
              <w:top w:val="single" w:sz="4" w:space="0" w:color="000000"/>
              <w:left w:val="nil" w:sz="6" w:space="0" w:color="auto"/>
              <w:bottom w:val="nil" w:sz="6" w:space="0" w:color="auto"/>
              <w:right w:val="nil" w:sz="6" w:space="0" w:color="auto"/>
            </w:tcBorders>
          </w:tcPr>
          <w:p>
            <w:pPr>
              <w:pStyle w:val="TableParagraph"/>
              <w:spacing w:line="206" w:lineRule="exact" w:before="56"/>
              <w:ind w:left="28" w:right="63"/>
              <w:jc w:val="left"/>
              <w:rPr>
                <w:rFonts w:ascii="宋体" w:hAnsi="宋体" w:cs="宋体" w:eastAsia="宋体" w:hint="default"/>
                <w:sz w:val="16"/>
                <w:szCs w:val="16"/>
              </w:rPr>
            </w:pPr>
            <w:r>
              <w:rPr>
                <w:rFonts w:ascii="宋体" w:hAnsi="宋体" w:cs="宋体" w:eastAsia="宋体" w:hint="default"/>
                <w:spacing w:val="-1"/>
                <w:sz w:val="16"/>
                <w:szCs w:val="16"/>
              </w:rPr>
              <w:t>鞍山同方吉兆广播电视设备</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有限公司</w:t>
            </w:r>
          </w:p>
        </w:tc>
        <w:tc>
          <w:tcPr>
            <w:tcW w:w="510" w:type="dxa"/>
            <w:tcBorders>
              <w:top w:val="single" w:sz="4" w:space="0" w:color="000000"/>
              <w:left w:val="nil" w:sz="6" w:space="0" w:color="auto"/>
              <w:bottom w:val="nil" w:sz="6" w:space="0" w:color="auto"/>
              <w:right w:val="nil" w:sz="6" w:space="0" w:color="auto"/>
            </w:tcBorders>
          </w:tcPr>
          <w:p>
            <w:pPr>
              <w:pStyle w:val="TableParagraph"/>
              <w:spacing w:line="240" w:lineRule="auto" w:before="137"/>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single" w:sz="4" w:space="0" w:color="000000"/>
              <w:left w:val="nil" w:sz="6" w:space="0" w:color="auto"/>
              <w:bottom w:val="nil" w:sz="6" w:space="0" w:color="auto"/>
              <w:right w:val="nil" w:sz="6" w:space="0" w:color="auto"/>
            </w:tcBorders>
          </w:tcPr>
          <w:p>
            <w:pPr>
              <w:pStyle w:val="TableParagraph"/>
              <w:spacing w:line="240" w:lineRule="auto" w:before="13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600.00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single" w:sz="4" w:space="0" w:color="000000"/>
              <w:left w:val="nil" w:sz="6" w:space="0" w:color="auto"/>
              <w:bottom w:val="nil" w:sz="6" w:space="0" w:color="auto"/>
              <w:right w:val="nil" w:sz="6" w:space="0" w:color="auto"/>
            </w:tcBorders>
          </w:tcPr>
          <w:p>
            <w:pPr>
              <w:pStyle w:val="TableParagraph"/>
              <w:spacing w:line="240" w:lineRule="auto" w:before="137"/>
              <w:ind w:right="9"/>
              <w:jc w:val="center"/>
              <w:rPr>
                <w:rFonts w:ascii="宋体" w:hAnsi="宋体" w:cs="宋体" w:eastAsia="宋体" w:hint="default"/>
                <w:sz w:val="16"/>
                <w:szCs w:val="16"/>
              </w:rPr>
            </w:pPr>
            <w:r>
              <w:rPr>
                <w:rFonts w:ascii="宋体" w:hAnsi="宋体" w:cs="宋体" w:eastAsia="宋体" w:hint="default"/>
                <w:sz w:val="16"/>
                <w:szCs w:val="16"/>
              </w:rPr>
              <w:t>辽宁鞍山</w:t>
            </w:r>
          </w:p>
        </w:tc>
        <w:tc>
          <w:tcPr>
            <w:tcW w:w="3346" w:type="dxa"/>
            <w:tcBorders>
              <w:top w:val="single" w:sz="4" w:space="0" w:color="000000"/>
              <w:left w:val="nil" w:sz="6" w:space="0" w:color="auto"/>
              <w:bottom w:val="nil" w:sz="6" w:space="0" w:color="auto"/>
              <w:right w:val="nil" w:sz="6" w:space="0" w:color="auto"/>
            </w:tcBorders>
          </w:tcPr>
          <w:p>
            <w:pPr>
              <w:pStyle w:val="TableParagraph"/>
              <w:spacing w:line="240" w:lineRule="auto" w:before="137"/>
              <w:ind w:left="38" w:right="0"/>
              <w:jc w:val="left"/>
              <w:rPr>
                <w:rFonts w:ascii="宋体" w:hAnsi="宋体" w:cs="宋体" w:eastAsia="宋体" w:hint="default"/>
                <w:sz w:val="16"/>
                <w:szCs w:val="16"/>
              </w:rPr>
            </w:pPr>
            <w:r>
              <w:rPr>
                <w:rFonts w:ascii="宋体" w:hAnsi="宋体" w:cs="宋体" w:eastAsia="宋体" w:hint="default"/>
                <w:sz w:val="16"/>
                <w:szCs w:val="16"/>
              </w:rPr>
              <w:t>广播电视发射和差转设备</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8" w:right="63"/>
              <w:jc w:val="left"/>
              <w:rPr>
                <w:rFonts w:ascii="宋体" w:hAnsi="宋体" w:cs="宋体" w:eastAsia="宋体" w:hint="default"/>
                <w:sz w:val="16"/>
                <w:szCs w:val="16"/>
              </w:rPr>
            </w:pPr>
            <w:r>
              <w:rPr>
                <w:rFonts w:ascii="宋体" w:hAnsi="宋体" w:cs="宋体" w:eastAsia="宋体" w:hint="default"/>
                <w:spacing w:val="-1"/>
                <w:sz w:val="16"/>
                <w:szCs w:val="16"/>
              </w:rPr>
              <w:t>北京同方吉兆广播电视设备</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
              <w:jc w:val="center"/>
              <w:rPr>
                <w:rFonts w:ascii="宋体" w:hAnsi="宋体" w:cs="宋体" w:eastAsia="宋体" w:hint="default"/>
                <w:sz w:val="16"/>
                <w:szCs w:val="16"/>
              </w:rPr>
            </w:pPr>
            <w:r>
              <w:rPr>
                <w:rFonts w:ascii="宋体" w:hAnsi="宋体" w:cs="宋体" w:eastAsia="宋体" w:hint="default"/>
                <w:sz w:val="16"/>
                <w:szCs w:val="16"/>
              </w:rPr>
              <w:t>北京密云</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38" w:right="0"/>
              <w:jc w:val="left"/>
              <w:rPr>
                <w:rFonts w:ascii="宋体" w:hAnsi="宋体" w:cs="宋体" w:eastAsia="宋体" w:hint="default"/>
                <w:sz w:val="16"/>
                <w:szCs w:val="16"/>
              </w:rPr>
            </w:pPr>
            <w:r>
              <w:rPr>
                <w:rFonts w:ascii="宋体" w:hAnsi="宋体" w:cs="宋体" w:eastAsia="宋体" w:hint="default"/>
                <w:sz w:val="16"/>
                <w:szCs w:val="16"/>
              </w:rPr>
              <w:t>电视发射机、调频发射机生产</w:t>
            </w:r>
          </w:p>
        </w:tc>
      </w:tr>
      <w:tr>
        <w:trPr>
          <w:trHeight w:val="479"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8" w:right="63"/>
              <w:jc w:val="left"/>
              <w:rPr>
                <w:rFonts w:ascii="宋体" w:hAnsi="宋体" w:cs="宋体" w:eastAsia="宋体" w:hint="default"/>
                <w:sz w:val="16"/>
                <w:szCs w:val="16"/>
              </w:rPr>
            </w:pPr>
            <w:r>
              <w:rPr>
                <w:rFonts w:ascii="宋体" w:hAnsi="宋体" w:cs="宋体" w:eastAsia="宋体" w:hint="default"/>
                <w:spacing w:val="-1"/>
                <w:sz w:val="16"/>
                <w:szCs w:val="16"/>
              </w:rPr>
              <w:t>同方健康科技（北京）股份</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5180.00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49"/>
              <w:jc w:val="right"/>
              <w:rPr>
                <w:rFonts w:ascii="Times New Roman" w:hAnsi="Times New Roman" w:cs="Times New Roman" w:eastAsia="Times New Roman" w:hint="default"/>
                <w:sz w:val="16"/>
                <w:szCs w:val="16"/>
              </w:rPr>
            </w:pPr>
            <w:r>
              <w:rPr>
                <w:rFonts w:ascii="Times New Roman"/>
                <w:spacing w:val="-1"/>
                <w:sz w:val="16"/>
              </w:rPr>
              <w:t>80.00%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46"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38" w:right="25"/>
              <w:jc w:val="left"/>
              <w:rPr>
                <w:rFonts w:ascii="宋体" w:hAnsi="宋体" w:cs="宋体" w:eastAsia="宋体" w:hint="default"/>
                <w:sz w:val="16"/>
                <w:szCs w:val="16"/>
              </w:rPr>
            </w:pPr>
            <w:r>
              <w:rPr>
                <w:rFonts w:ascii="宋体" w:hAnsi="宋体" w:cs="宋体" w:eastAsia="宋体" w:hint="default"/>
                <w:spacing w:val="2"/>
                <w:sz w:val="16"/>
                <w:szCs w:val="16"/>
              </w:rPr>
              <w:t>体育科技产品、体育竞赛管理系统；技术货物</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进出口</w:t>
            </w:r>
          </w:p>
        </w:tc>
      </w:tr>
      <w:tr>
        <w:trPr>
          <w:trHeight w:val="2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北京市同方教育培训学校</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9"/>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9"/>
              <w:ind w:left="38" w:right="0"/>
              <w:jc w:val="left"/>
              <w:rPr>
                <w:rFonts w:ascii="宋体" w:hAnsi="宋体" w:cs="宋体" w:eastAsia="宋体" w:hint="default"/>
                <w:sz w:val="16"/>
                <w:szCs w:val="16"/>
              </w:rPr>
            </w:pPr>
            <w:r>
              <w:rPr>
                <w:rFonts w:ascii="宋体" w:hAnsi="宋体" w:cs="宋体" w:eastAsia="宋体" w:hint="default"/>
                <w:sz w:val="16"/>
                <w:szCs w:val="16"/>
              </w:rPr>
              <w:t>教育培训</w:t>
            </w:r>
          </w:p>
        </w:tc>
      </w:tr>
      <w:tr>
        <w:trPr>
          <w:trHeight w:val="47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28" w:right="0"/>
              <w:jc w:val="left"/>
              <w:rPr>
                <w:rFonts w:ascii="宋体" w:hAnsi="宋体" w:cs="宋体" w:eastAsia="宋体" w:hint="default"/>
                <w:sz w:val="16"/>
                <w:szCs w:val="16"/>
              </w:rPr>
            </w:pPr>
            <w:r>
              <w:rPr>
                <w:rFonts w:ascii="宋体" w:hAnsi="宋体" w:cs="宋体" w:eastAsia="宋体" w:hint="default"/>
                <w:sz w:val="16"/>
                <w:szCs w:val="16"/>
              </w:rPr>
              <w:t>南通同方半导体有限公司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81400.00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9"/>
              <w:jc w:val="center"/>
              <w:rPr>
                <w:rFonts w:ascii="宋体" w:hAnsi="宋体" w:cs="宋体" w:eastAsia="宋体" w:hint="default"/>
                <w:sz w:val="16"/>
                <w:szCs w:val="16"/>
              </w:rPr>
            </w:pPr>
            <w:r>
              <w:rPr>
                <w:rFonts w:ascii="宋体" w:hAnsi="宋体" w:cs="宋体" w:eastAsia="宋体" w:hint="default"/>
                <w:sz w:val="16"/>
                <w:szCs w:val="16"/>
              </w:rPr>
              <w:t>江苏南通</w:t>
            </w:r>
          </w:p>
        </w:tc>
        <w:tc>
          <w:tcPr>
            <w:tcW w:w="3346" w:type="dxa"/>
            <w:tcBorders>
              <w:top w:val="nil" w:sz="6" w:space="0" w:color="auto"/>
              <w:left w:val="nil" w:sz="6" w:space="0" w:color="auto"/>
              <w:bottom w:val="nil" w:sz="6" w:space="0" w:color="auto"/>
              <w:right w:val="nil" w:sz="6" w:space="0" w:color="auto"/>
            </w:tcBorders>
          </w:tcPr>
          <w:p>
            <w:pPr>
              <w:pStyle w:val="TableParagraph"/>
              <w:spacing w:line="208" w:lineRule="exact" w:before="25"/>
              <w:ind w:left="38" w:right="24"/>
              <w:jc w:val="left"/>
              <w:rPr>
                <w:rFonts w:ascii="宋体" w:hAnsi="宋体" w:cs="宋体" w:eastAsia="宋体" w:hint="default"/>
                <w:sz w:val="16"/>
                <w:szCs w:val="16"/>
              </w:rPr>
            </w:pPr>
            <w:r>
              <w:rPr>
                <w:rFonts w:ascii="宋体" w:hAnsi="宋体" w:cs="宋体" w:eastAsia="宋体" w:hint="default"/>
                <w:spacing w:val="-2"/>
                <w:sz w:val="16"/>
                <w:szCs w:val="16"/>
              </w:rPr>
              <w:t>高亮度发光二级管</w:t>
            </w:r>
            <w:r>
              <w:rPr>
                <w:rFonts w:ascii="Times New Roman" w:hAnsi="Times New Roman" w:cs="Times New Roman" w:eastAsia="Times New Roman" w:hint="default"/>
                <w:spacing w:val="-2"/>
                <w:sz w:val="16"/>
                <w:szCs w:val="16"/>
              </w:rPr>
              <w:t>(LED)</w:t>
            </w:r>
            <w:r>
              <w:rPr>
                <w:rFonts w:ascii="宋体" w:hAnsi="宋体" w:cs="宋体" w:eastAsia="宋体" w:hint="default"/>
                <w:spacing w:val="-2"/>
                <w:sz w:val="16"/>
                <w:szCs w:val="16"/>
              </w:rPr>
              <w:t>外延片和芯片开发、生</w:t>
            </w:r>
            <w:r>
              <w:rPr>
                <w:rFonts w:ascii="宋体" w:hAnsi="宋体" w:cs="宋体" w:eastAsia="宋体" w:hint="default"/>
                <w:spacing w:val="-53"/>
                <w:sz w:val="16"/>
                <w:szCs w:val="16"/>
              </w:rPr>
              <w:t> </w:t>
            </w:r>
            <w:r>
              <w:rPr>
                <w:rFonts w:ascii="宋体" w:hAnsi="宋体" w:cs="宋体" w:eastAsia="宋体" w:hint="default"/>
                <w:spacing w:val="-53"/>
                <w:sz w:val="16"/>
                <w:szCs w:val="16"/>
              </w:rPr>
            </w:r>
            <w:r>
              <w:rPr>
                <w:rFonts w:ascii="宋体" w:hAnsi="宋体" w:cs="宋体" w:eastAsia="宋体" w:hint="default"/>
                <w:sz w:val="16"/>
                <w:szCs w:val="16"/>
              </w:rPr>
              <w:t>产、销售</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8" w:right="0"/>
              <w:jc w:val="left"/>
              <w:rPr>
                <w:rFonts w:ascii="宋体" w:hAnsi="宋体" w:cs="宋体" w:eastAsia="宋体" w:hint="default"/>
                <w:sz w:val="16"/>
                <w:szCs w:val="16"/>
              </w:rPr>
            </w:pPr>
            <w:r>
              <w:rPr>
                <w:rFonts w:ascii="宋体" w:hAnsi="宋体" w:cs="宋体" w:eastAsia="宋体" w:hint="default"/>
                <w:sz w:val="16"/>
                <w:szCs w:val="16"/>
              </w:rPr>
              <w:t>同方光电科技有限公司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8000.00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
              <w:jc w:val="center"/>
              <w:rPr>
                <w:rFonts w:ascii="宋体" w:hAnsi="宋体" w:cs="宋体" w:eastAsia="宋体" w:hint="default"/>
                <w:sz w:val="16"/>
                <w:szCs w:val="16"/>
              </w:rPr>
            </w:pPr>
            <w:r>
              <w:rPr>
                <w:rFonts w:ascii="宋体" w:hAnsi="宋体" w:cs="宋体" w:eastAsia="宋体" w:hint="default"/>
                <w:sz w:val="16"/>
                <w:szCs w:val="16"/>
              </w:rPr>
              <w:t>北京顺义</w:t>
            </w:r>
          </w:p>
        </w:tc>
        <w:tc>
          <w:tcPr>
            <w:tcW w:w="3346" w:type="dxa"/>
            <w:tcBorders>
              <w:top w:val="nil" w:sz="6" w:space="0" w:color="auto"/>
              <w:left w:val="nil" w:sz="6" w:space="0" w:color="auto"/>
              <w:bottom w:val="nil" w:sz="6" w:space="0" w:color="auto"/>
              <w:right w:val="nil" w:sz="6" w:space="0" w:color="auto"/>
            </w:tcBorders>
          </w:tcPr>
          <w:p>
            <w:pPr>
              <w:pStyle w:val="TableParagraph"/>
              <w:spacing w:line="208" w:lineRule="exact" w:before="24"/>
              <w:ind w:left="38" w:right="24"/>
              <w:jc w:val="left"/>
              <w:rPr>
                <w:rFonts w:ascii="宋体" w:hAnsi="宋体" w:cs="宋体" w:eastAsia="宋体" w:hint="default"/>
                <w:sz w:val="16"/>
                <w:szCs w:val="16"/>
              </w:rPr>
            </w:pPr>
            <w:r>
              <w:rPr>
                <w:rFonts w:ascii="宋体" w:hAnsi="宋体" w:cs="宋体" w:eastAsia="宋体" w:hint="default"/>
                <w:spacing w:val="-2"/>
                <w:sz w:val="16"/>
                <w:szCs w:val="16"/>
              </w:rPr>
              <w:t>高亮度发光二级管</w:t>
            </w:r>
            <w:r>
              <w:rPr>
                <w:rFonts w:ascii="Times New Roman" w:hAnsi="Times New Roman" w:cs="Times New Roman" w:eastAsia="Times New Roman" w:hint="default"/>
                <w:spacing w:val="-2"/>
                <w:sz w:val="16"/>
                <w:szCs w:val="16"/>
              </w:rPr>
              <w:t>(LED)</w:t>
            </w:r>
            <w:r>
              <w:rPr>
                <w:rFonts w:ascii="宋体" w:hAnsi="宋体" w:cs="宋体" w:eastAsia="宋体" w:hint="default"/>
                <w:spacing w:val="-2"/>
                <w:sz w:val="16"/>
                <w:szCs w:val="16"/>
              </w:rPr>
              <w:t>外延片和芯片开发、生</w:t>
            </w:r>
            <w:r>
              <w:rPr>
                <w:rFonts w:ascii="宋体" w:hAnsi="宋体" w:cs="宋体" w:eastAsia="宋体" w:hint="default"/>
                <w:spacing w:val="-53"/>
                <w:sz w:val="16"/>
                <w:szCs w:val="16"/>
              </w:rPr>
              <w:t> </w:t>
            </w:r>
            <w:r>
              <w:rPr>
                <w:rFonts w:ascii="宋体" w:hAnsi="宋体" w:cs="宋体" w:eastAsia="宋体" w:hint="default"/>
                <w:spacing w:val="-53"/>
                <w:sz w:val="16"/>
                <w:szCs w:val="16"/>
              </w:rPr>
            </w:r>
            <w:r>
              <w:rPr>
                <w:rFonts w:ascii="宋体" w:hAnsi="宋体" w:cs="宋体" w:eastAsia="宋体" w:hint="default"/>
                <w:sz w:val="16"/>
                <w:szCs w:val="16"/>
              </w:rPr>
              <w:t>产、销售</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
              <w:ind w:left="28" w:right="63"/>
              <w:jc w:val="left"/>
              <w:rPr>
                <w:rFonts w:ascii="宋体" w:hAnsi="宋体" w:cs="宋体" w:eastAsia="宋体" w:hint="default"/>
                <w:sz w:val="16"/>
                <w:szCs w:val="16"/>
              </w:rPr>
            </w:pPr>
            <w:r>
              <w:rPr>
                <w:rFonts w:ascii="宋体" w:hAnsi="宋体" w:cs="宋体" w:eastAsia="宋体" w:hint="default"/>
                <w:spacing w:val="-1"/>
                <w:sz w:val="16"/>
                <w:szCs w:val="16"/>
              </w:rPr>
              <w:t>同方（浙江）照明科技有限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9"/>
              <w:jc w:val="right"/>
              <w:rPr>
                <w:rFonts w:ascii="Times New Roman" w:hAnsi="Times New Roman" w:cs="Times New Roman" w:eastAsia="Times New Roman" w:hint="default"/>
                <w:sz w:val="16"/>
                <w:szCs w:val="16"/>
              </w:rPr>
            </w:pPr>
            <w:r>
              <w:rPr>
                <w:rFonts w:ascii="Times New Roman"/>
                <w:spacing w:val="-1"/>
                <w:sz w:val="16"/>
              </w:rPr>
              <w:t>51.00%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
              <w:jc w:val="center"/>
              <w:rPr>
                <w:rFonts w:ascii="宋体" w:hAnsi="宋体" w:cs="宋体" w:eastAsia="宋体" w:hint="default"/>
                <w:sz w:val="16"/>
                <w:szCs w:val="16"/>
              </w:rPr>
            </w:pPr>
            <w:r>
              <w:rPr>
                <w:rFonts w:ascii="宋体" w:hAnsi="宋体" w:cs="宋体" w:eastAsia="宋体" w:hint="default"/>
                <w:sz w:val="16"/>
                <w:szCs w:val="16"/>
              </w:rPr>
              <w:t>浙江湖州</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4"/>
              <w:ind w:left="38" w:right="25"/>
              <w:jc w:val="left"/>
              <w:rPr>
                <w:rFonts w:ascii="宋体" w:hAnsi="宋体" w:cs="宋体" w:eastAsia="宋体" w:hint="default"/>
                <w:sz w:val="16"/>
                <w:szCs w:val="16"/>
              </w:rPr>
            </w:pPr>
            <w:r>
              <w:rPr>
                <w:rFonts w:ascii="宋体" w:hAnsi="宋体" w:cs="宋体" w:eastAsia="宋体" w:hint="default"/>
                <w:spacing w:val="2"/>
                <w:sz w:val="16"/>
                <w:szCs w:val="16"/>
              </w:rPr>
              <w:t>镇流器、节能灯、照明电器及电子电器生产、</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销售</w:t>
            </w:r>
          </w:p>
        </w:tc>
      </w:tr>
      <w:tr>
        <w:trPr>
          <w:trHeight w:val="4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28" w:right="315"/>
              <w:jc w:val="left"/>
              <w:rPr>
                <w:rFonts w:ascii="Times New Roman" w:hAnsi="Times New Roman" w:cs="Times New Roman" w:eastAsia="Times New Roman" w:hint="default"/>
                <w:sz w:val="16"/>
                <w:szCs w:val="16"/>
              </w:rPr>
            </w:pPr>
            <w:r>
              <w:rPr>
                <w:rFonts w:ascii="Times New Roman"/>
                <w:sz w:val="16"/>
              </w:rPr>
              <w:t>TongFang</w:t>
            </w:r>
            <w:r>
              <w:rPr>
                <w:rFonts w:ascii="Times New Roman"/>
                <w:spacing w:val="-9"/>
                <w:sz w:val="16"/>
              </w:rPr>
              <w:t> </w:t>
            </w:r>
            <w:r>
              <w:rPr>
                <w:rFonts w:ascii="Times New Roman"/>
                <w:sz w:val="16"/>
              </w:rPr>
              <w:t>Semiconductor</w:t>
            </w:r>
            <w:r>
              <w:rPr>
                <w:rFonts w:ascii="Times New Roman"/>
                <w:w w:val="100"/>
                <w:sz w:val="16"/>
              </w:rPr>
              <w:t> </w:t>
            </w:r>
            <w:r>
              <w:rPr>
                <w:rFonts w:ascii="Times New Roman"/>
                <w:sz w:val="16"/>
              </w:rPr>
              <w:t>(HongKong) Co.,</w:t>
            </w:r>
            <w:r>
              <w:rPr>
                <w:rFonts w:ascii="Times New Roman"/>
                <w:spacing w:val="-14"/>
                <w:sz w:val="16"/>
              </w:rPr>
              <w:t> </w:t>
            </w:r>
            <w:r>
              <w:rPr>
                <w:rFonts w:ascii="Times New Roman"/>
                <w:sz w:val="16"/>
              </w:rPr>
              <w:t>Limited</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US$750.00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346" w:type="dxa"/>
            <w:tcBorders>
              <w:top w:val="nil" w:sz="6" w:space="0" w:color="auto"/>
              <w:left w:val="nil" w:sz="6" w:space="0" w:color="auto"/>
              <w:bottom w:val="nil" w:sz="6" w:space="0" w:color="auto"/>
              <w:right w:val="nil" w:sz="6" w:space="0" w:color="auto"/>
            </w:tcBorders>
          </w:tcPr>
          <w:p>
            <w:pPr>
              <w:pStyle w:val="TableParagraph"/>
              <w:spacing w:line="208" w:lineRule="exact" w:before="24"/>
              <w:ind w:left="38" w:right="27"/>
              <w:jc w:val="left"/>
              <w:rPr>
                <w:rFonts w:ascii="宋体" w:hAnsi="宋体" w:cs="宋体" w:eastAsia="宋体" w:hint="default"/>
                <w:sz w:val="16"/>
                <w:szCs w:val="16"/>
              </w:rPr>
            </w:pPr>
            <w:r>
              <w:rPr>
                <w:rFonts w:ascii="宋体" w:hAnsi="宋体" w:cs="宋体" w:eastAsia="宋体" w:hint="default"/>
                <w:spacing w:val="4"/>
                <w:sz w:val="16"/>
                <w:szCs w:val="16"/>
              </w:rPr>
              <w:t>高亮度发光二级管</w:t>
            </w:r>
            <w:r>
              <w:rPr>
                <w:rFonts w:ascii="Times New Roman" w:hAnsi="Times New Roman" w:cs="Times New Roman" w:eastAsia="Times New Roman" w:hint="default"/>
                <w:spacing w:val="4"/>
                <w:sz w:val="16"/>
                <w:szCs w:val="16"/>
              </w:rPr>
              <w:t>(LED)</w:t>
            </w:r>
            <w:r>
              <w:rPr>
                <w:rFonts w:ascii="宋体" w:hAnsi="宋体" w:cs="宋体" w:eastAsia="宋体" w:hint="default"/>
                <w:spacing w:val="4"/>
                <w:sz w:val="16"/>
                <w:szCs w:val="16"/>
              </w:rPr>
              <w:t>外延片和芯片技术研</w:t>
            </w:r>
            <w:r>
              <w:rPr>
                <w:rFonts w:ascii="宋体" w:hAnsi="宋体" w:cs="宋体" w:eastAsia="宋体" w:hint="default"/>
                <w:spacing w:val="-33"/>
                <w:sz w:val="16"/>
                <w:szCs w:val="16"/>
              </w:rPr>
              <w:t> </w:t>
            </w:r>
            <w:r>
              <w:rPr>
                <w:rFonts w:ascii="宋体" w:hAnsi="宋体" w:cs="宋体" w:eastAsia="宋体" w:hint="default"/>
                <w:spacing w:val="-33"/>
                <w:sz w:val="16"/>
                <w:szCs w:val="16"/>
              </w:rPr>
            </w:r>
            <w:r>
              <w:rPr>
                <w:rFonts w:ascii="宋体" w:hAnsi="宋体" w:cs="宋体" w:eastAsia="宋体" w:hint="default"/>
                <w:sz w:val="16"/>
                <w:szCs w:val="16"/>
              </w:rPr>
              <w:t>发与产品销售</w:t>
            </w:r>
          </w:p>
        </w:tc>
      </w:tr>
      <w:tr>
        <w:trPr>
          <w:trHeight w:val="28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南通同方科技园有限公司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20000.00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9"/>
              <w:jc w:val="center"/>
              <w:rPr>
                <w:rFonts w:ascii="宋体" w:hAnsi="宋体" w:cs="宋体" w:eastAsia="宋体" w:hint="default"/>
                <w:sz w:val="16"/>
                <w:szCs w:val="16"/>
              </w:rPr>
            </w:pPr>
            <w:r>
              <w:rPr>
                <w:rFonts w:ascii="宋体" w:hAnsi="宋体" w:cs="宋体" w:eastAsia="宋体" w:hint="default"/>
                <w:sz w:val="16"/>
                <w:szCs w:val="16"/>
              </w:rPr>
              <w:t>江苏南通</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9"/>
              <w:ind w:left="38" w:right="0"/>
              <w:jc w:val="left"/>
              <w:rPr>
                <w:rFonts w:ascii="宋体" w:hAnsi="宋体" w:cs="宋体" w:eastAsia="宋体" w:hint="default"/>
                <w:sz w:val="16"/>
                <w:szCs w:val="16"/>
              </w:rPr>
            </w:pPr>
            <w:r>
              <w:rPr>
                <w:rFonts w:ascii="宋体" w:hAnsi="宋体" w:cs="宋体" w:eastAsia="宋体" w:hint="default"/>
                <w:sz w:val="16"/>
                <w:szCs w:val="16"/>
              </w:rPr>
              <w:t>科技园区建设和管理</w:t>
            </w:r>
          </w:p>
        </w:tc>
      </w:tr>
      <w:tr>
        <w:trPr>
          <w:trHeight w:val="2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8"/>
              <w:ind w:left="28" w:right="0"/>
              <w:jc w:val="left"/>
              <w:rPr>
                <w:rFonts w:ascii="宋体" w:hAnsi="宋体" w:cs="宋体" w:eastAsia="宋体" w:hint="default"/>
                <w:sz w:val="16"/>
                <w:szCs w:val="16"/>
              </w:rPr>
            </w:pPr>
            <w:r>
              <w:rPr>
                <w:rFonts w:ascii="宋体" w:hAnsi="宋体" w:cs="宋体" w:eastAsia="宋体" w:hint="default"/>
                <w:sz w:val="16"/>
                <w:szCs w:val="16"/>
              </w:rPr>
              <w:t>南通同景置业有限公司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800.00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9"/>
              <w:jc w:val="center"/>
              <w:rPr>
                <w:rFonts w:ascii="宋体" w:hAnsi="宋体" w:cs="宋体" w:eastAsia="宋体" w:hint="default"/>
                <w:sz w:val="16"/>
                <w:szCs w:val="16"/>
              </w:rPr>
            </w:pPr>
            <w:r>
              <w:rPr>
                <w:rFonts w:ascii="宋体" w:hAnsi="宋体" w:cs="宋体" w:eastAsia="宋体" w:hint="default"/>
                <w:sz w:val="16"/>
                <w:szCs w:val="16"/>
              </w:rPr>
              <w:t>江苏南通</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8"/>
              <w:ind w:left="38" w:right="0"/>
              <w:jc w:val="left"/>
              <w:rPr>
                <w:rFonts w:ascii="宋体" w:hAnsi="宋体" w:cs="宋体" w:eastAsia="宋体" w:hint="default"/>
                <w:sz w:val="16"/>
                <w:szCs w:val="16"/>
              </w:rPr>
            </w:pPr>
            <w:r>
              <w:rPr>
                <w:rFonts w:ascii="宋体" w:hAnsi="宋体" w:cs="宋体" w:eastAsia="宋体" w:hint="default"/>
                <w:sz w:val="16"/>
                <w:szCs w:val="16"/>
              </w:rPr>
              <w:t>科技园区建设和管理</w:t>
            </w:r>
          </w:p>
        </w:tc>
      </w:tr>
      <w:tr>
        <w:trPr>
          <w:trHeight w:val="4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28" w:right="0"/>
              <w:jc w:val="left"/>
              <w:rPr>
                <w:rFonts w:ascii="宋体" w:hAnsi="宋体" w:cs="宋体" w:eastAsia="宋体" w:hint="default"/>
                <w:sz w:val="16"/>
                <w:szCs w:val="16"/>
              </w:rPr>
            </w:pPr>
            <w:r>
              <w:rPr>
                <w:rFonts w:ascii="宋体" w:hAnsi="宋体" w:cs="宋体" w:eastAsia="宋体" w:hint="default"/>
                <w:sz w:val="16"/>
                <w:szCs w:val="16"/>
              </w:rPr>
              <w:t>清芯光电有限公司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43"/>
              <w:jc w:val="right"/>
              <w:rPr>
                <w:rFonts w:ascii="宋体" w:hAnsi="宋体" w:cs="宋体" w:eastAsia="宋体" w:hint="default"/>
                <w:sz w:val="16"/>
                <w:szCs w:val="16"/>
              </w:rPr>
            </w:pPr>
            <w:r>
              <w:rPr>
                <w:rFonts w:ascii="Times New Roman" w:hAnsi="Times New Roman" w:cs="Times New Roman" w:eastAsia="Times New Roman" w:hint="default"/>
                <w:sz w:val="16"/>
                <w:szCs w:val="16"/>
              </w:rPr>
              <w:t>US$1000.00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49"/>
              <w:jc w:val="right"/>
              <w:rPr>
                <w:rFonts w:ascii="Times New Roman" w:hAnsi="Times New Roman" w:cs="Times New Roman" w:eastAsia="Times New Roman" w:hint="default"/>
                <w:sz w:val="16"/>
                <w:szCs w:val="16"/>
              </w:rPr>
            </w:pPr>
            <w:r>
              <w:rPr>
                <w:rFonts w:ascii="Times New Roman"/>
                <w:spacing w:val="-1"/>
                <w:sz w:val="16"/>
              </w:rPr>
              <w:t>55.00%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9"/>
              <w:jc w:val="center"/>
              <w:rPr>
                <w:rFonts w:ascii="宋体" w:hAnsi="宋体" w:cs="宋体" w:eastAsia="宋体" w:hint="default"/>
                <w:sz w:val="16"/>
                <w:szCs w:val="16"/>
              </w:rPr>
            </w:pPr>
            <w:r>
              <w:rPr>
                <w:rFonts w:ascii="宋体" w:hAnsi="宋体" w:cs="宋体" w:eastAsia="宋体" w:hint="default"/>
                <w:sz w:val="16"/>
                <w:szCs w:val="16"/>
              </w:rPr>
              <w:t>河北廊坊</w:t>
            </w:r>
          </w:p>
        </w:tc>
        <w:tc>
          <w:tcPr>
            <w:tcW w:w="3346" w:type="dxa"/>
            <w:tcBorders>
              <w:top w:val="nil" w:sz="6" w:space="0" w:color="auto"/>
              <w:left w:val="nil" w:sz="6" w:space="0" w:color="auto"/>
              <w:bottom w:val="nil" w:sz="6" w:space="0" w:color="auto"/>
              <w:right w:val="nil" w:sz="6" w:space="0" w:color="auto"/>
            </w:tcBorders>
          </w:tcPr>
          <w:p>
            <w:pPr>
              <w:pStyle w:val="TableParagraph"/>
              <w:spacing w:line="208" w:lineRule="exact" w:before="25"/>
              <w:ind w:left="38" w:right="24"/>
              <w:jc w:val="left"/>
              <w:rPr>
                <w:rFonts w:ascii="宋体" w:hAnsi="宋体" w:cs="宋体" w:eastAsia="宋体" w:hint="default"/>
                <w:sz w:val="16"/>
                <w:szCs w:val="16"/>
              </w:rPr>
            </w:pPr>
            <w:r>
              <w:rPr>
                <w:rFonts w:ascii="宋体" w:hAnsi="宋体" w:cs="宋体" w:eastAsia="宋体" w:hint="default"/>
                <w:spacing w:val="-2"/>
                <w:sz w:val="16"/>
                <w:szCs w:val="16"/>
              </w:rPr>
              <w:t>高亮度发光二级管</w:t>
            </w:r>
            <w:r>
              <w:rPr>
                <w:rFonts w:ascii="Times New Roman" w:hAnsi="Times New Roman" w:cs="Times New Roman" w:eastAsia="Times New Roman" w:hint="default"/>
                <w:spacing w:val="-2"/>
                <w:sz w:val="16"/>
                <w:szCs w:val="16"/>
              </w:rPr>
              <w:t>(LED)</w:t>
            </w:r>
            <w:r>
              <w:rPr>
                <w:rFonts w:ascii="宋体" w:hAnsi="宋体" w:cs="宋体" w:eastAsia="宋体" w:hint="default"/>
                <w:spacing w:val="-2"/>
                <w:sz w:val="16"/>
                <w:szCs w:val="16"/>
              </w:rPr>
              <w:t>外延片和芯片开发、生</w:t>
            </w:r>
            <w:r>
              <w:rPr>
                <w:rFonts w:ascii="宋体" w:hAnsi="宋体" w:cs="宋体" w:eastAsia="宋体" w:hint="default"/>
                <w:spacing w:val="-53"/>
                <w:sz w:val="16"/>
                <w:szCs w:val="16"/>
              </w:rPr>
              <w:t> </w:t>
            </w:r>
            <w:r>
              <w:rPr>
                <w:rFonts w:ascii="宋体" w:hAnsi="宋体" w:cs="宋体" w:eastAsia="宋体" w:hint="default"/>
                <w:spacing w:val="-53"/>
                <w:sz w:val="16"/>
                <w:szCs w:val="16"/>
              </w:rPr>
            </w:r>
            <w:r>
              <w:rPr>
                <w:rFonts w:ascii="宋体" w:hAnsi="宋体" w:cs="宋体" w:eastAsia="宋体" w:hint="default"/>
                <w:sz w:val="16"/>
                <w:szCs w:val="16"/>
              </w:rPr>
              <w:t>产、销售</w:t>
            </w:r>
          </w:p>
        </w:tc>
      </w:tr>
      <w:tr>
        <w:trPr>
          <w:trHeight w:val="28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淮安同方水务有限公司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11000.00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49"/>
              <w:jc w:val="right"/>
              <w:rPr>
                <w:rFonts w:ascii="Times New Roman" w:hAnsi="Times New Roman" w:cs="Times New Roman" w:eastAsia="Times New Roman" w:hint="default"/>
                <w:sz w:val="16"/>
                <w:szCs w:val="16"/>
              </w:rPr>
            </w:pPr>
            <w:r>
              <w:rPr>
                <w:rFonts w:ascii="Times New Roman"/>
                <w:spacing w:val="-1"/>
                <w:sz w:val="16"/>
              </w:rPr>
              <w:t>49.55%</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9"/>
              <w:jc w:val="center"/>
              <w:rPr>
                <w:rFonts w:ascii="宋体" w:hAnsi="宋体" w:cs="宋体" w:eastAsia="宋体" w:hint="default"/>
                <w:sz w:val="16"/>
                <w:szCs w:val="16"/>
              </w:rPr>
            </w:pPr>
            <w:r>
              <w:rPr>
                <w:rFonts w:ascii="宋体" w:hAnsi="宋体" w:cs="宋体" w:eastAsia="宋体" w:hint="default"/>
                <w:sz w:val="16"/>
                <w:szCs w:val="16"/>
              </w:rPr>
              <w:t>江苏淮安</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9"/>
              <w:ind w:left="38" w:right="0"/>
              <w:jc w:val="left"/>
              <w:rPr>
                <w:rFonts w:ascii="宋体" w:hAnsi="宋体" w:cs="宋体" w:eastAsia="宋体" w:hint="default"/>
                <w:sz w:val="16"/>
                <w:szCs w:val="16"/>
              </w:rPr>
            </w:pPr>
            <w:r>
              <w:rPr>
                <w:rFonts w:ascii="宋体" w:hAnsi="宋体" w:cs="宋体" w:eastAsia="宋体" w:hint="default"/>
                <w:sz w:val="16"/>
                <w:szCs w:val="16"/>
              </w:rPr>
              <w:t>水务项目投资、建设、运营</w:t>
            </w:r>
          </w:p>
        </w:tc>
      </w:tr>
      <w:tr>
        <w:trPr>
          <w:trHeight w:val="28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芜湖同方水务有限公司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9"/>
              <w:jc w:val="center"/>
              <w:rPr>
                <w:rFonts w:ascii="宋体" w:hAnsi="宋体" w:cs="宋体" w:eastAsia="宋体" w:hint="default"/>
                <w:sz w:val="16"/>
                <w:szCs w:val="16"/>
              </w:rPr>
            </w:pPr>
            <w:r>
              <w:rPr>
                <w:rFonts w:ascii="宋体" w:hAnsi="宋体" w:cs="宋体" w:eastAsia="宋体" w:hint="default"/>
                <w:sz w:val="16"/>
                <w:szCs w:val="16"/>
              </w:rPr>
              <w:t>安徽芜湖</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9"/>
              <w:ind w:left="38" w:right="0"/>
              <w:jc w:val="left"/>
              <w:rPr>
                <w:rFonts w:ascii="宋体" w:hAnsi="宋体" w:cs="宋体" w:eastAsia="宋体" w:hint="default"/>
                <w:sz w:val="16"/>
                <w:szCs w:val="16"/>
              </w:rPr>
            </w:pPr>
            <w:r>
              <w:rPr>
                <w:rFonts w:ascii="宋体" w:hAnsi="宋体" w:cs="宋体" w:eastAsia="宋体" w:hint="default"/>
                <w:sz w:val="16"/>
                <w:szCs w:val="16"/>
              </w:rPr>
              <w:t>污水处理厂建设、运营</w:t>
            </w:r>
          </w:p>
        </w:tc>
      </w:tr>
      <w:tr>
        <w:trPr>
          <w:trHeight w:val="28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惠州市同方水务有限公司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3600.00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9"/>
              <w:jc w:val="center"/>
              <w:rPr>
                <w:rFonts w:ascii="宋体" w:hAnsi="宋体" w:cs="宋体" w:eastAsia="宋体" w:hint="default"/>
                <w:sz w:val="16"/>
                <w:szCs w:val="16"/>
              </w:rPr>
            </w:pPr>
            <w:r>
              <w:rPr>
                <w:rFonts w:ascii="宋体" w:hAnsi="宋体" w:cs="宋体" w:eastAsia="宋体" w:hint="default"/>
                <w:sz w:val="16"/>
                <w:szCs w:val="16"/>
              </w:rPr>
              <w:t>广东惠州</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9"/>
              <w:ind w:left="38" w:right="0"/>
              <w:jc w:val="left"/>
              <w:rPr>
                <w:rFonts w:ascii="宋体" w:hAnsi="宋体" w:cs="宋体" w:eastAsia="宋体" w:hint="default"/>
                <w:sz w:val="16"/>
                <w:szCs w:val="16"/>
              </w:rPr>
            </w:pPr>
            <w:r>
              <w:rPr>
                <w:rFonts w:ascii="宋体" w:hAnsi="宋体" w:cs="宋体" w:eastAsia="宋体" w:hint="default"/>
                <w:sz w:val="16"/>
                <w:szCs w:val="16"/>
              </w:rPr>
              <w:t>水务项目投资、建设、运营</w:t>
            </w:r>
          </w:p>
        </w:tc>
      </w:tr>
      <w:tr>
        <w:trPr>
          <w:trHeight w:val="47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8" w:right="0"/>
              <w:jc w:val="left"/>
              <w:rPr>
                <w:rFonts w:ascii="宋体" w:hAnsi="宋体" w:cs="宋体" w:eastAsia="宋体" w:hint="default"/>
                <w:sz w:val="16"/>
                <w:szCs w:val="16"/>
              </w:rPr>
            </w:pPr>
            <w:r>
              <w:rPr>
                <w:rFonts w:ascii="宋体" w:hAnsi="宋体" w:cs="宋体" w:eastAsia="宋体" w:hint="default"/>
                <w:sz w:val="16"/>
                <w:szCs w:val="16"/>
              </w:rPr>
              <w:t>龙江环保集团股份有限公司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32000.00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8"/>
              <w:jc w:val="right"/>
              <w:rPr>
                <w:rFonts w:ascii="Times New Roman" w:hAnsi="Times New Roman" w:cs="Times New Roman" w:eastAsia="Times New Roman" w:hint="default"/>
                <w:sz w:val="16"/>
                <w:szCs w:val="16"/>
              </w:rPr>
            </w:pPr>
            <w:r>
              <w:rPr>
                <w:rFonts w:ascii="Times New Roman"/>
                <w:spacing w:val="-1"/>
                <w:sz w:val="16"/>
              </w:rPr>
              <w:t>30.7813%</w:t>
            </w:r>
          </w:p>
        </w:tc>
        <w:tc>
          <w:tcPr>
            <w:tcW w:w="795" w:type="dxa"/>
            <w:tcBorders>
              <w:top w:val="nil" w:sz="6" w:space="0" w:color="auto"/>
              <w:left w:val="nil" w:sz="6" w:space="0" w:color="auto"/>
              <w:bottom w:val="nil" w:sz="6" w:space="0" w:color="auto"/>
              <w:right w:val="nil" w:sz="6" w:space="0" w:color="auto"/>
            </w:tcBorders>
          </w:tcPr>
          <w:p>
            <w:pPr>
              <w:pStyle w:val="TableParagraph"/>
              <w:spacing w:line="206" w:lineRule="exact" w:before="26"/>
              <w:ind w:left="149" w:right="161"/>
              <w:jc w:val="left"/>
              <w:rPr>
                <w:rFonts w:ascii="宋体" w:hAnsi="宋体" w:cs="宋体" w:eastAsia="宋体" w:hint="default"/>
                <w:sz w:val="16"/>
                <w:szCs w:val="16"/>
              </w:rPr>
            </w:pPr>
            <w:r>
              <w:rPr>
                <w:rFonts w:ascii="宋体" w:hAnsi="宋体" w:cs="宋体" w:eastAsia="宋体" w:hint="default"/>
                <w:sz w:val="16"/>
                <w:szCs w:val="16"/>
              </w:rPr>
              <w:t>黑龙江</w:t>
            </w:r>
            <w:r>
              <w:rPr>
                <w:rFonts w:ascii="宋体" w:hAnsi="宋体" w:cs="宋体" w:eastAsia="宋体" w:hint="default"/>
                <w:spacing w:val="-78"/>
                <w:sz w:val="16"/>
                <w:szCs w:val="16"/>
              </w:rPr>
              <w:t> </w:t>
            </w:r>
            <w:r>
              <w:rPr>
                <w:rFonts w:ascii="宋体" w:hAnsi="宋体" w:cs="宋体" w:eastAsia="宋体" w:hint="default"/>
                <w:sz w:val="16"/>
                <w:szCs w:val="16"/>
              </w:rPr>
              <w:t>哈尔滨</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8" w:right="0"/>
              <w:jc w:val="left"/>
              <w:rPr>
                <w:rFonts w:ascii="宋体" w:hAnsi="宋体" w:cs="宋体" w:eastAsia="宋体" w:hint="default"/>
                <w:sz w:val="16"/>
                <w:szCs w:val="16"/>
              </w:rPr>
            </w:pPr>
            <w:r>
              <w:rPr>
                <w:rFonts w:ascii="宋体" w:hAnsi="宋体" w:cs="宋体" w:eastAsia="宋体" w:hint="default"/>
                <w:sz w:val="16"/>
                <w:szCs w:val="16"/>
              </w:rPr>
              <w:t>水务项目投资、建设、运营</w:t>
            </w:r>
          </w:p>
        </w:tc>
      </w:tr>
      <w:tr>
        <w:trPr>
          <w:trHeight w:val="47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28" w:right="0"/>
              <w:jc w:val="left"/>
              <w:rPr>
                <w:rFonts w:ascii="宋体" w:hAnsi="宋体" w:cs="宋体" w:eastAsia="宋体" w:hint="default"/>
                <w:sz w:val="16"/>
                <w:szCs w:val="16"/>
              </w:rPr>
            </w:pPr>
            <w:r>
              <w:rPr>
                <w:rFonts w:ascii="宋体" w:hAnsi="宋体" w:cs="宋体" w:eastAsia="宋体" w:hint="default"/>
                <w:spacing w:val="-23"/>
                <w:sz w:val="16"/>
                <w:szCs w:val="16"/>
              </w:rPr>
              <w:t>佳木斯龙江环保水务有限公司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9000.00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49"/>
              <w:jc w:val="right"/>
              <w:rPr>
                <w:rFonts w:ascii="Times New Roman" w:hAnsi="Times New Roman" w:cs="Times New Roman" w:eastAsia="Times New Roman" w:hint="default"/>
                <w:sz w:val="16"/>
                <w:szCs w:val="16"/>
              </w:rPr>
            </w:pPr>
            <w:r>
              <w:rPr>
                <w:rFonts w:ascii="Times New Roman"/>
                <w:spacing w:val="-1"/>
                <w:sz w:val="16"/>
              </w:rPr>
              <w:t>97.22%</w:t>
            </w:r>
          </w:p>
        </w:tc>
        <w:tc>
          <w:tcPr>
            <w:tcW w:w="795"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149" w:right="161"/>
              <w:jc w:val="left"/>
              <w:rPr>
                <w:rFonts w:ascii="宋体" w:hAnsi="宋体" w:cs="宋体" w:eastAsia="宋体" w:hint="default"/>
                <w:sz w:val="16"/>
                <w:szCs w:val="16"/>
              </w:rPr>
            </w:pPr>
            <w:r>
              <w:rPr>
                <w:rFonts w:ascii="宋体" w:hAnsi="宋体" w:cs="宋体" w:eastAsia="宋体" w:hint="default"/>
                <w:sz w:val="16"/>
                <w:szCs w:val="16"/>
              </w:rPr>
              <w:t>黑龙江</w:t>
            </w:r>
            <w:r>
              <w:rPr>
                <w:rFonts w:ascii="宋体" w:hAnsi="宋体" w:cs="宋体" w:eastAsia="宋体" w:hint="default"/>
                <w:spacing w:val="-78"/>
                <w:sz w:val="16"/>
                <w:szCs w:val="16"/>
              </w:rPr>
              <w:t> </w:t>
            </w:r>
            <w:r>
              <w:rPr>
                <w:rFonts w:ascii="宋体" w:hAnsi="宋体" w:cs="宋体" w:eastAsia="宋体" w:hint="default"/>
                <w:sz w:val="16"/>
                <w:szCs w:val="16"/>
              </w:rPr>
              <w:t>佳木斯</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38" w:right="0"/>
              <w:jc w:val="left"/>
              <w:rPr>
                <w:rFonts w:ascii="宋体" w:hAnsi="宋体" w:cs="宋体" w:eastAsia="宋体" w:hint="default"/>
                <w:sz w:val="16"/>
                <w:szCs w:val="16"/>
              </w:rPr>
            </w:pPr>
            <w:r>
              <w:rPr>
                <w:rFonts w:ascii="宋体" w:hAnsi="宋体" w:cs="宋体" w:eastAsia="宋体" w:hint="default"/>
                <w:sz w:val="16"/>
                <w:szCs w:val="16"/>
              </w:rPr>
              <w:t>水务项目投资、建设、运营</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
              <w:ind w:left="28" w:right="63"/>
              <w:jc w:val="left"/>
              <w:rPr>
                <w:rFonts w:ascii="宋体" w:hAnsi="宋体" w:cs="宋体" w:eastAsia="宋体" w:hint="default"/>
                <w:sz w:val="16"/>
                <w:szCs w:val="16"/>
              </w:rPr>
            </w:pPr>
            <w:r>
              <w:rPr>
                <w:rFonts w:ascii="宋体" w:hAnsi="宋体" w:cs="宋体" w:eastAsia="宋体" w:hint="default"/>
                <w:spacing w:val="-1"/>
                <w:sz w:val="16"/>
                <w:szCs w:val="16"/>
              </w:rPr>
              <w:t>哈尔滨平义龙江环保治水有</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限责任公司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9500.00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49" w:right="161"/>
              <w:jc w:val="left"/>
              <w:rPr>
                <w:rFonts w:ascii="宋体" w:hAnsi="宋体" w:cs="宋体" w:eastAsia="宋体" w:hint="default"/>
                <w:sz w:val="16"/>
                <w:szCs w:val="16"/>
              </w:rPr>
            </w:pPr>
            <w:r>
              <w:rPr>
                <w:rFonts w:ascii="宋体" w:hAnsi="宋体" w:cs="宋体" w:eastAsia="宋体" w:hint="default"/>
                <w:sz w:val="16"/>
                <w:szCs w:val="16"/>
              </w:rPr>
              <w:t>黑龙江</w:t>
            </w:r>
            <w:r>
              <w:rPr>
                <w:rFonts w:ascii="宋体" w:hAnsi="宋体" w:cs="宋体" w:eastAsia="宋体" w:hint="default"/>
                <w:spacing w:val="-78"/>
                <w:sz w:val="16"/>
                <w:szCs w:val="16"/>
              </w:rPr>
              <w:t> </w:t>
            </w:r>
            <w:r>
              <w:rPr>
                <w:rFonts w:ascii="宋体" w:hAnsi="宋体" w:cs="宋体" w:eastAsia="宋体" w:hint="default"/>
                <w:sz w:val="16"/>
                <w:szCs w:val="16"/>
              </w:rPr>
              <w:t>哈尔滨</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8" w:right="0"/>
              <w:jc w:val="left"/>
              <w:rPr>
                <w:rFonts w:ascii="宋体" w:hAnsi="宋体" w:cs="宋体" w:eastAsia="宋体" w:hint="default"/>
                <w:sz w:val="16"/>
                <w:szCs w:val="16"/>
              </w:rPr>
            </w:pPr>
            <w:r>
              <w:rPr>
                <w:rFonts w:ascii="宋体" w:hAnsi="宋体" w:cs="宋体" w:eastAsia="宋体" w:hint="default"/>
                <w:sz w:val="16"/>
                <w:szCs w:val="16"/>
              </w:rPr>
              <w:t>水务项目投资、建设、运营</w:t>
            </w:r>
          </w:p>
        </w:tc>
      </w:tr>
      <w:tr>
        <w:trPr>
          <w:trHeight w:val="47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8" w:right="0"/>
              <w:jc w:val="left"/>
              <w:rPr>
                <w:rFonts w:ascii="宋体" w:hAnsi="宋体" w:cs="宋体" w:eastAsia="宋体" w:hint="default"/>
                <w:sz w:val="16"/>
                <w:szCs w:val="16"/>
              </w:rPr>
            </w:pPr>
            <w:r>
              <w:rPr>
                <w:rFonts w:ascii="宋体" w:hAnsi="宋体" w:cs="宋体" w:eastAsia="宋体" w:hint="default"/>
                <w:sz w:val="16"/>
                <w:szCs w:val="16"/>
              </w:rPr>
              <w:t>肇东龙江环保水务有限公司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230" w:right="161" w:hanging="82"/>
              <w:jc w:val="left"/>
              <w:rPr>
                <w:rFonts w:ascii="宋体" w:hAnsi="宋体" w:cs="宋体" w:eastAsia="宋体" w:hint="default"/>
                <w:sz w:val="16"/>
                <w:szCs w:val="16"/>
              </w:rPr>
            </w:pPr>
            <w:r>
              <w:rPr>
                <w:rFonts w:ascii="宋体" w:hAnsi="宋体" w:cs="宋体" w:eastAsia="宋体" w:hint="default"/>
                <w:sz w:val="16"/>
                <w:szCs w:val="16"/>
              </w:rPr>
              <w:t>黑龙江</w:t>
            </w:r>
            <w:r>
              <w:rPr>
                <w:rFonts w:ascii="宋体" w:hAnsi="宋体" w:cs="宋体" w:eastAsia="宋体" w:hint="default"/>
                <w:spacing w:val="-78"/>
                <w:sz w:val="16"/>
                <w:szCs w:val="16"/>
              </w:rPr>
              <w:t> </w:t>
            </w:r>
            <w:r>
              <w:rPr>
                <w:rFonts w:ascii="宋体" w:hAnsi="宋体" w:cs="宋体" w:eastAsia="宋体" w:hint="default"/>
                <w:sz w:val="16"/>
                <w:szCs w:val="16"/>
              </w:rPr>
              <w:t>肇东</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8" w:right="0"/>
              <w:jc w:val="left"/>
              <w:rPr>
                <w:rFonts w:ascii="宋体" w:hAnsi="宋体" w:cs="宋体" w:eastAsia="宋体" w:hint="default"/>
                <w:sz w:val="16"/>
                <w:szCs w:val="16"/>
              </w:rPr>
            </w:pPr>
            <w:r>
              <w:rPr>
                <w:rFonts w:ascii="宋体" w:hAnsi="宋体" w:cs="宋体" w:eastAsia="宋体" w:hint="default"/>
                <w:sz w:val="16"/>
                <w:szCs w:val="16"/>
              </w:rPr>
              <w:t>水务项目投资、建设、运营</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8" w:right="0"/>
              <w:jc w:val="left"/>
              <w:rPr>
                <w:rFonts w:ascii="宋体" w:hAnsi="宋体" w:cs="宋体" w:eastAsia="宋体" w:hint="default"/>
                <w:sz w:val="16"/>
                <w:szCs w:val="16"/>
              </w:rPr>
            </w:pPr>
            <w:r>
              <w:rPr>
                <w:rFonts w:ascii="宋体" w:hAnsi="宋体" w:cs="宋体" w:eastAsia="宋体" w:hint="default"/>
                <w:sz w:val="16"/>
                <w:szCs w:val="16"/>
              </w:rPr>
              <w:t>富锦龙江环保水务有限公司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230" w:right="161" w:hanging="82"/>
              <w:jc w:val="left"/>
              <w:rPr>
                <w:rFonts w:ascii="宋体" w:hAnsi="宋体" w:cs="宋体" w:eastAsia="宋体" w:hint="default"/>
                <w:sz w:val="16"/>
                <w:szCs w:val="16"/>
              </w:rPr>
            </w:pPr>
            <w:r>
              <w:rPr>
                <w:rFonts w:ascii="宋体" w:hAnsi="宋体" w:cs="宋体" w:eastAsia="宋体" w:hint="default"/>
                <w:sz w:val="16"/>
                <w:szCs w:val="16"/>
              </w:rPr>
              <w:t>黑龙江</w:t>
            </w:r>
            <w:r>
              <w:rPr>
                <w:rFonts w:ascii="宋体" w:hAnsi="宋体" w:cs="宋体" w:eastAsia="宋体" w:hint="default"/>
                <w:spacing w:val="-78"/>
                <w:sz w:val="16"/>
                <w:szCs w:val="16"/>
              </w:rPr>
              <w:t> </w:t>
            </w:r>
            <w:r>
              <w:rPr>
                <w:rFonts w:ascii="宋体" w:hAnsi="宋体" w:cs="宋体" w:eastAsia="宋体" w:hint="default"/>
                <w:sz w:val="16"/>
                <w:szCs w:val="16"/>
              </w:rPr>
              <w:t>富锦</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8" w:right="0"/>
              <w:jc w:val="left"/>
              <w:rPr>
                <w:rFonts w:ascii="宋体" w:hAnsi="宋体" w:cs="宋体" w:eastAsia="宋体" w:hint="default"/>
                <w:sz w:val="16"/>
                <w:szCs w:val="16"/>
              </w:rPr>
            </w:pPr>
            <w:r>
              <w:rPr>
                <w:rFonts w:ascii="宋体" w:hAnsi="宋体" w:cs="宋体" w:eastAsia="宋体" w:hint="default"/>
                <w:sz w:val="16"/>
                <w:szCs w:val="16"/>
              </w:rPr>
              <w:t>水务项目投资、建设、运营</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8" w:right="0"/>
              <w:jc w:val="left"/>
              <w:rPr>
                <w:rFonts w:ascii="宋体" w:hAnsi="宋体" w:cs="宋体" w:eastAsia="宋体" w:hint="default"/>
                <w:sz w:val="16"/>
                <w:szCs w:val="16"/>
              </w:rPr>
            </w:pPr>
            <w:r>
              <w:rPr>
                <w:rFonts w:ascii="宋体" w:hAnsi="宋体" w:cs="宋体" w:eastAsia="宋体" w:hint="default"/>
                <w:sz w:val="16"/>
                <w:szCs w:val="16"/>
              </w:rPr>
              <w:t>黑河龙江环保治水有限公司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1500.00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230" w:right="161" w:hanging="82"/>
              <w:jc w:val="left"/>
              <w:rPr>
                <w:rFonts w:ascii="宋体" w:hAnsi="宋体" w:cs="宋体" w:eastAsia="宋体" w:hint="default"/>
                <w:sz w:val="16"/>
                <w:szCs w:val="16"/>
              </w:rPr>
            </w:pPr>
            <w:r>
              <w:rPr>
                <w:rFonts w:ascii="宋体" w:hAnsi="宋体" w:cs="宋体" w:eastAsia="宋体" w:hint="default"/>
                <w:sz w:val="16"/>
                <w:szCs w:val="16"/>
              </w:rPr>
              <w:t>黑龙江</w:t>
            </w:r>
            <w:r>
              <w:rPr>
                <w:rFonts w:ascii="宋体" w:hAnsi="宋体" w:cs="宋体" w:eastAsia="宋体" w:hint="default"/>
                <w:spacing w:val="-78"/>
                <w:sz w:val="16"/>
                <w:szCs w:val="16"/>
              </w:rPr>
              <w:t> </w:t>
            </w:r>
            <w:r>
              <w:rPr>
                <w:rFonts w:ascii="宋体" w:hAnsi="宋体" w:cs="宋体" w:eastAsia="宋体" w:hint="default"/>
                <w:sz w:val="16"/>
                <w:szCs w:val="16"/>
              </w:rPr>
              <w:t>黑河</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8" w:right="0"/>
              <w:jc w:val="left"/>
              <w:rPr>
                <w:rFonts w:ascii="宋体" w:hAnsi="宋体" w:cs="宋体" w:eastAsia="宋体" w:hint="default"/>
                <w:sz w:val="16"/>
                <w:szCs w:val="16"/>
              </w:rPr>
            </w:pPr>
            <w:r>
              <w:rPr>
                <w:rFonts w:ascii="宋体" w:hAnsi="宋体" w:cs="宋体" w:eastAsia="宋体" w:hint="default"/>
                <w:sz w:val="16"/>
                <w:szCs w:val="16"/>
              </w:rPr>
              <w:t>水务项目投资、建设、运营</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8" w:right="0"/>
              <w:jc w:val="left"/>
              <w:rPr>
                <w:rFonts w:ascii="宋体" w:hAnsi="宋体" w:cs="宋体" w:eastAsia="宋体" w:hint="default"/>
                <w:sz w:val="16"/>
                <w:szCs w:val="16"/>
              </w:rPr>
            </w:pPr>
            <w:r>
              <w:rPr>
                <w:rFonts w:ascii="宋体" w:hAnsi="宋体" w:cs="宋体" w:eastAsia="宋体" w:hint="default"/>
                <w:sz w:val="16"/>
                <w:szCs w:val="16"/>
              </w:rPr>
              <w:t>宁安龙江环保治水有限公司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600.00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230" w:right="161" w:hanging="82"/>
              <w:jc w:val="left"/>
              <w:rPr>
                <w:rFonts w:ascii="宋体" w:hAnsi="宋体" w:cs="宋体" w:eastAsia="宋体" w:hint="default"/>
                <w:sz w:val="16"/>
                <w:szCs w:val="16"/>
              </w:rPr>
            </w:pPr>
            <w:r>
              <w:rPr>
                <w:rFonts w:ascii="宋体" w:hAnsi="宋体" w:cs="宋体" w:eastAsia="宋体" w:hint="default"/>
                <w:sz w:val="16"/>
                <w:szCs w:val="16"/>
              </w:rPr>
              <w:t>黑龙江</w:t>
            </w:r>
            <w:r>
              <w:rPr>
                <w:rFonts w:ascii="宋体" w:hAnsi="宋体" w:cs="宋体" w:eastAsia="宋体" w:hint="default"/>
                <w:spacing w:val="-78"/>
                <w:sz w:val="16"/>
                <w:szCs w:val="16"/>
              </w:rPr>
              <w:t> </w:t>
            </w:r>
            <w:r>
              <w:rPr>
                <w:rFonts w:ascii="宋体" w:hAnsi="宋体" w:cs="宋体" w:eastAsia="宋体" w:hint="default"/>
                <w:sz w:val="16"/>
                <w:szCs w:val="16"/>
              </w:rPr>
              <w:t>宁安</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8" w:right="0"/>
              <w:jc w:val="left"/>
              <w:rPr>
                <w:rFonts w:ascii="宋体" w:hAnsi="宋体" w:cs="宋体" w:eastAsia="宋体" w:hint="default"/>
                <w:sz w:val="16"/>
                <w:szCs w:val="16"/>
              </w:rPr>
            </w:pPr>
            <w:r>
              <w:rPr>
                <w:rFonts w:ascii="宋体" w:hAnsi="宋体" w:cs="宋体" w:eastAsia="宋体" w:hint="default"/>
                <w:sz w:val="16"/>
                <w:szCs w:val="16"/>
              </w:rPr>
              <w:t>水务项目投资、建设、运营</w:t>
            </w:r>
          </w:p>
        </w:tc>
      </w:tr>
      <w:tr>
        <w:trPr>
          <w:trHeight w:val="4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
              <w:ind w:left="28" w:right="63"/>
              <w:jc w:val="left"/>
              <w:rPr>
                <w:rFonts w:ascii="宋体" w:hAnsi="宋体" w:cs="宋体" w:eastAsia="宋体" w:hint="default"/>
                <w:sz w:val="16"/>
                <w:szCs w:val="16"/>
              </w:rPr>
            </w:pPr>
            <w:r>
              <w:rPr>
                <w:rFonts w:ascii="宋体" w:hAnsi="宋体" w:cs="宋体" w:eastAsia="宋体" w:hint="default"/>
                <w:spacing w:val="-1"/>
                <w:sz w:val="16"/>
                <w:szCs w:val="16"/>
              </w:rPr>
              <w:t>深圳市龙江沃德环保有限责</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任公司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
              <w:jc w:val="center"/>
              <w:rPr>
                <w:rFonts w:ascii="宋体" w:hAnsi="宋体" w:cs="宋体" w:eastAsia="宋体" w:hint="default"/>
                <w:sz w:val="16"/>
                <w:szCs w:val="16"/>
              </w:rPr>
            </w:pPr>
            <w:r>
              <w:rPr>
                <w:rFonts w:ascii="宋体" w:hAnsi="宋体" w:cs="宋体" w:eastAsia="宋体" w:hint="default"/>
                <w:sz w:val="16"/>
                <w:szCs w:val="16"/>
              </w:rPr>
              <w:t>广东深圳</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8" w:right="0"/>
              <w:jc w:val="left"/>
              <w:rPr>
                <w:rFonts w:ascii="宋体" w:hAnsi="宋体" w:cs="宋体" w:eastAsia="宋体" w:hint="default"/>
                <w:sz w:val="16"/>
                <w:szCs w:val="16"/>
              </w:rPr>
            </w:pPr>
            <w:r>
              <w:rPr>
                <w:rFonts w:ascii="宋体" w:hAnsi="宋体" w:cs="宋体" w:eastAsia="宋体" w:hint="default"/>
                <w:sz w:val="16"/>
                <w:szCs w:val="16"/>
              </w:rPr>
              <w:t>水务项目投资、建设、运营</w:t>
            </w:r>
          </w:p>
        </w:tc>
      </w:tr>
      <w:tr>
        <w:trPr>
          <w:trHeight w:val="280"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16"/>
                <w:szCs w:val="16"/>
              </w:rPr>
            </w:pPr>
            <w:r>
              <w:rPr>
                <w:rFonts w:ascii="宋体" w:hAnsi="宋体" w:cs="宋体" w:eastAsia="宋体" w:hint="default"/>
                <w:sz w:val="16"/>
                <w:szCs w:val="16"/>
              </w:rPr>
              <w:t>上海龙江水务有限公司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 w:right="0"/>
              <w:jc w:val="center"/>
              <w:rPr>
                <w:rFonts w:ascii="宋体" w:hAnsi="宋体" w:cs="宋体" w:eastAsia="宋体" w:hint="default"/>
                <w:sz w:val="16"/>
                <w:szCs w:val="16"/>
              </w:rPr>
            </w:pPr>
            <w:r>
              <w:rPr>
                <w:rFonts w:ascii="宋体" w:hAnsi="宋体" w:cs="宋体" w:eastAsia="宋体" w:hint="default"/>
                <w:spacing w:val="-20"/>
                <w:sz w:val="16"/>
                <w:szCs w:val="16"/>
              </w:rPr>
              <w:t>上海自贸区</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9"/>
              <w:ind w:left="38" w:right="0"/>
              <w:jc w:val="left"/>
              <w:rPr>
                <w:rFonts w:ascii="宋体" w:hAnsi="宋体" w:cs="宋体" w:eastAsia="宋体" w:hint="default"/>
                <w:sz w:val="16"/>
                <w:szCs w:val="16"/>
              </w:rPr>
            </w:pPr>
            <w:r>
              <w:rPr>
                <w:rFonts w:ascii="宋体" w:hAnsi="宋体" w:cs="宋体" w:eastAsia="宋体" w:hint="default"/>
                <w:spacing w:val="-24"/>
                <w:sz w:val="16"/>
                <w:szCs w:val="16"/>
              </w:rPr>
              <w:t>水利水电建设工程施工、环保建设工程专业施工</w:t>
            </w:r>
          </w:p>
        </w:tc>
      </w:tr>
      <w:tr>
        <w:trPr>
          <w:trHeight w:val="47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8" w:right="0"/>
              <w:jc w:val="left"/>
              <w:rPr>
                <w:rFonts w:ascii="宋体" w:hAnsi="宋体" w:cs="宋体" w:eastAsia="宋体" w:hint="default"/>
                <w:sz w:val="16"/>
                <w:szCs w:val="16"/>
              </w:rPr>
            </w:pPr>
            <w:r>
              <w:rPr>
                <w:rFonts w:ascii="宋体" w:hAnsi="宋体" w:cs="宋体" w:eastAsia="宋体" w:hint="default"/>
                <w:spacing w:val="-23"/>
                <w:sz w:val="16"/>
                <w:szCs w:val="16"/>
              </w:rPr>
              <w:t>牡丹江龙江环保水务有限公司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12000.00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06" w:lineRule="exact" w:before="26"/>
              <w:ind w:left="149" w:right="161"/>
              <w:jc w:val="left"/>
              <w:rPr>
                <w:rFonts w:ascii="宋体" w:hAnsi="宋体" w:cs="宋体" w:eastAsia="宋体" w:hint="default"/>
                <w:sz w:val="16"/>
                <w:szCs w:val="16"/>
              </w:rPr>
            </w:pPr>
            <w:r>
              <w:rPr>
                <w:rFonts w:ascii="宋体" w:hAnsi="宋体" w:cs="宋体" w:eastAsia="宋体" w:hint="default"/>
                <w:sz w:val="16"/>
                <w:szCs w:val="16"/>
              </w:rPr>
              <w:t>黑龙江</w:t>
            </w:r>
            <w:r>
              <w:rPr>
                <w:rFonts w:ascii="宋体" w:hAnsi="宋体" w:cs="宋体" w:eastAsia="宋体" w:hint="default"/>
                <w:spacing w:val="-78"/>
                <w:sz w:val="16"/>
                <w:szCs w:val="16"/>
              </w:rPr>
              <w:t> </w:t>
            </w:r>
            <w:r>
              <w:rPr>
                <w:rFonts w:ascii="宋体" w:hAnsi="宋体" w:cs="宋体" w:eastAsia="宋体" w:hint="default"/>
                <w:sz w:val="16"/>
                <w:szCs w:val="16"/>
              </w:rPr>
              <w:t>牡丹江</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8" w:right="0"/>
              <w:jc w:val="left"/>
              <w:rPr>
                <w:rFonts w:ascii="宋体" w:hAnsi="宋体" w:cs="宋体" w:eastAsia="宋体" w:hint="default"/>
                <w:sz w:val="16"/>
                <w:szCs w:val="16"/>
              </w:rPr>
            </w:pPr>
            <w:r>
              <w:rPr>
                <w:rFonts w:ascii="宋体" w:hAnsi="宋体" w:cs="宋体" w:eastAsia="宋体" w:hint="default"/>
                <w:sz w:val="16"/>
                <w:szCs w:val="16"/>
              </w:rPr>
              <w:t>水务项目投资、建设、运营</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28" w:right="0"/>
              <w:jc w:val="left"/>
              <w:rPr>
                <w:rFonts w:ascii="宋体" w:hAnsi="宋体" w:cs="宋体" w:eastAsia="宋体" w:hint="default"/>
                <w:sz w:val="16"/>
                <w:szCs w:val="16"/>
              </w:rPr>
            </w:pPr>
            <w:r>
              <w:rPr>
                <w:rFonts w:ascii="宋体" w:hAnsi="宋体" w:cs="宋体" w:eastAsia="宋体" w:hint="default"/>
                <w:sz w:val="16"/>
                <w:szCs w:val="16"/>
              </w:rPr>
              <w:t>鸡西龙江环保治水有限公司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3600.00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30" w:right="161" w:hanging="82"/>
              <w:jc w:val="left"/>
              <w:rPr>
                <w:rFonts w:ascii="宋体" w:hAnsi="宋体" w:cs="宋体" w:eastAsia="宋体" w:hint="default"/>
                <w:sz w:val="16"/>
                <w:szCs w:val="16"/>
              </w:rPr>
            </w:pPr>
            <w:r>
              <w:rPr>
                <w:rFonts w:ascii="宋体" w:hAnsi="宋体" w:cs="宋体" w:eastAsia="宋体" w:hint="default"/>
                <w:sz w:val="16"/>
                <w:szCs w:val="16"/>
              </w:rPr>
              <w:t>黑龙江</w:t>
            </w:r>
            <w:r>
              <w:rPr>
                <w:rFonts w:ascii="宋体" w:hAnsi="宋体" w:cs="宋体" w:eastAsia="宋体" w:hint="default"/>
                <w:spacing w:val="-78"/>
                <w:sz w:val="16"/>
                <w:szCs w:val="16"/>
              </w:rPr>
              <w:t> </w:t>
            </w:r>
            <w:r>
              <w:rPr>
                <w:rFonts w:ascii="宋体" w:hAnsi="宋体" w:cs="宋体" w:eastAsia="宋体" w:hint="default"/>
                <w:sz w:val="16"/>
                <w:szCs w:val="16"/>
              </w:rPr>
              <w:t>鸡西</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38" w:right="0"/>
              <w:jc w:val="left"/>
              <w:rPr>
                <w:rFonts w:ascii="宋体" w:hAnsi="宋体" w:cs="宋体" w:eastAsia="宋体" w:hint="default"/>
                <w:sz w:val="16"/>
                <w:szCs w:val="16"/>
              </w:rPr>
            </w:pPr>
            <w:r>
              <w:rPr>
                <w:rFonts w:ascii="宋体" w:hAnsi="宋体" w:cs="宋体" w:eastAsia="宋体" w:hint="default"/>
                <w:sz w:val="16"/>
                <w:szCs w:val="16"/>
              </w:rPr>
              <w:t>水务项目投资、建设、运营</w:t>
            </w:r>
          </w:p>
        </w:tc>
      </w:tr>
      <w:tr>
        <w:trPr>
          <w:trHeight w:val="47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28" w:right="0"/>
              <w:jc w:val="left"/>
              <w:rPr>
                <w:rFonts w:ascii="宋体" w:hAnsi="宋体" w:cs="宋体" w:eastAsia="宋体" w:hint="default"/>
                <w:sz w:val="16"/>
                <w:szCs w:val="16"/>
              </w:rPr>
            </w:pPr>
            <w:r>
              <w:rPr>
                <w:rFonts w:ascii="宋体" w:hAnsi="宋体" w:cs="宋体" w:eastAsia="宋体" w:hint="default"/>
                <w:spacing w:val="-23"/>
                <w:sz w:val="16"/>
                <w:szCs w:val="16"/>
              </w:rPr>
              <w:t>牡丹江龙江环保供水有限公司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26000.00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149" w:right="161"/>
              <w:jc w:val="left"/>
              <w:rPr>
                <w:rFonts w:ascii="宋体" w:hAnsi="宋体" w:cs="宋体" w:eastAsia="宋体" w:hint="default"/>
                <w:sz w:val="16"/>
                <w:szCs w:val="16"/>
              </w:rPr>
            </w:pPr>
            <w:r>
              <w:rPr>
                <w:rFonts w:ascii="宋体" w:hAnsi="宋体" w:cs="宋体" w:eastAsia="宋体" w:hint="default"/>
                <w:sz w:val="16"/>
                <w:szCs w:val="16"/>
              </w:rPr>
              <w:t>黑龙江</w:t>
            </w:r>
            <w:r>
              <w:rPr>
                <w:rFonts w:ascii="宋体" w:hAnsi="宋体" w:cs="宋体" w:eastAsia="宋体" w:hint="default"/>
                <w:spacing w:val="-78"/>
                <w:sz w:val="16"/>
                <w:szCs w:val="16"/>
              </w:rPr>
              <w:t> </w:t>
            </w:r>
            <w:r>
              <w:rPr>
                <w:rFonts w:ascii="宋体" w:hAnsi="宋体" w:cs="宋体" w:eastAsia="宋体" w:hint="default"/>
                <w:sz w:val="16"/>
                <w:szCs w:val="16"/>
              </w:rPr>
              <w:t>牡丹江</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38" w:right="0"/>
              <w:jc w:val="left"/>
              <w:rPr>
                <w:rFonts w:ascii="宋体" w:hAnsi="宋体" w:cs="宋体" w:eastAsia="宋体" w:hint="default"/>
                <w:sz w:val="16"/>
                <w:szCs w:val="16"/>
              </w:rPr>
            </w:pPr>
            <w:r>
              <w:rPr>
                <w:rFonts w:ascii="宋体" w:hAnsi="宋体" w:cs="宋体" w:eastAsia="宋体" w:hint="default"/>
                <w:sz w:val="16"/>
                <w:szCs w:val="16"/>
              </w:rPr>
              <w:t>自来水生产、销售及相关服务</w:t>
            </w:r>
          </w:p>
        </w:tc>
      </w:tr>
      <w:tr>
        <w:trPr>
          <w:trHeight w:val="47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
              <w:ind w:left="28" w:right="63"/>
              <w:jc w:val="left"/>
              <w:rPr>
                <w:rFonts w:ascii="宋体" w:hAnsi="宋体" w:cs="宋体" w:eastAsia="宋体" w:hint="default"/>
                <w:sz w:val="16"/>
                <w:szCs w:val="16"/>
              </w:rPr>
            </w:pPr>
            <w:r>
              <w:rPr>
                <w:rFonts w:ascii="宋体" w:hAnsi="宋体" w:cs="宋体" w:eastAsia="宋体" w:hint="default"/>
                <w:spacing w:val="-1"/>
                <w:sz w:val="16"/>
                <w:szCs w:val="16"/>
              </w:rPr>
              <w:t>牡丹江市供水工程有限责任</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49" w:right="161"/>
              <w:jc w:val="left"/>
              <w:rPr>
                <w:rFonts w:ascii="宋体" w:hAnsi="宋体" w:cs="宋体" w:eastAsia="宋体" w:hint="default"/>
                <w:sz w:val="16"/>
                <w:szCs w:val="16"/>
              </w:rPr>
            </w:pPr>
            <w:r>
              <w:rPr>
                <w:rFonts w:ascii="宋体" w:hAnsi="宋体" w:cs="宋体" w:eastAsia="宋体" w:hint="default"/>
                <w:sz w:val="16"/>
                <w:szCs w:val="16"/>
              </w:rPr>
              <w:t>黑龙江</w:t>
            </w:r>
            <w:r>
              <w:rPr>
                <w:rFonts w:ascii="宋体" w:hAnsi="宋体" w:cs="宋体" w:eastAsia="宋体" w:hint="default"/>
                <w:spacing w:val="-78"/>
                <w:sz w:val="16"/>
                <w:szCs w:val="16"/>
              </w:rPr>
              <w:t> </w:t>
            </w:r>
            <w:r>
              <w:rPr>
                <w:rFonts w:ascii="宋体" w:hAnsi="宋体" w:cs="宋体" w:eastAsia="宋体" w:hint="default"/>
                <w:sz w:val="16"/>
                <w:szCs w:val="16"/>
              </w:rPr>
              <w:t>牡丹江</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38" w:right="0"/>
              <w:jc w:val="left"/>
              <w:rPr>
                <w:rFonts w:ascii="宋体" w:hAnsi="宋体" w:cs="宋体" w:eastAsia="宋体" w:hint="default"/>
                <w:sz w:val="16"/>
                <w:szCs w:val="16"/>
              </w:rPr>
            </w:pPr>
            <w:r>
              <w:rPr>
                <w:rFonts w:ascii="宋体" w:hAnsi="宋体" w:cs="宋体" w:eastAsia="宋体" w:hint="default"/>
                <w:sz w:val="16"/>
                <w:szCs w:val="16"/>
              </w:rPr>
              <w:t>供水工程施工</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8" w:right="0"/>
              <w:jc w:val="left"/>
              <w:rPr>
                <w:rFonts w:ascii="宋体" w:hAnsi="宋体" w:cs="宋体" w:eastAsia="宋体" w:hint="default"/>
                <w:sz w:val="16"/>
                <w:szCs w:val="16"/>
              </w:rPr>
            </w:pPr>
            <w:r>
              <w:rPr>
                <w:rFonts w:ascii="宋体" w:hAnsi="宋体" w:cs="宋体" w:eastAsia="宋体" w:hint="default"/>
                <w:sz w:val="16"/>
                <w:szCs w:val="16"/>
              </w:rPr>
              <w:t>安达龙江环保水务有限公司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230" w:right="161" w:hanging="82"/>
              <w:jc w:val="left"/>
              <w:rPr>
                <w:rFonts w:ascii="宋体" w:hAnsi="宋体" w:cs="宋体" w:eastAsia="宋体" w:hint="default"/>
                <w:sz w:val="16"/>
                <w:szCs w:val="16"/>
              </w:rPr>
            </w:pPr>
            <w:r>
              <w:rPr>
                <w:rFonts w:ascii="宋体" w:hAnsi="宋体" w:cs="宋体" w:eastAsia="宋体" w:hint="default"/>
                <w:sz w:val="16"/>
                <w:szCs w:val="16"/>
              </w:rPr>
              <w:t>黑龙江</w:t>
            </w:r>
            <w:r>
              <w:rPr>
                <w:rFonts w:ascii="宋体" w:hAnsi="宋体" w:cs="宋体" w:eastAsia="宋体" w:hint="default"/>
                <w:spacing w:val="-78"/>
                <w:sz w:val="16"/>
                <w:szCs w:val="16"/>
              </w:rPr>
              <w:t> </w:t>
            </w:r>
            <w:r>
              <w:rPr>
                <w:rFonts w:ascii="宋体" w:hAnsi="宋体" w:cs="宋体" w:eastAsia="宋体" w:hint="default"/>
                <w:sz w:val="16"/>
                <w:szCs w:val="16"/>
              </w:rPr>
              <w:t>安达</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8" w:right="0"/>
              <w:jc w:val="left"/>
              <w:rPr>
                <w:rFonts w:ascii="宋体" w:hAnsi="宋体" w:cs="宋体" w:eastAsia="宋体" w:hint="default"/>
                <w:sz w:val="16"/>
                <w:szCs w:val="16"/>
              </w:rPr>
            </w:pPr>
            <w:r>
              <w:rPr>
                <w:rFonts w:ascii="宋体" w:hAnsi="宋体" w:cs="宋体" w:eastAsia="宋体" w:hint="default"/>
                <w:sz w:val="16"/>
                <w:szCs w:val="16"/>
              </w:rPr>
              <w:t>水务项目投资、建设、运营</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8" w:right="0"/>
              <w:jc w:val="left"/>
              <w:rPr>
                <w:rFonts w:ascii="宋体" w:hAnsi="宋体" w:cs="宋体" w:eastAsia="宋体" w:hint="default"/>
                <w:sz w:val="16"/>
                <w:szCs w:val="16"/>
              </w:rPr>
            </w:pPr>
            <w:r>
              <w:rPr>
                <w:rFonts w:ascii="宋体" w:hAnsi="宋体" w:cs="宋体" w:eastAsia="宋体" w:hint="default"/>
                <w:spacing w:val="-23"/>
                <w:sz w:val="16"/>
                <w:szCs w:val="16"/>
              </w:rPr>
              <w:t>佳木斯龙江环保供水有限公司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24000.00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49" w:right="161"/>
              <w:jc w:val="left"/>
              <w:rPr>
                <w:rFonts w:ascii="宋体" w:hAnsi="宋体" w:cs="宋体" w:eastAsia="宋体" w:hint="default"/>
                <w:sz w:val="16"/>
                <w:szCs w:val="16"/>
              </w:rPr>
            </w:pPr>
            <w:r>
              <w:rPr>
                <w:rFonts w:ascii="宋体" w:hAnsi="宋体" w:cs="宋体" w:eastAsia="宋体" w:hint="default"/>
                <w:sz w:val="16"/>
                <w:szCs w:val="16"/>
              </w:rPr>
              <w:t>黑龙江</w:t>
            </w:r>
            <w:r>
              <w:rPr>
                <w:rFonts w:ascii="宋体" w:hAnsi="宋体" w:cs="宋体" w:eastAsia="宋体" w:hint="default"/>
                <w:spacing w:val="-78"/>
                <w:sz w:val="16"/>
                <w:szCs w:val="16"/>
              </w:rPr>
              <w:t> </w:t>
            </w:r>
            <w:r>
              <w:rPr>
                <w:rFonts w:ascii="宋体" w:hAnsi="宋体" w:cs="宋体" w:eastAsia="宋体" w:hint="default"/>
                <w:sz w:val="16"/>
                <w:szCs w:val="16"/>
              </w:rPr>
              <w:t>佳木斯</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8" w:right="0"/>
              <w:jc w:val="left"/>
              <w:rPr>
                <w:rFonts w:ascii="宋体" w:hAnsi="宋体" w:cs="宋体" w:eastAsia="宋体" w:hint="default"/>
                <w:sz w:val="16"/>
                <w:szCs w:val="16"/>
              </w:rPr>
            </w:pPr>
            <w:r>
              <w:rPr>
                <w:rFonts w:ascii="宋体" w:hAnsi="宋体" w:cs="宋体" w:eastAsia="宋体" w:hint="default"/>
                <w:sz w:val="16"/>
                <w:szCs w:val="16"/>
              </w:rPr>
              <w:t>自来水生产、销售及相关服务</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4"/>
              <w:ind w:left="28" w:right="63"/>
              <w:jc w:val="left"/>
              <w:rPr>
                <w:rFonts w:ascii="宋体" w:hAnsi="宋体" w:cs="宋体" w:eastAsia="宋体" w:hint="default"/>
                <w:sz w:val="16"/>
                <w:szCs w:val="16"/>
              </w:rPr>
            </w:pPr>
            <w:r>
              <w:rPr>
                <w:rFonts w:ascii="宋体" w:hAnsi="宋体" w:cs="宋体" w:eastAsia="宋体" w:hint="default"/>
                <w:spacing w:val="-1"/>
                <w:sz w:val="16"/>
                <w:szCs w:val="16"/>
              </w:rPr>
              <w:t>哈尔滨金城龙江环保水务有</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限公司</w:t>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6600.00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49" w:right="161"/>
              <w:jc w:val="left"/>
              <w:rPr>
                <w:rFonts w:ascii="宋体" w:hAnsi="宋体" w:cs="宋体" w:eastAsia="宋体" w:hint="default"/>
                <w:sz w:val="16"/>
                <w:szCs w:val="16"/>
              </w:rPr>
            </w:pPr>
            <w:r>
              <w:rPr>
                <w:rFonts w:ascii="宋体" w:hAnsi="宋体" w:cs="宋体" w:eastAsia="宋体" w:hint="default"/>
                <w:sz w:val="16"/>
                <w:szCs w:val="16"/>
              </w:rPr>
              <w:t>黑龙江</w:t>
            </w:r>
            <w:r>
              <w:rPr>
                <w:rFonts w:ascii="宋体" w:hAnsi="宋体" w:cs="宋体" w:eastAsia="宋体" w:hint="default"/>
                <w:spacing w:val="-78"/>
                <w:sz w:val="16"/>
                <w:szCs w:val="16"/>
              </w:rPr>
              <w:t> </w:t>
            </w:r>
            <w:r>
              <w:rPr>
                <w:rFonts w:ascii="宋体" w:hAnsi="宋体" w:cs="宋体" w:eastAsia="宋体" w:hint="default"/>
                <w:sz w:val="16"/>
                <w:szCs w:val="16"/>
              </w:rPr>
              <w:t>哈尔滨</w:t>
            </w:r>
          </w:p>
        </w:tc>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8" w:right="0"/>
              <w:jc w:val="left"/>
              <w:rPr>
                <w:rFonts w:ascii="宋体" w:hAnsi="宋体" w:cs="宋体" w:eastAsia="宋体" w:hint="default"/>
                <w:sz w:val="16"/>
                <w:szCs w:val="16"/>
              </w:rPr>
            </w:pPr>
            <w:r>
              <w:rPr>
                <w:rFonts w:ascii="宋体" w:hAnsi="宋体" w:cs="宋体" w:eastAsia="宋体" w:hint="default"/>
                <w:sz w:val="16"/>
                <w:szCs w:val="16"/>
              </w:rPr>
              <w:t>水务项目投资、建设、运营</w:t>
            </w:r>
          </w:p>
        </w:tc>
      </w:tr>
      <w:tr>
        <w:trPr>
          <w:trHeight w:val="462" w:hRule="exact"/>
        </w:trPr>
        <w:tc>
          <w:tcPr>
            <w:tcW w:w="2016"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28" w:right="63"/>
              <w:jc w:val="left"/>
              <w:rPr>
                <w:rFonts w:ascii="宋体" w:hAnsi="宋体" w:cs="宋体" w:eastAsia="宋体" w:hint="default"/>
                <w:sz w:val="16"/>
                <w:szCs w:val="16"/>
              </w:rPr>
            </w:pPr>
            <w:r>
              <w:rPr>
                <w:rFonts w:ascii="宋体" w:hAnsi="宋体" w:cs="宋体" w:eastAsia="宋体" w:hint="default"/>
                <w:spacing w:val="-1"/>
                <w:sz w:val="16"/>
                <w:szCs w:val="16"/>
              </w:rPr>
              <w:t>哈尔滨文太升龙江环保水务</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有限责任公司</w:t>
            </w:r>
          </w:p>
        </w:tc>
        <w:tc>
          <w:tcPr>
            <w:tcW w:w="510" w:type="dxa"/>
            <w:tcBorders>
              <w:top w:val="nil" w:sz="6" w:space="0" w:color="auto"/>
              <w:left w:val="nil" w:sz="6" w:space="0" w:color="auto"/>
              <w:bottom w:val="single" w:sz="12" w:space="0" w:color="000000"/>
              <w:right w:val="nil" w:sz="6" w:space="0" w:color="auto"/>
            </w:tcBorders>
          </w:tcPr>
          <w:p>
            <w:pPr>
              <w:pStyle w:val="TableParagraph"/>
              <w:spacing w:line="240" w:lineRule="auto" w:before="107"/>
              <w:ind w:right="56"/>
              <w:jc w:val="center"/>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77" w:type="dxa"/>
            <w:tcBorders>
              <w:top w:val="nil" w:sz="6" w:space="0" w:color="auto"/>
              <w:left w:val="nil" w:sz="6" w:space="0" w:color="auto"/>
              <w:bottom w:val="single" w:sz="12" w:space="0" w:color="000000"/>
              <w:right w:val="nil" w:sz="6" w:space="0" w:color="auto"/>
            </w:tcBorders>
          </w:tcPr>
          <w:p>
            <w:pPr>
              <w:pStyle w:val="TableParagraph"/>
              <w:spacing w:line="240" w:lineRule="auto" w:before="107"/>
              <w:ind w:right="43"/>
              <w:jc w:val="righ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0"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right="49"/>
              <w:jc w:val="right"/>
              <w:rPr>
                <w:rFonts w:ascii="Times New Roman" w:hAnsi="Times New Roman" w:cs="Times New Roman" w:eastAsia="Times New Roman" w:hint="default"/>
                <w:sz w:val="16"/>
                <w:szCs w:val="16"/>
              </w:rPr>
            </w:pPr>
            <w:r>
              <w:rPr>
                <w:rFonts w:ascii="Times New Roman"/>
                <w:spacing w:val="-1"/>
                <w:sz w:val="16"/>
              </w:rPr>
              <w:t>100.00%</w:t>
            </w:r>
          </w:p>
        </w:tc>
        <w:tc>
          <w:tcPr>
            <w:tcW w:w="795"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149" w:right="161"/>
              <w:jc w:val="left"/>
              <w:rPr>
                <w:rFonts w:ascii="宋体" w:hAnsi="宋体" w:cs="宋体" w:eastAsia="宋体" w:hint="default"/>
                <w:sz w:val="16"/>
                <w:szCs w:val="16"/>
              </w:rPr>
            </w:pPr>
            <w:r>
              <w:rPr>
                <w:rFonts w:ascii="宋体" w:hAnsi="宋体" w:cs="宋体" w:eastAsia="宋体" w:hint="default"/>
                <w:sz w:val="16"/>
                <w:szCs w:val="16"/>
              </w:rPr>
              <w:t>黑龙江</w:t>
            </w:r>
            <w:r>
              <w:rPr>
                <w:rFonts w:ascii="宋体" w:hAnsi="宋体" w:cs="宋体" w:eastAsia="宋体" w:hint="default"/>
                <w:spacing w:val="-78"/>
                <w:sz w:val="16"/>
                <w:szCs w:val="16"/>
              </w:rPr>
              <w:t> </w:t>
            </w:r>
            <w:r>
              <w:rPr>
                <w:rFonts w:ascii="宋体" w:hAnsi="宋体" w:cs="宋体" w:eastAsia="宋体" w:hint="default"/>
                <w:sz w:val="16"/>
                <w:szCs w:val="16"/>
              </w:rPr>
              <w:t>哈尔滨</w:t>
            </w:r>
          </w:p>
        </w:tc>
        <w:tc>
          <w:tcPr>
            <w:tcW w:w="3346"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38" w:right="25"/>
              <w:jc w:val="left"/>
              <w:rPr>
                <w:rFonts w:ascii="宋体" w:hAnsi="宋体" w:cs="宋体" w:eastAsia="宋体" w:hint="default"/>
                <w:sz w:val="16"/>
                <w:szCs w:val="16"/>
              </w:rPr>
            </w:pPr>
            <w:r>
              <w:rPr>
                <w:rFonts w:ascii="宋体" w:hAnsi="宋体" w:cs="宋体" w:eastAsia="宋体" w:hint="default"/>
                <w:spacing w:val="2"/>
                <w:sz w:val="16"/>
                <w:szCs w:val="16"/>
              </w:rPr>
              <w:t>水务行业投资、建设、运营；水务相关技术开</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发；水务设备开发、销售</w:t>
            </w:r>
          </w:p>
        </w:tc>
      </w:tr>
    </w:tbl>
    <w:p>
      <w:pPr>
        <w:spacing w:after="0" w:line="240" w:lineRule="auto"/>
        <w:jc w:val="left"/>
        <w:rPr>
          <w:rFonts w:ascii="宋体" w:hAnsi="宋体" w:cs="宋体" w:eastAsia="宋体" w:hint="default"/>
          <w:sz w:val="16"/>
          <w:szCs w:val="16"/>
        </w:rPr>
        <w:sectPr>
          <w:pgSz w:w="11910" w:h="16840"/>
          <w:pgMar w:header="645" w:footer="816" w:top="1080" w:bottom="1000" w:left="1500" w:right="150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1"/>
          <w:szCs w:val="11"/>
        </w:rPr>
      </w:pPr>
    </w:p>
    <w:tbl>
      <w:tblPr>
        <w:tblW w:w="0" w:type="auto"/>
        <w:jc w:val="left"/>
        <w:tblInd w:w="173" w:type="dxa"/>
        <w:tblLayout w:type="fixed"/>
        <w:tblCellMar>
          <w:top w:w="0" w:type="dxa"/>
          <w:left w:w="0" w:type="dxa"/>
          <w:bottom w:w="0" w:type="dxa"/>
          <w:right w:w="0" w:type="dxa"/>
        </w:tblCellMar>
        <w:tblLook w:val="01E0"/>
      </w:tblPr>
      <w:tblGrid>
        <w:gridCol w:w="2016"/>
        <w:gridCol w:w="533"/>
        <w:gridCol w:w="1154"/>
        <w:gridCol w:w="788"/>
        <w:gridCol w:w="765"/>
        <w:gridCol w:w="3368"/>
      </w:tblGrid>
      <w:tr>
        <w:trPr>
          <w:trHeight w:val="307" w:hRule="exact"/>
        </w:trPr>
        <w:tc>
          <w:tcPr>
            <w:tcW w:w="2016"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17"/>
              <w:jc w:val="center"/>
              <w:rPr>
                <w:rFonts w:ascii="宋体" w:hAnsi="宋体" w:cs="宋体" w:eastAsia="宋体" w:hint="default"/>
                <w:sz w:val="16"/>
                <w:szCs w:val="16"/>
              </w:rPr>
            </w:pPr>
            <w:r>
              <w:rPr>
                <w:rFonts w:ascii="宋体" w:hAnsi="宋体" w:cs="宋体" w:eastAsia="宋体" w:hint="default"/>
                <w:b/>
                <w:bCs/>
                <w:sz w:val="16"/>
                <w:szCs w:val="16"/>
              </w:rPr>
              <w:t>公司名称</w:t>
            </w:r>
            <w:r>
              <w:rPr>
                <w:rFonts w:ascii="宋体" w:hAnsi="宋体" w:cs="宋体" w:eastAsia="宋体" w:hint="default"/>
                <w:sz w:val="16"/>
                <w:szCs w:val="16"/>
              </w:rPr>
            </w:r>
          </w:p>
        </w:tc>
        <w:tc>
          <w:tcPr>
            <w:tcW w:w="533"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65" w:right="0"/>
              <w:jc w:val="left"/>
              <w:rPr>
                <w:rFonts w:ascii="宋体" w:hAnsi="宋体" w:cs="宋体" w:eastAsia="宋体" w:hint="default"/>
                <w:sz w:val="16"/>
                <w:szCs w:val="16"/>
              </w:rPr>
            </w:pPr>
            <w:r>
              <w:rPr>
                <w:rFonts w:ascii="宋体" w:hAnsi="宋体" w:cs="宋体" w:eastAsia="宋体" w:hint="default"/>
                <w:b/>
                <w:bCs/>
                <w:sz w:val="16"/>
                <w:szCs w:val="16"/>
              </w:rPr>
              <w:t>级次</w:t>
            </w:r>
            <w:r>
              <w:rPr>
                <w:rFonts w:ascii="宋体" w:hAnsi="宋体" w:cs="宋体" w:eastAsia="宋体" w:hint="default"/>
                <w:sz w:val="16"/>
                <w:szCs w:val="16"/>
              </w:rPr>
            </w:r>
          </w:p>
        </w:tc>
        <w:tc>
          <w:tcPr>
            <w:tcW w:w="1154"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213" w:right="0"/>
              <w:jc w:val="left"/>
              <w:rPr>
                <w:rFonts w:ascii="宋体" w:hAnsi="宋体" w:cs="宋体" w:eastAsia="宋体" w:hint="default"/>
                <w:sz w:val="16"/>
                <w:szCs w:val="16"/>
              </w:rPr>
            </w:pPr>
            <w:r>
              <w:rPr>
                <w:rFonts w:ascii="宋体" w:hAnsi="宋体" w:cs="宋体" w:eastAsia="宋体" w:hint="default"/>
                <w:b/>
                <w:bCs/>
                <w:sz w:val="16"/>
                <w:szCs w:val="16"/>
              </w:rPr>
              <w:t>注册资本</w:t>
            </w:r>
            <w:r>
              <w:rPr>
                <w:rFonts w:ascii="宋体" w:hAnsi="宋体" w:cs="宋体" w:eastAsia="宋体" w:hint="default"/>
                <w:sz w:val="16"/>
                <w:szCs w:val="16"/>
              </w:rPr>
            </w:r>
          </w:p>
        </w:tc>
        <w:tc>
          <w:tcPr>
            <w:tcW w:w="788"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97"/>
              <w:jc w:val="right"/>
              <w:rPr>
                <w:rFonts w:ascii="宋体" w:hAnsi="宋体" w:cs="宋体" w:eastAsia="宋体" w:hint="default"/>
                <w:sz w:val="16"/>
                <w:szCs w:val="16"/>
              </w:rPr>
            </w:pPr>
            <w:r>
              <w:rPr>
                <w:rFonts w:ascii="宋体" w:hAnsi="宋体" w:cs="宋体" w:eastAsia="宋体" w:hint="default"/>
                <w:b/>
                <w:bCs/>
                <w:sz w:val="16"/>
                <w:szCs w:val="16"/>
              </w:rPr>
              <w:t>持股比例</w:t>
            </w:r>
            <w:r>
              <w:rPr>
                <w:rFonts w:ascii="宋体" w:hAnsi="宋体" w:cs="宋体" w:eastAsia="宋体" w:hint="default"/>
                <w:sz w:val="16"/>
                <w:szCs w:val="16"/>
              </w:rPr>
            </w:r>
          </w:p>
        </w:tc>
        <w:tc>
          <w:tcPr>
            <w:tcW w:w="765"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0"/>
              <w:jc w:val="center"/>
              <w:rPr>
                <w:rFonts w:ascii="宋体" w:hAnsi="宋体" w:cs="宋体" w:eastAsia="宋体" w:hint="default"/>
                <w:sz w:val="16"/>
                <w:szCs w:val="16"/>
              </w:rPr>
            </w:pPr>
            <w:r>
              <w:rPr>
                <w:rFonts w:ascii="宋体" w:hAnsi="宋体" w:cs="宋体" w:eastAsia="宋体" w:hint="default"/>
                <w:b/>
                <w:bCs/>
                <w:sz w:val="16"/>
                <w:szCs w:val="16"/>
              </w:rPr>
              <w:t>注册地址</w:t>
            </w:r>
            <w:r>
              <w:rPr>
                <w:rFonts w:ascii="宋体" w:hAnsi="宋体" w:cs="宋体" w:eastAsia="宋体" w:hint="default"/>
                <w:sz w:val="16"/>
                <w:szCs w:val="16"/>
              </w:rPr>
            </w:r>
          </w:p>
        </w:tc>
        <w:tc>
          <w:tcPr>
            <w:tcW w:w="3368"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30" w:right="0"/>
              <w:jc w:val="center"/>
              <w:rPr>
                <w:rFonts w:ascii="宋体" w:hAnsi="宋体" w:cs="宋体" w:eastAsia="宋体" w:hint="default"/>
                <w:sz w:val="16"/>
                <w:szCs w:val="16"/>
              </w:rPr>
            </w:pPr>
            <w:r>
              <w:rPr>
                <w:rFonts w:ascii="宋体" w:hAnsi="宋体" w:cs="宋体" w:eastAsia="宋体" w:hint="default"/>
                <w:b/>
                <w:bCs/>
                <w:sz w:val="16"/>
                <w:szCs w:val="16"/>
              </w:rPr>
              <w:t>主营业务</w:t>
            </w:r>
            <w:r>
              <w:rPr>
                <w:rFonts w:ascii="宋体" w:hAnsi="宋体" w:cs="宋体" w:eastAsia="宋体" w:hint="default"/>
                <w:sz w:val="16"/>
                <w:szCs w:val="16"/>
              </w:rPr>
            </w:r>
          </w:p>
        </w:tc>
      </w:tr>
      <w:tr>
        <w:trPr>
          <w:trHeight w:val="509" w:hRule="exact"/>
        </w:trPr>
        <w:tc>
          <w:tcPr>
            <w:tcW w:w="2016" w:type="dxa"/>
            <w:tcBorders>
              <w:top w:val="single" w:sz="4" w:space="0" w:color="000000"/>
              <w:left w:val="nil" w:sz="6" w:space="0" w:color="auto"/>
              <w:bottom w:val="nil" w:sz="6" w:space="0" w:color="auto"/>
              <w:right w:val="nil" w:sz="6" w:space="0" w:color="auto"/>
            </w:tcBorders>
          </w:tcPr>
          <w:p>
            <w:pPr>
              <w:pStyle w:val="TableParagraph"/>
              <w:spacing w:line="206" w:lineRule="exact" w:before="56"/>
              <w:ind w:left="28" w:right="63"/>
              <w:jc w:val="left"/>
              <w:rPr>
                <w:rFonts w:ascii="宋体" w:hAnsi="宋体" w:cs="宋体" w:eastAsia="宋体" w:hint="default"/>
                <w:sz w:val="16"/>
                <w:szCs w:val="16"/>
              </w:rPr>
            </w:pPr>
            <w:r>
              <w:rPr>
                <w:rFonts w:ascii="宋体" w:hAnsi="宋体" w:cs="宋体" w:eastAsia="宋体" w:hint="default"/>
                <w:spacing w:val="-1"/>
                <w:sz w:val="16"/>
                <w:szCs w:val="16"/>
              </w:rPr>
              <w:t>双鸭山龙江环保水务有限公</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司</w:t>
            </w:r>
          </w:p>
        </w:tc>
        <w:tc>
          <w:tcPr>
            <w:tcW w:w="533" w:type="dxa"/>
            <w:tcBorders>
              <w:top w:val="single" w:sz="4" w:space="0" w:color="000000"/>
              <w:left w:val="nil" w:sz="6" w:space="0" w:color="auto"/>
              <w:bottom w:val="nil" w:sz="6" w:space="0" w:color="auto"/>
              <w:right w:val="nil" w:sz="6" w:space="0" w:color="auto"/>
            </w:tcBorders>
          </w:tcPr>
          <w:p>
            <w:pPr>
              <w:pStyle w:val="TableParagraph"/>
              <w:spacing w:line="240" w:lineRule="auto" w:before="137"/>
              <w:ind w:left="84"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54" w:type="dxa"/>
            <w:tcBorders>
              <w:top w:val="single" w:sz="4" w:space="0" w:color="000000"/>
              <w:left w:val="nil" w:sz="6" w:space="0" w:color="auto"/>
              <w:bottom w:val="nil" w:sz="6" w:space="0" w:color="auto"/>
              <w:right w:val="nil" w:sz="6" w:space="0" w:color="auto"/>
            </w:tcBorders>
          </w:tcPr>
          <w:p>
            <w:pPr>
              <w:pStyle w:val="TableParagraph"/>
              <w:spacing w:line="240" w:lineRule="auto" w:before="137"/>
              <w:ind w:left="225"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6600.00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single" w:sz="4" w:space="0" w:color="000000"/>
              <w:left w:val="nil" w:sz="6" w:space="0" w:color="auto"/>
              <w:bottom w:val="nil" w:sz="6" w:space="0" w:color="auto"/>
              <w:right w:val="nil" w:sz="6" w:space="0" w:color="auto"/>
            </w:tcBorders>
          </w:tcPr>
          <w:p>
            <w:pPr>
              <w:pStyle w:val="TableParagraph"/>
              <w:spacing w:line="206" w:lineRule="exact" w:before="56"/>
              <w:ind w:left="141" w:right="59" w:hanging="80"/>
              <w:jc w:val="left"/>
              <w:rPr>
                <w:rFonts w:ascii="宋体" w:hAnsi="宋体" w:cs="宋体" w:eastAsia="宋体" w:hint="default"/>
                <w:sz w:val="16"/>
                <w:szCs w:val="16"/>
              </w:rPr>
            </w:pPr>
            <w:r>
              <w:rPr>
                <w:rFonts w:ascii="宋体" w:hAnsi="宋体" w:cs="宋体" w:eastAsia="宋体" w:hint="default"/>
                <w:sz w:val="16"/>
                <w:szCs w:val="16"/>
              </w:rPr>
              <w:t>黑龙江双</w:t>
            </w:r>
            <w:r>
              <w:rPr>
                <w:rFonts w:ascii="宋体" w:hAnsi="宋体" w:cs="宋体" w:eastAsia="宋体" w:hint="default"/>
                <w:spacing w:val="-77"/>
                <w:sz w:val="16"/>
                <w:szCs w:val="16"/>
              </w:rPr>
              <w:t> </w:t>
            </w:r>
            <w:r>
              <w:rPr>
                <w:rFonts w:ascii="宋体" w:hAnsi="宋体" w:cs="宋体" w:eastAsia="宋体" w:hint="default"/>
                <w:sz w:val="16"/>
                <w:szCs w:val="16"/>
              </w:rPr>
              <w:t>鸭山市</w:t>
            </w:r>
          </w:p>
        </w:tc>
        <w:tc>
          <w:tcPr>
            <w:tcW w:w="3368" w:type="dxa"/>
            <w:tcBorders>
              <w:top w:val="single" w:sz="4" w:space="0" w:color="000000"/>
              <w:left w:val="nil" w:sz="6" w:space="0" w:color="auto"/>
              <w:bottom w:val="nil" w:sz="6" w:space="0" w:color="auto"/>
              <w:right w:val="nil" w:sz="6" w:space="0" w:color="auto"/>
            </w:tcBorders>
          </w:tcPr>
          <w:p>
            <w:pPr>
              <w:pStyle w:val="TableParagraph"/>
              <w:spacing w:line="240" w:lineRule="auto" w:before="137"/>
              <w:ind w:left="59" w:right="0"/>
              <w:jc w:val="left"/>
              <w:rPr>
                <w:rFonts w:ascii="宋体" w:hAnsi="宋体" w:cs="宋体" w:eastAsia="宋体" w:hint="default"/>
                <w:sz w:val="16"/>
                <w:szCs w:val="16"/>
              </w:rPr>
            </w:pPr>
            <w:r>
              <w:rPr>
                <w:rFonts w:ascii="宋体" w:hAnsi="宋体" w:cs="宋体" w:eastAsia="宋体" w:hint="default"/>
                <w:sz w:val="16"/>
                <w:szCs w:val="16"/>
              </w:rPr>
              <w:t>水务项目投资、建设、运营</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8" w:right="63"/>
              <w:jc w:val="left"/>
              <w:rPr>
                <w:rFonts w:ascii="宋体" w:hAnsi="宋体" w:cs="宋体" w:eastAsia="宋体" w:hint="default"/>
                <w:sz w:val="16"/>
                <w:szCs w:val="16"/>
              </w:rPr>
            </w:pPr>
            <w:r>
              <w:rPr>
                <w:rFonts w:ascii="宋体" w:hAnsi="宋体" w:cs="宋体" w:eastAsia="宋体" w:hint="default"/>
                <w:spacing w:val="-1"/>
                <w:sz w:val="16"/>
                <w:szCs w:val="16"/>
              </w:rPr>
              <w:t>北京壹人壹本信息科技有限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84"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46"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北京通州</w:t>
            </w:r>
          </w:p>
        </w:tc>
        <w:tc>
          <w:tcPr>
            <w:tcW w:w="3368"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59" w:right="25"/>
              <w:jc w:val="left"/>
              <w:rPr>
                <w:rFonts w:ascii="宋体" w:hAnsi="宋体" w:cs="宋体" w:eastAsia="宋体" w:hint="default"/>
                <w:sz w:val="16"/>
                <w:szCs w:val="16"/>
              </w:rPr>
            </w:pPr>
            <w:r>
              <w:rPr>
                <w:rFonts w:ascii="宋体" w:hAnsi="宋体" w:cs="宋体" w:eastAsia="宋体" w:hint="default"/>
                <w:spacing w:val="2"/>
                <w:sz w:val="16"/>
                <w:szCs w:val="16"/>
              </w:rPr>
              <w:t>移动通讯终端、手机、计算机产品的研发、生</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产、销售；因特网信息服务业务</w:t>
            </w:r>
          </w:p>
        </w:tc>
      </w:tr>
      <w:tr>
        <w:trPr>
          <w:trHeight w:val="47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28" w:right="63"/>
              <w:jc w:val="left"/>
              <w:rPr>
                <w:rFonts w:ascii="宋体" w:hAnsi="宋体" w:cs="宋体" w:eastAsia="宋体" w:hint="default"/>
                <w:sz w:val="16"/>
                <w:szCs w:val="16"/>
              </w:rPr>
            </w:pPr>
            <w:r>
              <w:rPr>
                <w:rFonts w:ascii="宋体" w:hAnsi="宋体" w:cs="宋体" w:eastAsia="宋体" w:hint="default"/>
                <w:spacing w:val="-1"/>
                <w:sz w:val="16"/>
                <w:szCs w:val="16"/>
              </w:rPr>
              <w:t>北京珠穆朗玛移动通信有限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84"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225"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5000.00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60.00%</w:t>
            </w:r>
          </w:p>
        </w:tc>
        <w:tc>
          <w:tcPr>
            <w:tcW w:w="76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北京通州</w:t>
            </w:r>
          </w:p>
        </w:tc>
        <w:tc>
          <w:tcPr>
            <w:tcW w:w="3368" w:type="dxa"/>
            <w:tcBorders>
              <w:top w:val="nil" w:sz="6" w:space="0" w:color="auto"/>
              <w:left w:val="nil" w:sz="6" w:space="0" w:color="auto"/>
              <w:bottom w:val="nil" w:sz="6" w:space="0" w:color="auto"/>
              <w:right w:val="nil" w:sz="6" w:space="0" w:color="auto"/>
            </w:tcBorders>
          </w:tcPr>
          <w:p>
            <w:pPr>
              <w:pStyle w:val="TableParagraph"/>
              <w:spacing w:line="206" w:lineRule="exact" w:before="27"/>
              <w:ind w:left="59" w:right="25"/>
              <w:jc w:val="left"/>
              <w:rPr>
                <w:rFonts w:ascii="宋体" w:hAnsi="宋体" w:cs="宋体" w:eastAsia="宋体" w:hint="default"/>
                <w:sz w:val="16"/>
                <w:szCs w:val="16"/>
              </w:rPr>
            </w:pPr>
            <w:r>
              <w:rPr>
                <w:rFonts w:ascii="宋体" w:hAnsi="宋体" w:cs="宋体" w:eastAsia="宋体" w:hint="default"/>
                <w:spacing w:val="2"/>
                <w:sz w:val="16"/>
                <w:szCs w:val="16"/>
              </w:rPr>
              <w:t>移动通讯终端、手机、计算机产品的研发、生</w:t>
            </w:r>
            <w:r>
              <w:rPr>
                <w:rFonts w:ascii="宋体" w:hAnsi="宋体" w:cs="宋体" w:eastAsia="宋体" w:hint="default"/>
                <w:spacing w:val="-49"/>
                <w:sz w:val="16"/>
                <w:szCs w:val="16"/>
              </w:rPr>
              <w:t> </w:t>
            </w:r>
            <w:r>
              <w:rPr>
                <w:rFonts w:ascii="宋体" w:hAnsi="宋体" w:cs="宋体" w:eastAsia="宋体" w:hint="default"/>
                <w:spacing w:val="-49"/>
                <w:sz w:val="16"/>
                <w:szCs w:val="16"/>
              </w:rPr>
            </w:r>
            <w:r>
              <w:rPr>
                <w:rFonts w:ascii="宋体" w:hAnsi="宋体" w:cs="宋体" w:eastAsia="宋体" w:hint="default"/>
                <w:sz w:val="16"/>
                <w:szCs w:val="16"/>
              </w:rPr>
              <w:t>产、销售；因特网信息服务业务</w:t>
            </w:r>
          </w:p>
        </w:tc>
      </w:tr>
      <w:tr>
        <w:trPr>
          <w:trHeight w:val="461" w:hRule="exact"/>
        </w:trPr>
        <w:tc>
          <w:tcPr>
            <w:tcW w:w="2016" w:type="dxa"/>
            <w:tcBorders>
              <w:top w:val="nil" w:sz="6" w:space="0" w:color="auto"/>
              <w:left w:val="nil" w:sz="6" w:space="0" w:color="auto"/>
              <w:bottom w:val="single" w:sz="12" w:space="0" w:color="000000"/>
              <w:right w:val="nil" w:sz="6" w:space="0" w:color="auto"/>
            </w:tcBorders>
          </w:tcPr>
          <w:p>
            <w:pPr>
              <w:pStyle w:val="TableParagraph"/>
              <w:spacing w:line="206" w:lineRule="exact" w:before="27"/>
              <w:ind w:left="28" w:right="63"/>
              <w:jc w:val="left"/>
              <w:rPr>
                <w:rFonts w:ascii="宋体" w:hAnsi="宋体" w:cs="宋体" w:eastAsia="宋体" w:hint="default"/>
                <w:sz w:val="16"/>
                <w:szCs w:val="16"/>
              </w:rPr>
            </w:pPr>
            <w:r>
              <w:rPr>
                <w:rFonts w:ascii="宋体" w:hAnsi="宋体" w:cs="宋体" w:eastAsia="宋体" w:hint="default"/>
                <w:spacing w:val="-1"/>
                <w:sz w:val="16"/>
                <w:szCs w:val="16"/>
              </w:rPr>
              <w:t>北京同方电子支付科技有限</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公司</w:t>
            </w:r>
          </w:p>
        </w:tc>
        <w:tc>
          <w:tcPr>
            <w:tcW w:w="533" w:type="dxa"/>
            <w:tcBorders>
              <w:top w:val="nil" w:sz="6" w:space="0" w:color="auto"/>
              <w:left w:val="nil" w:sz="6" w:space="0" w:color="auto"/>
              <w:bottom w:val="single" w:sz="12" w:space="0" w:color="000000"/>
              <w:right w:val="nil" w:sz="6" w:space="0" w:color="auto"/>
            </w:tcBorders>
          </w:tcPr>
          <w:p>
            <w:pPr>
              <w:pStyle w:val="TableParagraph"/>
              <w:spacing w:line="240" w:lineRule="auto" w:before="108"/>
              <w:ind w:left="84"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级</w:t>
            </w:r>
          </w:p>
        </w:tc>
        <w:tc>
          <w:tcPr>
            <w:tcW w:w="1154" w:type="dxa"/>
            <w:tcBorders>
              <w:top w:val="nil" w:sz="6" w:space="0" w:color="auto"/>
              <w:left w:val="nil" w:sz="6" w:space="0" w:color="auto"/>
              <w:bottom w:val="single" w:sz="12" w:space="0" w:color="000000"/>
              <w:right w:val="nil" w:sz="6" w:space="0" w:color="auto"/>
            </w:tcBorders>
          </w:tcPr>
          <w:p>
            <w:pPr>
              <w:pStyle w:val="TableParagraph"/>
              <w:spacing w:line="240" w:lineRule="auto" w:before="108"/>
              <w:ind w:left="146"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10000.00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w:t>
            </w:r>
          </w:p>
        </w:tc>
        <w:tc>
          <w:tcPr>
            <w:tcW w:w="788" w:type="dxa"/>
            <w:tcBorders>
              <w:top w:val="nil" w:sz="6" w:space="0" w:color="auto"/>
              <w:left w:val="nil" w:sz="6" w:space="0" w:color="auto"/>
              <w:bottom w:val="single" w:sz="12" w:space="0" w:color="000000"/>
              <w:right w:val="nil" w:sz="6" w:space="0" w:color="auto"/>
            </w:tcBorders>
          </w:tcPr>
          <w:p>
            <w:pPr>
              <w:pStyle w:val="TableParagraph"/>
              <w:spacing w:line="240" w:lineRule="auto" w:before="141"/>
              <w:ind w:right="57"/>
              <w:jc w:val="right"/>
              <w:rPr>
                <w:rFonts w:ascii="Times New Roman" w:hAnsi="Times New Roman" w:cs="Times New Roman" w:eastAsia="Times New Roman" w:hint="default"/>
                <w:sz w:val="16"/>
                <w:szCs w:val="16"/>
              </w:rPr>
            </w:pPr>
            <w:r>
              <w:rPr>
                <w:rFonts w:ascii="Times New Roman"/>
                <w:spacing w:val="-1"/>
                <w:sz w:val="16"/>
              </w:rPr>
              <w:t>100.00%</w:t>
            </w:r>
          </w:p>
        </w:tc>
        <w:tc>
          <w:tcPr>
            <w:tcW w:w="765" w:type="dxa"/>
            <w:tcBorders>
              <w:top w:val="nil" w:sz="6" w:space="0" w:color="auto"/>
              <w:left w:val="nil" w:sz="6" w:space="0" w:color="auto"/>
              <w:bottom w:val="single" w:sz="12" w:space="0" w:color="000000"/>
              <w:right w:val="nil" w:sz="6" w:space="0" w:color="auto"/>
            </w:tcBorders>
          </w:tcPr>
          <w:p>
            <w:pPr>
              <w:pStyle w:val="TableParagraph"/>
              <w:spacing w:line="240" w:lineRule="auto" w:before="108"/>
              <w:ind w:left="1"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368" w:type="dxa"/>
            <w:tcBorders>
              <w:top w:val="nil" w:sz="6" w:space="0" w:color="auto"/>
              <w:left w:val="nil" w:sz="6" w:space="0" w:color="auto"/>
              <w:bottom w:val="single" w:sz="12" w:space="0" w:color="000000"/>
              <w:right w:val="nil" w:sz="6" w:space="0" w:color="auto"/>
            </w:tcBorders>
          </w:tcPr>
          <w:p>
            <w:pPr>
              <w:pStyle w:val="TableParagraph"/>
              <w:spacing w:line="240" w:lineRule="auto" w:before="108"/>
              <w:ind w:left="59" w:right="0"/>
              <w:jc w:val="left"/>
              <w:rPr>
                <w:rFonts w:ascii="宋体" w:hAnsi="宋体" w:cs="宋体" w:eastAsia="宋体" w:hint="default"/>
                <w:sz w:val="16"/>
                <w:szCs w:val="16"/>
              </w:rPr>
            </w:pPr>
            <w:r>
              <w:rPr>
                <w:rFonts w:ascii="宋体" w:hAnsi="宋体" w:cs="宋体" w:eastAsia="宋体" w:hint="default"/>
                <w:sz w:val="16"/>
                <w:szCs w:val="16"/>
              </w:rPr>
              <w:t>第三方支付业务</w:t>
            </w:r>
          </w:p>
        </w:tc>
      </w:tr>
    </w:tbl>
    <w:p>
      <w:pPr>
        <w:spacing w:before="21"/>
        <w:ind w:left="65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重要的非全资子公司</w:t>
      </w:r>
    </w:p>
    <w:p>
      <w:pPr>
        <w:spacing w:line="240" w:lineRule="auto" w:before="8"/>
        <w:rPr>
          <w:rFonts w:ascii="宋体" w:hAnsi="宋体" w:cs="宋体" w:eastAsia="宋体" w:hint="default"/>
          <w:sz w:val="11"/>
          <w:szCs w:val="11"/>
        </w:rPr>
      </w:pPr>
    </w:p>
    <w:tbl>
      <w:tblPr>
        <w:tblW w:w="0" w:type="auto"/>
        <w:jc w:val="left"/>
        <w:tblInd w:w="173" w:type="dxa"/>
        <w:tblLayout w:type="fixed"/>
        <w:tblCellMar>
          <w:top w:w="0" w:type="dxa"/>
          <w:left w:w="0" w:type="dxa"/>
          <w:bottom w:w="0" w:type="dxa"/>
          <w:right w:w="0" w:type="dxa"/>
        </w:tblCellMar>
        <w:tblLook w:val="01E0"/>
      </w:tblPr>
      <w:tblGrid>
        <w:gridCol w:w="2554"/>
        <w:gridCol w:w="1008"/>
        <w:gridCol w:w="1628"/>
        <w:gridCol w:w="1813"/>
        <w:gridCol w:w="1530"/>
      </w:tblGrid>
      <w:tr>
        <w:trPr>
          <w:trHeight w:val="487" w:hRule="exact"/>
        </w:trPr>
        <w:tc>
          <w:tcPr>
            <w:tcW w:w="2554" w:type="dxa"/>
            <w:tcBorders>
              <w:top w:val="single" w:sz="12" w:space="0" w:color="000000"/>
              <w:left w:val="nil" w:sz="6" w:space="0" w:color="auto"/>
              <w:bottom w:val="single" w:sz="4" w:space="0" w:color="000000"/>
              <w:right w:val="nil" w:sz="6" w:space="0" w:color="auto"/>
            </w:tcBorders>
          </w:tcPr>
          <w:p>
            <w:pPr>
              <w:pStyle w:val="TableParagraph"/>
              <w:spacing w:line="240" w:lineRule="auto" w:before="87"/>
              <w:ind w:left="28"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1008" w:type="dxa"/>
            <w:tcBorders>
              <w:top w:val="single" w:sz="12" w:space="0" w:color="000000"/>
              <w:left w:val="nil" w:sz="6" w:space="0" w:color="auto"/>
              <w:bottom w:val="single" w:sz="4" w:space="0" w:color="000000"/>
              <w:right w:val="nil" w:sz="6" w:space="0" w:color="auto"/>
            </w:tcBorders>
          </w:tcPr>
          <w:p>
            <w:pPr>
              <w:pStyle w:val="TableParagraph"/>
              <w:spacing w:line="204" w:lineRule="exact"/>
              <w:ind w:left="130" w:right="0"/>
              <w:jc w:val="left"/>
              <w:rPr>
                <w:rFonts w:ascii="宋体" w:hAnsi="宋体" w:cs="宋体" w:eastAsia="宋体" w:hint="default"/>
                <w:sz w:val="18"/>
                <w:szCs w:val="18"/>
              </w:rPr>
            </w:pPr>
            <w:r>
              <w:rPr>
                <w:rFonts w:ascii="宋体" w:hAnsi="宋体" w:cs="宋体" w:eastAsia="宋体" w:hint="default"/>
                <w:b/>
                <w:bCs/>
                <w:sz w:val="18"/>
                <w:szCs w:val="18"/>
              </w:rPr>
              <w:t>少数股东</w:t>
            </w:r>
            <w:r>
              <w:rPr>
                <w:rFonts w:ascii="宋体" w:hAnsi="宋体" w:cs="宋体" w:eastAsia="宋体" w:hint="default"/>
                <w:sz w:val="18"/>
                <w:szCs w:val="18"/>
              </w:rPr>
            </w:r>
          </w:p>
          <w:p>
            <w:pPr>
              <w:pStyle w:val="TableParagraph"/>
              <w:spacing w:line="234" w:lineRule="exact"/>
              <w:ind w:left="130" w:right="0"/>
              <w:jc w:val="left"/>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c>
        <w:tc>
          <w:tcPr>
            <w:tcW w:w="1628" w:type="dxa"/>
            <w:tcBorders>
              <w:top w:val="single" w:sz="12" w:space="0" w:color="000000"/>
              <w:left w:val="nil" w:sz="6" w:space="0" w:color="auto"/>
              <w:bottom w:val="single" w:sz="4" w:space="0" w:color="000000"/>
              <w:right w:val="nil" w:sz="6" w:space="0" w:color="auto"/>
            </w:tcBorders>
          </w:tcPr>
          <w:p>
            <w:pPr>
              <w:pStyle w:val="TableParagraph"/>
              <w:spacing w:line="204" w:lineRule="exact"/>
              <w:ind w:right="51"/>
              <w:jc w:val="center"/>
              <w:rPr>
                <w:rFonts w:ascii="宋体" w:hAnsi="宋体" w:cs="宋体" w:eastAsia="宋体" w:hint="default"/>
                <w:sz w:val="18"/>
                <w:szCs w:val="18"/>
              </w:rPr>
            </w:pPr>
            <w:r>
              <w:rPr>
                <w:rFonts w:ascii="宋体" w:hAnsi="宋体" w:cs="宋体" w:eastAsia="宋体" w:hint="default"/>
                <w:b/>
                <w:bCs/>
                <w:sz w:val="18"/>
                <w:szCs w:val="18"/>
              </w:rPr>
              <w:t>本年归属于</w:t>
            </w:r>
            <w:r>
              <w:rPr>
                <w:rFonts w:ascii="宋体" w:hAnsi="宋体" w:cs="宋体" w:eastAsia="宋体" w:hint="default"/>
                <w:sz w:val="18"/>
                <w:szCs w:val="18"/>
              </w:rPr>
            </w:r>
          </w:p>
          <w:p>
            <w:pPr>
              <w:pStyle w:val="TableParagraph"/>
              <w:spacing w:line="234" w:lineRule="exact"/>
              <w:ind w:right="49"/>
              <w:jc w:val="center"/>
              <w:rPr>
                <w:rFonts w:ascii="宋体" w:hAnsi="宋体" w:cs="宋体" w:eastAsia="宋体" w:hint="default"/>
                <w:sz w:val="18"/>
                <w:szCs w:val="18"/>
              </w:rPr>
            </w:pPr>
            <w:r>
              <w:rPr>
                <w:rFonts w:ascii="宋体" w:hAnsi="宋体" w:cs="宋体" w:eastAsia="宋体" w:hint="default"/>
                <w:b/>
                <w:bCs/>
                <w:sz w:val="18"/>
                <w:szCs w:val="18"/>
              </w:rPr>
              <w:t>少数股东的损益</w:t>
            </w:r>
            <w:r>
              <w:rPr>
                <w:rFonts w:ascii="宋体" w:hAnsi="宋体" w:cs="宋体" w:eastAsia="宋体" w:hint="default"/>
                <w:sz w:val="18"/>
                <w:szCs w:val="18"/>
              </w:rPr>
            </w:r>
          </w:p>
        </w:tc>
        <w:tc>
          <w:tcPr>
            <w:tcW w:w="1813" w:type="dxa"/>
            <w:tcBorders>
              <w:top w:val="single" w:sz="12" w:space="0" w:color="000000"/>
              <w:left w:val="nil" w:sz="6" w:space="0" w:color="auto"/>
              <w:bottom w:val="single" w:sz="4" w:space="0" w:color="000000"/>
              <w:right w:val="nil" w:sz="6" w:space="0" w:color="auto"/>
            </w:tcBorders>
          </w:tcPr>
          <w:p>
            <w:pPr>
              <w:pStyle w:val="TableParagraph"/>
              <w:spacing w:line="204" w:lineRule="exact"/>
              <w:ind w:left="148" w:right="0"/>
              <w:jc w:val="left"/>
              <w:rPr>
                <w:rFonts w:ascii="宋体" w:hAnsi="宋体" w:cs="宋体" w:eastAsia="宋体" w:hint="default"/>
                <w:sz w:val="18"/>
                <w:szCs w:val="18"/>
              </w:rPr>
            </w:pPr>
            <w:r>
              <w:rPr>
                <w:rFonts w:ascii="宋体" w:hAnsi="宋体" w:cs="宋体" w:eastAsia="宋体" w:hint="default"/>
                <w:b/>
                <w:bCs/>
                <w:sz w:val="18"/>
                <w:szCs w:val="18"/>
              </w:rPr>
              <w:t>本年向少数股东</w:t>
            </w:r>
            <w:r>
              <w:rPr>
                <w:rFonts w:ascii="宋体" w:hAnsi="宋体" w:cs="宋体" w:eastAsia="宋体" w:hint="default"/>
                <w:sz w:val="18"/>
                <w:szCs w:val="18"/>
              </w:rPr>
            </w:r>
          </w:p>
          <w:p>
            <w:pPr>
              <w:pStyle w:val="TableParagraph"/>
              <w:spacing w:line="234" w:lineRule="exact"/>
              <w:ind w:left="148" w:right="0"/>
              <w:jc w:val="left"/>
              <w:rPr>
                <w:rFonts w:ascii="宋体" w:hAnsi="宋体" w:cs="宋体" w:eastAsia="宋体" w:hint="default"/>
                <w:sz w:val="18"/>
                <w:szCs w:val="18"/>
              </w:rPr>
            </w:pPr>
            <w:r>
              <w:rPr>
                <w:rFonts w:ascii="宋体" w:hAnsi="宋体" w:cs="宋体" w:eastAsia="宋体" w:hint="default"/>
                <w:b/>
                <w:bCs/>
                <w:sz w:val="18"/>
                <w:szCs w:val="18"/>
              </w:rPr>
              <w:t>宣告分派的股利</w:t>
            </w:r>
            <w:r>
              <w:rPr>
                <w:rFonts w:ascii="宋体" w:hAnsi="宋体" w:cs="宋体" w:eastAsia="宋体" w:hint="default"/>
                <w:sz w:val="18"/>
                <w:szCs w:val="18"/>
              </w:rPr>
            </w:r>
          </w:p>
        </w:tc>
        <w:tc>
          <w:tcPr>
            <w:tcW w:w="1530" w:type="dxa"/>
            <w:tcBorders>
              <w:top w:val="single" w:sz="12" w:space="0" w:color="000000"/>
              <w:left w:val="nil" w:sz="6" w:space="0" w:color="auto"/>
              <w:bottom w:val="single" w:sz="4" w:space="0" w:color="000000"/>
              <w:right w:val="nil" w:sz="6" w:space="0" w:color="auto"/>
            </w:tcBorders>
          </w:tcPr>
          <w:p>
            <w:pPr>
              <w:pStyle w:val="TableParagraph"/>
              <w:spacing w:line="204" w:lineRule="exact"/>
              <w:ind w:right="129"/>
              <w:jc w:val="center"/>
              <w:rPr>
                <w:rFonts w:ascii="宋体" w:hAnsi="宋体" w:cs="宋体" w:eastAsia="宋体" w:hint="default"/>
                <w:sz w:val="18"/>
                <w:szCs w:val="18"/>
              </w:rPr>
            </w:pPr>
            <w:r>
              <w:rPr>
                <w:rFonts w:ascii="宋体" w:hAnsi="宋体" w:cs="宋体" w:eastAsia="宋体" w:hint="default"/>
                <w:b/>
                <w:bCs/>
                <w:sz w:val="18"/>
                <w:szCs w:val="18"/>
              </w:rPr>
              <w:t>年末少数股东</w:t>
            </w:r>
            <w:r>
              <w:rPr>
                <w:rFonts w:ascii="宋体" w:hAnsi="宋体" w:cs="宋体" w:eastAsia="宋体" w:hint="default"/>
                <w:sz w:val="18"/>
                <w:szCs w:val="18"/>
              </w:rPr>
            </w:r>
          </w:p>
          <w:p>
            <w:pPr>
              <w:pStyle w:val="TableParagraph"/>
              <w:spacing w:line="234" w:lineRule="exact"/>
              <w:ind w:right="131"/>
              <w:jc w:val="center"/>
              <w:rPr>
                <w:rFonts w:ascii="宋体" w:hAnsi="宋体" w:cs="宋体" w:eastAsia="宋体" w:hint="default"/>
                <w:sz w:val="18"/>
                <w:szCs w:val="18"/>
              </w:rPr>
            </w:pPr>
            <w:r>
              <w:rPr>
                <w:rFonts w:ascii="宋体" w:hAnsi="宋体" w:cs="宋体" w:eastAsia="宋体" w:hint="default"/>
                <w:b/>
                <w:bCs/>
                <w:sz w:val="18"/>
                <w:szCs w:val="18"/>
              </w:rPr>
              <w:t>权益余额</w:t>
            </w:r>
            <w:r>
              <w:rPr>
                <w:rFonts w:ascii="宋体" w:hAnsi="宋体" w:cs="宋体" w:eastAsia="宋体" w:hint="default"/>
                <w:sz w:val="18"/>
                <w:szCs w:val="18"/>
              </w:rPr>
            </w:r>
          </w:p>
        </w:tc>
      </w:tr>
      <w:tr>
        <w:trPr>
          <w:trHeight w:val="294" w:hRule="exact"/>
        </w:trPr>
        <w:tc>
          <w:tcPr>
            <w:tcW w:w="2554" w:type="dxa"/>
            <w:tcBorders>
              <w:top w:val="single" w:sz="4" w:space="0" w:color="000000"/>
              <w:left w:val="nil" w:sz="6" w:space="0" w:color="auto"/>
              <w:bottom w:val="nil" w:sz="6" w:space="0" w:color="auto"/>
              <w:right w:val="nil" w:sz="6" w:space="0" w:color="auto"/>
            </w:tcBorders>
          </w:tcPr>
          <w:p>
            <w:pPr>
              <w:pStyle w:val="TableParagraph"/>
              <w:spacing w:line="232" w:lineRule="exact"/>
              <w:ind w:left="28" w:right="0"/>
              <w:jc w:val="left"/>
              <w:rPr>
                <w:rFonts w:ascii="宋体" w:hAnsi="宋体" w:cs="宋体" w:eastAsia="宋体" w:hint="default"/>
                <w:sz w:val="18"/>
                <w:szCs w:val="18"/>
              </w:rPr>
            </w:pPr>
            <w:r>
              <w:rPr>
                <w:rFonts w:ascii="宋体" w:hAnsi="宋体" w:cs="宋体" w:eastAsia="宋体" w:hint="default"/>
                <w:sz w:val="18"/>
                <w:szCs w:val="18"/>
              </w:rPr>
              <w:t>龙江环保集团股份有限公司</w:t>
            </w:r>
          </w:p>
        </w:tc>
        <w:tc>
          <w:tcPr>
            <w:tcW w:w="1008"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20"/>
              <w:jc w:val="center"/>
              <w:rPr>
                <w:rFonts w:ascii="Times New Roman" w:hAnsi="Times New Roman" w:cs="Times New Roman" w:eastAsia="Times New Roman" w:hint="default"/>
                <w:sz w:val="18"/>
                <w:szCs w:val="18"/>
              </w:rPr>
            </w:pPr>
            <w:r>
              <w:rPr>
                <w:rFonts w:ascii="Times New Roman"/>
                <w:sz w:val="18"/>
              </w:rPr>
              <w:t>69.22%</w:t>
            </w:r>
          </w:p>
        </w:tc>
        <w:tc>
          <w:tcPr>
            <w:tcW w:w="1628"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147"/>
              <w:jc w:val="right"/>
              <w:rPr>
                <w:rFonts w:ascii="Times New Roman" w:hAnsi="Times New Roman" w:cs="Times New Roman" w:eastAsia="Times New Roman" w:hint="default"/>
                <w:sz w:val="18"/>
                <w:szCs w:val="18"/>
              </w:rPr>
            </w:pPr>
            <w:r>
              <w:rPr>
                <w:rFonts w:ascii="Times New Roman"/>
                <w:spacing w:val="-1"/>
                <w:sz w:val="18"/>
              </w:rPr>
              <w:t>50,623,337.07</w:t>
            </w:r>
          </w:p>
        </w:tc>
        <w:tc>
          <w:tcPr>
            <w:tcW w:w="1813"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155"/>
              <w:jc w:val="right"/>
              <w:rPr>
                <w:rFonts w:ascii="Times New Roman" w:hAnsi="Times New Roman" w:cs="Times New Roman" w:eastAsia="Times New Roman" w:hint="default"/>
                <w:sz w:val="18"/>
                <w:szCs w:val="18"/>
              </w:rPr>
            </w:pPr>
            <w:r>
              <w:rPr>
                <w:rFonts w:ascii="Times New Roman"/>
                <w:spacing w:val="-1"/>
                <w:sz w:val="18"/>
              </w:rPr>
              <w:t>0.00</w:t>
            </w:r>
          </w:p>
        </w:tc>
        <w:tc>
          <w:tcPr>
            <w:tcW w:w="1530"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26"/>
              <w:jc w:val="right"/>
              <w:rPr>
                <w:rFonts w:ascii="Times New Roman" w:hAnsi="Times New Roman" w:cs="Times New Roman" w:eastAsia="Times New Roman" w:hint="default"/>
                <w:sz w:val="18"/>
                <w:szCs w:val="18"/>
              </w:rPr>
            </w:pPr>
            <w:r>
              <w:rPr>
                <w:rFonts w:ascii="Times New Roman"/>
                <w:spacing w:val="-1"/>
                <w:sz w:val="18"/>
              </w:rPr>
              <w:t>639,739,550.31</w:t>
            </w:r>
          </w:p>
        </w:tc>
      </w:tr>
      <w:tr>
        <w:trPr>
          <w:trHeight w:val="282"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8" w:right="0"/>
              <w:jc w:val="left"/>
              <w:rPr>
                <w:rFonts w:ascii="Times New Roman" w:hAnsi="Times New Roman" w:cs="Times New Roman" w:eastAsia="Times New Roman" w:hint="default"/>
                <w:sz w:val="18"/>
                <w:szCs w:val="18"/>
              </w:rPr>
            </w:pPr>
            <w:r>
              <w:rPr>
                <w:rFonts w:ascii="Times New Roman"/>
                <w:sz w:val="18"/>
              </w:rPr>
              <w:t>TechnovatorInternationalLimited</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
              <w:jc w:val="center"/>
              <w:rPr>
                <w:rFonts w:ascii="Times New Roman" w:hAnsi="Times New Roman" w:cs="Times New Roman" w:eastAsia="Times New Roman" w:hint="default"/>
                <w:sz w:val="18"/>
                <w:szCs w:val="18"/>
              </w:rPr>
            </w:pPr>
            <w:r>
              <w:rPr>
                <w:rFonts w:ascii="Times New Roman"/>
                <w:sz w:val="18"/>
              </w:rPr>
              <w:t>66.28%</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7"/>
              <w:jc w:val="right"/>
              <w:rPr>
                <w:rFonts w:ascii="Times New Roman" w:hAnsi="Times New Roman" w:cs="Times New Roman" w:eastAsia="Times New Roman" w:hint="default"/>
                <w:sz w:val="18"/>
                <w:szCs w:val="18"/>
              </w:rPr>
            </w:pPr>
            <w:r>
              <w:rPr>
                <w:rFonts w:ascii="Times New Roman"/>
                <w:spacing w:val="-1"/>
                <w:sz w:val="18"/>
              </w:rPr>
              <w:t>495,723,002.56</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55"/>
              <w:jc w:val="right"/>
              <w:rPr>
                <w:rFonts w:ascii="Times New Roman" w:hAnsi="Times New Roman" w:cs="Times New Roman" w:eastAsia="Times New Roman" w:hint="default"/>
                <w:sz w:val="18"/>
                <w:szCs w:val="18"/>
              </w:rPr>
            </w:pPr>
            <w:r>
              <w:rPr>
                <w:rFonts w:ascii="Times New Roman"/>
                <w:spacing w:val="-1"/>
                <w:sz w:val="18"/>
              </w:rPr>
              <w:t>0.00</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7"/>
              <w:jc w:val="right"/>
              <w:rPr>
                <w:rFonts w:ascii="Times New Roman" w:hAnsi="Times New Roman" w:cs="Times New Roman" w:eastAsia="Times New Roman" w:hint="default"/>
                <w:sz w:val="18"/>
                <w:szCs w:val="18"/>
              </w:rPr>
            </w:pPr>
            <w:r>
              <w:rPr>
                <w:rFonts w:ascii="Times New Roman"/>
                <w:spacing w:val="-1"/>
                <w:sz w:val="18"/>
              </w:rPr>
              <w:t>1,326,167,181.74</w:t>
            </w:r>
          </w:p>
        </w:tc>
      </w:tr>
      <w:tr>
        <w:trPr>
          <w:trHeight w:val="288"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29" w:lineRule="exact"/>
              <w:ind w:left="28" w:right="0"/>
              <w:jc w:val="left"/>
              <w:rPr>
                <w:rFonts w:ascii="宋体" w:hAnsi="宋体" w:cs="宋体" w:eastAsia="宋体" w:hint="default"/>
                <w:sz w:val="18"/>
                <w:szCs w:val="18"/>
              </w:rPr>
            </w:pPr>
            <w:r>
              <w:rPr>
                <w:rFonts w:ascii="宋体" w:hAnsi="宋体" w:cs="宋体" w:eastAsia="宋体" w:hint="default"/>
                <w:sz w:val="18"/>
                <w:szCs w:val="18"/>
              </w:rPr>
              <w:t>同方国芯电子股份有限公司</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0"/>
              <w:jc w:val="center"/>
              <w:rPr>
                <w:rFonts w:ascii="Times New Roman" w:hAnsi="Times New Roman" w:cs="Times New Roman" w:eastAsia="Times New Roman" w:hint="default"/>
                <w:sz w:val="18"/>
                <w:szCs w:val="18"/>
              </w:rPr>
            </w:pPr>
            <w:r>
              <w:rPr>
                <w:rFonts w:ascii="Times New Roman"/>
                <w:sz w:val="18"/>
              </w:rPr>
              <w:t>58.62%</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47"/>
              <w:jc w:val="right"/>
              <w:rPr>
                <w:rFonts w:ascii="Times New Roman" w:hAnsi="Times New Roman" w:cs="Times New Roman" w:eastAsia="Times New Roman" w:hint="default"/>
                <w:sz w:val="18"/>
                <w:szCs w:val="18"/>
              </w:rPr>
            </w:pPr>
            <w:r>
              <w:rPr>
                <w:rFonts w:ascii="Times New Roman"/>
                <w:spacing w:val="-1"/>
                <w:sz w:val="18"/>
              </w:rPr>
              <w:t>194,931,149.53</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6"/>
              <w:jc w:val="right"/>
              <w:rPr>
                <w:rFonts w:ascii="Times New Roman" w:hAnsi="Times New Roman" w:cs="Times New Roman" w:eastAsia="Times New Roman" w:hint="default"/>
                <w:sz w:val="18"/>
                <w:szCs w:val="18"/>
              </w:rPr>
            </w:pPr>
            <w:r>
              <w:rPr>
                <w:rFonts w:ascii="Times New Roman"/>
                <w:spacing w:val="-1"/>
                <w:sz w:val="18"/>
              </w:rPr>
              <w:t>35,570,272.40</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7"/>
              <w:jc w:val="right"/>
              <w:rPr>
                <w:rFonts w:ascii="Times New Roman" w:hAnsi="Times New Roman" w:cs="Times New Roman" w:eastAsia="Times New Roman" w:hint="default"/>
                <w:sz w:val="18"/>
                <w:szCs w:val="18"/>
              </w:rPr>
            </w:pPr>
            <w:r>
              <w:rPr>
                <w:rFonts w:ascii="Times New Roman"/>
                <w:spacing w:val="-1"/>
                <w:sz w:val="18"/>
              </w:rPr>
              <w:t>1,753,600,137.75</w:t>
            </w:r>
          </w:p>
        </w:tc>
      </w:tr>
      <w:tr>
        <w:trPr>
          <w:trHeight w:val="293"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40" w:lineRule="auto" w:before="17"/>
              <w:ind w:left="28" w:right="0"/>
              <w:jc w:val="left"/>
              <w:rPr>
                <w:rFonts w:ascii="宋体" w:hAnsi="宋体" w:cs="宋体" w:eastAsia="宋体" w:hint="default"/>
                <w:sz w:val="18"/>
                <w:szCs w:val="18"/>
              </w:rPr>
            </w:pPr>
            <w:r>
              <w:rPr>
                <w:rFonts w:ascii="宋体" w:hAnsi="宋体" w:cs="宋体" w:eastAsia="宋体" w:hint="default"/>
                <w:sz w:val="18"/>
                <w:szCs w:val="18"/>
              </w:rPr>
              <w:t>同方友友控股有限公司</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0"/>
              <w:jc w:val="center"/>
              <w:rPr>
                <w:rFonts w:ascii="Times New Roman" w:hAnsi="Times New Roman" w:cs="Times New Roman" w:eastAsia="Times New Roman" w:hint="default"/>
                <w:sz w:val="18"/>
                <w:szCs w:val="18"/>
              </w:rPr>
            </w:pPr>
            <w:r>
              <w:rPr>
                <w:rFonts w:ascii="Times New Roman"/>
                <w:sz w:val="18"/>
              </w:rPr>
              <w:t>48.25%</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6"/>
              <w:jc w:val="right"/>
              <w:rPr>
                <w:rFonts w:ascii="Times New Roman" w:hAnsi="Times New Roman" w:cs="Times New Roman" w:eastAsia="Times New Roman" w:hint="default"/>
                <w:sz w:val="18"/>
                <w:szCs w:val="18"/>
              </w:rPr>
            </w:pPr>
            <w:r>
              <w:rPr>
                <w:rFonts w:ascii="Times New Roman"/>
                <w:spacing w:val="-1"/>
                <w:sz w:val="18"/>
              </w:rPr>
              <w:t>1,479,773.79</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55"/>
              <w:jc w:val="right"/>
              <w:rPr>
                <w:rFonts w:ascii="Times New Roman" w:hAnsi="Times New Roman" w:cs="Times New Roman" w:eastAsia="Times New Roman" w:hint="default"/>
                <w:sz w:val="18"/>
                <w:szCs w:val="18"/>
              </w:rPr>
            </w:pPr>
            <w:r>
              <w:rPr>
                <w:rFonts w:ascii="Times New Roman"/>
                <w:spacing w:val="-1"/>
                <w:sz w:val="18"/>
              </w:rPr>
              <w:t>0.00</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6"/>
              <w:jc w:val="right"/>
              <w:rPr>
                <w:rFonts w:ascii="Times New Roman" w:hAnsi="Times New Roman" w:cs="Times New Roman" w:eastAsia="Times New Roman" w:hint="default"/>
                <w:sz w:val="18"/>
                <w:szCs w:val="18"/>
              </w:rPr>
            </w:pPr>
            <w:r>
              <w:rPr>
                <w:rFonts w:ascii="Times New Roman"/>
                <w:spacing w:val="-1"/>
                <w:sz w:val="18"/>
              </w:rPr>
              <w:t>561,833,347.25</w:t>
            </w:r>
          </w:p>
        </w:tc>
      </w:tr>
      <w:tr>
        <w:trPr>
          <w:trHeight w:val="288" w:hRule="exact"/>
        </w:trPr>
        <w:tc>
          <w:tcPr>
            <w:tcW w:w="2554" w:type="dxa"/>
            <w:tcBorders>
              <w:top w:val="nil" w:sz="6" w:space="0" w:color="auto"/>
              <w:left w:val="nil" w:sz="6" w:space="0" w:color="auto"/>
              <w:bottom w:val="single" w:sz="12" w:space="0" w:color="000000"/>
              <w:right w:val="nil" w:sz="6" w:space="0" w:color="auto"/>
            </w:tcBorders>
          </w:tcPr>
          <w:p>
            <w:pPr>
              <w:pStyle w:val="TableParagraph"/>
              <w:spacing w:line="220" w:lineRule="exact"/>
              <w:ind w:left="28" w:right="0"/>
              <w:jc w:val="left"/>
              <w:rPr>
                <w:rFonts w:ascii="宋体" w:hAnsi="宋体" w:cs="宋体" w:eastAsia="宋体" w:hint="default"/>
                <w:sz w:val="18"/>
                <w:szCs w:val="18"/>
              </w:rPr>
            </w:pPr>
            <w:r>
              <w:rPr>
                <w:rFonts w:ascii="宋体" w:hAnsi="宋体" w:cs="宋体" w:eastAsia="宋体" w:hint="default"/>
                <w:sz w:val="18"/>
                <w:szCs w:val="18"/>
              </w:rPr>
              <w:t>同方威视技术股份有限公司</w:t>
            </w:r>
          </w:p>
        </w:tc>
        <w:tc>
          <w:tcPr>
            <w:tcW w:w="1008"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20"/>
              <w:jc w:val="center"/>
              <w:rPr>
                <w:rFonts w:ascii="Times New Roman" w:hAnsi="Times New Roman" w:cs="Times New Roman" w:eastAsia="Times New Roman" w:hint="default"/>
                <w:sz w:val="18"/>
                <w:szCs w:val="18"/>
              </w:rPr>
            </w:pPr>
            <w:r>
              <w:rPr>
                <w:rFonts w:ascii="Times New Roman"/>
                <w:sz w:val="18"/>
              </w:rPr>
              <w:t>30.91%</w:t>
            </w:r>
          </w:p>
        </w:tc>
        <w:tc>
          <w:tcPr>
            <w:tcW w:w="1628"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147"/>
              <w:jc w:val="right"/>
              <w:rPr>
                <w:rFonts w:ascii="Times New Roman" w:hAnsi="Times New Roman" w:cs="Times New Roman" w:eastAsia="Times New Roman" w:hint="default"/>
                <w:sz w:val="18"/>
                <w:szCs w:val="18"/>
              </w:rPr>
            </w:pPr>
            <w:r>
              <w:rPr>
                <w:rFonts w:ascii="Times New Roman"/>
                <w:spacing w:val="-1"/>
                <w:sz w:val="18"/>
              </w:rPr>
              <w:t>163,622,820.18</w:t>
            </w:r>
          </w:p>
        </w:tc>
        <w:tc>
          <w:tcPr>
            <w:tcW w:w="1813"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156"/>
              <w:jc w:val="right"/>
              <w:rPr>
                <w:rFonts w:ascii="Times New Roman" w:hAnsi="Times New Roman" w:cs="Times New Roman" w:eastAsia="Times New Roman" w:hint="default"/>
                <w:sz w:val="18"/>
                <w:szCs w:val="18"/>
              </w:rPr>
            </w:pPr>
            <w:r>
              <w:rPr>
                <w:rFonts w:ascii="Times New Roman"/>
                <w:spacing w:val="-1"/>
                <w:sz w:val="18"/>
              </w:rPr>
              <w:t>51,700,000.00</w:t>
            </w:r>
          </w:p>
        </w:tc>
        <w:tc>
          <w:tcPr>
            <w:tcW w:w="1530"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26"/>
              <w:jc w:val="right"/>
              <w:rPr>
                <w:rFonts w:ascii="Times New Roman" w:hAnsi="Times New Roman" w:cs="Times New Roman" w:eastAsia="Times New Roman" w:hint="default"/>
                <w:sz w:val="18"/>
                <w:szCs w:val="18"/>
              </w:rPr>
            </w:pPr>
            <w:r>
              <w:rPr>
                <w:rFonts w:ascii="Times New Roman"/>
                <w:spacing w:val="-1"/>
                <w:sz w:val="18"/>
              </w:rPr>
              <w:t>504,278,475.37</w:t>
            </w:r>
          </w:p>
        </w:tc>
      </w:tr>
    </w:tbl>
    <w:p>
      <w:pPr>
        <w:spacing w:before="21"/>
        <w:ind w:left="655" w:right="0" w:firstLine="0"/>
        <w:jc w:val="left"/>
        <w:rPr>
          <w:rFonts w:ascii="宋体" w:hAnsi="宋体" w:cs="宋体" w:eastAsia="宋体" w:hint="default"/>
          <w:sz w:val="22"/>
          <w:szCs w:val="22"/>
        </w:rPr>
      </w:pPr>
      <w:r>
        <w:rPr/>
        <w:pict>
          <v:group style="position:absolute;margin-left:183.650009pt;margin-top:39.577690pt;width:328.5pt;height:.5pt;mso-position-horizontal-relative:page;mso-position-vertical-relative:paragraph;z-index:-1196824" coordorigin="3673,792" coordsize="6570,10">
            <v:group style="position:absolute;left:3678;top:796;width:1092;height:2" coordorigin="3678,796" coordsize="1092,2">
              <v:shape style="position:absolute;left:3678;top:796;width:1092;height:2" coordorigin="3678,796" coordsize="1092,0" path="m3678,796l4770,796e" filled="false" stroked="true" strokeweight=".47998pt" strokecolor="#000000">
                <v:path arrowok="t"/>
              </v:shape>
            </v:group>
            <v:group style="position:absolute;left:4770;top:796;width:10;height:2" coordorigin="4770,796" coordsize="10,2">
              <v:shape style="position:absolute;left:4770;top:796;width:10;height:2" coordorigin="4770,796" coordsize="10,0" path="m4770,796l4779,796e" filled="false" stroked="true" strokeweight=".47998pt" strokecolor="#000000">
                <v:path arrowok="t"/>
              </v:shape>
            </v:group>
            <v:group style="position:absolute;left:4779;top:796;width:1083;height:2" coordorigin="4779,796" coordsize="1083,2">
              <v:shape style="position:absolute;left:4779;top:796;width:1083;height:2" coordorigin="4779,796" coordsize="1083,0" path="m4779,796l5862,796e" filled="false" stroked="true" strokeweight=".47998pt" strokecolor="#000000">
                <v:path arrowok="t"/>
              </v:shape>
            </v:group>
            <v:group style="position:absolute;left:5862;top:796;width:10;height:2" coordorigin="5862,796" coordsize="10,2">
              <v:shape style="position:absolute;left:5862;top:796;width:10;height:2" coordorigin="5862,796" coordsize="10,0" path="m5862,796l5871,796e" filled="false" stroked="true" strokeweight=".47998pt" strokecolor="#000000">
                <v:path arrowok="t"/>
              </v:shape>
            </v:group>
            <v:group style="position:absolute;left:5871;top:796;width:1086;height:2" coordorigin="5871,796" coordsize="1086,2">
              <v:shape style="position:absolute;left:5871;top:796;width:1086;height:2" coordorigin="5871,796" coordsize="1086,0" path="m5871,796l6957,796e" filled="false" stroked="true" strokeweight=".47998pt" strokecolor="#000000">
                <v:path arrowok="t"/>
              </v:shape>
            </v:group>
            <v:group style="position:absolute;left:6957;top:796;width:10;height:2" coordorigin="6957,796" coordsize="10,2">
              <v:shape style="position:absolute;left:6957;top:796;width:10;height:2" coordorigin="6957,796" coordsize="10,0" path="m6957,796l6966,796e" filled="false" stroked="true" strokeweight=".47998pt" strokecolor="#000000">
                <v:path arrowok="t"/>
              </v:shape>
            </v:group>
            <v:group style="position:absolute;left:6966;top:796;width:1083;height:2" coordorigin="6966,796" coordsize="1083,2">
              <v:shape style="position:absolute;left:6966;top:796;width:1083;height:2" coordorigin="6966,796" coordsize="1083,0" path="m6966,796l8049,796e" filled="false" stroked="true" strokeweight=".47998pt" strokecolor="#000000">
                <v:path arrowok="t"/>
              </v:shape>
            </v:group>
            <v:group style="position:absolute;left:8049;top:796;width:10;height:2" coordorigin="8049,796" coordsize="10,2">
              <v:shape style="position:absolute;left:8049;top:796;width:10;height:2" coordorigin="8049,796" coordsize="10,0" path="m8049,796l8058,796e" filled="false" stroked="true" strokeweight=".47998pt" strokecolor="#000000">
                <v:path arrowok="t"/>
              </v:shape>
            </v:group>
            <v:group style="position:absolute;left:8058;top:796;width:1086;height:2" coordorigin="8058,796" coordsize="1086,2">
              <v:shape style="position:absolute;left:8058;top:796;width:1086;height:2" coordorigin="8058,796" coordsize="1086,0" path="m8058,796l9143,796e" filled="false" stroked="true" strokeweight=".47998pt" strokecolor="#000000">
                <v:path arrowok="t"/>
              </v:shape>
            </v:group>
            <v:group style="position:absolute;left:9144;top:796;width:10;height:2" coordorigin="9144,796" coordsize="10,2">
              <v:shape style="position:absolute;left:9144;top:796;width:10;height:2" coordorigin="9144,796" coordsize="10,0" path="m9144,796l9153,796e" filled="false" stroked="true" strokeweight=".47998pt" strokecolor="#000000">
                <v:path arrowok="t"/>
              </v:shape>
            </v:group>
            <v:group style="position:absolute;left:9153;top:796;width:1085;height:2" coordorigin="9153,796" coordsize="1085,2">
              <v:shape style="position:absolute;left:9153;top:796;width:1085;height:2" coordorigin="9153,796" coordsize="1085,0" path="m9153,796l10238,796e" filled="false" stroked="true" strokeweight=".47998pt" strokecolor="#000000">
                <v:path arrowok="t"/>
              </v:shape>
            </v:group>
            <w10:wrap type="none"/>
          </v:group>
        </w:pict>
      </w: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重要非全资子公司的主要财务信息</w:t>
      </w:r>
    </w:p>
    <w:p>
      <w:pPr>
        <w:spacing w:line="240" w:lineRule="auto" w:before="8"/>
        <w:rPr>
          <w:rFonts w:ascii="宋体" w:hAnsi="宋体" w:cs="宋体" w:eastAsia="宋体" w:hint="default"/>
          <w:sz w:val="11"/>
          <w:szCs w:val="11"/>
        </w:rPr>
      </w:pPr>
    </w:p>
    <w:p>
      <w:pPr>
        <w:spacing w:line="28" w:lineRule="exact"/>
        <w:ind w:left="158" w:right="0" w:firstLine="0"/>
        <w:rPr>
          <w:rFonts w:ascii="宋体" w:hAnsi="宋体" w:cs="宋体" w:eastAsia="宋体" w:hint="default"/>
          <w:sz w:val="2"/>
          <w:szCs w:val="2"/>
        </w:rPr>
      </w:pPr>
      <w:r>
        <w:rPr>
          <w:rFonts w:ascii="宋体" w:hAnsi="宋体" w:cs="宋体" w:eastAsia="宋体" w:hint="default"/>
          <w:position w:val="0"/>
          <w:sz w:val="2"/>
          <w:szCs w:val="2"/>
        </w:rPr>
        <w:pict>
          <v:group style="width:429.7pt;height:1.45pt;mso-position-horizontal-relative:char;mso-position-vertical-relative:line" coordorigin="0,0" coordsize="8594,29">
            <v:group style="position:absolute;left:14;top:14;width:2005;height:2" coordorigin="14,14" coordsize="2005,2">
              <v:shape style="position:absolute;left:14;top:14;width:2005;height:2" coordorigin="14,14" coordsize="2005,0" path="m14,14l2019,14e" filled="false" stroked="true" strokeweight="1.44pt" strokecolor="#000000">
                <v:path arrowok="t"/>
              </v:shape>
            </v:group>
            <v:group style="position:absolute;left:2019;top:14;width:29;height:2" coordorigin="2019,14" coordsize="29,2">
              <v:shape style="position:absolute;left:2019;top:14;width:29;height:2" coordorigin="2019,14" coordsize="29,0" path="m2019,14l2048,14e" filled="false" stroked="true" strokeweight="1.44pt" strokecolor="#000000">
                <v:path arrowok="t"/>
              </v:shape>
            </v:group>
            <v:group style="position:absolute;left:2048;top:14;width:6532;height:2" coordorigin="2048,14" coordsize="6532,2">
              <v:shape style="position:absolute;left:2048;top:14;width:6532;height:2" coordorigin="2048,14" coordsize="6532,0" path="m2048,14l8579,14e" filled="false" stroked="true" strokeweight="1.44pt" strokecolor="#000000">
                <v:path arrowok="t"/>
              </v:shape>
            </v:group>
          </v:group>
        </w:pict>
      </w:r>
      <w:r>
        <w:rPr>
          <w:rFonts w:ascii="宋体" w:hAnsi="宋体" w:cs="宋体" w:eastAsia="宋体" w:hint="default"/>
          <w:position w:val="0"/>
          <w:sz w:val="2"/>
          <w:szCs w:val="2"/>
        </w:rPr>
      </w:r>
    </w:p>
    <w:p>
      <w:pPr>
        <w:spacing w:line="240" w:lineRule="auto" w:before="8"/>
        <w:rPr>
          <w:rFonts w:ascii="宋体" w:hAnsi="宋体" w:cs="宋体" w:eastAsia="宋体" w:hint="default"/>
          <w:sz w:val="2"/>
          <w:szCs w:val="2"/>
        </w:rPr>
      </w:pPr>
    </w:p>
    <w:tbl>
      <w:tblPr>
        <w:tblW w:w="0" w:type="auto"/>
        <w:jc w:val="left"/>
        <w:tblInd w:w="144" w:type="dxa"/>
        <w:tblLayout w:type="fixed"/>
        <w:tblCellMar>
          <w:top w:w="0" w:type="dxa"/>
          <w:left w:w="0" w:type="dxa"/>
          <w:bottom w:w="0" w:type="dxa"/>
          <w:right w:w="0" w:type="dxa"/>
        </w:tblCellMar>
        <w:tblLook w:val="01E0"/>
      </w:tblPr>
      <w:tblGrid>
        <w:gridCol w:w="1885"/>
        <w:gridCol w:w="1290"/>
        <w:gridCol w:w="1096"/>
        <w:gridCol w:w="1097"/>
        <w:gridCol w:w="1096"/>
        <w:gridCol w:w="1100"/>
        <w:gridCol w:w="1064"/>
      </w:tblGrid>
      <w:tr>
        <w:trPr>
          <w:trHeight w:val="189" w:hRule="exact"/>
        </w:trPr>
        <w:tc>
          <w:tcPr>
            <w:tcW w:w="8627" w:type="dxa"/>
            <w:gridSpan w:val="7"/>
            <w:tcBorders>
              <w:top w:val="nil" w:sz="6" w:space="0" w:color="auto"/>
              <w:left w:val="nil" w:sz="6" w:space="0" w:color="auto"/>
              <w:bottom w:val="nil" w:sz="6" w:space="0" w:color="auto"/>
              <w:right w:val="nil" w:sz="6" w:space="0" w:color="auto"/>
            </w:tcBorders>
          </w:tcPr>
          <w:p>
            <w:pPr>
              <w:pStyle w:val="TableParagraph"/>
              <w:spacing w:line="169" w:lineRule="exact" w:before="59"/>
              <w:ind w:left="1996" w:right="0"/>
              <w:jc w:val="center"/>
              <w:rPr>
                <w:rFonts w:ascii="宋体" w:hAnsi="宋体" w:cs="宋体" w:eastAsia="宋体" w:hint="default"/>
                <w:sz w:val="13"/>
                <w:szCs w:val="13"/>
              </w:rPr>
            </w:pPr>
            <w:r>
              <w:rPr>
                <w:rFonts w:ascii="宋体" w:hAnsi="宋体" w:cs="宋体" w:eastAsia="宋体" w:hint="default"/>
                <w:b/>
                <w:bCs/>
                <w:sz w:val="13"/>
                <w:szCs w:val="13"/>
              </w:rPr>
              <w:t>年末余额</w:t>
            </w:r>
            <w:r>
              <w:rPr>
                <w:rFonts w:ascii="宋体" w:hAnsi="宋体" w:cs="宋体" w:eastAsia="宋体" w:hint="default"/>
                <w:sz w:val="13"/>
                <w:szCs w:val="13"/>
              </w:rPr>
            </w:r>
          </w:p>
        </w:tc>
      </w:tr>
      <w:tr>
        <w:trPr>
          <w:trHeight w:val="168"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130" w:lineRule="exact"/>
              <w:ind w:left="57" w:right="0"/>
              <w:jc w:val="left"/>
              <w:rPr>
                <w:rFonts w:ascii="宋体" w:hAnsi="宋体" w:cs="宋体" w:eastAsia="宋体" w:hint="default"/>
                <w:sz w:val="13"/>
                <w:szCs w:val="13"/>
              </w:rPr>
            </w:pPr>
            <w:r>
              <w:rPr>
                <w:rFonts w:ascii="宋体" w:hAnsi="宋体" w:cs="宋体" w:eastAsia="宋体" w:hint="default"/>
                <w:b/>
                <w:bCs/>
                <w:sz w:val="13"/>
                <w:szCs w:val="13"/>
              </w:rPr>
              <w:t>子公司名称</w:t>
            </w:r>
            <w:r>
              <w:rPr>
                <w:rFonts w:ascii="宋体" w:hAnsi="宋体" w:cs="宋体" w:eastAsia="宋体" w:hint="default"/>
                <w:sz w:val="13"/>
                <w:szCs w:val="13"/>
              </w:rPr>
            </w:r>
          </w:p>
        </w:tc>
        <w:tc>
          <w:tcPr>
            <w:tcW w:w="1290" w:type="dxa"/>
            <w:tcBorders>
              <w:top w:val="nil" w:sz="6" w:space="0" w:color="auto"/>
              <w:left w:val="nil" w:sz="6" w:space="0" w:color="auto"/>
              <w:bottom w:val="nil" w:sz="6" w:space="0" w:color="auto"/>
              <w:right w:val="nil" w:sz="6" w:space="0" w:color="auto"/>
            </w:tcBorders>
          </w:tcPr>
          <w:p>
            <w:pPr/>
          </w:p>
        </w:tc>
        <w:tc>
          <w:tcPr>
            <w:tcW w:w="1096" w:type="dxa"/>
            <w:tcBorders>
              <w:top w:val="nil" w:sz="6" w:space="0" w:color="auto"/>
              <w:left w:val="nil" w:sz="6" w:space="0" w:color="auto"/>
              <w:bottom w:val="nil" w:sz="6" w:space="0" w:color="auto"/>
              <w:right w:val="nil" w:sz="6" w:space="0" w:color="auto"/>
            </w:tcBorders>
          </w:tcPr>
          <w:p>
            <w:pPr/>
          </w:p>
        </w:tc>
        <w:tc>
          <w:tcPr>
            <w:tcW w:w="1097" w:type="dxa"/>
            <w:tcBorders>
              <w:top w:val="nil" w:sz="6" w:space="0" w:color="auto"/>
              <w:left w:val="nil" w:sz="6" w:space="0" w:color="auto"/>
              <w:bottom w:val="nil" w:sz="6" w:space="0" w:color="auto"/>
              <w:right w:val="nil" w:sz="6" w:space="0" w:color="auto"/>
            </w:tcBorders>
          </w:tcPr>
          <w:p>
            <w:pPr/>
          </w:p>
        </w:tc>
        <w:tc>
          <w:tcPr>
            <w:tcW w:w="1096" w:type="dxa"/>
            <w:tcBorders>
              <w:top w:val="nil" w:sz="6" w:space="0" w:color="auto"/>
              <w:left w:val="nil" w:sz="6" w:space="0" w:color="auto"/>
              <w:bottom w:val="nil" w:sz="6" w:space="0" w:color="auto"/>
              <w:right w:val="nil" w:sz="6" w:space="0" w:color="auto"/>
            </w:tcBorders>
          </w:tcPr>
          <w:p>
            <w:pPr/>
          </w:p>
        </w:tc>
        <w:tc>
          <w:tcPr>
            <w:tcW w:w="1100"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r>
      <w:tr>
        <w:trPr>
          <w:trHeight w:val="195" w:hRule="exact"/>
        </w:trPr>
        <w:tc>
          <w:tcPr>
            <w:tcW w:w="1885" w:type="dxa"/>
            <w:tcBorders>
              <w:top w:val="nil" w:sz="6" w:space="0" w:color="auto"/>
              <w:left w:val="nil" w:sz="6" w:space="0" w:color="auto"/>
              <w:bottom w:val="single" w:sz="4" w:space="0" w:color="000000"/>
              <w:right w:val="nil" w:sz="6" w:space="0" w:color="auto"/>
            </w:tcBorders>
          </w:tcPr>
          <w:p>
            <w:pPr/>
          </w:p>
        </w:tc>
        <w:tc>
          <w:tcPr>
            <w:tcW w:w="1290" w:type="dxa"/>
            <w:tcBorders>
              <w:top w:val="nil" w:sz="6" w:space="0" w:color="auto"/>
              <w:left w:val="nil" w:sz="6" w:space="0" w:color="auto"/>
              <w:bottom w:val="single" w:sz="4" w:space="0" w:color="000000"/>
              <w:right w:val="nil" w:sz="6" w:space="0" w:color="auto"/>
            </w:tcBorders>
          </w:tcPr>
          <w:p>
            <w:pPr>
              <w:pStyle w:val="TableParagraph"/>
              <w:spacing w:line="168" w:lineRule="exact"/>
              <w:ind w:left="431" w:right="0"/>
              <w:jc w:val="left"/>
              <w:rPr>
                <w:rFonts w:ascii="宋体" w:hAnsi="宋体" w:cs="宋体" w:eastAsia="宋体" w:hint="default"/>
                <w:sz w:val="13"/>
                <w:szCs w:val="13"/>
              </w:rPr>
            </w:pPr>
            <w:r>
              <w:rPr>
                <w:rFonts w:ascii="宋体" w:hAnsi="宋体" w:cs="宋体" w:eastAsia="宋体" w:hint="default"/>
                <w:b/>
                <w:bCs/>
                <w:sz w:val="13"/>
                <w:szCs w:val="13"/>
              </w:rPr>
              <w:t>流动资产</w:t>
            </w:r>
            <w:r>
              <w:rPr>
                <w:rFonts w:ascii="宋体" w:hAnsi="宋体" w:cs="宋体" w:eastAsia="宋体" w:hint="default"/>
                <w:sz w:val="13"/>
                <w:szCs w:val="13"/>
              </w:rPr>
            </w:r>
          </w:p>
        </w:tc>
        <w:tc>
          <w:tcPr>
            <w:tcW w:w="1096" w:type="dxa"/>
            <w:tcBorders>
              <w:top w:val="nil" w:sz="6" w:space="0" w:color="auto"/>
              <w:left w:val="nil" w:sz="6" w:space="0" w:color="auto"/>
              <w:bottom w:val="single" w:sz="4" w:space="0" w:color="000000"/>
              <w:right w:val="nil" w:sz="6" w:space="0" w:color="auto"/>
            </w:tcBorders>
          </w:tcPr>
          <w:p>
            <w:pPr>
              <w:pStyle w:val="TableParagraph"/>
              <w:spacing w:line="168" w:lineRule="exact"/>
              <w:ind w:left="168" w:right="0"/>
              <w:jc w:val="left"/>
              <w:rPr>
                <w:rFonts w:ascii="宋体" w:hAnsi="宋体" w:cs="宋体" w:eastAsia="宋体" w:hint="default"/>
                <w:sz w:val="13"/>
                <w:szCs w:val="13"/>
              </w:rPr>
            </w:pPr>
            <w:r>
              <w:rPr>
                <w:rFonts w:ascii="宋体" w:hAnsi="宋体" w:cs="宋体" w:eastAsia="宋体" w:hint="default"/>
                <w:b/>
                <w:bCs/>
                <w:sz w:val="13"/>
                <w:szCs w:val="13"/>
              </w:rPr>
              <w:t>非流动资产</w:t>
            </w:r>
            <w:r>
              <w:rPr>
                <w:rFonts w:ascii="宋体" w:hAnsi="宋体" w:cs="宋体" w:eastAsia="宋体" w:hint="default"/>
                <w:sz w:val="13"/>
                <w:szCs w:val="13"/>
              </w:rPr>
            </w:r>
          </w:p>
        </w:tc>
        <w:tc>
          <w:tcPr>
            <w:tcW w:w="1097" w:type="dxa"/>
            <w:tcBorders>
              <w:top w:val="nil" w:sz="6" w:space="0" w:color="auto"/>
              <w:left w:val="nil" w:sz="6" w:space="0" w:color="auto"/>
              <w:bottom w:val="single" w:sz="4" w:space="0" w:color="000000"/>
              <w:right w:val="nil" w:sz="6" w:space="0" w:color="auto"/>
            </w:tcBorders>
          </w:tcPr>
          <w:p>
            <w:pPr>
              <w:pStyle w:val="TableParagraph"/>
              <w:spacing w:line="168" w:lineRule="exact"/>
              <w:ind w:right="107"/>
              <w:jc w:val="center"/>
              <w:rPr>
                <w:rFonts w:ascii="宋体" w:hAnsi="宋体" w:cs="宋体" w:eastAsia="宋体" w:hint="default"/>
                <w:sz w:val="13"/>
                <w:szCs w:val="13"/>
              </w:rPr>
            </w:pPr>
            <w:r>
              <w:rPr>
                <w:rFonts w:ascii="宋体" w:hAnsi="宋体" w:cs="宋体" w:eastAsia="宋体" w:hint="default"/>
                <w:b/>
                <w:bCs/>
                <w:sz w:val="13"/>
                <w:szCs w:val="13"/>
              </w:rPr>
              <w:t>资产合计</w:t>
            </w:r>
            <w:r>
              <w:rPr>
                <w:rFonts w:ascii="宋体" w:hAnsi="宋体" w:cs="宋体" w:eastAsia="宋体" w:hint="default"/>
                <w:sz w:val="13"/>
                <w:szCs w:val="13"/>
              </w:rPr>
            </w:r>
          </w:p>
        </w:tc>
        <w:tc>
          <w:tcPr>
            <w:tcW w:w="1096" w:type="dxa"/>
            <w:tcBorders>
              <w:top w:val="nil" w:sz="6" w:space="0" w:color="auto"/>
              <w:left w:val="nil" w:sz="6" w:space="0" w:color="auto"/>
              <w:bottom w:val="single" w:sz="4" w:space="0" w:color="000000"/>
              <w:right w:val="nil" w:sz="6" w:space="0" w:color="auto"/>
            </w:tcBorders>
          </w:tcPr>
          <w:p>
            <w:pPr>
              <w:pStyle w:val="TableParagraph"/>
              <w:spacing w:line="168" w:lineRule="exact"/>
              <w:ind w:left="227" w:right="0"/>
              <w:jc w:val="left"/>
              <w:rPr>
                <w:rFonts w:ascii="宋体" w:hAnsi="宋体" w:cs="宋体" w:eastAsia="宋体" w:hint="default"/>
                <w:sz w:val="13"/>
                <w:szCs w:val="13"/>
              </w:rPr>
            </w:pPr>
            <w:r>
              <w:rPr>
                <w:rFonts w:ascii="宋体" w:hAnsi="宋体" w:cs="宋体" w:eastAsia="宋体" w:hint="default"/>
                <w:b/>
                <w:bCs/>
                <w:sz w:val="13"/>
                <w:szCs w:val="13"/>
              </w:rPr>
              <w:t>流动负债</w:t>
            </w:r>
            <w:r>
              <w:rPr>
                <w:rFonts w:ascii="宋体" w:hAnsi="宋体" w:cs="宋体" w:eastAsia="宋体" w:hint="default"/>
                <w:sz w:val="13"/>
                <w:szCs w:val="13"/>
              </w:rPr>
            </w:r>
          </w:p>
        </w:tc>
        <w:tc>
          <w:tcPr>
            <w:tcW w:w="1100" w:type="dxa"/>
            <w:tcBorders>
              <w:top w:val="nil" w:sz="6" w:space="0" w:color="auto"/>
              <w:left w:val="nil" w:sz="6" w:space="0" w:color="auto"/>
              <w:bottom w:val="single" w:sz="4" w:space="0" w:color="000000"/>
              <w:right w:val="nil" w:sz="6" w:space="0" w:color="auto"/>
            </w:tcBorders>
          </w:tcPr>
          <w:p>
            <w:pPr>
              <w:pStyle w:val="TableParagraph"/>
              <w:spacing w:line="168" w:lineRule="exact"/>
              <w:ind w:left="161" w:right="0"/>
              <w:jc w:val="left"/>
              <w:rPr>
                <w:rFonts w:ascii="宋体" w:hAnsi="宋体" w:cs="宋体" w:eastAsia="宋体" w:hint="default"/>
                <w:sz w:val="13"/>
                <w:szCs w:val="13"/>
              </w:rPr>
            </w:pPr>
            <w:r>
              <w:rPr>
                <w:rFonts w:ascii="宋体" w:hAnsi="宋体" w:cs="宋体" w:eastAsia="宋体" w:hint="default"/>
                <w:b/>
                <w:bCs/>
                <w:sz w:val="13"/>
                <w:szCs w:val="13"/>
              </w:rPr>
              <w:t>非流动负债</w:t>
            </w:r>
            <w:r>
              <w:rPr>
                <w:rFonts w:ascii="宋体" w:hAnsi="宋体" w:cs="宋体" w:eastAsia="宋体" w:hint="default"/>
                <w:sz w:val="13"/>
                <w:szCs w:val="13"/>
              </w:rPr>
            </w:r>
          </w:p>
        </w:tc>
        <w:tc>
          <w:tcPr>
            <w:tcW w:w="1064" w:type="dxa"/>
            <w:tcBorders>
              <w:top w:val="nil" w:sz="6" w:space="0" w:color="auto"/>
              <w:left w:val="nil" w:sz="6" w:space="0" w:color="auto"/>
              <w:bottom w:val="single" w:sz="4" w:space="0" w:color="000000"/>
              <w:right w:val="nil" w:sz="6" w:space="0" w:color="auto"/>
            </w:tcBorders>
          </w:tcPr>
          <w:p>
            <w:pPr>
              <w:pStyle w:val="TableParagraph"/>
              <w:spacing w:line="168" w:lineRule="exact"/>
              <w:ind w:left="218" w:right="0"/>
              <w:jc w:val="left"/>
              <w:rPr>
                <w:rFonts w:ascii="宋体" w:hAnsi="宋体" w:cs="宋体" w:eastAsia="宋体" w:hint="default"/>
                <w:sz w:val="13"/>
                <w:szCs w:val="13"/>
              </w:rPr>
            </w:pPr>
            <w:r>
              <w:rPr>
                <w:rFonts w:ascii="宋体" w:hAnsi="宋体" w:cs="宋体" w:eastAsia="宋体" w:hint="default"/>
                <w:b/>
                <w:bCs/>
                <w:sz w:val="13"/>
                <w:szCs w:val="13"/>
              </w:rPr>
              <w:t>负债合计</w:t>
            </w:r>
            <w:r>
              <w:rPr>
                <w:rFonts w:ascii="宋体" w:hAnsi="宋体" w:cs="宋体" w:eastAsia="宋体" w:hint="default"/>
                <w:sz w:val="13"/>
                <w:szCs w:val="13"/>
              </w:rPr>
            </w:r>
          </w:p>
        </w:tc>
      </w:tr>
      <w:tr>
        <w:trPr>
          <w:trHeight w:val="352" w:hRule="exact"/>
        </w:trPr>
        <w:tc>
          <w:tcPr>
            <w:tcW w:w="1885" w:type="dxa"/>
            <w:tcBorders>
              <w:top w:val="single" w:sz="4" w:space="0" w:color="000000"/>
              <w:left w:val="nil" w:sz="6" w:space="0" w:color="auto"/>
              <w:bottom w:val="nil" w:sz="6" w:space="0" w:color="auto"/>
              <w:right w:val="nil" w:sz="6" w:space="0" w:color="auto"/>
            </w:tcBorders>
          </w:tcPr>
          <w:p>
            <w:pPr>
              <w:pStyle w:val="TableParagraph"/>
              <w:spacing w:line="240" w:lineRule="auto" w:before="90"/>
              <w:ind w:left="57" w:right="0"/>
              <w:jc w:val="left"/>
              <w:rPr>
                <w:rFonts w:ascii="宋体" w:hAnsi="宋体" w:cs="宋体" w:eastAsia="宋体" w:hint="default"/>
                <w:sz w:val="13"/>
                <w:szCs w:val="13"/>
              </w:rPr>
            </w:pPr>
            <w:r>
              <w:rPr>
                <w:rFonts w:ascii="宋体" w:hAnsi="宋体" w:cs="宋体" w:eastAsia="宋体" w:hint="default"/>
                <w:sz w:val="13"/>
                <w:szCs w:val="13"/>
              </w:rPr>
              <w:t>龙江环保集团股份有限公司</w:t>
            </w:r>
          </w:p>
        </w:tc>
        <w:tc>
          <w:tcPr>
            <w:tcW w:w="1290"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sz w:val="13"/>
              </w:rPr>
              <w:t>797,122,963.56</w:t>
            </w:r>
          </w:p>
        </w:tc>
        <w:tc>
          <w:tcPr>
            <w:tcW w:w="1096"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78"/>
              <w:jc w:val="right"/>
              <w:rPr>
                <w:rFonts w:ascii="Times New Roman" w:hAnsi="Times New Roman" w:cs="Times New Roman" w:eastAsia="Times New Roman" w:hint="default"/>
                <w:sz w:val="13"/>
                <w:szCs w:val="13"/>
              </w:rPr>
            </w:pPr>
            <w:r>
              <w:rPr>
                <w:rFonts w:ascii="Times New Roman"/>
                <w:sz w:val="13"/>
              </w:rPr>
              <w:t>4,377,687,359.09</w:t>
            </w:r>
          </w:p>
        </w:tc>
        <w:tc>
          <w:tcPr>
            <w:tcW w:w="1097"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left="19" w:right="0"/>
              <w:jc w:val="center"/>
              <w:rPr>
                <w:rFonts w:ascii="Times New Roman" w:hAnsi="Times New Roman" w:cs="Times New Roman" w:eastAsia="Times New Roman" w:hint="default"/>
                <w:sz w:val="13"/>
                <w:szCs w:val="13"/>
              </w:rPr>
            </w:pPr>
            <w:r>
              <w:rPr>
                <w:rFonts w:ascii="Times New Roman"/>
                <w:sz w:val="13"/>
              </w:rPr>
              <w:t>5,174,810,322.65</w:t>
            </w:r>
          </w:p>
        </w:tc>
        <w:tc>
          <w:tcPr>
            <w:tcW w:w="1096"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84"/>
              <w:jc w:val="right"/>
              <w:rPr>
                <w:rFonts w:ascii="Times New Roman" w:hAnsi="Times New Roman" w:cs="Times New Roman" w:eastAsia="Times New Roman" w:hint="default"/>
                <w:sz w:val="13"/>
                <w:szCs w:val="13"/>
              </w:rPr>
            </w:pPr>
            <w:r>
              <w:rPr>
                <w:rFonts w:ascii="Times New Roman"/>
                <w:sz w:val="13"/>
              </w:rPr>
              <w:t>2,614,628,632.57</w:t>
            </w:r>
          </w:p>
        </w:tc>
        <w:tc>
          <w:tcPr>
            <w:tcW w:w="1100"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89"/>
              <w:jc w:val="right"/>
              <w:rPr>
                <w:rFonts w:ascii="Times New Roman" w:hAnsi="Times New Roman" w:cs="Times New Roman" w:eastAsia="Times New Roman" w:hint="default"/>
                <w:sz w:val="13"/>
                <w:szCs w:val="13"/>
              </w:rPr>
            </w:pPr>
            <w:r>
              <w:rPr>
                <w:rFonts w:ascii="Times New Roman"/>
                <w:sz w:val="13"/>
              </w:rPr>
              <w:t>1,638,312,880.30</w:t>
            </w:r>
          </w:p>
        </w:tc>
        <w:tc>
          <w:tcPr>
            <w:tcW w:w="1064"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58"/>
              <w:jc w:val="right"/>
              <w:rPr>
                <w:rFonts w:ascii="Times New Roman" w:hAnsi="Times New Roman" w:cs="Times New Roman" w:eastAsia="Times New Roman" w:hint="default"/>
                <w:sz w:val="13"/>
                <w:szCs w:val="13"/>
              </w:rPr>
            </w:pPr>
            <w:r>
              <w:rPr>
                <w:rFonts w:ascii="Times New Roman"/>
                <w:sz w:val="13"/>
              </w:rPr>
              <w:t>4,252,941,512.87</w:t>
            </w:r>
          </w:p>
        </w:tc>
      </w:tr>
      <w:tr>
        <w:trPr>
          <w:trHeight w:val="286"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57" w:right="0"/>
              <w:jc w:val="left"/>
              <w:rPr>
                <w:rFonts w:ascii="宋体" w:hAnsi="宋体" w:cs="宋体" w:eastAsia="宋体" w:hint="default"/>
                <w:sz w:val="13"/>
                <w:szCs w:val="13"/>
              </w:rPr>
            </w:pPr>
            <w:r>
              <w:rPr>
                <w:rFonts w:ascii="宋体" w:hAnsi="宋体" w:cs="宋体" w:eastAsia="宋体" w:hint="default"/>
                <w:sz w:val="13"/>
                <w:szCs w:val="13"/>
              </w:rPr>
              <w:t>同方泰德国际科技有限公司</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75"/>
              <w:jc w:val="right"/>
              <w:rPr>
                <w:rFonts w:ascii="Times New Roman" w:hAnsi="Times New Roman" w:cs="Times New Roman" w:eastAsia="Times New Roman" w:hint="default"/>
                <w:sz w:val="13"/>
                <w:szCs w:val="13"/>
              </w:rPr>
            </w:pPr>
            <w:r>
              <w:rPr>
                <w:rFonts w:ascii="Times New Roman"/>
                <w:sz w:val="13"/>
              </w:rPr>
              <w:t>3,240,874,315.11</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81"/>
              <w:jc w:val="right"/>
              <w:rPr>
                <w:rFonts w:ascii="Times New Roman" w:hAnsi="Times New Roman" w:cs="Times New Roman" w:eastAsia="Times New Roman" w:hint="default"/>
                <w:sz w:val="13"/>
                <w:szCs w:val="13"/>
              </w:rPr>
            </w:pPr>
            <w:r>
              <w:rPr>
                <w:rFonts w:ascii="Times New Roman"/>
                <w:sz w:val="13"/>
              </w:rPr>
              <w:t>778,638,465.56</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9" w:right="0"/>
              <w:jc w:val="center"/>
              <w:rPr>
                <w:rFonts w:ascii="Times New Roman" w:hAnsi="Times New Roman" w:cs="Times New Roman" w:eastAsia="Times New Roman" w:hint="default"/>
                <w:sz w:val="13"/>
                <w:szCs w:val="13"/>
              </w:rPr>
            </w:pPr>
            <w:r>
              <w:rPr>
                <w:rFonts w:ascii="Times New Roman"/>
                <w:sz w:val="13"/>
              </w:rPr>
              <w:t>4,019,512,780.67</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84"/>
              <w:jc w:val="right"/>
              <w:rPr>
                <w:rFonts w:ascii="Times New Roman" w:hAnsi="Times New Roman" w:cs="Times New Roman" w:eastAsia="Times New Roman" w:hint="default"/>
                <w:sz w:val="13"/>
                <w:szCs w:val="13"/>
              </w:rPr>
            </w:pPr>
            <w:r>
              <w:rPr>
                <w:rFonts w:ascii="Times New Roman"/>
                <w:sz w:val="13"/>
              </w:rPr>
              <w:t>1,979,928,724.48</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89"/>
              <w:jc w:val="right"/>
              <w:rPr>
                <w:rFonts w:ascii="Times New Roman" w:hAnsi="Times New Roman" w:cs="Times New Roman" w:eastAsia="Times New Roman" w:hint="default"/>
                <w:sz w:val="13"/>
                <w:szCs w:val="13"/>
              </w:rPr>
            </w:pPr>
            <w:r>
              <w:rPr>
                <w:rFonts w:ascii="Times New Roman"/>
                <w:sz w:val="13"/>
              </w:rPr>
              <w:t>33,474,977.92</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58"/>
              <w:jc w:val="right"/>
              <w:rPr>
                <w:rFonts w:ascii="Times New Roman" w:hAnsi="Times New Roman" w:cs="Times New Roman" w:eastAsia="Times New Roman" w:hint="default"/>
                <w:sz w:val="13"/>
                <w:szCs w:val="13"/>
              </w:rPr>
            </w:pPr>
            <w:r>
              <w:rPr>
                <w:rFonts w:ascii="Times New Roman"/>
                <w:sz w:val="13"/>
              </w:rPr>
              <w:t>2,013,403,702.40</w:t>
            </w:r>
          </w:p>
        </w:tc>
      </w:tr>
      <w:tr>
        <w:trPr>
          <w:trHeight w:val="286"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57" w:right="0"/>
              <w:jc w:val="left"/>
              <w:rPr>
                <w:rFonts w:ascii="宋体" w:hAnsi="宋体" w:cs="宋体" w:eastAsia="宋体" w:hint="default"/>
                <w:sz w:val="13"/>
                <w:szCs w:val="13"/>
              </w:rPr>
            </w:pPr>
            <w:r>
              <w:rPr>
                <w:rFonts w:ascii="宋体" w:hAnsi="宋体" w:cs="宋体" w:eastAsia="宋体" w:hint="default"/>
                <w:sz w:val="13"/>
                <w:szCs w:val="13"/>
              </w:rPr>
              <w:t>同方国芯电子股份有限公司</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77"/>
              <w:jc w:val="right"/>
              <w:rPr>
                <w:rFonts w:ascii="Times New Roman" w:hAnsi="Times New Roman" w:cs="Times New Roman" w:eastAsia="Times New Roman" w:hint="default"/>
                <w:sz w:val="13"/>
                <w:szCs w:val="13"/>
              </w:rPr>
            </w:pPr>
            <w:r>
              <w:rPr>
                <w:rFonts w:ascii="Times New Roman"/>
                <w:sz w:val="13"/>
              </w:rPr>
              <w:t>2,076,123,557.01</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78"/>
              <w:jc w:val="right"/>
              <w:rPr>
                <w:rFonts w:ascii="Times New Roman" w:hAnsi="Times New Roman" w:cs="Times New Roman" w:eastAsia="Times New Roman" w:hint="default"/>
                <w:sz w:val="13"/>
                <w:szCs w:val="13"/>
              </w:rPr>
            </w:pPr>
            <w:r>
              <w:rPr>
                <w:rFonts w:ascii="Times New Roman"/>
                <w:sz w:val="13"/>
              </w:rPr>
              <w:t>2,065,856,982.30</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9" w:right="0"/>
              <w:jc w:val="center"/>
              <w:rPr>
                <w:rFonts w:ascii="Times New Roman" w:hAnsi="Times New Roman" w:cs="Times New Roman" w:eastAsia="Times New Roman" w:hint="default"/>
                <w:sz w:val="13"/>
                <w:szCs w:val="13"/>
              </w:rPr>
            </w:pPr>
            <w:r>
              <w:rPr>
                <w:rFonts w:ascii="Times New Roman"/>
                <w:sz w:val="13"/>
              </w:rPr>
              <w:t>4,141,980,539.31</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86"/>
              <w:jc w:val="right"/>
              <w:rPr>
                <w:rFonts w:ascii="Times New Roman" w:hAnsi="Times New Roman" w:cs="Times New Roman" w:eastAsia="Times New Roman" w:hint="default"/>
                <w:sz w:val="13"/>
                <w:szCs w:val="13"/>
              </w:rPr>
            </w:pPr>
            <w:r>
              <w:rPr>
                <w:rFonts w:ascii="Times New Roman"/>
                <w:sz w:val="13"/>
              </w:rPr>
              <w:t>595,210,563.90</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92"/>
              <w:jc w:val="right"/>
              <w:rPr>
                <w:rFonts w:ascii="Times New Roman" w:hAnsi="Times New Roman" w:cs="Times New Roman" w:eastAsia="Times New Roman" w:hint="default"/>
                <w:sz w:val="13"/>
                <w:szCs w:val="13"/>
              </w:rPr>
            </w:pPr>
            <w:r>
              <w:rPr>
                <w:rFonts w:ascii="Times New Roman"/>
                <w:sz w:val="13"/>
              </w:rPr>
              <w:t>597,034,593.99</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58"/>
              <w:jc w:val="right"/>
              <w:rPr>
                <w:rFonts w:ascii="Times New Roman" w:hAnsi="Times New Roman" w:cs="Times New Roman" w:eastAsia="Times New Roman" w:hint="default"/>
                <w:sz w:val="13"/>
                <w:szCs w:val="13"/>
              </w:rPr>
            </w:pPr>
            <w:r>
              <w:rPr>
                <w:rFonts w:ascii="Times New Roman"/>
                <w:sz w:val="13"/>
              </w:rPr>
              <w:t>1,192,245,157.89</w:t>
            </w:r>
          </w:p>
        </w:tc>
      </w:tr>
      <w:tr>
        <w:trPr>
          <w:trHeight w:val="284"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57" w:right="0"/>
              <w:jc w:val="left"/>
              <w:rPr>
                <w:rFonts w:ascii="宋体" w:hAnsi="宋体" w:cs="宋体" w:eastAsia="宋体" w:hint="default"/>
                <w:sz w:val="13"/>
                <w:szCs w:val="13"/>
              </w:rPr>
            </w:pPr>
            <w:r>
              <w:rPr>
                <w:rFonts w:ascii="宋体" w:hAnsi="宋体" w:cs="宋体" w:eastAsia="宋体" w:hint="default"/>
                <w:sz w:val="13"/>
                <w:szCs w:val="13"/>
              </w:rPr>
              <w:t>同方友友控股有限公司</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77"/>
              <w:jc w:val="right"/>
              <w:rPr>
                <w:rFonts w:ascii="Times New Roman" w:hAnsi="Times New Roman" w:cs="Times New Roman" w:eastAsia="Times New Roman" w:hint="default"/>
                <w:sz w:val="13"/>
                <w:szCs w:val="13"/>
              </w:rPr>
            </w:pPr>
            <w:r>
              <w:rPr>
                <w:rFonts w:ascii="Times New Roman"/>
                <w:sz w:val="13"/>
              </w:rPr>
              <w:t>964,982,232.84</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81"/>
              <w:jc w:val="right"/>
              <w:rPr>
                <w:rFonts w:ascii="Times New Roman" w:hAnsi="Times New Roman" w:cs="Times New Roman" w:eastAsia="Times New Roman" w:hint="default"/>
                <w:sz w:val="13"/>
                <w:szCs w:val="13"/>
              </w:rPr>
            </w:pPr>
            <w:r>
              <w:rPr>
                <w:rFonts w:ascii="Times New Roman"/>
                <w:sz w:val="13"/>
              </w:rPr>
              <w:t>425,595,087.44</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9" w:right="0"/>
              <w:jc w:val="center"/>
              <w:rPr>
                <w:rFonts w:ascii="Times New Roman" w:hAnsi="Times New Roman" w:cs="Times New Roman" w:eastAsia="Times New Roman" w:hint="default"/>
                <w:sz w:val="13"/>
                <w:szCs w:val="13"/>
              </w:rPr>
            </w:pPr>
            <w:r>
              <w:rPr>
                <w:rFonts w:ascii="Times New Roman"/>
                <w:sz w:val="13"/>
              </w:rPr>
              <w:t>1,390,577,320.28</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86"/>
              <w:jc w:val="right"/>
              <w:rPr>
                <w:rFonts w:ascii="Times New Roman" w:hAnsi="Times New Roman" w:cs="Times New Roman" w:eastAsia="Times New Roman" w:hint="default"/>
                <w:sz w:val="13"/>
                <w:szCs w:val="13"/>
              </w:rPr>
            </w:pPr>
            <w:r>
              <w:rPr>
                <w:rFonts w:ascii="Times New Roman"/>
                <w:sz w:val="13"/>
              </w:rPr>
              <w:t>209,182,786.23</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89"/>
              <w:jc w:val="right"/>
              <w:rPr>
                <w:rFonts w:ascii="Times New Roman" w:hAnsi="Times New Roman" w:cs="Times New Roman" w:eastAsia="Times New Roman" w:hint="default"/>
                <w:sz w:val="13"/>
                <w:szCs w:val="13"/>
              </w:rPr>
            </w:pPr>
            <w:r>
              <w:rPr>
                <w:rFonts w:ascii="Times New Roman"/>
                <w:sz w:val="13"/>
              </w:rPr>
              <w:t>17,910,488.96</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60"/>
              <w:jc w:val="right"/>
              <w:rPr>
                <w:rFonts w:ascii="Times New Roman" w:hAnsi="Times New Roman" w:cs="Times New Roman" w:eastAsia="Times New Roman" w:hint="default"/>
                <w:sz w:val="13"/>
                <w:szCs w:val="13"/>
              </w:rPr>
            </w:pPr>
            <w:r>
              <w:rPr>
                <w:rFonts w:ascii="Times New Roman"/>
                <w:sz w:val="13"/>
              </w:rPr>
              <w:t>227,093,275.19</w:t>
            </w:r>
          </w:p>
        </w:tc>
      </w:tr>
      <w:tr>
        <w:trPr>
          <w:trHeight w:val="237" w:hRule="exact"/>
        </w:trPr>
        <w:tc>
          <w:tcPr>
            <w:tcW w:w="1885"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57" w:right="0"/>
              <w:jc w:val="left"/>
              <w:rPr>
                <w:rFonts w:ascii="宋体" w:hAnsi="宋体" w:cs="宋体" w:eastAsia="宋体" w:hint="default"/>
                <w:sz w:val="13"/>
                <w:szCs w:val="13"/>
              </w:rPr>
            </w:pPr>
            <w:r>
              <w:rPr>
                <w:rFonts w:ascii="宋体" w:hAnsi="宋体" w:cs="宋体" w:eastAsia="宋体" w:hint="default"/>
                <w:sz w:val="13"/>
                <w:szCs w:val="13"/>
              </w:rPr>
              <w:t>同方威视技术股份有限公司</w:t>
            </w:r>
          </w:p>
        </w:tc>
        <w:tc>
          <w:tcPr>
            <w:tcW w:w="1290"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right="75"/>
              <w:jc w:val="right"/>
              <w:rPr>
                <w:rFonts w:ascii="Times New Roman" w:hAnsi="Times New Roman" w:cs="Times New Roman" w:eastAsia="Times New Roman" w:hint="default"/>
                <w:sz w:val="13"/>
                <w:szCs w:val="13"/>
              </w:rPr>
            </w:pPr>
            <w:r>
              <w:rPr>
                <w:rFonts w:ascii="Times New Roman"/>
                <w:sz w:val="13"/>
              </w:rPr>
              <w:t>6,633,145,722.79</w:t>
            </w:r>
          </w:p>
        </w:tc>
        <w:tc>
          <w:tcPr>
            <w:tcW w:w="1096"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right="78"/>
              <w:jc w:val="right"/>
              <w:rPr>
                <w:rFonts w:ascii="Times New Roman" w:hAnsi="Times New Roman" w:cs="Times New Roman" w:eastAsia="Times New Roman" w:hint="default"/>
                <w:sz w:val="13"/>
                <w:szCs w:val="13"/>
              </w:rPr>
            </w:pPr>
            <w:r>
              <w:rPr>
                <w:rFonts w:ascii="Times New Roman"/>
                <w:sz w:val="13"/>
              </w:rPr>
              <w:t>1,005,777,078.53</w:t>
            </w:r>
          </w:p>
        </w:tc>
        <w:tc>
          <w:tcPr>
            <w:tcW w:w="1097"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left="19" w:right="0"/>
              <w:jc w:val="center"/>
              <w:rPr>
                <w:rFonts w:ascii="Times New Roman" w:hAnsi="Times New Roman" w:cs="Times New Roman" w:eastAsia="Times New Roman" w:hint="default"/>
                <w:sz w:val="13"/>
                <w:szCs w:val="13"/>
              </w:rPr>
            </w:pPr>
            <w:r>
              <w:rPr>
                <w:rFonts w:ascii="Times New Roman"/>
                <w:sz w:val="13"/>
              </w:rPr>
              <w:t>7,638,922,801.32</w:t>
            </w:r>
          </w:p>
        </w:tc>
        <w:tc>
          <w:tcPr>
            <w:tcW w:w="1096"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right="84"/>
              <w:jc w:val="right"/>
              <w:rPr>
                <w:rFonts w:ascii="Times New Roman" w:hAnsi="Times New Roman" w:cs="Times New Roman" w:eastAsia="Times New Roman" w:hint="default"/>
                <w:sz w:val="13"/>
                <w:szCs w:val="13"/>
              </w:rPr>
            </w:pPr>
            <w:r>
              <w:rPr>
                <w:rFonts w:ascii="Times New Roman"/>
                <w:sz w:val="13"/>
              </w:rPr>
              <w:t>5,831,355,275.02</w:t>
            </w:r>
          </w:p>
        </w:tc>
        <w:tc>
          <w:tcPr>
            <w:tcW w:w="1100"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right="92"/>
              <w:jc w:val="right"/>
              <w:rPr>
                <w:rFonts w:ascii="Times New Roman" w:hAnsi="Times New Roman" w:cs="Times New Roman" w:eastAsia="Times New Roman" w:hint="default"/>
                <w:sz w:val="13"/>
                <w:szCs w:val="13"/>
              </w:rPr>
            </w:pPr>
            <w:r>
              <w:rPr>
                <w:rFonts w:ascii="Times New Roman"/>
                <w:sz w:val="13"/>
              </w:rPr>
              <w:t>260,609,402.48</w:t>
            </w:r>
          </w:p>
        </w:tc>
        <w:tc>
          <w:tcPr>
            <w:tcW w:w="1064"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right="58"/>
              <w:jc w:val="right"/>
              <w:rPr>
                <w:rFonts w:ascii="Times New Roman" w:hAnsi="Times New Roman" w:cs="Times New Roman" w:eastAsia="Times New Roman" w:hint="default"/>
                <w:sz w:val="13"/>
                <w:szCs w:val="13"/>
              </w:rPr>
            </w:pPr>
            <w:r>
              <w:rPr>
                <w:rFonts w:ascii="Times New Roman"/>
                <w:sz w:val="13"/>
              </w:rPr>
              <w:t>6,091,964,677.50</w:t>
            </w:r>
          </w:p>
        </w:tc>
      </w:tr>
      <w:tr>
        <w:trPr>
          <w:trHeight w:val="336" w:hRule="exact"/>
        </w:trPr>
        <w:tc>
          <w:tcPr>
            <w:tcW w:w="1885" w:type="dxa"/>
            <w:tcBorders>
              <w:top w:val="single" w:sz="12" w:space="0" w:color="000000"/>
              <w:left w:val="nil" w:sz="6" w:space="0" w:color="auto"/>
              <w:bottom w:val="nil" w:sz="6" w:space="0" w:color="auto"/>
              <w:right w:val="nil" w:sz="6" w:space="0" w:color="auto"/>
            </w:tcBorders>
          </w:tcPr>
          <w:p>
            <w:pPr>
              <w:pStyle w:val="TableParagraph"/>
              <w:spacing w:line="240" w:lineRule="auto" w:before="21"/>
              <w:ind w:left="57" w:right="0"/>
              <w:jc w:val="left"/>
              <w:rPr>
                <w:rFonts w:ascii="宋体" w:hAnsi="宋体" w:cs="宋体" w:eastAsia="宋体" w:hint="default"/>
                <w:sz w:val="22"/>
                <w:szCs w:val="22"/>
              </w:rPr>
            </w:pPr>
            <w:r>
              <w:rPr>
                <w:rFonts w:ascii="宋体" w:hAnsi="宋体" w:cs="宋体" w:eastAsia="宋体" w:hint="default"/>
                <w:sz w:val="22"/>
                <w:szCs w:val="22"/>
              </w:rPr>
              <w:t>（续</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1</w:t>
            </w:r>
            <w:r>
              <w:rPr>
                <w:rFonts w:ascii="宋体" w:hAnsi="宋体" w:cs="宋体" w:eastAsia="宋体" w:hint="default"/>
                <w:sz w:val="22"/>
                <w:szCs w:val="22"/>
              </w:rPr>
              <w:t>）</w:t>
            </w:r>
          </w:p>
        </w:tc>
        <w:tc>
          <w:tcPr>
            <w:tcW w:w="1290" w:type="dxa"/>
            <w:tcBorders>
              <w:top w:val="single" w:sz="12" w:space="0" w:color="000000"/>
              <w:left w:val="nil" w:sz="6" w:space="0" w:color="auto"/>
              <w:bottom w:val="nil" w:sz="6" w:space="0" w:color="auto"/>
              <w:right w:val="nil" w:sz="6" w:space="0" w:color="auto"/>
            </w:tcBorders>
          </w:tcPr>
          <w:p>
            <w:pPr/>
          </w:p>
        </w:tc>
        <w:tc>
          <w:tcPr>
            <w:tcW w:w="1096" w:type="dxa"/>
            <w:tcBorders>
              <w:top w:val="single" w:sz="12" w:space="0" w:color="000000"/>
              <w:left w:val="nil" w:sz="6" w:space="0" w:color="auto"/>
              <w:bottom w:val="nil" w:sz="6" w:space="0" w:color="auto"/>
              <w:right w:val="nil" w:sz="6" w:space="0" w:color="auto"/>
            </w:tcBorders>
          </w:tcPr>
          <w:p>
            <w:pPr/>
          </w:p>
        </w:tc>
        <w:tc>
          <w:tcPr>
            <w:tcW w:w="1097" w:type="dxa"/>
            <w:tcBorders>
              <w:top w:val="single" w:sz="12" w:space="0" w:color="000000"/>
              <w:left w:val="nil" w:sz="6" w:space="0" w:color="auto"/>
              <w:bottom w:val="nil" w:sz="6" w:space="0" w:color="auto"/>
              <w:right w:val="nil" w:sz="6" w:space="0" w:color="auto"/>
            </w:tcBorders>
          </w:tcPr>
          <w:p>
            <w:pPr/>
          </w:p>
        </w:tc>
        <w:tc>
          <w:tcPr>
            <w:tcW w:w="1096" w:type="dxa"/>
            <w:tcBorders>
              <w:top w:val="single" w:sz="12" w:space="0" w:color="000000"/>
              <w:left w:val="nil" w:sz="6" w:space="0" w:color="auto"/>
              <w:bottom w:val="nil" w:sz="6" w:space="0" w:color="auto"/>
              <w:right w:val="nil" w:sz="6" w:space="0" w:color="auto"/>
            </w:tcBorders>
          </w:tcPr>
          <w:p>
            <w:pPr/>
          </w:p>
        </w:tc>
        <w:tc>
          <w:tcPr>
            <w:tcW w:w="1100" w:type="dxa"/>
            <w:tcBorders>
              <w:top w:val="single" w:sz="12" w:space="0" w:color="000000"/>
              <w:left w:val="nil" w:sz="6" w:space="0" w:color="auto"/>
              <w:bottom w:val="nil" w:sz="6" w:space="0" w:color="auto"/>
              <w:right w:val="nil" w:sz="6" w:space="0" w:color="auto"/>
            </w:tcBorders>
          </w:tcPr>
          <w:p>
            <w:pPr/>
          </w:p>
        </w:tc>
        <w:tc>
          <w:tcPr>
            <w:tcW w:w="1064" w:type="dxa"/>
            <w:tcBorders>
              <w:top w:val="single" w:sz="12" w:space="0" w:color="000000"/>
              <w:left w:val="nil" w:sz="6" w:space="0" w:color="auto"/>
              <w:bottom w:val="nil" w:sz="6" w:space="0" w:color="auto"/>
              <w:right w:val="nil" w:sz="6" w:space="0" w:color="auto"/>
            </w:tcBorders>
          </w:tcPr>
          <w:p>
            <w:pPr/>
          </w:p>
        </w:tc>
      </w:tr>
      <w:tr>
        <w:trPr>
          <w:trHeight w:val="431" w:hRule="exact"/>
        </w:trPr>
        <w:tc>
          <w:tcPr>
            <w:tcW w:w="8627" w:type="dxa"/>
            <w:gridSpan w:val="7"/>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2023" w:right="0"/>
              <w:jc w:val="center"/>
              <w:rPr>
                <w:rFonts w:ascii="宋体" w:hAnsi="宋体" w:cs="宋体" w:eastAsia="宋体" w:hint="default"/>
                <w:sz w:val="13"/>
                <w:szCs w:val="13"/>
              </w:rPr>
            </w:pPr>
            <w:r>
              <w:rPr>
                <w:rFonts w:ascii="宋体" w:hAnsi="宋体" w:cs="宋体" w:eastAsia="宋体" w:hint="default"/>
                <w:b/>
                <w:bCs/>
                <w:sz w:val="13"/>
                <w:szCs w:val="13"/>
              </w:rPr>
              <w:t>年初余额</w:t>
            </w:r>
            <w:r>
              <w:rPr>
                <w:rFonts w:ascii="宋体" w:hAnsi="宋体" w:cs="宋体" w:eastAsia="宋体" w:hint="default"/>
                <w:sz w:val="13"/>
                <w:szCs w:val="13"/>
              </w:rPr>
            </w:r>
          </w:p>
        </w:tc>
      </w:tr>
      <w:tr>
        <w:trPr>
          <w:trHeight w:val="155"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130" w:lineRule="exact"/>
              <w:ind w:left="57" w:right="0"/>
              <w:jc w:val="left"/>
              <w:rPr>
                <w:rFonts w:ascii="宋体" w:hAnsi="宋体" w:cs="宋体" w:eastAsia="宋体" w:hint="default"/>
                <w:sz w:val="13"/>
                <w:szCs w:val="13"/>
              </w:rPr>
            </w:pPr>
            <w:r>
              <w:rPr>
                <w:rFonts w:ascii="宋体" w:hAnsi="宋体" w:cs="宋体" w:eastAsia="宋体" w:hint="default"/>
                <w:b/>
                <w:bCs/>
                <w:sz w:val="13"/>
                <w:szCs w:val="13"/>
              </w:rPr>
              <w:t>子公司名称</w:t>
            </w:r>
            <w:r>
              <w:rPr>
                <w:rFonts w:ascii="宋体" w:hAnsi="宋体" w:cs="宋体" w:eastAsia="宋体" w:hint="default"/>
                <w:sz w:val="13"/>
                <w:szCs w:val="13"/>
              </w:rPr>
            </w:r>
          </w:p>
        </w:tc>
        <w:tc>
          <w:tcPr>
            <w:tcW w:w="1290" w:type="dxa"/>
            <w:tcBorders>
              <w:top w:val="nil" w:sz="6" w:space="0" w:color="auto"/>
              <w:left w:val="nil" w:sz="6" w:space="0" w:color="auto"/>
              <w:bottom w:val="nil" w:sz="6" w:space="0" w:color="auto"/>
              <w:right w:val="nil" w:sz="6" w:space="0" w:color="auto"/>
            </w:tcBorders>
          </w:tcPr>
          <w:p>
            <w:pPr/>
          </w:p>
        </w:tc>
        <w:tc>
          <w:tcPr>
            <w:tcW w:w="1096" w:type="dxa"/>
            <w:tcBorders>
              <w:top w:val="nil" w:sz="6" w:space="0" w:color="auto"/>
              <w:left w:val="nil" w:sz="6" w:space="0" w:color="auto"/>
              <w:bottom w:val="nil" w:sz="6" w:space="0" w:color="auto"/>
              <w:right w:val="nil" w:sz="6" w:space="0" w:color="auto"/>
            </w:tcBorders>
          </w:tcPr>
          <w:p>
            <w:pPr/>
          </w:p>
        </w:tc>
        <w:tc>
          <w:tcPr>
            <w:tcW w:w="1097" w:type="dxa"/>
            <w:tcBorders>
              <w:top w:val="nil" w:sz="6" w:space="0" w:color="auto"/>
              <w:left w:val="nil" w:sz="6" w:space="0" w:color="auto"/>
              <w:bottom w:val="nil" w:sz="6" w:space="0" w:color="auto"/>
              <w:right w:val="nil" w:sz="6" w:space="0" w:color="auto"/>
            </w:tcBorders>
          </w:tcPr>
          <w:p>
            <w:pPr/>
          </w:p>
        </w:tc>
        <w:tc>
          <w:tcPr>
            <w:tcW w:w="1096" w:type="dxa"/>
            <w:tcBorders>
              <w:top w:val="nil" w:sz="6" w:space="0" w:color="auto"/>
              <w:left w:val="nil" w:sz="6" w:space="0" w:color="auto"/>
              <w:bottom w:val="nil" w:sz="6" w:space="0" w:color="auto"/>
              <w:right w:val="nil" w:sz="6" w:space="0" w:color="auto"/>
            </w:tcBorders>
          </w:tcPr>
          <w:p>
            <w:pPr/>
          </w:p>
        </w:tc>
        <w:tc>
          <w:tcPr>
            <w:tcW w:w="1100"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r>
      <w:tr>
        <w:trPr>
          <w:trHeight w:val="199" w:hRule="exact"/>
        </w:trPr>
        <w:tc>
          <w:tcPr>
            <w:tcW w:w="1885" w:type="dxa"/>
            <w:tcBorders>
              <w:top w:val="nil" w:sz="6" w:space="0" w:color="auto"/>
              <w:left w:val="nil" w:sz="6" w:space="0" w:color="auto"/>
              <w:bottom w:val="single" w:sz="4" w:space="0" w:color="000000"/>
              <w:right w:val="nil" w:sz="6" w:space="0" w:color="auto"/>
            </w:tcBorders>
          </w:tcPr>
          <w:p>
            <w:pPr/>
          </w:p>
        </w:tc>
        <w:tc>
          <w:tcPr>
            <w:tcW w:w="1290" w:type="dxa"/>
            <w:tcBorders>
              <w:top w:val="nil" w:sz="6" w:space="0" w:color="auto"/>
              <w:left w:val="nil" w:sz="6" w:space="0" w:color="auto"/>
              <w:bottom w:val="single" w:sz="4" w:space="0" w:color="000000"/>
              <w:right w:val="nil" w:sz="6" w:space="0" w:color="auto"/>
            </w:tcBorders>
          </w:tcPr>
          <w:p>
            <w:pPr>
              <w:pStyle w:val="TableParagraph"/>
              <w:spacing w:line="240" w:lineRule="auto" w:before="1"/>
              <w:ind w:left="423" w:right="0"/>
              <w:jc w:val="left"/>
              <w:rPr>
                <w:rFonts w:ascii="宋体" w:hAnsi="宋体" w:cs="宋体" w:eastAsia="宋体" w:hint="default"/>
                <w:sz w:val="13"/>
                <w:szCs w:val="13"/>
              </w:rPr>
            </w:pPr>
            <w:r>
              <w:rPr>
                <w:rFonts w:ascii="宋体" w:hAnsi="宋体" w:cs="宋体" w:eastAsia="宋体" w:hint="default"/>
                <w:b/>
                <w:bCs/>
                <w:sz w:val="13"/>
                <w:szCs w:val="13"/>
              </w:rPr>
              <w:t>流动资产</w:t>
            </w:r>
            <w:r>
              <w:rPr>
                <w:rFonts w:ascii="宋体" w:hAnsi="宋体" w:cs="宋体" w:eastAsia="宋体" w:hint="default"/>
                <w:sz w:val="13"/>
                <w:szCs w:val="13"/>
              </w:rPr>
            </w:r>
          </w:p>
        </w:tc>
        <w:tc>
          <w:tcPr>
            <w:tcW w:w="1096" w:type="dxa"/>
            <w:tcBorders>
              <w:top w:val="nil" w:sz="6" w:space="0" w:color="auto"/>
              <w:left w:val="nil" w:sz="6" w:space="0" w:color="auto"/>
              <w:bottom w:val="single" w:sz="4" w:space="0" w:color="000000"/>
              <w:right w:val="nil" w:sz="6" w:space="0" w:color="auto"/>
            </w:tcBorders>
          </w:tcPr>
          <w:p>
            <w:pPr>
              <w:pStyle w:val="TableParagraph"/>
              <w:spacing w:line="240" w:lineRule="auto" w:before="1"/>
              <w:ind w:left="168" w:right="0"/>
              <w:jc w:val="left"/>
              <w:rPr>
                <w:rFonts w:ascii="宋体" w:hAnsi="宋体" w:cs="宋体" w:eastAsia="宋体" w:hint="default"/>
                <w:sz w:val="13"/>
                <w:szCs w:val="13"/>
              </w:rPr>
            </w:pPr>
            <w:r>
              <w:rPr>
                <w:rFonts w:ascii="宋体" w:hAnsi="宋体" w:cs="宋体" w:eastAsia="宋体" w:hint="default"/>
                <w:b/>
                <w:bCs/>
                <w:sz w:val="13"/>
                <w:szCs w:val="13"/>
              </w:rPr>
              <w:t>非流动资产</w:t>
            </w:r>
            <w:r>
              <w:rPr>
                <w:rFonts w:ascii="宋体" w:hAnsi="宋体" w:cs="宋体" w:eastAsia="宋体" w:hint="default"/>
                <w:sz w:val="13"/>
                <w:szCs w:val="13"/>
              </w:rPr>
            </w:r>
          </w:p>
        </w:tc>
        <w:tc>
          <w:tcPr>
            <w:tcW w:w="1097"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98"/>
              <w:jc w:val="center"/>
              <w:rPr>
                <w:rFonts w:ascii="宋体" w:hAnsi="宋体" w:cs="宋体" w:eastAsia="宋体" w:hint="default"/>
                <w:sz w:val="13"/>
                <w:szCs w:val="13"/>
              </w:rPr>
            </w:pPr>
            <w:r>
              <w:rPr>
                <w:rFonts w:ascii="宋体" w:hAnsi="宋体" w:cs="宋体" w:eastAsia="宋体" w:hint="default"/>
                <w:b/>
                <w:bCs/>
                <w:sz w:val="13"/>
                <w:szCs w:val="13"/>
              </w:rPr>
              <w:t>资产合计</w:t>
            </w:r>
            <w:r>
              <w:rPr>
                <w:rFonts w:ascii="宋体" w:hAnsi="宋体" w:cs="宋体" w:eastAsia="宋体" w:hint="default"/>
                <w:sz w:val="13"/>
                <w:szCs w:val="13"/>
              </w:rPr>
            </w:r>
          </w:p>
        </w:tc>
        <w:tc>
          <w:tcPr>
            <w:tcW w:w="1096" w:type="dxa"/>
            <w:tcBorders>
              <w:top w:val="nil" w:sz="6" w:space="0" w:color="auto"/>
              <w:left w:val="nil" w:sz="6" w:space="0" w:color="auto"/>
              <w:bottom w:val="single" w:sz="4" w:space="0" w:color="000000"/>
              <w:right w:val="nil" w:sz="6" w:space="0" w:color="auto"/>
            </w:tcBorders>
          </w:tcPr>
          <w:p>
            <w:pPr>
              <w:pStyle w:val="TableParagraph"/>
              <w:spacing w:line="240" w:lineRule="auto" w:before="1"/>
              <w:ind w:left="239" w:right="0"/>
              <w:jc w:val="left"/>
              <w:rPr>
                <w:rFonts w:ascii="宋体" w:hAnsi="宋体" w:cs="宋体" w:eastAsia="宋体" w:hint="default"/>
                <w:sz w:val="13"/>
                <w:szCs w:val="13"/>
              </w:rPr>
            </w:pPr>
            <w:r>
              <w:rPr>
                <w:rFonts w:ascii="宋体" w:hAnsi="宋体" w:cs="宋体" w:eastAsia="宋体" w:hint="default"/>
                <w:b/>
                <w:bCs/>
                <w:sz w:val="13"/>
                <w:szCs w:val="13"/>
              </w:rPr>
              <w:t>流动负债</w:t>
            </w:r>
            <w:r>
              <w:rPr>
                <w:rFonts w:ascii="宋体" w:hAnsi="宋体" w:cs="宋体" w:eastAsia="宋体" w:hint="default"/>
                <w:sz w:val="13"/>
                <w:szCs w:val="13"/>
              </w:rPr>
            </w:r>
          </w:p>
        </w:tc>
        <w:tc>
          <w:tcPr>
            <w:tcW w:w="1100" w:type="dxa"/>
            <w:tcBorders>
              <w:top w:val="nil" w:sz="6" w:space="0" w:color="auto"/>
              <w:left w:val="nil" w:sz="6" w:space="0" w:color="auto"/>
              <w:bottom w:val="single" w:sz="4" w:space="0" w:color="000000"/>
              <w:right w:val="nil" w:sz="6" w:space="0" w:color="auto"/>
            </w:tcBorders>
          </w:tcPr>
          <w:p>
            <w:pPr>
              <w:pStyle w:val="TableParagraph"/>
              <w:spacing w:line="240" w:lineRule="auto" w:before="1"/>
              <w:ind w:left="177" w:right="0"/>
              <w:jc w:val="left"/>
              <w:rPr>
                <w:rFonts w:ascii="宋体" w:hAnsi="宋体" w:cs="宋体" w:eastAsia="宋体" w:hint="default"/>
                <w:sz w:val="13"/>
                <w:szCs w:val="13"/>
              </w:rPr>
            </w:pPr>
            <w:r>
              <w:rPr>
                <w:rFonts w:ascii="宋体" w:hAnsi="宋体" w:cs="宋体" w:eastAsia="宋体" w:hint="default"/>
                <w:b/>
                <w:bCs/>
                <w:sz w:val="13"/>
                <w:szCs w:val="13"/>
              </w:rPr>
              <w:t>非流动负债</w:t>
            </w:r>
            <w:r>
              <w:rPr>
                <w:rFonts w:ascii="宋体" w:hAnsi="宋体" w:cs="宋体" w:eastAsia="宋体" w:hint="default"/>
                <w:sz w:val="13"/>
                <w:szCs w:val="13"/>
              </w:rPr>
            </w:r>
          </w:p>
        </w:tc>
        <w:tc>
          <w:tcPr>
            <w:tcW w:w="1064" w:type="dxa"/>
            <w:tcBorders>
              <w:top w:val="nil" w:sz="6" w:space="0" w:color="auto"/>
              <w:left w:val="nil" w:sz="6" w:space="0" w:color="auto"/>
              <w:bottom w:val="single" w:sz="4" w:space="0" w:color="000000"/>
              <w:right w:val="nil" w:sz="6" w:space="0" w:color="auto"/>
            </w:tcBorders>
          </w:tcPr>
          <w:p>
            <w:pPr>
              <w:pStyle w:val="TableParagraph"/>
              <w:spacing w:line="240" w:lineRule="auto" w:before="1"/>
              <w:ind w:left="247" w:right="0"/>
              <w:jc w:val="left"/>
              <w:rPr>
                <w:rFonts w:ascii="宋体" w:hAnsi="宋体" w:cs="宋体" w:eastAsia="宋体" w:hint="default"/>
                <w:sz w:val="13"/>
                <w:szCs w:val="13"/>
              </w:rPr>
            </w:pPr>
            <w:r>
              <w:rPr>
                <w:rFonts w:ascii="宋体" w:hAnsi="宋体" w:cs="宋体" w:eastAsia="宋体" w:hint="default"/>
                <w:b/>
                <w:bCs/>
                <w:sz w:val="13"/>
                <w:szCs w:val="13"/>
              </w:rPr>
              <w:t>负债合计</w:t>
            </w:r>
            <w:r>
              <w:rPr>
                <w:rFonts w:ascii="宋体" w:hAnsi="宋体" w:cs="宋体" w:eastAsia="宋体" w:hint="default"/>
                <w:sz w:val="13"/>
                <w:szCs w:val="13"/>
              </w:rPr>
            </w:r>
          </w:p>
        </w:tc>
      </w:tr>
      <w:tr>
        <w:trPr>
          <w:trHeight w:val="354" w:hRule="exact"/>
        </w:trPr>
        <w:tc>
          <w:tcPr>
            <w:tcW w:w="1885" w:type="dxa"/>
            <w:tcBorders>
              <w:top w:val="single" w:sz="4" w:space="0" w:color="000000"/>
              <w:left w:val="nil" w:sz="6" w:space="0" w:color="auto"/>
              <w:bottom w:val="nil" w:sz="6" w:space="0" w:color="auto"/>
              <w:right w:val="nil" w:sz="6" w:space="0" w:color="auto"/>
            </w:tcBorders>
          </w:tcPr>
          <w:p>
            <w:pPr>
              <w:pStyle w:val="TableParagraph"/>
              <w:spacing w:line="240" w:lineRule="auto" w:before="93"/>
              <w:ind w:left="57" w:right="0"/>
              <w:jc w:val="left"/>
              <w:rPr>
                <w:rFonts w:ascii="宋体" w:hAnsi="宋体" w:cs="宋体" w:eastAsia="宋体" w:hint="default"/>
                <w:sz w:val="13"/>
                <w:szCs w:val="13"/>
              </w:rPr>
            </w:pPr>
            <w:r>
              <w:rPr>
                <w:rFonts w:ascii="宋体" w:hAnsi="宋体" w:cs="宋体" w:eastAsia="宋体" w:hint="default"/>
                <w:sz w:val="13"/>
                <w:szCs w:val="13"/>
              </w:rPr>
              <w:t>龙江环保集团股份有限公司</w:t>
            </w:r>
          </w:p>
        </w:tc>
        <w:tc>
          <w:tcPr>
            <w:tcW w:w="1290"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8"/>
              <w:jc w:val="right"/>
              <w:rPr>
                <w:rFonts w:ascii="Times New Roman" w:hAnsi="Times New Roman" w:cs="Times New Roman" w:eastAsia="Times New Roman" w:hint="default"/>
                <w:sz w:val="13"/>
                <w:szCs w:val="13"/>
              </w:rPr>
            </w:pPr>
            <w:r>
              <w:rPr>
                <w:rFonts w:ascii="Times New Roman"/>
                <w:sz w:val="13"/>
              </w:rPr>
              <w:t>561,739,114.41</w:t>
            </w:r>
          </w:p>
        </w:tc>
        <w:tc>
          <w:tcPr>
            <w:tcW w:w="1096"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3"/>
                <w:szCs w:val="13"/>
              </w:rPr>
            </w:pPr>
            <w:r>
              <w:rPr>
                <w:rFonts w:ascii="Times New Roman"/>
                <w:sz w:val="13"/>
              </w:rPr>
              <w:t>3,977,909,063.46</w:t>
            </w:r>
          </w:p>
        </w:tc>
        <w:tc>
          <w:tcPr>
            <w:tcW w:w="1097"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21"/>
              <w:jc w:val="center"/>
              <w:rPr>
                <w:rFonts w:ascii="Times New Roman" w:hAnsi="Times New Roman" w:cs="Times New Roman" w:eastAsia="Times New Roman" w:hint="default"/>
                <w:sz w:val="13"/>
                <w:szCs w:val="13"/>
              </w:rPr>
            </w:pPr>
            <w:r>
              <w:rPr>
                <w:rFonts w:ascii="Times New Roman"/>
                <w:sz w:val="13"/>
              </w:rPr>
              <w:t>4,539,648,177.87</w:t>
            </w:r>
          </w:p>
        </w:tc>
        <w:tc>
          <w:tcPr>
            <w:tcW w:w="1096"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99"/>
              <w:jc w:val="right"/>
              <w:rPr>
                <w:rFonts w:ascii="Times New Roman" w:hAnsi="Times New Roman" w:cs="Times New Roman" w:eastAsia="Times New Roman" w:hint="default"/>
                <w:sz w:val="13"/>
                <w:szCs w:val="13"/>
              </w:rPr>
            </w:pPr>
            <w:r>
              <w:rPr>
                <w:rFonts w:ascii="Times New Roman"/>
                <w:sz w:val="13"/>
              </w:rPr>
              <w:t>1,994,660,745.79</w:t>
            </w:r>
          </w:p>
        </w:tc>
        <w:tc>
          <w:tcPr>
            <w:tcW w:w="1100"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99"/>
              <w:jc w:val="right"/>
              <w:rPr>
                <w:rFonts w:ascii="Times New Roman" w:hAnsi="Times New Roman" w:cs="Times New Roman" w:eastAsia="Times New Roman" w:hint="default"/>
                <w:sz w:val="13"/>
                <w:szCs w:val="13"/>
              </w:rPr>
            </w:pPr>
            <w:r>
              <w:rPr>
                <w:rFonts w:ascii="Times New Roman"/>
                <w:sz w:val="13"/>
              </w:rPr>
              <w:t>1,696,042,911.21</w:t>
            </w:r>
          </w:p>
        </w:tc>
        <w:tc>
          <w:tcPr>
            <w:tcW w:w="1064"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53"/>
              <w:jc w:val="right"/>
              <w:rPr>
                <w:rFonts w:ascii="Times New Roman" w:hAnsi="Times New Roman" w:cs="Times New Roman" w:eastAsia="Times New Roman" w:hint="default"/>
                <w:sz w:val="13"/>
                <w:szCs w:val="13"/>
              </w:rPr>
            </w:pPr>
            <w:r>
              <w:rPr>
                <w:rFonts w:ascii="Times New Roman"/>
                <w:sz w:val="13"/>
              </w:rPr>
              <w:t>3,690,703,657.00</w:t>
            </w:r>
          </w:p>
        </w:tc>
      </w:tr>
      <w:tr>
        <w:trPr>
          <w:trHeight w:val="284"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57" w:right="0"/>
              <w:jc w:val="left"/>
              <w:rPr>
                <w:rFonts w:ascii="宋体" w:hAnsi="宋体" w:cs="宋体" w:eastAsia="宋体" w:hint="default"/>
                <w:sz w:val="13"/>
                <w:szCs w:val="13"/>
              </w:rPr>
            </w:pPr>
            <w:r>
              <w:rPr>
                <w:rFonts w:ascii="宋体" w:hAnsi="宋体" w:cs="宋体" w:eastAsia="宋体" w:hint="default"/>
                <w:sz w:val="13"/>
                <w:szCs w:val="13"/>
              </w:rPr>
              <w:t>同方泰德国际科技有限公司</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3"/>
                <w:szCs w:val="13"/>
              </w:rPr>
            </w:pPr>
            <w:r>
              <w:rPr>
                <w:rFonts w:ascii="Times New Roman"/>
                <w:sz w:val="13"/>
              </w:rPr>
              <w:t>1,404,522,771.01</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3"/>
                <w:szCs w:val="13"/>
              </w:rPr>
            </w:pPr>
            <w:r>
              <w:rPr>
                <w:rFonts w:ascii="Times New Roman"/>
                <w:sz w:val="13"/>
              </w:rPr>
              <w:t>873,991,778.90</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
              <w:jc w:val="center"/>
              <w:rPr>
                <w:rFonts w:ascii="Times New Roman" w:hAnsi="Times New Roman" w:cs="Times New Roman" w:eastAsia="Times New Roman" w:hint="default"/>
                <w:sz w:val="13"/>
                <w:szCs w:val="13"/>
              </w:rPr>
            </w:pPr>
            <w:r>
              <w:rPr>
                <w:rFonts w:ascii="Times New Roman"/>
                <w:sz w:val="13"/>
              </w:rPr>
              <w:t>2,278,514,549.91</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99"/>
              <w:jc w:val="right"/>
              <w:rPr>
                <w:rFonts w:ascii="Times New Roman" w:hAnsi="Times New Roman" w:cs="Times New Roman" w:eastAsia="Times New Roman" w:hint="default"/>
                <w:sz w:val="13"/>
                <w:szCs w:val="13"/>
              </w:rPr>
            </w:pPr>
            <w:r>
              <w:rPr>
                <w:rFonts w:ascii="Times New Roman"/>
                <w:sz w:val="13"/>
              </w:rPr>
              <w:t>1,124,104,066.49</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1"/>
              <w:jc w:val="right"/>
              <w:rPr>
                <w:rFonts w:ascii="Times New Roman" w:hAnsi="Times New Roman" w:cs="Times New Roman" w:eastAsia="Times New Roman" w:hint="default"/>
                <w:sz w:val="13"/>
                <w:szCs w:val="13"/>
              </w:rPr>
            </w:pPr>
            <w:r>
              <w:rPr>
                <w:rFonts w:ascii="Times New Roman"/>
                <w:sz w:val="13"/>
              </w:rPr>
              <w:t>333,490,798.58</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53"/>
              <w:jc w:val="right"/>
              <w:rPr>
                <w:rFonts w:ascii="Times New Roman" w:hAnsi="Times New Roman" w:cs="Times New Roman" w:eastAsia="Times New Roman" w:hint="default"/>
                <w:sz w:val="13"/>
                <w:szCs w:val="13"/>
              </w:rPr>
            </w:pPr>
            <w:r>
              <w:rPr>
                <w:rFonts w:ascii="Times New Roman"/>
                <w:sz w:val="13"/>
              </w:rPr>
              <w:t>1,457,594,865.07</w:t>
            </w:r>
          </w:p>
        </w:tc>
      </w:tr>
      <w:tr>
        <w:trPr>
          <w:trHeight w:val="284"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7" w:right="0"/>
              <w:jc w:val="left"/>
              <w:rPr>
                <w:rFonts w:ascii="宋体" w:hAnsi="宋体" w:cs="宋体" w:eastAsia="宋体" w:hint="default"/>
                <w:sz w:val="13"/>
                <w:szCs w:val="13"/>
              </w:rPr>
            </w:pPr>
            <w:r>
              <w:rPr>
                <w:rFonts w:ascii="宋体" w:hAnsi="宋体" w:cs="宋体" w:eastAsia="宋体" w:hint="default"/>
                <w:sz w:val="13"/>
                <w:szCs w:val="13"/>
              </w:rPr>
              <w:t>同方国芯电子股份有限公司</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6"/>
              <w:jc w:val="right"/>
              <w:rPr>
                <w:rFonts w:ascii="Times New Roman" w:hAnsi="Times New Roman" w:cs="Times New Roman" w:eastAsia="Times New Roman" w:hint="default"/>
                <w:sz w:val="13"/>
                <w:szCs w:val="13"/>
              </w:rPr>
            </w:pPr>
            <w:r>
              <w:rPr>
                <w:rFonts w:ascii="Times New Roman"/>
                <w:sz w:val="13"/>
              </w:rPr>
              <w:t>1,760,971,259.79</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5"/>
              <w:jc w:val="right"/>
              <w:rPr>
                <w:rFonts w:ascii="Times New Roman" w:hAnsi="Times New Roman" w:cs="Times New Roman" w:eastAsia="Times New Roman" w:hint="default"/>
                <w:sz w:val="13"/>
                <w:szCs w:val="13"/>
              </w:rPr>
            </w:pPr>
            <w:r>
              <w:rPr>
                <w:rFonts w:ascii="Times New Roman"/>
                <w:sz w:val="13"/>
              </w:rPr>
              <w:t>1,739,911,728.32</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21"/>
              <w:jc w:val="center"/>
              <w:rPr>
                <w:rFonts w:ascii="Times New Roman" w:hAnsi="Times New Roman" w:cs="Times New Roman" w:eastAsia="Times New Roman" w:hint="default"/>
                <w:sz w:val="13"/>
                <w:szCs w:val="13"/>
              </w:rPr>
            </w:pPr>
            <w:r>
              <w:rPr>
                <w:rFonts w:ascii="Times New Roman"/>
                <w:sz w:val="13"/>
              </w:rPr>
              <w:t>3,500,882,988.11</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1"/>
              <w:jc w:val="right"/>
              <w:rPr>
                <w:rFonts w:ascii="Times New Roman" w:hAnsi="Times New Roman" w:cs="Times New Roman" w:eastAsia="Times New Roman" w:hint="default"/>
                <w:sz w:val="13"/>
                <w:szCs w:val="13"/>
              </w:rPr>
            </w:pPr>
            <w:r>
              <w:rPr>
                <w:rFonts w:ascii="Times New Roman"/>
                <w:sz w:val="13"/>
              </w:rPr>
              <w:t>381,283,601.98</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1"/>
              <w:jc w:val="right"/>
              <w:rPr>
                <w:rFonts w:ascii="Times New Roman" w:hAnsi="Times New Roman" w:cs="Times New Roman" w:eastAsia="Times New Roman" w:hint="default"/>
                <w:sz w:val="13"/>
                <w:szCs w:val="13"/>
              </w:rPr>
            </w:pPr>
            <w:r>
              <w:rPr>
                <w:rFonts w:ascii="Times New Roman"/>
                <w:sz w:val="13"/>
              </w:rPr>
              <w:t>481,683,306.83</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56"/>
              <w:jc w:val="right"/>
              <w:rPr>
                <w:rFonts w:ascii="Times New Roman" w:hAnsi="Times New Roman" w:cs="Times New Roman" w:eastAsia="Times New Roman" w:hint="default"/>
                <w:sz w:val="13"/>
                <w:szCs w:val="13"/>
              </w:rPr>
            </w:pPr>
            <w:r>
              <w:rPr>
                <w:rFonts w:ascii="Times New Roman"/>
                <w:sz w:val="13"/>
              </w:rPr>
              <w:t>862,966,908.81</w:t>
            </w:r>
          </w:p>
        </w:tc>
      </w:tr>
      <w:tr>
        <w:trPr>
          <w:trHeight w:val="286"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57" w:right="0"/>
              <w:jc w:val="left"/>
              <w:rPr>
                <w:rFonts w:ascii="宋体" w:hAnsi="宋体" w:cs="宋体" w:eastAsia="宋体" w:hint="default"/>
                <w:sz w:val="13"/>
                <w:szCs w:val="13"/>
              </w:rPr>
            </w:pPr>
            <w:r>
              <w:rPr>
                <w:rFonts w:ascii="宋体" w:hAnsi="宋体" w:cs="宋体" w:eastAsia="宋体" w:hint="default"/>
                <w:sz w:val="13"/>
                <w:szCs w:val="13"/>
              </w:rPr>
              <w:t>同方友友控股有限公司</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8"/>
              <w:jc w:val="right"/>
              <w:rPr>
                <w:rFonts w:ascii="Times New Roman" w:hAnsi="Times New Roman" w:cs="Times New Roman" w:eastAsia="Times New Roman" w:hint="default"/>
                <w:sz w:val="13"/>
                <w:szCs w:val="13"/>
              </w:rPr>
            </w:pPr>
            <w:r>
              <w:rPr>
                <w:rFonts w:ascii="Times New Roman"/>
                <w:sz w:val="13"/>
              </w:rPr>
              <w:t>978,476,264.65</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3"/>
                <w:szCs w:val="13"/>
              </w:rPr>
            </w:pPr>
            <w:r>
              <w:rPr>
                <w:rFonts w:ascii="Times New Roman"/>
                <w:sz w:val="13"/>
              </w:rPr>
              <w:t>451,515,561.39</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1"/>
              <w:jc w:val="center"/>
              <w:rPr>
                <w:rFonts w:ascii="Times New Roman" w:hAnsi="Times New Roman" w:cs="Times New Roman" w:eastAsia="Times New Roman" w:hint="default"/>
                <w:sz w:val="13"/>
                <w:szCs w:val="13"/>
              </w:rPr>
            </w:pPr>
            <w:r>
              <w:rPr>
                <w:rFonts w:ascii="Times New Roman"/>
                <w:sz w:val="13"/>
              </w:rPr>
              <w:t>1,429,991,826.04</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1"/>
              <w:jc w:val="right"/>
              <w:rPr>
                <w:rFonts w:ascii="Times New Roman" w:hAnsi="Times New Roman" w:cs="Times New Roman" w:eastAsia="Times New Roman" w:hint="default"/>
                <w:sz w:val="13"/>
                <w:szCs w:val="13"/>
              </w:rPr>
            </w:pPr>
            <w:r>
              <w:rPr>
                <w:rFonts w:ascii="Times New Roman"/>
                <w:sz w:val="13"/>
              </w:rPr>
              <w:t>273,229,295.68</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99"/>
              <w:jc w:val="right"/>
              <w:rPr>
                <w:rFonts w:ascii="Times New Roman" w:hAnsi="Times New Roman" w:cs="Times New Roman" w:eastAsia="Times New Roman" w:hint="default"/>
                <w:sz w:val="13"/>
                <w:szCs w:val="13"/>
              </w:rPr>
            </w:pPr>
            <w:r>
              <w:rPr>
                <w:rFonts w:ascii="Times New Roman"/>
                <w:sz w:val="13"/>
              </w:rPr>
              <w:t>20,005,338.15</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56"/>
              <w:jc w:val="right"/>
              <w:rPr>
                <w:rFonts w:ascii="Times New Roman" w:hAnsi="Times New Roman" w:cs="Times New Roman" w:eastAsia="Times New Roman" w:hint="default"/>
                <w:sz w:val="13"/>
                <w:szCs w:val="13"/>
              </w:rPr>
            </w:pPr>
            <w:r>
              <w:rPr>
                <w:rFonts w:ascii="Times New Roman"/>
                <w:sz w:val="13"/>
              </w:rPr>
              <w:t>293,234,633.83</w:t>
            </w:r>
          </w:p>
        </w:tc>
      </w:tr>
      <w:tr>
        <w:trPr>
          <w:trHeight w:val="239" w:hRule="exact"/>
        </w:trPr>
        <w:tc>
          <w:tcPr>
            <w:tcW w:w="1885"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57" w:right="0"/>
              <w:jc w:val="left"/>
              <w:rPr>
                <w:rFonts w:ascii="宋体" w:hAnsi="宋体" w:cs="宋体" w:eastAsia="宋体" w:hint="default"/>
                <w:sz w:val="13"/>
                <w:szCs w:val="13"/>
              </w:rPr>
            </w:pPr>
            <w:r>
              <w:rPr>
                <w:rFonts w:ascii="宋体" w:hAnsi="宋体" w:cs="宋体" w:eastAsia="宋体" w:hint="default"/>
                <w:sz w:val="13"/>
                <w:szCs w:val="13"/>
              </w:rPr>
              <w:t>同方威视技术股份有限公司</w:t>
            </w:r>
          </w:p>
        </w:tc>
        <w:tc>
          <w:tcPr>
            <w:tcW w:w="1290"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3"/>
                <w:szCs w:val="13"/>
              </w:rPr>
            </w:pPr>
            <w:r>
              <w:rPr>
                <w:rFonts w:ascii="Times New Roman"/>
                <w:sz w:val="13"/>
              </w:rPr>
              <w:t>3,740,487,186.70</w:t>
            </w:r>
          </w:p>
        </w:tc>
        <w:tc>
          <w:tcPr>
            <w:tcW w:w="1096"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107"/>
              <w:jc w:val="right"/>
              <w:rPr>
                <w:rFonts w:ascii="Times New Roman" w:hAnsi="Times New Roman" w:cs="Times New Roman" w:eastAsia="Times New Roman" w:hint="default"/>
                <w:sz w:val="13"/>
                <w:szCs w:val="13"/>
              </w:rPr>
            </w:pPr>
            <w:r>
              <w:rPr>
                <w:rFonts w:ascii="Times New Roman"/>
                <w:sz w:val="13"/>
              </w:rPr>
              <w:t>756,998,004.07</w:t>
            </w:r>
          </w:p>
        </w:tc>
        <w:tc>
          <w:tcPr>
            <w:tcW w:w="1097"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21"/>
              <w:jc w:val="center"/>
              <w:rPr>
                <w:rFonts w:ascii="Times New Roman" w:hAnsi="Times New Roman" w:cs="Times New Roman" w:eastAsia="Times New Roman" w:hint="default"/>
                <w:sz w:val="13"/>
                <w:szCs w:val="13"/>
              </w:rPr>
            </w:pPr>
            <w:r>
              <w:rPr>
                <w:rFonts w:ascii="Times New Roman"/>
                <w:sz w:val="13"/>
              </w:rPr>
              <w:t>4,497,485,190.77</w:t>
            </w:r>
          </w:p>
        </w:tc>
        <w:tc>
          <w:tcPr>
            <w:tcW w:w="1096"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99"/>
              <w:jc w:val="right"/>
              <w:rPr>
                <w:rFonts w:ascii="Times New Roman" w:hAnsi="Times New Roman" w:cs="Times New Roman" w:eastAsia="Times New Roman" w:hint="default"/>
                <w:sz w:val="13"/>
                <w:szCs w:val="13"/>
              </w:rPr>
            </w:pPr>
            <w:r>
              <w:rPr>
                <w:rFonts w:ascii="Times New Roman"/>
                <w:sz w:val="13"/>
              </w:rPr>
              <w:t>3,232,687,358.59</w:t>
            </w:r>
          </w:p>
        </w:tc>
        <w:tc>
          <w:tcPr>
            <w:tcW w:w="1100"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99"/>
              <w:jc w:val="right"/>
              <w:rPr>
                <w:rFonts w:ascii="Times New Roman" w:hAnsi="Times New Roman" w:cs="Times New Roman" w:eastAsia="Times New Roman" w:hint="default"/>
                <w:sz w:val="13"/>
                <w:szCs w:val="13"/>
              </w:rPr>
            </w:pPr>
            <w:r>
              <w:rPr>
                <w:rFonts w:ascii="Times New Roman"/>
                <w:sz w:val="13"/>
              </w:rPr>
              <w:t>48,945,376.06</w:t>
            </w:r>
          </w:p>
        </w:tc>
        <w:tc>
          <w:tcPr>
            <w:tcW w:w="1064"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53"/>
              <w:jc w:val="right"/>
              <w:rPr>
                <w:rFonts w:ascii="Times New Roman" w:hAnsi="Times New Roman" w:cs="Times New Roman" w:eastAsia="Times New Roman" w:hint="default"/>
                <w:sz w:val="13"/>
                <w:szCs w:val="13"/>
              </w:rPr>
            </w:pPr>
            <w:r>
              <w:rPr>
                <w:rFonts w:ascii="Times New Roman"/>
                <w:sz w:val="13"/>
              </w:rPr>
              <w:t>3,281,632,734.65</w:t>
            </w:r>
          </w:p>
        </w:tc>
      </w:tr>
    </w:tbl>
    <w:p>
      <w:pPr>
        <w:spacing w:line="240" w:lineRule="auto" w:before="8"/>
        <w:rPr>
          <w:rFonts w:ascii="宋体" w:hAnsi="宋体" w:cs="宋体" w:eastAsia="宋体" w:hint="default"/>
          <w:sz w:val="26"/>
          <w:szCs w:val="26"/>
        </w:rPr>
      </w:pPr>
    </w:p>
    <w:p>
      <w:pPr>
        <w:spacing w:before="32"/>
        <w:ind w:left="202" w:right="0" w:firstLine="0"/>
        <w:jc w:val="left"/>
        <w:rPr>
          <w:rFonts w:ascii="宋体" w:hAnsi="宋体" w:cs="宋体" w:eastAsia="宋体" w:hint="default"/>
          <w:sz w:val="22"/>
          <w:szCs w:val="22"/>
        </w:rPr>
      </w:pPr>
      <w:r>
        <w:rPr>
          <w:rFonts w:ascii="宋体" w:hAnsi="宋体" w:cs="宋体" w:eastAsia="宋体" w:hint="default"/>
          <w:sz w:val="22"/>
          <w:szCs w:val="22"/>
        </w:rPr>
        <w:t>（续</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2</w:t>
      </w:r>
      <w:r>
        <w:rPr>
          <w:rFonts w:ascii="宋体" w:hAnsi="宋体" w:cs="宋体" w:eastAsia="宋体" w:hint="default"/>
          <w:sz w:val="22"/>
          <w:szCs w:val="22"/>
        </w:rPr>
        <w:t>）</w:t>
      </w:r>
    </w:p>
    <w:p>
      <w:pPr>
        <w:spacing w:line="240" w:lineRule="auto" w:before="8"/>
        <w:rPr>
          <w:rFonts w:ascii="宋体" w:hAnsi="宋体" w:cs="宋体" w:eastAsia="宋体" w:hint="default"/>
          <w:sz w:val="11"/>
          <w:szCs w:val="11"/>
        </w:rPr>
      </w:pPr>
    </w:p>
    <w:tbl>
      <w:tblPr>
        <w:tblW w:w="0" w:type="auto"/>
        <w:jc w:val="left"/>
        <w:tblInd w:w="158" w:type="dxa"/>
        <w:tblLayout w:type="fixed"/>
        <w:tblCellMar>
          <w:top w:w="0" w:type="dxa"/>
          <w:left w:w="0" w:type="dxa"/>
          <w:bottom w:w="0" w:type="dxa"/>
          <w:right w:w="0" w:type="dxa"/>
        </w:tblCellMar>
        <w:tblLook w:val="01E0"/>
      </w:tblPr>
      <w:tblGrid>
        <w:gridCol w:w="2581"/>
        <w:gridCol w:w="2214"/>
        <w:gridCol w:w="2088"/>
        <w:gridCol w:w="1696"/>
      </w:tblGrid>
      <w:tr>
        <w:trPr>
          <w:trHeight w:val="305" w:hRule="exact"/>
        </w:trPr>
        <w:tc>
          <w:tcPr>
            <w:tcW w:w="2581" w:type="dxa"/>
            <w:vMerge w:val="restart"/>
            <w:tcBorders>
              <w:top w:val="single" w:sz="12" w:space="0" w:color="000000"/>
              <w:left w:val="nil" w:sz="6" w:space="0" w:color="auto"/>
              <w:right w:val="nil" w:sz="6" w:space="0" w:color="auto"/>
            </w:tcBorders>
          </w:tcPr>
          <w:p>
            <w:pPr>
              <w:pStyle w:val="TableParagraph"/>
              <w:spacing w:line="240" w:lineRule="auto" w:before="145"/>
              <w:ind w:left="43"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2214" w:type="dxa"/>
            <w:tcBorders>
              <w:top w:val="single" w:sz="12" w:space="0" w:color="000000"/>
              <w:left w:val="nil" w:sz="6" w:space="0" w:color="auto"/>
              <w:bottom w:val="single" w:sz="4" w:space="0" w:color="000000"/>
              <w:right w:val="nil" w:sz="6" w:space="0" w:color="auto"/>
            </w:tcBorders>
          </w:tcPr>
          <w:p>
            <w:pPr/>
          </w:p>
        </w:tc>
        <w:tc>
          <w:tcPr>
            <w:tcW w:w="208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335"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1696" w:type="dxa"/>
            <w:tcBorders>
              <w:top w:val="single" w:sz="12" w:space="0" w:color="000000"/>
              <w:left w:val="nil" w:sz="6" w:space="0" w:color="auto"/>
              <w:bottom w:val="single" w:sz="4" w:space="0" w:color="000000"/>
              <w:right w:val="nil" w:sz="6" w:space="0" w:color="auto"/>
            </w:tcBorders>
          </w:tcPr>
          <w:p>
            <w:pPr/>
          </w:p>
        </w:tc>
      </w:tr>
      <w:tr>
        <w:trPr>
          <w:trHeight w:val="295" w:hRule="exact"/>
        </w:trPr>
        <w:tc>
          <w:tcPr>
            <w:tcW w:w="2581" w:type="dxa"/>
            <w:vMerge/>
            <w:tcBorders>
              <w:left w:val="nil" w:sz="6" w:space="0" w:color="auto"/>
              <w:bottom w:val="single" w:sz="4" w:space="0" w:color="000000"/>
              <w:right w:val="nil" w:sz="6" w:space="0" w:color="auto"/>
            </w:tcBorders>
          </w:tcPr>
          <w:p>
            <w:pPr/>
          </w:p>
        </w:tc>
        <w:tc>
          <w:tcPr>
            <w:tcW w:w="2214"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458" w:right="0"/>
              <w:jc w:val="left"/>
              <w:rPr>
                <w:rFonts w:ascii="宋体" w:hAnsi="宋体" w:cs="宋体" w:eastAsia="宋体" w:hint="default"/>
                <w:sz w:val="18"/>
                <w:szCs w:val="18"/>
              </w:rPr>
            </w:pPr>
            <w:r>
              <w:rPr>
                <w:rFonts w:ascii="宋体" w:hAnsi="宋体" w:cs="宋体" w:eastAsia="宋体" w:hint="default"/>
                <w:b/>
                <w:bCs/>
                <w:sz w:val="18"/>
                <w:szCs w:val="18"/>
              </w:rPr>
              <w:t>主营营业收入</w:t>
            </w:r>
            <w:r>
              <w:rPr>
                <w:rFonts w:ascii="宋体" w:hAnsi="宋体" w:cs="宋体" w:eastAsia="宋体" w:hint="default"/>
                <w:sz w:val="18"/>
                <w:szCs w:val="18"/>
              </w:rPr>
            </w:r>
          </w:p>
        </w:tc>
        <w:tc>
          <w:tcPr>
            <w:tcW w:w="2088"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241" w:right="0"/>
              <w:jc w:val="left"/>
              <w:rPr>
                <w:rFonts w:ascii="宋体" w:hAnsi="宋体" w:cs="宋体" w:eastAsia="宋体" w:hint="default"/>
                <w:sz w:val="18"/>
                <w:szCs w:val="18"/>
              </w:rPr>
            </w:pPr>
            <w:r>
              <w:rPr>
                <w:rFonts w:ascii="宋体" w:hAnsi="宋体" w:cs="宋体" w:eastAsia="宋体" w:hint="default"/>
                <w:b/>
                <w:bCs/>
                <w:sz w:val="18"/>
                <w:szCs w:val="18"/>
              </w:rPr>
              <w:t>主营业务成本</w:t>
            </w:r>
            <w:r>
              <w:rPr>
                <w:rFonts w:ascii="宋体" w:hAnsi="宋体" w:cs="宋体" w:eastAsia="宋体" w:hint="default"/>
                <w:sz w:val="18"/>
                <w:szCs w:val="18"/>
              </w:rPr>
            </w:r>
          </w:p>
        </w:tc>
        <w:tc>
          <w:tcPr>
            <w:tcW w:w="169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332" w:right="0"/>
              <w:jc w:val="left"/>
              <w:rPr>
                <w:rFonts w:ascii="宋体" w:hAnsi="宋体" w:cs="宋体" w:eastAsia="宋体" w:hint="default"/>
                <w:sz w:val="18"/>
                <w:szCs w:val="18"/>
              </w:rPr>
            </w:pPr>
            <w:r>
              <w:rPr>
                <w:rFonts w:ascii="宋体" w:hAnsi="宋体" w:cs="宋体" w:eastAsia="宋体" w:hint="default"/>
                <w:b/>
                <w:bCs/>
                <w:sz w:val="18"/>
                <w:szCs w:val="18"/>
              </w:rPr>
              <w:t>利润总额</w:t>
            </w:r>
            <w:r>
              <w:rPr>
                <w:rFonts w:ascii="宋体" w:hAnsi="宋体" w:cs="宋体" w:eastAsia="宋体" w:hint="default"/>
                <w:sz w:val="18"/>
                <w:szCs w:val="18"/>
              </w:rPr>
            </w:r>
          </w:p>
        </w:tc>
      </w:tr>
      <w:tr>
        <w:trPr>
          <w:trHeight w:val="326" w:hRule="exact"/>
        </w:trPr>
        <w:tc>
          <w:tcPr>
            <w:tcW w:w="2581"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43" w:right="0"/>
              <w:jc w:val="left"/>
              <w:rPr>
                <w:rFonts w:ascii="宋体" w:hAnsi="宋体" w:cs="宋体" w:eastAsia="宋体" w:hint="default"/>
                <w:sz w:val="18"/>
                <w:szCs w:val="18"/>
              </w:rPr>
            </w:pPr>
            <w:r>
              <w:rPr>
                <w:rFonts w:ascii="宋体" w:hAnsi="宋体" w:cs="宋体" w:eastAsia="宋体" w:hint="default"/>
                <w:sz w:val="18"/>
                <w:szCs w:val="18"/>
              </w:rPr>
              <w:t>龙江环保集团股份有限公司</w:t>
            </w:r>
          </w:p>
        </w:tc>
        <w:tc>
          <w:tcPr>
            <w:tcW w:w="2214"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right="239"/>
              <w:jc w:val="right"/>
              <w:rPr>
                <w:rFonts w:ascii="Times New Roman" w:hAnsi="Times New Roman" w:cs="Times New Roman" w:eastAsia="Times New Roman" w:hint="default"/>
                <w:sz w:val="18"/>
                <w:szCs w:val="18"/>
              </w:rPr>
            </w:pPr>
            <w:r>
              <w:rPr>
                <w:rFonts w:ascii="Times New Roman"/>
                <w:spacing w:val="-1"/>
                <w:sz w:val="18"/>
              </w:rPr>
              <w:t>719,273,030.55</w:t>
            </w:r>
          </w:p>
        </w:tc>
        <w:tc>
          <w:tcPr>
            <w:tcW w:w="2088"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right="330"/>
              <w:jc w:val="right"/>
              <w:rPr>
                <w:rFonts w:ascii="Times New Roman" w:hAnsi="Times New Roman" w:cs="Times New Roman" w:eastAsia="Times New Roman" w:hint="default"/>
                <w:sz w:val="18"/>
                <w:szCs w:val="18"/>
              </w:rPr>
            </w:pPr>
            <w:r>
              <w:rPr>
                <w:rFonts w:ascii="Times New Roman"/>
                <w:spacing w:val="-1"/>
                <w:sz w:val="18"/>
              </w:rPr>
              <w:t>398,708,271.62</w:t>
            </w:r>
          </w:p>
        </w:tc>
        <w:tc>
          <w:tcPr>
            <w:tcW w:w="1696"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right="26"/>
              <w:jc w:val="right"/>
              <w:rPr>
                <w:rFonts w:ascii="Times New Roman" w:hAnsi="Times New Roman" w:cs="Times New Roman" w:eastAsia="Times New Roman" w:hint="default"/>
                <w:sz w:val="18"/>
                <w:szCs w:val="18"/>
              </w:rPr>
            </w:pPr>
            <w:r>
              <w:rPr>
                <w:rFonts w:ascii="Times New Roman"/>
                <w:spacing w:val="-1"/>
                <w:sz w:val="18"/>
              </w:rPr>
              <w:t>97,325,202.73</w:t>
            </w:r>
          </w:p>
        </w:tc>
      </w:tr>
      <w:tr>
        <w:trPr>
          <w:trHeight w:val="284" w:hRule="exact"/>
        </w:trPr>
        <w:tc>
          <w:tcPr>
            <w:tcW w:w="2581" w:type="dxa"/>
            <w:tcBorders>
              <w:top w:val="nil" w:sz="6" w:space="0" w:color="auto"/>
              <w:left w:val="nil" w:sz="6" w:space="0" w:color="auto"/>
              <w:bottom w:val="nil" w:sz="6" w:space="0" w:color="auto"/>
              <w:right w:val="nil" w:sz="6" w:space="0" w:color="auto"/>
            </w:tcBorders>
          </w:tcPr>
          <w:p>
            <w:pPr>
              <w:pStyle w:val="TableParagraph"/>
              <w:spacing w:line="223" w:lineRule="exact"/>
              <w:ind w:left="43" w:right="0"/>
              <w:jc w:val="left"/>
              <w:rPr>
                <w:rFonts w:ascii="宋体" w:hAnsi="宋体" w:cs="宋体" w:eastAsia="宋体" w:hint="default"/>
                <w:sz w:val="18"/>
                <w:szCs w:val="18"/>
              </w:rPr>
            </w:pPr>
            <w:r>
              <w:rPr>
                <w:rFonts w:ascii="宋体" w:hAnsi="宋体" w:cs="宋体" w:eastAsia="宋体" w:hint="default"/>
                <w:sz w:val="18"/>
                <w:szCs w:val="18"/>
              </w:rPr>
              <w:t>同方泰德国际科技有限公司</w:t>
            </w:r>
          </w:p>
        </w:tc>
        <w:tc>
          <w:tcPr>
            <w:tcW w:w="22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9"/>
              <w:jc w:val="right"/>
              <w:rPr>
                <w:rFonts w:ascii="Times New Roman" w:hAnsi="Times New Roman" w:cs="Times New Roman" w:eastAsia="Times New Roman" w:hint="default"/>
                <w:sz w:val="18"/>
                <w:szCs w:val="18"/>
              </w:rPr>
            </w:pPr>
            <w:r>
              <w:rPr>
                <w:rFonts w:ascii="Times New Roman"/>
                <w:spacing w:val="-1"/>
                <w:sz w:val="18"/>
              </w:rPr>
              <w:t>1,603,477,352.49</w:t>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1"/>
              <w:jc w:val="right"/>
              <w:rPr>
                <w:rFonts w:ascii="Times New Roman" w:hAnsi="Times New Roman" w:cs="Times New Roman" w:eastAsia="Times New Roman" w:hint="default"/>
                <w:sz w:val="18"/>
                <w:szCs w:val="18"/>
              </w:rPr>
            </w:pPr>
            <w:r>
              <w:rPr>
                <w:rFonts w:ascii="Times New Roman"/>
                <w:spacing w:val="-1"/>
                <w:sz w:val="18"/>
              </w:rPr>
              <w:t>1,127,120,771.42</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Times New Roman" w:hAnsi="Times New Roman" w:cs="Times New Roman" w:eastAsia="Times New Roman" w:hint="default"/>
                <w:sz w:val="18"/>
                <w:szCs w:val="18"/>
              </w:rPr>
            </w:pPr>
            <w:r>
              <w:rPr>
                <w:rFonts w:ascii="Times New Roman"/>
                <w:spacing w:val="-1"/>
                <w:sz w:val="18"/>
              </w:rPr>
              <w:t>784,619,663.47</w:t>
            </w:r>
          </w:p>
        </w:tc>
      </w:tr>
      <w:tr>
        <w:trPr>
          <w:trHeight w:val="284" w:hRule="exact"/>
        </w:trPr>
        <w:tc>
          <w:tcPr>
            <w:tcW w:w="2581" w:type="dxa"/>
            <w:tcBorders>
              <w:top w:val="nil" w:sz="6" w:space="0" w:color="auto"/>
              <w:left w:val="nil" w:sz="6" w:space="0" w:color="auto"/>
              <w:bottom w:val="nil" w:sz="6" w:space="0" w:color="auto"/>
              <w:right w:val="nil" w:sz="6" w:space="0" w:color="auto"/>
            </w:tcBorders>
          </w:tcPr>
          <w:p>
            <w:pPr>
              <w:pStyle w:val="TableParagraph"/>
              <w:spacing w:line="222" w:lineRule="exact"/>
              <w:ind w:left="43" w:right="0"/>
              <w:jc w:val="left"/>
              <w:rPr>
                <w:rFonts w:ascii="宋体" w:hAnsi="宋体" w:cs="宋体" w:eastAsia="宋体" w:hint="default"/>
                <w:sz w:val="18"/>
                <w:szCs w:val="18"/>
              </w:rPr>
            </w:pPr>
            <w:r>
              <w:rPr>
                <w:rFonts w:ascii="宋体" w:hAnsi="宋体" w:cs="宋体" w:eastAsia="宋体" w:hint="default"/>
                <w:sz w:val="18"/>
                <w:szCs w:val="18"/>
              </w:rPr>
              <w:t>同方国芯电子股份有限公司</w:t>
            </w:r>
          </w:p>
        </w:tc>
        <w:tc>
          <w:tcPr>
            <w:tcW w:w="221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39"/>
              <w:jc w:val="right"/>
              <w:rPr>
                <w:rFonts w:ascii="Times New Roman" w:hAnsi="Times New Roman" w:cs="Times New Roman" w:eastAsia="Times New Roman" w:hint="default"/>
                <w:sz w:val="18"/>
                <w:szCs w:val="18"/>
              </w:rPr>
            </w:pPr>
            <w:r>
              <w:rPr>
                <w:rFonts w:ascii="Times New Roman"/>
                <w:spacing w:val="-1"/>
                <w:sz w:val="18"/>
              </w:rPr>
              <w:t>1,246,126,693.42</w:t>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0"/>
              <w:jc w:val="right"/>
              <w:rPr>
                <w:rFonts w:ascii="Times New Roman" w:hAnsi="Times New Roman" w:cs="Times New Roman" w:eastAsia="Times New Roman" w:hint="default"/>
                <w:sz w:val="18"/>
                <w:szCs w:val="18"/>
              </w:rPr>
            </w:pPr>
            <w:r>
              <w:rPr>
                <w:rFonts w:ascii="Times New Roman"/>
                <w:spacing w:val="-1"/>
                <w:sz w:val="18"/>
              </w:rPr>
              <w:t>733,663,451.82</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396,016,021.05</w:t>
            </w:r>
          </w:p>
        </w:tc>
      </w:tr>
      <w:tr>
        <w:trPr>
          <w:trHeight w:val="286" w:hRule="exact"/>
        </w:trPr>
        <w:tc>
          <w:tcPr>
            <w:tcW w:w="2581" w:type="dxa"/>
            <w:tcBorders>
              <w:top w:val="nil" w:sz="6" w:space="0" w:color="auto"/>
              <w:left w:val="nil" w:sz="6" w:space="0" w:color="auto"/>
              <w:bottom w:val="nil" w:sz="6" w:space="0" w:color="auto"/>
              <w:right w:val="nil" w:sz="6" w:space="0" w:color="auto"/>
            </w:tcBorders>
          </w:tcPr>
          <w:p>
            <w:pPr>
              <w:pStyle w:val="TableParagraph"/>
              <w:spacing w:line="223" w:lineRule="exact"/>
              <w:ind w:left="43" w:right="0"/>
              <w:jc w:val="left"/>
              <w:rPr>
                <w:rFonts w:ascii="宋体" w:hAnsi="宋体" w:cs="宋体" w:eastAsia="宋体" w:hint="default"/>
                <w:sz w:val="18"/>
                <w:szCs w:val="18"/>
              </w:rPr>
            </w:pPr>
            <w:r>
              <w:rPr>
                <w:rFonts w:ascii="宋体" w:hAnsi="宋体" w:cs="宋体" w:eastAsia="宋体" w:hint="default"/>
                <w:sz w:val="18"/>
                <w:szCs w:val="18"/>
              </w:rPr>
              <w:t>同方友友控股有限公司</w:t>
            </w:r>
          </w:p>
        </w:tc>
        <w:tc>
          <w:tcPr>
            <w:tcW w:w="22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9"/>
              <w:jc w:val="right"/>
              <w:rPr>
                <w:rFonts w:ascii="Times New Roman" w:hAnsi="Times New Roman" w:cs="Times New Roman" w:eastAsia="Times New Roman" w:hint="default"/>
                <w:sz w:val="18"/>
                <w:szCs w:val="18"/>
              </w:rPr>
            </w:pPr>
            <w:r>
              <w:rPr>
                <w:rFonts w:ascii="Times New Roman"/>
                <w:spacing w:val="-1"/>
                <w:sz w:val="18"/>
              </w:rPr>
              <w:t>599,521,025.25</w:t>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0"/>
              <w:jc w:val="right"/>
              <w:rPr>
                <w:rFonts w:ascii="Times New Roman" w:hAnsi="Times New Roman" w:cs="Times New Roman" w:eastAsia="Times New Roman" w:hint="default"/>
                <w:sz w:val="18"/>
                <w:szCs w:val="18"/>
              </w:rPr>
            </w:pPr>
            <w:r>
              <w:rPr>
                <w:rFonts w:ascii="Times New Roman"/>
                <w:spacing w:val="-1"/>
                <w:sz w:val="18"/>
              </w:rPr>
              <w:t>431,444,817.04</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Times New Roman" w:hAnsi="Times New Roman" w:cs="Times New Roman" w:eastAsia="Times New Roman" w:hint="default"/>
                <w:sz w:val="18"/>
                <w:szCs w:val="18"/>
              </w:rPr>
            </w:pPr>
            <w:r>
              <w:rPr>
                <w:rFonts w:ascii="Times New Roman"/>
                <w:spacing w:val="-1"/>
                <w:sz w:val="18"/>
              </w:rPr>
              <w:t>9,476,081.51</w:t>
            </w:r>
          </w:p>
        </w:tc>
      </w:tr>
      <w:tr>
        <w:trPr>
          <w:trHeight w:val="267" w:hRule="exact"/>
        </w:trPr>
        <w:tc>
          <w:tcPr>
            <w:tcW w:w="2581" w:type="dxa"/>
            <w:tcBorders>
              <w:top w:val="nil" w:sz="6" w:space="0" w:color="auto"/>
              <w:left w:val="nil" w:sz="6" w:space="0" w:color="auto"/>
              <w:bottom w:val="single" w:sz="12" w:space="0" w:color="000000"/>
              <w:right w:val="nil" w:sz="6" w:space="0" w:color="auto"/>
            </w:tcBorders>
          </w:tcPr>
          <w:p>
            <w:pPr>
              <w:pStyle w:val="TableParagraph"/>
              <w:spacing w:line="223" w:lineRule="exact"/>
              <w:ind w:left="43" w:right="0"/>
              <w:jc w:val="left"/>
              <w:rPr>
                <w:rFonts w:ascii="宋体" w:hAnsi="宋体" w:cs="宋体" w:eastAsia="宋体" w:hint="default"/>
                <w:sz w:val="18"/>
                <w:szCs w:val="18"/>
              </w:rPr>
            </w:pPr>
            <w:r>
              <w:rPr>
                <w:rFonts w:ascii="宋体" w:hAnsi="宋体" w:cs="宋体" w:eastAsia="宋体" w:hint="default"/>
                <w:sz w:val="18"/>
                <w:szCs w:val="18"/>
              </w:rPr>
              <w:t>同方威视技术股份有限公司</w:t>
            </w:r>
          </w:p>
        </w:tc>
        <w:tc>
          <w:tcPr>
            <w:tcW w:w="2214"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239"/>
              <w:jc w:val="right"/>
              <w:rPr>
                <w:rFonts w:ascii="Times New Roman" w:hAnsi="Times New Roman" w:cs="Times New Roman" w:eastAsia="Times New Roman" w:hint="default"/>
                <w:sz w:val="18"/>
                <w:szCs w:val="18"/>
              </w:rPr>
            </w:pPr>
            <w:r>
              <w:rPr>
                <w:rFonts w:ascii="Times New Roman"/>
                <w:spacing w:val="-1"/>
                <w:sz w:val="18"/>
              </w:rPr>
              <w:t>3,491,990,695.28</w:t>
            </w:r>
          </w:p>
        </w:tc>
        <w:tc>
          <w:tcPr>
            <w:tcW w:w="2088"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331"/>
              <w:jc w:val="right"/>
              <w:rPr>
                <w:rFonts w:ascii="Times New Roman" w:hAnsi="Times New Roman" w:cs="Times New Roman" w:eastAsia="Times New Roman" w:hint="default"/>
                <w:sz w:val="18"/>
                <w:szCs w:val="18"/>
              </w:rPr>
            </w:pPr>
            <w:r>
              <w:rPr>
                <w:rFonts w:ascii="Times New Roman"/>
                <w:spacing w:val="-1"/>
                <w:sz w:val="18"/>
              </w:rPr>
              <w:t>2,192,111,297.48</w:t>
            </w:r>
          </w:p>
        </w:tc>
        <w:tc>
          <w:tcPr>
            <w:tcW w:w="1696"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26"/>
              <w:jc w:val="right"/>
              <w:rPr>
                <w:rFonts w:ascii="Times New Roman" w:hAnsi="Times New Roman" w:cs="Times New Roman" w:eastAsia="Times New Roman" w:hint="default"/>
                <w:sz w:val="18"/>
                <w:szCs w:val="18"/>
              </w:rPr>
            </w:pPr>
            <w:r>
              <w:rPr>
                <w:rFonts w:ascii="Times New Roman"/>
                <w:spacing w:val="-1"/>
                <w:sz w:val="18"/>
              </w:rPr>
              <w:t>596,257,708.07</w:t>
            </w:r>
          </w:p>
        </w:tc>
      </w:tr>
    </w:tbl>
    <w:p>
      <w:pPr>
        <w:spacing w:before="21"/>
        <w:ind w:left="202" w:right="0" w:firstLine="0"/>
        <w:jc w:val="left"/>
        <w:rPr>
          <w:rFonts w:ascii="宋体" w:hAnsi="宋体" w:cs="宋体" w:eastAsia="宋体" w:hint="default"/>
          <w:sz w:val="22"/>
          <w:szCs w:val="22"/>
        </w:rPr>
      </w:pPr>
      <w:r>
        <w:rPr>
          <w:rFonts w:ascii="宋体" w:hAnsi="宋体" w:cs="宋体" w:eastAsia="宋体" w:hint="default"/>
          <w:sz w:val="22"/>
          <w:szCs w:val="22"/>
        </w:rPr>
        <w:t>（续</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3</w:t>
      </w:r>
      <w:r>
        <w:rPr>
          <w:rFonts w:ascii="宋体" w:hAnsi="宋体" w:cs="宋体" w:eastAsia="宋体" w:hint="default"/>
          <w:sz w:val="22"/>
          <w:szCs w:val="22"/>
        </w:rPr>
        <w:t>）</w:t>
      </w:r>
    </w:p>
    <w:p>
      <w:pPr>
        <w:spacing w:line="240" w:lineRule="auto" w:before="5"/>
        <w:rPr>
          <w:rFonts w:ascii="宋体" w:hAnsi="宋体" w:cs="宋体" w:eastAsia="宋体" w:hint="default"/>
          <w:sz w:val="11"/>
          <w:szCs w:val="11"/>
        </w:rPr>
      </w:pPr>
    </w:p>
    <w:p>
      <w:pPr>
        <w:spacing w:line="28" w:lineRule="exact"/>
        <w:ind w:left="158" w:right="0" w:firstLine="0"/>
        <w:rPr>
          <w:rFonts w:ascii="宋体" w:hAnsi="宋体" w:cs="宋体" w:eastAsia="宋体" w:hint="default"/>
          <w:sz w:val="2"/>
          <w:szCs w:val="2"/>
        </w:rPr>
      </w:pPr>
      <w:r>
        <w:rPr>
          <w:rFonts w:ascii="宋体" w:hAnsi="宋体" w:cs="宋体" w:eastAsia="宋体" w:hint="default"/>
          <w:position w:val="0"/>
          <w:sz w:val="2"/>
          <w:szCs w:val="2"/>
        </w:rPr>
        <w:pict>
          <v:group style="width:429.7pt;height:1.45pt;mso-position-horizontal-relative:char;mso-position-vertical-relative:line" coordorigin="0,0" coordsize="8594,29">
            <v:group style="position:absolute;left:14;top:14;width:2566;height:2" coordorigin="14,14" coordsize="2566,2">
              <v:shape style="position:absolute;left:14;top:14;width:2566;height:2" coordorigin="14,14" coordsize="2566,0" path="m14,14l2580,14e" filled="false" stroked="true" strokeweight="1.44pt" strokecolor="#000000">
                <v:path arrowok="t"/>
              </v:shape>
            </v:group>
            <v:group style="position:absolute;left:2581;top:14;width:29;height:2" coordorigin="2581,14" coordsize="29,2">
              <v:shape style="position:absolute;left:2581;top:14;width:29;height:2" coordorigin="2581,14" coordsize="29,0" path="m2581,14l2609,14e" filled="false" stroked="true" strokeweight="1.44pt" strokecolor="#000000">
                <v:path arrowok="t"/>
              </v:shape>
            </v:group>
            <v:group style="position:absolute;left:2609;top:14;width:5970;height:2" coordorigin="2609,14" coordsize="5970,2">
              <v:shape style="position:absolute;left:2609;top:14;width:5970;height:2" coordorigin="2609,14" coordsize="5970,0" path="m2609,14l8579,14e" filled="false" stroked="true" strokeweight="1.44pt" strokecolor="#000000">
                <v:path arrowok="t"/>
              </v:shape>
            </v:group>
          </v:group>
        </w:pict>
      </w:r>
      <w:r>
        <w:rPr>
          <w:rFonts w:ascii="宋体" w:hAnsi="宋体" w:cs="宋体" w:eastAsia="宋体" w:hint="default"/>
          <w:position w:val="0"/>
          <w:sz w:val="2"/>
          <w:szCs w:val="2"/>
        </w:rPr>
      </w:r>
    </w:p>
    <w:p>
      <w:pPr>
        <w:spacing w:after="0" w:line="28" w:lineRule="exact"/>
        <w:rPr>
          <w:rFonts w:ascii="宋体" w:hAnsi="宋体" w:cs="宋体" w:eastAsia="宋体" w:hint="default"/>
          <w:sz w:val="2"/>
          <w:szCs w:val="2"/>
        </w:rPr>
        <w:sectPr>
          <w:pgSz w:w="11910" w:h="16840"/>
          <w:pgMar w:header="645" w:footer="816" w:top="1080" w:bottom="1000" w:left="1500" w:right="1500"/>
        </w:sectPr>
      </w:pPr>
    </w:p>
    <w:p>
      <w:pPr>
        <w:spacing w:before="145"/>
        <w:ind w:left="202" w:right="0" w:firstLine="0"/>
        <w:jc w:val="left"/>
        <w:rPr>
          <w:rFonts w:ascii="宋体" w:hAnsi="宋体" w:cs="宋体" w:eastAsia="宋体" w:hint="default"/>
          <w:sz w:val="18"/>
          <w:szCs w:val="18"/>
        </w:rPr>
      </w:pPr>
      <w:r>
        <w:rPr>
          <w:rFonts w:ascii="宋体" w:hAnsi="宋体" w:cs="宋体" w:eastAsia="宋体" w:hint="default"/>
          <w:b/>
          <w:bCs/>
          <w:w w:val="95"/>
          <w:sz w:val="18"/>
          <w:szCs w:val="18"/>
        </w:rPr>
        <w:t>子公司名称</w:t>
      </w:r>
      <w:r>
        <w:rPr>
          <w:rFonts w:ascii="宋体" w:hAnsi="宋体" w:cs="宋体" w:eastAsia="宋体" w:hint="default"/>
          <w:sz w:val="18"/>
          <w:szCs w:val="18"/>
        </w:rPr>
      </w:r>
    </w:p>
    <w:p>
      <w:pPr>
        <w:spacing w:before="23"/>
        <w:ind w:left="0" w:right="423" w:firstLine="0"/>
        <w:jc w:val="center"/>
        <w:rPr>
          <w:rFonts w:ascii="宋体" w:hAnsi="宋体" w:cs="宋体" w:eastAsia="宋体" w:hint="default"/>
          <w:sz w:val="18"/>
          <w:szCs w:val="18"/>
        </w:rPr>
      </w:pPr>
      <w:r>
        <w:rPr/>
        <w:br w:type="column"/>
      </w:r>
      <w:r>
        <w:rPr>
          <w:rFonts w:ascii="宋体" w:hAnsi="宋体" w:cs="宋体" w:eastAsia="宋体" w:hint="default"/>
          <w:b/>
          <w:bCs/>
          <w:sz w:val="18"/>
          <w:szCs w:val="18"/>
        </w:rPr>
        <w:t>上年发生额</w:t>
      </w:r>
      <w:r>
        <w:rPr>
          <w:rFonts w:ascii="宋体" w:hAnsi="宋体" w:cs="宋体" w:eastAsia="宋体" w:hint="default"/>
          <w:sz w:val="18"/>
          <w:szCs w:val="18"/>
        </w:rPr>
      </w:r>
    </w:p>
    <w:p>
      <w:pPr>
        <w:spacing w:line="240" w:lineRule="auto" w:before="1"/>
        <w:rPr>
          <w:rFonts w:ascii="宋体" w:hAnsi="宋体" w:cs="宋体" w:eastAsia="宋体" w:hint="default"/>
          <w:b/>
          <w:bCs/>
          <w:sz w:val="2"/>
          <w:szCs w:val="2"/>
        </w:rPr>
      </w:pPr>
    </w:p>
    <w:p>
      <w:pPr>
        <w:spacing w:line="20" w:lineRule="exact"/>
        <w:ind w:left="-262" w:right="0" w:firstLine="0"/>
        <w:rPr>
          <w:rFonts w:ascii="宋体" w:hAnsi="宋体" w:cs="宋体" w:eastAsia="宋体" w:hint="default"/>
          <w:sz w:val="2"/>
          <w:szCs w:val="2"/>
        </w:rPr>
      </w:pPr>
      <w:r>
        <w:rPr>
          <w:rFonts w:ascii="宋体" w:hAnsi="宋体" w:cs="宋体" w:eastAsia="宋体" w:hint="default"/>
          <w:sz w:val="2"/>
          <w:szCs w:val="2"/>
        </w:rPr>
        <w:pict>
          <v:group style="width:300.45pt;height:.5pt;mso-position-horizontal-relative:char;mso-position-vertical-relative:line" coordorigin="0,0" coordsize="6009,10">
            <v:group style="position:absolute;left:5;top:5;width:2000;height:2" coordorigin="5,5" coordsize="2000,2">
              <v:shape style="position:absolute;left:5;top:5;width:2000;height:2" coordorigin="5,5" coordsize="2000,0" path="m5,5l2004,5e" filled="false" stroked="true" strokeweight=".48004pt" strokecolor="#000000">
                <v:path arrowok="t"/>
              </v:shape>
            </v:group>
            <v:group style="position:absolute;left:2004;top:5;width:10;height:2" coordorigin="2004,5" coordsize="10,2">
              <v:shape style="position:absolute;left:2004;top:5;width:10;height:2" coordorigin="2004,5" coordsize="10,0" path="m2004,5l2014,5e" filled="false" stroked="true" strokeweight=".48004pt" strokecolor="#000000">
                <v:path arrowok="t"/>
              </v:shape>
            </v:group>
            <v:group style="position:absolute;left:2014;top:5;width:1990;height:2" coordorigin="2014,5" coordsize="1990,2">
              <v:shape style="position:absolute;left:2014;top:5;width:1990;height:2" coordorigin="2014,5" coordsize="1990,0" path="m2014,5l4004,5e" filled="false" stroked="true" strokeweight=".48004pt" strokecolor="#000000">
                <v:path arrowok="t"/>
              </v:shape>
            </v:group>
            <v:group style="position:absolute;left:4004;top:5;width:10;height:2" coordorigin="4004,5" coordsize="10,2">
              <v:shape style="position:absolute;left:4004;top:5;width:10;height:2" coordorigin="4004,5" coordsize="10,0" path="m4004,5l4013,5e" filled="false" stroked="true" strokeweight=".48004pt" strokecolor="#000000">
                <v:path arrowok="t"/>
              </v:shape>
            </v:group>
            <v:group style="position:absolute;left:4013;top:5;width:1991;height:2" coordorigin="4013,5" coordsize="1991,2">
              <v:shape style="position:absolute;left:4013;top:5;width:1991;height:2" coordorigin="4013,5" coordsize="1991,0" path="m4013,5l6003,5e" filled="false" stroked="true" strokeweight=".48004pt" strokecolor="#000000">
                <v:path arrowok="t"/>
              </v:shape>
            </v:group>
          </v:group>
        </w:pict>
      </w:r>
      <w:r>
        <w:rPr>
          <w:rFonts w:ascii="宋体" w:hAnsi="宋体" w:cs="宋体" w:eastAsia="宋体" w:hint="default"/>
          <w:sz w:val="2"/>
          <w:szCs w:val="2"/>
        </w:rPr>
      </w:r>
    </w:p>
    <w:p>
      <w:pPr>
        <w:tabs>
          <w:tab w:pos="1997" w:val="left" w:leader="none"/>
          <w:tab w:pos="4176" w:val="left" w:leader="none"/>
        </w:tabs>
        <w:spacing w:before="12"/>
        <w:ind w:left="0" w:right="607" w:firstLine="0"/>
        <w:jc w:val="center"/>
        <w:rPr>
          <w:rFonts w:ascii="宋体" w:hAnsi="宋体" w:cs="宋体" w:eastAsia="宋体" w:hint="default"/>
          <w:sz w:val="18"/>
          <w:szCs w:val="18"/>
        </w:rPr>
      </w:pPr>
      <w:r>
        <w:rPr>
          <w:rFonts w:ascii="宋体" w:hAnsi="宋体" w:cs="宋体" w:eastAsia="宋体" w:hint="default"/>
          <w:b/>
          <w:bCs/>
          <w:w w:val="95"/>
          <w:sz w:val="18"/>
          <w:szCs w:val="18"/>
        </w:rPr>
        <w:t>主营营业收入</w:t>
        <w:tab/>
        <w:t>主营业务成本</w:t>
        <w:tab/>
      </w:r>
      <w:r>
        <w:rPr>
          <w:rFonts w:ascii="宋体" w:hAnsi="宋体" w:cs="宋体" w:eastAsia="宋体" w:hint="default"/>
          <w:b/>
          <w:bCs/>
          <w:sz w:val="18"/>
          <w:szCs w:val="18"/>
        </w:rPr>
        <w:t>利润总额</w:t>
      </w:r>
      <w:r>
        <w:rPr>
          <w:rFonts w:ascii="宋体" w:hAnsi="宋体" w:cs="宋体" w:eastAsia="宋体" w:hint="default"/>
          <w:sz w:val="18"/>
          <w:szCs w:val="18"/>
        </w:rPr>
      </w:r>
    </w:p>
    <w:p>
      <w:pPr>
        <w:spacing w:after="0"/>
        <w:jc w:val="center"/>
        <w:rPr>
          <w:rFonts w:ascii="宋体" w:hAnsi="宋体" w:cs="宋体" w:eastAsia="宋体" w:hint="default"/>
          <w:sz w:val="18"/>
          <w:szCs w:val="18"/>
        </w:rPr>
        <w:sectPr>
          <w:type w:val="continuous"/>
          <w:pgSz w:w="11910" w:h="16840"/>
          <w:pgMar w:top="1020" w:bottom="280" w:left="1500" w:right="1500"/>
          <w:cols w:num="2" w:equalWidth="0">
            <w:col w:w="1105" w:space="1891"/>
            <w:col w:w="5914"/>
          </w:cols>
        </w:sectPr>
      </w:pPr>
    </w:p>
    <w:p>
      <w:pPr>
        <w:spacing w:line="240" w:lineRule="auto" w:before="4"/>
        <w:rPr>
          <w:rFonts w:ascii="宋体" w:hAnsi="宋体" w:cs="宋体" w:eastAsia="宋体" w:hint="default"/>
          <w:b/>
          <w:bCs/>
          <w:sz w:val="2"/>
          <w:szCs w:val="2"/>
        </w:rPr>
      </w:pPr>
      <w:r>
        <w:rPr/>
        <w:pict>
          <v:group style="position:absolute;margin-left:81.503998pt;margin-top:458.829987pt;width:432.8pt;height:1.45pt;mso-position-horizontal-relative:page;mso-position-vertical-relative:page;z-index:-1196800" coordorigin="1630,9177" coordsize="8656,29">
            <v:group style="position:absolute;left:1644;top:9191;width:2022;height:2" coordorigin="1644,9191" coordsize="2022,2">
              <v:shape style="position:absolute;left:1644;top:9191;width:2022;height:2" coordorigin="1644,9191" coordsize="2022,0" path="m1644,9191l3666,9191e" filled="false" stroked="true" strokeweight="1.44pt" strokecolor="#000000">
                <v:path arrowok="t"/>
              </v:shape>
            </v:group>
            <v:group style="position:absolute;left:3666;top:9191;width:29;height:2" coordorigin="3666,9191" coordsize="29,2">
              <v:shape style="position:absolute;left:3666;top:9191;width:29;height:2" coordorigin="3666,9191" coordsize="29,0" path="m3666,9191l3695,9191e" filled="false" stroked="true" strokeweight="1.44pt" strokecolor="#000000">
                <v:path arrowok="t"/>
              </v:shape>
            </v:group>
            <v:group style="position:absolute;left:3695;top:9191;width:6577;height:2" coordorigin="3695,9191" coordsize="6577,2">
              <v:shape style="position:absolute;left:3695;top:9191;width:6577;height:2" coordorigin="3695,9191" coordsize="6577,0" path="m3695,9191l10272,9191e" filled="false" stroked="true" strokeweight="1.44pt" strokecolor="#000000">
                <v:path arrowok="t"/>
              </v:shape>
            </v:group>
            <w10:wrap type="none"/>
          </v:group>
        </w:pict>
      </w:r>
      <w:r>
        <w:rPr/>
        <w:pict>
          <v:group style="position:absolute;margin-left:183.049988pt;margin-top:474.549988pt;width:330.8pt;height:.5pt;mso-position-horizontal-relative:page;mso-position-vertical-relative:page;z-index:-1196776" coordorigin="3661,9491" coordsize="6616,10">
            <v:group style="position:absolute;left:3666;top:9496;width:1102;height:2" coordorigin="3666,9496" coordsize="1102,2">
              <v:shape style="position:absolute;left:3666;top:9496;width:1102;height:2" coordorigin="3666,9496" coordsize="1102,0" path="m3666,9496l4767,9496e" filled="false" stroked="true" strokeweight=".48001pt" strokecolor="#000000">
                <v:path arrowok="t"/>
              </v:shape>
            </v:group>
            <v:group style="position:absolute;left:4767;top:9496;width:10;height:2" coordorigin="4767,9496" coordsize="10,2">
              <v:shape style="position:absolute;left:4767;top:9496;width:10;height:2" coordorigin="4767,9496" coordsize="10,0" path="m4767,9496l4777,9496e" filled="false" stroked="true" strokeweight=".48001pt" strokecolor="#000000">
                <v:path arrowok="t"/>
              </v:shape>
            </v:group>
            <v:group style="position:absolute;left:4777;top:9496;width:1090;height:2" coordorigin="4777,9496" coordsize="1090,2">
              <v:shape style="position:absolute;left:4777;top:9496;width:1090;height:2" coordorigin="4777,9496" coordsize="1090,0" path="m4777,9496l5867,9496e" filled="false" stroked="true" strokeweight=".48001pt" strokecolor="#000000">
                <v:path arrowok="t"/>
              </v:shape>
            </v:group>
            <v:group style="position:absolute;left:5867;top:9496;width:10;height:2" coordorigin="5867,9496" coordsize="10,2">
              <v:shape style="position:absolute;left:5867;top:9496;width:10;height:2" coordorigin="5867,9496" coordsize="10,0" path="m5867,9496l5876,9496e" filled="false" stroked="true" strokeweight=".48001pt" strokecolor="#000000">
                <v:path arrowok="t"/>
              </v:shape>
            </v:group>
            <v:group style="position:absolute;left:5876;top:9496;width:1091;height:2" coordorigin="5876,9496" coordsize="1091,2">
              <v:shape style="position:absolute;left:5876;top:9496;width:1091;height:2" coordorigin="5876,9496" coordsize="1091,0" path="m5876,9496l6966,9496e" filled="false" stroked="true" strokeweight=".48001pt" strokecolor="#000000">
                <v:path arrowok="t"/>
              </v:shape>
            </v:group>
            <v:group style="position:absolute;left:6966;top:9496;width:10;height:2" coordorigin="6966,9496" coordsize="10,2">
              <v:shape style="position:absolute;left:6966;top:9496;width:10;height:2" coordorigin="6966,9496" coordsize="10,0" path="m6966,9496l6976,9496e" filled="false" stroked="true" strokeweight=".48001pt" strokecolor="#000000">
                <v:path arrowok="t"/>
              </v:shape>
            </v:group>
            <v:group style="position:absolute;left:6976;top:9496;width:1088;height:2" coordorigin="6976,9496" coordsize="1088,2">
              <v:shape style="position:absolute;left:6976;top:9496;width:1088;height:2" coordorigin="6976,9496" coordsize="1088,0" path="m6976,9496l8063,9496e" filled="false" stroked="true" strokeweight=".48001pt" strokecolor="#000000">
                <v:path arrowok="t"/>
              </v:shape>
            </v:group>
            <v:group style="position:absolute;left:8063;top:9496;width:10;height:2" coordorigin="8063,9496" coordsize="10,2">
              <v:shape style="position:absolute;left:8063;top:9496;width:10;height:2" coordorigin="8063,9496" coordsize="10,0" path="m8063,9496l8073,9496e" filled="false" stroked="true" strokeweight=".48001pt" strokecolor="#000000">
                <v:path arrowok="t"/>
              </v:shape>
            </v:group>
            <v:group style="position:absolute;left:8073;top:9496;width:1091;height:2" coordorigin="8073,9496" coordsize="1091,2">
              <v:shape style="position:absolute;left:8073;top:9496;width:1091;height:2" coordorigin="8073,9496" coordsize="1091,0" path="m8073,9496l9163,9496e" filled="false" stroked="true" strokeweight=".48001pt" strokecolor="#000000">
                <v:path arrowok="t"/>
              </v:shape>
            </v:group>
            <v:group style="position:absolute;left:9163;top:9496;width:10;height:2" coordorigin="9163,9496" coordsize="10,2">
              <v:shape style="position:absolute;left:9163;top:9496;width:10;height:2" coordorigin="9163,9496" coordsize="10,0" path="m9163,9496l9172,9496e" filled="false" stroked="true" strokeweight=".48001pt" strokecolor="#000000">
                <v:path arrowok="t"/>
              </v:shape>
            </v:group>
            <v:group style="position:absolute;left:9172;top:9496;width:1100;height:2" coordorigin="9172,9496" coordsize="1100,2">
              <v:shape style="position:absolute;left:9172;top:9496;width:1100;height:2" coordorigin="9172,9496" coordsize="1100,0" path="m9172,9496l10272,9496e" filled="false" stroked="true" strokeweight=".48001pt" strokecolor="#000000">
                <v:path arrowok="t"/>
              </v:shape>
            </v:group>
            <w10:wrap type="none"/>
          </v:group>
        </w:pict>
      </w:r>
    </w:p>
    <w:p>
      <w:pPr>
        <w:spacing w:line="20" w:lineRule="exact"/>
        <w:ind w:left="168" w:right="0" w:firstLine="0"/>
        <w:rPr>
          <w:rFonts w:ascii="宋体" w:hAnsi="宋体" w:cs="宋体" w:eastAsia="宋体" w:hint="default"/>
          <w:sz w:val="2"/>
          <w:szCs w:val="2"/>
        </w:rPr>
      </w:pPr>
      <w:r>
        <w:rPr>
          <w:rFonts w:ascii="宋体" w:hAnsi="宋体" w:cs="宋体" w:eastAsia="宋体" w:hint="default"/>
          <w:sz w:val="2"/>
          <w:szCs w:val="2"/>
        </w:rPr>
        <w:pict>
          <v:group style="width:428.75pt;height:.5pt;mso-position-horizontal-relative:char;mso-position-vertical-relative:line" coordorigin="0,0" coordsize="8575,10">
            <v:group style="position:absolute;left:5;top:5;width:2566;height:2" coordorigin="5,5" coordsize="2566,2">
              <v:shape style="position:absolute;left:5;top:5;width:2566;height:2" coordorigin="5,5" coordsize="2566,0" path="m5,5l2571,5e" filled="false" stroked="true" strokeweight=".48004pt" strokecolor="#000000">
                <v:path arrowok="t"/>
              </v:shape>
            </v:group>
            <v:group style="position:absolute;left:2571;top:5;width:10;height:2" coordorigin="2571,5" coordsize="10,2">
              <v:shape style="position:absolute;left:2571;top:5;width:10;height:2" coordorigin="2571,5" coordsize="10,0" path="m2571,5l2581,5e" filled="false" stroked="true" strokeweight=".48004pt" strokecolor="#000000">
                <v:path arrowok="t"/>
              </v:shape>
            </v:group>
            <v:group style="position:absolute;left:2581;top:5;width:1991;height:2" coordorigin="2581,5" coordsize="1991,2">
              <v:shape style="position:absolute;left:2581;top:5;width:1991;height:2" coordorigin="2581,5" coordsize="1991,0" path="m2581,5l4571,5e" filled="false" stroked="true" strokeweight=".48004pt" strokecolor="#000000">
                <v:path arrowok="t"/>
              </v:shape>
            </v:group>
            <v:group style="position:absolute;left:4571;top:5;width:10;height:2" coordorigin="4571,5" coordsize="10,2">
              <v:shape style="position:absolute;left:4571;top:5;width:10;height:2" coordorigin="4571,5" coordsize="10,0" path="m4571,5l4580,5e" filled="false" stroked="true" strokeweight=".48004pt" strokecolor="#000000">
                <v:path arrowok="t"/>
              </v:shape>
            </v:group>
            <v:group style="position:absolute;left:4580;top:5;width:1990;height:2" coordorigin="4580,5" coordsize="1990,2">
              <v:shape style="position:absolute;left:4580;top:5;width:1990;height:2" coordorigin="4580,5" coordsize="1990,0" path="m4580,5l6570,5e" filled="false" stroked="true" strokeweight=".48004pt" strokecolor="#000000">
                <v:path arrowok="t"/>
              </v:shape>
            </v:group>
            <v:group style="position:absolute;left:6570;top:5;width:10;height:2" coordorigin="6570,5" coordsize="10,2">
              <v:shape style="position:absolute;left:6570;top:5;width:10;height:2" coordorigin="6570,5" coordsize="10,0" path="m6570,5l6579,5e" filled="false" stroked="true" strokeweight=".48004pt" strokecolor="#000000">
                <v:path arrowok="t"/>
              </v:shape>
            </v:group>
            <v:group style="position:absolute;left:6579;top:5;width:1991;height:2" coordorigin="6579,5" coordsize="1991,2">
              <v:shape style="position:absolute;left:6579;top:5;width:1991;height:2" coordorigin="6579,5" coordsize="1991,0" path="m6579,5l8569,5e" filled="false" stroked="true" strokeweight=".48004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1910" w:h="16840"/>
          <w:pgMar w:top="1020" w:bottom="280" w:left="1500" w:right="1500"/>
        </w:sectPr>
      </w:pPr>
    </w:p>
    <w:p>
      <w:pPr>
        <w:spacing w:line="240" w:lineRule="auto" w:before="7"/>
        <w:rPr>
          <w:rFonts w:ascii="宋体" w:hAnsi="宋体" w:cs="宋体" w:eastAsia="宋体" w:hint="default"/>
          <w:b/>
          <w:bCs/>
          <w:sz w:val="27"/>
          <w:szCs w:val="27"/>
        </w:rPr>
      </w:pPr>
    </w:p>
    <w:tbl>
      <w:tblPr>
        <w:tblW w:w="0" w:type="auto"/>
        <w:jc w:val="left"/>
        <w:tblInd w:w="158" w:type="dxa"/>
        <w:tblLayout w:type="fixed"/>
        <w:tblCellMar>
          <w:top w:w="0" w:type="dxa"/>
          <w:left w:w="0" w:type="dxa"/>
          <w:bottom w:w="0" w:type="dxa"/>
          <w:right w:w="0" w:type="dxa"/>
        </w:tblCellMar>
        <w:tblLook w:val="01E0"/>
      </w:tblPr>
      <w:tblGrid>
        <w:gridCol w:w="2581"/>
        <w:gridCol w:w="2214"/>
        <w:gridCol w:w="2088"/>
        <w:gridCol w:w="1696"/>
      </w:tblGrid>
      <w:tr>
        <w:trPr>
          <w:trHeight w:val="307" w:hRule="exact"/>
        </w:trPr>
        <w:tc>
          <w:tcPr>
            <w:tcW w:w="2581" w:type="dxa"/>
            <w:vMerge w:val="restart"/>
            <w:tcBorders>
              <w:top w:val="single" w:sz="12" w:space="0" w:color="000000"/>
              <w:left w:val="nil" w:sz="6" w:space="0" w:color="auto"/>
              <w:right w:val="nil" w:sz="6" w:space="0" w:color="auto"/>
            </w:tcBorders>
          </w:tcPr>
          <w:p>
            <w:pPr>
              <w:pStyle w:val="TableParagraph"/>
              <w:spacing w:line="240" w:lineRule="auto" w:before="145"/>
              <w:ind w:left="43"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2214" w:type="dxa"/>
            <w:tcBorders>
              <w:top w:val="single" w:sz="12" w:space="0" w:color="000000"/>
              <w:left w:val="nil" w:sz="6" w:space="0" w:color="auto"/>
              <w:bottom w:val="single" w:sz="4" w:space="0" w:color="000000"/>
              <w:right w:val="nil" w:sz="6" w:space="0" w:color="auto"/>
            </w:tcBorders>
          </w:tcPr>
          <w:p>
            <w:pPr/>
          </w:p>
        </w:tc>
        <w:tc>
          <w:tcPr>
            <w:tcW w:w="208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335"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c>
          <w:tcPr>
            <w:tcW w:w="1696" w:type="dxa"/>
            <w:tcBorders>
              <w:top w:val="single" w:sz="12" w:space="0" w:color="000000"/>
              <w:left w:val="nil" w:sz="6" w:space="0" w:color="auto"/>
              <w:bottom w:val="single" w:sz="4" w:space="0" w:color="000000"/>
              <w:right w:val="nil" w:sz="6" w:space="0" w:color="auto"/>
            </w:tcBorders>
          </w:tcPr>
          <w:p>
            <w:pPr/>
          </w:p>
        </w:tc>
      </w:tr>
      <w:tr>
        <w:trPr>
          <w:trHeight w:val="296" w:hRule="exact"/>
        </w:trPr>
        <w:tc>
          <w:tcPr>
            <w:tcW w:w="2581" w:type="dxa"/>
            <w:vMerge/>
            <w:tcBorders>
              <w:left w:val="nil" w:sz="6" w:space="0" w:color="auto"/>
              <w:bottom w:val="single" w:sz="4" w:space="0" w:color="000000"/>
              <w:right w:val="nil" w:sz="6" w:space="0" w:color="auto"/>
            </w:tcBorders>
          </w:tcPr>
          <w:p>
            <w:pPr/>
          </w:p>
        </w:tc>
        <w:tc>
          <w:tcPr>
            <w:tcW w:w="2214"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458" w:right="0"/>
              <w:jc w:val="left"/>
              <w:rPr>
                <w:rFonts w:ascii="宋体" w:hAnsi="宋体" w:cs="宋体" w:eastAsia="宋体" w:hint="default"/>
                <w:sz w:val="18"/>
                <w:szCs w:val="18"/>
              </w:rPr>
            </w:pPr>
            <w:r>
              <w:rPr>
                <w:rFonts w:ascii="宋体" w:hAnsi="宋体" w:cs="宋体" w:eastAsia="宋体" w:hint="default"/>
                <w:b/>
                <w:bCs/>
                <w:sz w:val="18"/>
                <w:szCs w:val="18"/>
              </w:rPr>
              <w:t>主营营业收入</w:t>
            </w:r>
            <w:r>
              <w:rPr>
                <w:rFonts w:ascii="宋体" w:hAnsi="宋体" w:cs="宋体" w:eastAsia="宋体" w:hint="default"/>
                <w:sz w:val="18"/>
                <w:szCs w:val="18"/>
              </w:rPr>
            </w:r>
          </w:p>
        </w:tc>
        <w:tc>
          <w:tcPr>
            <w:tcW w:w="2088"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241" w:right="0"/>
              <w:jc w:val="left"/>
              <w:rPr>
                <w:rFonts w:ascii="宋体" w:hAnsi="宋体" w:cs="宋体" w:eastAsia="宋体" w:hint="default"/>
                <w:sz w:val="18"/>
                <w:szCs w:val="18"/>
              </w:rPr>
            </w:pPr>
            <w:r>
              <w:rPr>
                <w:rFonts w:ascii="宋体" w:hAnsi="宋体" w:cs="宋体" w:eastAsia="宋体" w:hint="default"/>
                <w:b/>
                <w:bCs/>
                <w:sz w:val="18"/>
                <w:szCs w:val="18"/>
              </w:rPr>
              <w:t>主营业务成本</w:t>
            </w:r>
            <w:r>
              <w:rPr>
                <w:rFonts w:ascii="宋体" w:hAnsi="宋体" w:cs="宋体" w:eastAsia="宋体" w:hint="default"/>
                <w:sz w:val="18"/>
                <w:szCs w:val="18"/>
              </w:rPr>
            </w:r>
          </w:p>
        </w:tc>
        <w:tc>
          <w:tcPr>
            <w:tcW w:w="1696"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332" w:right="0"/>
              <w:jc w:val="left"/>
              <w:rPr>
                <w:rFonts w:ascii="宋体" w:hAnsi="宋体" w:cs="宋体" w:eastAsia="宋体" w:hint="default"/>
                <w:sz w:val="18"/>
                <w:szCs w:val="18"/>
              </w:rPr>
            </w:pPr>
            <w:r>
              <w:rPr>
                <w:rFonts w:ascii="宋体" w:hAnsi="宋体" w:cs="宋体" w:eastAsia="宋体" w:hint="default"/>
                <w:b/>
                <w:bCs/>
                <w:sz w:val="18"/>
                <w:szCs w:val="18"/>
              </w:rPr>
              <w:t>利润总额</w:t>
            </w:r>
            <w:r>
              <w:rPr>
                <w:rFonts w:ascii="宋体" w:hAnsi="宋体" w:cs="宋体" w:eastAsia="宋体" w:hint="default"/>
                <w:sz w:val="18"/>
                <w:szCs w:val="18"/>
              </w:rPr>
            </w:r>
          </w:p>
        </w:tc>
      </w:tr>
      <w:tr>
        <w:trPr>
          <w:trHeight w:val="323" w:hRule="exact"/>
        </w:trPr>
        <w:tc>
          <w:tcPr>
            <w:tcW w:w="2581"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43" w:right="0"/>
              <w:jc w:val="left"/>
              <w:rPr>
                <w:rFonts w:ascii="宋体" w:hAnsi="宋体" w:cs="宋体" w:eastAsia="宋体" w:hint="default"/>
                <w:sz w:val="18"/>
                <w:szCs w:val="18"/>
              </w:rPr>
            </w:pPr>
            <w:r>
              <w:rPr>
                <w:rFonts w:ascii="宋体" w:hAnsi="宋体" w:cs="宋体" w:eastAsia="宋体" w:hint="default"/>
                <w:sz w:val="18"/>
                <w:szCs w:val="18"/>
              </w:rPr>
              <w:t>龙江环保集团股份有限公司</w:t>
            </w:r>
          </w:p>
        </w:tc>
        <w:tc>
          <w:tcPr>
            <w:tcW w:w="2214"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39"/>
              <w:jc w:val="right"/>
              <w:rPr>
                <w:rFonts w:ascii="Times New Roman" w:hAnsi="Times New Roman" w:cs="Times New Roman" w:eastAsia="Times New Roman" w:hint="default"/>
                <w:sz w:val="18"/>
                <w:szCs w:val="18"/>
              </w:rPr>
            </w:pPr>
            <w:r>
              <w:rPr>
                <w:rFonts w:ascii="Times New Roman"/>
                <w:spacing w:val="-1"/>
                <w:sz w:val="18"/>
              </w:rPr>
              <w:t>635,880,448.22</w:t>
            </w:r>
          </w:p>
        </w:tc>
        <w:tc>
          <w:tcPr>
            <w:tcW w:w="2088"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330"/>
              <w:jc w:val="right"/>
              <w:rPr>
                <w:rFonts w:ascii="Times New Roman" w:hAnsi="Times New Roman" w:cs="Times New Roman" w:eastAsia="Times New Roman" w:hint="default"/>
                <w:sz w:val="18"/>
                <w:szCs w:val="18"/>
              </w:rPr>
            </w:pPr>
            <w:r>
              <w:rPr>
                <w:rFonts w:ascii="Times New Roman"/>
                <w:spacing w:val="-1"/>
                <w:sz w:val="18"/>
              </w:rPr>
              <w:t>333,814,482.07</w:t>
            </w:r>
          </w:p>
        </w:tc>
        <w:tc>
          <w:tcPr>
            <w:tcW w:w="1696"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6"/>
              <w:jc w:val="right"/>
              <w:rPr>
                <w:rFonts w:ascii="Times New Roman" w:hAnsi="Times New Roman" w:cs="Times New Roman" w:eastAsia="Times New Roman" w:hint="default"/>
                <w:sz w:val="18"/>
                <w:szCs w:val="18"/>
              </w:rPr>
            </w:pPr>
            <w:r>
              <w:rPr>
                <w:rFonts w:ascii="Times New Roman"/>
                <w:spacing w:val="-1"/>
                <w:sz w:val="18"/>
              </w:rPr>
              <w:t>92,123,150.62</w:t>
            </w:r>
          </w:p>
        </w:tc>
      </w:tr>
      <w:tr>
        <w:trPr>
          <w:trHeight w:val="286" w:hRule="exact"/>
        </w:trPr>
        <w:tc>
          <w:tcPr>
            <w:tcW w:w="2581" w:type="dxa"/>
            <w:tcBorders>
              <w:top w:val="nil" w:sz="6" w:space="0" w:color="auto"/>
              <w:left w:val="nil" w:sz="6" w:space="0" w:color="auto"/>
              <w:bottom w:val="nil" w:sz="6" w:space="0" w:color="auto"/>
              <w:right w:val="nil" w:sz="6" w:space="0" w:color="auto"/>
            </w:tcBorders>
          </w:tcPr>
          <w:p>
            <w:pPr>
              <w:pStyle w:val="TableParagraph"/>
              <w:spacing w:line="223" w:lineRule="exact"/>
              <w:ind w:left="43" w:right="0"/>
              <w:jc w:val="left"/>
              <w:rPr>
                <w:rFonts w:ascii="宋体" w:hAnsi="宋体" w:cs="宋体" w:eastAsia="宋体" w:hint="default"/>
                <w:sz w:val="18"/>
                <w:szCs w:val="18"/>
              </w:rPr>
            </w:pPr>
            <w:r>
              <w:rPr>
                <w:rFonts w:ascii="宋体" w:hAnsi="宋体" w:cs="宋体" w:eastAsia="宋体" w:hint="default"/>
                <w:sz w:val="18"/>
                <w:szCs w:val="18"/>
              </w:rPr>
              <w:t>同方泰德国际科技有限公司</w:t>
            </w:r>
          </w:p>
        </w:tc>
        <w:tc>
          <w:tcPr>
            <w:tcW w:w="22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9"/>
              <w:jc w:val="right"/>
              <w:rPr>
                <w:rFonts w:ascii="Times New Roman" w:hAnsi="Times New Roman" w:cs="Times New Roman" w:eastAsia="Times New Roman" w:hint="default"/>
                <w:sz w:val="18"/>
                <w:szCs w:val="18"/>
              </w:rPr>
            </w:pPr>
            <w:r>
              <w:rPr>
                <w:rFonts w:ascii="Times New Roman"/>
                <w:spacing w:val="-1"/>
                <w:sz w:val="18"/>
              </w:rPr>
              <w:t>1,310,602,552.79</w:t>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0"/>
              <w:jc w:val="right"/>
              <w:rPr>
                <w:rFonts w:ascii="Times New Roman" w:hAnsi="Times New Roman" w:cs="Times New Roman" w:eastAsia="Times New Roman" w:hint="default"/>
                <w:sz w:val="18"/>
                <w:szCs w:val="18"/>
              </w:rPr>
            </w:pPr>
            <w:r>
              <w:rPr>
                <w:rFonts w:ascii="Times New Roman"/>
                <w:spacing w:val="-1"/>
                <w:sz w:val="18"/>
              </w:rPr>
              <w:t>856,612,469.66</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Times New Roman" w:hAnsi="Times New Roman" w:cs="Times New Roman" w:eastAsia="Times New Roman" w:hint="default"/>
                <w:sz w:val="18"/>
                <w:szCs w:val="18"/>
              </w:rPr>
            </w:pPr>
            <w:r>
              <w:rPr>
                <w:rFonts w:ascii="Times New Roman"/>
                <w:spacing w:val="-1"/>
                <w:sz w:val="18"/>
              </w:rPr>
              <w:t>217,594,387.90</w:t>
            </w:r>
          </w:p>
        </w:tc>
      </w:tr>
      <w:tr>
        <w:trPr>
          <w:trHeight w:val="284" w:hRule="exact"/>
        </w:trPr>
        <w:tc>
          <w:tcPr>
            <w:tcW w:w="2581" w:type="dxa"/>
            <w:tcBorders>
              <w:top w:val="nil" w:sz="6" w:space="0" w:color="auto"/>
              <w:left w:val="nil" w:sz="6" w:space="0" w:color="auto"/>
              <w:bottom w:val="nil" w:sz="6" w:space="0" w:color="auto"/>
              <w:right w:val="nil" w:sz="6" w:space="0" w:color="auto"/>
            </w:tcBorders>
          </w:tcPr>
          <w:p>
            <w:pPr>
              <w:pStyle w:val="TableParagraph"/>
              <w:spacing w:line="223" w:lineRule="exact"/>
              <w:ind w:left="43" w:right="0"/>
              <w:jc w:val="left"/>
              <w:rPr>
                <w:rFonts w:ascii="宋体" w:hAnsi="宋体" w:cs="宋体" w:eastAsia="宋体" w:hint="default"/>
                <w:sz w:val="18"/>
                <w:szCs w:val="18"/>
              </w:rPr>
            </w:pPr>
            <w:r>
              <w:rPr>
                <w:rFonts w:ascii="宋体" w:hAnsi="宋体" w:cs="宋体" w:eastAsia="宋体" w:hint="default"/>
                <w:sz w:val="18"/>
                <w:szCs w:val="18"/>
              </w:rPr>
              <w:t>同方国芯电子股份有限公司</w:t>
            </w:r>
          </w:p>
        </w:tc>
        <w:tc>
          <w:tcPr>
            <w:tcW w:w="22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39"/>
              <w:jc w:val="right"/>
              <w:rPr>
                <w:rFonts w:ascii="Times New Roman" w:hAnsi="Times New Roman" w:cs="Times New Roman" w:eastAsia="Times New Roman" w:hint="default"/>
                <w:sz w:val="18"/>
                <w:szCs w:val="18"/>
              </w:rPr>
            </w:pPr>
            <w:r>
              <w:rPr>
                <w:rFonts w:ascii="Times New Roman"/>
                <w:spacing w:val="-1"/>
                <w:sz w:val="18"/>
              </w:rPr>
              <w:t>1,083,040,436.82</w:t>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0"/>
              <w:jc w:val="right"/>
              <w:rPr>
                <w:rFonts w:ascii="Times New Roman" w:hAnsi="Times New Roman" w:cs="Times New Roman" w:eastAsia="Times New Roman" w:hint="default"/>
                <w:sz w:val="18"/>
                <w:szCs w:val="18"/>
              </w:rPr>
            </w:pPr>
            <w:r>
              <w:rPr>
                <w:rFonts w:ascii="Times New Roman"/>
                <w:spacing w:val="-1"/>
                <w:sz w:val="18"/>
              </w:rPr>
              <w:t>658,452,593.92</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Times New Roman" w:hAnsi="Times New Roman" w:cs="Times New Roman" w:eastAsia="Times New Roman" w:hint="default"/>
                <w:sz w:val="18"/>
                <w:szCs w:val="18"/>
              </w:rPr>
            </w:pPr>
            <w:r>
              <w:rPr>
                <w:rFonts w:ascii="Times New Roman"/>
                <w:spacing w:val="-1"/>
                <w:sz w:val="18"/>
              </w:rPr>
              <w:t>338,243,238.38</w:t>
            </w:r>
          </w:p>
        </w:tc>
      </w:tr>
      <w:tr>
        <w:trPr>
          <w:trHeight w:val="286" w:hRule="exact"/>
        </w:trPr>
        <w:tc>
          <w:tcPr>
            <w:tcW w:w="2581" w:type="dxa"/>
            <w:tcBorders>
              <w:top w:val="nil" w:sz="6" w:space="0" w:color="auto"/>
              <w:left w:val="nil" w:sz="6" w:space="0" w:color="auto"/>
              <w:bottom w:val="nil" w:sz="6" w:space="0" w:color="auto"/>
              <w:right w:val="nil" w:sz="6" w:space="0" w:color="auto"/>
            </w:tcBorders>
          </w:tcPr>
          <w:p>
            <w:pPr>
              <w:pStyle w:val="TableParagraph"/>
              <w:spacing w:line="222" w:lineRule="exact"/>
              <w:ind w:left="43" w:right="0"/>
              <w:jc w:val="left"/>
              <w:rPr>
                <w:rFonts w:ascii="宋体" w:hAnsi="宋体" w:cs="宋体" w:eastAsia="宋体" w:hint="default"/>
                <w:sz w:val="18"/>
                <w:szCs w:val="18"/>
              </w:rPr>
            </w:pPr>
            <w:r>
              <w:rPr>
                <w:rFonts w:ascii="宋体" w:hAnsi="宋体" w:cs="宋体" w:eastAsia="宋体" w:hint="default"/>
                <w:sz w:val="18"/>
                <w:szCs w:val="18"/>
              </w:rPr>
              <w:t>同方友友控股有限公司</w:t>
            </w:r>
          </w:p>
        </w:tc>
        <w:tc>
          <w:tcPr>
            <w:tcW w:w="221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39"/>
              <w:jc w:val="right"/>
              <w:rPr>
                <w:rFonts w:ascii="Times New Roman" w:hAnsi="Times New Roman" w:cs="Times New Roman" w:eastAsia="Times New Roman" w:hint="default"/>
                <w:sz w:val="18"/>
                <w:szCs w:val="18"/>
              </w:rPr>
            </w:pPr>
            <w:r>
              <w:rPr>
                <w:rFonts w:ascii="Times New Roman"/>
                <w:spacing w:val="-1"/>
                <w:sz w:val="18"/>
              </w:rPr>
              <w:t>302,391,397.43</w:t>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0"/>
              <w:jc w:val="right"/>
              <w:rPr>
                <w:rFonts w:ascii="Times New Roman" w:hAnsi="Times New Roman" w:cs="Times New Roman" w:eastAsia="Times New Roman" w:hint="default"/>
                <w:sz w:val="18"/>
                <w:szCs w:val="18"/>
              </w:rPr>
            </w:pPr>
            <w:r>
              <w:rPr>
                <w:rFonts w:ascii="Times New Roman"/>
                <w:spacing w:val="-1"/>
                <w:sz w:val="18"/>
              </w:rPr>
              <w:t>214,672,056.00</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6"/>
              <w:jc w:val="right"/>
              <w:rPr>
                <w:rFonts w:ascii="Times New Roman" w:hAnsi="Times New Roman" w:cs="Times New Roman" w:eastAsia="Times New Roman" w:hint="default"/>
                <w:sz w:val="18"/>
                <w:szCs w:val="18"/>
              </w:rPr>
            </w:pPr>
            <w:r>
              <w:rPr>
                <w:rFonts w:ascii="Times New Roman"/>
                <w:spacing w:val="-1"/>
                <w:sz w:val="18"/>
              </w:rPr>
              <w:t>-4,396,744.31</w:t>
            </w:r>
          </w:p>
        </w:tc>
      </w:tr>
      <w:tr>
        <w:trPr>
          <w:trHeight w:val="266" w:hRule="exact"/>
        </w:trPr>
        <w:tc>
          <w:tcPr>
            <w:tcW w:w="2581" w:type="dxa"/>
            <w:tcBorders>
              <w:top w:val="nil" w:sz="6" w:space="0" w:color="auto"/>
              <w:left w:val="nil" w:sz="6" w:space="0" w:color="auto"/>
              <w:bottom w:val="single" w:sz="12" w:space="0" w:color="000000"/>
              <w:right w:val="nil" w:sz="6" w:space="0" w:color="auto"/>
            </w:tcBorders>
          </w:tcPr>
          <w:p>
            <w:pPr>
              <w:pStyle w:val="TableParagraph"/>
              <w:spacing w:line="222" w:lineRule="exact"/>
              <w:ind w:left="43" w:right="0"/>
              <w:jc w:val="left"/>
              <w:rPr>
                <w:rFonts w:ascii="宋体" w:hAnsi="宋体" w:cs="宋体" w:eastAsia="宋体" w:hint="default"/>
                <w:sz w:val="18"/>
                <w:szCs w:val="18"/>
              </w:rPr>
            </w:pPr>
            <w:r>
              <w:rPr>
                <w:rFonts w:ascii="宋体" w:hAnsi="宋体" w:cs="宋体" w:eastAsia="宋体" w:hint="default"/>
                <w:sz w:val="18"/>
                <w:szCs w:val="18"/>
              </w:rPr>
              <w:t>同方威视技术股份有限公司</w:t>
            </w:r>
          </w:p>
        </w:tc>
        <w:tc>
          <w:tcPr>
            <w:tcW w:w="2214"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right="239"/>
              <w:jc w:val="right"/>
              <w:rPr>
                <w:rFonts w:ascii="Times New Roman" w:hAnsi="Times New Roman" w:cs="Times New Roman" w:eastAsia="Times New Roman" w:hint="default"/>
                <w:sz w:val="18"/>
                <w:szCs w:val="18"/>
              </w:rPr>
            </w:pPr>
            <w:r>
              <w:rPr>
                <w:rFonts w:ascii="Times New Roman"/>
                <w:spacing w:val="-1"/>
                <w:sz w:val="18"/>
              </w:rPr>
              <w:t>3,177,213,899.85</w:t>
            </w:r>
          </w:p>
        </w:tc>
        <w:tc>
          <w:tcPr>
            <w:tcW w:w="2088"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right="331"/>
              <w:jc w:val="right"/>
              <w:rPr>
                <w:rFonts w:ascii="Times New Roman" w:hAnsi="Times New Roman" w:cs="Times New Roman" w:eastAsia="Times New Roman" w:hint="default"/>
                <w:sz w:val="18"/>
                <w:szCs w:val="18"/>
              </w:rPr>
            </w:pPr>
            <w:r>
              <w:rPr>
                <w:rFonts w:ascii="Times New Roman"/>
                <w:spacing w:val="-1"/>
                <w:sz w:val="18"/>
              </w:rPr>
              <w:t>2,119,688,313.58</w:t>
            </w:r>
          </w:p>
        </w:tc>
        <w:tc>
          <w:tcPr>
            <w:tcW w:w="1696"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469,930,607.75</w:t>
            </w:r>
          </w:p>
        </w:tc>
      </w:tr>
    </w:tbl>
    <w:p>
      <w:pPr>
        <w:spacing w:line="266" w:lineRule="exact" w:before="0"/>
        <w:ind w:left="65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在合营企业或联营企业中的权益</w:t>
      </w:r>
    </w:p>
    <w:p>
      <w:pPr>
        <w:spacing w:before="113"/>
        <w:ind w:left="65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合营企业或联营企业</w:t>
      </w:r>
    </w:p>
    <w:p>
      <w:pPr>
        <w:spacing w:line="240" w:lineRule="auto" w:before="11"/>
        <w:rPr>
          <w:rFonts w:ascii="宋体" w:hAnsi="宋体" w:cs="宋体" w:eastAsia="宋体" w:hint="default"/>
          <w:sz w:val="6"/>
          <w:szCs w:val="6"/>
        </w:rPr>
      </w:pPr>
    </w:p>
    <w:tbl>
      <w:tblPr>
        <w:tblW w:w="0" w:type="auto"/>
        <w:jc w:val="left"/>
        <w:tblInd w:w="173" w:type="dxa"/>
        <w:tblLayout w:type="fixed"/>
        <w:tblCellMar>
          <w:top w:w="0" w:type="dxa"/>
          <w:left w:w="0" w:type="dxa"/>
          <w:bottom w:w="0" w:type="dxa"/>
          <w:right w:w="0" w:type="dxa"/>
        </w:tblCellMar>
        <w:tblLook w:val="01E0"/>
      </w:tblPr>
      <w:tblGrid>
        <w:gridCol w:w="2588"/>
        <w:gridCol w:w="790"/>
        <w:gridCol w:w="953"/>
        <w:gridCol w:w="921"/>
        <w:gridCol w:w="3440"/>
      </w:tblGrid>
      <w:tr>
        <w:trPr>
          <w:trHeight w:val="305" w:hRule="exact"/>
        </w:trPr>
        <w:tc>
          <w:tcPr>
            <w:tcW w:w="2588"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28" w:right="0"/>
              <w:jc w:val="left"/>
              <w:rPr>
                <w:rFonts w:ascii="宋体" w:hAnsi="宋体" w:cs="宋体" w:eastAsia="宋体" w:hint="default"/>
                <w:sz w:val="16"/>
                <w:szCs w:val="16"/>
              </w:rPr>
            </w:pPr>
            <w:r>
              <w:rPr>
                <w:rFonts w:ascii="宋体" w:hAnsi="宋体" w:cs="宋体" w:eastAsia="宋体" w:hint="default"/>
                <w:b/>
                <w:bCs/>
                <w:sz w:val="16"/>
                <w:szCs w:val="16"/>
              </w:rPr>
              <w:t>被投资单位名称</w:t>
            </w:r>
            <w:r>
              <w:rPr>
                <w:rFonts w:ascii="宋体" w:hAnsi="宋体" w:cs="宋体" w:eastAsia="宋体" w:hint="default"/>
                <w:sz w:val="16"/>
                <w:szCs w:val="16"/>
              </w:rPr>
            </w:r>
          </w:p>
        </w:tc>
        <w:tc>
          <w:tcPr>
            <w:tcW w:w="790"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14"/>
              <w:jc w:val="center"/>
              <w:rPr>
                <w:rFonts w:ascii="宋体" w:hAnsi="宋体" w:cs="宋体" w:eastAsia="宋体" w:hint="default"/>
                <w:sz w:val="16"/>
                <w:szCs w:val="16"/>
              </w:rPr>
            </w:pPr>
            <w:r>
              <w:rPr>
                <w:rFonts w:ascii="宋体" w:hAnsi="宋体" w:cs="宋体" w:eastAsia="宋体" w:hint="default"/>
                <w:b/>
                <w:bCs/>
                <w:sz w:val="16"/>
                <w:szCs w:val="16"/>
              </w:rPr>
              <w:t>持股比例</w:t>
            </w:r>
            <w:r>
              <w:rPr>
                <w:rFonts w:ascii="宋体" w:hAnsi="宋体" w:cs="宋体" w:eastAsia="宋体" w:hint="default"/>
                <w:sz w:val="16"/>
                <w:szCs w:val="16"/>
              </w:rPr>
            </w:r>
          </w:p>
        </w:tc>
        <w:tc>
          <w:tcPr>
            <w:tcW w:w="953"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14" w:right="0"/>
              <w:jc w:val="center"/>
              <w:rPr>
                <w:rFonts w:ascii="宋体" w:hAnsi="宋体" w:cs="宋体" w:eastAsia="宋体" w:hint="default"/>
                <w:sz w:val="16"/>
                <w:szCs w:val="16"/>
              </w:rPr>
            </w:pPr>
            <w:r>
              <w:rPr>
                <w:rFonts w:ascii="宋体" w:hAnsi="宋体" w:cs="宋体" w:eastAsia="宋体" w:hint="default"/>
                <w:b/>
                <w:bCs/>
                <w:sz w:val="16"/>
                <w:szCs w:val="16"/>
              </w:rPr>
              <w:t>表决权比例</w:t>
            </w:r>
            <w:r>
              <w:rPr>
                <w:rFonts w:ascii="宋体" w:hAnsi="宋体" w:cs="宋体" w:eastAsia="宋体" w:hint="default"/>
                <w:sz w:val="16"/>
                <w:szCs w:val="16"/>
              </w:rPr>
            </w:r>
          </w:p>
        </w:tc>
        <w:tc>
          <w:tcPr>
            <w:tcW w:w="921"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13" w:right="0"/>
              <w:jc w:val="center"/>
              <w:rPr>
                <w:rFonts w:ascii="宋体" w:hAnsi="宋体" w:cs="宋体" w:eastAsia="宋体" w:hint="default"/>
                <w:sz w:val="16"/>
                <w:szCs w:val="16"/>
              </w:rPr>
            </w:pPr>
            <w:r>
              <w:rPr>
                <w:rFonts w:ascii="宋体" w:hAnsi="宋体" w:cs="宋体" w:eastAsia="宋体" w:hint="default"/>
                <w:b/>
                <w:bCs/>
                <w:sz w:val="16"/>
                <w:szCs w:val="16"/>
              </w:rPr>
              <w:t>注册地</w:t>
            </w:r>
            <w:r>
              <w:rPr>
                <w:rFonts w:ascii="宋体" w:hAnsi="宋体" w:cs="宋体" w:eastAsia="宋体" w:hint="default"/>
                <w:sz w:val="16"/>
                <w:szCs w:val="16"/>
              </w:rPr>
            </w:r>
          </w:p>
        </w:tc>
        <w:tc>
          <w:tcPr>
            <w:tcW w:w="3440"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27"/>
              <w:jc w:val="center"/>
              <w:rPr>
                <w:rFonts w:ascii="宋体" w:hAnsi="宋体" w:cs="宋体" w:eastAsia="宋体" w:hint="default"/>
                <w:sz w:val="16"/>
                <w:szCs w:val="16"/>
              </w:rPr>
            </w:pPr>
            <w:r>
              <w:rPr>
                <w:rFonts w:ascii="宋体" w:hAnsi="宋体" w:cs="宋体" w:eastAsia="宋体" w:hint="default"/>
                <w:b/>
                <w:bCs/>
                <w:sz w:val="16"/>
                <w:szCs w:val="16"/>
              </w:rPr>
              <w:t>主营业务</w:t>
            </w:r>
            <w:r>
              <w:rPr>
                <w:rFonts w:ascii="宋体" w:hAnsi="宋体" w:cs="宋体" w:eastAsia="宋体" w:hint="default"/>
                <w:sz w:val="16"/>
                <w:szCs w:val="16"/>
              </w:rPr>
            </w:r>
          </w:p>
        </w:tc>
      </w:tr>
      <w:tr>
        <w:trPr>
          <w:trHeight w:val="440" w:hRule="exact"/>
        </w:trPr>
        <w:tc>
          <w:tcPr>
            <w:tcW w:w="2588" w:type="dxa"/>
            <w:tcBorders>
              <w:top w:val="single" w:sz="4" w:space="0" w:color="000000"/>
              <w:left w:val="nil" w:sz="6" w:space="0" w:color="auto"/>
              <w:bottom w:val="nil" w:sz="6" w:space="0" w:color="auto"/>
              <w:right w:val="nil" w:sz="6" w:space="0" w:color="auto"/>
            </w:tcBorders>
          </w:tcPr>
          <w:p>
            <w:pPr>
              <w:pStyle w:val="TableParagraph"/>
              <w:spacing w:line="184" w:lineRule="exact"/>
              <w:ind w:left="28" w:right="0"/>
              <w:jc w:val="left"/>
              <w:rPr>
                <w:rFonts w:ascii="宋体" w:hAnsi="宋体" w:cs="宋体" w:eastAsia="宋体" w:hint="default"/>
                <w:sz w:val="16"/>
                <w:szCs w:val="16"/>
              </w:rPr>
            </w:pPr>
            <w:r>
              <w:rPr>
                <w:rFonts w:ascii="宋体" w:hAnsi="宋体" w:cs="宋体" w:eastAsia="宋体" w:hint="default"/>
                <w:sz w:val="16"/>
                <w:szCs w:val="16"/>
              </w:rPr>
              <w:t>同方全球人寿保险有限公司</w:t>
            </w:r>
          </w:p>
          <w:p>
            <w:pPr>
              <w:pStyle w:val="TableParagraph"/>
              <w:spacing w:line="208" w:lineRule="exact"/>
              <w:ind w:left="28" w:right="0"/>
              <w:jc w:val="left"/>
              <w:rPr>
                <w:rFonts w:ascii="宋体" w:hAnsi="宋体" w:cs="宋体" w:eastAsia="宋体" w:hint="default"/>
                <w:sz w:val="16"/>
                <w:szCs w:val="16"/>
              </w:rPr>
            </w:pPr>
            <w:r>
              <w:rPr>
                <w:rFonts w:ascii="宋体" w:hAnsi="宋体" w:cs="宋体" w:eastAsia="宋体" w:hint="default"/>
                <w:sz w:val="16"/>
                <w:szCs w:val="16"/>
              </w:rPr>
              <w:t>（原海康人寿保险有限公司）</w:t>
            </w:r>
          </w:p>
        </w:tc>
        <w:tc>
          <w:tcPr>
            <w:tcW w:w="790" w:type="dxa"/>
            <w:tcBorders>
              <w:top w:val="single" w:sz="4" w:space="0" w:color="000000"/>
              <w:left w:val="nil" w:sz="6" w:space="0" w:color="auto"/>
              <w:bottom w:val="nil" w:sz="6" w:space="0" w:color="auto"/>
              <w:right w:val="nil" w:sz="6" w:space="0" w:color="auto"/>
            </w:tcBorders>
          </w:tcPr>
          <w:p>
            <w:pPr>
              <w:pStyle w:val="TableParagraph"/>
              <w:spacing w:line="240" w:lineRule="auto" w:before="112"/>
              <w:ind w:right="13"/>
              <w:jc w:val="center"/>
              <w:rPr>
                <w:rFonts w:ascii="Times New Roman" w:hAnsi="Times New Roman" w:cs="Times New Roman" w:eastAsia="Times New Roman" w:hint="default"/>
                <w:sz w:val="16"/>
                <w:szCs w:val="16"/>
              </w:rPr>
            </w:pPr>
            <w:r>
              <w:rPr>
                <w:rFonts w:ascii="Times New Roman"/>
                <w:sz w:val="16"/>
              </w:rPr>
              <w:t>50.00%</w:t>
            </w:r>
          </w:p>
        </w:tc>
        <w:tc>
          <w:tcPr>
            <w:tcW w:w="953" w:type="dxa"/>
            <w:tcBorders>
              <w:top w:val="single" w:sz="4" w:space="0" w:color="000000"/>
              <w:left w:val="nil" w:sz="6" w:space="0" w:color="auto"/>
              <w:bottom w:val="nil" w:sz="6" w:space="0" w:color="auto"/>
              <w:right w:val="nil" w:sz="6" w:space="0" w:color="auto"/>
            </w:tcBorders>
          </w:tcPr>
          <w:p>
            <w:pPr>
              <w:pStyle w:val="TableParagraph"/>
              <w:spacing w:line="240" w:lineRule="auto" w:before="112"/>
              <w:ind w:left="13" w:right="0"/>
              <w:jc w:val="center"/>
              <w:rPr>
                <w:rFonts w:ascii="Times New Roman" w:hAnsi="Times New Roman" w:cs="Times New Roman" w:eastAsia="Times New Roman" w:hint="default"/>
                <w:sz w:val="16"/>
                <w:szCs w:val="16"/>
              </w:rPr>
            </w:pPr>
            <w:r>
              <w:rPr>
                <w:rFonts w:ascii="Times New Roman"/>
                <w:sz w:val="16"/>
              </w:rPr>
              <w:t>50.00%</w:t>
            </w:r>
          </w:p>
        </w:tc>
        <w:tc>
          <w:tcPr>
            <w:tcW w:w="921" w:type="dxa"/>
            <w:tcBorders>
              <w:top w:val="single" w:sz="4" w:space="0" w:color="000000"/>
              <w:left w:val="nil" w:sz="6" w:space="0" w:color="auto"/>
              <w:bottom w:val="nil" w:sz="6" w:space="0" w:color="auto"/>
              <w:right w:val="nil" w:sz="6" w:space="0" w:color="auto"/>
            </w:tcBorders>
          </w:tcPr>
          <w:p>
            <w:pPr>
              <w:pStyle w:val="TableParagraph"/>
              <w:spacing w:line="240" w:lineRule="auto" w:before="79"/>
              <w:ind w:left="15" w:right="0"/>
              <w:jc w:val="center"/>
              <w:rPr>
                <w:rFonts w:ascii="宋体" w:hAnsi="宋体" w:cs="宋体" w:eastAsia="宋体" w:hint="default"/>
                <w:sz w:val="16"/>
                <w:szCs w:val="16"/>
              </w:rPr>
            </w:pPr>
            <w:r>
              <w:rPr>
                <w:rFonts w:ascii="宋体" w:hAnsi="宋体" w:cs="宋体" w:eastAsia="宋体" w:hint="default"/>
                <w:sz w:val="16"/>
                <w:szCs w:val="16"/>
              </w:rPr>
              <w:t>上海浦东</w:t>
            </w:r>
          </w:p>
        </w:tc>
        <w:tc>
          <w:tcPr>
            <w:tcW w:w="3440" w:type="dxa"/>
            <w:tcBorders>
              <w:top w:val="single" w:sz="4" w:space="0" w:color="000000"/>
              <w:left w:val="nil" w:sz="6" w:space="0" w:color="auto"/>
              <w:bottom w:val="nil" w:sz="6" w:space="0" w:color="auto"/>
              <w:right w:val="nil" w:sz="6" w:space="0" w:color="auto"/>
            </w:tcBorders>
          </w:tcPr>
          <w:p>
            <w:pPr>
              <w:pStyle w:val="TableParagraph"/>
              <w:spacing w:line="184" w:lineRule="exact"/>
              <w:ind w:left="51" w:right="0"/>
              <w:jc w:val="left"/>
              <w:rPr>
                <w:rFonts w:ascii="宋体" w:hAnsi="宋体" w:cs="宋体" w:eastAsia="宋体" w:hint="default"/>
                <w:sz w:val="16"/>
                <w:szCs w:val="16"/>
              </w:rPr>
            </w:pPr>
            <w:r>
              <w:rPr>
                <w:rFonts w:ascii="宋体" w:hAnsi="宋体" w:cs="宋体" w:eastAsia="宋体" w:hint="default"/>
                <w:spacing w:val="-4"/>
                <w:sz w:val="16"/>
                <w:szCs w:val="16"/>
              </w:rPr>
              <w:t>人寿保险、健康保险和意外伤害保险等保险业务</w:t>
            </w:r>
          </w:p>
          <w:p>
            <w:pPr>
              <w:pStyle w:val="TableParagraph"/>
              <w:spacing w:line="208" w:lineRule="exact"/>
              <w:ind w:left="51" w:right="0"/>
              <w:jc w:val="left"/>
              <w:rPr>
                <w:rFonts w:ascii="宋体" w:hAnsi="宋体" w:cs="宋体" w:eastAsia="宋体" w:hint="default"/>
                <w:sz w:val="16"/>
                <w:szCs w:val="16"/>
              </w:rPr>
            </w:pPr>
            <w:r>
              <w:rPr>
                <w:rFonts w:ascii="宋体" w:hAnsi="宋体" w:cs="宋体" w:eastAsia="宋体" w:hint="default"/>
                <w:sz w:val="16"/>
                <w:szCs w:val="16"/>
              </w:rPr>
              <w:t>及其再保险业务</w:t>
            </w:r>
          </w:p>
        </w:tc>
      </w:tr>
      <w:tr>
        <w:trPr>
          <w:trHeight w:val="267"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04" w:lineRule="exact"/>
              <w:ind w:left="28" w:right="0"/>
              <w:jc w:val="left"/>
              <w:rPr>
                <w:rFonts w:ascii="宋体" w:hAnsi="宋体" w:cs="宋体" w:eastAsia="宋体" w:hint="default"/>
                <w:sz w:val="16"/>
                <w:szCs w:val="16"/>
              </w:rPr>
            </w:pPr>
            <w:r>
              <w:rPr>
                <w:rFonts w:ascii="宋体" w:hAnsi="宋体" w:cs="宋体" w:eastAsia="宋体" w:hint="default"/>
                <w:sz w:val="16"/>
                <w:szCs w:val="16"/>
              </w:rPr>
              <w:t>同方川崎节能设备有限公司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3"/>
              <w:jc w:val="center"/>
              <w:rPr>
                <w:rFonts w:ascii="Times New Roman" w:hAnsi="Times New Roman" w:cs="Times New Roman" w:eastAsia="Times New Roman" w:hint="default"/>
                <w:sz w:val="16"/>
                <w:szCs w:val="16"/>
              </w:rPr>
            </w:pPr>
            <w:r>
              <w:rPr>
                <w:rFonts w:ascii="Times New Roman"/>
                <w:sz w:val="16"/>
              </w:rPr>
              <w:t>50.00%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3" w:right="0"/>
              <w:jc w:val="center"/>
              <w:rPr>
                <w:rFonts w:ascii="Times New Roman" w:hAnsi="Times New Roman" w:cs="Times New Roman" w:eastAsia="Times New Roman" w:hint="default"/>
                <w:sz w:val="16"/>
                <w:szCs w:val="16"/>
              </w:rPr>
            </w:pPr>
            <w:r>
              <w:rPr>
                <w:rFonts w:ascii="Times New Roman"/>
                <w:sz w:val="16"/>
              </w:rPr>
              <w:t>50.00%</w:t>
            </w:r>
          </w:p>
        </w:tc>
        <w:tc>
          <w:tcPr>
            <w:tcW w:w="921" w:type="dxa"/>
            <w:tcBorders>
              <w:top w:val="nil" w:sz="6" w:space="0" w:color="auto"/>
              <w:left w:val="nil" w:sz="6" w:space="0" w:color="auto"/>
              <w:bottom w:val="nil" w:sz="6" w:space="0" w:color="auto"/>
              <w:right w:val="nil" w:sz="6" w:space="0" w:color="auto"/>
            </w:tcBorders>
          </w:tcPr>
          <w:p>
            <w:pPr>
              <w:pStyle w:val="TableParagraph"/>
              <w:spacing w:line="204" w:lineRule="exact"/>
              <w:ind w:left="15" w:right="0"/>
              <w:jc w:val="center"/>
              <w:rPr>
                <w:rFonts w:ascii="宋体" w:hAnsi="宋体" w:cs="宋体" w:eastAsia="宋体" w:hint="default"/>
                <w:sz w:val="16"/>
                <w:szCs w:val="16"/>
              </w:rPr>
            </w:pPr>
            <w:r>
              <w:rPr>
                <w:rFonts w:ascii="宋体" w:hAnsi="宋体" w:cs="宋体" w:eastAsia="宋体" w:hint="default"/>
                <w:sz w:val="16"/>
                <w:szCs w:val="16"/>
              </w:rPr>
              <w:t>河北廊坊</w:t>
            </w:r>
          </w:p>
        </w:tc>
        <w:tc>
          <w:tcPr>
            <w:tcW w:w="3440" w:type="dxa"/>
            <w:tcBorders>
              <w:top w:val="nil" w:sz="6" w:space="0" w:color="auto"/>
              <w:left w:val="nil" w:sz="6" w:space="0" w:color="auto"/>
              <w:bottom w:val="nil" w:sz="6" w:space="0" w:color="auto"/>
              <w:right w:val="nil" w:sz="6" w:space="0" w:color="auto"/>
            </w:tcBorders>
          </w:tcPr>
          <w:p>
            <w:pPr>
              <w:pStyle w:val="TableParagraph"/>
              <w:spacing w:line="204" w:lineRule="exact"/>
              <w:ind w:left="51" w:right="0"/>
              <w:jc w:val="left"/>
              <w:rPr>
                <w:rFonts w:ascii="宋体" w:hAnsi="宋体" w:cs="宋体" w:eastAsia="宋体" w:hint="default"/>
                <w:sz w:val="16"/>
                <w:szCs w:val="16"/>
              </w:rPr>
            </w:pPr>
            <w:r>
              <w:rPr>
                <w:rFonts w:ascii="宋体" w:hAnsi="宋体" w:cs="宋体" w:eastAsia="宋体" w:hint="default"/>
                <w:sz w:val="16"/>
                <w:szCs w:val="16"/>
              </w:rPr>
              <w:t>吸收式冷冻机系列产品</w:t>
            </w:r>
          </w:p>
        </w:tc>
      </w:tr>
      <w:tr>
        <w:trPr>
          <w:trHeight w:val="285"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 w:right="0"/>
              <w:jc w:val="left"/>
              <w:rPr>
                <w:rFonts w:ascii="宋体" w:hAnsi="宋体" w:cs="宋体" w:eastAsia="宋体" w:hint="default"/>
                <w:sz w:val="16"/>
                <w:szCs w:val="16"/>
              </w:rPr>
            </w:pPr>
            <w:r>
              <w:rPr>
                <w:rFonts w:ascii="宋体" w:hAnsi="宋体" w:cs="宋体" w:eastAsia="宋体" w:hint="default"/>
                <w:sz w:val="16"/>
                <w:szCs w:val="16"/>
              </w:rPr>
              <w:t>重庆国信投资控股有限公司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3"/>
              <w:jc w:val="center"/>
              <w:rPr>
                <w:rFonts w:ascii="Times New Roman" w:hAnsi="Times New Roman" w:cs="Times New Roman" w:eastAsia="Times New Roman" w:hint="default"/>
                <w:sz w:val="16"/>
                <w:szCs w:val="16"/>
              </w:rPr>
            </w:pPr>
            <w:r>
              <w:rPr>
                <w:rFonts w:ascii="Times New Roman"/>
                <w:sz w:val="16"/>
              </w:rPr>
              <w:t>30.73%</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3" w:right="0"/>
              <w:jc w:val="center"/>
              <w:rPr>
                <w:rFonts w:ascii="Times New Roman" w:hAnsi="Times New Roman" w:cs="Times New Roman" w:eastAsia="Times New Roman" w:hint="default"/>
                <w:sz w:val="16"/>
                <w:szCs w:val="16"/>
              </w:rPr>
            </w:pPr>
            <w:r>
              <w:rPr>
                <w:rFonts w:ascii="Times New Roman"/>
                <w:sz w:val="16"/>
              </w:rPr>
              <w:t>30.73%</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 w:right="0"/>
              <w:jc w:val="center"/>
              <w:rPr>
                <w:rFonts w:ascii="宋体" w:hAnsi="宋体" w:cs="宋体" w:eastAsia="宋体" w:hint="default"/>
                <w:sz w:val="16"/>
                <w:szCs w:val="16"/>
              </w:rPr>
            </w:pPr>
            <w:r>
              <w:rPr>
                <w:rFonts w:ascii="宋体" w:hAnsi="宋体" w:cs="宋体" w:eastAsia="宋体" w:hint="default"/>
                <w:sz w:val="16"/>
                <w:szCs w:val="16"/>
              </w:rPr>
              <w:t>重庆渝北</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1" w:right="0"/>
              <w:jc w:val="left"/>
              <w:rPr>
                <w:rFonts w:ascii="宋体" w:hAnsi="宋体" w:cs="宋体" w:eastAsia="宋体" w:hint="default"/>
                <w:sz w:val="16"/>
                <w:szCs w:val="16"/>
              </w:rPr>
            </w:pPr>
            <w:r>
              <w:rPr>
                <w:rFonts w:ascii="宋体" w:hAnsi="宋体" w:cs="宋体" w:eastAsia="宋体" w:hint="default"/>
                <w:sz w:val="16"/>
                <w:szCs w:val="16"/>
              </w:rPr>
              <w:t>投资控股并向其所投资企业提供相关服务</w:t>
            </w:r>
          </w:p>
        </w:tc>
      </w:tr>
      <w:tr>
        <w:trPr>
          <w:trHeight w:val="286"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 w:right="0"/>
              <w:jc w:val="left"/>
              <w:rPr>
                <w:rFonts w:ascii="宋体" w:hAnsi="宋体" w:cs="宋体" w:eastAsia="宋体" w:hint="default"/>
                <w:sz w:val="16"/>
                <w:szCs w:val="16"/>
              </w:rPr>
            </w:pPr>
            <w:r>
              <w:rPr>
                <w:rFonts w:ascii="宋体" w:hAnsi="宋体" w:cs="宋体" w:eastAsia="宋体" w:hint="default"/>
                <w:sz w:val="16"/>
                <w:szCs w:val="16"/>
              </w:rPr>
              <w:t>同方投资有限公司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
              <w:jc w:val="center"/>
              <w:rPr>
                <w:rFonts w:ascii="Times New Roman" w:hAnsi="Times New Roman" w:cs="Times New Roman" w:eastAsia="Times New Roman" w:hint="default"/>
                <w:sz w:val="16"/>
                <w:szCs w:val="16"/>
              </w:rPr>
            </w:pPr>
            <w:r>
              <w:rPr>
                <w:rFonts w:ascii="Times New Roman"/>
                <w:sz w:val="16"/>
              </w:rPr>
              <w:t>45.45%</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 w:right="0"/>
              <w:jc w:val="center"/>
              <w:rPr>
                <w:rFonts w:ascii="Times New Roman" w:hAnsi="Times New Roman" w:cs="Times New Roman" w:eastAsia="Times New Roman" w:hint="default"/>
                <w:sz w:val="16"/>
                <w:szCs w:val="16"/>
              </w:rPr>
            </w:pPr>
            <w:r>
              <w:rPr>
                <w:rFonts w:ascii="Times New Roman"/>
                <w:sz w:val="16"/>
              </w:rPr>
              <w:t>45.45%</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 w:right="0"/>
              <w:jc w:val="center"/>
              <w:rPr>
                <w:rFonts w:ascii="宋体" w:hAnsi="宋体" w:cs="宋体" w:eastAsia="宋体" w:hint="default"/>
                <w:sz w:val="16"/>
                <w:szCs w:val="16"/>
              </w:rPr>
            </w:pPr>
            <w:r>
              <w:rPr>
                <w:rFonts w:ascii="宋体" w:hAnsi="宋体" w:cs="宋体" w:eastAsia="宋体" w:hint="default"/>
                <w:sz w:val="16"/>
                <w:szCs w:val="16"/>
              </w:rPr>
              <w:t>山东潍坊</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1" w:right="0"/>
              <w:jc w:val="left"/>
              <w:rPr>
                <w:rFonts w:ascii="宋体" w:hAnsi="宋体" w:cs="宋体" w:eastAsia="宋体" w:hint="default"/>
                <w:sz w:val="16"/>
                <w:szCs w:val="16"/>
              </w:rPr>
            </w:pPr>
            <w:r>
              <w:rPr>
                <w:rFonts w:ascii="宋体" w:hAnsi="宋体" w:cs="宋体" w:eastAsia="宋体" w:hint="default"/>
                <w:sz w:val="16"/>
                <w:szCs w:val="16"/>
              </w:rPr>
              <w:t>项目投资及管理、咨询服务</w:t>
            </w:r>
          </w:p>
        </w:tc>
      </w:tr>
      <w:tr>
        <w:trPr>
          <w:trHeight w:val="286"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 w:right="0"/>
              <w:jc w:val="left"/>
              <w:rPr>
                <w:rFonts w:ascii="宋体" w:hAnsi="宋体" w:cs="宋体" w:eastAsia="宋体" w:hint="default"/>
                <w:sz w:val="16"/>
                <w:szCs w:val="16"/>
              </w:rPr>
            </w:pPr>
            <w:r>
              <w:rPr>
                <w:rFonts w:ascii="宋体" w:hAnsi="宋体" w:cs="宋体" w:eastAsia="宋体" w:hint="default"/>
                <w:sz w:val="16"/>
                <w:szCs w:val="16"/>
              </w:rPr>
              <w:t>泰豪科技股份有限公司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2"/>
              <w:jc w:val="center"/>
              <w:rPr>
                <w:rFonts w:ascii="Times New Roman" w:hAnsi="Times New Roman" w:cs="Times New Roman" w:eastAsia="Times New Roman" w:hint="default"/>
                <w:sz w:val="16"/>
                <w:szCs w:val="16"/>
              </w:rPr>
            </w:pPr>
            <w:r>
              <w:rPr>
                <w:rFonts w:ascii="Times New Roman"/>
                <w:sz w:val="16"/>
              </w:rPr>
              <w:t>16.66%</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 w:right="0"/>
              <w:jc w:val="center"/>
              <w:rPr>
                <w:rFonts w:ascii="Times New Roman" w:hAnsi="Times New Roman" w:cs="Times New Roman" w:eastAsia="Times New Roman" w:hint="default"/>
                <w:sz w:val="16"/>
                <w:szCs w:val="16"/>
              </w:rPr>
            </w:pPr>
            <w:r>
              <w:rPr>
                <w:rFonts w:ascii="Times New Roman"/>
                <w:sz w:val="16"/>
              </w:rPr>
              <w:t>16.66%</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 w:right="0"/>
              <w:jc w:val="center"/>
              <w:rPr>
                <w:rFonts w:ascii="宋体" w:hAnsi="宋体" w:cs="宋体" w:eastAsia="宋体" w:hint="default"/>
                <w:sz w:val="16"/>
                <w:szCs w:val="16"/>
              </w:rPr>
            </w:pPr>
            <w:r>
              <w:rPr>
                <w:rFonts w:ascii="宋体" w:hAnsi="宋体" w:cs="宋体" w:eastAsia="宋体" w:hint="default"/>
                <w:sz w:val="16"/>
                <w:szCs w:val="16"/>
              </w:rPr>
              <w:t>江西南昌</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1" w:right="0"/>
              <w:jc w:val="left"/>
              <w:rPr>
                <w:rFonts w:ascii="宋体" w:hAnsi="宋体" w:cs="宋体" w:eastAsia="宋体" w:hint="default"/>
                <w:sz w:val="16"/>
                <w:szCs w:val="16"/>
              </w:rPr>
            </w:pPr>
            <w:r>
              <w:rPr>
                <w:rFonts w:ascii="宋体" w:hAnsi="宋体" w:cs="宋体" w:eastAsia="宋体" w:hint="default"/>
                <w:sz w:val="16"/>
                <w:szCs w:val="16"/>
              </w:rPr>
              <w:t>智能建筑电气、发电机及机组、装备信息产品</w:t>
            </w:r>
          </w:p>
        </w:tc>
      </w:tr>
      <w:tr>
        <w:trPr>
          <w:trHeight w:val="265"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 w:right="0"/>
              <w:jc w:val="left"/>
              <w:rPr>
                <w:rFonts w:ascii="宋体" w:hAnsi="宋体" w:cs="宋体" w:eastAsia="宋体" w:hint="default"/>
                <w:sz w:val="16"/>
                <w:szCs w:val="16"/>
              </w:rPr>
            </w:pPr>
            <w:r>
              <w:rPr>
                <w:rFonts w:ascii="宋体" w:hAnsi="宋体" w:cs="宋体" w:eastAsia="宋体" w:hint="default"/>
                <w:sz w:val="16"/>
                <w:szCs w:val="16"/>
              </w:rPr>
              <w:t>嘉融投资有限公司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
              <w:jc w:val="center"/>
              <w:rPr>
                <w:rFonts w:ascii="Times New Roman" w:hAnsi="Times New Roman" w:cs="Times New Roman" w:eastAsia="Times New Roman" w:hint="default"/>
                <w:sz w:val="16"/>
                <w:szCs w:val="16"/>
              </w:rPr>
            </w:pPr>
            <w:r>
              <w:rPr>
                <w:rFonts w:ascii="Times New Roman"/>
                <w:sz w:val="16"/>
              </w:rPr>
              <w:t>50.00%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 w:right="0"/>
              <w:jc w:val="center"/>
              <w:rPr>
                <w:rFonts w:ascii="Times New Roman" w:hAnsi="Times New Roman" w:cs="Times New Roman" w:eastAsia="Times New Roman" w:hint="default"/>
                <w:sz w:val="16"/>
                <w:szCs w:val="16"/>
              </w:rPr>
            </w:pPr>
            <w:r>
              <w:rPr>
                <w:rFonts w:ascii="Times New Roman"/>
                <w:sz w:val="16"/>
              </w:rPr>
              <w:t>50.00%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 w:right="0"/>
              <w:jc w:val="center"/>
              <w:rPr>
                <w:rFonts w:ascii="宋体" w:hAnsi="宋体" w:cs="宋体" w:eastAsia="宋体" w:hint="default"/>
                <w:sz w:val="16"/>
                <w:szCs w:val="16"/>
              </w:rPr>
            </w:pPr>
            <w:r>
              <w:rPr>
                <w:rFonts w:ascii="宋体" w:hAnsi="宋体" w:cs="宋体" w:eastAsia="宋体" w:hint="default"/>
                <w:sz w:val="16"/>
                <w:szCs w:val="16"/>
              </w:rPr>
              <w:t>上海浦东</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1" w:right="0"/>
              <w:jc w:val="left"/>
              <w:rPr>
                <w:rFonts w:ascii="宋体" w:hAnsi="宋体" w:cs="宋体" w:eastAsia="宋体" w:hint="default"/>
                <w:sz w:val="16"/>
                <w:szCs w:val="16"/>
              </w:rPr>
            </w:pPr>
            <w:r>
              <w:rPr>
                <w:rFonts w:ascii="宋体" w:hAnsi="宋体" w:cs="宋体" w:eastAsia="宋体" w:hint="default"/>
                <w:sz w:val="16"/>
                <w:szCs w:val="16"/>
              </w:rPr>
              <w:t>实业投资、创业投资、投资管理及相关咨询</w:t>
            </w:r>
          </w:p>
        </w:tc>
      </w:tr>
      <w:tr>
        <w:trPr>
          <w:trHeight w:val="659"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8" w:right="0"/>
              <w:jc w:val="left"/>
              <w:rPr>
                <w:rFonts w:ascii="宋体" w:hAnsi="宋体" w:cs="宋体" w:eastAsia="宋体" w:hint="default"/>
                <w:sz w:val="16"/>
                <w:szCs w:val="16"/>
              </w:rPr>
            </w:pPr>
            <w:r>
              <w:rPr>
                <w:rFonts w:ascii="宋体" w:hAnsi="宋体" w:cs="宋体" w:eastAsia="宋体" w:hint="default"/>
                <w:sz w:val="16"/>
                <w:szCs w:val="16"/>
              </w:rPr>
              <w:t>同方环境股份有限公司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3"/>
              <w:jc w:val="center"/>
              <w:rPr>
                <w:rFonts w:ascii="Times New Roman" w:hAnsi="Times New Roman" w:cs="Times New Roman" w:eastAsia="Times New Roman" w:hint="default"/>
                <w:sz w:val="16"/>
                <w:szCs w:val="16"/>
              </w:rPr>
            </w:pPr>
            <w:r>
              <w:rPr>
                <w:rFonts w:ascii="Times New Roman"/>
                <w:sz w:val="16"/>
              </w:rPr>
              <w:t>31.50%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3" w:right="0"/>
              <w:jc w:val="center"/>
              <w:rPr>
                <w:rFonts w:ascii="Times New Roman" w:hAnsi="Times New Roman" w:cs="Times New Roman" w:eastAsia="Times New Roman" w:hint="default"/>
                <w:sz w:val="16"/>
                <w:szCs w:val="16"/>
              </w:rPr>
            </w:pPr>
            <w:r>
              <w:rPr>
                <w:rFonts w:ascii="Times New Roman"/>
                <w:sz w:val="16"/>
              </w:rPr>
              <w:t>31.50%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5"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40" w:type="dxa"/>
            <w:tcBorders>
              <w:top w:val="nil" w:sz="6" w:space="0" w:color="auto"/>
              <w:left w:val="nil" w:sz="6" w:space="0" w:color="auto"/>
              <w:bottom w:val="nil" w:sz="6" w:space="0" w:color="auto"/>
              <w:right w:val="nil" w:sz="6" w:space="0" w:color="auto"/>
            </w:tcBorders>
          </w:tcPr>
          <w:p>
            <w:pPr>
              <w:pStyle w:val="TableParagraph"/>
              <w:spacing w:line="237" w:lineRule="auto"/>
              <w:ind w:left="51" w:right="0"/>
              <w:jc w:val="left"/>
              <w:rPr>
                <w:rFonts w:ascii="宋体" w:hAnsi="宋体" w:cs="宋体" w:eastAsia="宋体" w:hint="default"/>
                <w:sz w:val="16"/>
                <w:szCs w:val="16"/>
              </w:rPr>
            </w:pPr>
            <w:r>
              <w:rPr>
                <w:rFonts w:ascii="宋体" w:hAnsi="宋体" w:cs="宋体" w:eastAsia="宋体" w:hint="default"/>
                <w:spacing w:val="-4"/>
                <w:sz w:val="16"/>
                <w:szCs w:val="16"/>
              </w:rPr>
              <w:t>环保工程咨询、设计、施工；施工总承包；洁净</w:t>
            </w:r>
            <w:r>
              <w:rPr>
                <w:rFonts w:ascii="宋体" w:hAnsi="宋体" w:cs="宋体" w:eastAsia="宋体" w:hint="default"/>
                <w:spacing w:val="-48"/>
                <w:sz w:val="16"/>
                <w:szCs w:val="16"/>
              </w:rPr>
              <w:t> </w:t>
            </w:r>
            <w:r>
              <w:rPr>
                <w:rFonts w:ascii="宋体" w:hAnsi="宋体" w:cs="宋体" w:eastAsia="宋体" w:hint="default"/>
                <w:spacing w:val="-48"/>
                <w:sz w:val="16"/>
                <w:szCs w:val="16"/>
              </w:rPr>
            </w:r>
            <w:r>
              <w:rPr>
                <w:rFonts w:ascii="宋体" w:hAnsi="宋体" w:cs="宋体" w:eastAsia="宋体" w:hint="default"/>
                <w:spacing w:val="-7"/>
                <w:w w:val="100"/>
                <w:sz w:val="16"/>
                <w:szCs w:val="16"/>
              </w:rPr>
              <w:t>新能源发电与环境保护技术、工程的研究、设计、</w:t>
            </w:r>
            <w:r>
              <w:rPr>
                <w:rFonts w:ascii="宋体" w:hAnsi="宋体" w:cs="宋体" w:eastAsia="宋体" w:hint="default"/>
                <w:w w:val="100"/>
                <w:sz w:val="16"/>
                <w:szCs w:val="16"/>
              </w:rPr>
              <w:t> </w:t>
            </w:r>
            <w:r>
              <w:rPr>
                <w:rFonts w:ascii="宋体" w:hAnsi="宋体" w:cs="宋体" w:eastAsia="宋体" w:hint="default"/>
                <w:sz w:val="16"/>
                <w:szCs w:val="16"/>
              </w:rPr>
              <w:t>开发、转让、咨询、引进和服务等</w:t>
            </w:r>
          </w:p>
        </w:tc>
      </w:tr>
      <w:tr>
        <w:trPr>
          <w:trHeight w:val="268"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04" w:lineRule="exact"/>
              <w:ind w:left="28" w:right="0"/>
              <w:jc w:val="left"/>
              <w:rPr>
                <w:rFonts w:ascii="宋体" w:hAnsi="宋体" w:cs="宋体" w:eastAsia="宋体" w:hint="default"/>
                <w:sz w:val="16"/>
                <w:szCs w:val="16"/>
              </w:rPr>
            </w:pPr>
            <w:r>
              <w:rPr>
                <w:rFonts w:ascii="宋体" w:hAnsi="宋体" w:cs="宋体" w:eastAsia="宋体" w:hint="default"/>
                <w:sz w:val="16"/>
                <w:szCs w:val="16"/>
              </w:rPr>
              <w:t>易程科技股份有限公司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3"/>
              <w:jc w:val="center"/>
              <w:rPr>
                <w:rFonts w:ascii="Times New Roman" w:hAnsi="Times New Roman" w:cs="Times New Roman" w:eastAsia="Times New Roman" w:hint="default"/>
                <w:sz w:val="16"/>
                <w:szCs w:val="16"/>
              </w:rPr>
            </w:pPr>
            <w:r>
              <w:rPr>
                <w:rFonts w:ascii="Times New Roman"/>
                <w:sz w:val="16"/>
              </w:rPr>
              <w:t>33.60%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3" w:right="0"/>
              <w:jc w:val="center"/>
              <w:rPr>
                <w:rFonts w:ascii="Times New Roman" w:hAnsi="Times New Roman" w:cs="Times New Roman" w:eastAsia="Times New Roman" w:hint="default"/>
                <w:sz w:val="16"/>
                <w:szCs w:val="16"/>
              </w:rPr>
            </w:pPr>
            <w:r>
              <w:rPr>
                <w:rFonts w:ascii="Times New Roman"/>
                <w:sz w:val="16"/>
              </w:rPr>
              <w:t>33.60%</w:t>
            </w:r>
          </w:p>
        </w:tc>
        <w:tc>
          <w:tcPr>
            <w:tcW w:w="921" w:type="dxa"/>
            <w:tcBorders>
              <w:top w:val="nil" w:sz="6" w:space="0" w:color="auto"/>
              <w:left w:val="nil" w:sz="6" w:space="0" w:color="auto"/>
              <w:bottom w:val="nil" w:sz="6" w:space="0" w:color="auto"/>
              <w:right w:val="nil" w:sz="6" w:space="0" w:color="auto"/>
            </w:tcBorders>
          </w:tcPr>
          <w:p>
            <w:pPr>
              <w:pStyle w:val="TableParagraph"/>
              <w:spacing w:line="204" w:lineRule="exact"/>
              <w:ind w:left="15"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40" w:type="dxa"/>
            <w:tcBorders>
              <w:top w:val="nil" w:sz="6" w:space="0" w:color="auto"/>
              <w:left w:val="nil" w:sz="6" w:space="0" w:color="auto"/>
              <w:bottom w:val="nil" w:sz="6" w:space="0" w:color="auto"/>
              <w:right w:val="nil" w:sz="6" w:space="0" w:color="auto"/>
            </w:tcBorders>
          </w:tcPr>
          <w:p>
            <w:pPr>
              <w:pStyle w:val="TableParagraph"/>
              <w:spacing w:line="204" w:lineRule="exact"/>
              <w:ind w:left="51" w:right="0"/>
              <w:jc w:val="left"/>
              <w:rPr>
                <w:rFonts w:ascii="宋体" w:hAnsi="宋体" w:cs="宋体" w:eastAsia="宋体" w:hint="default"/>
                <w:sz w:val="16"/>
                <w:szCs w:val="16"/>
              </w:rPr>
            </w:pPr>
            <w:r>
              <w:rPr>
                <w:rFonts w:ascii="宋体" w:hAnsi="宋体" w:cs="宋体" w:eastAsia="宋体" w:hint="default"/>
                <w:sz w:val="16"/>
                <w:szCs w:val="16"/>
              </w:rPr>
              <w:t>铁路客运专线信息服务系统、票务系统</w:t>
            </w:r>
          </w:p>
        </w:tc>
      </w:tr>
      <w:tr>
        <w:trPr>
          <w:trHeight w:val="283"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 w:right="0"/>
              <w:jc w:val="left"/>
              <w:rPr>
                <w:rFonts w:ascii="宋体" w:hAnsi="宋体" w:cs="宋体" w:eastAsia="宋体" w:hint="default"/>
                <w:sz w:val="16"/>
                <w:szCs w:val="16"/>
              </w:rPr>
            </w:pPr>
            <w:r>
              <w:rPr>
                <w:rFonts w:ascii="宋体" w:hAnsi="宋体" w:cs="宋体" w:eastAsia="宋体" w:hint="default"/>
                <w:sz w:val="16"/>
                <w:szCs w:val="16"/>
              </w:rPr>
              <w:t>同方泰豪动漫产业投资有限公司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3"/>
              <w:jc w:val="center"/>
              <w:rPr>
                <w:rFonts w:ascii="Times New Roman" w:hAnsi="Times New Roman" w:cs="Times New Roman" w:eastAsia="Times New Roman" w:hint="default"/>
                <w:sz w:val="16"/>
                <w:szCs w:val="16"/>
              </w:rPr>
            </w:pPr>
            <w:r>
              <w:rPr>
                <w:rFonts w:ascii="Times New Roman"/>
                <w:sz w:val="16"/>
              </w:rPr>
              <w:t>40.00%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3" w:right="0"/>
              <w:jc w:val="center"/>
              <w:rPr>
                <w:rFonts w:ascii="Times New Roman" w:hAnsi="Times New Roman" w:cs="Times New Roman" w:eastAsia="Times New Roman" w:hint="default"/>
                <w:sz w:val="16"/>
                <w:szCs w:val="16"/>
              </w:rPr>
            </w:pPr>
            <w:r>
              <w:rPr>
                <w:rFonts w:ascii="Times New Roman"/>
                <w:sz w:val="16"/>
              </w:rPr>
              <w:t>40.00%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 w:right="0"/>
              <w:jc w:val="center"/>
              <w:rPr>
                <w:rFonts w:ascii="宋体" w:hAnsi="宋体" w:cs="宋体" w:eastAsia="宋体" w:hint="default"/>
                <w:sz w:val="16"/>
                <w:szCs w:val="16"/>
              </w:rPr>
            </w:pPr>
            <w:r>
              <w:rPr>
                <w:rFonts w:ascii="宋体" w:hAnsi="宋体" w:cs="宋体" w:eastAsia="宋体" w:hint="default"/>
                <w:sz w:val="16"/>
                <w:szCs w:val="16"/>
              </w:rPr>
              <w:t>江西南昌</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1" w:right="0"/>
              <w:jc w:val="left"/>
              <w:rPr>
                <w:rFonts w:ascii="宋体" w:hAnsi="宋体" w:cs="宋体" w:eastAsia="宋体" w:hint="default"/>
                <w:sz w:val="16"/>
                <w:szCs w:val="16"/>
              </w:rPr>
            </w:pPr>
            <w:r>
              <w:rPr>
                <w:rFonts w:ascii="宋体" w:hAnsi="宋体" w:cs="宋体" w:eastAsia="宋体" w:hint="default"/>
                <w:sz w:val="16"/>
                <w:szCs w:val="16"/>
              </w:rPr>
              <w:t>动漫形象及相关衍生产品开发、生产、经营</w:t>
            </w:r>
          </w:p>
        </w:tc>
      </w:tr>
      <w:tr>
        <w:trPr>
          <w:trHeight w:val="269"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 w:right="0"/>
              <w:jc w:val="left"/>
              <w:rPr>
                <w:rFonts w:ascii="宋体" w:hAnsi="宋体" w:cs="宋体" w:eastAsia="宋体" w:hint="default"/>
                <w:sz w:val="16"/>
                <w:szCs w:val="16"/>
              </w:rPr>
            </w:pPr>
            <w:r>
              <w:rPr>
                <w:rFonts w:ascii="宋体" w:hAnsi="宋体" w:cs="宋体" w:eastAsia="宋体" w:hint="default"/>
                <w:sz w:val="16"/>
                <w:szCs w:val="16"/>
              </w:rPr>
              <w:t>云南云电同方科技有限公司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
              <w:jc w:val="center"/>
              <w:rPr>
                <w:rFonts w:ascii="Times New Roman" w:hAnsi="Times New Roman" w:cs="Times New Roman" w:eastAsia="Times New Roman" w:hint="default"/>
                <w:sz w:val="16"/>
                <w:szCs w:val="16"/>
              </w:rPr>
            </w:pPr>
            <w:r>
              <w:rPr>
                <w:rFonts w:ascii="Times New Roman"/>
                <w:sz w:val="16"/>
              </w:rPr>
              <w:t>37.50%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 w:right="0"/>
              <w:jc w:val="center"/>
              <w:rPr>
                <w:rFonts w:ascii="Times New Roman" w:hAnsi="Times New Roman" w:cs="Times New Roman" w:eastAsia="Times New Roman" w:hint="default"/>
                <w:sz w:val="16"/>
                <w:szCs w:val="16"/>
              </w:rPr>
            </w:pPr>
            <w:r>
              <w:rPr>
                <w:rFonts w:ascii="Times New Roman"/>
                <w:sz w:val="16"/>
              </w:rPr>
              <w:t>37.50%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 w:right="0"/>
              <w:jc w:val="center"/>
              <w:rPr>
                <w:rFonts w:ascii="宋体" w:hAnsi="宋体" w:cs="宋体" w:eastAsia="宋体" w:hint="default"/>
                <w:sz w:val="16"/>
                <w:szCs w:val="16"/>
              </w:rPr>
            </w:pPr>
            <w:r>
              <w:rPr>
                <w:rFonts w:ascii="宋体" w:hAnsi="宋体" w:cs="宋体" w:eastAsia="宋体" w:hint="default"/>
                <w:sz w:val="16"/>
                <w:szCs w:val="16"/>
              </w:rPr>
              <w:t>云南昆明</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1"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IT</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与电力高科技产品</w:t>
            </w:r>
          </w:p>
        </w:tc>
      </w:tr>
      <w:tr>
        <w:trPr>
          <w:trHeight w:val="430"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93"/>
              <w:ind w:left="28" w:right="0"/>
              <w:jc w:val="left"/>
              <w:rPr>
                <w:rFonts w:ascii="宋体" w:hAnsi="宋体" w:cs="宋体" w:eastAsia="宋体" w:hint="default"/>
                <w:sz w:val="16"/>
                <w:szCs w:val="16"/>
              </w:rPr>
            </w:pPr>
            <w:r>
              <w:rPr>
                <w:rFonts w:ascii="宋体" w:hAnsi="宋体" w:cs="宋体" w:eastAsia="宋体" w:hint="default"/>
                <w:sz w:val="16"/>
                <w:szCs w:val="16"/>
              </w:rPr>
              <w:t>同方鼎欣科技股份有限公司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3"/>
              <w:jc w:val="center"/>
              <w:rPr>
                <w:rFonts w:ascii="Times New Roman" w:hAnsi="Times New Roman" w:cs="Times New Roman" w:eastAsia="Times New Roman" w:hint="default"/>
                <w:sz w:val="16"/>
                <w:szCs w:val="16"/>
              </w:rPr>
            </w:pPr>
            <w:r>
              <w:rPr>
                <w:rFonts w:ascii="Times New Roman"/>
                <w:sz w:val="16"/>
              </w:rPr>
              <w:t>20.00%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13" w:right="0"/>
              <w:jc w:val="center"/>
              <w:rPr>
                <w:rFonts w:ascii="Times New Roman" w:hAnsi="Times New Roman" w:cs="Times New Roman" w:eastAsia="Times New Roman" w:hint="default"/>
                <w:sz w:val="16"/>
                <w:szCs w:val="16"/>
              </w:rPr>
            </w:pPr>
            <w:r>
              <w:rPr>
                <w:rFonts w:ascii="Times New Roman"/>
                <w:sz w:val="16"/>
              </w:rPr>
              <w:t>20.00%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93"/>
              <w:ind w:left="15"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40" w:type="dxa"/>
            <w:tcBorders>
              <w:top w:val="nil" w:sz="6" w:space="0" w:color="auto"/>
              <w:left w:val="nil" w:sz="6" w:space="0" w:color="auto"/>
              <w:bottom w:val="nil" w:sz="6" w:space="0" w:color="auto"/>
              <w:right w:val="nil" w:sz="6" w:space="0" w:color="auto"/>
            </w:tcBorders>
          </w:tcPr>
          <w:p>
            <w:pPr>
              <w:pStyle w:val="TableParagraph"/>
              <w:spacing w:line="206" w:lineRule="exact" w:before="12"/>
              <w:ind w:left="51" w:right="76"/>
              <w:jc w:val="left"/>
              <w:rPr>
                <w:rFonts w:ascii="宋体" w:hAnsi="宋体" w:cs="宋体" w:eastAsia="宋体" w:hint="default"/>
                <w:sz w:val="16"/>
                <w:szCs w:val="16"/>
              </w:rPr>
            </w:pPr>
            <w:r>
              <w:rPr>
                <w:rFonts w:ascii="宋体" w:hAnsi="宋体" w:cs="宋体" w:eastAsia="宋体" w:hint="default"/>
                <w:spacing w:val="-4"/>
                <w:sz w:val="16"/>
                <w:szCs w:val="16"/>
              </w:rPr>
              <w:t>计算机软硬件产品、应用服务、劳务派遣、生产</w:t>
            </w:r>
            <w:r>
              <w:rPr>
                <w:rFonts w:ascii="宋体" w:hAnsi="宋体" w:cs="宋体" w:eastAsia="宋体" w:hint="default"/>
                <w:spacing w:val="-52"/>
                <w:sz w:val="16"/>
                <w:szCs w:val="16"/>
              </w:rPr>
              <w:t> </w:t>
            </w:r>
            <w:r>
              <w:rPr>
                <w:rFonts w:ascii="宋体" w:hAnsi="宋体" w:cs="宋体" w:eastAsia="宋体" w:hint="default"/>
                <w:spacing w:val="-52"/>
                <w:sz w:val="16"/>
                <w:szCs w:val="16"/>
              </w:rPr>
            </w:r>
            <w:r>
              <w:rPr>
                <w:rFonts w:ascii="宋体" w:hAnsi="宋体" w:cs="宋体" w:eastAsia="宋体" w:hint="default"/>
                <w:sz w:val="16"/>
                <w:szCs w:val="16"/>
              </w:rPr>
              <w:t>第二类医疗器械</w:t>
            </w:r>
          </w:p>
        </w:tc>
      </w:tr>
      <w:tr>
        <w:trPr>
          <w:trHeight w:val="434"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8" w:right="0"/>
              <w:jc w:val="left"/>
              <w:rPr>
                <w:rFonts w:ascii="宋体" w:hAnsi="宋体" w:cs="宋体" w:eastAsia="宋体" w:hint="default"/>
                <w:sz w:val="16"/>
                <w:szCs w:val="16"/>
              </w:rPr>
            </w:pPr>
            <w:r>
              <w:rPr>
                <w:rFonts w:ascii="宋体" w:hAnsi="宋体" w:cs="宋体" w:eastAsia="宋体" w:hint="default"/>
                <w:sz w:val="16"/>
                <w:szCs w:val="16"/>
              </w:rPr>
              <w:t>北京辰安科技股份有限公司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3"/>
              <w:jc w:val="center"/>
              <w:rPr>
                <w:rFonts w:ascii="Times New Roman" w:hAnsi="Times New Roman" w:cs="Times New Roman" w:eastAsia="Times New Roman" w:hint="default"/>
                <w:sz w:val="16"/>
                <w:szCs w:val="16"/>
              </w:rPr>
            </w:pPr>
            <w:r>
              <w:rPr>
                <w:rFonts w:ascii="Times New Roman"/>
                <w:sz w:val="16"/>
              </w:rPr>
              <w:t>11.25%</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13" w:right="0"/>
              <w:jc w:val="center"/>
              <w:rPr>
                <w:rFonts w:ascii="Times New Roman" w:hAnsi="Times New Roman" w:cs="Times New Roman" w:eastAsia="Times New Roman" w:hint="default"/>
                <w:sz w:val="16"/>
                <w:szCs w:val="16"/>
              </w:rPr>
            </w:pPr>
            <w:r>
              <w:rPr>
                <w:rFonts w:ascii="Times New Roman"/>
                <w:sz w:val="16"/>
              </w:rPr>
              <w:t>11.25%</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5"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40" w:type="dxa"/>
            <w:tcBorders>
              <w:top w:val="nil" w:sz="6" w:space="0" w:color="auto"/>
              <w:left w:val="nil" w:sz="6" w:space="0" w:color="auto"/>
              <w:bottom w:val="nil" w:sz="6" w:space="0" w:color="auto"/>
              <w:right w:val="nil" w:sz="6" w:space="0" w:color="auto"/>
            </w:tcBorders>
          </w:tcPr>
          <w:p>
            <w:pPr>
              <w:pStyle w:val="TableParagraph"/>
              <w:spacing w:line="183" w:lineRule="exact"/>
              <w:ind w:left="51" w:right="0"/>
              <w:jc w:val="left"/>
              <w:rPr>
                <w:rFonts w:ascii="宋体" w:hAnsi="宋体" w:cs="宋体" w:eastAsia="宋体" w:hint="default"/>
                <w:sz w:val="16"/>
                <w:szCs w:val="16"/>
              </w:rPr>
            </w:pPr>
            <w:r>
              <w:rPr>
                <w:rFonts w:ascii="宋体" w:hAnsi="宋体" w:cs="宋体" w:eastAsia="宋体" w:hint="default"/>
                <w:spacing w:val="-4"/>
                <w:sz w:val="16"/>
                <w:szCs w:val="16"/>
              </w:rPr>
              <w:t>公共安全应急装备、辐射检测仪器仪表及相关计</w:t>
            </w:r>
          </w:p>
          <w:p>
            <w:pPr>
              <w:pStyle w:val="TableParagraph"/>
              <w:spacing w:line="208" w:lineRule="exact"/>
              <w:ind w:left="51" w:right="0"/>
              <w:jc w:val="left"/>
              <w:rPr>
                <w:rFonts w:ascii="宋体" w:hAnsi="宋体" w:cs="宋体" w:eastAsia="宋体" w:hint="default"/>
                <w:sz w:val="16"/>
                <w:szCs w:val="16"/>
              </w:rPr>
            </w:pPr>
            <w:r>
              <w:rPr>
                <w:rFonts w:ascii="宋体" w:hAnsi="宋体" w:cs="宋体" w:eastAsia="宋体" w:hint="default"/>
                <w:sz w:val="16"/>
                <w:szCs w:val="16"/>
              </w:rPr>
              <w:t>算机软硬件研发、生产、销售</w:t>
            </w:r>
          </w:p>
        </w:tc>
      </w:tr>
      <w:tr>
        <w:trPr>
          <w:trHeight w:val="248"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04" w:lineRule="exact"/>
              <w:ind w:left="28" w:right="0"/>
              <w:jc w:val="left"/>
              <w:rPr>
                <w:rFonts w:ascii="宋体" w:hAnsi="宋体" w:cs="宋体" w:eastAsia="宋体" w:hint="default"/>
                <w:sz w:val="16"/>
                <w:szCs w:val="16"/>
              </w:rPr>
            </w:pPr>
            <w:r>
              <w:rPr>
                <w:rFonts w:ascii="宋体" w:hAnsi="宋体" w:cs="宋体" w:eastAsia="宋体" w:hint="default"/>
                <w:sz w:val="16"/>
                <w:szCs w:val="16"/>
              </w:rPr>
              <w:t>天津北方移动传媒有限公司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3"/>
              <w:jc w:val="center"/>
              <w:rPr>
                <w:rFonts w:ascii="Times New Roman" w:hAnsi="Times New Roman" w:cs="Times New Roman" w:eastAsia="Times New Roman" w:hint="default"/>
                <w:sz w:val="16"/>
                <w:szCs w:val="16"/>
              </w:rPr>
            </w:pPr>
            <w:r>
              <w:rPr>
                <w:rFonts w:ascii="Times New Roman"/>
                <w:sz w:val="16"/>
              </w:rPr>
              <w:t>49.00%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3" w:right="0"/>
              <w:jc w:val="center"/>
              <w:rPr>
                <w:rFonts w:ascii="Times New Roman" w:hAnsi="Times New Roman" w:cs="Times New Roman" w:eastAsia="Times New Roman" w:hint="default"/>
                <w:sz w:val="16"/>
                <w:szCs w:val="16"/>
              </w:rPr>
            </w:pPr>
            <w:r>
              <w:rPr>
                <w:rFonts w:ascii="Times New Roman"/>
                <w:sz w:val="16"/>
              </w:rPr>
              <w:t>49.00%</w:t>
            </w:r>
          </w:p>
        </w:tc>
        <w:tc>
          <w:tcPr>
            <w:tcW w:w="921" w:type="dxa"/>
            <w:tcBorders>
              <w:top w:val="nil" w:sz="6" w:space="0" w:color="auto"/>
              <w:left w:val="nil" w:sz="6" w:space="0" w:color="auto"/>
              <w:bottom w:val="nil" w:sz="6" w:space="0" w:color="auto"/>
              <w:right w:val="nil" w:sz="6" w:space="0" w:color="auto"/>
            </w:tcBorders>
          </w:tcPr>
          <w:p>
            <w:pPr>
              <w:pStyle w:val="TableParagraph"/>
              <w:spacing w:line="204" w:lineRule="exact"/>
              <w:ind w:left="15" w:right="0"/>
              <w:jc w:val="center"/>
              <w:rPr>
                <w:rFonts w:ascii="宋体" w:hAnsi="宋体" w:cs="宋体" w:eastAsia="宋体" w:hint="default"/>
                <w:sz w:val="16"/>
                <w:szCs w:val="16"/>
              </w:rPr>
            </w:pPr>
            <w:r>
              <w:rPr>
                <w:rFonts w:ascii="宋体" w:hAnsi="宋体" w:cs="宋体" w:eastAsia="宋体" w:hint="default"/>
                <w:sz w:val="16"/>
                <w:szCs w:val="16"/>
              </w:rPr>
              <w:t>天津河东</w:t>
            </w:r>
          </w:p>
        </w:tc>
        <w:tc>
          <w:tcPr>
            <w:tcW w:w="3440" w:type="dxa"/>
            <w:tcBorders>
              <w:top w:val="nil" w:sz="6" w:space="0" w:color="auto"/>
              <w:left w:val="nil" w:sz="6" w:space="0" w:color="auto"/>
              <w:bottom w:val="nil" w:sz="6" w:space="0" w:color="auto"/>
              <w:right w:val="nil" w:sz="6" w:space="0" w:color="auto"/>
            </w:tcBorders>
          </w:tcPr>
          <w:p>
            <w:pPr>
              <w:pStyle w:val="TableParagraph"/>
              <w:spacing w:line="204" w:lineRule="exact"/>
              <w:ind w:left="51" w:right="0"/>
              <w:jc w:val="left"/>
              <w:rPr>
                <w:rFonts w:ascii="宋体" w:hAnsi="宋体" w:cs="宋体" w:eastAsia="宋体" w:hint="default"/>
                <w:sz w:val="16"/>
                <w:szCs w:val="16"/>
              </w:rPr>
            </w:pPr>
            <w:r>
              <w:rPr>
                <w:rFonts w:ascii="宋体" w:hAnsi="宋体" w:cs="宋体" w:eastAsia="宋体" w:hint="default"/>
                <w:sz w:val="16"/>
                <w:szCs w:val="16"/>
              </w:rPr>
              <w:t>无线数字地面广播体系建设和管理</w:t>
            </w:r>
          </w:p>
        </w:tc>
      </w:tr>
      <w:tr>
        <w:trPr>
          <w:trHeight w:val="659"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8" w:right="0"/>
              <w:jc w:val="left"/>
              <w:rPr>
                <w:rFonts w:ascii="宋体" w:hAnsi="宋体" w:cs="宋体" w:eastAsia="宋体" w:hint="default"/>
                <w:sz w:val="16"/>
                <w:szCs w:val="16"/>
              </w:rPr>
            </w:pPr>
            <w:r>
              <w:rPr>
                <w:rFonts w:ascii="宋体" w:hAnsi="宋体" w:cs="宋体" w:eastAsia="宋体" w:hint="default"/>
                <w:sz w:val="16"/>
                <w:szCs w:val="16"/>
              </w:rPr>
              <w:t>新鸿电子有限公司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3"/>
              <w:jc w:val="center"/>
              <w:rPr>
                <w:rFonts w:ascii="Times New Roman" w:hAnsi="Times New Roman" w:cs="Times New Roman" w:eastAsia="Times New Roman" w:hint="default"/>
                <w:sz w:val="16"/>
                <w:szCs w:val="16"/>
              </w:rPr>
            </w:pPr>
            <w:r>
              <w:rPr>
                <w:rFonts w:ascii="Times New Roman"/>
                <w:sz w:val="16"/>
              </w:rPr>
              <w:t>70.00%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3" w:right="0"/>
              <w:jc w:val="center"/>
              <w:rPr>
                <w:rFonts w:ascii="Times New Roman" w:hAnsi="Times New Roman" w:cs="Times New Roman" w:eastAsia="Times New Roman" w:hint="default"/>
                <w:sz w:val="16"/>
                <w:szCs w:val="16"/>
              </w:rPr>
            </w:pPr>
            <w:r>
              <w:rPr>
                <w:rFonts w:ascii="Times New Roman"/>
                <w:sz w:val="16"/>
              </w:rPr>
              <w:t>70.00%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5" w:right="0"/>
              <w:jc w:val="center"/>
              <w:rPr>
                <w:rFonts w:ascii="宋体" w:hAnsi="宋体" w:cs="宋体" w:eastAsia="宋体" w:hint="default"/>
                <w:sz w:val="16"/>
                <w:szCs w:val="16"/>
              </w:rPr>
            </w:pPr>
            <w:r>
              <w:rPr>
                <w:rFonts w:ascii="宋体" w:hAnsi="宋体" w:cs="宋体" w:eastAsia="宋体" w:hint="default"/>
                <w:sz w:val="16"/>
                <w:szCs w:val="16"/>
              </w:rPr>
              <w:t>江苏常州</w:t>
            </w:r>
          </w:p>
        </w:tc>
        <w:tc>
          <w:tcPr>
            <w:tcW w:w="3440" w:type="dxa"/>
            <w:tcBorders>
              <w:top w:val="nil" w:sz="6" w:space="0" w:color="auto"/>
              <w:left w:val="nil" w:sz="6" w:space="0" w:color="auto"/>
              <w:bottom w:val="nil" w:sz="6" w:space="0" w:color="auto"/>
              <w:right w:val="nil" w:sz="6" w:space="0" w:color="auto"/>
            </w:tcBorders>
          </w:tcPr>
          <w:p>
            <w:pPr>
              <w:pStyle w:val="TableParagraph"/>
              <w:spacing w:line="230" w:lineRule="auto"/>
              <w:ind w:left="51" w:right="76"/>
              <w:jc w:val="both"/>
              <w:rPr>
                <w:rFonts w:ascii="宋体" w:hAnsi="宋体" w:cs="宋体" w:eastAsia="宋体" w:hint="default"/>
                <w:sz w:val="16"/>
                <w:szCs w:val="16"/>
              </w:rPr>
            </w:pPr>
            <w:r>
              <w:rPr>
                <w:rFonts w:ascii="宋体" w:hAnsi="宋体" w:cs="宋体" w:eastAsia="宋体" w:hint="default"/>
                <w:spacing w:val="-4"/>
                <w:sz w:val="16"/>
                <w:szCs w:val="16"/>
              </w:rPr>
              <w:t>纳米材料场致发射多点（包括单点）</w:t>
            </w:r>
            <w:r>
              <w:rPr>
                <w:rFonts w:ascii="Times New Roman" w:hAnsi="Times New Roman" w:cs="Times New Roman" w:eastAsia="Times New Roman" w:hint="default"/>
                <w:spacing w:val="-4"/>
                <w:sz w:val="16"/>
                <w:szCs w:val="16"/>
              </w:rPr>
              <w:t>X</w:t>
            </w:r>
            <w:r>
              <w:rPr>
                <w:rFonts w:ascii="Times New Roman" w:hAnsi="Times New Roman" w:cs="Times New Roman" w:eastAsia="Times New Roman" w:hint="default"/>
                <w:spacing w:val="14"/>
                <w:sz w:val="16"/>
                <w:szCs w:val="16"/>
              </w:rPr>
              <w:t> </w:t>
            </w:r>
            <w:r>
              <w:rPr>
                <w:rFonts w:ascii="宋体" w:hAnsi="宋体" w:cs="宋体" w:eastAsia="宋体" w:hint="default"/>
                <w:sz w:val="16"/>
                <w:szCs w:val="16"/>
              </w:rPr>
              <w:t>射线光源</w:t>
            </w:r>
            <w:r>
              <w:rPr>
                <w:rFonts w:ascii="宋体" w:hAnsi="宋体" w:cs="宋体" w:eastAsia="宋体" w:hint="default"/>
                <w:spacing w:val="-77"/>
                <w:sz w:val="16"/>
                <w:szCs w:val="16"/>
              </w:rPr>
              <w:t> </w:t>
            </w:r>
            <w:r>
              <w:rPr>
                <w:rFonts w:ascii="宋体" w:hAnsi="宋体" w:cs="宋体" w:eastAsia="宋体" w:hint="default"/>
                <w:spacing w:val="-77"/>
                <w:sz w:val="16"/>
                <w:szCs w:val="16"/>
              </w:rPr>
            </w:r>
            <w:r>
              <w:rPr>
                <w:rFonts w:ascii="宋体" w:hAnsi="宋体" w:cs="宋体" w:eastAsia="宋体" w:hint="default"/>
                <w:spacing w:val="-4"/>
                <w:sz w:val="16"/>
                <w:szCs w:val="16"/>
              </w:rPr>
              <w:t>产品及其零部件研发、设计、生产、销售自产产</w:t>
            </w:r>
            <w:r>
              <w:rPr>
                <w:rFonts w:ascii="宋体" w:hAnsi="宋体" w:cs="宋体" w:eastAsia="宋体" w:hint="default"/>
                <w:spacing w:val="-52"/>
                <w:sz w:val="16"/>
                <w:szCs w:val="16"/>
              </w:rPr>
              <w:t> </w:t>
            </w:r>
            <w:r>
              <w:rPr>
                <w:rFonts w:ascii="宋体" w:hAnsi="宋体" w:cs="宋体" w:eastAsia="宋体" w:hint="default"/>
                <w:spacing w:val="-52"/>
                <w:sz w:val="16"/>
                <w:szCs w:val="16"/>
              </w:rPr>
            </w:r>
            <w:r>
              <w:rPr>
                <w:rFonts w:ascii="宋体" w:hAnsi="宋体" w:cs="宋体" w:eastAsia="宋体" w:hint="default"/>
                <w:sz w:val="16"/>
                <w:szCs w:val="16"/>
              </w:rPr>
              <w:t>品，并提供售后机相关技术服务。</w:t>
            </w:r>
          </w:p>
        </w:tc>
      </w:tr>
      <w:tr>
        <w:trPr>
          <w:trHeight w:val="268"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04" w:lineRule="exact"/>
              <w:ind w:left="28" w:right="0"/>
              <w:jc w:val="left"/>
              <w:rPr>
                <w:rFonts w:ascii="宋体" w:hAnsi="宋体" w:cs="宋体" w:eastAsia="宋体" w:hint="default"/>
                <w:sz w:val="16"/>
                <w:szCs w:val="16"/>
              </w:rPr>
            </w:pPr>
            <w:r>
              <w:rPr>
                <w:rFonts w:ascii="宋体" w:hAnsi="宋体" w:cs="宋体" w:eastAsia="宋体" w:hint="default"/>
                <w:sz w:val="16"/>
                <w:szCs w:val="16"/>
              </w:rPr>
              <w:t>山西左云晋能新能源发电有限公司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3"/>
              <w:jc w:val="center"/>
              <w:rPr>
                <w:rFonts w:ascii="Times New Roman" w:hAnsi="Times New Roman" w:cs="Times New Roman" w:eastAsia="Times New Roman" w:hint="default"/>
                <w:sz w:val="16"/>
                <w:szCs w:val="16"/>
              </w:rPr>
            </w:pPr>
            <w:r>
              <w:rPr>
                <w:rFonts w:ascii="Times New Roman"/>
                <w:sz w:val="16"/>
              </w:rPr>
              <w:t>35.00%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3" w:right="0"/>
              <w:jc w:val="center"/>
              <w:rPr>
                <w:rFonts w:ascii="Times New Roman" w:hAnsi="Times New Roman" w:cs="Times New Roman" w:eastAsia="Times New Roman" w:hint="default"/>
                <w:sz w:val="16"/>
                <w:szCs w:val="16"/>
              </w:rPr>
            </w:pPr>
            <w:r>
              <w:rPr>
                <w:rFonts w:ascii="Times New Roman"/>
                <w:sz w:val="16"/>
              </w:rPr>
              <w:t>35.00%</w:t>
            </w:r>
          </w:p>
        </w:tc>
        <w:tc>
          <w:tcPr>
            <w:tcW w:w="921" w:type="dxa"/>
            <w:tcBorders>
              <w:top w:val="nil" w:sz="6" w:space="0" w:color="auto"/>
              <w:left w:val="nil" w:sz="6" w:space="0" w:color="auto"/>
              <w:bottom w:val="nil" w:sz="6" w:space="0" w:color="auto"/>
              <w:right w:val="nil" w:sz="6" w:space="0" w:color="auto"/>
            </w:tcBorders>
          </w:tcPr>
          <w:p>
            <w:pPr>
              <w:pStyle w:val="TableParagraph"/>
              <w:spacing w:line="204" w:lineRule="exact"/>
              <w:ind w:left="15" w:right="0"/>
              <w:jc w:val="center"/>
              <w:rPr>
                <w:rFonts w:ascii="宋体" w:hAnsi="宋体" w:cs="宋体" w:eastAsia="宋体" w:hint="default"/>
                <w:sz w:val="16"/>
                <w:szCs w:val="16"/>
              </w:rPr>
            </w:pPr>
            <w:r>
              <w:rPr>
                <w:rFonts w:ascii="宋体" w:hAnsi="宋体" w:cs="宋体" w:eastAsia="宋体" w:hint="default"/>
                <w:sz w:val="16"/>
                <w:szCs w:val="16"/>
              </w:rPr>
              <w:t>山西左云</w:t>
            </w:r>
          </w:p>
        </w:tc>
        <w:tc>
          <w:tcPr>
            <w:tcW w:w="3440" w:type="dxa"/>
            <w:tcBorders>
              <w:top w:val="nil" w:sz="6" w:space="0" w:color="auto"/>
              <w:left w:val="nil" w:sz="6" w:space="0" w:color="auto"/>
              <w:bottom w:val="nil" w:sz="6" w:space="0" w:color="auto"/>
              <w:right w:val="nil" w:sz="6" w:space="0" w:color="auto"/>
            </w:tcBorders>
          </w:tcPr>
          <w:p>
            <w:pPr>
              <w:pStyle w:val="TableParagraph"/>
              <w:spacing w:line="204" w:lineRule="exact"/>
              <w:ind w:left="51" w:right="0"/>
              <w:jc w:val="left"/>
              <w:rPr>
                <w:rFonts w:ascii="宋体" w:hAnsi="宋体" w:cs="宋体" w:eastAsia="宋体" w:hint="default"/>
                <w:sz w:val="16"/>
                <w:szCs w:val="16"/>
              </w:rPr>
            </w:pPr>
            <w:r>
              <w:rPr>
                <w:rFonts w:ascii="宋体" w:hAnsi="宋体" w:cs="宋体" w:eastAsia="宋体" w:hint="default"/>
                <w:sz w:val="16"/>
                <w:szCs w:val="16"/>
              </w:rPr>
              <w:t>煤矸石发电</w:t>
            </w:r>
          </w:p>
        </w:tc>
      </w:tr>
      <w:tr>
        <w:trPr>
          <w:trHeight w:val="265"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 w:right="0"/>
              <w:jc w:val="left"/>
              <w:rPr>
                <w:rFonts w:ascii="宋体" w:hAnsi="宋体" w:cs="宋体" w:eastAsia="宋体" w:hint="default"/>
                <w:sz w:val="16"/>
                <w:szCs w:val="16"/>
              </w:rPr>
            </w:pPr>
            <w:r>
              <w:rPr>
                <w:rFonts w:ascii="宋体" w:hAnsi="宋体" w:cs="宋体" w:eastAsia="宋体" w:hint="default"/>
                <w:sz w:val="16"/>
                <w:szCs w:val="16"/>
              </w:rPr>
              <w:t>泉州广电同方数字电视有限公司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
              <w:jc w:val="center"/>
              <w:rPr>
                <w:rFonts w:ascii="Times New Roman" w:hAnsi="Times New Roman" w:cs="Times New Roman" w:eastAsia="Times New Roman" w:hint="default"/>
                <w:sz w:val="16"/>
                <w:szCs w:val="16"/>
              </w:rPr>
            </w:pPr>
            <w:r>
              <w:rPr>
                <w:rFonts w:ascii="Times New Roman"/>
                <w:sz w:val="16"/>
              </w:rPr>
              <w:t>49.00%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 w:right="0"/>
              <w:jc w:val="center"/>
              <w:rPr>
                <w:rFonts w:ascii="Times New Roman" w:hAnsi="Times New Roman" w:cs="Times New Roman" w:eastAsia="Times New Roman" w:hint="default"/>
                <w:sz w:val="16"/>
                <w:szCs w:val="16"/>
              </w:rPr>
            </w:pPr>
            <w:r>
              <w:rPr>
                <w:rFonts w:ascii="Times New Roman"/>
                <w:sz w:val="16"/>
              </w:rPr>
              <w:t>49.00%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 w:right="0"/>
              <w:jc w:val="center"/>
              <w:rPr>
                <w:rFonts w:ascii="宋体" w:hAnsi="宋体" w:cs="宋体" w:eastAsia="宋体" w:hint="default"/>
                <w:sz w:val="16"/>
                <w:szCs w:val="16"/>
              </w:rPr>
            </w:pPr>
            <w:r>
              <w:rPr>
                <w:rFonts w:ascii="宋体" w:hAnsi="宋体" w:cs="宋体" w:eastAsia="宋体" w:hint="default"/>
                <w:sz w:val="16"/>
                <w:szCs w:val="16"/>
              </w:rPr>
              <w:t>福建泉州</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1" w:right="0"/>
              <w:jc w:val="left"/>
              <w:rPr>
                <w:rFonts w:ascii="宋体" w:hAnsi="宋体" w:cs="宋体" w:eastAsia="宋体" w:hint="default"/>
                <w:sz w:val="16"/>
                <w:szCs w:val="16"/>
              </w:rPr>
            </w:pPr>
            <w:r>
              <w:rPr>
                <w:rFonts w:ascii="宋体" w:hAnsi="宋体" w:cs="宋体" w:eastAsia="宋体" w:hint="default"/>
                <w:sz w:val="16"/>
                <w:szCs w:val="16"/>
              </w:rPr>
              <w:t>无线数字地面广播体系建设和管理</w:t>
            </w:r>
          </w:p>
        </w:tc>
      </w:tr>
      <w:tr>
        <w:trPr>
          <w:trHeight w:val="452"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08" w:lineRule="exact" w:before="11"/>
              <w:ind w:left="28" w:right="62"/>
              <w:jc w:val="left"/>
              <w:rPr>
                <w:rFonts w:ascii="宋体" w:hAnsi="宋体" w:cs="宋体" w:eastAsia="宋体" w:hint="default"/>
                <w:sz w:val="16"/>
                <w:szCs w:val="16"/>
              </w:rPr>
            </w:pPr>
            <w:r>
              <w:rPr>
                <w:rFonts w:ascii="宋体" w:hAnsi="宋体" w:cs="宋体" w:eastAsia="宋体" w:hint="default"/>
                <w:spacing w:val="4"/>
                <w:sz w:val="16"/>
                <w:szCs w:val="16"/>
              </w:rPr>
              <w:t>陕西省广电同方数字电视有限责任</w:t>
            </w:r>
            <w:r>
              <w:rPr>
                <w:rFonts w:ascii="宋体" w:hAnsi="宋体" w:cs="宋体" w:eastAsia="宋体" w:hint="default"/>
                <w:spacing w:val="-52"/>
                <w:sz w:val="16"/>
                <w:szCs w:val="16"/>
              </w:rPr>
              <w:t> </w:t>
            </w:r>
            <w:r>
              <w:rPr>
                <w:rFonts w:ascii="宋体" w:hAnsi="宋体" w:cs="宋体" w:eastAsia="宋体" w:hint="default"/>
                <w:spacing w:val="-52"/>
                <w:sz w:val="16"/>
                <w:szCs w:val="16"/>
              </w:rPr>
            </w:r>
            <w:r>
              <w:rPr>
                <w:rFonts w:ascii="宋体" w:hAnsi="宋体" w:cs="宋体" w:eastAsia="宋体" w:hint="default"/>
                <w:sz w:val="16"/>
                <w:szCs w:val="16"/>
              </w:rPr>
              <w:t>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3"/>
              <w:jc w:val="center"/>
              <w:rPr>
                <w:rFonts w:ascii="Times New Roman" w:hAnsi="Times New Roman" w:cs="Times New Roman" w:eastAsia="Times New Roman" w:hint="default"/>
                <w:sz w:val="16"/>
                <w:szCs w:val="16"/>
              </w:rPr>
            </w:pPr>
            <w:r>
              <w:rPr>
                <w:rFonts w:ascii="Times New Roman"/>
                <w:sz w:val="16"/>
              </w:rPr>
              <w:t>40.00%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13" w:right="0"/>
              <w:jc w:val="center"/>
              <w:rPr>
                <w:rFonts w:ascii="Times New Roman" w:hAnsi="Times New Roman" w:cs="Times New Roman" w:eastAsia="Times New Roman" w:hint="default"/>
                <w:sz w:val="16"/>
                <w:szCs w:val="16"/>
              </w:rPr>
            </w:pPr>
            <w:r>
              <w:rPr>
                <w:rFonts w:ascii="Times New Roman"/>
                <w:sz w:val="16"/>
              </w:rPr>
              <w:t>40.00%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5" w:right="0"/>
              <w:jc w:val="center"/>
              <w:rPr>
                <w:rFonts w:ascii="宋体" w:hAnsi="宋体" w:cs="宋体" w:eastAsia="宋体" w:hint="default"/>
                <w:sz w:val="16"/>
                <w:szCs w:val="16"/>
              </w:rPr>
            </w:pPr>
            <w:r>
              <w:rPr>
                <w:rFonts w:ascii="宋体" w:hAnsi="宋体" w:cs="宋体" w:eastAsia="宋体" w:hint="default"/>
                <w:sz w:val="16"/>
                <w:szCs w:val="16"/>
              </w:rPr>
              <w:t>陕西西安</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97"/>
              <w:ind w:left="51" w:right="0"/>
              <w:jc w:val="left"/>
              <w:rPr>
                <w:rFonts w:ascii="宋体" w:hAnsi="宋体" w:cs="宋体" w:eastAsia="宋体" w:hint="default"/>
                <w:sz w:val="16"/>
                <w:szCs w:val="16"/>
              </w:rPr>
            </w:pPr>
            <w:r>
              <w:rPr>
                <w:rFonts w:ascii="宋体" w:hAnsi="宋体" w:cs="宋体" w:eastAsia="宋体" w:hint="default"/>
                <w:sz w:val="16"/>
                <w:szCs w:val="16"/>
              </w:rPr>
              <w:t>无线数字地面广播体系建设和管理</w:t>
            </w:r>
          </w:p>
        </w:tc>
      </w:tr>
      <w:tr>
        <w:trPr>
          <w:trHeight w:val="267"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03" w:lineRule="exact"/>
              <w:ind w:left="28" w:right="0"/>
              <w:jc w:val="left"/>
              <w:rPr>
                <w:rFonts w:ascii="宋体" w:hAnsi="宋体" w:cs="宋体" w:eastAsia="宋体" w:hint="default"/>
                <w:sz w:val="16"/>
                <w:szCs w:val="16"/>
              </w:rPr>
            </w:pPr>
            <w:r>
              <w:rPr>
                <w:rFonts w:ascii="宋体" w:hAnsi="宋体" w:cs="宋体" w:eastAsia="宋体" w:hint="default"/>
                <w:sz w:val="16"/>
                <w:szCs w:val="16"/>
              </w:rPr>
              <w:t>商丘同方恒泰数字电视有限公司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
              <w:jc w:val="center"/>
              <w:rPr>
                <w:rFonts w:ascii="Times New Roman" w:hAnsi="Times New Roman" w:cs="Times New Roman" w:eastAsia="Times New Roman" w:hint="default"/>
                <w:sz w:val="16"/>
                <w:szCs w:val="16"/>
              </w:rPr>
            </w:pPr>
            <w:r>
              <w:rPr>
                <w:rFonts w:ascii="Times New Roman"/>
                <w:sz w:val="16"/>
              </w:rPr>
              <w:t>49.00%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3" w:right="0"/>
              <w:jc w:val="center"/>
              <w:rPr>
                <w:rFonts w:ascii="Times New Roman" w:hAnsi="Times New Roman" w:cs="Times New Roman" w:eastAsia="Times New Roman" w:hint="default"/>
                <w:sz w:val="16"/>
                <w:szCs w:val="16"/>
              </w:rPr>
            </w:pPr>
            <w:r>
              <w:rPr>
                <w:rFonts w:ascii="Times New Roman"/>
                <w:sz w:val="16"/>
              </w:rPr>
              <w:t>49.00%</w:t>
            </w:r>
          </w:p>
        </w:tc>
        <w:tc>
          <w:tcPr>
            <w:tcW w:w="921" w:type="dxa"/>
            <w:tcBorders>
              <w:top w:val="nil" w:sz="6" w:space="0" w:color="auto"/>
              <w:left w:val="nil" w:sz="6" w:space="0" w:color="auto"/>
              <w:bottom w:val="nil" w:sz="6" w:space="0" w:color="auto"/>
              <w:right w:val="nil" w:sz="6" w:space="0" w:color="auto"/>
            </w:tcBorders>
          </w:tcPr>
          <w:p>
            <w:pPr>
              <w:pStyle w:val="TableParagraph"/>
              <w:spacing w:line="203" w:lineRule="exact"/>
              <w:ind w:left="15" w:right="0"/>
              <w:jc w:val="center"/>
              <w:rPr>
                <w:rFonts w:ascii="宋体" w:hAnsi="宋体" w:cs="宋体" w:eastAsia="宋体" w:hint="default"/>
                <w:sz w:val="16"/>
                <w:szCs w:val="16"/>
              </w:rPr>
            </w:pPr>
            <w:r>
              <w:rPr>
                <w:rFonts w:ascii="宋体" w:hAnsi="宋体" w:cs="宋体" w:eastAsia="宋体" w:hint="default"/>
                <w:sz w:val="16"/>
                <w:szCs w:val="16"/>
              </w:rPr>
              <w:t>河南商丘</w:t>
            </w:r>
          </w:p>
        </w:tc>
        <w:tc>
          <w:tcPr>
            <w:tcW w:w="3440" w:type="dxa"/>
            <w:tcBorders>
              <w:top w:val="nil" w:sz="6" w:space="0" w:color="auto"/>
              <w:left w:val="nil" w:sz="6" w:space="0" w:color="auto"/>
              <w:bottom w:val="nil" w:sz="6" w:space="0" w:color="auto"/>
              <w:right w:val="nil" w:sz="6" w:space="0" w:color="auto"/>
            </w:tcBorders>
          </w:tcPr>
          <w:p>
            <w:pPr>
              <w:pStyle w:val="TableParagraph"/>
              <w:spacing w:line="203" w:lineRule="exact"/>
              <w:ind w:left="51" w:right="0"/>
              <w:jc w:val="left"/>
              <w:rPr>
                <w:rFonts w:ascii="宋体" w:hAnsi="宋体" w:cs="宋体" w:eastAsia="宋体" w:hint="default"/>
                <w:sz w:val="16"/>
                <w:szCs w:val="16"/>
              </w:rPr>
            </w:pPr>
            <w:r>
              <w:rPr>
                <w:rFonts w:ascii="宋体" w:hAnsi="宋体" w:cs="宋体" w:eastAsia="宋体" w:hint="default"/>
                <w:sz w:val="16"/>
                <w:szCs w:val="16"/>
              </w:rPr>
              <w:t>无线数字地面广播体系建设和管理</w:t>
            </w:r>
          </w:p>
        </w:tc>
      </w:tr>
      <w:tr>
        <w:trPr>
          <w:trHeight w:val="286"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 w:right="0"/>
              <w:jc w:val="left"/>
              <w:rPr>
                <w:rFonts w:ascii="宋体" w:hAnsi="宋体" w:cs="宋体" w:eastAsia="宋体" w:hint="default"/>
                <w:sz w:val="16"/>
                <w:szCs w:val="16"/>
              </w:rPr>
            </w:pPr>
            <w:r>
              <w:rPr>
                <w:rFonts w:ascii="宋体" w:hAnsi="宋体" w:cs="宋体" w:eastAsia="宋体" w:hint="default"/>
                <w:sz w:val="16"/>
                <w:szCs w:val="16"/>
              </w:rPr>
              <w:t>北京同方时讯电子有限公司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
              <w:jc w:val="center"/>
              <w:rPr>
                <w:rFonts w:ascii="Times New Roman" w:hAnsi="Times New Roman" w:cs="Times New Roman" w:eastAsia="Times New Roman" w:hint="default"/>
                <w:sz w:val="16"/>
                <w:szCs w:val="16"/>
              </w:rPr>
            </w:pPr>
            <w:r>
              <w:rPr>
                <w:rFonts w:ascii="Times New Roman"/>
                <w:sz w:val="16"/>
              </w:rPr>
              <w:t>30.00%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 w:right="0"/>
              <w:jc w:val="center"/>
              <w:rPr>
                <w:rFonts w:ascii="Times New Roman" w:hAnsi="Times New Roman" w:cs="Times New Roman" w:eastAsia="Times New Roman" w:hint="default"/>
                <w:sz w:val="16"/>
                <w:szCs w:val="16"/>
              </w:rPr>
            </w:pPr>
            <w:r>
              <w:rPr>
                <w:rFonts w:ascii="Times New Roman"/>
                <w:sz w:val="16"/>
              </w:rPr>
              <w:t>30.00%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1" w:right="0"/>
              <w:jc w:val="left"/>
              <w:rPr>
                <w:rFonts w:ascii="宋体" w:hAnsi="宋体" w:cs="宋体" w:eastAsia="宋体" w:hint="default"/>
                <w:sz w:val="16"/>
                <w:szCs w:val="16"/>
              </w:rPr>
            </w:pPr>
            <w:r>
              <w:rPr>
                <w:rFonts w:ascii="宋体" w:hAnsi="宋体" w:cs="宋体" w:eastAsia="宋体" w:hint="default"/>
                <w:sz w:val="16"/>
                <w:szCs w:val="16"/>
              </w:rPr>
              <w:t>军用电子标签</w:t>
            </w:r>
          </w:p>
        </w:tc>
      </w:tr>
      <w:tr>
        <w:trPr>
          <w:trHeight w:val="286"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 w:right="0"/>
              <w:jc w:val="left"/>
              <w:rPr>
                <w:rFonts w:ascii="宋体" w:hAnsi="宋体" w:cs="宋体" w:eastAsia="宋体" w:hint="default"/>
                <w:sz w:val="16"/>
                <w:szCs w:val="16"/>
              </w:rPr>
            </w:pPr>
            <w:r>
              <w:rPr>
                <w:rFonts w:ascii="宋体" w:hAnsi="宋体" w:cs="宋体" w:eastAsia="宋体" w:hint="default"/>
                <w:sz w:val="16"/>
                <w:szCs w:val="16"/>
              </w:rPr>
              <w:t>濮阳广电同方数字电视有限公司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
              <w:jc w:val="center"/>
              <w:rPr>
                <w:rFonts w:ascii="Times New Roman" w:hAnsi="Times New Roman" w:cs="Times New Roman" w:eastAsia="Times New Roman" w:hint="default"/>
                <w:sz w:val="16"/>
                <w:szCs w:val="16"/>
              </w:rPr>
            </w:pPr>
            <w:r>
              <w:rPr>
                <w:rFonts w:ascii="Times New Roman"/>
                <w:sz w:val="16"/>
              </w:rPr>
              <w:t>49.00%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 w:right="0"/>
              <w:jc w:val="center"/>
              <w:rPr>
                <w:rFonts w:ascii="Times New Roman" w:hAnsi="Times New Roman" w:cs="Times New Roman" w:eastAsia="Times New Roman" w:hint="default"/>
                <w:sz w:val="16"/>
                <w:szCs w:val="16"/>
              </w:rPr>
            </w:pPr>
            <w:r>
              <w:rPr>
                <w:rFonts w:ascii="Times New Roman"/>
                <w:sz w:val="16"/>
              </w:rPr>
              <w:t>49.00%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 w:right="0"/>
              <w:jc w:val="center"/>
              <w:rPr>
                <w:rFonts w:ascii="宋体" w:hAnsi="宋体" w:cs="宋体" w:eastAsia="宋体" w:hint="default"/>
                <w:sz w:val="16"/>
                <w:szCs w:val="16"/>
              </w:rPr>
            </w:pPr>
            <w:r>
              <w:rPr>
                <w:rFonts w:ascii="宋体" w:hAnsi="宋体" w:cs="宋体" w:eastAsia="宋体" w:hint="default"/>
                <w:sz w:val="16"/>
                <w:szCs w:val="16"/>
              </w:rPr>
              <w:t>河南濮阳</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1" w:right="0"/>
              <w:jc w:val="left"/>
              <w:rPr>
                <w:rFonts w:ascii="宋体" w:hAnsi="宋体" w:cs="宋体" w:eastAsia="宋体" w:hint="default"/>
                <w:sz w:val="16"/>
                <w:szCs w:val="16"/>
              </w:rPr>
            </w:pPr>
            <w:r>
              <w:rPr>
                <w:rFonts w:ascii="宋体" w:hAnsi="宋体" w:cs="宋体" w:eastAsia="宋体" w:hint="default"/>
                <w:sz w:val="16"/>
                <w:szCs w:val="16"/>
              </w:rPr>
              <w:t>无线数字地面广播体系建设和管理</w:t>
            </w:r>
          </w:p>
        </w:tc>
      </w:tr>
      <w:tr>
        <w:trPr>
          <w:trHeight w:val="284"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 w:right="0"/>
              <w:jc w:val="left"/>
              <w:rPr>
                <w:rFonts w:ascii="宋体" w:hAnsi="宋体" w:cs="宋体" w:eastAsia="宋体" w:hint="default"/>
                <w:sz w:val="16"/>
                <w:szCs w:val="16"/>
              </w:rPr>
            </w:pPr>
            <w:r>
              <w:rPr>
                <w:rFonts w:ascii="宋体" w:hAnsi="宋体" w:cs="宋体" w:eastAsia="宋体" w:hint="default"/>
                <w:sz w:val="16"/>
                <w:szCs w:val="16"/>
              </w:rPr>
              <w:t>许昌广电同方数字电视有限公司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
              <w:jc w:val="center"/>
              <w:rPr>
                <w:rFonts w:ascii="Times New Roman" w:hAnsi="Times New Roman" w:cs="Times New Roman" w:eastAsia="Times New Roman" w:hint="default"/>
                <w:sz w:val="16"/>
                <w:szCs w:val="16"/>
              </w:rPr>
            </w:pPr>
            <w:r>
              <w:rPr>
                <w:rFonts w:ascii="Times New Roman"/>
                <w:sz w:val="16"/>
              </w:rPr>
              <w:t>49.00%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 w:right="0"/>
              <w:jc w:val="center"/>
              <w:rPr>
                <w:rFonts w:ascii="Times New Roman" w:hAnsi="Times New Roman" w:cs="Times New Roman" w:eastAsia="Times New Roman" w:hint="default"/>
                <w:sz w:val="16"/>
                <w:szCs w:val="16"/>
              </w:rPr>
            </w:pPr>
            <w:r>
              <w:rPr>
                <w:rFonts w:ascii="Times New Roman"/>
                <w:sz w:val="16"/>
              </w:rPr>
              <w:t>49.00%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 w:right="0"/>
              <w:jc w:val="center"/>
              <w:rPr>
                <w:rFonts w:ascii="宋体" w:hAnsi="宋体" w:cs="宋体" w:eastAsia="宋体" w:hint="default"/>
                <w:sz w:val="16"/>
                <w:szCs w:val="16"/>
              </w:rPr>
            </w:pPr>
            <w:r>
              <w:rPr>
                <w:rFonts w:ascii="宋体" w:hAnsi="宋体" w:cs="宋体" w:eastAsia="宋体" w:hint="default"/>
                <w:sz w:val="16"/>
                <w:szCs w:val="16"/>
              </w:rPr>
              <w:t>河南许昌</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1" w:right="0"/>
              <w:jc w:val="left"/>
              <w:rPr>
                <w:rFonts w:ascii="宋体" w:hAnsi="宋体" w:cs="宋体" w:eastAsia="宋体" w:hint="default"/>
                <w:sz w:val="16"/>
                <w:szCs w:val="16"/>
              </w:rPr>
            </w:pPr>
            <w:r>
              <w:rPr>
                <w:rFonts w:ascii="宋体" w:hAnsi="宋体" w:cs="宋体" w:eastAsia="宋体" w:hint="default"/>
                <w:sz w:val="16"/>
                <w:szCs w:val="16"/>
              </w:rPr>
              <w:t>无线数字地面广播体系建设和管理</w:t>
            </w:r>
          </w:p>
        </w:tc>
      </w:tr>
      <w:tr>
        <w:trPr>
          <w:trHeight w:val="265"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8" w:right="0"/>
              <w:jc w:val="left"/>
              <w:rPr>
                <w:rFonts w:ascii="宋体" w:hAnsi="宋体" w:cs="宋体" w:eastAsia="宋体" w:hint="default"/>
                <w:sz w:val="16"/>
                <w:szCs w:val="16"/>
              </w:rPr>
            </w:pPr>
            <w:r>
              <w:rPr>
                <w:rFonts w:ascii="宋体" w:hAnsi="宋体" w:cs="宋体" w:eastAsia="宋体" w:hint="default"/>
                <w:sz w:val="16"/>
                <w:szCs w:val="16"/>
              </w:rPr>
              <w:t>日照广电同方数字电视有限公司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3"/>
              <w:jc w:val="center"/>
              <w:rPr>
                <w:rFonts w:ascii="Times New Roman" w:hAnsi="Times New Roman" w:cs="Times New Roman" w:eastAsia="Times New Roman" w:hint="default"/>
                <w:sz w:val="16"/>
                <w:szCs w:val="16"/>
              </w:rPr>
            </w:pPr>
            <w:r>
              <w:rPr>
                <w:rFonts w:ascii="Times New Roman"/>
                <w:sz w:val="16"/>
              </w:rPr>
              <w:t>49.00%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3" w:right="0"/>
              <w:jc w:val="center"/>
              <w:rPr>
                <w:rFonts w:ascii="Times New Roman" w:hAnsi="Times New Roman" w:cs="Times New Roman" w:eastAsia="Times New Roman" w:hint="default"/>
                <w:sz w:val="16"/>
                <w:szCs w:val="16"/>
              </w:rPr>
            </w:pPr>
            <w:r>
              <w:rPr>
                <w:rFonts w:ascii="Times New Roman"/>
                <w:sz w:val="16"/>
              </w:rPr>
              <w:t>49.00%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5" w:right="0"/>
              <w:jc w:val="center"/>
              <w:rPr>
                <w:rFonts w:ascii="宋体" w:hAnsi="宋体" w:cs="宋体" w:eastAsia="宋体" w:hint="default"/>
                <w:sz w:val="16"/>
                <w:szCs w:val="16"/>
              </w:rPr>
            </w:pPr>
            <w:r>
              <w:rPr>
                <w:rFonts w:ascii="宋体" w:hAnsi="宋体" w:cs="宋体" w:eastAsia="宋体" w:hint="default"/>
                <w:sz w:val="16"/>
                <w:szCs w:val="16"/>
              </w:rPr>
              <w:t>山东日照</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51" w:right="0"/>
              <w:jc w:val="left"/>
              <w:rPr>
                <w:rFonts w:ascii="宋体" w:hAnsi="宋体" w:cs="宋体" w:eastAsia="宋体" w:hint="default"/>
                <w:sz w:val="16"/>
                <w:szCs w:val="16"/>
              </w:rPr>
            </w:pPr>
            <w:r>
              <w:rPr>
                <w:rFonts w:ascii="宋体" w:hAnsi="宋体" w:cs="宋体" w:eastAsia="宋体" w:hint="default"/>
                <w:sz w:val="16"/>
                <w:szCs w:val="16"/>
              </w:rPr>
              <w:t>无线数字地面广播体系建设和管理</w:t>
            </w:r>
          </w:p>
        </w:tc>
      </w:tr>
      <w:tr>
        <w:trPr>
          <w:trHeight w:val="452"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95"/>
              <w:ind w:left="28" w:right="0"/>
              <w:jc w:val="left"/>
              <w:rPr>
                <w:rFonts w:ascii="宋体" w:hAnsi="宋体" w:cs="宋体" w:eastAsia="宋体" w:hint="default"/>
                <w:sz w:val="16"/>
                <w:szCs w:val="16"/>
              </w:rPr>
            </w:pPr>
            <w:r>
              <w:rPr>
                <w:rFonts w:ascii="宋体" w:hAnsi="宋体" w:cs="宋体" w:eastAsia="宋体" w:hint="default"/>
                <w:spacing w:val="-17"/>
                <w:sz w:val="16"/>
                <w:szCs w:val="16"/>
              </w:rPr>
              <w:t>南阳广电同方数字电视有限责任公司</w:t>
            </w:r>
            <w:r>
              <w:rPr>
                <w:rFonts w:ascii="宋体" w:hAnsi="宋体" w:cs="宋体" w:eastAsia="宋体" w:hint="default"/>
                <w:sz w:val="16"/>
                <w:szCs w:val="16"/>
              </w:rPr>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3"/>
              <w:jc w:val="center"/>
              <w:rPr>
                <w:rFonts w:ascii="Times New Roman" w:hAnsi="Times New Roman" w:cs="Times New Roman" w:eastAsia="Times New Roman" w:hint="default"/>
                <w:sz w:val="16"/>
                <w:szCs w:val="16"/>
              </w:rPr>
            </w:pPr>
            <w:r>
              <w:rPr>
                <w:rFonts w:ascii="Times New Roman"/>
                <w:sz w:val="16"/>
              </w:rPr>
              <w:t>49.00%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13" w:right="0"/>
              <w:jc w:val="center"/>
              <w:rPr>
                <w:rFonts w:ascii="Times New Roman" w:hAnsi="Times New Roman" w:cs="Times New Roman" w:eastAsia="Times New Roman" w:hint="default"/>
                <w:sz w:val="16"/>
                <w:szCs w:val="16"/>
              </w:rPr>
            </w:pPr>
            <w:r>
              <w:rPr>
                <w:rFonts w:ascii="Times New Roman"/>
                <w:sz w:val="16"/>
              </w:rPr>
              <w:t>49.00%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5" w:right="0"/>
              <w:jc w:val="center"/>
              <w:rPr>
                <w:rFonts w:ascii="宋体" w:hAnsi="宋体" w:cs="宋体" w:eastAsia="宋体" w:hint="default"/>
                <w:sz w:val="16"/>
                <w:szCs w:val="16"/>
              </w:rPr>
            </w:pPr>
            <w:r>
              <w:rPr>
                <w:rFonts w:ascii="宋体" w:hAnsi="宋体" w:cs="宋体" w:eastAsia="宋体" w:hint="default"/>
                <w:sz w:val="16"/>
                <w:szCs w:val="16"/>
              </w:rPr>
              <w:t>河南南阳</w:t>
            </w:r>
          </w:p>
        </w:tc>
        <w:tc>
          <w:tcPr>
            <w:tcW w:w="3440" w:type="dxa"/>
            <w:tcBorders>
              <w:top w:val="nil" w:sz="6" w:space="0" w:color="auto"/>
              <w:left w:val="nil" w:sz="6" w:space="0" w:color="auto"/>
              <w:bottom w:val="nil" w:sz="6" w:space="0" w:color="auto"/>
              <w:right w:val="nil" w:sz="6" w:space="0" w:color="auto"/>
            </w:tcBorders>
          </w:tcPr>
          <w:p>
            <w:pPr>
              <w:pStyle w:val="TableParagraph"/>
              <w:spacing w:line="206" w:lineRule="exact" w:before="14"/>
              <w:ind w:left="51" w:right="0"/>
              <w:jc w:val="left"/>
              <w:rPr>
                <w:rFonts w:ascii="宋体" w:hAnsi="宋体" w:cs="宋体" w:eastAsia="宋体" w:hint="default"/>
                <w:sz w:val="16"/>
                <w:szCs w:val="16"/>
              </w:rPr>
            </w:pPr>
            <w:r>
              <w:rPr>
                <w:rFonts w:ascii="宋体" w:hAnsi="宋体" w:cs="宋体" w:eastAsia="宋体" w:hint="default"/>
                <w:spacing w:val="-7"/>
                <w:w w:val="100"/>
                <w:sz w:val="16"/>
                <w:szCs w:val="16"/>
              </w:rPr>
              <w:t>数字电视技术的咨询，电子产品、通讯产品销售，</w:t>
            </w:r>
            <w:r>
              <w:rPr>
                <w:rFonts w:ascii="宋体" w:hAnsi="宋体" w:cs="宋体" w:eastAsia="宋体" w:hint="default"/>
                <w:w w:val="100"/>
                <w:sz w:val="16"/>
                <w:szCs w:val="16"/>
              </w:rPr>
              <w:t> </w:t>
            </w:r>
            <w:r>
              <w:rPr>
                <w:rFonts w:ascii="宋体" w:hAnsi="宋体" w:cs="宋体" w:eastAsia="宋体" w:hint="default"/>
                <w:sz w:val="16"/>
                <w:szCs w:val="16"/>
              </w:rPr>
              <w:t>广告设计、制作、代理、发布</w:t>
            </w:r>
          </w:p>
        </w:tc>
      </w:tr>
      <w:tr>
        <w:trPr>
          <w:trHeight w:val="269"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04" w:lineRule="exact"/>
              <w:ind w:left="28" w:right="0"/>
              <w:jc w:val="left"/>
              <w:rPr>
                <w:rFonts w:ascii="宋体" w:hAnsi="宋体" w:cs="宋体" w:eastAsia="宋体" w:hint="default"/>
                <w:sz w:val="16"/>
                <w:szCs w:val="16"/>
              </w:rPr>
            </w:pPr>
            <w:r>
              <w:rPr>
                <w:rFonts w:ascii="宋体" w:hAnsi="宋体" w:cs="宋体" w:eastAsia="宋体" w:hint="default"/>
                <w:sz w:val="16"/>
                <w:szCs w:val="16"/>
              </w:rPr>
              <w:t>北京迈信力通科技有限公司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3"/>
              <w:jc w:val="center"/>
              <w:rPr>
                <w:rFonts w:ascii="Times New Roman" w:hAnsi="Times New Roman" w:cs="Times New Roman" w:eastAsia="Times New Roman" w:hint="default"/>
                <w:sz w:val="16"/>
                <w:szCs w:val="16"/>
              </w:rPr>
            </w:pPr>
            <w:r>
              <w:rPr>
                <w:rFonts w:ascii="Times New Roman"/>
                <w:sz w:val="16"/>
              </w:rPr>
              <w:t>15.00%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3" w:right="0"/>
              <w:jc w:val="center"/>
              <w:rPr>
                <w:rFonts w:ascii="Times New Roman" w:hAnsi="Times New Roman" w:cs="Times New Roman" w:eastAsia="Times New Roman" w:hint="default"/>
                <w:sz w:val="16"/>
                <w:szCs w:val="16"/>
              </w:rPr>
            </w:pPr>
            <w:r>
              <w:rPr>
                <w:rFonts w:ascii="Times New Roman"/>
                <w:sz w:val="16"/>
              </w:rPr>
              <w:t>15.00%</w:t>
            </w:r>
          </w:p>
        </w:tc>
        <w:tc>
          <w:tcPr>
            <w:tcW w:w="921" w:type="dxa"/>
            <w:tcBorders>
              <w:top w:val="nil" w:sz="6" w:space="0" w:color="auto"/>
              <w:left w:val="nil" w:sz="6" w:space="0" w:color="auto"/>
              <w:bottom w:val="nil" w:sz="6" w:space="0" w:color="auto"/>
              <w:right w:val="nil" w:sz="6" w:space="0" w:color="auto"/>
            </w:tcBorders>
          </w:tcPr>
          <w:p>
            <w:pPr>
              <w:pStyle w:val="TableParagraph"/>
              <w:spacing w:line="204" w:lineRule="exact"/>
              <w:ind w:left="15"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40" w:type="dxa"/>
            <w:tcBorders>
              <w:top w:val="nil" w:sz="6" w:space="0" w:color="auto"/>
              <w:left w:val="nil" w:sz="6" w:space="0" w:color="auto"/>
              <w:bottom w:val="nil" w:sz="6" w:space="0" w:color="auto"/>
              <w:right w:val="nil" w:sz="6" w:space="0" w:color="auto"/>
            </w:tcBorders>
          </w:tcPr>
          <w:p>
            <w:pPr>
              <w:pStyle w:val="TableParagraph"/>
              <w:spacing w:line="204" w:lineRule="exact"/>
              <w:ind w:left="51" w:right="0"/>
              <w:jc w:val="left"/>
              <w:rPr>
                <w:rFonts w:ascii="宋体" w:hAnsi="宋体" w:cs="宋体" w:eastAsia="宋体" w:hint="default"/>
                <w:sz w:val="16"/>
                <w:szCs w:val="16"/>
              </w:rPr>
            </w:pPr>
            <w:r>
              <w:rPr>
                <w:rFonts w:ascii="宋体" w:hAnsi="宋体" w:cs="宋体" w:eastAsia="宋体" w:hint="default"/>
                <w:sz w:val="16"/>
                <w:szCs w:val="16"/>
              </w:rPr>
              <w:t>通讯设备、计算机、软件及辅助设备购销</w:t>
            </w:r>
          </w:p>
        </w:tc>
      </w:tr>
      <w:tr>
        <w:trPr>
          <w:trHeight w:val="266"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8" w:right="0"/>
              <w:jc w:val="left"/>
              <w:rPr>
                <w:rFonts w:ascii="宋体" w:hAnsi="宋体" w:cs="宋体" w:eastAsia="宋体" w:hint="default"/>
                <w:sz w:val="16"/>
                <w:szCs w:val="16"/>
              </w:rPr>
            </w:pPr>
            <w:r>
              <w:rPr>
                <w:rFonts w:ascii="宋体" w:hAnsi="宋体" w:cs="宋体" w:eastAsia="宋体" w:hint="default"/>
                <w:sz w:val="16"/>
                <w:szCs w:val="16"/>
              </w:rPr>
              <w:t>运城市蓝星同方数字电视有限公司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
              <w:jc w:val="center"/>
              <w:rPr>
                <w:rFonts w:ascii="Times New Roman" w:hAnsi="Times New Roman" w:cs="Times New Roman" w:eastAsia="Times New Roman" w:hint="default"/>
                <w:sz w:val="16"/>
                <w:szCs w:val="16"/>
              </w:rPr>
            </w:pPr>
            <w:r>
              <w:rPr>
                <w:rFonts w:ascii="Times New Roman"/>
                <w:sz w:val="16"/>
              </w:rPr>
              <w:t>49.00%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 w:right="0"/>
              <w:jc w:val="center"/>
              <w:rPr>
                <w:rFonts w:ascii="Times New Roman" w:hAnsi="Times New Roman" w:cs="Times New Roman" w:eastAsia="Times New Roman" w:hint="default"/>
                <w:sz w:val="16"/>
                <w:szCs w:val="16"/>
              </w:rPr>
            </w:pPr>
            <w:r>
              <w:rPr>
                <w:rFonts w:ascii="Times New Roman"/>
                <w:sz w:val="16"/>
              </w:rPr>
              <w:t>49.00%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5" w:right="0"/>
              <w:jc w:val="center"/>
              <w:rPr>
                <w:rFonts w:ascii="宋体" w:hAnsi="宋体" w:cs="宋体" w:eastAsia="宋体" w:hint="default"/>
                <w:sz w:val="16"/>
                <w:szCs w:val="16"/>
              </w:rPr>
            </w:pPr>
            <w:r>
              <w:rPr>
                <w:rFonts w:ascii="宋体" w:hAnsi="宋体" w:cs="宋体" w:eastAsia="宋体" w:hint="default"/>
                <w:sz w:val="16"/>
                <w:szCs w:val="16"/>
              </w:rPr>
              <w:t>山西运城</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1" w:right="0"/>
              <w:jc w:val="left"/>
              <w:rPr>
                <w:rFonts w:ascii="宋体" w:hAnsi="宋体" w:cs="宋体" w:eastAsia="宋体" w:hint="default"/>
                <w:sz w:val="16"/>
                <w:szCs w:val="16"/>
              </w:rPr>
            </w:pPr>
            <w:r>
              <w:rPr>
                <w:rFonts w:ascii="宋体" w:hAnsi="宋体" w:cs="宋体" w:eastAsia="宋体" w:hint="default"/>
                <w:sz w:val="16"/>
                <w:szCs w:val="16"/>
              </w:rPr>
              <w:t>无线数字地面广播体系建设和管理</w:t>
            </w:r>
          </w:p>
        </w:tc>
      </w:tr>
      <w:tr>
        <w:trPr>
          <w:trHeight w:val="659"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8" w:right="0"/>
              <w:jc w:val="left"/>
              <w:rPr>
                <w:rFonts w:ascii="宋体" w:hAnsi="宋体" w:cs="宋体" w:eastAsia="宋体" w:hint="default"/>
                <w:sz w:val="16"/>
                <w:szCs w:val="16"/>
              </w:rPr>
            </w:pPr>
            <w:r>
              <w:rPr>
                <w:rFonts w:ascii="宋体" w:hAnsi="宋体" w:cs="宋体" w:eastAsia="宋体" w:hint="default"/>
                <w:sz w:val="16"/>
                <w:szCs w:val="16"/>
              </w:rPr>
              <w:t>张家口电广文化传媒有限公司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3"/>
              <w:jc w:val="center"/>
              <w:rPr>
                <w:rFonts w:ascii="Times New Roman" w:hAnsi="Times New Roman" w:cs="Times New Roman" w:eastAsia="Times New Roman" w:hint="default"/>
                <w:sz w:val="16"/>
                <w:szCs w:val="16"/>
              </w:rPr>
            </w:pPr>
            <w:r>
              <w:rPr>
                <w:rFonts w:ascii="Times New Roman"/>
                <w:sz w:val="16"/>
              </w:rPr>
              <w:t>49.00%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3" w:right="0"/>
              <w:jc w:val="center"/>
              <w:rPr>
                <w:rFonts w:ascii="Times New Roman" w:hAnsi="Times New Roman" w:cs="Times New Roman" w:eastAsia="Times New Roman" w:hint="default"/>
                <w:sz w:val="16"/>
                <w:szCs w:val="16"/>
              </w:rPr>
            </w:pPr>
            <w:r>
              <w:rPr>
                <w:rFonts w:ascii="Times New Roman"/>
                <w:sz w:val="16"/>
              </w:rPr>
              <w:t>49.00%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5" w:right="0"/>
              <w:jc w:val="center"/>
              <w:rPr>
                <w:rFonts w:ascii="宋体" w:hAnsi="宋体" w:cs="宋体" w:eastAsia="宋体" w:hint="default"/>
                <w:sz w:val="16"/>
                <w:szCs w:val="16"/>
              </w:rPr>
            </w:pPr>
            <w:r>
              <w:rPr>
                <w:rFonts w:ascii="宋体" w:hAnsi="宋体" w:cs="宋体" w:eastAsia="宋体" w:hint="default"/>
                <w:sz w:val="16"/>
                <w:szCs w:val="16"/>
              </w:rPr>
              <w:t>河北张家口</w:t>
            </w:r>
          </w:p>
        </w:tc>
        <w:tc>
          <w:tcPr>
            <w:tcW w:w="3440" w:type="dxa"/>
            <w:tcBorders>
              <w:top w:val="nil" w:sz="6" w:space="0" w:color="auto"/>
              <w:left w:val="nil" w:sz="6" w:space="0" w:color="auto"/>
              <w:bottom w:val="nil" w:sz="6" w:space="0" w:color="auto"/>
              <w:right w:val="nil" w:sz="6" w:space="0" w:color="auto"/>
            </w:tcBorders>
          </w:tcPr>
          <w:p>
            <w:pPr>
              <w:pStyle w:val="TableParagraph"/>
              <w:spacing w:line="237" w:lineRule="auto"/>
              <w:ind w:left="51" w:right="77"/>
              <w:jc w:val="both"/>
              <w:rPr>
                <w:rFonts w:ascii="宋体" w:hAnsi="宋体" w:cs="宋体" w:eastAsia="宋体" w:hint="default"/>
                <w:sz w:val="16"/>
                <w:szCs w:val="16"/>
              </w:rPr>
            </w:pPr>
            <w:r>
              <w:rPr>
                <w:rFonts w:ascii="宋体" w:hAnsi="宋体" w:cs="宋体" w:eastAsia="宋体" w:hint="default"/>
                <w:spacing w:val="-4"/>
                <w:sz w:val="16"/>
                <w:szCs w:val="16"/>
              </w:rPr>
              <w:t>对地面数字电视、移动多媒体广播电视、付费电</w:t>
            </w:r>
            <w:r>
              <w:rPr>
                <w:rFonts w:ascii="宋体" w:hAnsi="宋体" w:cs="宋体" w:eastAsia="宋体" w:hint="default"/>
                <w:spacing w:val="-52"/>
                <w:sz w:val="16"/>
                <w:szCs w:val="16"/>
              </w:rPr>
              <w:t> </w:t>
            </w:r>
            <w:r>
              <w:rPr>
                <w:rFonts w:ascii="宋体" w:hAnsi="宋体" w:cs="宋体" w:eastAsia="宋体" w:hint="default"/>
                <w:spacing w:val="-52"/>
                <w:sz w:val="16"/>
                <w:szCs w:val="16"/>
              </w:rPr>
            </w:r>
            <w:r>
              <w:rPr>
                <w:rFonts w:ascii="宋体" w:hAnsi="宋体" w:cs="宋体" w:eastAsia="宋体" w:hint="default"/>
                <w:spacing w:val="-4"/>
                <w:sz w:val="16"/>
                <w:szCs w:val="16"/>
              </w:rPr>
              <w:t>视投资、开发、建设、管理；电子产品研发、生</w:t>
            </w:r>
            <w:r>
              <w:rPr>
                <w:rFonts w:ascii="宋体" w:hAnsi="宋体" w:cs="宋体" w:eastAsia="宋体" w:hint="default"/>
                <w:spacing w:val="-54"/>
                <w:sz w:val="16"/>
                <w:szCs w:val="16"/>
              </w:rPr>
              <w:t> </w:t>
            </w:r>
            <w:r>
              <w:rPr>
                <w:rFonts w:ascii="宋体" w:hAnsi="宋体" w:cs="宋体" w:eastAsia="宋体" w:hint="default"/>
                <w:spacing w:val="-54"/>
                <w:sz w:val="16"/>
                <w:szCs w:val="16"/>
              </w:rPr>
            </w:r>
            <w:r>
              <w:rPr>
                <w:rFonts w:ascii="宋体" w:hAnsi="宋体" w:cs="宋体" w:eastAsia="宋体" w:hint="default"/>
                <w:sz w:val="16"/>
                <w:szCs w:val="16"/>
              </w:rPr>
              <w:t>产销售；广告设计、制作、代理、发布</w:t>
            </w:r>
          </w:p>
        </w:tc>
      </w:tr>
      <w:tr>
        <w:trPr>
          <w:trHeight w:val="268"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04" w:lineRule="exact"/>
              <w:ind w:left="28" w:right="0"/>
              <w:jc w:val="left"/>
              <w:rPr>
                <w:rFonts w:ascii="宋体" w:hAnsi="宋体" w:cs="宋体" w:eastAsia="宋体" w:hint="default"/>
                <w:sz w:val="16"/>
                <w:szCs w:val="16"/>
              </w:rPr>
            </w:pPr>
            <w:r>
              <w:rPr>
                <w:rFonts w:ascii="宋体" w:hAnsi="宋体" w:cs="宋体" w:eastAsia="宋体" w:hint="default"/>
                <w:sz w:val="16"/>
                <w:szCs w:val="16"/>
              </w:rPr>
              <w:t>开封广电同方数字电视有限公司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3"/>
              <w:jc w:val="center"/>
              <w:rPr>
                <w:rFonts w:ascii="Times New Roman" w:hAnsi="Times New Roman" w:cs="Times New Roman" w:eastAsia="Times New Roman" w:hint="default"/>
                <w:sz w:val="16"/>
                <w:szCs w:val="16"/>
              </w:rPr>
            </w:pPr>
            <w:r>
              <w:rPr>
                <w:rFonts w:ascii="Times New Roman"/>
                <w:sz w:val="16"/>
              </w:rPr>
              <w:t>49.00%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3" w:right="0"/>
              <w:jc w:val="center"/>
              <w:rPr>
                <w:rFonts w:ascii="Times New Roman" w:hAnsi="Times New Roman" w:cs="Times New Roman" w:eastAsia="Times New Roman" w:hint="default"/>
                <w:sz w:val="16"/>
                <w:szCs w:val="16"/>
              </w:rPr>
            </w:pPr>
            <w:r>
              <w:rPr>
                <w:rFonts w:ascii="Times New Roman"/>
                <w:sz w:val="16"/>
              </w:rPr>
              <w:t>49.00%</w:t>
            </w:r>
          </w:p>
        </w:tc>
        <w:tc>
          <w:tcPr>
            <w:tcW w:w="921" w:type="dxa"/>
            <w:tcBorders>
              <w:top w:val="nil" w:sz="6" w:space="0" w:color="auto"/>
              <w:left w:val="nil" w:sz="6" w:space="0" w:color="auto"/>
              <w:bottom w:val="nil" w:sz="6" w:space="0" w:color="auto"/>
              <w:right w:val="nil" w:sz="6" w:space="0" w:color="auto"/>
            </w:tcBorders>
          </w:tcPr>
          <w:p>
            <w:pPr>
              <w:pStyle w:val="TableParagraph"/>
              <w:spacing w:line="204" w:lineRule="exact"/>
              <w:ind w:left="15" w:right="0"/>
              <w:jc w:val="center"/>
              <w:rPr>
                <w:rFonts w:ascii="宋体" w:hAnsi="宋体" w:cs="宋体" w:eastAsia="宋体" w:hint="default"/>
                <w:sz w:val="16"/>
                <w:szCs w:val="16"/>
              </w:rPr>
            </w:pPr>
            <w:r>
              <w:rPr>
                <w:rFonts w:ascii="宋体" w:hAnsi="宋体" w:cs="宋体" w:eastAsia="宋体" w:hint="default"/>
                <w:sz w:val="16"/>
                <w:szCs w:val="16"/>
              </w:rPr>
              <w:t>河南开封</w:t>
            </w:r>
          </w:p>
        </w:tc>
        <w:tc>
          <w:tcPr>
            <w:tcW w:w="3440" w:type="dxa"/>
            <w:tcBorders>
              <w:top w:val="nil" w:sz="6" w:space="0" w:color="auto"/>
              <w:left w:val="nil" w:sz="6" w:space="0" w:color="auto"/>
              <w:bottom w:val="nil" w:sz="6" w:space="0" w:color="auto"/>
              <w:right w:val="nil" w:sz="6" w:space="0" w:color="auto"/>
            </w:tcBorders>
          </w:tcPr>
          <w:p>
            <w:pPr>
              <w:pStyle w:val="TableParagraph"/>
              <w:spacing w:line="204" w:lineRule="exact"/>
              <w:ind w:left="51" w:right="0"/>
              <w:jc w:val="left"/>
              <w:rPr>
                <w:rFonts w:ascii="宋体" w:hAnsi="宋体" w:cs="宋体" w:eastAsia="宋体" w:hint="default"/>
                <w:sz w:val="16"/>
                <w:szCs w:val="16"/>
              </w:rPr>
            </w:pPr>
            <w:r>
              <w:rPr>
                <w:rFonts w:ascii="宋体" w:hAnsi="宋体" w:cs="宋体" w:eastAsia="宋体" w:hint="default"/>
                <w:sz w:val="16"/>
                <w:szCs w:val="16"/>
              </w:rPr>
              <w:t>无线数字地面广播体系建设和管理</w:t>
            </w:r>
          </w:p>
        </w:tc>
      </w:tr>
      <w:tr>
        <w:trPr>
          <w:trHeight w:val="284"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 w:right="0"/>
              <w:jc w:val="left"/>
              <w:rPr>
                <w:rFonts w:ascii="宋体" w:hAnsi="宋体" w:cs="宋体" w:eastAsia="宋体" w:hint="default"/>
                <w:sz w:val="16"/>
                <w:szCs w:val="16"/>
              </w:rPr>
            </w:pPr>
            <w:r>
              <w:rPr>
                <w:rFonts w:ascii="宋体" w:hAnsi="宋体" w:cs="宋体" w:eastAsia="宋体" w:hint="default"/>
                <w:sz w:val="16"/>
                <w:szCs w:val="16"/>
              </w:rPr>
              <w:t>达州广电同方数字电视有限公司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
              <w:jc w:val="center"/>
              <w:rPr>
                <w:rFonts w:ascii="Times New Roman" w:hAnsi="Times New Roman" w:cs="Times New Roman" w:eastAsia="Times New Roman" w:hint="default"/>
                <w:sz w:val="16"/>
                <w:szCs w:val="16"/>
              </w:rPr>
            </w:pPr>
            <w:r>
              <w:rPr>
                <w:rFonts w:ascii="Times New Roman"/>
                <w:sz w:val="16"/>
              </w:rPr>
              <w:t>49.00%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 w:right="0"/>
              <w:jc w:val="center"/>
              <w:rPr>
                <w:rFonts w:ascii="Times New Roman" w:hAnsi="Times New Roman" w:cs="Times New Roman" w:eastAsia="Times New Roman" w:hint="default"/>
                <w:sz w:val="16"/>
                <w:szCs w:val="16"/>
              </w:rPr>
            </w:pPr>
            <w:r>
              <w:rPr>
                <w:rFonts w:ascii="Times New Roman"/>
                <w:sz w:val="16"/>
              </w:rPr>
              <w:t>49.00%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 w:right="0"/>
              <w:jc w:val="center"/>
              <w:rPr>
                <w:rFonts w:ascii="宋体" w:hAnsi="宋体" w:cs="宋体" w:eastAsia="宋体" w:hint="default"/>
                <w:sz w:val="16"/>
                <w:szCs w:val="16"/>
              </w:rPr>
            </w:pPr>
            <w:r>
              <w:rPr>
                <w:rFonts w:ascii="宋体" w:hAnsi="宋体" w:cs="宋体" w:eastAsia="宋体" w:hint="default"/>
                <w:sz w:val="16"/>
                <w:szCs w:val="16"/>
              </w:rPr>
              <w:t>四川达州</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1" w:right="0"/>
              <w:jc w:val="left"/>
              <w:rPr>
                <w:rFonts w:ascii="宋体" w:hAnsi="宋体" w:cs="宋体" w:eastAsia="宋体" w:hint="default"/>
                <w:sz w:val="16"/>
                <w:szCs w:val="16"/>
              </w:rPr>
            </w:pPr>
            <w:r>
              <w:rPr>
                <w:rFonts w:ascii="宋体" w:hAnsi="宋体" w:cs="宋体" w:eastAsia="宋体" w:hint="default"/>
                <w:sz w:val="16"/>
                <w:szCs w:val="16"/>
              </w:rPr>
              <w:t>无线数字地面广播体系建设和管理</w:t>
            </w:r>
          </w:p>
        </w:tc>
      </w:tr>
      <w:tr>
        <w:trPr>
          <w:trHeight w:val="284"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8" w:right="0"/>
              <w:jc w:val="left"/>
              <w:rPr>
                <w:rFonts w:ascii="宋体" w:hAnsi="宋体" w:cs="宋体" w:eastAsia="宋体" w:hint="default"/>
                <w:sz w:val="16"/>
                <w:szCs w:val="16"/>
              </w:rPr>
            </w:pPr>
            <w:r>
              <w:rPr>
                <w:rFonts w:ascii="宋体" w:hAnsi="宋体" w:cs="宋体" w:eastAsia="宋体" w:hint="default"/>
                <w:sz w:val="16"/>
                <w:szCs w:val="16"/>
              </w:rPr>
              <w:t>广州同方瑞风空调有限公司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3"/>
              <w:jc w:val="center"/>
              <w:rPr>
                <w:rFonts w:ascii="Times New Roman" w:hAnsi="Times New Roman" w:cs="Times New Roman" w:eastAsia="Times New Roman" w:hint="default"/>
                <w:sz w:val="16"/>
                <w:szCs w:val="16"/>
              </w:rPr>
            </w:pPr>
            <w:r>
              <w:rPr>
                <w:rFonts w:ascii="Times New Roman"/>
                <w:sz w:val="16"/>
              </w:rPr>
              <w:t>25.00%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3" w:right="0"/>
              <w:jc w:val="center"/>
              <w:rPr>
                <w:rFonts w:ascii="Times New Roman" w:hAnsi="Times New Roman" w:cs="Times New Roman" w:eastAsia="Times New Roman" w:hint="default"/>
                <w:sz w:val="16"/>
                <w:szCs w:val="16"/>
              </w:rPr>
            </w:pPr>
            <w:r>
              <w:rPr>
                <w:rFonts w:ascii="Times New Roman"/>
                <w:sz w:val="16"/>
              </w:rPr>
              <w:t>25.00%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5" w:right="0"/>
              <w:jc w:val="center"/>
              <w:rPr>
                <w:rFonts w:ascii="宋体" w:hAnsi="宋体" w:cs="宋体" w:eastAsia="宋体" w:hint="default"/>
                <w:sz w:val="16"/>
                <w:szCs w:val="16"/>
              </w:rPr>
            </w:pPr>
            <w:r>
              <w:rPr>
                <w:rFonts w:ascii="宋体" w:hAnsi="宋体" w:cs="宋体" w:eastAsia="宋体" w:hint="default"/>
                <w:sz w:val="16"/>
                <w:szCs w:val="16"/>
              </w:rPr>
              <w:t>广东广州</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51" w:right="0"/>
              <w:jc w:val="left"/>
              <w:rPr>
                <w:rFonts w:ascii="宋体" w:hAnsi="宋体" w:cs="宋体" w:eastAsia="宋体" w:hint="default"/>
                <w:sz w:val="16"/>
                <w:szCs w:val="16"/>
              </w:rPr>
            </w:pPr>
            <w:r>
              <w:rPr>
                <w:rFonts w:ascii="宋体" w:hAnsi="宋体" w:cs="宋体" w:eastAsia="宋体" w:hint="default"/>
                <w:sz w:val="16"/>
                <w:szCs w:val="16"/>
              </w:rPr>
              <w:t>制冷空调设备制造等</w:t>
            </w:r>
          </w:p>
        </w:tc>
      </w:tr>
      <w:tr>
        <w:trPr>
          <w:trHeight w:val="266"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 w:right="0"/>
              <w:jc w:val="left"/>
              <w:rPr>
                <w:rFonts w:ascii="宋体" w:hAnsi="宋体" w:cs="宋体" w:eastAsia="宋体" w:hint="default"/>
                <w:sz w:val="16"/>
                <w:szCs w:val="16"/>
              </w:rPr>
            </w:pPr>
            <w:r>
              <w:rPr>
                <w:rFonts w:ascii="宋体" w:hAnsi="宋体" w:cs="宋体" w:eastAsia="宋体" w:hint="default"/>
                <w:sz w:val="16"/>
                <w:szCs w:val="16"/>
              </w:rPr>
              <w:t>天门广电同方数字电视有限公司</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
              <w:jc w:val="center"/>
              <w:rPr>
                <w:rFonts w:ascii="Times New Roman" w:hAnsi="Times New Roman" w:cs="Times New Roman" w:eastAsia="Times New Roman" w:hint="default"/>
                <w:sz w:val="16"/>
                <w:szCs w:val="16"/>
              </w:rPr>
            </w:pPr>
            <w:r>
              <w:rPr>
                <w:rFonts w:ascii="Times New Roman"/>
                <w:sz w:val="16"/>
              </w:rPr>
              <w:t>49.00%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 w:right="0"/>
              <w:jc w:val="center"/>
              <w:rPr>
                <w:rFonts w:ascii="Times New Roman" w:hAnsi="Times New Roman" w:cs="Times New Roman" w:eastAsia="Times New Roman" w:hint="default"/>
                <w:sz w:val="16"/>
                <w:szCs w:val="16"/>
              </w:rPr>
            </w:pPr>
            <w:r>
              <w:rPr>
                <w:rFonts w:ascii="Times New Roman"/>
                <w:sz w:val="16"/>
              </w:rPr>
              <w:t>49.00%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 w:right="0"/>
              <w:jc w:val="center"/>
              <w:rPr>
                <w:rFonts w:ascii="宋体" w:hAnsi="宋体" w:cs="宋体" w:eastAsia="宋体" w:hint="default"/>
                <w:sz w:val="16"/>
                <w:szCs w:val="16"/>
              </w:rPr>
            </w:pPr>
            <w:r>
              <w:rPr>
                <w:rFonts w:ascii="宋体" w:hAnsi="宋体" w:cs="宋体" w:eastAsia="宋体" w:hint="default"/>
                <w:sz w:val="16"/>
                <w:szCs w:val="16"/>
              </w:rPr>
              <w:t>湖北天门</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1" w:right="0"/>
              <w:jc w:val="left"/>
              <w:rPr>
                <w:rFonts w:ascii="宋体" w:hAnsi="宋体" w:cs="宋体" w:eastAsia="宋体" w:hint="default"/>
                <w:sz w:val="16"/>
                <w:szCs w:val="16"/>
              </w:rPr>
            </w:pPr>
            <w:r>
              <w:rPr>
                <w:rFonts w:ascii="宋体" w:hAnsi="宋体" w:cs="宋体" w:eastAsia="宋体" w:hint="default"/>
                <w:sz w:val="16"/>
                <w:szCs w:val="16"/>
              </w:rPr>
              <w:t>无线数字地面广播体系建设和管理</w:t>
            </w:r>
          </w:p>
        </w:tc>
      </w:tr>
      <w:tr>
        <w:trPr>
          <w:trHeight w:val="448" w:hRule="exact"/>
        </w:trPr>
        <w:tc>
          <w:tcPr>
            <w:tcW w:w="2588"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left="28" w:right="0"/>
              <w:jc w:val="left"/>
              <w:rPr>
                <w:rFonts w:ascii="宋体" w:hAnsi="宋体" w:cs="宋体" w:eastAsia="宋体" w:hint="default"/>
                <w:sz w:val="16"/>
                <w:szCs w:val="16"/>
              </w:rPr>
            </w:pPr>
            <w:r>
              <w:rPr>
                <w:rFonts w:ascii="宋体" w:hAnsi="宋体" w:cs="宋体" w:eastAsia="宋体" w:hint="default"/>
                <w:sz w:val="16"/>
                <w:szCs w:val="16"/>
              </w:rPr>
              <w:t>北京中检科威科技有限公司</w:t>
            </w:r>
          </w:p>
        </w:tc>
        <w:tc>
          <w:tcPr>
            <w:tcW w:w="790" w:type="dxa"/>
            <w:tcBorders>
              <w:top w:val="nil" w:sz="6" w:space="0" w:color="auto"/>
              <w:left w:val="nil" w:sz="6" w:space="0" w:color="auto"/>
              <w:bottom w:val="single" w:sz="12" w:space="0" w:color="000000"/>
              <w:right w:val="nil" w:sz="6" w:space="0" w:color="auto"/>
            </w:tcBorders>
          </w:tcPr>
          <w:p>
            <w:pPr>
              <w:pStyle w:val="TableParagraph"/>
              <w:spacing w:line="240" w:lineRule="auto" w:before="128"/>
              <w:ind w:right="13"/>
              <w:jc w:val="center"/>
              <w:rPr>
                <w:rFonts w:ascii="Times New Roman" w:hAnsi="Times New Roman" w:cs="Times New Roman" w:eastAsia="Times New Roman" w:hint="default"/>
                <w:sz w:val="16"/>
                <w:szCs w:val="16"/>
              </w:rPr>
            </w:pPr>
            <w:r>
              <w:rPr>
                <w:rFonts w:ascii="Times New Roman"/>
                <w:sz w:val="16"/>
              </w:rPr>
              <w:t>50.00%</w:t>
            </w:r>
          </w:p>
        </w:tc>
        <w:tc>
          <w:tcPr>
            <w:tcW w:w="953" w:type="dxa"/>
            <w:tcBorders>
              <w:top w:val="nil" w:sz="6" w:space="0" w:color="auto"/>
              <w:left w:val="nil" w:sz="6" w:space="0" w:color="auto"/>
              <w:bottom w:val="single" w:sz="12" w:space="0" w:color="000000"/>
              <w:right w:val="nil" w:sz="6" w:space="0" w:color="auto"/>
            </w:tcBorders>
          </w:tcPr>
          <w:p>
            <w:pPr>
              <w:pStyle w:val="TableParagraph"/>
              <w:spacing w:line="240" w:lineRule="auto" w:before="128"/>
              <w:ind w:left="13" w:right="0"/>
              <w:jc w:val="center"/>
              <w:rPr>
                <w:rFonts w:ascii="Times New Roman" w:hAnsi="Times New Roman" w:cs="Times New Roman" w:eastAsia="Times New Roman" w:hint="default"/>
                <w:sz w:val="16"/>
                <w:szCs w:val="16"/>
              </w:rPr>
            </w:pPr>
            <w:r>
              <w:rPr>
                <w:rFonts w:ascii="Times New Roman"/>
                <w:sz w:val="16"/>
              </w:rPr>
              <w:t>50.00%</w:t>
            </w:r>
          </w:p>
        </w:tc>
        <w:tc>
          <w:tcPr>
            <w:tcW w:w="921"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left="15"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40" w:type="dxa"/>
            <w:tcBorders>
              <w:top w:val="nil" w:sz="6" w:space="0" w:color="auto"/>
              <w:left w:val="nil" w:sz="6" w:space="0" w:color="auto"/>
              <w:bottom w:val="single" w:sz="12" w:space="0" w:color="000000"/>
              <w:right w:val="nil" w:sz="6" w:space="0" w:color="auto"/>
            </w:tcBorders>
          </w:tcPr>
          <w:p>
            <w:pPr>
              <w:pStyle w:val="TableParagraph"/>
              <w:spacing w:line="206" w:lineRule="exact" w:before="14"/>
              <w:ind w:left="51" w:right="24"/>
              <w:jc w:val="left"/>
              <w:rPr>
                <w:rFonts w:ascii="宋体" w:hAnsi="宋体" w:cs="宋体" w:eastAsia="宋体" w:hint="default"/>
                <w:sz w:val="16"/>
                <w:szCs w:val="16"/>
              </w:rPr>
            </w:pPr>
            <w:r>
              <w:rPr>
                <w:rFonts w:ascii="宋体" w:hAnsi="宋体" w:cs="宋体" w:eastAsia="宋体" w:hint="default"/>
                <w:spacing w:val="-1"/>
                <w:sz w:val="16"/>
                <w:szCs w:val="16"/>
              </w:rPr>
              <w:t>仪器仪表和成套设施设备的研发、生产、销售；</w:t>
            </w:r>
            <w:r>
              <w:rPr>
                <w:rFonts w:ascii="宋体" w:hAnsi="宋体" w:cs="宋体" w:eastAsia="宋体" w:hint="default"/>
                <w:spacing w:val="-61"/>
                <w:sz w:val="16"/>
                <w:szCs w:val="16"/>
              </w:rPr>
              <w:t> </w:t>
            </w:r>
            <w:r>
              <w:rPr>
                <w:rFonts w:ascii="宋体" w:hAnsi="宋体" w:cs="宋体" w:eastAsia="宋体" w:hint="default"/>
                <w:spacing w:val="-61"/>
                <w:sz w:val="16"/>
                <w:szCs w:val="16"/>
              </w:rPr>
            </w:r>
            <w:r>
              <w:rPr>
                <w:rFonts w:ascii="宋体" w:hAnsi="宋体" w:cs="宋体" w:eastAsia="宋体" w:hint="default"/>
                <w:sz w:val="16"/>
                <w:szCs w:val="16"/>
              </w:rPr>
              <w:t>杀虫灭菌处理；货物或技术进出口贸易</w:t>
            </w:r>
          </w:p>
        </w:tc>
      </w:tr>
    </w:tbl>
    <w:p>
      <w:pPr>
        <w:spacing w:after="0" w:line="206" w:lineRule="exact"/>
        <w:jc w:val="left"/>
        <w:rPr>
          <w:rFonts w:ascii="宋体" w:hAnsi="宋体" w:cs="宋体" w:eastAsia="宋体" w:hint="default"/>
          <w:sz w:val="16"/>
          <w:szCs w:val="16"/>
        </w:rPr>
        <w:sectPr>
          <w:pgSz w:w="11910" w:h="16840"/>
          <w:pgMar w:header="645" w:footer="816" w:top="1080" w:bottom="1000" w:left="1500" w:right="144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1"/>
          <w:szCs w:val="11"/>
        </w:rPr>
      </w:pPr>
    </w:p>
    <w:tbl>
      <w:tblPr>
        <w:tblW w:w="0" w:type="auto"/>
        <w:jc w:val="left"/>
        <w:tblInd w:w="158" w:type="dxa"/>
        <w:tblLayout w:type="fixed"/>
        <w:tblCellMar>
          <w:top w:w="0" w:type="dxa"/>
          <w:left w:w="0" w:type="dxa"/>
          <w:bottom w:w="0" w:type="dxa"/>
          <w:right w:w="0" w:type="dxa"/>
        </w:tblCellMar>
        <w:tblLook w:val="01E0"/>
      </w:tblPr>
      <w:tblGrid>
        <w:gridCol w:w="2603"/>
        <w:gridCol w:w="789"/>
        <w:gridCol w:w="953"/>
        <w:gridCol w:w="921"/>
        <w:gridCol w:w="3443"/>
      </w:tblGrid>
      <w:tr>
        <w:trPr>
          <w:trHeight w:val="307" w:hRule="exact"/>
        </w:trPr>
        <w:tc>
          <w:tcPr>
            <w:tcW w:w="2603"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43" w:right="0"/>
              <w:jc w:val="left"/>
              <w:rPr>
                <w:rFonts w:ascii="宋体" w:hAnsi="宋体" w:cs="宋体" w:eastAsia="宋体" w:hint="default"/>
                <w:sz w:val="16"/>
                <w:szCs w:val="16"/>
              </w:rPr>
            </w:pPr>
            <w:r>
              <w:rPr>
                <w:rFonts w:ascii="宋体" w:hAnsi="宋体" w:cs="宋体" w:eastAsia="宋体" w:hint="default"/>
                <w:b/>
                <w:bCs/>
                <w:sz w:val="16"/>
                <w:szCs w:val="16"/>
              </w:rPr>
              <w:t>被投资单位名称</w:t>
            </w:r>
            <w:r>
              <w:rPr>
                <w:rFonts w:ascii="宋体" w:hAnsi="宋体" w:cs="宋体" w:eastAsia="宋体" w:hint="default"/>
                <w:sz w:val="16"/>
                <w:szCs w:val="16"/>
              </w:rPr>
            </w:r>
          </w:p>
        </w:tc>
        <w:tc>
          <w:tcPr>
            <w:tcW w:w="789"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15"/>
              <w:jc w:val="center"/>
              <w:rPr>
                <w:rFonts w:ascii="宋体" w:hAnsi="宋体" w:cs="宋体" w:eastAsia="宋体" w:hint="default"/>
                <w:sz w:val="16"/>
                <w:szCs w:val="16"/>
              </w:rPr>
            </w:pPr>
            <w:r>
              <w:rPr>
                <w:rFonts w:ascii="宋体" w:hAnsi="宋体" w:cs="宋体" w:eastAsia="宋体" w:hint="default"/>
                <w:b/>
                <w:bCs/>
                <w:sz w:val="16"/>
                <w:szCs w:val="16"/>
              </w:rPr>
              <w:t>持股比例</w:t>
            </w:r>
            <w:r>
              <w:rPr>
                <w:rFonts w:ascii="宋体" w:hAnsi="宋体" w:cs="宋体" w:eastAsia="宋体" w:hint="default"/>
                <w:sz w:val="16"/>
                <w:szCs w:val="16"/>
              </w:rPr>
            </w:r>
          </w:p>
        </w:tc>
        <w:tc>
          <w:tcPr>
            <w:tcW w:w="953"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14" w:right="0"/>
              <w:jc w:val="center"/>
              <w:rPr>
                <w:rFonts w:ascii="宋体" w:hAnsi="宋体" w:cs="宋体" w:eastAsia="宋体" w:hint="default"/>
                <w:sz w:val="16"/>
                <w:szCs w:val="16"/>
              </w:rPr>
            </w:pPr>
            <w:r>
              <w:rPr>
                <w:rFonts w:ascii="宋体" w:hAnsi="宋体" w:cs="宋体" w:eastAsia="宋体" w:hint="default"/>
                <w:b/>
                <w:bCs/>
                <w:sz w:val="16"/>
                <w:szCs w:val="16"/>
              </w:rPr>
              <w:t>表决权比例</w:t>
            </w:r>
            <w:r>
              <w:rPr>
                <w:rFonts w:ascii="宋体" w:hAnsi="宋体" w:cs="宋体" w:eastAsia="宋体" w:hint="default"/>
                <w:sz w:val="16"/>
                <w:szCs w:val="16"/>
              </w:rPr>
            </w:r>
          </w:p>
        </w:tc>
        <w:tc>
          <w:tcPr>
            <w:tcW w:w="921"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13" w:right="0"/>
              <w:jc w:val="center"/>
              <w:rPr>
                <w:rFonts w:ascii="宋体" w:hAnsi="宋体" w:cs="宋体" w:eastAsia="宋体" w:hint="default"/>
                <w:sz w:val="16"/>
                <w:szCs w:val="16"/>
              </w:rPr>
            </w:pPr>
            <w:r>
              <w:rPr>
                <w:rFonts w:ascii="宋体" w:hAnsi="宋体" w:cs="宋体" w:eastAsia="宋体" w:hint="default"/>
                <w:b/>
                <w:bCs/>
                <w:sz w:val="16"/>
                <w:szCs w:val="16"/>
              </w:rPr>
              <w:t>注册地</w:t>
            </w:r>
            <w:r>
              <w:rPr>
                <w:rFonts w:ascii="宋体" w:hAnsi="宋体" w:cs="宋体" w:eastAsia="宋体" w:hint="default"/>
                <w:sz w:val="16"/>
                <w:szCs w:val="16"/>
              </w:rPr>
            </w:r>
          </w:p>
        </w:tc>
        <w:tc>
          <w:tcPr>
            <w:tcW w:w="3443"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30"/>
              <w:jc w:val="center"/>
              <w:rPr>
                <w:rFonts w:ascii="宋体" w:hAnsi="宋体" w:cs="宋体" w:eastAsia="宋体" w:hint="default"/>
                <w:sz w:val="16"/>
                <w:szCs w:val="16"/>
              </w:rPr>
            </w:pPr>
            <w:r>
              <w:rPr>
                <w:rFonts w:ascii="宋体" w:hAnsi="宋体" w:cs="宋体" w:eastAsia="宋体" w:hint="default"/>
                <w:b/>
                <w:bCs/>
                <w:sz w:val="16"/>
                <w:szCs w:val="16"/>
              </w:rPr>
              <w:t>主营业务</w:t>
            </w:r>
            <w:r>
              <w:rPr>
                <w:rFonts w:ascii="宋体" w:hAnsi="宋体" w:cs="宋体" w:eastAsia="宋体" w:hint="default"/>
                <w:sz w:val="16"/>
                <w:szCs w:val="16"/>
              </w:rPr>
            </w:r>
          </w:p>
        </w:tc>
      </w:tr>
      <w:tr>
        <w:trPr>
          <w:trHeight w:val="646" w:hRule="exact"/>
        </w:trPr>
        <w:tc>
          <w:tcPr>
            <w:tcW w:w="2603"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left="43" w:right="0"/>
              <w:jc w:val="left"/>
              <w:rPr>
                <w:rFonts w:ascii="宋体" w:hAnsi="宋体" w:cs="宋体" w:eastAsia="宋体" w:hint="default"/>
                <w:sz w:val="16"/>
                <w:szCs w:val="16"/>
              </w:rPr>
            </w:pPr>
            <w:r>
              <w:rPr>
                <w:rFonts w:ascii="宋体" w:hAnsi="宋体" w:cs="宋体" w:eastAsia="宋体" w:hint="default"/>
                <w:sz w:val="16"/>
                <w:szCs w:val="16"/>
              </w:rPr>
              <w:t>洛阳同方数字电视有限公司</w:t>
            </w:r>
          </w:p>
        </w:tc>
        <w:tc>
          <w:tcPr>
            <w:tcW w:w="789" w:type="dxa"/>
            <w:tcBorders>
              <w:top w:val="single" w:sz="4"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14"/>
              <w:jc w:val="center"/>
              <w:rPr>
                <w:rFonts w:ascii="Times New Roman" w:hAnsi="Times New Roman" w:cs="Times New Roman" w:eastAsia="Times New Roman" w:hint="default"/>
                <w:sz w:val="16"/>
                <w:szCs w:val="16"/>
              </w:rPr>
            </w:pPr>
            <w:r>
              <w:rPr>
                <w:rFonts w:ascii="Times New Roman"/>
                <w:sz w:val="16"/>
              </w:rPr>
              <w:t>41.00%</w:t>
            </w:r>
          </w:p>
        </w:tc>
        <w:tc>
          <w:tcPr>
            <w:tcW w:w="953" w:type="dxa"/>
            <w:tcBorders>
              <w:top w:val="single" w:sz="4"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3" w:right="0"/>
              <w:jc w:val="center"/>
              <w:rPr>
                <w:rFonts w:ascii="Times New Roman" w:hAnsi="Times New Roman" w:cs="Times New Roman" w:eastAsia="Times New Roman" w:hint="default"/>
                <w:sz w:val="16"/>
                <w:szCs w:val="16"/>
              </w:rPr>
            </w:pPr>
            <w:r>
              <w:rPr>
                <w:rFonts w:ascii="Times New Roman"/>
                <w:sz w:val="16"/>
              </w:rPr>
              <w:t>41.00%</w:t>
            </w:r>
          </w:p>
        </w:tc>
        <w:tc>
          <w:tcPr>
            <w:tcW w:w="921"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left="15" w:right="0"/>
              <w:jc w:val="center"/>
              <w:rPr>
                <w:rFonts w:ascii="宋体" w:hAnsi="宋体" w:cs="宋体" w:eastAsia="宋体" w:hint="default"/>
                <w:sz w:val="16"/>
                <w:szCs w:val="16"/>
              </w:rPr>
            </w:pPr>
            <w:r>
              <w:rPr>
                <w:rFonts w:ascii="宋体" w:hAnsi="宋体" w:cs="宋体" w:eastAsia="宋体" w:hint="default"/>
                <w:sz w:val="16"/>
                <w:szCs w:val="16"/>
              </w:rPr>
              <w:t>河南洛阳</w:t>
            </w:r>
          </w:p>
        </w:tc>
        <w:tc>
          <w:tcPr>
            <w:tcW w:w="3443" w:type="dxa"/>
            <w:tcBorders>
              <w:top w:val="single" w:sz="4" w:space="0" w:color="000000"/>
              <w:left w:val="nil" w:sz="6" w:space="0" w:color="auto"/>
              <w:bottom w:val="nil" w:sz="6" w:space="0" w:color="auto"/>
              <w:right w:val="nil" w:sz="6" w:space="0" w:color="auto"/>
            </w:tcBorders>
          </w:tcPr>
          <w:p>
            <w:pPr>
              <w:pStyle w:val="TableParagraph"/>
              <w:spacing w:line="182" w:lineRule="exact"/>
              <w:ind w:left="51" w:right="0"/>
              <w:jc w:val="left"/>
              <w:rPr>
                <w:rFonts w:ascii="宋体" w:hAnsi="宋体" w:cs="宋体" w:eastAsia="宋体" w:hint="default"/>
                <w:sz w:val="16"/>
                <w:szCs w:val="16"/>
              </w:rPr>
            </w:pPr>
            <w:r>
              <w:rPr>
                <w:rFonts w:ascii="宋体" w:hAnsi="宋体" w:cs="宋体" w:eastAsia="宋体" w:hint="default"/>
                <w:spacing w:val="-4"/>
                <w:sz w:val="16"/>
                <w:szCs w:val="16"/>
              </w:rPr>
              <w:t>无线数字电视网络的开发、应用、维护、技术咨</w:t>
            </w:r>
          </w:p>
          <w:p>
            <w:pPr>
              <w:pStyle w:val="TableParagraph"/>
              <w:spacing w:line="240" w:lineRule="auto"/>
              <w:ind w:left="51" w:right="79"/>
              <w:jc w:val="left"/>
              <w:rPr>
                <w:rFonts w:ascii="宋体" w:hAnsi="宋体" w:cs="宋体" w:eastAsia="宋体" w:hint="default"/>
                <w:sz w:val="16"/>
                <w:szCs w:val="16"/>
              </w:rPr>
            </w:pPr>
            <w:r>
              <w:rPr>
                <w:rFonts w:ascii="宋体" w:hAnsi="宋体" w:cs="宋体" w:eastAsia="宋体" w:hint="default"/>
                <w:spacing w:val="-4"/>
                <w:sz w:val="16"/>
                <w:szCs w:val="16"/>
              </w:rPr>
              <w:t>询与服务；地面数字电视接收终端产品（不含卫</w:t>
            </w:r>
            <w:r>
              <w:rPr>
                <w:rFonts w:ascii="宋体" w:hAnsi="宋体" w:cs="宋体" w:eastAsia="宋体" w:hint="default"/>
                <w:spacing w:val="-52"/>
                <w:sz w:val="16"/>
                <w:szCs w:val="16"/>
              </w:rPr>
              <w:t> </w:t>
            </w:r>
            <w:r>
              <w:rPr>
                <w:rFonts w:ascii="宋体" w:hAnsi="宋体" w:cs="宋体" w:eastAsia="宋体" w:hint="default"/>
                <w:spacing w:val="-52"/>
                <w:sz w:val="16"/>
                <w:szCs w:val="16"/>
              </w:rPr>
            </w:r>
            <w:r>
              <w:rPr>
                <w:rFonts w:ascii="宋体" w:hAnsi="宋体" w:cs="宋体" w:eastAsia="宋体" w:hint="default"/>
                <w:sz w:val="16"/>
                <w:szCs w:val="16"/>
              </w:rPr>
              <w:t>星地面接收设施）的销售与维护</w:t>
            </w:r>
          </w:p>
        </w:tc>
      </w:tr>
      <w:tr>
        <w:trPr>
          <w:trHeight w:val="267" w:hRule="exact"/>
        </w:trPr>
        <w:tc>
          <w:tcPr>
            <w:tcW w:w="2603" w:type="dxa"/>
            <w:tcBorders>
              <w:top w:val="nil" w:sz="6" w:space="0" w:color="auto"/>
              <w:left w:val="nil" w:sz="6" w:space="0" w:color="auto"/>
              <w:bottom w:val="nil" w:sz="6" w:space="0" w:color="auto"/>
              <w:right w:val="nil" w:sz="6" w:space="0" w:color="auto"/>
            </w:tcBorders>
          </w:tcPr>
          <w:p>
            <w:pPr>
              <w:pStyle w:val="TableParagraph"/>
              <w:spacing w:line="203" w:lineRule="exact"/>
              <w:ind w:left="43" w:right="0"/>
              <w:jc w:val="left"/>
              <w:rPr>
                <w:rFonts w:ascii="宋体" w:hAnsi="宋体" w:cs="宋体" w:eastAsia="宋体" w:hint="default"/>
                <w:sz w:val="16"/>
                <w:szCs w:val="16"/>
              </w:rPr>
            </w:pPr>
            <w:r>
              <w:rPr>
                <w:rFonts w:ascii="宋体" w:hAnsi="宋体" w:cs="宋体" w:eastAsia="宋体" w:hint="default"/>
                <w:sz w:val="16"/>
                <w:szCs w:val="16"/>
              </w:rPr>
              <w:t>同方佰宜科技（北京）有限公司</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4"/>
              <w:jc w:val="center"/>
              <w:rPr>
                <w:rFonts w:ascii="Times New Roman" w:hAnsi="Times New Roman" w:cs="Times New Roman" w:eastAsia="Times New Roman" w:hint="default"/>
                <w:sz w:val="16"/>
                <w:szCs w:val="16"/>
              </w:rPr>
            </w:pPr>
            <w:r>
              <w:rPr>
                <w:rFonts w:ascii="Times New Roman"/>
                <w:sz w:val="16"/>
              </w:rPr>
              <w:t>30.00%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3" w:right="0"/>
              <w:jc w:val="center"/>
              <w:rPr>
                <w:rFonts w:ascii="Times New Roman" w:hAnsi="Times New Roman" w:cs="Times New Roman" w:eastAsia="Times New Roman" w:hint="default"/>
                <w:sz w:val="16"/>
                <w:szCs w:val="16"/>
              </w:rPr>
            </w:pPr>
            <w:r>
              <w:rPr>
                <w:rFonts w:ascii="Times New Roman"/>
                <w:sz w:val="16"/>
              </w:rPr>
              <w:t>30.00%</w:t>
            </w:r>
          </w:p>
        </w:tc>
        <w:tc>
          <w:tcPr>
            <w:tcW w:w="921" w:type="dxa"/>
            <w:tcBorders>
              <w:top w:val="nil" w:sz="6" w:space="0" w:color="auto"/>
              <w:left w:val="nil" w:sz="6" w:space="0" w:color="auto"/>
              <w:bottom w:val="nil" w:sz="6" w:space="0" w:color="auto"/>
              <w:right w:val="nil" w:sz="6" w:space="0" w:color="auto"/>
            </w:tcBorders>
          </w:tcPr>
          <w:p>
            <w:pPr>
              <w:pStyle w:val="TableParagraph"/>
              <w:spacing w:line="203" w:lineRule="exact"/>
              <w:ind w:left="15"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43" w:type="dxa"/>
            <w:tcBorders>
              <w:top w:val="nil" w:sz="6" w:space="0" w:color="auto"/>
              <w:left w:val="nil" w:sz="6" w:space="0" w:color="auto"/>
              <w:bottom w:val="nil" w:sz="6" w:space="0" w:color="auto"/>
              <w:right w:val="nil" w:sz="6" w:space="0" w:color="auto"/>
            </w:tcBorders>
          </w:tcPr>
          <w:p>
            <w:pPr>
              <w:pStyle w:val="TableParagraph"/>
              <w:spacing w:line="203" w:lineRule="exact"/>
              <w:ind w:left="51" w:right="0"/>
              <w:jc w:val="left"/>
              <w:rPr>
                <w:rFonts w:ascii="宋体" w:hAnsi="宋体" w:cs="宋体" w:eastAsia="宋体" w:hint="default"/>
                <w:sz w:val="16"/>
                <w:szCs w:val="16"/>
              </w:rPr>
            </w:pPr>
            <w:r>
              <w:rPr>
                <w:rFonts w:ascii="宋体" w:hAnsi="宋体" w:cs="宋体" w:eastAsia="宋体" w:hint="default"/>
                <w:sz w:val="16"/>
                <w:szCs w:val="16"/>
              </w:rPr>
              <w:t>控制系统软件开发</w:t>
            </w:r>
          </w:p>
        </w:tc>
      </w:tr>
      <w:tr>
        <w:trPr>
          <w:trHeight w:val="286" w:hRule="exact"/>
        </w:trPr>
        <w:tc>
          <w:tcPr>
            <w:tcW w:w="260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3" w:right="0"/>
              <w:jc w:val="left"/>
              <w:rPr>
                <w:rFonts w:ascii="宋体" w:hAnsi="宋体" w:cs="宋体" w:eastAsia="宋体" w:hint="default"/>
                <w:sz w:val="16"/>
                <w:szCs w:val="16"/>
              </w:rPr>
            </w:pPr>
            <w:r>
              <w:rPr>
                <w:rFonts w:ascii="宋体" w:hAnsi="宋体" w:cs="宋体" w:eastAsia="宋体" w:hint="default"/>
                <w:sz w:val="16"/>
                <w:szCs w:val="16"/>
              </w:rPr>
              <w:t>吉林同方科贸有限责任公司</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
              <w:jc w:val="center"/>
              <w:rPr>
                <w:rFonts w:ascii="Times New Roman" w:hAnsi="Times New Roman" w:cs="Times New Roman" w:eastAsia="Times New Roman" w:hint="default"/>
                <w:sz w:val="16"/>
                <w:szCs w:val="16"/>
              </w:rPr>
            </w:pPr>
            <w:r>
              <w:rPr>
                <w:rFonts w:ascii="Times New Roman"/>
                <w:sz w:val="16"/>
              </w:rPr>
              <w:t>46.00%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 w:right="0"/>
              <w:jc w:val="center"/>
              <w:rPr>
                <w:rFonts w:ascii="Times New Roman" w:hAnsi="Times New Roman" w:cs="Times New Roman" w:eastAsia="Times New Roman" w:hint="default"/>
                <w:sz w:val="16"/>
                <w:szCs w:val="16"/>
              </w:rPr>
            </w:pPr>
            <w:r>
              <w:rPr>
                <w:rFonts w:ascii="Times New Roman"/>
                <w:sz w:val="16"/>
              </w:rPr>
              <w:t>46.00%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 w:right="0"/>
              <w:jc w:val="center"/>
              <w:rPr>
                <w:rFonts w:ascii="宋体" w:hAnsi="宋体" w:cs="宋体" w:eastAsia="宋体" w:hint="default"/>
                <w:sz w:val="16"/>
                <w:szCs w:val="16"/>
              </w:rPr>
            </w:pPr>
            <w:r>
              <w:rPr>
                <w:rFonts w:ascii="宋体" w:hAnsi="宋体" w:cs="宋体" w:eastAsia="宋体" w:hint="default"/>
                <w:sz w:val="16"/>
                <w:szCs w:val="16"/>
              </w:rPr>
              <w:t>吉林长春</w:t>
            </w:r>
          </w:p>
        </w:tc>
        <w:tc>
          <w:tcPr>
            <w:tcW w:w="344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1" w:right="0"/>
              <w:jc w:val="left"/>
              <w:rPr>
                <w:rFonts w:ascii="宋体" w:hAnsi="宋体" w:cs="宋体" w:eastAsia="宋体" w:hint="default"/>
                <w:sz w:val="16"/>
                <w:szCs w:val="16"/>
              </w:rPr>
            </w:pPr>
            <w:r>
              <w:rPr>
                <w:rFonts w:ascii="宋体" w:hAnsi="宋体" w:cs="宋体" w:eastAsia="宋体" w:hint="default"/>
                <w:sz w:val="16"/>
                <w:szCs w:val="16"/>
              </w:rPr>
              <w:t>计算机及信息产品、人环控制设备、仪器仪表</w:t>
            </w:r>
          </w:p>
        </w:tc>
      </w:tr>
      <w:tr>
        <w:trPr>
          <w:trHeight w:val="265" w:hRule="exact"/>
        </w:trPr>
        <w:tc>
          <w:tcPr>
            <w:tcW w:w="260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3" w:right="0"/>
              <w:jc w:val="left"/>
              <w:rPr>
                <w:rFonts w:ascii="宋体" w:hAnsi="宋体" w:cs="宋体" w:eastAsia="宋体" w:hint="default"/>
                <w:sz w:val="16"/>
                <w:szCs w:val="16"/>
              </w:rPr>
            </w:pPr>
            <w:r>
              <w:rPr>
                <w:rFonts w:ascii="宋体" w:hAnsi="宋体" w:cs="宋体" w:eastAsia="宋体" w:hint="default"/>
                <w:sz w:val="16"/>
                <w:szCs w:val="16"/>
              </w:rPr>
              <w:t>滨州广电同方数字电视有限公司</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
              <w:jc w:val="center"/>
              <w:rPr>
                <w:rFonts w:ascii="Times New Roman" w:hAnsi="Times New Roman" w:cs="Times New Roman" w:eastAsia="Times New Roman" w:hint="default"/>
                <w:sz w:val="16"/>
                <w:szCs w:val="16"/>
              </w:rPr>
            </w:pPr>
            <w:r>
              <w:rPr>
                <w:rFonts w:ascii="Times New Roman"/>
                <w:sz w:val="16"/>
              </w:rPr>
              <w:t>49.00%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 w:right="0"/>
              <w:jc w:val="center"/>
              <w:rPr>
                <w:rFonts w:ascii="Times New Roman" w:hAnsi="Times New Roman" w:cs="Times New Roman" w:eastAsia="Times New Roman" w:hint="default"/>
                <w:sz w:val="16"/>
                <w:szCs w:val="16"/>
              </w:rPr>
            </w:pPr>
            <w:r>
              <w:rPr>
                <w:rFonts w:ascii="Times New Roman"/>
                <w:sz w:val="16"/>
              </w:rPr>
              <w:t>49.00%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 w:right="0"/>
              <w:jc w:val="center"/>
              <w:rPr>
                <w:rFonts w:ascii="宋体" w:hAnsi="宋体" w:cs="宋体" w:eastAsia="宋体" w:hint="default"/>
                <w:sz w:val="16"/>
                <w:szCs w:val="16"/>
              </w:rPr>
            </w:pPr>
            <w:r>
              <w:rPr>
                <w:rFonts w:ascii="宋体" w:hAnsi="宋体" w:cs="宋体" w:eastAsia="宋体" w:hint="default"/>
                <w:sz w:val="16"/>
                <w:szCs w:val="16"/>
              </w:rPr>
              <w:t>山东滨州</w:t>
            </w:r>
          </w:p>
        </w:tc>
        <w:tc>
          <w:tcPr>
            <w:tcW w:w="344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1" w:right="0"/>
              <w:jc w:val="left"/>
              <w:rPr>
                <w:rFonts w:ascii="宋体" w:hAnsi="宋体" w:cs="宋体" w:eastAsia="宋体" w:hint="default"/>
                <w:sz w:val="16"/>
                <w:szCs w:val="16"/>
              </w:rPr>
            </w:pPr>
            <w:r>
              <w:rPr>
                <w:rFonts w:ascii="宋体" w:hAnsi="宋体" w:cs="宋体" w:eastAsia="宋体" w:hint="default"/>
                <w:sz w:val="16"/>
                <w:szCs w:val="16"/>
              </w:rPr>
              <w:t>无线数字地面广播体系建设和管理</w:t>
            </w:r>
          </w:p>
        </w:tc>
      </w:tr>
      <w:tr>
        <w:trPr>
          <w:trHeight w:val="453" w:hRule="exact"/>
        </w:trPr>
        <w:tc>
          <w:tcPr>
            <w:tcW w:w="2603" w:type="dxa"/>
            <w:tcBorders>
              <w:top w:val="nil" w:sz="6" w:space="0" w:color="auto"/>
              <w:left w:val="nil" w:sz="6" w:space="0" w:color="auto"/>
              <w:bottom w:val="nil" w:sz="6" w:space="0" w:color="auto"/>
              <w:right w:val="nil" w:sz="6" w:space="0" w:color="auto"/>
            </w:tcBorders>
          </w:tcPr>
          <w:p>
            <w:pPr>
              <w:pStyle w:val="TableParagraph"/>
              <w:spacing w:line="208" w:lineRule="exact" w:before="11"/>
              <w:ind w:left="43" w:right="61"/>
              <w:jc w:val="left"/>
              <w:rPr>
                <w:rFonts w:ascii="宋体" w:hAnsi="宋体" w:cs="宋体" w:eastAsia="宋体" w:hint="default"/>
                <w:sz w:val="16"/>
                <w:szCs w:val="16"/>
              </w:rPr>
            </w:pPr>
            <w:r>
              <w:rPr>
                <w:rFonts w:ascii="宋体" w:hAnsi="宋体" w:cs="宋体" w:eastAsia="宋体" w:hint="default"/>
                <w:spacing w:val="-5"/>
                <w:sz w:val="16"/>
                <w:szCs w:val="16"/>
              </w:rPr>
              <w:t>同方（深圳）云计算技术股份有限公</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司</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4"/>
              <w:jc w:val="center"/>
              <w:rPr>
                <w:rFonts w:ascii="Times New Roman" w:hAnsi="Times New Roman" w:cs="Times New Roman" w:eastAsia="Times New Roman" w:hint="default"/>
                <w:sz w:val="16"/>
                <w:szCs w:val="16"/>
              </w:rPr>
            </w:pPr>
            <w:r>
              <w:rPr>
                <w:rFonts w:ascii="Times New Roman"/>
                <w:sz w:val="16"/>
              </w:rPr>
              <w:t>29.40%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3" w:right="0"/>
              <w:jc w:val="center"/>
              <w:rPr>
                <w:rFonts w:ascii="Times New Roman" w:hAnsi="Times New Roman" w:cs="Times New Roman" w:eastAsia="Times New Roman" w:hint="default"/>
                <w:sz w:val="16"/>
                <w:szCs w:val="16"/>
              </w:rPr>
            </w:pPr>
            <w:r>
              <w:rPr>
                <w:rFonts w:ascii="Times New Roman"/>
                <w:sz w:val="16"/>
              </w:rPr>
              <w:t>29.40%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5" w:right="0"/>
              <w:jc w:val="center"/>
              <w:rPr>
                <w:rFonts w:ascii="宋体" w:hAnsi="宋体" w:cs="宋体" w:eastAsia="宋体" w:hint="default"/>
                <w:sz w:val="16"/>
                <w:szCs w:val="16"/>
              </w:rPr>
            </w:pPr>
            <w:r>
              <w:rPr>
                <w:rFonts w:ascii="宋体" w:hAnsi="宋体" w:cs="宋体" w:eastAsia="宋体" w:hint="default"/>
                <w:sz w:val="16"/>
                <w:szCs w:val="16"/>
              </w:rPr>
              <w:t>广东深圳</w:t>
            </w:r>
          </w:p>
        </w:tc>
        <w:tc>
          <w:tcPr>
            <w:tcW w:w="3443" w:type="dxa"/>
            <w:tcBorders>
              <w:top w:val="nil" w:sz="6" w:space="0" w:color="auto"/>
              <w:left w:val="nil" w:sz="6" w:space="0" w:color="auto"/>
              <w:bottom w:val="nil" w:sz="6" w:space="0" w:color="auto"/>
              <w:right w:val="nil" w:sz="6" w:space="0" w:color="auto"/>
            </w:tcBorders>
          </w:tcPr>
          <w:p>
            <w:pPr>
              <w:pStyle w:val="TableParagraph"/>
              <w:spacing w:line="240" w:lineRule="auto" w:before="97"/>
              <w:ind w:left="51" w:right="0"/>
              <w:jc w:val="left"/>
              <w:rPr>
                <w:rFonts w:ascii="宋体" w:hAnsi="宋体" w:cs="宋体" w:eastAsia="宋体" w:hint="default"/>
                <w:sz w:val="16"/>
                <w:szCs w:val="16"/>
              </w:rPr>
            </w:pPr>
            <w:r>
              <w:rPr>
                <w:rFonts w:ascii="宋体" w:hAnsi="宋体" w:cs="宋体" w:eastAsia="宋体" w:hint="default"/>
                <w:sz w:val="16"/>
                <w:szCs w:val="16"/>
              </w:rPr>
              <w:t>云计算技术开发；计算机软硬件技术开发咨询</w:t>
            </w:r>
          </w:p>
        </w:tc>
      </w:tr>
      <w:tr>
        <w:trPr>
          <w:trHeight w:val="247" w:hRule="exact"/>
        </w:trPr>
        <w:tc>
          <w:tcPr>
            <w:tcW w:w="2603" w:type="dxa"/>
            <w:tcBorders>
              <w:top w:val="nil" w:sz="6" w:space="0" w:color="auto"/>
              <w:left w:val="nil" w:sz="6" w:space="0" w:color="auto"/>
              <w:bottom w:val="nil" w:sz="6" w:space="0" w:color="auto"/>
              <w:right w:val="nil" w:sz="6" w:space="0" w:color="auto"/>
            </w:tcBorders>
          </w:tcPr>
          <w:p>
            <w:pPr>
              <w:pStyle w:val="TableParagraph"/>
              <w:spacing w:line="204" w:lineRule="exact"/>
              <w:ind w:left="43" w:right="0"/>
              <w:jc w:val="left"/>
              <w:rPr>
                <w:rFonts w:ascii="宋体" w:hAnsi="宋体" w:cs="宋体" w:eastAsia="宋体" w:hint="default"/>
                <w:sz w:val="16"/>
                <w:szCs w:val="16"/>
              </w:rPr>
            </w:pPr>
            <w:r>
              <w:rPr>
                <w:rFonts w:ascii="宋体" w:hAnsi="宋体" w:cs="宋体" w:eastAsia="宋体" w:hint="default"/>
                <w:sz w:val="16"/>
                <w:szCs w:val="16"/>
              </w:rPr>
              <w:t>九江佳华压电晶体材料有限公司</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4"/>
              <w:jc w:val="center"/>
              <w:rPr>
                <w:rFonts w:ascii="Times New Roman" w:hAnsi="Times New Roman" w:cs="Times New Roman" w:eastAsia="Times New Roman" w:hint="default"/>
                <w:sz w:val="16"/>
                <w:szCs w:val="16"/>
              </w:rPr>
            </w:pPr>
            <w:r>
              <w:rPr>
                <w:rFonts w:ascii="Times New Roman"/>
                <w:sz w:val="16"/>
              </w:rPr>
              <w:t>30.00%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3" w:right="0"/>
              <w:jc w:val="center"/>
              <w:rPr>
                <w:rFonts w:ascii="Times New Roman" w:hAnsi="Times New Roman" w:cs="Times New Roman" w:eastAsia="Times New Roman" w:hint="default"/>
                <w:sz w:val="16"/>
                <w:szCs w:val="16"/>
              </w:rPr>
            </w:pPr>
            <w:r>
              <w:rPr>
                <w:rFonts w:ascii="Times New Roman"/>
                <w:sz w:val="16"/>
              </w:rPr>
              <w:t>30.00%</w:t>
            </w:r>
          </w:p>
        </w:tc>
        <w:tc>
          <w:tcPr>
            <w:tcW w:w="921" w:type="dxa"/>
            <w:tcBorders>
              <w:top w:val="nil" w:sz="6" w:space="0" w:color="auto"/>
              <w:left w:val="nil" w:sz="6" w:space="0" w:color="auto"/>
              <w:bottom w:val="nil" w:sz="6" w:space="0" w:color="auto"/>
              <w:right w:val="nil" w:sz="6" w:space="0" w:color="auto"/>
            </w:tcBorders>
          </w:tcPr>
          <w:p>
            <w:pPr>
              <w:pStyle w:val="TableParagraph"/>
              <w:spacing w:line="204" w:lineRule="exact"/>
              <w:ind w:left="15" w:right="0"/>
              <w:jc w:val="center"/>
              <w:rPr>
                <w:rFonts w:ascii="宋体" w:hAnsi="宋体" w:cs="宋体" w:eastAsia="宋体" w:hint="default"/>
                <w:sz w:val="16"/>
                <w:szCs w:val="16"/>
              </w:rPr>
            </w:pPr>
            <w:r>
              <w:rPr>
                <w:rFonts w:ascii="宋体" w:hAnsi="宋体" w:cs="宋体" w:eastAsia="宋体" w:hint="default"/>
                <w:sz w:val="16"/>
                <w:szCs w:val="16"/>
              </w:rPr>
              <w:t>江西九江</w:t>
            </w:r>
          </w:p>
        </w:tc>
        <w:tc>
          <w:tcPr>
            <w:tcW w:w="3443" w:type="dxa"/>
            <w:tcBorders>
              <w:top w:val="nil" w:sz="6" w:space="0" w:color="auto"/>
              <w:left w:val="nil" w:sz="6" w:space="0" w:color="auto"/>
              <w:bottom w:val="nil" w:sz="6" w:space="0" w:color="auto"/>
              <w:right w:val="nil" w:sz="6" w:space="0" w:color="auto"/>
            </w:tcBorders>
          </w:tcPr>
          <w:p>
            <w:pPr>
              <w:pStyle w:val="TableParagraph"/>
              <w:spacing w:line="204" w:lineRule="exact"/>
              <w:ind w:left="51" w:right="0"/>
              <w:jc w:val="left"/>
              <w:rPr>
                <w:rFonts w:ascii="宋体" w:hAnsi="宋体" w:cs="宋体" w:eastAsia="宋体" w:hint="default"/>
                <w:sz w:val="16"/>
                <w:szCs w:val="16"/>
              </w:rPr>
            </w:pPr>
            <w:r>
              <w:rPr>
                <w:rFonts w:ascii="宋体" w:hAnsi="宋体" w:cs="宋体" w:eastAsia="宋体" w:hint="default"/>
                <w:sz w:val="16"/>
                <w:szCs w:val="16"/>
              </w:rPr>
              <w:t>压电晶体材料及相关制品生产、加工、销售</w:t>
            </w:r>
          </w:p>
        </w:tc>
      </w:tr>
      <w:tr>
        <w:trPr>
          <w:trHeight w:val="434" w:hRule="exact"/>
        </w:trPr>
        <w:tc>
          <w:tcPr>
            <w:tcW w:w="2603" w:type="dxa"/>
            <w:tcBorders>
              <w:top w:val="nil" w:sz="6" w:space="0" w:color="auto"/>
              <w:left w:val="nil" w:sz="6" w:space="0" w:color="auto"/>
              <w:bottom w:val="nil" w:sz="6" w:space="0" w:color="auto"/>
              <w:right w:val="nil" w:sz="6" w:space="0" w:color="auto"/>
            </w:tcBorders>
          </w:tcPr>
          <w:p>
            <w:pPr>
              <w:pStyle w:val="TableParagraph"/>
              <w:spacing w:line="240" w:lineRule="auto" w:before="95"/>
              <w:ind w:left="43" w:right="0"/>
              <w:jc w:val="left"/>
              <w:rPr>
                <w:rFonts w:ascii="宋体" w:hAnsi="宋体" w:cs="宋体" w:eastAsia="宋体" w:hint="default"/>
                <w:sz w:val="16"/>
                <w:szCs w:val="16"/>
              </w:rPr>
            </w:pPr>
            <w:r>
              <w:rPr>
                <w:rFonts w:ascii="宋体" w:hAnsi="宋体" w:cs="宋体" w:eastAsia="宋体" w:hint="default"/>
                <w:sz w:val="16"/>
                <w:szCs w:val="16"/>
              </w:rPr>
              <w:t>湖北银雨照明有限公司</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4"/>
              <w:jc w:val="center"/>
              <w:rPr>
                <w:rFonts w:ascii="Times New Roman" w:hAnsi="Times New Roman" w:cs="Times New Roman" w:eastAsia="Times New Roman" w:hint="default"/>
                <w:sz w:val="16"/>
                <w:szCs w:val="16"/>
              </w:rPr>
            </w:pPr>
            <w:r>
              <w:rPr>
                <w:rFonts w:ascii="Times New Roman"/>
                <w:sz w:val="16"/>
              </w:rPr>
              <w:t>10.00%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13" w:right="0"/>
              <w:jc w:val="center"/>
              <w:rPr>
                <w:rFonts w:ascii="Times New Roman" w:hAnsi="Times New Roman" w:cs="Times New Roman" w:eastAsia="Times New Roman" w:hint="default"/>
                <w:sz w:val="16"/>
                <w:szCs w:val="16"/>
              </w:rPr>
            </w:pPr>
            <w:r>
              <w:rPr>
                <w:rFonts w:ascii="Times New Roman"/>
                <w:sz w:val="16"/>
              </w:rPr>
              <w:t>10.00%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5" w:right="0"/>
              <w:jc w:val="center"/>
              <w:rPr>
                <w:rFonts w:ascii="宋体" w:hAnsi="宋体" w:cs="宋体" w:eastAsia="宋体" w:hint="default"/>
                <w:sz w:val="16"/>
                <w:szCs w:val="16"/>
              </w:rPr>
            </w:pPr>
            <w:r>
              <w:rPr>
                <w:rFonts w:ascii="宋体" w:hAnsi="宋体" w:cs="宋体" w:eastAsia="宋体" w:hint="default"/>
                <w:sz w:val="16"/>
                <w:szCs w:val="16"/>
              </w:rPr>
              <w:t>湖北武汉</w:t>
            </w:r>
          </w:p>
        </w:tc>
        <w:tc>
          <w:tcPr>
            <w:tcW w:w="3443" w:type="dxa"/>
            <w:tcBorders>
              <w:top w:val="nil" w:sz="6" w:space="0" w:color="auto"/>
              <w:left w:val="nil" w:sz="6" w:space="0" w:color="auto"/>
              <w:bottom w:val="nil" w:sz="6" w:space="0" w:color="auto"/>
              <w:right w:val="nil" w:sz="6" w:space="0" w:color="auto"/>
            </w:tcBorders>
          </w:tcPr>
          <w:p>
            <w:pPr>
              <w:pStyle w:val="TableParagraph"/>
              <w:spacing w:line="208" w:lineRule="exact" w:before="13"/>
              <w:ind w:left="51" w:right="81"/>
              <w:jc w:val="left"/>
              <w:rPr>
                <w:rFonts w:ascii="宋体" w:hAnsi="宋体" w:cs="宋体" w:eastAsia="宋体" w:hint="default"/>
                <w:sz w:val="16"/>
                <w:szCs w:val="16"/>
              </w:rPr>
            </w:pPr>
            <w:r>
              <w:rPr>
                <w:rFonts w:ascii="宋体" w:hAnsi="宋体" w:cs="宋体" w:eastAsia="宋体" w:hint="default"/>
                <w:sz w:val="16"/>
                <w:szCs w:val="16"/>
              </w:rPr>
              <w:t>设计、生产、加工、销售灯饰及配件、</w:t>
            </w: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30"/>
                <w:sz w:val="16"/>
                <w:szCs w:val="16"/>
              </w:rPr>
              <w:t> </w:t>
            </w:r>
            <w:r>
              <w:rPr>
                <w:rFonts w:ascii="宋体" w:hAnsi="宋体" w:cs="宋体" w:eastAsia="宋体" w:hint="default"/>
                <w:sz w:val="16"/>
                <w:szCs w:val="16"/>
              </w:rPr>
              <w:t>灯</w:t>
            </w:r>
            <w:r>
              <w:rPr>
                <w:rFonts w:ascii="宋体" w:hAnsi="宋体" w:cs="宋体" w:eastAsia="宋体" w:hint="default"/>
                <w:spacing w:val="-78"/>
                <w:sz w:val="16"/>
                <w:szCs w:val="16"/>
              </w:rPr>
              <w:t> </w:t>
            </w:r>
            <w:r>
              <w:rPr>
                <w:rFonts w:ascii="宋体" w:hAnsi="宋体" w:cs="宋体" w:eastAsia="宋体" w:hint="default"/>
                <w:sz w:val="16"/>
                <w:szCs w:val="16"/>
              </w:rPr>
              <w:t>具及配件；货物进出口、技术进出口</w:t>
            </w:r>
          </w:p>
        </w:tc>
      </w:tr>
      <w:tr>
        <w:trPr>
          <w:trHeight w:val="414" w:hRule="exact"/>
        </w:trPr>
        <w:tc>
          <w:tcPr>
            <w:tcW w:w="2603" w:type="dxa"/>
            <w:tcBorders>
              <w:top w:val="nil" w:sz="6" w:space="0" w:color="auto"/>
              <w:left w:val="nil" w:sz="6" w:space="0" w:color="auto"/>
              <w:bottom w:val="nil" w:sz="6" w:space="0" w:color="auto"/>
              <w:right w:val="nil" w:sz="6" w:space="0" w:color="auto"/>
            </w:tcBorders>
          </w:tcPr>
          <w:p>
            <w:pPr>
              <w:pStyle w:val="TableParagraph"/>
              <w:spacing w:line="240" w:lineRule="auto" w:before="77"/>
              <w:ind w:left="43" w:right="0"/>
              <w:jc w:val="left"/>
              <w:rPr>
                <w:rFonts w:ascii="宋体" w:hAnsi="宋体" w:cs="宋体" w:eastAsia="宋体" w:hint="default"/>
                <w:sz w:val="16"/>
                <w:szCs w:val="16"/>
              </w:rPr>
            </w:pPr>
            <w:r>
              <w:rPr>
                <w:rFonts w:ascii="宋体" w:hAnsi="宋体" w:cs="宋体" w:eastAsia="宋体" w:hint="default"/>
                <w:sz w:val="16"/>
                <w:szCs w:val="16"/>
              </w:rPr>
              <w:t>重庆同方合志科技有限公司</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4"/>
              <w:jc w:val="center"/>
              <w:rPr>
                <w:rFonts w:ascii="Times New Roman" w:hAnsi="Times New Roman" w:cs="Times New Roman" w:eastAsia="Times New Roman" w:hint="default"/>
                <w:sz w:val="16"/>
                <w:szCs w:val="16"/>
              </w:rPr>
            </w:pPr>
            <w:r>
              <w:rPr>
                <w:rFonts w:ascii="Times New Roman"/>
                <w:sz w:val="16"/>
              </w:rPr>
              <w:t>40.00%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13" w:right="0"/>
              <w:jc w:val="center"/>
              <w:rPr>
                <w:rFonts w:ascii="Times New Roman" w:hAnsi="Times New Roman" w:cs="Times New Roman" w:eastAsia="Times New Roman" w:hint="default"/>
                <w:sz w:val="16"/>
                <w:szCs w:val="16"/>
              </w:rPr>
            </w:pPr>
            <w:r>
              <w:rPr>
                <w:rFonts w:ascii="Times New Roman"/>
                <w:sz w:val="16"/>
              </w:rPr>
              <w:t>40.00%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5" w:right="0"/>
              <w:jc w:val="center"/>
              <w:rPr>
                <w:rFonts w:ascii="宋体" w:hAnsi="宋体" w:cs="宋体" w:eastAsia="宋体" w:hint="default"/>
                <w:sz w:val="16"/>
                <w:szCs w:val="16"/>
              </w:rPr>
            </w:pPr>
            <w:r>
              <w:rPr>
                <w:rFonts w:ascii="宋体" w:hAnsi="宋体" w:cs="宋体" w:eastAsia="宋体" w:hint="default"/>
                <w:sz w:val="16"/>
                <w:szCs w:val="16"/>
              </w:rPr>
              <w:t>重庆北新</w:t>
            </w:r>
          </w:p>
        </w:tc>
        <w:tc>
          <w:tcPr>
            <w:tcW w:w="3443" w:type="dxa"/>
            <w:tcBorders>
              <w:top w:val="nil" w:sz="6" w:space="0" w:color="auto"/>
              <w:left w:val="nil" w:sz="6" w:space="0" w:color="auto"/>
              <w:bottom w:val="nil" w:sz="6" w:space="0" w:color="auto"/>
              <w:right w:val="nil" w:sz="6" w:space="0" w:color="auto"/>
            </w:tcBorders>
          </w:tcPr>
          <w:p>
            <w:pPr>
              <w:pStyle w:val="TableParagraph"/>
              <w:spacing w:line="182" w:lineRule="exact"/>
              <w:ind w:left="51" w:right="0"/>
              <w:jc w:val="left"/>
              <w:rPr>
                <w:rFonts w:ascii="宋体" w:hAnsi="宋体" w:cs="宋体" w:eastAsia="宋体" w:hint="default"/>
                <w:sz w:val="16"/>
                <w:szCs w:val="16"/>
              </w:rPr>
            </w:pPr>
            <w:r>
              <w:rPr>
                <w:rFonts w:ascii="宋体" w:hAnsi="宋体" w:cs="宋体" w:eastAsia="宋体" w:hint="default"/>
                <w:spacing w:val="-4"/>
                <w:sz w:val="16"/>
                <w:szCs w:val="16"/>
              </w:rPr>
              <w:t>通信设备器材、嵌入式电子系统、计算机软硬件</w:t>
            </w:r>
          </w:p>
          <w:p>
            <w:pPr>
              <w:pStyle w:val="TableParagraph"/>
              <w:spacing w:line="208" w:lineRule="exact"/>
              <w:ind w:left="51" w:right="0"/>
              <w:jc w:val="left"/>
              <w:rPr>
                <w:rFonts w:ascii="宋体" w:hAnsi="宋体" w:cs="宋体" w:eastAsia="宋体" w:hint="default"/>
                <w:sz w:val="16"/>
                <w:szCs w:val="16"/>
              </w:rPr>
            </w:pPr>
            <w:r>
              <w:rPr>
                <w:rFonts w:ascii="宋体" w:hAnsi="宋体" w:cs="宋体" w:eastAsia="宋体" w:hint="default"/>
                <w:sz w:val="16"/>
                <w:szCs w:val="16"/>
              </w:rPr>
              <w:t>的开发、产销与技术服务</w:t>
            </w:r>
          </w:p>
        </w:tc>
      </w:tr>
      <w:tr>
        <w:trPr>
          <w:trHeight w:val="1058" w:hRule="exact"/>
        </w:trPr>
        <w:tc>
          <w:tcPr>
            <w:tcW w:w="26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43" w:right="0"/>
              <w:jc w:val="left"/>
              <w:rPr>
                <w:rFonts w:ascii="宋体" w:hAnsi="宋体" w:cs="宋体" w:eastAsia="宋体" w:hint="default"/>
                <w:sz w:val="16"/>
                <w:szCs w:val="16"/>
              </w:rPr>
            </w:pPr>
            <w:r>
              <w:rPr>
                <w:rFonts w:ascii="宋体" w:hAnsi="宋体" w:cs="宋体" w:eastAsia="宋体" w:hint="default"/>
                <w:sz w:val="16"/>
                <w:szCs w:val="16"/>
              </w:rPr>
              <w:t>真明丽（北京）光电科技研究院</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9"/>
              <w:ind w:right="0"/>
              <w:jc w:val="left"/>
              <w:rPr>
                <w:rFonts w:ascii="Times New Roman" w:hAnsi="Times New Roman" w:cs="Times New Roman" w:eastAsia="Times New Roman" w:hint="default"/>
                <w:sz w:val="20"/>
                <w:szCs w:val="20"/>
              </w:rPr>
            </w:pPr>
          </w:p>
          <w:p>
            <w:pPr>
              <w:pStyle w:val="TableParagraph"/>
              <w:spacing w:line="240" w:lineRule="auto"/>
              <w:ind w:right="14"/>
              <w:jc w:val="center"/>
              <w:rPr>
                <w:rFonts w:ascii="Times New Roman" w:hAnsi="Times New Roman" w:cs="Times New Roman" w:eastAsia="Times New Roman" w:hint="default"/>
                <w:sz w:val="16"/>
                <w:szCs w:val="16"/>
              </w:rPr>
            </w:pPr>
            <w:r>
              <w:rPr>
                <w:rFonts w:ascii="Times New Roman"/>
                <w:sz w:val="16"/>
              </w:rPr>
              <w:t>51.00%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9"/>
              <w:ind w:right="0"/>
              <w:jc w:val="left"/>
              <w:rPr>
                <w:rFonts w:ascii="Times New Roman" w:hAnsi="Times New Roman" w:cs="Times New Roman" w:eastAsia="Times New Roman" w:hint="default"/>
                <w:sz w:val="20"/>
                <w:szCs w:val="20"/>
              </w:rPr>
            </w:pPr>
          </w:p>
          <w:p>
            <w:pPr>
              <w:pStyle w:val="TableParagraph"/>
              <w:spacing w:line="240" w:lineRule="auto"/>
              <w:ind w:left="13" w:right="0"/>
              <w:jc w:val="center"/>
              <w:rPr>
                <w:rFonts w:ascii="Times New Roman" w:hAnsi="Times New Roman" w:cs="Times New Roman" w:eastAsia="Times New Roman" w:hint="default"/>
                <w:sz w:val="16"/>
                <w:szCs w:val="16"/>
              </w:rPr>
            </w:pPr>
            <w:r>
              <w:rPr>
                <w:rFonts w:ascii="Times New Roman"/>
                <w:sz w:val="16"/>
              </w:rPr>
              <w:t>51.00%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5" w:right="0"/>
              <w:jc w:val="center"/>
              <w:rPr>
                <w:rFonts w:ascii="宋体" w:hAnsi="宋体" w:cs="宋体" w:eastAsia="宋体" w:hint="default"/>
                <w:sz w:val="16"/>
                <w:szCs w:val="16"/>
              </w:rPr>
            </w:pPr>
            <w:r>
              <w:rPr>
                <w:rFonts w:ascii="宋体" w:hAnsi="宋体" w:cs="宋体" w:eastAsia="宋体" w:hint="default"/>
                <w:sz w:val="16"/>
                <w:szCs w:val="16"/>
              </w:rPr>
              <w:t>北京石景山</w:t>
            </w:r>
          </w:p>
        </w:tc>
        <w:tc>
          <w:tcPr>
            <w:tcW w:w="3443" w:type="dxa"/>
            <w:tcBorders>
              <w:top w:val="nil" w:sz="6" w:space="0" w:color="auto"/>
              <w:left w:val="nil" w:sz="6" w:space="0" w:color="auto"/>
              <w:bottom w:val="nil" w:sz="6" w:space="0" w:color="auto"/>
              <w:right w:val="nil" w:sz="6" w:space="0" w:color="auto"/>
            </w:tcBorders>
          </w:tcPr>
          <w:p>
            <w:pPr>
              <w:pStyle w:val="TableParagraph"/>
              <w:spacing w:line="183" w:lineRule="exact"/>
              <w:ind w:left="51" w:right="0"/>
              <w:jc w:val="left"/>
              <w:rPr>
                <w:rFonts w:ascii="宋体" w:hAnsi="宋体" w:cs="宋体" w:eastAsia="宋体" w:hint="default"/>
                <w:sz w:val="16"/>
                <w:szCs w:val="16"/>
              </w:rPr>
            </w:pPr>
            <w:r>
              <w:rPr>
                <w:rFonts w:ascii="宋体" w:hAnsi="宋体" w:cs="宋体" w:eastAsia="宋体" w:hint="default"/>
                <w:spacing w:val="-4"/>
                <w:sz w:val="16"/>
                <w:szCs w:val="16"/>
              </w:rPr>
              <w:t>工程技术研究与试验发展；技术开发、技术服务</w:t>
            </w:r>
          </w:p>
          <w:p>
            <w:pPr>
              <w:pStyle w:val="TableParagraph"/>
              <w:spacing w:line="237" w:lineRule="auto"/>
              <w:ind w:left="51" w:right="0"/>
              <w:jc w:val="left"/>
              <w:rPr>
                <w:rFonts w:ascii="宋体" w:hAnsi="宋体" w:cs="宋体" w:eastAsia="宋体" w:hint="default"/>
                <w:sz w:val="16"/>
                <w:szCs w:val="16"/>
              </w:rPr>
            </w:pPr>
            <w:r>
              <w:rPr>
                <w:rFonts w:ascii="宋体" w:hAnsi="宋体" w:cs="宋体" w:eastAsia="宋体" w:hint="default"/>
                <w:spacing w:val="-4"/>
                <w:sz w:val="16"/>
                <w:szCs w:val="16"/>
              </w:rPr>
              <w:t>等；承办展览展示活动；展厅布置和设计；投资</w:t>
            </w:r>
            <w:r>
              <w:rPr>
                <w:rFonts w:ascii="宋体" w:hAnsi="宋体" w:cs="宋体" w:eastAsia="宋体" w:hint="default"/>
                <w:spacing w:val="-52"/>
                <w:sz w:val="16"/>
                <w:szCs w:val="16"/>
              </w:rPr>
              <w:t> </w:t>
            </w:r>
            <w:r>
              <w:rPr>
                <w:rFonts w:ascii="宋体" w:hAnsi="宋体" w:cs="宋体" w:eastAsia="宋体" w:hint="default"/>
                <w:spacing w:val="-52"/>
                <w:sz w:val="16"/>
                <w:szCs w:val="16"/>
              </w:rPr>
            </w:r>
            <w:r>
              <w:rPr>
                <w:rFonts w:ascii="宋体" w:hAnsi="宋体" w:cs="宋体" w:eastAsia="宋体" w:hint="default"/>
                <w:spacing w:val="-7"/>
                <w:sz w:val="16"/>
                <w:szCs w:val="16"/>
              </w:rPr>
              <w:t>咨询；经济贸易咨询；营销策划；组织、筹备等；</w:t>
            </w:r>
            <w:r>
              <w:rPr>
                <w:rFonts w:ascii="宋体" w:hAnsi="宋体" w:cs="宋体" w:eastAsia="宋体" w:hint="default"/>
                <w:spacing w:val="-59"/>
                <w:sz w:val="16"/>
                <w:szCs w:val="16"/>
              </w:rPr>
              <w:t> </w:t>
            </w:r>
            <w:r>
              <w:rPr>
                <w:rFonts w:ascii="宋体" w:hAnsi="宋体" w:cs="宋体" w:eastAsia="宋体" w:hint="default"/>
                <w:spacing w:val="-59"/>
                <w:sz w:val="16"/>
                <w:szCs w:val="16"/>
              </w:rPr>
            </w:r>
            <w:r>
              <w:rPr>
                <w:rFonts w:ascii="宋体" w:hAnsi="宋体" w:cs="宋体" w:eastAsia="宋体" w:hint="default"/>
                <w:sz w:val="16"/>
                <w:szCs w:val="16"/>
              </w:rPr>
              <w:t>技术进出口、货物进出口；销售机械电器设备、</w:t>
            </w:r>
            <w:r>
              <w:rPr>
                <w:rFonts w:ascii="宋体" w:hAnsi="宋体" w:cs="宋体" w:eastAsia="宋体" w:hint="default"/>
                <w:w w:val="100"/>
                <w:sz w:val="16"/>
                <w:szCs w:val="16"/>
              </w:rPr>
              <w:t> </w:t>
            </w:r>
            <w:r>
              <w:rPr>
                <w:rFonts w:ascii="宋体" w:hAnsi="宋体" w:cs="宋体" w:eastAsia="宋体" w:hint="default"/>
                <w:sz w:val="16"/>
                <w:szCs w:val="16"/>
              </w:rPr>
              <w:t>电子产品等</w:t>
            </w:r>
          </w:p>
        </w:tc>
      </w:tr>
      <w:tr>
        <w:trPr>
          <w:trHeight w:val="244" w:hRule="exact"/>
        </w:trPr>
        <w:tc>
          <w:tcPr>
            <w:tcW w:w="260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43" w:right="0"/>
              <w:jc w:val="left"/>
              <w:rPr>
                <w:rFonts w:ascii="Times New Roman" w:hAnsi="Times New Roman" w:cs="Times New Roman" w:eastAsia="Times New Roman" w:hint="default"/>
                <w:sz w:val="16"/>
                <w:szCs w:val="16"/>
              </w:rPr>
            </w:pPr>
            <w:r>
              <w:rPr>
                <w:rFonts w:ascii="Times New Roman"/>
                <w:sz w:val="16"/>
              </w:rPr>
              <w:t>Technovator</w:t>
            </w:r>
            <w:r>
              <w:rPr>
                <w:rFonts w:ascii="Times New Roman"/>
                <w:spacing w:val="-10"/>
                <w:sz w:val="16"/>
              </w:rPr>
              <w:t> </w:t>
            </w:r>
            <w:r>
              <w:rPr>
                <w:rFonts w:ascii="Times New Roman"/>
                <w:sz w:val="16"/>
              </w:rPr>
              <w:t>Qatar</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4"/>
              <w:jc w:val="center"/>
              <w:rPr>
                <w:rFonts w:ascii="Times New Roman" w:hAnsi="Times New Roman" w:cs="Times New Roman" w:eastAsia="Times New Roman" w:hint="default"/>
                <w:sz w:val="16"/>
                <w:szCs w:val="16"/>
              </w:rPr>
            </w:pPr>
            <w:r>
              <w:rPr>
                <w:rFonts w:ascii="Times New Roman"/>
                <w:sz w:val="16"/>
              </w:rPr>
              <w:t>49.00%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3" w:right="0"/>
              <w:jc w:val="center"/>
              <w:rPr>
                <w:rFonts w:ascii="Times New Roman" w:hAnsi="Times New Roman" w:cs="Times New Roman" w:eastAsia="Times New Roman" w:hint="default"/>
                <w:sz w:val="16"/>
                <w:szCs w:val="16"/>
              </w:rPr>
            </w:pPr>
            <w:r>
              <w:rPr>
                <w:rFonts w:ascii="Times New Roman"/>
                <w:sz w:val="16"/>
              </w:rPr>
              <w:t>49.00%</w:t>
            </w:r>
          </w:p>
        </w:tc>
        <w:tc>
          <w:tcPr>
            <w:tcW w:w="921" w:type="dxa"/>
            <w:tcBorders>
              <w:top w:val="nil" w:sz="6" w:space="0" w:color="auto"/>
              <w:left w:val="nil" w:sz="6" w:space="0" w:color="auto"/>
              <w:bottom w:val="nil" w:sz="6" w:space="0" w:color="auto"/>
              <w:right w:val="nil" w:sz="6" w:space="0" w:color="auto"/>
            </w:tcBorders>
          </w:tcPr>
          <w:p>
            <w:pPr>
              <w:pStyle w:val="TableParagraph"/>
              <w:spacing w:line="203" w:lineRule="exact"/>
              <w:ind w:left="18" w:right="0"/>
              <w:jc w:val="center"/>
              <w:rPr>
                <w:rFonts w:ascii="宋体" w:hAnsi="宋体" w:cs="宋体" w:eastAsia="宋体" w:hint="default"/>
                <w:sz w:val="16"/>
                <w:szCs w:val="16"/>
              </w:rPr>
            </w:pPr>
            <w:r>
              <w:rPr>
                <w:rFonts w:ascii="宋体" w:hAnsi="宋体" w:cs="宋体" w:eastAsia="宋体" w:hint="default"/>
                <w:sz w:val="16"/>
                <w:szCs w:val="16"/>
              </w:rPr>
              <w:t>卡塔尔</w:t>
            </w:r>
          </w:p>
        </w:tc>
        <w:tc>
          <w:tcPr>
            <w:tcW w:w="3443" w:type="dxa"/>
            <w:tcBorders>
              <w:top w:val="nil" w:sz="6" w:space="0" w:color="auto"/>
              <w:left w:val="nil" w:sz="6" w:space="0" w:color="auto"/>
              <w:bottom w:val="nil" w:sz="6" w:space="0" w:color="auto"/>
              <w:right w:val="nil" w:sz="6" w:space="0" w:color="auto"/>
            </w:tcBorders>
          </w:tcPr>
          <w:p>
            <w:pPr/>
          </w:p>
        </w:tc>
      </w:tr>
      <w:tr>
        <w:trPr>
          <w:trHeight w:val="398" w:hRule="exact"/>
        </w:trPr>
        <w:tc>
          <w:tcPr>
            <w:tcW w:w="2603" w:type="dxa"/>
            <w:tcBorders>
              <w:top w:val="nil" w:sz="6" w:space="0" w:color="auto"/>
              <w:left w:val="nil" w:sz="6" w:space="0" w:color="auto"/>
              <w:bottom w:val="nil" w:sz="6" w:space="0" w:color="auto"/>
              <w:right w:val="nil" w:sz="6" w:space="0" w:color="auto"/>
            </w:tcBorders>
          </w:tcPr>
          <w:p>
            <w:pPr>
              <w:pStyle w:val="TableParagraph"/>
              <w:spacing w:line="240" w:lineRule="auto" w:before="17"/>
              <w:ind w:left="43" w:right="63"/>
              <w:jc w:val="left"/>
              <w:rPr>
                <w:rFonts w:ascii="Times New Roman" w:hAnsi="Times New Roman" w:cs="Times New Roman" w:eastAsia="Times New Roman" w:hint="default"/>
                <w:sz w:val="16"/>
                <w:szCs w:val="16"/>
              </w:rPr>
            </w:pPr>
            <w:r>
              <w:rPr>
                <w:rFonts w:ascii="Times New Roman"/>
                <w:sz w:val="16"/>
              </w:rPr>
              <w:t>Lime PC Multimedia</w:t>
            </w:r>
            <w:r>
              <w:rPr>
                <w:rFonts w:ascii="Times New Roman"/>
                <w:spacing w:val="14"/>
                <w:sz w:val="16"/>
              </w:rPr>
              <w:t> </w:t>
            </w:r>
            <w:r>
              <w:rPr>
                <w:rFonts w:ascii="Times New Roman"/>
                <w:sz w:val="16"/>
              </w:rPr>
              <w:t>Technologies</w:t>
            </w:r>
            <w:r>
              <w:rPr>
                <w:rFonts w:ascii="Times New Roman"/>
                <w:w w:val="100"/>
                <w:sz w:val="16"/>
              </w:rPr>
              <w:t> </w:t>
            </w:r>
            <w:r>
              <w:rPr>
                <w:rFonts w:ascii="Times New Roman"/>
                <w:sz w:val="16"/>
              </w:rPr>
              <w:t>Co.,</w:t>
            </w:r>
            <w:r>
              <w:rPr>
                <w:rFonts w:ascii="Times New Roman"/>
                <w:spacing w:val="-5"/>
                <w:sz w:val="16"/>
              </w:rPr>
              <w:t> </w:t>
            </w:r>
            <w:r>
              <w:rPr>
                <w:rFonts w:ascii="Times New Roman"/>
                <w:sz w:val="16"/>
              </w:rPr>
              <w:t>Limited</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4"/>
              <w:jc w:val="center"/>
              <w:rPr>
                <w:rFonts w:ascii="Times New Roman" w:hAnsi="Times New Roman" w:cs="Times New Roman" w:eastAsia="Times New Roman" w:hint="default"/>
                <w:sz w:val="16"/>
                <w:szCs w:val="16"/>
              </w:rPr>
            </w:pPr>
            <w:r>
              <w:rPr>
                <w:rFonts w:ascii="Times New Roman"/>
                <w:sz w:val="16"/>
              </w:rPr>
              <w:t>50.00%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3" w:right="0"/>
              <w:jc w:val="center"/>
              <w:rPr>
                <w:rFonts w:ascii="Times New Roman" w:hAnsi="Times New Roman" w:cs="Times New Roman" w:eastAsia="Times New Roman" w:hint="default"/>
                <w:sz w:val="16"/>
                <w:szCs w:val="16"/>
              </w:rPr>
            </w:pPr>
            <w:r>
              <w:rPr>
                <w:rFonts w:ascii="Times New Roman"/>
                <w:sz w:val="16"/>
              </w:rPr>
              <w:t>50.00%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5" w:right="0"/>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3443" w:type="dxa"/>
            <w:tcBorders>
              <w:top w:val="nil" w:sz="6" w:space="0" w:color="auto"/>
              <w:left w:val="nil" w:sz="6" w:space="0" w:color="auto"/>
              <w:bottom w:val="nil" w:sz="6" w:space="0" w:color="auto"/>
              <w:right w:val="nil" w:sz="6" w:space="0" w:color="auto"/>
            </w:tcBorders>
          </w:tcPr>
          <w:p>
            <w:pPr>
              <w:pStyle w:val="TableParagraph"/>
              <w:spacing w:line="240" w:lineRule="auto" w:before="75"/>
              <w:ind w:left="51" w:right="0"/>
              <w:jc w:val="left"/>
              <w:rPr>
                <w:rFonts w:ascii="宋体" w:hAnsi="宋体" w:cs="宋体" w:eastAsia="宋体" w:hint="default"/>
                <w:sz w:val="16"/>
                <w:szCs w:val="16"/>
              </w:rPr>
            </w:pPr>
            <w:r>
              <w:rPr>
                <w:rFonts w:ascii="宋体" w:hAnsi="宋体" w:cs="宋体" w:eastAsia="宋体" w:hint="default"/>
                <w:sz w:val="16"/>
                <w:szCs w:val="16"/>
              </w:rPr>
              <w:t>计算机、数字电视等消费电子产品经销</w:t>
            </w:r>
          </w:p>
        </w:tc>
      </w:tr>
      <w:tr>
        <w:trPr>
          <w:trHeight w:val="634" w:hRule="exact"/>
        </w:trPr>
        <w:tc>
          <w:tcPr>
            <w:tcW w:w="2603" w:type="dxa"/>
            <w:tcBorders>
              <w:top w:val="nil" w:sz="6" w:space="0" w:color="auto"/>
              <w:left w:val="nil" w:sz="6" w:space="0" w:color="auto"/>
              <w:bottom w:val="nil" w:sz="6" w:space="0" w:color="auto"/>
              <w:right w:val="nil" w:sz="6" w:space="0" w:color="auto"/>
            </w:tcBorders>
          </w:tcPr>
          <w:p>
            <w:pPr>
              <w:pStyle w:val="TableParagraph"/>
              <w:spacing w:line="206" w:lineRule="exact" w:before="93"/>
              <w:ind w:left="43" w:right="63"/>
              <w:jc w:val="left"/>
              <w:rPr>
                <w:rFonts w:ascii="宋体" w:hAnsi="宋体" w:cs="宋体" w:eastAsia="宋体" w:hint="default"/>
                <w:sz w:val="16"/>
                <w:szCs w:val="16"/>
              </w:rPr>
            </w:pPr>
            <w:r>
              <w:rPr>
                <w:rFonts w:ascii="宋体" w:hAnsi="宋体" w:cs="宋体" w:eastAsia="宋体" w:hint="default"/>
                <w:spacing w:val="4"/>
                <w:sz w:val="16"/>
                <w:szCs w:val="16"/>
              </w:rPr>
              <w:t>江门市真明丽教育投资管理有限公</w:t>
            </w:r>
            <w:r>
              <w:rPr>
                <w:rFonts w:ascii="宋体" w:hAnsi="宋体" w:cs="宋体" w:eastAsia="宋体" w:hint="default"/>
                <w:spacing w:val="-52"/>
                <w:sz w:val="16"/>
                <w:szCs w:val="16"/>
              </w:rPr>
              <w:t> </w:t>
            </w:r>
            <w:r>
              <w:rPr>
                <w:rFonts w:ascii="宋体" w:hAnsi="宋体" w:cs="宋体" w:eastAsia="宋体" w:hint="default"/>
                <w:spacing w:val="-52"/>
                <w:sz w:val="16"/>
                <w:szCs w:val="16"/>
              </w:rPr>
            </w:r>
            <w:r>
              <w:rPr>
                <w:rFonts w:ascii="宋体" w:hAnsi="宋体" w:cs="宋体" w:eastAsia="宋体" w:hint="default"/>
                <w:sz w:val="16"/>
                <w:szCs w:val="16"/>
              </w:rPr>
              <w:t>司</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4"/>
              <w:jc w:val="center"/>
              <w:rPr>
                <w:rFonts w:ascii="Times New Roman" w:hAnsi="Times New Roman" w:cs="Times New Roman" w:eastAsia="Times New Roman" w:hint="default"/>
                <w:sz w:val="16"/>
                <w:szCs w:val="16"/>
              </w:rPr>
            </w:pPr>
            <w:r>
              <w:rPr>
                <w:rFonts w:ascii="Times New Roman"/>
                <w:sz w:val="16"/>
              </w:rPr>
              <w:t>49.00%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3" w:right="0"/>
              <w:jc w:val="center"/>
              <w:rPr>
                <w:rFonts w:ascii="Times New Roman" w:hAnsi="Times New Roman" w:cs="Times New Roman" w:eastAsia="Times New Roman" w:hint="default"/>
                <w:sz w:val="16"/>
                <w:szCs w:val="16"/>
              </w:rPr>
            </w:pPr>
            <w:r>
              <w:rPr>
                <w:rFonts w:ascii="Times New Roman"/>
                <w:sz w:val="16"/>
              </w:rPr>
              <w:t>49.00%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5"/>
                <w:szCs w:val="15"/>
              </w:rPr>
            </w:pPr>
          </w:p>
          <w:p>
            <w:pPr>
              <w:pStyle w:val="TableParagraph"/>
              <w:spacing w:line="240" w:lineRule="auto"/>
              <w:ind w:left="15" w:right="0"/>
              <w:jc w:val="center"/>
              <w:rPr>
                <w:rFonts w:ascii="宋体" w:hAnsi="宋体" w:cs="宋体" w:eastAsia="宋体" w:hint="default"/>
                <w:sz w:val="16"/>
                <w:szCs w:val="16"/>
              </w:rPr>
            </w:pPr>
            <w:r>
              <w:rPr>
                <w:rFonts w:ascii="宋体" w:hAnsi="宋体" w:cs="宋体" w:eastAsia="宋体" w:hint="default"/>
                <w:sz w:val="16"/>
                <w:szCs w:val="16"/>
              </w:rPr>
              <w:t>广东江门</w:t>
            </w:r>
          </w:p>
        </w:tc>
        <w:tc>
          <w:tcPr>
            <w:tcW w:w="3443" w:type="dxa"/>
            <w:tcBorders>
              <w:top w:val="nil" w:sz="6" w:space="0" w:color="auto"/>
              <w:left w:val="nil" w:sz="6" w:space="0" w:color="auto"/>
              <w:bottom w:val="nil" w:sz="6" w:space="0" w:color="auto"/>
              <w:right w:val="nil" w:sz="6" w:space="0" w:color="auto"/>
            </w:tcBorders>
          </w:tcPr>
          <w:p>
            <w:pPr>
              <w:pStyle w:val="TableParagraph"/>
              <w:spacing w:line="175" w:lineRule="exact"/>
              <w:ind w:left="51" w:right="0"/>
              <w:jc w:val="left"/>
              <w:rPr>
                <w:rFonts w:ascii="宋体" w:hAnsi="宋体" w:cs="宋体" w:eastAsia="宋体" w:hint="default"/>
                <w:sz w:val="16"/>
                <w:szCs w:val="16"/>
              </w:rPr>
            </w:pPr>
            <w:r>
              <w:rPr>
                <w:rFonts w:ascii="宋体" w:hAnsi="宋体" w:cs="宋体" w:eastAsia="宋体" w:hint="default"/>
                <w:sz w:val="16"/>
                <w:szCs w:val="16"/>
              </w:rPr>
              <w:t>教育项目投资管理，劳务派遣，光电技术培训，</w:t>
            </w:r>
          </w:p>
          <w:p>
            <w:pPr>
              <w:pStyle w:val="TableParagraph"/>
              <w:spacing w:line="206" w:lineRule="exact" w:before="21"/>
              <w:ind w:left="51" w:right="82"/>
              <w:jc w:val="left"/>
              <w:rPr>
                <w:rFonts w:ascii="宋体" w:hAnsi="宋体" w:cs="宋体" w:eastAsia="宋体" w:hint="default"/>
                <w:sz w:val="16"/>
                <w:szCs w:val="16"/>
              </w:rPr>
            </w:pPr>
            <w:r>
              <w:rPr>
                <w:rFonts w:ascii="Times New Roman" w:hAnsi="Times New Roman" w:cs="Times New Roman" w:eastAsia="Times New Roman" w:hint="default"/>
                <w:sz w:val="16"/>
                <w:szCs w:val="16"/>
              </w:rPr>
              <w:t>LED</w:t>
            </w:r>
            <w:r>
              <w:rPr>
                <w:rFonts w:ascii="Times New Roman" w:hAnsi="Times New Roman" w:cs="Times New Roman" w:eastAsia="Times New Roman" w:hint="default"/>
                <w:spacing w:val="30"/>
                <w:sz w:val="16"/>
                <w:szCs w:val="16"/>
              </w:rPr>
              <w:t> </w:t>
            </w:r>
            <w:r>
              <w:rPr>
                <w:rFonts w:ascii="宋体" w:hAnsi="宋体" w:cs="宋体" w:eastAsia="宋体" w:hint="default"/>
                <w:sz w:val="16"/>
                <w:szCs w:val="16"/>
              </w:rPr>
              <w:t>技术研发与推广，投资咨询，市场信息咨</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询，技术进出口业务</w:t>
            </w:r>
          </w:p>
        </w:tc>
      </w:tr>
      <w:tr>
        <w:trPr>
          <w:trHeight w:val="248" w:hRule="exact"/>
        </w:trPr>
        <w:tc>
          <w:tcPr>
            <w:tcW w:w="2603" w:type="dxa"/>
            <w:tcBorders>
              <w:top w:val="nil" w:sz="6" w:space="0" w:color="auto"/>
              <w:left w:val="nil" w:sz="6" w:space="0" w:color="auto"/>
              <w:bottom w:val="nil" w:sz="6" w:space="0" w:color="auto"/>
              <w:right w:val="nil" w:sz="6" w:space="0" w:color="auto"/>
            </w:tcBorders>
          </w:tcPr>
          <w:p>
            <w:pPr>
              <w:pStyle w:val="TableParagraph"/>
              <w:spacing w:line="204" w:lineRule="exact"/>
              <w:ind w:left="43" w:right="0"/>
              <w:jc w:val="left"/>
              <w:rPr>
                <w:rFonts w:ascii="宋体" w:hAnsi="宋体" w:cs="宋体" w:eastAsia="宋体" w:hint="default"/>
                <w:sz w:val="16"/>
                <w:szCs w:val="16"/>
              </w:rPr>
            </w:pPr>
            <w:r>
              <w:rPr>
                <w:rFonts w:ascii="宋体" w:hAnsi="宋体" w:cs="宋体" w:eastAsia="宋体" w:hint="default"/>
                <w:sz w:val="16"/>
                <w:szCs w:val="16"/>
              </w:rPr>
              <w:t>北京中录同方文化传播有限公司</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4"/>
              <w:jc w:val="center"/>
              <w:rPr>
                <w:rFonts w:ascii="Times New Roman" w:hAnsi="Times New Roman" w:cs="Times New Roman" w:eastAsia="Times New Roman" w:hint="default"/>
                <w:sz w:val="16"/>
                <w:szCs w:val="16"/>
              </w:rPr>
            </w:pPr>
            <w:r>
              <w:rPr>
                <w:rFonts w:ascii="Times New Roman"/>
                <w:sz w:val="16"/>
              </w:rPr>
              <w:t>50.00%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3" w:right="0"/>
              <w:jc w:val="center"/>
              <w:rPr>
                <w:rFonts w:ascii="Times New Roman" w:hAnsi="Times New Roman" w:cs="Times New Roman" w:eastAsia="Times New Roman" w:hint="default"/>
                <w:sz w:val="16"/>
                <w:szCs w:val="16"/>
              </w:rPr>
            </w:pPr>
            <w:r>
              <w:rPr>
                <w:rFonts w:ascii="Times New Roman"/>
                <w:sz w:val="16"/>
              </w:rPr>
              <w:t>50.00%</w:t>
            </w:r>
          </w:p>
        </w:tc>
        <w:tc>
          <w:tcPr>
            <w:tcW w:w="921" w:type="dxa"/>
            <w:tcBorders>
              <w:top w:val="nil" w:sz="6" w:space="0" w:color="auto"/>
              <w:left w:val="nil" w:sz="6" w:space="0" w:color="auto"/>
              <w:bottom w:val="nil" w:sz="6" w:space="0" w:color="auto"/>
              <w:right w:val="nil" w:sz="6" w:space="0" w:color="auto"/>
            </w:tcBorders>
          </w:tcPr>
          <w:p>
            <w:pPr>
              <w:pStyle w:val="TableParagraph"/>
              <w:spacing w:line="204" w:lineRule="exact"/>
              <w:ind w:left="15" w:right="0"/>
              <w:jc w:val="center"/>
              <w:rPr>
                <w:rFonts w:ascii="宋体" w:hAnsi="宋体" w:cs="宋体" w:eastAsia="宋体" w:hint="default"/>
                <w:sz w:val="16"/>
                <w:szCs w:val="16"/>
              </w:rPr>
            </w:pPr>
            <w:r>
              <w:rPr>
                <w:rFonts w:ascii="宋体" w:hAnsi="宋体" w:cs="宋体" w:eastAsia="宋体" w:hint="default"/>
                <w:sz w:val="16"/>
                <w:szCs w:val="16"/>
              </w:rPr>
              <w:t>北京昌平</w:t>
            </w:r>
          </w:p>
        </w:tc>
        <w:tc>
          <w:tcPr>
            <w:tcW w:w="3443" w:type="dxa"/>
            <w:tcBorders>
              <w:top w:val="nil" w:sz="6" w:space="0" w:color="auto"/>
              <w:left w:val="nil" w:sz="6" w:space="0" w:color="auto"/>
              <w:bottom w:val="nil" w:sz="6" w:space="0" w:color="auto"/>
              <w:right w:val="nil" w:sz="6" w:space="0" w:color="auto"/>
            </w:tcBorders>
          </w:tcPr>
          <w:p>
            <w:pPr>
              <w:pStyle w:val="TableParagraph"/>
              <w:spacing w:line="204" w:lineRule="exact"/>
              <w:ind w:left="51" w:right="0"/>
              <w:jc w:val="left"/>
              <w:rPr>
                <w:rFonts w:ascii="宋体" w:hAnsi="宋体" w:cs="宋体" w:eastAsia="宋体" w:hint="default"/>
                <w:sz w:val="16"/>
                <w:szCs w:val="16"/>
              </w:rPr>
            </w:pPr>
            <w:r>
              <w:rPr>
                <w:rFonts w:ascii="宋体" w:hAnsi="宋体" w:cs="宋体" w:eastAsia="宋体" w:hint="default"/>
                <w:sz w:val="16"/>
                <w:szCs w:val="16"/>
              </w:rPr>
              <w:t>音像制品、数字多媒体、宽频网络多媒体</w:t>
            </w:r>
          </w:p>
        </w:tc>
      </w:tr>
      <w:tr>
        <w:trPr>
          <w:trHeight w:val="453" w:hRule="exact"/>
        </w:trPr>
        <w:tc>
          <w:tcPr>
            <w:tcW w:w="2603" w:type="dxa"/>
            <w:tcBorders>
              <w:top w:val="nil" w:sz="6" w:space="0" w:color="auto"/>
              <w:left w:val="nil" w:sz="6" w:space="0" w:color="auto"/>
              <w:bottom w:val="nil" w:sz="6" w:space="0" w:color="auto"/>
              <w:right w:val="nil" w:sz="6" w:space="0" w:color="auto"/>
            </w:tcBorders>
          </w:tcPr>
          <w:p>
            <w:pPr>
              <w:pStyle w:val="TableParagraph"/>
              <w:spacing w:line="208" w:lineRule="exact" w:before="11"/>
              <w:ind w:left="43" w:right="61"/>
              <w:jc w:val="left"/>
              <w:rPr>
                <w:rFonts w:ascii="宋体" w:hAnsi="宋体" w:cs="宋体" w:eastAsia="宋体" w:hint="default"/>
                <w:sz w:val="16"/>
                <w:szCs w:val="16"/>
              </w:rPr>
            </w:pPr>
            <w:r>
              <w:rPr>
                <w:rFonts w:ascii="宋体" w:hAnsi="宋体" w:cs="宋体" w:eastAsia="宋体" w:hint="default"/>
                <w:spacing w:val="-5"/>
                <w:w w:val="100"/>
                <w:sz w:val="16"/>
                <w:szCs w:val="16"/>
              </w:rPr>
              <w:t>北京海视安数据科技有限公司（原北</w:t>
            </w:r>
            <w:r>
              <w:rPr>
                <w:rFonts w:ascii="宋体" w:hAnsi="宋体" w:cs="宋体" w:eastAsia="宋体" w:hint="default"/>
                <w:w w:val="100"/>
                <w:sz w:val="16"/>
                <w:szCs w:val="16"/>
              </w:rPr>
              <w:t> </w:t>
            </w:r>
            <w:r>
              <w:rPr>
                <w:rFonts w:ascii="宋体" w:hAnsi="宋体" w:cs="宋体" w:eastAsia="宋体" w:hint="default"/>
                <w:sz w:val="16"/>
                <w:szCs w:val="16"/>
              </w:rPr>
              <w:t>京威视数据系统有限公司）</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4"/>
              <w:jc w:val="center"/>
              <w:rPr>
                <w:rFonts w:ascii="Times New Roman" w:hAnsi="Times New Roman" w:cs="Times New Roman" w:eastAsia="Times New Roman" w:hint="default"/>
                <w:sz w:val="16"/>
                <w:szCs w:val="16"/>
              </w:rPr>
            </w:pPr>
            <w:r>
              <w:rPr>
                <w:rFonts w:ascii="Times New Roman"/>
                <w:sz w:val="16"/>
              </w:rPr>
              <w:t>27.69%</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3" w:right="0"/>
              <w:jc w:val="center"/>
              <w:rPr>
                <w:rFonts w:ascii="Times New Roman" w:hAnsi="Times New Roman" w:cs="Times New Roman" w:eastAsia="Times New Roman" w:hint="default"/>
                <w:sz w:val="16"/>
                <w:szCs w:val="16"/>
              </w:rPr>
            </w:pPr>
            <w:r>
              <w:rPr>
                <w:rFonts w:ascii="Times New Roman"/>
                <w:sz w:val="16"/>
              </w:rPr>
              <w:t>27.69%</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5"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43" w:type="dxa"/>
            <w:tcBorders>
              <w:top w:val="nil" w:sz="6" w:space="0" w:color="auto"/>
              <w:left w:val="nil" w:sz="6" w:space="0" w:color="auto"/>
              <w:bottom w:val="nil" w:sz="6" w:space="0" w:color="auto"/>
              <w:right w:val="nil" w:sz="6" w:space="0" w:color="auto"/>
            </w:tcBorders>
          </w:tcPr>
          <w:p>
            <w:pPr>
              <w:pStyle w:val="TableParagraph"/>
              <w:spacing w:line="240" w:lineRule="auto" w:before="97"/>
              <w:ind w:left="51" w:right="0"/>
              <w:jc w:val="left"/>
              <w:rPr>
                <w:rFonts w:ascii="宋体" w:hAnsi="宋体" w:cs="宋体" w:eastAsia="宋体" w:hint="default"/>
                <w:sz w:val="16"/>
                <w:szCs w:val="16"/>
              </w:rPr>
            </w:pPr>
            <w:r>
              <w:rPr>
                <w:rFonts w:ascii="宋体" w:hAnsi="宋体" w:cs="宋体" w:eastAsia="宋体" w:hint="default"/>
                <w:sz w:val="16"/>
                <w:szCs w:val="16"/>
              </w:rPr>
              <w:t>网络存储、数据安全、容灾备份解决方案</w:t>
            </w:r>
          </w:p>
        </w:tc>
      </w:tr>
      <w:tr>
        <w:trPr>
          <w:trHeight w:val="247" w:hRule="exact"/>
        </w:trPr>
        <w:tc>
          <w:tcPr>
            <w:tcW w:w="2603" w:type="dxa"/>
            <w:tcBorders>
              <w:top w:val="nil" w:sz="6" w:space="0" w:color="auto"/>
              <w:left w:val="nil" w:sz="6" w:space="0" w:color="auto"/>
              <w:bottom w:val="nil" w:sz="6" w:space="0" w:color="auto"/>
              <w:right w:val="nil" w:sz="6" w:space="0" w:color="auto"/>
            </w:tcBorders>
          </w:tcPr>
          <w:p>
            <w:pPr>
              <w:pStyle w:val="TableParagraph"/>
              <w:spacing w:line="204" w:lineRule="exact"/>
              <w:ind w:left="43" w:right="0"/>
              <w:jc w:val="left"/>
              <w:rPr>
                <w:rFonts w:ascii="宋体" w:hAnsi="宋体" w:cs="宋体" w:eastAsia="宋体" w:hint="default"/>
                <w:sz w:val="16"/>
                <w:szCs w:val="16"/>
              </w:rPr>
            </w:pPr>
            <w:r>
              <w:rPr>
                <w:rFonts w:ascii="宋体" w:hAnsi="宋体" w:cs="宋体" w:eastAsia="宋体" w:hint="default"/>
                <w:sz w:val="16"/>
                <w:szCs w:val="16"/>
              </w:rPr>
              <w:t>北京文录激光科技有限公司</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4"/>
              <w:jc w:val="center"/>
              <w:rPr>
                <w:rFonts w:ascii="Times New Roman" w:hAnsi="Times New Roman" w:cs="Times New Roman" w:eastAsia="Times New Roman" w:hint="default"/>
                <w:sz w:val="16"/>
                <w:szCs w:val="16"/>
              </w:rPr>
            </w:pPr>
            <w:r>
              <w:rPr>
                <w:rFonts w:ascii="Times New Roman"/>
                <w:sz w:val="16"/>
              </w:rPr>
              <w:t>20.00%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3" w:right="0"/>
              <w:jc w:val="center"/>
              <w:rPr>
                <w:rFonts w:ascii="Times New Roman" w:hAnsi="Times New Roman" w:cs="Times New Roman" w:eastAsia="Times New Roman" w:hint="default"/>
                <w:sz w:val="16"/>
                <w:szCs w:val="16"/>
              </w:rPr>
            </w:pPr>
            <w:r>
              <w:rPr>
                <w:rFonts w:ascii="Times New Roman"/>
                <w:sz w:val="16"/>
              </w:rPr>
              <w:t>20.00%</w:t>
            </w:r>
          </w:p>
        </w:tc>
        <w:tc>
          <w:tcPr>
            <w:tcW w:w="921" w:type="dxa"/>
            <w:tcBorders>
              <w:top w:val="nil" w:sz="6" w:space="0" w:color="auto"/>
              <w:left w:val="nil" w:sz="6" w:space="0" w:color="auto"/>
              <w:bottom w:val="nil" w:sz="6" w:space="0" w:color="auto"/>
              <w:right w:val="nil" w:sz="6" w:space="0" w:color="auto"/>
            </w:tcBorders>
          </w:tcPr>
          <w:p>
            <w:pPr>
              <w:pStyle w:val="TableParagraph"/>
              <w:spacing w:line="204" w:lineRule="exact"/>
              <w:ind w:left="15" w:right="0"/>
              <w:jc w:val="center"/>
              <w:rPr>
                <w:rFonts w:ascii="宋体" w:hAnsi="宋体" w:cs="宋体" w:eastAsia="宋体" w:hint="default"/>
                <w:sz w:val="16"/>
                <w:szCs w:val="16"/>
              </w:rPr>
            </w:pPr>
            <w:r>
              <w:rPr>
                <w:rFonts w:ascii="宋体" w:hAnsi="宋体" w:cs="宋体" w:eastAsia="宋体" w:hint="default"/>
                <w:sz w:val="16"/>
                <w:szCs w:val="16"/>
              </w:rPr>
              <w:t>北京昌平</w:t>
            </w:r>
          </w:p>
        </w:tc>
        <w:tc>
          <w:tcPr>
            <w:tcW w:w="3443" w:type="dxa"/>
            <w:tcBorders>
              <w:top w:val="nil" w:sz="6" w:space="0" w:color="auto"/>
              <w:left w:val="nil" w:sz="6" w:space="0" w:color="auto"/>
              <w:bottom w:val="nil" w:sz="6" w:space="0" w:color="auto"/>
              <w:right w:val="nil" w:sz="6" w:space="0" w:color="auto"/>
            </w:tcBorders>
          </w:tcPr>
          <w:p>
            <w:pPr>
              <w:pStyle w:val="TableParagraph"/>
              <w:spacing w:line="204" w:lineRule="exact"/>
              <w:ind w:left="51" w:right="0"/>
              <w:jc w:val="left"/>
              <w:rPr>
                <w:rFonts w:ascii="宋体" w:hAnsi="宋体" w:cs="宋体" w:eastAsia="宋体" w:hint="default"/>
                <w:sz w:val="16"/>
                <w:szCs w:val="16"/>
              </w:rPr>
            </w:pPr>
            <w:r>
              <w:rPr>
                <w:rFonts w:ascii="宋体" w:hAnsi="宋体" w:cs="宋体" w:eastAsia="宋体" w:hint="default"/>
                <w:sz w:val="16"/>
                <w:szCs w:val="16"/>
              </w:rPr>
              <w:t>激光数码储存电子盘复制</w:t>
            </w:r>
          </w:p>
        </w:tc>
      </w:tr>
      <w:tr>
        <w:trPr>
          <w:trHeight w:val="453" w:hRule="exact"/>
        </w:trPr>
        <w:tc>
          <w:tcPr>
            <w:tcW w:w="2603" w:type="dxa"/>
            <w:tcBorders>
              <w:top w:val="nil" w:sz="6" w:space="0" w:color="auto"/>
              <w:left w:val="nil" w:sz="6" w:space="0" w:color="auto"/>
              <w:bottom w:val="nil" w:sz="6" w:space="0" w:color="auto"/>
              <w:right w:val="nil" w:sz="6" w:space="0" w:color="auto"/>
            </w:tcBorders>
          </w:tcPr>
          <w:p>
            <w:pPr>
              <w:pStyle w:val="TableParagraph"/>
              <w:spacing w:line="240" w:lineRule="auto" w:before="95"/>
              <w:ind w:left="43" w:right="0"/>
              <w:jc w:val="left"/>
              <w:rPr>
                <w:rFonts w:ascii="宋体" w:hAnsi="宋体" w:cs="宋体" w:eastAsia="宋体" w:hint="default"/>
                <w:sz w:val="16"/>
                <w:szCs w:val="16"/>
              </w:rPr>
            </w:pPr>
            <w:r>
              <w:rPr>
                <w:rFonts w:ascii="宋体" w:hAnsi="宋体" w:cs="宋体" w:eastAsia="宋体" w:hint="default"/>
                <w:sz w:val="16"/>
                <w:szCs w:val="16"/>
              </w:rPr>
              <w:t>北京同方博宇工程技术有限公司</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4"/>
              <w:jc w:val="center"/>
              <w:rPr>
                <w:rFonts w:ascii="Times New Roman" w:hAnsi="Times New Roman" w:cs="Times New Roman" w:eastAsia="Times New Roman" w:hint="default"/>
                <w:sz w:val="16"/>
                <w:szCs w:val="16"/>
              </w:rPr>
            </w:pPr>
            <w:r>
              <w:rPr>
                <w:rFonts w:ascii="Times New Roman"/>
                <w:sz w:val="16"/>
              </w:rPr>
              <w:t>30.00%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13" w:right="0"/>
              <w:jc w:val="center"/>
              <w:rPr>
                <w:rFonts w:ascii="Times New Roman" w:hAnsi="Times New Roman" w:cs="Times New Roman" w:eastAsia="Times New Roman" w:hint="default"/>
                <w:sz w:val="16"/>
                <w:szCs w:val="16"/>
              </w:rPr>
            </w:pPr>
            <w:r>
              <w:rPr>
                <w:rFonts w:ascii="Times New Roman"/>
                <w:sz w:val="16"/>
              </w:rPr>
              <w:t>30.00%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5" w:right="0"/>
              <w:jc w:val="center"/>
              <w:rPr>
                <w:rFonts w:ascii="宋体" w:hAnsi="宋体" w:cs="宋体" w:eastAsia="宋体" w:hint="default"/>
                <w:sz w:val="16"/>
                <w:szCs w:val="16"/>
              </w:rPr>
            </w:pPr>
            <w:r>
              <w:rPr>
                <w:rFonts w:ascii="宋体" w:hAnsi="宋体" w:cs="宋体" w:eastAsia="宋体" w:hint="default"/>
                <w:sz w:val="16"/>
                <w:szCs w:val="16"/>
              </w:rPr>
              <w:t>北京海淀</w:t>
            </w:r>
          </w:p>
        </w:tc>
        <w:tc>
          <w:tcPr>
            <w:tcW w:w="3443" w:type="dxa"/>
            <w:tcBorders>
              <w:top w:val="nil" w:sz="6" w:space="0" w:color="auto"/>
              <w:left w:val="nil" w:sz="6" w:space="0" w:color="auto"/>
              <w:bottom w:val="nil" w:sz="6" w:space="0" w:color="auto"/>
              <w:right w:val="nil" w:sz="6" w:space="0" w:color="auto"/>
            </w:tcBorders>
          </w:tcPr>
          <w:p>
            <w:pPr>
              <w:pStyle w:val="TableParagraph"/>
              <w:spacing w:line="208" w:lineRule="exact" w:before="13"/>
              <w:ind w:left="51" w:right="79"/>
              <w:jc w:val="left"/>
              <w:rPr>
                <w:rFonts w:ascii="宋体" w:hAnsi="宋体" w:cs="宋体" w:eastAsia="宋体" w:hint="default"/>
                <w:sz w:val="16"/>
                <w:szCs w:val="16"/>
              </w:rPr>
            </w:pPr>
            <w:r>
              <w:rPr>
                <w:rFonts w:ascii="宋体" w:hAnsi="宋体" w:cs="宋体" w:eastAsia="宋体" w:hint="default"/>
                <w:spacing w:val="-4"/>
                <w:sz w:val="16"/>
                <w:szCs w:val="16"/>
              </w:rPr>
              <w:t>化工工程（多晶硅、煤化工等）的工程总包和施</w:t>
            </w:r>
            <w:r>
              <w:rPr>
                <w:rFonts w:ascii="宋体" w:hAnsi="宋体" w:cs="宋体" w:eastAsia="宋体" w:hint="default"/>
                <w:spacing w:val="-52"/>
                <w:sz w:val="16"/>
                <w:szCs w:val="16"/>
              </w:rPr>
              <w:t> </w:t>
            </w:r>
            <w:r>
              <w:rPr>
                <w:rFonts w:ascii="宋体" w:hAnsi="宋体" w:cs="宋体" w:eastAsia="宋体" w:hint="default"/>
                <w:spacing w:val="-52"/>
                <w:sz w:val="16"/>
                <w:szCs w:val="16"/>
              </w:rPr>
            </w:r>
            <w:r>
              <w:rPr>
                <w:rFonts w:ascii="宋体" w:hAnsi="宋体" w:cs="宋体" w:eastAsia="宋体" w:hint="default"/>
                <w:sz w:val="16"/>
                <w:szCs w:val="16"/>
              </w:rPr>
              <w:t>工建设</w:t>
            </w:r>
          </w:p>
        </w:tc>
      </w:tr>
      <w:tr>
        <w:trPr>
          <w:trHeight w:val="281" w:hRule="exact"/>
        </w:trPr>
        <w:tc>
          <w:tcPr>
            <w:tcW w:w="2603" w:type="dxa"/>
            <w:tcBorders>
              <w:top w:val="nil" w:sz="6" w:space="0" w:color="auto"/>
              <w:left w:val="nil" w:sz="6" w:space="0" w:color="auto"/>
              <w:bottom w:val="single" w:sz="12" w:space="0" w:color="000000"/>
              <w:right w:val="nil" w:sz="6" w:space="0" w:color="auto"/>
            </w:tcBorders>
          </w:tcPr>
          <w:p>
            <w:pPr>
              <w:pStyle w:val="TableParagraph"/>
              <w:spacing w:line="203" w:lineRule="exact"/>
              <w:ind w:left="43" w:right="0"/>
              <w:jc w:val="left"/>
              <w:rPr>
                <w:rFonts w:ascii="宋体" w:hAnsi="宋体" w:cs="宋体" w:eastAsia="宋体" w:hint="default"/>
                <w:sz w:val="16"/>
                <w:szCs w:val="16"/>
              </w:rPr>
            </w:pPr>
            <w:r>
              <w:rPr>
                <w:rFonts w:ascii="宋体" w:hAnsi="宋体" w:cs="宋体" w:eastAsia="宋体" w:hint="default"/>
                <w:sz w:val="16"/>
                <w:szCs w:val="16"/>
              </w:rPr>
              <w:t>广州同艺照明有限公司</w:t>
            </w:r>
          </w:p>
        </w:tc>
        <w:tc>
          <w:tcPr>
            <w:tcW w:w="789"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right="14"/>
              <w:jc w:val="center"/>
              <w:rPr>
                <w:rFonts w:ascii="Times New Roman" w:hAnsi="Times New Roman" w:cs="Times New Roman" w:eastAsia="Times New Roman" w:hint="default"/>
                <w:sz w:val="16"/>
                <w:szCs w:val="16"/>
              </w:rPr>
            </w:pPr>
            <w:r>
              <w:rPr>
                <w:rFonts w:ascii="Times New Roman"/>
                <w:sz w:val="16"/>
              </w:rPr>
              <w:t>39.00%</w:t>
            </w:r>
          </w:p>
        </w:tc>
        <w:tc>
          <w:tcPr>
            <w:tcW w:w="953"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left="13" w:right="0"/>
              <w:jc w:val="center"/>
              <w:rPr>
                <w:rFonts w:ascii="Times New Roman" w:hAnsi="Times New Roman" w:cs="Times New Roman" w:eastAsia="Times New Roman" w:hint="default"/>
                <w:sz w:val="16"/>
                <w:szCs w:val="16"/>
              </w:rPr>
            </w:pPr>
            <w:r>
              <w:rPr>
                <w:rFonts w:ascii="Times New Roman"/>
                <w:sz w:val="16"/>
              </w:rPr>
              <w:t>39.00%</w:t>
            </w:r>
          </w:p>
        </w:tc>
        <w:tc>
          <w:tcPr>
            <w:tcW w:w="921" w:type="dxa"/>
            <w:tcBorders>
              <w:top w:val="nil" w:sz="6" w:space="0" w:color="auto"/>
              <w:left w:val="nil" w:sz="6" w:space="0" w:color="auto"/>
              <w:bottom w:val="single" w:sz="12" w:space="0" w:color="000000"/>
              <w:right w:val="nil" w:sz="6" w:space="0" w:color="auto"/>
            </w:tcBorders>
          </w:tcPr>
          <w:p>
            <w:pPr>
              <w:pStyle w:val="TableParagraph"/>
              <w:spacing w:line="203" w:lineRule="exact"/>
              <w:ind w:left="15" w:right="0"/>
              <w:jc w:val="center"/>
              <w:rPr>
                <w:rFonts w:ascii="宋体" w:hAnsi="宋体" w:cs="宋体" w:eastAsia="宋体" w:hint="default"/>
                <w:sz w:val="16"/>
                <w:szCs w:val="16"/>
              </w:rPr>
            </w:pPr>
            <w:r>
              <w:rPr>
                <w:rFonts w:ascii="宋体" w:hAnsi="宋体" w:cs="宋体" w:eastAsia="宋体" w:hint="default"/>
                <w:sz w:val="16"/>
                <w:szCs w:val="16"/>
              </w:rPr>
              <w:t>广东广州</w:t>
            </w:r>
          </w:p>
        </w:tc>
        <w:tc>
          <w:tcPr>
            <w:tcW w:w="3443" w:type="dxa"/>
            <w:tcBorders>
              <w:top w:val="nil" w:sz="6" w:space="0" w:color="auto"/>
              <w:left w:val="nil" w:sz="6" w:space="0" w:color="auto"/>
              <w:bottom w:val="single" w:sz="12" w:space="0" w:color="000000"/>
              <w:right w:val="nil" w:sz="6" w:space="0" w:color="auto"/>
            </w:tcBorders>
          </w:tcPr>
          <w:p>
            <w:pPr>
              <w:pStyle w:val="TableParagraph"/>
              <w:spacing w:line="203" w:lineRule="exact"/>
              <w:ind w:left="51" w:right="0"/>
              <w:jc w:val="left"/>
              <w:rPr>
                <w:rFonts w:ascii="宋体" w:hAnsi="宋体" w:cs="宋体" w:eastAsia="宋体" w:hint="default"/>
                <w:sz w:val="16"/>
                <w:szCs w:val="16"/>
              </w:rPr>
            </w:pPr>
            <w:r>
              <w:rPr>
                <w:rFonts w:ascii="宋体" w:hAnsi="宋体" w:cs="宋体" w:eastAsia="宋体" w:hint="default"/>
                <w:sz w:val="16"/>
                <w:szCs w:val="16"/>
              </w:rPr>
              <w:t>照明器具的研发、生产和销售</w:t>
            </w:r>
          </w:p>
        </w:tc>
      </w:tr>
    </w:tbl>
    <w:p>
      <w:pPr>
        <w:spacing w:after="0" w:line="203" w:lineRule="exact"/>
        <w:jc w:val="left"/>
        <w:rPr>
          <w:rFonts w:ascii="宋体" w:hAnsi="宋体" w:cs="宋体" w:eastAsia="宋体" w:hint="default"/>
          <w:sz w:val="16"/>
          <w:szCs w:val="16"/>
        </w:rPr>
        <w:sectPr>
          <w:headerReference w:type="default" r:id="rId88"/>
          <w:pgSz w:w="11910" w:h="16840"/>
          <w:pgMar w:header="645" w:footer="816" w:top="1080" w:bottom="1000" w:left="1500" w:right="1440"/>
        </w:sectPr>
      </w:pPr>
    </w:p>
    <w:p>
      <w:pPr>
        <w:spacing w:line="240" w:lineRule="auto" w:before="0"/>
        <w:rPr>
          <w:rFonts w:ascii="Times New Roman" w:hAnsi="Times New Roman" w:cs="Times New Roman" w:eastAsia="Times New Roman" w:hint="default"/>
          <w:sz w:val="20"/>
          <w:szCs w:val="20"/>
        </w:rPr>
      </w:pPr>
    </w:p>
    <w:p>
      <w:pPr>
        <w:spacing w:before="151"/>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重要的合营企业的主要财务信息</w:t>
      </w:r>
    </w:p>
    <w:p>
      <w:pPr>
        <w:spacing w:line="240" w:lineRule="auto" w:before="0"/>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3300"/>
        <w:gridCol w:w="3335"/>
        <w:gridCol w:w="2105"/>
      </w:tblGrid>
      <w:tr>
        <w:trPr>
          <w:trHeight w:val="387" w:hRule="exact"/>
        </w:trPr>
        <w:tc>
          <w:tcPr>
            <w:tcW w:w="3300" w:type="dxa"/>
            <w:tcBorders>
              <w:top w:val="single" w:sz="12" w:space="0" w:color="000000"/>
              <w:left w:val="nil" w:sz="6" w:space="0" w:color="auto"/>
              <w:bottom w:val="nil" w:sz="6" w:space="0" w:color="auto"/>
              <w:right w:val="nil" w:sz="6" w:space="0" w:color="auto"/>
            </w:tcBorders>
          </w:tcPr>
          <w:p>
            <w:pPr>
              <w:pStyle w:val="TableParagraph"/>
              <w:spacing w:line="240" w:lineRule="auto" w:before="142"/>
              <w:ind w:left="12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35" w:type="dxa"/>
            <w:tcBorders>
              <w:top w:val="single" w:sz="12" w:space="0" w:color="000000"/>
              <w:left w:val="nil" w:sz="6" w:space="0" w:color="auto"/>
              <w:bottom w:val="nil" w:sz="6" w:space="0" w:color="auto"/>
              <w:right w:val="nil" w:sz="6" w:space="0" w:color="auto"/>
            </w:tcBorders>
          </w:tcPr>
          <w:p>
            <w:pPr>
              <w:pStyle w:val="TableParagraph"/>
              <w:tabs>
                <w:tab w:pos="1197" w:val="left" w:leader="none"/>
                <w:tab w:pos="3451" w:val="left" w:leader="none"/>
              </w:tabs>
              <w:spacing w:line="240" w:lineRule="auto" w:before="22"/>
              <w:ind w:left="933" w:right="-117"/>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u w:val="single" w:color="000000"/>
              </w:rPr>
              <w:t> </w:t>
              <w:tab/>
            </w:r>
            <w:r>
              <w:rPr>
                <w:rFonts w:ascii="宋体" w:hAnsi="宋体" w:cs="宋体" w:eastAsia="宋体" w:hint="default"/>
                <w:b/>
                <w:bCs/>
                <w:sz w:val="18"/>
                <w:szCs w:val="18"/>
                <w:u w:val="single" w:color="000000"/>
              </w:rPr>
              <w:t>年末余额 </w:t>
            </w:r>
            <w:r>
              <w:rPr>
                <w:rFonts w:ascii="Times New Roman" w:hAnsi="Times New Roman" w:cs="Times New Roman" w:eastAsia="Times New Roman" w:hint="default"/>
                <w:b/>
                <w:bCs/>
                <w:sz w:val="18"/>
                <w:szCs w:val="18"/>
                <w:u w:val="single" w:color="000000"/>
              </w:rPr>
              <w:t>/</w:t>
            </w:r>
            <w:r>
              <w:rPr>
                <w:rFonts w:ascii="Times New Roman" w:hAnsi="Times New Roman" w:cs="Times New Roman" w:eastAsia="Times New Roman" w:hint="default"/>
                <w:b/>
                <w:bCs/>
                <w:spacing w:val="44"/>
                <w:sz w:val="18"/>
                <w:szCs w:val="18"/>
                <w:u w:val="single" w:color="000000"/>
              </w:rPr>
              <w:t> </w:t>
            </w:r>
            <w:r>
              <w:rPr>
                <w:rFonts w:ascii="宋体" w:hAnsi="宋体" w:cs="宋体" w:eastAsia="宋体" w:hint="default"/>
                <w:b/>
                <w:bCs/>
                <w:sz w:val="18"/>
                <w:szCs w:val="18"/>
                <w:u w:val="single" w:color="000000"/>
              </w:rPr>
              <w:t>本年发生额</w:t>
              <w:tab/>
            </w:r>
            <w:r>
              <w:rPr>
                <w:rFonts w:ascii="宋体" w:hAnsi="宋体" w:cs="宋体" w:eastAsia="宋体" w:hint="default"/>
                <w:b/>
                <w:bCs/>
                <w:sz w:val="18"/>
                <w:szCs w:val="18"/>
              </w:rPr>
            </w:r>
            <w:r>
              <w:rPr>
                <w:rFonts w:ascii="宋体" w:hAnsi="宋体" w:cs="宋体" w:eastAsia="宋体" w:hint="default"/>
                <w:sz w:val="18"/>
                <w:szCs w:val="18"/>
              </w:rPr>
            </w:r>
          </w:p>
        </w:tc>
        <w:tc>
          <w:tcPr>
            <w:tcW w:w="2105" w:type="dxa"/>
            <w:tcBorders>
              <w:top w:val="single" w:sz="12" w:space="0" w:color="000000"/>
              <w:left w:val="nil" w:sz="6" w:space="0" w:color="auto"/>
              <w:bottom w:val="nil" w:sz="6" w:space="0" w:color="auto"/>
              <w:right w:val="nil" w:sz="6" w:space="0" w:color="auto"/>
            </w:tcBorders>
          </w:tcPr>
          <w:p>
            <w:pPr>
              <w:pStyle w:val="TableParagraph"/>
              <w:tabs>
                <w:tab w:pos="1987" w:val="left" w:leader="none"/>
              </w:tabs>
              <w:spacing w:line="240" w:lineRule="auto" w:before="22"/>
              <w:ind w:right="0"/>
              <w:jc w:val="right"/>
              <w:rPr>
                <w:rFonts w:ascii="宋体" w:hAnsi="宋体" w:cs="宋体" w:eastAsia="宋体" w:hint="default"/>
                <w:sz w:val="18"/>
                <w:szCs w:val="18"/>
              </w:rPr>
            </w:pPr>
            <w:r>
              <w:rPr>
                <w:rFonts w:ascii="宋体" w:hAnsi="宋体" w:cs="宋体" w:eastAsia="宋体" w:hint="default"/>
                <w:b/>
                <w:bCs/>
                <w:w w:val="99"/>
                <w:sz w:val="18"/>
                <w:szCs w:val="18"/>
              </w:rPr>
            </w:r>
            <w:r>
              <w:rPr>
                <w:rFonts w:ascii="宋体" w:hAnsi="宋体" w:cs="宋体" w:eastAsia="宋体" w:hint="default"/>
                <w:b/>
                <w:bCs/>
                <w:sz w:val="18"/>
                <w:szCs w:val="18"/>
                <w:u w:val="single" w:color="000000"/>
              </w:rPr>
              <w:t>年初余额 </w:t>
            </w:r>
            <w:r>
              <w:rPr>
                <w:rFonts w:ascii="Times New Roman" w:hAnsi="Times New Roman" w:cs="Times New Roman" w:eastAsia="Times New Roman" w:hint="default"/>
                <w:b/>
                <w:bCs/>
                <w:sz w:val="18"/>
                <w:szCs w:val="18"/>
                <w:u w:val="single" w:color="000000"/>
              </w:rPr>
              <w:t>/</w:t>
            </w:r>
            <w:r>
              <w:rPr>
                <w:rFonts w:ascii="Times New Roman" w:hAnsi="Times New Roman" w:cs="Times New Roman" w:eastAsia="Times New Roman" w:hint="default"/>
                <w:b/>
                <w:bCs/>
                <w:spacing w:val="44"/>
                <w:sz w:val="18"/>
                <w:szCs w:val="18"/>
                <w:u w:val="single" w:color="000000"/>
              </w:rPr>
              <w:t> </w:t>
            </w:r>
            <w:r>
              <w:rPr>
                <w:rFonts w:ascii="宋体" w:hAnsi="宋体" w:cs="宋体" w:eastAsia="宋体" w:hint="default"/>
                <w:b/>
                <w:bCs/>
                <w:sz w:val="18"/>
                <w:szCs w:val="18"/>
                <w:u w:val="single" w:color="000000"/>
              </w:rPr>
              <w:t>上年发生额</w:t>
              <w:tab/>
            </w:r>
            <w:r>
              <w:rPr>
                <w:rFonts w:ascii="宋体" w:hAnsi="宋体" w:cs="宋体" w:eastAsia="宋体" w:hint="default"/>
                <w:b/>
                <w:bCs/>
                <w:sz w:val="18"/>
                <w:szCs w:val="18"/>
              </w:rPr>
            </w:r>
            <w:r>
              <w:rPr>
                <w:rFonts w:ascii="宋体" w:hAnsi="宋体" w:cs="宋体" w:eastAsia="宋体" w:hint="default"/>
                <w:sz w:val="18"/>
                <w:szCs w:val="18"/>
              </w:rPr>
            </w:r>
          </w:p>
        </w:tc>
      </w:tr>
      <w:tr>
        <w:trPr>
          <w:trHeight w:val="210" w:hRule="exact"/>
        </w:trPr>
        <w:tc>
          <w:tcPr>
            <w:tcW w:w="8740" w:type="dxa"/>
            <w:gridSpan w:val="3"/>
            <w:tcBorders>
              <w:top w:val="nil" w:sz="6" w:space="0" w:color="auto"/>
              <w:left w:val="nil" w:sz="6" w:space="0" w:color="auto"/>
              <w:bottom w:val="single" w:sz="4" w:space="0" w:color="000000"/>
              <w:right w:val="nil" w:sz="6" w:space="0" w:color="auto"/>
            </w:tcBorders>
          </w:tcPr>
          <w:p>
            <w:pPr>
              <w:pStyle w:val="TableParagraph"/>
              <w:spacing w:line="178" w:lineRule="exact"/>
              <w:ind w:left="4491" w:right="0"/>
              <w:jc w:val="left"/>
              <w:rPr>
                <w:rFonts w:ascii="宋体" w:hAnsi="宋体" w:cs="宋体" w:eastAsia="宋体" w:hint="default"/>
                <w:sz w:val="18"/>
                <w:szCs w:val="18"/>
              </w:rPr>
            </w:pPr>
            <w:r>
              <w:rPr>
                <w:rFonts w:ascii="宋体" w:hAnsi="宋体" w:cs="宋体" w:eastAsia="宋体" w:hint="default"/>
                <w:b/>
                <w:bCs/>
                <w:spacing w:val="-23"/>
                <w:sz w:val="18"/>
                <w:szCs w:val="18"/>
              </w:rPr>
              <w:t>同方全球人寿保险有限公司</w:t>
            </w:r>
            <w:r>
              <w:rPr>
                <w:rFonts w:ascii="宋体" w:hAnsi="宋体" w:cs="宋体" w:eastAsia="宋体" w:hint="default"/>
                <w:b/>
                <w:bCs/>
                <w:spacing w:val="-29"/>
                <w:sz w:val="18"/>
                <w:szCs w:val="18"/>
              </w:rPr>
              <w:t> </w:t>
            </w:r>
            <w:r>
              <w:rPr>
                <w:rFonts w:ascii="宋体" w:hAnsi="宋体" w:cs="宋体" w:eastAsia="宋体" w:hint="default"/>
                <w:b/>
                <w:bCs/>
                <w:spacing w:val="-23"/>
                <w:sz w:val="18"/>
                <w:szCs w:val="18"/>
              </w:rPr>
              <w:t>（原海康人寿保险有限公司）</w:t>
            </w:r>
            <w:r>
              <w:rPr>
                <w:rFonts w:ascii="宋体" w:hAnsi="宋体" w:cs="宋体" w:eastAsia="宋体" w:hint="default"/>
                <w:spacing w:val="-23"/>
                <w:sz w:val="18"/>
                <w:szCs w:val="18"/>
              </w:rPr>
            </w:r>
          </w:p>
        </w:tc>
      </w:tr>
      <w:tr>
        <w:trPr>
          <w:trHeight w:val="519" w:hRule="exact"/>
        </w:trPr>
        <w:tc>
          <w:tcPr>
            <w:tcW w:w="3300" w:type="dxa"/>
            <w:tcBorders>
              <w:top w:val="single" w:sz="4" w:space="0" w:color="000000"/>
              <w:left w:val="nil" w:sz="6" w:space="0" w:color="auto"/>
              <w:bottom w:val="nil" w:sz="6" w:space="0" w:color="auto"/>
              <w:right w:val="nil" w:sz="6" w:space="0" w:color="auto"/>
            </w:tcBorders>
          </w:tcPr>
          <w:p>
            <w:pPr>
              <w:pStyle w:val="TableParagraph"/>
              <w:spacing w:line="240" w:lineRule="auto" w:before="152"/>
              <w:ind w:left="1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35"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179" w:right="0"/>
              <w:jc w:val="left"/>
              <w:rPr>
                <w:rFonts w:ascii="Times New Roman" w:hAnsi="Times New Roman" w:cs="Times New Roman" w:eastAsia="Times New Roman" w:hint="default"/>
                <w:sz w:val="18"/>
                <w:szCs w:val="18"/>
              </w:rPr>
            </w:pPr>
            <w:r>
              <w:rPr>
                <w:rFonts w:ascii="Times New Roman"/>
                <w:sz w:val="18"/>
              </w:rPr>
              <w:t>2,570,480,442</w:t>
            </w:r>
          </w:p>
        </w:tc>
        <w:tc>
          <w:tcPr>
            <w:tcW w:w="2105"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2,231,797,163</w:t>
            </w:r>
          </w:p>
        </w:tc>
      </w:tr>
      <w:tr>
        <w:trPr>
          <w:trHeight w:val="414" w:hRule="exact"/>
        </w:trPr>
        <w:tc>
          <w:tcPr>
            <w:tcW w:w="3300"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其中：现金和现金等价物</w:t>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18"/>
              <w:jc w:val="right"/>
              <w:rPr>
                <w:rFonts w:ascii="Times New Roman" w:hAnsi="Times New Roman" w:cs="Times New Roman" w:eastAsia="Times New Roman" w:hint="default"/>
                <w:sz w:val="18"/>
                <w:szCs w:val="18"/>
              </w:rPr>
            </w:pPr>
            <w:r>
              <w:rPr>
                <w:rFonts w:ascii="Times New Roman"/>
                <w:spacing w:val="-1"/>
                <w:sz w:val="18"/>
              </w:rPr>
              <w:t>818,560,826</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10"/>
              <w:jc w:val="right"/>
              <w:rPr>
                <w:rFonts w:ascii="Times New Roman" w:hAnsi="Times New Roman" w:cs="Times New Roman" w:eastAsia="Times New Roman" w:hint="default"/>
                <w:sz w:val="18"/>
                <w:szCs w:val="18"/>
              </w:rPr>
            </w:pPr>
            <w:r>
              <w:rPr>
                <w:rFonts w:ascii="Times New Roman"/>
                <w:spacing w:val="-1"/>
                <w:sz w:val="18"/>
              </w:rPr>
              <w:t>152,576,710</w:t>
            </w:r>
          </w:p>
        </w:tc>
      </w:tr>
      <w:tr>
        <w:trPr>
          <w:trHeight w:val="349" w:hRule="exact"/>
        </w:trPr>
        <w:tc>
          <w:tcPr>
            <w:tcW w:w="330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2179" w:right="0"/>
              <w:jc w:val="left"/>
              <w:rPr>
                <w:rFonts w:ascii="Times New Roman" w:hAnsi="Times New Roman" w:cs="Times New Roman" w:eastAsia="Times New Roman" w:hint="default"/>
                <w:sz w:val="18"/>
                <w:szCs w:val="18"/>
              </w:rPr>
            </w:pPr>
            <w:r>
              <w:rPr>
                <w:rFonts w:ascii="Times New Roman"/>
                <w:sz w:val="18"/>
              </w:rPr>
              <w:t>8,899,736,010</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10"/>
              <w:jc w:val="right"/>
              <w:rPr>
                <w:rFonts w:ascii="Times New Roman" w:hAnsi="Times New Roman" w:cs="Times New Roman" w:eastAsia="Times New Roman" w:hint="default"/>
                <w:sz w:val="18"/>
                <w:szCs w:val="18"/>
              </w:rPr>
            </w:pPr>
            <w:r>
              <w:rPr>
                <w:rFonts w:ascii="Times New Roman"/>
                <w:spacing w:val="-1"/>
                <w:sz w:val="18"/>
              </w:rPr>
              <w:t>7,459,846,916</w:t>
            </w:r>
          </w:p>
        </w:tc>
      </w:tr>
      <w:tr>
        <w:trPr>
          <w:trHeight w:val="349" w:hRule="exact"/>
        </w:trPr>
        <w:tc>
          <w:tcPr>
            <w:tcW w:w="3300"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090" w:right="0"/>
              <w:jc w:val="left"/>
              <w:rPr>
                <w:rFonts w:ascii="Times New Roman" w:hAnsi="Times New Roman" w:cs="Times New Roman" w:eastAsia="Times New Roman" w:hint="default"/>
                <w:sz w:val="18"/>
                <w:szCs w:val="18"/>
              </w:rPr>
            </w:pPr>
            <w:r>
              <w:rPr>
                <w:rFonts w:ascii="Times New Roman"/>
                <w:sz w:val="18"/>
              </w:rPr>
              <w:t>11,470,216,452</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9,691,644,079</w:t>
            </w:r>
          </w:p>
        </w:tc>
      </w:tr>
      <w:tr>
        <w:trPr>
          <w:trHeight w:val="414" w:hRule="exact"/>
        </w:trPr>
        <w:tc>
          <w:tcPr>
            <w:tcW w:w="330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2179" w:right="0"/>
              <w:jc w:val="left"/>
              <w:rPr>
                <w:rFonts w:ascii="Times New Roman" w:hAnsi="Times New Roman" w:cs="Times New Roman" w:eastAsia="Times New Roman" w:hint="default"/>
                <w:sz w:val="18"/>
                <w:szCs w:val="18"/>
              </w:rPr>
            </w:pPr>
            <w:r>
              <w:rPr>
                <w:rFonts w:ascii="Times New Roman"/>
                <w:sz w:val="18"/>
              </w:rPr>
              <w:t>9,736,816,186</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10"/>
              <w:jc w:val="right"/>
              <w:rPr>
                <w:rFonts w:ascii="Times New Roman" w:hAnsi="Times New Roman" w:cs="Times New Roman" w:eastAsia="Times New Roman" w:hint="default"/>
                <w:sz w:val="18"/>
                <w:szCs w:val="18"/>
              </w:rPr>
            </w:pPr>
            <w:r>
              <w:rPr>
                <w:rFonts w:ascii="Times New Roman"/>
                <w:spacing w:val="-1"/>
                <w:sz w:val="18"/>
              </w:rPr>
              <w:t>8,117,010,598</w:t>
            </w:r>
          </w:p>
        </w:tc>
      </w:tr>
      <w:tr>
        <w:trPr>
          <w:trHeight w:val="348" w:hRule="exact"/>
        </w:trPr>
        <w:tc>
          <w:tcPr>
            <w:tcW w:w="3300"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18"/>
              <w:jc w:val="right"/>
              <w:rPr>
                <w:rFonts w:ascii="Times New Roman" w:hAnsi="Times New Roman" w:cs="Times New Roman" w:eastAsia="Times New Roman" w:hint="default"/>
                <w:sz w:val="18"/>
                <w:szCs w:val="18"/>
              </w:rPr>
            </w:pPr>
            <w:r>
              <w:rPr>
                <w:rFonts w:ascii="Times New Roman"/>
                <w:spacing w:val="-1"/>
                <w:sz w:val="18"/>
              </w:rPr>
              <w:t>686,582,911</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10"/>
              <w:jc w:val="right"/>
              <w:rPr>
                <w:rFonts w:ascii="Times New Roman" w:hAnsi="Times New Roman" w:cs="Times New Roman" w:eastAsia="Times New Roman" w:hint="default"/>
                <w:sz w:val="18"/>
                <w:szCs w:val="18"/>
              </w:rPr>
            </w:pPr>
            <w:r>
              <w:rPr>
                <w:rFonts w:ascii="Times New Roman"/>
                <w:spacing w:val="-1"/>
                <w:sz w:val="18"/>
              </w:rPr>
              <w:t>832,777,505</w:t>
            </w:r>
          </w:p>
        </w:tc>
      </w:tr>
      <w:tr>
        <w:trPr>
          <w:trHeight w:val="284" w:hRule="exact"/>
        </w:trPr>
        <w:tc>
          <w:tcPr>
            <w:tcW w:w="3300"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090" w:right="0"/>
              <w:jc w:val="left"/>
              <w:rPr>
                <w:rFonts w:ascii="Times New Roman" w:hAnsi="Times New Roman" w:cs="Times New Roman" w:eastAsia="Times New Roman" w:hint="default"/>
                <w:sz w:val="18"/>
                <w:szCs w:val="18"/>
              </w:rPr>
            </w:pPr>
            <w:r>
              <w:rPr>
                <w:rFonts w:ascii="Times New Roman"/>
                <w:sz w:val="18"/>
              </w:rPr>
              <w:t>10,423,399,097</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8,949,788,103</w:t>
            </w:r>
          </w:p>
        </w:tc>
      </w:tr>
      <w:tr>
        <w:trPr>
          <w:trHeight w:val="350" w:hRule="exact"/>
        </w:trPr>
        <w:tc>
          <w:tcPr>
            <w:tcW w:w="3300"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5"/>
              <w:jc w:val="right"/>
              <w:rPr>
                <w:rFonts w:ascii="Times New Roman" w:hAnsi="Times New Roman" w:cs="Times New Roman" w:eastAsia="Times New Roman" w:hint="default"/>
                <w:sz w:val="18"/>
                <w:szCs w:val="18"/>
              </w:rPr>
            </w:pPr>
            <w:r>
              <w:rPr>
                <w:rFonts w:ascii="Times New Roman"/>
                <w:spacing w:val="-1"/>
                <w:sz w:val="18"/>
              </w:rPr>
              <w:t>0.00</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414" w:hRule="exact"/>
        </w:trPr>
        <w:tc>
          <w:tcPr>
            <w:tcW w:w="3300"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2179" w:right="0"/>
              <w:jc w:val="left"/>
              <w:rPr>
                <w:rFonts w:ascii="Times New Roman" w:hAnsi="Times New Roman" w:cs="Times New Roman" w:eastAsia="Times New Roman" w:hint="default"/>
                <w:sz w:val="18"/>
                <w:szCs w:val="18"/>
              </w:rPr>
            </w:pPr>
            <w:r>
              <w:rPr>
                <w:rFonts w:ascii="Times New Roman"/>
                <w:sz w:val="18"/>
              </w:rPr>
              <w:t>1,046,817,355</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10"/>
              <w:jc w:val="right"/>
              <w:rPr>
                <w:rFonts w:ascii="Times New Roman" w:hAnsi="Times New Roman" w:cs="Times New Roman" w:eastAsia="Times New Roman" w:hint="default"/>
                <w:sz w:val="18"/>
                <w:szCs w:val="18"/>
              </w:rPr>
            </w:pPr>
            <w:r>
              <w:rPr>
                <w:rFonts w:ascii="Times New Roman"/>
                <w:spacing w:val="-1"/>
                <w:sz w:val="18"/>
              </w:rPr>
              <w:t>741,855,976</w:t>
            </w:r>
          </w:p>
        </w:tc>
      </w:tr>
      <w:tr>
        <w:trPr>
          <w:trHeight w:val="349" w:hRule="exact"/>
        </w:trPr>
        <w:tc>
          <w:tcPr>
            <w:tcW w:w="330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2179" w:right="0"/>
              <w:jc w:val="left"/>
              <w:rPr>
                <w:rFonts w:ascii="Times New Roman" w:hAnsi="Times New Roman" w:cs="Times New Roman" w:eastAsia="Times New Roman" w:hint="default"/>
                <w:sz w:val="18"/>
                <w:szCs w:val="18"/>
              </w:rPr>
            </w:pPr>
            <w:r>
              <w:rPr>
                <w:rFonts w:ascii="Times New Roman"/>
                <w:sz w:val="18"/>
              </w:rPr>
              <w:t>1,304,415,517</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8"/>
              <w:jc w:val="right"/>
              <w:rPr>
                <w:rFonts w:ascii="Times New Roman" w:hAnsi="Times New Roman" w:cs="Times New Roman" w:eastAsia="Times New Roman" w:hint="default"/>
                <w:sz w:val="18"/>
                <w:szCs w:val="18"/>
              </w:rPr>
            </w:pPr>
            <w:r>
              <w:rPr>
                <w:rFonts w:ascii="Times New Roman"/>
                <w:spacing w:val="-1"/>
                <w:sz w:val="18"/>
              </w:rPr>
              <w:t>-649,185,086</w:t>
            </w:r>
          </w:p>
        </w:tc>
      </w:tr>
      <w:tr>
        <w:trPr>
          <w:trHeight w:val="283" w:hRule="exact"/>
        </w:trPr>
        <w:tc>
          <w:tcPr>
            <w:tcW w:w="3300"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6"/>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349" w:hRule="exact"/>
        </w:trPr>
        <w:tc>
          <w:tcPr>
            <w:tcW w:w="3300"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6"/>
              <w:jc w:val="right"/>
              <w:rPr>
                <w:rFonts w:ascii="Times New Roman" w:hAnsi="Times New Roman" w:cs="Times New Roman" w:eastAsia="Times New Roman" w:hint="default"/>
                <w:sz w:val="18"/>
                <w:szCs w:val="18"/>
              </w:rPr>
            </w:pPr>
            <w:r>
              <w:rPr>
                <w:rFonts w:ascii="Times New Roman"/>
                <w:sz w:val="18"/>
              </w:rPr>
              <w:t>0.00</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349" w:hRule="exact"/>
        </w:trPr>
        <w:tc>
          <w:tcPr>
            <w:tcW w:w="330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15"/>
              <w:jc w:val="right"/>
              <w:rPr>
                <w:rFonts w:ascii="Times New Roman" w:hAnsi="Times New Roman" w:cs="Times New Roman" w:eastAsia="Times New Roman" w:hint="default"/>
                <w:sz w:val="18"/>
                <w:szCs w:val="18"/>
              </w:rPr>
            </w:pPr>
            <w:r>
              <w:rPr>
                <w:rFonts w:ascii="Times New Roman"/>
                <w:w w:val="95"/>
                <w:sz w:val="18"/>
              </w:rPr>
              <w:t>-14,332,983</w:t>
            </w:r>
            <w:r>
              <w:rPr>
                <w:rFonts w:ascii="Times New Roman"/>
                <w:sz w:val="18"/>
              </w:rPr>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7"/>
              <w:jc w:val="right"/>
              <w:rPr>
                <w:rFonts w:ascii="Times New Roman" w:hAnsi="Times New Roman" w:cs="Times New Roman" w:eastAsia="Times New Roman" w:hint="default"/>
                <w:sz w:val="18"/>
                <w:szCs w:val="18"/>
              </w:rPr>
            </w:pPr>
            <w:r>
              <w:rPr>
                <w:rFonts w:ascii="Times New Roman"/>
                <w:spacing w:val="-1"/>
                <w:sz w:val="18"/>
              </w:rPr>
              <w:t>81,603,085</w:t>
            </w:r>
          </w:p>
        </w:tc>
      </w:tr>
      <w:tr>
        <w:trPr>
          <w:trHeight w:val="349" w:hRule="exact"/>
        </w:trPr>
        <w:tc>
          <w:tcPr>
            <w:tcW w:w="3300"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终止经营的净利润</w:t>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6"/>
              <w:jc w:val="right"/>
              <w:rPr>
                <w:rFonts w:ascii="Times New Roman" w:hAnsi="Times New Roman" w:cs="Times New Roman" w:eastAsia="Times New Roman" w:hint="default"/>
                <w:sz w:val="18"/>
                <w:szCs w:val="18"/>
              </w:rPr>
            </w:pPr>
            <w:r>
              <w:rPr>
                <w:rFonts w:ascii="Times New Roman"/>
                <w:sz w:val="18"/>
              </w:rPr>
              <w:t>0.00</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414" w:hRule="exact"/>
        </w:trPr>
        <w:tc>
          <w:tcPr>
            <w:tcW w:w="330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35"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15"/>
              <w:jc w:val="right"/>
              <w:rPr>
                <w:rFonts w:ascii="Times New Roman" w:hAnsi="Times New Roman" w:cs="Times New Roman" w:eastAsia="Times New Roman" w:hint="default"/>
                <w:sz w:val="18"/>
                <w:szCs w:val="18"/>
              </w:rPr>
            </w:pPr>
            <w:r>
              <w:rPr>
                <w:rFonts w:ascii="Times New Roman"/>
                <w:spacing w:val="-1"/>
                <w:sz w:val="18"/>
              </w:rPr>
              <w:t>19,294,362</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7"/>
              <w:jc w:val="right"/>
              <w:rPr>
                <w:rFonts w:ascii="Times New Roman" w:hAnsi="Times New Roman" w:cs="Times New Roman" w:eastAsia="Times New Roman" w:hint="default"/>
                <w:sz w:val="18"/>
                <w:szCs w:val="18"/>
              </w:rPr>
            </w:pPr>
            <w:r>
              <w:rPr>
                <w:rFonts w:ascii="Times New Roman"/>
                <w:w w:val="95"/>
                <w:sz w:val="18"/>
              </w:rPr>
              <w:t>-10,745,171</w:t>
            </w:r>
            <w:r>
              <w:rPr>
                <w:rFonts w:ascii="Times New Roman"/>
                <w:sz w:val="18"/>
              </w:rPr>
            </w:r>
          </w:p>
        </w:tc>
      </w:tr>
      <w:tr>
        <w:trPr>
          <w:trHeight w:val="331" w:hRule="exact"/>
        </w:trPr>
        <w:tc>
          <w:tcPr>
            <w:tcW w:w="3300"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3335" w:type="dxa"/>
            <w:tcBorders>
              <w:top w:val="nil" w:sz="6" w:space="0" w:color="auto"/>
              <w:left w:val="nil" w:sz="6" w:space="0" w:color="auto"/>
              <w:bottom w:val="single" w:sz="12" w:space="0" w:color="000000"/>
              <w:right w:val="nil" w:sz="6" w:space="0" w:color="auto"/>
            </w:tcBorders>
          </w:tcPr>
          <w:p>
            <w:pPr>
              <w:pStyle w:val="TableParagraph"/>
              <w:spacing w:line="240" w:lineRule="auto" w:before="103"/>
              <w:ind w:right="118"/>
              <w:jc w:val="right"/>
              <w:rPr>
                <w:rFonts w:ascii="Times New Roman" w:hAnsi="Times New Roman" w:cs="Times New Roman" w:eastAsia="Times New Roman" w:hint="default"/>
                <w:sz w:val="18"/>
                <w:szCs w:val="18"/>
              </w:rPr>
            </w:pPr>
            <w:r>
              <w:rPr>
                <w:rFonts w:ascii="Times New Roman"/>
                <w:spacing w:val="-1"/>
                <w:sz w:val="18"/>
              </w:rPr>
              <w:t>4,961,379</w:t>
            </w:r>
          </w:p>
        </w:tc>
        <w:tc>
          <w:tcPr>
            <w:tcW w:w="2105" w:type="dxa"/>
            <w:tcBorders>
              <w:top w:val="nil" w:sz="6" w:space="0" w:color="auto"/>
              <w:left w:val="nil" w:sz="6" w:space="0" w:color="auto"/>
              <w:bottom w:val="single" w:sz="12" w:space="0" w:color="000000"/>
              <w:right w:val="nil" w:sz="6" w:space="0" w:color="auto"/>
            </w:tcBorders>
          </w:tcPr>
          <w:p>
            <w:pPr>
              <w:pStyle w:val="TableParagraph"/>
              <w:spacing w:line="240" w:lineRule="auto" w:before="103"/>
              <w:ind w:right="107"/>
              <w:jc w:val="right"/>
              <w:rPr>
                <w:rFonts w:ascii="Times New Roman" w:hAnsi="Times New Roman" w:cs="Times New Roman" w:eastAsia="Times New Roman" w:hint="default"/>
                <w:sz w:val="18"/>
                <w:szCs w:val="18"/>
              </w:rPr>
            </w:pPr>
            <w:r>
              <w:rPr>
                <w:rFonts w:ascii="Times New Roman"/>
                <w:spacing w:val="-1"/>
                <w:sz w:val="18"/>
              </w:rPr>
              <w:t>70,857,914</w:t>
            </w:r>
          </w:p>
        </w:tc>
      </w:tr>
    </w:tbl>
    <w:p>
      <w:pPr>
        <w:spacing w:before="81"/>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重要的联营企业的主要财务信息</w:t>
      </w:r>
    </w:p>
    <w:p>
      <w:pPr>
        <w:spacing w:line="240" w:lineRule="auto" w:before="5"/>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4203"/>
        <w:gridCol w:w="2346"/>
        <w:gridCol w:w="2190"/>
      </w:tblGrid>
      <w:tr>
        <w:trPr>
          <w:trHeight w:val="308" w:hRule="exact"/>
        </w:trPr>
        <w:tc>
          <w:tcPr>
            <w:tcW w:w="4203" w:type="dxa"/>
            <w:vMerge w:val="restart"/>
            <w:tcBorders>
              <w:top w:val="single" w:sz="12" w:space="0" w:color="000000"/>
              <w:left w:val="nil" w:sz="6" w:space="0" w:color="auto"/>
              <w:right w:val="nil" w:sz="6" w:space="0" w:color="auto"/>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346"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left="223" w:right="0"/>
              <w:jc w:val="left"/>
              <w:rPr>
                <w:rFonts w:ascii="宋体" w:hAnsi="宋体" w:cs="宋体" w:eastAsia="宋体" w:hint="default"/>
                <w:sz w:val="18"/>
                <w:szCs w:val="18"/>
              </w:rPr>
            </w:pPr>
            <w:r>
              <w:rPr>
                <w:rFonts w:ascii="宋体" w:hAnsi="宋体" w:cs="宋体" w:eastAsia="宋体" w:hint="default"/>
                <w:b/>
                <w:bCs/>
                <w:sz w:val="18"/>
                <w:szCs w:val="18"/>
              </w:rPr>
              <w:t>年末余额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190"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left="147" w:right="0"/>
              <w:jc w:val="left"/>
              <w:rPr>
                <w:rFonts w:ascii="宋体" w:hAnsi="宋体" w:cs="宋体" w:eastAsia="宋体" w:hint="default"/>
                <w:sz w:val="18"/>
                <w:szCs w:val="18"/>
              </w:rPr>
            </w:pPr>
            <w:r>
              <w:rPr>
                <w:rFonts w:ascii="宋体" w:hAnsi="宋体" w:cs="宋体" w:eastAsia="宋体" w:hint="default"/>
                <w:b/>
                <w:bCs/>
                <w:sz w:val="18"/>
                <w:szCs w:val="18"/>
              </w:rPr>
              <w:t>年初余额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295" w:hRule="exact"/>
        </w:trPr>
        <w:tc>
          <w:tcPr>
            <w:tcW w:w="4203" w:type="dxa"/>
            <w:vMerge/>
            <w:tcBorders>
              <w:left w:val="nil" w:sz="6" w:space="0" w:color="auto"/>
              <w:bottom w:val="single" w:sz="4" w:space="0" w:color="000000"/>
              <w:right w:val="nil" w:sz="6" w:space="0" w:color="auto"/>
            </w:tcBorders>
          </w:tcPr>
          <w:p>
            <w:pPr/>
          </w:p>
        </w:tc>
        <w:tc>
          <w:tcPr>
            <w:tcW w:w="4537"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1361" w:right="0"/>
              <w:jc w:val="left"/>
              <w:rPr>
                <w:rFonts w:ascii="宋体" w:hAnsi="宋体" w:cs="宋体" w:eastAsia="宋体" w:hint="default"/>
                <w:sz w:val="18"/>
                <w:szCs w:val="18"/>
              </w:rPr>
            </w:pPr>
            <w:r>
              <w:rPr>
                <w:rFonts w:ascii="宋体" w:hAnsi="宋体" w:cs="宋体" w:eastAsia="宋体" w:hint="default"/>
                <w:b/>
                <w:bCs/>
                <w:sz w:val="18"/>
                <w:szCs w:val="18"/>
              </w:rPr>
              <w:t>泰豪科技股份有限公司</w:t>
            </w:r>
            <w:r>
              <w:rPr>
                <w:rFonts w:ascii="宋体" w:hAnsi="宋体" w:cs="宋体" w:eastAsia="宋体" w:hint="default"/>
                <w:sz w:val="18"/>
                <w:szCs w:val="18"/>
              </w:rPr>
            </w:r>
          </w:p>
        </w:tc>
      </w:tr>
      <w:tr>
        <w:trPr>
          <w:trHeight w:val="323" w:hRule="exact"/>
        </w:trPr>
        <w:tc>
          <w:tcPr>
            <w:tcW w:w="4203"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346"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48"/>
              <w:jc w:val="right"/>
              <w:rPr>
                <w:rFonts w:ascii="Times New Roman" w:hAnsi="Times New Roman" w:cs="Times New Roman" w:eastAsia="Times New Roman" w:hint="default"/>
                <w:sz w:val="18"/>
                <w:szCs w:val="18"/>
              </w:rPr>
            </w:pPr>
            <w:r>
              <w:rPr>
                <w:rFonts w:ascii="Times New Roman"/>
                <w:spacing w:val="-1"/>
                <w:sz w:val="18"/>
              </w:rPr>
              <w:t>4,330,117,037.79</w:t>
            </w:r>
          </w:p>
        </w:tc>
        <w:tc>
          <w:tcPr>
            <w:tcW w:w="2190"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8"/>
              <w:jc w:val="right"/>
              <w:rPr>
                <w:rFonts w:ascii="Times New Roman" w:hAnsi="Times New Roman" w:cs="Times New Roman" w:eastAsia="Times New Roman" w:hint="default"/>
                <w:sz w:val="18"/>
                <w:szCs w:val="18"/>
              </w:rPr>
            </w:pPr>
            <w:r>
              <w:rPr>
                <w:rFonts w:ascii="Times New Roman"/>
                <w:spacing w:val="-1"/>
                <w:sz w:val="18"/>
              </w:rPr>
              <w:t>3,199,331,686.61</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其中：现金和现金等价物</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933,855,500.38</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836,664,029.64</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2,827,581,186.18</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2,622,190,896.24</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7,157,698,223.97</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5,821,522,582.85</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8"/>
              <w:jc w:val="right"/>
              <w:rPr>
                <w:rFonts w:ascii="Times New Roman" w:hAnsi="Times New Roman" w:cs="Times New Roman" w:eastAsia="Times New Roman" w:hint="default"/>
                <w:sz w:val="18"/>
                <w:szCs w:val="18"/>
              </w:rPr>
            </w:pPr>
            <w:r>
              <w:rPr>
                <w:rFonts w:ascii="Times New Roman"/>
                <w:spacing w:val="-1"/>
                <w:sz w:val="18"/>
              </w:rPr>
              <w:t>3,634,393,114.43</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3,206,637,902.69</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287,612,487.26</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350,978,454.61</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3,922,005,601.69</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3,557,616,357.30</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131,678,480.20</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77,226,833.98</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8"/>
              <w:jc w:val="right"/>
              <w:rPr>
                <w:rFonts w:ascii="Times New Roman" w:hAnsi="Times New Roman" w:cs="Times New Roman" w:eastAsia="Times New Roman" w:hint="default"/>
                <w:sz w:val="18"/>
                <w:szCs w:val="18"/>
              </w:rPr>
            </w:pPr>
            <w:r>
              <w:rPr>
                <w:rFonts w:ascii="Times New Roman"/>
                <w:spacing w:val="-1"/>
                <w:sz w:val="18"/>
              </w:rPr>
              <w:t>3,104,014,142.08</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2,186,679,391.57</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3,488,096,410.81</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2,920,709,571.22</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5"/>
              <w:jc w:val="right"/>
              <w:rPr>
                <w:rFonts w:ascii="Times New Roman" w:hAnsi="Times New Roman" w:cs="Times New Roman" w:eastAsia="Times New Roman" w:hint="default"/>
                <w:sz w:val="18"/>
                <w:szCs w:val="18"/>
              </w:rPr>
            </w:pPr>
            <w:r>
              <w:rPr>
                <w:rFonts w:ascii="Times New Roman"/>
                <w:spacing w:val="-1"/>
                <w:sz w:val="18"/>
              </w:rPr>
              <w:t>73,037,933.77</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106,158,381.98</w:t>
            </w:r>
          </w:p>
        </w:tc>
      </w:tr>
      <w:tr>
        <w:trPr>
          <w:trHeight w:val="285"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5"/>
              <w:jc w:val="right"/>
              <w:rPr>
                <w:rFonts w:ascii="Times New Roman" w:hAnsi="Times New Roman" w:cs="Times New Roman" w:eastAsia="Times New Roman" w:hint="default"/>
                <w:sz w:val="18"/>
                <w:szCs w:val="18"/>
              </w:rPr>
            </w:pPr>
            <w:r>
              <w:rPr>
                <w:rFonts w:ascii="Times New Roman"/>
                <w:spacing w:val="-1"/>
                <w:sz w:val="18"/>
              </w:rPr>
              <w:t>19,503,159.31</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35,783,257.08</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8"/>
              <w:jc w:val="right"/>
              <w:rPr>
                <w:rFonts w:ascii="Times New Roman" w:hAnsi="Times New Roman" w:cs="Times New Roman" w:eastAsia="Times New Roman" w:hint="default"/>
                <w:sz w:val="18"/>
                <w:szCs w:val="18"/>
              </w:rPr>
            </w:pPr>
            <w:r>
              <w:rPr>
                <w:rFonts w:ascii="Times New Roman"/>
                <w:spacing w:val="-1"/>
                <w:sz w:val="18"/>
              </w:rPr>
              <w:t>100,856,975.22</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58,178,899.76</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终止经营的净利润</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65" w:hRule="exact"/>
        </w:trPr>
        <w:tc>
          <w:tcPr>
            <w:tcW w:w="4203" w:type="dxa"/>
            <w:tcBorders>
              <w:top w:val="nil" w:sz="6" w:space="0" w:color="auto"/>
              <w:left w:val="nil" w:sz="6" w:space="0" w:color="auto"/>
              <w:bottom w:val="single" w:sz="12"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2346"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100,856,975.22</w:t>
            </w:r>
          </w:p>
        </w:tc>
        <w:tc>
          <w:tcPr>
            <w:tcW w:w="219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58,178,899.76</w:t>
            </w:r>
          </w:p>
        </w:tc>
      </w:tr>
    </w:tbl>
    <w:p>
      <w:pPr>
        <w:spacing w:after="0" w:line="240" w:lineRule="auto"/>
        <w:jc w:val="right"/>
        <w:rPr>
          <w:rFonts w:ascii="Times New Roman" w:hAnsi="Times New Roman" w:cs="Times New Roman" w:eastAsia="Times New Roman" w:hint="default"/>
          <w:sz w:val="18"/>
          <w:szCs w:val="18"/>
        </w:rPr>
        <w:sectPr>
          <w:pgSz w:w="11910" w:h="16840"/>
          <w:pgMar w:header="645" w:footer="816" w:top="1080" w:bottom="1000" w:left="1460" w:right="1480"/>
        </w:sectPr>
      </w:pPr>
    </w:p>
    <w:p>
      <w:pPr>
        <w:spacing w:line="240" w:lineRule="auto" w:before="13"/>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4203"/>
        <w:gridCol w:w="2347"/>
        <w:gridCol w:w="2190"/>
      </w:tblGrid>
      <w:tr>
        <w:trPr>
          <w:trHeight w:val="305" w:hRule="exact"/>
        </w:trPr>
        <w:tc>
          <w:tcPr>
            <w:tcW w:w="4203" w:type="dxa"/>
            <w:vMerge w:val="restart"/>
            <w:tcBorders>
              <w:top w:val="single" w:sz="12" w:space="0" w:color="000000"/>
              <w:left w:val="nil" w:sz="6" w:space="0" w:color="auto"/>
              <w:right w:val="nil" w:sz="6" w:space="0" w:color="auto"/>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34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23" w:right="0"/>
              <w:jc w:val="left"/>
              <w:rPr>
                <w:rFonts w:ascii="宋体" w:hAnsi="宋体" w:cs="宋体" w:eastAsia="宋体" w:hint="default"/>
                <w:sz w:val="18"/>
                <w:szCs w:val="18"/>
              </w:rPr>
            </w:pPr>
            <w:r>
              <w:rPr>
                <w:rFonts w:ascii="宋体" w:hAnsi="宋体" w:cs="宋体" w:eastAsia="宋体" w:hint="default"/>
                <w:b/>
                <w:bCs/>
                <w:sz w:val="18"/>
                <w:szCs w:val="18"/>
              </w:rPr>
              <w:t>年末余额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19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47" w:right="0"/>
              <w:jc w:val="left"/>
              <w:rPr>
                <w:rFonts w:ascii="宋体" w:hAnsi="宋体" w:cs="宋体" w:eastAsia="宋体" w:hint="default"/>
                <w:sz w:val="18"/>
                <w:szCs w:val="18"/>
              </w:rPr>
            </w:pPr>
            <w:r>
              <w:rPr>
                <w:rFonts w:ascii="宋体" w:hAnsi="宋体" w:cs="宋体" w:eastAsia="宋体" w:hint="default"/>
                <w:b/>
                <w:bCs/>
                <w:sz w:val="18"/>
                <w:szCs w:val="18"/>
              </w:rPr>
              <w:t>年初余额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295" w:hRule="exact"/>
        </w:trPr>
        <w:tc>
          <w:tcPr>
            <w:tcW w:w="4203" w:type="dxa"/>
            <w:vMerge/>
            <w:tcBorders>
              <w:left w:val="nil" w:sz="6" w:space="0" w:color="auto"/>
              <w:bottom w:val="single" w:sz="4" w:space="0" w:color="000000"/>
              <w:right w:val="nil" w:sz="6" w:space="0" w:color="auto"/>
            </w:tcBorders>
          </w:tcPr>
          <w:p>
            <w:pPr/>
          </w:p>
        </w:tc>
        <w:tc>
          <w:tcPr>
            <w:tcW w:w="4537"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3"/>
              <w:jc w:val="center"/>
              <w:rPr>
                <w:rFonts w:ascii="宋体" w:hAnsi="宋体" w:cs="宋体" w:eastAsia="宋体" w:hint="default"/>
                <w:sz w:val="18"/>
                <w:szCs w:val="18"/>
              </w:rPr>
            </w:pPr>
            <w:r>
              <w:rPr>
                <w:rFonts w:ascii="宋体" w:hAnsi="宋体" w:cs="宋体" w:eastAsia="宋体" w:hint="default"/>
                <w:b/>
                <w:bCs/>
                <w:sz w:val="18"/>
                <w:szCs w:val="18"/>
              </w:rPr>
              <w:t>嘉融投资有限公司</w:t>
            </w:r>
            <w:r>
              <w:rPr>
                <w:rFonts w:ascii="宋体" w:hAnsi="宋体" w:cs="宋体" w:eastAsia="宋体" w:hint="default"/>
                <w:sz w:val="18"/>
                <w:szCs w:val="18"/>
              </w:rPr>
            </w:r>
          </w:p>
        </w:tc>
      </w:tr>
      <w:tr>
        <w:trPr>
          <w:trHeight w:val="325" w:hRule="exact"/>
        </w:trPr>
        <w:tc>
          <w:tcPr>
            <w:tcW w:w="4203"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347"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45"/>
              <w:jc w:val="right"/>
              <w:rPr>
                <w:rFonts w:ascii="Times New Roman" w:hAnsi="Times New Roman" w:cs="Times New Roman" w:eastAsia="Times New Roman" w:hint="default"/>
                <w:sz w:val="18"/>
                <w:szCs w:val="18"/>
              </w:rPr>
            </w:pPr>
            <w:r>
              <w:rPr>
                <w:rFonts w:ascii="Times New Roman"/>
                <w:spacing w:val="-1"/>
                <w:sz w:val="18"/>
              </w:rPr>
              <w:t>60,725,226.82</w:t>
            </w:r>
          </w:p>
        </w:tc>
        <w:tc>
          <w:tcPr>
            <w:tcW w:w="2190"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116,803,538.32</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其中：现金和现金等价物</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7,434,428.88</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8,776,914.32</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8"/>
              <w:jc w:val="right"/>
              <w:rPr>
                <w:rFonts w:ascii="Times New Roman" w:hAnsi="Times New Roman" w:cs="Times New Roman" w:eastAsia="Times New Roman" w:hint="default"/>
                <w:sz w:val="18"/>
                <w:szCs w:val="18"/>
              </w:rPr>
            </w:pPr>
            <w:r>
              <w:rPr>
                <w:rFonts w:ascii="Times New Roman"/>
                <w:spacing w:val="-1"/>
                <w:sz w:val="18"/>
              </w:rPr>
              <w:t>578,351,965.06</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531,400,830.60</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639,077,191.88</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648,204,368.92</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5"/>
              <w:jc w:val="right"/>
              <w:rPr>
                <w:rFonts w:ascii="Times New Roman" w:hAnsi="Times New Roman" w:cs="Times New Roman" w:eastAsia="Times New Roman" w:hint="default"/>
                <w:sz w:val="18"/>
                <w:szCs w:val="18"/>
              </w:rPr>
            </w:pPr>
            <w:r>
              <w:rPr>
                <w:rFonts w:ascii="Times New Roman"/>
                <w:spacing w:val="-1"/>
                <w:sz w:val="18"/>
              </w:rPr>
              <w:t>40,570,886.94</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41,408,454.81</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5"/>
              <w:jc w:val="right"/>
              <w:rPr>
                <w:rFonts w:ascii="Times New Roman" w:hAnsi="Times New Roman" w:cs="Times New Roman" w:eastAsia="Times New Roman" w:hint="default"/>
                <w:sz w:val="18"/>
                <w:szCs w:val="18"/>
              </w:rPr>
            </w:pPr>
            <w:r>
              <w:rPr>
                <w:rFonts w:ascii="Times New Roman"/>
                <w:spacing w:val="-1"/>
                <w:sz w:val="18"/>
              </w:rPr>
              <w:t>40,570,886.94</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41,408,454.81</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598,506,304.94</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606,795,914.11</w:t>
            </w:r>
          </w:p>
        </w:tc>
      </w:tr>
      <w:tr>
        <w:trPr>
          <w:trHeight w:val="285"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5"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8"/>
              <w:jc w:val="right"/>
              <w:rPr>
                <w:rFonts w:ascii="Times New Roman" w:hAnsi="Times New Roman" w:cs="Times New Roman" w:eastAsia="Times New Roman" w:hint="default"/>
                <w:sz w:val="18"/>
                <w:szCs w:val="18"/>
              </w:rPr>
            </w:pPr>
            <w:r>
              <w:rPr>
                <w:rFonts w:ascii="Times New Roman"/>
                <w:spacing w:val="-1"/>
                <w:sz w:val="18"/>
              </w:rPr>
              <w:t>-213,289.21</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-3,518,069.99</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5"/>
              <w:jc w:val="right"/>
              <w:rPr>
                <w:rFonts w:ascii="Times New Roman" w:hAnsi="Times New Roman" w:cs="Times New Roman" w:eastAsia="Times New Roman" w:hint="default"/>
                <w:sz w:val="18"/>
                <w:szCs w:val="18"/>
              </w:rPr>
            </w:pPr>
            <w:r>
              <w:rPr>
                <w:rFonts w:ascii="Times New Roman"/>
                <w:spacing w:val="-1"/>
                <w:sz w:val="18"/>
              </w:rPr>
              <w:t>126.06</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758,091.95</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9,079,170.82</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12,418,890.10</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终止经营的净利润</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67" w:hRule="exact"/>
        </w:trPr>
        <w:tc>
          <w:tcPr>
            <w:tcW w:w="4203" w:type="dxa"/>
            <w:tcBorders>
              <w:top w:val="nil" w:sz="6" w:space="0" w:color="auto"/>
              <w:left w:val="nil" w:sz="6" w:space="0" w:color="auto"/>
              <w:bottom w:val="single" w:sz="12"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234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9,079,170.82</w:t>
            </w:r>
          </w:p>
        </w:tc>
        <w:tc>
          <w:tcPr>
            <w:tcW w:w="219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12,418,890.10</w:t>
            </w:r>
          </w:p>
        </w:tc>
      </w:tr>
    </w:tbl>
    <w:p>
      <w:pPr>
        <w:spacing w:before="81"/>
        <w:ind w:left="242" w:right="0" w:firstLine="0"/>
        <w:jc w:val="left"/>
        <w:rPr>
          <w:rFonts w:ascii="宋体" w:hAnsi="宋体" w:cs="宋体" w:eastAsia="宋体" w:hint="default"/>
          <w:sz w:val="22"/>
          <w:szCs w:val="22"/>
        </w:rPr>
      </w:pPr>
      <w:r>
        <w:rPr>
          <w:rFonts w:ascii="宋体" w:hAnsi="宋体" w:cs="宋体" w:eastAsia="宋体" w:hint="default"/>
          <w:sz w:val="22"/>
          <w:szCs w:val="22"/>
        </w:rPr>
        <w:t>（续</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2</w:t>
      </w:r>
      <w:r>
        <w:rPr>
          <w:rFonts w:ascii="宋体" w:hAnsi="宋体" w:cs="宋体" w:eastAsia="宋体" w:hint="default"/>
          <w:sz w:val="22"/>
          <w:szCs w:val="22"/>
        </w:rPr>
        <w:t>）</w:t>
      </w:r>
    </w:p>
    <w:p>
      <w:pPr>
        <w:spacing w:line="240" w:lineRule="auto" w:before="5"/>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4203"/>
        <w:gridCol w:w="2347"/>
        <w:gridCol w:w="2190"/>
      </w:tblGrid>
      <w:tr>
        <w:trPr>
          <w:trHeight w:val="307" w:hRule="exact"/>
        </w:trPr>
        <w:tc>
          <w:tcPr>
            <w:tcW w:w="4203" w:type="dxa"/>
            <w:vMerge w:val="restart"/>
            <w:tcBorders>
              <w:top w:val="single" w:sz="12" w:space="0" w:color="000000"/>
              <w:left w:val="nil" w:sz="6" w:space="0" w:color="auto"/>
              <w:right w:val="nil" w:sz="6" w:space="0" w:color="auto"/>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34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23" w:right="0"/>
              <w:jc w:val="left"/>
              <w:rPr>
                <w:rFonts w:ascii="宋体" w:hAnsi="宋体" w:cs="宋体" w:eastAsia="宋体" w:hint="default"/>
                <w:sz w:val="18"/>
                <w:szCs w:val="18"/>
              </w:rPr>
            </w:pPr>
            <w:r>
              <w:rPr>
                <w:rFonts w:ascii="宋体" w:hAnsi="宋体" w:cs="宋体" w:eastAsia="宋体" w:hint="default"/>
                <w:b/>
                <w:bCs/>
                <w:sz w:val="18"/>
                <w:szCs w:val="18"/>
              </w:rPr>
              <w:t>年末余额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19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47" w:right="0"/>
              <w:jc w:val="left"/>
              <w:rPr>
                <w:rFonts w:ascii="宋体" w:hAnsi="宋体" w:cs="宋体" w:eastAsia="宋体" w:hint="default"/>
                <w:sz w:val="18"/>
                <w:szCs w:val="18"/>
              </w:rPr>
            </w:pPr>
            <w:r>
              <w:rPr>
                <w:rFonts w:ascii="宋体" w:hAnsi="宋体" w:cs="宋体" w:eastAsia="宋体" w:hint="default"/>
                <w:b/>
                <w:bCs/>
                <w:sz w:val="18"/>
                <w:szCs w:val="18"/>
              </w:rPr>
              <w:t>年初余额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295" w:hRule="exact"/>
        </w:trPr>
        <w:tc>
          <w:tcPr>
            <w:tcW w:w="4203" w:type="dxa"/>
            <w:vMerge/>
            <w:tcBorders>
              <w:left w:val="nil" w:sz="6" w:space="0" w:color="auto"/>
              <w:bottom w:val="single" w:sz="4" w:space="0" w:color="000000"/>
              <w:right w:val="nil" w:sz="6" w:space="0" w:color="auto"/>
            </w:tcBorders>
          </w:tcPr>
          <w:p>
            <w:pPr/>
          </w:p>
        </w:tc>
        <w:tc>
          <w:tcPr>
            <w:tcW w:w="4537"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1361" w:right="0"/>
              <w:jc w:val="left"/>
              <w:rPr>
                <w:rFonts w:ascii="宋体" w:hAnsi="宋体" w:cs="宋体" w:eastAsia="宋体" w:hint="default"/>
                <w:sz w:val="18"/>
                <w:szCs w:val="18"/>
              </w:rPr>
            </w:pPr>
            <w:r>
              <w:rPr>
                <w:rFonts w:ascii="宋体" w:hAnsi="宋体" w:cs="宋体" w:eastAsia="宋体" w:hint="default"/>
                <w:b/>
                <w:bCs/>
                <w:sz w:val="18"/>
                <w:szCs w:val="18"/>
              </w:rPr>
              <w:t>同方环境股份有限公司</w:t>
            </w:r>
            <w:r>
              <w:rPr>
                <w:rFonts w:ascii="宋体" w:hAnsi="宋体" w:cs="宋体" w:eastAsia="宋体" w:hint="default"/>
                <w:sz w:val="18"/>
                <w:szCs w:val="18"/>
              </w:rPr>
            </w:r>
          </w:p>
        </w:tc>
      </w:tr>
      <w:tr>
        <w:trPr>
          <w:trHeight w:val="323" w:hRule="exact"/>
        </w:trPr>
        <w:tc>
          <w:tcPr>
            <w:tcW w:w="4203"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347"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48"/>
              <w:jc w:val="right"/>
              <w:rPr>
                <w:rFonts w:ascii="Times New Roman" w:hAnsi="Times New Roman" w:cs="Times New Roman" w:eastAsia="Times New Roman" w:hint="default"/>
                <w:sz w:val="18"/>
                <w:szCs w:val="18"/>
              </w:rPr>
            </w:pPr>
            <w:r>
              <w:rPr>
                <w:rFonts w:ascii="Times New Roman"/>
                <w:spacing w:val="-1"/>
                <w:sz w:val="18"/>
              </w:rPr>
              <w:t>1,210,921,236.30</w:t>
            </w:r>
          </w:p>
        </w:tc>
        <w:tc>
          <w:tcPr>
            <w:tcW w:w="2190"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8"/>
              <w:jc w:val="right"/>
              <w:rPr>
                <w:rFonts w:ascii="Times New Roman" w:hAnsi="Times New Roman" w:cs="Times New Roman" w:eastAsia="Times New Roman" w:hint="default"/>
                <w:sz w:val="18"/>
                <w:szCs w:val="18"/>
              </w:rPr>
            </w:pPr>
            <w:r>
              <w:rPr>
                <w:rFonts w:ascii="Times New Roman"/>
                <w:spacing w:val="-1"/>
                <w:sz w:val="18"/>
              </w:rPr>
              <w:t>1,446,281,374.38</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其中：现金和现金等价物</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238,764,229.52</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402,156,710.15</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230,073,962.08</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221,116,450.78</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1,440,995,198.38</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1,667,397,825.16</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8"/>
              <w:jc w:val="right"/>
              <w:rPr>
                <w:rFonts w:ascii="Times New Roman" w:hAnsi="Times New Roman" w:cs="Times New Roman" w:eastAsia="Times New Roman" w:hint="default"/>
                <w:sz w:val="18"/>
                <w:szCs w:val="18"/>
              </w:rPr>
            </w:pPr>
            <w:r>
              <w:rPr>
                <w:rFonts w:ascii="Times New Roman"/>
                <w:spacing w:val="-1"/>
                <w:sz w:val="18"/>
              </w:rPr>
              <w:t>976,335,394.66</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1,135,314,791.13</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2,940,000.00</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3,122,335.25</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979,275,394.66</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1,138,437,126.38</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5"/>
              <w:jc w:val="right"/>
              <w:rPr>
                <w:rFonts w:ascii="Times New Roman" w:hAnsi="Times New Roman" w:cs="Times New Roman" w:eastAsia="Times New Roman" w:hint="default"/>
                <w:sz w:val="18"/>
                <w:szCs w:val="18"/>
              </w:rPr>
            </w:pPr>
            <w:r>
              <w:rPr>
                <w:rFonts w:ascii="Times New Roman"/>
                <w:spacing w:val="-1"/>
                <w:sz w:val="18"/>
              </w:rPr>
              <w:t>0.00</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2,370,324.71</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8"/>
              <w:jc w:val="right"/>
              <w:rPr>
                <w:rFonts w:ascii="Times New Roman" w:hAnsi="Times New Roman" w:cs="Times New Roman" w:eastAsia="Times New Roman" w:hint="default"/>
                <w:sz w:val="18"/>
                <w:szCs w:val="18"/>
              </w:rPr>
            </w:pPr>
            <w:r>
              <w:rPr>
                <w:rFonts w:ascii="Times New Roman"/>
                <w:spacing w:val="-1"/>
                <w:sz w:val="18"/>
              </w:rPr>
              <w:t>461,719,803.72</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526,590,374.07</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1,145,951,263.11</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1,586,623,935.81</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5"/>
              <w:jc w:val="right"/>
              <w:rPr>
                <w:rFonts w:ascii="Times New Roman" w:hAnsi="Times New Roman" w:cs="Times New Roman" w:eastAsia="Times New Roman" w:hint="default"/>
                <w:sz w:val="18"/>
                <w:szCs w:val="18"/>
              </w:rPr>
            </w:pPr>
            <w:r>
              <w:rPr>
                <w:rFonts w:ascii="Times New Roman"/>
                <w:spacing w:val="-1"/>
                <w:sz w:val="18"/>
              </w:rPr>
              <w:t>-10,474,279.41</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-5,099,855.48</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Times New Roman" w:hAnsi="Times New Roman" w:cs="Times New Roman" w:eastAsia="Times New Roman" w:hint="default"/>
                <w:sz w:val="18"/>
                <w:szCs w:val="18"/>
              </w:rPr>
            </w:pPr>
            <w:r>
              <w:rPr>
                <w:rFonts w:ascii="Times New Roman"/>
                <w:spacing w:val="-1"/>
                <w:sz w:val="18"/>
              </w:rPr>
              <w:t>7,748,634.12</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14,059,742.35</w:t>
            </w:r>
          </w:p>
        </w:tc>
      </w:tr>
      <w:tr>
        <w:trPr>
          <w:trHeight w:val="284"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5"/>
              <w:jc w:val="right"/>
              <w:rPr>
                <w:rFonts w:ascii="Times New Roman" w:hAnsi="Times New Roman" w:cs="Times New Roman" w:eastAsia="Times New Roman" w:hint="default"/>
                <w:sz w:val="18"/>
                <w:szCs w:val="18"/>
              </w:rPr>
            </w:pPr>
            <w:r>
              <w:rPr>
                <w:rFonts w:ascii="Times New Roman"/>
                <w:spacing w:val="-1"/>
                <w:sz w:val="18"/>
              </w:rPr>
              <w:t>41,638,665.06</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70,781,664.94</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终止经营的净利润</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420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5"/>
              <w:jc w:val="right"/>
              <w:rPr>
                <w:rFonts w:ascii="Times New Roman" w:hAnsi="Times New Roman" w:cs="Times New Roman" w:eastAsia="Times New Roman" w:hint="default"/>
                <w:sz w:val="18"/>
                <w:szCs w:val="18"/>
              </w:rPr>
            </w:pPr>
            <w:r>
              <w:rPr>
                <w:rFonts w:ascii="Times New Roman"/>
                <w:spacing w:val="-1"/>
                <w:sz w:val="18"/>
              </w:rPr>
              <w:t>273,110.43</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120,460.26</w:t>
            </w:r>
          </w:p>
        </w:tc>
      </w:tr>
      <w:tr>
        <w:trPr>
          <w:trHeight w:val="265" w:hRule="exact"/>
        </w:trPr>
        <w:tc>
          <w:tcPr>
            <w:tcW w:w="4203" w:type="dxa"/>
            <w:tcBorders>
              <w:top w:val="nil" w:sz="6" w:space="0" w:color="auto"/>
              <w:left w:val="nil" w:sz="6" w:space="0" w:color="auto"/>
              <w:bottom w:val="single" w:sz="12"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234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45"/>
              <w:jc w:val="right"/>
              <w:rPr>
                <w:rFonts w:ascii="Times New Roman" w:hAnsi="Times New Roman" w:cs="Times New Roman" w:eastAsia="Times New Roman" w:hint="default"/>
                <w:sz w:val="18"/>
                <w:szCs w:val="18"/>
              </w:rPr>
            </w:pPr>
            <w:r>
              <w:rPr>
                <w:rFonts w:ascii="Times New Roman"/>
                <w:spacing w:val="-1"/>
                <w:sz w:val="18"/>
              </w:rPr>
              <w:t>41,911,775.49</w:t>
            </w:r>
          </w:p>
        </w:tc>
        <w:tc>
          <w:tcPr>
            <w:tcW w:w="219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70,902,125.20</w:t>
            </w:r>
          </w:p>
        </w:tc>
      </w:tr>
    </w:tbl>
    <w:p>
      <w:pPr>
        <w:spacing w:after="0" w:line="240" w:lineRule="auto"/>
        <w:jc w:val="right"/>
        <w:rPr>
          <w:rFonts w:ascii="Times New Roman" w:hAnsi="Times New Roman" w:cs="Times New Roman" w:eastAsia="Times New Roman" w:hint="default"/>
          <w:sz w:val="18"/>
          <w:szCs w:val="18"/>
        </w:rPr>
        <w:sectPr>
          <w:headerReference w:type="default" r:id="rId89"/>
          <w:pgSz w:w="11910" w:h="16840"/>
          <w:pgMar w:header="645" w:footer="816" w:top="1820" w:bottom="1000" w:left="1460" w:right="1480"/>
        </w:sectPr>
      </w:pPr>
    </w:p>
    <w:p>
      <w:pPr>
        <w:spacing w:line="240" w:lineRule="auto" w:before="13"/>
        <w:rPr>
          <w:rFonts w:ascii="宋体" w:hAnsi="宋体" w:cs="宋体" w:eastAsia="宋体" w:hint="default"/>
          <w:sz w:val="11"/>
          <w:szCs w:val="11"/>
        </w:rPr>
      </w:pPr>
    </w:p>
    <w:tbl>
      <w:tblPr>
        <w:tblW w:w="0" w:type="auto"/>
        <w:jc w:val="left"/>
        <w:tblInd w:w="173" w:type="dxa"/>
        <w:tblLayout w:type="fixed"/>
        <w:tblCellMar>
          <w:top w:w="0" w:type="dxa"/>
          <w:left w:w="0" w:type="dxa"/>
          <w:bottom w:w="0" w:type="dxa"/>
          <w:right w:w="0" w:type="dxa"/>
        </w:tblCellMar>
        <w:tblLook w:val="01E0"/>
      </w:tblPr>
      <w:tblGrid>
        <w:gridCol w:w="4073"/>
        <w:gridCol w:w="2262"/>
        <w:gridCol w:w="2141"/>
      </w:tblGrid>
      <w:tr>
        <w:trPr>
          <w:trHeight w:val="305" w:hRule="exact"/>
        </w:trPr>
        <w:tc>
          <w:tcPr>
            <w:tcW w:w="4073" w:type="dxa"/>
            <w:vMerge w:val="restart"/>
            <w:tcBorders>
              <w:top w:val="single" w:sz="12" w:space="0" w:color="000000"/>
              <w:left w:val="nil" w:sz="6" w:space="0" w:color="auto"/>
              <w:right w:val="nil" w:sz="6" w:space="0" w:color="auto"/>
            </w:tcBorders>
          </w:tcPr>
          <w:p>
            <w:pPr>
              <w:pStyle w:val="TableParagraph"/>
              <w:spacing w:line="240" w:lineRule="auto" w:before="145"/>
              <w:ind w:left="120"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6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89" w:right="0"/>
              <w:jc w:val="left"/>
              <w:rPr>
                <w:rFonts w:ascii="宋体" w:hAnsi="宋体" w:cs="宋体" w:eastAsia="宋体" w:hint="default"/>
                <w:sz w:val="18"/>
                <w:szCs w:val="18"/>
              </w:rPr>
            </w:pPr>
            <w:r>
              <w:rPr>
                <w:rFonts w:ascii="宋体" w:hAnsi="宋体" w:cs="宋体" w:eastAsia="宋体" w:hint="default"/>
                <w:b/>
                <w:bCs/>
                <w:sz w:val="18"/>
                <w:szCs w:val="18"/>
              </w:rPr>
              <w:t>年末余额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14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51"/>
              <w:jc w:val="right"/>
              <w:rPr>
                <w:rFonts w:ascii="宋体" w:hAnsi="宋体" w:cs="宋体" w:eastAsia="宋体" w:hint="default"/>
                <w:sz w:val="18"/>
                <w:szCs w:val="18"/>
              </w:rPr>
            </w:pPr>
            <w:r>
              <w:rPr>
                <w:rFonts w:ascii="宋体" w:hAnsi="宋体" w:cs="宋体" w:eastAsia="宋体" w:hint="default"/>
                <w:b/>
                <w:bCs/>
                <w:sz w:val="18"/>
                <w:szCs w:val="18"/>
              </w:rPr>
              <w:t>年初余额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295" w:hRule="exact"/>
        </w:trPr>
        <w:tc>
          <w:tcPr>
            <w:tcW w:w="4073" w:type="dxa"/>
            <w:vMerge/>
            <w:tcBorders>
              <w:left w:val="nil" w:sz="6" w:space="0" w:color="auto"/>
              <w:bottom w:val="single" w:sz="4" w:space="0" w:color="000000"/>
              <w:right w:val="nil" w:sz="6" w:space="0" w:color="auto"/>
            </w:tcBorders>
          </w:tcPr>
          <w:p>
            <w:pPr/>
          </w:p>
        </w:tc>
        <w:tc>
          <w:tcPr>
            <w:tcW w:w="4402"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3"/>
              <w:jc w:val="center"/>
              <w:rPr>
                <w:rFonts w:ascii="宋体" w:hAnsi="宋体" w:cs="宋体" w:eastAsia="宋体" w:hint="default"/>
                <w:sz w:val="18"/>
                <w:szCs w:val="18"/>
              </w:rPr>
            </w:pPr>
            <w:r>
              <w:rPr>
                <w:rFonts w:ascii="宋体" w:hAnsi="宋体" w:cs="宋体" w:eastAsia="宋体" w:hint="default"/>
                <w:b/>
                <w:bCs/>
                <w:sz w:val="18"/>
                <w:szCs w:val="18"/>
              </w:rPr>
              <w:t>同方投资有限公司</w:t>
            </w:r>
            <w:r>
              <w:rPr>
                <w:rFonts w:ascii="宋体" w:hAnsi="宋体" w:cs="宋体" w:eastAsia="宋体" w:hint="default"/>
                <w:sz w:val="18"/>
                <w:szCs w:val="18"/>
              </w:rPr>
            </w:r>
          </w:p>
        </w:tc>
      </w:tr>
      <w:tr>
        <w:trPr>
          <w:trHeight w:val="325" w:hRule="exact"/>
        </w:trPr>
        <w:tc>
          <w:tcPr>
            <w:tcW w:w="4073"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20"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262"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28"/>
              <w:jc w:val="right"/>
              <w:rPr>
                <w:rFonts w:ascii="Times New Roman" w:hAnsi="Times New Roman" w:cs="Times New Roman" w:eastAsia="Times New Roman" w:hint="default"/>
                <w:sz w:val="18"/>
                <w:szCs w:val="18"/>
              </w:rPr>
            </w:pPr>
            <w:r>
              <w:rPr>
                <w:rFonts w:ascii="Times New Roman"/>
                <w:spacing w:val="-1"/>
                <w:sz w:val="18"/>
              </w:rPr>
              <w:t>451,427,667.82</w:t>
            </w:r>
          </w:p>
        </w:tc>
        <w:tc>
          <w:tcPr>
            <w:tcW w:w="2141"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255,254,844.23</w:t>
            </w:r>
          </w:p>
        </w:tc>
      </w:tr>
      <w:tr>
        <w:trPr>
          <w:trHeight w:val="284"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其中：现金和现金等价物</w:t>
            </w: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Times New Roman" w:hAnsi="Times New Roman" w:cs="Times New Roman" w:eastAsia="Times New Roman" w:hint="default"/>
                <w:sz w:val="18"/>
                <w:szCs w:val="18"/>
              </w:rPr>
            </w:pPr>
            <w:r>
              <w:rPr>
                <w:rFonts w:ascii="Times New Roman"/>
                <w:spacing w:val="-1"/>
                <w:sz w:val="18"/>
              </w:rPr>
              <w:t>441,047,159.90</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216,874,336.31</w:t>
            </w:r>
          </w:p>
        </w:tc>
      </w:tr>
      <w:tr>
        <w:trPr>
          <w:trHeight w:val="284"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2" w:lineRule="exact"/>
              <w:ind w:left="120"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8"/>
              <w:jc w:val="right"/>
              <w:rPr>
                <w:rFonts w:ascii="Times New Roman" w:hAnsi="Times New Roman" w:cs="Times New Roman" w:eastAsia="Times New Roman" w:hint="default"/>
                <w:sz w:val="18"/>
                <w:szCs w:val="18"/>
              </w:rPr>
            </w:pPr>
            <w:r>
              <w:rPr>
                <w:rFonts w:ascii="Times New Roman"/>
                <w:spacing w:val="-1"/>
                <w:sz w:val="18"/>
              </w:rPr>
              <w:t>945,484,255.06</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846,088,516.20</w:t>
            </w:r>
          </w:p>
        </w:tc>
      </w:tr>
      <w:tr>
        <w:trPr>
          <w:trHeight w:val="286"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Times New Roman" w:hAnsi="Times New Roman" w:cs="Times New Roman" w:eastAsia="Times New Roman" w:hint="default"/>
                <w:sz w:val="18"/>
                <w:szCs w:val="18"/>
              </w:rPr>
            </w:pPr>
            <w:r>
              <w:rPr>
                <w:rFonts w:ascii="Times New Roman"/>
                <w:spacing w:val="-1"/>
                <w:sz w:val="18"/>
              </w:rPr>
              <w:t>1,396,911,922.88</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1,101,343,360.43</w:t>
            </w:r>
          </w:p>
        </w:tc>
      </w:tr>
      <w:tr>
        <w:trPr>
          <w:trHeight w:val="286"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Times New Roman" w:hAnsi="Times New Roman" w:cs="Times New Roman" w:eastAsia="Times New Roman" w:hint="default"/>
                <w:sz w:val="18"/>
                <w:szCs w:val="18"/>
              </w:rPr>
            </w:pPr>
            <w:r>
              <w:rPr>
                <w:rFonts w:ascii="Times New Roman"/>
                <w:spacing w:val="-1"/>
                <w:sz w:val="18"/>
              </w:rPr>
              <w:t>385,697,231.75</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1,337,063.73</w:t>
            </w:r>
          </w:p>
        </w:tc>
      </w:tr>
      <w:tr>
        <w:trPr>
          <w:trHeight w:val="284"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7"/>
              <w:jc w:val="right"/>
              <w:rPr>
                <w:rFonts w:ascii="Times New Roman" w:hAnsi="Times New Roman" w:cs="Times New Roman" w:eastAsia="Times New Roman" w:hint="default"/>
                <w:sz w:val="18"/>
                <w:szCs w:val="18"/>
              </w:rPr>
            </w:pPr>
            <w:r>
              <w:rPr>
                <w:rFonts w:ascii="Times New Roman"/>
                <w:spacing w:val="-1"/>
                <w:sz w:val="18"/>
              </w:rPr>
              <w:t>8,203,240.18</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10,560,735.07</w:t>
            </w:r>
          </w:p>
        </w:tc>
      </w:tr>
      <w:tr>
        <w:trPr>
          <w:trHeight w:val="284"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2" w:lineRule="exact"/>
              <w:ind w:left="120"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8"/>
              <w:jc w:val="right"/>
              <w:rPr>
                <w:rFonts w:ascii="Times New Roman" w:hAnsi="Times New Roman" w:cs="Times New Roman" w:eastAsia="Times New Roman" w:hint="default"/>
                <w:sz w:val="18"/>
                <w:szCs w:val="18"/>
              </w:rPr>
            </w:pPr>
            <w:r>
              <w:rPr>
                <w:rFonts w:ascii="Times New Roman"/>
                <w:spacing w:val="-1"/>
                <w:sz w:val="18"/>
              </w:rPr>
              <w:t>393,900,471.93</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11,897,798.80</w:t>
            </w:r>
          </w:p>
        </w:tc>
      </w:tr>
      <w:tr>
        <w:trPr>
          <w:trHeight w:val="286"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7"/>
              <w:jc w:val="right"/>
              <w:rPr>
                <w:rFonts w:ascii="Times New Roman" w:hAnsi="Times New Roman" w:cs="Times New Roman" w:eastAsia="Times New Roman" w:hint="default"/>
                <w:sz w:val="18"/>
                <w:szCs w:val="18"/>
              </w:rPr>
            </w:pPr>
            <w:r>
              <w:rPr>
                <w:rFonts w:ascii="Times New Roman"/>
                <w:spacing w:val="-1"/>
                <w:sz w:val="18"/>
              </w:rPr>
              <w:t>0.00</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9"/>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Times New Roman" w:hAnsi="Times New Roman" w:cs="Times New Roman" w:eastAsia="Times New Roman" w:hint="default"/>
                <w:sz w:val="18"/>
                <w:szCs w:val="18"/>
              </w:rPr>
            </w:pPr>
            <w:r>
              <w:rPr>
                <w:rFonts w:ascii="Times New Roman"/>
                <w:spacing w:val="-1"/>
                <w:sz w:val="18"/>
              </w:rPr>
              <w:t>1,003,011,450.95</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1,089,445,561.63</w:t>
            </w:r>
          </w:p>
        </w:tc>
      </w:tr>
      <w:tr>
        <w:trPr>
          <w:trHeight w:val="285"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7"/>
              <w:jc w:val="right"/>
              <w:rPr>
                <w:rFonts w:ascii="Times New Roman" w:hAnsi="Times New Roman" w:cs="Times New Roman" w:eastAsia="Times New Roman" w:hint="default"/>
                <w:sz w:val="18"/>
                <w:szCs w:val="18"/>
              </w:rPr>
            </w:pPr>
            <w:r>
              <w:rPr>
                <w:rFonts w:ascii="Times New Roman"/>
                <w:spacing w:val="-1"/>
                <w:sz w:val="18"/>
              </w:rPr>
              <w:t>4,181,596.80</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3,439,408.63</w:t>
            </w:r>
          </w:p>
        </w:tc>
      </w:tr>
      <w:tr>
        <w:trPr>
          <w:trHeight w:val="285"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2" w:lineRule="exact"/>
              <w:ind w:left="120"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8"/>
              <w:jc w:val="right"/>
              <w:rPr>
                <w:rFonts w:ascii="Times New Roman" w:hAnsi="Times New Roman" w:cs="Times New Roman" w:eastAsia="Times New Roman" w:hint="default"/>
                <w:sz w:val="18"/>
                <w:szCs w:val="18"/>
              </w:rPr>
            </w:pPr>
            <w:r>
              <w:rPr>
                <w:rFonts w:ascii="Times New Roman"/>
                <w:spacing w:val="-1"/>
                <w:sz w:val="18"/>
              </w:rPr>
              <w:t>-2,102,547.56</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-2,403,636.74</w:t>
            </w:r>
          </w:p>
        </w:tc>
      </w:tr>
      <w:tr>
        <w:trPr>
          <w:trHeight w:val="286"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7"/>
              <w:jc w:val="right"/>
              <w:rPr>
                <w:rFonts w:ascii="Times New Roman" w:hAnsi="Times New Roman" w:cs="Times New Roman" w:eastAsia="Times New Roman" w:hint="default"/>
                <w:sz w:val="18"/>
                <w:szCs w:val="18"/>
              </w:rPr>
            </w:pPr>
            <w:r>
              <w:rPr>
                <w:rFonts w:ascii="Times New Roman"/>
                <w:spacing w:val="-1"/>
                <w:sz w:val="18"/>
              </w:rPr>
              <w:t>0.00</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9"/>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Times New Roman" w:hAnsi="Times New Roman" w:cs="Times New Roman" w:eastAsia="Times New Roman" w:hint="default"/>
                <w:sz w:val="18"/>
                <w:szCs w:val="18"/>
              </w:rPr>
            </w:pPr>
            <w:r>
              <w:rPr>
                <w:rFonts w:ascii="Times New Roman"/>
                <w:spacing w:val="-1"/>
                <w:sz w:val="18"/>
              </w:rPr>
              <w:t>178,808,397.20</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39,890,090.30</w:t>
            </w:r>
          </w:p>
        </w:tc>
      </w:tr>
      <w:tr>
        <w:trPr>
          <w:trHeight w:val="284"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终止经营的净利润</w:t>
            </w: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7"/>
              <w:jc w:val="right"/>
              <w:rPr>
                <w:rFonts w:ascii="Times New Roman" w:hAnsi="Times New Roman" w:cs="Times New Roman" w:eastAsia="Times New Roman" w:hint="default"/>
                <w:sz w:val="18"/>
                <w:szCs w:val="18"/>
              </w:rPr>
            </w:pPr>
            <w:r>
              <w:rPr>
                <w:rFonts w:ascii="Times New Roman"/>
                <w:spacing w:val="-1"/>
                <w:sz w:val="18"/>
              </w:rPr>
              <w:t>0.00</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9"/>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2" w:lineRule="exact"/>
              <w:ind w:left="120"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7"/>
              <w:jc w:val="right"/>
              <w:rPr>
                <w:rFonts w:ascii="Times New Roman" w:hAnsi="Times New Roman" w:cs="Times New Roman" w:eastAsia="Times New Roman" w:hint="default"/>
                <w:sz w:val="18"/>
                <w:szCs w:val="18"/>
              </w:rPr>
            </w:pPr>
            <w:r>
              <w:rPr>
                <w:rFonts w:ascii="Times New Roman"/>
                <w:spacing w:val="-1"/>
                <w:sz w:val="18"/>
              </w:rPr>
              <w:t>-66,796,365.12</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30,647,047.03</w:t>
            </w:r>
          </w:p>
        </w:tc>
      </w:tr>
      <w:tr>
        <w:trPr>
          <w:trHeight w:val="267" w:hRule="exact"/>
        </w:trPr>
        <w:tc>
          <w:tcPr>
            <w:tcW w:w="4073" w:type="dxa"/>
            <w:tcBorders>
              <w:top w:val="nil" w:sz="6" w:space="0" w:color="auto"/>
              <w:left w:val="nil" w:sz="6" w:space="0" w:color="auto"/>
              <w:bottom w:val="single" w:sz="12" w:space="0" w:color="000000"/>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2262"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28"/>
              <w:jc w:val="right"/>
              <w:rPr>
                <w:rFonts w:ascii="Times New Roman" w:hAnsi="Times New Roman" w:cs="Times New Roman" w:eastAsia="Times New Roman" w:hint="default"/>
                <w:sz w:val="18"/>
                <w:szCs w:val="18"/>
              </w:rPr>
            </w:pPr>
            <w:r>
              <w:rPr>
                <w:rFonts w:ascii="Times New Roman"/>
                <w:spacing w:val="-1"/>
                <w:sz w:val="18"/>
              </w:rPr>
              <w:t>112,012,032.08</w:t>
            </w:r>
          </w:p>
        </w:tc>
        <w:tc>
          <w:tcPr>
            <w:tcW w:w="2141"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70,537,137.33</w:t>
            </w:r>
          </w:p>
        </w:tc>
      </w:tr>
    </w:tbl>
    <w:p>
      <w:pPr>
        <w:spacing w:before="81"/>
        <w:ind w:left="202" w:right="0" w:firstLine="0"/>
        <w:jc w:val="left"/>
        <w:rPr>
          <w:rFonts w:ascii="宋体" w:hAnsi="宋体" w:cs="宋体" w:eastAsia="宋体" w:hint="default"/>
          <w:sz w:val="22"/>
          <w:szCs w:val="22"/>
        </w:rPr>
      </w:pPr>
      <w:r>
        <w:rPr>
          <w:rFonts w:ascii="宋体" w:hAnsi="宋体" w:cs="宋体" w:eastAsia="宋体" w:hint="default"/>
          <w:sz w:val="22"/>
          <w:szCs w:val="22"/>
        </w:rPr>
        <w:t>（续</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4</w:t>
      </w:r>
      <w:r>
        <w:rPr>
          <w:rFonts w:ascii="宋体" w:hAnsi="宋体" w:cs="宋体" w:eastAsia="宋体" w:hint="default"/>
          <w:sz w:val="22"/>
          <w:szCs w:val="22"/>
        </w:rPr>
        <w:t>）</w:t>
      </w:r>
    </w:p>
    <w:p>
      <w:pPr>
        <w:spacing w:line="240" w:lineRule="auto" w:before="5"/>
        <w:rPr>
          <w:rFonts w:ascii="宋体" w:hAnsi="宋体" w:cs="宋体" w:eastAsia="宋体" w:hint="default"/>
          <w:sz w:val="11"/>
          <w:szCs w:val="11"/>
        </w:rPr>
      </w:pPr>
    </w:p>
    <w:tbl>
      <w:tblPr>
        <w:tblW w:w="0" w:type="auto"/>
        <w:jc w:val="left"/>
        <w:tblInd w:w="173" w:type="dxa"/>
        <w:tblLayout w:type="fixed"/>
        <w:tblCellMar>
          <w:top w:w="0" w:type="dxa"/>
          <w:left w:w="0" w:type="dxa"/>
          <w:bottom w:w="0" w:type="dxa"/>
          <w:right w:w="0" w:type="dxa"/>
        </w:tblCellMar>
        <w:tblLook w:val="01E0"/>
      </w:tblPr>
      <w:tblGrid>
        <w:gridCol w:w="4073"/>
        <w:gridCol w:w="2261"/>
        <w:gridCol w:w="2141"/>
      </w:tblGrid>
      <w:tr>
        <w:trPr>
          <w:trHeight w:val="307" w:hRule="exact"/>
        </w:trPr>
        <w:tc>
          <w:tcPr>
            <w:tcW w:w="4073" w:type="dxa"/>
            <w:vMerge w:val="restart"/>
            <w:tcBorders>
              <w:top w:val="single" w:sz="12" w:space="0" w:color="000000"/>
              <w:left w:val="nil" w:sz="6" w:space="0" w:color="auto"/>
              <w:right w:val="nil" w:sz="6" w:space="0" w:color="auto"/>
            </w:tcBorders>
          </w:tcPr>
          <w:p>
            <w:pPr>
              <w:pStyle w:val="TableParagraph"/>
              <w:spacing w:line="240" w:lineRule="auto" w:before="145"/>
              <w:ind w:left="120"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6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89" w:right="0"/>
              <w:jc w:val="left"/>
              <w:rPr>
                <w:rFonts w:ascii="宋体" w:hAnsi="宋体" w:cs="宋体" w:eastAsia="宋体" w:hint="default"/>
                <w:sz w:val="18"/>
                <w:szCs w:val="18"/>
              </w:rPr>
            </w:pPr>
            <w:r>
              <w:rPr>
                <w:rFonts w:ascii="宋体" w:hAnsi="宋体" w:cs="宋体" w:eastAsia="宋体" w:hint="default"/>
                <w:b/>
                <w:bCs/>
                <w:sz w:val="18"/>
                <w:szCs w:val="18"/>
              </w:rPr>
              <w:t>年末余额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14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51"/>
              <w:jc w:val="right"/>
              <w:rPr>
                <w:rFonts w:ascii="宋体" w:hAnsi="宋体" w:cs="宋体" w:eastAsia="宋体" w:hint="default"/>
                <w:sz w:val="18"/>
                <w:szCs w:val="18"/>
              </w:rPr>
            </w:pPr>
            <w:r>
              <w:rPr>
                <w:rFonts w:ascii="宋体" w:hAnsi="宋体" w:cs="宋体" w:eastAsia="宋体" w:hint="default"/>
                <w:b/>
                <w:bCs/>
                <w:sz w:val="18"/>
                <w:szCs w:val="18"/>
              </w:rPr>
              <w:t>年初余额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295" w:hRule="exact"/>
        </w:trPr>
        <w:tc>
          <w:tcPr>
            <w:tcW w:w="4073" w:type="dxa"/>
            <w:vMerge/>
            <w:tcBorders>
              <w:left w:val="nil" w:sz="6" w:space="0" w:color="auto"/>
              <w:bottom w:val="single" w:sz="4" w:space="0" w:color="000000"/>
              <w:right w:val="nil" w:sz="6" w:space="0" w:color="auto"/>
            </w:tcBorders>
          </w:tcPr>
          <w:p>
            <w:pPr/>
          </w:p>
        </w:tc>
        <w:tc>
          <w:tcPr>
            <w:tcW w:w="4402"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1113" w:right="0"/>
              <w:jc w:val="left"/>
              <w:rPr>
                <w:rFonts w:ascii="宋体" w:hAnsi="宋体" w:cs="宋体" w:eastAsia="宋体" w:hint="default"/>
                <w:sz w:val="18"/>
                <w:szCs w:val="18"/>
              </w:rPr>
            </w:pPr>
            <w:r>
              <w:rPr>
                <w:rFonts w:ascii="宋体" w:hAnsi="宋体" w:cs="宋体" w:eastAsia="宋体" w:hint="default"/>
                <w:b/>
                <w:bCs/>
                <w:sz w:val="18"/>
                <w:szCs w:val="18"/>
              </w:rPr>
              <w:t>重庆国信投资控股有限公司</w:t>
            </w:r>
            <w:r>
              <w:rPr>
                <w:rFonts w:ascii="宋体" w:hAnsi="宋体" w:cs="宋体" w:eastAsia="宋体" w:hint="default"/>
                <w:sz w:val="18"/>
                <w:szCs w:val="18"/>
              </w:rPr>
            </w:r>
          </w:p>
        </w:tc>
      </w:tr>
      <w:tr>
        <w:trPr>
          <w:trHeight w:val="323" w:hRule="exact"/>
        </w:trPr>
        <w:tc>
          <w:tcPr>
            <w:tcW w:w="4073"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20"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261"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27"/>
              <w:jc w:val="right"/>
              <w:rPr>
                <w:rFonts w:ascii="Times New Roman" w:hAnsi="Times New Roman" w:cs="Times New Roman" w:eastAsia="Times New Roman" w:hint="default"/>
                <w:sz w:val="18"/>
                <w:szCs w:val="18"/>
              </w:rPr>
            </w:pPr>
            <w:r>
              <w:rPr>
                <w:rFonts w:ascii="Times New Roman"/>
                <w:spacing w:val="-1"/>
                <w:sz w:val="18"/>
              </w:rPr>
              <w:t>52,255,940,883.98</w:t>
            </w:r>
          </w:p>
        </w:tc>
        <w:tc>
          <w:tcPr>
            <w:tcW w:w="2141"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8"/>
              <w:jc w:val="right"/>
              <w:rPr>
                <w:rFonts w:ascii="Times New Roman" w:hAnsi="Times New Roman" w:cs="Times New Roman" w:eastAsia="Times New Roman" w:hint="default"/>
                <w:sz w:val="18"/>
                <w:szCs w:val="18"/>
              </w:rPr>
            </w:pPr>
            <w:r>
              <w:rPr>
                <w:rFonts w:ascii="Times New Roman"/>
                <w:spacing w:val="-1"/>
                <w:sz w:val="18"/>
              </w:rPr>
              <w:t>43,452,540,147.45</w:t>
            </w:r>
          </w:p>
        </w:tc>
      </w:tr>
      <w:tr>
        <w:trPr>
          <w:trHeight w:val="286"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其中：现金和现金等价物</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7"/>
              <w:jc w:val="right"/>
              <w:rPr>
                <w:rFonts w:ascii="Times New Roman" w:hAnsi="Times New Roman" w:cs="Times New Roman" w:eastAsia="Times New Roman" w:hint="default"/>
                <w:sz w:val="18"/>
                <w:szCs w:val="18"/>
              </w:rPr>
            </w:pPr>
            <w:r>
              <w:rPr>
                <w:rFonts w:ascii="Times New Roman"/>
                <w:spacing w:val="-1"/>
                <w:sz w:val="18"/>
              </w:rPr>
              <w:t>29,824,886,095.27</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19,532,397,938.29</w:t>
            </w:r>
          </w:p>
        </w:tc>
      </w:tr>
      <w:tr>
        <w:trPr>
          <w:trHeight w:val="286"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0"/>
              <w:jc w:val="right"/>
              <w:rPr>
                <w:rFonts w:ascii="Times New Roman" w:hAnsi="Times New Roman" w:cs="Times New Roman" w:eastAsia="Times New Roman" w:hint="default"/>
                <w:sz w:val="18"/>
                <w:szCs w:val="18"/>
              </w:rPr>
            </w:pPr>
            <w:r>
              <w:rPr>
                <w:rFonts w:ascii="Times New Roman"/>
                <w:spacing w:val="-1"/>
                <w:sz w:val="18"/>
              </w:rPr>
              <w:t>134,035,681,087.98</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95,600,180,746.55</w:t>
            </w:r>
          </w:p>
        </w:tc>
      </w:tr>
      <w:tr>
        <w:trPr>
          <w:trHeight w:val="284"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0"/>
              <w:jc w:val="right"/>
              <w:rPr>
                <w:rFonts w:ascii="Times New Roman" w:hAnsi="Times New Roman" w:cs="Times New Roman" w:eastAsia="Times New Roman" w:hint="default"/>
                <w:sz w:val="18"/>
                <w:szCs w:val="18"/>
              </w:rPr>
            </w:pPr>
            <w:r>
              <w:rPr>
                <w:rFonts w:ascii="Times New Roman"/>
                <w:spacing w:val="-1"/>
                <w:sz w:val="18"/>
              </w:rPr>
              <w:t>186,291,621,971.96</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1"/>
              <w:jc w:val="right"/>
              <w:rPr>
                <w:rFonts w:ascii="Times New Roman" w:hAnsi="Times New Roman" w:cs="Times New Roman" w:eastAsia="Times New Roman" w:hint="default"/>
                <w:sz w:val="18"/>
                <w:szCs w:val="18"/>
              </w:rPr>
            </w:pPr>
            <w:r>
              <w:rPr>
                <w:rFonts w:ascii="Times New Roman"/>
                <w:spacing w:val="-1"/>
                <w:sz w:val="18"/>
              </w:rPr>
              <w:t>139,052,720,894.00</w:t>
            </w:r>
          </w:p>
        </w:tc>
      </w:tr>
      <w:tr>
        <w:trPr>
          <w:trHeight w:val="284"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2" w:lineRule="exact"/>
              <w:ind w:left="120"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0"/>
              <w:jc w:val="right"/>
              <w:rPr>
                <w:rFonts w:ascii="Times New Roman" w:hAnsi="Times New Roman" w:cs="Times New Roman" w:eastAsia="Times New Roman" w:hint="default"/>
                <w:sz w:val="18"/>
                <w:szCs w:val="18"/>
              </w:rPr>
            </w:pPr>
            <w:r>
              <w:rPr>
                <w:rFonts w:ascii="Times New Roman"/>
                <w:spacing w:val="-1"/>
                <w:sz w:val="18"/>
              </w:rPr>
              <w:t>131,695,307,807.51</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1"/>
              <w:jc w:val="right"/>
              <w:rPr>
                <w:rFonts w:ascii="Times New Roman" w:hAnsi="Times New Roman" w:cs="Times New Roman" w:eastAsia="Times New Roman" w:hint="default"/>
                <w:sz w:val="18"/>
                <w:szCs w:val="18"/>
              </w:rPr>
            </w:pPr>
            <w:r>
              <w:rPr>
                <w:rFonts w:ascii="Times New Roman"/>
                <w:spacing w:val="-1"/>
                <w:sz w:val="18"/>
              </w:rPr>
              <w:t>103,821,340,257.40</w:t>
            </w:r>
          </w:p>
        </w:tc>
      </w:tr>
      <w:tr>
        <w:trPr>
          <w:trHeight w:val="286"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7"/>
              <w:jc w:val="right"/>
              <w:rPr>
                <w:rFonts w:ascii="Times New Roman" w:hAnsi="Times New Roman" w:cs="Times New Roman" w:eastAsia="Times New Roman" w:hint="default"/>
                <w:sz w:val="18"/>
                <w:szCs w:val="18"/>
              </w:rPr>
            </w:pPr>
            <w:r>
              <w:rPr>
                <w:rFonts w:ascii="Times New Roman"/>
                <w:spacing w:val="-1"/>
                <w:sz w:val="18"/>
              </w:rPr>
              <w:t>22,626,351,858.89</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12,165,185,474.19</w:t>
            </w:r>
          </w:p>
        </w:tc>
      </w:tr>
      <w:tr>
        <w:trPr>
          <w:trHeight w:val="286"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0"/>
              <w:jc w:val="right"/>
              <w:rPr>
                <w:rFonts w:ascii="Times New Roman" w:hAnsi="Times New Roman" w:cs="Times New Roman" w:eastAsia="Times New Roman" w:hint="default"/>
                <w:sz w:val="18"/>
                <w:szCs w:val="18"/>
              </w:rPr>
            </w:pPr>
            <w:r>
              <w:rPr>
                <w:rFonts w:ascii="Times New Roman"/>
                <w:spacing w:val="-1"/>
                <w:sz w:val="18"/>
              </w:rPr>
              <w:t>154,321,659,666.40</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1"/>
              <w:jc w:val="right"/>
              <w:rPr>
                <w:rFonts w:ascii="Times New Roman" w:hAnsi="Times New Roman" w:cs="Times New Roman" w:eastAsia="Times New Roman" w:hint="default"/>
                <w:sz w:val="18"/>
                <w:szCs w:val="18"/>
              </w:rPr>
            </w:pPr>
            <w:r>
              <w:rPr>
                <w:rFonts w:ascii="Times New Roman"/>
                <w:spacing w:val="-1"/>
                <w:sz w:val="18"/>
              </w:rPr>
              <w:t>115,986,525,731.59</w:t>
            </w:r>
          </w:p>
        </w:tc>
      </w:tr>
      <w:tr>
        <w:trPr>
          <w:trHeight w:val="284"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7"/>
              <w:jc w:val="right"/>
              <w:rPr>
                <w:rFonts w:ascii="Times New Roman" w:hAnsi="Times New Roman" w:cs="Times New Roman" w:eastAsia="Times New Roman" w:hint="default"/>
                <w:sz w:val="18"/>
                <w:szCs w:val="18"/>
              </w:rPr>
            </w:pPr>
            <w:r>
              <w:rPr>
                <w:rFonts w:ascii="Times New Roman"/>
                <w:spacing w:val="-1"/>
                <w:sz w:val="18"/>
              </w:rPr>
              <w:t>15,222,179,614.16</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11,867,380,975.47</w:t>
            </w:r>
          </w:p>
        </w:tc>
      </w:tr>
      <w:tr>
        <w:trPr>
          <w:trHeight w:val="284"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2" w:lineRule="exact"/>
              <w:ind w:left="120"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7"/>
              <w:jc w:val="right"/>
              <w:rPr>
                <w:rFonts w:ascii="Times New Roman" w:hAnsi="Times New Roman" w:cs="Times New Roman" w:eastAsia="Times New Roman" w:hint="default"/>
                <w:sz w:val="18"/>
                <w:szCs w:val="18"/>
              </w:rPr>
            </w:pPr>
            <w:r>
              <w:rPr>
                <w:rFonts w:ascii="Times New Roman"/>
                <w:spacing w:val="-1"/>
                <w:sz w:val="18"/>
              </w:rPr>
              <w:t>16,747,782,691.40</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11,198,814,186.94</w:t>
            </w:r>
          </w:p>
        </w:tc>
      </w:tr>
      <w:tr>
        <w:trPr>
          <w:trHeight w:val="286"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7"/>
              <w:jc w:val="right"/>
              <w:rPr>
                <w:rFonts w:ascii="Times New Roman" w:hAnsi="Times New Roman" w:cs="Times New Roman" w:eastAsia="Times New Roman" w:hint="default"/>
                <w:sz w:val="18"/>
                <w:szCs w:val="18"/>
              </w:rPr>
            </w:pPr>
            <w:r>
              <w:rPr>
                <w:rFonts w:ascii="Times New Roman"/>
                <w:spacing w:val="-1"/>
                <w:sz w:val="18"/>
              </w:rPr>
              <w:t>11,182,703,120.77</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8,766,359,474.50</w:t>
            </w:r>
          </w:p>
        </w:tc>
      </w:tr>
      <w:tr>
        <w:trPr>
          <w:trHeight w:val="286"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0"/>
              <w:jc w:val="right"/>
              <w:rPr>
                <w:rFonts w:ascii="Times New Roman" w:hAnsi="Times New Roman" w:cs="Times New Roman" w:eastAsia="Times New Roman" w:hint="default"/>
                <w:sz w:val="18"/>
                <w:szCs w:val="18"/>
              </w:rPr>
            </w:pPr>
            <w:r>
              <w:rPr>
                <w:rFonts w:ascii="Times New Roman"/>
                <w:spacing w:val="-1"/>
                <w:sz w:val="18"/>
              </w:rPr>
              <w:t>1,324,903,965.59</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817,482,040.32</w:t>
            </w:r>
          </w:p>
        </w:tc>
      </w:tr>
      <w:tr>
        <w:trPr>
          <w:trHeight w:val="284"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0"/>
              <w:jc w:val="right"/>
              <w:rPr>
                <w:rFonts w:ascii="Times New Roman" w:hAnsi="Times New Roman" w:cs="Times New Roman" w:eastAsia="Times New Roman" w:hint="default"/>
                <w:sz w:val="18"/>
                <w:szCs w:val="18"/>
              </w:rPr>
            </w:pPr>
            <w:r>
              <w:rPr>
                <w:rFonts w:ascii="Times New Roman"/>
                <w:spacing w:val="-1"/>
                <w:sz w:val="18"/>
              </w:rPr>
              <w:t>1,176,768,299.62</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1,071,016,504.76</w:t>
            </w:r>
          </w:p>
        </w:tc>
      </w:tr>
      <w:tr>
        <w:trPr>
          <w:trHeight w:val="284"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2" w:lineRule="exact"/>
              <w:ind w:left="120"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0"/>
              <w:jc w:val="right"/>
              <w:rPr>
                <w:rFonts w:ascii="Times New Roman" w:hAnsi="Times New Roman" w:cs="Times New Roman" w:eastAsia="Times New Roman" w:hint="default"/>
                <w:sz w:val="18"/>
                <w:szCs w:val="18"/>
              </w:rPr>
            </w:pPr>
            <w:r>
              <w:rPr>
                <w:rFonts w:ascii="Times New Roman"/>
                <w:spacing w:val="-1"/>
                <w:sz w:val="18"/>
              </w:rPr>
              <w:t>6,169,720,811.14</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3,889,835,553.25</w:t>
            </w:r>
          </w:p>
        </w:tc>
      </w:tr>
      <w:tr>
        <w:trPr>
          <w:trHeight w:val="349"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23" w:lineRule="exact"/>
              <w:ind w:left="120" w:right="0"/>
              <w:jc w:val="left"/>
              <w:rPr>
                <w:rFonts w:ascii="宋体" w:hAnsi="宋体" w:cs="宋体" w:eastAsia="宋体" w:hint="default"/>
                <w:sz w:val="18"/>
                <w:szCs w:val="18"/>
              </w:rPr>
            </w:pPr>
            <w:r>
              <w:rPr>
                <w:rFonts w:ascii="宋体" w:hAnsi="宋体" w:cs="宋体" w:eastAsia="宋体" w:hint="default"/>
                <w:sz w:val="18"/>
                <w:szCs w:val="18"/>
              </w:rPr>
              <w:t>终止经营的净利润</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9"/>
              <w:jc w:val="right"/>
              <w:rPr>
                <w:rFonts w:ascii="Times New Roman" w:hAnsi="Times New Roman" w:cs="Times New Roman" w:eastAsia="Times New Roman" w:hint="default"/>
                <w:sz w:val="18"/>
                <w:szCs w:val="18"/>
              </w:rPr>
            </w:pPr>
            <w:r>
              <w:rPr>
                <w:rFonts w:ascii="Times New Roman"/>
                <w:spacing w:val="-1"/>
                <w:sz w:val="18"/>
              </w:rPr>
              <w:t>0.00</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9"/>
              <w:jc w:val="right"/>
              <w:rPr>
                <w:rFonts w:ascii="Times New Roman" w:hAnsi="Times New Roman" w:cs="Times New Roman" w:eastAsia="Times New Roman" w:hint="default"/>
                <w:sz w:val="18"/>
                <w:szCs w:val="18"/>
              </w:rPr>
            </w:pPr>
            <w:r>
              <w:rPr>
                <w:rFonts w:ascii="Times New Roman"/>
                <w:spacing w:val="-1"/>
                <w:sz w:val="18"/>
              </w:rPr>
              <w:t>0.00</w:t>
            </w:r>
          </w:p>
        </w:tc>
      </w:tr>
      <w:tr>
        <w:trPr>
          <w:trHeight w:val="351"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0"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27"/>
              <w:jc w:val="right"/>
              <w:rPr>
                <w:rFonts w:ascii="Times New Roman" w:hAnsi="Times New Roman" w:cs="Times New Roman" w:eastAsia="Times New Roman" w:hint="default"/>
                <w:sz w:val="18"/>
                <w:szCs w:val="18"/>
              </w:rPr>
            </w:pPr>
            <w:r>
              <w:rPr>
                <w:rFonts w:ascii="Times New Roman"/>
                <w:spacing w:val="-1"/>
                <w:sz w:val="18"/>
              </w:rPr>
              <w:t>-709,303,351.44</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10"/>
              <w:jc w:val="right"/>
              <w:rPr>
                <w:rFonts w:ascii="Times New Roman" w:hAnsi="Times New Roman" w:cs="Times New Roman" w:eastAsia="Times New Roman" w:hint="default"/>
                <w:sz w:val="18"/>
                <w:szCs w:val="18"/>
              </w:rPr>
            </w:pPr>
            <w:r>
              <w:rPr>
                <w:rFonts w:ascii="Times New Roman"/>
                <w:spacing w:val="-1"/>
                <w:sz w:val="18"/>
              </w:rPr>
              <w:t>1,018,340,278.38</w:t>
            </w:r>
          </w:p>
        </w:tc>
      </w:tr>
      <w:tr>
        <w:trPr>
          <w:trHeight w:val="266" w:hRule="exact"/>
        </w:trPr>
        <w:tc>
          <w:tcPr>
            <w:tcW w:w="4073" w:type="dxa"/>
            <w:tcBorders>
              <w:top w:val="nil" w:sz="6" w:space="0" w:color="auto"/>
              <w:left w:val="nil" w:sz="6" w:space="0" w:color="auto"/>
              <w:bottom w:val="single" w:sz="12" w:space="0" w:color="000000"/>
              <w:right w:val="nil" w:sz="6" w:space="0" w:color="auto"/>
            </w:tcBorders>
          </w:tcPr>
          <w:p>
            <w:pPr>
              <w:pStyle w:val="TableParagraph"/>
              <w:spacing w:line="222" w:lineRule="exact"/>
              <w:ind w:left="120"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2261"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right="130"/>
              <w:jc w:val="right"/>
              <w:rPr>
                <w:rFonts w:ascii="Times New Roman" w:hAnsi="Times New Roman" w:cs="Times New Roman" w:eastAsia="Times New Roman" w:hint="default"/>
                <w:sz w:val="18"/>
                <w:szCs w:val="18"/>
              </w:rPr>
            </w:pPr>
            <w:r>
              <w:rPr>
                <w:rFonts w:ascii="Times New Roman"/>
                <w:spacing w:val="-1"/>
                <w:sz w:val="18"/>
              </w:rPr>
              <w:t>5,460,417,459.70</w:t>
            </w:r>
          </w:p>
        </w:tc>
        <w:tc>
          <w:tcPr>
            <w:tcW w:w="2141"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4,908,175,831.63</w:t>
            </w:r>
          </w:p>
        </w:tc>
      </w:tr>
    </w:tbl>
    <w:p>
      <w:pPr>
        <w:spacing w:after="0" w:line="240" w:lineRule="auto"/>
        <w:jc w:val="right"/>
        <w:rPr>
          <w:rFonts w:ascii="Times New Roman" w:hAnsi="Times New Roman" w:cs="Times New Roman" w:eastAsia="Times New Roman" w:hint="default"/>
          <w:sz w:val="18"/>
          <w:szCs w:val="18"/>
        </w:rPr>
        <w:sectPr>
          <w:headerReference w:type="default" r:id="rId90"/>
          <w:pgSz w:w="11910" w:h="16840"/>
          <w:pgMar w:header="645" w:footer="816" w:top="1820" w:bottom="1000" w:left="1500" w:right="1560"/>
        </w:sectPr>
      </w:pPr>
    </w:p>
    <w:p>
      <w:pPr>
        <w:spacing w:line="240" w:lineRule="auto" w:before="0"/>
        <w:rPr>
          <w:rFonts w:ascii="宋体" w:hAnsi="宋体" w:cs="宋体" w:eastAsia="宋体" w:hint="default"/>
          <w:sz w:val="20"/>
          <w:szCs w:val="20"/>
        </w:rPr>
      </w:pPr>
    </w:p>
    <w:p>
      <w:pPr>
        <w:spacing w:before="179"/>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  </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不重要的合营企业和联营企业的汇总财务信息</w:t>
      </w:r>
    </w:p>
    <w:p>
      <w:pPr>
        <w:spacing w:line="240" w:lineRule="auto" w:before="8"/>
        <w:rPr>
          <w:rFonts w:ascii="宋体" w:hAnsi="宋体" w:cs="宋体" w:eastAsia="宋体" w:hint="default"/>
          <w:sz w:val="11"/>
          <w:szCs w:val="11"/>
        </w:rPr>
      </w:pPr>
    </w:p>
    <w:tbl>
      <w:tblPr>
        <w:tblW w:w="0" w:type="auto"/>
        <w:jc w:val="left"/>
        <w:tblInd w:w="187" w:type="dxa"/>
        <w:tblLayout w:type="fixed"/>
        <w:tblCellMar>
          <w:top w:w="0" w:type="dxa"/>
          <w:left w:w="0" w:type="dxa"/>
          <w:bottom w:w="0" w:type="dxa"/>
          <w:right w:w="0" w:type="dxa"/>
        </w:tblCellMar>
        <w:tblLook w:val="01E0"/>
      </w:tblPr>
      <w:tblGrid>
        <w:gridCol w:w="2837"/>
        <w:gridCol w:w="3392"/>
        <w:gridCol w:w="2227"/>
      </w:tblGrid>
      <w:tr>
        <w:trPr>
          <w:trHeight w:val="305" w:hRule="exact"/>
        </w:trPr>
        <w:tc>
          <w:tcPr>
            <w:tcW w:w="283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9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57"/>
              <w:jc w:val="right"/>
              <w:rPr>
                <w:rFonts w:ascii="宋体" w:hAnsi="宋体" w:cs="宋体" w:eastAsia="宋体" w:hint="default"/>
                <w:sz w:val="18"/>
                <w:szCs w:val="18"/>
              </w:rPr>
            </w:pPr>
            <w:r>
              <w:rPr>
                <w:rFonts w:ascii="宋体" w:hAnsi="宋体" w:cs="宋体" w:eastAsia="宋体" w:hint="default"/>
                <w:b/>
                <w:bCs/>
                <w:sz w:val="18"/>
                <w:szCs w:val="18"/>
              </w:rPr>
              <w:t>年末余额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2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sz w:val="18"/>
                <w:szCs w:val="18"/>
              </w:rPr>
              <w:t>年初余额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316" w:hRule="exact"/>
        </w:trPr>
        <w:tc>
          <w:tcPr>
            <w:tcW w:w="2837"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合营企业：</w:t>
            </w:r>
            <w:r>
              <w:rPr>
                <w:rFonts w:ascii="宋体" w:hAnsi="宋体" w:cs="宋体" w:eastAsia="宋体" w:hint="default"/>
                <w:sz w:val="18"/>
                <w:szCs w:val="18"/>
              </w:rPr>
            </w:r>
          </w:p>
        </w:tc>
        <w:tc>
          <w:tcPr>
            <w:tcW w:w="3392" w:type="dxa"/>
            <w:tcBorders>
              <w:top w:val="single" w:sz="4" w:space="0" w:color="000000"/>
              <w:left w:val="nil" w:sz="6" w:space="0" w:color="auto"/>
              <w:bottom w:val="nil" w:sz="6" w:space="0" w:color="auto"/>
              <w:right w:val="nil" w:sz="6" w:space="0" w:color="auto"/>
            </w:tcBorders>
          </w:tcPr>
          <w:p>
            <w:pPr/>
          </w:p>
        </w:tc>
        <w:tc>
          <w:tcPr>
            <w:tcW w:w="2227" w:type="dxa"/>
            <w:tcBorders>
              <w:top w:val="single" w:sz="4" w:space="0" w:color="000000"/>
              <w:left w:val="nil" w:sz="6" w:space="0" w:color="auto"/>
              <w:bottom w:val="nil" w:sz="6" w:space="0" w:color="auto"/>
              <w:right w:val="nil" w:sz="6" w:space="0" w:color="auto"/>
            </w:tcBorders>
          </w:tcPr>
          <w:p>
            <w:pPr/>
          </w:p>
        </w:tc>
      </w:tr>
      <w:tr>
        <w:trPr>
          <w:trHeight w:val="294" w:hRule="exact"/>
        </w:trPr>
        <w:tc>
          <w:tcPr>
            <w:tcW w:w="2837"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339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57"/>
              <w:jc w:val="right"/>
              <w:rPr>
                <w:rFonts w:ascii="Times New Roman" w:hAnsi="Times New Roman" w:cs="Times New Roman" w:eastAsia="Times New Roman" w:hint="default"/>
                <w:sz w:val="18"/>
                <w:szCs w:val="18"/>
              </w:rPr>
            </w:pPr>
            <w:r>
              <w:rPr>
                <w:rFonts w:ascii="Times New Roman"/>
                <w:spacing w:val="-1"/>
                <w:sz w:val="18"/>
              </w:rPr>
              <w:t>124,655,134.57</w:t>
            </w:r>
          </w:p>
        </w:tc>
        <w:tc>
          <w:tcPr>
            <w:tcW w:w="222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104,445,605.83</w:t>
            </w:r>
          </w:p>
        </w:tc>
      </w:tr>
      <w:tr>
        <w:trPr>
          <w:trHeight w:val="275" w:hRule="exact"/>
        </w:trPr>
        <w:tc>
          <w:tcPr>
            <w:tcW w:w="2837"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392" w:type="dxa"/>
            <w:tcBorders>
              <w:top w:val="nil" w:sz="6" w:space="0" w:color="auto"/>
              <w:left w:val="nil" w:sz="6" w:space="0" w:color="auto"/>
              <w:bottom w:val="nil" w:sz="6" w:space="0" w:color="auto"/>
              <w:right w:val="nil" w:sz="6" w:space="0" w:color="auto"/>
            </w:tcBorders>
          </w:tcPr>
          <w:p>
            <w:pPr/>
          </w:p>
        </w:tc>
        <w:tc>
          <w:tcPr>
            <w:tcW w:w="2227" w:type="dxa"/>
            <w:tcBorders>
              <w:top w:val="nil" w:sz="6" w:space="0" w:color="auto"/>
              <w:left w:val="nil" w:sz="6" w:space="0" w:color="auto"/>
              <w:bottom w:val="nil" w:sz="6" w:space="0" w:color="auto"/>
              <w:right w:val="nil" w:sz="6" w:space="0" w:color="auto"/>
            </w:tcBorders>
          </w:tcPr>
          <w:p>
            <w:pPr/>
          </w:p>
        </w:tc>
      </w:tr>
      <w:tr>
        <w:trPr>
          <w:trHeight w:val="295" w:hRule="exact"/>
        </w:trPr>
        <w:tc>
          <w:tcPr>
            <w:tcW w:w="2837"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339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57"/>
              <w:jc w:val="right"/>
              <w:rPr>
                <w:rFonts w:ascii="Times New Roman" w:hAnsi="Times New Roman" w:cs="Times New Roman" w:eastAsia="Times New Roman" w:hint="default"/>
                <w:sz w:val="18"/>
                <w:szCs w:val="18"/>
              </w:rPr>
            </w:pPr>
            <w:r>
              <w:rPr>
                <w:rFonts w:ascii="Times New Roman"/>
                <w:spacing w:val="-1"/>
                <w:sz w:val="18"/>
              </w:rPr>
              <w:t>-6,598,748.29</w:t>
            </w:r>
          </w:p>
        </w:tc>
        <w:tc>
          <w:tcPr>
            <w:tcW w:w="222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-8,532,624.11</w:t>
            </w:r>
          </w:p>
        </w:tc>
      </w:tr>
      <w:tr>
        <w:trPr>
          <w:trHeight w:val="286" w:hRule="exact"/>
        </w:trPr>
        <w:tc>
          <w:tcPr>
            <w:tcW w:w="2837" w:type="dxa"/>
            <w:tcBorders>
              <w:top w:val="nil" w:sz="6" w:space="0" w:color="auto"/>
              <w:left w:val="nil" w:sz="6" w:space="0" w:color="auto"/>
              <w:bottom w:val="nil" w:sz="6" w:space="0" w:color="auto"/>
              <w:right w:val="nil" w:sz="6" w:space="0" w:color="auto"/>
            </w:tcBorders>
          </w:tcPr>
          <w:p>
            <w:pPr>
              <w:pStyle w:val="TableParagraph"/>
              <w:spacing w:line="237"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其他综合收益</w:t>
            </w:r>
          </w:p>
        </w:tc>
        <w:tc>
          <w:tcPr>
            <w:tcW w:w="3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59"/>
              <w:jc w:val="right"/>
              <w:rPr>
                <w:rFonts w:ascii="Times New Roman" w:hAnsi="Times New Roman" w:cs="Times New Roman" w:eastAsia="Times New Roman" w:hint="default"/>
                <w:sz w:val="18"/>
                <w:szCs w:val="18"/>
              </w:rPr>
            </w:pPr>
            <w:r>
              <w:rPr>
                <w:rFonts w:ascii="Times New Roman"/>
                <w:spacing w:val="-1"/>
                <w:sz w:val="18"/>
              </w:rPr>
              <w:t>0.00</w:t>
            </w:r>
          </w:p>
        </w:tc>
        <w:tc>
          <w:tcPr>
            <w:tcW w:w="22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9"/>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2837" w:type="dxa"/>
            <w:tcBorders>
              <w:top w:val="nil" w:sz="6" w:space="0" w:color="auto"/>
              <w:left w:val="nil" w:sz="6" w:space="0" w:color="auto"/>
              <w:bottom w:val="nil" w:sz="6" w:space="0" w:color="auto"/>
              <w:right w:val="nil" w:sz="6" w:space="0" w:color="auto"/>
            </w:tcBorders>
          </w:tcPr>
          <w:p>
            <w:pPr>
              <w:pStyle w:val="TableParagraph"/>
              <w:spacing w:line="237"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综合收益总额</w:t>
            </w:r>
          </w:p>
        </w:tc>
        <w:tc>
          <w:tcPr>
            <w:tcW w:w="3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57"/>
              <w:jc w:val="right"/>
              <w:rPr>
                <w:rFonts w:ascii="Times New Roman" w:hAnsi="Times New Roman" w:cs="Times New Roman" w:eastAsia="Times New Roman" w:hint="default"/>
                <w:sz w:val="18"/>
                <w:szCs w:val="18"/>
              </w:rPr>
            </w:pPr>
            <w:r>
              <w:rPr>
                <w:rFonts w:ascii="Times New Roman"/>
                <w:spacing w:val="-1"/>
                <w:sz w:val="18"/>
              </w:rPr>
              <w:t>-6,598,748.29</w:t>
            </w:r>
          </w:p>
        </w:tc>
        <w:tc>
          <w:tcPr>
            <w:tcW w:w="22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-8,532,624.11</w:t>
            </w:r>
          </w:p>
        </w:tc>
      </w:tr>
      <w:tr>
        <w:trPr>
          <w:trHeight w:val="275" w:hRule="exact"/>
        </w:trPr>
        <w:tc>
          <w:tcPr>
            <w:tcW w:w="2837"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联营企业：</w:t>
            </w:r>
            <w:r>
              <w:rPr>
                <w:rFonts w:ascii="宋体" w:hAnsi="宋体" w:cs="宋体" w:eastAsia="宋体" w:hint="default"/>
                <w:sz w:val="18"/>
                <w:szCs w:val="18"/>
              </w:rPr>
            </w:r>
          </w:p>
        </w:tc>
        <w:tc>
          <w:tcPr>
            <w:tcW w:w="3392" w:type="dxa"/>
            <w:tcBorders>
              <w:top w:val="nil" w:sz="6" w:space="0" w:color="auto"/>
              <w:left w:val="nil" w:sz="6" w:space="0" w:color="auto"/>
              <w:bottom w:val="nil" w:sz="6" w:space="0" w:color="auto"/>
              <w:right w:val="nil" w:sz="6" w:space="0" w:color="auto"/>
            </w:tcBorders>
          </w:tcPr>
          <w:p>
            <w:pPr/>
          </w:p>
        </w:tc>
        <w:tc>
          <w:tcPr>
            <w:tcW w:w="2227" w:type="dxa"/>
            <w:tcBorders>
              <w:top w:val="nil" w:sz="6" w:space="0" w:color="auto"/>
              <w:left w:val="nil" w:sz="6" w:space="0" w:color="auto"/>
              <w:bottom w:val="nil" w:sz="6" w:space="0" w:color="auto"/>
              <w:right w:val="nil" w:sz="6" w:space="0" w:color="auto"/>
            </w:tcBorders>
          </w:tcPr>
          <w:p>
            <w:pPr/>
          </w:p>
        </w:tc>
      </w:tr>
      <w:tr>
        <w:trPr>
          <w:trHeight w:val="295" w:hRule="exact"/>
        </w:trPr>
        <w:tc>
          <w:tcPr>
            <w:tcW w:w="2837"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339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57"/>
              <w:jc w:val="right"/>
              <w:rPr>
                <w:rFonts w:ascii="Times New Roman" w:hAnsi="Times New Roman" w:cs="Times New Roman" w:eastAsia="Times New Roman" w:hint="default"/>
                <w:sz w:val="18"/>
                <w:szCs w:val="18"/>
              </w:rPr>
            </w:pPr>
            <w:r>
              <w:rPr>
                <w:rFonts w:ascii="Times New Roman"/>
                <w:spacing w:val="-1"/>
                <w:sz w:val="18"/>
              </w:rPr>
              <w:t>669,048,503.27</w:t>
            </w:r>
          </w:p>
        </w:tc>
        <w:tc>
          <w:tcPr>
            <w:tcW w:w="222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516,032,663.01</w:t>
            </w:r>
          </w:p>
        </w:tc>
      </w:tr>
      <w:tr>
        <w:trPr>
          <w:trHeight w:val="276" w:hRule="exact"/>
        </w:trPr>
        <w:tc>
          <w:tcPr>
            <w:tcW w:w="2837"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392" w:type="dxa"/>
            <w:tcBorders>
              <w:top w:val="nil" w:sz="6" w:space="0" w:color="auto"/>
              <w:left w:val="nil" w:sz="6" w:space="0" w:color="auto"/>
              <w:bottom w:val="nil" w:sz="6" w:space="0" w:color="auto"/>
              <w:right w:val="nil" w:sz="6" w:space="0" w:color="auto"/>
            </w:tcBorders>
          </w:tcPr>
          <w:p>
            <w:pPr/>
          </w:p>
        </w:tc>
        <w:tc>
          <w:tcPr>
            <w:tcW w:w="2227" w:type="dxa"/>
            <w:tcBorders>
              <w:top w:val="nil" w:sz="6" w:space="0" w:color="auto"/>
              <w:left w:val="nil" w:sz="6" w:space="0" w:color="auto"/>
              <w:bottom w:val="nil" w:sz="6" w:space="0" w:color="auto"/>
              <w:right w:val="nil" w:sz="6" w:space="0" w:color="auto"/>
            </w:tcBorders>
          </w:tcPr>
          <w:p>
            <w:pPr/>
          </w:p>
        </w:tc>
      </w:tr>
      <w:tr>
        <w:trPr>
          <w:trHeight w:val="294" w:hRule="exact"/>
        </w:trPr>
        <w:tc>
          <w:tcPr>
            <w:tcW w:w="2837"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339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57"/>
              <w:jc w:val="right"/>
              <w:rPr>
                <w:rFonts w:ascii="Times New Roman" w:hAnsi="Times New Roman" w:cs="Times New Roman" w:eastAsia="Times New Roman" w:hint="default"/>
                <w:sz w:val="18"/>
                <w:szCs w:val="18"/>
              </w:rPr>
            </w:pPr>
            <w:r>
              <w:rPr>
                <w:rFonts w:ascii="Times New Roman"/>
                <w:spacing w:val="-1"/>
                <w:sz w:val="18"/>
              </w:rPr>
              <w:t>29,636,969.91</w:t>
            </w:r>
          </w:p>
        </w:tc>
        <w:tc>
          <w:tcPr>
            <w:tcW w:w="222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28,672,197.57</w:t>
            </w:r>
          </w:p>
        </w:tc>
      </w:tr>
      <w:tr>
        <w:trPr>
          <w:trHeight w:val="285" w:hRule="exact"/>
        </w:trPr>
        <w:tc>
          <w:tcPr>
            <w:tcW w:w="2837"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其他综合收益</w:t>
            </w:r>
          </w:p>
        </w:tc>
        <w:tc>
          <w:tcPr>
            <w:tcW w:w="33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58"/>
              <w:jc w:val="right"/>
              <w:rPr>
                <w:rFonts w:ascii="Times New Roman" w:hAnsi="Times New Roman" w:cs="Times New Roman" w:eastAsia="Times New Roman" w:hint="default"/>
                <w:sz w:val="18"/>
                <w:szCs w:val="18"/>
              </w:rPr>
            </w:pPr>
            <w:r>
              <w:rPr>
                <w:rFonts w:ascii="Times New Roman"/>
                <w:w w:val="95"/>
                <w:sz w:val="18"/>
              </w:rPr>
              <w:t>3,218.92</w:t>
            </w:r>
          </w:p>
        </w:tc>
        <w:tc>
          <w:tcPr>
            <w:tcW w:w="222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9"/>
              <w:jc w:val="right"/>
              <w:rPr>
                <w:rFonts w:ascii="Times New Roman" w:hAnsi="Times New Roman" w:cs="Times New Roman" w:eastAsia="Times New Roman" w:hint="default"/>
                <w:sz w:val="18"/>
                <w:szCs w:val="18"/>
              </w:rPr>
            </w:pPr>
            <w:r>
              <w:rPr>
                <w:rFonts w:ascii="Times New Roman"/>
                <w:spacing w:val="-1"/>
                <w:sz w:val="18"/>
              </w:rPr>
              <w:t>0.00</w:t>
            </w:r>
          </w:p>
        </w:tc>
      </w:tr>
      <w:tr>
        <w:trPr>
          <w:trHeight w:val="268" w:hRule="exact"/>
        </w:trPr>
        <w:tc>
          <w:tcPr>
            <w:tcW w:w="2837" w:type="dxa"/>
            <w:tcBorders>
              <w:top w:val="nil" w:sz="6" w:space="0" w:color="auto"/>
              <w:left w:val="nil" w:sz="6" w:space="0" w:color="auto"/>
              <w:bottom w:val="single" w:sz="12" w:space="0" w:color="000000"/>
              <w:right w:val="nil" w:sz="6" w:space="0" w:color="auto"/>
            </w:tcBorders>
          </w:tcPr>
          <w:p>
            <w:pPr>
              <w:pStyle w:val="TableParagraph"/>
              <w:spacing w:line="237"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综合收益总额</w:t>
            </w:r>
          </w:p>
        </w:tc>
        <w:tc>
          <w:tcPr>
            <w:tcW w:w="3392"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257"/>
              <w:jc w:val="right"/>
              <w:rPr>
                <w:rFonts w:ascii="Times New Roman" w:hAnsi="Times New Roman" w:cs="Times New Roman" w:eastAsia="Times New Roman" w:hint="default"/>
                <w:sz w:val="18"/>
                <w:szCs w:val="18"/>
              </w:rPr>
            </w:pPr>
            <w:r>
              <w:rPr>
                <w:rFonts w:ascii="Times New Roman"/>
                <w:spacing w:val="-1"/>
                <w:sz w:val="18"/>
              </w:rPr>
              <w:t>29,640,188.83</w:t>
            </w:r>
          </w:p>
        </w:tc>
        <w:tc>
          <w:tcPr>
            <w:tcW w:w="222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28,672,197.57</w:t>
            </w:r>
          </w:p>
        </w:tc>
      </w:tr>
    </w:tbl>
    <w:p>
      <w:pPr>
        <w:tabs>
          <w:tab w:pos="1334" w:val="left" w:leader="none"/>
        </w:tabs>
        <w:spacing w:line="328" w:lineRule="auto" w:before="81"/>
        <w:ind w:left="641" w:right="217" w:firstLine="19"/>
        <w:jc w:val="left"/>
        <w:rPr>
          <w:rFonts w:ascii="宋体" w:hAnsi="宋体" w:cs="宋体" w:eastAsia="宋体" w:hint="default"/>
          <w:sz w:val="22"/>
          <w:szCs w:val="22"/>
        </w:rPr>
      </w:pPr>
      <w:r>
        <w:rPr>
          <w:rFonts w:ascii="Times New Roman" w:hAnsi="Times New Roman" w:cs="Times New Roman" w:eastAsia="Times New Roman" w:hint="default"/>
          <w:b/>
          <w:bCs/>
          <w:spacing w:val="12"/>
          <w:sz w:val="22"/>
          <w:szCs w:val="22"/>
        </w:rPr>
        <w:t>35.</w:t>
        <w:tab/>
      </w:r>
      <w:r>
        <w:rPr>
          <w:rFonts w:ascii="宋体" w:hAnsi="宋体" w:cs="宋体" w:eastAsia="宋体" w:hint="default"/>
          <w:b/>
          <w:bCs/>
          <w:sz w:val="22"/>
          <w:szCs w:val="22"/>
        </w:rPr>
        <w:t>与</w:t>
      </w:r>
      <w:r>
        <w:rPr>
          <w:rFonts w:ascii="宋体" w:hAnsi="宋体" w:cs="宋体" w:eastAsia="宋体" w:hint="default"/>
          <w:b/>
          <w:bCs/>
          <w:spacing w:val="-72"/>
          <w:sz w:val="22"/>
          <w:szCs w:val="22"/>
        </w:rPr>
        <w:t> </w:t>
      </w:r>
      <w:r>
        <w:rPr>
          <w:rFonts w:ascii="宋体" w:hAnsi="宋体" w:cs="宋体" w:eastAsia="宋体" w:hint="default"/>
          <w:b/>
          <w:bCs/>
          <w:sz w:val="22"/>
          <w:szCs w:val="22"/>
        </w:rPr>
        <w:t>金</w:t>
      </w:r>
      <w:r>
        <w:rPr>
          <w:rFonts w:ascii="宋体" w:hAnsi="宋体" w:cs="宋体" w:eastAsia="宋体" w:hint="default"/>
          <w:b/>
          <w:bCs/>
          <w:spacing w:val="-72"/>
          <w:sz w:val="22"/>
          <w:szCs w:val="22"/>
        </w:rPr>
        <w:t> </w:t>
      </w:r>
      <w:r>
        <w:rPr>
          <w:rFonts w:ascii="宋体" w:hAnsi="宋体" w:cs="宋体" w:eastAsia="宋体" w:hint="default"/>
          <w:b/>
          <w:bCs/>
          <w:sz w:val="22"/>
          <w:szCs w:val="22"/>
        </w:rPr>
        <w:t>融</w:t>
      </w:r>
      <w:r>
        <w:rPr>
          <w:rFonts w:ascii="宋体" w:hAnsi="宋体" w:cs="宋体" w:eastAsia="宋体" w:hint="default"/>
          <w:b/>
          <w:bCs/>
          <w:spacing w:val="-72"/>
          <w:sz w:val="22"/>
          <w:szCs w:val="22"/>
        </w:rPr>
        <w:t> </w:t>
      </w:r>
      <w:r>
        <w:rPr>
          <w:rFonts w:ascii="宋体" w:hAnsi="宋体" w:cs="宋体" w:eastAsia="宋体" w:hint="default"/>
          <w:b/>
          <w:bCs/>
          <w:sz w:val="22"/>
          <w:szCs w:val="22"/>
        </w:rPr>
        <w:t>工</w:t>
      </w:r>
      <w:r>
        <w:rPr>
          <w:rFonts w:ascii="宋体" w:hAnsi="宋体" w:cs="宋体" w:eastAsia="宋体" w:hint="default"/>
          <w:b/>
          <w:bCs/>
          <w:spacing w:val="-74"/>
          <w:sz w:val="22"/>
          <w:szCs w:val="22"/>
        </w:rPr>
        <w:t> </w:t>
      </w:r>
      <w:r>
        <w:rPr>
          <w:rFonts w:ascii="宋体" w:hAnsi="宋体" w:cs="宋体" w:eastAsia="宋体" w:hint="default"/>
          <w:b/>
          <w:bCs/>
          <w:sz w:val="22"/>
          <w:szCs w:val="22"/>
        </w:rPr>
        <w:t>具</w:t>
      </w:r>
      <w:r>
        <w:rPr>
          <w:rFonts w:ascii="宋体" w:hAnsi="宋体" w:cs="宋体" w:eastAsia="宋体" w:hint="default"/>
          <w:b/>
          <w:bCs/>
          <w:spacing w:val="-72"/>
          <w:sz w:val="22"/>
          <w:szCs w:val="22"/>
        </w:rPr>
        <w:t> </w:t>
      </w:r>
      <w:r>
        <w:rPr>
          <w:rFonts w:ascii="宋体" w:hAnsi="宋体" w:cs="宋体" w:eastAsia="宋体" w:hint="default"/>
          <w:b/>
          <w:bCs/>
          <w:sz w:val="22"/>
          <w:szCs w:val="22"/>
        </w:rPr>
        <w:t>相</w:t>
      </w:r>
      <w:r>
        <w:rPr>
          <w:rFonts w:ascii="宋体" w:hAnsi="宋体" w:cs="宋体" w:eastAsia="宋体" w:hint="default"/>
          <w:b/>
          <w:bCs/>
          <w:spacing w:val="-72"/>
          <w:sz w:val="22"/>
          <w:szCs w:val="22"/>
        </w:rPr>
        <w:t> </w:t>
      </w:r>
      <w:r>
        <w:rPr>
          <w:rFonts w:ascii="宋体" w:hAnsi="宋体" w:cs="宋体" w:eastAsia="宋体" w:hint="default"/>
          <w:b/>
          <w:bCs/>
          <w:sz w:val="22"/>
          <w:szCs w:val="22"/>
        </w:rPr>
        <w:t>关</w:t>
      </w:r>
      <w:r>
        <w:rPr>
          <w:rFonts w:ascii="宋体" w:hAnsi="宋体" w:cs="宋体" w:eastAsia="宋体" w:hint="default"/>
          <w:b/>
          <w:bCs/>
          <w:spacing w:val="-72"/>
          <w:sz w:val="22"/>
          <w:szCs w:val="22"/>
        </w:rPr>
        <w:t> </w:t>
      </w:r>
      <w:r>
        <w:rPr>
          <w:rFonts w:ascii="宋体" w:hAnsi="宋体" w:cs="宋体" w:eastAsia="宋体" w:hint="default"/>
          <w:b/>
          <w:bCs/>
          <w:sz w:val="22"/>
          <w:szCs w:val="22"/>
        </w:rPr>
        <w:t>风</w:t>
      </w:r>
      <w:r>
        <w:rPr>
          <w:rFonts w:ascii="宋体" w:hAnsi="宋体" w:cs="宋体" w:eastAsia="宋体" w:hint="default"/>
          <w:b/>
          <w:bCs/>
          <w:spacing w:val="-74"/>
          <w:sz w:val="22"/>
          <w:szCs w:val="22"/>
        </w:rPr>
        <w:t> </w:t>
      </w:r>
      <w:r>
        <w:rPr>
          <w:rFonts w:ascii="宋体" w:hAnsi="宋体" w:cs="宋体" w:eastAsia="宋体" w:hint="default"/>
          <w:b/>
          <w:bCs/>
          <w:sz w:val="22"/>
          <w:szCs w:val="22"/>
        </w:rPr>
        <w:t>险</w:t>
      </w:r>
      <w:r>
        <w:rPr>
          <w:rFonts w:ascii="宋体" w:hAnsi="宋体" w:cs="宋体" w:eastAsia="宋体" w:hint="default"/>
          <w:b/>
          <w:bCs/>
          <w:w w:val="99"/>
          <w:sz w:val="22"/>
          <w:szCs w:val="22"/>
        </w:rPr>
        <w:t> </w:t>
      </w:r>
      <w:r>
        <w:rPr>
          <w:rFonts w:ascii="宋体" w:hAnsi="宋体" w:cs="宋体" w:eastAsia="宋体" w:hint="default"/>
          <w:spacing w:val="-3"/>
          <w:sz w:val="22"/>
          <w:szCs w:val="22"/>
        </w:rPr>
        <w:t>本公司的主要金融工具包括银行借款（含短期借款和长期借款）、应付债券（含中期</w:t>
      </w:r>
    </w:p>
    <w:p>
      <w:pPr>
        <w:spacing w:line="274" w:lineRule="exact" w:before="0"/>
        <w:ind w:left="202" w:right="0" w:firstLine="0"/>
        <w:jc w:val="both"/>
        <w:rPr>
          <w:rFonts w:ascii="宋体" w:hAnsi="宋体" w:cs="宋体" w:eastAsia="宋体" w:hint="default"/>
          <w:sz w:val="22"/>
          <w:szCs w:val="22"/>
        </w:rPr>
      </w:pPr>
      <w:r>
        <w:rPr>
          <w:rFonts w:ascii="宋体" w:hAnsi="宋体" w:cs="宋体" w:eastAsia="宋体" w:hint="default"/>
          <w:spacing w:val="-3"/>
          <w:sz w:val="22"/>
          <w:szCs w:val="22"/>
        </w:rPr>
        <w:t>票据、列示于其他流动负债的超短期融资券和短期融资券等）、应收款项、应付款项、长</w:t>
      </w:r>
    </w:p>
    <w:p>
      <w:pPr>
        <w:spacing w:line="297" w:lineRule="auto" w:before="69"/>
        <w:ind w:left="202" w:right="217" w:firstLine="0"/>
        <w:jc w:val="both"/>
        <w:rPr>
          <w:rFonts w:ascii="宋体" w:hAnsi="宋体" w:cs="宋体" w:eastAsia="宋体" w:hint="default"/>
          <w:sz w:val="22"/>
          <w:szCs w:val="22"/>
        </w:rPr>
      </w:pPr>
      <w:r>
        <w:rPr>
          <w:rFonts w:ascii="宋体" w:hAnsi="宋体" w:cs="宋体" w:eastAsia="宋体" w:hint="default"/>
          <w:spacing w:val="-3"/>
          <w:sz w:val="22"/>
          <w:szCs w:val="22"/>
        </w:rPr>
        <w:t>期应收款、长期应付款、可供出售金融资产、以公允价值计量且其变动计入当期损益的金</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pacing w:val="-3"/>
          <w:sz w:val="22"/>
          <w:szCs w:val="22"/>
        </w:rPr>
        <w:t>融资产和金融负债等，各项金融工具的详细情况说明见附注六。与这些金融工具有关的风</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险，以及本公司为降低这些风险所采取的风险管理政策如下所述。本公司管理层对这些风</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险敞口进行管理和监控以确保将上述风险控制在限定的范围之内。</w:t>
      </w:r>
    </w:p>
    <w:p>
      <w:pPr>
        <w:spacing w:line="328" w:lineRule="auto" w:before="74"/>
        <w:ind w:left="641" w:right="94"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r>
      <w:r>
        <w:rPr>
          <w:rFonts w:ascii="Times New Roman" w:hAnsi="Times New Roman" w:cs="Times New Roman" w:eastAsia="Times New Roman" w:hint="default"/>
          <w:b/>
          <w:bCs/>
          <w:spacing w:val="15"/>
          <w:sz w:val="22"/>
          <w:szCs w:val="22"/>
        </w:rPr>
        <w:t> </w:t>
      </w:r>
      <w:r>
        <w:rPr>
          <w:rFonts w:ascii="宋体" w:hAnsi="宋体" w:cs="宋体" w:eastAsia="宋体" w:hint="default"/>
          <w:sz w:val="22"/>
          <w:szCs w:val="22"/>
        </w:rPr>
        <w:t>各类风险管理目标和政策</w:t>
      </w:r>
      <w:r>
        <w:rPr>
          <w:rFonts w:ascii="宋体" w:hAnsi="宋体" w:cs="宋体" w:eastAsia="宋体" w:hint="default"/>
          <w:w w:val="100"/>
          <w:sz w:val="22"/>
          <w:szCs w:val="22"/>
        </w:rPr>
        <w:t> </w:t>
      </w:r>
      <w:r>
        <w:rPr>
          <w:rFonts w:ascii="宋体" w:hAnsi="宋体" w:cs="宋体" w:eastAsia="宋体" w:hint="default"/>
          <w:spacing w:val="-3"/>
          <w:sz w:val="22"/>
          <w:szCs w:val="22"/>
        </w:rPr>
        <w:t>本公司从事风险管理的目标是在风险和收益之间取得适当的平衡，将风险对本公司经</w:t>
      </w:r>
    </w:p>
    <w:p>
      <w:pPr>
        <w:spacing w:line="274" w:lineRule="exact" w:before="0"/>
        <w:ind w:left="202" w:right="0" w:firstLine="0"/>
        <w:jc w:val="both"/>
        <w:rPr>
          <w:rFonts w:ascii="宋体" w:hAnsi="宋体" w:cs="宋体" w:eastAsia="宋体" w:hint="default"/>
          <w:sz w:val="22"/>
          <w:szCs w:val="22"/>
        </w:rPr>
      </w:pPr>
      <w:r>
        <w:rPr>
          <w:rFonts w:ascii="宋体" w:hAnsi="宋体" w:cs="宋体" w:eastAsia="宋体" w:hint="default"/>
          <w:spacing w:val="-3"/>
          <w:sz w:val="22"/>
          <w:szCs w:val="22"/>
        </w:rPr>
        <w:t>营业绩的负面影响降低到最低水平，使股东及其它权益投资者的利益最大化。基于该风险</w:t>
      </w:r>
    </w:p>
    <w:p>
      <w:pPr>
        <w:spacing w:line="297" w:lineRule="auto" w:before="69"/>
        <w:ind w:left="202" w:right="217" w:firstLine="0"/>
        <w:jc w:val="both"/>
        <w:rPr>
          <w:rFonts w:ascii="宋体" w:hAnsi="宋体" w:cs="宋体" w:eastAsia="宋体" w:hint="default"/>
          <w:sz w:val="22"/>
          <w:szCs w:val="22"/>
        </w:rPr>
      </w:pPr>
      <w:r>
        <w:rPr>
          <w:rFonts w:ascii="宋体" w:hAnsi="宋体" w:cs="宋体" w:eastAsia="宋体" w:hint="default"/>
          <w:spacing w:val="-3"/>
          <w:sz w:val="22"/>
          <w:szCs w:val="22"/>
        </w:rPr>
        <w:t>管理目标，本公司风险管理的基本策略是确定和分析本公司所面临的各种风险，建立适当</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的风险承受底线并进行风险管理，并及时可靠地对各种风险进行监督，将风险控制在限定</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的范围之内。</w:t>
      </w:r>
    </w:p>
    <w:p>
      <w:pPr>
        <w:spacing w:before="77"/>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4"/>
          <w:sz w:val="22"/>
          <w:szCs w:val="22"/>
        </w:rPr>
        <w:t> </w:t>
      </w:r>
      <w:r>
        <w:rPr>
          <w:rFonts w:ascii="宋体" w:hAnsi="宋体" w:cs="宋体" w:eastAsia="宋体" w:hint="default"/>
          <w:sz w:val="22"/>
          <w:szCs w:val="22"/>
        </w:rPr>
        <w:t>市场风险</w:t>
      </w:r>
    </w:p>
    <w:p>
      <w:pPr>
        <w:tabs>
          <w:tab w:pos="1101" w:val="left" w:leader="none"/>
        </w:tabs>
        <w:spacing w:line="328" w:lineRule="auto" w:before="110"/>
        <w:ind w:left="641" w:right="217"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tab/>
      </w:r>
      <w:r>
        <w:rPr>
          <w:rFonts w:ascii="宋体" w:hAnsi="宋体" w:cs="宋体" w:eastAsia="宋体" w:hint="default"/>
          <w:sz w:val="22"/>
          <w:szCs w:val="22"/>
        </w:rPr>
        <w:t>汇率风险</w:t>
      </w:r>
      <w:r>
        <w:rPr>
          <w:rFonts w:ascii="宋体" w:hAnsi="宋体" w:cs="宋体" w:eastAsia="宋体" w:hint="default"/>
          <w:w w:val="100"/>
          <w:sz w:val="22"/>
          <w:szCs w:val="22"/>
        </w:rPr>
        <w:t> </w:t>
      </w:r>
      <w:r>
        <w:rPr>
          <w:rFonts w:ascii="宋体" w:hAnsi="宋体" w:cs="宋体" w:eastAsia="宋体" w:hint="default"/>
          <w:spacing w:val="-3"/>
          <w:sz w:val="22"/>
          <w:szCs w:val="22"/>
        </w:rPr>
        <w:t>本公司承受的汇率风险主要与美元、欧元、港元等币种有关。本公司下属同方威视技</w:t>
      </w:r>
    </w:p>
    <w:p>
      <w:pPr>
        <w:spacing w:line="292" w:lineRule="auto" w:before="0"/>
        <w:ind w:left="202" w:right="94" w:firstLine="0"/>
        <w:jc w:val="left"/>
        <w:rPr>
          <w:rFonts w:ascii="宋体" w:hAnsi="宋体" w:cs="宋体" w:eastAsia="宋体" w:hint="default"/>
          <w:sz w:val="22"/>
          <w:szCs w:val="22"/>
        </w:rPr>
      </w:pPr>
      <w:r>
        <w:rPr>
          <w:rFonts w:ascii="宋体" w:hAnsi="宋体" w:cs="宋体" w:eastAsia="宋体" w:hint="default"/>
          <w:sz w:val="22"/>
          <w:szCs w:val="22"/>
        </w:rPr>
        <w:t>术股份有限公司、</w:t>
      </w:r>
      <w:r>
        <w:rPr>
          <w:rFonts w:ascii="Times New Roman" w:hAnsi="Times New Roman" w:cs="Times New Roman" w:eastAsia="Times New Roman" w:hint="default"/>
          <w:sz w:val="22"/>
          <w:szCs w:val="22"/>
        </w:rPr>
        <w:t>TongFang Global Limited</w:t>
      </w:r>
      <w:r>
        <w:rPr>
          <w:rFonts w:ascii="宋体" w:hAnsi="宋体" w:cs="宋体" w:eastAsia="宋体" w:hint="default"/>
          <w:sz w:val="22"/>
          <w:szCs w:val="22"/>
        </w:rPr>
        <w:t>、</w:t>
      </w:r>
      <w:r>
        <w:rPr>
          <w:rFonts w:ascii="Times New Roman" w:hAnsi="Times New Roman" w:cs="Times New Roman" w:eastAsia="Times New Roman" w:hint="default"/>
          <w:sz w:val="22"/>
          <w:szCs w:val="22"/>
        </w:rPr>
        <w:t>Tongfang HongKong</w:t>
      </w:r>
      <w:r>
        <w:rPr>
          <w:rFonts w:ascii="Times New Roman" w:hAnsi="Times New Roman" w:cs="Times New Roman" w:eastAsia="Times New Roman" w:hint="default"/>
          <w:spacing w:val="26"/>
          <w:sz w:val="22"/>
          <w:szCs w:val="22"/>
        </w:rPr>
        <w:t> </w:t>
      </w:r>
      <w:r>
        <w:rPr>
          <w:rFonts w:ascii="Times New Roman" w:hAnsi="Times New Roman" w:cs="Times New Roman" w:eastAsia="Times New Roman" w:hint="default"/>
          <w:sz w:val="22"/>
          <w:szCs w:val="22"/>
        </w:rPr>
        <w:t>Limited</w:t>
      </w:r>
      <w:r>
        <w:rPr>
          <w:rFonts w:ascii="宋体" w:hAnsi="宋体" w:cs="宋体" w:eastAsia="宋体" w:hint="default"/>
          <w:sz w:val="22"/>
          <w:szCs w:val="22"/>
        </w:rPr>
        <w:t>、同方泰德国际</w:t>
      </w:r>
      <w:r>
        <w:rPr>
          <w:rFonts w:ascii="宋体" w:hAnsi="宋体" w:cs="宋体" w:eastAsia="宋体" w:hint="default"/>
          <w:w w:val="100"/>
          <w:sz w:val="22"/>
          <w:szCs w:val="22"/>
        </w:rPr>
        <w:t> </w:t>
      </w:r>
      <w:r>
        <w:rPr>
          <w:rFonts w:ascii="宋体" w:hAnsi="宋体" w:cs="宋体" w:eastAsia="宋体" w:hint="default"/>
          <w:spacing w:val="-3"/>
          <w:sz w:val="22"/>
          <w:szCs w:val="22"/>
        </w:rPr>
        <w:t>科技有限公司、同方友友控股有限公司、同方国芯电子股份有限公司、南通同方半导体有</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pacing w:val="-3"/>
          <w:sz w:val="22"/>
          <w:szCs w:val="22"/>
        </w:rPr>
        <w:t>限公司、同方知网（北京）技术有限公司等控股子公司，均不同程度地面向国际市场开展</w:t>
      </w:r>
      <w:r>
        <w:rPr>
          <w:rFonts w:ascii="宋体" w:hAnsi="宋体" w:cs="宋体" w:eastAsia="宋体" w:hint="default"/>
          <w:spacing w:val="-72"/>
          <w:sz w:val="22"/>
          <w:szCs w:val="22"/>
        </w:rPr>
        <w:t> </w:t>
      </w:r>
      <w:r>
        <w:rPr>
          <w:rFonts w:ascii="宋体" w:hAnsi="宋体" w:cs="宋体" w:eastAsia="宋体" w:hint="default"/>
          <w:spacing w:val="-72"/>
          <w:sz w:val="22"/>
          <w:szCs w:val="22"/>
        </w:rPr>
      </w:r>
      <w:r>
        <w:rPr>
          <w:rFonts w:ascii="宋体" w:hAnsi="宋体" w:cs="宋体" w:eastAsia="宋体" w:hint="default"/>
          <w:sz w:val="22"/>
          <w:szCs w:val="22"/>
        </w:rPr>
        <w:t>以外币计价结算的产品购销和技术服务业务。本公司除上述控股子公司之外的业务单元，</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则主要开展以人民币计价结算的经营业务。截至</w:t>
      </w:r>
      <w:r>
        <w:rPr>
          <w:rFonts w:ascii="Times New Roman" w:hAnsi="Times New Roman" w:cs="Times New Roman" w:eastAsia="Times New Roman" w:hint="default"/>
          <w:spacing w:val="-3"/>
          <w:sz w:val="22"/>
          <w:szCs w:val="22"/>
        </w:rPr>
        <w:t>2015</w:t>
      </w:r>
      <w:r>
        <w:rPr>
          <w:rFonts w:ascii="宋体" w:hAnsi="宋体" w:cs="宋体" w:eastAsia="宋体" w:hint="default"/>
          <w:spacing w:val="-3"/>
          <w:sz w:val="22"/>
          <w:szCs w:val="22"/>
        </w:rPr>
        <w:t>年</w:t>
      </w:r>
      <w:r>
        <w:rPr>
          <w:rFonts w:ascii="Times New Roman" w:hAnsi="Times New Roman" w:cs="Times New Roman" w:eastAsia="Times New Roman" w:hint="default"/>
          <w:spacing w:val="-3"/>
          <w:sz w:val="22"/>
          <w:szCs w:val="22"/>
        </w:rPr>
        <w:t>12</w:t>
      </w:r>
      <w:r>
        <w:rPr>
          <w:rFonts w:ascii="宋体" w:hAnsi="宋体" w:cs="宋体" w:eastAsia="宋体" w:hint="default"/>
          <w:spacing w:val="-3"/>
          <w:sz w:val="22"/>
          <w:szCs w:val="22"/>
        </w:rPr>
        <w:t>月</w:t>
      </w:r>
      <w:r>
        <w:rPr>
          <w:rFonts w:ascii="Times New Roman" w:hAnsi="Times New Roman" w:cs="Times New Roman" w:eastAsia="Times New Roman" w:hint="default"/>
          <w:spacing w:val="-3"/>
          <w:sz w:val="22"/>
          <w:szCs w:val="22"/>
        </w:rPr>
        <w:t>31</w:t>
      </w:r>
      <w:r>
        <w:rPr>
          <w:rFonts w:ascii="宋体" w:hAnsi="宋体" w:cs="宋体" w:eastAsia="宋体" w:hint="default"/>
          <w:spacing w:val="-3"/>
          <w:sz w:val="22"/>
          <w:szCs w:val="22"/>
        </w:rPr>
        <w:t>日，除本附注六、</w:t>
      </w:r>
      <w:r>
        <w:rPr>
          <w:rFonts w:ascii="Times New Roman" w:hAnsi="Times New Roman" w:cs="Times New Roman" w:eastAsia="Times New Roman" w:hint="default"/>
          <w:spacing w:val="-3"/>
          <w:sz w:val="22"/>
          <w:szCs w:val="22"/>
        </w:rPr>
        <w:t>58</w:t>
      </w:r>
      <w:r>
        <w:rPr>
          <w:rFonts w:ascii="宋体" w:hAnsi="宋体" w:cs="宋体" w:eastAsia="宋体" w:hint="default"/>
          <w:spacing w:val="-3"/>
          <w:sz w:val="22"/>
          <w:szCs w:val="22"/>
        </w:rPr>
        <w:t>所述资</w:t>
      </w:r>
      <w:r>
        <w:rPr>
          <w:rFonts w:ascii="宋体" w:hAnsi="宋体" w:cs="宋体" w:eastAsia="宋体" w:hint="default"/>
          <w:spacing w:val="-58"/>
          <w:sz w:val="22"/>
          <w:szCs w:val="22"/>
        </w:rPr>
        <w:t> </w:t>
      </w:r>
      <w:r>
        <w:rPr>
          <w:rFonts w:ascii="宋体" w:hAnsi="宋体" w:cs="宋体" w:eastAsia="宋体" w:hint="default"/>
          <w:spacing w:val="-58"/>
          <w:sz w:val="22"/>
          <w:szCs w:val="22"/>
        </w:rPr>
      </w:r>
      <w:r>
        <w:rPr>
          <w:rFonts w:ascii="宋体" w:hAnsi="宋体" w:cs="宋体" w:eastAsia="宋体" w:hint="default"/>
          <w:spacing w:val="-3"/>
          <w:sz w:val="22"/>
          <w:szCs w:val="22"/>
        </w:rPr>
        <w:t>产及负债的外币余额外，本公司的资产及负债均为人民币余额。该等外币余额的资产和负</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债产生的汇率风险可能对本公司的经营业绩产生影响。</w:t>
      </w:r>
    </w:p>
    <w:p>
      <w:pPr>
        <w:spacing w:after="0" w:line="292" w:lineRule="auto"/>
        <w:jc w:val="left"/>
        <w:rPr>
          <w:rFonts w:ascii="宋体" w:hAnsi="宋体" w:cs="宋体" w:eastAsia="宋体" w:hint="default"/>
          <w:sz w:val="22"/>
          <w:szCs w:val="22"/>
        </w:rPr>
        <w:sectPr>
          <w:headerReference w:type="default" r:id="rId91"/>
          <w:pgSz w:w="11910" w:h="16840"/>
          <w:pgMar w:header="645" w:footer="816" w:top="1080" w:bottom="1000" w:left="1500" w:right="1480"/>
        </w:sectPr>
      </w:pPr>
    </w:p>
    <w:p>
      <w:pPr>
        <w:spacing w:line="240" w:lineRule="auto" w:before="6"/>
        <w:rPr>
          <w:rFonts w:ascii="宋体" w:hAnsi="宋体" w:cs="宋体" w:eastAsia="宋体" w:hint="default"/>
          <w:sz w:val="5"/>
          <w:szCs w:val="5"/>
        </w:rPr>
      </w:pPr>
    </w:p>
    <w:p>
      <w:pPr>
        <w:spacing w:line="447" w:lineRule="exact"/>
        <w:ind w:left="105"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32.15pt;height:22.35pt;mso-position-horizontal-relative:char;mso-position-vertical-relative:line" coordorigin="0,0" coordsize="8643,447">
            <v:group style="position:absolute;left:68;top:440;width:8567;height:2" coordorigin="68,440" coordsize="8567,2">
              <v:shape style="position:absolute;left:68;top:440;width:8567;height:2" coordorigin="68,440" coordsize="8567,0" path="m68,440l8635,440e" filled="false" stroked="true" strokeweight=".72pt" strokecolor="#000000">
                <v:path arrowok="t"/>
              </v:shape>
              <v:shape style="position:absolute;left:0;top:0;width:1365;height:420" type="#_x0000_t75" stroked="false">
                <v:imagedata r:id="rId35" o:title=""/>
              </v:shape>
            </v:group>
          </v:group>
        </w:pict>
      </w:r>
      <w:r>
        <w:rPr>
          <w:rFonts w:ascii="宋体" w:hAnsi="宋体" w:cs="宋体" w:eastAsia="宋体" w:hint="default"/>
          <w:position w:val="-8"/>
          <w:sz w:val="20"/>
          <w:szCs w:val="20"/>
        </w:rPr>
      </w:r>
    </w:p>
    <w:p>
      <w:pPr>
        <w:spacing w:line="240" w:lineRule="auto" w:before="1"/>
        <w:rPr>
          <w:rFonts w:ascii="宋体" w:hAnsi="宋体" w:cs="宋体" w:eastAsia="宋体" w:hint="default"/>
          <w:sz w:val="22"/>
          <w:szCs w:val="22"/>
        </w:rPr>
      </w:pPr>
    </w:p>
    <w:p>
      <w:pPr>
        <w:spacing w:line="297" w:lineRule="auto" w:before="32"/>
        <w:ind w:left="202" w:right="217" w:firstLine="439"/>
        <w:jc w:val="both"/>
        <w:rPr>
          <w:rFonts w:ascii="宋体" w:hAnsi="宋体" w:cs="宋体" w:eastAsia="宋体" w:hint="default"/>
          <w:sz w:val="22"/>
          <w:szCs w:val="22"/>
        </w:rPr>
      </w:pPr>
      <w:r>
        <w:rPr>
          <w:rFonts w:ascii="宋体" w:hAnsi="宋体" w:cs="宋体" w:eastAsia="宋体" w:hint="default"/>
          <w:spacing w:val="-3"/>
          <w:sz w:val="22"/>
          <w:szCs w:val="22"/>
        </w:rPr>
        <w:t>本公司密切关注汇率变动对本公司的影响。随着海外业务拓展与市场份额变化，若发</w:t>
      </w:r>
      <w:r>
        <w:rPr>
          <w:rFonts w:ascii="宋体" w:hAnsi="宋体" w:cs="宋体" w:eastAsia="宋体" w:hint="default"/>
          <w:w w:val="100"/>
          <w:sz w:val="22"/>
          <w:szCs w:val="22"/>
        </w:rPr>
        <w:t> </w:t>
      </w:r>
      <w:r>
        <w:rPr>
          <w:rFonts w:ascii="宋体" w:hAnsi="宋体" w:cs="宋体" w:eastAsia="宋体" w:hint="default"/>
          <w:spacing w:val="-3"/>
          <w:sz w:val="22"/>
          <w:szCs w:val="22"/>
        </w:rPr>
        <w:t>生人民币升值或贬值等本公司不可控制的风险，本公司将通过调整采购和销售策略、实施</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人民币跨境结算与归集、合理运用汇率掉期保值工具等措施，加以有效防控。</w:t>
      </w:r>
    </w:p>
    <w:p>
      <w:pPr>
        <w:tabs>
          <w:tab w:pos="1101" w:val="left" w:leader="none"/>
        </w:tabs>
        <w:spacing w:line="328" w:lineRule="auto" w:before="74"/>
        <w:ind w:left="641" w:right="217"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tab/>
      </w:r>
      <w:r>
        <w:rPr>
          <w:rFonts w:ascii="宋体" w:hAnsi="宋体" w:cs="宋体" w:eastAsia="宋体" w:hint="default"/>
          <w:sz w:val="22"/>
          <w:szCs w:val="22"/>
        </w:rPr>
        <w:t>利率风险</w:t>
      </w:r>
      <w:r>
        <w:rPr>
          <w:rFonts w:ascii="宋体" w:hAnsi="宋体" w:cs="宋体" w:eastAsia="宋体" w:hint="default"/>
          <w:w w:val="100"/>
          <w:sz w:val="22"/>
          <w:szCs w:val="22"/>
        </w:rPr>
        <w:t> </w:t>
      </w:r>
      <w:r>
        <w:rPr>
          <w:rFonts w:ascii="宋体" w:hAnsi="宋体" w:cs="宋体" w:eastAsia="宋体" w:hint="default"/>
          <w:spacing w:val="-3"/>
          <w:sz w:val="22"/>
          <w:szCs w:val="22"/>
        </w:rPr>
        <w:t>本公司的利率风险产生于银行借款及应付债券等带息债务。浮动利率的金融负债使本</w:t>
      </w:r>
    </w:p>
    <w:p>
      <w:pPr>
        <w:spacing w:line="274" w:lineRule="exact" w:before="0"/>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公司面临现金流量利率风险，固定利率的金融负债使本公司面临公允价值利率风险。本公</w:t>
      </w:r>
    </w:p>
    <w:p>
      <w:pPr>
        <w:spacing w:line="348" w:lineRule="auto" w:before="69"/>
        <w:ind w:left="641" w:right="94" w:hanging="440"/>
        <w:jc w:val="left"/>
        <w:rPr>
          <w:rFonts w:ascii="宋体" w:hAnsi="宋体" w:cs="宋体" w:eastAsia="宋体" w:hint="default"/>
          <w:sz w:val="22"/>
          <w:szCs w:val="22"/>
        </w:rPr>
      </w:pPr>
      <w:r>
        <w:rPr>
          <w:rFonts w:ascii="宋体" w:hAnsi="宋体" w:cs="宋体" w:eastAsia="宋体" w:hint="default"/>
          <w:sz w:val="22"/>
          <w:szCs w:val="22"/>
        </w:rPr>
        <w:t>司根据当时的市场环境来决定固定利率及浮动利率合同的相对比例。</w:t>
      </w:r>
      <w:r>
        <w:rPr>
          <w:rFonts w:ascii="宋体" w:hAnsi="宋体" w:cs="宋体" w:eastAsia="宋体" w:hint="default"/>
          <w:w w:val="100"/>
          <w:sz w:val="22"/>
          <w:szCs w:val="22"/>
        </w:rPr>
        <w:t> </w:t>
      </w:r>
      <w:r>
        <w:rPr>
          <w:rFonts w:ascii="宋体" w:hAnsi="宋体" w:cs="宋体" w:eastAsia="宋体" w:hint="default"/>
          <w:spacing w:val="-3"/>
          <w:sz w:val="22"/>
          <w:szCs w:val="22"/>
        </w:rPr>
        <w:t>本公司作为非金融企业，目前可能面临的利率风险，主要来自于存续的中长期浮动利</w:t>
      </w:r>
    </w:p>
    <w:p>
      <w:pPr>
        <w:spacing w:line="256" w:lineRule="exact" w:before="0"/>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率债务。对此，本公司将在市场加息预期明确或进入升息通道的情况下，发挥自身主体信</w:t>
      </w:r>
    </w:p>
    <w:p>
      <w:pPr>
        <w:spacing w:line="295" w:lineRule="auto" w:before="69"/>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用评级和差别化融资优势，以其他中长期低息债务融资工具（包括但不限于自主发行的中</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期票据或公司债券等）替代面临加息风险的浮动利率债务。</w:t>
      </w:r>
    </w:p>
    <w:p>
      <w:pPr>
        <w:tabs>
          <w:tab w:pos="1101" w:val="left" w:leader="none"/>
        </w:tabs>
        <w:spacing w:line="338" w:lineRule="auto" w:before="79"/>
        <w:ind w:left="641" w:right="2345"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w:t>
        <w:tab/>
      </w:r>
      <w:r>
        <w:rPr>
          <w:rFonts w:ascii="宋体" w:hAnsi="宋体" w:cs="宋体" w:eastAsia="宋体" w:hint="default"/>
          <w:sz w:val="22"/>
          <w:szCs w:val="22"/>
        </w:rPr>
        <w:t>价格风险</w:t>
      </w:r>
      <w:r>
        <w:rPr>
          <w:rFonts w:ascii="宋体" w:hAnsi="宋体" w:cs="宋体" w:eastAsia="宋体" w:hint="default"/>
          <w:w w:val="100"/>
          <w:sz w:val="22"/>
          <w:szCs w:val="22"/>
        </w:rPr>
        <w:t> </w:t>
      </w:r>
      <w:r>
        <w:rPr>
          <w:rFonts w:ascii="宋体" w:hAnsi="宋体" w:cs="宋体" w:eastAsia="宋体" w:hint="default"/>
          <w:spacing w:val="-1"/>
          <w:sz w:val="22"/>
          <w:szCs w:val="22"/>
        </w:rPr>
        <w:t>本公司以市场价格销售产品，因此受到此等价格波动的影响。</w:t>
      </w:r>
      <w:r>
        <w:rPr>
          <w:rFonts w:ascii="宋体" w:hAnsi="宋体" w:cs="宋体" w:eastAsia="宋体" w:hint="default"/>
          <w:spacing w:val="-88"/>
          <w:sz w:val="22"/>
          <w:szCs w:val="22"/>
        </w:rPr>
        <w:t> </w:t>
      </w:r>
      <w:r>
        <w:rPr>
          <w:rFonts w:ascii="宋体" w:hAnsi="宋体" w:cs="宋体" w:eastAsia="宋体" w:hint="default"/>
          <w:spacing w:val="-88"/>
          <w:sz w:val="22"/>
          <w:szCs w:val="22"/>
        </w:rPr>
      </w: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4"/>
          <w:sz w:val="22"/>
          <w:szCs w:val="22"/>
        </w:rPr>
        <w:t> </w:t>
      </w:r>
      <w:r>
        <w:rPr>
          <w:rFonts w:ascii="宋体" w:hAnsi="宋体" w:cs="宋体" w:eastAsia="宋体" w:hint="default"/>
          <w:sz w:val="22"/>
          <w:szCs w:val="22"/>
        </w:rPr>
        <w:t>信用风险</w:t>
      </w:r>
    </w:p>
    <w:p>
      <w:pPr>
        <w:spacing w:line="280" w:lineRule="auto" w:before="13"/>
        <w:ind w:left="202" w:right="216" w:firstLine="439"/>
        <w:jc w:val="both"/>
        <w:rPr>
          <w:rFonts w:ascii="宋体" w:hAnsi="宋体" w:cs="宋体" w:eastAsia="宋体" w:hint="default"/>
          <w:sz w:val="22"/>
          <w:szCs w:val="22"/>
        </w:rPr>
      </w:pPr>
      <w:r>
        <w:rPr>
          <w:rFonts w:ascii="宋体" w:hAnsi="宋体" w:cs="宋体" w:eastAsia="宋体" w:hint="default"/>
          <w:spacing w:val="-3"/>
          <w:sz w:val="22"/>
          <w:szCs w:val="22"/>
        </w:rPr>
        <w:t>截至</w:t>
      </w:r>
      <w:r>
        <w:rPr>
          <w:rFonts w:ascii="Times New Roman" w:hAnsi="Times New Roman" w:cs="Times New Roman" w:eastAsia="Times New Roman" w:hint="default"/>
          <w:spacing w:val="-3"/>
          <w:sz w:val="22"/>
          <w:szCs w:val="22"/>
        </w:rPr>
        <w:t>2015</w:t>
      </w:r>
      <w:r>
        <w:rPr>
          <w:rFonts w:ascii="宋体" w:hAnsi="宋体" w:cs="宋体" w:eastAsia="宋体" w:hint="default"/>
          <w:spacing w:val="-3"/>
          <w:sz w:val="22"/>
          <w:szCs w:val="22"/>
        </w:rPr>
        <w:t>年</w:t>
      </w:r>
      <w:r>
        <w:rPr>
          <w:rFonts w:ascii="Times New Roman" w:hAnsi="Times New Roman" w:cs="Times New Roman" w:eastAsia="Times New Roman" w:hint="default"/>
          <w:spacing w:val="-3"/>
          <w:sz w:val="22"/>
          <w:szCs w:val="22"/>
        </w:rPr>
        <w:t>12</w:t>
      </w:r>
      <w:r>
        <w:rPr>
          <w:rFonts w:ascii="宋体" w:hAnsi="宋体" w:cs="宋体" w:eastAsia="宋体" w:hint="default"/>
          <w:spacing w:val="-3"/>
          <w:sz w:val="22"/>
          <w:szCs w:val="22"/>
        </w:rPr>
        <w:t>月</w:t>
      </w:r>
      <w:r>
        <w:rPr>
          <w:rFonts w:ascii="Times New Roman" w:hAnsi="Times New Roman" w:cs="Times New Roman" w:eastAsia="Times New Roman" w:hint="default"/>
          <w:spacing w:val="-3"/>
          <w:sz w:val="22"/>
          <w:szCs w:val="22"/>
        </w:rPr>
        <w:t>31</w:t>
      </w:r>
      <w:r>
        <w:rPr>
          <w:rFonts w:ascii="宋体" w:hAnsi="宋体" w:cs="宋体" w:eastAsia="宋体" w:hint="default"/>
          <w:spacing w:val="-3"/>
          <w:sz w:val="22"/>
          <w:szCs w:val="22"/>
        </w:rPr>
        <w:t>日，可能引起本公司财务损失的最大信用风险敞口，主要来自于经</w:t>
      </w:r>
      <w:r>
        <w:rPr>
          <w:rFonts w:ascii="宋体" w:hAnsi="宋体" w:cs="宋体" w:eastAsia="宋体" w:hint="default"/>
          <w:w w:val="100"/>
          <w:sz w:val="22"/>
          <w:szCs w:val="22"/>
        </w:rPr>
        <w:t> </w:t>
      </w:r>
      <w:r>
        <w:rPr>
          <w:rFonts w:ascii="宋体" w:hAnsi="宋体" w:cs="宋体" w:eastAsia="宋体" w:hint="default"/>
          <w:sz w:val="22"/>
          <w:szCs w:val="22"/>
        </w:rPr>
        <w:t>济合同他方未能履行义务而导致本公司金融资产产生的损失，具体包括：</w:t>
      </w:r>
    </w:p>
    <w:p>
      <w:pPr>
        <w:spacing w:line="297" w:lineRule="auto" w:before="92"/>
        <w:ind w:left="202" w:right="215" w:firstLine="439"/>
        <w:jc w:val="both"/>
        <w:rPr>
          <w:rFonts w:ascii="宋体" w:hAnsi="宋体" w:cs="宋体" w:eastAsia="宋体" w:hint="default"/>
          <w:sz w:val="22"/>
          <w:szCs w:val="22"/>
        </w:rPr>
      </w:pPr>
      <w:r>
        <w:rPr>
          <w:rFonts w:ascii="宋体" w:hAnsi="宋体" w:cs="宋体" w:eastAsia="宋体" w:hint="default"/>
          <w:spacing w:val="-3"/>
          <w:sz w:val="22"/>
          <w:szCs w:val="22"/>
        </w:rPr>
        <w:t>合并资产负债表中已确认的金融资产的账面金额；对于以公允价值计量的金融工具而</w:t>
      </w:r>
      <w:r>
        <w:rPr>
          <w:rFonts w:ascii="宋体" w:hAnsi="宋体" w:cs="宋体" w:eastAsia="宋体" w:hint="default"/>
          <w:w w:val="100"/>
          <w:sz w:val="22"/>
          <w:szCs w:val="22"/>
        </w:rPr>
        <w:t> </w:t>
      </w:r>
      <w:r>
        <w:rPr>
          <w:rFonts w:ascii="宋体" w:hAnsi="宋体" w:cs="宋体" w:eastAsia="宋体" w:hint="default"/>
          <w:spacing w:val="-3"/>
          <w:sz w:val="22"/>
          <w:szCs w:val="22"/>
        </w:rPr>
        <w:t>言，账面价值反映了其风险敞口，但并非最大风险敞口，其最大风险敞口将随着未来公允</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z w:val="22"/>
          <w:szCs w:val="22"/>
        </w:rPr>
        <w:t>价值的变化而改变。</w:t>
      </w:r>
    </w:p>
    <w:p>
      <w:pPr>
        <w:spacing w:line="297" w:lineRule="auto" w:before="77"/>
        <w:ind w:left="202" w:right="217" w:firstLine="439"/>
        <w:jc w:val="both"/>
        <w:rPr>
          <w:rFonts w:ascii="宋体" w:hAnsi="宋体" w:cs="宋体" w:eastAsia="宋体" w:hint="default"/>
          <w:sz w:val="22"/>
          <w:szCs w:val="22"/>
        </w:rPr>
      </w:pPr>
      <w:r>
        <w:rPr>
          <w:rFonts w:ascii="宋体" w:hAnsi="宋体" w:cs="宋体" w:eastAsia="宋体" w:hint="default"/>
          <w:spacing w:val="-3"/>
          <w:sz w:val="22"/>
          <w:szCs w:val="22"/>
        </w:rPr>
        <w:t>为降低信用风险，本公司成立专门部门确定信用额度，实施信用审批，并执行相关监</w:t>
      </w:r>
      <w:r>
        <w:rPr>
          <w:rFonts w:ascii="宋体" w:hAnsi="宋体" w:cs="宋体" w:eastAsia="宋体" w:hint="default"/>
          <w:w w:val="100"/>
          <w:sz w:val="22"/>
          <w:szCs w:val="22"/>
        </w:rPr>
        <w:t> </w:t>
      </w:r>
      <w:r>
        <w:rPr>
          <w:rFonts w:ascii="宋体" w:hAnsi="宋体" w:cs="宋体" w:eastAsia="宋体" w:hint="default"/>
          <w:spacing w:val="-3"/>
          <w:sz w:val="22"/>
          <w:szCs w:val="22"/>
        </w:rPr>
        <w:t>控程序以确保采取必要的措施回收到期或逾期债权。此外，本公司在每个资产负债表日审</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核各项应收款项的回收情况，以确保就无法回收的款项充分计提坏账准备。因此，本公司</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z w:val="22"/>
          <w:szCs w:val="22"/>
        </w:rPr>
        <w:t>管理层认为本公司所承担的信用风险已得到有效控制。</w:t>
      </w:r>
    </w:p>
    <w:p>
      <w:pPr>
        <w:spacing w:line="328" w:lineRule="auto" w:before="74"/>
        <w:ind w:left="641" w:right="94"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流动风险</w:t>
      </w:r>
      <w:r>
        <w:rPr>
          <w:rFonts w:ascii="宋体" w:hAnsi="宋体" w:cs="宋体" w:eastAsia="宋体" w:hint="default"/>
          <w:w w:val="100"/>
          <w:sz w:val="22"/>
          <w:szCs w:val="22"/>
        </w:rPr>
        <w:t> </w:t>
      </w:r>
      <w:r>
        <w:rPr>
          <w:rFonts w:ascii="宋体" w:hAnsi="宋体" w:cs="宋体" w:eastAsia="宋体" w:hint="default"/>
          <w:spacing w:val="-3"/>
          <w:sz w:val="22"/>
          <w:szCs w:val="22"/>
        </w:rPr>
        <w:t>流动风险为本公司在到期日无法履行其财务义务的风险。本公司管理流动性风险的方</w:t>
      </w:r>
    </w:p>
    <w:p>
      <w:pPr>
        <w:spacing w:line="274" w:lineRule="exact" w:before="0"/>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法是确保有足够的资金流动性来履行到期债务，而不至于造成不可接受的损失或对企业信</w:t>
      </w:r>
    </w:p>
    <w:p>
      <w:pPr>
        <w:spacing w:line="297" w:lineRule="auto" w:before="69"/>
        <w:ind w:left="202" w:right="94" w:firstLine="0"/>
        <w:jc w:val="left"/>
        <w:rPr>
          <w:rFonts w:ascii="宋体" w:hAnsi="宋体" w:cs="宋体" w:eastAsia="宋体" w:hint="default"/>
          <w:sz w:val="22"/>
          <w:szCs w:val="22"/>
        </w:rPr>
      </w:pPr>
      <w:r>
        <w:rPr>
          <w:rFonts w:ascii="宋体" w:hAnsi="宋体" w:cs="宋体" w:eastAsia="宋体" w:hint="default"/>
          <w:spacing w:val="-3"/>
          <w:sz w:val="22"/>
          <w:szCs w:val="22"/>
        </w:rPr>
        <w:t>誉造成损害。本公司定期分析负债结构和期限，以确保保持充裕的流动性。本公司管理层</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z w:val="22"/>
          <w:szCs w:val="22"/>
        </w:rPr>
        <w:t>对银行借款的使用情况进行监控并确保遵守借款协议；同时，与金融机构保持密切协作，</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以保有充足的授信额度，有效防控流动性风险。</w:t>
      </w:r>
    </w:p>
    <w:p>
      <w:pPr>
        <w:spacing w:line="326" w:lineRule="auto" w:before="137"/>
        <w:ind w:left="641" w:right="94"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r>
      <w:r>
        <w:rPr>
          <w:rFonts w:ascii="Times New Roman" w:hAnsi="Times New Roman" w:cs="Times New Roman" w:eastAsia="Times New Roman" w:hint="default"/>
          <w:b/>
          <w:bCs/>
          <w:spacing w:val="15"/>
          <w:sz w:val="22"/>
          <w:szCs w:val="22"/>
        </w:rPr>
        <w:t> </w:t>
      </w:r>
      <w:r>
        <w:rPr>
          <w:rFonts w:ascii="宋体" w:hAnsi="宋体" w:cs="宋体" w:eastAsia="宋体" w:hint="default"/>
          <w:sz w:val="22"/>
          <w:szCs w:val="22"/>
        </w:rPr>
        <w:t>敏感性分析</w:t>
      </w:r>
      <w:r>
        <w:rPr>
          <w:rFonts w:ascii="宋体" w:hAnsi="宋体" w:cs="宋体" w:eastAsia="宋体" w:hint="default"/>
          <w:w w:val="100"/>
          <w:sz w:val="22"/>
          <w:szCs w:val="22"/>
        </w:rPr>
        <w:t> </w:t>
      </w:r>
      <w:r>
        <w:rPr>
          <w:rFonts w:ascii="宋体" w:hAnsi="宋体" w:cs="宋体" w:eastAsia="宋体" w:hint="default"/>
          <w:spacing w:val="-3"/>
          <w:sz w:val="22"/>
          <w:szCs w:val="22"/>
        </w:rPr>
        <w:t>本公司采用敏感性分析技术分析风险变量的合理、可能变化对当期损益或所有者权益</w:t>
      </w:r>
    </w:p>
    <w:p>
      <w:pPr>
        <w:spacing w:line="297" w:lineRule="auto" w:before="0"/>
        <w:ind w:left="202" w:right="217" w:firstLine="0"/>
        <w:jc w:val="both"/>
        <w:rPr>
          <w:rFonts w:ascii="宋体" w:hAnsi="宋体" w:cs="宋体" w:eastAsia="宋体" w:hint="default"/>
          <w:sz w:val="22"/>
          <w:szCs w:val="22"/>
        </w:rPr>
      </w:pPr>
      <w:r>
        <w:rPr>
          <w:rFonts w:ascii="宋体" w:hAnsi="宋体" w:cs="宋体" w:eastAsia="宋体" w:hint="default"/>
          <w:spacing w:val="-3"/>
          <w:sz w:val="22"/>
          <w:szCs w:val="22"/>
        </w:rPr>
        <w:t>可能产生的影响。由于任何风险变量很少孤立的发生变化，而变量之间存在的相关性对某</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一风险变量变化的最终影响金额将产生重大作用，因此下述内容是在假设每一变量的变化</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是独立的情况下进行的。</w:t>
      </w:r>
    </w:p>
    <w:p>
      <w:pPr>
        <w:spacing w:before="77"/>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外汇风险敏感性分析</w:t>
      </w:r>
    </w:p>
    <w:p>
      <w:pPr>
        <w:spacing w:after="0"/>
        <w:jc w:val="left"/>
        <w:rPr>
          <w:rFonts w:ascii="宋体" w:hAnsi="宋体" w:cs="宋体" w:eastAsia="宋体" w:hint="default"/>
          <w:sz w:val="22"/>
          <w:szCs w:val="22"/>
        </w:rPr>
        <w:sectPr>
          <w:headerReference w:type="default" r:id="rId92"/>
          <w:pgSz w:w="11910" w:h="16840"/>
          <w:pgMar w:header="0" w:footer="816" w:top="560" w:bottom="1000" w:left="1500" w:right="1480"/>
        </w:sectPr>
      </w:pPr>
    </w:p>
    <w:p>
      <w:pPr>
        <w:spacing w:line="240" w:lineRule="auto" w:before="6"/>
        <w:rPr>
          <w:rFonts w:ascii="宋体" w:hAnsi="宋体" w:cs="宋体" w:eastAsia="宋体" w:hint="default"/>
          <w:sz w:val="5"/>
          <w:szCs w:val="5"/>
        </w:rPr>
      </w:pPr>
    </w:p>
    <w:p>
      <w:pPr>
        <w:spacing w:line="447" w:lineRule="exact"/>
        <w:ind w:left="125"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32.15pt;height:22.35pt;mso-position-horizontal-relative:char;mso-position-vertical-relative:line" coordorigin="0,0" coordsize="8643,447">
            <v:group style="position:absolute;left:68;top:440;width:8567;height:2" coordorigin="68,440" coordsize="8567,2">
              <v:shape style="position:absolute;left:68;top:440;width:8567;height:2" coordorigin="68,440" coordsize="8567,0" path="m68,440l8635,440e" filled="false" stroked="true" strokeweight=".72pt" strokecolor="#000000">
                <v:path arrowok="t"/>
              </v:shape>
              <v:shape style="position:absolute;left:0;top:0;width:1365;height:420" type="#_x0000_t75" stroked="false">
                <v:imagedata r:id="rId35" o:title=""/>
              </v:shape>
            </v:group>
          </v:group>
        </w:pict>
      </w:r>
      <w:r>
        <w:rPr>
          <w:rFonts w:ascii="宋体" w:hAnsi="宋体" w:cs="宋体" w:eastAsia="宋体" w:hint="default"/>
          <w:position w:val="-8"/>
          <w:sz w:val="20"/>
          <w:szCs w:val="20"/>
        </w:rPr>
      </w:r>
    </w:p>
    <w:p>
      <w:pPr>
        <w:spacing w:line="240" w:lineRule="auto" w:before="1"/>
        <w:rPr>
          <w:rFonts w:ascii="宋体" w:hAnsi="宋体" w:cs="宋体" w:eastAsia="宋体" w:hint="default"/>
          <w:sz w:val="22"/>
          <w:szCs w:val="22"/>
        </w:rPr>
      </w:pPr>
    </w:p>
    <w:p>
      <w:pPr>
        <w:spacing w:line="297" w:lineRule="auto" w:before="32"/>
        <w:ind w:left="222" w:right="110" w:firstLine="439"/>
        <w:jc w:val="left"/>
        <w:rPr>
          <w:rFonts w:ascii="宋体" w:hAnsi="宋体" w:cs="宋体" w:eastAsia="宋体" w:hint="default"/>
          <w:sz w:val="22"/>
          <w:szCs w:val="22"/>
        </w:rPr>
      </w:pPr>
      <w:r>
        <w:rPr>
          <w:rFonts w:ascii="宋体" w:hAnsi="宋体" w:cs="宋体" w:eastAsia="宋体" w:hint="default"/>
          <w:spacing w:val="-3"/>
          <w:sz w:val="22"/>
          <w:szCs w:val="22"/>
        </w:rPr>
        <w:t>外汇风险敏感性分析假设：本公司的全部现金流量套期及境外经营净投资套期（如果</w:t>
      </w:r>
      <w:r>
        <w:rPr>
          <w:rFonts w:ascii="宋体" w:hAnsi="宋体" w:cs="宋体" w:eastAsia="宋体" w:hint="default"/>
          <w:w w:val="100"/>
          <w:sz w:val="22"/>
          <w:szCs w:val="22"/>
        </w:rPr>
        <w:t> </w:t>
      </w:r>
      <w:r>
        <w:rPr>
          <w:rFonts w:ascii="宋体" w:hAnsi="宋体" w:cs="宋体" w:eastAsia="宋体" w:hint="default"/>
          <w:sz w:val="22"/>
          <w:szCs w:val="22"/>
        </w:rPr>
        <w:t>有）均高度有效。</w:t>
      </w:r>
    </w:p>
    <w:p>
      <w:pPr>
        <w:spacing w:line="295" w:lineRule="auto" w:before="77"/>
        <w:ind w:left="222" w:right="110" w:firstLine="439"/>
        <w:jc w:val="left"/>
        <w:rPr>
          <w:rFonts w:ascii="宋体" w:hAnsi="宋体" w:cs="宋体" w:eastAsia="宋体" w:hint="default"/>
          <w:sz w:val="22"/>
          <w:szCs w:val="22"/>
        </w:rPr>
      </w:pPr>
      <w:r>
        <w:rPr>
          <w:rFonts w:ascii="宋体" w:hAnsi="宋体" w:cs="宋体" w:eastAsia="宋体" w:hint="default"/>
          <w:spacing w:val="-3"/>
          <w:sz w:val="22"/>
          <w:szCs w:val="22"/>
        </w:rPr>
        <w:t>在上述假设基础上，如其他变量不变，汇率可能发生的合理变动对当期损益和权益的</w:t>
      </w:r>
      <w:r>
        <w:rPr>
          <w:rFonts w:ascii="宋体" w:hAnsi="宋体" w:cs="宋体" w:eastAsia="宋体" w:hint="default"/>
          <w:w w:val="100"/>
          <w:sz w:val="22"/>
          <w:szCs w:val="22"/>
        </w:rPr>
        <w:t> </w:t>
      </w:r>
      <w:r>
        <w:rPr>
          <w:rFonts w:ascii="宋体" w:hAnsi="宋体" w:cs="宋体" w:eastAsia="宋体" w:hint="default"/>
          <w:sz w:val="22"/>
          <w:szCs w:val="22"/>
        </w:rPr>
        <w:t>税前影响如下：</w:t>
      </w:r>
    </w:p>
    <w:p>
      <w:pPr>
        <w:spacing w:line="240" w:lineRule="auto" w:before="13"/>
        <w:rPr>
          <w:rFonts w:ascii="宋体" w:hAnsi="宋体" w:cs="宋体" w:eastAsia="宋体" w:hint="default"/>
          <w:sz w:val="8"/>
          <w:szCs w:val="8"/>
        </w:rPr>
      </w:pPr>
    </w:p>
    <w:tbl>
      <w:tblPr>
        <w:tblW w:w="0" w:type="auto"/>
        <w:jc w:val="left"/>
        <w:tblInd w:w="114" w:type="dxa"/>
        <w:tblLayout w:type="fixed"/>
        <w:tblCellMar>
          <w:top w:w="0" w:type="dxa"/>
          <w:left w:w="0" w:type="dxa"/>
          <w:bottom w:w="0" w:type="dxa"/>
          <w:right w:w="0" w:type="dxa"/>
        </w:tblCellMar>
        <w:tblLook w:val="01E0"/>
      </w:tblPr>
      <w:tblGrid>
        <w:gridCol w:w="2433"/>
        <w:gridCol w:w="3292"/>
        <w:gridCol w:w="3000"/>
      </w:tblGrid>
      <w:tr>
        <w:trPr>
          <w:trHeight w:val="305" w:hRule="exact"/>
        </w:trPr>
        <w:tc>
          <w:tcPr>
            <w:tcW w:w="243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29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562" w:right="0"/>
              <w:jc w:val="center"/>
              <w:rPr>
                <w:rFonts w:ascii="宋体" w:hAnsi="宋体" w:cs="宋体" w:eastAsia="宋体" w:hint="default"/>
                <w:sz w:val="18"/>
                <w:szCs w:val="18"/>
              </w:rPr>
            </w:pPr>
            <w:r>
              <w:rPr>
                <w:rFonts w:ascii="宋体" w:hAnsi="宋体" w:cs="宋体" w:eastAsia="宋体" w:hint="default"/>
                <w:b/>
                <w:bCs/>
                <w:sz w:val="18"/>
                <w:szCs w:val="18"/>
              </w:rPr>
              <w:t>汇率变动</w:t>
            </w:r>
            <w:r>
              <w:rPr>
                <w:rFonts w:ascii="宋体" w:hAnsi="宋体" w:cs="宋体" w:eastAsia="宋体" w:hint="default"/>
                <w:sz w:val="18"/>
                <w:szCs w:val="18"/>
              </w:rPr>
            </w:r>
          </w:p>
        </w:tc>
        <w:tc>
          <w:tcPr>
            <w:tcW w:w="300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t>2015</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年度对综合收益的影响</w:t>
            </w:r>
            <w:r>
              <w:rPr>
                <w:rFonts w:ascii="宋体" w:hAnsi="宋体" w:cs="宋体" w:eastAsia="宋体" w:hint="default"/>
                <w:sz w:val="18"/>
                <w:szCs w:val="18"/>
              </w:rPr>
            </w:r>
          </w:p>
        </w:tc>
      </w:tr>
      <w:tr>
        <w:trPr>
          <w:trHeight w:val="324" w:hRule="exact"/>
        </w:trPr>
        <w:tc>
          <w:tcPr>
            <w:tcW w:w="2433"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对货币性资产</w:t>
            </w:r>
          </w:p>
        </w:tc>
        <w:tc>
          <w:tcPr>
            <w:tcW w:w="3292"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565"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对人民币升值</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w:t>
            </w:r>
          </w:p>
        </w:tc>
        <w:tc>
          <w:tcPr>
            <w:tcW w:w="3000"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313,391,165.08</w:t>
            </w:r>
          </w:p>
        </w:tc>
      </w:tr>
      <w:tr>
        <w:trPr>
          <w:trHeight w:val="284" w:hRule="exact"/>
        </w:trPr>
        <w:tc>
          <w:tcPr>
            <w:tcW w:w="2433"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对货币性负债</w:t>
            </w:r>
          </w:p>
        </w:tc>
        <w:tc>
          <w:tcPr>
            <w:tcW w:w="3292" w:type="dxa"/>
            <w:tcBorders>
              <w:top w:val="nil" w:sz="6" w:space="0" w:color="auto"/>
              <w:left w:val="nil" w:sz="6" w:space="0" w:color="auto"/>
              <w:bottom w:val="nil" w:sz="6" w:space="0" w:color="auto"/>
              <w:right w:val="nil" w:sz="6" w:space="0" w:color="auto"/>
            </w:tcBorders>
          </w:tcPr>
          <w:p>
            <w:pPr>
              <w:pStyle w:val="TableParagraph"/>
              <w:spacing w:line="236" w:lineRule="exact"/>
              <w:ind w:left="565"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对人民币升值</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w:t>
            </w:r>
          </w:p>
        </w:tc>
        <w:tc>
          <w:tcPr>
            <w:tcW w:w="30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Times New Roman" w:hAnsi="Times New Roman" w:cs="Times New Roman" w:eastAsia="Times New Roman" w:hint="default"/>
                <w:sz w:val="18"/>
                <w:szCs w:val="18"/>
              </w:rPr>
            </w:pPr>
            <w:r>
              <w:rPr>
                <w:rFonts w:ascii="Times New Roman"/>
                <w:spacing w:val="-1"/>
                <w:sz w:val="18"/>
              </w:rPr>
              <w:t>-332,777,394.75</w:t>
            </w:r>
          </w:p>
        </w:tc>
      </w:tr>
      <w:tr>
        <w:trPr>
          <w:trHeight w:val="286" w:hRule="exact"/>
        </w:trPr>
        <w:tc>
          <w:tcPr>
            <w:tcW w:w="2433"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对货币性资产</w:t>
            </w:r>
          </w:p>
        </w:tc>
        <w:tc>
          <w:tcPr>
            <w:tcW w:w="3292" w:type="dxa"/>
            <w:tcBorders>
              <w:top w:val="nil" w:sz="6" w:space="0" w:color="auto"/>
              <w:left w:val="nil" w:sz="6" w:space="0" w:color="auto"/>
              <w:bottom w:val="nil" w:sz="6" w:space="0" w:color="auto"/>
              <w:right w:val="nil" w:sz="6" w:space="0" w:color="auto"/>
            </w:tcBorders>
          </w:tcPr>
          <w:p>
            <w:pPr>
              <w:pStyle w:val="TableParagraph"/>
              <w:spacing w:line="237" w:lineRule="exact"/>
              <w:ind w:left="565"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对人民币贬值</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w:t>
            </w:r>
          </w:p>
        </w:tc>
        <w:tc>
          <w:tcPr>
            <w:tcW w:w="30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Times New Roman" w:hAnsi="Times New Roman" w:cs="Times New Roman" w:eastAsia="Times New Roman" w:hint="default"/>
                <w:sz w:val="18"/>
                <w:szCs w:val="18"/>
              </w:rPr>
            </w:pPr>
            <w:r>
              <w:rPr>
                <w:rFonts w:ascii="Times New Roman"/>
                <w:spacing w:val="-1"/>
                <w:sz w:val="18"/>
              </w:rPr>
              <w:t>-313,391,165.08</w:t>
            </w:r>
          </w:p>
        </w:tc>
      </w:tr>
      <w:tr>
        <w:trPr>
          <w:trHeight w:val="267" w:hRule="exact"/>
        </w:trPr>
        <w:tc>
          <w:tcPr>
            <w:tcW w:w="2433" w:type="dxa"/>
            <w:tcBorders>
              <w:top w:val="nil" w:sz="6" w:space="0" w:color="auto"/>
              <w:left w:val="nil" w:sz="6" w:space="0" w:color="auto"/>
              <w:bottom w:val="single" w:sz="12"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对货币性负债</w:t>
            </w:r>
          </w:p>
        </w:tc>
        <w:tc>
          <w:tcPr>
            <w:tcW w:w="3292" w:type="dxa"/>
            <w:tcBorders>
              <w:top w:val="nil" w:sz="6" w:space="0" w:color="auto"/>
              <w:left w:val="nil" w:sz="6" w:space="0" w:color="auto"/>
              <w:bottom w:val="single" w:sz="12" w:space="0" w:color="000000"/>
              <w:right w:val="nil" w:sz="6" w:space="0" w:color="auto"/>
            </w:tcBorders>
          </w:tcPr>
          <w:p>
            <w:pPr>
              <w:pStyle w:val="TableParagraph"/>
              <w:spacing w:line="237" w:lineRule="exact"/>
              <w:ind w:left="565"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对人民币贬值</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w:t>
            </w:r>
          </w:p>
        </w:tc>
        <w:tc>
          <w:tcPr>
            <w:tcW w:w="300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332,777,394.75</w:t>
            </w:r>
          </w:p>
        </w:tc>
      </w:tr>
    </w:tbl>
    <w:p>
      <w:pPr>
        <w:spacing w:line="338" w:lineRule="auto" w:before="81"/>
        <w:ind w:left="661" w:right="2652"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利率风险敏感性分析</w:t>
      </w:r>
      <w:r>
        <w:rPr>
          <w:rFonts w:ascii="宋体" w:hAnsi="宋体" w:cs="宋体" w:eastAsia="宋体" w:hint="default"/>
          <w:w w:val="100"/>
          <w:sz w:val="22"/>
          <w:szCs w:val="22"/>
        </w:rPr>
        <w:t> </w:t>
      </w:r>
      <w:r>
        <w:rPr>
          <w:rFonts w:ascii="宋体" w:hAnsi="宋体" w:cs="宋体" w:eastAsia="宋体" w:hint="default"/>
          <w:sz w:val="22"/>
          <w:szCs w:val="22"/>
        </w:rPr>
        <w:t>利率风险敏感性分析基于下述假设：</w:t>
      </w:r>
      <w:r>
        <w:rPr>
          <w:rFonts w:ascii="宋体" w:hAnsi="宋体" w:cs="宋体" w:eastAsia="宋体" w:hint="default"/>
          <w:w w:val="100"/>
          <w:sz w:val="22"/>
          <w:szCs w:val="22"/>
        </w:rPr>
        <w:t> </w:t>
      </w:r>
      <w:r>
        <w:rPr>
          <w:rFonts w:ascii="宋体" w:hAnsi="宋体" w:cs="宋体" w:eastAsia="宋体" w:hint="default"/>
          <w:spacing w:val="-1"/>
          <w:sz w:val="22"/>
          <w:szCs w:val="22"/>
        </w:rPr>
        <w:t>市场利率变化影响可变利率金融工具的利息收入或费用；</w:t>
      </w:r>
    </w:p>
    <w:p>
      <w:pPr>
        <w:spacing w:line="345" w:lineRule="auto" w:before="39"/>
        <w:ind w:left="661" w:right="110" w:hanging="32"/>
        <w:jc w:val="left"/>
        <w:rPr>
          <w:rFonts w:ascii="宋体" w:hAnsi="宋体" w:cs="宋体" w:eastAsia="宋体" w:hint="default"/>
          <w:sz w:val="22"/>
          <w:szCs w:val="22"/>
        </w:rPr>
      </w:pPr>
      <w:r>
        <w:rPr>
          <w:rFonts w:ascii="宋体" w:hAnsi="宋体" w:cs="宋体" w:eastAsia="宋体" w:hint="default"/>
          <w:spacing w:val="-17"/>
          <w:sz w:val="22"/>
          <w:szCs w:val="22"/>
        </w:rPr>
        <w:t>对于以公允价值计量的固定利率金融工具，市场利率变化仅仅影响其利息收入或费用。</w:t>
      </w:r>
      <w:r>
        <w:rPr>
          <w:rFonts w:ascii="宋体" w:hAnsi="宋体" w:cs="宋体" w:eastAsia="宋体" w:hint="default"/>
          <w:spacing w:val="-62"/>
          <w:sz w:val="22"/>
          <w:szCs w:val="22"/>
        </w:rPr>
        <w:t> </w:t>
      </w:r>
      <w:r>
        <w:rPr>
          <w:rFonts w:ascii="宋体" w:hAnsi="宋体" w:cs="宋体" w:eastAsia="宋体" w:hint="default"/>
          <w:spacing w:val="-62"/>
          <w:sz w:val="22"/>
          <w:szCs w:val="22"/>
        </w:rPr>
      </w:r>
      <w:r>
        <w:rPr>
          <w:rFonts w:ascii="宋体" w:hAnsi="宋体" w:cs="宋体" w:eastAsia="宋体" w:hint="default"/>
          <w:spacing w:val="-3"/>
          <w:sz w:val="22"/>
          <w:szCs w:val="22"/>
        </w:rPr>
        <w:t>在上述假设基础上，如其他变量不变，利率可能发生的合理变动对当期损益和权益的</w:t>
      </w:r>
    </w:p>
    <w:p>
      <w:pPr>
        <w:spacing w:line="261" w:lineRule="exact" w:before="0"/>
        <w:ind w:left="222" w:right="110" w:firstLine="0"/>
        <w:jc w:val="left"/>
        <w:rPr>
          <w:rFonts w:ascii="宋体" w:hAnsi="宋体" w:cs="宋体" w:eastAsia="宋体" w:hint="default"/>
          <w:sz w:val="22"/>
          <w:szCs w:val="22"/>
        </w:rPr>
      </w:pPr>
      <w:r>
        <w:rPr>
          <w:rFonts w:ascii="宋体" w:hAnsi="宋体" w:cs="宋体" w:eastAsia="宋体" w:hint="default"/>
          <w:sz w:val="22"/>
          <w:szCs w:val="22"/>
        </w:rPr>
        <w:t>税前影响如下：</w:t>
      </w:r>
    </w:p>
    <w:p>
      <w:pPr>
        <w:spacing w:line="240" w:lineRule="auto" w:before="9"/>
        <w:rPr>
          <w:rFonts w:ascii="宋体" w:hAnsi="宋体" w:cs="宋体" w:eastAsia="宋体" w:hint="default"/>
          <w:sz w:val="12"/>
          <w:szCs w:val="12"/>
        </w:rPr>
      </w:pPr>
    </w:p>
    <w:tbl>
      <w:tblPr>
        <w:tblW w:w="0" w:type="auto"/>
        <w:jc w:val="left"/>
        <w:tblInd w:w="178" w:type="dxa"/>
        <w:tblLayout w:type="fixed"/>
        <w:tblCellMar>
          <w:top w:w="0" w:type="dxa"/>
          <w:left w:w="0" w:type="dxa"/>
          <w:bottom w:w="0" w:type="dxa"/>
          <w:right w:w="0" w:type="dxa"/>
        </w:tblCellMar>
        <w:tblLook w:val="01E0"/>
      </w:tblPr>
      <w:tblGrid>
        <w:gridCol w:w="1288"/>
        <w:gridCol w:w="825"/>
        <w:gridCol w:w="1613"/>
        <w:gridCol w:w="1871"/>
        <w:gridCol w:w="1481"/>
        <w:gridCol w:w="1787"/>
      </w:tblGrid>
      <w:tr>
        <w:trPr>
          <w:trHeight w:val="307" w:hRule="exact"/>
        </w:trPr>
        <w:tc>
          <w:tcPr>
            <w:tcW w:w="1288" w:type="dxa"/>
            <w:vMerge w:val="restart"/>
            <w:tcBorders>
              <w:top w:val="single" w:sz="12" w:space="0" w:color="000000"/>
              <w:left w:val="nil" w:sz="6" w:space="0" w:color="auto"/>
              <w:right w:val="nil" w:sz="6" w:space="0" w:color="auto"/>
            </w:tcBorders>
          </w:tcPr>
          <w:p>
            <w:pPr>
              <w:pStyle w:val="TableParagraph"/>
              <w:spacing w:line="240" w:lineRule="auto" w:before="145"/>
              <w:ind w:left="134"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825" w:type="dxa"/>
            <w:vMerge w:val="restart"/>
            <w:tcBorders>
              <w:top w:val="single" w:sz="12" w:space="0" w:color="000000"/>
              <w:left w:val="nil" w:sz="6" w:space="0" w:color="auto"/>
              <w:right w:val="nil" w:sz="6" w:space="0" w:color="auto"/>
            </w:tcBorders>
          </w:tcPr>
          <w:p>
            <w:pPr>
              <w:pStyle w:val="TableParagraph"/>
              <w:spacing w:line="240" w:lineRule="auto" w:before="145"/>
              <w:ind w:left="73" w:right="0"/>
              <w:jc w:val="left"/>
              <w:rPr>
                <w:rFonts w:ascii="宋体" w:hAnsi="宋体" w:cs="宋体" w:eastAsia="宋体" w:hint="default"/>
                <w:sz w:val="18"/>
                <w:szCs w:val="18"/>
              </w:rPr>
            </w:pPr>
            <w:r>
              <w:rPr>
                <w:rFonts w:ascii="宋体" w:hAnsi="宋体" w:cs="宋体" w:eastAsia="宋体" w:hint="default"/>
                <w:b/>
                <w:bCs/>
                <w:sz w:val="18"/>
                <w:szCs w:val="18"/>
              </w:rPr>
              <w:t>利率变动</w:t>
            </w:r>
            <w:r>
              <w:rPr>
                <w:rFonts w:ascii="宋体" w:hAnsi="宋体" w:cs="宋体" w:eastAsia="宋体" w:hint="default"/>
                <w:sz w:val="18"/>
                <w:szCs w:val="18"/>
              </w:rPr>
            </w:r>
          </w:p>
        </w:tc>
        <w:tc>
          <w:tcPr>
            <w:tcW w:w="3484" w:type="dxa"/>
            <w:gridSpan w:val="2"/>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2" w:right="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2015</w:t>
            </w:r>
            <w:r>
              <w:rPr>
                <w:rFonts w:ascii="Times New Roman" w:hAnsi="Times New Roman" w:cs="Times New Roman" w:eastAsia="Times New Roman" w:hint="default"/>
                <w:b/>
                <w:bCs/>
                <w:spacing w:val="-4"/>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tc>
        <w:tc>
          <w:tcPr>
            <w:tcW w:w="3268" w:type="dxa"/>
            <w:gridSpan w:val="2"/>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5" w:right="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4"/>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tc>
      </w:tr>
      <w:tr>
        <w:trPr>
          <w:trHeight w:val="293" w:hRule="exact"/>
        </w:trPr>
        <w:tc>
          <w:tcPr>
            <w:tcW w:w="1288" w:type="dxa"/>
            <w:vMerge/>
            <w:tcBorders>
              <w:left w:val="nil" w:sz="6" w:space="0" w:color="auto"/>
              <w:bottom w:val="single" w:sz="4" w:space="0" w:color="000000"/>
              <w:right w:val="nil" w:sz="6" w:space="0" w:color="auto"/>
            </w:tcBorders>
          </w:tcPr>
          <w:p>
            <w:pPr/>
          </w:p>
        </w:tc>
        <w:tc>
          <w:tcPr>
            <w:tcW w:w="825" w:type="dxa"/>
            <w:vMerge/>
            <w:tcBorders>
              <w:left w:val="nil" w:sz="6" w:space="0" w:color="auto"/>
              <w:bottom w:val="single" w:sz="4" w:space="0" w:color="000000"/>
              <w:right w:val="nil" w:sz="6" w:space="0" w:color="auto"/>
            </w:tcBorders>
          </w:tcPr>
          <w:p>
            <w:pPr/>
          </w:p>
        </w:tc>
        <w:tc>
          <w:tcPr>
            <w:tcW w:w="1613"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182" w:right="0"/>
              <w:jc w:val="left"/>
              <w:rPr>
                <w:rFonts w:ascii="宋体" w:hAnsi="宋体" w:cs="宋体" w:eastAsia="宋体" w:hint="default"/>
                <w:sz w:val="18"/>
                <w:szCs w:val="18"/>
              </w:rPr>
            </w:pPr>
            <w:r>
              <w:rPr>
                <w:rFonts w:ascii="宋体" w:hAnsi="宋体" w:cs="宋体" w:eastAsia="宋体" w:hint="default"/>
                <w:b/>
                <w:bCs/>
                <w:sz w:val="18"/>
                <w:szCs w:val="18"/>
              </w:rPr>
              <w:t>对净利润的影响</w:t>
            </w:r>
            <w:r>
              <w:rPr>
                <w:rFonts w:ascii="宋体" w:hAnsi="宋体" w:cs="宋体" w:eastAsia="宋体" w:hint="default"/>
                <w:sz w:val="18"/>
                <w:szCs w:val="18"/>
              </w:rPr>
            </w:r>
          </w:p>
        </w:tc>
        <w:tc>
          <w:tcPr>
            <w:tcW w:w="1871"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100" w:right="0"/>
              <w:jc w:val="left"/>
              <w:rPr>
                <w:rFonts w:ascii="宋体" w:hAnsi="宋体" w:cs="宋体" w:eastAsia="宋体" w:hint="default"/>
                <w:sz w:val="18"/>
                <w:szCs w:val="18"/>
              </w:rPr>
            </w:pPr>
            <w:r>
              <w:rPr>
                <w:rFonts w:ascii="宋体" w:hAnsi="宋体" w:cs="宋体" w:eastAsia="宋体" w:hint="default"/>
                <w:b/>
                <w:bCs/>
                <w:sz w:val="18"/>
                <w:szCs w:val="18"/>
              </w:rPr>
              <w:t>对所有者权益的影响</w:t>
            </w:r>
            <w:r>
              <w:rPr>
                <w:rFonts w:ascii="宋体" w:hAnsi="宋体" w:cs="宋体" w:eastAsia="宋体" w:hint="default"/>
                <w:sz w:val="18"/>
                <w:szCs w:val="18"/>
              </w:rPr>
            </w:r>
          </w:p>
        </w:tc>
        <w:tc>
          <w:tcPr>
            <w:tcW w:w="1481"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right="124"/>
              <w:jc w:val="right"/>
              <w:rPr>
                <w:rFonts w:ascii="宋体" w:hAnsi="宋体" w:cs="宋体" w:eastAsia="宋体" w:hint="default"/>
                <w:sz w:val="18"/>
                <w:szCs w:val="18"/>
              </w:rPr>
            </w:pPr>
            <w:r>
              <w:rPr>
                <w:rFonts w:ascii="宋体" w:hAnsi="宋体" w:cs="宋体" w:eastAsia="宋体" w:hint="default"/>
                <w:b/>
                <w:bCs/>
                <w:w w:val="95"/>
                <w:sz w:val="18"/>
                <w:szCs w:val="18"/>
              </w:rPr>
              <w:t>对净利润的影响</w:t>
            </w:r>
            <w:r>
              <w:rPr>
                <w:rFonts w:ascii="宋体" w:hAnsi="宋体" w:cs="宋体" w:eastAsia="宋体" w:hint="default"/>
                <w:sz w:val="18"/>
                <w:szCs w:val="18"/>
              </w:rPr>
            </w:r>
          </w:p>
        </w:tc>
        <w:tc>
          <w:tcPr>
            <w:tcW w:w="1787"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right="68"/>
              <w:jc w:val="right"/>
              <w:rPr>
                <w:rFonts w:ascii="宋体" w:hAnsi="宋体" w:cs="宋体" w:eastAsia="宋体" w:hint="default"/>
                <w:sz w:val="18"/>
                <w:szCs w:val="18"/>
              </w:rPr>
            </w:pPr>
            <w:r>
              <w:rPr>
                <w:rFonts w:ascii="宋体" w:hAnsi="宋体" w:cs="宋体" w:eastAsia="宋体" w:hint="default"/>
                <w:b/>
                <w:bCs/>
                <w:w w:val="95"/>
                <w:sz w:val="18"/>
                <w:szCs w:val="18"/>
              </w:rPr>
              <w:t>对所有者权益的影响</w:t>
            </w:r>
            <w:r>
              <w:rPr>
                <w:rFonts w:ascii="宋体" w:hAnsi="宋体" w:cs="宋体" w:eastAsia="宋体" w:hint="default"/>
                <w:sz w:val="18"/>
                <w:szCs w:val="18"/>
              </w:rPr>
            </w:r>
          </w:p>
        </w:tc>
      </w:tr>
      <w:tr>
        <w:trPr>
          <w:trHeight w:val="325" w:hRule="exact"/>
        </w:trPr>
        <w:tc>
          <w:tcPr>
            <w:tcW w:w="1288"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61" w:right="0"/>
              <w:jc w:val="center"/>
              <w:rPr>
                <w:rFonts w:ascii="宋体" w:hAnsi="宋体" w:cs="宋体" w:eastAsia="宋体" w:hint="default"/>
                <w:sz w:val="18"/>
                <w:szCs w:val="18"/>
              </w:rPr>
            </w:pPr>
            <w:r>
              <w:rPr>
                <w:rFonts w:ascii="宋体" w:hAnsi="宋体" w:cs="宋体" w:eastAsia="宋体" w:hint="default"/>
                <w:sz w:val="18"/>
                <w:szCs w:val="18"/>
              </w:rPr>
              <w:t>浮动利率借款</w:t>
            </w:r>
          </w:p>
        </w:tc>
        <w:tc>
          <w:tcPr>
            <w:tcW w:w="825"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30"/>
              <w:jc w:val="center"/>
              <w:rPr>
                <w:rFonts w:ascii="Times New Roman" w:hAnsi="Times New Roman" w:cs="Times New Roman" w:eastAsia="Times New Roman" w:hint="default"/>
                <w:sz w:val="18"/>
                <w:szCs w:val="18"/>
              </w:rPr>
            </w:pPr>
            <w:r>
              <w:rPr>
                <w:rFonts w:ascii="宋体" w:hAnsi="宋体" w:cs="宋体" w:eastAsia="宋体" w:hint="default"/>
                <w:sz w:val="18"/>
                <w:szCs w:val="18"/>
              </w:rPr>
              <w:t>增加</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p>
        </w:tc>
        <w:tc>
          <w:tcPr>
            <w:tcW w:w="1613"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98"/>
              <w:jc w:val="right"/>
              <w:rPr>
                <w:rFonts w:ascii="Times New Roman" w:hAnsi="Times New Roman" w:cs="Times New Roman" w:eastAsia="Times New Roman" w:hint="default"/>
                <w:sz w:val="18"/>
                <w:szCs w:val="18"/>
              </w:rPr>
            </w:pPr>
            <w:r>
              <w:rPr>
                <w:rFonts w:ascii="Times New Roman"/>
                <w:spacing w:val="-1"/>
                <w:sz w:val="18"/>
              </w:rPr>
              <w:t>-49,580,967.24</w:t>
            </w:r>
            <w:r>
              <w:rPr>
                <w:rFonts w:ascii="Times New Roman"/>
                <w:sz w:val="18"/>
              </w:rPr>
            </w:r>
          </w:p>
        </w:tc>
        <w:tc>
          <w:tcPr>
            <w:tcW w:w="1871"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87"/>
              <w:jc w:val="right"/>
              <w:rPr>
                <w:rFonts w:ascii="Times New Roman" w:hAnsi="Times New Roman" w:cs="Times New Roman" w:eastAsia="Times New Roman" w:hint="default"/>
                <w:sz w:val="18"/>
                <w:szCs w:val="18"/>
              </w:rPr>
            </w:pPr>
            <w:r>
              <w:rPr>
                <w:rFonts w:ascii="Times New Roman"/>
                <w:spacing w:val="-1"/>
                <w:sz w:val="18"/>
              </w:rPr>
              <w:t>-49,580,967.24</w:t>
            </w:r>
          </w:p>
        </w:tc>
        <w:tc>
          <w:tcPr>
            <w:tcW w:w="1481"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90"/>
              <w:jc w:val="right"/>
              <w:rPr>
                <w:rFonts w:ascii="Times New Roman" w:hAnsi="Times New Roman" w:cs="Times New Roman" w:eastAsia="Times New Roman" w:hint="default"/>
                <w:sz w:val="18"/>
                <w:szCs w:val="18"/>
              </w:rPr>
            </w:pPr>
            <w:r>
              <w:rPr>
                <w:rFonts w:ascii="Times New Roman"/>
                <w:spacing w:val="-1"/>
                <w:sz w:val="18"/>
              </w:rPr>
              <w:t>-45,418,088.29</w:t>
            </w:r>
          </w:p>
        </w:tc>
        <w:tc>
          <w:tcPr>
            <w:tcW w:w="1787"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26"/>
              <w:jc w:val="right"/>
              <w:rPr>
                <w:rFonts w:ascii="Times New Roman" w:hAnsi="Times New Roman" w:cs="Times New Roman" w:eastAsia="Times New Roman" w:hint="default"/>
                <w:sz w:val="18"/>
                <w:szCs w:val="18"/>
              </w:rPr>
            </w:pPr>
            <w:r>
              <w:rPr>
                <w:rFonts w:ascii="Times New Roman"/>
                <w:spacing w:val="-1"/>
                <w:sz w:val="18"/>
              </w:rPr>
              <w:t>-45,418,088.29</w:t>
            </w:r>
          </w:p>
        </w:tc>
      </w:tr>
      <w:tr>
        <w:trPr>
          <w:trHeight w:val="267" w:hRule="exact"/>
        </w:trPr>
        <w:tc>
          <w:tcPr>
            <w:tcW w:w="1288" w:type="dxa"/>
            <w:tcBorders>
              <w:top w:val="nil" w:sz="6" w:space="0" w:color="auto"/>
              <w:left w:val="nil" w:sz="6" w:space="0" w:color="auto"/>
              <w:bottom w:val="single" w:sz="12" w:space="0" w:color="000000"/>
              <w:right w:val="nil" w:sz="6" w:space="0" w:color="auto"/>
            </w:tcBorders>
          </w:tcPr>
          <w:p>
            <w:pPr>
              <w:pStyle w:val="TableParagraph"/>
              <w:spacing w:line="223" w:lineRule="exact"/>
              <w:ind w:left="61" w:right="0"/>
              <w:jc w:val="center"/>
              <w:rPr>
                <w:rFonts w:ascii="宋体" w:hAnsi="宋体" w:cs="宋体" w:eastAsia="宋体" w:hint="default"/>
                <w:sz w:val="18"/>
                <w:szCs w:val="18"/>
              </w:rPr>
            </w:pPr>
            <w:r>
              <w:rPr>
                <w:rFonts w:ascii="宋体" w:hAnsi="宋体" w:cs="宋体" w:eastAsia="宋体" w:hint="default"/>
                <w:sz w:val="18"/>
                <w:szCs w:val="18"/>
              </w:rPr>
              <w:t>浮动利率借款</w:t>
            </w:r>
          </w:p>
        </w:tc>
        <w:tc>
          <w:tcPr>
            <w:tcW w:w="825" w:type="dxa"/>
            <w:tcBorders>
              <w:top w:val="nil" w:sz="6" w:space="0" w:color="auto"/>
              <w:left w:val="nil" w:sz="6" w:space="0" w:color="auto"/>
              <w:bottom w:val="single" w:sz="12" w:space="0" w:color="000000"/>
              <w:right w:val="nil" w:sz="6" w:space="0" w:color="auto"/>
            </w:tcBorders>
          </w:tcPr>
          <w:p>
            <w:pPr>
              <w:pStyle w:val="TableParagraph"/>
              <w:spacing w:line="237" w:lineRule="exact"/>
              <w:ind w:right="30"/>
              <w:jc w:val="center"/>
              <w:rPr>
                <w:rFonts w:ascii="Times New Roman" w:hAnsi="Times New Roman" w:cs="Times New Roman" w:eastAsia="Times New Roman" w:hint="default"/>
                <w:sz w:val="18"/>
                <w:szCs w:val="18"/>
              </w:rPr>
            </w:pPr>
            <w:r>
              <w:rPr>
                <w:rFonts w:ascii="宋体" w:hAnsi="宋体" w:cs="宋体" w:eastAsia="宋体" w:hint="default"/>
                <w:sz w:val="18"/>
                <w:szCs w:val="18"/>
              </w:rPr>
              <w:t>减少</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p>
        </w:tc>
        <w:tc>
          <w:tcPr>
            <w:tcW w:w="1613"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98"/>
              <w:jc w:val="right"/>
              <w:rPr>
                <w:rFonts w:ascii="Times New Roman" w:hAnsi="Times New Roman" w:cs="Times New Roman" w:eastAsia="Times New Roman" w:hint="default"/>
                <w:sz w:val="18"/>
                <w:szCs w:val="18"/>
              </w:rPr>
            </w:pPr>
            <w:r>
              <w:rPr>
                <w:rFonts w:ascii="Times New Roman"/>
                <w:spacing w:val="-1"/>
                <w:sz w:val="18"/>
              </w:rPr>
              <w:t>49,580,967.24</w:t>
            </w:r>
          </w:p>
        </w:tc>
        <w:tc>
          <w:tcPr>
            <w:tcW w:w="1871"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88"/>
              <w:jc w:val="right"/>
              <w:rPr>
                <w:rFonts w:ascii="Times New Roman" w:hAnsi="Times New Roman" w:cs="Times New Roman" w:eastAsia="Times New Roman" w:hint="default"/>
                <w:sz w:val="18"/>
                <w:szCs w:val="18"/>
              </w:rPr>
            </w:pPr>
            <w:r>
              <w:rPr>
                <w:rFonts w:ascii="Times New Roman"/>
                <w:spacing w:val="-1"/>
                <w:sz w:val="18"/>
              </w:rPr>
              <w:t>49,580,967.24</w:t>
            </w:r>
          </w:p>
        </w:tc>
        <w:tc>
          <w:tcPr>
            <w:tcW w:w="1481"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90"/>
              <w:jc w:val="right"/>
              <w:rPr>
                <w:rFonts w:ascii="Times New Roman" w:hAnsi="Times New Roman" w:cs="Times New Roman" w:eastAsia="Times New Roman" w:hint="default"/>
                <w:sz w:val="18"/>
                <w:szCs w:val="18"/>
              </w:rPr>
            </w:pPr>
            <w:r>
              <w:rPr>
                <w:rFonts w:ascii="Times New Roman"/>
                <w:spacing w:val="-1"/>
                <w:sz w:val="18"/>
              </w:rPr>
              <w:t>45,418,088.29</w:t>
            </w:r>
          </w:p>
        </w:tc>
        <w:tc>
          <w:tcPr>
            <w:tcW w:w="178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26"/>
              <w:jc w:val="right"/>
              <w:rPr>
                <w:rFonts w:ascii="Times New Roman" w:hAnsi="Times New Roman" w:cs="Times New Roman" w:eastAsia="Times New Roman" w:hint="default"/>
                <w:sz w:val="18"/>
                <w:szCs w:val="18"/>
              </w:rPr>
            </w:pPr>
            <w:r>
              <w:rPr>
                <w:rFonts w:ascii="Times New Roman"/>
                <w:spacing w:val="-1"/>
                <w:sz w:val="18"/>
              </w:rPr>
              <w:t>45,418,088.29</w:t>
            </w:r>
          </w:p>
        </w:tc>
      </w:tr>
    </w:tbl>
    <w:p>
      <w:pPr>
        <w:tabs>
          <w:tab w:pos="1354" w:val="left" w:leader="none"/>
        </w:tabs>
        <w:spacing w:before="81"/>
        <w:ind w:left="646" w:right="110" w:firstLine="0"/>
        <w:jc w:val="left"/>
        <w:rPr>
          <w:rFonts w:ascii="宋体" w:hAnsi="宋体" w:cs="宋体" w:eastAsia="宋体" w:hint="default"/>
          <w:sz w:val="22"/>
          <w:szCs w:val="22"/>
        </w:rPr>
      </w:pPr>
      <w:r>
        <w:rPr>
          <w:rFonts w:ascii="Times New Roman" w:hAnsi="Times New Roman" w:cs="Times New Roman" w:eastAsia="Times New Roman" w:hint="default"/>
          <w:b/>
          <w:bCs/>
          <w:spacing w:val="12"/>
          <w:sz w:val="22"/>
          <w:szCs w:val="22"/>
        </w:rPr>
        <w:t>36.</w:t>
        <w:tab/>
      </w:r>
      <w:r>
        <w:rPr>
          <w:rFonts w:ascii="宋体" w:hAnsi="宋体" w:cs="宋体" w:eastAsia="宋体" w:hint="default"/>
          <w:b/>
          <w:bCs/>
          <w:sz w:val="22"/>
          <w:szCs w:val="22"/>
        </w:rPr>
        <w:t>公</w:t>
      </w:r>
      <w:r>
        <w:rPr>
          <w:rFonts w:ascii="宋体" w:hAnsi="宋体" w:cs="宋体" w:eastAsia="宋体" w:hint="default"/>
          <w:b/>
          <w:bCs/>
          <w:spacing w:val="-72"/>
          <w:sz w:val="22"/>
          <w:szCs w:val="22"/>
        </w:rPr>
        <w:t> </w:t>
      </w:r>
      <w:r>
        <w:rPr>
          <w:rFonts w:ascii="宋体" w:hAnsi="宋体" w:cs="宋体" w:eastAsia="宋体" w:hint="default"/>
          <w:b/>
          <w:bCs/>
          <w:sz w:val="22"/>
          <w:szCs w:val="22"/>
        </w:rPr>
        <w:t>允</w:t>
      </w:r>
      <w:r>
        <w:rPr>
          <w:rFonts w:ascii="宋体" w:hAnsi="宋体" w:cs="宋体" w:eastAsia="宋体" w:hint="default"/>
          <w:b/>
          <w:bCs/>
          <w:spacing w:val="-72"/>
          <w:sz w:val="22"/>
          <w:szCs w:val="22"/>
        </w:rPr>
        <w:t> </w:t>
      </w:r>
      <w:r>
        <w:rPr>
          <w:rFonts w:ascii="宋体" w:hAnsi="宋体" w:cs="宋体" w:eastAsia="宋体" w:hint="default"/>
          <w:b/>
          <w:bCs/>
          <w:sz w:val="22"/>
          <w:szCs w:val="22"/>
        </w:rPr>
        <w:t>价</w:t>
      </w:r>
      <w:r>
        <w:rPr>
          <w:rFonts w:ascii="宋体" w:hAnsi="宋体" w:cs="宋体" w:eastAsia="宋体" w:hint="default"/>
          <w:b/>
          <w:bCs/>
          <w:spacing w:val="-72"/>
          <w:sz w:val="22"/>
          <w:szCs w:val="22"/>
        </w:rPr>
        <w:t> </w:t>
      </w:r>
      <w:r>
        <w:rPr>
          <w:rFonts w:ascii="宋体" w:hAnsi="宋体" w:cs="宋体" w:eastAsia="宋体" w:hint="default"/>
          <w:b/>
          <w:bCs/>
          <w:sz w:val="22"/>
          <w:szCs w:val="22"/>
        </w:rPr>
        <w:t>值</w:t>
      </w:r>
      <w:r>
        <w:rPr>
          <w:rFonts w:ascii="宋体" w:hAnsi="宋体" w:cs="宋体" w:eastAsia="宋体" w:hint="default"/>
          <w:b/>
          <w:bCs/>
          <w:spacing w:val="-74"/>
          <w:sz w:val="22"/>
          <w:szCs w:val="22"/>
        </w:rPr>
        <w:t> </w:t>
      </w:r>
      <w:r>
        <w:rPr>
          <w:rFonts w:ascii="宋体" w:hAnsi="宋体" w:cs="宋体" w:eastAsia="宋体" w:hint="default"/>
          <w:b/>
          <w:bCs/>
          <w:sz w:val="22"/>
          <w:szCs w:val="22"/>
        </w:rPr>
        <w:t>的</w:t>
      </w:r>
      <w:r>
        <w:rPr>
          <w:rFonts w:ascii="宋体" w:hAnsi="宋体" w:cs="宋体" w:eastAsia="宋体" w:hint="default"/>
          <w:b/>
          <w:bCs/>
          <w:spacing w:val="-72"/>
          <w:sz w:val="22"/>
          <w:szCs w:val="22"/>
        </w:rPr>
        <w:t> </w:t>
      </w:r>
      <w:r>
        <w:rPr>
          <w:rFonts w:ascii="宋体" w:hAnsi="宋体" w:cs="宋体" w:eastAsia="宋体" w:hint="default"/>
          <w:b/>
          <w:bCs/>
          <w:sz w:val="22"/>
          <w:szCs w:val="22"/>
        </w:rPr>
        <w:t>披</w:t>
      </w:r>
      <w:r>
        <w:rPr>
          <w:rFonts w:ascii="宋体" w:hAnsi="宋体" w:cs="宋体" w:eastAsia="宋体" w:hint="default"/>
          <w:b/>
          <w:bCs/>
          <w:spacing w:val="-72"/>
          <w:sz w:val="22"/>
          <w:szCs w:val="22"/>
        </w:rPr>
        <w:t> </w:t>
      </w:r>
      <w:r>
        <w:rPr>
          <w:rFonts w:ascii="宋体" w:hAnsi="宋体" w:cs="宋体" w:eastAsia="宋体" w:hint="default"/>
          <w:b/>
          <w:bCs/>
          <w:sz w:val="22"/>
          <w:szCs w:val="22"/>
        </w:rPr>
        <w:t>露</w:t>
      </w:r>
      <w:r>
        <w:rPr>
          <w:rFonts w:ascii="宋体" w:hAnsi="宋体" w:cs="宋体" w:eastAsia="宋体" w:hint="default"/>
          <w:sz w:val="22"/>
          <w:szCs w:val="22"/>
        </w:rPr>
      </w:r>
    </w:p>
    <w:p>
      <w:pPr>
        <w:spacing w:before="110"/>
        <w:ind w:left="675" w:right="11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10"/>
          <w:sz w:val="22"/>
          <w:szCs w:val="22"/>
        </w:rPr>
        <w:t> </w:t>
      </w:r>
      <w:r>
        <w:rPr>
          <w:rFonts w:ascii="宋体" w:hAnsi="宋体" w:cs="宋体" w:eastAsia="宋体" w:hint="default"/>
          <w:sz w:val="22"/>
          <w:szCs w:val="22"/>
        </w:rPr>
        <w:t>年末以公允价值计量的资产和负债的金额和公允价值计量层次</w:t>
      </w:r>
    </w:p>
    <w:p>
      <w:pPr>
        <w:spacing w:line="240" w:lineRule="auto" w:before="8"/>
        <w:rPr>
          <w:rFonts w:ascii="宋体" w:hAnsi="宋体" w:cs="宋体" w:eastAsia="宋体" w:hint="default"/>
          <w:sz w:val="11"/>
          <w:szCs w:val="11"/>
        </w:rPr>
      </w:pPr>
    </w:p>
    <w:p>
      <w:pPr>
        <w:spacing w:line="28" w:lineRule="exact"/>
        <w:ind w:left="150" w:right="0" w:firstLine="0"/>
        <w:rPr>
          <w:rFonts w:ascii="宋体" w:hAnsi="宋体" w:cs="宋体" w:eastAsia="宋体" w:hint="default"/>
          <w:sz w:val="2"/>
          <w:szCs w:val="2"/>
        </w:rPr>
      </w:pPr>
      <w:r>
        <w:rPr>
          <w:rFonts w:ascii="宋体" w:hAnsi="宋体" w:cs="宋体" w:eastAsia="宋体" w:hint="default"/>
          <w:position w:val="0"/>
          <w:sz w:val="2"/>
          <w:szCs w:val="2"/>
        </w:rPr>
        <w:pict>
          <v:group style="width:444.45pt;height:1.45pt;mso-position-horizontal-relative:char;mso-position-vertical-relative:line" coordorigin="0,0" coordsize="8889,29">
            <v:group style="position:absolute;left:14;top:14;width:2974;height:2" coordorigin="14,14" coordsize="2974,2">
              <v:shape style="position:absolute;left:14;top:14;width:2974;height:2" coordorigin="14,14" coordsize="2974,0" path="m14,14l2988,14e" filled="false" stroked="true" strokeweight="1.44pt" strokecolor="#000000">
                <v:path arrowok="t"/>
              </v:shape>
            </v:group>
            <v:group style="position:absolute;left:2989;top:14;width:29;height:2" coordorigin="2989,14" coordsize="29,2">
              <v:shape style="position:absolute;left:2989;top:14;width:29;height:2" coordorigin="2989,14" coordsize="29,0" path="m2989,14l3017,14e" filled="false" stroked="true" strokeweight="1.44pt" strokecolor="#000000">
                <v:path arrowok="t"/>
              </v:shape>
            </v:group>
            <v:group style="position:absolute;left:3017;top:14;width:5857;height:2" coordorigin="3017,14" coordsize="5857,2">
              <v:shape style="position:absolute;left:3017;top:14;width:5857;height:2" coordorigin="3017,14" coordsize="5857,0" path="m3017,14l8874,14e" filled="false" stroked="true" strokeweight="1.44pt" strokecolor="#000000">
                <v:path arrowok="t"/>
              </v:shape>
            </v:group>
          </v:group>
        </w:pict>
      </w:r>
      <w:r>
        <w:rPr>
          <w:rFonts w:ascii="宋体" w:hAnsi="宋体" w:cs="宋体" w:eastAsia="宋体" w:hint="default"/>
          <w:position w:val="0"/>
          <w:sz w:val="2"/>
          <w:szCs w:val="2"/>
        </w:rPr>
      </w:r>
    </w:p>
    <w:p>
      <w:pPr>
        <w:spacing w:before="23"/>
        <w:ind w:left="5539" w:right="110" w:firstLine="0"/>
        <w:jc w:val="left"/>
        <w:rPr>
          <w:rFonts w:ascii="宋体" w:hAnsi="宋体" w:cs="宋体" w:eastAsia="宋体" w:hint="default"/>
          <w:sz w:val="18"/>
          <w:szCs w:val="18"/>
        </w:rPr>
      </w:pPr>
      <w:r>
        <w:rPr>
          <w:rFonts w:ascii="宋体" w:hAnsi="宋体" w:cs="宋体" w:eastAsia="宋体" w:hint="default"/>
          <w:b/>
          <w:bCs/>
          <w:sz w:val="18"/>
          <w:szCs w:val="18"/>
        </w:rPr>
        <w:t>年末公允价值</w:t>
      </w:r>
      <w:r>
        <w:rPr>
          <w:rFonts w:ascii="宋体" w:hAnsi="宋体" w:cs="宋体" w:eastAsia="宋体" w:hint="default"/>
          <w:sz w:val="18"/>
          <w:szCs w:val="18"/>
        </w:rPr>
      </w:r>
    </w:p>
    <w:p>
      <w:pPr>
        <w:spacing w:after="0"/>
        <w:jc w:val="left"/>
        <w:rPr>
          <w:rFonts w:ascii="宋体" w:hAnsi="宋体" w:cs="宋体" w:eastAsia="宋体" w:hint="default"/>
          <w:sz w:val="18"/>
          <w:szCs w:val="18"/>
        </w:rPr>
        <w:sectPr>
          <w:headerReference w:type="default" r:id="rId93"/>
          <w:footerReference w:type="default" r:id="rId94"/>
          <w:pgSz w:w="11910" w:h="16840"/>
          <w:pgMar w:header="0" w:footer="816" w:top="560" w:bottom="1000" w:left="1480" w:right="1280"/>
          <w:pgNumType w:start="153"/>
        </w:sectPr>
      </w:pPr>
    </w:p>
    <w:p>
      <w:pPr>
        <w:spacing w:line="211" w:lineRule="exact" w:before="0"/>
        <w:ind w:left="222" w:right="-10" w:firstLine="0"/>
        <w:jc w:val="left"/>
        <w:rPr>
          <w:rFonts w:ascii="宋体" w:hAnsi="宋体" w:cs="宋体" w:eastAsia="宋体" w:hint="default"/>
          <w:sz w:val="18"/>
          <w:szCs w:val="18"/>
        </w:rPr>
      </w:pPr>
      <w:r>
        <w:rPr/>
        <w:pict>
          <v:group style="position:absolute;margin-left:230.690002pt;margin-top:1.3744pt;width:294.8pt;height:.5pt;mso-position-horizontal-relative:page;mso-position-vertical-relative:paragraph;z-index:-1196680" coordorigin="4614,27" coordsize="5896,10">
            <v:group style="position:absolute;left:4619;top:32;width:1575;height:2" coordorigin="4619,32" coordsize="1575,2">
              <v:shape style="position:absolute;left:4619;top:32;width:1575;height:2" coordorigin="4619,32" coordsize="1575,0" path="m4619,32l6193,32e" filled="false" stroked="true" strokeweight=".47998pt" strokecolor="#000000">
                <v:path arrowok="t"/>
              </v:shape>
            </v:group>
            <v:group style="position:absolute;left:6193;top:32;width:10;height:2" coordorigin="6193,32" coordsize="10,2">
              <v:shape style="position:absolute;left:6193;top:32;width:10;height:2" coordorigin="6193,32" coordsize="10,0" path="m6193,32l6203,32e" filled="false" stroked="true" strokeweight=".47998pt" strokecolor="#000000">
                <v:path arrowok="t"/>
              </v:shape>
            </v:group>
            <v:group style="position:absolute;left:6203;top:32;width:1407;height:2" coordorigin="6203,32" coordsize="1407,2">
              <v:shape style="position:absolute;left:6203;top:32;width:1407;height:2" coordorigin="6203,32" coordsize="1407,0" path="m6203,32l7609,32e" filled="false" stroked="true" strokeweight=".47998pt" strokecolor="#000000">
                <v:path arrowok="t"/>
              </v:shape>
            </v:group>
            <v:group style="position:absolute;left:7609;top:32;width:10;height:2" coordorigin="7609,32" coordsize="10,2">
              <v:shape style="position:absolute;left:7609;top:32;width:10;height:2" coordorigin="7609,32" coordsize="10,0" path="m7609,32l7619,32e" filled="false" stroked="true" strokeweight=".47998pt" strokecolor="#000000">
                <v:path arrowok="t"/>
              </v:shape>
            </v:group>
            <v:group style="position:absolute;left:7619;top:32;width:1369;height:2" coordorigin="7619,32" coordsize="1369,2">
              <v:shape style="position:absolute;left:7619;top:32;width:1369;height:2" coordorigin="7619,32" coordsize="1369,0" path="m7619,32l8987,32e" filled="false" stroked="true" strokeweight=".47998pt" strokecolor="#000000">
                <v:path arrowok="t"/>
              </v:shape>
            </v:group>
            <v:group style="position:absolute;left:8988;top:32;width:10;height:2" coordorigin="8988,32" coordsize="10,2">
              <v:shape style="position:absolute;left:8988;top:32;width:10;height:2" coordorigin="8988,32" coordsize="10,0" path="m8988,32l8997,32e" filled="false" stroked="true" strokeweight=".47998pt" strokecolor="#000000">
                <v:path arrowok="t"/>
              </v:shape>
            </v:group>
            <v:group style="position:absolute;left:8997;top:32;width:1508;height:2" coordorigin="8997,32" coordsize="1508,2">
              <v:shape style="position:absolute;left:8997;top:32;width:1508;height:2" coordorigin="8997,32" coordsize="1508,0" path="m8997,32l10504,32e" filled="false" stroked="true" strokeweight=".47998pt" strokecolor="#000000">
                <v:path arrowok="t"/>
              </v:shape>
            </v:group>
            <w10:wrap type="none"/>
          </v:group>
        </w:pict>
      </w:r>
      <w:r>
        <w:rPr>
          <w:rFonts w:ascii="宋体" w:hAnsi="宋体" w:cs="宋体" w:eastAsia="宋体" w:hint="default"/>
          <w:b/>
          <w:bCs/>
          <w:sz w:val="18"/>
          <w:szCs w:val="18"/>
        </w:rPr>
        <w:t>项目</w:t>
      </w:r>
      <w:r>
        <w:rPr>
          <w:rFonts w:ascii="宋体" w:hAnsi="宋体" w:cs="宋体" w:eastAsia="宋体" w:hint="default"/>
          <w:sz w:val="18"/>
          <w:szCs w:val="18"/>
        </w:rPr>
      </w:r>
    </w:p>
    <w:p>
      <w:pPr>
        <w:spacing w:line="240" w:lineRule="auto" w:before="10"/>
        <w:rPr>
          <w:rFonts w:ascii="宋体" w:hAnsi="宋体" w:cs="宋体" w:eastAsia="宋体" w:hint="default"/>
          <w:b/>
          <w:bCs/>
          <w:sz w:val="24"/>
          <w:szCs w:val="24"/>
        </w:rPr>
      </w:pPr>
    </w:p>
    <w:p>
      <w:pPr>
        <w:spacing w:line="235" w:lineRule="exact" w:before="0"/>
        <w:ind w:left="222" w:right="-10" w:firstLine="0"/>
        <w:jc w:val="left"/>
        <w:rPr>
          <w:rFonts w:ascii="宋体" w:hAnsi="宋体" w:cs="宋体" w:eastAsia="宋体" w:hint="default"/>
          <w:sz w:val="18"/>
          <w:szCs w:val="18"/>
        </w:rPr>
      </w:pPr>
      <w:r>
        <w:rPr/>
        <w:pict>
          <v:group style="position:absolute;margin-left:81.983994pt;margin-top:-1.488306pt;width:443.5pt;height:.5pt;mso-position-horizontal-relative:page;mso-position-vertical-relative:paragraph;z-index:2488" coordorigin="1640,-30" coordsize="8870,10">
            <v:group style="position:absolute;left:1644;top:-25;width:2974;height:2" coordorigin="1644,-25" coordsize="2974,2">
              <v:shape style="position:absolute;left:1644;top:-25;width:2974;height:2" coordorigin="1644,-25" coordsize="2974,0" path="m1644,-25l4618,-25e" filled="false" stroked="true" strokeweight=".48001pt" strokecolor="#000000">
                <v:path arrowok="t"/>
              </v:shape>
            </v:group>
            <v:group style="position:absolute;left:4619;top:-25;width:10;height:2" coordorigin="4619,-25" coordsize="10,2">
              <v:shape style="position:absolute;left:4619;top:-25;width:10;height:2" coordorigin="4619,-25" coordsize="10,0" path="m4619,-25l4628,-25e" filled="false" stroked="true" strokeweight=".48001pt" strokecolor="#000000">
                <v:path arrowok="t"/>
              </v:shape>
            </v:group>
            <v:group style="position:absolute;left:4628;top:-25;width:1566;height:2" coordorigin="4628,-25" coordsize="1566,2">
              <v:shape style="position:absolute;left:4628;top:-25;width:1566;height:2" coordorigin="4628,-25" coordsize="1566,0" path="m4628,-25l6193,-25e" filled="false" stroked="true" strokeweight=".48001pt" strokecolor="#000000">
                <v:path arrowok="t"/>
              </v:shape>
            </v:group>
            <v:group style="position:absolute;left:6193;top:-25;width:10;height:2" coordorigin="6193,-25" coordsize="10,2">
              <v:shape style="position:absolute;left:6193;top:-25;width:10;height:2" coordorigin="6193,-25" coordsize="10,0" path="m6193,-25l6203,-25e" filled="false" stroked="true" strokeweight=".48001pt" strokecolor="#000000">
                <v:path arrowok="t"/>
              </v:shape>
            </v:group>
            <v:group style="position:absolute;left:6203;top:-25;width:1407;height:2" coordorigin="6203,-25" coordsize="1407,2">
              <v:shape style="position:absolute;left:6203;top:-25;width:1407;height:2" coordorigin="6203,-25" coordsize="1407,0" path="m6203,-25l7609,-25e" filled="false" stroked="true" strokeweight=".48001pt" strokecolor="#000000">
                <v:path arrowok="t"/>
              </v:shape>
            </v:group>
            <v:group style="position:absolute;left:7609;top:-25;width:10;height:2" coordorigin="7609,-25" coordsize="10,2">
              <v:shape style="position:absolute;left:7609;top:-25;width:10;height:2" coordorigin="7609,-25" coordsize="10,0" path="m7609,-25l7619,-25e" filled="false" stroked="true" strokeweight=".48001pt" strokecolor="#000000">
                <v:path arrowok="t"/>
              </v:shape>
            </v:group>
            <v:group style="position:absolute;left:7619;top:-25;width:1369;height:2" coordorigin="7619,-25" coordsize="1369,2">
              <v:shape style="position:absolute;left:7619;top:-25;width:1369;height:2" coordorigin="7619,-25" coordsize="1369,0" path="m7619,-25l8987,-25e" filled="false" stroked="true" strokeweight=".48001pt" strokecolor="#000000">
                <v:path arrowok="t"/>
              </v:shape>
            </v:group>
            <v:group style="position:absolute;left:8988;top:-25;width:10;height:2" coordorigin="8988,-25" coordsize="10,2">
              <v:shape style="position:absolute;left:8988;top:-25;width:10;height:2" coordorigin="8988,-25" coordsize="10,0" path="m8988,-25l8997,-25e" filled="false" stroked="true" strokeweight=".48001pt" strokecolor="#000000">
                <v:path arrowok="t"/>
              </v:shape>
            </v:group>
            <v:group style="position:absolute;left:8997;top:-25;width:1508;height:2" coordorigin="8997,-25" coordsize="1508,2">
              <v:shape style="position:absolute;left:8997;top:-25;width:1508;height:2" coordorigin="8997,-25" coordsize="1508,0" path="m8997,-25l10504,-25e" filled="false" stroked="true" strokeweight=".48001pt" strokecolor="#000000">
                <v:path arrowok="t"/>
              </v:shape>
            </v:group>
            <w10:wrap type="none"/>
          </v:group>
        </w:pict>
      </w:r>
      <w:r>
        <w:rPr>
          <w:rFonts w:ascii="宋体" w:hAnsi="宋体" w:cs="宋体" w:eastAsia="宋体" w:hint="default"/>
          <w:b/>
          <w:bCs/>
          <w:sz w:val="18"/>
          <w:szCs w:val="18"/>
        </w:rPr>
        <w:t>一、持续的公允价值计量</w:t>
      </w:r>
      <w:r>
        <w:rPr>
          <w:rFonts w:ascii="宋体" w:hAnsi="宋体" w:cs="宋体" w:eastAsia="宋体" w:hint="default"/>
          <w:sz w:val="18"/>
          <w:szCs w:val="18"/>
        </w:rPr>
      </w:r>
    </w:p>
    <w:p>
      <w:pPr>
        <w:spacing w:line="232" w:lineRule="exact" w:before="24"/>
        <w:ind w:left="222" w:right="-10" w:firstLine="0"/>
        <w:jc w:val="left"/>
        <w:rPr>
          <w:rFonts w:ascii="宋体" w:hAnsi="宋体" w:cs="宋体" w:eastAsia="宋体" w:hint="default"/>
          <w:sz w:val="18"/>
          <w:szCs w:val="18"/>
        </w:rPr>
      </w:pPr>
      <w:r>
        <w:rPr>
          <w:rFonts w:ascii="宋体" w:hAnsi="宋体" w:cs="宋体" w:eastAsia="宋体" w:hint="default"/>
          <w:spacing w:val="-2"/>
          <w:sz w:val="18"/>
          <w:szCs w:val="18"/>
        </w:rPr>
        <w:t>（一）以公允价值计量且变动计入当</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期损益的金融资产</w:t>
      </w:r>
    </w:p>
    <w:p>
      <w:pPr>
        <w:spacing w:before="7"/>
        <w:ind w:left="625" w:right="0" w:hanging="543"/>
        <w:jc w:val="left"/>
        <w:rPr>
          <w:rFonts w:ascii="宋体" w:hAnsi="宋体" w:cs="宋体" w:eastAsia="宋体" w:hint="default"/>
          <w:sz w:val="18"/>
          <w:szCs w:val="18"/>
        </w:rPr>
      </w:pPr>
      <w:r>
        <w:rPr>
          <w:w w:val="95"/>
        </w:rPr>
        <w:br w:type="column"/>
      </w:r>
      <w:r>
        <w:rPr>
          <w:rFonts w:ascii="宋体" w:hAnsi="宋体" w:cs="宋体" w:eastAsia="宋体" w:hint="default"/>
          <w:b/>
          <w:bCs/>
          <w:w w:val="95"/>
          <w:sz w:val="18"/>
          <w:szCs w:val="18"/>
        </w:rPr>
        <w:t>第一层次公允价值</w:t>
      </w:r>
      <w:r>
        <w:rPr>
          <w:rFonts w:ascii="宋体" w:hAnsi="宋体" w:cs="宋体" w:eastAsia="宋体" w:hint="default"/>
          <w:b/>
          <w:bCs/>
          <w:spacing w:val="-16"/>
          <w:w w:val="95"/>
          <w:sz w:val="18"/>
          <w:szCs w:val="18"/>
        </w:rPr>
        <w:t> </w:t>
      </w:r>
      <w:r>
        <w:rPr>
          <w:rFonts w:ascii="宋体" w:hAnsi="宋体" w:cs="宋体" w:eastAsia="宋体" w:hint="default"/>
          <w:b/>
          <w:bCs/>
          <w:spacing w:val="-16"/>
          <w:w w:val="95"/>
          <w:sz w:val="18"/>
          <w:szCs w:val="18"/>
        </w:rPr>
      </w:r>
      <w:r>
        <w:rPr>
          <w:rFonts w:ascii="宋体" w:hAnsi="宋体" w:cs="宋体" w:eastAsia="宋体" w:hint="default"/>
          <w:b/>
          <w:bCs/>
          <w:sz w:val="18"/>
          <w:szCs w:val="18"/>
        </w:rPr>
        <w:t>计量</w:t>
      </w:r>
      <w:r>
        <w:rPr>
          <w:rFonts w:ascii="宋体" w:hAnsi="宋体" w:cs="宋体" w:eastAsia="宋体" w:hint="default"/>
          <w:sz w:val="18"/>
          <w:szCs w:val="18"/>
        </w:rPr>
      </w:r>
    </w:p>
    <w:p>
      <w:pPr>
        <w:spacing w:before="7"/>
        <w:ind w:left="462" w:right="-20" w:hanging="363"/>
        <w:jc w:val="left"/>
        <w:rPr>
          <w:rFonts w:ascii="宋体" w:hAnsi="宋体" w:cs="宋体" w:eastAsia="宋体" w:hint="default"/>
          <w:sz w:val="18"/>
          <w:szCs w:val="18"/>
        </w:rPr>
      </w:pPr>
      <w:r>
        <w:rPr/>
        <w:br w:type="column"/>
      </w:r>
      <w:r>
        <w:rPr>
          <w:rFonts w:ascii="宋体" w:hAnsi="宋体" w:cs="宋体" w:eastAsia="宋体" w:hint="default"/>
          <w:b/>
          <w:bCs/>
          <w:sz w:val="18"/>
          <w:szCs w:val="18"/>
        </w:rPr>
        <w:t>第二层次公允价</w:t>
      </w:r>
      <w:r>
        <w:rPr>
          <w:rFonts w:ascii="宋体" w:hAnsi="宋体" w:cs="宋体" w:eastAsia="宋体" w:hint="default"/>
          <w:b/>
          <w:bCs/>
          <w:w w:val="99"/>
          <w:sz w:val="18"/>
          <w:szCs w:val="18"/>
        </w:rPr>
        <w:t> </w:t>
      </w:r>
      <w:r>
        <w:rPr>
          <w:rFonts w:ascii="宋体" w:hAnsi="宋体" w:cs="宋体" w:eastAsia="宋体" w:hint="default"/>
          <w:b/>
          <w:bCs/>
          <w:sz w:val="18"/>
          <w:szCs w:val="18"/>
        </w:rPr>
        <w:t>值计量</w:t>
      </w:r>
      <w:r>
        <w:rPr>
          <w:rFonts w:ascii="宋体" w:hAnsi="宋体" w:cs="宋体" w:eastAsia="宋体" w:hint="default"/>
          <w:sz w:val="18"/>
          <w:szCs w:val="18"/>
        </w:rPr>
      </w:r>
    </w:p>
    <w:p>
      <w:pPr>
        <w:spacing w:line="175" w:lineRule="exact" w:before="7"/>
        <w:ind w:left="181" w:right="0" w:firstLine="0"/>
        <w:jc w:val="left"/>
        <w:rPr>
          <w:rFonts w:ascii="宋体" w:hAnsi="宋体" w:cs="宋体" w:eastAsia="宋体" w:hint="default"/>
          <w:sz w:val="18"/>
          <w:szCs w:val="18"/>
        </w:rPr>
      </w:pPr>
      <w:r>
        <w:rPr/>
        <w:br w:type="column"/>
      </w:r>
      <w:r>
        <w:rPr>
          <w:rFonts w:ascii="宋体" w:hAnsi="宋体" w:cs="宋体" w:eastAsia="宋体" w:hint="default"/>
          <w:b/>
          <w:bCs/>
          <w:sz w:val="18"/>
          <w:szCs w:val="18"/>
        </w:rPr>
        <w:t>第三层次公允</w:t>
      </w:r>
      <w:r>
        <w:rPr>
          <w:rFonts w:ascii="宋体" w:hAnsi="宋体" w:cs="宋体" w:eastAsia="宋体" w:hint="default"/>
          <w:sz w:val="18"/>
          <w:szCs w:val="18"/>
        </w:rPr>
      </w:r>
    </w:p>
    <w:p>
      <w:pPr>
        <w:tabs>
          <w:tab w:pos="1991" w:val="left" w:leader="none"/>
        </w:tabs>
        <w:spacing w:line="295" w:lineRule="exact" w:before="0"/>
        <w:ind w:left="363" w:right="0" w:firstLine="0"/>
        <w:jc w:val="left"/>
        <w:rPr>
          <w:rFonts w:ascii="宋体" w:hAnsi="宋体" w:cs="宋体" w:eastAsia="宋体" w:hint="default"/>
          <w:sz w:val="18"/>
          <w:szCs w:val="18"/>
        </w:rPr>
      </w:pPr>
      <w:r>
        <w:rPr>
          <w:rFonts w:ascii="宋体" w:hAnsi="宋体" w:cs="宋体" w:eastAsia="宋体" w:hint="default"/>
          <w:b/>
          <w:bCs/>
          <w:w w:val="95"/>
          <w:sz w:val="18"/>
          <w:szCs w:val="18"/>
        </w:rPr>
        <w:t>价值计量</w:t>
        <w:tab/>
      </w:r>
      <w:r>
        <w:rPr>
          <w:rFonts w:ascii="宋体" w:hAnsi="宋体" w:cs="宋体" w:eastAsia="宋体" w:hint="default"/>
          <w:b/>
          <w:bCs/>
          <w:position w:val="12"/>
          <w:sz w:val="18"/>
          <w:szCs w:val="18"/>
        </w:rPr>
        <w:t>合计</w:t>
      </w:r>
      <w:r>
        <w:rPr>
          <w:rFonts w:ascii="宋体" w:hAnsi="宋体" w:cs="宋体" w:eastAsia="宋体" w:hint="default"/>
          <w:sz w:val="18"/>
          <w:szCs w:val="18"/>
        </w:rPr>
      </w:r>
    </w:p>
    <w:p>
      <w:pPr>
        <w:spacing w:after="0" w:line="295" w:lineRule="exact"/>
        <w:jc w:val="left"/>
        <w:rPr>
          <w:rFonts w:ascii="宋体" w:hAnsi="宋体" w:cs="宋体" w:eastAsia="宋体" w:hint="default"/>
          <w:sz w:val="18"/>
          <w:szCs w:val="18"/>
        </w:rPr>
        <w:sectPr>
          <w:type w:val="continuous"/>
          <w:pgSz w:w="11910" w:h="16840"/>
          <w:pgMar w:top="1020" w:bottom="280" w:left="1480" w:right="1280"/>
          <w:cols w:num="4" w:equalWidth="0">
            <w:col w:w="3081" w:space="40"/>
            <w:col w:w="1528" w:space="40"/>
            <w:col w:w="1365" w:space="40"/>
            <w:col w:w="3056"/>
          </w:cols>
        </w:sectPr>
      </w:pPr>
    </w:p>
    <w:tbl>
      <w:tblPr>
        <w:tblW w:w="0" w:type="auto"/>
        <w:jc w:val="left"/>
        <w:tblInd w:w="187" w:type="dxa"/>
        <w:tblLayout w:type="fixed"/>
        <w:tblCellMar>
          <w:top w:w="0" w:type="dxa"/>
          <w:left w:w="0" w:type="dxa"/>
          <w:bottom w:w="0" w:type="dxa"/>
          <w:right w:w="0" w:type="dxa"/>
        </w:tblCellMar>
        <w:tblLook w:val="01E0"/>
      </w:tblPr>
      <w:tblGrid>
        <w:gridCol w:w="2434"/>
        <w:gridCol w:w="2586"/>
        <w:gridCol w:w="1394"/>
        <w:gridCol w:w="1043"/>
        <w:gridCol w:w="1357"/>
      </w:tblGrid>
      <w:tr>
        <w:trPr>
          <w:trHeight w:val="315"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4"/>
              <w:jc w:val="center"/>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交易性金融资产</w:t>
            </w:r>
          </w:p>
        </w:tc>
        <w:tc>
          <w:tcPr>
            <w:tcW w:w="6381" w:type="dxa"/>
            <w:gridSpan w:val="4"/>
            <w:tcBorders>
              <w:top w:val="nil" w:sz="6" w:space="0" w:color="auto"/>
              <w:left w:val="nil" w:sz="6" w:space="0" w:color="auto"/>
              <w:bottom w:val="nil" w:sz="6" w:space="0" w:color="auto"/>
              <w:right w:val="nil" w:sz="6" w:space="0" w:color="auto"/>
            </w:tcBorders>
          </w:tcPr>
          <w:p>
            <w:pPr/>
          </w:p>
        </w:tc>
      </w:tr>
      <w:tr>
        <w:trPr>
          <w:trHeight w:val="255" w:hRule="exact"/>
        </w:trPr>
        <w:tc>
          <w:tcPr>
            <w:tcW w:w="2434" w:type="dxa"/>
            <w:tcBorders>
              <w:top w:val="nil" w:sz="6" w:space="0" w:color="auto"/>
              <w:left w:val="nil" w:sz="6" w:space="0" w:color="auto"/>
              <w:bottom w:val="nil" w:sz="6" w:space="0" w:color="auto"/>
              <w:right w:val="nil" w:sz="6" w:space="0" w:color="auto"/>
            </w:tcBorders>
          </w:tcPr>
          <w:p>
            <w:pPr>
              <w:pStyle w:val="TableParagraph"/>
              <w:spacing w:line="227" w:lineRule="exact"/>
              <w:ind w:right="734"/>
              <w:jc w:val="center"/>
              <w:rPr>
                <w:rFonts w:ascii="宋体" w:hAnsi="宋体" w:cs="宋体" w:eastAsia="宋体" w:hint="default"/>
                <w:sz w:val="18"/>
                <w:szCs w:val="18"/>
              </w:rPr>
            </w:pPr>
            <w:r>
              <w:rPr>
                <w:rFonts w:ascii="宋体" w:hAnsi="宋体" w:cs="宋体" w:eastAsia="宋体" w:hint="default"/>
                <w:sz w:val="18"/>
                <w:szCs w:val="18"/>
              </w:rPr>
              <w:t>权益工具投资</w:t>
            </w:r>
          </w:p>
        </w:tc>
        <w:tc>
          <w:tcPr>
            <w:tcW w:w="258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911" w:right="0"/>
              <w:jc w:val="left"/>
              <w:rPr>
                <w:rFonts w:ascii="Times New Roman" w:hAnsi="Times New Roman" w:cs="Times New Roman" w:eastAsia="Times New Roman" w:hint="default"/>
                <w:sz w:val="18"/>
                <w:szCs w:val="18"/>
              </w:rPr>
            </w:pPr>
            <w:r>
              <w:rPr>
                <w:rFonts w:ascii="Times New Roman"/>
                <w:sz w:val="18"/>
              </w:rPr>
              <w:t>138,887,759.80</w:t>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6" w:right="0"/>
              <w:jc w:val="center"/>
              <w:rPr>
                <w:rFonts w:ascii="Times New Roman" w:hAnsi="Times New Roman" w:cs="Times New Roman" w:eastAsia="Times New Roman" w:hint="default"/>
                <w:sz w:val="18"/>
                <w:szCs w:val="18"/>
              </w:rPr>
            </w:pPr>
            <w:r>
              <w:rPr>
                <w:rFonts w:ascii="Times New Roman"/>
                <w:sz w:val="18"/>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531" w:right="0"/>
              <w:jc w:val="left"/>
              <w:rPr>
                <w:rFonts w:ascii="Times New Roman" w:hAnsi="Times New Roman" w:cs="Times New Roman" w:eastAsia="Times New Roman" w:hint="default"/>
                <w:sz w:val="18"/>
                <w:szCs w:val="18"/>
              </w:rPr>
            </w:pPr>
            <w:r>
              <w:rPr>
                <w:rFonts w:ascii="Times New Roman"/>
                <w:sz w:val="18"/>
              </w:rPr>
              <w:t>0.00</w:t>
            </w:r>
          </w:p>
        </w:tc>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96" w:right="0"/>
              <w:jc w:val="left"/>
              <w:rPr>
                <w:rFonts w:ascii="Times New Roman" w:hAnsi="Times New Roman" w:cs="Times New Roman" w:eastAsia="Times New Roman" w:hint="default"/>
                <w:sz w:val="18"/>
                <w:szCs w:val="18"/>
              </w:rPr>
            </w:pPr>
            <w:r>
              <w:rPr>
                <w:rFonts w:ascii="Times New Roman"/>
                <w:sz w:val="18"/>
              </w:rPr>
              <w:t>138,887,759.80</w:t>
            </w:r>
          </w:p>
        </w:tc>
      </w:tr>
    </w:tbl>
    <w:p>
      <w:pPr>
        <w:spacing w:line="232" w:lineRule="exact" w:before="2"/>
        <w:ind w:left="222" w:right="43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0"/>
          <w:sz w:val="18"/>
          <w:szCs w:val="18"/>
        </w:rPr>
        <w:t> </w:t>
      </w:r>
      <w:r>
        <w:rPr>
          <w:rFonts w:ascii="宋体" w:hAnsi="宋体" w:cs="宋体" w:eastAsia="宋体" w:hint="default"/>
          <w:spacing w:val="7"/>
          <w:sz w:val="18"/>
          <w:szCs w:val="18"/>
        </w:rPr>
        <w:t>指定以公允价值计量且其变动计</w:t>
      </w:r>
      <w:r>
        <w:rPr>
          <w:rFonts w:ascii="宋体" w:hAnsi="宋体" w:cs="宋体" w:eastAsia="宋体" w:hint="default"/>
          <w:sz w:val="18"/>
          <w:szCs w:val="18"/>
        </w:rPr>
        <w:t> 入当期损益的金融资产</w:t>
      </w:r>
    </w:p>
    <w:p>
      <w:pPr>
        <w:spacing w:line="212" w:lineRule="exact" w:before="0"/>
        <w:ind w:left="495" w:right="110" w:firstLine="0"/>
        <w:jc w:val="left"/>
        <w:rPr>
          <w:rFonts w:ascii="宋体" w:hAnsi="宋体" w:cs="宋体" w:eastAsia="宋体" w:hint="default"/>
          <w:sz w:val="18"/>
          <w:szCs w:val="18"/>
        </w:rPr>
      </w:pPr>
      <w:r>
        <w:rPr>
          <w:rFonts w:ascii="宋体" w:hAnsi="宋体" w:cs="宋体" w:eastAsia="宋体" w:hint="default"/>
          <w:spacing w:val="4"/>
          <w:sz w:val="18"/>
          <w:szCs w:val="18"/>
        </w:rPr>
        <w:t>按照公允价值计量的权益工具投</w:t>
      </w:r>
      <w:r>
        <w:rPr>
          <w:rFonts w:ascii="宋体" w:hAnsi="宋体" w:cs="宋体" w:eastAsia="宋体" w:hint="default"/>
          <w:sz w:val="18"/>
          <w:szCs w:val="18"/>
        </w:rPr>
      </w:r>
    </w:p>
    <w:p>
      <w:pPr>
        <w:spacing w:line="240" w:lineRule="auto" w:before="1"/>
        <w:rPr>
          <w:rFonts w:ascii="宋体" w:hAnsi="宋体" w:cs="宋体" w:eastAsia="宋体" w:hint="default"/>
          <w:sz w:val="2"/>
          <w:szCs w:val="2"/>
        </w:rPr>
      </w:pPr>
    </w:p>
    <w:tbl>
      <w:tblPr>
        <w:tblW w:w="0" w:type="auto"/>
        <w:jc w:val="left"/>
        <w:tblInd w:w="150" w:type="dxa"/>
        <w:tblLayout w:type="fixed"/>
        <w:tblCellMar>
          <w:top w:w="0" w:type="dxa"/>
          <w:left w:w="0" w:type="dxa"/>
          <w:bottom w:w="0" w:type="dxa"/>
          <w:right w:w="0" w:type="dxa"/>
        </w:tblCellMar>
        <w:tblLook w:val="01E0"/>
      </w:tblPr>
      <w:tblGrid>
        <w:gridCol w:w="3010"/>
        <w:gridCol w:w="1642"/>
        <w:gridCol w:w="1801"/>
        <w:gridCol w:w="975"/>
        <w:gridCol w:w="1447"/>
      </w:tblGrid>
      <w:tr>
        <w:trPr>
          <w:trHeight w:val="545" w:hRule="exact"/>
        </w:trPr>
        <w:tc>
          <w:tcPr>
            <w:tcW w:w="3010" w:type="dxa"/>
            <w:tcBorders>
              <w:top w:val="nil" w:sz="6" w:space="0" w:color="auto"/>
              <w:left w:val="nil" w:sz="6" w:space="0" w:color="auto"/>
              <w:bottom w:val="nil" w:sz="6" w:space="0" w:color="auto"/>
              <w:right w:val="nil" w:sz="6" w:space="0" w:color="auto"/>
            </w:tcBorders>
          </w:tcPr>
          <w:p>
            <w:pPr>
              <w:pStyle w:val="TableParagraph"/>
              <w:spacing w:line="208" w:lineRule="exact"/>
              <w:ind w:left="71" w:right="0"/>
              <w:jc w:val="left"/>
              <w:rPr>
                <w:rFonts w:ascii="宋体" w:hAnsi="宋体" w:cs="宋体" w:eastAsia="宋体" w:hint="default"/>
                <w:sz w:val="18"/>
                <w:szCs w:val="18"/>
              </w:rPr>
            </w:pPr>
            <w:r>
              <w:rPr>
                <w:rFonts w:ascii="宋体" w:hAnsi="宋体" w:cs="宋体" w:eastAsia="宋体" w:hint="default"/>
                <w:sz w:val="18"/>
                <w:szCs w:val="18"/>
              </w:rPr>
              <w:t>资</w:t>
            </w:r>
          </w:p>
          <w:p>
            <w:pPr>
              <w:pStyle w:val="TableParagraph"/>
              <w:spacing w:line="240" w:lineRule="auto" w:before="47"/>
              <w:ind w:left="71" w:right="0"/>
              <w:jc w:val="left"/>
              <w:rPr>
                <w:rFonts w:ascii="宋体" w:hAnsi="宋体" w:cs="宋体" w:eastAsia="宋体" w:hint="default"/>
                <w:sz w:val="18"/>
                <w:szCs w:val="18"/>
              </w:rPr>
            </w:pPr>
            <w:r>
              <w:rPr>
                <w:rFonts w:ascii="宋体" w:hAnsi="宋体" w:cs="宋体" w:eastAsia="宋体" w:hint="default"/>
                <w:sz w:val="18"/>
                <w:szCs w:val="18"/>
              </w:rPr>
              <w:t>（二）可供出售金融资产</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2"/>
              <w:jc w:val="right"/>
              <w:rPr>
                <w:rFonts w:ascii="Times New Roman" w:hAnsi="Times New Roman" w:cs="Times New Roman" w:eastAsia="Times New Roman" w:hint="default"/>
                <w:sz w:val="18"/>
                <w:szCs w:val="18"/>
              </w:rPr>
            </w:pPr>
            <w:r>
              <w:rPr>
                <w:rFonts w:ascii="Times New Roman"/>
                <w:spacing w:val="-1"/>
                <w:sz w:val="18"/>
              </w:rPr>
              <w:t>1,079,799,254.35</w:t>
            </w:r>
            <w:r>
              <w:rPr>
                <w:rFonts w:ascii="Times New Roman"/>
                <w:sz w:val="18"/>
              </w:rPr>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29"/>
              <w:jc w:val="right"/>
              <w:rPr>
                <w:rFonts w:ascii="Times New Roman" w:hAnsi="Times New Roman" w:cs="Times New Roman" w:eastAsia="Times New Roman" w:hint="default"/>
                <w:sz w:val="18"/>
                <w:szCs w:val="18"/>
              </w:rPr>
            </w:pPr>
            <w:r>
              <w:rPr>
                <w:rFonts w:ascii="Times New Roman"/>
                <w:spacing w:val="-1"/>
                <w:sz w:val="18"/>
              </w:rPr>
              <w:t>15,000,000.00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7"/>
              <w:jc w:val="right"/>
              <w:rPr>
                <w:rFonts w:ascii="Times New Roman" w:hAnsi="Times New Roman" w:cs="Times New Roman" w:eastAsia="Times New Roman" w:hint="default"/>
                <w:sz w:val="18"/>
                <w:szCs w:val="18"/>
              </w:rPr>
            </w:pPr>
            <w:r>
              <w:rPr>
                <w:rFonts w:ascii="Times New Roman"/>
                <w:spacing w:val="-1"/>
                <w:sz w:val="18"/>
              </w:rPr>
              <w:t>0.00</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5"/>
              <w:jc w:val="right"/>
              <w:rPr>
                <w:rFonts w:ascii="Times New Roman" w:hAnsi="Times New Roman" w:cs="Times New Roman" w:eastAsia="Times New Roman" w:hint="default"/>
                <w:sz w:val="18"/>
                <w:szCs w:val="18"/>
              </w:rPr>
            </w:pPr>
            <w:r>
              <w:rPr>
                <w:rFonts w:ascii="Times New Roman"/>
                <w:spacing w:val="-1"/>
                <w:sz w:val="18"/>
              </w:rPr>
              <w:t>1,094,799,254.35</w:t>
            </w:r>
          </w:p>
        </w:tc>
      </w:tr>
      <w:tr>
        <w:trPr>
          <w:trHeight w:val="296" w:hRule="exact"/>
        </w:trPr>
        <w:tc>
          <w:tcPr>
            <w:tcW w:w="3010" w:type="dxa"/>
            <w:tcBorders>
              <w:top w:val="nil" w:sz="6" w:space="0" w:color="auto"/>
              <w:left w:val="nil" w:sz="6" w:space="0" w:color="auto"/>
              <w:bottom w:val="nil" w:sz="6" w:space="0" w:color="auto"/>
              <w:right w:val="nil" w:sz="6" w:space="0" w:color="auto"/>
            </w:tcBorders>
          </w:tcPr>
          <w:p>
            <w:pPr>
              <w:pStyle w:val="TableParagraph"/>
              <w:spacing w:line="233" w:lineRule="exact"/>
              <w:ind w:left="345" w:right="0"/>
              <w:jc w:val="left"/>
              <w:rPr>
                <w:rFonts w:ascii="宋体" w:hAnsi="宋体" w:cs="宋体" w:eastAsia="宋体" w:hint="default"/>
                <w:sz w:val="18"/>
                <w:szCs w:val="18"/>
              </w:rPr>
            </w:pPr>
            <w:r>
              <w:rPr>
                <w:rFonts w:ascii="宋体" w:hAnsi="宋体" w:cs="宋体" w:eastAsia="宋体" w:hint="default"/>
                <w:sz w:val="18"/>
                <w:szCs w:val="18"/>
              </w:rPr>
              <w:t>权益工具投资</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42"/>
              <w:jc w:val="right"/>
              <w:rPr>
                <w:rFonts w:ascii="Times New Roman" w:hAnsi="Times New Roman" w:cs="Times New Roman" w:eastAsia="Times New Roman" w:hint="default"/>
                <w:sz w:val="18"/>
                <w:szCs w:val="18"/>
              </w:rPr>
            </w:pPr>
            <w:r>
              <w:rPr>
                <w:rFonts w:ascii="Times New Roman"/>
                <w:spacing w:val="-1"/>
                <w:sz w:val="18"/>
              </w:rPr>
              <w:t>76,326,004.13</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30"/>
              <w:jc w:val="right"/>
              <w:rPr>
                <w:rFonts w:ascii="Times New Roman" w:hAnsi="Times New Roman" w:cs="Times New Roman" w:eastAsia="Times New Roman" w:hint="default"/>
                <w:sz w:val="18"/>
                <w:szCs w:val="18"/>
              </w:rPr>
            </w:pPr>
            <w:r>
              <w:rPr>
                <w:rFonts w:ascii="Times New Roman"/>
                <w:spacing w:val="-1"/>
                <w:sz w:val="18"/>
              </w:rPr>
              <w:t>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27"/>
              <w:jc w:val="right"/>
              <w:rPr>
                <w:rFonts w:ascii="Times New Roman" w:hAnsi="Times New Roman" w:cs="Times New Roman" w:eastAsia="Times New Roman" w:hint="default"/>
                <w:sz w:val="18"/>
                <w:szCs w:val="18"/>
              </w:rPr>
            </w:pPr>
            <w:r>
              <w:rPr>
                <w:rFonts w:ascii="Times New Roman"/>
                <w:spacing w:val="-1"/>
                <w:sz w:val="18"/>
              </w:rPr>
              <w:t>0.00</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5"/>
              <w:jc w:val="right"/>
              <w:rPr>
                <w:rFonts w:ascii="Times New Roman" w:hAnsi="Times New Roman" w:cs="Times New Roman" w:eastAsia="Times New Roman" w:hint="default"/>
                <w:sz w:val="18"/>
                <w:szCs w:val="18"/>
              </w:rPr>
            </w:pPr>
            <w:r>
              <w:rPr>
                <w:rFonts w:ascii="Times New Roman"/>
                <w:spacing w:val="-1"/>
                <w:sz w:val="18"/>
              </w:rPr>
              <w:t>76,326,004.13</w:t>
            </w:r>
          </w:p>
        </w:tc>
      </w:tr>
      <w:tr>
        <w:trPr>
          <w:trHeight w:val="276" w:hRule="exact"/>
        </w:trPr>
        <w:tc>
          <w:tcPr>
            <w:tcW w:w="3010"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z w:val="18"/>
                <w:szCs w:val="18"/>
              </w:rPr>
              <w:t>（三）投资性房地产</w:t>
            </w:r>
          </w:p>
        </w:tc>
        <w:tc>
          <w:tcPr>
            <w:tcW w:w="1642"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nil" w:sz="6" w:space="0" w:color="auto"/>
            </w:tcBorders>
          </w:tcPr>
          <w:p>
            <w:pPr/>
          </w:p>
        </w:tc>
        <w:tc>
          <w:tcPr>
            <w:tcW w:w="975" w:type="dxa"/>
            <w:tcBorders>
              <w:top w:val="nil" w:sz="6" w:space="0" w:color="auto"/>
              <w:left w:val="nil" w:sz="6" w:space="0" w:color="auto"/>
              <w:bottom w:val="nil" w:sz="6" w:space="0" w:color="auto"/>
              <w:right w:val="nil" w:sz="6" w:space="0" w:color="auto"/>
            </w:tcBorders>
          </w:tcPr>
          <w:p>
            <w:pPr/>
          </w:p>
        </w:tc>
        <w:tc>
          <w:tcPr>
            <w:tcW w:w="1447" w:type="dxa"/>
            <w:tcBorders>
              <w:top w:val="nil" w:sz="6" w:space="0" w:color="auto"/>
              <w:left w:val="nil" w:sz="6" w:space="0" w:color="auto"/>
              <w:bottom w:val="nil" w:sz="6" w:space="0" w:color="auto"/>
              <w:right w:val="nil" w:sz="6" w:space="0" w:color="auto"/>
            </w:tcBorders>
          </w:tcPr>
          <w:p>
            <w:pPr/>
          </w:p>
        </w:tc>
      </w:tr>
      <w:tr>
        <w:trPr>
          <w:trHeight w:val="252" w:hRule="exact"/>
        </w:trPr>
        <w:tc>
          <w:tcPr>
            <w:tcW w:w="3010" w:type="dxa"/>
            <w:tcBorders>
              <w:top w:val="nil" w:sz="6" w:space="0" w:color="auto"/>
              <w:left w:val="nil" w:sz="6" w:space="0" w:color="auto"/>
              <w:bottom w:val="nil" w:sz="6" w:space="0" w:color="auto"/>
              <w:right w:val="nil" w:sz="6" w:space="0" w:color="auto"/>
            </w:tcBorders>
          </w:tcPr>
          <w:p>
            <w:pPr>
              <w:pStyle w:val="TableParagraph"/>
              <w:spacing w:line="233" w:lineRule="exact"/>
              <w:ind w:left="345" w:right="0"/>
              <w:jc w:val="left"/>
              <w:rPr>
                <w:rFonts w:ascii="宋体" w:hAnsi="宋体" w:cs="宋体" w:eastAsia="宋体" w:hint="default"/>
                <w:sz w:val="18"/>
                <w:szCs w:val="18"/>
              </w:rPr>
            </w:pPr>
            <w:r>
              <w:rPr>
                <w:rFonts w:ascii="宋体" w:hAnsi="宋体" w:cs="宋体" w:eastAsia="宋体" w:hint="default"/>
                <w:sz w:val="18"/>
                <w:szCs w:val="18"/>
              </w:rPr>
              <w:t>出租的建筑物</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43"/>
              <w:jc w:val="right"/>
              <w:rPr>
                <w:rFonts w:ascii="Times New Roman" w:hAnsi="Times New Roman" w:cs="Times New Roman" w:eastAsia="Times New Roman" w:hint="default"/>
                <w:sz w:val="18"/>
                <w:szCs w:val="18"/>
              </w:rPr>
            </w:pPr>
            <w:r>
              <w:rPr>
                <w:rFonts w:ascii="Times New Roman"/>
                <w:spacing w:val="-1"/>
                <w:sz w:val="18"/>
              </w:rPr>
              <w:t>0.00</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29"/>
              <w:jc w:val="right"/>
              <w:rPr>
                <w:rFonts w:ascii="Times New Roman" w:hAnsi="Times New Roman" w:cs="Times New Roman" w:eastAsia="Times New Roman" w:hint="default"/>
                <w:sz w:val="18"/>
                <w:szCs w:val="18"/>
              </w:rPr>
            </w:pPr>
            <w:r>
              <w:rPr>
                <w:rFonts w:ascii="Times New Roman"/>
                <w:spacing w:val="-1"/>
                <w:sz w:val="18"/>
              </w:rPr>
              <w:t>14,700,000.00</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27"/>
              <w:jc w:val="right"/>
              <w:rPr>
                <w:rFonts w:ascii="Times New Roman" w:hAnsi="Times New Roman" w:cs="Times New Roman" w:eastAsia="Times New Roman" w:hint="default"/>
                <w:sz w:val="18"/>
                <w:szCs w:val="18"/>
              </w:rPr>
            </w:pPr>
            <w:r>
              <w:rPr>
                <w:rFonts w:ascii="Times New Roman"/>
                <w:spacing w:val="-1"/>
                <w:sz w:val="18"/>
              </w:rPr>
              <w:t>0.00</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5"/>
              <w:jc w:val="right"/>
              <w:rPr>
                <w:rFonts w:ascii="Times New Roman" w:hAnsi="Times New Roman" w:cs="Times New Roman" w:eastAsia="Times New Roman" w:hint="default"/>
                <w:sz w:val="18"/>
                <w:szCs w:val="18"/>
              </w:rPr>
            </w:pPr>
            <w:r>
              <w:rPr>
                <w:rFonts w:ascii="Times New Roman"/>
                <w:spacing w:val="-1"/>
                <w:sz w:val="18"/>
              </w:rPr>
              <w:t>14,700,000.00</w:t>
            </w:r>
          </w:p>
        </w:tc>
      </w:tr>
      <w:tr>
        <w:trPr>
          <w:trHeight w:val="317" w:hRule="exact"/>
        </w:trPr>
        <w:tc>
          <w:tcPr>
            <w:tcW w:w="301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71" w:right="0"/>
              <w:jc w:val="left"/>
              <w:rPr>
                <w:rFonts w:ascii="宋体" w:hAnsi="宋体" w:cs="宋体" w:eastAsia="宋体" w:hint="default"/>
                <w:sz w:val="18"/>
                <w:szCs w:val="18"/>
              </w:rPr>
            </w:pPr>
            <w:r>
              <w:rPr>
                <w:rFonts w:ascii="宋体" w:hAnsi="宋体" w:cs="宋体" w:eastAsia="宋体" w:hint="default"/>
                <w:sz w:val="18"/>
                <w:szCs w:val="18"/>
              </w:rPr>
              <w:t>（四）其他非流动资产</w:t>
            </w:r>
          </w:p>
        </w:tc>
        <w:tc>
          <w:tcPr>
            <w:tcW w:w="1642"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nil" w:sz="6" w:space="0" w:color="auto"/>
            </w:tcBorders>
          </w:tcPr>
          <w:p>
            <w:pPr/>
          </w:p>
        </w:tc>
        <w:tc>
          <w:tcPr>
            <w:tcW w:w="975" w:type="dxa"/>
            <w:tcBorders>
              <w:top w:val="nil" w:sz="6" w:space="0" w:color="auto"/>
              <w:left w:val="nil" w:sz="6" w:space="0" w:color="auto"/>
              <w:bottom w:val="nil" w:sz="6" w:space="0" w:color="auto"/>
              <w:right w:val="nil" w:sz="6" w:space="0" w:color="auto"/>
            </w:tcBorders>
          </w:tcPr>
          <w:p>
            <w:pPr/>
          </w:p>
        </w:tc>
        <w:tc>
          <w:tcPr>
            <w:tcW w:w="1447" w:type="dxa"/>
            <w:tcBorders>
              <w:top w:val="nil" w:sz="6" w:space="0" w:color="auto"/>
              <w:left w:val="nil" w:sz="6" w:space="0" w:color="auto"/>
              <w:bottom w:val="nil" w:sz="6" w:space="0" w:color="auto"/>
              <w:right w:val="nil" w:sz="6" w:space="0" w:color="auto"/>
            </w:tcBorders>
          </w:tcPr>
          <w:p>
            <w:pPr/>
          </w:p>
        </w:tc>
      </w:tr>
      <w:tr>
        <w:trPr>
          <w:trHeight w:val="295" w:hRule="exact"/>
        </w:trPr>
        <w:tc>
          <w:tcPr>
            <w:tcW w:w="3010" w:type="dxa"/>
            <w:tcBorders>
              <w:top w:val="nil" w:sz="6" w:space="0" w:color="auto"/>
              <w:left w:val="nil" w:sz="6" w:space="0" w:color="auto"/>
              <w:bottom w:val="nil" w:sz="6" w:space="0" w:color="auto"/>
              <w:right w:val="nil" w:sz="6" w:space="0" w:color="auto"/>
            </w:tcBorders>
          </w:tcPr>
          <w:p>
            <w:pPr>
              <w:pStyle w:val="TableParagraph"/>
              <w:spacing w:line="233" w:lineRule="exact"/>
              <w:ind w:left="254" w:right="0"/>
              <w:jc w:val="left"/>
              <w:rPr>
                <w:rFonts w:ascii="宋体" w:hAnsi="宋体" w:cs="宋体" w:eastAsia="宋体" w:hint="default"/>
                <w:sz w:val="18"/>
                <w:szCs w:val="18"/>
              </w:rPr>
            </w:pPr>
            <w:r>
              <w:rPr>
                <w:rFonts w:ascii="宋体" w:hAnsi="宋体" w:cs="宋体" w:eastAsia="宋体" w:hint="default"/>
                <w:sz w:val="18"/>
                <w:szCs w:val="18"/>
              </w:rPr>
              <w:t>非上市资产管理计划和投资基金</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43"/>
              <w:jc w:val="right"/>
              <w:rPr>
                <w:rFonts w:ascii="Times New Roman" w:hAnsi="Times New Roman" w:cs="Times New Roman" w:eastAsia="Times New Roman" w:hint="default"/>
                <w:sz w:val="18"/>
                <w:szCs w:val="18"/>
              </w:rPr>
            </w:pPr>
            <w:r>
              <w:rPr>
                <w:rFonts w:ascii="Times New Roman"/>
                <w:spacing w:val="-1"/>
                <w:sz w:val="18"/>
              </w:rPr>
              <w:t>0.00</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28"/>
              <w:jc w:val="right"/>
              <w:rPr>
                <w:rFonts w:ascii="Times New Roman" w:hAnsi="Times New Roman" w:cs="Times New Roman" w:eastAsia="Times New Roman" w:hint="default"/>
                <w:sz w:val="18"/>
                <w:szCs w:val="18"/>
              </w:rPr>
            </w:pPr>
            <w:r>
              <w:rPr>
                <w:rFonts w:ascii="Times New Roman"/>
                <w:spacing w:val="-1"/>
                <w:sz w:val="18"/>
              </w:rPr>
              <w:t>448,197,303.66</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27"/>
              <w:jc w:val="right"/>
              <w:rPr>
                <w:rFonts w:ascii="Times New Roman" w:hAnsi="Times New Roman" w:cs="Times New Roman" w:eastAsia="Times New Roman" w:hint="default"/>
                <w:sz w:val="18"/>
                <w:szCs w:val="18"/>
              </w:rPr>
            </w:pPr>
            <w:r>
              <w:rPr>
                <w:rFonts w:ascii="Times New Roman"/>
                <w:spacing w:val="-1"/>
                <w:sz w:val="18"/>
              </w:rPr>
              <w:t>0.00</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5"/>
              <w:jc w:val="right"/>
              <w:rPr>
                <w:rFonts w:ascii="Times New Roman" w:hAnsi="Times New Roman" w:cs="Times New Roman" w:eastAsia="Times New Roman" w:hint="default"/>
                <w:sz w:val="18"/>
                <w:szCs w:val="18"/>
              </w:rPr>
            </w:pPr>
            <w:r>
              <w:rPr>
                <w:rFonts w:ascii="Times New Roman"/>
                <w:spacing w:val="-1"/>
                <w:sz w:val="18"/>
              </w:rPr>
              <w:t>448,197,303.66</w:t>
            </w:r>
          </w:p>
        </w:tc>
      </w:tr>
      <w:tr>
        <w:trPr>
          <w:trHeight w:val="267" w:hRule="exact"/>
        </w:trPr>
        <w:tc>
          <w:tcPr>
            <w:tcW w:w="3010" w:type="dxa"/>
            <w:tcBorders>
              <w:top w:val="nil" w:sz="6" w:space="0" w:color="auto"/>
              <w:left w:val="nil" w:sz="6" w:space="0" w:color="auto"/>
              <w:bottom w:val="single" w:sz="12" w:space="0" w:color="000000"/>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b/>
                <w:bCs/>
                <w:sz w:val="18"/>
                <w:szCs w:val="18"/>
              </w:rPr>
              <w:t>持续以公允价值计量的资产总额</w:t>
            </w:r>
            <w:r>
              <w:rPr>
                <w:rFonts w:ascii="宋体" w:hAnsi="宋体" w:cs="宋体" w:eastAsia="宋体" w:hint="default"/>
                <w:sz w:val="18"/>
                <w:szCs w:val="18"/>
              </w:rPr>
            </w:r>
          </w:p>
        </w:tc>
        <w:tc>
          <w:tcPr>
            <w:tcW w:w="1642"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right="142"/>
              <w:jc w:val="right"/>
              <w:rPr>
                <w:rFonts w:ascii="Times New Roman" w:hAnsi="Times New Roman" w:cs="Times New Roman" w:eastAsia="Times New Roman" w:hint="default"/>
                <w:sz w:val="18"/>
                <w:szCs w:val="18"/>
              </w:rPr>
            </w:pPr>
            <w:r>
              <w:rPr>
                <w:rFonts w:ascii="Times New Roman"/>
                <w:b/>
                <w:spacing w:val="-1"/>
                <w:sz w:val="18"/>
              </w:rPr>
              <w:t>1,295,013,018.28</w:t>
            </w:r>
            <w:r>
              <w:rPr>
                <w:rFonts w:ascii="Times New Roman"/>
                <w:spacing w:val="-1"/>
                <w:sz w:val="18"/>
              </w:rPr>
            </w:r>
          </w:p>
        </w:tc>
        <w:tc>
          <w:tcPr>
            <w:tcW w:w="1801"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right="529"/>
              <w:jc w:val="right"/>
              <w:rPr>
                <w:rFonts w:ascii="Times New Roman" w:hAnsi="Times New Roman" w:cs="Times New Roman" w:eastAsia="Times New Roman" w:hint="default"/>
                <w:sz w:val="18"/>
                <w:szCs w:val="18"/>
              </w:rPr>
            </w:pPr>
            <w:r>
              <w:rPr>
                <w:rFonts w:ascii="Times New Roman"/>
                <w:b/>
                <w:spacing w:val="-1"/>
                <w:sz w:val="18"/>
              </w:rPr>
              <w:t>477,897,303.66</w:t>
            </w:r>
            <w:r>
              <w:rPr>
                <w:rFonts w:ascii="Times New Roman"/>
                <w:spacing w:val="-1"/>
                <w:sz w:val="18"/>
              </w:rPr>
            </w:r>
          </w:p>
        </w:tc>
        <w:tc>
          <w:tcPr>
            <w:tcW w:w="975"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right="127"/>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47"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right="55"/>
              <w:jc w:val="right"/>
              <w:rPr>
                <w:rFonts w:ascii="Times New Roman" w:hAnsi="Times New Roman" w:cs="Times New Roman" w:eastAsia="Times New Roman" w:hint="default"/>
                <w:sz w:val="18"/>
                <w:szCs w:val="18"/>
              </w:rPr>
            </w:pPr>
            <w:r>
              <w:rPr>
                <w:rFonts w:ascii="Times New Roman"/>
                <w:b/>
                <w:spacing w:val="-1"/>
                <w:sz w:val="18"/>
              </w:rPr>
              <w:t>1,772,910,321.94</w:t>
            </w:r>
            <w:r>
              <w:rPr>
                <w:rFonts w:ascii="Times New Roman"/>
                <w:spacing w:val="-1"/>
                <w:sz w:val="18"/>
              </w:rPr>
            </w:r>
          </w:p>
        </w:tc>
      </w:tr>
    </w:tbl>
    <w:p>
      <w:pPr>
        <w:spacing w:line="326" w:lineRule="auto" w:before="7"/>
        <w:ind w:left="675" w:right="11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持续和非持续第一层次公允价值计量项目市价的确定依据</w:t>
      </w:r>
      <w:r>
        <w:rPr>
          <w:rFonts w:ascii="宋体" w:hAnsi="宋体" w:cs="宋体" w:eastAsia="宋体" w:hint="default"/>
          <w:w w:val="100"/>
          <w:sz w:val="22"/>
          <w:szCs w:val="22"/>
        </w:rPr>
        <w:t> </w:t>
      </w:r>
      <w:r>
        <w:rPr>
          <w:rFonts w:ascii="宋体" w:hAnsi="宋体" w:cs="宋体" w:eastAsia="宋体" w:hint="default"/>
          <w:spacing w:val="-1"/>
          <w:sz w:val="22"/>
          <w:szCs w:val="22"/>
        </w:rPr>
        <w:t>本公司以活跃市场上未经调整的报价作为第一层次金融资产的公允价值。</w:t>
      </w:r>
    </w:p>
    <w:p>
      <w:pPr>
        <w:spacing w:after="0" w:line="326" w:lineRule="auto"/>
        <w:jc w:val="left"/>
        <w:rPr>
          <w:rFonts w:ascii="宋体" w:hAnsi="宋体" w:cs="宋体" w:eastAsia="宋体" w:hint="default"/>
          <w:sz w:val="22"/>
          <w:szCs w:val="22"/>
        </w:rPr>
        <w:sectPr>
          <w:type w:val="continuous"/>
          <w:pgSz w:w="11910" w:h="16840"/>
          <w:pgMar w:top="1020" w:bottom="280" w:left="1480" w:right="1280"/>
        </w:sectPr>
      </w:pPr>
    </w:p>
    <w:p>
      <w:pPr>
        <w:spacing w:line="240" w:lineRule="auto" w:before="1"/>
        <w:rPr>
          <w:rFonts w:ascii="宋体" w:hAnsi="宋体" w:cs="宋体" w:eastAsia="宋体" w:hint="default"/>
          <w:sz w:val="22"/>
          <w:szCs w:val="22"/>
        </w:rPr>
      </w:pPr>
    </w:p>
    <w:p>
      <w:pPr>
        <w:spacing w:line="283" w:lineRule="auto" w:before="32"/>
        <w:ind w:left="1149" w:right="0" w:hanging="45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w:t>
      </w:r>
      <w:r>
        <w:rPr>
          <w:rFonts w:ascii="Times New Roman" w:hAnsi="Times New Roman" w:cs="Times New Roman" w:eastAsia="Times New Roman" w:hint="default"/>
          <w:b/>
          <w:bCs/>
          <w:spacing w:val="8"/>
          <w:sz w:val="22"/>
          <w:szCs w:val="22"/>
        </w:rPr>
        <w:t> </w:t>
      </w:r>
      <w:r>
        <w:rPr>
          <w:rFonts w:ascii="宋体" w:hAnsi="宋体" w:cs="宋体" w:eastAsia="宋体" w:hint="default"/>
          <w:sz w:val="22"/>
          <w:szCs w:val="22"/>
        </w:rPr>
        <w:t>持续和非持续第二层次公允价值计量项目，采用的估值技术和重要参数的定性及</w:t>
      </w:r>
      <w:r>
        <w:rPr>
          <w:rFonts w:ascii="宋体" w:hAnsi="宋体" w:cs="宋体" w:eastAsia="宋体" w:hint="default"/>
          <w:w w:val="100"/>
          <w:sz w:val="22"/>
          <w:szCs w:val="22"/>
        </w:rPr>
        <w:t> </w:t>
      </w:r>
      <w:r>
        <w:rPr>
          <w:rFonts w:ascii="宋体" w:hAnsi="宋体" w:cs="宋体" w:eastAsia="宋体" w:hint="default"/>
          <w:sz w:val="22"/>
          <w:szCs w:val="22"/>
        </w:rPr>
        <w:t>定量信息</w:t>
      </w:r>
    </w:p>
    <w:p>
      <w:pPr>
        <w:spacing w:line="297" w:lineRule="auto" w:before="90"/>
        <w:ind w:left="242" w:right="217" w:firstLine="439"/>
        <w:jc w:val="both"/>
        <w:rPr>
          <w:rFonts w:ascii="宋体" w:hAnsi="宋体" w:cs="宋体" w:eastAsia="宋体" w:hint="default"/>
          <w:sz w:val="22"/>
          <w:szCs w:val="22"/>
        </w:rPr>
      </w:pPr>
      <w:r>
        <w:rPr>
          <w:rFonts w:ascii="宋体" w:hAnsi="宋体" w:cs="宋体" w:eastAsia="宋体" w:hint="default"/>
          <w:spacing w:val="-3"/>
          <w:sz w:val="22"/>
          <w:szCs w:val="22"/>
        </w:rPr>
        <w:t>本公司以预期收益率预计未来现金流量，并以反映交易对手方的信用风险折现率进行</w:t>
      </w:r>
      <w:r>
        <w:rPr>
          <w:rFonts w:ascii="宋体" w:hAnsi="宋体" w:cs="宋体" w:eastAsia="宋体" w:hint="default"/>
          <w:w w:val="100"/>
          <w:sz w:val="22"/>
          <w:szCs w:val="22"/>
        </w:rPr>
        <w:t> </w:t>
      </w:r>
      <w:r>
        <w:rPr>
          <w:rFonts w:ascii="宋体" w:hAnsi="宋体" w:cs="宋体" w:eastAsia="宋体" w:hint="default"/>
          <w:spacing w:val="-3"/>
          <w:sz w:val="22"/>
          <w:szCs w:val="22"/>
        </w:rPr>
        <w:t>折现，以此作为第二层次金融资产、非上市资产管理计划和投资基金的估值技术和主要输</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入值；以假设在市场出售投资性房地产时，参考类似地段和条件的同类房地产现行市价按</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直接比较法进行评估，以此作为第二层次投资性房地产的估值技术和主要输入值。</w:t>
      </w:r>
    </w:p>
    <w:p>
      <w:pPr>
        <w:tabs>
          <w:tab w:pos="1374" w:val="left" w:leader="none"/>
        </w:tabs>
        <w:spacing w:before="77"/>
        <w:ind w:left="705" w:right="0" w:firstLine="0"/>
        <w:jc w:val="left"/>
        <w:rPr>
          <w:rFonts w:ascii="宋体" w:hAnsi="宋体" w:cs="宋体" w:eastAsia="宋体" w:hint="default"/>
          <w:sz w:val="22"/>
          <w:szCs w:val="22"/>
        </w:rPr>
      </w:pPr>
      <w:r>
        <w:rPr>
          <w:rFonts w:ascii="Times New Roman" w:hAnsi="Times New Roman" w:cs="Times New Roman" w:eastAsia="Times New Roman" w:hint="default"/>
          <w:b/>
          <w:bCs/>
          <w:spacing w:val="12"/>
          <w:sz w:val="22"/>
          <w:szCs w:val="22"/>
        </w:rPr>
        <w:t>37.</w:t>
        <w:tab/>
      </w:r>
      <w:r>
        <w:rPr>
          <w:rFonts w:ascii="宋体" w:hAnsi="宋体" w:cs="宋体" w:eastAsia="宋体" w:hint="default"/>
          <w:b/>
          <w:bCs/>
          <w:sz w:val="22"/>
          <w:szCs w:val="22"/>
        </w:rPr>
        <w:t>关</w:t>
      </w:r>
      <w:r>
        <w:rPr>
          <w:rFonts w:ascii="宋体" w:hAnsi="宋体" w:cs="宋体" w:eastAsia="宋体" w:hint="default"/>
          <w:b/>
          <w:bCs/>
          <w:spacing w:val="-72"/>
          <w:sz w:val="22"/>
          <w:szCs w:val="22"/>
        </w:rPr>
        <w:t> </w:t>
      </w:r>
      <w:r>
        <w:rPr>
          <w:rFonts w:ascii="宋体" w:hAnsi="宋体" w:cs="宋体" w:eastAsia="宋体" w:hint="default"/>
          <w:b/>
          <w:bCs/>
          <w:sz w:val="22"/>
          <w:szCs w:val="22"/>
        </w:rPr>
        <w:t>联</w:t>
      </w:r>
      <w:r>
        <w:rPr>
          <w:rFonts w:ascii="宋体" w:hAnsi="宋体" w:cs="宋体" w:eastAsia="宋体" w:hint="default"/>
          <w:b/>
          <w:bCs/>
          <w:spacing w:val="-72"/>
          <w:sz w:val="22"/>
          <w:szCs w:val="22"/>
        </w:rPr>
        <w:t> </w:t>
      </w:r>
      <w:r>
        <w:rPr>
          <w:rFonts w:ascii="宋体" w:hAnsi="宋体" w:cs="宋体" w:eastAsia="宋体" w:hint="default"/>
          <w:b/>
          <w:bCs/>
          <w:sz w:val="22"/>
          <w:szCs w:val="22"/>
        </w:rPr>
        <w:t>方</w:t>
      </w:r>
      <w:r>
        <w:rPr>
          <w:rFonts w:ascii="宋体" w:hAnsi="宋体" w:cs="宋体" w:eastAsia="宋体" w:hint="default"/>
          <w:b/>
          <w:bCs/>
          <w:spacing w:val="-72"/>
          <w:sz w:val="22"/>
          <w:szCs w:val="22"/>
        </w:rPr>
        <w:t> </w:t>
      </w:r>
      <w:r>
        <w:rPr>
          <w:rFonts w:ascii="宋体" w:hAnsi="宋体" w:cs="宋体" w:eastAsia="宋体" w:hint="default"/>
          <w:b/>
          <w:bCs/>
          <w:sz w:val="22"/>
          <w:szCs w:val="22"/>
        </w:rPr>
        <w:t>及</w:t>
      </w:r>
      <w:r>
        <w:rPr>
          <w:rFonts w:ascii="宋体" w:hAnsi="宋体" w:cs="宋体" w:eastAsia="宋体" w:hint="default"/>
          <w:b/>
          <w:bCs/>
          <w:spacing w:val="-74"/>
          <w:sz w:val="22"/>
          <w:szCs w:val="22"/>
        </w:rPr>
        <w:t> </w:t>
      </w:r>
      <w:r>
        <w:rPr>
          <w:rFonts w:ascii="宋体" w:hAnsi="宋体" w:cs="宋体" w:eastAsia="宋体" w:hint="default"/>
          <w:b/>
          <w:bCs/>
          <w:sz w:val="22"/>
          <w:szCs w:val="22"/>
        </w:rPr>
        <w:t>关</w:t>
      </w:r>
      <w:r>
        <w:rPr>
          <w:rFonts w:ascii="宋体" w:hAnsi="宋体" w:cs="宋体" w:eastAsia="宋体" w:hint="default"/>
          <w:b/>
          <w:bCs/>
          <w:spacing w:val="-72"/>
          <w:sz w:val="22"/>
          <w:szCs w:val="22"/>
        </w:rPr>
        <w:t> </w:t>
      </w:r>
      <w:r>
        <w:rPr>
          <w:rFonts w:ascii="宋体" w:hAnsi="宋体" w:cs="宋体" w:eastAsia="宋体" w:hint="default"/>
          <w:b/>
          <w:bCs/>
          <w:sz w:val="22"/>
          <w:szCs w:val="22"/>
        </w:rPr>
        <w:t>联</w:t>
      </w:r>
      <w:r>
        <w:rPr>
          <w:rFonts w:ascii="宋体" w:hAnsi="宋体" w:cs="宋体" w:eastAsia="宋体" w:hint="default"/>
          <w:b/>
          <w:bCs/>
          <w:spacing w:val="-72"/>
          <w:sz w:val="22"/>
          <w:szCs w:val="22"/>
        </w:rPr>
        <w:t> </w:t>
      </w:r>
      <w:r>
        <w:rPr>
          <w:rFonts w:ascii="宋体" w:hAnsi="宋体" w:cs="宋体" w:eastAsia="宋体" w:hint="default"/>
          <w:b/>
          <w:bCs/>
          <w:sz w:val="22"/>
          <w:szCs w:val="22"/>
        </w:rPr>
        <w:t>交</w:t>
      </w:r>
      <w:r>
        <w:rPr>
          <w:rFonts w:ascii="宋体" w:hAnsi="宋体" w:cs="宋体" w:eastAsia="宋体" w:hint="default"/>
          <w:b/>
          <w:bCs/>
          <w:spacing w:val="-72"/>
          <w:sz w:val="22"/>
          <w:szCs w:val="22"/>
        </w:rPr>
        <w:t> </w:t>
      </w:r>
      <w:r>
        <w:rPr>
          <w:rFonts w:ascii="宋体" w:hAnsi="宋体" w:cs="宋体" w:eastAsia="宋体" w:hint="default"/>
          <w:b/>
          <w:bCs/>
          <w:sz w:val="22"/>
          <w:szCs w:val="22"/>
        </w:rPr>
        <w:t>易</w:t>
      </w:r>
      <w:r>
        <w:rPr>
          <w:rFonts w:ascii="宋体" w:hAnsi="宋体" w:cs="宋体" w:eastAsia="宋体" w:hint="default"/>
          <w:sz w:val="22"/>
          <w:szCs w:val="22"/>
        </w:rPr>
      </w:r>
    </w:p>
    <w:p>
      <w:pPr>
        <w:spacing w:before="113"/>
        <w:ind w:left="565" w:right="6808" w:firstLine="0"/>
        <w:jc w:val="center"/>
        <w:rPr>
          <w:rFonts w:ascii="宋体" w:hAnsi="宋体" w:cs="宋体" w:eastAsia="宋体" w:hint="default"/>
          <w:sz w:val="22"/>
          <w:szCs w:val="22"/>
        </w:rPr>
      </w:pPr>
      <w:r>
        <w:rPr>
          <w:rFonts w:ascii="Times New Roman" w:hAnsi="Times New Roman" w:cs="Times New Roman" w:eastAsia="Times New Roman" w:hint="default"/>
          <w:b/>
          <w:bCs/>
          <w:sz w:val="22"/>
          <w:szCs w:val="22"/>
        </w:rPr>
        <w:t>(</w:t>
      </w:r>
      <w:r>
        <w:rPr>
          <w:rFonts w:ascii="宋体" w:hAnsi="宋体" w:cs="宋体" w:eastAsia="宋体" w:hint="default"/>
          <w:b/>
          <w:bCs/>
          <w:sz w:val="22"/>
          <w:szCs w:val="22"/>
        </w:rPr>
        <w:t>一</w:t>
      </w:r>
      <w:r>
        <w:rPr>
          <w:rFonts w:ascii="Times New Roman" w:hAnsi="Times New Roman" w:cs="Times New Roman" w:eastAsia="Times New Roman" w:hint="default"/>
          <w:b/>
          <w:bCs/>
          <w:sz w:val="22"/>
          <w:szCs w:val="22"/>
        </w:rPr>
        <w:t>)</w:t>
      </w:r>
      <w:r>
        <w:rPr>
          <w:rFonts w:ascii="Times New Roman" w:hAnsi="Times New Roman" w:cs="Times New Roman" w:eastAsia="Times New Roman" w:hint="default"/>
          <w:b/>
          <w:bCs/>
          <w:spacing w:val="29"/>
          <w:sz w:val="22"/>
          <w:szCs w:val="22"/>
        </w:rPr>
        <w:t> </w:t>
      </w:r>
      <w:r>
        <w:rPr>
          <w:rFonts w:ascii="宋体" w:hAnsi="宋体" w:cs="宋体" w:eastAsia="宋体" w:hint="default"/>
          <w:b/>
          <w:bCs/>
          <w:sz w:val="22"/>
          <w:szCs w:val="22"/>
        </w:rPr>
        <w:t>关联方关系</w:t>
      </w:r>
      <w:r>
        <w:rPr>
          <w:rFonts w:ascii="宋体" w:hAnsi="宋体" w:cs="宋体" w:eastAsia="宋体" w:hint="default"/>
          <w:sz w:val="22"/>
          <w:szCs w:val="22"/>
        </w:rPr>
      </w:r>
    </w:p>
    <w:p>
      <w:pPr>
        <w:spacing w:before="110"/>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18"/>
          <w:sz w:val="22"/>
          <w:szCs w:val="22"/>
        </w:rPr>
        <w:t> </w:t>
      </w:r>
      <w:r>
        <w:rPr>
          <w:rFonts w:ascii="宋体" w:hAnsi="宋体" w:cs="宋体" w:eastAsia="宋体" w:hint="default"/>
          <w:sz w:val="22"/>
          <w:szCs w:val="22"/>
        </w:rPr>
        <w:t>控股股东</w:t>
      </w:r>
    </w:p>
    <w:p>
      <w:pPr>
        <w:spacing w:before="113"/>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4"/>
          <w:sz w:val="22"/>
          <w:szCs w:val="22"/>
        </w:rPr>
        <w:t> </w:t>
      </w:r>
      <w:r>
        <w:rPr>
          <w:rFonts w:ascii="宋体" w:hAnsi="宋体" w:cs="宋体" w:eastAsia="宋体" w:hint="default"/>
          <w:sz w:val="22"/>
          <w:szCs w:val="22"/>
        </w:rPr>
        <w:t>控股股东</w:t>
      </w:r>
    </w:p>
    <w:p>
      <w:pPr>
        <w:spacing w:line="240" w:lineRule="auto" w:before="5"/>
        <w:rPr>
          <w:rFonts w:ascii="宋体" w:hAnsi="宋体" w:cs="宋体" w:eastAsia="宋体" w:hint="default"/>
          <w:sz w:val="11"/>
          <w:szCs w:val="11"/>
        </w:rPr>
      </w:pPr>
    </w:p>
    <w:tbl>
      <w:tblPr>
        <w:tblW w:w="0" w:type="auto"/>
        <w:jc w:val="left"/>
        <w:tblInd w:w="134" w:type="dxa"/>
        <w:tblLayout w:type="fixed"/>
        <w:tblCellMar>
          <w:top w:w="0" w:type="dxa"/>
          <w:left w:w="0" w:type="dxa"/>
          <w:bottom w:w="0" w:type="dxa"/>
          <w:right w:w="0" w:type="dxa"/>
        </w:tblCellMar>
        <w:tblLook w:val="01E0"/>
      </w:tblPr>
      <w:tblGrid>
        <w:gridCol w:w="1763"/>
        <w:gridCol w:w="1446"/>
        <w:gridCol w:w="1012"/>
        <w:gridCol w:w="1511"/>
        <w:gridCol w:w="1405"/>
        <w:gridCol w:w="1588"/>
      </w:tblGrid>
      <w:tr>
        <w:trPr>
          <w:trHeight w:val="488" w:hRule="exact"/>
        </w:trPr>
        <w:tc>
          <w:tcPr>
            <w:tcW w:w="1763" w:type="dxa"/>
            <w:tcBorders>
              <w:top w:val="single" w:sz="12" w:space="0" w:color="000000"/>
              <w:left w:val="nil" w:sz="6" w:space="0" w:color="auto"/>
              <w:bottom w:val="single" w:sz="4" w:space="0" w:color="000000"/>
              <w:right w:val="nil" w:sz="6" w:space="0" w:color="auto"/>
            </w:tcBorders>
          </w:tcPr>
          <w:p>
            <w:pPr>
              <w:pStyle w:val="TableParagraph"/>
              <w:spacing w:line="240" w:lineRule="auto" w:before="90"/>
              <w:ind w:left="108" w:right="0"/>
              <w:jc w:val="left"/>
              <w:rPr>
                <w:rFonts w:ascii="宋体" w:hAnsi="宋体" w:cs="宋体" w:eastAsia="宋体" w:hint="default"/>
                <w:sz w:val="18"/>
                <w:szCs w:val="18"/>
              </w:rPr>
            </w:pPr>
            <w:r>
              <w:rPr>
                <w:rFonts w:ascii="宋体" w:hAnsi="宋体" w:cs="宋体" w:eastAsia="宋体" w:hint="default"/>
                <w:b/>
                <w:bCs/>
                <w:sz w:val="18"/>
                <w:szCs w:val="18"/>
              </w:rPr>
              <w:t>控股股东名称</w:t>
            </w:r>
            <w:r>
              <w:rPr>
                <w:rFonts w:ascii="宋体" w:hAnsi="宋体" w:cs="宋体" w:eastAsia="宋体" w:hint="default"/>
                <w:sz w:val="18"/>
                <w:szCs w:val="18"/>
              </w:rPr>
            </w:r>
          </w:p>
        </w:tc>
        <w:tc>
          <w:tcPr>
            <w:tcW w:w="1446" w:type="dxa"/>
            <w:tcBorders>
              <w:top w:val="single" w:sz="12" w:space="0" w:color="000000"/>
              <w:left w:val="nil" w:sz="6" w:space="0" w:color="auto"/>
              <w:bottom w:val="single" w:sz="4" w:space="0" w:color="000000"/>
              <w:right w:val="nil" w:sz="6" w:space="0" w:color="auto"/>
            </w:tcBorders>
          </w:tcPr>
          <w:p>
            <w:pPr>
              <w:pStyle w:val="TableParagraph"/>
              <w:spacing w:line="240" w:lineRule="auto" w:before="90"/>
              <w:ind w:left="64" w:right="0"/>
              <w:jc w:val="center"/>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c>
        <w:tc>
          <w:tcPr>
            <w:tcW w:w="1012" w:type="dxa"/>
            <w:tcBorders>
              <w:top w:val="single" w:sz="12" w:space="0" w:color="000000"/>
              <w:left w:val="nil" w:sz="6" w:space="0" w:color="auto"/>
              <w:bottom w:val="single" w:sz="4" w:space="0" w:color="000000"/>
              <w:right w:val="nil" w:sz="6" w:space="0" w:color="auto"/>
            </w:tcBorders>
          </w:tcPr>
          <w:p>
            <w:pPr>
              <w:pStyle w:val="TableParagraph"/>
              <w:spacing w:line="240" w:lineRule="auto" w:before="90"/>
              <w:ind w:left="13" w:right="0"/>
              <w:jc w:val="center"/>
              <w:rPr>
                <w:rFonts w:ascii="宋体" w:hAnsi="宋体" w:cs="宋体" w:eastAsia="宋体" w:hint="default"/>
                <w:sz w:val="18"/>
                <w:szCs w:val="18"/>
              </w:rPr>
            </w:pPr>
            <w:r>
              <w:rPr>
                <w:rFonts w:ascii="宋体" w:hAnsi="宋体" w:cs="宋体" w:eastAsia="宋体" w:hint="default"/>
                <w:b/>
                <w:bCs/>
                <w:sz w:val="18"/>
                <w:szCs w:val="18"/>
              </w:rPr>
              <w:t>业务性质</w:t>
            </w:r>
            <w:r>
              <w:rPr>
                <w:rFonts w:ascii="宋体" w:hAnsi="宋体" w:cs="宋体" w:eastAsia="宋体" w:hint="default"/>
                <w:sz w:val="18"/>
                <w:szCs w:val="18"/>
              </w:rPr>
            </w:r>
          </w:p>
        </w:tc>
        <w:tc>
          <w:tcPr>
            <w:tcW w:w="1511" w:type="dxa"/>
            <w:tcBorders>
              <w:top w:val="single" w:sz="12" w:space="0" w:color="000000"/>
              <w:left w:val="nil" w:sz="6" w:space="0" w:color="auto"/>
              <w:bottom w:val="single" w:sz="4" w:space="0" w:color="000000"/>
              <w:right w:val="nil" w:sz="6" w:space="0" w:color="auto"/>
            </w:tcBorders>
          </w:tcPr>
          <w:p>
            <w:pPr>
              <w:pStyle w:val="TableParagraph"/>
              <w:spacing w:line="240" w:lineRule="auto" w:before="90"/>
              <w:ind w:right="15"/>
              <w:jc w:val="center"/>
              <w:rPr>
                <w:rFonts w:ascii="宋体" w:hAnsi="宋体" w:cs="宋体" w:eastAsia="宋体" w:hint="default"/>
                <w:sz w:val="18"/>
                <w:szCs w:val="18"/>
              </w:rPr>
            </w:pPr>
            <w:r>
              <w:rPr>
                <w:rFonts w:ascii="宋体" w:hAnsi="宋体" w:cs="宋体" w:eastAsia="宋体" w:hint="default"/>
                <w:b/>
                <w:bCs/>
                <w:sz w:val="18"/>
                <w:szCs w:val="18"/>
              </w:rPr>
              <w:t>注册资本</w:t>
            </w:r>
            <w:r>
              <w:rPr>
                <w:rFonts w:ascii="宋体" w:hAnsi="宋体" w:cs="宋体" w:eastAsia="宋体" w:hint="default"/>
                <w:sz w:val="18"/>
                <w:szCs w:val="18"/>
              </w:rPr>
            </w:r>
          </w:p>
        </w:tc>
        <w:tc>
          <w:tcPr>
            <w:tcW w:w="1405" w:type="dxa"/>
            <w:tcBorders>
              <w:top w:val="single" w:sz="12" w:space="0" w:color="000000"/>
              <w:left w:val="nil" w:sz="6" w:space="0" w:color="auto"/>
              <w:bottom w:val="single" w:sz="4" w:space="0" w:color="000000"/>
              <w:right w:val="nil" w:sz="6" w:space="0" w:color="auto"/>
            </w:tcBorders>
          </w:tcPr>
          <w:p>
            <w:pPr>
              <w:pStyle w:val="TableParagraph"/>
              <w:spacing w:line="207" w:lineRule="exact"/>
              <w:ind w:right="6"/>
              <w:jc w:val="center"/>
              <w:rPr>
                <w:rFonts w:ascii="宋体" w:hAnsi="宋体" w:cs="宋体" w:eastAsia="宋体" w:hint="default"/>
                <w:sz w:val="18"/>
                <w:szCs w:val="18"/>
              </w:rPr>
            </w:pPr>
            <w:r>
              <w:rPr>
                <w:rFonts w:ascii="宋体" w:hAnsi="宋体" w:cs="宋体" w:eastAsia="宋体" w:hint="default"/>
                <w:b/>
                <w:bCs/>
                <w:sz w:val="18"/>
                <w:szCs w:val="18"/>
              </w:rPr>
              <w:t>对本公司的持</w:t>
            </w:r>
            <w:r>
              <w:rPr>
                <w:rFonts w:ascii="宋体" w:hAnsi="宋体" w:cs="宋体" w:eastAsia="宋体" w:hint="default"/>
                <w:sz w:val="18"/>
                <w:szCs w:val="18"/>
              </w:rPr>
            </w:r>
          </w:p>
          <w:p>
            <w:pPr>
              <w:pStyle w:val="TableParagraph"/>
              <w:spacing w:line="234" w:lineRule="exact"/>
              <w:ind w:right="6"/>
              <w:jc w:val="center"/>
              <w:rPr>
                <w:rFonts w:ascii="宋体" w:hAnsi="宋体" w:cs="宋体" w:eastAsia="宋体" w:hint="default"/>
                <w:sz w:val="18"/>
                <w:szCs w:val="18"/>
              </w:rPr>
            </w:pPr>
            <w:r>
              <w:rPr>
                <w:rFonts w:ascii="宋体" w:hAnsi="宋体" w:cs="宋体" w:eastAsia="宋体" w:hint="default"/>
                <w:b/>
                <w:bCs/>
                <w:sz w:val="18"/>
                <w:szCs w:val="18"/>
              </w:rPr>
              <w:t>股比例</w:t>
            </w:r>
            <w:r>
              <w:rPr>
                <w:rFonts w:ascii="宋体" w:hAnsi="宋体" w:cs="宋体" w:eastAsia="宋体" w:hint="default"/>
                <w:sz w:val="18"/>
                <w:szCs w:val="18"/>
              </w:rPr>
            </w:r>
          </w:p>
        </w:tc>
        <w:tc>
          <w:tcPr>
            <w:tcW w:w="1588" w:type="dxa"/>
            <w:tcBorders>
              <w:top w:val="single" w:sz="12" w:space="0" w:color="000000"/>
              <w:left w:val="nil" w:sz="6" w:space="0" w:color="auto"/>
              <w:bottom w:val="single" w:sz="4" w:space="0" w:color="000000"/>
              <w:right w:val="nil" w:sz="6" w:space="0" w:color="auto"/>
            </w:tcBorders>
          </w:tcPr>
          <w:p>
            <w:pPr>
              <w:pStyle w:val="TableParagraph"/>
              <w:spacing w:line="207" w:lineRule="exact"/>
              <w:ind w:left="6" w:right="0"/>
              <w:jc w:val="center"/>
              <w:rPr>
                <w:rFonts w:ascii="宋体" w:hAnsi="宋体" w:cs="宋体" w:eastAsia="宋体" w:hint="default"/>
                <w:sz w:val="18"/>
                <w:szCs w:val="18"/>
              </w:rPr>
            </w:pPr>
            <w:r>
              <w:rPr>
                <w:rFonts w:ascii="宋体" w:hAnsi="宋体" w:cs="宋体" w:eastAsia="宋体" w:hint="default"/>
                <w:b/>
                <w:bCs/>
                <w:sz w:val="18"/>
                <w:szCs w:val="18"/>
              </w:rPr>
              <w:t>对本公司的表决</w:t>
            </w:r>
            <w:r>
              <w:rPr>
                <w:rFonts w:ascii="宋体" w:hAnsi="宋体" w:cs="宋体" w:eastAsia="宋体" w:hint="default"/>
                <w:sz w:val="18"/>
                <w:szCs w:val="18"/>
              </w:rPr>
            </w:r>
          </w:p>
          <w:p>
            <w:pPr>
              <w:pStyle w:val="TableParagraph"/>
              <w:spacing w:line="234" w:lineRule="exact"/>
              <w:ind w:left="3" w:right="0"/>
              <w:jc w:val="center"/>
              <w:rPr>
                <w:rFonts w:ascii="宋体" w:hAnsi="宋体" w:cs="宋体" w:eastAsia="宋体" w:hint="default"/>
                <w:sz w:val="18"/>
                <w:szCs w:val="18"/>
              </w:rPr>
            </w:pPr>
            <w:r>
              <w:rPr>
                <w:rFonts w:ascii="宋体" w:hAnsi="宋体" w:cs="宋体" w:eastAsia="宋体" w:hint="default"/>
                <w:b/>
                <w:bCs/>
                <w:sz w:val="18"/>
                <w:szCs w:val="18"/>
              </w:rPr>
              <w:t>权比例</w:t>
            </w:r>
            <w:r>
              <w:rPr>
                <w:rFonts w:ascii="宋体" w:hAnsi="宋体" w:cs="宋体" w:eastAsia="宋体" w:hint="default"/>
                <w:sz w:val="18"/>
                <w:szCs w:val="18"/>
              </w:rPr>
            </w:r>
          </w:p>
        </w:tc>
      </w:tr>
      <w:tr>
        <w:trPr>
          <w:trHeight w:val="307" w:hRule="exact"/>
        </w:trPr>
        <w:tc>
          <w:tcPr>
            <w:tcW w:w="1763"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1446"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63" w:right="0"/>
              <w:jc w:val="center"/>
              <w:rPr>
                <w:rFonts w:ascii="宋体" w:hAnsi="宋体" w:cs="宋体" w:eastAsia="宋体" w:hint="default"/>
                <w:sz w:val="18"/>
                <w:szCs w:val="18"/>
              </w:rPr>
            </w:pPr>
            <w:r>
              <w:rPr>
                <w:rFonts w:ascii="宋体" w:hAnsi="宋体" w:cs="宋体" w:eastAsia="宋体" w:hint="default"/>
                <w:sz w:val="18"/>
                <w:szCs w:val="18"/>
              </w:rPr>
              <w:t>北京市海淀区</w:t>
            </w:r>
          </w:p>
        </w:tc>
        <w:tc>
          <w:tcPr>
            <w:tcW w:w="1012"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1" w:right="0"/>
              <w:jc w:val="center"/>
              <w:rPr>
                <w:rFonts w:ascii="宋体" w:hAnsi="宋体" w:cs="宋体" w:eastAsia="宋体" w:hint="default"/>
                <w:sz w:val="18"/>
                <w:szCs w:val="18"/>
              </w:rPr>
            </w:pPr>
            <w:r>
              <w:rPr>
                <w:rFonts w:ascii="宋体" w:hAnsi="宋体" w:cs="宋体" w:eastAsia="宋体" w:hint="default"/>
                <w:sz w:val="18"/>
                <w:szCs w:val="18"/>
              </w:rPr>
              <w:t>资产管理</w:t>
            </w:r>
          </w:p>
        </w:tc>
        <w:tc>
          <w:tcPr>
            <w:tcW w:w="1511"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right="15"/>
              <w:jc w:val="center"/>
              <w:rPr>
                <w:rFonts w:ascii="宋体" w:hAnsi="宋体" w:cs="宋体" w:eastAsia="宋体" w:hint="default"/>
                <w:sz w:val="18"/>
                <w:szCs w:val="18"/>
              </w:rPr>
            </w:pPr>
            <w:r>
              <w:rPr>
                <w:rFonts w:ascii="Times New Roman" w:hAnsi="Times New Roman" w:cs="Times New Roman" w:eastAsia="Times New Roman" w:hint="default"/>
                <w:sz w:val="18"/>
                <w:szCs w:val="18"/>
              </w:rPr>
              <w:t>250,000.00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1405" w:type="dxa"/>
            <w:tcBorders>
              <w:top w:val="single" w:sz="4" w:space="0" w:color="000000"/>
              <w:left w:val="nil" w:sz="6" w:space="0" w:color="auto"/>
              <w:bottom w:val="single" w:sz="12" w:space="0" w:color="000000"/>
              <w:right w:val="nil" w:sz="6" w:space="0" w:color="auto"/>
            </w:tcBorders>
          </w:tcPr>
          <w:p>
            <w:pPr>
              <w:pStyle w:val="TableParagraph"/>
              <w:spacing w:line="240" w:lineRule="auto" w:before="74"/>
              <w:ind w:left="419" w:right="0"/>
              <w:jc w:val="left"/>
              <w:rPr>
                <w:rFonts w:ascii="Times New Roman" w:hAnsi="Times New Roman" w:cs="Times New Roman" w:eastAsia="Times New Roman" w:hint="default"/>
                <w:sz w:val="18"/>
                <w:szCs w:val="18"/>
              </w:rPr>
            </w:pPr>
            <w:r>
              <w:rPr>
                <w:rFonts w:ascii="Times New Roman"/>
                <w:sz w:val="18"/>
              </w:rPr>
              <w:t>25.42%</w:t>
            </w:r>
          </w:p>
        </w:tc>
        <w:tc>
          <w:tcPr>
            <w:tcW w:w="1588" w:type="dxa"/>
            <w:tcBorders>
              <w:top w:val="single" w:sz="4" w:space="0" w:color="000000"/>
              <w:left w:val="nil" w:sz="6" w:space="0" w:color="auto"/>
              <w:bottom w:val="single" w:sz="12" w:space="0" w:color="000000"/>
              <w:right w:val="nil" w:sz="6" w:space="0" w:color="auto"/>
            </w:tcBorders>
          </w:tcPr>
          <w:p>
            <w:pPr>
              <w:pStyle w:val="TableParagraph"/>
              <w:spacing w:line="240" w:lineRule="auto" w:before="74"/>
              <w:ind w:left="520" w:right="0"/>
              <w:jc w:val="left"/>
              <w:rPr>
                <w:rFonts w:ascii="Times New Roman" w:hAnsi="Times New Roman" w:cs="Times New Roman" w:eastAsia="Times New Roman" w:hint="default"/>
                <w:sz w:val="18"/>
                <w:szCs w:val="18"/>
              </w:rPr>
            </w:pPr>
            <w:r>
              <w:rPr>
                <w:rFonts w:ascii="Times New Roman"/>
                <w:sz w:val="18"/>
              </w:rPr>
              <w:t>25.42%</w:t>
            </w:r>
          </w:p>
        </w:tc>
      </w:tr>
    </w:tbl>
    <w:p>
      <w:pPr>
        <w:spacing w:before="21"/>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29"/>
          <w:sz w:val="22"/>
          <w:szCs w:val="22"/>
        </w:rPr>
        <w:t> </w:t>
      </w:r>
      <w:r>
        <w:rPr>
          <w:rFonts w:ascii="宋体" w:hAnsi="宋体" w:cs="宋体" w:eastAsia="宋体" w:hint="default"/>
          <w:sz w:val="22"/>
          <w:szCs w:val="22"/>
        </w:rPr>
        <w:t>控股股东的注册资本及其变化</w:t>
      </w:r>
    </w:p>
    <w:p>
      <w:pPr>
        <w:spacing w:line="240" w:lineRule="auto" w:before="5"/>
        <w:rPr>
          <w:rFonts w:ascii="宋体" w:hAnsi="宋体" w:cs="宋体" w:eastAsia="宋体" w:hint="default"/>
          <w:sz w:val="11"/>
          <w:szCs w:val="11"/>
        </w:rPr>
      </w:pPr>
    </w:p>
    <w:tbl>
      <w:tblPr>
        <w:tblW w:w="0" w:type="auto"/>
        <w:jc w:val="left"/>
        <w:tblInd w:w="134" w:type="dxa"/>
        <w:tblLayout w:type="fixed"/>
        <w:tblCellMar>
          <w:top w:w="0" w:type="dxa"/>
          <w:left w:w="0" w:type="dxa"/>
          <w:bottom w:w="0" w:type="dxa"/>
          <w:right w:w="0" w:type="dxa"/>
        </w:tblCellMar>
        <w:tblLook w:val="01E0"/>
      </w:tblPr>
      <w:tblGrid>
        <w:gridCol w:w="1889"/>
        <w:gridCol w:w="1833"/>
        <w:gridCol w:w="1615"/>
        <w:gridCol w:w="1696"/>
        <w:gridCol w:w="1693"/>
      </w:tblGrid>
      <w:tr>
        <w:trPr>
          <w:trHeight w:val="307" w:hRule="exact"/>
        </w:trPr>
        <w:tc>
          <w:tcPr>
            <w:tcW w:w="188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控股股东</w:t>
            </w:r>
            <w:r>
              <w:rPr>
                <w:rFonts w:ascii="宋体" w:hAnsi="宋体" w:cs="宋体" w:eastAsia="宋体" w:hint="default"/>
                <w:sz w:val="18"/>
                <w:szCs w:val="18"/>
              </w:rPr>
            </w:r>
          </w:p>
        </w:tc>
        <w:tc>
          <w:tcPr>
            <w:tcW w:w="183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408"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61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77"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69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78"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69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358"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305" w:hRule="exact"/>
        </w:trPr>
        <w:tc>
          <w:tcPr>
            <w:tcW w:w="1889"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1833"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3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250,000.00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w:t>
            </w:r>
          </w:p>
        </w:tc>
        <w:tc>
          <w:tcPr>
            <w:tcW w:w="1615" w:type="dxa"/>
            <w:tcBorders>
              <w:top w:val="single" w:sz="4" w:space="0" w:color="000000"/>
              <w:left w:val="nil" w:sz="6" w:space="0" w:color="auto"/>
              <w:bottom w:val="single" w:sz="12" w:space="0" w:color="000000"/>
              <w:right w:val="nil" w:sz="6" w:space="0" w:color="auto"/>
            </w:tcBorders>
          </w:tcPr>
          <w:p>
            <w:pPr>
              <w:pStyle w:val="TableParagraph"/>
              <w:spacing w:line="240" w:lineRule="auto" w:before="72"/>
              <w:ind w:left="1021" w:right="0"/>
              <w:jc w:val="left"/>
              <w:rPr>
                <w:rFonts w:ascii="Times New Roman" w:hAnsi="Times New Roman" w:cs="Times New Roman" w:eastAsia="Times New Roman" w:hint="default"/>
                <w:sz w:val="18"/>
                <w:szCs w:val="18"/>
              </w:rPr>
            </w:pPr>
            <w:r>
              <w:rPr>
                <w:rFonts w:ascii="Times New Roman"/>
                <w:sz w:val="18"/>
              </w:rPr>
              <w:t>0.00</w:t>
            </w:r>
          </w:p>
        </w:tc>
        <w:tc>
          <w:tcPr>
            <w:tcW w:w="1696" w:type="dxa"/>
            <w:tcBorders>
              <w:top w:val="single" w:sz="4" w:space="0" w:color="000000"/>
              <w:left w:val="nil" w:sz="6" w:space="0" w:color="auto"/>
              <w:bottom w:val="single" w:sz="12" w:space="0" w:color="000000"/>
              <w:right w:val="nil" w:sz="6" w:space="0" w:color="auto"/>
            </w:tcBorders>
          </w:tcPr>
          <w:p>
            <w:pPr>
              <w:pStyle w:val="TableParagraph"/>
              <w:spacing w:line="240" w:lineRule="auto" w:before="72"/>
              <w:ind w:left="1022" w:right="0"/>
              <w:jc w:val="left"/>
              <w:rPr>
                <w:rFonts w:ascii="Times New Roman" w:hAnsi="Times New Roman" w:cs="Times New Roman" w:eastAsia="Times New Roman" w:hint="default"/>
                <w:sz w:val="18"/>
                <w:szCs w:val="18"/>
              </w:rPr>
            </w:pPr>
            <w:r>
              <w:rPr>
                <w:rFonts w:ascii="Times New Roman"/>
                <w:sz w:val="18"/>
              </w:rPr>
              <w:t>0.00</w:t>
            </w:r>
          </w:p>
        </w:tc>
        <w:tc>
          <w:tcPr>
            <w:tcW w:w="1693"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36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250,000.00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w:t>
            </w:r>
          </w:p>
        </w:tc>
      </w:tr>
    </w:tbl>
    <w:p>
      <w:pPr>
        <w:spacing w:before="81"/>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28"/>
          <w:sz w:val="22"/>
          <w:szCs w:val="22"/>
        </w:rPr>
        <w:t> </w:t>
      </w:r>
      <w:r>
        <w:rPr>
          <w:rFonts w:ascii="宋体" w:hAnsi="宋体" w:cs="宋体" w:eastAsia="宋体" w:hint="default"/>
          <w:sz w:val="22"/>
          <w:szCs w:val="22"/>
        </w:rPr>
        <w:t>控股股东的所持股份或权益及其变化</w:t>
      </w:r>
    </w:p>
    <w:p>
      <w:pPr>
        <w:spacing w:line="240" w:lineRule="auto" w:before="8"/>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1778"/>
        <w:gridCol w:w="2116"/>
        <w:gridCol w:w="1457"/>
        <w:gridCol w:w="1527"/>
        <w:gridCol w:w="1862"/>
      </w:tblGrid>
      <w:tr>
        <w:trPr>
          <w:trHeight w:val="305" w:hRule="exact"/>
        </w:trPr>
        <w:tc>
          <w:tcPr>
            <w:tcW w:w="1778" w:type="dxa"/>
            <w:vMerge w:val="restart"/>
            <w:tcBorders>
              <w:top w:val="single" w:sz="12" w:space="0" w:color="000000"/>
              <w:left w:val="nil" w:sz="6" w:space="0" w:color="auto"/>
              <w:right w:val="nil" w:sz="6" w:space="0" w:color="auto"/>
            </w:tcBorders>
          </w:tcPr>
          <w:p>
            <w:pPr>
              <w:pStyle w:val="TableParagraph"/>
              <w:spacing w:line="240" w:lineRule="auto" w:before="142"/>
              <w:ind w:left="122" w:right="0"/>
              <w:jc w:val="left"/>
              <w:rPr>
                <w:rFonts w:ascii="宋体" w:hAnsi="宋体" w:cs="宋体" w:eastAsia="宋体" w:hint="default"/>
                <w:sz w:val="18"/>
                <w:szCs w:val="18"/>
              </w:rPr>
            </w:pPr>
            <w:r>
              <w:rPr>
                <w:rFonts w:ascii="宋体" w:hAnsi="宋体" w:cs="宋体" w:eastAsia="宋体" w:hint="default"/>
                <w:b/>
                <w:bCs/>
                <w:sz w:val="18"/>
                <w:szCs w:val="18"/>
              </w:rPr>
              <w:t>控股股东</w:t>
            </w:r>
            <w:r>
              <w:rPr>
                <w:rFonts w:ascii="宋体" w:hAnsi="宋体" w:cs="宋体" w:eastAsia="宋体" w:hint="default"/>
                <w:sz w:val="18"/>
                <w:szCs w:val="18"/>
              </w:rPr>
            </w:r>
          </w:p>
        </w:tc>
        <w:tc>
          <w:tcPr>
            <w:tcW w:w="211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339" w:right="0"/>
              <w:jc w:val="left"/>
              <w:rPr>
                <w:rFonts w:ascii="宋体" w:hAnsi="宋体" w:cs="宋体" w:eastAsia="宋体" w:hint="default"/>
                <w:sz w:val="18"/>
                <w:szCs w:val="18"/>
              </w:rPr>
            </w:pPr>
            <w:r>
              <w:rPr>
                <w:rFonts w:ascii="宋体" w:hAnsi="宋体" w:cs="宋体" w:eastAsia="宋体" w:hint="default"/>
                <w:b/>
                <w:bCs/>
                <w:sz w:val="18"/>
                <w:szCs w:val="18"/>
              </w:rPr>
              <w:t>持股金额</w:t>
            </w:r>
            <w:r>
              <w:rPr>
                <w:rFonts w:ascii="宋体" w:hAnsi="宋体" w:cs="宋体" w:eastAsia="宋体" w:hint="default"/>
                <w:sz w:val="18"/>
                <w:szCs w:val="18"/>
              </w:rPr>
            </w:r>
          </w:p>
        </w:tc>
        <w:tc>
          <w:tcPr>
            <w:tcW w:w="1457" w:type="dxa"/>
            <w:tcBorders>
              <w:top w:val="single" w:sz="12" w:space="0" w:color="000000"/>
              <w:left w:val="nil" w:sz="6" w:space="0" w:color="auto"/>
              <w:bottom w:val="single" w:sz="4" w:space="0" w:color="000000"/>
              <w:right w:val="nil" w:sz="6" w:space="0" w:color="auto"/>
            </w:tcBorders>
          </w:tcPr>
          <w:p>
            <w:pPr/>
          </w:p>
        </w:tc>
        <w:tc>
          <w:tcPr>
            <w:tcW w:w="3388" w:type="dxa"/>
            <w:gridSpan w:val="2"/>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70"/>
              <w:jc w:val="center"/>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c>
      </w:tr>
      <w:tr>
        <w:trPr>
          <w:trHeight w:val="295" w:hRule="exact"/>
        </w:trPr>
        <w:tc>
          <w:tcPr>
            <w:tcW w:w="1778" w:type="dxa"/>
            <w:vMerge/>
            <w:tcBorders>
              <w:left w:val="nil" w:sz="6" w:space="0" w:color="auto"/>
              <w:bottom w:val="single" w:sz="4" w:space="0" w:color="000000"/>
              <w:right w:val="nil" w:sz="6" w:space="0" w:color="auto"/>
            </w:tcBorders>
          </w:tcPr>
          <w:p>
            <w:pPr/>
          </w:p>
        </w:tc>
        <w:tc>
          <w:tcPr>
            <w:tcW w:w="211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533"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457"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18"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527"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277" w:right="0"/>
              <w:jc w:val="left"/>
              <w:rPr>
                <w:rFonts w:ascii="宋体" w:hAnsi="宋体" w:cs="宋体" w:eastAsia="宋体" w:hint="default"/>
                <w:sz w:val="18"/>
                <w:szCs w:val="18"/>
              </w:rPr>
            </w:pPr>
            <w:r>
              <w:rPr>
                <w:rFonts w:ascii="宋体" w:hAnsi="宋体" w:cs="宋体" w:eastAsia="宋体" w:hint="default"/>
                <w:b/>
                <w:bCs/>
                <w:sz w:val="18"/>
                <w:szCs w:val="18"/>
              </w:rPr>
              <w:t>年末比例</w:t>
            </w:r>
            <w:r>
              <w:rPr>
                <w:rFonts w:ascii="宋体" w:hAnsi="宋体" w:cs="宋体" w:eastAsia="宋体" w:hint="default"/>
                <w:sz w:val="18"/>
                <w:szCs w:val="18"/>
              </w:rPr>
            </w:r>
          </w:p>
        </w:tc>
        <w:tc>
          <w:tcPr>
            <w:tcW w:w="1862"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83"/>
              <w:jc w:val="center"/>
              <w:rPr>
                <w:rFonts w:ascii="宋体" w:hAnsi="宋体" w:cs="宋体" w:eastAsia="宋体" w:hint="default"/>
                <w:sz w:val="18"/>
                <w:szCs w:val="18"/>
              </w:rPr>
            </w:pPr>
            <w:r>
              <w:rPr>
                <w:rFonts w:ascii="宋体" w:hAnsi="宋体" w:cs="宋体" w:eastAsia="宋体" w:hint="default"/>
                <w:b/>
                <w:bCs/>
                <w:sz w:val="18"/>
                <w:szCs w:val="18"/>
              </w:rPr>
              <w:t>年初比例</w:t>
            </w:r>
            <w:r>
              <w:rPr>
                <w:rFonts w:ascii="宋体" w:hAnsi="宋体" w:cs="宋体" w:eastAsia="宋体" w:hint="default"/>
                <w:sz w:val="18"/>
                <w:szCs w:val="18"/>
              </w:rPr>
            </w:r>
          </w:p>
        </w:tc>
      </w:tr>
      <w:tr>
        <w:trPr>
          <w:trHeight w:val="305" w:hRule="exact"/>
        </w:trPr>
        <w:tc>
          <w:tcPr>
            <w:tcW w:w="1778"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2116" w:type="dxa"/>
            <w:tcBorders>
              <w:top w:val="single" w:sz="4" w:space="0" w:color="000000"/>
              <w:left w:val="nil" w:sz="6" w:space="0" w:color="auto"/>
              <w:bottom w:val="single" w:sz="12" w:space="0" w:color="000000"/>
              <w:right w:val="nil" w:sz="6" w:space="0" w:color="auto"/>
            </w:tcBorders>
          </w:tcPr>
          <w:p>
            <w:pPr>
              <w:pStyle w:val="TableParagraph"/>
              <w:spacing w:line="240" w:lineRule="auto" w:before="74"/>
              <w:ind w:left="555" w:right="0"/>
              <w:jc w:val="left"/>
              <w:rPr>
                <w:rFonts w:ascii="Times New Roman" w:hAnsi="Times New Roman" w:cs="Times New Roman" w:eastAsia="Times New Roman" w:hint="default"/>
                <w:sz w:val="18"/>
                <w:szCs w:val="18"/>
              </w:rPr>
            </w:pPr>
            <w:r>
              <w:rPr>
                <w:rFonts w:ascii="Times New Roman"/>
                <w:sz w:val="18"/>
              </w:rPr>
              <w:t>753,310,910.00</w:t>
            </w:r>
          </w:p>
        </w:tc>
        <w:tc>
          <w:tcPr>
            <w:tcW w:w="1457" w:type="dxa"/>
            <w:tcBorders>
              <w:top w:val="single" w:sz="4" w:space="0" w:color="000000"/>
              <w:left w:val="nil" w:sz="6" w:space="0" w:color="auto"/>
              <w:bottom w:val="single" w:sz="12" w:space="0" w:color="000000"/>
              <w:right w:val="nil" w:sz="6" w:space="0" w:color="auto"/>
            </w:tcBorders>
          </w:tcPr>
          <w:p>
            <w:pPr>
              <w:pStyle w:val="TableParagraph"/>
              <w:spacing w:line="240" w:lineRule="auto" w:before="74"/>
              <w:ind w:left="54" w:right="0"/>
              <w:jc w:val="left"/>
              <w:rPr>
                <w:rFonts w:ascii="Times New Roman" w:hAnsi="Times New Roman" w:cs="Times New Roman" w:eastAsia="Times New Roman" w:hint="default"/>
                <w:sz w:val="18"/>
                <w:szCs w:val="18"/>
              </w:rPr>
            </w:pPr>
            <w:r>
              <w:rPr>
                <w:rFonts w:ascii="Times New Roman"/>
                <w:sz w:val="18"/>
              </w:rPr>
              <w:t>474,759,378.00</w:t>
            </w:r>
          </w:p>
        </w:tc>
        <w:tc>
          <w:tcPr>
            <w:tcW w:w="1527" w:type="dxa"/>
            <w:tcBorders>
              <w:top w:val="single" w:sz="4" w:space="0" w:color="000000"/>
              <w:left w:val="nil" w:sz="6" w:space="0" w:color="auto"/>
              <w:bottom w:val="single" w:sz="12" w:space="0" w:color="000000"/>
              <w:right w:val="nil" w:sz="6" w:space="0" w:color="auto"/>
            </w:tcBorders>
          </w:tcPr>
          <w:p>
            <w:pPr>
              <w:pStyle w:val="TableParagraph"/>
              <w:spacing w:line="240" w:lineRule="auto" w:before="74"/>
              <w:ind w:left="361" w:right="0"/>
              <w:jc w:val="left"/>
              <w:rPr>
                <w:rFonts w:ascii="Times New Roman" w:hAnsi="Times New Roman" w:cs="Times New Roman" w:eastAsia="Times New Roman" w:hint="default"/>
                <w:sz w:val="18"/>
                <w:szCs w:val="18"/>
              </w:rPr>
            </w:pPr>
            <w:r>
              <w:rPr>
                <w:rFonts w:ascii="Times New Roman"/>
                <w:sz w:val="18"/>
              </w:rPr>
              <w:t>25.42%</w:t>
            </w:r>
          </w:p>
        </w:tc>
        <w:tc>
          <w:tcPr>
            <w:tcW w:w="1862" w:type="dxa"/>
            <w:tcBorders>
              <w:top w:val="single" w:sz="4" w:space="0" w:color="000000"/>
              <w:left w:val="nil" w:sz="6" w:space="0" w:color="auto"/>
              <w:bottom w:val="single" w:sz="12" w:space="0" w:color="000000"/>
              <w:right w:val="nil" w:sz="6" w:space="0" w:color="auto"/>
            </w:tcBorders>
          </w:tcPr>
          <w:p>
            <w:pPr>
              <w:pStyle w:val="TableParagraph"/>
              <w:spacing w:line="240" w:lineRule="auto" w:before="74"/>
              <w:ind w:right="79"/>
              <w:jc w:val="center"/>
              <w:rPr>
                <w:rFonts w:ascii="Times New Roman" w:hAnsi="Times New Roman" w:cs="Times New Roman" w:eastAsia="Times New Roman" w:hint="default"/>
                <w:sz w:val="18"/>
                <w:szCs w:val="18"/>
              </w:rPr>
            </w:pPr>
            <w:r>
              <w:rPr>
                <w:rFonts w:ascii="Times New Roman"/>
                <w:sz w:val="18"/>
              </w:rPr>
              <w:t>21.60%</w:t>
            </w:r>
          </w:p>
        </w:tc>
      </w:tr>
    </w:tbl>
    <w:p>
      <w:pPr>
        <w:spacing w:line="328" w:lineRule="auto" w:before="82"/>
        <w:ind w:left="681" w:right="1738"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r>
      <w:r>
        <w:rPr>
          <w:rFonts w:ascii="Times New Roman" w:hAnsi="Times New Roman" w:cs="Times New Roman" w:eastAsia="Times New Roman" w:hint="default"/>
          <w:b/>
          <w:bCs/>
          <w:spacing w:val="15"/>
          <w:sz w:val="22"/>
          <w:szCs w:val="22"/>
        </w:rPr>
        <w:t> </w:t>
      </w:r>
      <w:r>
        <w:rPr>
          <w:rFonts w:ascii="宋体" w:hAnsi="宋体" w:cs="宋体" w:eastAsia="宋体" w:hint="default"/>
          <w:sz w:val="22"/>
          <w:szCs w:val="22"/>
        </w:rPr>
        <w:t>子公司</w:t>
      </w:r>
      <w:r>
        <w:rPr>
          <w:rFonts w:ascii="宋体" w:hAnsi="宋体" w:cs="宋体" w:eastAsia="宋体" w:hint="default"/>
          <w:w w:val="100"/>
          <w:sz w:val="22"/>
          <w:szCs w:val="22"/>
        </w:rPr>
        <w:t> </w:t>
      </w:r>
      <w:r>
        <w:rPr>
          <w:rFonts w:ascii="宋体" w:hAnsi="宋体" w:cs="宋体" w:eastAsia="宋体" w:hint="default"/>
          <w:spacing w:val="-1"/>
          <w:sz w:val="22"/>
          <w:szCs w:val="22"/>
        </w:rPr>
        <w:t>子公司情况详见本附注“八、</w:t>
      </w:r>
      <w:r>
        <w:rPr>
          <w:rFonts w:ascii="Times New Roman" w:hAnsi="Times New Roman" w:cs="Times New Roman" w:eastAsia="Times New Roman" w:hint="default"/>
          <w:spacing w:val="-1"/>
          <w:sz w:val="22"/>
          <w:szCs w:val="22"/>
        </w:rPr>
        <w:t>1.</w:t>
      </w:r>
      <w:r>
        <w:rPr>
          <w:rFonts w:ascii="宋体" w:hAnsi="宋体" w:cs="宋体" w:eastAsia="宋体" w:hint="default"/>
          <w:spacing w:val="-1"/>
          <w:sz w:val="22"/>
          <w:szCs w:val="22"/>
        </w:rPr>
        <w:t>（</w:t>
      </w:r>
      <w:r>
        <w:rPr>
          <w:rFonts w:ascii="Times New Roman" w:hAnsi="Times New Roman" w:cs="Times New Roman" w:eastAsia="Times New Roman" w:hint="default"/>
          <w:spacing w:val="-1"/>
          <w:sz w:val="22"/>
          <w:szCs w:val="22"/>
        </w:rPr>
        <w:t>1</w:t>
      </w:r>
      <w:r>
        <w:rPr>
          <w:rFonts w:ascii="宋体" w:hAnsi="宋体" w:cs="宋体" w:eastAsia="宋体" w:hint="default"/>
          <w:spacing w:val="-1"/>
          <w:sz w:val="22"/>
          <w:szCs w:val="22"/>
        </w:rPr>
        <w:t>）企业集团的构成”相关内容。</w:t>
      </w:r>
      <w:r>
        <w:rPr>
          <w:rFonts w:ascii="宋体" w:hAnsi="宋体" w:cs="宋体" w:eastAsia="宋体" w:hint="default"/>
          <w:spacing w:val="-82"/>
          <w:sz w:val="22"/>
          <w:szCs w:val="22"/>
        </w:rPr>
        <w:t> </w:t>
      </w:r>
      <w:r>
        <w:rPr>
          <w:rFonts w:ascii="宋体" w:hAnsi="宋体" w:cs="宋体" w:eastAsia="宋体" w:hint="default"/>
          <w:spacing w:val="-82"/>
          <w:sz w:val="22"/>
          <w:szCs w:val="22"/>
        </w:rPr>
      </w: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16"/>
          <w:sz w:val="22"/>
          <w:szCs w:val="22"/>
        </w:rPr>
        <w:t> </w:t>
      </w:r>
      <w:r>
        <w:rPr>
          <w:rFonts w:ascii="宋体" w:hAnsi="宋体" w:cs="宋体" w:eastAsia="宋体" w:hint="default"/>
          <w:sz w:val="22"/>
          <w:szCs w:val="22"/>
        </w:rPr>
        <w:t>合营企业及联营企业</w:t>
      </w:r>
    </w:p>
    <w:p>
      <w:pPr>
        <w:spacing w:line="288" w:lineRule="auto" w:before="20"/>
        <w:ind w:left="242" w:right="215" w:firstLine="439"/>
        <w:jc w:val="both"/>
        <w:rPr>
          <w:rFonts w:ascii="宋体" w:hAnsi="宋体" w:cs="宋体" w:eastAsia="宋体" w:hint="default"/>
          <w:sz w:val="22"/>
          <w:szCs w:val="22"/>
        </w:rPr>
      </w:pPr>
      <w:r>
        <w:rPr>
          <w:rFonts w:ascii="宋体" w:hAnsi="宋体" w:cs="宋体" w:eastAsia="宋体" w:hint="default"/>
          <w:spacing w:val="-5"/>
          <w:sz w:val="22"/>
          <w:szCs w:val="22"/>
        </w:rPr>
        <w:t>本公司重要的合营或联营企业详见本附注“八、</w:t>
      </w:r>
      <w:r>
        <w:rPr>
          <w:rFonts w:ascii="Times New Roman" w:hAnsi="Times New Roman" w:cs="Times New Roman" w:eastAsia="Times New Roman" w:hint="default"/>
          <w:spacing w:val="-5"/>
          <w:sz w:val="22"/>
          <w:szCs w:val="22"/>
        </w:rPr>
        <w:t>2.</w:t>
      </w:r>
      <w:r>
        <w:rPr>
          <w:rFonts w:ascii="宋体" w:hAnsi="宋体" w:cs="宋体" w:eastAsia="宋体" w:hint="default"/>
          <w:spacing w:val="-5"/>
          <w:sz w:val="22"/>
          <w:szCs w:val="22"/>
        </w:rPr>
        <w:t>（</w:t>
      </w:r>
      <w:r>
        <w:rPr>
          <w:rFonts w:ascii="Times New Roman" w:hAnsi="Times New Roman" w:cs="Times New Roman" w:eastAsia="Times New Roman" w:hint="default"/>
          <w:spacing w:val="-5"/>
          <w:sz w:val="22"/>
          <w:szCs w:val="22"/>
        </w:rPr>
        <w:t>1</w:t>
      </w:r>
      <w:r>
        <w:rPr>
          <w:rFonts w:ascii="宋体" w:hAnsi="宋体" w:cs="宋体" w:eastAsia="宋体" w:hint="default"/>
          <w:spacing w:val="-5"/>
          <w:sz w:val="22"/>
          <w:szCs w:val="22"/>
        </w:rPr>
        <w:t>）重要的合营企业或联营企业”</w:t>
      </w:r>
      <w:r>
        <w:rPr>
          <w:rFonts w:ascii="宋体" w:hAnsi="宋体" w:cs="宋体" w:eastAsia="宋体" w:hint="default"/>
          <w:w w:val="100"/>
          <w:sz w:val="22"/>
          <w:szCs w:val="22"/>
        </w:rPr>
        <w:t> </w:t>
      </w:r>
      <w:r>
        <w:rPr>
          <w:rFonts w:ascii="宋体" w:hAnsi="宋体" w:cs="宋体" w:eastAsia="宋体" w:hint="default"/>
          <w:spacing w:val="-3"/>
          <w:sz w:val="22"/>
          <w:szCs w:val="22"/>
        </w:rPr>
        <w:t>相关内容。本年与本公司发生关联方交易，或前期与本公司发生关联方交易形成余额的其</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他合营或联营企业情况如下：</w:t>
      </w:r>
    </w:p>
    <w:p>
      <w:pPr>
        <w:spacing w:line="240" w:lineRule="auto" w:before="6"/>
        <w:rPr>
          <w:rFonts w:ascii="宋体" w:hAnsi="宋体" w:cs="宋体" w:eastAsia="宋体" w:hint="default"/>
          <w:sz w:val="9"/>
          <w:szCs w:val="9"/>
        </w:rPr>
      </w:pPr>
    </w:p>
    <w:tbl>
      <w:tblPr>
        <w:tblW w:w="0" w:type="auto"/>
        <w:jc w:val="left"/>
        <w:tblInd w:w="134" w:type="dxa"/>
        <w:tblLayout w:type="fixed"/>
        <w:tblCellMar>
          <w:top w:w="0" w:type="dxa"/>
          <w:left w:w="0" w:type="dxa"/>
          <w:bottom w:w="0" w:type="dxa"/>
          <w:right w:w="0" w:type="dxa"/>
        </w:tblCellMar>
        <w:tblLook w:val="01E0"/>
      </w:tblPr>
      <w:tblGrid>
        <w:gridCol w:w="5856"/>
        <w:gridCol w:w="2869"/>
      </w:tblGrid>
      <w:tr>
        <w:trPr>
          <w:trHeight w:val="305" w:hRule="exact"/>
        </w:trPr>
        <w:tc>
          <w:tcPr>
            <w:tcW w:w="585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合营或联营企业名称</w:t>
            </w:r>
            <w:r>
              <w:rPr>
                <w:rFonts w:ascii="宋体" w:hAnsi="宋体" w:cs="宋体" w:eastAsia="宋体" w:hint="default"/>
                <w:sz w:val="18"/>
                <w:szCs w:val="18"/>
              </w:rPr>
            </w:r>
          </w:p>
        </w:tc>
        <w:tc>
          <w:tcPr>
            <w:tcW w:w="286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365"/>
              <w:jc w:val="center"/>
              <w:rPr>
                <w:rFonts w:ascii="宋体" w:hAnsi="宋体" w:cs="宋体" w:eastAsia="宋体" w:hint="default"/>
                <w:sz w:val="18"/>
                <w:szCs w:val="18"/>
              </w:rPr>
            </w:pPr>
            <w:r>
              <w:rPr>
                <w:rFonts w:ascii="宋体" w:hAnsi="宋体" w:cs="宋体" w:eastAsia="宋体" w:hint="default"/>
                <w:b/>
                <w:bCs/>
                <w:sz w:val="18"/>
                <w:szCs w:val="18"/>
              </w:rPr>
              <w:t>与本公司关系</w:t>
            </w:r>
            <w:r>
              <w:rPr>
                <w:rFonts w:ascii="宋体" w:hAnsi="宋体" w:cs="宋体" w:eastAsia="宋体" w:hint="default"/>
                <w:sz w:val="18"/>
                <w:szCs w:val="18"/>
              </w:rPr>
            </w:r>
          </w:p>
        </w:tc>
      </w:tr>
      <w:tr>
        <w:trPr>
          <w:trHeight w:val="316" w:hRule="exact"/>
        </w:trPr>
        <w:tc>
          <w:tcPr>
            <w:tcW w:w="5856"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同方川崎节能设备有限公司</w:t>
            </w:r>
          </w:p>
        </w:tc>
        <w:tc>
          <w:tcPr>
            <w:tcW w:w="2869"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365"/>
              <w:jc w:val="center"/>
              <w:rPr>
                <w:rFonts w:ascii="宋体" w:hAnsi="宋体" w:cs="宋体" w:eastAsia="宋体" w:hint="default"/>
                <w:sz w:val="18"/>
                <w:szCs w:val="18"/>
              </w:rPr>
            </w:pPr>
            <w:r>
              <w:rPr>
                <w:rFonts w:ascii="宋体" w:hAnsi="宋体" w:cs="宋体" w:eastAsia="宋体" w:hint="default"/>
                <w:sz w:val="18"/>
                <w:szCs w:val="18"/>
              </w:rPr>
              <w:t>合营企业</w:t>
            </w:r>
          </w:p>
        </w:tc>
      </w:tr>
      <w:tr>
        <w:trPr>
          <w:trHeight w:val="284" w:hRule="exact"/>
        </w:trPr>
        <w:tc>
          <w:tcPr>
            <w:tcW w:w="585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同方恩欧凯（无锡）膜技术有限公司</w:t>
            </w:r>
          </w:p>
        </w:tc>
        <w:tc>
          <w:tcPr>
            <w:tcW w:w="2869" w:type="dxa"/>
            <w:tcBorders>
              <w:top w:val="nil" w:sz="6" w:space="0" w:color="auto"/>
              <w:left w:val="nil" w:sz="6" w:space="0" w:color="auto"/>
              <w:bottom w:val="nil" w:sz="6" w:space="0" w:color="auto"/>
              <w:right w:val="nil" w:sz="6" w:space="0" w:color="auto"/>
            </w:tcBorders>
          </w:tcPr>
          <w:p>
            <w:pPr>
              <w:pStyle w:val="TableParagraph"/>
              <w:spacing w:line="233" w:lineRule="exact"/>
              <w:ind w:right="365"/>
              <w:jc w:val="center"/>
              <w:rPr>
                <w:rFonts w:ascii="宋体" w:hAnsi="宋体" w:cs="宋体" w:eastAsia="宋体" w:hint="default"/>
                <w:sz w:val="18"/>
                <w:szCs w:val="18"/>
              </w:rPr>
            </w:pPr>
            <w:r>
              <w:rPr>
                <w:rFonts w:ascii="宋体" w:hAnsi="宋体" w:cs="宋体" w:eastAsia="宋体" w:hint="default"/>
                <w:sz w:val="18"/>
                <w:szCs w:val="18"/>
              </w:rPr>
              <w:t>合营企业</w:t>
            </w:r>
          </w:p>
        </w:tc>
      </w:tr>
      <w:tr>
        <w:trPr>
          <w:trHeight w:val="284" w:hRule="exact"/>
        </w:trPr>
        <w:tc>
          <w:tcPr>
            <w:tcW w:w="5856"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同方全球人寿保险有限公司（原海康人寿保险有限公司）</w:t>
            </w:r>
          </w:p>
        </w:tc>
        <w:tc>
          <w:tcPr>
            <w:tcW w:w="2869" w:type="dxa"/>
            <w:tcBorders>
              <w:top w:val="nil" w:sz="6" w:space="0" w:color="auto"/>
              <w:left w:val="nil" w:sz="6" w:space="0" w:color="auto"/>
              <w:bottom w:val="nil" w:sz="6" w:space="0" w:color="auto"/>
              <w:right w:val="nil" w:sz="6" w:space="0" w:color="auto"/>
            </w:tcBorders>
          </w:tcPr>
          <w:p>
            <w:pPr>
              <w:pStyle w:val="TableParagraph"/>
              <w:spacing w:line="232" w:lineRule="exact"/>
              <w:ind w:right="365"/>
              <w:jc w:val="center"/>
              <w:rPr>
                <w:rFonts w:ascii="宋体" w:hAnsi="宋体" w:cs="宋体" w:eastAsia="宋体" w:hint="default"/>
                <w:sz w:val="18"/>
                <w:szCs w:val="18"/>
              </w:rPr>
            </w:pPr>
            <w:r>
              <w:rPr>
                <w:rFonts w:ascii="宋体" w:hAnsi="宋体" w:cs="宋体" w:eastAsia="宋体" w:hint="default"/>
                <w:sz w:val="18"/>
                <w:szCs w:val="18"/>
              </w:rPr>
              <w:t>合营企业</w:t>
            </w:r>
          </w:p>
        </w:tc>
      </w:tr>
      <w:tr>
        <w:trPr>
          <w:trHeight w:val="286" w:hRule="exact"/>
        </w:trPr>
        <w:tc>
          <w:tcPr>
            <w:tcW w:w="585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北京辰安科技股份有限公司</w:t>
            </w:r>
          </w:p>
        </w:tc>
        <w:tc>
          <w:tcPr>
            <w:tcW w:w="2869" w:type="dxa"/>
            <w:tcBorders>
              <w:top w:val="nil" w:sz="6" w:space="0" w:color="auto"/>
              <w:left w:val="nil" w:sz="6" w:space="0" w:color="auto"/>
              <w:bottom w:val="nil" w:sz="6" w:space="0" w:color="auto"/>
              <w:right w:val="nil" w:sz="6" w:space="0" w:color="auto"/>
            </w:tcBorders>
          </w:tcPr>
          <w:p>
            <w:pPr>
              <w:pStyle w:val="TableParagraph"/>
              <w:spacing w:line="233" w:lineRule="exact"/>
              <w:ind w:right="365"/>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585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北京恩赛威节能技术服务有限责任公司</w:t>
            </w:r>
          </w:p>
        </w:tc>
        <w:tc>
          <w:tcPr>
            <w:tcW w:w="2869" w:type="dxa"/>
            <w:tcBorders>
              <w:top w:val="nil" w:sz="6" w:space="0" w:color="auto"/>
              <w:left w:val="nil" w:sz="6" w:space="0" w:color="auto"/>
              <w:bottom w:val="nil" w:sz="6" w:space="0" w:color="auto"/>
              <w:right w:val="nil" w:sz="6" w:space="0" w:color="auto"/>
            </w:tcBorders>
          </w:tcPr>
          <w:p>
            <w:pPr>
              <w:pStyle w:val="TableParagraph"/>
              <w:spacing w:line="233" w:lineRule="exact"/>
              <w:ind w:right="365"/>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585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北京朗视仪器有限公司</w:t>
            </w:r>
          </w:p>
        </w:tc>
        <w:tc>
          <w:tcPr>
            <w:tcW w:w="2869" w:type="dxa"/>
            <w:tcBorders>
              <w:top w:val="nil" w:sz="6" w:space="0" w:color="auto"/>
              <w:left w:val="nil" w:sz="6" w:space="0" w:color="auto"/>
              <w:bottom w:val="nil" w:sz="6" w:space="0" w:color="auto"/>
              <w:right w:val="nil" w:sz="6" w:space="0" w:color="auto"/>
            </w:tcBorders>
          </w:tcPr>
          <w:p>
            <w:pPr>
              <w:pStyle w:val="TableParagraph"/>
              <w:spacing w:line="233" w:lineRule="exact"/>
              <w:ind w:right="365"/>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5856"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北京同方时讯电子有限公司</w:t>
            </w:r>
          </w:p>
        </w:tc>
        <w:tc>
          <w:tcPr>
            <w:tcW w:w="2869" w:type="dxa"/>
            <w:tcBorders>
              <w:top w:val="nil" w:sz="6" w:space="0" w:color="auto"/>
              <w:left w:val="nil" w:sz="6" w:space="0" w:color="auto"/>
              <w:bottom w:val="nil" w:sz="6" w:space="0" w:color="auto"/>
              <w:right w:val="nil" w:sz="6" w:space="0" w:color="auto"/>
            </w:tcBorders>
          </w:tcPr>
          <w:p>
            <w:pPr>
              <w:pStyle w:val="TableParagraph"/>
              <w:spacing w:line="232" w:lineRule="exact"/>
              <w:ind w:right="365"/>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585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北京海视安数据科技有限公司（原北京威视数据系统有限公司）</w:t>
            </w:r>
          </w:p>
        </w:tc>
        <w:tc>
          <w:tcPr>
            <w:tcW w:w="2869" w:type="dxa"/>
            <w:tcBorders>
              <w:top w:val="nil" w:sz="6" w:space="0" w:color="auto"/>
              <w:left w:val="nil" w:sz="6" w:space="0" w:color="auto"/>
              <w:bottom w:val="nil" w:sz="6" w:space="0" w:color="auto"/>
              <w:right w:val="nil" w:sz="6" w:space="0" w:color="auto"/>
            </w:tcBorders>
          </w:tcPr>
          <w:p>
            <w:pPr>
              <w:pStyle w:val="TableParagraph"/>
              <w:spacing w:line="233" w:lineRule="exact"/>
              <w:ind w:right="365"/>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585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北京文录激光科技有限公司</w:t>
            </w:r>
          </w:p>
        </w:tc>
        <w:tc>
          <w:tcPr>
            <w:tcW w:w="2869" w:type="dxa"/>
            <w:tcBorders>
              <w:top w:val="nil" w:sz="6" w:space="0" w:color="auto"/>
              <w:left w:val="nil" w:sz="6" w:space="0" w:color="auto"/>
              <w:bottom w:val="nil" w:sz="6" w:space="0" w:color="auto"/>
              <w:right w:val="nil" w:sz="6" w:space="0" w:color="auto"/>
            </w:tcBorders>
          </w:tcPr>
          <w:p>
            <w:pPr>
              <w:pStyle w:val="TableParagraph"/>
              <w:spacing w:line="233" w:lineRule="exact"/>
              <w:ind w:right="365"/>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585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北京中检科威科技有限公司</w:t>
            </w:r>
          </w:p>
        </w:tc>
        <w:tc>
          <w:tcPr>
            <w:tcW w:w="2869" w:type="dxa"/>
            <w:tcBorders>
              <w:top w:val="nil" w:sz="6" w:space="0" w:color="auto"/>
              <w:left w:val="nil" w:sz="6" w:space="0" w:color="auto"/>
              <w:bottom w:val="nil" w:sz="6" w:space="0" w:color="auto"/>
              <w:right w:val="nil" w:sz="6" w:space="0" w:color="auto"/>
            </w:tcBorders>
          </w:tcPr>
          <w:p>
            <w:pPr>
              <w:pStyle w:val="TableParagraph"/>
              <w:spacing w:line="233" w:lineRule="exact"/>
              <w:ind w:right="365"/>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5856"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北京中录同方文化传播有限公司</w:t>
            </w:r>
          </w:p>
        </w:tc>
        <w:tc>
          <w:tcPr>
            <w:tcW w:w="2869" w:type="dxa"/>
            <w:tcBorders>
              <w:top w:val="nil" w:sz="6" w:space="0" w:color="auto"/>
              <w:left w:val="nil" w:sz="6" w:space="0" w:color="auto"/>
              <w:bottom w:val="nil" w:sz="6" w:space="0" w:color="auto"/>
              <w:right w:val="nil" w:sz="6" w:space="0" w:color="auto"/>
            </w:tcBorders>
          </w:tcPr>
          <w:p>
            <w:pPr>
              <w:pStyle w:val="TableParagraph"/>
              <w:spacing w:line="232" w:lineRule="exact"/>
              <w:ind w:right="365"/>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585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达州广电同方数字电视有限公司</w:t>
            </w:r>
          </w:p>
        </w:tc>
        <w:tc>
          <w:tcPr>
            <w:tcW w:w="2869" w:type="dxa"/>
            <w:tcBorders>
              <w:top w:val="nil" w:sz="6" w:space="0" w:color="auto"/>
              <w:left w:val="nil" w:sz="6" w:space="0" w:color="auto"/>
              <w:bottom w:val="nil" w:sz="6" w:space="0" w:color="auto"/>
              <w:right w:val="nil" w:sz="6" w:space="0" w:color="auto"/>
            </w:tcBorders>
          </w:tcPr>
          <w:p>
            <w:pPr>
              <w:pStyle w:val="TableParagraph"/>
              <w:spacing w:line="233" w:lineRule="exact"/>
              <w:ind w:right="365"/>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77" w:hRule="exact"/>
        </w:trPr>
        <w:tc>
          <w:tcPr>
            <w:tcW w:w="5856" w:type="dxa"/>
            <w:tcBorders>
              <w:top w:val="nil" w:sz="6" w:space="0" w:color="auto"/>
              <w:left w:val="nil" w:sz="6" w:space="0" w:color="auto"/>
              <w:bottom w:val="single" w:sz="12" w:space="0" w:color="000000"/>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广州同方瑞风空调有限公司</w:t>
            </w:r>
          </w:p>
        </w:tc>
        <w:tc>
          <w:tcPr>
            <w:tcW w:w="2869" w:type="dxa"/>
            <w:tcBorders>
              <w:top w:val="nil" w:sz="6" w:space="0" w:color="auto"/>
              <w:left w:val="nil" w:sz="6" w:space="0" w:color="auto"/>
              <w:bottom w:val="single" w:sz="12" w:space="0" w:color="000000"/>
              <w:right w:val="nil" w:sz="6" w:space="0" w:color="auto"/>
            </w:tcBorders>
          </w:tcPr>
          <w:p>
            <w:pPr>
              <w:pStyle w:val="TableParagraph"/>
              <w:spacing w:line="233" w:lineRule="exact"/>
              <w:ind w:right="365"/>
              <w:jc w:val="center"/>
              <w:rPr>
                <w:rFonts w:ascii="宋体" w:hAnsi="宋体" w:cs="宋体" w:eastAsia="宋体" w:hint="default"/>
                <w:sz w:val="18"/>
                <w:szCs w:val="18"/>
              </w:rPr>
            </w:pPr>
            <w:r>
              <w:rPr>
                <w:rFonts w:ascii="宋体" w:hAnsi="宋体" w:cs="宋体" w:eastAsia="宋体" w:hint="default"/>
                <w:sz w:val="18"/>
                <w:szCs w:val="18"/>
              </w:rPr>
              <w:t>联营企业</w:t>
            </w:r>
          </w:p>
        </w:tc>
      </w:tr>
    </w:tbl>
    <w:p>
      <w:pPr>
        <w:spacing w:after="0" w:line="233" w:lineRule="exact"/>
        <w:jc w:val="center"/>
        <w:rPr>
          <w:rFonts w:ascii="宋体" w:hAnsi="宋体" w:cs="宋体" w:eastAsia="宋体" w:hint="default"/>
          <w:sz w:val="18"/>
          <w:szCs w:val="18"/>
        </w:rPr>
        <w:sectPr>
          <w:headerReference w:type="default" r:id="rId95"/>
          <w:pgSz w:w="11910" w:h="16840"/>
          <w:pgMar w:header="645" w:footer="816" w:top="1080" w:bottom="1000" w:left="1460" w:right="1480"/>
        </w:sectPr>
      </w:pPr>
    </w:p>
    <w:p>
      <w:pPr>
        <w:spacing w:line="240" w:lineRule="auto" w:before="7"/>
        <w:rPr>
          <w:rFonts w:ascii="宋体" w:hAnsi="宋体" w:cs="宋体" w:eastAsia="宋体" w:hint="default"/>
          <w:sz w:val="27"/>
          <w:szCs w:val="27"/>
        </w:rPr>
      </w:pPr>
    </w:p>
    <w:tbl>
      <w:tblPr>
        <w:tblW w:w="0" w:type="auto"/>
        <w:jc w:val="left"/>
        <w:tblInd w:w="134" w:type="dxa"/>
        <w:tblLayout w:type="fixed"/>
        <w:tblCellMar>
          <w:top w:w="0" w:type="dxa"/>
          <w:left w:w="0" w:type="dxa"/>
          <w:bottom w:w="0" w:type="dxa"/>
          <w:right w:w="0" w:type="dxa"/>
        </w:tblCellMar>
        <w:tblLook w:val="01E0"/>
      </w:tblPr>
      <w:tblGrid>
        <w:gridCol w:w="4866"/>
        <w:gridCol w:w="3859"/>
      </w:tblGrid>
      <w:tr>
        <w:trPr>
          <w:trHeight w:val="307" w:hRule="exact"/>
        </w:trPr>
        <w:tc>
          <w:tcPr>
            <w:tcW w:w="486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合营或联营企业名称</w:t>
            </w:r>
            <w:r>
              <w:rPr>
                <w:rFonts w:ascii="宋体" w:hAnsi="宋体" w:cs="宋体" w:eastAsia="宋体" w:hint="default"/>
                <w:sz w:val="18"/>
                <w:szCs w:val="18"/>
              </w:rPr>
            </w:r>
          </w:p>
        </w:tc>
        <w:tc>
          <w:tcPr>
            <w:tcW w:w="385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622" w:right="0"/>
              <w:jc w:val="center"/>
              <w:rPr>
                <w:rFonts w:ascii="宋体" w:hAnsi="宋体" w:cs="宋体" w:eastAsia="宋体" w:hint="default"/>
                <w:sz w:val="18"/>
                <w:szCs w:val="18"/>
              </w:rPr>
            </w:pPr>
            <w:r>
              <w:rPr>
                <w:rFonts w:ascii="宋体" w:hAnsi="宋体" w:cs="宋体" w:eastAsia="宋体" w:hint="default"/>
                <w:b/>
                <w:bCs/>
                <w:sz w:val="18"/>
                <w:szCs w:val="18"/>
              </w:rPr>
              <w:t>与本公司关系</w:t>
            </w:r>
            <w:r>
              <w:rPr>
                <w:rFonts w:ascii="宋体" w:hAnsi="宋体" w:cs="宋体" w:eastAsia="宋体" w:hint="default"/>
                <w:sz w:val="18"/>
                <w:szCs w:val="18"/>
              </w:rPr>
            </w:r>
          </w:p>
        </w:tc>
      </w:tr>
      <w:tr>
        <w:trPr>
          <w:trHeight w:val="314" w:hRule="exact"/>
        </w:trPr>
        <w:tc>
          <w:tcPr>
            <w:tcW w:w="4866"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广州同艺照明有限公司</w:t>
            </w:r>
          </w:p>
        </w:tc>
        <w:tc>
          <w:tcPr>
            <w:tcW w:w="3859"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吉林同方科贸有限责任公司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江西清华泰豪三波电机有限公司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开封广电同方数字电视有限公司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洛阳同方数字电视有限公司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2"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南阳广电同方数字电视有限责任公司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濮阳广电同方数字电视有限公司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泉州广电同方数字电视有限公司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日照广电同方数字电视有限公司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2"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山西左云晋能新能源发电有限公司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陕西省广电同方数字电视有限责任公司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商丘同方恒泰数字电视有限公司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5"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深圳同方信息技术有限公司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2"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泰豪科技股份有限公司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泰豪软件股份有限公司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天门广电同方数字电视有限公司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同方（深圳）云计算技术股份有限公司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2"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北京同方博宇工程技术有限公司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同方环境股份有限公司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同方生态（澳门）一人有限公司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同方投资有限公司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2"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许昌广电同方数字电视有限公司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易程（苏州）电子科技股份有限公司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易程（苏州）软件股份有限公司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5"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易程（苏州）新技术股份有限公司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2"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易程科技股份有限公司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运城市蓝星同方数字电视有限公司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张家口市电广文化传媒有限公司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重庆同方合志科技有限公司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2"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北京易程华创系统工程股份有限公司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江西清华泰豪微电机有限公司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同方佰宜科技（北京）有限公司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4"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长春泰豪电子装备有限公司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2"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86" w:hRule="exact"/>
        </w:trPr>
        <w:tc>
          <w:tcPr>
            <w:tcW w:w="4866"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同方鼎欣科技股份有限公司</w:t>
            </w:r>
          </w:p>
        </w:tc>
        <w:tc>
          <w:tcPr>
            <w:tcW w:w="3859" w:type="dxa"/>
            <w:tcBorders>
              <w:top w:val="nil" w:sz="6" w:space="0" w:color="auto"/>
              <w:left w:val="nil" w:sz="6" w:space="0" w:color="auto"/>
              <w:bottom w:val="nil" w:sz="6" w:space="0" w:color="auto"/>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277" w:hRule="exact"/>
        </w:trPr>
        <w:tc>
          <w:tcPr>
            <w:tcW w:w="4866" w:type="dxa"/>
            <w:tcBorders>
              <w:top w:val="nil" w:sz="6" w:space="0" w:color="auto"/>
              <w:left w:val="nil" w:sz="6" w:space="0" w:color="auto"/>
              <w:bottom w:val="single" w:sz="12" w:space="0" w:color="000000"/>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成都昊为环境科技有限公司</w:t>
            </w:r>
          </w:p>
        </w:tc>
        <w:tc>
          <w:tcPr>
            <w:tcW w:w="3859" w:type="dxa"/>
            <w:tcBorders>
              <w:top w:val="nil" w:sz="6" w:space="0" w:color="auto"/>
              <w:left w:val="nil" w:sz="6" w:space="0" w:color="auto"/>
              <w:bottom w:val="single" w:sz="12" w:space="0" w:color="000000"/>
              <w:right w:val="nil" w:sz="6" w:space="0" w:color="auto"/>
            </w:tcBorders>
          </w:tcPr>
          <w:p>
            <w:pPr>
              <w:pStyle w:val="TableParagraph"/>
              <w:spacing w:line="233" w:lineRule="exact"/>
              <w:ind w:left="622" w:right="0"/>
              <w:jc w:val="center"/>
              <w:rPr>
                <w:rFonts w:ascii="宋体" w:hAnsi="宋体" w:cs="宋体" w:eastAsia="宋体" w:hint="default"/>
                <w:sz w:val="18"/>
                <w:szCs w:val="18"/>
              </w:rPr>
            </w:pPr>
            <w:r>
              <w:rPr>
                <w:rFonts w:ascii="宋体" w:hAnsi="宋体" w:cs="宋体" w:eastAsia="宋体" w:hint="default"/>
                <w:sz w:val="18"/>
                <w:szCs w:val="18"/>
              </w:rPr>
              <w:t>联营企业</w:t>
            </w:r>
          </w:p>
        </w:tc>
      </w:tr>
    </w:tbl>
    <w:p>
      <w:pPr>
        <w:spacing w:before="81"/>
        <w:ind w:left="695" w:right="142"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  </w:t>
      </w:r>
      <w:r>
        <w:rPr>
          <w:rFonts w:ascii="Times New Roman" w:hAnsi="Times New Roman" w:cs="Times New Roman" w:eastAsia="Times New Roman" w:hint="default"/>
          <w:b/>
          <w:bCs/>
          <w:spacing w:val="16"/>
          <w:sz w:val="22"/>
          <w:szCs w:val="22"/>
        </w:rPr>
        <w:t> </w:t>
      </w:r>
      <w:r>
        <w:rPr>
          <w:rFonts w:ascii="宋体" w:hAnsi="宋体" w:cs="宋体" w:eastAsia="宋体" w:hint="default"/>
          <w:sz w:val="22"/>
          <w:szCs w:val="22"/>
        </w:rPr>
        <w:t>其他关联方</w:t>
      </w:r>
    </w:p>
    <w:p>
      <w:pPr>
        <w:spacing w:line="240" w:lineRule="auto" w:before="5"/>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4398"/>
        <w:gridCol w:w="4392"/>
      </w:tblGrid>
      <w:tr>
        <w:trPr>
          <w:trHeight w:val="305" w:hRule="exact"/>
        </w:trPr>
        <w:tc>
          <w:tcPr>
            <w:tcW w:w="439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其他关联方名称</w:t>
            </w:r>
            <w:r>
              <w:rPr>
                <w:rFonts w:ascii="宋体" w:hAnsi="宋体" w:cs="宋体" w:eastAsia="宋体" w:hint="default"/>
                <w:sz w:val="18"/>
                <w:szCs w:val="18"/>
              </w:rPr>
            </w:r>
          </w:p>
        </w:tc>
        <w:tc>
          <w:tcPr>
            <w:tcW w:w="439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870" w:right="0"/>
              <w:jc w:val="left"/>
              <w:rPr>
                <w:rFonts w:ascii="宋体" w:hAnsi="宋体" w:cs="宋体" w:eastAsia="宋体" w:hint="default"/>
                <w:sz w:val="18"/>
                <w:szCs w:val="18"/>
              </w:rPr>
            </w:pPr>
            <w:r>
              <w:rPr>
                <w:rFonts w:ascii="宋体" w:hAnsi="宋体" w:cs="宋体" w:eastAsia="宋体" w:hint="default"/>
                <w:b/>
                <w:bCs/>
                <w:sz w:val="18"/>
                <w:szCs w:val="18"/>
              </w:rPr>
              <w:t>与本公司关系</w:t>
            </w:r>
            <w:r>
              <w:rPr>
                <w:rFonts w:ascii="宋体" w:hAnsi="宋体" w:cs="宋体" w:eastAsia="宋体" w:hint="default"/>
                <w:sz w:val="18"/>
                <w:szCs w:val="18"/>
              </w:rPr>
            </w:r>
          </w:p>
        </w:tc>
      </w:tr>
      <w:tr>
        <w:trPr>
          <w:trHeight w:val="316" w:hRule="exact"/>
        </w:trPr>
        <w:tc>
          <w:tcPr>
            <w:tcW w:w="4398"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4392"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870" w:right="0"/>
              <w:jc w:val="left"/>
              <w:rPr>
                <w:rFonts w:ascii="宋体" w:hAnsi="宋体" w:cs="宋体" w:eastAsia="宋体" w:hint="default"/>
                <w:sz w:val="18"/>
                <w:szCs w:val="18"/>
              </w:rPr>
            </w:pPr>
            <w:r>
              <w:rPr>
                <w:rFonts w:ascii="宋体" w:hAnsi="宋体" w:cs="宋体" w:eastAsia="宋体" w:hint="default"/>
                <w:sz w:val="18"/>
                <w:szCs w:val="18"/>
              </w:rPr>
              <w:t>控股股东之实际控制人</w:t>
            </w:r>
          </w:p>
        </w:tc>
      </w:tr>
      <w:tr>
        <w:trPr>
          <w:trHeight w:val="286" w:hRule="exact"/>
        </w:trPr>
        <w:tc>
          <w:tcPr>
            <w:tcW w:w="439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清华大学机械厂</w:t>
            </w:r>
          </w:p>
        </w:tc>
        <w:tc>
          <w:tcPr>
            <w:tcW w:w="4392" w:type="dxa"/>
            <w:tcBorders>
              <w:top w:val="nil" w:sz="6" w:space="0" w:color="auto"/>
              <w:left w:val="nil" w:sz="6" w:space="0" w:color="auto"/>
              <w:bottom w:val="nil" w:sz="6" w:space="0" w:color="auto"/>
              <w:right w:val="nil" w:sz="6" w:space="0" w:color="auto"/>
            </w:tcBorders>
          </w:tcPr>
          <w:p>
            <w:pPr>
              <w:pStyle w:val="TableParagraph"/>
              <w:spacing w:line="233" w:lineRule="exact"/>
              <w:ind w:left="870" w:right="0"/>
              <w:jc w:val="left"/>
              <w:rPr>
                <w:rFonts w:ascii="宋体" w:hAnsi="宋体" w:cs="宋体" w:eastAsia="宋体" w:hint="default"/>
                <w:sz w:val="18"/>
                <w:szCs w:val="18"/>
              </w:rPr>
            </w:pPr>
            <w:r>
              <w:rPr>
                <w:rFonts w:ascii="宋体" w:hAnsi="宋体" w:cs="宋体" w:eastAsia="宋体" w:hint="default"/>
                <w:sz w:val="18"/>
                <w:szCs w:val="18"/>
              </w:rPr>
              <w:t>清华大学下属单位</w:t>
            </w:r>
          </w:p>
        </w:tc>
      </w:tr>
      <w:tr>
        <w:trPr>
          <w:trHeight w:val="284" w:hRule="exact"/>
        </w:trPr>
        <w:tc>
          <w:tcPr>
            <w:tcW w:w="439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北京通力华清科技有限责任公司</w:t>
            </w:r>
          </w:p>
        </w:tc>
        <w:tc>
          <w:tcPr>
            <w:tcW w:w="4392" w:type="dxa"/>
            <w:tcBorders>
              <w:top w:val="nil" w:sz="6" w:space="0" w:color="auto"/>
              <w:left w:val="nil" w:sz="6" w:space="0" w:color="auto"/>
              <w:bottom w:val="nil" w:sz="6" w:space="0" w:color="auto"/>
              <w:right w:val="nil" w:sz="6" w:space="0" w:color="auto"/>
            </w:tcBorders>
          </w:tcPr>
          <w:p>
            <w:pPr>
              <w:pStyle w:val="TableParagraph"/>
              <w:spacing w:line="233" w:lineRule="exact"/>
              <w:ind w:left="870" w:right="0"/>
              <w:jc w:val="left"/>
              <w:rPr>
                <w:rFonts w:ascii="宋体" w:hAnsi="宋体" w:cs="宋体" w:eastAsia="宋体" w:hint="default"/>
                <w:sz w:val="18"/>
                <w:szCs w:val="18"/>
              </w:rPr>
            </w:pPr>
            <w:r>
              <w:rPr>
                <w:rFonts w:ascii="宋体" w:hAnsi="宋体" w:cs="宋体" w:eastAsia="宋体" w:hint="default"/>
                <w:sz w:val="18"/>
                <w:szCs w:val="18"/>
              </w:rPr>
              <w:t>清华大学下属单位</w:t>
            </w:r>
          </w:p>
        </w:tc>
      </w:tr>
      <w:tr>
        <w:trPr>
          <w:trHeight w:val="284" w:hRule="exact"/>
        </w:trPr>
        <w:tc>
          <w:tcPr>
            <w:tcW w:w="4398"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北京清华工业开发研究院</w:t>
            </w:r>
          </w:p>
        </w:tc>
        <w:tc>
          <w:tcPr>
            <w:tcW w:w="4392" w:type="dxa"/>
            <w:tcBorders>
              <w:top w:val="nil" w:sz="6" w:space="0" w:color="auto"/>
              <w:left w:val="nil" w:sz="6" w:space="0" w:color="auto"/>
              <w:bottom w:val="nil" w:sz="6" w:space="0" w:color="auto"/>
              <w:right w:val="nil" w:sz="6" w:space="0" w:color="auto"/>
            </w:tcBorders>
          </w:tcPr>
          <w:p>
            <w:pPr>
              <w:pStyle w:val="TableParagraph"/>
              <w:spacing w:line="232" w:lineRule="exact"/>
              <w:ind w:left="870" w:right="0"/>
              <w:jc w:val="left"/>
              <w:rPr>
                <w:rFonts w:ascii="宋体" w:hAnsi="宋体" w:cs="宋体" w:eastAsia="宋体" w:hint="default"/>
                <w:sz w:val="18"/>
                <w:szCs w:val="18"/>
              </w:rPr>
            </w:pPr>
            <w:r>
              <w:rPr>
                <w:rFonts w:ascii="宋体" w:hAnsi="宋体" w:cs="宋体" w:eastAsia="宋体" w:hint="default"/>
                <w:sz w:val="18"/>
                <w:szCs w:val="18"/>
              </w:rPr>
              <w:t>清华大学下属单位</w:t>
            </w:r>
          </w:p>
        </w:tc>
      </w:tr>
      <w:tr>
        <w:trPr>
          <w:trHeight w:val="286" w:hRule="exact"/>
        </w:trPr>
        <w:tc>
          <w:tcPr>
            <w:tcW w:w="439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北京诚志永昌化工有限公司</w:t>
            </w:r>
          </w:p>
        </w:tc>
        <w:tc>
          <w:tcPr>
            <w:tcW w:w="4392" w:type="dxa"/>
            <w:tcBorders>
              <w:top w:val="nil" w:sz="6" w:space="0" w:color="auto"/>
              <w:left w:val="nil" w:sz="6" w:space="0" w:color="auto"/>
              <w:bottom w:val="nil" w:sz="6" w:space="0" w:color="auto"/>
              <w:right w:val="nil" w:sz="6" w:space="0" w:color="auto"/>
            </w:tcBorders>
          </w:tcPr>
          <w:p>
            <w:pPr>
              <w:pStyle w:val="TableParagraph"/>
              <w:spacing w:line="233" w:lineRule="exact"/>
              <w:ind w:left="87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6" w:hRule="exact"/>
        </w:trPr>
        <w:tc>
          <w:tcPr>
            <w:tcW w:w="439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北京国环清华环境工程设计研究院有限公司</w:t>
            </w:r>
          </w:p>
        </w:tc>
        <w:tc>
          <w:tcPr>
            <w:tcW w:w="4392" w:type="dxa"/>
            <w:tcBorders>
              <w:top w:val="nil" w:sz="6" w:space="0" w:color="auto"/>
              <w:left w:val="nil" w:sz="6" w:space="0" w:color="auto"/>
              <w:bottom w:val="nil" w:sz="6" w:space="0" w:color="auto"/>
              <w:right w:val="nil" w:sz="6" w:space="0" w:color="auto"/>
            </w:tcBorders>
          </w:tcPr>
          <w:p>
            <w:pPr>
              <w:pStyle w:val="TableParagraph"/>
              <w:spacing w:line="233" w:lineRule="exact"/>
              <w:ind w:left="87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4" w:hRule="exact"/>
        </w:trPr>
        <w:tc>
          <w:tcPr>
            <w:tcW w:w="439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北京华清物业管理有限公司</w:t>
            </w:r>
          </w:p>
        </w:tc>
        <w:tc>
          <w:tcPr>
            <w:tcW w:w="4392" w:type="dxa"/>
            <w:tcBorders>
              <w:top w:val="nil" w:sz="6" w:space="0" w:color="auto"/>
              <w:left w:val="nil" w:sz="6" w:space="0" w:color="auto"/>
              <w:bottom w:val="nil" w:sz="6" w:space="0" w:color="auto"/>
              <w:right w:val="nil" w:sz="6" w:space="0" w:color="auto"/>
            </w:tcBorders>
          </w:tcPr>
          <w:p>
            <w:pPr>
              <w:pStyle w:val="TableParagraph"/>
              <w:spacing w:line="233" w:lineRule="exact"/>
              <w:ind w:left="87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4" w:hRule="exact"/>
        </w:trPr>
        <w:tc>
          <w:tcPr>
            <w:tcW w:w="4398"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北京乔波冰雪世界体育发展有限公司</w:t>
            </w:r>
          </w:p>
        </w:tc>
        <w:tc>
          <w:tcPr>
            <w:tcW w:w="4392" w:type="dxa"/>
            <w:tcBorders>
              <w:top w:val="nil" w:sz="6" w:space="0" w:color="auto"/>
              <w:left w:val="nil" w:sz="6" w:space="0" w:color="auto"/>
              <w:bottom w:val="nil" w:sz="6" w:space="0" w:color="auto"/>
              <w:right w:val="nil" w:sz="6" w:space="0" w:color="auto"/>
            </w:tcBorders>
          </w:tcPr>
          <w:p>
            <w:pPr>
              <w:pStyle w:val="TableParagraph"/>
              <w:spacing w:line="232" w:lineRule="exact"/>
              <w:ind w:left="87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77" w:hRule="exact"/>
        </w:trPr>
        <w:tc>
          <w:tcPr>
            <w:tcW w:w="4398" w:type="dxa"/>
            <w:tcBorders>
              <w:top w:val="nil" w:sz="6" w:space="0" w:color="auto"/>
              <w:left w:val="nil" w:sz="6" w:space="0" w:color="auto"/>
              <w:bottom w:val="single" w:sz="12" w:space="0" w:color="000000"/>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北京清华同衡规划设计研究院有限公司</w:t>
            </w:r>
          </w:p>
        </w:tc>
        <w:tc>
          <w:tcPr>
            <w:tcW w:w="4392" w:type="dxa"/>
            <w:tcBorders>
              <w:top w:val="nil" w:sz="6" w:space="0" w:color="auto"/>
              <w:left w:val="nil" w:sz="6" w:space="0" w:color="auto"/>
              <w:bottom w:val="single" w:sz="12" w:space="0" w:color="000000"/>
              <w:right w:val="nil" w:sz="6" w:space="0" w:color="auto"/>
            </w:tcBorders>
          </w:tcPr>
          <w:p>
            <w:pPr>
              <w:pStyle w:val="TableParagraph"/>
              <w:spacing w:line="233" w:lineRule="exact"/>
              <w:ind w:left="87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bl>
    <w:p>
      <w:pPr>
        <w:spacing w:after="0" w:line="233" w:lineRule="exact"/>
        <w:jc w:val="left"/>
        <w:rPr>
          <w:rFonts w:ascii="宋体" w:hAnsi="宋体" w:cs="宋体" w:eastAsia="宋体" w:hint="default"/>
          <w:sz w:val="18"/>
          <w:szCs w:val="18"/>
        </w:rPr>
        <w:sectPr>
          <w:headerReference w:type="default" r:id="rId96"/>
          <w:pgSz w:w="11910" w:h="16840"/>
          <w:pgMar w:header="645" w:footer="816" w:top="1080" w:bottom="1000" w:left="1460" w:right="1440"/>
        </w:sectPr>
      </w:pPr>
    </w:p>
    <w:p>
      <w:pPr>
        <w:spacing w:line="240" w:lineRule="auto" w:before="7"/>
        <w:rPr>
          <w:rFonts w:ascii="宋体" w:hAnsi="宋体" w:cs="宋体" w:eastAsia="宋体" w:hint="default"/>
          <w:sz w:val="27"/>
          <w:szCs w:val="27"/>
        </w:rPr>
      </w:pPr>
    </w:p>
    <w:tbl>
      <w:tblPr>
        <w:tblW w:w="0" w:type="auto"/>
        <w:jc w:val="left"/>
        <w:tblInd w:w="100" w:type="dxa"/>
        <w:tblLayout w:type="fixed"/>
        <w:tblCellMar>
          <w:top w:w="0" w:type="dxa"/>
          <w:left w:w="0" w:type="dxa"/>
          <w:bottom w:w="0" w:type="dxa"/>
          <w:right w:w="0" w:type="dxa"/>
        </w:tblCellMar>
        <w:tblLook w:val="01E0"/>
      </w:tblPr>
      <w:tblGrid>
        <w:gridCol w:w="4668"/>
        <w:gridCol w:w="4122"/>
      </w:tblGrid>
      <w:tr>
        <w:trPr>
          <w:trHeight w:val="307" w:hRule="exact"/>
        </w:trPr>
        <w:tc>
          <w:tcPr>
            <w:tcW w:w="466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其他关联方名称</w:t>
            </w:r>
            <w:r>
              <w:rPr>
                <w:rFonts w:ascii="宋体" w:hAnsi="宋体" w:cs="宋体" w:eastAsia="宋体" w:hint="default"/>
                <w:sz w:val="18"/>
                <w:szCs w:val="18"/>
              </w:rPr>
            </w:r>
          </w:p>
        </w:tc>
        <w:tc>
          <w:tcPr>
            <w:tcW w:w="412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600" w:right="0"/>
              <w:jc w:val="left"/>
              <w:rPr>
                <w:rFonts w:ascii="宋体" w:hAnsi="宋体" w:cs="宋体" w:eastAsia="宋体" w:hint="default"/>
                <w:sz w:val="18"/>
                <w:szCs w:val="18"/>
              </w:rPr>
            </w:pPr>
            <w:r>
              <w:rPr>
                <w:rFonts w:ascii="宋体" w:hAnsi="宋体" w:cs="宋体" w:eastAsia="宋体" w:hint="default"/>
                <w:b/>
                <w:bCs/>
                <w:sz w:val="18"/>
                <w:szCs w:val="18"/>
              </w:rPr>
              <w:t>与本公司关系</w:t>
            </w:r>
            <w:r>
              <w:rPr>
                <w:rFonts w:ascii="宋体" w:hAnsi="宋体" w:cs="宋体" w:eastAsia="宋体" w:hint="default"/>
                <w:sz w:val="18"/>
                <w:szCs w:val="18"/>
              </w:rPr>
            </w:r>
          </w:p>
        </w:tc>
      </w:tr>
      <w:tr>
        <w:trPr>
          <w:trHeight w:val="314" w:hRule="exact"/>
        </w:trPr>
        <w:tc>
          <w:tcPr>
            <w:tcW w:w="4668"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北京展讯高科通信技术有限公司</w:t>
            </w:r>
          </w:p>
        </w:tc>
        <w:tc>
          <w:tcPr>
            <w:tcW w:w="4122"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6"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博奥生物集团有限公司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6"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启迪（江西）发展有限公司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4"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清华大学出版社有限公司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4"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清华大学建筑设计研究院有限公司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2"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6"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清华同方光盘电子出版社</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6"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绍兴乔波冰雪世界体育发展有限公司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4"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西藏紫光春华投资有限公司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4"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紫光股份有限公司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2"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6"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紫光集团有限公司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6"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紫光软件系统有限公司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4"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紫光数码（苏州）集团有限公司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5"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《中国学术期刊（光盘版）》电子杂志社有限公司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2"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6"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北京博奥医学检验所有限公司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6"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北京立课教育科技有限公司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4"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北京紫光置地投资管理有限公司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4"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博奥颐和健康科学技术（北京）有限公司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2"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6"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成都博奥独立医学实验室有限公司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6"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启迪创新投资管理（北京）有限公司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4"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清控资产管理有限公司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受同一控股股东控制的其他企业</w:t>
            </w:r>
          </w:p>
        </w:tc>
      </w:tr>
      <w:tr>
        <w:trPr>
          <w:trHeight w:val="284"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深圳华控赛格股份有限公司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2" w:lineRule="exact"/>
              <w:ind w:left="600"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286"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北京清控人居环境研究院有限公司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286" w:hRule="exact"/>
        </w:trPr>
        <w:tc>
          <w:tcPr>
            <w:tcW w:w="4668" w:type="dxa"/>
            <w:tcBorders>
              <w:top w:val="nil" w:sz="6" w:space="0" w:color="auto"/>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北京紫光制药有限公司</w:t>
            </w:r>
          </w:p>
        </w:tc>
        <w:tc>
          <w:tcPr>
            <w:tcW w:w="4122" w:type="dxa"/>
            <w:tcBorders>
              <w:top w:val="nil" w:sz="6" w:space="0" w:color="auto"/>
              <w:left w:val="nil" w:sz="6" w:space="0" w:color="auto"/>
              <w:bottom w:val="nil" w:sz="6" w:space="0" w:color="auto"/>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275" w:hRule="exact"/>
        </w:trPr>
        <w:tc>
          <w:tcPr>
            <w:tcW w:w="4668" w:type="dxa"/>
            <w:tcBorders>
              <w:top w:val="nil" w:sz="6" w:space="0" w:color="auto"/>
              <w:left w:val="nil" w:sz="6" w:space="0" w:color="auto"/>
              <w:bottom w:val="single" w:sz="12" w:space="0" w:color="000000"/>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sz w:val="18"/>
                <w:szCs w:val="18"/>
              </w:rPr>
              <w:t>华控创新（北京）药物研究院有限公司</w:t>
            </w:r>
          </w:p>
        </w:tc>
        <w:tc>
          <w:tcPr>
            <w:tcW w:w="4122" w:type="dxa"/>
            <w:tcBorders>
              <w:top w:val="nil" w:sz="6" w:space="0" w:color="auto"/>
              <w:left w:val="nil" w:sz="6" w:space="0" w:color="auto"/>
              <w:bottom w:val="single" w:sz="12" w:space="0" w:color="000000"/>
              <w:right w:val="nil" w:sz="6" w:space="0" w:color="auto"/>
            </w:tcBorders>
          </w:tcPr>
          <w:p>
            <w:pPr>
              <w:pStyle w:val="TableParagraph"/>
              <w:spacing w:line="233" w:lineRule="exact"/>
              <w:ind w:left="600"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bl>
    <w:p>
      <w:pPr>
        <w:spacing w:before="21"/>
        <w:ind w:left="582" w:right="142"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w:t>
      </w:r>
      <w:r>
        <w:rPr>
          <w:rFonts w:ascii="宋体" w:hAnsi="宋体" w:cs="宋体" w:eastAsia="宋体" w:hint="default"/>
          <w:b/>
          <w:bCs/>
          <w:sz w:val="22"/>
          <w:szCs w:val="22"/>
        </w:rPr>
        <w:t>二</w:t>
      </w:r>
      <w:r>
        <w:rPr>
          <w:rFonts w:ascii="Times New Roman" w:hAnsi="Times New Roman" w:cs="Times New Roman" w:eastAsia="Times New Roman" w:hint="default"/>
          <w:b/>
          <w:bCs/>
          <w:sz w:val="22"/>
          <w:szCs w:val="22"/>
        </w:rPr>
        <w:t>)  </w:t>
      </w:r>
      <w:r>
        <w:rPr>
          <w:rFonts w:ascii="Times New Roman" w:hAnsi="Times New Roman" w:cs="Times New Roman" w:eastAsia="Times New Roman" w:hint="default"/>
          <w:b/>
          <w:bCs/>
          <w:spacing w:val="30"/>
          <w:sz w:val="22"/>
          <w:szCs w:val="22"/>
        </w:rPr>
        <w:t> </w:t>
      </w:r>
      <w:r>
        <w:rPr>
          <w:rFonts w:ascii="宋体" w:hAnsi="宋体" w:cs="宋体" w:eastAsia="宋体" w:hint="default"/>
          <w:b/>
          <w:bCs/>
          <w:sz w:val="22"/>
          <w:szCs w:val="22"/>
        </w:rPr>
        <w:t>关联交易</w:t>
      </w:r>
      <w:r>
        <w:rPr>
          <w:rFonts w:ascii="宋体" w:hAnsi="宋体" w:cs="宋体" w:eastAsia="宋体" w:hint="default"/>
          <w:sz w:val="22"/>
          <w:szCs w:val="22"/>
        </w:rPr>
      </w:r>
    </w:p>
    <w:p>
      <w:pPr>
        <w:spacing w:before="113"/>
        <w:ind w:left="695" w:right="142"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购销商品、提供和接受劳务的关联交易</w:t>
      </w:r>
    </w:p>
    <w:p>
      <w:pPr>
        <w:spacing w:before="113"/>
        <w:ind w:left="695" w:right="142"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采购商品</w:t>
      </w:r>
      <w:r>
        <w:rPr>
          <w:rFonts w:ascii="Times New Roman" w:hAnsi="Times New Roman" w:cs="Times New Roman" w:eastAsia="Times New Roman" w:hint="default"/>
          <w:sz w:val="22"/>
          <w:szCs w:val="22"/>
        </w:rPr>
        <w:t>/</w:t>
      </w:r>
      <w:r>
        <w:rPr>
          <w:rFonts w:ascii="宋体" w:hAnsi="宋体" w:cs="宋体" w:eastAsia="宋体" w:hint="default"/>
          <w:sz w:val="22"/>
          <w:szCs w:val="22"/>
        </w:rPr>
        <w:t>接受劳务</w:t>
      </w:r>
    </w:p>
    <w:p>
      <w:pPr>
        <w:spacing w:line="240" w:lineRule="auto" w:before="5"/>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4706"/>
        <w:gridCol w:w="2451"/>
        <w:gridCol w:w="1583"/>
      </w:tblGrid>
      <w:tr>
        <w:trPr>
          <w:trHeight w:val="305" w:hRule="exact"/>
        </w:trPr>
        <w:tc>
          <w:tcPr>
            <w:tcW w:w="470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245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436"/>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158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16" w:hRule="exact"/>
        </w:trPr>
        <w:tc>
          <w:tcPr>
            <w:tcW w:w="4706"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清华大学及其下属单位：</w:t>
            </w:r>
            <w:r>
              <w:rPr>
                <w:rFonts w:ascii="宋体" w:hAnsi="宋体" w:cs="宋体" w:eastAsia="宋体" w:hint="default"/>
                <w:sz w:val="18"/>
                <w:szCs w:val="18"/>
              </w:rPr>
            </w:r>
          </w:p>
        </w:tc>
        <w:tc>
          <w:tcPr>
            <w:tcW w:w="2451" w:type="dxa"/>
            <w:tcBorders>
              <w:top w:val="single" w:sz="4" w:space="0" w:color="000000"/>
              <w:left w:val="nil" w:sz="6" w:space="0" w:color="auto"/>
              <w:bottom w:val="nil" w:sz="6" w:space="0" w:color="auto"/>
              <w:right w:val="nil" w:sz="6" w:space="0" w:color="auto"/>
            </w:tcBorders>
          </w:tcPr>
          <w:p>
            <w:pPr/>
          </w:p>
        </w:tc>
        <w:tc>
          <w:tcPr>
            <w:tcW w:w="1583" w:type="dxa"/>
            <w:tcBorders>
              <w:top w:val="single" w:sz="4" w:space="0" w:color="000000"/>
              <w:left w:val="nil" w:sz="6" w:space="0" w:color="auto"/>
              <w:bottom w:val="nil" w:sz="6" w:space="0" w:color="auto"/>
              <w:right w:val="nil" w:sz="6" w:space="0" w:color="auto"/>
            </w:tcBorders>
          </w:tcPr>
          <w:p>
            <w:pPr/>
          </w:p>
        </w:tc>
      </w:tr>
      <w:tr>
        <w:trPr>
          <w:trHeight w:val="295" w:hRule="exact"/>
        </w:trPr>
        <w:tc>
          <w:tcPr>
            <w:tcW w:w="4706"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436"/>
              <w:jc w:val="right"/>
              <w:rPr>
                <w:rFonts w:ascii="Times New Roman" w:hAnsi="Times New Roman" w:cs="Times New Roman" w:eastAsia="Times New Roman" w:hint="default"/>
                <w:sz w:val="18"/>
                <w:szCs w:val="18"/>
              </w:rPr>
            </w:pPr>
            <w:r>
              <w:rPr>
                <w:rFonts w:ascii="Times New Roman"/>
                <w:spacing w:val="-1"/>
                <w:sz w:val="18"/>
              </w:rPr>
              <w:t>132,920,029.31</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59,048,542.42</w:t>
            </w:r>
          </w:p>
        </w:tc>
      </w:tr>
      <w:tr>
        <w:trPr>
          <w:trHeight w:val="284" w:hRule="exact"/>
        </w:trPr>
        <w:tc>
          <w:tcPr>
            <w:tcW w:w="4706"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清华大学机械厂</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38"/>
              <w:jc w:val="right"/>
              <w:rPr>
                <w:rFonts w:ascii="Times New Roman" w:hAnsi="Times New Roman" w:cs="Times New Roman" w:eastAsia="Times New Roman" w:hint="default"/>
                <w:sz w:val="18"/>
                <w:szCs w:val="18"/>
              </w:rPr>
            </w:pPr>
            <w:r>
              <w:rPr>
                <w:rFonts w:ascii="Times New Roman"/>
                <w:spacing w:val="-1"/>
                <w:sz w:val="18"/>
              </w:rPr>
              <w:t>12,552,389.11</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13,196,727.80</w:t>
            </w:r>
          </w:p>
        </w:tc>
      </w:tr>
      <w:tr>
        <w:trPr>
          <w:trHeight w:val="284" w:hRule="exact"/>
        </w:trPr>
        <w:tc>
          <w:tcPr>
            <w:tcW w:w="4706"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北京通力华清科技有限责任公司</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36"/>
              <w:jc w:val="right"/>
              <w:rPr>
                <w:rFonts w:ascii="Times New Roman" w:hAnsi="Times New Roman" w:cs="Times New Roman" w:eastAsia="Times New Roman" w:hint="default"/>
                <w:sz w:val="18"/>
                <w:szCs w:val="18"/>
              </w:rPr>
            </w:pPr>
            <w:r>
              <w:rPr>
                <w:rFonts w:ascii="Times New Roman"/>
                <w:spacing w:val="-1"/>
                <w:sz w:val="18"/>
              </w:rPr>
              <w:t>427,350.45</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76" w:hRule="exact"/>
        </w:trPr>
        <w:tc>
          <w:tcPr>
            <w:tcW w:w="4706"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控股股东及受同一控股股东控制的其他企业：</w:t>
            </w:r>
            <w:r>
              <w:rPr>
                <w:rFonts w:ascii="宋体" w:hAnsi="宋体" w:cs="宋体" w:eastAsia="宋体" w:hint="default"/>
                <w:sz w:val="18"/>
                <w:szCs w:val="18"/>
              </w:rPr>
            </w:r>
          </w:p>
        </w:tc>
        <w:tc>
          <w:tcPr>
            <w:tcW w:w="2451" w:type="dxa"/>
            <w:tcBorders>
              <w:top w:val="nil" w:sz="6" w:space="0" w:color="auto"/>
              <w:left w:val="nil" w:sz="6" w:space="0" w:color="auto"/>
              <w:bottom w:val="nil" w:sz="6" w:space="0" w:color="auto"/>
              <w:right w:val="nil" w:sz="6" w:space="0" w:color="auto"/>
            </w:tcBorders>
          </w:tcPr>
          <w:p>
            <w:pPr/>
          </w:p>
        </w:tc>
        <w:tc>
          <w:tcPr>
            <w:tcW w:w="1583" w:type="dxa"/>
            <w:tcBorders>
              <w:top w:val="nil" w:sz="6" w:space="0" w:color="auto"/>
              <w:left w:val="nil" w:sz="6" w:space="0" w:color="auto"/>
              <w:bottom w:val="nil" w:sz="6" w:space="0" w:color="auto"/>
              <w:right w:val="nil" w:sz="6" w:space="0" w:color="auto"/>
            </w:tcBorders>
          </w:tcPr>
          <w:p>
            <w:pPr/>
          </w:p>
        </w:tc>
      </w:tr>
      <w:tr>
        <w:trPr>
          <w:trHeight w:val="295" w:hRule="exact"/>
        </w:trPr>
        <w:tc>
          <w:tcPr>
            <w:tcW w:w="4706"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pacing w:val="-12"/>
                <w:sz w:val="18"/>
                <w:szCs w:val="18"/>
              </w:rPr>
              <w:t>《中国学术期刊（光盘版）》电子杂志社有限公司</w:t>
            </w:r>
            <w:r>
              <w:rPr>
                <w:rFonts w:ascii="宋体" w:hAnsi="宋体" w:cs="宋体" w:eastAsia="宋体" w:hint="default"/>
                <w:sz w:val="18"/>
                <w:szCs w:val="18"/>
              </w:rPr>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438"/>
              <w:jc w:val="right"/>
              <w:rPr>
                <w:rFonts w:ascii="Times New Roman" w:hAnsi="Times New Roman" w:cs="Times New Roman" w:eastAsia="Times New Roman" w:hint="default"/>
                <w:sz w:val="18"/>
                <w:szCs w:val="18"/>
              </w:rPr>
            </w:pPr>
            <w:r>
              <w:rPr>
                <w:rFonts w:ascii="Times New Roman"/>
                <w:spacing w:val="-1"/>
                <w:sz w:val="18"/>
              </w:rPr>
              <w:t>83,299,531.17</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43,143,833.84</w:t>
            </w:r>
          </w:p>
        </w:tc>
      </w:tr>
      <w:tr>
        <w:trPr>
          <w:trHeight w:val="284" w:hRule="exact"/>
        </w:trPr>
        <w:tc>
          <w:tcPr>
            <w:tcW w:w="4706"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北京清华同衡规划设计研究院有限公司</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36"/>
              <w:jc w:val="right"/>
              <w:rPr>
                <w:rFonts w:ascii="Times New Roman" w:hAnsi="Times New Roman" w:cs="Times New Roman" w:eastAsia="Times New Roman" w:hint="default"/>
                <w:sz w:val="18"/>
                <w:szCs w:val="18"/>
              </w:rPr>
            </w:pPr>
            <w:r>
              <w:rPr>
                <w:rFonts w:ascii="Times New Roman"/>
                <w:spacing w:val="-1"/>
                <w:sz w:val="18"/>
              </w:rPr>
              <w:t>7,147,330.68</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140,000.00</w:t>
            </w:r>
          </w:p>
        </w:tc>
      </w:tr>
      <w:tr>
        <w:trPr>
          <w:trHeight w:val="285" w:hRule="exact"/>
        </w:trPr>
        <w:tc>
          <w:tcPr>
            <w:tcW w:w="4706"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北京国环清华环境工程设计研究院有限公司</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36"/>
              <w:jc w:val="right"/>
              <w:rPr>
                <w:rFonts w:ascii="Times New Roman" w:hAnsi="Times New Roman" w:cs="Times New Roman" w:eastAsia="Times New Roman" w:hint="default"/>
                <w:sz w:val="18"/>
                <w:szCs w:val="18"/>
              </w:rPr>
            </w:pPr>
            <w:r>
              <w:rPr>
                <w:rFonts w:ascii="Times New Roman"/>
                <w:spacing w:val="-1"/>
                <w:sz w:val="18"/>
              </w:rPr>
              <w:t>698,113.21</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4706"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北京立课教育科技有限公司</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36"/>
              <w:jc w:val="right"/>
              <w:rPr>
                <w:rFonts w:ascii="Times New Roman" w:hAnsi="Times New Roman" w:cs="Times New Roman" w:eastAsia="Times New Roman" w:hint="default"/>
                <w:sz w:val="18"/>
                <w:szCs w:val="18"/>
              </w:rPr>
            </w:pPr>
            <w:r>
              <w:rPr>
                <w:rFonts w:ascii="Times New Roman"/>
                <w:spacing w:val="-1"/>
                <w:sz w:val="18"/>
              </w:rPr>
              <w:t>650,000.00</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67" w:hRule="exact"/>
        </w:trPr>
        <w:tc>
          <w:tcPr>
            <w:tcW w:w="4706" w:type="dxa"/>
            <w:tcBorders>
              <w:top w:val="nil" w:sz="6" w:space="0" w:color="auto"/>
              <w:left w:val="nil" w:sz="6" w:space="0" w:color="auto"/>
              <w:bottom w:val="single" w:sz="12"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清华大学建筑设计研究院有限公司</w:t>
            </w:r>
          </w:p>
        </w:tc>
        <w:tc>
          <w:tcPr>
            <w:tcW w:w="2451"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438"/>
              <w:jc w:val="right"/>
              <w:rPr>
                <w:rFonts w:ascii="Times New Roman" w:hAnsi="Times New Roman" w:cs="Times New Roman" w:eastAsia="Times New Roman" w:hint="default"/>
                <w:sz w:val="18"/>
                <w:szCs w:val="18"/>
              </w:rPr>
            </w:pPr>
            <w:r>
              <w:rPr>
                <w:rFonts w:ascii="Times New Roman"/>
                <w:spacing w:val="-1"/>
                <w:sz w:val="18"/>
              </w:rPr>
              <w:t>0.00</w:t>
            </w:r>
          </w:p>
        </w:tc>
        <w:tc>
          <w:tcPr>
            <w:tcW w:w="1583"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1,590,000.00</w:t>
            </w:r>
          </w:p>
        </w:tc>
      </w:tr>
    </w:tbl>
    <w:p>
      <w:pPr>
        <w:spacing w:after="0" w:line="240" w:lineRule="auto"/>
        <w:jc w:val="right"/>
        <w:rPr>
          <w:rFonts w:ascii="Times New Roman" w:hAnsi="Times New Roman" w:cs="Times New Roman" w:eastAsia="Times New Roman" w:hint="default"/>
          <w:sz w:val="18"/>
          <w:szCs w:val="18"/>
        </w:rPr>
        <w:sectPr>
          <w:pgSz w:w="11910" w:h="16840"/>
          <w:pgMar w:header="645" w:footer="816" w:top="1080" w:bottom="1000" w:left="1460" w:right="1440"/>
        </w:sectPr>
      </w:pPr>
    </w:p>
    <w:p>
      <w:pPr>
        <w:spacing w:line="240" w:lineRule="auto" w:before="7"/>
        <w:rPr>
          <w:rFonts w:ascii="宋体" w:hAnsi="宋体" w:cs="宋体" w:eastAsia="宋体" w:hint="default"/>
          <w:sz w:val="27"/>
          <w:szCs w:val="27"/>
        </w:rPr>
      </w:pPr>
    </w:p>
    <w:tbl>
      <w:tblPr>
        <w:tblW w:w="0" w:type="auto"/>
        <w:jc w:val="left"/>
        <w:tblInd w:w="119" w:type="dxa"/>
        <w:tblLayout w:type="fixed"/>
        <w:tblCellMar>
          <w:top w:w="0" w:type="dxa"/>
          <w:left w:w="0" w:type="dxa"/>
          <w:bottom w:w="0" w:type="dxa"/>
          <w:right w:w="0" w:type="dxa"/>
        </w:tblCellMar>
        <w:tblLook w:val="01E0"/>
      </w:tblPr>
      <w:tblGrid>
        <w:gridCol w:w="5108"/>
        <w:gridCol w:w="2005"/>
        <w:gridCol w:w="1627"/>
      </w:tblGrid>
      <w:tr>
        <w:trPr>
          <w:trHeight w:val="307" w:hRule="exact"/>
        </w:trPr>
        <w:tc>
          <w:tcPr>
            <w:tcW w:w="510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200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392"/>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162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14" w:hRule="exact"/>
        </w:trPr>
        <w:tc>
          <w:tcPr>
            <w:tcW w:w="5108"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b/>
                <w:bCs/>
                <w:sz w:val="18"/>
                <w:szCs w:val="18"/>
              </w:rPr>
              <w:t>合营及联营企业：</w:t>
            </w:r>
            <w:r>
              <w:rPr>
                <w:rFonts w:ascii="宋体" w:hAnsi="宋体" w:cs="宋体" w:eastAsia="宋体" w:hint="default"/>
                <w:sz w:val="18"/>
                <w:szCs w:val="18"/>
              </w:rPr>
            </w:r>
          </w:p>
        </w:tc>
        <w:tc>
          <w:tcPr>
            <w:tcW w:w="2005" w:type="dxa"/>
            <w:tcBorders>
              <w:top w:val="single" w:sz="4" w:space="0" w:color="000000"/>
              <w:left w:val="nil" w:sz="6" w:space="0" w:color="auto"/>
              <w:bottom w:val="nil" w:sz="6" w:space="0" w:color="auto"/>
              <w:right w:val="nil" w:sz="6" w:space="0" w:color="auto"/>
            </w:tcBorders>
          </w:tcPr>
          <w:p>
            <w:pPr/>
          </w:p>
        </w:tc>
        <w:tc>
          <w:tcPr>
            <w:tcW w:w="1627" w:type="dxa"/>
            <w:tcBorders>
              <w:top w:val="single" w:sz="4" w:space="0" w:color="000000"/>
              <w:left w:val="nil" w:sz="6" w:space="0" w:color="auto"/>
              <w:bottom w:val="nil" w:sz="6" w:space="0" w:color="auto"/>
              <w:right w:val="nil" w:sz="6" w:space="0" w:color="auto"/>
            </w:tcBorders>
          </w:tcPr>
          <w:p>
            <w:pPr/>
          </w:p>
        </w:tc>
      </w:tr>
      <w:tr>
        <w:trPr>
          <w:trHeight w:val="295"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同方环境股份有限公司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94"/>
              <w:jc w:val="right"/>
              <w:rPr>
                <w:rFonts w:ascii="Times New Roman" w:hAnsi="Times New Roman" w:cs="Times New Roman" w:eastAsia="Times New Roman" w:hint="default"/>
                <w:sz w:val="18"/>
                <w:szCs w:val="18"/>
              </w:rPr>
            </w:pPr>
            <w:r>
              <w:rPr>
                <w:rFonts w:ascii="Times New Roman"/>
                <w:spacing w:val="-1"/>
                <w:sz w:val="18"/>
              </w:rPr>
              <w:t>43,403,776.56</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18,879,215.94</w:t>
            </w:r>
          </w:p>
        </w:tc>
      </w:tr>
      <w:tr>
        <w:trPr>
          <w:trHeight w:val="286"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同方川崎节能设备有限公司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94"/>
              <w:jc w:val="right"/>
              <w:rPr>
                <w:rFonts w:ascii="Times New Roman" w:hAnsi="Times New Roman" w:cs="Times New Roman" w:eastAsia="Times New Roman" w:hint="default"/>
                <w:sz w:val="18"/>
                <w:szCs w:val="18"/>
              </w:rPr>
            </w:pPr>
            <w:r>
              <w:rPr>
                <w:rFonts w:ascii="Times New Roman"/>
                <w:spacing w:val="-1"/>
                <w:sz w:val="18"/>
              </w:rPr>
              <w:t>33,828,320.91</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28,229,844.75</w:t>
            </w:r>
          </w:p>
        </w:tc>
      </w:tr>
      <w:tr>
        <w:trPr>
          <w:trHeight w:val="284"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同方佰宜科技（北京）有限公司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94"/>
              <w:jc w:val="right"/>
              <w:rPr>
                <w:rFonts w:ascii="Times New Roman" w:hAnsi="Times New Roman" w:cs="Times New Roman" w:eastAsia="Times New Roman" w:hint="default"/>
                <w:sz w:val="18"/>
                <w:szCs w:val="18"/>
              </w:rPr>
            </w:pPr>
            <w:r>
              <w:rPr>
                <w:rFonts w:ascii="Times New Roman"/>
                <w:spacing w:val="-1"/>
                <w:sz w:val="18"/>
              </w:rPr>
              <w:t>18,941,204.13</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18,537,725.30</w:t>
            </w:r>
          </w:p>
        </w:tc>
      </w:tr>
      <w:tr>
        <w:trPr>
          <w:trHeight w:val="284"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同方全球人寿保险有限公司（原海康人寿保险有限公司）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92"/>
              <w:jc w:val="right"/>
              <w:rPr>
                <w:rFonts w:ascii="Times New Roman" w:hAnsi="Times New Roman" w:cs="Times New Roman" w:eastAsia="Times New Roman" w:hint="default"/>
                <w:sz w:val="18"/>
                <w:szCs w:val="18"/>
              </w:rPr>
            </w:pPr>
            <w:r>
              <w:rPr>
                <w:rFonts w:ascii="Times New Roman"/>
                <w:spacing w:val="-1"/>
                <w:sz w:val="18"/>
              </w:rPr>
              <w:t>5,793,240.19</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北京同方时讯电子有限公司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92"/>
              <w:jc w:val="right"/>
              <w:rPr>
                <w:rFonts w:ascii="Times New Roman" w:hAnsi="Times New Roman" w:cs="Times New Roman" w:eastAsia="Times New Roman" w:hint="default"/>
                <w:sz w:val="18"/>
                <w:szCs w:val="18"/>
              </w:rPr>
            </w:pPr>
            <w:r>
              <w:rPr>
                <w:rFonts w:ascii="Times New Roman"/>
                <w:spacing w:val="-1"/>
                <w:sz w:val="18"/>
              </w:rPr>
              <w:t>2,407,735.33</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7,689,015.87</w:t>
            </w:r>
          </w:p>
        </w:tc>
      </w:tr>
      <w:tr>
        <w:trPr>
          <w:trHeight w:val="286"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pacing w:val="-32"/>
                <w:sz w:val="18"/>
                <w:szCs w:val="18"/>
              </w:rPr>
              <w:t>北京海视安数据科技有限公司（原北京威视数据系统有限公司）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92"/>
              <w:jc w:val="right"/>
              <w:rPr>
                <w:rFonts w:ascii="Times New Roman" w:hAnsi="Times New Roman" w:cs="Times New Roman" w:eastAsia="Times New Roman" w:hint="default"/>
                <w:sz w:val="18"/>
                <w:szCs w:val="18"/>
              </w:rPr>
            </w:pPr>
            <w:r>
              <w:rPr>
                <w:rFonts w:ascii="Times New Roman"/>
                <w:spacing w:val="-1"/>
                <w:sz w:val="18"/>
              </w:rPr>
              <w:t>1,157,198.56</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269,175.21</w:t>
            </w:r>
          </w:p>
        </w:tc>
      </w:tr>
      <w:tr>
        <w:trPr>
          <w:trHeight w:val="284"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江西清华泰豪三波电机有限公司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92"/>
              <w:jc w:val="right"/>
              <w:rPr>
                <w:rFonts w:ascii="Times New Roman" w:hAnsi="Times New Roman" w:cs="Times New Roman" w:eastAsia="Times New Roman" w:hint="default"/>
                <w:sz w:val="18"/>
                <w:szCs w:val="18"/>
              </w:rPr>
            </w:pPr>
            <w:r>
              <w:rPr>
                <w:rFonts w:ascii="Times New Roman"/>
                <w:spacing w:val="-1"/>
                <w:sz w:val="18"/>
              </w:rPr>
              <w:t>588,717.95</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459,200.00</w:t>
            </w:r>
          </w:p>
        </w:tc>
      </w:tr>
      <w:tr>
        <w:trPr>
          <w:trHeight w:val="284"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同方鼎欣科技股份有限公司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92"/>
              <w:jc w:val="right"/>
              <w:rPr>
                <w:rFonts w:ascii="Times New Roman" w:hAnsi="Times New Roman" w:cs="Times New Roman" w:eastAsia="Times New Roman" w:hint="default"/>
                <w:sz w:val="18"/>
                <w:szCs w:val="18"/>
              </w:rPr>
            </w:pPr>
            <w:r>
              <w:rPr>
                <w:rFonts w:ascii="Times New Roman"/>
                <w:spacing w:val="-1"/>
                <w:sz w:val="18"/>
              </w:rPr>
              <w:t>503,247.86</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北京朗视仪器有限公司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92"/>
              <w:jc w:val="right"/>
              <w:rPr>
                <w:rFonts w:ascii="Times New Roman" w:hAnsi="Times New Roman" w:cs="Times New Roman" w:eastAsia="Times New Roman" w:hint="default"/>
                <w:sz w:val="18"/>
                <w:szCs w:val="18"/>
              </w:rPr>
            </w:pPr>
            <w:r>
              <w:rPr>
                <w:rFonts w:ascii="Times New Roman"/>
                <w:spacing w:val="-1"/>
                <w:sz w:val="18"/>
              </w:rPr>
              <w:t>396,340.33</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同方（深圳）云计算技术股份有限公司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92"/>
              <w:jc w:val="right"/>
              <w:rPr>
                <w:rFonts w:ascii="Times New Roman" w:hAnsi="Times New Roman" w:cs="Times New Roman" w:eastAsia="Times New Roman" w:hint="default"/>
                <w:sz w:val="18"/>
                <w:szCs w:val="18"/>
              </w:rPr>
            </w:pPr>
            <w:r>
              <w:rPr>
                <w:rFonts w:ascii="Times New Roman"/>
                <w:spacing w:val="-1"/>
                <w:sz w:val="18"/>
              </w:rPr>
              <w:t>358,635.53</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1,560,913.65</w:t>
            </w:r>
          </w:p>
        </w:tc>
      </w:tr>
      <w:tr>
        <w:trPr>
          <w:trHeight w:val="284"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广州同方瑞风空调有限公司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94"/>
              <w:jc w:val="right"/>
              <w:rPr>
                <w:rFonts w:ascii="Times New Roman" w:hAnsi="Times New Roman" w:cs="Times New Roman" w:eastAsia="Times New Roman" w:hint="default"/>
                <w:sz w:val="18"/>
                <w:szCs w:val="18"/>
              </w:rPr>
            </w:pPr>
            <w:r>
              <w:rPr>
                <w:rFonts w:ascii="Times New Roman"/>
                <w:spacing w:val="-1"/>
                <w:sz w:val="18"/>
              </w:rPr>
              <w:t>19,658.12</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5"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易程科技股份有限公司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93"/>
              <w:jc w:val="right"/>
              <w:rPr>
                <w:rFonts w:ascii="Times New Roman" w:hAnsi="Times New Roman" w:cs="Times New Roman" w:eastAsia="Times New Roman" w:hint="default"/>
                <w:sz w:val="18"/>
                <w:szCs w:val="18"/>
              </w:rPr>
            </w:pPr>
            <w:r>
              <w:rPr>
                <w:rFonts w:ascii="Times New Roman"/>
                <w:spacing w:val="-1"/>
                <w:sz w:val="18"/>
              </w:rPr>
              <w:t>0.00</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41,165,369.25</w:t>
            </w:r>
          </w:p>
        </w:tc>
      </w:tr>
      <w:tr>
        <w:trPr>
          <w:trHeight w:val="286"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广州同艺照明有限公司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93"/>
              <w:jc w:val="right"/>
              <w:rPr>
                <w:rFonts w:ascii="Times New Roman" w:hAnsi="Times New Roman" w:cs="Times New Roman" w:eastAsia="Times New Roman" w:hint="default"/>
                <w:sz w:val="18"/>
                <w:szCs w:val="18"/>
              </w:rPr>
            </w:pPr>
            <w:r>
              <w:rPr>
                <w:rFonts w:ascii="Times New Roman"/>
                <w:spacing w:val="-1"/>
                <w:sz w:val="18"/>
              </w:rPr>
              <w:t>0.00</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3,084,775.31</w:t>
            </w:r>
          </w:p>
        </w:tc>
      </w:tr>
      <w:tr>
        <w:trPr>
          <w:trHeight w:val="286"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张家口市电广文化传媒有限公司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93"/>
              <w:jc w:val="right"/>
              <w:rPr>
                <w:rFonts w:ascii="Times New Roman" w:hAnsi="Times New Roman" w:cs="Times New Roman" w:eastAsia="Times New Roman" w:hint="default"/>
                <w:sz w:val="18"/>
                <w:szCs w:val="18"/>
              </w:rPr>
            </w:pPr>
            <w:r>
              <w:rPr>
                <w:rFonts w:ascii="Times New Roman"/>
                <w:spacing w:val="-1"/>
                <w:sz w:val="18"/>
              </w:rPr>
              <w:t>0.00</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1,453,114.52</w:t>
            </w:r>
          </w:p>
        </w:tc>
      </w:tr>
      <w:tr>
        <w:trPr>
          <w:trHeight w:val="284"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北京恩赛威节能技术服务有限责任公司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93"/>
              <w:jc w:val="right"/>
              <w:rPr>
                <w:rFonts w:ascii="Times New Roman" w:hAnsi="Times New Roman" w:cs="Times New Roman" w:eastAsia="Times New Roman" w:hint="default"/>
                <w:sz w:val="18"/>
                <w:szCs w:val="18"/>
              </w:rPr>
            </w:pPr>
            <w:r>
              <w:rPr>
                <w:rFonts w:ascii="Times New Roman"/>
                <w:spacing w:val="-1"/>
                <w:sz w:val="18"/>
              </w:rPr>
              <w:t>0.00</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683,760.72</w:t>
            </w:r>
          </w:p>
        </w:tc>
      </w:tr>
      <w:tr>
        <w:trPr>
          <w:trHeight w:val="284"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运城市蓝星同方数字电视有限公司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93"/>
              <w:jc w:val="right"/>
              <w:rPr>
                <w:rFonts w:ascii="Times New Roman" w:hAnsi="Times New Roman" w:cs="Times New Roman" w:eastAsia="Times New Roman" w:hint="default"/>
                <w:sz w:val="18"/>
                <w:szCs w:val="18"/>
              </w:rPr>
            </w:pPr>
            <w:r>
              <w:rPr>
                <w:rFonts w:ascii="Times New Roman"/>
                <w:spacing w:val="-1"/>
                <w:sz w:val="18"/>
              </w:rPr>
              <w:t>0.00</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108,000.00</w:t>
            </w:r>
          </w:p>
        </w:tc>
      </w:tr>
      <w:tr>
        <w:trPr>
          <w:trHeight w:val="286"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深圳同方信息技术有限公司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93"/>
              <w:jc w:val="right"/>
              <w:rPr>
                <w:rFonts w:ascii="Times New Roman" w:hAnsi="Times New Roman" w:cs="Times New Roman" w:eastAsia="Times New Roman" w:hint="default"/>
                <w:sz w:val="18"/>
                <w:szCs w:val="18"/>
              </w:rPr>
            </w:pPr>
            <w:r>
              <w:rPr>
                <w:rFonts w:ascii="Times New Roman"/>
                <w:spacing w:val="-1"/>
                <w:sz w:val="18"/>
              </w:rPr>
              <w:t>0.00</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31,500.00</w:t>
            </w:r>
          </w:p>
        </w:tc>
      </w:tr>
      <w:tr>
        <w:trPr>
          <w:trHeight w:val="276"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其他关联关系方：</w:t>
            </w:r>
            <w:r>
              <w:rPr>
                <w:rFonts w:ascii="宋体" w:hAnsi="宋体" w:cs="宋体" w:eastAsia="宋体" w:hint="default"/>
                <w:sz w:val="18"/>
                <w:szCs w:val="18"/>
              </w:rPr>
            </w:r>
          </w:p>
        </w:tc>
        <w:tc>
          <w:tcPr>
            <w:tcW w:w="2005"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
        </w:tc>
      </w:tr>
      <w:tr>
        <w:trPr>
          <w:trHeight w:val="294"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北京清控人居环境研究院有限公司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92"/>
              <w:jc w:val="right"/>
              <w:rPr>
                <w:rFonts w:ascii="Times New Roman" w:hAnsi="Times New Roman" w:cs="Times New Roman" w:eastAsia="Times New Roman" w:hint="default"/>
                <w:sz w:val="18"/>
                <w:szCs w:val="18"/>
              </w:rPr>
            </w:pPr>
            <w:r>
              <w:rPr>
                <w:rFonts w:ascii="Times New Roman"/>
                <w:spacing w:val="-1"/>
                <w:sz w:val="18"/>
              </w:rPr>
              <w:t>4,048,175.86</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5108"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深圳华控赛格股份有限公司</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93"/>
              <w:jc w:val="right"/>
              <w:rPr>
                <w:rFonts w:ascii="Times New Roman" w:hAnsi="Times New Roman" w:cs="Times New Roman" w:eastAsia="Times New Roman" w:hint="default"/>
                <w:sz w:val="18"/>
                <w:szCs w:val="18"/>
              </w:rPr>
            </w:pPr>
            <w:r>
              <w:rPr>
                <w:rFonts w:ascii="Times New Roman"/>
                <w:spacing w:val="-1"/>
                <w:sz w:val="18"/>
              </w:rPr>
              <w:t>0.00</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16,251,677.90</w:t>
            </w:r>
          </w:p>
        </w:tc>
      </w:tr>
      <w:tr>
        <w:trPr>
          <w:trHeight w:val="255" w:hRule="exact"/>
        </w:trPr>
        <w:tc>
          <w:tcPr>
            <w:tcW w:w="5108" w:type="dxa"/>
            <w:tcBorders>
              <w:top w:val="nil" w:sz="6" w:space="0" w:color="auto"/>
              <w:left w:val="nil" w:sz="6" w:space="0" w:color="auto"/>
              <w:bottom w:val="single" w:sz="4"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北京同方洁净技术有限公司</w:t>
            </w:r>
          </w:p>
        </w:tc>
        <w:tc>
          <w:tcPr>
            <w:tcW w:w="200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393"/>
              <w:jc w:val="right"/>
              <w:rPr>
                <w:rFonts w:ascii="Times New Roman" w:hAnsi="Times New Roman" w:cs="Times New Roman" w:eastAsia="Times New Roman" w:hint="default"/>
                <w:sz w:val="18"/>
                <w:szCs w:val="18"/>
              </w:rPr>
            </w:pPr>
            <w:r>
              <w:rPr>
                <w:rFonts w:ascii="Times New Roman"/>
                <w:spacing w:val="-1"/>
                <w:sz w:val="18"/>
              </w:rPr>
              <w:t>0.00</w:t>
            </w:r>
          </w:p>
        </w:tc>
        <w:tc>
          <w:tcPr>
            <w:tcW w:w="1627"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2,415,361.64</w:t>
            </w:r>
          </w:p>
        </w:tc>
      </w:tr>
      <w:tr>
        <w:trPr>
          <w:trHeight w:val="307" w:hRule="exact"/>
        </w:trPr>
        <w:tc>
          <w:tcPr>
            <w:tcW w:w="5108"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00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391"/>
              <w:jc w:val="right"/>
              <w:rPr>
                <w:rFonts w:ascii="Times New Roman" w:hAnsi="Times New Roman" w:cs="Times New Roman" w:eastAsia="Times New Roman" w:hint="default"/>
                <w:sz w:val="18"/>
                <w:szCs w:val="18"/>
              </w:rPr>
            </w:pPr>
            <w:r>
              <w:rPr>
                <w:rFonts w:ascii="Times New Roman"/>
                <w:b/>
                <w:spacing w:val="-1"/>
                <w:sz w:val="18"/>
              </w:rPr>
              <w:t>349,140,995.26</w:t>
            </w:r>
            <w:r>
              <w:rPr>
                <w:rFonts w:ascii="Times New Roman"/>
                <w:spacing w:val="-1"/>
                <w:sz w:val="18"/>
              </w:rPr>
            </w:r>
          </w:p>
        </w:tc>
        <w:tc>
          <w:tcPr>
            <w:tcW w:w="1627"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257,937,754.12</w:t>
            </w:r>
            <w:r>
              <w:rPr>
                <w:rFonts w:ascii="Times New Roman"/>
                <w:spacing w:val="-1"/>
                <w:sz w:val="18"/>
              </w:rPr>
            </w:r>
          </w:p>
        </w:tc>
      </w:tr>
    </w:tbl>
    <w:p>
      <w:pPr>
        <w:spacing w:before="81"/>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销售商品</w:t>
      </w:r>
      <w:r>
        <w:rPr>
          <w:rFonts w:ascii="Times New Roman" w:hAnsi="Times New Roman" w:cs="Times New Roman" w:eastAsia="Times New Roman" w:hint="default"/>
          <w:sz w:val="22"/>
          <w:szCs w:val="22"/>
        </w:rPr>
        <w:t>/</w:t>
      </w:r>
      <w:r>
        <w:rPr>
          <w:rFonts w:ascii="宋体" w:hAnsi="宋体" w:cs="宋体" w:eastAsia="宋体" w:hint="default"/>
          <w:sz w:val="22"/>
          <w:szCs w:val="22"/>
        </w:rPr>
        <w:t>提供劳务</w:t>
      </w:r>
    </w:p>
    <w:p>
      <w:pPr>
        <w:spacing w:line="240" w:lineRule="auto" w:before="5"/>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4911"/>
        <w:gridCol w:w="2273"/>
        <w:gridCol w:w="1556"/>
      </w:tblGrid>
      <w:tr>
        <w:trPr>
          <w:trHeight w:val="308" w:hRule="exact"/>
        </w:trPr>
        <w:tc>
          <w:tcPr>
            <w:tcW w:w="4911"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2273"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right="408"/>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1556"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right="108"/>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13" w:hRule="exact"/>
        </w:trPr>
        <w:tc>
          <w:tcPr>
            <w:tcW w:w="4911"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b/>
                <w:bCs/>
                <w:sz w:val="18"/>
                <w:szCs w:val="18"/>
              </w:rPr>
              <w:t>清华大学及其下属单位：</w:t>
            </w:r>
            <w:r>
              <w:rPr>
                <w:rFonts w:ascii="宋体" w:hAnsi="宋体" w:cs="宋体" w:eastAsia="宋体" w:hint="default"/>
                <w:sz w:val="18"/>
                <w:szCs w:val="18"/>
              </w:rPr>
            </w:r>
          </w:p>
        </w:tc>
        <w:tc>
          <w:tcPr>
            <w:tcW w:w="2273" w:type="dxa"/>
            <w:tcBorders>
              <w:top w:val="single" w:sz="4" w:space="0" w:color="000000"/>
              <w:left w:val="nil" w:sz="6" w:space="0" w:color="auto"/>
              <w:bottom w:val="nil" w:sz="6" w:space="0" w:color="auto"/>
              <w:right w:val="nil" w:sz="6" w:space="0" w:color="auto"/>
            </w:tcBorders>
          </w:tcPr>
          <w:p>
            <w:pPr/>
          </w:p>
        </w:tc>
        <w:tc>
          <w:tcPr>
            <w:tcW w:w="1556" w:type="dxa"/>
            <w:tcBorders>
              <w:top w:val="single" w:sz="4" w:space="0" w:color="000000"/>
              <w:left w:val="nil" w:sz="6" w:space="0" w:color="auto"/>
              <w:bottom w:val="nil" w:sz="6" w:space="0" w:color="auto"/>
              <w:right w:val="nil" w:sz="6" w:space="0" w:color="auto"/>
            </w:tcBorders>
          </w:tcPr>
          <w:p>
            <w:pPr/>
          </w:p>
        </w:tc>
      </w:tr>
      <w:tr>
        <w:trPr>
          <w:trHeight w:val="295"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407"/>
              <w:jc w:val="right"/>
              <w:rPr>
                <w:rFonts w:ascii="Times New Roman" w:hAnsi="Times New Roman" w:cs="Times New Roman" w:eastAsia="Times New Roman" w:hint="default"/>
                <w:sz w:val="18"/>
                <w:szCs w:val="18"/>
              </w:rPr>
            </w:pPr>
            <w:r>
              <w:rPr>
                <w:rFonts w:ascii="Times New Roman"/>
                <w:spacing w:val="-1"/>
                <w:sz w:val="18"/>
              </w:rPr>
              <w:t>7,231,328.63</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0"/>
              <w:jc w:val="right"/>
              <w:rPr>
                <w:rFonts w:ascii="Times New Roman" w:hAnsi="Times New Roman" w:cs="Times New Roman" w:eastAsia="Times New Roman" w:hint="default"/>
                <w:sz w:val="18"/>
                <w:szCs w:val="18"/>
              </w:rPr>
            </w:pPr>
            <w:r>
              <w:rPr>
                <w:rFonts w:ascii="Times New Roman"/>
                <w:spacing w:val="-1"/>
                <w:sz w:val="18"/>
              </w:rPr>
              <w:t>14,660,113.85</w:t>
            </w:r>
          </w:p>
        </w:tc>
      </w:tr>
      <w:tr>
        <w:trPr>
          <w:trHeight w:val="275"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控股股东及受同一控股股东控制的其他企业：</w:t>
            </w:r>
            <w:r>
              <w:rPr>
                <w:rFonts w:ascii="宋体" w:hAnsi="宋体" w:cs="宋体" w:eastAsia="宋体" w:hint="default"/>
                <w:sz w:val="18"/>
                <w:szCs w:val="18"/>
              </w:rPr>
            </w:r>
          </w:p>
        </w:tc>
        <w:tc>
          <w:tcPr>
            <w:tcW w:w="2273" w:type="dxa"/>
            <w:tcBorders>
              <w:top w:val="nil" w:sz="6" w:space="0" w:color="auto"/>
              <w:left w:val="nil" w:sz="6" w:space="0" w:color="auto"/>
              <w:bottom w:val="nil" w:sz="6" w:space="0" w:color="auto"/>
              <w:right w:val="nil" w:sz="6" w:space="0" w:color="auto"/>
            </w:tcBorders>
          </w:tcPr>
          <w:p>
            <w:pPr/>
          </w:p>
        </w:tc>
        <w:tc>
          <w:tcPr>
            <w:tcW w:w="1556" w:type="dxa"/>
            <w:tcBorders>
              <w:top w:val="nil" w:sz="6" w:space="0" w:color="auto"/>
              <w:left w:val="nil" w:sz="6" w:space="0" w:color="auto"/>
              <w:bottom w:val="nil" w:sz="6" w:space="0" w:color="auto"/>
              <w:right w:val="nil" w:sz="6" w:space="0" w:color="auto"/>
            </w:tcBorders>
          </w:tcPr>
          <w:p>
            <w:pPr/>
          </w:p>
        </w:tc>
      </w:tr>
      <w:tr>
        <w:trPr>
          <w:trHeight w:val="295"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《中国学术期刊（光盘版）》电子杂志社有限公司</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08"/>
              <w:jc w:val="right"/>
              <w:rPr>
                <w:rFonts w:ascii="Times New Roman" w:hAnsi="Times New Roman" w:cs="Times New Roman" w:eastAsia="Times New Roman" w:hint="default"/>
                <w:sz w:val="18"/>
                <w:szCs w:val="18"/>
              </w:rPr>
            </w:pPr>
            <w:r>
              <w:rPr>
                <w:rFonts w:ascii="Times New Roman"/>
                <w:spacing w:val="-1"/>
                <w:sz w:val="18"/>
              </w:rPr>
              <w:t>28,461,270.64</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紫光数码（苏州）集团有限公司</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08"/>
              <w:jc w:val="right"/>
              <w:rPr>
                <w:rFonts w:ascii="Times New Roman" w:hAnsi="Times New Roman" w:cs="Times New Roman" w:eastAsia="Times New Roman" w:hint="default"/>
                <w:sz w:val="18"/>
                <w:szCs w:val="18"/>
              </w:rPr>
            </w:pPr>
            <w:r>
              <w:rPr>
                <w:rFonts w:ascii="Times New Roman"/>
                <w:spacing w:val="-1"/>
                <w:sz w:val="18"/>
              </w:rPr>
              <w:t>15,698,085.49</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4,676,572.62</w:t>
            </w:r>
          </w:p>
        </w:tc>
      </w:tr>
      <w:tr>
        <w:trPr>
          <w:trHeight w:val="286"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清华同方光盘电子出版社</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07"/>
              <w:jc w:val="right"/>
              <w:rPr>
                <w:rFonts w:ascii="Times New Roman" w:hAnsi="Times New Roman" w:cs="Times New Roman" w:eastAsia="Times New Roman" w:hint="default"/>
                <w:sz w:val="18"/>
                <w:szCs w:val="18"/>
              </w:rPr>
            </w:pPr>
            <w:r>
              <w:rPr>
                <w:rFonts w:ascii="Times New Roman"/>
                <w:spacing w:val="-1"/>
                <w:sz w:val="18"/>
              </w:rPr>
              <w:t>5,187,169.83</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07"/>
              <w:jc w:val="right"/>
              <w:rPr>
                <w:rFonts w:ascii="Times New Roman" w:hAnsi="Times New Roman" w:cs="Times New Roman" w:eastAsia="Times New Roman" w:hint="default"/>
                <w:sz w:val="18"/>
                <w:szCs w:val="18"/>
              </w:rPr>
            </w:pPr>
            <w:r>
              <w:rPr>
                <w:rFonts w:ascii="Times New Roman"/>
                <w:spacing w:val="-1"/>
                <w:sz w:val="18"/>
              </w:rPr>
              <w:t>125,376.06</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清华大学出版社有限公司</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07"/>
              <w:jc w:val="right"/>
              <w:rPr>
                <w:rFonts w:ascii="Times New Roman" w:hAnsi="Times New Roman" w:cs="Times New Roman" w:eastAsia="Times New Roman" w:hint="default"/>
                <w:sz w:val="18"/>
                <w:szCs w:val="18"/>
              </w:rPr>
            </w:pPr>
            <w:r>
              <w:rPr>
                <w:rFonts w:ascii="Times New Roman"/>
                <w:spacing w:val="-1"/>
                <w:sz w:val="18"/>
              </w:rPr>
              <w:t>98,643.37</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Times New Roman" w:hAnsi="Times New Roman" w:cs="Times New Roman" w:eastAsia="Times New Roman" w:hint="default"/>
                <w:sz w:val="18"/>
                <w:szCs w:val="18"/>
              </w:rPr>
            </w:pPr>
            <w:r>
              <w:rPr>
                <w:rFonts w:ascii="Times New Roman"/>
                <w:spacing w:val="-1"/>
                <w:sz w:val="18"/>
              </w:rPr>
              <w:t>90,342.82</w:t>
            </w:r>
          </w:p>
        </w:tc>
      </w:tr>
      <w:tr>
        <w:trPr>
          <w:trHeight w:val="284"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博奥颐和健康科学技术（北京）有限公司</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07"/>
              <w:jc w:val="right"/>
              <w:rPr>
                <w:rFonts w:ascii="Times New Roman" w:hAnsi="Times New Roman" w:cs="Times New Roman" w:eastAsia="Times New Roman" w:hint="default"/>
                <w:sz w:val="18"/>
                <w:szCs w:val="18"/>
              </w:rPr>
            </w:pPr>
            <w:r>
              <w:rPr>
                <w:rFonts w:ascii="Times New Roman"/>
                <w:spacing w:val="-1"/>
                <w:sz w:val="18"/>
              </w:rPr>
              <w:t>73,076.93</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北京紫光置地投资管理有限公司</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07"/>
              <w:jc w:val="right"/>
              <w:rPr>
                <w:rFonts w:ascii="Times New Roman" w:hAnsi="Times New Roman" w:cs="Times New Roman" w:eastAsia="Times New Roman" w:hint="default"/>
                <w:sz w:val="18"/>
                <w:szCs w:val="18"/>
              </w:rPr>
            </w:pPr>
            <w:r>
              <w:rPr>
                <w:rFonts w:ascii="Times New Roman"/>
                <w:spacing w:val="-1"/>
                <w:sz w:val="18"/>
              </w:rPr>
              <w:t>57,692.31</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北京博奥医学检验所有限公司</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07"/>
              <w:jc w:val="right"/>
              <w:rPr>
                <w:rFonts w:ascii="Times New Roman" w:hAnsi="Times New Roman" w:cs="Times New Roman" w:eastAsia="Times New Roman" w:hint="default"/>
                <w:sz w:val="18"/>
                <w:szCs w:val="18"/>
              </w:rPr>
            </w:pPr>
            <w:r>
              <w:rPr>
                <w:rFonts w:ascii="Times New Roman"/>
                <w:spacing w:val="-1"/>
                <w:sz w:val="18"/>
              </w:rPr>
              <w:t>47,692.31</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成都博奥独立医学实验室有限公司</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07"/>
              <w:jc w:val="right"/>
              <w:rPr>
                <w:rFonts w:ascii="Times New Roman" w:hAnsi="Times New Roman" w:cs="Times New Roman" w:eastAsia="Times New Roman" w:hint="default"/>
                <w:sz w:val="18"/>
                <w:szCs w:val="18"/>
              </w:rPr>
            </w:pPr>
            <w:r>
              <w:rPr>
                <w:rFonts w:ascii="Times New Roman"/>
                <w:spacing w:val="-1"/>
                <w:sz w:val="18"/>
              </w:rPr>
              <w:t>21,538.46</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5"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博奥生物集团有限公司</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07"/>
              <w:jc w:val="right"/>
              <w:rPr>
                <w:rFonts w:ascii="Times New Roman" w:hAnsi="Times New Roman" w:cs="Times New Roman" w:eastAsia="Times New Roman" w:hint="default"/>
                <w:sz w:val="18"/>
                <w:szCs w:val="18"/>
              </w:rPr>
            </w:pPr>
            <w:r>
              <w:rPr>
                <w:rFonts w:ascii="Times New Roman"/>
                <w:spacing w:val="-1"/>
                <w:sz w:val="18"/>
              </w:rPr>
              <w:t>15,384.62</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清华大学建筑设计研究院有限公司</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07"/>
              <w:jc w:val="right"/>
              <w:rPr>
                <w:rFonts w:ascii="Times New Roman" w:hAnsi="Times New Roman" w:cs="Times New Roman" w:eastAsia="Times New Roman" w:hint="default"/>
                <w:sz w:val="18"/>
                <w:szCs w:val="18"/>
              </w:rPr>
            </w:pPr>
            <w:r>
              <w:rPr>
                <w:rFonts w:ascii="Times New Roman"/>
                <w:w w:val="95"/>
                <w:sz w:val="18"/>
              </w:rPr>
              <w:t>2,538.46</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紫光软件系统有限公司</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07"/>
              <w:jc w:val="right"/>
              <w:rPr>
                <w:rFonts w:ascii="Times New Roman" w:hAnsi="Times New Roman" w:cs="Times New Roman" w:eastAsia="Times New Roman" w:hint="default"/>
                <w:sz w:val="18"/>
                <w:szCs w:val="18"/>
              </w:rPr>
            </w:pPr>
            <w:r>
              <w:rPr>
                <w:rFonts w:ascii="Times New Roman"/>
                <w:spacing w:val="-1"/>
                <w:sz w:val="18"/>
              </w:rPr>
              <w:t>464.00</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北京国环清华环境工程设计研究院有限公司</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07"/>
              <w:jc w:val="right"/>
              <w:rPr>
                <w:rFonts w:ascii="Times New Roman" w:hAnsi="Times New Roman" w:cs="Times New Roman" w:eastAsia="Times New Roman" w:hint="default"/>
                <w:sz w:val="18"/>
                <w:szCs w:val="18"/>
              </w:rPr>
            </w:pPr>
            <w:r>
              <w:rPr>
                <w:rFonts w:ascii="Times New Roman"/>
                <w:spacing w:val="-1"/>
                <w:sz w:val="18"/>
              </w:rPr>
              <w:t>358.98</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紫光集团有限公司</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07"/>
              <w:jc w:val="right"/>
              <w:rPr>
                <w:rFonts w:ascii="Times New Roman" w:hAnsi="Times New Roman" w:cs="Times New Roman" w:eastAsia="Times New Roman" w:hint="default"/>
                <w:sz w:val="18"/>
                <w:szCs w:val="18"/>
              </w:rPr>
            </w:pPr>
            <w:r>
              <w:rPr>
                <w:rFonts w:ascii="Times New Roman"/>
                <w:spacing w:val="-1"/>
                <w:sz w:val="18"/>
              </w:rPr>
              <w:t>0.00</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65,965.82</w:t>
            </w:r>
          </w:p>
        </w:tc>
      </w:tr>
      <w:tr>
        <w:trPr>
          <w:trHeight w:val="286" w:hRule="exact"/>
        </w:trPr>
        <w:tc>
          <w:tcPr>
            <w:tcW w:w="4911"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启迪创新投资管理（北京）有限公司</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07"/>
              <w:jc w:val="right"/>
              <w:rPr>
                <w:rFonts w:ascii="Times New Roman" w:hAnsi="Times New Roman" w:cs="Times New Roman" w:eastAsia="Times New Roman" w:hint="default"/>
                <w:sz w:val="18"/>
                <w:szCs w:val="18"/>
              </w:rPr>
            </w:pPr>
            <w:r>
              <w:rPr>
                <w:rFonts w:ascii="Times New Roman"/>
                <w:spacing w:val="-1"/>
                <w:sz w:val="18"/>
              </w:rPr>
              <w:t>0.00</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17,999.99</w:t>
            </w:r>
          </w:p>
        </w:tc>
      </w:tr>
      <w:tr>
        <w:trPr>
          <w:trHeight w:val="267" w:hRule="exact"/>
        </w:trPr>
        <w:tc>
          <w:tcPr>
            <w:tcW w:w="4911" w:type="dxa"/>
            <w:tcBorders>
              <w:top w:val="nil" w:sz="6" w:space="0" w:color="auto"/>
              <w:left w:val="nil" w:sz="6" w:space="0" w:color="auto"/>
              <w:bottom w:val="single" w:sz="12"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清控资产管理有限公司</w:t>
            </w:r>
          </w:p>
        </w:tc>
        <w:tc>
          <w:tcPr>
            <w:tcW w:w="2273"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407"/>
              <w:jc w:val="right"/>
              <w:rPr>
                <w:rFonts w:ascii="Times New Roman" w:hAnsi="Times New Roman" w:cs="Times New Roman" w:eastAsia="Times New Roman" w:hint="default"/>
                <w:sz w:val="18"/>
                <w:szCs w:val="18"/>
              </w:rPr>
            </w:pPr>
            <w:r>
              <w:rPr>
                <w:rFonts w:ascii="Times New Roman"/>
                <w:spacing w:val="-1"/>
                <w:sz w:val="18"/>
              </w:rPr>
              <w:t>0.00</w:t>
            </w:r>
          </w:p>
        </w:tc>
        <w:tc>
          <w:tcPr>
            <w:tcW w:w="1556"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15,982.90</w:t>
            </w:r>
          </w:p>
        </w:tc>
      </w:tr>
    </w:tbl>
    <w:p>
      <w:pPr>
        <w:spacing w:after="0" w:line="240" w:lineRule="auto"/>
        <w:jc w:val="right"/>
        <w:rPr>
          <w:rFonts w:ascii="Times New Roman" w:hAnsi="Times New Roman" w:cs="Times New Roman" w:eastAsia="Times New Roman" w:hint="default"/>
          <w:sz w:val="18"/>
          <w:szCs w:val="18"/>
        </w:rPr>
        <w:sectPr>
          <w:pgSz w:w="11910" w:h="16840"/>
          <w:pgMar w:header="645" w:footer="816" w:top="1080" w:bottom="1000" w:left="1460" w:right="148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5135"/>
        <w:gridCol w:w="2004"/>
        <w:gridCol w:w="1601"/>
      </w:tblGrid>
      <w:tr>
        <w:trPr>
          <w:trHeight w:val="307" w:hRule="exact"/>
        </w:trPr>
        <w:tc>
          <w:tcPr>
            <w:tcW w:w="513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200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363"/>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160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14" w:hRule="exact"/>
        </w:trPr>
        <w:tc>
          <w:tcPr>
            <w:tcW w:w="5135"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b/>
                <w:bCs/>
                <w:sz w:val="18"/>
                <w:szCs w:val="18"/>
              </w:rPr>
              <w:t>合营及联营企业：</w:t>
            </w:r>
            <w:r>
              <w:rPr>
                <w:rFonts w:ascii="宋体" w:hAnsi="宋体" w:cs="宋体" w:eastAsia="宋体" w:hint="default"/>
                <w:sz w:val="18"/>
                <w:szCs w:val="18"/>
              </w:rPr>
            </w:r>
          </w:p>
        </w:tc>
        <w:tc>
          <w:tcPr>
            <w:tcW w:w="2004" w:type="dxa"/>
            <w:tcBorders>
              <w:top w:val="single" w:sz="4" w:space="0" w:color="000000"/>
              <w:left w:val="nil" w:sz="6" w:space="0" w:color="auto"/>
              <w:bottom w:val="nil" w:sz="6" w:space="0" w:color="auto"/>
              <w:right w:val="nil" w:sz="6" w:space="0" w:color="auto"/>
            </w:tcBorders>
          </w:tcPr>
          <w:p>
            <w:pPr/>
          </w:p>
        </w:tc>
        <w:tc>
          <w:tcPr>
            <w:tcW w:w="1601" w:type="dxa"/>
            <w:tcBorders>
              <w:top w:val="single" w:sz="4" w:space="0" w:color="000000"/>
              <w:left w:val="nil" w:sz="6" w:space="0" w:color="auto"/>
              <w:bottom w:val="nil" w:sz="6" w:space="0" w:color="auto"/>
              <w:right w:val="nil" w:sz="6" w:space="0" w:color="auto"/>
            </w:tcBorders>
          </w:tcPr>
          <w:p>
            <w:pPr/>
          </w:p>
        </w:tc>
      </w:tr>
      <w:tr>
        <w:trPr>
          <w:trHeight w:val="295"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易程科技股份有限公司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63"/>
              <w:jc w:val="right"/>
              <w:rPr>
                <w:rFonts w:ascii="Times New Roman" w:hAnsi="Times New Roman" w:cs="Times New Roman" w:eastAsia="Times New Roman" w:hint="default"/>
                <w:sz w:val="18"/>
                <w:szCs w:val="18"/>
              </w:rPr>
            </w:pPr>
            <w:r>
              <w:rPr>
                <w:rFonts w:ascii="Times New Roman"/>
                <w:spacing w:val="-1"/>
                <w:sz w:val="18"/>
              </w:rPr>
              <w:t>37,316,028.26</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0"/>
              <w:jc w:val="right"/>
              <w:rPr>
                <w:rFonts w:ascii="Times New Roman" w:hAnsi="Times New Roman" w:cs="Times New Roman" w:eastAsia="Times New Roman" w:hint="default"/>
                <w:sz w:val="18"/>
                <w:szCs w:val="18"/>
              </w:rPr>
            </w:pPr>
            <w:r>
              <w:rPr>
                <w:rFonts w:ascii="Times New Roman"/>
                <w:spacing w:val="-1"/>
                <w:sz w:val="18"/>
              </w:rPr>
              <w:t>10,138,605.72</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深圳同方信息技术有限公司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7,960,022.00</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北京中检科威科技有限公司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5,403,234.19</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10,611,087.17</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陕西省广电同方数字电视有限责任公司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4,225,281.78</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1,312,544.67</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商丘同方恒泰数字电视有限公司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2,943,616.92</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2,000,837.23</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运城市蓝星同方数字电视有限公司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2,330,728.52</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1,401,188.06</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广州同方瑞风空调有限公司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2,142,755.90</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洛阳同方数字电视有限公司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2,125,220.97</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1,545,306.40</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易程（苏州）电子科技股份有限公司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1,745,269.24</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1,880,576.98</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同方川崎节能设备有限公司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1,610,952.14</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18,658,491.00</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濮阳广电同方数字电视有限公司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1,576,392.19</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1,658,458.07</w:t>
            </w:r>
          </w:p>
        </w:tc>
      </w:tr>
      <w:tr>
        <w:trPr>
          <w:trHeight w:val="285"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许昌广电同方数字电视有限公司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1,559,893.78</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870,980.53</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开封广电同方数字电视有限公司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1,097,380.10</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228,910.05</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泉州广电同方数字电视有限公司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975,982.83</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616,977.26</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同方环境股份有限公司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899,739.37</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1,953,762.99</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日照广电同方数字电视有限公司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809,391.02</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1,158,565.61</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同方恩欧凯（无锡）膜技术有限公司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760,396.28</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1,627,203.90</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张家口市电广文化传媒有限公司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605,384.61</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4,834,663.64</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南阳广电同方数字电视有限责任公司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515,569.02</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946,098.00</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天门广电同方数字电视有限公司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401,918.56</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313,850.22</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北京同方时讯电子有限公司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315,240.34</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204,803.49</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同方投资有限公司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263,085.83</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168,463.99</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达州广电同方数字电视有限公司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246,282.04</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830,275.30</w:t>
            </w:r>
          </w:p>
        </w:tc>
      </w:tr>
      <w:tr>
        <w:trPr>
          <w:trHeight w:val="285"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江西清华泰豪微电机有限公司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196,395.61</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广州同艺照明有限公司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129,999.16</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泰豪科技股份有限公司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119,255.25</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119,974.00</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北京朗视仪器有限公司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75,585.80</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97,501.20</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长春泰豪电子装备有限公司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68,953.50</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江西清华泰豪三波电机有限公司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61,965.81</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同方（深圳）云计算技术股份有限公司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35,384.62</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2,000,296.54</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同方全球人寿保险有限公司（原海康人寿保险有限公司）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33,845.49</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泰豪软件股份有限公司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w w:val="95"/>
                <w:sz w:val="18"/>
              </w:rPr>
              <w:t>6,478.63</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东方欢旅科技有限公司（原北京同方易豪科技有限公司）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2"/>
              <w:jc w:val="right"/>
              <w:rPr>
                <w:rFonts w:ascii="Times New Roman" w:hAnsi="Times New Roman" w:cs="Times New Roman" w:eastAsia="Times New Roman" w:hint="default"/>
                <w:sz w:val="18"/>
                <w:szCs w:val="18"/>
              </w:rPr>
            </w:pPr>
            <w:r>
              <w:rPr>
                <w:rFonts w:ascii="Times New Roman"/>
                <w:spacing w:val="-1"/>
                <w:sz w:val="18"/>
              </w:rPr>
              <w:t>211.11</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北京亚仕同方科技有限公司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2"/>
              <w:jc w:val="right"/>
              <w:rPr>
                <w:rFonts w:ascii="Times New Roman" w:hAnsi="Times New Roman" w:cs="Times New Roman" w:eastAsia="Times New Roman" w:hint="default"/>
                <w:sz w:val="18"/>
                <w:szCs w:val="18"/>
              </w:rPr>
            </w:pPr>
            <w:r>
              <w:rPr>
                <w:rFonts w:ascii="Times New Roman"/>
                <w:spacing w:val="-1"/>
                <w:sz w:val="18"/>
              </w:rPr>
              <w:t>203.42</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279,618.23</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易程（苏州）软件股份有限公司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2"/>
              <w:jc w:val="right"/>
              <w:rPr>
                <w:rFonts w:ascii="Times New Roman" w:hAnsi="Times New Roman" w:cs="Times New Roman" w:eastAsia="Times New Roman" w:hint="default"/>
                <w:sz w:val="18"/>
                <w:szCs w:val="18"/>
              </w:rPr>
            </w:pPr>
            <w:r>
              <w:rPr>
                <w:rFonts w:ascii="Times New Roman"/>
                <w:spacing w:val="-1"/>
                <w:sz w:val="18"/>
              </w:rPr>
              <w:t>0.00</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1,646,589.26</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吉林同方科贸有限责任公司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62"/>
              <w:jc w:val="right"/>
              <w:rPr>
                <w:rFonts w:ascii="Times New Roman" w:hAnsi="Times New Roman" w:cs="Times New Roman" w:eastAsia="Times New Roman" w:hint="default"/>
                <w:sz w:val="18"/>
                <w:szCs w:val="18"/>
              </w:rPr>
            </w:pPr>
            <w:r>
              <w:rPr>
                <w:rFonts w:ascii="Times New Roman"/>
                <w:spacing w:val="-1"/>
                <w:sz w:val="18"/>
              </w:rPr>
              <w:t>0.00</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86,538.46</w:t>
            </w:r>
          </w:p>
        </w:tc>
      </w:tr>
      <w:tr>
        <w:trPr>
          <w:trHeight w:val="28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北京易程华创系统工程股份有限公司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2"/>
              <w:jc w:val="right"/>
              <w:rPr>
                <w:rFonts w:ascii="Times New Roman" w:hAnsi="Times New Roman" w:cs="Times New Roman" w:eastAsia="Times New Roman" w:hint="default"/>
                <w:sz w:val="18"/>
                <w:szCs w:val="18"/>
              </w:rPr>
            </w:pPr>
            <w:r>
              <w:rPr>
                <w:rFonts w:ascii="Times New Roman"/>
                <w:spacing w:val="-1"/>
                <w:sz w:val="18"/>
              </w:rPr>
              <w:t>0.00</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w w:val="95"/>
                <w:sz w:val="18"/>
              </w:rPr>
              <w:t>9,861.55</w:t>
            </w:r>
          </w:p>
        </w:tc>
      </w:tr>
      <w:tr>
        <w:trPr>
          <w:trHeight w:val="276"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其他关联关系方</w:t>
            </w:r>
            <w:r>
              <w:rPr>
                <w:rFonts w:ascii="宋体" w:hAnsi="宋体" w:cs="宋体" w:eastAsia="宋体" w:hint="default"/>
                <w:sz w:val="18"/>
                <w:szCs w:val="18"/>
              </w:rPr>
            </w:r>
          </w:p>
        </w:tc>
        <w:tc>
          <w:tcPr>
            <w:tcW w:w="2004"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
        </w:tc>
      </w:tr>
      <w:tr>
        <w:trPr>
          <w:trHeight w:val="29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北京紫光制药有限公司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63"/>
              <w:jc w:val="right"/>
              <w:rPr>
                <w:rFonts w:ascii="Times New Roman" w:hAnsi="Times New Roman" w:cs="Times New Roman" w:eastAsia="Times New Roman" w:hint="default"/>
                <w:sz w:val="18"/>
                <w:szCs w:val="18"/>
              </w:rPr>
            </w:pPr>
            <w:r>
              <w:rPr>
                <w:rFonts w:ascii="Times New Roman"/>
                <w:spacing w:val="-1"/>
                <w:sz w:val="18"/>
              </w:rPr>
              <w:t>317,134.05</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5135"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北京清控人居环境研究院有限公司</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62"/>
              <w:jc w:val="right"/>
              <w:rPr>
                <w:rFonts w:ascii="Times New Roman" w:hAnsi="Times New Roman" w:cs="Times New Roman" w:eastAsia="Times New Roman" w:hint="default"/>
                <w:sz w:val="18"/>
                <w:szCs w:val="18"/>
              </w:rPr>
            </w:pPr>
            <w:r>
              <w:rPr>
                <w:rFonts w:ascii="Times New Roman"/>
                <w:spacing w:val="-1"/>
                <w:sz w:val="18"/>
              </w:rPr>
              <w:t>0.00</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11,603.77</w:t>
            </w:r>
          </w:p>
        </w:tc>
      </w:tr>
      <w:tr>
        <w:trPr>
          <w:trHeight w:val="255" w:hRule="exact"/>
        </w:trPr>
        <w:tc>
          <w:tcPr>
            <w:tcW w:w="5135" w:type="dxa"/>
            <w:tcBorders>
              <w:top w:val="nil" w:sz="6" w:space="0" w:color="auto"/>
              <w:left w:val="nil" w:sz="6" w:space="0" w:color="auto"/>
              <w:bottom w:val="single" w:sz="4"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北京同方洁净技术有限公司</w:t>
            </w:r>
          </w:p>
        </w:tc>
        <w:tc>
          <w:tcPr>
            <w:tcW w:w="200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362"/>
              <w:jc w:val="right"/>
              <w:rPr>
                <w:rFonts w:ascii="Times New Roman" w:hAnsi="Times New Roman" w:cs="Times New Roman" w:eastAsia="Times New Roman" w:hint="default"/>
                <w:sz w:val="18"/>
                <w:szCs w:val="18"/>
              </w:rPr>
            </w:pPr>
            <w:r>
              <w:rPr>
                <w:rFonts w:ascii="Times New Roman"/>
                <w:spacing w:val="-1"/>
                <w:sz w:val="18"/>
              </w:rPr>
              <w:t>0.00</w:t>
            </w:r>
          </w:p>
        </w:tc>
        <w:tc>
          <w:tcPr>
            <w:tcW w:w="1601"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25,444,485.50</w:t>
            </w:r>
          </w:p>
        </w:tc>
      </w:tr>
      <w:tr>
        <w:trPr>
          <w:trHeight w:val="307" w:hRule="exact"/>
        </w:trPr>
        <w:tc>
          <w:tcPr>
            <w:tcW w:w="5135"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00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363"/>
              <w:jc w:val="right"/>
              <w:rPr>
                <w:rFonts w:ascii="Times New Roman" w:hAnsi="Times New Roman" w:cs="Times New Roman" w:eastAsia="Times New Roman" w:hint="default"/>
                <w:sz w:val="18"/>
                <w:szCs w:val="18"/>
              </w:rPr>
            </w:pPr>
            <w:r>
              <w:rPr>
                <w:rFonts w:ascii="Times New Roman"/>
                <w:b/>
                <w:spacing w:val="-1"/>
                <w:sz w:val="18"/>
              </w:rPr>
              <w:t>135,895,798.43</w:t>
            </w:r>
            <w:r>
              <w:rPr>
                <w:rFonts w:ascii="Times New Roman"/>
                <w:spacing w:val="-1"/>
                <w:sz w:val="18"/>
              </w:rPr>
            </w:r>
          </w:p>
        </w:tc>
        <w:tc>
          <w:tcPr>
            <w:tcW w:w="1601"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112,185,096.79</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645" w:footer="816" w:top="1080" w:bottom="1000" w:left="1460" w:right="148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8"/>
          <w:szCs w:val="18"/>
        </w:rPr>
      </w:pPr>
    </w:p>
    <w:p>
      <w:pPr>
        <w:spacing w:before="0"/>
        <w:ind w:left="675" w:right="44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17"/>
          <w:sz w:val="22"/>
          <w:szCs w:val="22"/>
        </w:rPr>
        <w:t> </w:t>
      </w:r>
      <w:r>
        <w:rPr>
          <w:rFonts w:ascii="宋体" w:hAnsi="宋体" w:cs="宋体" w:eastAsia="宋体" w:hint="default"/>
          <w:sz w:val="22"/>
          <w:szCs w:val="22"/>
        </w:rPr>
        <w:t>关联受托管理</w:t>
      </w:r>
    </w:p>
    <w:p>
      <w:pPr>
        <w:spacing w:line="240" w:lineRule="auto" w:before="8"/>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1661"/>
        <w:gridCol w:w="1859"/>
        <w:gridCol w:w="975"/>
        <w:gridCol w:w="1140"/>
        <w:gridCol w:w="1140"/>
        <w:gridCol w:w="993"/>
        <w:gridCol w:w="1193"/>
      </w:tblGrid>
      <w:tr>
        <w:trPr>
          <w:trHeight w:val="487" w:hRule="exact"/>
        </w:trPr>
        <w:tc>
          <w:tcPr>
            <w:tcW w:w="1661" w:type="dxa"/>
            <w:tcBorders>
              <w:top w:val="single" w:sz="12" w:space="0" w:color="000000"/>
              <w:left w:val="nil" w:sz="6" w:space="0" w:color="auto"/>
              <w:bottom w:val="single" w:sz="4" w:space="0" w:color="000000"/>
              <w:right w:val="nil" w:sz="6" w:space="0" w:color="auto"/>
            </w:tcBorders>
          </w:tcPr>
          <w:p>
            <w:pPr>
              <w:pStyle w:val="TableParagraph"/>
              <w:spacing w:line="240" w:lineRule="auto" w:before="87"/>
              <w:ind w:left="4" w:right="0"/>
              <w:jc w:val="center"/>
              <w:rPr>
                <w:rFonts w:ascii="宋体" w:hAnsi="宋体" w:cs="宋体" w:eastAsia="宋体" w:hint="default"/>
                <w:sz w:val="18"/>
                <w:szCs w:val="18"/>
              </w:rPr>
            </w:pPr>
            <w:r>
              <w:rPr>
                <w:rFonts w:ascii="宋体" w:hAnsi="宋体" w:cs="宋体" w:eastAsia="宋体" w:hint="default"/>
                <w:b/>
                <w:bCs/>
                <w:sz w:val="18"/>
                <w:szCs w:val="18"/>
              </w:rPr>
              <w:t>委托方名称</w:t>
            </w:r>
            <w:r>
              <w:rPr>
                <w:rFonts w:ascii="宋体" w:hAnsi="宋体" w:cs="宋体" w:eastAsia="宋体" w:hint="default"/>
                <w:sz w:val="18"/>
                <w:szCs w:val="18"/>
              </w:rPr>
            </w:r>
          </w:p>
        </w:tc>
        <w:tc>
          <w:tcPr>
            <w:tcW w:w="1859" w:type="dxa"/>
            <w:tcBorders>
              <w:top w:val="single" w:sz="12" w:space="0" w:color="000000"/>
              <w:left w:val="nil" w:sz="6" w:space="0" w:color="auto"/>
              <w:bottom w:val="single" w:sz="4" w:space="0" w:color="000000"/>
              <w:right w:val="nil" w:sz="6" w:space="0" w:color="auto"/>
            </w:tcBorders>
          </w:tcPr>
          <w:p>
            <w:pPr>
              <w:pStyle w:val="TableParagraph"/>
              <w:spacing w:line="240" w:lineRule="auto" w:before="87"/>
              <w:ind w:left="475" w:right="0"/>
              <w:jc w:val="left"/>
              <w:rPr>
                <w:rFonts w:ascii="宋体" w:hAnsi="宋体" w:cs="宋体" w:eastAsia="宋体" w:hint="default"/>
                <w:sz w:val="18"/>
                <w:szCs w:val="18"/>
              </w:rPr>
            </w:pPr>
            <w:r>
              <w:rPr>
                <w:rFonts w:ascii="宋体" w:hAnsi="宋体" w:cs="宋体" w:eastAsia="宋体" w:hint="default"/>
                <w:b/>
                <w:bCs/>
                <w:sz w:val="18"/>
                <w:szCs w:val="18"/>
              </w:rPr>
              <w:t>受托方名称</w:t>
            </w:r>
            <w:r>
              <w:rPr>
                <w:rFonts w:ascii="宋体" w:hAnsi="宋体" w:cs="宋体" w:eastAsia="宋体" w:hint="default"/>
                <w:sz w:val="18"/>
                <w:szCs w:val="18"/>
              </w:rPr>
            </w:r>
          </w:p>
        </w:tc>
        <w:tc>
          <w:tcPr>
            <w:tcW w:w="975" w:type="dxa"/>
            <w:tcBorders>
              <w:top w:val="single" w:sz="12" w:space="0" w:color="000000"/>
              <w:left w:val="nil" w:sz="6" w:space="0" w:color="auto"/>
              <w:bottom w:val="single" w:sz="4" w:space="0" w:color="000000"/>
              <w:right w:val="nil" w:sz="6" w:space="0" w:color="auto"/>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受托资产</w:t>
            </w:r>
            <w:r>
              <w:rPr>
                <w:rFonts w:ascii="宋体" w:hAnsi="宋体" w:cs="宋体" w:eastAsia="宋体" w:hint="default"/>
                <w:sz w:val="18"/>
                <w:szCs w:val="18"/>
              </w:rPr>
            </w:r>
          </w:p>
          <w:p>
            <w:pPr>
              <w:pStyle w:val="TableParagraph"/>
              <w:spacing w:line="234" w:lineRule="exact"/>
              <w:ind w:left="2" w:right="0"/>
              <w:jc w:val="center"/>
              <w:rPr>
                <w:rFonts w:ascii="宋体" w:hAnsi="宋体" w:cs="宋体" w:eastAsia="宋体" w:hint="default"/>
                <w:sz w:val="18"/>
                <w:szCs w:val="18"/>
              </w:rPr>
            </w:pPr>
            <w:r>
              <w:rPr>
                <w:rFonts w:ascii="宋体" w:hAnsi="宋体" w:cs="宋体" w:eastAsia="宋体" w:hint="default"/>
                <w:b/>
                <w:bCs/>
                <w:sz w:val="18"/>
                <w:szCs w:val="18"/>
              </w:rPr>
              <w:t>类型</w:t>
            </w:r>
            <w:r>
              <w:rPr>
                <w:rFonts w:ascii="宋体" w:hAnsi="宋体" w:cs="宋体" w:eastAsia="宋体" w:hint="default"/>
                <w:sz w:val="18"/>
                <w:szCs w:val="18"/>
              </w:rPr>
            </w:r>
          </w:p>
        </w:tc>
        <w:tc>
          <w:tcPr>
            <w:tcW w:w="1140" w:type="dxa"/>
            <w:tcBorders>
              <w:top w:val="single" w:sz="12" w:space="0" w:color="000000"/>
              <w:left w:val="nil" w:sz="6" w:space="0" w:color="auto"/>
              <w:bottom w:val="single" w:sz="4" w:space="0" w:color="000000"/>
              <w:right w:val="nil" w:sz="6" w:space="0" w:color="auto"/>
            </w:tcBorders>
          </w:tcPr>
          <w:p>
            <w:pPr>
              <w:pStyle w:val="TableParagraph"/>
              <w:spacing w:line="240" w:lineRule="auto" w:before="87"/>
              <w:ind w:left="14" w:right="0"/>
              <w:jc w:val="center"/>
              <w:rPr>
                <w:rFonts w:ascii="宋体" w:hAnsi="宋体" w:cs="宋体" w:eastAsia="宋体" w:hint="default"/>
                <w:sz w:val="18"/>
                <w:szCs w:val="18"/>
              </w:rPr>
            </w:pPr>
            <w:r>
              <w:rPr>
                <w:rFonts w:ascii="宋体" w:hAnsi="宋体" w:cs="宋体" w:eastAsia="宋体" w:hint="default"/>
                <w:b/>
                <w:bCs/>
                <w:sz w:val="18"/>
                <w:szCs w:val="18"/>
              </w:rPr>
              <w:t>受托起始日</w:t>
            </w:r>
            <w:r>
              <w:rPr>
                <w:rFonts w:ascii="宋体" w:hAnsi="宋体" w:cs="宋体" w:eastAsia="宋体" w:hint="default"/>
                <w:sz w:val="18"/>
                <w:szCs w:val="18"/>
              </w:rPr>
            </w:r>
          </w:p>
        </w:tc>
        <w:tc>
          <w:tcPr>
            <w:tcW w:w="1140" w:type="dxa"/>
            <w:tcBorders>
              <w:top w:val="single" w:sz="12" w:space="0" w:color="000000"/>
              <w:left w:val="nil" w:sz="6" w:space="0" w:color="auto"/>
              <w:bottom w:val="single" w:sz="4" w:space="0" w:color="000000"/>
              <w:right w:val="nil" w:sz="6" w:space="0" w:color="auto"/>
            </w:tcBorders>
          </w:tcPr>
          <w:p>
            <w:pPr>
              <w:pStyle w:val="TableParagraph"/>
              <w:spacing w:line="240" w:lineRule="auto" w:before="87"/>
              <w:ind w:right="12"/>
              <w:jc w:val="center"/>
              <w:rPr>
                <w:rFonts w:ascii="宋体" w:hAnsi="宋体" w:cs="宋体" w:eastAsia="宋体" w:hint="default"/>
                <w:sz w:val="18"/>
                <w:szCs w:val="18"/>
              </w:rPr>
            </w:pPr>
            <w:r>
              <w:rPr>
                <w:rFonts w:ascii="宋体" w:hAnsi="宋体" w:cs="宋体" w:eastAsia="宋体" w:hint="default"/>
                <w:b/>
                <w:bCs/>
                <w:sz w:val="18"/>
                <w:szCs w:val="18"/>
              </w:rPr>
              <w:t>受托终止日</w:t>
            </w:r>
            <w:r>
              <w:rPr>
                <w:rFonts w:ascii="宋体" w:hAnsi="宋体" w:cs="宋体" w:eastAsia="宋体" w:hint="default"/>
                <w:sz w:val="18"/>
                <w:szCs w:val="18"/>
              </w:rPr>
            </w:r>
          </w:p>
        </w:tc>
        <w:tc>
          <w:tcPr>
            <w:tcW w:w="993" w:type="dxa"/>
            <w:tcBorders>
              <w:top w:val="single" w:sz="12" w:space="0" w:color="000000"/>
              <w:left w:val="nil" w:sz="6" w:space="0" w:color="auto"/>
              <w:bottom w:val="single" w:sz="4" w:space="0" w:color="000000"/>
              <w:right w:val="nil" w:sz="6" w:space="0" w:color="auto"/>
            </w:tcBorders>
          </w:tcPr>
          <w:p>
            <w:pPr>
              <w:pStyle w:val="TableParagraph"/>
              <w:spacing w:line="206" w:lineRule="exact"/>
              <w:ind w:left="126" w:right="0"/>
              <w:jc w:val="left"/>
              <w:rPr>
                <w:rFonts w:ascii="宋体" w:hAnsi="宋体" w:cs="宋体" w:eastAsia="宋体" w:hint="default"/>
                <w:sz w:val="18"/>
                <w:szCs w:val="18"/>
              </w:rPr>
            </w:pPr>
            <w:r>
              <w:rPr>
                <w:rFonts w:ascii="宋体" w:hAnsi="宋体" w:cs="宋体" w:eastAsia="宋体" w:hint="default"/>
                <w:b/>
                <w:bCs/>
                <w:sz w:val="18"/>
                <w:szCs w:val="18"/>
              </w:rPr>
              <w:t>托管收益</w:t>
            </w:r>
            <w:r>
              <w:rPr>
                <w:rFonts w:ascii="宋体" w:hAnsi="宋体" w:cs="宋体" w:eastAsia="宋体" w:hint="default"/>
                <w:sz w:val="18"/>
                <w:szCs w:val="18"/>
              </w:rPr>
            </w:r>
          </w:p>
          <w:p>
            <w:pPr>
              <w:pStyle w:val="TableParagraph"/>
              <w:spacing w:line="234" w:lineRule="exact"/>
              <w:ind w:left="126" w:right="0"/>
              <w:jc w:val="left"/>
              <w:rPr>
                <w:rFonts w:ascii="宋体" w:hAnsi="宋体" w:cs="宋体" w:eastAsia="宋体" w:hint="default"/>
                <w:sz w:val="18"/>
                <w:szCs w:val="18"/>
              </w:rPr>
            </w:pPr>
            <w:r>
              <w:rPr>
                <w:rFonts w:ascii="宋体" w:hAnsi="宋体" w:cs="宋体" w:eastAsia="宋体" w:hint="default"/>
                <w:b/>
                <w:bCs/>
                <w:sz w:val="18"/>
                <w:szCs w:val="18"/>
              </w:rPr>
              <w:t>定价依据</w:t>
            </w:r>
            <w:r>
              <w:rPr>
                <w:rFonts w:ascii="宋体" w:hAnsi="宋体" w:cs="宋体" w:eastAsia="宋体" w:hint="default"/>
                <w:sz w:val="18"/>
                <w:szCs w:val="18"/>
              </w:rPr>
            </w:r>
          </w:p>
        </w:tc>
        <w:tc>
          <w:tcPr>
            <w:tcW w:w="1193" w:type="dxa"/>
            <w:tcBorders>
              <w:top w:val="single" w:sz="12" w:space="0" w:color="000000"/>
              <w:left w:val="nil" w:sz="6" w:space="0" w:color="auto"/>
              <w:bottom w:val="single" w:sz="4" w:space="0" w:color="000000"/>
              <w:right w:val="nil" w:sz="6" w:space="0" w:color="auto"/>
            </w:tcBorders>
          </w:tcPr>
          <w:p>
            <w:pPr>
              <w:pStyle w:val="TableParagraph"/>
              <w:spacing w:line="206" w:lineRule="exact"/>
              <w:ind w:left="232" w:right="0" w:hanging="89"/>
              <w:jc w:val="left"/>
              <w:rPr>
                <w:rFonts w:ascii="宋体" w:hAnsi="宋体" w:cs="宋体" w:eastAsia="宋体" w:hint="default"/>
                <w:sz w:val="18"/>
                <w:szCs w:val="18"/>
              </w:rPr>
            </w:pPr>
            <w:r>
              <w:rPr>
                <w:rFonts w:ascii="宋体" w:hAnsi="宋体" w:cs="宋体" w:eastAsia="宋体" w:hint="default"/>
                <w:b/>
                <w:bCs/>
                <w:sz w:val="18"/>
                <w:szCs w:val="18"/>
              </w:rPr>
              <w:t>本年确认的</w:t>
            </w:r>
            <w:r>
              <w:rPr>
                <w:rFonts w:ascii="宋体" w:hAnsi="宋体" w:cs="宋体" w:eastAsia="宋体" w:hint="default"/>
                <w:sz w:val="18"/>
                <w:szCs w:val="18"/>
              </w:rPr>
            </w:r>
          </w:p>
          <w:p>
            <w:pPr>
              <w:pStyle w:val="TableParagraph"/>
              <w:spacing w:line="234" w:lineRule="exact"/>
              <w:ind w:left="232" w:right="0"/>
              <w:jc w:val="left"/>
              <w:rPr>
                <w:rFonts w:ascii="宋体" w:hAnsi="宋体" w:cs="宋体" w:eastAsia="宋体" w:hint="default"/>
                <w:sz w:val="18"/>
                <w:szCs w:val="18"/>
              </w:rPr>
            </w:pPr>
            <w:r>
              <w:rPr>
                <w:rFonts w:ascii="宋体" w:hAnsi="宋体" w:cs="宋体" w:eastAsia="宋体" w:hint="default"/>
                <w:b/>
                <w:bCs/>
                <w:sz w:val="18"/>
                <w:szCs w:val="18"/>
              </w:rPr>
              <w:t>托管收益</w:t>
            </w:r>
            <w:r>
              <w:rPr>
                <w:rFonts w:ascii="宋体" w:hAnsi="宋体" w:cs="宋体" w:eastAsia="宋体" w:hint="default"/>
                <w:sz w:val="18"/>
                <w:szCs w:val="18"/>
              </w:rPr>
            </w:r>
          </w:p>
        </w:tc>
      </w:tr>
      <w:tr>
        <w:trPr>
          <w:trHeight w:val="487" w:hRule="exact"/>
        </w:trPr>
        <w:tc>
          <w:tcPr>
            <w:tcW w:w="1661" w:type="dxa"/>
            <w:tcBorders>
              <w:top w:val="single" w:sz="4" w:space="0" w:color="000000"/>
              <w:left w:val="nil" w:sz="6" w:space="0" w:color="auto"/>
              <w:bottom w:val="single" w:sz="12" w:space="0" w:color="000000"/>
              <w:right w:val="nil" w:sz="6" w:space="0" w:color="auto"/>
            </w:tcBorders>
          </w:tcPr>
          <w:p>
            <w:pPr>
              <w:pStyle w:val="TableParagraph"/>
              <w:spacing w:line="240" w:lineRule="auto" w:before="87"/>
              <w:ind w:right="2"/>
              <w:jc w:val="center"/>
              <w:rPr>
                <w:rFonts w:ascii="宋体" w:hAnsi="宋体" w:cs="宋体" w:eastAsia="宋体" w:hint="default"/>
                <w:sz w:val="18"/>
                <w:szCs w:val="18"/>
              </w:rPr>
            </w:pPr>
            <w:r>
              <w:rPr>
                <w:rFonts w:ascii="宋体" w:hAnsi="宋体" w:cs="宋体" w:eastAsia="宋体" w:hint="default"/>
                <w:sz w:val="18"/>
                <w:szCs w:val="18"/>
              </w:rPr>
              <w:t>清华控股有限公司</w:t>
            </w:r>
          </w:p>
        </w:tc>
        <w:tc>
          <w:tcPr>
            <w:tcW w:w="1859" w:type="dxa"/>
            <w:tcBorders>
              <w:top w:val="single" w:sz="4" w:space="0" w:color="000000"/>
              <w:left w:val="nil" w:sz="6" w:space="0" w:color="auto"/>
              <w:bottom w:val="single" w:sz="12" w:space="0" w:color="000000"/>
              <w:right w:val="nil" w:sz="6" w:space="0" w:color="auto"/>
            </w:tcBorders>
          </w:tcPr>
          <w:p>
            <w:pPr>
              <w:pStyle w:val="TableParagraph"/>
              <w:spacing w:line="204" w:lineRule="exact"/>
              <w:ind w:left="112" w:right="0"/>
              <w:jc w:val="left"/>
              <w:rPr>
                <w:rFonts w:ascii="宋体" w:hAnsi="宋体" w:cs="宋体" w:eastAsia="宋体" w:hint="default"/>
                <w:sz w:val="18"/>
                <w:szCs w:val="18"/>
              </w:rPr>
            </w:pPr>
            <w:r>
              <w:rPr>
                <w:rFonts w:ascii="宋体" w:hAnsi="宋体" w:cs="宋体" w:eastAsia="宋体" w:hint="default"/>
                <w:sz w:val="18"/>
                <w:szCs w:val="18"/>
              </w:rPr>
              <w:t>同方知网数字出版技</w:t>
            </w:r>
          </w:p>
          <w:p>
            <w:pPr>
              <w:pStyle w:val="TableParagraph"/>
              <w:spacing w:line="234" w:lineRule="exact"/>
              <w:ind w:left="112" w:right="0"/>
              <w:jc w:val="left"/>
              <w:rPr>
                <w:rFonts w:ascii="宋体" w:hAnsi="宋体" w:cs="宋体" w:eastAsia="宋体" w:hint="default"/>
                <w:sz w:val="18"/>
                <w:szCs w:val="18"/>
              </w:rPr>
            </w:pPr>
            <w:r>
              <w:rPr>
                <w:rFonts w:ascii="宋体" w:hAnsi="宋体" w:cs="宋体" w:eastAsia="宋体" w:hint="default"/>
                <w:sz w:val="18"/>
                <w:szCs w:val="18"/>
              </w:rPr>
              <w:t>术股份有限公司</w:t>
            </w:r>
          </w:p>
        </w:tc>
        <w:tc>
          <w:tcPr>
            <w:tcW w:w="975" w:type="dxa"/>
            <w:tcBorders>
              <w:top w:val="single" w:sz="4" w:space="0" w:color="000000"/>
              <w:left w:val="nil" w:sz="6" w:space="0" w:color="auto"/>
              <w:bottom w:val="single" w:sz="12" w:space="0" w:color="000000"/>
              <w:right w:val="nil" w:sz="6" w:space="0" w:color="auto"/>
            </w:tcBorders>
          </w:tcPr>
          <w:p>
            <w:pPr>
              <w:pStyle w:val="TableParagraph"/>
              <w:spacing w:line="240" w:lineRule="auto" w:before="87"/>
              <w:ind w:left="128" w:right="0"/>
              <w:jc w:val="left"/>
              <w:rPr>
                <w:rFonts w:ascii="宋体" w:hAnsi="宋体" w:cs="宋体" w:eastAsia="宋体" w:hint="default"/>
                <w:sz w:val="18"/>
                <w:szCs w:val="18"/>
              </w:rPr>
            </w:pPr>
            <w:r>
              <w:rPr>
                <w:rFonts w:ascii="宋体" w:hAnsi="宋体" w:cs="宋体" w:eastAsia="宋体" w:hint="default"/>
                <w:sz w:val="18"/>
                <w:szCs w:val="18"/>
              </w:rPr>
              <w:t>资产托管</w:t>
            </w:r>
          </w:p>
        </w:tc>
        <w:tc>
          <w:tcPr>
            <w:tcW w:w="1140" w:type="dxa"/>
            <w:tcBorders>
              <w:top w:val="single" w:sz="4" w:space="0" w:color="000000"/>
              <w:left w:val="nil" w:sz="6" w:space="0" w:color="auto"/>
              <w:bottom w:val="single" w:sz="12" w:space="0" w:color="000000"/>
              <w:right w:val="nil" w:sz="6" w:space="0" w:color="auto"/>
            </w:tcBorders>
          </w:tcPr>
          <w:p>
            <w:pPr>
              <w:pStyle w:val="TableParagraph"/>
              <w:spacing w:line="240" w:lineRule="auto" w:before="124"/>
              <w:ind w:left="13" w:right="0"/>
              <w:jc w:val="center"/>
              <w:rPr>
                <w:rFonts w:ascii="Times New Roman" w:hAnsi="Times New Roman" w:cs="Times New Roman" w:eastAsia="Times New Roman" w:hint="default"/>
                <w:sz w:val="18"/>
                <w:szCs w:val="18"/>
              </w:rPr>
            </w:pPr>
            <w:r>
              <w:rPr>
                <w:rFonts w:ascii="Times New Roman"/>
                <w:sz w:val="18"/>
              </w:rPr>
              <w:t>2014-4-1</w:t>
            </w:r>
          </w:p>
        </w:tc>
        <w:tc>
          <w:tcPr>
            <w:tcW w:w="1140" w:type="dxa"/>
            <w:tcBorders>
              <w:top w:val="single" w:sz="4" w:space="0" w:color="000000"/>
              <w:left w:val="nil" w:sz="6" w:space="0" w:color="auto"/>
              <w:bottom w:val="single" w:sz="12" w:space="0" w:color="000000"/>
              <w:right w:val="nil" w:sz="6" w:space="0" w:color="auto"/>
            </w:tcBorders>
          </w:tcPr>
          <w:p>
            <w:pPr>
              <w:pStyle w:val="TableParagraph"/>
              <w:spacing w:line="240" w:lineRule="auto" w:before="124"/>
              <w:ind w:right="8"/>
              <w:jc w:val="center"/>
              <w:rPr>
                <w:rFonts w:ascii="Times New Roman" w:hAnsi="Times New Roman" w:cs="Times New Roman" w:eastAsia="Times New Roman" w:hint="default"/>
                <w:sz w:val="18"/>
                <w:szCs w:val="18"/>
              </w:rPr>
            </w:pPr>
            <w:r>
              <w:rPr>
                <w:rFonts w:ascii="Times New Roman"/>
                <w:sz w:val="18"/>
              </w:rPr>
              <w:t>2024-4-1</w:t>
            </w:r>
          </w:p>
        </w:tc>
        <w:tc>
          <w:tcPr>
            <w:tcW w:w="993" w:type="dxa"/>
            <w:tcBorders>
              <w:top w:val="single" w:sz="4" w:space="0" w:color="000000"/>
              <w:left w:val="nil" w:sz="6" w:space="0" w:color="auto"/>
              <w:bottom w:val="single" w:sz="12" w:space="0" w:color="000000"/>
              <w:right w:val="nil" w:sz="6" w:space="0" w:color="auto"/>
            </w:tcBorders>
          </w:tcPr>
          <w:p>
            <w:pPr>
              <w:pStyle w:val="TableParagraph"/>
              <w:spacing w:line="240" w:lineRule="auto" w:before="87"/>
              <w:ind w:right="15"/>
              <w:jc w:val="center"/>
              <w:rPr>
                <w:rFonts w:ascii="宋体" w:hAnsi="宋体" w:cs="宋体" w:eastAsia="宋体" w:hint="default"/>
                <w:sz w:val="18"/>
                <w:szCs w:val="18"/>
              </w:rPr>
            </w:pPr>
            <w:r>
              <w:rPr>
                <w:rFonts w:ascii="宋体" w:hAnsi="宋体" w:cs="宋体" w:eastAsia="宋体" w:hint="default"/>
                <w:sz w:val="18"/>
                <w:szCs w:val="18"/>
              </w:rPr>
              <w:t>—</w:t>
            </w:r>
          </w:p>
        </w:tc>
        <w:tc>
          <w:tcPr>
            <w:tcW w:w="1193" w:type="dxa"/>
            <w:tcBorders>
              <w:top w:val="single" w:sz="4" w:space="0" w:color="000000"/>
              <w:left w:val="nil" w:sz="6" w:space="0" w:color="auto"/>
              <w:bottom w:val="single" w:sz="12" w:space="0" w:color="000000"/>
              <w:right w:val="nil" w:sz="6" w:space="0" w:color="auto"/>
            </w:tcBorders>
          </w:tcPr>
          <w:p>
            <w:pPr>
              <w:pStyle w:val="TableParagraph"/>
              <w:spacing w:line="240" w:lineRule="auto" w:before="87"/>
              <w:ind w:right="2"/>
              <w:jc w:val="center"/>
              <w:rPr>
                <w:rFonts w:ascii="宋体" w:hAnsi="宋体" w:cs="宋体" w:eastAsia="宋体" w:hint="default"/>
                <w:sz w:val="18"/>
                <w:szCs w:val="18"/>
              </w:rPr>
            </w:pPr>
            <w:r>
              <w:rPr>
                <w:rFonts w:ascii="宋体" w:hAnsi="宋体" w:cs="宋体" w:eastAsia="宋体" w:hint="default"/>
                <w:sz w:val="18"/>
                <w:szCs w:val="18"/>
              </w:rPr>
              <w:t>无</w:t>
            </w:r>
          </w:p>
        </w:tc>
      </w:tr>
    </w:tbl>
    <w:p>
      <w:pPr>
        <w:spacing w:line="297" w:lineRule="auto" w:before="21"/>
        <w:ind w:left="222" w:right="457" w:firstLine="439"/>
        <w:jc w:val="both"/>
        <w:rPr>
          <w:rFonts w:ascii="宋体" w:hAnsi="宋体" w:cs="宋体" w:eastAsia="宋体" w:hint="default"/>
          <w:sz w:val="22"/>
          <w:szCs w:val="22"/>
        </w:rPr>
      </w:pPr>
      <w:r>
        <w:rPr>
          <w:rFonts w:ascii="宋体" w:hAnsi="宋体" w:cs="宋体" w:eastAsia="宋体" w:hint="default"/>
          <w:spacing w:val="-3"/>
          <w:sz w:val="22"/>
          <w:szCs w:val="22"/>
        </w:rPr>
        <w:t>作为清华控股有限公司受让电子杂志社出资权益的附加条件，同方知网数字出版技术</w:t>
      </w:r>
      <w:r>
        <w:rPr>
          <w:rFonts w:ascii="宋体" w:hAnsi="宋体" w:cs="宋体" w:eastAsia="宋体" w:hint="default"/>
          <w:w w:val="100"/>
          <w:sz w:val="22"/>
          <w:szCs w:val="22"/>
        </w:rPr>
        <w:t> </w:t>
      </w:r>
      <w:r>
        <w:rPr>
          <w:rFonts w:ascii="宋体" w:hAnsi="宋体" w:cs="宋体" w:eastAsia="宋体" w:hint="default"/>
          <w:spacing w:val="-3"/>
          <w:sz w:val="22"/>
          <w:szCs w:val="22"/>
        </w:rPr>
        <w:t>股份有限公司同意接受清华控股有限公司委托，代为行使电子杂志社的管理权和经营决策</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权。</w:t>
      </w:r>
    </w:p>
    <w:p>
      <w:pPr>
        <w:spacing w:before="137"/>
        <w:ind w:left="675" w:right="44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17"/>
          <w:sz w:val="22"/>
          <w:szCs w:val="22"/>
        </w:rPr>
        <w:t> </w:t>
      </w:r>
      <w:r>
        <w:rPr>
          <w:rFonts w:ascii="宋体" w:hAnsi="宋体" w:cs="宋体" w:eastAsia="宋体" w:hint="default"/>
          <w:sz w:val="22"/>
          <w:szCs w:val="22"/>
        </w:rPr>
        <w:t>关联出租情况</w:t>
      </w:r>
    </w:p>
    <w:p>
      <w:pPr>
        <w:spacing w:before="113"/>
        <w:ind w:left="675" w:right="44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4"/>
          <w:sz w:val="22"/>
          <w:szCs w:val="22"/>
        </w:rPr>
        <w:t> </w:t>
      </w:r>
      <w:r>
        <w:rPr>
          <w:rFonts w:ascii="宋体" w:hAnsi="宋体" w:cs="宋体" w:eastAsia="宋体" w:hint="default"/>
          <w:sz w:val="22"/>
          <w:szCs w:val="22"/>
        </w:rPr>
        <w:t>出租情况</w:t>
      </w:r>
    </w:p>
    <w:p>
      <w:pPr>
        <w:spacing w:line="240" w:lineRule="auto" w:before="5"/>
        <w:rPr>
          <w:rFonts w:ascii="宋体" w:hAnsi="宋体" w:cs="宋体" w:eastAsia="宋体" w:hint="default"/>
          <w:sz w:val="11"/>
          <w:szCs w:val="11"/>
        </w:rPr>
      </w:pPr>
    </w:p>
    <w:tbl>
      <w:tblPr>
        <w:tblW w:w="0" w:type="auto"/>
        <w:jc w:val="left"/>
        <w:tblInd w:w="150" w:type="dxa"/>
        <w:tblLayout w:type="fixed"/>
        <w:tblCellMar>
          <w:top w:w="0" w:type="dxa"/>
          <w:left w:w="0" w:type="dxa"/>
          <w:bottom w:w="0" w:type="dxa"/>
          <w:right w:w="0" w:type="dxa"/>
        </w:tblCellMar>
        <w:tblLook w:val="01E0"/>
      </w:tblPr>
      <w:tblGrid>
        <w:gridCol w:w="1787"/>
        <w:gridCol w:w="2856"/>
        <w:gridCol w:w="1474"/>
        <w:gridCol w:w="1334"/>
        <w:gridCol w:w="1216"/>
      </w:tblGrid>
      <w:tr>
        <w:trPr>
          <w:trHeight w:val="488" w:hRule="exact"/>
        </w:trPr>
        <w:tc>
          <w:tcPr>
            <w:tcW w:w="1787" w:type="dxa"/>
            <w:tcBorders>
              <w:top w:val="single" w:sz="12" w:space="0" w:color="000000"/>
              <w:left w:val="nil" w:sz="6" w:space="0" w:color="auto"/>
              <w:bottom w:val="single" w:sz="4" w:space="0" w:color="000000"/>
              <w:right w:val="nil" w:sz="6" w:space="0" w:color="auto"/>
            </w:tcBorders>
          </w:tcPr>
          <w:p>
            <w:pPr>
              <w:pStyle w:val="TableParagraph"/>
              <w:spacing w:line="240" w:lineRule="auto" w:before="87"/>
              <w:ind w:left="71" w:right="0"/>
              <w:jc w:val="left"/>
              <w:rPr>
                <w:rFonts w:ascii="宋体" w:hAnsi="宋体" w:cs="宋体" w:eastAsia="宋体" w:hint="default"/>
                <w:sz w:val="18"/>
                <w:szCs w:val="18"/>
              </w:rPr>
            </w:pPr>
            <w:r>
              <w:rPr>
                <w:rFonts w:ascii="宋体" w:hAnsi="宋体" w:cs="宋体" w:eastAsia="宋体" w:hint="default"/>
                <w:b/>
                <w:bCs/>
                <w:sz w:val="18"/>
                <w:szCs w:val="18"/>
              </w:rPr>
              <w:t>出租方名称</w:t>
            </w:r>
            <w:r>
              <w:rPr>
                <w:rFonts w:ascii="宋体" w:hAnsi="宋体" w:cs="宋体" w:eastAsia="宋体" w:hint="default"/>
                <w:sz w:val="18"/>
                <w:szCs w:val="18"/>
              </w:rPr>
            </w:r>
          </w:p>
        </w:tc>
        <w:tc>
          <w:tcPr>
            <w:tcW w:w="2856" w:type="dxa"/>
            <w:tcBorders>
              <w:top w:val="single" w:sz="12" w:space="0" w:color="000000"/>
              <w:left w:val="nil" w:sz="6" w:space="0" w:color="auto"/>
              <w:bottom w:val="single" w:sz="4" w:space="0" w:color="000000"/>
              <w:right w:val="nil" w:sz="6" w:space="0" w:color="auto"/>
            </w:tcBorders>
          </w:tcPr>
          <w:p>
            <w:pPr>
              <w:pStyle w:val="TableParagraph"/>
              <w:spacing w:line="240" w:lineRule="auto" w:before="87"/>
              <w:ind w:left="2" w:right="0"/>
              <w:jc w:val="center"/>
              <w:rPr>
                <w:rFonts w:ascii="宋体" w:hAnsi="宋体" w:cs="宋体" w:eastAsia="宋体" w:hint="default"/>
                <w:sz w:val="18"/>
                <w:szCs w:val="18"/>
              </w:rPr>
            </w:pPr>
            <w:r>
              <w:rPr>
                <w:rFonts w:ascii="宋体" w:hAnsi="宋体" w:cs="宋体" w:eastAsia="宋体" w:hint="default"/>
                <w:b/>
                <w:bCs/>
                <w:sz w:val="18"/>
                <w:szCs w:val="18"/>
              </w:rPr>
              <w:t>承租方名称</w:t>
            </w:r>
            <w:r>
              <w:rPr>
                <w:rFonts w:ascii="宋体" w:hAnsi="宋体" w:cs="宋体" w:eastAsia="宋体" w:hint="default"/>
                <w:sz w:val="18"/>
                <w:szCs w:val="18"/>
              </w:rPr>
            </w:r>
          </w:p>
        </w:tc>
        <w:tc>
          <w:tcPr>
            <w:tcW w:w="1474" w:type="dxa"/>
            <w:tcBorders>
              <w:top w:val="single" w:sz="12" w:space="0" w:color="000000"/>
              <w:left w:val="nil" w:sz="6" w:space="0" w:color="auto"/>
              <w:bottom w:val="single" w:sz="4" w:space="0" w:color="000000"/>
              <w:right w:val="nil" w:sz="6" w:space="0" w:color="auto"/>
            </w:tcBorders>
          </w:tcPr>
          <w:p>
            <w:pPr>
              <w:pStyle w:val="TableParagraph"/>
              <w:spacing w:line="240" w:lineRule="auto" w:before="87"/>
              <w:ind w:right="29"/>
              <w:jc w:val="center"/>
              <w:rPr>
                <w:rFonts w:ascii="宋体" w:hAnsi="宋体" w:cs="宋体" w:eastAsia="宋体" w:hint="default"/>
                <w:sz w:val="18"/>
                <w:szCs w:val="18"/>
              </w:rPr>
            </w:pPr>
            <w:r>
              <w:rPr>
                <w:rFonts w:ascii="宋体" w:hAnsi="宋体" w:cs="宋体" w:eastAsia="宋体" w:hint="default"/>
                <w:b/>
                <w:bCs/>
                <w:sz w:val="18"/>
                <w:szCs w:val="18"/>
              </w:rPr>
              <w:t>租赁资产种类</w:t>
            </w:r>
            <w:r>
              <w:rPr>
                <w:rFonts w:ascii="宋体" w:hAnsi="宋体" w:cs="宋体" w:eastAsia="宋体" w:hint="default"/>
                <w:sz w:val="18"/>
                <w:szCs w:val="18"/>
              </w:rPr>
            </w:r>
          </w:p>
        </w:tc>
        <w:tc>
          <w:tcPr>
            <w:tcW w:w="1334" w:type="dxa"/>
            <w:tcBorders>
              <w:top w:val="single" w:sz="12" w:space="0" w:color="000000"/>
              <w:left w:val="nil" w:sz="6" w:space="0" w:color="auto"/>
              <w:bottom w:val="single" w:sz="4" w:space="0" w:color="000000"/>
              <w:right w:val="nil" w:sz="6" w:space="0" w:color="auto"/>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b/>
                <w:bCs/>
                <w:sz w:val="18"/>
                <w:szCs w:val="18"/>
              </w:rPr>
              <w:t>本年确认的租</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赁收益</w:t>
            </w:r>
            <w:r>
              <w:rPr>
                <w:rFonts w:ascii="宋体" w:hAnsi="宋体" w:cs="宋体" w:eastAsia="宋体" w:hint="default"/>
                <w:sz w:val="18"/>
                <w:szCs w:val="18"/>
              </w:rPr>
            </w:r>
          </w:p>
        </w:tc>
        <w:tc>
          <w:tcPr>
            <w:tcW w:w="1216" w:type="dxa"/>
            <w:tcBorders>
              <w:top w:val="single" w:sz="12" w:space="0" w:color="000000"/>
              <w:left w:val="nil" w:sz="6" w:space="0" w:color="auto"/>
              <w:bottom w:val="single" w:sz="4" w:space="0" w:color="000000"/>
              <w:right w:val="nil" w:sz="6" w:space="0" w:color="auto"/>
            </w:tcBorders>
          </w:tcPr>
          <w:p>
            <w:pPr>
              <w:pStyle w:val="TableParagraph"/>
              <w:spacing w:line="207" w:lineRule="exact"/>
              <w:ind w:right="6"/>
              <w:jc w:val="center"/>
              <w:rPr>
                <w:rFonts w:ascii="宋体" w:hAnsi="宋体" w:cs="宋体" w:eastAsia="宋体" w:hint="default"/>
                <w:sz w:val="18"/>
                <w:szCs w:val="18"/>
              </w:rPr>
            </w:pPr>
            <w:r>
              <w:rPr>
                <w:rFonts w:ascii="宋体" w:hAnsi="宋体" w:cs="宋体" w:eastAsia="宋体" w:hint="default"/>
                <w:b/>
                <w:bCs/>
                <w:sz w:val="18"/>
                <w:szCs w:val="18"/>
              </w:rPr>
              <w:t>上年确认的租</w:t>
            </w:r>
            <w:r>
              <w:rPr>
                <w:rFonts w:ascii="宋体" w:hAnsi="宋体" w:cs="宋体" w:eastAsia="宋体" w:hint="default"/>
                <w:sz w:val="18"/>
                <w:szCs w:val="18"/>
              </w:rPr>
            </w:r>
          </w:p>
          <w:p>
            <w:pPr>
              <w:pStyle w:val="TableParagraph"/>
              <w:spacing w:line="234" w:lineRule="exact"/>
              <w:ind w:right="5"/>
              <w:jc w:val="center"/>
              <w:rPr>
                <w:rFonts w:ascii="宋体" w:hAnsi="宋体" w:cs="宋体" w:eastAsia="宋体" w:hint="default"/>
                <w:sz w:val="18"/>
                <w:szCs w:val="18"/>
              </w:rPr>
            </w:pPr>
            <w:r>
              <w:rPr>
                <w:rFonts w:ascii="宋体" w:hAnsi="宋体" w:cs="宋体" w:eastAsia="宋体" w:hint="default"/>
                <w:b/>
                <w:bCs/>
                <w:sz w:val="18"/>
                <w:szCs w:val="18"/>
              </w:rPr>
              <w:t>赁收益</w:t>
            </w:r>
            <w:r>
              <w:rPr>
                <w:rFonts w:ascii="宋体" w:hAnsi="宋体" w:cs="宋体" w:eastAsia="宋体" w:hint="default"/>
                <w:sz w:val="18"/>
                <w:szCs w:val="18"/>
              </w:rPr>
            </w:r>
          </w:p>
        </w:tc>
      </w:tr>
      <w:tr>
        <w:trPr>
          <w:trHeight w:val="325" w:hRule="exact"/>
        </w:trPr>
        <w:tc>
          <w:tcPr>
            <w:tcW w:w="1787"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71"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2856"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94" w:right="0"/>
              <w:jc w:val="left"/>
              <w:rPr>
                <w:rFonts w:ascii="宋体" w:hAnsi="宋体" w:cs="宋体" w:eastAsia="宋体" w:hint="default"/>
                <w:sz w:val="18"/>
                <w:szCs w:val="18"/>
              </w:rPr>
            </w:pPr>
            <w:r>
              <w:rPr>
                <w:rFonts w:ascii="宋体" w:hAnsi="宋体" w:cs="宋体" w:eastAsia="宋体" w:hint="default"/>
                <w:sz w:val="18"/>
                <w:szCs w:val="18"/>
              </w:rPr>
              <w:t>同方环境股份有限公司</w:t>
            </w:r>
          </w:p>
        </w:tc>
        <w:tc>
          <w:tcPr>
            <w:tcW w:w="1474"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31"/>
              <w:jc w:val="center"/>
              <w:rPr>
                <w:rFonts w:ascii="宋体" w:hAnsi="宋体" w:cs="宋体" w:eastAsia="宋体" w:hint="default"/>
                <w:sz w:val="18"/>
                <w:szCs w:val="18"/>
              </w:rPr>
            </w:pPr>
            <w:r>
              <w:rPr>
                <w:rFonts w:ascii="宋体" w:hAnsi="宋体" w:cs="宋体" w:eastAsia="宋体" w:hint="default"/>
                <w:sz w:val="18"/>
                <w:szCs w:val="18"/>
              </w:rPr>
              <w:t>租赁办公区租金</w:t>
            </w:r>
          </w:p>
        </w:tc>
        <w:tc>
          <w:tcPr>
            <w:tcW w:w="133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61"/>
              <w:jc w:val="right"/>
              <w:rPr>
                <w:rFonts w:ascii="Times New Roman" w:hAnsi="Times New Roman" w:cs="Times New Roman" w:eastAsia="Times New Roman" w:hint="default"/>
                <w:sz w:val="18"/>
                <w:szCs w:val="18"/>
              </w:rPr>
            </w:pPr>
            <w:r>
              <w:rPr>
                <w:rFonts w:ascii="Times New Roman"/>
                <w:spacing w:val="-1"/>
                <w:sz w:val="18"/>
              </w:rPr>
              <w:t>3,753,538.09</w:t>
            </w:r>
          </w:p>
        </w:tc>
        <w:tc>
          <w:tcPr>
            <w:tcW w:w="1216"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55"/>
              <w:jc w:val="right"/>
              <w:rPr>
                <w:rFonts w:ascii="Times New Roman" w:hAnsi="Times New Roman" w:cs="Times New Roman" w:eastAsia="Times New Roman" w:hint="default"/>
                <w:sz w:val="18"/>
                <w:szCs w:val="18"/>
              </w:rPr>
            </w:pPr>
            <w:r>
              <w:rPr>
                <w:rFonts w:ascii="Times New Roman"/>
                <w:spacing w:val="-1"/>
                <w:sz w:val="18"/>
              </w:rPr>
              <w:t>3,724,767.32</w:t>
            </w:r>
          </w:p>
        </w:tc>
      </w:tr>
      <w:tr>
        <w:trPr>
          <w:trHeight w:val="284"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2856" w:type="dxa"/>
            <w:tcBorders>
              <w:top w:val="nil" w:sz="6" w:space="0" w:color="auto"/>
              <w:left w:val="nil" w:sz="6" w:space="0" w:color="auto"/>
              <w:bottom w:val="nil" w:sz="6" w:space="0" w:color="auto"/>
              <w:right w:val="nil" w:sz="6" w:space="0" w:color="auto"/>
            </w:tcBorders>
          </w:tcPr>
          <w:p>
            <w:pPr>
              <w:pStyle w:val="TableParagraph"/>
              <w:spacing w:line="223" w:lineRule="exact"/>
              <w:ind w:left="94" w:right="0"/>
              <w:jc w:val="left"/>
              <w:rPr>
                <w:rFonts w:ascii="宋体" w:hAnsi="宋体" w:cs="宋体" w:eastAsia="宋体" w:hint="default"/>
                <w:sz w:val="18"/>
                <w:szCs w:val="18"/>
              </w:rPr>
            </w:pPr>
            <w:r>
              <w:rPr>
                <w:rFonts w:ascii="宋体" w:hAnsi="宋体" w:cs="宋体" w:eastAsia="宋体" w:hint="default"/>
                <w:sz w:val="18"/>
                <w:szCs w:val="18"/>
              </w:rPr>
              <w:t>北京紫光制药有限公司</w:t>
            </w:r>
          </w:p>
        </w:tc>
        <w:tc>
          <w:tcPr>
            <w:tcW w:w="1474" w:type="dxa"/>
            <w:tcBorders>
              <w:top w:val="nil" w:sz="6" w:space="0" w:color="auto"/>
              <w:left w:val="nil" w:sz="6" w:space="0" w:color="auto"/>
              <w:bottom w:val="nil" w:sz="6" w:space="0" w:color="auto"/>
              <w:right w:val="nil" w:sz="6" w:space="0" w:color="auto"/>
            </w:tcBorders>
          </w:tcPr>
          <w:p>
            <w:pPr>
              <w:pStyle w:val="TableParagraph"/>
              <w:spacing w:line="223" w:lineRule="exact"/>
              <w:ind w:right="31"/>
              <w:jc w:val="center"/>
              <w:rPr>
                <w:rFonts w:ascii="宋体" w:hAnsi="宋体" w:cs="宋体" w:eastAsia="宋体" w:hint="default"/>
                <w:sz w:val="18"/>
                <w:szCs w:val="18"/>
              </w:rPr>
            </w:pPr>
            <w:r>
              <w:rPr>
                <w:rFonts w:ascii="宋体" w:hAnsi="宋体" w:cs="宋体" w:eastAsia="宋体" w:hint="default"/>
                <w:sz w:val="18"/>
                <w:szCs w:val="18"/>
              </w:rPr>
              <w:t>租赁办公区租金</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1"/>
              <w:jc w:val="right"/>
              <w:rPr>
                <w:rFonts w:ascii="Times New Roman" w:hAnsi="Times New Roman" w:cs="Times New Roman" w:eastAsia="Times New Roman" w:hint="default"/>
                <w:sz w:val="18"/>
                <w:szCs w:val="18"/>
              </w:rPr>
            </w:pPr>
            <w:r>
              <w:rPr>
                <w:rFonts w:ascii="Times New Roman"/>
                <w:spacing w:val="-1"/>
                <w:sz w:val="18"/>
              </w:rPr>
              <w:t>1,419,231.89</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1,371,984.58</w:t>
            </w:r>
          </w:p>
        </w:tc>
      </w:tr>
      <w:tr>
        <w:trPr>
          <w:trHeight w:val="284"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22" w:lineRule="exact"/>
              <w:ind w:left="71"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2856" w:type="dxa"/>
            <w:tcBorders>
              <w:top w:val="nil" w:sz="6" w:space="0" w:color="auto"/>
              <w:left w:val="nil" w:sz="6" w:space="0" w:color="auto"/>
              <w:bottom w:val="nil" w:sz="6" w:space="0" w:color="auto"/>
              <w:right w:val="nil" w:sz="6" w:space="0" w:color="auto"/>
            </w:tcBorders>
          </w:tcPr>
          <w:p>
            <w:pPr>
              <w:pStyle w:val="TableParagraph"/>
              <w:spacing w:line="222" w:lineRule="exact"/>
              <w:ind w:left="94" w:right="0"/>
              <w:jc w:val="left"/>
              <w:rPr>
                <w:rFonts w:ascii="宋体" w:hAnsi="宋体" w:cs="宋体" w:eastAsia="宋体" w:hint="default"/>
                <w:sz w:val="18"/>
                <w:szCs w:val="18"/>
              </w:rPr>
            </w:pPr>
            <w:r>
              <w:rPr>
                <w:rFonts w:ascii="宋体" w:hAnsi="宋体" w:cs="宋体" w:eastAsia="宋体" w:hint="default"/>
                <w:sz w:val="18"/>
                <w:szCs w:val="18"/>
              </w:rPr>
              <w:t>同方投资有限公司</w:t>
            </w:r>
          </w:p>
        </w:tc>
        <w:tc>
          <w:tcPr>
            <w:tcW w:w="1474" w:type="dxa"/>
            <w:tcBorders>
              <w:top w:val="nil" w:sz="6" w:space="0" w:color="auto"/>
              <w:left w:val="nil" w:sz="6" w:space="0" w:color="auto"/>
              <w:bottom w:val="nil" w:sz="6" w:space="0" w:color="auto"/>
              <w:right w:val="nil" w:sz="6" w:space="0" w:color="auto"/>
            </w:tcBorders>
          </w:tcPr>
          <w:p>
            <w:pPr>
              <w:pStyle w:val="TableParagraph"/>
              <w:spacing w:line="222" w:lineRule="exact"/>
              <w:ind w:right="31"/>
              <w:jc w:val="center"/>
              <w:rPr>
                <w:rFonts w:ascii="宋体" w:hAnsi="宋体" w:cs="宋体" w:eastAsia="宋体" w:hint="default"/>
                <w:sz w:val="18"/>
                <w:szCs w:val="18"/>
              </w:rPr>
            </w:pPr>
            <w:r>
              <w:rPr>
                <w:rFonts w:ascii="宋体" w:hAnsi="宋体" w:cs="宋体" w:eastAsia="宋体" w:hint="default"/>
                <w:sz w:val="18"/>
                <w:szCs w:val="18"/>
              </w:rPr>
              <w:t>租赁办公区租金</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1"/>
              <w:jc w:val="right"/>
              <w:rPr>
                <w:rFonts w:ascii="Times New Roman" w:hAnsi="Times New Roman" w:cs="Times New Roman" w:eastAsia="Times New Roman" w:hint="default"/>
                <w:sz w:val="18"/>
                <w:szCs w:val="18"/>
              </w:rPr>
            </w:pPr>
            <w:r>
              <w:rPr>
                <w:rFonts w:ascii="Times New Roman"/>
                <w:spacing w:val="-1"/>
                <w:sz w:val="18"/>
              </w:rPr>
              <w:t>930,421.50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5"/>
              <w:jc w:val="right"/>
              <w:rPr>
                <w:rFonts w:ascii="Times New Roman" w:hAnsi="Times New Roman" w:cs="Times New Roman" w:eastAsia="Times New Roman" w:hint="default"/>
                <w:sz w:val="18"/>
                <w:szCs w:val="18"/>
              </w:rPr>
            </w:pPr>
            <w:r>
              <w:rPr>
                <w:rFonts w:ascii="Times New Roman"/>
                <w:spacing w:val="-1"/>
                <w:sz w:val="18"/>
              </w:rPr>
              <w:t>558,252.90</w:t>
            </w:r>
          </w:p>
        </w:tc>
      </w:tr>
      <w:tr>
        <w:trPr>
          <w:trHeight w:val="286"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2856" w:type="dxa"/>
            <w:tcBorders>
              <w:top w:val="nil" w:sz="6" w:space="0" w:color="auto"/>
              <w:left w:val="nil" w:sz="6" w:space="0" w:color="auto"/>
              <w:bottom w:val="nil" w:sz="6" w:space="0" w:color="auto"/>
              <w:right w:val="nil" w:sz="6" w:space="0" w:color="auto"/>
            </w:tcBorders>
          </w:tcPr>
          <w:p>
            <w:pPr>
              <w:pStyle w:val="TableParagraph"/>
              <w:spacing w:line="223" w:lineRule="exact"/>
              <w:ind w:left="94" w:right="0"/>
              <w:jc w:val="left"/>
              <w:rPr>
                <w:rFonts w:ascii="宋体" w:hAnsi="宋体" w:cs="宋体" w:eastAsia="宋体" w:hint="default"/>
                <w:sz w:val="18"/>
                <w:szCs w:val="18"/>
              </w:rPr>
            </w:pPr>
            <w:r>
              <w:rPr>
                <w:rFonts w:ascii="宋体" w:hAnsi="宋体" w:cs="宋体" w:eastAsia="宋体" w:hint="default"/>
                <w:sz w:val="18"/>
                <w:szCs w:val="18"/>
              </w:rPr>
              <w:t>北京展讯高科通信技术有限公司</w:t>
            </w:r>
          </w:p>
        </w:tc>
        <w:tc>
          <w:tcPr>
            <w:tcW w:w="1474" w:type="dxa"/>
            <w:tcBorders>
              <w:top w:val="nil" w:sz="6" w:space="0" w:color="auto"/>
              <w:left w:val="nil" w:sz="6" w:space="0" w:color="auto"/>
              <w:bottom w:val="nil" w:sz="6" w:space="0" w:color="auto"/>
              <w:right w:val="nil" w:sz="6" w:space="0" w:color="auto"/>
            </w:tcBorders>
          </w:tcPr>
          <w:p>
            <w:pPr>
              <w:pStyle w:val="TableParagraph"/>
              <w:spacing w:line="223" w:lineRule="exact"/>
              <w:ind w:right="31"/>
              <w:jc w:val="center"/>
              <w:rPr>
                <w:rFonts w:ascii="宋体" w:hAnsi="宋体" w:cs="宋体" w:eastAsia="宋体" w:hint="default"/>
                <w:sz w:val="18"/>
                <w:szCs w:val="18"/>
              </w:rPr>
            </w:pPr>
            <w:r>
              <w:rPr>
                <w:rFonts w:ascii="宋体" w:hAnsi="宋体" w:cs="宋体" w:eastAsia="宋体" w:hint="default"/>
                <w:sz w:val="18"/>
                <w:szCs w:val="18"/>
              </w:rPr>
              <w:t>租赁办公区租金</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0"/>
              <w:jc w:val="right"/>
              <w:rPr>
                <w:rFonts w:ascii="Times New Roman" w:hAnsi="Times New Roman" w:cs="Times New Roman" w:eastAsia="Times New Roman" w:hint="default"/>
                <w:sz w:val="18"/>
                <w:szCs w:val="18"/>
              </w:rPr>
            </w:pPr>
            <w:r>
              <w:rPr>
                <w:rFonts w:ascii="Times New Roman"/>
                <w:sz w:val="18"/>
              </w:rPr>
              <w:t>577,375.25</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6,928,503.00</w:t>
            </w:r>
          </w:p>
        </w:tc>
      </w:tr>
      <w:tr>
        <w:trPr>
          <w:trHeight w:val="286"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z w:val="18"/>
                <w:szCs w:val="18"/>
              </w:rPr>
              <w:t>同方计算机有限公司</w:t>
            </w:r>
          </w:p>
        </w:tc>
        <w:tc>
          <w:tcPr>
            <w:tcW w:w="2856" w:type="dxa"/>
            <w:tcBorders>
              <w:top w:val="nil" w:sz="6" w:space="0" w:color="auto"/>
              <w:left w:val="nil" w:sz="6" w:space="0" w:color="auto"/>
              <w:bottom w:val="nil" w:sz="6" w:space="0" w:color="auto"/>
              <w:right w:val="nil" w:sz="6" w:space="0" w:color="auto"/>
            </w:tcBorders>
          </w:tcPr>
          <w:p>
            <w:pPr>
              <w:pStyle w:val="TableParagraph"/>
              <w:spacing w:line="223" w:lineRule="exact"/>
              <w:ind w:left="94" w:right="0"/>
              <w:jc w:val="left"/>
              <w:rPr>
                <w:rFonts w:ascii="宋体" w:hAnsi="宋体" w:cs="宋体" w:eastAsia="宋体" w:hint="default"/>
                <w:sz w:val="18"/>
                <w:szCs w:val="18"/>
              </w:rPr>
            </w:pPr>
            <w:r>
              <w:rPr>
                <w:rFonts w:ascii="宋体" w:hAnsi="宋体" w:cs="宋体" w:eastAsia="宋体" w:hint="default"/>
                <w:sz w:val="18"/>
                <w:szCs w:val="18"/>
              </w:rPr>
              <w:t>北京朗视仪器有限公司</w:t>
            </w:r>
          </w:p>
        </w:tc>
        <w:tc>
          <w:tcPr>
            <w:tcW w:w="1474" w:type="dxa"/>
            <w:tcBorders>
              <w:top w:val="nil" w:sz="6" w:space="0" w:color="auto"/>
              <w:left w:val="nil" w:sz="6" w:space="0" w:color="auto"/>
              <w:bottom w:val="nil" w:sz="6" w:space="0" w:color="auto"/>
              <w:right w:val="nil" w:sz="6" w:space="0" w:color="auto"/>
            </w:tcBorders>
          </w:tcPr>
          <w:p>
            <w:pPr>
              <w:pStyle w:val="TableParagraph"/>
              <w:spacing w:line="223" w:lineRule="exact"/>
              <w:ind w:right="31"/>
              <w:jc w:val="center"/>
              <w:rPr>
                <w:rFonts w:ascii="宋体" w:hAnsi="宋体" w:cs="宋体" w:eastAsia="宋体" w:hint="default"/>
                <w:sz w:val="18"/>
                <w:szCs w:val="18"/>
              </w:rPr>
            </w:pPr>
            <w:r>
              <w:rPr>
                <w:rFonts w:ascii="宋体" w:hAnsi="宋体" w:cs="宋体" w:eastAsia="宋体" w:hint="default"/>
                <w:sz w:val="18"/>
                <w:szCs w:val="18"/>
              </w:rPr>
              <w:t>租赁办公区租金</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1"/>
              <w:jc w:val="right"/>
              <w:rPr>
                <w:rFonts w:ascii="Times New Roman" w:hAnsi="Times New Roman" w:cs="Times New Roman" w:eastAsia="Times New Roman" w:hint="default"/>
                <w:sz w:val="18"/>
                <w:szCs w:val="18"/>
              </w:rPr>
            </w:pPr>
            <w:r>
              <w:rPr>
                <w:rFonts w:ascii="Times New Roman"/>
                <w:spacing w:val="-1"/>
                <w:sz w:val="18"/>
              </w:rPr>
              <w:t>576,301.53</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691,561.84</w:t>
            </w:r>
          </w:p>
        </w:tc>
      </w:tr>
      <w:tr>
        <w:trPr>
          <w:trHeight w:val="284"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2856" w:type="dxa"/>
            <w:tcBorders>
              <w:top w:val="nil" w:sz="6" w:space="0" w:color="auto"/>
              <w:left w:val="nil" w:sz="6" w:space="0" w:color="auto"/>
              <w:bottom w:val="nil" w:sz="6" w:space="0" w:color="auto"/>
              <w:right w:val="nil" w:sz="6" w:space="0" w:color="auto"/>
            </w:tcBorders>
          </w:tcPr>
          <w:p>
            <w:pPr>
              <w:pStyle w:val="TableParagraph"/>
              <w:spacing w:line="223" w:lineRule="exact"/>
              <w:ind w:left="94" w:right="0"/>
              <w:jc w:val="left"/>
              <w:rPr>
                <w:rFonts w:ascii="宋体" w:hAnsi="宋体" w:cs="宋体" w:eastAsia="宋体" w:hint="default"/>
                <w:sz w:val="18"/>
                <w:szCs w:val="18"/>
              </w:rPr>
            </w:pPr>
            <w:r>
              <w:rPr>
                <w:rFonts w:ascii="宋体" w:hAnsi="宋体" w:cs="宋体" w:eastAsia="宋体" w:hint="default"/>
                <w:sz w:val="18"/>
                <w:szCs w:val="18"/>
              </w:rPr>
              <w:t>易程科技股份有限公司</w:t>
            </w:r>
          </w:p>
        </w:tc>
        <w:tc>
          <w:tcPr>
            <w:tcW w:w="1474" w:type="dxa"/>
            <w:tcBorders>
              <w:top w:val="nil" w:sz="6" w:space="0" w:color="auto"/>
              <w:left w:val="nil" w:sz="6" w:space="0" w:color="auto"/>
              <w:bottom w:val="nil" w:sz="6" w:space="0" w:color="auto"/>
              <w:right w:val="nil" w:sz="6" w:space="0" w:color="auto"/>
            </w:tcBorders>
          </w:tcPr>
          <w:p>
            <w:pPr>
              <w:pStyle w:val="TableParagraph"/>
              <w:spacing w:line="223" w:lineRule="exact"/>
              <w:ind w:right="31"/>
              <w:jc w:val="center"/>
              <w:rPr>
                <w:rFonts w:ascii="宋体" w:hAnsi="宋体" w:cs="宋体" w:eastAsia="宋体" w:hint="default"/>
                <w:sz w:val="18"/>
                <w:szCs w:val="18"/>
              </w:rPr>
            </w:pPr>
            <w:r>
              <w:rPr>
                <w:rFonts w:ascii="宋体" w:hAnsi="宋体" w:cs="宋体" w:eastAsia="宋体" w:hint="default"/>
                <w:sz w:val="18"/>
                <w:szCs w:val="18"/>
              </w:rPr>
              <w:t>租赁办公区租金</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1"/>
              <w:jc w:val="right"/>
              <w:rPr>
                <w:rFonts w:ascii="Times New Roman" w:hAnsi="Times New Roman" w:cs="Times New Roman" w:eastAsia="Times New Roman" w:hint="default"/>
                <w:sz w:val="18"/>
                <w:szCs w:val="18"/>
              </w:rPr>
            </w:pPr>
            <w:r>
              <w:rPr>
                <w:rFonts w:ascii="Times New Roman"/>
                <w:spacing w:val="-1"/>
                <w:sz w:val="18"/>
              </w:rPr>
              <w:t>370,170.28</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2,197,201.68</w:t>
            </w:r>
          </w:p>
        </w:tc>
      </w:tr>
      <w:tr>
        <w:trPr>
          <w:trHeight w:val="284"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22" w:lineRule="exact"/>
              <w:ind w:left="71" w:right="0"/>
              <w:jc w:val="left"/>
              <w:rPr>
                <w:rFonts w:ascii="宋体" w:hAnsi="宋体" w:cs="宋体" w:eastAsia="宋体" w:hint="default"/>
                <w:sz w:val="18"/>
                <w:szCs w:val="18"/>
              </w:rPr>
            </w:pPr>
            <w:r>
              <w:rPr>
                <w:rFonts w:ascii="宋体" w:hAnsi="宋体" w:cs="宋体" w:eastAsia="宋体" w:hint="default"/>
                <w:spacing w:val="-26"/>
                <w:sz w:val="18"/>
                <w:szCs w:val="18"/>
              </w:rPr>
              <w:t>同方人工环境有限公司</w:t>
            </w:r>
          </w:p>
        </w:tc>
        <w:tc>
          <w:tcPr>
            <w:tcW w:w="2856" w:type="dxa"/>
            <w:tcBorders>
              <w:top w:val="nil" w:sz="6" w:space="0" w:color="auto"/>
              <w:left w:val="nil" w:sz="6" w:space="0" w:color="auto"/>
              <w:bottom w:val="nil" w:sz="6" w:space="0" w:color="auto"/>
              <w:right w:val="nil" w:sz="6" w:space="0" w:color="auto"/>
            </w:tcBorders>
          </w:tcPr>
          <w:p>
            <w:pPr>
              <w:pStyle w:val="TableParagraph"/>
              <w:spacing w:line="222" w:lineRule="exact"/>
              <w:ind w:left="94" w:right="0"/>
              <w:jc w:val="left"/>
              <w:rPr>
                <w:rFonts w:ascii="宋体" w:hAnsi="宋体" w:cs="宋体" w:eastAsia="宋体" w:hint="default"/>
                <w:sz w:val="18"/>
                <w:szCs w:val="18"/>
              </w:rPr>
            </w:pPr>
            <w:r>
              <w:rPr>
                <w:rFonts w:ascii="宋体" w:hAnsi="宋体" w:cs="宋体" w:eastAsia="宋体" w:hint="default"/>
                <w:sz w:val="18"/>
                <w:szCs w:val="18"/>
              </w:rPr>
              <w:t>同方川崎节能设备有限公司</w:t>
            </w:r>
          </w:p>
        </w:tc>
        <w:tc>
          <w:tcPr>
            <w:tcW w:w="1474" w:type="dxa"/>
            <w:tcBorders>
              <w:top w:val="nil" w:sz="6" w:space="0" w:color="auto"/>
              <w:left w:val="nil" w:sz="6" w:space="0" w:color="auto"/>
              <w:bottom w:val="nil" w:sz="6" w:space="0" w:color="auto"/>
              <w:right w:val="nil" w:sz="6" w:space="0" w:color="auto"/>
            </w:tcBorders>
          </w:tcPr>
          <w:p>
            <w:pPr>
              <w:pStyle w:val="TableParagraph"/>
              <w:spacing w:line="222" w:lineRule="exact"/>
              <w:ind w:right="31"/>
              <w:jc w:val="center"/>
              <w:rPr>
                <w:rFonts w:ascii="宋体" w:hAnsi="宋体" w:cs="宋体" w:eastAsia="宋体" w:hint="default"/>
                <w:sz w:val="18"/>
                <w:szCs w:val="18"/>
              </w:rPr>
            </w:pPr>
            <w:r>
              <w:rPr>
                <w:rFonts w:ascii="宋体" w:hAnsi="宋体" w:cs="宋体" w:eastAsia="宋体" w:hint="default"/>
                <w:sz w:val="18"/>
                <w:szCs w:val="18"/>
              </w:rPr>
              <w:t>租赁办公区租金</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1"/>
              <w:jc w:val="right"/>
              <w:rPr>
                <w:rFonts w:ascii="Times New Roman" w:hAnsi="Times New Roman" w:cs="Times New Roman" w:eastAsia="Times New Roman" w:hint="default"/>
                <w:sz w:val="18"/>
                <w:szCs w:val="18"/>
              </w:rPr>
            </w:pPr>
            <w:r>
              <w:rPr>
                <w:rFonts w:ascii="Times New Roman"/>
                <w:spacing w:val="-1"/>
                <w:sz w:val="18"/>
              </w:rPr>
              <w:t>286,642.36</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7"/>
              <w:jc w:val="right"/>
              <w:rPr>
                <w:rFonts w:ascii="Times New Roman" w:hAnsi="Times New Roman" w:cs="Times New Roman" w:eastAsia="Times New Roman" w:hint="default"/>
                <w:sz w:val="18"/>
                <w:szCs w:val="18"/>
              </w:rPr>
            </w:pPr>
            <w:r>
              <w:rPr>
                <w:rFonts w:ascii="Times New Roman"/>
                <w:spacing w:val="-1"/>
                <w:sz w:val="18"/>
              </w:rPr>
              <w:t>83,481.92</w:t>
            </w:r>
          </w:p>
        </w:tc>
      </w:tr>
      <w:tr>
        <w:trPr>
          <w:trHeight w:val="259"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z w:val="18"/>
                <w:szCs w:val="18"/>
              </w:rPr>
              <w:t>同方计算机有限公司</w:t>
            </w:r>
          </w:p>
        </w:tc>
        <w:tc>
          <w:tcPr>
            <w:tcW w:w="2856" w:type="dxa"/>
            <w:tcBorders>
              <w:top w:val="nil" w:sz="6" w:space="0" w:color="auto"/>
              <w:left w:val="nil" w:sz="6" w:space="0" w:color="auto"/>
              <w:bottom w:val="nil" w:sz="6" w:space="0" w:color="auto"/>
              <w:right w:val="nil" w:sz="6" w:space="0" w:color="auto"/>
            </w:tcBorders>
          </w:tcPr>
          <w:p>
            <w:pPr>
              <w:pStyle w:val="TableParagraph"/>
              <w:spacing w:line="223" w:lineRule="exact"/>
              <w:ind w:left="94" w:right="0"/>
              <w:jc w:val="left"/>
              <w:rPr>
                <w:rFonts w:ascii="宋体" w:hAnsi="宋体" w:cs="宋体" w:eastAsia="宋体" w:hint="default"/>
                <w:sz w:val="18"/>
                <w:szCs w:val="18"/>
              </w:rPr>
            </w:pPr>
            <w:r>
              <w:rPr>
                <w:rFonts w:ascii="宋体" w:hAnsi="宋体" w:cs="宋体" w:eastAsia="宋体" w:hint="default"/>
                <w:spacing w:val="-27"/>
                <w:sz w:val="18"/>
                <w:szCs w:val="18"/>
              </w:rPr>
              <w:t>同方恩欧凯（无锡）膜技术有限公司</w:t>
            </w:r>
          </w:p>
        </w:tc>
        <w:tc>
          <w:tcPr>
            <w:tcW w:w="1474" w:type="dxa"/>
            <w:tcBorders>
              <w:top w:val="nil" w:sz="6" w:space="0" w:color="auto"/>
              <w:left w:val="nil" w:sz="6" w:space="0" w:color="auto"/>
              <w:bottom w:val="nil" w:sz="6" w:space="0" w:color="auto"/>
              <w:right w:val="nil" w:sz="6" w:space="0" w:color="auto"/>
            </w:tcBorders>
          </w:tcPr>
          <w:p>
            <w:pPr>
              <w:pStyle w:val="TableParagraph"/>
              <w:spacing w:line="223" w:lineRule="exact"/>
              <w:ind w:right="31"/>
              <w:jc w:val="center"/>
              <w:rPr>
                <w:rFonts w:ascii="宋体" w:hAnsi="宋体" w:cs="宋体" w:eastAsia="宋体" w:hint="default"/>
                <w:sz w:val="18"/>
                <w:szCs w:val="18"/>
              </w:rPr>
            </w:pPr>
            <w:r>
              <w:rPr>
                <w:rFonts w:ascii="宋体" w:hAnsi="宋体" w:cs="宋体" w:eastAsia="宋体" w:hint="default"/>
                <w:sz w:val="18"/>
                <w:szCs w:val="18"/>
              </w:rPr>
              <w:t>租赁办公区租金</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1"/>
              <w:jc w:val="right"/>
              <w:rPr>
                <w:rFonts w:ascii="Times New Roman" w:hAnsi="Times New Roman" w:cs="Times New Roman" w:eastAsia="Times New Roman" w:hint="default"/>
                <w:sz w:val="18"/>
                <w:szCs w:val="18"/>
              </w:rPr>
            </w:pPr>
            <w:r>
              <w:rPr>
                <w:rFonts w:ascii="Times New Roman"/>
                <w:spacing w:val="-1"/>
                <w:sz w:val="18"/>
              </w:rPr>
              <w:t>280,900.00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1,123,600.00</w:t>
            </w:r>
          </w:p>
        </w:tc>
      </w:tr>
      <w:tr>
        <w:trPr>
          <w:trHeight w:val="483"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78"/>
              <w:ind w:left="71"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2856" w:type="dxa"/>
            <w:tcBorders>
              <w:top w:val="nil" w:sz="6" w:space="0" w:color="auto"/>
              <w:left w:val="nil" w:sz="6" w:space="0" w:color="auto"/>
              <w:bottom w:val="nil" w:sz="6" w:space="0" w:color="auto"/>
              <w:right w:val="nil" w:sz="6" w:space="0" w:color="auto"/>
            </w:tcBorders>
          </w:tcPr>
          <w:p>
            <w:pPr>
              <w:pStyle w:val="TableParagraph"/>
              <w:spacing w:line="197" w:lineRule="exact"/>
              <w:ind w:left="94" w:right="0"/>
              <w:jc w:val="left"/>
              <w:rPr>
                <w:rFonts w:ascii="宋体" w:hAnsi="宋体" w:cs="宋体" w:eastAsia="宋体" w:hint="default"/>
                <w:sz w:val="18"/>
                <w:szCs w:val="18"/>
              </w:rPr>
            </w:pPr>
            <w:r>
              <w:rPr>
                <w:rFonts w:ascii="宋体" w:hAnsi="宋体" w:cs="宋体" w:eastAsia="宋体" w:hint="default"/>
                <w:sz w:val="18"/>
                <w:szCs w:val="18"/>
              </w:rPr>
              <w:t>华控创新（北京）药物研究院有限</w:t>
            </w:r>
          </w:p>
          <w:p>
            <w:pPr>
              <w:pStyle w:val="TableParagraph"/>
              <w:spacing w:line="240" w:lineRule="auto"/>
              <w:ind w:left="94"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1"/>
              <w:jc w:val="center"/>
              <w:rPr>
                <w:rFonts w:ascii="宋体" w:hAnsi="宋体" w:cs="宋体" w:eastAsia="宋体" w:hint="default"/>
                <w:sz w:val="18"/>
                <w:szCs w:val="18"/>
              </w:rPr>
            </w:pPr>
            <w:r>
              <w:rPr>
                <w:rFonts w:ascii="宋体" w:hAnsi="宋体" w:cs="宋体" w:eastAsia="宋体" w:hint="default"/>
                <w:sz w:val="18"/>
                <w:szCs w:val="18"/>
              </w:rPr>
              <w:t>租赁办公区租金</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60"/>
              <w:jc w:val="right"/>
              <w:rPr>
                <w:rFonts w:ascii="Times New Roman" w:hAnsi="Times New Roman" w:cs="Times New Roman" w:eastAsia="Times New Roman" w:hint="default"/>
                <w:sz w:val="18"/>
                <w:szCs w:val="18"/>
              </w:rPr>
            </w:pPr>
            <w:r>
              <w:rPr>
                <w:rFonts w:ascii="Times New Roman"/>
                <w:sz w:val="18"/>
              </w:rPr>
              <w:t>266,612.94</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54"/>
              <w:jc w:val="right"/>
              <w:rPr>
                <w:rFonts w:ascii="Times New Roman" w:hAnsi="Times New Roman" w:cs="Times New Roman" w:eastAsia="Times New Roman" w:hint="default"/>
                <w:sz w:val="18"/>
                <w:szCs w:val="18"/>
              </w:rPr>
            </w:pPr>
            <w:r>
              <w:rPr>
                <w:rFonts w:ascii="Times New Roman"/>
                <w:spacing w:val="-1"/>
                <w:sz w:val="18"/>
              </w:rPr>
              <w:t>0.00</w:t>
            </w:r>
          </w:p>
        </w:tc>
      </w:tr>
      <w:tr>
        <w:trPr>
          <w:trHeight w:val="294"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32" w:lineRule="exact"/>
              <w:ind w:left="71"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2856" w:type="dxa"/>
            <w:tcBorders>
              <w:top w:val="nil" w:sz="6" w:space="0" w:color="auto"/>
              <w:left w:val="nil" w:sz="6" w:space="0" w:color="auto"/>
              <w:bottom w:val="nil" w:sz="6" w:space="0" w:color="auto"/>
              <w:right w:val="nil" w:sz="6" w:space="0" w:color="auto"/>
            </w:tcBorders>
          </w:tcPr>
          <w:p>
            <w:pPr>
              <w:pStyle w:val="TableParagraph"/>
              <w:spacing w:line="232" w:lineRule="exact"/>
              <w:ind w:left="94" w:right="0"/>
              <w:jc w:val="left"/>
              <w:rPr>
                <w:rFonts w:ascii="宋体" w:hAnsi="宋体" w:cs="宋体" w:eastAsia="宋体" w:hint="default"/>
                <w:sz w:val="18"/>
                <w:szCs w:val="18"/>
              </w:rPr>
            </w:pPr>
            <w:r>
              <w:rPr>
                <w:rFonts w:ascii="宋体" w:hAnsi="宋体" w:cs="宋体" w:eastAsia="宋体" w:hint="default"/>
                <w:sz w:val="18"/>
                <w:szCs w:val="18"/>
              </w:rPr>
              <w:t>北京同方时讯电子有限公司</w:t>
            </w:r>
          </w:p>
        </w:tc>
        <w:tc>
          <w:tcPr>
            <w:tcW w:w="1474" w:type="dxa"/>
            <w:tcBorders>
              <w:top w:val="nil" w:sz="6" w:space="0" w:color="auto"/>
              <w:left w:val="nil" w:sz="6" w:space="0" w:color="auto"/>
              <w:bottom w:val="nil" w:sz="6" w:space="0" w:color="auto"/>
              <w:right w:val="nil" w:sz="6" w:space="0" w:color="auto"/>
            </w:tcBorders>
          </w:tcPr>
          <w:p>
            <w:pPr>
              <w:pStyle w:val="TableParagraph"/>
              <w:spacing w:line="232" w:lineRule="exact"/>
              <w:ind w:right="31"/>
              <w:jc w:val="center"/>
              <w:rPr>
                <w:rFonts w:ascii="宋体" w:hAnsi="宋体" w:cs="宋体" w:eastAsia="宋体" w:hint="default"/>
                <w:sz w:val="18"/>
                <w:szCs w:val="18"/>
              </w:rPr>
            </w:pPr>
            <w:r>
              <w:rPr>
                <w:rFonts w:ascii="宋体" w:hAnsi="宋体" w:cs="宋体" w:eastAsia="宋体" w:hint="default"/>
                <w:sz w:val="18"/>
                <w:szCs w:val="18"/>
              </w:rPr>
              <w:t>租赁办公区租金</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61"/>
              <w:jc w:val="right"/>
              <w:rPr>
                <w:rFonts w:ascii="Times New Roman" w:hAnsi="Times New Roman" w:cs="Times New Roman" w:eastAsia="Times New Roman" w:hint="default"/>
                <w:sz w:val="18"/>
                <w:szCs w:val="18"/>
              </w:rPr>
            </w:pPr>
            <w:r>
              <w:rPr>
                <w:rFonts w:ascii="Times New Roman"/>
                <w:spacing w:val="-1"/>
                <w:sz w:val="18"/>
              </w:rPr>
              <w:t>175,420.82</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5"/>
              <w:jc w:val="right"/>
              <w:rPr>
                <w:rFonts w:ascii="Times New Roman" w:hAnsi="Times New Roman" w:cs="Times New Roman" w:eastAsia="Times New Roman" w:hint="default"/>
                <w:sz w:val="18"/>
                <w:szCs w:val="18"/>
              </w:rPr>
            </w:pPr>
            <w:r>
              <w:rPr>
                <w:rFonts w:ascii="Times New Roman"/>
                <w:spacing w:val="-1"/>
                <w:sz w:val="18"/>
              </w:rPr>
              <w:t>613,972.87</w:t>
            </w:r>
          </w:p>
        </w:tc>
      </w:tr>
      <w:tr>
        <w:trPr>
          <w:trHeight w:val="286"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2856" w:type="dxa"/>
            <w:tcBorders>
              <w:top w:val="nil" w:sz="6" w:space="0" w:color="auto"/>
              <w:left w:val="nil" w:sz="6" w:space="0" w:color="auto"/>
              <w:bottom w:val="nil" w:sz="6" w:space="0" w:color="auto"/>
              <w:right w:val="nil" w:sz="6" w:space="0" w:color="auto"/>
            </w:tcBorders>
          </w:tcPr>
          <w:p>
            <w:pPr>
              <w:pStyle w:val="TableParagraph"/>
              <w:spacing w:line="223" w:lineRule="exact"/>
              <w:ind w:left="94" w:right="0"/>
              <w:jc w:val="left"/>
              <w:rPr>
                <w:rFonts w:ascii="宋体" w:hAnsi="宋体" w:cs="宋体" w:eastAsia="宋体" w:hint="default"/>
                <w:sz w:val="18"/>
                <w:szCs w:val="18"/>
              </w:rPr>
            </w:pPr>
            <w:r>
              <w:rPr>
                <w:rFonts w:ascii="宋体" w:hAnsi="宋体" w:cs="宋体" w:eastAsia="宋体" w:hint="default"/>
                <w:sz w:val="18"/>
                <w:szCs w:val="18"/>
              </w:rPr>
              <w:t>北京亚仕同方科技有限公司</w:t>
            </w:r>
          </w:p>
        </w:tc>
        <w:tc>
          <w:tcPr>
            <w:tcW w:w="1474" w:type="dxa"/>
            <w:tcBorders>
              <w:top w:val="nil" w:sz="6" w:space="0" w:color="auto"/>
              <w:left w:val="nil" w:sz="6" w:space="0" w:color="auto"/>
              <w:bottom w:val="nil" w:sz="6" w:space="0" w:color="auto"/>
              <w:right w:val="nil" w:sz="6" w:space="0" w:color="auto"/>
            </w:tcBorders>
          </w:tcPr>
          <w:p>
            <w:pPr>
              <w:pStyle w:val="TableParagraph"/>
              <w:spacing w:line="223" w:lineRule="exact"/>
              <w:ind w:right="31"/>
              <w:jc w:val="center"/>
              <w:rPr>
                <w:rFonts w:ascii="宋体" w:hAnsi="宋体" w:cs="宋体" w:eastAsia="宋体" w:hint="default"/>
                <w:sz w:val="18"/>
                <w:szCs w:val="18"/>
              </w:rPr>
            </w:pPr>
            <w:r>
              <w:rPr>
                <w:rFonts w:ascii="宋体" w:hAnsi="宋体" w:cs="宋体" w:eastAsia="宋体" w:hint="default"/>
                <w:sz w:val="18"/>
                <w:szCs w:val="18"/>
              </w:rPr>
              <w:t>租赁办公区租金</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0"/>
              <w:jc w:val="right"/>
              <w:rPr>
                <w:rFonts w:ascii="Times New Roman" w:hAnsi="Times New Roman" w:cs="Times New Roman" w:eastAsia="Times New Roman" w:hint="default"/>
                <w:sz w:val="18"/>
                <w:szCs w:val="18"/>
              </w:rPr>
            </w:pPr>
            <w:r>
              <w:rPr>
                <w:rFonts w:ascii="Times New Roman"/>
                <w:w w:val="95"/>
                <w:sz w:val="18"/>
              </w:rPr>
              <w:t>4,250.00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7"/>
              <w:jc w:val="right"/>
              <w:rPr>
                <w:rFonts w:ascii="Times New Roman" w:hAnsi="Times New Roman" w:cs="Times New Roman" w:eastAsia="Times New Roman" w:hint="default"/>
                <w:sz w:val="18"/>
                <w:szCs w:val="18"/>
              </w:rPr>
            </w:pPr>
            <w:r>
              <w:rPr>
                <w:rFonts w:ascii="Times New Roman"/>
                <w:spacing w:val="-1"/>
                <w:sz w:val="18"/>
              </w:rPr>
              <w:t>12,250.00</w:t>
            </w:r>
          </w:p>
        </w:tc>
      </w:tr>
      <w:tr>
        <w:trPr>
          <w:trHeight w:val="286"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2856" w:type="dxa"/>
            <w:tcBorders>
              <w:top w:val="nil" w:sz="6" w:space="0" w:color="auto"/>
              <w:left w:val="nil" w:sz="6" w:space="0" w:color="auto"/>
              <w:bottom w:val="nil" w:sz="6" w:space="0" w:color="auto"/>
              <w:right w:val="nil" w:sz="6" w:space="0" w:color="auto"/>
            </w:tcBorders>
          </w:tcPr>
          <w:p>
            <w:pPr>
              <w:pStyle w:val="TableParagraph"/>
              <w:spacing w:line="223" w:lineRule="exact"/>
              <w:ind w:left="94" w:right="0"/>
              <w:jc w:val="left"/>
              <w:rPr>
                <w:rFonts w:ascii="宋体" w:hAnsi="宋体" w:cs="宋体" w:eastAsia="宋体" w:hint="default"/>
                <w:sz w:val="18"/>
                <w:szCs w:val="18"/>
              </w:rPr>
            </w:pPr>
            <w:r>
              <w:rPr>
                <w:rFonts w:ascii="宋体" w:hAnsi="宋体" w:cs="宋体" w:eastAsia="宋体" w:hint="default"/>
                <w:sz w:val="18"/>
                <w:szCs w:val="18"/>
              </w:rPr>
              <w:t>成都昊为环境科技有限公司</w:t>
            </w:r>
          </w:p>
        </w:tc>
        <w:tc>
          <w:tcPr>
            <w:tcW w:w="1474" w:type="dxa"/>
            <w:tcBorders>
              <w:top w:val="nil" w:sz="6" w:space="0" w:color="auto"/>
              <w:left w:val="nil" w:sz="6" w:space="0" w:color="auto"/>
              <w:bottom w:val="nil" w:sz="6" w:space="0" w:color="auto"/>
              <w:right w:val="nil" w:sz="6" w:space="0" w:color="auto"/>
            </w:tcBorders>
          </w:tcPr>
          <w:p>
            <w:pPr>
              <w:pStyle w:val="TableParagraph"/>
              <w:spacing w:line="223" w:lineRule="exact"/>
              <w:ind w:right="31"/>
              <w:jc w:val="center"/>
              <w:rPr>
                <w:rFonts w:ascii="宋体" w:hAnsi="宋体" w:cs="宋体" w:eastAsia="宋体" w:hint="default"/>
                <w:sz w:val="18"/>
                <w:szCs w:val="18"/>
              </w:rPr>
            </w:pPr>
            <w:r>
              <w:rPr>
                <w:rFonts w:ascii="宋体" w:hAnsi="宋体" w:cs="宋体" w:eastAsia="宋体" w:hint="default"/>
                <w:sz w:val="18"/>
                <w:szCs w:val="18"/>
              </w:rPr>
              <w:t>租赁办公区租金</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0"/>
              <w:jc w:val="right"/>
              <w:rPr>
                <w:rFonts w:ascii="Times New Roman" w:hAnsi="Times New Roman" w:cs="Times New Roman" w:eastAsia="Times New Roman" w:hint="default"/>
                <w:sz w:val="18"/>
                <w:szCs w:val="18"/>
              </w:rPr>
            </w:pPr>
            <w:r>
              <w:rPr>
                <w:rFonts w:ascii="Times New Roman"/>
                <w:w w:val="95"/>
                <w:sz w:val="18"/>
              </w:rPr>
              <w:t>3,094.00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227,452.00</w:t>
            </w:r>
          </w:p>
        </w:tc>
      </w:tr>
      <w:tr>
        <w:trPr>
          <w:trHeight w:val="284"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2856" w:type="dxa"/>
            <w:tcBorders>
              <w:top w:val="nil" w:sz="6" w:space="0" w:color="auto"/>
              <w:left w:val="nil" w:sz="6" w:space="0" w:color="auto"/>
              <w:bottom w:val="nil" w:sz="6" w:space="0" w:color="auto"/>
              <w:right w:val="nil" w:sz="6" w:space="0" w:color="auto"/>
            </w:tcBorders>
          </w:tcPr>
          <w:p>
            <w:pPr>
              <w:pStyle w:val="TableParagraph"/>
              <w:spacing w:line="223" w:lineRule="exact"/>
              <w:ind w:left="94" w:right="0"/>
              <w:jc w:val="left"/>
              <w:rPr>
                <w:rFonts w:ascii="宋体" w:hAnsi="宋体" w:cs="宋体" w:eastAsia="宋体" w:hint="default"/>
                <w:sz w:val="18"/>
                <w:szCs w:val="18"/>
              </w:rPr>
            </w:pPr>
            <w:r>
              <w:rPr>
                <w:rFonts w:ascii="宋体" w:hAnsi="宋体" w:cs="宋体" w:eastAsia="宋体" w:hint="default"/>
                <w:sz w:val="18"/>
                <w:szCs w:val="18"/>
              </w:rPr>
              <w:t>北京首同致远节能环保有限公司</w:t>
            </w:r>
          </w:p>
        </w:tc>
        <w:tc>
          <w:tcPr>
            <w:tcW w:w="1474" w:type="dxa"/>
            <w:tcBorders>
              <w:top w:val="nil" w:sz="6" w:space="0" w:color="auto"/>
              <w:left w:val="nil" w:sz="6" w:space="0" w:color="auto"/>
              <w:bottom w:val="nil" w:sz="6" w:space="0" w:color="auto"/>
              <w:right w:val="nil" w:sz="6" w:space="0" w:color="auto"/>
            </w:tcBorders>
          </w:tcPr>
          <w:p>
            <w:pPr>
              <w:pStyle w:val="TableParagraph"/>
              <w:spacing w:line="223" w:lineRule="exact"/>
              <w:ind w:right="31"/>
              <w:jc w:val="center"/>
              <w:rPr>
                <w:rFonts w:ascii="宋体" w:hAnsi="宋体" w:cs="宋体" w:eastAsia="宋体" w:hint="default"/>
                <w:sz w:val="18"/>
                <w:szCs w:val="18"/>
              </w:rPr>
            </w:pPr>
            <w:r>
              <w:rPr>
                <w:rFonts w:ascii="宋体" w:hAnsi="宋体" w:cs="宋体" w:eastAsia="宋体" w:hint="default"/>
                <w:sz w:val="18"/>
                <w:szCs w:val="18"/>
              </w:rPr>
              <w:t>租赁办公区租金</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0"/>
              <w:jc w:val="right"/>
              <w:rPr>
                <w:rFonts w:ascii="Times New Roman" w:hAnsi="Times New Roman" w:cs="Times New Roman" w:eastAsia="Times New Roman" w:hint="default"/>
                <w:sz w:val="18"/>
                <w:szCs w:val="18"/>
              </w:rPr>
            </w:pPr>
            <w:r>
              <w:rPr>
                <w:rFonts w:ascii="Times New Roman"/>
                <w:spacing w:val="-1"/>
                <w:sz w:val="18"/>
              </w:rPr>
              <w:t>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336,165.00</w:t>
            </w:r>
          </w:p>
        </w:tc>
      </w:tr>
      <w:tr>
        <w:trPr>
          <w:trHeight w:val="257" w:hRule="exact"/>
        </w:trPr>
        <w:tc>
          <w:tcPr>
            <w:tcW w:w="1787" w:type="dxa"/>
            <w:tcBorders>
              <w:top w:val="nil" w:sz="6" w:space="0" w:color="auto"/>
              <w:left w:val="nil" w:sz="6" w:space="0" w:color="auto"/>
              <w:bottom w:val="single" w:sz="4" w:space="0" w:color="000000"/>
              <w:right w:val="nil" w:sz="6" w:space="0" w:color="auto"/>
            </w:tcBorders>
          </w:tcPr>
          <w:p>
            <w:pPr>
              <w:pStyle w:val="TableParagraph"/>
              <w:spacing w:line="222" w:lineRule="exact"/>
              <w:ind w:left="71"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2856" w:type="dxa"/>
            <w:tcBorders>
              <w:top w:val="nil" w:sz="6" w:space="0" w:color="auto"/>
              <w:left w:val="nil" w:sz="6" w:space="0" w:color="auto"/>
              <w:bottom w:val="single" w:sz="4" w:space="0" w:color="000000"/>
              <w:right w:val="nil" w:sz="6" w:space="0" w:color="auto"/>
            </w:tcBorders>
          </w:tcPr>
          <w:p>
            <w:pPr>
              <w:pStyle w:val="TableParagraph"/>
              <w:spacing w:line="222" w:lineRule="exact"/>
              <w:ind w:left="94" w:right="0"/>
              <w:jc w:val="left"/>
              <w:rPr>
                <w:rFonts w:ascii="宋体" w:hAnsi="宋体" w:cs="宋体" w:eastAsia="宋体" w:hint="default"/>
                <w:sz w:val="18"/>
                <w:szCs w:val="18"/>
              </w:rPr>
            </w:pPr>
            <w:r>
              <w:rPr>
                <w:rFonts w:ascii="宋体" w:hAnsi="宋体" w:cs="宋体" w:eastAsia="宋体" w:hint="default"/>
                <w:sz w:val="18"/>
                <w:szCs w:val="18"/>
              </w:rPr>
              <w:t>北京同方洁净技术有限公司</w:t>
            </w:r>
          </w:p>
        </w:tc>
        <w:tc>
          <w:tcPr>
            <w:tcW w:w="1474" w:type="dxa"/>
            <w:tcBorders>
              <w:top w:val="nil" w:sz="6" w:space="0" w:color="auto"/>
              <w:left w:val="nil" w:sz="6" w:space="0" w:color="auto"/>
              <w:bottom w:val="single" w:sz="4" w:space="0" w:color="000000"/>
              <w:right w:val="nil" w:sz="6" w:space="0" w:color="auto"/>
            </w:tcBorders>
          </w:tcPr>
          <w:p>
            <w:pPr>
              <w:pStyle w:val="TableParagraph"/>
              <w:spacing w:line="222" w:lineRule="exact"/>
              <w:ind w:right="31"/>
              <w:jc w:val="center"/>
              <w:rPr>
                <w:rFonts w:ascii="宋体" w:hAnsi="宋体" w:cs="宋体" w:eastAsia="宋体" w:hint="default"/>
                <w:sz w:val="18"/>
                <w:szCs w:val="18"/>
              </w:rPr>
            </w:pPr>
            <w:r>
              <w:rPr>
                <w:rFonts w:ascii="宋体" w:hAnsi="宋体" w:cs="宋体" w:eastAsia="宋体" w:hint="default"/>
                <w:sz w:val="18"/>
                <w:szCs w:val="18"/>
              </w:rPr>
              <w:t>租赁办公区租金</w:t>
            </w:r>
          </w:p>
        </w:tc>
        <w:tc>
          <w:tcPr>
            <w:tcW w:w="1334"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62"/>
              <w:jc w:val="right"/>
              <w:rPr>
                <w:rFonts w:ascii="Times New Roman" w:hAnsi="Times New Roman" w:cs="Times New Roman" w:eastAsia="Times New Roman" w:hint="default"/>
                <w:sz w:val="18"/>
                <w:szCs w:val="18"/>
              </w:rPr>
            </w:pPr>
            <w:r>
              <w:rPr>
                <w:rFonts w:ascii="Times New Roman"/>
                <w:spacing w:val="-1"/>
                <w:sz w:val="18"/>
              </w:rPr>
              <w:t>0.00</w:t>
            </w:r>
          </w:p>
        </w:tc>
        <w:tc>
          <w:tcPr>
            <w:tcW w:w="1216"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55"/>
              <w:jc w:val="right"/>
              <w:rPr>
                <w:rFonts w:ascii="Times New Roman" w:hAnsi="Times New Roman" w:cs="Times New Roman" w:eastAsia="Times New Roman" w:hint="default"/>
                <w:sz w:val="18"/>
                <w:szCs w:val="18"/>
              </w:rPr>
            </w:pPr>
            <w:r>
              <w:rPr>
                <w:rFonts w:ascii="Times New Roman"/>
                <w:spacing w:val="-1"/>
                <w:sz w:val="18"/>
              </w:rPr>
              <w:t>352,577.40</w:t>
            </w:r>
          </w:p>
        </w:tc>
      </w:tr>
      <w:tr>
        <w:trPr>
          <w:trHeight w:val="305" w:hRule="exact"/>
        </w:trPr>
        <w:tc>
          <w:tcPr>
            <w:tcW w:w="1787" w:type="dxa"/>
            <w:tcBorders>
              <w:top w:val="single" w:sz="4" w:space="0" w:color="000000"/>
              <w:left w:val="nil" w:sz="6" w:space="0" w:color="auto"/>
              <w:bottom w:val="single" w:sz="12" w:space="0" w:color="000000"/>
              <w:right w:val="nil" w:sz="6" w:space="0" w:color="auto"/>
            </w:tcBorders>
          </w:tcPr>
          <w:p>
            <w:pPr>
              <w:pStyle w:val="TableParagraph"/>
              <w:spacing w:line="256" w:lineRule="exact"/>
              <w:ind w:left="7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856" w:type="dxa"/>
            <w:tcBorders>
              <w:top w:val="single" w:sz="4" w:space="0" w:color="000000"/>
              <w:left w:val="nil" w:sz="6" w:space="0" w:color="auto"/>
              <w:bottom w:val="single" w:sz="12" w:space="0" w:color="000000"/>
              <w:right w:val="nil" w:sz="6" w:space="0" w:color="auto"/>
            </w:tcBorders>
          </w:tcPr>
          <w:p>
            <w:pPr/>
          </w:p>
        </w:tc>
        <w:tc>
          <w:tcPr>
            <w:tcW w:w="1474" w:type="dxa"/>
            <w:tcBorders>
              <w:top w:val="single" w:sz="4" w:space="0" w:color="000000"/>
              <w:left w:val="nil" w:sz="6" w:space="0" w:color="auto"/>
              <w:bottom w:val="single" w:sz="12" w:space="0" w:color="000000"/>
              <w:right w:val="nil" w:sz="6" w:space="0" w:color="auto"/>
            </w:tcBorders>
          </w:tcPr>
          <w:p>
            <w:pPr/>
          </w:p>
        </w:tc>
        <w:tc>
          <w:tcPr>
            <w:tcW w:w="1334"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59"/>
              <w:jc w:val="right"/>
              <w:rPr>
                <w:rFonts w:ascii="Times New Roman" w:hAnsi="Times New Roman" w:cs="Times New Roman" w:eastAsia="Times New Roman" w:hint="default"/>
                <w:sz w:val="18"/>
                <w:szCs w:val="18"/>
              </w:rPr>
            </w:pPr>
            <w:r>
              <w:rPr>
                <w:rFonts w:ascii="Times New Roman"/>
                <w:b/>
                <w:spacing w:val="-1"/>
                <w:sz w:val="18"/>
              </w:rPr>
              <w:t>8,643,958.66</w:t>
            </w:r>
            <w:r>
              <w:rPr>
                <w:rFonts w:ascii="Times New Roman"/>
                <w:spacing w:val="-1"/>
                <w:sz w:val="18"/>
              </w:rPr>
            </w:r>
          </w:p>
        </w:tc>
        <w:tc>
          <w:tcPr>
            <w:tcW w:w="1216"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55"/>
              <w:jc w:val="right"/>
              <w:rPr>
                <w:rFonts w:ascii="Times New Roman" w:hAnsi="Times New Roman" w:cs="Times New Roman" w:eastAsia="Times New Roman" w:hint="default"/>
                <w:sz w:val="18"/>
                <w:szCs w:val="18"/>
              </w:rPr>
            </w:pPr>
            <w:r>
              <w:rPr>
                <w:rFonts w:ascii="Times New Roman"/>
                <w:b/>
                <w:spacing w:val="-1"/>
                <w:sz w:val="18"/>
              </w:rPr>
              <w:t>18,221,770.51</w:t>
            </w:r>
            <w:r>
              <w:rPr>
                <w:rFonts w:ascii="Times New Roman"/>
                <w:spacing w:val="-1"/>
                <w:sz w:val="18"/>
              </w:rPr>
            </w:r>
          </w:p>
        </w:tc>
      </w:tr>
    </w:tbl>
    <w:p>
      <w:pPr>
        <w:spacing w:before="81"/>
        <w:ind w:left="675" w:right="44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4"/>
          <w:sz w:val="22"/>
          <w:szCs w:val="22"/>
        </w:rPr>
        <w:t> </w:t>
      </w:r>
      <w:r>
        <w:rPr>
          <w:rFonts w:ascii="宋体" w:hAnsi="宋体" w:cs="宋体" w:eastAsia="宋体" w:hint="default"/>
          <w:sz w:val="22"/>
          <w:szCs w:val="22"/>
        </w:rPr>
        <w:t>承租情况</w:t>
      </w:r>
    </w:p>
    <w:p>
      <w:pPr>
        <w:spacing w:line="240" w:lineRule="auto" w:before="8"/>
        <w:rPr>
          <w:rFonts w:ascii="宋体" w:hAnsi="宋体" w:cs="宋体" w:eastAsia="宋体" w:hint="default"/>
          <w:sz w:val="11"/>
          <w:szCs w:val="11"/>
        </w:rPr>
      </w:pPr>
    </w:p>
    <w:tbl>
      <w:tblPr>
        <w:tblW w:w="0" w:type="auto"/>
        <w:jc w:val="left"/>
        <w:tblInd w:w="150" w:type="dxa"/>
        <w:tblLayout w:type="fixed"/>
        <w:tblCellMar>
          <w:top w:w="0" w:type="dxa"/>
          <w:left w:w="0" w:type="dxa"/>
          <w:bottom w:w="0" w:type="dxa"/>
          <w:right w:w="0" w:type="dxa"/>
        </w:tblCellMar>
        <w:tblLook w:val="01E0"/>
      </w:tblPr>
      <w:tblGrid>
        <w:gridCol w:w="1315"/>
        <w:gridCol w:w="2625"/>
        <w:gridCol w:w="1760"/>
        <w:gridCol w:w="1555"/>
        <w:gridCol w:w="1382"/>
      </w:tblGrid>
      <w:tr>
        <w:trPr>
          <w:trHeight w:val="487" w:hRule="exact"/>
        </w:trPr>
        <w:tc>
          <w:tcPr>
            <w:tcW w:w="1315" w:type="dxa"/>
            <w:tcBorders>
              <w:top w:val="single" w:sz="12" w:space="0" w:color="000000"/>
              <w:left w:val="nil" w:sz="6" w:space="0" w:color="auto"/>
              <w:bottom w:val="single" w:sz="4" w:space="0" w:color="000000"/>
              <w:right w:val="nil" w:sz="6" w:space="0" w:color="auto"/>
            </w:tcBorders>
          </w:tcPr>
          <w:p>
            <w:pPr>
              <w:pStyle w:val="TableParagraph"/>
              <w:spacing w:line="240" w:lineRule="auto" w:before="87"/>
              <w:ind w:left="261" w:right="0"/>
              <w:jc w:val="left"/>
              <w:rPr>
                <w:rFonts w:ascii="宋体" w:hAnsi="宋体" w:cs="宋体" w:eastAsia="宋体" w:hint="default"/>
                <w:sz w:val="18"/>
                <w:szCs w:val="18"/>
              </w:rPr>
            </w:pPr>
            <w:r>
              <w:rPr>
                <w:rFonts w:ascii="宋体" w:hAnsi="宋体" w:cs="宋体" w:eastAsia="宋体" w:hint="default"/>
                <w:b/>
                <w:bCs/>
                <w:sz w:val="18"/>
                <w:szCs w:val="18"/>
              </w:rPr>
              <w:t>出租方名称</w:t>
            </w:r>
            <w:r>
              <w:rPr>
                <w:rFonts w:ascii="宋体" w:hAnsi="宋体" w:cs="宋体" w:eastAsia="宋体" w:hint="default"/>
                <w:sz w:val="18"/>
                <w:szCs w:val="18"/>
              </w:rPr>
            </w:r>
          </w:p>
        </w:tc>
        <w:tc>
          <w:tcPr>
            <w:tcW w:w="2625" w:type="dxa"/>
            <w:tcBorders>
              <w:top w:val="single" w:sz="12" w:space="0" w:color="000000"/>
              <w:left w:val="nil" w:sz="6" w:space="0" w:color="auto"/>
              <w:bottom w:val="single" w:sz="4" w:space="0" w:color="000000"/>
              <w:right w:val="nil" w:sz="6" w:space="0" w:color="auto"/>
            </w:tcBorders>
          </w:tcPr>
          <w:p>
            <w:pPr>
              <w:pStyle w:val="TableParagraph"/>
              <w:spacing w:line="240" w:lineRule="auto" w:before="87"/>
              <w:ind w:left="929" w:right="0"/>
              <w:jc w:val="left"/>
              <w:rPr>
                <w:rFonts w:ascii="宋体" w:hAnsi="宋体" w:cs="宋体" w:eastAsia="宋体" w:hint="default"/>
                <w:sz w:val="18"/>
                <w:szCs w:val="18"/>
              </w:rPr>
            </w:pPr>
            <w:r>
              <w:rPr>
                <w:rFonts w:ascii="宋体" w:hAnsi="宋体" w:cs="宋体" w:eastAsia="宋体" w:hint="default"/>
                <w:b/>
                <w:bCs/>
                <w:sz w:val="18"/>
                <w:szCs w:val="18"/>
              </w:rPr>
              <w:t>承租方名称</w:t>
            </w:r>
            <w:r>
              <w:rPr>
                <w:rFonts w:ascii="宋体" w:hAnsi="宋体" w:cs="宋体" w:eastAsia="宋体" w:hint="default"/>
                <w:sz w:val="18"/>
                <w:szCs w:val="18"/>
              </w:rPr>
            </w:r>
          </w:p>
        </w:tc>
        <w:tc>
          <w:tcPr>
            <w:tcW w:w="1760" w:type="dxa"/>
            <w:tcBorders>
              <w:top w:val="single" w:sz="12" w:space="0" w:color="000000"/>
              <w:left w:val="nil" w:sz="6" w:space="0" w:color="auto"/>
              <w:bottom w:val="single" w:sz="4" w:space="0" w:color="000000"/>
              <w:right w:val="nil" w:sz="6" w:space="0" w:color="auto"/>
            </w:tcBorders>
          </w:tcPr>
          <w:p>
            <w:pPr>
              <w:pStyle w:val="TableParagraph"/>
              <w:spacing w:line="240" w:lineRule="auto" w:before="87"/>
              <w:ind w:left="124" w:right="0"/>
              <w:jc w:val="center"/>
              <w:rPr>
                <w:rFonts w:ascii="宋体" w:hAnsi="宋体" w:cs="宋体" w:eastAsia="宋体" w:hint="default"/>
                <w:sz w:val="18"/>
                <w:szCs w:val="18"/>
              </w:rPr>
            </w:pPr>
            <w:r>
              <w:rPr>
                <w:rFonts w:ascii="宋体" w:hAnsi="宋体" w:cs="宋体" w:eastAsia="宋体" w:hint="default"/>
                <w:b/>
                <w:bCs/>
                <w:sz w:val="18"/>
                <w:szCs w:val="18"/>
              </w:rPr>
              <w:t>租赁资产种类</w:t>
            </w:r>
            <w:r>
              <w:rPr>
                <w:rFonts w:ascii="宋体" w:hAnsi="宋体" w:cs="宋体" w:eastAsia="宋体" w:hint="default"/>
                <w:sz w:val="18"/>
                <w:szCs w:val="18"/>
              </w:rPr>
            </w:r>
          </w:p>
        </w:tc>
        <w:tc>
          <w:tcPr>
            <w:tcW w:w="1555" w:type="dxa"/>
            <w:tcBorders>
              <w:top w:val="single" w:sz="12" w:space="0" w:color="000000"/>
              <w:left w:val="nil" w:sz="6" w:space="0" w:color="auto"/>
              <w:bottom w:val="single" w:sz="4" w:space="0" w:color="000000"/>
              <w:right w:val="nil" w:sz="6" w:space="0" w:color="auto"/>
            </w:tcBorders>
          </w:tcPr>
          <w:p>
            <w:pPr>
              <w:pStyle w:val="TableParagraph"/>
              <w:spacing w:line="205" w:lineRule="exact"/>
              <w:ind w:left="81" w:right="0"/>
              <w:jc w:val="center"/>
              <w:rPr>
                <w:rFonts w:ascii="宋体" w:hAnsi="宋体" w:cs="宋体" w:eastAsia="宋体" w:hint="default"/>
                <w:sz w:val="18"/>
                <w:szCs w:val="18"/>
              </w:rPr>
            </w:pPr>
            <w:r>
              <w:rPr>
                <w:rFonts w:ascii="宋体" w:hAnsi="宋体" w:cs="宋体" w:eastAsia="宋体" w:hint="default"/>
                <w:b/>
                <w:bCs/>
                <w:sz w:val="18"/>
                <w:szCs w:val="18"/>
              </w:rPr>
              <w:t>本年确认的租赁</w:t>
            </w:r>
            <w:r>
              <w:rPr>
                <w:rFonts w:ascii="宋体" w:hAnsi="宋体" w:cs="宋体" w:eastAsia="宋体" w:hint="default"/>
                <w:sz w:val="18"/>
                <w:szCs w:val="18"/>
              </w:rPr>
            </w:r>
          </w:p>
          <w:p>
            <w:pPr>
              <w:pStyle w:val="TableParagraph"/>
              <w:spacing w:line="240" w:lineRule="auto"/>
              <w:ind w:left="82" w:right="0"/>
              <w:jc w:val="center"/>
              <w:rPr>
                <w:rFonts w:ascii="宋体" w:hAnsi="宋体" w:cs="宋体" w:eastAsia="宋体" w:hint="default"/>
                <w:sz w:val="18"/>
                <w:szCs w:val="18"/>
              </w:rPr>
            </w:pPr>
            <w:r>
              <w:rPr>
                <w:rFonts w:ascii="宋体" w:hAnsi="宋体" w:cs="宋体" w:eastAsia="宋体" w:hint="default"/>
                <w:b/>
                <w:bCs/>
                <w:w w:val="99"/>
                <w:sz w:val="18"/>
                <w:szCs w:val="18"/>
              </w:rPr>
              <w:t>费</w:t>
            </w:r>
            <w:r>
              <w:rPr>
                <w:rFonts w:ascii="宋体" w:hAnsi="宋体" w:cs="宋体" w:eastAsia="宋体" w:hint="default"/>
                <w:sz w:val="18"/>
                <w:szCs w:val="18"/>
              </w:rPr>
            </w:r>
          </w:p>
        </w:tc>
        <w:tc>
          <w:tcPr>
            <w:tcW w:w="1382" w:type="dxa"/>
            <w:tcBorders>
              <w:top w:val="single" w:sz="12" w:space="0" w:color="000000"/>
              <w:left w:val="nil" w:sz="6" w:space="0" w:color="auto"/>
              <w:bottom w:val="single" w:sz="4" w:space="0" w:color="000000"/>
              <w:right w:val="nil" w:sz="6" w:space="0" w:color="auto"/>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b/>
                <w:bCs/>
                <w:sz w:val="18"/>
                <w:szCs w:val="18"/>
              </w:rPr>
              <w:t>上年确认的租赁</w:t>
            </w:r>
            <w:r>
              <w:rPr>
                <w:rFonts w:ascii="宋体" w:hAnsi="宋体" w:cs="宋体" w:eastAsia="宋体" w:hint="default"/>
                <w:sz w:val="18"/>
                <w:szCs w:val="18"/>
              </w:rPr>
            </w: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w w:val="99"/>
                <w:sz w:val="18"/>
                <w:szCs w:val="18"/>
              </w:rPr>
              <w:t>费</w:t>
            </w:r>
            <w:r>
              <w:rPr>
                <w:rFonts w:ascii="宋体" w:hAnsi="宋体" w:cs="宋体" w:eastAsia="宋体" w:hint="default"/>
                <w:sz w:val="18"/>
                <w:szCs w:val="18"/>
              </w:rPr>
            </w:r>
          </w:p>
        </w:tc>
      </w:tr>
      <w:tr>
        <w:trPr>
          <w:trHeight w:val="323" w:hRule="exact"/>
        </w:trPr>
        <w:tc>
          <w:tcPr>
            <w:tcW w:w="1315"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71"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2625"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51" w:right="0"/>
              <w:jc w:val="left"/>
              <w:rPr>
                <w:rFonts w:ascii="宋体" w:hAnsi="宋体" w:cs="宋体" w:eastAsia="宋体" w:hint="default"/>
                <w:sz w:val="18"/>
                <w:szCs w:val="18"/>
              </w:rPr>
            </w:pPr>
            <w:r>
              <w:rPr>
                <w:rFonts w:ascii="宋体" w:hAnsi="宋体" w:cs="宋体" w:eastAsia="宋体" w:hint="default"/>
                <w:sz w:val="18"/>
                <w:szCs w:val="18"/>
              </w:rPr>
              <w:t>同方威视技术股份有限公司</w:t>
            </w:r>
          </w:p>
        </w:tc>
        <w:tc>
          <w:tcPr>
            <w:tcW w:w="1760"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27" w:right="0"/>
              <w:jc w:val="center"/>
              <w:rPr>
                <w:rFonts w:ascii="宋体" w:hAnsi="宋体" w:cs="宋体" w:eastAsia="宋体" w:hint="default"/>
                <w:sz w:val="18"/>
                <w:szCs w:val="18"/>
              </w:rPr>
            </w:pPr>
            <w:r>
              <w:rPr>
                <w:rFonts w:ascii="宋体" w:hAnsi="宋体" w:cs="宋体" w:eastAsia="宋体" w:hint="default"/>
                <w:sz w:val="18"/>
                <w:szCs w:val="18"/>
              </w:rPr>
              <w:t>租赁办公区租金</w:t>
            </w:r>
          </w:p>
        </w:tc>
        <w:tc>
          <w:tcPr>
            <w:tcW w:w="1555"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55"/>
              <w:jc w:val="right"/>
              <w:rPr>
                <w:rFonts w:ascii="Times New Roman" w:hAnsi="Times New Roman" w:cs="Times New Roman" w:eastAsia="Times New Roman" w:hint="default"/>
                <w:sz w:val="18"/>
                <w:szCs w:val="18"/>
              </w:rPr>
            </w:pPr>
            <w:r>
              <w:rPr>
                <w:rFonts w:ascii="Times New Roman"/>
                <w:spacing w:val="-1"/>
                <w:sz w:val="18"/>
              </w:rPr>
              <w:t>132,815.52</w:t>
            </w:r>
          </w:p>
        </w:tc>
        <w:tc>
          <w:tcPr>
            <w:tcW w:w="1382"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52"/>
              <w:jc w:val="right"/>
              <w:rPr>
                <w:rFonts w:ascii="Times New Roman" w:hAnsi="Times New Roman" w:cs="Times New Roman" w:eastAsia="Times New Roman" w:hint="default"/>
                <w:sz w:val="18"/>
                <w:szCs w:val="18"/>
              </w:rPr>
            </w:pPr>
            <w:r>
              <w:rPr>
                <w:rFonts w:ascii="Times New Roman"/>
                <w:spacing w:val="-1"/>
                <w:sz w:val="18"/>
              </w:rPr>
              <w:t>187,671.56</w:t>
            </w:r>
          </w:p>
        </w:tc>
      </w:tr>
      <w:tr>
        <w:trPr>
          <w:trHeight w:val="255" w:hRule="exact"/>
        </w:trPr>
        <w:tc>
          <w:tcPr>
            <w:tcW w:w="1315" w:type="dxa"/>
            <w:tcBorders>
              <w:top w:val="nil" w:sz="6" w:space="0" w:color="auto"/>
              <w:left w:val="nil" w:sz="6" w:space="0" w:color="auto"/>
              <w:bottom w:val="single" w:sz="4" w:space="0" w:color="000000"/>
              <w:right w:val="nil" w:sz="6" w:space="0" w:color="auto"/>
            </w:tcBorders>
          </w:tcPr>
          <w:p>
            <w:pPr>
              <w:pStyle w:val="TableParagraph"/>
              <w:spacing w:line="223" w:lineRule="exact"/>
              <w:ind w:left="71"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2625" w:type="dxa"/>
            <w:tcBorders>
              <w:top w:val="nil" w:sz="6" w:space="0" w:color="auto"/>
              <w:left w:val="nil" w:sz="6" w:space="0" w:color="auto"/>
              <w:bottom w:val="single" w:sz="4" w:space="0" w:color="000000"/>
              <w:right w:val="nil" w:sz="6" w:space="0" w:color="auto"/>
            </w:tcBorders>
          </w:tcPr>
          <w:p>
            <w:pPr>
              <w:pStyle w:val="TableParagraph"/>
              <w:spacing w:line="223" w:lineRule="exact"/>
              <w:ind w:left="151" w:right="0"/>
              <w:jc w:val="left"/>
              <w:rPr>
                <w:rFonts w:ascii="宋体" w:hAnsi="宋体" w:cs="宋体" w:eastAsia="宋体" w:hint="default"/>
                <w:sz w:val="18"/>
                <w:szCs w:val="18"/>
              </w:rPr>
            </w:pPr>
            <w:r>
              <w:rPr>
                <w:rFonts w:ascii="宋体" w:hAnsi="宋体" w:cs="宋体" w:eastAsia="宋体" w:hint="default"/>
                <w:sz w:val="18"/>
                <w:szCs w:val="18"/>
              </w:rPr>
              <w:t>同方国芯电子股份有限公司</w:t>
            </w:r>
          </w:p>
        </w:tc>
        <w:tc>
          <w:tcPr>
            <w:tcW w:w="1760" w:type="dxa"/>
            <w:tcBorders>
              <w:top w:val="nil" w:sz="6" w:space="0" w:color="auto"/>
              <w:left w:val="nil" w:sz="6" w:space="0" w:color="auto"/>
              <w:bottom w:val="single" w:sz="4" w:space="0" w:color="000000"/>
              <w:right w:val="nil" w:sz="6" w:space="0" w:color="auto"/>
            </w:tcBorders>
          </w:tcPr>
          <w:p>
            <w:pPr>
              <w:pStyle w:val="TableParagraph"/>
              <w:spacing w:line="223" w:lineRule="exact"/>
              <w:ind w:left="128" w:right="0"/>
              <w:jc w:val="center"/>
              <w:rPr>
                <w:rFonts w:ascii="宋体" w:hAnsi="宋体" w:cs="宋体" w:eastAsia="宋体" w:hint="default"/>
                <w:sz w:val="18"/>
                <w:szCs w:val="18"/>
              </w:rPr>
            </w:pPr>
            <w:r>
              <w:rPr>
                <w:rFonts w:ascii="宋体" w:hAnsi="宋体" w:cs="宋体" w:eastAsia="宋体" w:hint="default"/>
                <w:sz w:val="18"/>
                <w:szCs w:val="18"/>
              </w:rPr>
              <w:t>会场会务费</w:t>
            </w:r>
          </w:p>
        </w:tc>
        <w:tc>
          <w:tcPr>
            <w:tcW w:w="155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56"/>
              <w:jc w:val="right"/>
              <w:rPr>
                <w:rFonts w:ascii="Times New Roman" w:hAnsi="Times New Roman" w:cs="Times New Roman" w:eastAsia="Times New Roman" w:hint="default"/>
                <w:sz w:val="18"/>
                <w:szCs w:val="18"/>
              </w:rPr>
            </w:pPr>
            <w:r>
              <w:rPr>
                <w:rFonts w:ascii="Times New Roman"/>
                <w:spacing w:val="-1"/>
                <w:sz w:val="18"/>
              </w:rPr>
              <w:t>100,000.00</w:t>
            </w:r>
          </w:p>
        </w:tc>
        <w:tc>
          <w:tcPr>
            <w:tcW w:w="1382"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55"/>
              <w:jc w:val="right"/>
              <w:rPr>
                <w:rFonts w:ascii="Times New Roman" w:hAnsi="Times New Roman" w:cs="Times New Roman" w:eastAsia="Times New Roman" w:hint="default"/>
                <w:sz w:val="18"/>
                <w:szCs w:val="18"/>
              </w:rPr>
            </w:pPr>
            <w:r>
              <w:rPr>
                <w:rFonts w:ascii="Times New Roman"/>
                <w:spacing w:val="-1"/>
                <w:sz w:val="18"/>
              </w:rPr>
              <w:t>30,000.00</w:t>
            </w:r>
          </w:p>
        </w:tc>
      </w:tr>
      <w:tr>
        <w:trPr>
          <w:trHeight w:val="307" w:hRule="exact"/>
        </w:trPr>
        <w:tc>
          <w:tcPr>
            <w:tcW w:w="1315" w:type="dxa"/>
            <w:tcBorders>
              <w:top w:val="single" w:sz="4" w:space="0" w:color="000000"/>
              <w:left w:val="nil" w:sz="6" w:space="0" w:color="auto"/>
              <w:bottom w:val="single" w:sz="12" w:space="0" w:color="000000"/>
              <w:right w:val="nil" w:sz="6" w:space="0" w:color="auto"/>
            </w:tcBorders>
          </w:tcPr>
          <w:p>
            <w:pPr>
              <w:pStyle w:val="TableParagraph"/>
              <w:spacing w:line="256" w:lineRule="exact"/>
              <w:ind w:left="7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625" w:type="dxa"/>
            <w:tcBorders>
              <w:top w:val="single" w:sz="4" w:space="0" w:color="000000"/>
              <w:left w:val="nil" w:sz="6" w:space="0" w:color="auto"/>
              <w:bottom w:val="single" w:sz="12" w:space="0" w:color="000000"/>
              <w:right w:val="nil" w:sz="6" w:space="0" w:color="auto"/>
            </w:tcBorders>
          </w:tcPr>
          <w:p>
            <w:pPr/>
          </w:p>
        </w:tc>
        <w:tc>
          <w:tcPr>
            <w:tcW w:w="1760" w:type="dxa"/>
            <w:tcBorders>
              <w:top w:val="single" w:sz="4" w:space="0" w:color="000000"/>
              <w:left w:val="nil" w:sz="6" w:space="0" w:color="auto"/>
              <w:bottom w:val="single" w:sz="12" w:space="0" w:color="000000"/>
              <w:right w:val="nil" w:sz="6" w:space="0" w:color="auto"/>
            </w:tcBorders>
          </w:tcPr>
          <w:p>
            <w:pPr/>
          </w:p>
        </w:tc>
        <w:tc>
          <w:tcPr>
            <w:tcW w:w="155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56"/>
              <w:jc w:val="right"/>
              <w:rPr>
                <w:rFonts w:ascii="Times New Roman" w:hAnsi="Times New Roman" w:cs="Times New Roman" w:eastAsia="Times New Roman" w:hint="default"/>
                <w:sz w:val="18"/>
                <w:szCs w:val="18"/>
              </w:rPr>
            </w:pPr>
            <w:r>
              <w:rPr>
                <w:rFonts w:ascii="Times New Roman"/>
                <w:b/>
                <w:spacing w:val="-1"/>
                <w:sz w:val="18"/>
              </w:rPr>
              <w:t>232,815.52</w:t>
            </w:r>
            <w:r>
              <w:rPr>
                <w:rFonts w:ascii="Times New Roman"/>
                <w:spacing w:val="-1"/>
                <w:sz w:val="18"/>
              </w:rPr>
            </w:r>
          </w:p>
        </w:tc>
        <w:tc>
          <w:tcPr>
            <w:tcW w:w="138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52"/>
              <w:jc w:val="right"/>
              <w:rPr>
                <w:rFonts w:ascii="Times New Roman" w:hAnsi="Times New Roman" w:cs="Times New Roman" w:eastAsia="Times New Roman" w:hint="default"/>
                <w:sz w:val="18"/>
                <w:szCs w:val="18"/>
              </w:rPr>
            </w:pPr>
            <w:r>
              <w:rPr>
                <w:rFonts w:ascii="Times New Roman"/>
                <w:b/>
                <w:spacing w:val="-1"/>
                <w:sz w:val="18"/>
              </w:rPr>
              <w:t>217,671.56</w:t>
            </w:r>
            <w:r>
              <w:rPr>
                <w:rFonts w:ascii="Times New Roman"/>
                <w:spacing w:val="-1"/>
                <w:sz w:val="18"/>
              </w:rPr>
            </w:r>
          </w:p>
        </w:tc>
      </w:tr>
    </w:tbl>
    <w:p>
      <w:pPr>
        <w:spacing w:before="81"/>
        <w:ind w:left="675" w:right="44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  </w:t>
      </w:r>
      <w:r>
        <w:rPr>
          <w:rFonts w:ascii="Times New Roman" w:hAnsi="Times New Roman" w:cs="Times New Roman" w:eastAsia="Times New Roman" w:hint="default"/>
          <w:b/>
          <w:bCs/>
          <w:spacing w:val="17"/>
          <w:sz w:val="22"/>
          <w:szCs w:val="22"/>
        </w:rPr>
        <w:t> </w:t>
      </w:r>
      <w:r>
        <w:rPr>
          <w:rFonts w:ascii="宋体" w:hAnsi="宋体" w:cs="宋体" w:eastAsia="宋体" w:hint="default"/>
          <w:sz w:val="22"/>
          <w:szCs w:val="22"/>
        </w:rPr>
        <w:t>关联担保情况</w:t>
      </w:r>
    </w:p>
    <w:p>
      <w:pPr>
        <w:spacing w:before="111"/>
        <w:ind w:left="675" w:right="44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28"/>
          <w:sz w:val="22"/>
          <w:szCs w:val="22"/>
        </w:rPr>
        <w:t> </w:t>
      </w:r>
      <w:r>
        <w:rPr>
          <w:rFonts w:ascii="宋体" w:hAnsi="宋体" w:cs="宋体" w:eastAsia="宋体" w:hint="default"/>
          <w:sz w:val="22"/>
          <w:szCs w:val="22"/>
        </w:rPr>
        <w:t>公司法人实体为控股子公司提供担保</w:t>
      </w:r>
    </w:p>
    <w:p>
      <w:pPr>
        <w:spacing w:line="280" w:lineRule="auto" w:before="113"/>
        <w:ind w:left="222" w:right="447" w:firstLine="439"/>
        <w:jc w:val="left"/>
        <w:rPr>
          <w:rFonts w:ascii="宋体" w:hAnsi="宋体" w:cs="宋体" w:eastAsia="宋体" w:hint="default"/>
          <w:sz w:val="22"/>
          <w:szCs w:val="22"/>
        </w:rPr>
      </w:pPr>
      <w:r>
        <w:rPr>
          <w:rFonts w:ascii="宋体" w:hAnsi="宋体" w:cs="宋体" w:eastAsia="宋体" w:hint="default"/>
          <w:sz w:val="22"/>
          <w:szCs w:val="22"/>
        </w:rPr>
        <w:t>截至</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日公司以保证方式为下列子公司的银行借款、信用证、银行承</w:t>
      </w:r>
      <w:r>
        <w:rPr>
          <w:rFonts w:ascii="宋体" w:hAnsi="宋体" w:cs="宋体" w:eastAsia="宋体" w:hint="default"/>
          <w:w w:val="100"/>
          <w:sz w:val="22"/>
          <w:szCs w:val="22"/>
        </w:rPr>
        <w:t> </w:t>
      </w:r>
      <w:r>
        <w:rPr>
          <w:rFonts w:ascii="宋体" w:hAnsi="宋体" w:cs="宋体" w:eastAsia="宋体" w:hint="default"/>
          <w:sz w:val="22"/>
          <w:szCs w:val="22"/>
        </w:rPr>
        <w:t>兑汇票和保函提供连带责任担保：</w:t>
      </w:r>
    </w:p>
    <w:p>
      <w:pPr>
        <w:tabs>
          <w:tab w:pos="453" w:val="left" w:leader="none"/>
        </w:tabs>
        <w:spacing w:before="90"/>
        <w:ind w:left="0" w:right="6275" w:firstLine="0"/>
        <w:jc w:val="center"/>
        <w:rPr>
          <w:rFonts w:ascii="宋体" w:hAnsi="宋体" w:cs="宋体" w:eastAsia="宋体" w:hint="default"/>
          <w:sz w:val="22"/>
          <w:szCs w:val="22"/>
        </w:rPr>
      </w:pPr>
      <w:r>
        <w:rPr>
          <w:rFonts w:ascii="Times New Roman" w:hAnsi="Times New Roman" w:cs="Times New Roman" w:eastAsia="Times New Roman" w:hint="default"/>
          <w:b/>
          <w:bCs/>
          <w:sz w:val="22"/>
          <w:szCs w:val="22"/>
        </w:rPr>
        <w:t>1)</w:t>
        <w:tab/>
      </w:r>
      <w:r>
        <w:rPr>
          <w:rFonts w:ascii="宋体" w:hAnsi="宋体" w:cs="宋体" w:eastAsia="宋体" w:hint="default"/>
          <w:sz w:val="22"/>
          <w:szCs w:val="22"/>
        </w:rPr>
        <w:t>借款担保</w:t>
      </w:r>
    </w:p>
    <w:p>
      <w:pPr>
        <w:spacing w:before="113"/>
        <w:ind w:left="930" w:right="447"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a</w:t>
      </w:r>
      <w:r>
        <w:rPr>
          <w:rFonts w:ascii="宋体" w:hAnsi="宋体" w:cs="宋体" w:eastAsia="宋体" w:hint="default"/>
          <w:sz w:val="22"/>
          <w:szCs w:val="22"/>
        </w:rPr>
        <w:t>）</w:t>
      </w:r>
      <w:r>
        <w:rPr>
          <w:rFonts w:ascii="宋体" w:hAnsi="宋体" w:cs="宋体" w:eastAsia="宋体" w:hint="default"/>
          <w:spacing w:val="-62"/>
          <w:sz w:val="22"/>
          <w:szCs w:val="22"/>
        </w:rPr>
        <w:t> </w:t>
      </w:r>
      <w:r>
        <w:rPr>
          <w:rFonts w:ascii="宋体" w:hAnsi="宋体" w:cs="宋体" w:eastAsia="宋体" w:hint="default"/>
          <w:sz w:val="22"/>
          <w:szCs w:val="22"/>
        </w:rPr>
        <w:t>一般借款（流动资金借款、长期借款）担保</w:t>
      </w:r>
    </w:p>
    <w:p>
      <w:pPr>
        <w:spacing w:line="240" w:lineRule="auto" w:before="5"/>
        <w:rPr>
          <w:rFonts w:ascii="宋体" w:hAnsi="宋体" w:cs="宋体" w:eastAsia="宋体" w:hint="default"/>
          <w:sz w:val="11"/>
          <w:szCs w:val="11"/>
        </w:rPr>
      </w:pPr>
    </w:p>
    <w:tbl>
      <w:tblPr>
        <w:tblW w:w="0" w:type="auto"/>
        <w:jc w:val="left"/>
        <w:tblInd w:w="193" w:type="dxa"/>
        <w:tblLayout w:type="fixed"/>
        <w:tblCellMar>
          <w:top w:w="0" w:type="dxa"/>
          <w:left w:w="0" w:type="dxa"/>
          <w:bottom w:w="0" w:type="dxa"/>
          <w:right w:w="0" w:type="dxa"/>
        </w:tblCellMar>
        <w:tblLook w:val="01E0"/>
      </w:tblPr>
      <w:tblGrid>
        <w:gridCol w:w="1296"/>
        <w:gridCol w:w="1941"/>
        <w:gridCol w:w="1728"/>
        <w:gridCol w:w="1740"/>
        <w:gridCol w:w="1861"/>
      </w:tblGrid>
      <w:tr>
        <w:trPr>
          <w:trHeight w:val="307" w:hRule="exact"/>
        </w:trPr>
        <w:tc>
          <w:tcPr>
            <w:tcW w:w="1296"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319" w:right="0"/>
              <w:jc w:val="left"/>
              <w:rPr>
                <w:rFonts w:ascii="宋体" w:hAnsi="宋体" w:cs="宋体" w:eastAsia="宋体" w:hint="default"/>
                <w:sz w:val="16"/>
                <w:szCs w:val="16"/>
              </w:rPr>
            </w:pPr>
            <w:r>
              <w:rPr>
                <w:rFonts w:ascii="宋体" w:hAnsi="宋体" w:cs="宋体" w:eastAsia="宋体" w:hint="default"/>
                <w:b/>
                <w:bCs/>
                <w:sz w:val="16"/>
                <w:szCs w:val="16"/>
              </w:rPr>
              <w:t>子公司名称</w:t>
            </w:r>
            <w:r>
              <w:rPr>
                <w:rFonts w:ascii="宋体" w:hAnsi="宋体" w:cs="宋体" w:eastAsia="宋体" w:hint="default"/>
                <w:sz w:val="16"/>
                <w:szCs w:val="16"/>
              </w:rPr>
            </w:r>
          </w:p>
        </w:tc>
        <w:tc>
          <w:tcPr>
            <w:tcW w:w="1941"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727" w:right="0"/>
              <w:jc w:val="left"/>
              <w:rPr>
                <w:rFonts w:ascii="宋体" w:hAnsi="宋体" w:cs="宋体" w:eastAsia="宋体" w:hint="default"/>
                <w:sz w:val="16"/>
                <w:szCs w:val="16"/>
              </w:rPr>
            </w:pPr>
            <w:r>
              <w:rPr>
                <w:rFonts w:ascii="宋体" w:hAnsi="宋体" w:cs="宋体" w:eastAsia="宋体" w:hint="default"/>
                <w:b/>
                <w:bCs/>
                <w:sz w:val="16"/>
                <w:szCs w:val="16"/>
              </w:rPr>
              <w:t>贷款银行</w:t>
            </w:r>
            <w:r>
              <w:rPr>
                <w:rFonts w:ascii="宋体" w:hAnsi="宋体" w:cs="宋体" w:eastAsia="宋体" w:hint="default"/>
                <w:sz w:val="16"/>
                <w:szCs w:val="16"/>
              </w:rPr>
            </w:r>
          </w:p>
        </w:tc>
        <w:tc>
          <w:tcPr>
            <w:tcW w:w="1728"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522" w:right="0"/>
              <w:jc w:val="left"/>
              <w:rPr>
                <w:rFonts w:ascii="宋体" w:hAnsi="宋体" w:cs="宋体" w:eastAsia="宋体" w:hint="default"/>
                <w:sz w:val="16"/>
                <w:szCs w:val="16"/>
              </w:rPr>
            </w:pPr>
            <w:r>
              <w:rPr>
                <w:rFonts w:ascii="宋体" w:hAnsi="宋体" w:cs="宋体" w:eastAsia="宋体" w:hint="default"/>
                <w:b/>
                <w:bCs/>
                <w:sz w:val="16"/>
                <w:szCs w:val="16"/>
              </w:rPr>
              <w:t>贷款金额</w:t>
            </w:r>
            <w:r>
              <w:rPr>
                <w:rFonts w:ascii="宋体" w:hAnsi="宋体" w:cs="宋体" w:eastAsia="宋体" w:hint="default"/>
                <w:sz w:val="16"/>
                <w:szCs w:val="16"/>
              </w:rPr>
            </w:r>
          </w:p>
        </w:tc>
        <w:tc>
          <w:tcPr>
            <w:tcW w:w="1740"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86"/>
              <w:jc w:val="center"/>
              <w:rPr>
                <w:rFonts w:ascii="宋体" w:hAnsi="宋体" w:cs="宋体" w:eastAsia="宋体" w:hint="default"/>
                <w:sz w:val="16"/>
                <w:szCs w:val="16"/>
              </w:rPr>
            </w:pPr>
            <w:r>
              <w:rPr>
                <w:rFonts w:ascii="宋体" w:hAnsi="宋体" w:cs="宋体" w:eastAsia="宋体" w:hint="default"/>
                <w:b/>
                <w:bCs/>
                <w:sz w:val="16"/>
                <w:szCs w:val="16"/>
              </w:rPr>
              <w:t>贷款期限</w:t>
            </w:r>
            <w:r>
              <w:rPr>
                <w:rFonts w:ascii="宋体" w:hAnsi="宋体" w:cs="宋体" w:eastAsia="宋体" w:hint="default"/>
                <w:sz w:val="16"/>
                <w:szCs w:val="16"/>
              </w:rPr>
            </w:r>
          </w:p>
        </w:tc>
        <w:tc>
          <w:tcPr>
            <w:tcW w:w="1861"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33"/>
              <w:jc w:val="center"/>
              <w:rPr>
                <w:rFonts w:ascii="宋体" w:hAnsi="宋体" w:cs="宋体" w:eastAsia="宋体" w:hint="default"/>
                <w:sz w:val="16"/>
                <w:szCs w:val="16"/>
              </w:rPr>
            </w:pPr>
            <w:r>
              <w:rPr>
                <w:rFonts w:ascii="宋体" w:hAnsi="宋体" w:cs="宋体" w:eastAsia="宋体" w:hint="default"/>
                <w:b/>
                <w:bCs/>
                <w:sz w:val="16"/>
                <w:szCs w:val="16"/>
              </w:rPr>
              <w:t>保证期间</w:t>
            </w:r>
            <w:r>
              <w:rPr>
                <w:rFonts w:ascii="宋体" w:hAnsi="宋体" w:cs="宋体" w:eastAsia="宋体" w:hint="default"/>
                <w:sz w:val="16"/>
                <w:szCs w:val="16"/>
              </w:rPr>
            </w:r>
          </w:p>
        </w:tc>
      </w:tr>
      <w:tr>
        <w:trPr>
          <w:trHeight w:val="305" w:hRule="exact"/>
        </w:trPr>
        <w:tc>
          <w:tcPr>
            <w:tcW w:w="1296" w:type="dxa"/>
            <w:tcBorders>
              <w:top w:val="single" w:sz="4" w:space="0" w:color="000000"/>
              <w:left w:val="nil" w:sz="6" w:space="0" w:color="auto"/>
              <w:bottom w:val="single" w:sz="12" w:space="0" w:color="000000"/>
              <w:right w:val="nil" w:sz="6" w:space="0" w:color="auto"/>
            </w:tcBorders>
          </w:tcPr>
          <w:p>
            <w:pPr>
              <w:pStyle w:val="TableParagraph"/>
              <w:spacing w:line="240" w:lineRule="auto" w:before="45"/>
              <w:ind w:left="28" w:right="0"/>
              <w:jc w:val="left"/>
              <w:rPr>
                <w:rFonts w:ascii="Times New Roman" w:hAnsi="Times New Roman" w:cs="Times New Roman" w:eastAsia="Times New Roman" w:hint="default"/>
                <w:sz w:val="16"/>
                <w:szCs w:val="16"/>
              </w:rPr>
            </w:pPr>
            <w:r>
              <w:rPr>
                <w:rFonts w:ascii="Times New Roman"/>
                <w:sz w:val="16"/>
              </w:rPr>
              <w:t>Resuccess</w:t>
            </w:r>
          </w:p>
        </w:tc>
        <w:tc>
          <w:tcPr>
            <w:tcW w:w="1941" w:type="dxa"/>
            <w:tcBorders>
              <w:top w:val="single" w:sz="4" w:space="0" w:color="000000"/>
              <w:left w:val="nil" w:sz="6" w:space="0" w:color="auto"/>
              <w:bottom w:val="single" w:sz="12" w:space="0" w:color="000000"/>
              <w:right w:val="nil" w:sz="6" w:space="0" w:color="auto"/>
            </w:tcBorders>
          </w:tcPr>
          <w:p>
            <w:pPr>
              <w:pStyle w:val="TableParagraph"/>
              <w:spacing w:line="240" w:lineRule="auto" w:before="12"/>
              <w:ind w:left="172" w:right="0"/>
              <w:jc w:val="left"/>
              <w:rPr>
                <w:rFonts w:ascii="宋体" w:hAnsi="宋体" w:cs="宋体" w:eastAsia="宋体" w:hint="default"/>
                <w:sz w:val="16"/>
                <w:szCs w:val="16"/>
              </w:rPr>
            </w:pPr>
            <w:r>
              <w:rPr>
                <w:rFonts w:ascii="宋体" w:hAnsi="宋体" w:cs="宋体" w:eastAsia="宋体" w:hint="default"/>
                <w:sz w:val="16"/>
                <w:szCs w:val="16"/>
              </w:rPr>
              <w:t>中国银行澳门分行</w:t>
            </w:r>
          </w:p>
        </w:tc>
        <w:tc>
          <w:tcPr>
            <w:tcW w:w="1728" w:type="dxa"/>
            <w:tcBorders>
              <w:top w:val="single" w:sz="4" w:space="0" w:color="000000"/>
              <w:left w:val="nil" w:sz="6" w:space="0" w:color="auto"/>
              <w:bottom w:val="single" w:sz="12" w:space="0" w:color="000000"/>
              <w:right w:val="nil" w:sz="6" w:space="0" w:color="auto"/>
            </w:tcBorders>
          </w:tcPr>
          <w:p>
            <w:pPr>
              <w:pStyle w:val="TableParagraph"/>
              <w:spacing w:line="240" w:lineRule="auto" w:before="50"/>
              <w:ind w:left="486"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12,200.00</w:t>
            </w:r>
            <w:r>
              <w:rPr>
                <w:rFonts w:ascii="Times New Roman" w:hAnsi="Times New Roman" w:cs="Times New Roman" w:eastAsia="Times New Roman" w:hint="default"/>
                <w:spacing w:val="-6"/>
                <w:sz w:val="16"/>
                <w:szCs w:val="16"/>
              </w:rPr>
              <w:t> </w:t>
            </w:r>
            <w:r>
              <w:rPr>
                <w:rFonts w:ascii="宋体" w:hAnsi="宋体" w:cs="宋体" w:eastAsia="宋体" w:hint="default"/>
                <w:sz w:val="16"/>
                <w:szCs w:val="16"/>
              </w:rPr>
              <w:t>万美元</w:t>
            </w:r>
          </w:p>
        </w:tc>
        <w:tc>
          <w:tcPr>
            <w:tcW w:w="1740" w:type="dxa"/>
            <w:tcBorders>
              <w:top w:val="single" w:sz="4" w:space="0" w:color="000000"/>
              <w:left w:val="nil" w:sz="6" w:space="0" w:color="auto"/>
              <w:bottom w:val="single" w:sz="12" w:space="0" w:color="000000"/>
              <w:right w:val="nil" w:sz="6" w:space="0" w:color="auto"/>
            </w:tcBorders>
          </w:tcPr>
          <w:p>
            <w:pPr>
              <w:pStyle w:val="TableParagraph"/>
              <w:spacing w:line="240" w:lineRule="auto" w:before="45"/>
              <w:ind w:right="85"/>
              <w:jc w:val="center"/>
              <w:rPr>
                <w:rFonts w:ascii="Times New Roman" w:hAnsi="Times New Roman" w:cs="Times New Roman" w:eastAsia="Times New Roman" w:hint="default"/>
                <w:sz w:val="16"/>
                <w:szCs w:val="16"/>
              </w:rPr>
            </w:pPr>
            <w:r>
              <w:rPr>
                <w:rFonts w:ascii="Times New Roman"/>
                <w:sz w:val="16"/>
              </w:rPr>
              <w:t>2014.07.17-2019.07.16</w:t>
            </w:r>
          </w:p>
        </w:tc>
        <w:tc>
          <w:tcPr>
            <w:tcW w:w="1861" w:type="dxa"/>
            <w:tcBorders>
              <w:top w:val="single" w:sz="4" w:space="0" w:color="000000"/>
              <w:left w:val="nil" w:sz="6" w:space="0" w:color="auto"/>
              <w:bottom w:val="single" w:sz="12" w:space="0" w:color="000000"/>
              <w:right w:val="nil" w:sz="6" w:space="0" w:color="auto"/>
            </w:tcBorders>
          </w:tcPr>
          <w:p>
            <w:pPr>
              <w:pStyle w:val="TableParagraph"/>
              <w:spacing w:line="240" w:lineRule="auto" w:before="45"/>
              <w:ind w:right="32"/>
              <w:jc w:val="center"/>
              <w:rPr>
                <w:rFonts w:ascii="Times New Roman" w:hAnsi="Times New Roman" w:cs="Times New Roman" w:eastAsia="Times New Roman" w:hint="default"/>
                <w:sz w:val="16"/>
                <w:szCs w:val="16"/>
              </w:rPr>
            </w:pPr>
            <w:r>
              <w:rPr>
                <w:rFonts w:ascii="Times New Roman"/>
                <w:sz w:val="16"/>
              </w:rPr>
              <w:t>2014.07.17-2021.07.16</w:t>
            </w:r>
          </w:p>
        </w:tc>
      </w:tr>
    </w:tbl>
    <w:p>
      <w:pPr>
        <w:spacing w:after="0" w:line="240" w:lineRule="auto"/>
        <w:jc w:val="center"/>
        <w:rPr>
          <w:rFonts w:ascii="Times New Roman" w:hAnsi="Times New Roman" w:cs="Times New Roman" w:eastAsia="Times New Roman" w:hint="default"/>
          <w:sz w:val="16"/>
          <w:szCs w:val="16"/>
        </w:rPr>
        <w:sectPr>
          <w:pgSz w:w="11910" w:h="16840"/>
          <w:pgMar w:header="645" w:footer="816" w:top="1080" w:bottom="1000" w:left="1480" w:right="124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1"/>
          <w:szCs w:val="11"/>
        </w:rPr>
      </w:pPr>
    </w:p>
    <w:tbl>
      <w:tblPr>
        <w:tblW w:w="0" w:type="auto"/>
        <w:jc w:val="left"/>
        <w:tblInd w:w="158" w:type="dxa"/>
        <w:tblLayout w:type="fixed"/>
        <w:tblCellMar>
          <w:top w:w="0" w:type="dxa"/>
          <w:left w:w="0" w:type="dxa"/>
          <w:bottom w:w="0" w:type="dxa"/>
          <w:right w:w="0" w:type="dxa"/>
        </w:tblCellMar>
        <w:tblLook w:val="01E0"/>
      </w:tblPr>
      <w:tblGrid>
        <w:gridCol w:w="1465"/>
        <w:gridCol w:w="1948"/>
        <w:gridCol w:w="1565"/>
        <w:gridCol w:w="1740"/>
        <w:gridCol w:w="1861"/>
      </w:tblGrid>
      <w:tr>
        <w:trPr>
          <w:trHeight w:val="307" w:hRule="exact"/>
        </w:trPr>
        <w:tc>
          <w:tcPr>
            <w:tcW w:w="1465"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6" w:right="0"/>
              <w:jc w:val="center"/>
              <w:rPr>
                <w:rFonts w:ascii="宋体" w:hAnsi="宋体" w:cs="宋体" w:eastAsia="宋体" w:hint="default"/>
                <w:sz w:val="16"/>
                <w:szCs w:val="16"/>
              </w:rPr>
            </w:pPr>
            <w:r>
              <w:rPr>
                <w:rFonts w:ascii="宋体" w:hAnsi="宋体" w:cs="宋体" w:eastAsia="宋体" w:hint="default"/>
                <w:b/>
                <w:bCs/>
                <w:sz w:val="16"/>
                <w:szCs w:val="16"/>
              </w:rPr>
              <w:t>子公司名称</w:t>
            </w:r>
            <w:r>
              <w:rPr>
                <w:rFonts w:ascii="宋体" w:hAnsi="宋体" w:cs="宋体" w:eastAsia="宋体" w:hint="default"/>
                <w:sz w:val="16"/>
                <w:szCs w:val="16"/>
              </w:rPr>
            </w:r>
          </w:p>
        </w:tc>
        <w:tc>
          <w:tcPr>
            <w:tcW w:w="1948"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573" w:right="0"/>
              <w:jc w:val="left"/>
              <w:rPr>
                <w:rFonts w:ascii="宋体" w:hAnsi="宋体" w:cs="宋体" w:eastAsia="宋体" w:hint="default"/>
                <w:sz w:val="16"/>
                <w:szCs w:val="16"/>
              </w:rPr>
            </w:pPr>
            <w:r>
              <w:rPr>
                <w:rFonts w:ascii="宋体" w:hAnsi="宋体" w:cs="宋体" w:eastAsia="宋体" w:hint="default"/>
                <w:b/>
                <w:bCs/>
                <w:sz w:val="16"/>
                <w:szCs w:val="16"/>
              </w:rPr>
              <w:t>贷款银行</w:t>
            </w:r>
            <w:r>
              <w:rPr>
                <w:rFonts w:ascii="宋体" w:hAnsi="宋体" w:cs="宋体" w:eastAsia="宋体" w:hint="default"/>
                <w:sz w:val="16"/>
                <w:szCs w:val="16"/>
              </w:rPr>
            </w:r>
          </w:p>
        </w:tc>
        <w:tc>
          <w:tcPr>
            <w:tcW w:w="1565"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360" w:right="0"/>
              <w:jc w:val="left"/>
              <w:rPr>
                <w:rFonts w:ascii="宋体" w:hAnsi="宋体" w:cs="宋体" w:eastAsia="宋体" w:hint="default"/>
                <w:sz w:val="16"/>
                <w:szCs w:val="16"/>
              </w:rPr>
            </w:pPr>
            <w:r>
              <w:rPr>
                <w:rFonts w:ascii="宋体" w:hAnsi="宋体" w:cs="宋体" w:eastAsia="宋体" w:hint="default"/>
                <w:b/>
                <w:bCs/>
                <w:sz w:val="16"/>
                <w:szCs w:val="16"/>
              </w:rPr>
              <w:t>贷款金额</w:t>
            </w:r>
            <w:r>
              <w:rPr>
                <w:rFonts w:ascii="宋体" w:hAnsi="宋体" w:cs="宋体" w:eastAsia="宋体" w:hint="default"/>
                <w:sz w:val="16"/>
                <w:szCs w:val="16"/>
              </w:rPr>
            </w:r>
          </w:p>
        </w:tc>
        <w:tc>
          <w:tcPr>
            <w:tcW w:w="1740"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86"/>
              <w:jc w:val="center"/>
              <w:rPr>
                <w:rFonts w:ascii="宋体" w:hAnsi="宋体" w:cs="宋体" w:eastAsia="宋体" w:hint="default"/>
                <w:sz w:val="16"/>
                <w:szCs w:val="16"/>
              </w:rPr>
            </w:pPr>
            <w:r>
              <w:rPr>
                <w:rFonts w:ascii="宋体" w:hAnsi="宋体" w:cs="宋体" w:eastAsia="宋体" w:hint="default"/>
                <w:b/>
                <w:bCs/>
                <w:sz w:val="16"/>
                <w:szCs w:val="16"/>
              </w:rPr>
              <w:t>贷款期限</w:t>
            </w:r>
            <w:r>
              <w:rPr>
                <w:rFonts w:ascii="宋体" w:hAnsi="宋体" w:cs="宋体" w:eastAsia="宋体" w:hint="default"/>
                <w:sz w:val="16"/>
                <w:szCs w:val="16"/>
              </w:rPr>
            </w:r>
          </w:p>
        </w:tc>
        <w:tc>
          <w:tcPr>
            <w:tcW w:w="1861"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33"/>
              <w:jc w:val="center"/>
              <w:rPr>
                <w:rFonts w:ascii="宋体" w:hAnsi="宋体" w:cs="宋体" w:eastAsia="宋体" w:hint="default"/>
                <w:sz w:val="16"/>
                <w:szCs w:val="16"/>
              </w:rPr>
            </w:pPr>
            <w:r>
              <w:rPr>
                <w:rFonts w:ascii="宋体" w:hAnsi="宋体" w:cs="宋体" w:eastAsia="宋体" w:hint="default"/>
                <w:b/>
                <w:bCs/>
                <w:sz w:val="16"/>
                <w:szCs w:val="16"/>
              </w:rPr>
              <w:t>保证期间</w:t>
            </w:r>
            <w:r>
              <w:rPr>
                <w:rFonts w:ascii="宋体" w:hAnsi="宋体" w:cs="宋体" w:eastAsia="宋体" w:hint="default"/>
                <w:sz w:val="16"/>
                <w:szCs w:val="16"/>
              </w:rPr>
            </w:r>
          </w:p>
        </w:tc>
      </w:tr>
      <w:tr>
        <w:trPr>
          <w:trHeight w:val="293" w:hRule="exact"/>
        </w:trPr>
        <w:tc>
          <w:tcPr>
            <w:tcW w:w="1465" w:type="dxa"/>
            <w:tcBorders>
              <w:top w:val="single" w:sz="4" w:space="0" w:color="000000"/>
              <w:left w:val="nil" w:sz="6" w:space="0" w:color="auto"/>
              <w:bottom w:val="nil" w:sz="6" w:space="0" w:color="auto"/>
              <w:right w:val="nil" w:sz="6" w:space="0" w:color="auto"/>
            </w:tcBorders>
          </w:tcPr>
          <w:p>
            <w:pPr>
              <w:pStyle w:val="TableParagraph"/>
              <w:spacing w:line="179" w:lineRule="exact"/>
              <w:ind w:right="56"/>
              <w:jc w:val="center"/>
              <w:rPr>
                <w:rFonts w:ascii="Times New Roman" w:hAnsi="Times New Roman" w:cs="Times New Roman" w:eastAsia="Times New Roman" w:hint="default"/>
                <w:sz w:val="16"/>
                <w:szCs w:val="16"/>
              </w:rPr>
            </w:pPr>
            <w:r>
              <w:rPr>
                <w:rFonts w:ascii="Times New Roman"/>
                <w:sz w:val="16"/>
              </w:rPr>
              <w:t>Investments</w:t>
            </w:r>
            <w:r>
              <w:rPr>
                <w:rFonts w:ascii="Times New Roman"/>
                <w:spacing w:val="-10"/>
                <w:sz w:val="16"/>
              </w:rPr>
              <w:t> </w:t>
            </w:r>
            <w:r>
              <w:rPr>
                <w:rFonts w:ascii="Times New Roman"/>
                <w:sz w:val="16"/>
              </w:rPr>
              <w:t>Limited</w:t>
            </w:r>
          </w:p>
        </w:tc>
        <w:tc>
          <w:tcPr>
            <w:tcW w:w="1948" w:type="dxa"/>
            <w:tcBorders>
              <w:top w:val="single" w:sz="4" w:space="0" w:color="000000"/>
              <w:left w:val="nil" w:sz="6" w:space="0" w:color="auto"/>
              <w:bottom w:val="nil" w:sz="6" w:space="0" w:color="auto"/>
              <w:right w:val="nil" w:sz="6" w:space="0" w:color="auto"/>
            </w:tcBorders>
          </w:tcPr>
          <w:p>
            <w:pPr/>
          </w:p>
        </w:tc>
        <w:tc>
          <w:tcPr>
            <w:tcW w:w="1565" w:type="dxa"/>
            <w:tcBorders>
              <w:top w:val="single" w:sz="4" w:space="0" w:color="000000"/>
              <w:left w:val="nil" w:sz="6" w:space="0" w:color="auto"/>
              <w:bottom w:val="nil" w:sz="6" w:space="0" w:color="auto"/>
              <w:right w:val="nil" w:sz="6" w:space="0" w:color="auto"/>
            </w:tcBorders>
          </w:tcPr>
          <w:p>
            <w:pPr>
              <w:pStyle w:val="TableParagraph"/>
              <w:spacing w:line="240" w:lineRule="auto" w:before="51"/>
              <w:ind w:left="-36" w:right="77"/>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79,221.92</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万人民币</w:t>
            </w:r>
          </w:p>
        </w:tc>
        <w:tc>
          <w:tcPr>
            <w:tcW w:w="1740" w:type="dxa"/>
            <w:tcBorders>
              <w:top w:val="single" w:sz="4" w:space="0" w:color="000000"/>
              <w:left w:val="nil" w:sz="6" w:space="0" w:color="auto"/>
              <w:bottom w:val="nil" w:sz="6" w:space="0" w:color="auto"/>
              <w:right w:val="nil" w:sz="6" w:space="0" w:color="auto"/>
            </w:tcBorders>
          </w:tcPr>
          <w:p>
            <w:pPr/>
          </w:p>
        </w:tc>
        <w:tc>
          <w:tcPr>
            <w:tcW w:w="1861" w:type="dxa"/>
            <w:tcBorders>
              <w:top w:val="single" w:sz="4" w:space="0" w:color="000000"/>
              <w:left w:val="nil" w:sz="6" w:space="0" w:color="auto"/>
              <w:bottom w:val="nil" w:sz="6" w:space="0" w:color="auto"/>
              <w:right w:val="nil" w:sz="6" w:space="0" w:color="auto"/>
            </w:tcBorders>
          </w:tcPr>
          <w:p>
            <w:pPr/>
          </w:p>
        </w:tc>
      </w:tr>
      <w:tr>
        <w:trPr>
          <w:trHeight w:val="411"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79"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北京同方吉兆科技</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9" w:lineRule="exact"/>
              <w:ind w:left="43" w:right="0"/>
              <w:jc w:val="left"/>
              <w:rPr>
                <w:rFonts w:ascii="宋体" w:hAnsi="宋体" w:cs="宋体" w:eastAsia="宋体" w:hint="default"/>
                <w:sz w:val="16"/>
                <w:szCs w:val="16"/>
              </w:rPr>
            </w:pPr>
            <w:r>
              <w:rPr>
                <w:rFonts w:ascii="宋体" w:hAnsi="宋体" w:cs="宋体" w:eastAsia="宋体" w:hint="default"/>
                <w:sz w:val="16"/>
                <w:szCs w:val="16"/>
              </w:rPr>
              <w:t>有限公司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8" w:right="0"/>
              <w:jc w:val="left"/>
              <w:rPr>
                <w:rFonts w:ascii="宋体" w:hAnsi="宋体" w:cs="宋体" w:eastAsia="宋体" w:hint="default"/>
                <w:sz w:val="16"/>
                <w:szCs w:val="16"/>
              </w:rPr>
            </w:pPr>
            <w:r>
              <w:rPr>
                <w:rFonts w:ascii="宋体" w:hAnsi="宋体" w:cs="宋体" w:eastAsia="宋体" w:hint="default"/>
                <w:sz w:val="16"/>
                <w:szCs w:val="16"/>
              </w:rPr>
              <w:t>北京银行清华园支行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1,200.00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85"/>
              <w:jc w:val="center"/>
              <w:rPr>
                <w:rFonts w:ascii="Times New Roman" w:hAnsi="Times New Roman" w:cs="Times New Roman" w:eastAsia="Times New Roman" w:hint="default"/>
                <w:sz w:val="16"/>
                <w:szCs w:val="16"/>
              </w:rPr>
            </w:pPr>
            <w:r>
              <w:rPr>
                <w:rFonts w:ascii="Times New Roman"/>
                <w:sz w:val="16"/>
              </w:rPr>
              <w:t>2015.08.21-2016.08.21</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31"/>
              <w:jc w:val="center"/>
              <w:rPr>
                <w:rFonts w:ascii="Times New Roman" w:hAnsi="Times New Roman" w:cs="Times New Roman" w:eastAsia="Times New Roman" w:hint="default"/>
                <w:sz w:val="16"/>
                <w:szCs w:val="16"/>
              </w:rPr>
            </w:pPr>
            <w:r>
              <w:rPr>
                <w:rFonts w:ascii="Times New Roman"/>
                <w:sz w:val="16"/>
              </w:rPr>
              <w:t>2015.08.21-2018.08.21</w:t>
            </w:r>
          </w:p>
        </w:tc>
      </w:tr>
      <w:tr>
        <w:trPr>
          <w:trHeight w:val="415"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83" w:lineRule="exact"/>
              <w:ind w:left="43" w:right="0"/>
              <w:jc w:val="left"/>
              <w:rPr>
                <w:rFonts w:ascii="宋体" w:hAnsi="宋体" w:cs="宋体" w:eastAsia="宋体" w:hint="default"/>
                <w:sz w:val="16"/>
                <w:szCs w:val="16"/>
              </w:rPr>
            </w:pPr>
            <w:r>
              <w:rPr>
                <w:rFonts w:ascii="宋体" w:hAnsi="宋体" w:cs="宋体" w:eastAsia="宋体" w:hint="default"/>
                <w:spacing w:val="-6"/>
                <w:sz w:val="16"/>
                <w:szCs w:val="16"/>
              </w:rPr>
              <w:t>哈尔滨平义龙江环保</w:t>
            </w:r>
          </w:p>
          <w:p>
            <w:pPr>
              <w:pStyle w:val="TableParagraph"/>
              <w:spacing w:line="209" w:lineRule="exact"/>
              <w:ind w:left="43" w:right="0"/>
              <w:jc w:val="left"/>
              <w:rPr>
                <w:rFonts w:ascii="宋体" w:hAnsi="宋体" w:cs="宋体" w:eastAsia="宋体" w:hint="default"/>
                <w:sz w:val="16"/>
                <w:szCs w:val="16"/>
              </w:rPr>
            </w:pPr>
            <w:r>
              <w:rPr>
                <w:rFonts w:ascii="宋体" w:hAnsi="宋体" w:cs="宋体" w:eastAsia="宋体" w:hint="default"/>
                <w:spacing w:val="-17"/>
                <w:sz w:val="16"/>
                <w:szCs w:val="16"/>
              </w:rPr>
              <w:t>治水有限责任公司</w:t>
            </w:r>
            <w:r>
              <w:rPr>
                <w:rFonts w:ascii="宋体" w:hAnsi="宋体" w:cs="宋体" w:eastAsia="宋体" w:hint="default"/>
                <w:sz w:val="16"/>
                <w:szCs w:val="16"/>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8" w:right="0"/>
              <w:jc w:val="left"/>
              <w:rPr>
                <w:rFonts w:ascii="宋体" w:hAnsi="宋体" w:cs="宋体" w:eastAsia="宋体" w:hint="default"/>
                <w:sz w:val="16"/>
                <w:szCs w:val="16"/>
              </w:rPr>
            </w:pPr>
            <w:r>
              <w:rPr>
                <w:rFonts w:ascii="宋体" w:hAnsi="宋体" w:cs="宋体" w:eastAsia="宋体" w:hint="default"/>
                <w:sz w:val="16"/>
                <w:szCs w:val="16"/>
              </w:rPr>
              <w:t>中国银行北京分行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6,134.00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85"/>
              <w:jc w:val="center"/>
              <w:rPr>
                <w:rFonts w:ascii="Times New Roman" w:hAnsi="Times New Roman" w:cs="Times New Roman" w:eastAsia="Times New Roman" w:hint="default"/>
                <w:sz w:val="16"/>
                <w:szCs w:val="16"/>
              </w:rPr>
            </w:pPr>
            <w:r>
              <w:rPr>
                <w:rFonts w:ascii="Times New Roman"/>
                <w:sz w:val="16"/>
              </w:rPr>
              <w:t>2009.08.09-2019.08.09</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2"/>
              <w:jc w:val="center"/>
              <w:rPr>
                <w:rFonts w:ascii="Times New Roman" w:hAnsi="Times New Roman" w:cs="Times New Roman" w:eastAsia="Times New Roman" w:hint="default"/>
                <w:sz w:val="16"/>
                <w:szCs w:val="16"/>
              </w:rPr>
            </w:pPr>
            <w:r>
              <w:rPr>
                <w:rFonts w:ascii="Times New Roman"/>
                <w:sz w:val="16"/>
              </w:rPr>
              <w:t>2009.08.09-2021.08.09</w:t>
            </w:r>
          </w:p>
        </w:tc>
      </w:tr>
      <w:tr>
        <w:trPr>
          <w:trHeight w:val="414"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82" w:lineRule="exact"/>
              <w:ind w:left="43" w:right="0"/>
              <w:jc w:val="left"/>
              <w:rPr>
                <w:rFonts w:ascii="宋体" w:hAnsi="宋体" w:cs="宋体" w:eastAsia="宋体" w:hint="default"/>
                <w:sz w:val="16"/>
                <w:szCs w:val="16"/>
              </w:rPr>
            </w:pPr>
            <w:r>
              <w:rPr>
                <w:rFonts w:ascii="宋体" w:hAnsi="宋体" w:cs="宋体" w:eastAsia="宋体" w:hint="default"/>
                <w:spacing w:val="-6"/>
                <w:sz w:val="16"/>
                <w:szCs w:val="16"/>
              </w:rPr>
              <w:t>哈尔滨平义龙江环保</w:t>
            </w:r>
          </w:p>
          <w:p>
            <w:pPr>
              <w:pStyle w:val="TableParagraph"/>
              <w:spacing w:line="208" w:lineRule="exact"/>
              <w:ind w:left="43" w:right="0"/>
              <w:jc w:val="left"/>
              <w:rPr>
                <w:rFonts w:ascii="宋体" w:hAnsi="宋体" w:cs="宋体" w:eastAsia="宋体" w:hint="default"/>
                <w:sz w:val="16"/>
                <w:szCs w:val="16"/>
              </w:rPr>
            </w:pPr>
            <w:r>
              <w:rPr>
                <w:rFonts w:ascii="宋体" w:hAnsi="宋体" w:cs="宋体" w:eastAsia="宋体" w:hint="default"/>
                <w:spacing w:val="-17"/>
                <w:sz w:val="16"/>
                <w:szCs w:val="16"/>
              </w:rPr>
              <w:t>治水有限责任公司</w:t>
            </w:r>
            <w:r>
              <w:rPr>
                <w:rFonts w:ascii="宋体" w:hAnsi="宋体" w:cs="宋体" w:eastAsia="宋体" w:hint="default"/>
                <w:sz w:val="16"/>
                <w:szCs w:val="16"/>
              </w:rPr>
            </w:r>
          </w:p>
        </w:tc>
        <w:tc>
          <w:tcPr>
            <w:tcW w:w="1948" w:type="dxa"/>
            <w:tcBorders>
              <w:top w:val="nil" w:sz="6" w:space="0" w:color="auto"/>
              <w:left w:val="nil" w:sz="6" w:space="0" w:color="auto"/>
              <w:bottom w:val="nil" w:sz="6" w:space="0" w:color="auto"/>
              <w:right w:val="nil" w:sz="6" w:space="0" w:color="auto"/>
            </w:tcBorders>
          </w:tcPr>
          <w:p>
            <w:pPr>
              <w:pStyle w:val="TableParagraph"/>
              <w:spacing w:line="182" w:lineRule="exact"/>
              <w:ind w:left="18" w:right="0"/>
              <w:jc w:val="left"/>
              <w:rPr>
                <w:rFonts w:ascii="宋体" w:hAnsi="宋体" w:cs="宋体" w:eastAsia="宋体" w:hint="default"/>
                <w:sz w:val="16"/>
                <w:szCs w:val="16"/>
              </w:rPr>
            </w:pPr>
            <w:r>
              <w:rPr>
                <w:rFonts w:ascii="宋体" w:hAnsi="宋体" w:cs="宋体" w:eastAsia="宋体" w:hint="default"/>
                <w:sz w:val="16"/>
                <w:szCs w:val="16"/>
              </w:rPr>
              <w:t>中国银行哈尔滨松北支行</w:t>
            </w:r>
          </w:p>
          <w:p>
            <w:pPr>
              <w:pStyle w:val="TableParagraph"/>
              <w:spacing w:line="208" w:lineRule="exact"/>
              <w:ind w:left="18" w:right="0"/>
              <w:jc w:val="left"/>
              <w:rPr>
                <w:rFonts w:ascii="宋体" w:hAnsi="宋体" w:cs="宋体" w:eastAsia="宋体" w:hint="default"/>
                <w:sz w:val="16"/>
                <w:szCs w:val="16"/>
              </w:rPr>
            </w:pPr>
            <w:r>
              <w:rPr>
                <w:rFonts w:ascii="宋体" w:hAnsi="宋体" w:cs="宋体" w:eastAsia="宋体" w:hint="default"/>
                <w:spacing w:val="-10"/>
                <w:sz w:val="16"/>
                <w:szCs w:val="16"/>
              </w:rPr>
              <w:t>营业部</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5,140.00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85"/>
              <w:jc w:val="center"/>
              <w:rPr>
                <w:rFonts w:ascii="Times New Roman" w:hAnsi="Times New Roman" w:cs="Times New Roman" w:eastAsia="Times New Roman" w:hint="default"/>
                <w:sz w:val="16"/>
                <w:szCs w:val="16"/>
              </w:rPr>
            </w:pPr>
            <w:r>
              <w:rPr>
                <w:rFonts w:ascii="Times New Roman"/>
                <w:sz w:val="16"/>
              </w:rPr>
              <w:t>2009.08.09-2019.08.09</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2"/>
              <w:jc w:val="center"/>
              <w:rPr>
                <w:rFonts w:ascii="Times New Roman" w:hAnsi="Times New Roman" w:cs="Times New Roman" w:eastAsia="Times New Roman" w:hint="default"/>
                <w:sz w:val="16"/>
                <w:szCs w:val="16"/>
              </w:rPr>
            </w:pPr>
            <w:r>
              <w:rPr>
                <w:rFonts w:ascii="Times New Roman"/>
                <w:sz w:val="16"/>
              </w:rPr>
              <w:t>2009.08.09-2021.08.09</w:t>
            </w:r>
          </w:p>
        </w:tc>
      </w:tr>
      <w:tr>
        <w:trPr>
          <w:trHeight w:val="415"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83"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淮安同方水务有限</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8" w:lineRule="exact"/>
              <w:ind w:left="43" w:right="0"/>
              <w:jc w:val="left"/>
              <w:rPr>
                <w:rFonts w:ascii="宋体" w:hAnsi="宋体" w:cs="宋体" w:eastAsia="宋体" w:hint="default"/>
                <w:sz w:val="16"/>
                <w:szCs w:val="16"/>
              </w:rPr>
            </w:pPr>
            <w:r>
              <w:rPr>
                <w:rFonts w:ascii="宋体" w:hAnsi="宋体" w:cs="宋体" w:eastAsia="宋体" w:hint="default"/>
                <w:sz w:val="16"/>
                <w:szCs w:val="16"/>
              </w:rPr>
              <w:t>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183" w:lineRule="exact"/>
              <w:ind w:left="18" w:right="0"/>
              <w:jc w:val="left"/>
              <w:rPr>
                <w:rFonts w:ascii="宋体" w:hAnsi="宋体" w:cs="宋体" w:eastAsia="宋体" w:hint="default"/>
                <w:sz w:val="16"/>
                <w:szCs w:val="16"/>
              </w:rPr>
            </w:pPr>
            <w:r>
              <w:rPr>
                <w:rFonts w:ascii="宋体" w:hAnsi="宋体" w:cs="宋体" w:eastAsia="宋体" w:hint="default"/>
                <w:spacing w:val="13"/>
                <w:sz w:val="16"/>
                <w:szCs w:val="16"/>
              </w:rPr>
              <w:t>农业银行淮安农开发分</w:t>
            </w:r>
          </w:p>
          <w:p>
            <w:pPr>
              <w:pStyle w:val="TableParagraph"/>
              <w:spacing w:line="208" w:lineRule="exact"/>
              <w:ind w:left="18" w:right="0"/>
              <w:jc w:val="left"/>
              <w:rPr>
                <w:rFonts w:ascii="宋体" w:hAnsi="宋体" w:cs="宋体" w:eastAsia="宋体" w:hint="default"/>
                <w:sz w:val="16"/>
                <w:szCs w:val="16"/>
              </w:rPr>
            </w:pPr>
            <w:r>
              <w:rPr>
                <w:rFonts w:ascii="宋体" w:hAnsi="宋体" w:cs="宋体" w:eastAsia="宋体" w:hint="default"/>
                <w:sz w:val="16"/>
                <w:szCs w:val="16"/>
              </w:rPr>
              <w:t>理处</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23,140.00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86"/>
              <w:jc w:val="center"/>
              <w:rPr>
                <w:rFonts w:ascii="Times New Roman" w:hAnsi="Times New Roman" w:cs="Times New Roman" w:eastAsia="Times New Roman" w:hint="default"/>
                <w:sz w:val="16"/>
                <w:szCs w:val="16"/>
              </w:rPr>
            </w:pPr>
            <w:r>
              <w:rPr>
                <w:rFonts w:ascii="Times New Roman"/>
                <w:sz w:val="16"/>
              </w:rPr>
              <w:t>2015.04.28-2023.04.28</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3"/>
              <w:jc w:val="center"/>
              <w:rPr>
                <w:rFonts w:ascii="Times New Roman" w:hAnsi="Times New Roman" w:cs="Times New Roman" w:eastAsia="Times New Roman" w:hint="default"/>
                <w:sz w:val="16"/>
                <w:szCs w:val="16"/>
              </w:rPr>
            </w:pPr>
            <w:r>
              <w:rPr>
                <w:rFonts w:ascii="Times New Roman"/>
                <w:sz w:val="16"/>
              </w:rPr>
              <w:t>2015.04.28-2025.04.28</w:t>
            </w:r>
          </w:p>
        </w:tc>
      </w:tr>
      <w:tr>
        <w:trPr>
          <w:trHeight w:val="415"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83"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惠州市同方水务有</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8" w:lineRule="exact"/>
              <w:ind w:left="43" w:right="0"/>
              <w:jc w:val="left"/>
              <w:rPr>
                <w:rFonts w:ascii="宋体" w:hAnsi="宋体" w:cs="宋体" w:eastAsia="宋体" w:hint="default"/>
                <w:sz w:val="16"/>
                <w:szCs w:val="16"/>
              </w:rPr>
            </w:pPr>
            <w:r>
              <w:rPr>
                <w:rFonts w:ascii="宋体" w:hAnsi="宋体" w:cs="宋体" w:eastAsia="宋体" w:hint="default"/>
                <w:sz w:val="16"/>
                <w:szCs w:val="16"/>
              </w:rPr>
              <w:t>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8" w:right="0"/>
              <w:jc w:val="left"/>
              <w:rPr>
                <w:rFonts w:ascii="宋体" w:hAnsi="宋体" w:cs="宋体" w:eastAsia="宋体" w:hint="default"/>
                <w:sz w:val="16"/>
                <w:szCs w:val="16"/>
              </w:rPr>
            </w:pPr>
            <w:r>
              <w:rPr>
                <w:rFonts w:ascii="宋体" w:hAnsi="宋体" w:cs="宋体" w:eastAsia="宋体" w:hint="default"/>
                <w:spacing w:val="-13"/>
                <w:sz w:val="16"/>
                <w:szCs w:val="16"/>
              </w:rPr>
              <w:t>建设银行北京清华园支行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4,697.00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85"/>
              <w:jc w:val="center"/>
              <w:rPr>
                <w:rFonts w:ascii="Times New Roman" w:hAnsi="Times New Roman" w:cs="Times New Roman" w:eastAsia="Times New Roman" w:hint="default"/>
                <w:sz w:val="16"/>
                <w:szCs w:val="16"/>
              </w:rPr>
            </w:pPr>
            <w:r>
              <w:rPr>
                <w:rFonts w:ascii="Times New Roman"/>
                <w:sz w:val="16"/>
              </w:rPr>
              <w:t>2009.11.10-2020.09.18</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2"/>
              <w:jc w:val="center"/>
              <w:rPr>
                <w:rFonts w:ascii="Times New Roman" w:hAnsi="Times New Roman" w:cs="Times New Roman" w:eastAsia="Times New Roman" w:hint="default"/>
                <w:sz w:val="16"/>
                <w:szCs w:val="16"/>
              </w:rPr>
            </w:pPr>
            <w:r>
              <w:rPr>
                <w:rFonts w:ascii="Times New Roman"/>
                <w:sz w:val="16"/>
              </w:rPr>
              <w:t>2009.11.10-2022.09.18</w:t>
            </w:r>
          </w:p>
        </w:tc>
      </w:tr>
      <w:tr>
        <w:trPr>
          <w:trHeight w:val="415"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83"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佳木斯龙江环保水</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8" w:lineRule="exact"/>
              <w:ind w:left="43" w:right="0"/>
              <w:jc w:val="left"/>
              <w:rPr>
                <w:rFonts w:ascii="宋体" w:hAnsi="宋体" w:cs="宋体" w:eastAsia="宋体" w:hint="default"/>
                <w:sz w:val="16"/>
                <w:szCs w:val="16"/>
              </w:rPr>
            </w:pPr>
            <w:r>
              <w:rPr>
                <w:rFonts w:ascii="宋体" w:hAnsi="宋体" w:cs="宋体" w:eastAsia="宋体" w:hint="default"/>
                <w:sz w:val="16"/>
                <w:szCs w:val="16"/>
              </w:rPr>
              <w:t>务有限公司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8" w:right="0"/>
              <w:jc w:val="left"/>
              <w:rPr>
                <w:rFonts w:ascii="宋体" w:hAnsi="宋体" w:cs="宋体" w:eastAsia="宋体" w:hint="default"/>
                <w:sz w:val="16"/>
                <w:szCs w:val="16"/>
              </w:rPr>
            </w:pPr>
            <w:r>
              <w:rPr>
                <w:rFonts w:ascii="宋体" w:hAnsi="宋体" w:cs="宋体" w:eastAsia="宋体" w:hint="default"/>
                <w:sz w:val="16"/>
                <w:szCs w:val="16"/>
              </w:rPr>
              <w:t>北京银行清华园支行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2,650.00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85"/>
              <w:jc w:val="center"/>
              <w:rPr>
                <w:rFonts w:ascii="Times New Roman" w:hAnsi="Times New Roman" w:cs="Times New Roman" w:eastAsia="Times New Roman" w:hint="default"/>
                <w:sz w:val="16"/>
                <w:szCs w:val="16"/>
              </w:rPr>
            </w:pPr>
            <w:r>
              <w:rPr>
                <w:rFonts w:ascii="Times New Roman"/>
                <w:sz w:val="16"/>
              </w:rPr>
              <w:t>2013.09.27-2019.09.27</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2"/>
              <w:jc w:val="center"/>
              <w:rPr>
                <w:rFonts w:ascii="Times New Roman" w:hAnsi="Times New Roman" w:cs="Times New Roman" w:eastAsia="Times New Roman" w:hint="default"/>
                <w:sz w:val="16"/>
                <w:szCs w:val="16"/>
              </w:rPr>
            </w:pPr>
            <w:r>
              <w:rPr>
                <w:rFonts w:ascii="Times New Roman"/>
                <w:sz w:val="16"/>
              </w:rPr>
              <w:t>2013.09.27-2021.09.27</w:t>
            </w:r>
          </w:p>
        </w:tc>
      </w:tr>
      <w:tr>
        <w:trPr>
          <w:trHeight w:val="415"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83"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龙江环保集团股份</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8" w:lineRule="exact"/>
              <w:ind w:left="43" w:right="0"/>
              <w:jc w:val="left"/>
              <w:rPr>
                <w:rFonts w:ascii="宋体" w:hAnsi="宋体" w:cs="宋体" w:eastAsia="宋体" w:hint="default"/>
                <w:sz w:val="16"/>
                <w:szCs w:val="16"/>
              </w:rPr>
            </w:pPr>
            <w:r>
              <w:rPr>
                <w:rFonts w:ascii="宋体" w:hAnsi="宋体" w:cs="宋体" w:eastAsia="宋体" w:hint="default"/>
                <w:sz w:val="16"/>
                <w:szCs w:val="16"/>
              </w:rPr>
              <w:t>有限公司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8" w:right="0"/>
              <w:jc w:val="left"/>
              <w:rPr>
                <w:rFonts w:ascii="宋体" w:hAnsi="宋体" w:cs="宋体" w:eastAsia="宋体" w:hint="default"/>
                <w:sz w:val="16"/>
                <w:szCs w:val="16"/>
              </w:rPr>
            </w:pPr>
            <w:r>
              <w:rPr>
                <w:rFonts w:ascii="宋体" w:hAnsi="宋体" w:cs="宋体" w:eastAsia="宋体" w:hint="default"/>
                <w:sz w:val="16"/>
                <w:szCs w:val="16"/>
              </w:rPr>
              <w:t>华夏银行北京分行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16,000.00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85"/>
              <w:jc w:val="center"/>
              <w:rPr>
                <w:rFonts w:ascii="Times New Roman" w:hAnsi="Times New Roman" w:cs="Times New Roman" w:eastAsia="Times New Roman" w:hint="default"/>
                <w:sz w:val="16"/>
                <w:szCs w:val="16"/>
              </w:rPr>
            </w:pPr>
            <w:r>
              <w:rPr>
                <w:rFonts w:ascii="Times New Roman"/>
                <w:sz w:val="16"/>
              </w:rPr>
              <w:t>2013.09.18-2023.09.18</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1"/>
              <w:jc w:val="center"/>
              <w:rPr>
                <w:rFonts w:ascii="Times New Roman" w:hAnsi="Times New Roman" w:cs="Times New Roman" w:eastAsia="Times New Roman" w:hint="default"/>
                <w:sz w:val="16"/>
                <w:szCs w:val="16"/>
              </w:rPr>
            </w:pPr>
            <w:r>
              <w:rPr>
                <w:rFonts w:ascii="Times New Roman"/>
                <w:sz w:val="16"/>
              </w:rPr>
              <w:t>2013.09.18-2025.09.18</w:t>
            </w:r>
          </w:p>
        </w:tc>
      </w:tr>
      <w:tr>
        <w:trPr>
          <w:trHeight w:val="414"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83"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龙江环保集团股份</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8" w:lineRule="exact"/>
              <w:ind w:left="43" w:right="0"/>
              <w:jc w:val="left"/>
              <w:rPr>
                <w:rFonts w:ascii="宋体" w:hAnsi="宋体" w:cs="宋体" w:eastAsia="宋体" w:hint="default"/>
                <w:sz w:val="16"/>
                <w:szCs w:val="16"/>
              </w:rPr>
            </w:pPr>
            <w:r>
              <w:rPr>
                <w:rFonts w:ascii="宋体" w:hAnsi="宋体" w:cs="宋体" w:eastAsia="宋体" w:hint="default"/>
                <w:sz w:val="16"/>
                <w:szCs w:val="16"/>
              </w:rPr>
              <w:t>有限公司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8" w:right="0"/>
              <w:jc w:val="left"/>
              <w:rPr>
                <w:rFonts w:ascii="宋体" w:hAnsi="宋体" w:cs="宋体" w:eastAsia="宋体" w:hint="default"/>
                <w:sz w:val="16"/>
                <w:szCs w:val="16"/>
              </w:rPr>
            </w:pPr>
            <w:r>
              <w:rPr>
                <w:rFonts w:ascii="宋体" w:hAnsi="宋体" w:cs="宋体" w:eastAsia="宋体" w:hint="default"/>
                <w:sz w:val="16"/>
                <w:szCs w:val="16"/>
              </w:rPr>
              <w:t>华夏银行北京分行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8,000.00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85"/>
              <w:jc w:val="center"/>
              <w:rPr>
                <w:rFonts w:ascii="Times New Roman" w:hAnsi="Times New Roman" w:cs="Times New Roman" w:eastAsia="Times New Roman" w:hint="default"/>
                <w:sz w:val="16"/>
                <w:szCs w:val="16"/>
              </w:rPr>
            </w:pPr>
            <w:r>
              <w:rPr>
                <w:rFonts w:ascii="Times New Roman"/>
                <w:sz w:val="16"/>
              </w:rPr>
              <w:t>2014.04.17-2019.05.16</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3"/>
              <w:jc w:val="center"/>
              <w:rPr>
                <w:rFonts w:ascii="Times New Roman" w:hAnsi="Times New Roman" w:cs="Times New Roman" w:eastAsia="Times New Roman" w:hint="default"/>
                <w:sz w:val="16"/>
                <w:szCs w:val="16"/>
              </w:rPr>
            </w:pPr>
            <w:r>
              <w:rPr>
                <w:rFonts w:ascii="Times New Roman"/>
                <w:sz w:val="16"/>
              </w:rPr>
              <w:t>2014.04.17-2021.05.16</w:t>
            </w:r>
          </w:p>
        </w:tc>
      </w:tr>
      <w:tr>
        <w:trPr>
          <w:trHeight w:val="415"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84"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龙江环保集团股份</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9" w:lineRule="exact"/>
              <w:ind w:left="43" w:right="0"/>
              <w:jc w:val="left"/>
              <w:rPr>
                <w:rFonts w:ascii="宋体" w:hAnsi="宋体" w:cs="宋体" w:eastAsia="宋体" w:hint="default"/>
                <w:sz w:val="16"/>
                <w:szCs w:val="16"/>
              </w:rPr>
            </w:pPr>
            <w:r>
              <w:rPr>
                <w:rFonts w:ascii="宋体" w:hAnsi="宋体" w:cs="宋体" w:eastAsia="宋体" w:hint="default"/>
                <w:sz w:val="16"/>
                <w:szCs w:val="16"/>
              </w:rPr>
              <w:t>有限公司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8" w:right="0"/>
              <w:jc w:val="left"/>
              <w:rPr>
                <w:rFonts w:ascii="宋体" w:hAnsi="宋体" w:cs="宋体" w:eastAsia="宋体" w:hint="default"/>
                <w:sz w:val="16"/>
                <w:szCs w:val="16"/>
              </w:rPr>
            </w:pPr>
            <w:r>
              <w:rPr>
                <w:rFonts w:ascii="宋体" w:hAnsi="宋体" w:cs="宋体" w:eastAsia="宋体" w:hint="default"/>
                <w:spacing w:val="-9"/>
                <w:sz w:val="16"/>
                <w:szCs w:val="16"/>
              </w:rPr>
              <w:t>民生银行北京安定门支行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20,000.00</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86"/>
              <w:jc w:val="center"/>
              <w:rPr>
                <w:rFonts w:ascii="Times New Roman" w:hAnsi="Times New Roman" w:cs="Times New Roman" w:eastAsia="Times New Roman" w:hint="default"/>
                <w:sz w:val="16"/>
                <w:szCs w:val="16"/>
              </w:rPr>
            </w:pPr>
            <w:r>
              <w:rPr>
                <w:rFonts w:ascii="Times New Roman"/>
                <w:sz w:val="16"/>
              </w:rPr>
              <w:t>2015.09.01-2016.09.01</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3"/>
              <w:jc w:val="center"/>
              <w:rPr>
                <w:rFonts w:ascii="Times New Roman" w:hAnsi="Times New Roman" w:cs="Times New Roman" w:eastAsia="Times New Roman" w:hint="default"/>
                <w:sz w:val="16"/>
                <w:szCs w:val="16"/>
              </w:rPr>
            </w:pPr>
            <w:r>
              <w:rPr>
                <w:rFonts w:ascii="Times New Roman"/>
                <w:sz w:val="16"/>
              </w:rPr>
              <w:t>2015.09.01-2018.09.01</w:t>
            </w:r>
          </w:p>
        </w:tc>
      </w:tr>
      <w:tr>
        <w:trPr>
          <w:trHeight w:val="415"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83"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龙江环保集团股份</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9" w:lineRule="exact"/>
              <w:ind w:left="43" w:right="0"/>
              <w:jc w:val="left"/>
              <w:rPr>
                <w:rFonts w:ascii="宋体" w:hAnsi="宋体" w:cs="宋体" w:eastAsia="宋体" w:hint="default"/>
                <w:sz w:val="16"/>
                <w:szCs w:val="16"/>
              </w:rPr>
            </w:pPr>
            <w:r>
              <w:rPr>
                <w:rFonts w:ascii="宋体" w:hAnsi="宋体" w:cs="宋体" w:eastAsia="宋体" w:hint="default"/>
                <w:sz w:val="16"/>
                <w:szCs w:val="16"/>
              </w:rPr>
              <w:t>有限公司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183" w:lineRule="exact"/>
              <w:ind w:left="18" w:right="0"/>
              <w:jc w:val="left"/>
              <w:rPr>
                <w:rFonts w:ascii="宋体" w:hAnsi="宋体" w:cs="宋体" w:eastAsia="宋体" w:hint="default"/>
                <w:sz w:val="16"/>
                <w:szCs w:val="16"/>
              </w:rPr>
            </w:pPr>
            <w:r>
              <w:rPr>
                <w:rFonts w:ascii="宋体" w:hAnsi="宋体" w:cs="宋体" w:eastAsia="宋体" w:hint="default"/>
                <w:spacing w:val="13"/>
                <w:sz w:val="16"/>
                <w:szCs w:val="16"/>
              </w:rPr>
              <w:t>浦银金融租赁股份有限</w:t>
            </w:r>
          </w:p>
          <w:p>
            <w:pPr>
              <w:pStyle w:val="TableParagraph"/>
              <w:spacing w:line="209" w:lineRule="exact"/>
              <w:ind w:left="18" w:right="0"/>
              <w:jc w:val="left"/>
              <w:rPr>
                <w:rFonts w:ascii="宋体" w:hAnsi="宋体" w:cs="宋体" w:eastAsia="宋体" w:hint="default"/>
                <w:sz w:val="16"/>
                <w:szCs w:val="16"/>
              </w:rPr>
            </w:pPr>
            <w:r>
              <w:rPr>
                <w:rFonts w:ascii="宋体" w:hAnsi="宋体" w:cs="宋体" w:eastAsia="宋体" w:hint="default"/>
                <w:sz w:val="16"/>
                <w:szCs w:val="16"/>
              </w:rPr>
              <w:t>公司</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20,237.41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85"/>
              <w:jc w:val="center"/>
              <w:rPr>
                <w:rFonts w:ascii="Times New Roman" w:hAnsi="Times New Roman" w:cs="Times New Roman" w:eastAsia="Times New Roman" w:hint="default"/>
                <w:sz w:val="16"/>
                <w:szCs w:val="16"/>
              </w:rPr>
            </w:pPr>
            <w:r>
              <w:rPr>
                <w:rFonts w:ascii="Times New Roman"/>
                <w:sz w:val="16"/>
              </w:rPr>
              <w:t>2013.09.21-2021.03.21</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2"/>
              <w:jc w:val="center"/>
              <w:rPr>
                <w:rFonts w:ascii="Times New Roman" w:hAnsi="Times New Roman" w:cs="Times New Roman" w:eastAsia="Times New Roman" w:hint="default"/>
                <w:sz w:val="16"/>
                <w:szCs w:val="16"/>
              </w:rPr>
            </w:pPr>
            <w:r>
              <w:rPr>
                <w:rFonts w:ascii="Times New Roman"/>
                <w:sz w:val="16"/>
              </w:rPr>
              <w:t>2013.09.21-2023.03.21</w:t>
            </w:r>
          </w:p>
        </w:tc>
      </w:tr>
      <w:tr>
        <w:trPr>
          <w:trHeight w:val="415"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83"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龙江环保集团股份</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9" w:lineRule="exact"/>
              <w:ind w:left="43" w:right="0"/>
              <w:jc w:val="left"/>
              <w:rPr>
                <w:rFonts w:ascii="宋体" w:hAnsi="宋体" w:cs="宋体" w:eastAsia="宋体" w:hint="default"/>
                <w:sz w:val="16"/>
                <w:szCs w:val="16"/>
              </w:rPr>
            </w:pPr>
            <w:r>
              <w:rPr>
                <w:rFonts w:ascii="宋体" w:hAnsi="宋体" w:cs="宋体" w:eastAsia="宋体" w:hint="default"/>
                <w:sz w:val="16"/>
                <w:szCs w:val="16"/>
              </w:rPr>
              <w:t>有限公司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8" w:right="0"/>
              <w:jc w:val="left"/>
              <w:rPr>
                <w:rFonts w:ascii="宋体" w:hAnsi="宋体" w:cs="宋体" w:eastAsia="宋体" w:hint="default"/>
                <w:sz w:val="16"/>
                <w:szCs w:val="16"/>
              </w:rPr>
            </w:pPr>
            <w:r>
              <w:rPr>
                <w:rFonts w:ascii="宋体" w:hAnsi="宋体" w:cs="宋体" w:eastAsia="宋体" w:hint="default"/>
                <w:spacing w:val="-9"/>
                <w:sz w:val="16"/>
                <w:szCs w:val="16"/>
              </w:rPr>
              <w:t>中建投租赁有限责任公司</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11,068.78</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85"/>
              <w:jc w:val="center"/>
              <w:rPr>
                <w:rFonts w:ascii="Times New Roman" w:hAnsi="Times New Roman" w:cs="Times New Roman" w:eastAsia="Times New Roman" w:hint="default"/>
                <w:sz w:val="16"/>
                <w:szCs w:val="16"/>
              </w:rPr>
            </w:pPr>
            <w:r>
              <w:rPr>
                <w:rFonts w:ascii="Times New Roman"/>
                <w:sz w:val="16"/>
              </w:rPr>
              <w:t>2014.06.26-2019.06.26</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2"/>
              <w:jc w:val="center"/>
              <w:rPr>
                <w:rFonts w:ascii="Times New Roman" w:hAnsi="Times New Roman" w:cs="Times New Roman" w:eastAsia="Times New Roman" w:hint="default"/>
                <w:sz w:val="16"/>
                <w:szCs w:val="16"/>
              </w:rPr>
            </w:pPr>
            <w:r>
              <w:rPr>
                <w:rFonts w:ascii="Times New Roman"/>
                <w:sz w:val="16"/>
              </w:rPr>
              <w:t>2014.06.26-2021.06.26</w:t>
            </w:r>
          </w:p>
        </w:tc>
      </w:tr>
      <w:tr>
        <w:trPr>
          <w:trHeight w:val="415"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83"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龙江环保集团股份</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9" w:lineRule="exact"/>
              <w:ind w:left="43" w:right="0"/>
              <w:jc w:val="left"/>
              <w:rPr>
                <w:rFonts w:ascii="宋体" w:hAnsi="宋体" w:cs="宋体" w:eastAsia="宋体" w:hint="default"/>
                <w:sz w:val="16"/>
                <w:szCs w:val="16"/>
              </w:rPr>
            </w:pPr>
            <w:r>
              <w:rPr>
                <w:rFonts w:ascii="宋体" w:hAnsi="宋体" w:cs="宋体" w:eastAsia="宋体" w:hint="default"/>
                <w:sz w:val="16"/>
                <w:szCs w:val="16"/>
              </w:rPr>
              <w:t>有限公司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8" w:right="0"/>
              <w:jc w:val="left"/>
              <w:rPr>
                <w:rFonts w:ascii="宋体" w:hAnsi="宋体" w:cs="宋体" w:eastAsia="宋体" w:hint="default"/>
                <w:sz w:val="16"/>
                <w:szCs w:val="16"/>
              </w:rPr>
            </w:pPr>
            <w:r>
              <w:rPr>
                <w:rFonts w:ascii="宋体" w:hAnsi="宋体" w:cs="宋体" w:eastAsia="宋体" w:hint="default"/>
                <w:sz w:val="16"/>
                <w:szCs w:val="16"/>
              </w:rPr>
              <w:t>兴业银行哈尔滨分行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20,000.00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85"/>
              <w:jc w:val="center"/>
              <w:rPr>
                <w:rFonts w:ascii="Times New Roman" w:hAnsi="Times New Roman" w:cs="Times New Roman" w:eastAsia="Times New Roman" w:hint="default"/>
                <w:sz w:val="16"/>
                <w:szCs w:val="16"/>
              </w:rPr>
            </w:pPr>
            <w:r>
              <w:rPr>
                <w:rFonts w:ascii="Times New Roman"/>
                <w:sz w:val="16"/>
              </w:rPr>
              <w:t>2015.01.26-2016.02.26</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1"/>
              <w:jc w:val="center"/>
              <w:rPr>
                <w:rFonts w:ascii="Times New Roman" w:hAnsi="Times New Roman" w:cs="Times New Roman" w:eastAsia="Times New Roman" w:hint="default"/>
                <w:sz w:val="16"/>
                <w:szCs w:val="16"/>
              </w:rPr>
            </w:pPr>
            <w:r>
              <w:rPr>
                <w:rFonts w:ascii="Times New Roman"/>
                <w:sz w:val="16"/>
              </w:rPr>
              <w:t>2015.01.26-2018.02.26</w:t>
            </w:r>
          </w:p>
        </w:tc>
      </w:tr>
      <w:tr>
        <w:trPr>
          <w:trHeight w:val="415"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83"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牡丹江龙江环保供</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9" w:lineRule="exact"/>
              <w:ind w:left="43" w:right="0"/>
              <w:jc w:val="left"/>
              <w:rPr>
                <w:rFonts w:ascii="宋体" w:hAnsi="宋体" w:cs="宋体" w:eastAsia="宋体" w:hint="default"/>
                <w:sz w:val="16"/>
                <w:szCs w:val="16"/>
              </w:rPr>
            </w:pPr>
            <w:r>
              <w:rPr>
                <w:rFonts w:ascii="宋体" w:hAnsi="宋体" w:cs="宋体" w:eastAsia="宋体" w:hint="default"/>
                <w:sz w:val="16"/>
                <w:szCs w:val="16"/>
              </w:rPr>
              <w:t>水有限公司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8" w:right="0"/>
              <w:jc w:val="left"/>
              <w:rPr>
                <w:rFonts w:ascii="宋体" w:hAnsi="宋体" w:cs="宋体" w:eastAsia="宋体" w:hint="default"/>
                <w:sz w:val="16"/>
                <w:szCs w:val="16"/>
              </w:rPr>
            </w:pPr>
            <w:r>
              <w:rPr>
                <w:rFonts w:ascii="宋体" w:hAnsi="宋体" w:cs="宋体" w:eastAsia="宋体" w:hint="default"/>
                <w:spacing w:val="-9"/>
                <w:sz w:val="16"/>
                <w:szCs w:val="16"/>
              </w:rPr>
              <w:t>中建投租赁有限责任公司</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2,771.88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85"/>
              <w:jc w:val="center"/>
              <w:rPr>
                <w:rFonts w:ascii="Times New Roman" w:hAnsi="Times New Roman" w:cs="Times New Roman" w:eastAsia="Times New Roman" w:hint="default"/>
                <w:sz w:val="16"/>
                <w:szCs w:val="16"/>
              </w:rPr>
            </w:pPr>
            <w:r>
              <w:rPr>
                <w:rFonts w:ascii="Times New Roman"/>
                <w:sz w:val="16"/>
              </w:rPr>
              <w:t>2014.04.18-2019.04.18</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2"/>
              <w:jc w:val="center"/>
              <w:rPr>
                <w:rFonts w:ascii="Times New Roman" w:hAnsi="Times New Roman" w:cs="Times New Roman" w:eastAsia="Times New Roman" w:hint="default"/>
                <w:sz w:val="16"/>
                <w:szCs w:val="16"/>
              </w:rPr>
            </w:pPr>
            <w:r>
              <w:rPr>
                <w:rFonts w:ascii="Times New Roman"/>
                <w:sz w:val="16"/>
              </w:rPr>
              <w:t>2014.04.18-2021.04.18</w:t>
            </w:r>
          </w:p>
        </w:tc>
      </w:tr>
      <w:tr>
        <w:trPr>
          <w:trHeight w:val="454"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83"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牡丹江龙江环保水</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9" w:lineRule="exact"/>
              <w:ind w:left="43" w:right="0"/>
              <w:jc w:val="left"/>
              <w:rPr>
                <w:rFonts w:ascii="宋体" w:hAnsi="宋体" w:cs="宋体" w:eastAsia="宋体" w:hint="default"/>
                <w:sz w:val="16"/>
                <w:szCs w:val="16"/>
              </w:rPr>
            </w:pPr>
            <w:r>
              <w:rPr>
                <w:rFonts w:ascii="宋体" w:hAnsi="宋体" w:cs="宋体" w:eastAsia="宋体" w:hint="default"/>
                <w:sz w:val="16"/>
                <w:szCs w:val="16"/>
              </w:rPr>
              <w:t>务有限公司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8" w:right="0"/>
              <w:jc w:val="left"/>
              <w:rPr>
                <w:rFonts w:ascii="宋体" w:hAnsi="宋体" w:cs="宋体" w:eastAsia="宋体" w:hint="default"/>
                <w:sz w:val="16"/>
                <w:szCs w:val="16"/>
              </w:rPr>
            </w:pPr>
            <w:r>
              <w:rPr>
                <w:rFonts w:ascii="宋体" w:hAnsi="宋体" w:cs="宋体" w:eastAsia="宋体" w:hint="default"/>
                <w:sz w:val="16"/>
                <w:szCs w:val="16"/>
              </w:rPr>
              <w:t>北京银行清华园支行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4,300.00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85"/>
              <w:jc w:val="center"/>
              <w:rPr>
                <w:rFonts w:ascii="Times New Roman" w:hAnsi="Times New Roman" w:cs="Times New Roman" w:eastAsia="Times New Roman" w:hint="default"/>
                <w:sz w:val="16"/>
                <w:szCs w:val="16"/>
              </w:rPr>
            </w:pPr>
            <w:r>
              <w:rPr>
                <w:rFonts w:ascii="Times New Roman"/>
                <w:sz w:val="16"/>
              </w:rPr>
              <w:t>2013.09.27-2019.09.26</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2"/>
              <w:jc w:val="center"/>
              <w:rPr>
                <w:rFonts w:ascii="Times New Roman" w:hAnsi="Times New Roman" w:cs="Times New Roman" w:eastAsia="Times New Roman" w:hint="default"/>
                <w:sz w:val="16"/>
                <w:szCs w:val="16"/>
              </w:rPr>
            </w:pPr>
            <w:r>
              <w:rPr>
                <w:rFonts w:ascii="Times New Roman"/>
                <w:sz w:val="16"/>
              </w:rPr>
              <w:t>2013.09.27-2021.09.26</w:t>
            </w:r>
          </w:p>
        </w:tc>
      </w:tr>
      <w:tr>
        <w:trPr>
          <w:trHeight w:val="337" w:hRule="exact"/>
        </w:trPr>
        <w:tc>
          <w:tcPr>
            <w:tcW w:w="1465" w:type="dxa"/>
            <w:vMerge w:val="restart"/>
            <w:tcBorders>
              <w:top w:val="nil" w:sz="6" w:space="0" w:color="auto"/>
              <w:left w:val="nil" w:sz="6" w:space="0" w:color="auto"/>
              <w:right w:val="nil" w:sz="6" w:space="0" w:color="auto"/>
            </w:tcBorders>
          </w:tcPr>
          <w:p>
            <w:pPr>
              <w:pStyle w:val="TableParagraph"/>
              <w:spacing w:line="206" w:lineRule="exact" w:before="34"/>
              <w:ind w:left="43" w:right="18"/>
              <w:jc w:val="left"/>
              <w:rPr>
                <w:rFonts w:ascii="宋体" w:hAnsi="宋体" w:cs="宋体" w:eastAsia="宋体" w:hint="default"/>
                <w:sz w:val="16"/>
                <w:szCs w:val="16"/>
              </w:rPr>
            </w:pPr>
            <w:r>
              <w:rPr>
                <w:rFonts w:ascii="宋体" w:hAnsi="宋体" w:cs="宋体" w:eastAsia="宋体" w:hint="default"/>
                <w:spacing w:val="11"/>
                <w:sz w:val="16"/>
                <w:szCs w:val="16"/>
              </w:rPr>
              <w:t>南通同方半导体有</w:t>
            </w:r>
            <w:r>
              <w:rPr>
                <w:rFonts w:ascii="宋体" w:hAnsi="宋体" w:cs="宋体" w:eastAsia="宋体" w:hint="default"/>
                <w:spacing w:val="-64"/>
                <w:sz w:val="16"/>
                <w:szCs w:val="16"/>
              </w:rPr>
              <w:t> </w:t>
            </w:r>
            <w:r>
              <w:rPr>
                <w:rFonts w:ascii="宋体" w:hAnsi="宋体" w:cs="宋体" w:eastAsia="宋体" w:hint="default"/>
                <w:sz w:val="16"/>
                <w:szCs w:val="16"/>
              </w:rPr>
              <w:t>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18" w:right="0"/>
              <w:jc w:val="left"/>
              <w:rPr>
                <w:rFonts w:ascii="宋体" w:hAnsi="宋体" w:cs="宋体" w:eastAsia="宋体" w:hint="default"/>
                <w:sz w:val="16"/>
                <w:szCs w:val="16"/>
              </w:rPr>
            </w:pPr>
            <w:r>
              <w:rPr>
                <w:rFonts w:ascii="宋体" w:hAnsi="宋体" w:cs="宋体" w:eastAsia="宋体" w:hint="default"/>
                <w:spacing w:val="-9"/>
                <w:sz w:val="16"/>
                <w:szCs w:val="16"/>
              </w:rPr>
              <w:t>国家开发银行江苏省分行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12,370.00</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万美元</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2"/>
                <w:szCs w:val="12"/>
              </w:rPr>
            </w:pPr>
          </w:p>
          <w:p>
            <w:pPr>
              <w:pStyle w:val="TableParagraph"/>
              <w:spacing w:line="240" w:lineRule="auto"/>
              <w:ind w:right="85"/>
              <w:jc w:val="center"/>
              <w:rPr>
                <w:rFonts w:ascii="Times New Roman" w:hAnsi="Times New Roman" w:cs="Times New Roman" w:eastAsia="Times New Roman" w:hint="default"/>
                <w:sz w:val="16"/>
                <w:szCs w:val="16"/>
              </w:rPr>
            </w:pPr>
            <w:r>
              <w:rPr>
                <w:rFonts w:ascii="Times New Roman"/>
                <w:sz w:val="16"/>
              </w:rPr>
              <w:t>2011.04.25-2020.03.24</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2"/>
                <w:szCs w:val="12"/>
              </w:rPr>
            </w:pPr>
          </w:p>
          <w:p>
            <w:pPr>
              <w:pStyle w:val="TableParagraph"/>
              <w:spacing w:line="240" w:lineRule="auto"/>
              <w:ind w:right="32"/>
              <w:jc w:val="center"/>
              <w:rPr>
                <w:rFonts w:ascii="Times New Roman" w:hAnsi="Times New Roman" w:cs="Times New Roman" w:eastAsia="Times New Roman" w:hint="default"/>
                <w:sz w:val="16"/>
                <w:szCs w:val="16"/>
              </w:rPr>
            </w:pPr>
            <w:r>
              <w:rPr>
                <w:rFonts w:ascii="Times New Roman"/>
                <w:sz w:val="16"/>
              </w:rPr>
              <w:t>2011.04.25-2022.03.24</w:t>
            </w:r>
          </w:p>
        </w:tc>
      </w:tr>
      <w:tr>
        <w:trPr>
          <w:trHeight w:val="197" w:hRule="exact"/>
        </w:trPr>
        <w:tc>
          <w:tcPr>
            <w:tcW w:w="1465" w:type="dxa"/>
            <w:vMerge/>
            <w:tcBorders>
              <w:left w:val="nil" w:sz="6" w:space="0" w:color="auto"/>
              <w:bottom w:val="nil" w:sz="6" w:space="0" w:color="auto"/>
              <w:right w:val="nil" w:sz="6" w:space="0" w:color="auto"/>
            </w:tcBorders>
          </w:tcPr>
          <w:p>
            <w:pPr/>
          </w:p>
        </w:tc>
        <w:tc>
          <w:tcPr>
            <w:tcW w:w="1948"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nil" w:sz="6" w:space="0" w:color="auto"/>
              <w:right w:val="nil" w:sz="6" w:space="0" w:color="auto"/>
            </w:tcBorders>
          </w:tcPr>
          <w:p>
            <w:pPr>
              <w:pStyle w:val="TableParagraph"/>
              <w:spacing w:line="180" w:lineRule="exact"/>
              <w:ind w:left="-36" w:right="77"/>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80,325.83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
        </w:tc>
        <w:tc>
          <w:tcPr>
            <w:tcW w:w="1861" w:type="dxa"/>
            <w:tcBorders>
              <w:top w:val="nil" w:sz="6" w:space="0" w:color="auto"/>
              <w:left w:val="nil" w:sz="6" w:space="0" w:color="auto"/>
              <w:bottom w:val="nil" w:sz="6" w:space="0" w:color="auto"/>
              <w:right w:val="nil" w:sz="6" w:space="0" w:color="auto"/>
            </w:tcBorders>
          </w:tcPr>
          <w:p>
            <w:pPr/>
          </w:p>
        </w:tc>
      </w:tr>
      <w:tr>
        <w:trPr>
          <w:trHeight w:val="411"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79"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南通同方半导体有</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8" w:lineRule="exact"/>
              <w:ind w:left="43" w:right="0"/>
              <w:jc w:val="left"/>
              <w:rPr>
                <w:rFonts w:ascii="宋体" w:hAnsi="宋体" w:cs="宋体" w:eastAsia="宋体" w:hint="default"/>
                <w:sz w:val="16"/>
                <w:szCs w:val="16"/>
              </w:rPr>
            </w:pPr>
            <w:r>
              <w:rPr>
                <w:rFonts w:ascii="宋体" w:hAnsi="宋体" w:cs="宋体" w:eastAsia="宋体" w:hint="default"/>
                <w:sz w:val="16"/>
                <w:szCs w:val="16"/>
              </w:rPr>
              <w:t>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8" w:right="0"/>
              <w:jc w:val="left"/>
              <w:rPr>
                <w:rFonts w:ascii="宋体" w:hAnsi="宋体" w:cs="宋体" w:eastAsia="宋体" w:hint="default"/>
                <w:sz w:val="16"/>
                <w:szCs w:val="16"/>
              </w:rPr>
            </w:pPr>
            <w:r>
              <w:rPr>
                <w:rFonts w:ascii="宋体" w:hAnsi="宋体" w:cs="宋体" w:eastAsia="宋体" w:hint="default"/>
                <w:spacing w:val="-9"/>
                <w:sz w:val="16"/>
                <w:szCs w:val="16"/>
              </w:rPr>
              <w:t>国家开发银行江苏省分行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35,400.00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85"/>
              <w:jc w:val="center"/>
              <w:rPr>
                <w:rFonts w:ascii="Times New Roman" w:hAnsi="Times New Roman" w:cs="Times New Roman" w:eastAsia="Times New Roman" w:hint="default"/>
                <w:sz w:val="16"/>
                <w:szCs w:val="16"/>
              </w:rPr>
            </w:pPr>
            <w:r>
              <w:rPr>
                <w:rFonts w:ascii="Times New Roman"/>
                <w:sz w:val="16"/>
              </w:rPr>
              <w:t>2011.08.10-2020.04.24</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2"/>
              <w:jc w:val="center"/>
              <w:rPr>
                <w:rFonts w:ascii="Times New Roman" w:hAnsi="Times New Roman" w:cs="Times New Roman" w:eastAsia="Times New Roman" w:hint="default"/>
                <w:sz w:val="16"/>
                <w:szCs w:val="16"/>
              </w:rPr>
            </w:pPr>
            <w:r>
              <w:rPr>
                <w:rFonts w:ascii="Times New Roman"/>
                <w:sz w:val="16"/>
              </w:rPr>
              <w:t>2011.08.10-2022.04.24</w:t>
            </w:r>
          </w:p>
        </w:tc>
      </w:tr>
      <w:tr>
        <w:trPr>
          <w:trHeight w:val="453"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83"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南通同方半导体有</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8" w:lineRule="exact"/>
              <w:ind w:left="43" w:right="0"/>
              <w:jc w:val="left"/>
              <w:rPr>
                <w:rFonts w:ascii="宋体" w:hAnsi="宋体" w:cs="宋体" w:eastAsia="宋体" w:hint="default"/>
                <w:sz w:val="16"/>
                <w:szCs w:val="16"/>
              </w:rPr>
            </w:pPr>
            <w:r>
              <w:rPr>
                <w:rFonts w:ascii="宋体" w:hAnsi="宋体" w:cs="宋体" w:eastAsia="宋体" w:hint="default"/>
                <w:sz w:val="16"/>
                <w:szCs w:val="16"/>
              </w:rPr>
              <w:t>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183" w:lineRule="exact"/>
              <w:ind w:left="18" w:right="0"/>
              <w:jc w:val="left"/>
              <w:rPr>
                <w:rFonts w:ascii="宋体" w:hAnsi="宋体" w:cs="宋体" w:eastAsia="宋体" w:hint="default"/>
                <w:sz w:val="16"/>
                <w:szCs w:val="16"/>
              </w:rPr>
            </w:pPr>
            <w:r>
              <w:rPr>
                <w:rFonts w:ascii="宋体" w:hAnsi="宋体" w:cs="宋体" w:eastAsia="宋体" w:hint="default"/>
                <w:spacing w:val="13"/>
                <w:sz w:val="16"/>
                <w:szCs w:val="16"/>
              </w:rPr>
              <w:t>建设银行南通经济技术</w:t>
            </w:r>
          </w:p>
          <w:p>
            <w:pPr>
              <w:pStyle w:val="TableParagraph"/>
              <w:spacing w:line="208" w:lineRule="exact"/>
              <w:ind w:left="18" w:right="0"/>
              <w:jc w:val="left"/>
              <w:rPr>
                <w:rFonts w:ascii="宋体" w:hAnsi="宋体" w:cs="宋体" w:eastAsia="宋体" w:hint="default"/>
                <w:sz w:val="16"/>
                <w:szCs w:val="16"/>
              </w:rPr>
            </w:pPr>
            <w:r>
              <w:rPr>
                <w:rFonts w:ascii="宋体" w:hAnsi="宋体" w:cs="宋体" w:eastAsia="宋体" w:hint="default"/>
                <w:sz w:val="16"/>
                <w:szCs w:val="16"/>
              </w:rPr>
              <w:t>开发区支行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5,000.00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86"/>
              <w:jc w:val="center"/>
              <w:rPr>
                <w:rFonts w:ascii="Times New Roman" w:hAnsi="Times New Roman" w:cs="Times New Roman" w:eastAsia="Times New Roman" w:hint="default"/>
                <w:sz w:val="16"/>
                <w:szCs w:val="16"/>
              </w:rPr>
            </w:pPr>
            <w:r>
              <w:rPr>
                <w:rFonts w:ascii="Times New Roman"/>
                <w:sz w:val="16"/>
              </w:rPr>
              <w:t>2015.02.04-2016.04.08</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3"/>
              <w:jc w:val="center"/>
              <w:rPr>
                <w:rFonts w:ascii="Times New Roman" w:hAnsi="Times New Roman" w:cs="Times New Roman" w:eastAsia="Times New Roman" w:hint="default"/>
                <w:sz w:val="16"/>
                <w:szCs w:val="16"/>
              </w:rPr>
            </w:pPr>
            <w:r>
              <w:rPr>
                <w:rFonts w:ascii="Times New Roman"/>
                <w:sz w:val="16"/>
              </w:rPr>
              <w:t>2015.02.04-2018.04.08</w:t>
            </w:r>
          </w:p>
        </w:tc>
      </w:tr>
      <w:tr>
        <w:trPr>
          <w:trHeight w:val="338" w:hRule="exact"/>
        </w:trPr>
        <w:tc>
          <w:tcPr>
            <w:tcW w:w="1465" w:type="dxa"/>
            <w:vMerge w:val="restart"/>
            <w:tcBorders>
              <w:top w:val="nil" w:sz="6" w:space="0" w:color="auto"/>
              <w:left w:val="nil" w:sz="6" w:space="0" w:color="auto"/>
              <w:right w:val="nil" w:sz="6" w:space="0" w:color="auto"/>
            </w:tcBorders>
          </w:tcPr>
          <w:p>
            <w:pPr>
              <w:pStyle w:val="TableParagraph"/>
              <w:spacing w:line="240" w:lineRule="auto" w:before="12"/>
              <w:ind w:left="43" w:right="18"/>
              <w:jc w:val="left"/>
              <w:rPr>
                <w:rFonts w:ascii="宋体" w:hAnsi="宋体" w:cs="宋体" w:eastAsia="宋体" w:hint="default"/>
                <w:sz w:val="16"/>
                <w:szCs w:val="16"/>
              </w:rPr>
            </w:pPr>
            <w:r>
              <w:rPr>
                <w:rFonts w:ascii="宋体" w:hAnsi="宋体" w:cs="宋体" w:eastAsia="宋体" w:hint="default"/>
                <w:spacing w:val="11"/>
                <w:sz w:val="16"/>
                <w:szCs w:val="16"/>
              </w:rPr>
              <w:t>南通同方半导体有</w:t>
            </w:r>
            <w:r>
              <w:rPr>
                <w:rFonts w:ascii="宋体" w:hAnsi="宋体" w:cs="宋体" w:eastAsia="宋体" w:hint="default"/>
                <w:spacing w:val="-64"/>
                <w:sz w:val="16"/>
                <w:szCs w:val="16"/>
              </w:rPr>
              <w:t> </w:t>
            </w:r>
            <w:r>
              <w:rPr>
                <w:rFonts w:ascii="宋体" w:hAnsi="宋体" w:cs="宋体" w:eastAsia="宋体" w:hint="default"/>
                <w:sz w:val="16"/>
                <w:szCs w:val="16"/>
              </w:rPr>
              <w:t>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18" w:right="0"/>
              <w:jc w:val="left"/>
              <w:rPr>
                <w:rFonts w:ascii="宋体" w:hAnsi="宋体" w:cs="宋体" w:eastAsia="宋体" w:hint="default"/>
                <w:sz w:val="16"/>
                <w:szCs w:val="16"/>
              </w:rPr>
            </w:pPr>
            <w:r>
              <w:rPr>
                <w:rFonts w:ascii="宋体" w:hAnsi="宋体" w:cs="宋体" w:eastAsia="宋体" w:hint="default"/>
                <w:sz w:val="16"/>
                <w:szCs w:val="16"/>
              </w:rPr>
              <w:t>中国银行南通分行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887.25</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万美元</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2"/>
                <w:szCs w:val="12"/>
              </w:rPr>
            </w:pPr>
          </w:p>
          <w:p>
            <w:pPr>
              <w:pStyle w:val="TableParagraph"/>
              <w:spacing w:line="240" w:lineRule="auto"/>
              <w:ind w:right="86"/>
              <w:jc w:val="center"/>
              <w:rPr>
                <w:rFonts w:ascii="Times New Roman" w:hAnsi="Times New Roman" w:cs="Times New Roman" w:eastAsia="Times New Roman" w:hint="default"/>
                <w:sz w:val="16"/>
                <w:szCs w:val="16"/>
              </w:rPr>
            </w:pPr>
            <w:r>
              <w:rPr>
                <w:rFonts w:ascii="Times New Roman"/>
                <w:sz w:val="16"/>
              </w:rPr>
              <w:t>2015.01.16-2016.11.09</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2"/>
                <w:szCs w:val="12"/>
              </w:rPr>
            </w:pPr>
          </w:p>
          <w:p>
            <w:pPr>
              <w:pStyle w:val="TableParagraph"/>
              <w:spacing w:line="240" w:lineRule="auto"/>
              <w:ind w:right="33"/>
              <w:jc w:val="center"/>
              <w:rPr>
                <w:rFonts w:ascii="Times New Roman" w:hAnsi="Times New Roman" w:cs="Times New Roman" w:eastAsia="Times New Roman" w:hint="default"/>
                <w:sz w:val="16"/>
                <w:szCs w:val="16"/>
              </w:rPr>
            </w:pPr>
            <w:r>
              <w:rPr>
                <w:rFonts w:ascii="Times New Roman"/>
                <w:sz w:val="16"/>
              </w:rPr>
              <w:t>2015.01.16-2018.11.09</w:t>
            </w:r>
          </w:p>
        </w:tc>
      </w:tr>
      <w:tr>
        <w:trPr>
          <w:trHeight w:val="197" w:hRule="exact"/>
        </w:trPr>
        <w:tc>
          <w:tcPr>
            <w:tcW w:w="1465" w:type="dxa"/>
            <w:vMerge/>
            <w:tcBorders>
              <w:left w:val="nil" w:sz="6" w:space="0" w:color="auto"/>
              <w:bottom w:val="nil" w:sz="6" w:space="0" w:color="auto"/>
              <w:right w:val="nil" w:sz="6" w:space="0" w:color="auto"/>
            </w:tcBorders>
          </w:tcPr>
          <w:p>
            <w:pPr/>
          </w:p>
        </w:tc>
        <w:tc>
          <w:tcPr>
            <w:tcW w:w="1948"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nil" w:sz="6" w:space="0" w:color="auto"/>
              <w:right w:val="nil" w:sz="6" w:space="0" w:color="auto"/>
            </w:tcBorders>
          </w:tcPr>
          <w:p>
            <w:pPr>
              <w:pStyle w:val="TableParagraph"/>
              <w:spacing w:line="182" w:lineRule="exact"/>
              <w:ind w:right="77"/>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5,761.45</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
        </w:tc>
        <w:tc>
          <w:tcPr>
            <w:tcW w:w="1861" w:type="dxa"/>
            <w:tcBorders>
              <w:top w:val="nil" w:sz="6" w:space="0" w:color="auto"/>
              <w:left w:val="nil" w:sz="6" w:space="0" w:color="auto"/>
              <w:bottom w:val="nil" w:sz="6" w:space="0" w:color="auto"/>
              <w:right w:val="nil" w:sz="6" w:space="0" w:color="auto"/>
            </w:tcBorders>
          </w:tcPr>
          <w:p>
            <w:pPr/>
          </w:p>
        </w:tc>
      </w:tr>
      <w:tr>
        <w:trPr>
          <w:trHeight w:val="411"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79"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南通同方半导体有</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9" w:lineRule="exact"/>
              <w:ind w:left="43" w:right="0"/>
              <w:jc w:val="left"/>
              <w:rPr>
                <w:rFonts w:ascii="宋体" w:hAnsi="宋体" w:cs="宋体" w:eastAsia="宋体" w:hint="default"/>
                <w:sz w:val="16"/>
                <w:szCs w:val="16"/>
              </w:rPr>
            </w:pPr>
            <w:r>
              <w:rPr>
                <w:rFonts w:ascii="宋体" w:hAnsi="宋体" w:cs="宋体" w:eastAsia="宋体" w:hint="default"/>
                <w:sz w:val="16"/>
                <w:szCs w:val="16"/>
              </w:rPr>
              <w:t>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8" w:right="0"/>
              <w:jc w:val="left"/>
              <w:rPr>
                <w:rFonts w:ascii="宋体" w:hAnsi="宋体" w:cs="宋体" w:eastAsia="宋体" w:hint="default"/>
                <w:sz w:val="16"/>
                <w:szCs w:val="16"/>
              </w:rPr>
            </w:pPr>
            <w:r>
              <w:rPr>
                <w:rFonts w:ascii="宋体" w:hAnsi="宋体" w:cs="宋体" w:eastAsia="宋体" w:hint="default"/>
                <w:sz w:val="16"/>
                <w:szCs w:val="16"/>
              </w:rPr>
              <w:t>中国银行南通分行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2,800.00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85"/>
              <w:jc w:val="center"/>
              <w:rPr>
                <w:rFonts w:ascii="Times New Roman" w:hAnsi="Times New Roman" w:cs="Times New Roman" w:eastAsia="Times New Roman" w:hint="default"/>
                <w:sz w:val="16"/>
                <w:szCs w:val="16"/>
              </w:rPr>
            </w:pPr>
            <w:r>
              <w:rPr>
                <w:rFonts w:ascii="Times New Roman"/>
                <w:sz w:val="16"/>
              </w:rPr>
              <w:t>2015.07.13-2016.11.18</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31"/>
              <w:jc w:val="center"/>
              <w:rPr>
                <w:rFonts w:ascii="Times New Roman" w:hAnsi="Times New Roman" w:cs="Times New Roman" w:eastAsia="Times New Roman" w:hint="default"/>
                <w:sz w:val="16"/>
                <w:szCs w:val="16"/>
              </w:rPr>
            </w:pPr>
            <w:r>
              <w:rPr>
                <w:rFonts w:ascii="Times New Roman"/>
                <w:sz w:val="16"/>
              </w:rPr>
              <w:t>2015.07.13-2018.11.18</w:t>
            </w:r>
          </w:p>
        </w:tc>
      </w:tr>
      <w:tr>
        <w:trPr>
          <w:trHeight w:val="415"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83"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南通同方科技园有</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9" w:lineRule="exact"/>
              <w:ind w:left="43" w:right="0"/>
              <w:jc w:val="left"/>
              <w:rPr>
                <w:rFonts w:ascii="宋体" w:hAnsi="宋体" w:cs="宋体" w:eastAsia="宋体" w:hint="default"/>
                <w:sz w:val="16"/>
                <w:szCs w:val="16"/>
              </w:rPr>
            </w:pPr>
            <w:r>
              <w:rPr>
                <w:rFonts w:ascii="宋体" w:hAnsi="宋体" w:cs="宋体" w:eastAsia="宋体" w:hint="default"/>
                <w:sz w:val="16"/>
                <w:szCs w:val="16"/>
              </w:rPr>
              <w:t>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8" w:right="0"/>
              <w:jc w:val="left"/>
              <w:rPr>
                <w:rFonts w:ascii="宋体" w:hAnsi="宋体" w:cs="宋体" w:eastAsia="宋体" w:hint="default"/>
                <w:sz w:val="16"/>
                <w:szCs w:val="16"/>
              </w:rPr>
            </w:pPr>
            <w:r>
              <w:rPr>
                <w:rFonts w:ascii="宋体" w:hAnsi="宋体" w:cs="宋体" w:eastAsia="宋体" w:hint="default"/>
                <w:spacing w:val="-9"/>
                <w:sz w:val="16"/>
                <w:szCs w:val="16"/>
              </w:rPr>
              <w:t>国家开发银行江苏省分行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14,000.00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85"/>
              <w:jc w:val="center"/>
              <w:rPr>
                <w:rFonts w:ascii="Times New Roman" w:hAnsi="Times New Roman" w:cs="Times New Roman" w:eastAsia="Times New Roman" w:hint="default"/>
                <w:sz w:val="16"/>
                <w:szCs w:val="16"/>
              </w:rPr>
            </w:pPr>
            <w:r>
              <w:rPr>
                <w:rFonts w:ascii="Times New Roman"/>
                <w:sz w:val="16"/>
              </w:rPr>
              <w:t>2011.04.28-2023.04.24</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2"/>
              <w:jc w:val="center"/>
              <w:rPr>
                <w:rFonts w:ascii="Times New Roman" w:hAnsi="Times New Roman" w:cs="Times New Roman" w:eastAsia="Times New Roman" w:hint="default"/>
                <w:sz w:val="16"/>
                <w:szCs w:val="16"/>
              </w:rPr>
            </w:pPr>
            <w:r>
              <w:rPr>
                <w:rFonts w:ascii="Times New Roman"/>
                <w:sz w:val="16"/>
              </w:rPr>
              <w:t>2011.04.28-2025.04.24</w:t>
            </w:r>
          </w:p>
        </w:tc>
      </w:tr>
      <w:tr>
        <w:trPr>
          <w:trHeight w:val="452"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82"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山东同方鲁颖电子</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8" w:lineRule="exact"/>
              <w:ind w:left="43" w:right="0"/>
              <w:jc w:val="left"/>
              <w:rPr>
                <w:rFonts w:ascii="宋体" w:hAnsi="宋体" w:cs="宋体" w:eastAsia="宋体" w:hint="default"/>
                <w:sz w:val="16"/>
                <w:szCs w:val="16"/>
              </w:rPr>
            </w:pPr>
            <w:r>
              <w:rPr>
                <w:rFonts w:ascii="宋体" w:hAnsi="宋体" w:cs="宋体" w:eastAsia="宋体" w:hint="default"/>
                <w:sz w:val="16"/>
                <w:szCs w:val="16"/>
              </w:rPr>
              <w:t>有限公司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8" w:right="0"/>
              <w:jc w:val="left"/>
              <w:rPr>
                <w:rFonts w:ascii="宋体" w:hAnsi="宋体" w:cs="宋体" w:eastAsia="宋体" w:hint="default"/>
                <w:sz w:val="16"/>
                <w:szCs w:val="16"/>
              </w:rPr>
            </w:pPr>
            <w:r>
              <w:rPr>
                <w:rFonts w:ascii="宋体" w:hAnsi="宋体" w:cs="宋体" w:eastAsia="宋体" w:hint="default"/>
                <w:sz w:val="16"/>
                <w:szCs w:val="16"/>
              </w:rPr>
              <w:t>工商银行沂南县支行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85"/>
              <w:jc w:val="center"/>
              <w:rPr>
                <w:rFonts w:ascii="Times New Roman" w:hAnsi="Times New Roman" w:cs="Times New Roman" w:eastAsia="Times New Roman" w:hint="default"/>
                <w:sz w:val="16"/>
                <w:szCs w:val="16"/>
              </w:rPr>
            </w:pPr>
            <w:r>
              <w:rPr>
                <w:rFonts w:ascii="Times New Roman"/>
                <w:sz w:val="16"/>
              </w:rPr>
              <w:t>2015.04.01-2016.03.20</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1"/>
              <w:jc w:val="center"/>
              <w:rPr>
                <w:rFonts w:ascii="Times New Roman" w:hAnsi="Times New Roman" w:cs="Times New Roman" w:eastAsia="Times New Roman" w:hint="default"/>
                <w:sz w:val="16"/>
                <w:szCs w:val="16"/>
              </w:rPr>
            </w:pPr>
            <w:r>
              <w:rPr>
                <w:rFonts w:ascii="Times New Roman"/>
                <w:sz w:val="16"/>
              </w:rPr>
              <w:t>2015.04.01-2018.03.20</w:t>
            </w:r>
          </w:p>
        </w:tc>
      </w:tr>
      <w:tr>
        <w:trPr>
          <w:trHeight w:val="338" w:hRule="exact"/>
        </w:trPr>
        <w:tc>
          <w:tcPr>
            <w:tcW w:w="1465" w:type="dxa"/>
            <w:vMerge w:val="restart"/>
            <w:tcBorders>
              <w:top w:val="nil" w:sz="6" w:space="0" w:color="auto"/>
              <w:left w:val="nil" w:sz="6" w:space="0" w:color="auto"/>
              <w:right w:val="nil" w:sz="6" w:space="0" w:color="auto"/>
            </w:tcBorders>
          </w:tcPr>
          <w:p>
            <w:pPr>
              <w:pStyle w:val="TableParagraph"/>
              <w:spacing w:line="206" w:lineRule="exact" w:before="35"/>
              <w:ind w:left="43" w:right="18"/>
              <w:jc w:val="left"/>
              <w:rPr>
                <w:rFonts w:ascii="宋体" w:hAnsi="宋体" w:cs="宋体" w:eastAsia="宋体" w:hint="default"/>
                <w:sz w:val="16"/>
                <w:szCs w:val="16"/>
              </w:rPr>
            </w:pPr>
            <w:r>
              <w:rPr>
                <w:rFonts w:ascii="宋体" w:hAnsi="宋体" w:cs="宋体" w:eastAsia="宋体" w:hint="default"/>
                <w:spacing w:val="11"/>
                <w:sz w:val="16"/>
                <w:szCs w:val="16"/>
              </w:rPr>
              <w:t>沈阳同方多媒体科</w:t>
            </w:r>
            <w:r>
              <w:rPr>
                <w:rFonts w:ascii="宋体" w:hAnsi="宋体" w:cs="宋体" w:eastAsia="宋体" w:hint="default"/>
                <w:spacing w:val="-64"/>
                <w:sz w:val="16"/>
                <w:szCs w:val="16"/>
              </w:rPr>
              <w:t> </w:t>
            </w:r>
            <w:r>
              <w:rPr>
                <w:rFonts w:ascii="宋体" w:hAnsi="宋体" w:cs="宋体" w:eastAsia="宋体" w:hint="default"/>
                <w:sz w:val="16"/>
                <w:szCs w:val="16"/>
              </w:rPr>
              <w:t>技有限公司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18" w:right="0"/>
              <w:jc w:val="left"/>
              <w:rPr>
                <w:rFonts w:ascii="宋体" w:hAnsi="宋体" w:cs="宋体" w:eastAsia="宋体" w:hint="default"/>
                <w:sz w:val="16"/>
                <w:szCs w:val="16"/>
              </w:rPr>
            </w:pPr>
            <w:r>
              <w:rPr>
                <w:rFonts w:ascii="宋体" w:hAnsi="宋体" w:cs="宋体" w:eastAsia="宋体" w:hint="default"/>
                <w:sz w:val="16"/>
                <w:szCs w:val="16"/>
              </w:rPr>
              <w:t>建设银行沈阳城内支行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3,771.00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万美元</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3"/>
                <w:szCs w:val="13"/>
              </w:rPr>
            </w:pPr>
          </w:p>
          <w:p>
            <w:pPr>
              <w:pStyle w:val="TableParagraph"/>
              <w:spacing w:line="240" w:lineRule="auto"/>
              <w:ind w:right="86"/>
              <w:jc w:val="center"/>
              <w:rPr>
                <w:rFonts w:ascii="Times New Roman" w:hAnsi="Times New Roman" w:cs="Times New Roman" w:eastAsia="Times New Roman" w:hint="default"/>
                <w:sz w:val="16"/>
                <w:szCs w:val="16"/>
              </w:rPr>
            </w:pPr>
            <w:r>
              <w:rPr>
                <w:rFonts w:ascii="Times New Roman"/>
                <w:sz w:val="16"/>
              </w:rPr>
              <w:t>2015.08.06-2016.11.22</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3"/>
                <w:szCs w:val="13"/>
              </w:rPr>
            </w:pPr>
          </w:p>
          <w:p>
            <w:pPr>
              <w:pStyle w:val="TableParagraph"/>
              <w:spacing w:line="240" w:lineRule="auto"/>
              <w:ind w:right="33"/>
              <w:jc w:val="center"/>
              <w:rPr>
                <w:rFonts w:ascii="Times New Roman" w:hAnsi="Times New Roman" w:cs="Times New Roman" w:eastAsia="Times New Roman" w:hint="default"/>
                <w:sz w:val="16"/>
                <w:szCs w:val="16"/>
              </w:rPr>
            </w:pPr>
            <w:r>
              <w:rPr>
                <w:rFonts w:ascii="Times New Roman"/>
                <w:sz w:val="16"/>
              </w:rPr>
              <w:t>2015.08.06-2018.11.22</w:t>
            </w:r>
          </w:p>
        </w:tc>
      </w:tr>
      <w:tr>
        <w:trPr>
          <w:trHeight w:val="197" w:hRule="exact"/>
        </w:trPr>
        <w:tc>
          <w:tcPr>
            <w:tcW w:w="1465" w:type="dxa"/>
            <w:vMerge/>
            <w:tcBorders>
              <w:left w:val="nil" w:sz="6" w:space="0" w:color="auto"/>
              <w:bottom w:val="nil" w:sz="6" w:space="0" w:color="auto"/>
              <w:right w:val="nil" w:sz="6" w:space="0" w:color="auto"/>
            </w:tcBorders>
          </w:tcPr>
          <w:p>
            <w:pPr/>
          </w:p>
        </w:tc>
        <w:tc>
          <w:tcPr>
            <w:tcW w:w="1948"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nil" w:sz="6" w:space="0" w:color="auto"/>
              <w:right w:val="nil" w:sz="6" w:space="0" w:color="auto"/>
            </w:tcBorders>
          </w:tcPr>
          <w:p>
            <w:pPr>
              <w:pStyle w:val="TableParagraph"/>
              <w:spacing w:line="180" w:lineRule="exact"/>
              <w:ind w:left="-36" w:right="77"/>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24,487.37</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
        </w:tc>
        <w:tc>
          <w:tcPr>
            <w:tcW w:w="1861" w:type="dxa"/>
            <w:tcBorders>
              <w:top w:val="nil" w:sz="6" w:space="0" w:color="auto"/>
              <w:left w:val="nil" w:sz="6" w:space="0" w:color="auto"/>
              <w:bottom w:val="nil" w:sz="6" w:space="0" w:color="auto"/>
              <w:right w:val="nil" w:sz="6" w:space="0" w:color="auto"/>
            </w:tcBorders>
          </w:tcPr>
          <w:p>
            <w:pPr/>
          </w:p>
        </w:tc>
      </w:tr>
      <w:tr>
        <w:trPr>
          <w:trHeight w:val="430"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79"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同方电子科技有限</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8" w:lineRule="exact"/>
              <w:ind w:left="43" w:right="0"/>
              <w:jc w:val="left"/>
              <w:rPr>
                <w:rFonts w:ascii="宋体" w:hAnsi="宋体" w:cs="宋体" w:eastAsia="宋体" w:hint="default"/>
                <w:sz w:val="16"/>
                <w:szCs w:val="16"/>
              </w:rPr>
            </w:pPr>
            <w:r>
              <w:rPr>
                <w:rFonts w:ascii="宋体" w:hAnsi="宋体" w:cs="宋体" w:eastAsia="宋体" w:hint="default"/>
                <w:sz w:val="16"/>
                <w:szCs w:val="16"/>
              </w:rPr>
              <w:t>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8" w:right="0"/>
              <w:jc w:val="left"/>
              <w:rPr>
                <w:rFonts w:ascii="宋体" w:hAnsi="宋体" w:cs="宋体" w:eastAsia="宋体" w:hint="default"/>
                <w:sz w:val="16"/>
                <w:szCs w:val="16"/>
              </w:rPr>
            </w:pPr>
            <w:r>
              <w:rPr>
                <w:rFonts w:ascii="宋体" w:hAnsi="宋体" w:cs="宋体" w:eastAsia="宋体" w:hint="default"/>
                <w:spacing w:val="-9"/>
                <w:sz w:val="16"/>
                <w:szCs w:val="16"/>
              </w:rPr>
              <w:t>工商银行九江市浔中支行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2,000.00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86"/>
              <w:jc w:val="center"/>
              <w:rPr>
                <w:rFonts w:ascii="Times New Roman" w:hAnsi="Times New Roman" w:cs="Times New Roman" w:eastAsia="Times New Roman" w:hint="default"/>
                <w:sz w:val="16"/>
                <w:szCs w:val="16"/>
              </w:rPr>
            </w:pPr>
            <w:r>
              <w:rPr>
                <w:rFonts w:ascii="Times New Roman"/>
                <w:sz w:val="16"/>
              </w:rPr>
              <w:t>2015.11.19-2016.11.18</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center"/>
              <w:rPr>
                <w:rFonts w:ascii="Times New Roman" w:hAnsi="Times New Roman" w:cs="Times New Roman" w:eastAsia="Times New Roman" w:hint="default"/>
                <w:sz w:val="16"/>
                <w:szCs w:val="16"/>
              </w:rPr>
            </w:pPr>
            <w:r>
              <w:rPr>
                <w:rFonts w:ascii="Times New Roman"/>
                <w:sz w:val="16"/>
              </w:rPr>
              <w:t>2015.11.19-2018.11.18</w:t>
            </w:r>
          </w:p>
        </w:tc>
      </w:tr>
      <w:tr>
        <w:trPr>
          <w:trHeight w:val="270"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204" w:lineRule="exact"/>
              <w:ind w:right="95"/>
              <w:jc w:val="center"/>
              <w:rPr>
                <w:rFonts w:ascii="宋体" w:hAnsi="宋体" w:cs="宋体" w:eastAsia="宋体" w:hint="default"/>
                <w:sz w:val="16"/>
                <w:szCs w:val="16"/>
              </w:rPr>
            </w:pPr>
            <w:r>
              <w:rPr>
                <w:rFonts w:ascii="宋体" w:hAnsi="宋体" w:cs="宋体" w:eastAsia="宋体" w:hint="default"/>
                <w:sz w:val="16"/>
                <w:szCs w:val="16"/>
              </w:rPr>
              <w:t>同方工业有限公司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04" w:lineRule="exact"/>
              <w:ind w:left="18" w:right="0"/>
              <w:jc w:val="left"/>
              <w:rPr>
                <w:rFonts w:ascii="宋体" w:hAnsi="宋体" w:cs="宋体" w:eastAsia="宋体" w:hint="default"/>
                <w:sz w:val="16"/>
                <w:szCs w:val="16"/>
              </w:rPr>
            </w:pPr>
            <w:r>
              <w:rPr>
                <w:rFonts w:ascii="宋体" w:hAnsi="宋体" w:cs="宋体" w:eastAsia="宋体" w:hint="default"/>
                <w:sz w:val="16"/>
                <w:szCs w:val="16"/>
              </w:rPr>
              <w:t>招商银行北京分行</w:t>
            </w:r>
          </w:p>
        </w:tc>
        <w:tc>
          <w:tcPr>
            <w:tcW w:w="1565" w:type="dxa"/>
            <w:tcBorders>
              <w:top w:val="nil" w:sz="6" w:space="0" w:color="auto"/>
              <w:left w:val="nil" w:sz="6" w:space="0" w:color="auto"/>
              <w:bottom w:val="nil" w:sz="6" w:space="0" w:color="auto"/>
              <w:right w:val="nil" w:sz="6" w:space="0" w:color="auto"/>
            </w:tcBorders>
          </w:tcPr>
          <w:p>
            <w:pPr>
              <w:pStyle w:val="TableParagraph"/>
              <w:spacing w:line="216" w:lineRule="exact"/>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5,000.00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86"/>
              <w:jc w:val="center"/>
              <w:rPr>
                <w:rFonts w:ascii="Times New Roman" w:hAnsi="Times New Roman" w:cs="Times New Roman" w:eastAsia="Times New Roman" w:hint="default"/>
                <w:sz w:val="16"/>
                <w:szCs w:val="16"/>
              </w:rPr>
            </w:pPr>
            <w:r>
              <w:rPr>
                <w:rFonts w:ascii="Times New Roman"/>
                <w:sz w:val="16"/>
              </w:rPr>
              <w:t>2015.03.02-2016.03.01</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1"/>
              <w:jc w:val="center"/>
              <w:rPr>
                <w:rFonts w:ascii="Times New Roman" w:hAnsi="Times New Roman" w:cs="Times New Roman" w:eastAsia="Times New Roman" w:hint="default"/>
                <w:sz w:val="16"/>
                <w:szCs w:val="16"/>
              </w:rPr>
            </w:pPr>
            <w:r>
              <w:rPr>
                <w:rFonts w:ascii="Times New Roman"/>
                <w:sz w:val="16"/>
              </w:rPr>
              <w:t>2015.03.02-2018.03.01</w:t>
            </w:r>
          </w:p>
        </w:tc>
      </w:tr>
      <w:tr>
        <w:trPr>
          <w:trHeight w:val="304"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95"/>
              <w:jc w:val="center"/>
              <w:rPr>
                <w:rFonts w:ascii="宋体" w:hAnsi="宋体" w:cs="宋体" w:eastAsia="宋体" w:hint="default"/>
                <w:sz w:val="16"/>
                <w:szCs w:val="16"/>
              </w:rPr>
            </w:pPr>
            <w:r>
              <w:rPr>
                <w:rFonts w:ascii="宋体" w:hAnsi="宋体" w:cs="宋体" w:eastAsia="宋体" w:hint="default"/>
                <w:sz w:val="16"/>
                <w:szCs w:val="16"/>
              </w:rPr>
              <w:t>同方工业有限公司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8"/>
              <w:ind w:left="18" w:right="0"/>
              <w:jc w:val="left"/>
              <w:rPr>
                <w:rFonts w:ascii="宋体" w:hAnsi="宋体" w:cs="宋体" w:eastAsia="宋体" w:hint="default"/>
                <w:sz w:val="16"/>
                <w:szCs w:val="16"/>
              </w:rPr>
            </w:pPr>
            <w:r>
              <w:rPr>
                <w:rFonts w:ascii="宋体" w:hAnsi="宋体" w:cs="宋体" w:eastAsia="宋体" w:hint="default"/>
                <w:spacing w:val="-9"/>
                <w:sz w:val="16"/>
                <w:szCs w:val="16"/>
              </w:rPr>
              <w:t>建设银行北京清华园支行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18,000.00</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85"/>
              <w:jc w:val="center"/>
              <w:rPr>
                <w:rFonts w:ascii="Times New Roman" w:hAnsi="Times New Roman" w:cs="Times New Roman" w:eastAsia="Times New Roman" w:hint="default"/>
                <w:sz w:val="16"/>
                <w:szCs w:val="16"/>
              </w:rPr>
            </w:pPr>
            <w:r>
              <w:rPr>
                <w:rFonts w:ascii="Times New Roman"/>
                <w:sz w:val="16"/>
              </w:rPr>
              <w:t>2015.01.26-2016.11.22</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31"/>
              <w:jc w:val="center"/>
              <w:rPr>
                <w:rFonts w:ascii="Times New Roman" w:hAnsi="Times New Roman" w:cs="Times New Roman" w:eastAsia="Times New Roman" w:hint="default"/>
                <w:sz w:val="16"/>
                <w:szCs w:val="16"/>
              </w:rPr>
            </w:pPr>
            <w:r>
              <w:rPr>
                <w:rFonts w:ascii="Times New Roman"/>
                <w:sz w:val="16"/>
              </w:rPr>
              <w:t>2015.01.26-2018.11.22</w:t>
            </w:r>
          </w:p>
        </w:tc>
      </w:tr>
      <w:tr>
        <w:trPr>
          <w:trHeight w:val="353" w:hRule="exact"/>
        </w:trPr>
        <w:tc>
          <w:tcPr>
            <w:tcW w:w="1465" w:type="dxa"/>
            <w:vMerge w:val="restart"/>
            <w:tcBorders>
              <w:top w:val="nil" w:sz="6" w:space="0" w:color="auto"/>
              <w:left w:val="nil" w:sz="6" w:space="0" w:color="auto"/>
              <w:right w:val="nil" w:sz="6" w:space="0" w:color="auto"/>
            </w:tcBorders>
          </w:tcPr>
          <w:p>
            <w:pPr>
              <w:pStyle w:val="TableParagraph"/>
              <w:spacing w:line="240" w:lineRule="auto" w:before="73"/>
              <w:ind w:left="43" w:right="286"/>
              <w:jc w:val="left"/>
              <w:rPr>
                <w:rFonts w:ascii="Times New Roman" w:hAnsi="Times New Roman" w:cs="Times New Roman" w:eastAsia="Times New Roman" w:hint="default"/>
                <w:sz w:val="16"/>
                <w:szCs w:val="16"/>
              </w:rPr>
            </w:pPr>
            <w:r>
              <w:rPr>
                <w:rFonts w:ascii="Times New Roman"/>
                <w:sz w:val="16"/>
              </w:rPr>
              <w:t>TongFang</w:t>
            </w:r>
            <w:r>
              <w:rPr>
                <w:rFonts w:ascii="Times New Roman"/>
                <w:spacing w:val="-9"/>
                <w:sz w:val="16"/>
              </w:rPr>
              <w:t> </w:t>
            </w:r>
            <w:r>
              <w:rPr>
                <w:rFonts w:ascii="Times New Roman"/>
                <w:sz w:val="16"/>
              </w:rPr>
              <w:t>Global</w:t>
            </w:r>
            <w:r>
              <w:rPr>
                <w:rFonts w:ascii="Times New Roman"/>
                <w:w w:val="100"/>
                <w:sz w:val="16"/>
              </w:rPr>
              <w:t> </w:t>
            </w:r>
            <w:r>
              <w:rPr>
                <w:rFonts w:ascii="Times New Roman"/>
                <w:sz w:val="16"/>
              </w:rPr>
              <w:t>Limited</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18" w:right="0"/>
              <w:jc w:val="left"/>
              <w:rPr>
                <w:rFonts w:ascii="宋体" w:hAnsi="宋体" w:cs="宋体" w:eastAsia="宋体" w:hint="default"/>
                <w:sz w:val="16"/>
                <w:szCs w:val="16"/>
              </w:rPr>
            </w:pPr>
            <w:r>
              <w:rPr>
                <w:rFonts w:ascii="宋体" w:hAnsi="宋体" w:cs="宋体" w:eastAsia="宋体" w:hint="default"/>
                <w:sz w:val="16"/>
                <w:szCs w:val="16"/>
              </w:rPr>
              <w:t>香港建设银行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3,880.00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万美元</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85"/>
              <w:jc w:val="center"/>
              <w:rPr>
                <w:rFonts w:ascii="Times New Roman" w:hAnsi="Times New Roman" w:cs="Times New Roman" w:eastAsia="Times New Roman" w:hint="default"/>
                <w:sz w:val="16"/>
                <w:szCs w:val="16"/>
              </w:rPr>
            </w:pPr>
            <w:r>
              <w:rPr>
                <w:rFonts w:ascii="Times New Roman"/>
                <w:sz w:val="16"/>
              </w:rPr>
              <w:t>2014.08.06-2016.08.29</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32"/>
              <w:jc w:val="center"/>
              <w:rPr>
                <w:rFonts w:ascii="Times New Roman" w:hAnsi="Times New Roman" w:cs="Times New Roman" w:eastAsia="Times New Roman" w:hint="default"/>
                <w:sz w:val="16"/>
                <w:szCs w:val="16"/>
              </w:rPr>
            </w:pPr>
            <w:r>
              <w:rPr>
                <w:rFonts w:ascii="Times New Roman"/>
                <w:sz w:val="16"/>
              </w:rPr>
              <w:t>2014.08.06-2018.08.29</w:t>
            </w:r>
          </w:p>
        </w:tc>
      </w:tr>
      <w:tr>
        <w:trPr>
          <w:trHeight w:val="235" w:hRule="exact"/>
        </w:trPr>
        <w:tc>
          <w:tcPr>
            <w:tcW w:w="1465" w:type="dxa"/>
            <w:vMerge/>
            <w:tcBorders>
              <w:left w:val="nil" w:sz="6" w:space="0" w:color="auto"/>
              <w:bottom w:val="nil" w:sz="6" w:space="0" w:color="auto"/>
              <w:right w:val="nil" w:sz="6" w:space="0" w:color="auto"/>
            </w:tcBorders>
          </w:tcPr>
          <w:p>
            <w:pPr/>
          </w:p>
        </w:tc>
        <w:tc>
          <w:tcPr>
            <w:tcW w:w="1948"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nil" w:sz="6" w:space="0" w:color="auto"/>
              <w:right w:val="nil" w:sz="6" w:space="0" w:color="auto"/>
            </w:tcBorders>
          </w:tcPr>
          <w:p>
            <w:pPr>
              <w:pStyle w:val="TableParagraph"/>
              <w:spacing w:line="180" w:lineRule="exact"/>
              <w:ind w:left="-36" w:right="77"/>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25,195.17</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
        </w:tc>
        <w:tc>
          <w:tcPr>
            <w:tcW w:w="1861" w:type="dxa"/>
            <w:tcBorders>
              <w:top w:val="nil" w:sz="6" w:space="0" w:color="auto"/>
              <w:left w:val="nil" w:sz="6" w:space="0" w:color="auto"/>
              <w:bottom w:val="nil" w:sz="6" w:space="0" w:color="auto"/>
              <w:right w:val="nil" w:sz="6" w:space="0" w:color="auto"/>
            </w:tcBorders>
          </w:tcPr>
          <w:p>
            <w:pPr/>
          </w:p>
        </w:tc>
      </w:tr>
      <w:tr>
        <w:trPr>
          <w:trHeight w:val="334" w:hRule="exact"/>
        </w:trPr>
        <w:tc>
          <w:tcPr>
            <w:tcW w:w="1465" w:type="dxa"/>
            <w:vMerge w:val="restart"/>
            <w:tcBorders>
              <w:top w:val="nil" w:sz="6" w:space="0" w:color="auto"/>
              <w:left w:val="nil" w:sz="6" w:space="0" w:color="auto"/>
              <w:right w:val="nil" w:sz="6" w:space="0" w:color="auto"/>
            </w:tcBorders>
          </w:tcPr>
          <w:p>
            <w:pPr>
              <w:pStyle w:val="TableParagraph"/>
              <w:spacing w:line="240" w:lineRule="auto" w:before="51"/>
              <w:ind w:left="43" w:right="286"/>
              <w:jc w:val="left"/>
              <w:rPr>
                <w:rFonts w:ascii="Times New Roman" w:hAnsi="Times New Roman" w:cs="Times New Roman" w:eastAsia="Times New Roman" w:hint="default"/>
                <w:sz w:val="16"/>
                <w:szCs w:val="16"/>
              </w:rPr>
            </w:pPr>
            <w:r>
              <w:rPr>
                <w:rFonts w:ascii="Times New Roman"/>
                <w:sz w:val="16"/>
              </w:rPr>
              <w:t>TongFang</w:t>
            </w:r>
            <w:r>
              <w:rPr>
                <w:rFonts w:ascii="Times New Roman"/>
                <w:spacing w:val="-9"/>
                <w:sz w:val="16"/>
              </w:rPr>
              <w:t> </w:t>
            </w:r>
            <w:r>
              <w:rPr>
                <w:rFonts w:ascii="Times New Roman"/>
                <w:sz w:val="16"/>
              </w:rPr>
              <w:t>Global</w:t>
            </w:r>
            <w:r>
              <w:rPr>
                <w:rFonts w:ascii="Times New Roman"/>
                <w:w w:val="100"/>
                <w:sz w:val="16"/>
              </w:rPr>
              <w:t> </w:t>
            </w:r>
            <w:r>
              <w:rPr>
                <w:rFonts w:ascii="Times New Roman"/>
                <w:sz w:val="16"/>
              </w:rPr>
              <w:t>Limited</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18" w:right="0"/>
              <w:jc w:val="left"/>
              <w:rPr>
                <w:rFonts w:ascii="宋体" w:hAnsi="宋体" w:cs="宋体" w:eastAsia="宋体" w:hint="default"/>
                <w:sz w:val="16"/>
                <w:szCs w:val="16"/>
              </w:rPr>
            </w:pPr>
            <w:r>
              <w:rPr>
                <w:rFonts w:ascii="宋体" w:hAnsi="宋体" w:cs="宋体" w:eastAsia="宋体" w:hint="default"/>
                <w:sz w:val="16"/>
                <w:szCs w:val="16"/>
              </w:rPr>
              <w:t>招商银行总行离岸部</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1,500.00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万美元</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2"/>
                <w:szCs w:val="12"/>
              </w:rPr>
            </w:pPr>
          </w:p>
          <w:p>
            <w:pPr>
              <w:pStyle w:val="TableParagraph"/>
              <w:spacing w:line="240" w:lineRule="auto"/>
              <w:ind w:right="85"/>
              <w:jc w:val="center"/>
              <w:rPr>
                <w:rFonts w:ascii="Times New Roman" w:hAnsi="Times New Roman" w:cs="Times New Roman" w:eastAsia="Times New Roman" w:hint="default"/>
                <w:sz w:val="16"/>
                <w:szCs w:val="16"/>
              </w:rPr>
            </w:pPr>
            <w:r>
              <w:rPr>
                <w:rFonts w:ascii="Times New Roman"/>
                <w:sz w:val="16"/>
              </w:rPr>
              <w:t>2014.11.24-2016.11.08</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2"/>
                <w:szCs w:val="12"/>
              </w:rPr>
            </w:pPr>
          </w:p>
          <w:p>
            <w:pPr>
              <w:pStyle w:val="TableParagraph"/>
              <w:spacing w:line="240" w:lineRule="auto"/>
              <w:ind w:right="32"/>
              <w:jc w:val="center"/>
              <w:rPr>
                <w:rFonts w:ascii="Times New Roman" w:hAnsi="Times New Roman" w:cs="Times New Roman" w:eastAsia="Times New Roman" w:hint="default"/>
                <w:sz w:val="16"/>
                <w:szCs w:val="16"/>
              </w:rPr>
            </w:pPr>
            <w:r>
              <w:rPr>
                <w:rFonts w:ascii="Times New Roman"/>
                <w:sz w:val="16"/>
              </w:rPr>
              <w:t>2014.11.24-2018.11.08</w:t>
            </w:r>
          </w:p>
        </w:tc>
      </w:tr>
      <w:tr>
        <w:trPr>
          <w:trHeight w:val="234" w:hRule="exact"/>
        </w:trPr>
        <w:tc>
          <w:tcPr>
            <w:tcW w:w="1465" w:type="dxa"/>
            <w:vMerge/>
            <w:tcBorders>
              <w:left w:val="nil" w:sz="6" w:space="0" w:color="auto"/>
              <w:bottom w:val="nil" w:sz="6" w:space="0" w:color="auto"/>
              <w:right w:val="nil" w:sz="6" w:space="0" w:color="auto"/>
            </w:tcBorders>
          </w:tcPr>
          <w:p>
            <w:pPr/>
          </w:p>
        </w:tc>
        <w:tc>
          <w:tcPr>
            <w:tcW w:w="1948"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nil" w:sz="6" w:space="0" w:color="auto"/>
              <w:right w:val="nil" w:sz="6" w:space="0" w:color="auto"/>
            </w:tcBorders>
          </w:tcPr>
          <w:p>
            <w:pPr>
              <w:pStyle w:val="TableParagraph"/>
              <w:spacing w:line="180" w:lineRule="exact"/>
              <w:ind w:right="77"/>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9,740.40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
        </w:tc>
        <w:tc>
          <w:tcPr>
            <w:tcW w:w="1861" w:type="dxa"/>
            <w:tcBorders>
              <w:top w:val="nil" w:sz="6" w:space="0" w:color="auto"/>
              <w:left w:val="nil" w:sz="6" w:space="0" w:color="auto"/>
              <w:bottom w:val="nil" w:sz="6" w:space="0" w:color="auto"/>
              <w:right w:val="nil" w:sz="6" w:space="0" w:color="auto"/>
            </w:tcBorders>
          </w:tcPr>
          <w:p>
            <w:pPr/>
          </w:p>
        </w:tc>
      </w:tr>
      <w:tr>
        <w:trPr>
          <w:trHeight w:val="340" w:hRule="exact"/>
        </w:trPr>
        <w:tc>
          <w:tcPr>
            <w:tcW w:w="1465" w:type="dxa"/>
            <w:vMerge w:val="restart"/>
            <w:tcBorders>
              <w:top w:val="nil" w:sz="6" w:space="0" w:color="auto"/>
              <w:left w:val="nil" w:sz="6" w:space="0" w:color="auto"/>
              <w:right w:val="nil" w:sz="6" w:space="0" w:color="auto"/>
            </w:tcBorders>
          </w:tcPr>
          <w:p>
            <w:pPr>
              <w:pStyle w:val="TableParagraph"/>
              <w:spacing w:line="240" w:lineRule="auto" w:before="53"/>
              <w:ind w:left="43" w:right="46"/>
              <w:jc w:val="left"/>
              <w:rPr>
                <w:rFonts w:ascii="Times New Roman" w:hAnsi="Times New Roman" w:cs="Times New Roman" w:eastAsia="Times New Roman" w:hint="default"/>
                <w:sz w:val="16"/>
                <w:szCs w:val="16"/>
              </w:rPr>
            </w:pPr>
            <w:r>
              <w:rPr>
                <w:rFonts w:ascii="Times New Roman"/>
                <w:sz w:val="16"/>
              </w:rPr>
              <w:t>Tongfang</w:t>
            </w:r>
            <w:r>
              <w:rPr>
                <w:rFonts w:ascii="Times New Roman"/>
                <w:spacing w:val="-8"/>
                <w:sz w:val="16"/>
              </w:rPr>
              <w:t> </w:t>
            </w:r>
            <w:r>
              <w:rPr>
                <w:rFonts w:ascii="Times New Roman"/>
                <w:sz w:val="16"/>
              </w:rPr>
              <w:t>HongKong</w:t>
            </w:r>
            <w:r>
              <w:rPr>
                <w:rFonts w:ascii="Times New Roman"/>
                <w:w w:val="100"/>
                <w:sz w:val="16"/>
              </w:rPr>
              <w:t> </w:t>
            </w:r>
            <w:r>
              <w:rPr>
                <w:rFonts w:ascii="Times New Roman"/>
                <w:sz w:val="16"/>
              </w:rPr>
              <w:t>Limited</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8" w:right="0"/>
              <w:jc w:val="left"/>
              <w:rPr>
                <w:rFonts w:ascii="Times New Roman" w:hAnsi="Times New Roman" w:cs="Times New Roman" w:eastAsia="Times New Roman" w:hint="default"/>
                <w:sz w:val="18"/>
                <w:szCs w:val="18"/>
              </w:rPr>
            </w:pPr>
            <w:r>
              <w:rPr>
                <w:rFonts w:ascii="Times New Roman"/>
                <w:sz w:val="18"/>
              </w:rPr>
              <w:t>DBS Bank</w:t>
            </w:r>
            <w:r>
              <w:rPr>
                <w:rFonts w:ascii="Times New Roman"/>
                <w:spacing w:val="-4"/>
                <w:sz w:val="18"/>
              </w:rPr>
              <w:t> </w:t>
            </w:r>
            <w:r>
              <w:rPr>
                <w:rFonts w:ascii="Times New Roman"/>
                <w:sz w:val="18"/>
              </w:rPr>
              <w:t>Ltd</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1,500.00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万美元</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2"/>
                <w:szCs w:val="12"/>
              </w:rPr>
            </w:pPr>
          </w:p>
          <w:p>
            <w:pPr>
              <w:pStyle w:val="TableParagraph"/>
              <w:spacing w:line="240" w:lineRule="auto"/>
              <w:ind w:right="86"/>
              <w:jc w:val="center"/>
              <w:rPr>
                <w:rFonts w:ascii="Times New Roman" w:hAnsi="Times New Roman" w:cs="Times New Roman" w:eastAsia="Times New Roman" w:hint="default"/>
                <w:sz w:val="16"/>
                <w:szCs w:val="16"/>
              </w:rPr>
            </w:pPr>
            <w:r>
              <w:rPr>
                <w:rFonts w:ascii="Times New Roman"/>
                <w:sz w:val="16"/>
              </w:rPr>
              <w:t>2015.09.29-2016.03.29</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2"/>
                <w:szCs w:val="12"/>
              </w:rPr>
            </w:pPr>
          </w:p>
          <w:p>
            <w:pPr>
              <w:pStyle w:val="TableParagraph"/>
              <w:spacing w:line="240" w:lineRule="auto"/>
              <w:ind w:right="33"/>
              <w:jc w:val="center"/>
              <w:rPr>
                <w:rFonts w:ascii="Times New Roman" w:hAnsi="Times New Roman" w:cs="Times New Roman" w:eastAsia="Times New Roman" w:hint="default"/>
                <w:sz w:val="16"/>
                <w:szCs w:val="16"/>
              </w:rPr>
            </w:pPr>
            <w:r>
              <w:rPr>
                <w:rFonts w:ascii="Times New Roman"/>
                <w:sz w:val="16"/>
              </w:rPr>
              <w:t>2015.09.29-2018.03.29</w:t>
            </w:r>
          </w:p>
        </w:tc>
      </w:tr>
      <w:tr>
        <w:trPr>
          <w:trHeight w:val="190" w:hRule="exact"/>
        </w:trPr>
        <w:tc>
          <w:tcPr>
            <w:tcW w:w="1465" w:type="dxa"/>
            <w:vMerge/>
            <w:tcBorders>
              <w:left w:val="nil" w:sz="6" w:space="0" w:color="auto"/>
              <w:bottom w:val="nil" w:sz="6" w:space="0" w:color="auto"/>
              <w:right w:val="nil" w:sz="6" w:space="0" w:color="auto"/>
            </w:tcBorders>
          </w:tcPr>
          <w:p>
            <w:pPr/>
          </w:p>
        </w:tc>
        <w:tc>
          <w:tcPr>
            <w:tcW w:w="1948"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nil" w:sz="6" w:space="0" w:color="auto"/>
              <w:right w:val="nil" w:sz="6" w:space="0" w:color="auto"/>
            </w:tcBorders>
          </w:tcPr>
          <w:p>
            <w:pPr>
              <w:pStyle w:val="TableParagraph"/>
              <w:spacing w:line="175" w:lineRule="exact"/>
              <w:ind w:right="77"/>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9,740.40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
        </w:tc>
        <w:tc>
          <w:tcPr>
            <w:tcW w:w="1861" w:type="dxa"/>
            <w:tcBorders>
              <w:top w:val="nil" w:sz="6" w:space="0" w:color="auto"/>
              <w:left w:val="nil" w:sz="6" w:space="0" w:color="auto"/>
              <w:bottom w:val="nil" w:sz="6" w:space="0" w:color="auto"/>
              <w:right w:val="nil" w:sz="6" w:space="0" w:color="auto"/>
            </w:tcBorders>
          </w:tcPr>
          <w:p>
            <w:pPr/>
          </w:p>
        </w:tc>
      </w:tr>
      <w:tr>
        <w:trPr>
          <w:trHeight w:val="410"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178"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同方节能工程技术</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8" w:lineRule="exact"/>
              <w:ind w:left="43" w:right="0"/>
              <w:jc w:val="left"/>
              <w:rPr>
                <w:rFonts w:ascii="宋体" w:hAnsi="宋体" w:cs="宋体" w:eastAsia="宋体" w:hint="default"/>
                <w:sz w:val="16"/>
                <w:szCs w:val="16"/>
              </w:rPr>
            </w:pPr>
            <w:r>
              <w:rPr>
                <w:rFonts w:ascii="宋体" w:hAnsi="宋体" w:cs="宋体" w:eastAsia="宋体" w:hint="default"/>
                <w:sz w:val="16"/>
                <w:szCs w:val="16"/>
              </w:rPr>
              <w:t>有限公司</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8" w:right="0"/>
              <w:jc w:val="left"/>
              <w:rPr>
                <w:rFonts w:ascii="宋体" w:hAnsi="宋体" w:cs="宋体" w:eastAsia="宋体" w:hint="default"/>
                <w:sz w:val="16"/>
                <w:szCs w:val="16"/>
              </w:rPr>
            </w:pPr>
            <w:r>
              <w:rPr>
                <w:rFonts w:ascii="宋体" w:hAnsi="宋体" w:cs="宋体" w:eastAsia="宋体" w:hint="default"/>
                <w:sz w:val="16"/>
                <w:szCs w:val="16"/>
              </w:rPr>
              <w:t>北京银行清华园支行</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500.00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85"/>
              <w:jc w:val="center"/>
              <w:rPr>
                <w:rFonts w:ascii="Times New Roman" w:hAnsi="Times New Roman" w:cs="Times New Roman" w:eastAsia="Times New Roman" w:hint="default"/>
                <w:sz w:val="16"/>
                <w:szCs w:val="16"/>
              </w:rPr>
            </w:pPr>
            <w:r>
              <w:rPr>
                <w:rFonts w:ascii="Times New Roman"/>
                <w:sz w:val="16"/>
              </w:rPr>
              <w:t>2015.06.25-2016.06.25</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32"/>
              <w:jc w:val="center"/>
              <w:rPr>
                <w:rFonts w:ascii="Times New Roman" w:hAnsi="Times New Roman" w:cs="Times New Roman" w:eastAsia="Times New Roman" w:hint="default"/>
                <w:sz w:val="16"/>
                <w:szCs w:val="16"/>
              </w:rPr>
            </w:pPr>
            <w:r>
              <w:rPr>
                <w:rFonts w:ascii="Times New Roman"/>
                <w:sz w:val="16"/>
              </w:rPr>
              <w:t>2015.06.25-2018.06.25</w:t>
            </w:r>
          </w:p>
        </w:tc>
      </w:tr>
      <w:tr>
        <w:trPr>
          <w:trHeight w:val="431" w:hRule="exact"/>
        </w:trPr>
        <w:tc>
          <w:tcPr>
            <w:tcW w:w="1465" w:type="dxa"/>
            <w:tcBorders>
              <w:top w:val="nil" w:sz="6" w:space="0" w:color="auto"/>
              <w:left w:val="nil" w:sz="6" w:space="0" w:color="auto"/>
              <w:bottom w:val="single" w:sz="12" w:space="0" w:color="000000"/>
              <w:right w:val="nil" w:sz="6" w:space="0" w:color="auto"/>
            </w:tcBorders>
          </w:tcPr>
          <w:p>
            <w:pPr>
              <w:pStyle w:val="TableParagraph"/>
              <w:spacing w:line="183"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同方节能工程技术</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8" w:lineRule="exact"/>
              <w:ind w:left="43" w:right="0"/>
              <w:jc w:val="left"/>
              <w:rPr>
                <w:rFonts w:ascii="宋体" w:hAnsi="宋体" w:cs="宋体" w:eastAsia="宋体" w:hint="default"/>
                <w:sz w:val="16"/>
                <w:szCs w:val="16"/>
              </w:rPr>
            </w:pPr>
            <w:r>
              <w:rPr>
                <w:rFonts w:ascii="宋体" w:hAnsi="宋体" w:cs="宋体" w:eastAsia="宋体" w:hint="default"/>
                <w:sz w:val="16"/>
                <w:szCs w:val="16"/>
              </w:rPr>
              <w:t>有限公司</w:t>
            </w:r>
          </w:p>
        </w:tc>
        <w:tc>
          <w:tcPr>
            <w:tcW w:w="1948" w:type="dxa"/>
            <w:tcBorders>
              <w:top w:val="nil" w:sz="6" w:space="0" w:color="auto"/>
              <w:left w:val="nil" w:sz="6" w:space="0" w:color="auto"/>
              <w:bottom w:val="single" w:sz="12" w:space="0" w:color="000000"/>
              <w:right w:val="nil" w:sz="6" w:space="0" w:color="auto"/>
            </w:tcBorders>
          </w:tcPr>
          <w:p>
            <w:pPr>
              <w:pStyle w:val="TableParagraph"/>
              <w:spacing w:line="240" w:lineRule="auto" w:before="78"/>
              <w:ind w:left="18" w:right="0"/>
              <w:jc w:val="left"/>
              <w:rPr>
                <w:rFonts w:ascii="宋体" w:hAnsi="宋体" w:cs="宋体" w:eastAsia="宋体" w:hint="default"/>
                <w:sz w:val="16"/>
                <w:szCs w:val="16"/>
              </w:rPr>
            </w:pPr>
            <w:r>
              <w:rPr>
                <w:rFonts w:ascii="宋体" w:hAnsi="宋体" w:cs="宋体" w:eastAsia="宋体" w:hint="default"/>
                <w:sz w:val="16"/>
                <w:szCs w:val="16"/>
              </w:rPr>
              <w:t>星展银行北京分行</w:t>
            </w:r>
          </w:p>
        </w:tc>
        <w:tc>
          <w:tcPr>
            <w:tcW w:w="1565" w:type="dxa"/>
            <w:tcBorders>
              <w:top w:val="nil" w:sz="6" w:space="0" w:color="auto"/>
              <w:left w:val="nil" w:sz="6" w:space="0" w:color="auto"/>
              <w:bottom w:val="single" w:sz="12" w:space="0" w:color="000000"/>
              <w:right w:val="nil" w:sz="6" w:space="0" w:color="auto"/>
            </w:tcBorders>
          </w:tcPr>
          <w:p>
            <w:pPr>
              <w:pStyle w:val="TableParagraph"/>
              <w:spacing w:line="240" w:lineRule="auto" w:before="78"/>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170.62 </w:t>
            </w:r>
            <w:r>
              <w:rPr>
                <w:rFonts w:ascii="宋体" w:hAnsi="宋体" w:cs="宋体" w:eastAsia="宋体" w:hint="default"/>
                <w:sz w:val="16"/>
                <w:szCs w:val="16"/>
              </w:rPr>
              <w:t>万人民币</w:t>
            </w:r>
          </w:p>
        </w:tc>
        <w:tc>
          <w:tcPr>
            <w:tcW w:w="1740"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85"/>
              <w:jc w:val="center"/>
              <w:rPr>
                <w:rFonts w:ascii="Times New Roman" w:hAnsi="Times New Roman" w:cs="Times New Roman" w:eastAsia="Times New Roman" w:hint="default"/>
                <w:sz w:val="16"/>
                <w:szCs w:val="16"/>
              </w:rPr>
            </w:pPr>
            <w:r>
              <w:rPr>
                <w:rFonts w:ascii="Times New Roman"/>
                <w:sz w:val="16"/>
              </w:rPr>
              <w:t>2015.11.11-2016.11.27</w:t>
            </w:r>
          </w:p>
        </w:tc>
        <w:tc>
          <w:tcPr>
            <w:tcW w:w="1861"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31"/>
              <w:jc w:val="center"/>
              <w:rPr>
                <w:rFonts w:ascii="Times New Roman" w:hAnsi="Times New Roman" w:cs="Times New Roman" w:eastAsia="Times New Roman" w:hint="default"/>
                <w:sz w:val="16"/>
                <w:szCs w:val="16"/>
              </w:rPr>
            </w:pPr>
            <w:r>
              <w:rPr>
                <w:rFonts w:ascii="Times New Roman"/>
                <w:sz w:val="16"/>
              </w:rPr>
              <w:t>2015.11.11-2018.11.27</w:t>
            </w:r>
          </w:p>
        </w:tc>
      </w:tr>
    </w:tbl>
    <w:p>
      <w:pPr>
        <w:spacing w:after="0" w:line="240" w:lineRule="auto"/>
        <w:jc w:val="center"/>
        <w:rPr>
          <w:rFonts w:ascii="Times New Roman" w:hAnsi="Times New Roman" w:cs="Times New Roman" w:eastAsia="Times New Roman" w:hint="default"/>
          <w:sz w:val="16"/>
          <w:szCs w:val="16"/>
        </w:rPr>
        <w:sectPr>
          <w:headerReference w:type="default" r:id="rId97"/>
          <w:pgSz w:w="11910" w:h="16840"/>
          <w:pgMar w:header="645" w:footer="816" w:top="1080" w:bottom="1000" w:left="1500" w:right="156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1"/>
          <w:szCs w:val="11"/>
        </w:rPr>
      </w:pPr>
    </w:p>
    <w:tbl>
      <w:tblPr>
        <w:tblW w:w="0" w:type="auto"/>
        <w:jc w:val="left"/>
        <w:tblInd w:w="158" w:type="dxa"/>
        <w:tblLayout w:type="fixed"/>
        <w:tblCellMar>
          <w:top w:w="0" w:type="dxa"/>
          <w:left w:w="0" w:type="dxa"/>
          <w:bottom w:w="0" w:type="dxa"/>
          <w:right w:w="0" w:type="dxa"/>
        </w:tblCellMar>
        <w:tblLook w:val="01E0"/>
      </w:tblPr>
      <w:tblGrid>
        <w:gridCol w:w="1464"/>
        <w:gridCol w:w="1943"/>
        <w:gridCol w:w="1571"/>
        <w:gridCol w:w="1740"/>
        <w:gridCol w:w="1861"/>
      </w:tblGrid>
      <w:tr>
        <w:trPr>
          <w:trHeight w:val="307" w:hRule="exact"/>
        </w:trPr>
        <w:tc>
          <w:tcPr>
            <w:tcW w:w="1464"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333" w:right="0"/>
              <w:jc w:val="left"/>
              <w:rPr>
                <w:rFonts w:ascii="宋体" w:hAnsi="宋体" w:cs="宋体" w:eastAsia="宋体" w:hint="default"/>
                <w:sz w:val="16"/>
                <w:szCs w:val="16"/>
              </w:rPr>
            </w:pPr>
            <w:r>
              <w:rPr>
                <w:rFonts w:ascii="宋体" w:hAnsi="宋体" w:cs="宋体" w:eastAsia="宋体" w:hint="default"/>
                <w:b/>
                <w:bCs/>
                <w:sz w:val="16"/>
                <w:szCs w:val="16"/>
              </w:rPr>
              <w:t>子公司名称</w:t>
            </w:r>
            <w:r>
              <w:rPr>
                <w:rFonts w:ascii="宋体" w:hAnsi="宋体" w:cs="宋体" w:eastAsia="宋体" w:hint="default"/>
                <w:sz w:val="16"/>
                <w:szCs w:val="16"/>
              </w:rPr>
            </w:r>
          </w:p>
        </w:tc>
        <w:tc>
          <w:tcPr>
            <w:tcW w:w="1943"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574" w:right="0"/>
              <w:jc w:val="left"/>
              <w:rPr>
                <w:rFonts w:ascii="宋体" w:hAnsi="宋体" w:cs="宋体" w:eastAsia="宋体" w:hint="default"/>
                <w:sz w:val="16"/>
                <w:szCs w:val="16"/>
              </w:rPr>
            </w:pPr>
            <w:r>
              <w:rPr>
                <w:rFonts w:ascii="宋体" w:hAnsi="宋体" w:cs="宋体" w:eastAsia="宋体" w:hint="default"/>
                <w:b/>
                <w:bCs/>
                <w:sz w:val="16"/>
                <w:szCs w:val="16"/>
              </w:rPr>
              <w:t>贷款银行</w:t>
            </w:r>
            <w:r>
              <w:rPr>
                <w:rFonts w:ascii="宋体" w:hAnsi="宋体" w:cs="宋体" w:eastAsia="宋体" w:hint="default"/>
                <w:sz w:val="16"/>
                <w:szCs w:val="16"/>
              </w:rPr>
            </w:r>
          </w:p>
        </w:tc>
        <w:tc>
          <w:tcPr>
            <w:tcW w:w="1571"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366" w:right="0"/>
              <w:jc w:val="left"/>
              <w:rPr>
                <w:rFonts w:ascii="宋体" w:hAnsi="宋体" w:cs="宋体" w:eastAsia="宋体" w:hint="default"/>
                <w:sz w:val="16"/>
                <w:szCs w:val="16"/>
              </w:rPr>
            </w:pPr>
            <w:r>
              <w:rPr>
                <w:rFonts w:ascii="宋体" w:hAnsi="宋体" w:cs="宋体" w:eastAsia="宋体" w:hint="default"/>
                <w:b/>
                <w:bCs/>
                <w:sz w:val="16"/>
                <w:szCs w:val="16"/>
              </w:rPr>
              <w:t>贷款金额</w:t>
            </w:r>
            <w:r>
              <w:rPr>
                <w:rFonts w:ascii="宋体" w:hAnsi="宋体" w:cs="宋体" w:eastAsia="宋体" w:hint="default"/>
                <w:sz w:val="16"/>
                <w:szCs w:val="16"/>
              </w:rPr>
            </w:r>
          </w:p>
        </w:tc>
        <w:tc>
          <w:tcPr>
            <w:tcW w:w="1740"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86"/>
              <w:jc w:val="center"/>
              <w:rPr>
                <w:rFonts w:ascii="宋体" w:hAnsi="宋体" w:cs="宋体" w:eastAsia="宋体" w:hint="default"/>
                <w:sz w:val="16"/>
                <w:szCs w:val="16"/>
              </w:rPr>
            </w:pPr>
            <w:r>
              <w:rPr>
                <w:rFonts w:ascii="宋体" w:hAnsi="宋体" w:cs="宋体" w:eastAsia="宋体" w:hint="default"/>
                <w:b/>
                <w:bCs/>
                <w:sz w:val="16"/>
                <w:szCs w:val="16"/>
              </w:rPr>
              <w:t>贷款期限</w:t>
            </w:r>
            <w:r>
              <w:rPr>
                <w:rFonts w:ascii="宋体" w:hAnsi="宋体" w:cs="宋体" w:eastAsia="宋体" w:hint="default"/>
                <w:sz w:val="16"/>
                <w:szCs w:val="16"/>
              </w:rPr>
            </w:r>
          </w:p>
        </w:tc>
        <w:tc>
          <w:tcPr>
            <w:tcW w:w="1861"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33"/>
              <w:jc w:val="center"/>
              <w:rPr>
                <w:rFonts w:ascii="宋体" w:hAnsi="宋体" w:cs="宋体" w:eastAsia="宋体" w:hint="default"/>
                <w:sz w:val="16"/>
                <w:szCs w:val="16"/>
              </w:rPr>
            </w:pPr>
            <w:r>
              <w:rPr>
                <w:rFonts w:ascii="宋体" w:hAnsi="宋体" w:cs="宋体" w:eastAsia="宋体" w:hint="default"/>
                <w:b/>
                <w:bCs/>
                <w:sz w:val="16"/>
                <w:szCs w:val="16"/>
              </w:rPr>
              <w:t>保证期间</w:t>
            </w:r>
            <w:r>
              <w:rPr>
                <w:rFonts w:ascii="宋体" w:hAnsi="宋体" w:cs="宋体" w:eastAsia="宋体" w:hint="default"/>
                <w:sz w:val="16"/>
                <w:szCs w:val="16"/>
              </w:rPr>
            </w:r>
          </w:p>
        </w:tc>
      </w:tr>
      <w:tr>
        <w:trPr>
          <w:trHeight w:val="419" w:hRule="exact"/>
        </w:trPr>
        <w:tc>
          <w:tcPr>
            <w:tcW w:w="1464" w:type="dxa"/>
            <w:tcBorders>
              <w:top w:val="single" w:sz="4" w:space="0" w:color="000000"/>
              <w:left w:val="nil" w:sz="6" w:space="0" w:color="auto"/>
              <w:bottom w:val="nil" w:sz="6" w:space="0" w:color="auto"/>
              <w:right w:val="nil" w:sz="6" w:space="0" w:color="auto"/>
            </w:tcBorders>
          </w:tcPr>
          <w:p>
            <w:pPr>
              <w:pStyle w:val="TableParagraph"/>
              <w:spacing w:line="182"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同方人工环境有限</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8" w:lineRule="exact"/>
              <w:ind w:left="43" w:right="0"/>
              <w:jc w:val="left"/>
              <w:rPr>
                <w:rFonts w:ascii="宋体" w:hAnsi="宋体" w:cs="宋体" w:eastAsia="宋体" w:hint="default"/>
                <w:sz w:val="16"/>
                <w:szCs w:val="16"/>
              </w:rPr>
            </w:pPr>
            <w:r>
              <w:rPr>
                <w:rFonts w:ascii="宋体" w:hAnsi="宋体" w:cs="宋体" w:eastAsia="宋体" w:hint="default"/>
                <w:sz w:val="16"/>
                <w:szCs w:val="16"/>
              </w:rPr>
              <w:t>公司</w:t>
            </w:r>
          </w:p>
        </w:tc>
        <w:tc>
          <w:tcPr>
            <w:tcW w:w="1943" w:type="dxa"/>
            <w:tcBorders>
              <w:top w:val="single" w:sz="4" w:space="0" w:color="000000"/>
              <w:left w:val="nil" w:sz="6" w:space="0" w:color="auto"/>
              <w:bottom w:val="nil" w:sz="6" w:space="0" w:color="auto"/>
              <w:right w:val="nil" w:sz="6" w:space="0" w:color="auto"/>
            </w:tcBorders>
          </w:tcPr>
          <w:p>
            <w:pPr>
              <w:pStyle w:val="TableParagraph"/>
              <w:spacing w:line="240" w:lineRule="auto" w:before="77"/>
              <w:ind w:left="19" w:right="0"/>
              <w:jc w:val="left"/>
              <w:rPr>
                <w:rFonts w:ascii="宋体" w:hAnsi="宋体" w:cs="宋体" w:eastAsia="宋体" w:hint="default"/>
                <w:sz w:val="16"/>
                <w:szCs w:val="16"/>
              </w:rPr>
            </w:pPr>
            <w:r>
              <w:rPr>
                <w:rFonts w:ascii="宋体" w:hAnsi="宋体" w:cs="宋体" w:eastAsia="宋体" w:hint="default"/>
                <w:sz w:val="16"/>
                <w:szCs w:val="16"/>
              </w:rPr>
              <w:t>北京银行清华园支行</w:t>
            </w:r>
          </w:p>
        </w:tc>
        <w:tc>
          <w:tcPr>
            <w:tcW w:w="1571" w:type="dxa"/>
            <w:tcBorders>
              <w:top w:val="single" w:sz="4" w:space="0" w:color="000000"/>
              <w:left w:val="nil" w:sz="6" w:space="0" w:color="auto"/>
              <w:bottom w:val="nil" w:sz="6" w:space="0" w:color="auto"/>
              <w:right w:val="nil" w:sz="6" w:space="0" w:color="auto"/>
            </w:tcBorders>
          </w:tcPr>
          <w:p>
            <w:pPr>
              <w:pStyle w:val="TableParagraph"/>
              <w:spacing w:line="240" w:lineRule="auto" w:before="77"/>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300.00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万人民币</w:t>
            </w:r>
          </w:p>
        </w:tc>
        <w:tc>
          <w:tcPr>
            <w:tcW w:w="1740" w:type="dxa"/>
            <w:tcBorders>
              <w:top w:val="single" w:sz="4" w:space="0" w:color="000000"/>
              <w:left w:val="nil" w:sz="6" w:space="0" w:color="auto"/>
              <w:bottom w:val="nil" w:sz="6" w:space="0" w:color="auto"/>
              <w:right w:val="nil" w:sz="6" w:space="0" w:color="auto"/>
            </w:tcBorders>
          </w:tcPr>
          <w:p>
            <w:pPr>
              <w:pStyle w:val="TableParagraph"/>
              <w:spacing w:line="240" w:lineRule="auto" w:before="110"/>
              <w:ind w:right="85"/>
              <w:jc w:val="center"/>
              <w:rPr>
                <w:rFonts w:ascii="Times New Roman" w:hAnsi="Times New Roman" w:cs="Times New Roman" w:eastAsia="Times New Roman" w:hint="default"/>
                <w:sz w:val="16"/>
                <w:szCs w:val="16"/>
              </w:rPr>
            </w:pPr>
            <w:r>
              <w:rPr>
                <w:rFonts w:ascii="Times New Roman"/>
                <w:sz w:val="16"/>
              </w:rPr>
              <w:t>2015.08.28-2016.08.28</w:t>
            </w:r>
          </w:p>
        </w:tc>
        <w:tc>
          <w:tcPr>
            <w:tcW w:w="1861" w:type="dxa"/>
            <w:tcBorders>
              <w:top w:val="single" w:sz="4" w:space="0" w:color="000000"/>
              <w:left w:val="nil" w:sz="6" w:space="0" w:color="auto"/>
              <w:bottom w:val="nil" w:sz="6" w:space="0" w:color="auto"/>
              <w:right w:val="nil" w:sz="6" w:space="0" w:color="auto"/>
            </w:tcBorders>
          </w:tcPr>
          <w:p>
            <w:pPr>
              <w:pStyle w:val="TableParagraph"/>
              <w:spacing w:line="240" w:lineRule="auto" w:before="110"/>
              <w:ind w:right="33"/>
              <w:jc w:val="center"/>
              <w:rPr>
                <w:rFonts w:ascii="Times New Roman" w:hAnsi="Times New Roman" w:cs="Times New Roman" w:eastAsia="Times New Roman" w:hint="default"/>
                <w:sz w:val="16"/>
                <w:szCs w:val="16"/>
              </w:rPr>
            </w:pPr>
            <w:r>
              <w:rPr>
                <w:rFonts w:ascii="Times New Roman"/>
                <w:sz w:val="16"/>
              </w:rPr>
              <w:t>2015.08.28-2018.08.28</w:t>
            </w:r>
          </w:p>
        </w:tc>
      </w:tr>
      <w:tr>
        <w:trPr>
          <w:trHeight w:val="415"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183"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北京壹人壹本信息</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8" w:lineRule="exact"/>
              <w:ind w:left="43" w:right="0"/>
              <w:jc w:val="left"/>
              <w:rPr>
                <w:rFonts w:ascii="宋体" w:hAnsi="宋体" w:cs="宋体" w:eastAsia="宋体" w:hint="default"/>
                <w:sz w:val="16"/>
                <w:szCs w:val="16"/>
              </w:rPr>
            </w:pPr>
            <w:r>
              <w:rPr>
                <w:rFonts w:ascii="宋体" w:hAnsi="宋体" w:cs="宋体" w:eastAsia="宋体" w:hint="default"/>
                <w:sz w:val="16"/>
                <w:szCs w:val="16"/>
              </w:rPr>
              <w:t>科技有限公司</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9" w:right="0"/>
              <w:jc w:val="left"/>
              <w:rPr>
                <w:rFonts w:ascii="宋体" w:hAnsi="宋体" w:cs="宋体" w:eastAsia="宋体" w:hint="default"/>
                <w:sz w:val="16"/>
                <w:szCs w:val="16"/>
              </w:rPr>
            </w:pPr>
            <w:r>
              <w:rPr>
                <w:rFonts w:ascii="宋体" w:hAnsi="宋体" w:cs="宋体" w:eastAsia="宋体" w:hint="default"/>
                <w:sz w:val="16"/>
                <w:szCs w:val="16"/>
              </w:rPr>
              <w:t>北京银行清华园支行</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100.00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85"/>
              <w:jc w:val="center"/>
              <w:rPr>
                <w:rFonts w:ascii="Times New Roman" w:hAnsi="Times New Roman" w:cs="Times New Roman" w:eastAsia="Times New Roman" w:hint="default"/>
                <w:sz w:val="16"/>
                <w:szCs w:val="16"/>
              </w:rPr>
            </w:pPr>
            <w:r>
              <w:rPr>
                <w:rFonts w:ascii="Times New Roman"/>
                <w:sz w:val="16"/>
              </w:rPr>
              <w:t>2015.06.30-2016.06.30</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3"/>
              <w:jc w:val="center"/>
              <w:rPr>
                <w:rFonts w:ascii="Times New Roman" w:hAnsi="Times New Roman" w:cs="Times New Roman" w:eastAsia="Times New Roman" w:hint="default"/>
                <w:sz w:val="16"/>
                <w:szCs w:val="16"/>
              </w:rPr>
            </w:pPr>
            <w:r>
              <w:rPr>
                <w:rFonts w:ascii="Times New Roman"/>
                <w:sz w:val="16"/>
              </w:rPr>
              <w:t>2015.06.30-2018.06.30</w:t>
            </w:r>
          </w:p>
        </w:tc>
      </w:tr>
      <w:tr>
        <w:trPr>
          <w:trHeight w:val="452"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183"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北京同方软件股份</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8" w:lineRule="exact"/>
              <w:ind w:left="43" w:right="0"/>
              <w:jc w:val="left"/>
              <w:rPr>
                <w:rFonts w:ascii="宋体" w:hAnsi="宋体" w:cs="宋体" w:eastAsia="宋体" w:hint="default"/>
                <w:sz w:val="16"/>
                <w:szCs w:val="16"/>
              </w:rPr>
            </w:pPr>
            <w:r>
              <w:rPr>
                <w:rFonts w:ascii="宋体" w:hAnsi="宋体" w:cs="宋体" w:eastAsia="宋体" w:hint="default"/>
                <w:sz w:val="16"/>
                <w:szCs w:val="16"/>
              </w:rPr>
              <w:t>有限公司</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9" w:right="0"/>
              <w:jc w:val="left"/>
              <w:rPr>
                <w:rFonts w:ascii="宋体" w:hAnsi="宋体" w:cs="宋体" w:eastAsia="宋体" w:hint="default"/>
                <w:sz w:val="16"/>
                <w:szCs w:val="16"/>
              </w:rPr>
            </w:pPr>
            <w:r>
              <w:rPr>
                <w:rFonts w:ascii="宋体" w:hAnsi="宋体" w:cs="宋体" w:eastAsia="宋体" w:hint="default"/>
                <w:sz w:val="16"/>
                <w:szCs w:val="16"/>
              </w:rPr>
              <w:t>北京银行清华园支行</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500.00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85"/>
              <w:jc w:val="center"/>
              <w:rPr>
                <w:rFonts w:ascii="Times New Roman" w:hAnsi="Times New Roman" w:cs="Times New Roman" w:eastAsia="Times New Roman" w:hint="default"/>
                <w:sz w:val="16"/>
                <w:szCs w:val="16"/>
              </w:rPr>
            </w:pPr>
            <w:r>
              <w:rPr>
                <w:rFonts w:ascii="Times New Roman"/>
                <w:sz w:val="16"/>
              </w:rPr>
              <w:t>2015.06.29-2016.06.29</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3"/>
              <w:jc w:val="center"/>
              <w:rPr>
                <w:rFonts w:ascii="Times New Roman" w:hAnsi="Times New Roman" w:cs="Times New Roman" w:eastAsia="Times New Roman" w:hint="default"/>
                <w:sz w:val="16"/>
                <w:szCs w:val="16"/>
              </w:rPr>
            </w:pPr>
            <w:r>
              <w:rPr>
                <w:rFonts w:ascii="Times New Roman"/>
                <w:sz w:val="16"/>
              </w:rPr>
              <w:t>2015.06.29-2018.06.29</w:t>
            </w:r>
          </w:p>
        </w:tc>
      </w:tr>
      <w:tr>
        <w:trPr>
          <w:trHeight w:val="339" w:hRule="exact"/>
        </w:trPr>
        <w:tc>
          <w:tcPr>
            <w:tcW w:w="1464" w:type="dxa"/>
            <w:vMerge w:val="restart"/>
            <w:tcBorders>
              <w:top w:val="nil" w:sz="6" w:space="0" w:color="auto"/>
              <w:left w:val="nil" w:sz="6" w:space="0" w:color="auto"/>
              <w:right w:val="nil" w:sz="6" w:space="0" w:color="auto"/>
            </w:tcBorders>
          </w:tcPr>
          <w:p>
            <w:pPr>
              <w:pStyle w:val="TableParagraph"/>
              <w:spacing w:line="240" w:lineRule="auto" w:before="12"/>
              <w:ind w:left="43" w:right="17"/>
              <w:jc w:val="left"/>
              <w:rPr>
                <w:rFonts w:ascii="宋体" w:hAnsi="宋体" w:cs="宋体" w:eastAsia="宋体" w:hint="default"/>
                <w:sz w:val="16"/>
                <w:szCs w:val="16"/>
              </w:rPr>
            </w:pPr>
            <w:r>
              <w:rPr>
                <w:rFonts w:ascii="宋体" w:hAnsi="宋体" w:cs="宋体" w:eastAsia="宋体" w:hint="default"/>
                <w:spacing w:val="11"/>
                <w:sz w:val="16"/>
                <w:szCs w:val="16"/>
              </w:rPr>
              <w:t>同方计算机有限公</w:t>
            </w:r>
            <w:r>
              <w:rPr>
                <w:rFonts w:ascii="宋体" w:hAnsi="宋体" w:cs="宋体" w:eastAsia="宋体" w:hint="default"/>
                <w:spacing w:val="-64"/>
                <w:sz w:val="16"/>
                <w:szCs w:val="16"/>
              </w:rPr>
              <w:t> </w:t>
            </w:r>
            <w:r>
              <w:rPr>
                <w:rFonts w:ascii="宋体" w:hAnsi="宋体" w:cs="宋体" w:eastAsia="宋体" w:hint="default"/>
                <w:sz w:val="16"/>
                <w:szCs w:val="16"/>
              </w:rPr>
              <w:t>司</w:t>
            </w:r>
          </w:p>
        </w:tc>
        <w:tc>
          <w:tcPr>
            <w:tcW w:w="1943" w:type="dxa"/>
            <w:vMerge w:val="restart"/>
            <w:tcBorders>
              <w:top w:val="nil" w:sz="6" w:space="0" w:color="auto"/>
              <w:left w:val="nil" w:sz="6" w:space="0" w:color="auto"/>
              <w:right w:val="nil" w:sz="6" w:space="0" w:color="auto"/>
            </w:tcBorders>
          </w:tcPr>
          <w:p>
            <w:pPr>
              <w:pStyle w:val="TableParagraph"/>
              <w:spacing w:line="240" w:lineRule="auto" w:before="12"/>
              <w:ind w:left="19" w:right="167"/>
              <w:jc w:val="left"/>
              <w:rPr>
                <w:rFonts w:ascii="宋体" w:hAnsi="宋体" w:cs="宋体" w:eastAsia="宋体" w:hint="default"/>
                <w:sz w:val="16"/>
                <w:szCs w:val="16"/>
              </w:rPr>
            </w:pPr>
            <w:r>
              <w:rPr>
                <w:rFonts w:ascii="宋体" w:hAnsi="宋体" w:cs="宋体" w:eastAsia="宋体" w:hint="default"/>
                <w:spacing w:val="13"/>
                <w:sz w:val="16"/>
                <w:szCs w:val="16"/>
              </w:rPr>
              <w:t>中国银行无锡分行锡山</w:t>
            </w:r>
            <w:r>
              <w:rPr>
                <w:rFonts w:ascii="宋体" w:hAnsi="宋体" w:cs="宋体" w:eastAsia="宋体" w:hint="default"/>
                <w:spacing w:val="-61"/>
                <w:sz w:val="16"/>
                <w:szCs w:val="16"/>
              </w:rPr>
              <w:t> </w:t>
            </w:r>
            <w:r>
              <w:rPr>
                <w:rFonts w:ascii="宋体" w:hAnsi="宋体" w:cs="宋体" w:eastAsia="宋体" w:hint="default"/>
                <w:spacing w:val="-61"/>
                <w:sz w:val="16"/>
                <w:szCs w:val="16"/>
              </w:rPr>
            </w:r>
            <w:r>
              <w:rPr>
                <w:rFonts w:ascii="宋体" w:hAnsi="宋体" w:cs="宋体" w:eastAsia="宋体" w:hint="default"/>
                <w:sz w:val="16"/>
                <w:szCs w:val="16"/>
              </w:rPr>
              <w:t>支行营业部</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93.23 </w:t>
            </w:r>
            <w:r>
              <w:rPr>
                <w:rFonts w:ascii="宋体" w:hAnsi="宋体" w:cs="宋体" w:eastAsia="宋体" w:hint="default"/>
                <w:sz w:val="16"/>
                <w:szCs w:val="16"/>
              </w:rPr>
              <w:t>万美元</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3"/>
                <w:szCs w:val="13"/>
              </w:rPr>
            </w:pPr>
          </w:p>
          <w:p>
            <w:pPr>
              <w:pStyle w:val="TableParagraph"/>
              <w:spacing w:line="240" w:lineRule="auto"/>
              <w:ind w:right="85"/>
              <w:jc w:val="center"/>
              <w:rPr>
                <w:rFonts w:ascii="Times New Roman" w:hAnsi="Times New Roman" w:cs="Times New Roman" w:eastAsia="Times New Roman" w:hint="default"/>
                <w:sz w:val="16"/>
                <w:szCs w:val="16"/>
              </w:rPr>
            </w:pPr>
            <w:r>
              <w:rPr>
                <w:rFonts w:ascii="Times New Roman"/>
                <w:sz w:val="16"/>
              </w:rPr>
              <w:t>2015.11.13-2016.05.11</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3"/>
                <w:szCs w:val="13"/>
              </w:rPr>
            </w:pPr>
          </w:p>
          <w:p>
            <w:pPr>
              <w:pStyle w:val="TableParagraph"/>
              <w:spacing w:line="240" w:lineRule="auto"/>
              <w:ind w:right="33"/>
              <w:jc w:val="center"/>
              <w:rPr>
                <w:rFonts w:ascii="Times New Roman" w:hAnsi="Times New Roman" w:cs="Times New Roman" w:eastAsia="Times New Roman" w:hint="default"/>
                <w:sz w:val="16"/>
                <w:szCs w:val="16"/>
              </w:rPr>
            </w:pPr>
            <w:r>
              <w:rPr>
                <w:rFonts w:ascii="Times New Roman"/>
                <w:sz w:val="16"/>
              </w:rPr>
              <w:t>2015.11.13-2018.05.11</w:t>
            </w:r>
          </w:p>
        </w:tc>
      </w:tr>
      <w:tr>
        <w:trPr>
          <w:trHeight w:val="196" w:hRule="exact"/>
        </w:trPr>
        <w:tc>
          <w:tcPr>
            <w:tcW w:w="1464" w:type="dxa"/>
            <w:vMerge/>
            <w:tcBorders>
              <w:left w:val="nil" w:sz="6" w:space="0" w:color="auto"/>
              <w:bottom w:val="nil" w:sz="6" w:space="0" w:color="auto"/>
              <w:right w:val="nil" w:sz="6" w:space="0" w:color="auto"/>
            </w:tcBorders>
          </w:tcPr>
          <w:p>
            <w:pPr/>
          </w:p>
        </w:tc>
        <w:tc>
          <w:tcPr>
            <w:tcW w:w="1943" w:type="dxa"/>
            <w:vMerge/>
            <w:tcBorders>
              <w:left w:val="nil" w:sz="6" w:space="0" w:color="auto"/>
              <w:bottom w:val="nil" w:sz="6" w:space="0" w:color="auto"/>
              <w:right w:val="nil" w:sz="6" w:space="0" w:color="auto"/>
            </w:tcBorders>
          </w:tcPr>
          <w:p>
            <w:pPr/>
          </w:p>
        </w:tc>
        <w:tc>
          <w:tcPr>
            <w:tcW w:w="1571" w:type="dxa"/>
            <w:tcBorders>
              <w:top w:val="nil" w:sz="6" w:space="0" w:color="auto"/>
              <w:left w:val="nil" w:sz="6" w:space="0" w:color="auto"/>
              <w:bottom w:val="nil" w:sz="6" w:space="0" w:color="auto"/>
              <w:right w:val="nil" w:sz="6" w:space="0" w:color="auto"/>
            </w:tcBorders>
          </w:tcPr>
          <w:p>
            <w:pPr>
              <w:pStyle w:val="TableParagraph"/>
              <w:spacing w:line="180" w:lineRule="exact"/>
              <w:ind w:right="77"/>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605.42</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nil" w:sz="6" w:space="0" w:color="auto"/>
              <w:right w:val="nil" w:sz="6" w:space="0" w:color="auto"/>
            </w:tcBorders>
          </w:tcPr>
          <w:p>
            <w:pPr/>
          </w:p>
        </w:tc>
        <w:tc>
          <w:tcPr>
            <w:tcW w:w="1861" w:type="dxa"/>
            <w:tcBorders>
              <w:top w:val="nil" w:sz="6" w:space="0" w:color="auto"/>
              <w:left w:val="nil" w:sz="6" w:space="0" w:color="auto"/>
              <w:bottom w:val="nil" w:sz="6" w:space="0" w:color="auto"/>
              <w:right w:val="nil" w:sz="6" w:space="0" w:color="auto"/>
            </w:tcBorders>
          </w:tcPr>
          <w:p>
            <w:pPr/>
          </w:p>
        </w:tc>
      </w:tr>
      <w:tr>
        <w:trPr>
          <w:trHeight w:val="416" w:hRule="exact"/>
        </w:trPr>
        <w:tc>
          <w:tcPr>
            <w:tcW w:w="1464" w:type="dxa"/>
            <w:tcBorders>
              <w:top w:val="nil" w:sz="6" w:space="0" w:color="auto"/>
              <w:left w:val="nil" w:sz="6" w:space="0" w:color="auto"/>
              <w:bottom w:val="single" w:sz="4" w:space="0" w:color="000000"/>
              <w:right w:val="nil" w:sz="6" w:space="0" w:color="auto"/>
            </w:tcBorders>
          </w:tcPr>
          <w:p>
            <w:pPr>
              <w:pStyle w:val="TableParagraph"/>
              <w:spacing w:line="179" w:lineRule="exact"/>
              <w:ind w:left="43" w:right="0"/>
              <w:jc w:val="left"/>
              <w:rPr>
                <w:rFonts w:ascii="宋体" w:hAnsi="宋体" w:cs="宋体" w:eastAsia="宋体" w:hint="default"/>
                <w:sz w:val="16"/>
                <w:szCs w:val="16"/>
              </w:rPr>
            </w:pPr>
            <w:r>
              <w:rPr>
                <w:rFonts w:ascii="宋体" w:hAnsi="宋体" w:cs="宋体" w:eastAsia="宋体" w:hint="default"/>
                <w:spacing w:val="11"/>
                <w:sz w:val="16"/>
                <w:szCs w:val="16"/>
              </w:rPr>
              <w:t>同方威视技术股份</w:t>
            </w:r>
            <w:r>
              <w:rPr>
                <w:rFonts w:ascii="宋体" w:hAnsi="宋体" w:cs="宋体" w:eastAsia="宋体" w:hint="default"/>
                <w:spacing w:val="-66"/>
                <w:sz w:val="16"/>
                <w:szCs w:val="16"/>
              </w:rPr>
              <w:t> </w:t>
            </w:r>
            <w:r>
              <w:rPr>
                <w:rFonts w:ascii="宋体" w:hAnsi="宋体" w:cs="宋体" w:eastAsia="宋体" w:hint="default"/>
                <w:sz w:val="16"/>
                <w:szCs w:val="16"/>
              </w:rPr>
            </w:r>
          </w:p>
          <w:p>
            <w:pPr>
              <w:pStyle w:val="TableParagraph"/>
              <w:spacing w:line="209" w:lineRule="exact"/>
              <w:ind w:left="43" w:right="0"/>
              <w:jc w:val="left"/>
              <w:rPr>
                <w:rFonts w:ascii="宋体" w:hAnsi="宋体" w:cs="宋体" w:eastAsia="宋体" w:hint="default"/>
                <w:sz w:val="16"/>
                <w:szCs w:val="16"/>
              </w:rPr>
            </w:pPr>
            <w:r>
              <w:rPr>
                <w:rFonts w:ascii="宋体" w:hAnsi="宋体" w:cs="宋体" w:eastAsia="宋体" w:hint="default"/>
                <w:sz w:val="16"/>
                <w:szCs w:val="16"/>
              </w:rPr>
              <w:t>有限公司</w:t>
            </w:r>
          </w:p>
        </w:tc>
        <w:tc>
          <w:tcPr>
            <w:tcW w:w="1943" w:type="dxa"/>
            <w:tcBorders>
              <w:top w:val="nil" w:sz="6" w:space="0" w:color="auto"/>
              <w:left w:val="nil" w:sz="6" w:space="0" w:color="auto"/>
              <w:bottom w:val="single" w:sz="4" w:space="0" w:color="000000"/>
              <w:right w:val="nil" w:sz="6" w:space="0" w:color="auto"/>
            </w:tcBorders>
          </w:tcPr>
          <w:p>
            <w:pPr>
              <w:pStyle w:val="TableParagraph"/>
              <w:spacing w:line="240" w:lineRule="auto" w:before="73"/>
              <w:ind w:left="19" w:right="0"/>
              <w:jc w:val="left"/>
              <w:rPr>
                <w:rFonts w:ascii="宋体" w:hAnsi="宋体" w:cs="宋体" w:eastAsia="宋体" w:hint="default"/>
                <w:sz w:val="16"/>
                <w:szCs w:val="16"/>
              </w:rPr>
            </w:pPr>
            <w:r>
              <w:rPr>
                <w:rFonts w:ascii="宋体" w:hAnsi="宋体" w:cs="宋体" w:eastAsia="宋体" w:hint="default"/>
                <w:sz w:val="16"/>
                <w:szCs w:val="16"/>
              </w:rPr>
              <w:t>中国进出口银行</w:t>
            </w:r>
          </w:p>
        </w:tc>
        <w:tc>
          <w:tcPr>
            <w:tcW w:w="1571" w:type="dxa"/>
            <w:tcBorders>
              <w:top w:val="nil" w:sz="6" w:space="0" w:color="auto"/>
              <w:left w:val="nil" w:sz="6" w:space="0" w:color="auto"/>
              <w:bottom w:val="single" w:sz="4" w:space="0" w:color="000000"/>
              <w:right w:val="nil" w:sz="6" w:space="0" w:color="auto"/>
            </w:tcBorders>
          </w:tcPr>
          <w:p>
            <w:pPr>
              <w:pStyle w:val="TableParagraph"/>
              <w:spacing w:line="240" w:lineRule="auto" w:before="73"/>
              <w:ind w:right="77"/>
              <w:jc w:val="right"/>
              <w:rPr>
                <w:rFonts w:ascii="宋体" w:hAnsi="宋体" w:cs="宋体" w:eastAsia="宋体" w:hint="default"/>
                <w:sz w:val="16"/>
                <w:szCs w:val="16"/>
              </w:rPr>
            </w:pPr>
            <w:r>
              <w:rPr>
                <w:rFonts w:ascii="Times New Roman" w:hAnsi="Times New Roman" w:cs="Times New Roman" w:eastAsia="Times New Roman" w:hint="default"/>
                <w:sz w:val="16"/>
                <w:szCs w:val="16"/>
              </w:rPr>
              <w:t>20,000.00</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万人民币</w:t>
            </w:r>
          </w:p>
        </w:tc>
        <w:tc>
          <w:tcPr>
            <w:tcW w:w="1740" w:type="dxa"/>
            <w:tcBorders>
              <w:top w:val="nil" w:sz="6" w:space="0" w:color="auto"/>
              <w:left w:val="nil" w:sz="6" w:space="0" w:color="auto"/>
              <w:bottom w:val="single" w:sz="4" w:space="0" w:color="000000"/>
              <w:right w:val="nil" w:sz="6" w:space="0" w:color="auto"/>
            </w:tcBorders>
          </w:tcPr>
          <w:p>
            <w:pPr>
              <w:pStyle w:val="TableParagraph"/>
              <w:spacing w:line="240" w:lineRule="auto" w:before="105"/>
              <w:ind w:right="85"/>
              <w:jc w:val="center"/>
              <w:rPr>
                <w:rFonts w:ascii="Times New Roman" w:hAnsi="Times New Roman" w:cs="Times New Roman" w:eastAsia="Times New Roman" w:hint="default"/>
                <w:sz w:val="16"/>
                <w:szCs w:val="16"/>
              </w:rPr>
            </w:pPr>
            <w:r>
              <w:rPr>
                <w:rFonts w:ascii="Times New Roman"/>
                <w:sz w:val="16"/>
              </w:rPr>
              <w:t>2015.09.28-2017.09.28</w:t>
            </w:r>
          </w:p>
        </w:tc>
        <w:tc>
          <w:tcPr>
            <w:tcW w:w="1861" w:type="dxa"/>
            <w:tcBorders>
              <w:top w:val="nil" w:sz="6" w:space="0" w:color="auto"/>
              <w:left w:val="nil" w:sz="6" w:space="0" w:color="auto"/>
              <w:bottom w:val="single" w:sz="4" w:space="0" w:color="000000"/>
              <w:right w:val="nil" w:sz="6" w:space="0" w:color="auto"/>
            </w:tcBorders>
          </w:tcPr>
          <w:p>
            <w:pPr>
              <w:pStyle w:val="TableParagraph"/>
              <w:spacing w:line="240" w:lineRule="auto" w:before="105"/>
              <w:ind w:right="33"/>
              <w:jc w:val="center"/>
              <w:rPr>
                <w:rFonts w:ascii="Times New Roman" w:hAnsi="Times New Roman" w:cs="Times New Roman" w:eastAsia="Times New Roman" w:hint="default"/>
                <w:sz w:val="16"/>
                <w:szCs w:val="16"/>
              </w:rPr>
            </w:pPr>
            <w:r>
              <w:rPr>
                <w:rFonts w:ascii="Times New Roman"/>
                <w:sz w:val="16"/>
              </w:rPr>
              <w:t>2015.09.28-2019.09.28</w:t>
            </w:r>
          </w:p>
        </w:tc>
      </w:tr>
      <w:tr>
        <w:trPr>
          <w:trHeight w:val="307" w:hRule="exact"/>
        </w:trPr>
        <w:tc>
          <w:tcPr>
            <w:tcW w:w="1464" w:type="dxa"/>
            <w:tcBorders>
              <w:top w:val="single" w:sz="4" w:space="0" w:color="000000"/>
              <w:left w:val="nil" w:sz="6" w:space="0" w:color="auto"/>
              <w:bottom w:val="single" w:sz="12" w:space="0" w:color="000000"/>
              <w:right w:val="nil" w:sz="6" w:space="0" w:color="auto"/>
            </w:tcBorders>
          </w:tcPr>
          <w:p>
            <w:pPr>
              <w:pStyle w:val="TableParagraph"/>
              <w:spacing w:line="240" w:lineRule="auto" w:before="53"/>
              <w:ind w:left="43" w:right="0"/>
              <w:jc w:val="left"/>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c>
        <w:tc>
          <w:tcPr>
            <w:tcW w:w="3515" w:type="dxa"/>
            <w:gridSpan w:val="2"/>
            <w:tcBorders>
              <w:top w:val="single" w:sz="4" w:space="0" w:color="000000"/>
              <w:left w:val="nil" w:sz="6" w:space="0" w:color="auto"/>
              <w:bottom w:val="single" w:sz="12" w:space="0" w:color="000000"/>
              <w:right w:val="nil" w:sz="6" w:space="0" w:color="auto"/>
            </w:tcBorders>
          </w:tcPr>
          <w:p>
            <w:pPr>
              <w:pStyle w:val="TableParagraph"/>
              <w:spacing w:line="240" w:lineRule="auto" w:before="53"/>
              <w:ind w:left="1829" w:right="0"/>
              <w:jc w:val="left"/>
              <w:rPr>
                <w:rFonts w:ascii="宋体" w:hAnsi="宋体" w:cs="宋体" w:eastAsia="宋体" w:hint="default"/>
                <w:sz w:val="16"/>
                <w:szCs w:val="16"/>
              </w:rPr>
            </w:pPr>
            <w:r>
              <w:rPr>
                <w:rFonts w:ascii="宋体" w:hAnsi="宋体" w:cs="宋体" w:eastAsia="宋体" w:hint="default"/>
                <w:b/>
                <w:bCs/>
                <w:sz w:val="16"/>
                <w:szCs w:val="16"/>
              </w:rPr>
              <w:t>约</w:t>
            </w:r>
            <w:r>
              <w:rPr>
                <w:rFonts w:ascii="宋体" w:hAnsi="宋体" w:cs="宋体" w:eastAsia="宋体" w:hint="default"/>
                <w:b/>
                <w:bCs/>
                <w:spacing w:val="-44"/>
                <w:sz w:val="16"/>
                <w:szCs w:val="16"/>
              </w:rPr>
              <w:t> </w:t>
            </w:r>
            <w:r>
              <w:rPr>
                <w:rFonts w:ascii="Times New Roman" w:hAnsi="Times New Roman" w:cs="Times New Roman" w:eastAsia="Times New Roman" w:hint="default"/>
                <w:b/>
                <w:bCs/>
                <w:sz w:val="16"/>
                <w:szCs w:val="16"/>
              </w:rPr>
              <w:t>485,187.65</w:t>
            </w:r>
            <w:r>
              <w:rPr>
                <w:rFonts w:ascii="Times New Roman" w:hAnsi="Times New Roman" w:cs="Times New Roman" w:eastAsia="Times New Roman" w:hint="default"/>
                <w:b/>
                <w:bCs/>
                <w:spacing w:val="-5"/>
                <w:sz w:val="16"/>
                <w:szCs w:val="16"/>
              </w:rPr>
              <w:t> </w:t>
            </w:r>
            <w:r>
              <w:rPr>
                <w:rFonts w:ascii="宋体" w:hAnsi="宋体" w:cs="宋体" w:eastAsia="宋体" w:hint="default"/>
                <w:b/>
                <w:bCs/>
                <w:sz w:val="16"/>
                <w:szCs w:val="16"/>
              </w:rPr>
              <w:t>万人民币</w:t>
            </w:r>
            <w:r>
              <w:rPr>
                <w:rFonts w:ascii="宋体" w:hAnsi="宋体" w:cs="宋体" w:eastAsia="宋体" w:hint="default"/>
                <w:sz w:val="16"/>
                <w:szCs w:val="16"/>
              </w:rPr>
            </w:r>
          </w:p>
        </w:tc>
        <w:tc>
          <w:tcPr>
            <w:tcW w:w="1740" w:type="dxa"/>
            <w:tcBorders>
              <w:top w:val="single" w:sz="4" w:space="0" w:color="000000"/>
              <w:left w:val="nil" w:sz="6" w:space="0" w:color="auto"/>
              <w:bottom w:val="single" w:sz="12" w:space="0" w:color="000000"/>
              <w:right w:val="nil" w:sz="6" w:space="0" w:color="auto"/>
            </w:tcBorders>
          </w:tcPr>
          <w:p>
            <w:pPr/>
          </w:p>
        </w:tc>
        <w:tc>
          <w:tcPr>
            <w:tcW w:w="1861" w:type="dxa"/>
            <w:tcBorders>
              <w:top w:val="single" w:sz="4" w:space="0" w:color="000000"/>
              <w:left w:val="nil" w:sz="6" w:space="0" w:color="auto"/>
              <w:bottom w:val="single" w:sz="12" w:space="0" w:color="000000"/>
              <w:right w:val="nil" w:sz="6" w:space="0" w:color="auto"/>
            </w:tcBorders>
          </w:tcPr>
          <w:p>
            <w:pPr/>
          </w:p>
        </w:tc>
      </w:tr>
    </w:tbl>
    <w:p>
      <w:pPr>
        <w:spacing w:before="21"/>
        <w:ind w:left="910" w:right="0"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b</w:t>
      </w:r>
      <w:r>
        <w:rPr>
          <w:rFonts w:ascii="宋体" w:hAnsi="宋体" w:cs="宋体" w:eastAsia="宋体" w:hint="default"/>
          <w:sz w:val="22"/>
          <w:szCs w:val="22"/>
        </w:rPr>
        <w:t>）</w:t>
      </w:r>
      <w:r>
        <w:rPr>
          <w:rFonts w:ascii="宋体" w:hAnsi="宋体" w:cs="宋体" w:eastAsia="宋体" w:hint="default"/>
          <w:spacing w:val="-71"/>
          <w:sz w:val="22"/>
          <w:szCs w:val="22"/>
        </w:rPr>
        <w:t> </w:t>
      </w:r>
      <w:r>
        <w:rPr>
          <w:rFonts w:ascii="宋体" w:hAnsi="宋体" w:cs="宋体" w:eastAsia="宋体" w:hint="default"/>
          <w:sz w:val="22"/>
          <w:szCs w:val="22"/>
        </w:rPr>
        <w:t>贸易融资借款担保</w:t>
      </w:r>
    </w:p>
    <w:p>
      <w:pPr>
        <w:spacing w:line="240" w:lineRule="auto" w:before="5"/>
        <w:rPr>
          <w:rFonts w:ascii="宋体" w:hAnsi="宋体" w:cs="宋体" w:eastAsia="宋体" w:hint="default"/>
          <w:sz w:val="11"/>
          <w:szCs w:val="11"/>
        </w:rPr>
      </w:pPr>
    </w:p>
    <w:tbl>
      <w:tblPr>
        <w:tblW w:w="0" w:type="auto"/>
        <w:jc w:val="left"/>
        <w:tblInd w:w="130" w:type="dxa"/>
        <w:tblLayout w:type="fixed"/>
        <w:tblCellMar>
          <w:top w:w="0" w:type="dxa"/>
          <w:left w:w="0" w:type="dxa"/>
          <w:bottom w:w="0" w:type="dxa"/>
          <w:right w:w="0" w:type="dxa"/>
        </w:tblCellMar>
        <w:tblLook w:val="01E0"/>
      </w:tblPr>
      <w:tblGrid>
        <w:gridCol w:w="1874"/>
        <w:gridCol w:w="2165"/>
        <w:gridCol w:w="1687"/>
        <w:gridCol w:w="1704"/>
        <w:gridCol w:w="1182"/>
      </w:tblGrid>
      <w:tr>
        <w:trPr>
          <w:trHeight w:val="305" w:hRule="exact"/>
        </w:trPr>
        <w:tc>
          <w:tcPr>
            <w:tcW w:w="1874"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619" w:right="0"/>
              <w:jc w:val="left"/>
              <w:rPr>
                <w:rFonts w:ascii="宋体" w:hAnsi="宋体" w:cs="宋体" w:eastAsia="宋体" w:hint="default"/>
                <w:sz w:val="16"/>
                <w:szCs w:val="16"/>
              </w:rPr>
            </w:pPr>
            <w:r>
              <w:rPr>
                <w:rFonts w:ascii="宋体" w:hAnsi="宋体" w:cs="宋体" w:eastAsia="宋体" w:hint="default"/>
                <w:b/>
                <w:bCs/>
                <w:sz w:val="16"/>
                <w:szCs w:val="16"/>
              </w:rPr>
              <w:t>被担保方</w:t>
            </w:r>
            <w:r>
              <w:rPr>
                <w:rFonts w:ascii="宋体" w:hAnsi="宋体" w:cs="宋体" w:eastAsia="宋体" w:hint="default"/>
                <w:sz w:val="16"/>
                <w:szCs w:val="16"/>
              </w:rPr>
            </w:r>
          </w:p>
        </w:tc>
        <w:tc>
          <w:tcPr>
            <w:tcW w:w="2165"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710" w:right="0"/>
              <w:jc w:val="left"/>
              <w:rPr>
                <w:rFonts w:ascii="宋体" w:hAnsi="宋体" w:cs="宋体" w:eastAsia="宋体" w:hint="default"/>
                <w:sz w:val="16"/>
                <w:szCs w:val="16"/>
              </w:rPr>
            </w:pPr>
            <w:r>
              <w:rPr>
                <w:rFonts w:ascii="宋体" w:hAnsi="宋体" w:cs="宋体" w:eastAsia="宋体" w:hint="default"/>
                <w:b/>
                <w:bCs/>
                <w:sz w:val="16"/>
                <w:szCs w:val="16"/>
              </w:rPr>
              <w:t>贷款银行</w:t>
            </w:r>
            <w:r>
              <w:rPr>
                <w:rFonts w:ascii="宋体" w:hAnsi="宋体" w:cs="宋体" w:eastAsia="宋体" w:hint="default"/>
                <w:sz w:val="16"/>
                <w:szCs w:val="16"/>
              </w:rPr>
            </w:r>
          </w:p>
        </w:tc>
        <w:tc>
          <w:tcPr>
            <w:tcW w:w="1687"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456" w:right="0"/>
              <w:jc w:val="left"/>
              <w:rPr>
                <w:rFonts w:ascii="宋体" w:hAnsi="宋体" w:cs="宋体" w:eastAsia="宋体" w:hint="default"/>
                <w:sz w:val="16"/>
                <w:szCs w:val="16"/>
              </w:rPr>
            </w:pPr>
            <w:r>
              <w:rPr>
                <w:rFonts w:ascii="宋体" w:hAnsi="宋体" w:cs="宋体" w:eastAsia="宋体" w:hint="default"/>
                <w:b/>
                <w:bCs/>
                <w:sz w:val="16"/>
                <w:szCs w:val="16"/>
              </w:rPr>
              <w:t>贷款金额</w:t>
            </w:r>
            <w:r>
              <w:rPr>
                <w:rFonts w:ascii="宋体" w:hAnsi="宋体" w:cs="宋体" w:eastAsia="宋体" w:hint="default"/>
                <w:sz w:val="16"/>
                <w:szCs w:val="16"/>
              </w:rPr>
            </w:r>
          </w:p>
        </w:tc>
        <w:tc>
          <w:tcPr>
            <w:tcW w:w="1704"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21"/>
              <w:jc w:val="center"/>
              <w:rPr>
                <w:rFonts w:ascii="宋体" w:hAnsi="宋体" w:cs="宋体" w:eastAsia="宋体" w:hint="default"/>
                <w:sz w:val="16"/>
                <w:szCs w:val="16"/>
              </w:rPr>
            </w:pPr>
            <w:r>
              <w:rPr>
                <w:rFonts w:ascii="宋体" w:hAnsi="宋体" w:cs="宋体" w:eastAsia="宋体" w:hint="default"/>
                <w:b/>
                <w:bCs/>
                <w:sz w:val="16"/>
                <w:szCs w:val="16"/>
              </w:rPr>
              <w:t>贷款期限</w:t>
            </w:r>
            <w:r>
              <w:rPr>
                <w:rFonts w:ascii="宋体" w:hAnsi="宋体" w:cs="宋体" w:eastAsia="宋体" w:hint="default"/>
                <w:sz w:val="16"/>
                <w:szCs w:val="16"/>
              </w:rPr>
            </w:r>
          </w:p>
        </w:tc>
        <w:tc>
          <w:tcPr>
            <w:tcW w:w="1182"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15" w:right="0"/>
              <w:jc w:val="center"/>
              <w:rPr>
                <w:rFonts w:ascii="宋体" w:hAnsi="宋体" w:cs="宋体" w:eastAsia="宋体" w:hint="default"/>
                <w:sz w:val="16"/>
                <w:szCs w:val="16"/>
              </w:rPr>
            </w:pPr>
            <w:r>
              <w:rPr>
                <w:rFonts w:ascii="宋体" w:hAnsi="宋体" w:cs="宋体" w:eastAsia="宋体" w:hint="default"/>
                <w:b/>
                <w:bCs/>
                <w:sz w:val="16"/>
                <w:szCs w:val="16"/>
              </w:rPr>
              <w:t>贸易融资类别</w:t>
            </w:r>
            <w:r>
              <w:rPr>
                <w:rFonts w:ascii="宋体" w:hAnsi="宋体" w:cs="宋体" w:eastAsia="宋体" w:hint="default"/>
                <w:sz w:val="16"/>
                <w:szCs w:val="16"/>
              </w:rPr>
            </w:r>
          </w:p>
        </w:tc>
      </w:tr>
      <w:tr>
        <w:trPr>
          <w:trHeight w:val="384" w:hRule="exact"/>
        </w:trPr>
        <w:tc>
          <w:tcPr>
            <w:tcW w:w="1874"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left="71" w:right="0"/>
              <w:jc w:val="left"/>
              <w:rPr>
                <w:rFonts w:ascii="宋体" w:hAnsi="宋体" w:cs="宋体" w:eastAsia="宋体" w:hint="default"/>
                <w:sz w:val="16"/>
                <w:szCs w:val="16"/>
              </w:rPr>
            </w:pPr>
            <w:r>
              <w:rPr>
                <w:rFonts w:ascii="宋体" w:hAnsi="宋体" w:cs="宋体" w:eastAsia="宋体" w:hint="default"/>
                <w:spacing w:val="-9"/>
                <w:sz w:val="16"/>
                <w:szCs w:val="16"/>
              </w:rPr>
              <w:t>南通同方半导体有限公司</w:t>
            </w:r>
          </w:p>
        </w:tc>
        <w:tc>
          <w:tcPr>
            <w:tcW w:w="2165"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left="50" w:right="0"/>
              <w:jc w:val="left"/>
              <w:rPr>
                <w:rFonts w:ascii="宋体" w:hAnsi="宋体" w:cs="宋体" w:eastAsia="宋体" w:hint="default"/>
                <w:sz w:val="16"/>
                <w:szCs w:val="16"/>
              </w:rPr>
            </w:pPr>
            <w:r>
              <w:rPr>
                <w:rFonts w:ascii="宋体" w:hAnsi="宋体" w:cs="宋体" w:eastAsia="宋体" w:hint="default"/>
                <w:sz w:val="16"/>
                <w:szCs w:val="16"/>
              </w:rPr>
              <w:t>工商银行南通人民路支行</w:t>
            </w:r>
          </w:p>
        </w:tc>
        <w:tc>
          <w:tcPr>
            <w:tcW w:w="1687" w:type="dxa"/>
            <w:tcBorders>
              <w:top w:val="single" w:sz="4" w:space="0" w:color="000000"/>
              <w:left w:val="nil" w:sz="6" w:space="0" w:color="auto"/>
              <w:bottom w:val="nil" w:sz="6" w:space="0" w:color="auto"/>
              <w:right w:val="nil" w:sz="6" w:space="0" w:color="auto"/>
            </w:tcBorders>
          </w:tcPr>
          <w:p>
            <w:pPr>
              <w:pStyle w:val="TableParagraph"/>
              <w:spacing w:line="240" w:lineRule="auto" w:before="53"/>
              <w:ind w:right="91"/>
              <w:jc w:val="right"/>
              <w:rPr>
                <w:rFonts w:ascii="宋体" w:hAnsi="宋体" w:cs="宋体" w:eastAsia="宋体" w:hint="default"/>
                <w:sz w:val="16"/>
                <w:szCs w:val="16"/>
              </w:rPr>
            </w:pPr>
            <w:r>
              <w:rPr>
                <w:rFonts w:ascii="Times New Roman" w:hAnsi="Times New Roman" w:cs="Times New Roman" w:eastAsia="Times New Roman" w:hint="default"/>
                <w:sz w:val="16"/>
                <w:szCs w:val="16"/>
              </w:rPr>
              <w:t>630.00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万美元</w:t>
            </w:r>
          </w:p>
        </w:tc>
        <w:tc>
          <w:tcPr>
            <w:tcW w:w="1704" w:type="dxa"/>
            <w:tcBorders>
              <w:top w:val="single" w:sz="4"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0"/>
              <w:jc w:val="center"/>
              <w:rPr>
                <w:rFonts w:ascii="Times New Roman" w:hAnsi="Times New Roman" w:cs="Times New Roman" w:eastAsia="Times New Roman" w:hint="default"/>
                <w:sz w:val="16"/>
                <w:szCs w:val="16"/>
              </w:rPr>
            </w:pPr>
            <w:r>
              <w:rPr>
                <w:rFonts w:ascii="Times New Roman"/>
                <w:sz w:val="16"/>
              </w:rPr>
              <w:t>2015.08.25-2016.06.24</w:t>
            </w:r>
          </w:p>
        </w:tc>
        <w:tc>
          <w:tcPr>
            <w:tcW w:w="1182"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left="17" w:right="0"/>
              <w:jc w:val="center"/>
              <w:rPr>
                <w:rFonts w:ascii="宋体" w:hAnsi="宋体" w:cs="宋体" w:eastAsia="宋体" w:hint="default"/>
                <w:sz w:val="16"/>
                <w:szCs w:val="16"/>
              </w:rPr>
            </w:pPr>
            <w:r>
              <w:rPr>
                <w:rFonts w:ascii="宋体" w:hAnsi="宋体" w:cs="宋体" w:eastAsia="宋体" w:hint="default"/>
                <w:sz w:val="16"/>
                <w:szCs w:val="16"/>
              </w:rPr>
              <w:t>出口发票融资</w:t>
            </w:r>
          </w:p>
        </w:tc>
      </w:tr>
      <w:tr>
        <w:trPr>
          <w:trHeight w:val="235" w:hRule="exact"/>
        </w:trPr>
        <w:tc>
          <w:tcPr>
            <w:tcW w:w="1874" w:type="dxa"/>
            <w:tcBorders>
              <w:top w:val="nil" w:sz="6" w:space="0" w:color="auto"/>
              <w:left w:val="nil" w:sz="6" w:space="0" w:color="auto"/>
              <w:bottom w:val="nil" w:sz="6" w:space="0" w:color="auto"/>
              <w:right w:val="nil" w:sz="6" w:space="0" w:color="auto"/>
            </w:tcBorders>
          </w:tcPr>
          <w:p>
            <w:pPr/>
          </w:p>
        </w:tc>
        <w:tc>
          <w:tcPr>
            <w:tcW w:w="2165"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182" w:lineRule="exact"/>
              <w:ind w:right="91"/>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4,090.97</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1704"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
        </w:tc>
      </w:tr>
      <w:tr>
        <w:trPr>
          <w:trHeight w:val="337" w:hRule="exact"/>
        </w:trPr>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71" w:right="0"/>
              <w:jc w:val="left"/>
              <w:rPr>
                <w:rFonts w:ascii="宋体" w:hAnsi="宋体" w:cs="宋体" w:eastAsia="宋体" w:hint="default"/>
                <w:sz w:val="16"/>
                <w:szCs w:val="16"/>
              </w:rPr>
            </w:pPr>
            <w:r>
              <w:rPr>
                <w:rFonts w:ascii="宋体" w:hAnsi="宋体" w:cs="宋体" w:eastAsia="宋体" w:hint="default"/>
                <w:spacing w:val="-9"/>
                <w:sz w:val="16"/>
                <w:szCs w:val="16"/>
              </w:rPr>
              <w:t>南通同方半导体有限公司</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50" w:right="0"/>
              <w:jc w:val="left"/>
              <w:rPr>
                <w:rFonts w:ascii="宋体" w:hAnsi="宋体" w:cs="宋体" w:eastAsia="宋体" w:hint="default"/>
                <w:sz w:val="16"/>
                <w:szCs w:val="16"/>
              </w:rPr>
            </w:pPr>
            <w:r>
              <w:rPr>
                <w:rFonts w:ascii="宋体" w:hAnsi="宋体" w:cs="宋体" w:eastAsia="宋体" w:hint="default"/>
                <w:sz w:val="16"/>
                <w:szCs w:val="16"/>
              </w:rPr>
              <w:t>工商银行南通人民路支行</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91"/>
              <w:jc w:val="right"/>
              <w:rPr>
                <w:rFonts w:ascii="宋体" w:hAnsi="宋体" w:cs="宋体" w:eastAsia="宋体" w:hint="default"/>
                <w:sz w:val="16"/>
                <w:szCs w:val="16"/>
              </w:rPr>
            </w:pPr>
            <w:r>
              <w:rPr>
                <w:rFonts w:ascii="Times New Roman" w:hAnsi="Times New Roman" w:cs="Times New Roman" w:eastAsia="Times New Roman" w:hint="default"/>
                <w:sz w:val="16"/>
                <w:szCs w:val="16"/>
              </w:rPr>
              <w:t>502.75</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万美元</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right="20"/>
              <w:jc w:val="center"/>
              <w:rPr>
                <w:rFonts w:ascii="Times New Roman" w:hAnsi="Times New Roman" w:cs="Times New Roman" w:eastAsia="Times New Roman" w:hint="default"/>
                <w:sz w:val="16"/>
                <w:szCs w:val="16"/>
              </w:rPr>
            </w:pPr>
            <w:r>
              <w:rPr>
                <w:rFonts w:ascii="Times New Roman"/>
                <w:sz w:val="16"/>
              </w:rPr>
              <w:t>2015.08.21-2016.05.23</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20" w:right="0"/>
              <w:jc w:val="center"/>
              <w:rPr>
                <w:rFonts w:ascii="宋体" w:hAnsi="宋体" w:cs="宋体" w:eastAsia="宋体" w:hint="default"/>
                <w:sz w:val="16"/>
                <w:szCs w:val="16"/>
              </w:rPr>
            </w:pPr>
            <w:r>
              <w:rPr>
                <w:rFonts w:ascii="宋体" w:hAnsi="宋体" w:cs="宋体" w:eastAsia="宋体" w:hint="default"/>
                <w:sz w:val="16"/>
                <w:szCs w:val="16"/>
              </w:rPr>
              <w:t>进口</w:t>
            </w:r>
            <w:r>
              <w:rPr>
                <w:rFonts w:ascii="宋体" w:hAnsi="宋体" w:cs="宋体" w:eastAsia="宋体" w:hint="default"/>
                <w:spacing w:val="-40"/>
                <w:sz w:val="16"/>
                <w:szCs w:val="16"/>
              </w:rPr>
              <w:t> </w:t>
            </w:r>
            <w:r>
              <w:rPr>
                <w:rFonts w:ascii="Times New Roman" w:hAnsi="Times New Roman" w:cs="Times New Roman" w:eastAsia="Times New Roman" w:hint="default"/>
                <w:sz w:val="16"/>
                <w:szCs w:val="16"/>
              </w:rPr>
              <w:t>TT</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融资</w:t>
            </w:r>
          </w:p>
        </w:tc>
      </w:tr>
      <w:tr>
        <w:trPr>
          <w:trHeight w:val="233" w:hRule="exact"/>
        </w:trPr>
        <w:tc>
          <w:tcPr>
            <w:tcW w:w="1874" w:type="dxa"/>
            <w:tcBorders>
              <w:top w:val="nil" w:sz="6" w:space="0" w:color="auto"/>
              <w:left w:val="nil" w:sz="6" w:space="0" w:color="auto"/>
              <w:bottom w:val="nil" w:sz="6" w:space="0" w:color="auto"/>
              <w:right w:val="nil" w:sz="6" w:space="0" w:color="auto"/>
            </w:tcBorders>
          </w:tcPr>
          <w:p>
            <w:pPr/>
          </w:p>
        </w:tc>
        <w:tc>
          <w:tcPr>
            <w:tcW w:w="2165"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178" w:lineRule="exact"/>
              <w:ind w:right="91"/>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3,264.68</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1704"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
        </w:tc>
      </w:tr>
      <w:tr>
        <w:trPr>
          <w:trHeight w:val="335" w:hRule="exact"/>
        </w:trPr>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71" w:right="0"/>
              <w:jc w:val="left"/>
              <w:rPr>
                <w:rFonts w:ascii="宋体" w:hAnsi="宋体" w:cs="宋体" w:eastAsia="宋体" w:hint="default"/>
                <w:sz w:val="16"/>
                <w:szCs w:val="16"/>
              </w:rPr>
            </w:pPr>
            <w:r>
              <w:rPr>
                <w:rFonts w:ascii="宋体" w:hAnsi="宋体" w:cs="宋体" w:eastAsia="宋体" w:hint="default"/>
                <w:spacing w:val="-9"/>
                <w:sz w:val="16"/>
                <w:szCs w:val="16"/>
              </w:rPr>
              <w:t>南通同方半导体有限公司</w:t>
            </w:r>
          </w:p>
        </w:tc>
        <w:tc>
          <w:tcPr>
            <w:tcW w:w="2165" w:type="dxa"/>
            <w:vMerge w:val="restart"/>
            <w:tcBorders>
              <w:top w:val="nil" w:sz="6" w:space="0" w:color="auto"/>
              <w:left w:val="nil" w:sz="6" w:space="0" w:color="auto"/>
              <w:right w:val="nil" w:sz="6" w:space="0" w:color="auto"/>
            </w:tcBorders>
          </w:tcPr>
          <w:p>
            <w:pPr>
              <w:pStyle w:val="TableParagraph"/>
              <w:spacing w:line="206" w:lineRule="exact" w:before="31"/>
              <w:ind w:left="50" w:right="149"/>
              <w:jc w:val="left"/>
              <w:rPr>
                <w:rFonts w:ascii="宋体" w:hAnsi="宋体" w:cs="宋体" w:eastAsia="宋体" w:hint="default"/>
                <w:sz w:val="16"/>
                <w:szCs w:val="16"/>
              </w:rPr>
            </w:pPr>
            <w:r>
              <w:rPr>
                <w:rFonts w:ascii="宋体" w:hAnsi="宋体" w:cs="宋体" w:eastAsia="宋体" w:hint="default"/>
                <w:spacing w:val="2"/>
                <w:sz w:val="16"/>
                <w:szCs w:val="16"/>
              </w:rPr>
              <w:t>中国银行南通经济技术开发</w:t>
            </w:r>
            <w:r>
              <w:rPr>
                <w:rFonts w:ascii="宋体" w:hAnsi="宋体" w:cs="宋体" w:eastAsia="宋体" w:hint="default"/>
                <w:spacing w:val="-65"/>
                <w:sz w:val="16"/>
                <w:szCs w:val="16"/>
              </w:rPr>
              <w:t> </w:t>
            </w:r>
            <w:r>
              <w:rPr>
                <w:rFonts w:ascii="宋体" w:hAnsi="宋体" w:cs="宋体" w:eastAsia="宋体" w:hint="default"/>
                <w:spacing w:val="-65"/>
                <w:sz w:val="16"/>
                <w:szCs w:val="16"/>
              </w:rPr>
            </w:r>
            <w:r>
              <w:rPr>
                <w:rFonts w:ascii="宋体" w:hAnsi="宋体" w:cs="宋体" w:eastAsia="宋体" w:hint="default"/>
                <w:sz w:val="16"/>
                <w:szCs w:val="16"/>
              </w:rPr>
              <w:t>区支行</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91"/>
              <w:jc w:val="right"/>
              <w:rPr>
                <w:rFonts w:ascii="宋体" w:hAnsi="宋体" w:cs="宋体" w:eastAsia="宋体" w:hint="default"/>
                <w:sz w:val="16"/>
                <w:szCs w:val="16"/>
              </w:rPr>
            </w:pPr>
            <w:r>
              <w:rPr>
                <w:rFonts w:ascii="Times New Roman" w:hAnsi="Times New Roman" w:cs="Times New Roman" w:eastAsia="Times New Roman" w:hint="default"/>
                <w:sz w:val="16"/>
                <w:szCs w:val="16"/>
              </w:rPr>
              <w:t>295.00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万美元</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20"/>
              <w:jc w:val="center"/>
              <w:rPr>
                <w:rFonts w:ascii="Times New Roman" w:hAnsi="Times New Roman" w:cs="Times New Roman" w:eastAsia="Times New Roman" w:hint="default"/>
                <w:sz w:val="16"/>
                <w:szCs w:val="16"/>
              </w:rPr>
            </w:pPr>
            <w:r>
              <w:rPr>
                <w:rFonts w:ascii="Times New Roman"/>
                <w:sz w:val="16"/>
              </w:rPr>
              <w:t>2015.09.16-2016.04.29</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17" w:right="0"/>
              <w:jc w:val="center"/>
              <w:rPr>
                <w:rFonts w:ascii="宋体" w:hAnsi="宋体" w:cs="宋体" w:eastAsia="宋体" w:hint="default"/>
                <w:sz w:val="16"/>
                <w:szCs w:val="16"/>
              </w:rPr>
            </w:pPr>
            <w:r>
              <w:rPr>
                <w:rFonts w:ascii="宋体" w:hAnsi="宋体" w:cs="宋体" w:eastAsia="宋体" w:hint="default"/>
                <w:sz w:val="16"/>
                <w:szCs w:val="16"/>
              </w:rPr>
              <w:t>出口发票融资</w:t>
            </w:r>
          </w:p>
        </w:tc>
      </w:tr>
      <w:tr>
        <w:trPr>
          <w:trHeight w:val="197" w:hRule="exact"/>
        </w:trPr>
        <w:tc>
          <w:tcPr>
            <w:tcW w:w="1874" w:type="dxa"/>
            <w:tcBorders>
              <w:top w:val="nil" w:sz="6" w:space="0" w:color="auto"/>
              <w:left w:val="nil" w:sz="6" w:space="0" w:color="auto"/>
              <w:bottom w:val="nil" w:sz="6" w:space="0" w:color="auto"/>
              <w:right w:val="nil" w:sz="6" w:space="0" w:color="auto"/>
            </w:tcBorders>
          </w:tcPr>
          <w:p>
            <w:pPr/>
          </w:p>
        </w:tc>
        <w:tc>
          <w:tcPr>
            <w:tcW w:w="2165" w:type="dxa"/>
            <w:vMerge/>
            <w:tcBorders>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182" w:lineRule="exact"/>
              <w:ind w:right="91"/>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1,915.61</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1704"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
        </w:tc>
      </w:tr>
      <w:tr>
        <w:trPr>
          <w:trHeight w:val="454" w:hRule="exact"/>
        </w:trPr>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73"/>
              <w:ind w:left="71" w:right="0"/>
              <w:jc w:val="left"/>
              <w:rPr>
                <w:rFonts w:ascii="宋体" w:hAnsi="宋体" w:cs="宋体" w:eastAsia="宋体" w:hint="default"/>
                <w:sz w:val="16"/>
                <w:szCs w:val="16"/>
              </w:rPr>
            </w:pPr>
            <w:r>
              <w:rPr>
                <w:rFonts w:ascii="宋体" w:hAnsi="宋体" w:cs="宋体" w:eastAsia="宋体" w:hint="default"/>
                <w:spacing w:val="-9"/>
                <w:sz w:val="16"/>
                <w:szCs w:val="16"/>
              </w:rPr>
              <w:t>南通同方半导体有限公司</w:t>
            </w:r>
          </w:p>
        </w:tc>
        <w:tc>
          <w:tcPr>
            <w:tcW w:w="2165" w:type="dxa"/>
            <w:tcBorders>
              <w:top w:val="nil" w:sz="6" w:space="0" w:color="auto"/>
              <w:left w:val="nil" w:sz="6" w:space="0" w:color="auto"/>
              <w:bottom w:val="nil" w:sz="6" w:space="0" w:color="auto"/>
              <w:right w:val="nil" w:sz="6" w:space="0" w:color="auto"/>
            </w:tcBorders>
          </w:tcPr>
          <w:p>
            <w:pPr>
              <w:pStyle w:val="TableParagraph"/>
              <w:spacing w:line="179" w:lineRule="exact"/>
              <w:ind w:left="50" w:right="0"/>
              <w:jc w:val="left"/>
              <w:rPr>
                <w:rFonts w:ascii="宋体" w:hAnsi="宋体" w:cs="宋体" w:eastAsia="宋体" w:hint="default"/>
                <w:sz w:val="16"/>
                <w:szCs w:val="16"/>
              </w:rPr>
            </w:pPr>
            <w:r>
              <w:rPr>
                <w:rFonts w:ascii="宋体" w:hAnsi="宋体" w:cs="宋体" w:eastAsia="宋体" w:hint="default"/>
                <w:spacing w:val="2"/>
                <w:sz w:val="16"/>
                <w:szCs w:val="16"/>
              </w:rPr>
              <w:t>中国银行南通经济技术开发</w:t>
            </w:r>
          </w:p>
          <w:p>
            <w:pPr>
              <w:pStyle w:val="TableParagraph"/>
              <w:spacing w:line="209" w:lineRule="exact"/>
              <w:ind w:left="50" w:right="0"/>
              <w:jc w:val="left"/>
              <w:rPr>
                <w:rFonts w:ascii="宋体" w:hAnsi="宋体" w:cs="宋体" w:eastAsia="宋体" w:hint="default"/>
                <w:sz w:val="16"/>
                <w:szCs w:val="16"/>
              </w:rPr>
            </w:pPr>
            <w:r>
              <w:rPr>
                <w:rFonts w:ascii="宋体" w:hAnsi="宋体" w:cs="宋体" w:eastAsia="宋体" w:hint="default"/>
                <w:sz w:val="16"/>
                <w:szCs w:val="16"/>
              </w:rPr>
              <w:t>区支行</w:t>
            </w:r>
          </w:p>
        </w:tc>
        <w:tc>
          <w:tcPr>
            <w:tcW w:w="1687" w:type="dxa"/>
            <w:tcBorders>
              <w:top w:val="nil" w:sz="6" w:space="0" w:color="auto"/>
              <w:left w:val="nil" w:sz="6" w:space="0" w:color="auto"/>
              <w:bottom w:val="nil" w:sz="6" w:space="0" w:color="auto"/>
              <w:right w:val="nil" w:sz="6" w:space="0" w:color="auto"/>
            </w:tcBorders>
          </w:tcPr>
          <w:p>
            <w:pPr>
              <w:pStyle w:val="TableParagraph"/>
              <w:spacing w:line="185" w:lineRule="exact"/>
              <w:ind w:left="151" w:right="0" w:firstLine="480"/>
              <w:jc w:val="left"/>
              <w:rPr>
                <w:rFonts w:ascii="宋体" w:hAnsi="宋体" w:cs="宋体" w:eastAsia="宋体" w:hint="default"/>
                <w:sz w:val="16"/>
                <w:szCs w:val="16"/>
              </w:rPr>
            </w:pPr>
            <w:r>
              <w:rPr>
                <w:rFonts w:ascii="Times New Roman" w:hAnsi="Times New Roman" w:cs="Times New Roman" w:eastAsia="Times New Roman" w:hint="default"/>
                <w:sz w:val="16"/>
                <w:szCs w:val="16"/>
              </w:rPr>
              <w:t>237.40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万美元</w:t>
            </w:r>
          </w:p>
          <w:p>
            <w:pPr>
              <w:pStyle w:val="TableParagraph"/>
              <w:spacing w:line="215" w:lineRule="exact"/>
              <w:ind w:left="151" w:right="0"/>
              <w:jc w:val="lef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1,541.58</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万人民币</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20"/>
              <w:jc w:val="center"/>
              <w:rPr>
                <w:rFonts w:ascii="Times New Roman" w:hAnsi="Times New Roman" w:cs="Times New Roman" w:eastAsia="Times New Roman" w:hint="default"/>
                <w:sz w:val="16"/>
                <w:szCs w:val="16"/>
              </w:rPr>
            </w:pPr>
            <w:r>
              <w:rPr>
                <w:rFonts w:ascii="Times New Roman"/>
                <w:sz w:val="16"/>
              </w:rPr>
              <w:t>2015.07.17-2016.02.03</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73"/>
              <w:ind w:left="20" w:right="0"/>
              <w:jc w:val="center"/>
              <w:rPr>
                <w:rFonts w:ascii="宋体" w:hAnsi="宋体" w:cs="宋体" w:eastAsia="宋体" w:hint="default"/>
                <w:sz w:val="16"/>
                <w:szCs w:val="16"/>
              </w:rPr>
            </w:pPr>
            <w:r>
              <w:rPr>
                <w:rFonts w:ascii="宋体" w:hAnsi="宋体" w:cs="宋体" w:eastAsia="宋体" w:hint="default"/>
                <w:sz w:val="16"/>
                <w:szCs w:val="16"/>
              </w:rPr>
              <w:t>海外代付</w:t>
            </w:r>
          </w:p>
        </w:tc>
      </w:tr>
      <w:tr>
        <w:trPr>
          <w:trHeight w:val="334" w:hRule="exact"/>
        </w:trPr>
        <w:tc>
          <w:tcPr>
            <w:tcW w:w="1874" w:type="dxa"/>
            <w:vMerge w:val="restart"/>
            <w:tcBorders>
              <w:top w:val="nil" w:sz="6" w:space="0" w:color="auto"/>
              <w:left w:val="nil" w:sz="6" w:space="0" w:color="auto"/>
              <w:right w:val="nil" w:sz="6" w:space="0" w:color="auto"/>
            </w:tcBorders>
          </w:tcPr>
          <w:p>
            <w:pPr>
              <w:pStyle w:val="TableParagraph"/>
              <w:spacing w:line="240" w:lineRule="auto" w:before="8"/>
              <w:ind w:left="71" w:right="48"/>
              <w:jc w:val="left"/>
              <w:rPr>
                <w:rFonts w:ascii="宋体" w:hAnsi="宋体" w:cs="宋体" w:eastAsia="宋体" w:hint="default"/>
                <w:sz w:val="16"/>
                <w:szCs w:val="16"/>
              </w:rPr>
            </w:pPr>
            <w:r>
              <w:rPr>
                <w:rFonts w:ascii="宋体" w:hAnsi="宋体" w:cs="宋体" w:eastAsia="宋体" w:hint="default"/>
                <w:spacing w:val="11"/>
                <w:sz w:val="16"/>
                <w:szCs w:val="16"/>
              </w:rPr>
              <w:t>沈阳同方多媒体科技有</w:t>
            </w:r>
            <w:r>
              <w:rPr>
                <w:rFonts w:ascii="宋体" w:hAnsi="宋体" w:cs="宋体" w:eastAsia="宋体" w:hint="default"/>
                <w:spacing w:val="-57"/>
                <w:sz w:val="16"/>
                <w:szCs w:val="16"/>
              </w:rPr>
              <w:t> </w:t>
            </w:r>
            <w:r>
              <w:rPr>
                <w:rFonts w:ascii="宋体" w:hAnsi="宋体" w:cs="宋体" w:eastAsia="宋体" w:hint="default"/>
                <w:sz w:val="16"/>
                <w:szCs w:val="16"/>
              </w:rPr>
              <w:t>限公司</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50" w:right="0"/>
              <w:jc w:val="left"/>
              <w:rPr>
                <w:rFonts w:ascii="宋体" w:hAnsi="宋体" w:cs="宋体" w:eastAsia="宋体" w:hint="default"/>
                <w:sz w:val="16"/>
                <w:szCs w:val="16"/>
              </w:rPr>
            </w:pPr>
            <w:r>
              <w:rPr>
                <w:rFonts w:ascii="宋体" w:hAnsi="宋体" w:cs="宋体" w:eastAsia="宋体" w:hint="default"/>
                <w:sz w:val="16"/>
                <w:szCs w:val="16"/>
              </w:rPr>
              <w:t>汇丰银行沈阳分行</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91"/>
              <w:jc w:val="right"/>
              <w:rPr>
                <w:rFonts w:ascii="宋体" w:hAnsi="宋体" w:cs="宋体" w:eastAsia="宋体" w:hint="default"/>
                <w:sz w:val="16"/>
                <w:szCs w:val="16"/>
              </w:rPr>
            </w:pPr>
            <w:r>
              <w:rPr>
                <w:rFonts w:ascii="Times New Roman" w:hAnsi="Times New Roman" w:cs="Times New Roman" w:eastAsia="Times New Roman" w:hint="default"/>
                <w:sz w:val="16"/>
                <w:szCs w:val="16"/>
              </w:rPr>
              <w:t>1,006.30</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万美元</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20"/>
              <w:jc w:val="center"/>
              <w:rPr>
                <w:rFonts w:ascii="Times New Roman" w:hAnsi="Times New Roman" w:cs="Times New Roman" w:eastAsia="Times New Roman" w:hint="default"/>
                <w:sz w:val="16"/>
                <w:szCs w:val="16"/>
              </w:rPr>
            </w:pPr>
            <w:r>
              <w:rPr>
                <w:rFonts w:ascii="Times New Roman"/>
                <w:sz w:val="16"/>
              </w:rPr>
              <w:t>2015.09.24-2016.03.25</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20" w:right="0"/>
              <w:jc w:val="center"/>
              <w:rPr>
                <w:rFonts w:ascii="宋体" w:hAnsi="宋体" w:cs="宋体" w:eastAsia="宋体" w:hint="default"/>
                <w:sz w:val="16"/>
                <w:szCs w:val="16"/>
              </w:rPr>
            </w:pPr>
            <w:r>
              <w:rPr>
                <w:rFonts w:ascii="宋体" w:hAnsi="宋体" w:cs="宋体" w:eastAsia="宋体" w:hint="default"/>
                <w:sz w:val="16"/>
                <w:szCs w:val="16"/>
              </w:rPr>
              <w:t>押汇贷款</w:t>
            </w:r>
          </w:p>
        </w:tc>
      </w:tr>
      <w:tr>
        <w:trPr>
          <w:trHeight w:val="236" w:hRule="exact"/>
        </w:trPr>
        <w:tc>
          <w:tcPr>
            <w:tcW w:w="1874" w:type="dxa"/>
            <w:vMerge/>
            <w:tcBorders>
              <w:left w:val="nil" w:sz="6" w:space="0" w:color="auto"/>
              <w:bottom w:val="nil" w:sz="6" w:space="0" w:color="auto"/>
              <w:right w:val="nil" w:sz="6" w:space="0" w:color="auto"/>
            </w:tcBorders>
          </w:tcPr>
          <w:p>
            <w:pPr/>
          </w:p>
        </w:tc>
        <w:tc>
          <w:tcPr>
            <w:tcW w:w="2165"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182" w:lineRule="exact"/>
              <w:ind w:right="91"/>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6,534.51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万人民币</w:t>
            </w:r>
          </w:p>
        </w:tc>
        <w:tc>
          <w:tcPr>
            <w:tcW w:w="1704"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
        </w:tc>
      </w:tr>
      <w:tr>
        <w:trPr>
          <w:trHeight w:val="335" w:hRule="exact"/>
        </w:trPr>
        <w:tc>
          <w:tcPr>
            <w:tcW w:w="1874" w:type="dxa"/>
            <w:vMerge w:val="restart"/>
            <w:tcBorders>
              <w:top w:val="nil" w:sz="6" w:space="0" w:color="auto"/>
              <w:left w:val="nil" w:sz="6" w:space="0" w:color="auto"/>
              <w:right w:val="nil" w:sz="6" w:space="0" w:color="auto"/>
            </w:tcBorders>
          </w:tcPr>
          <w:p>
            <w:pPr>
              <w:pStyle w:val="TableParagraph"/>
              <w:spacing w:line="206" w:lineRule="exact" w:before="31"/>
              <w:ind w:left="71" w:right="48"/>
              <w:jc w:val="left"/>
              <w:rPr>
                <w:rFonts w:ascii="宋体" w:hAnsi="宋体" w:cs="宋体" w:eastAsia="宋体" w:hint="default"/>
                <w:sz w:val="16"/>
                <w:szCs w:val="16"/>
              </w:rPr>
            </w:pPr>
            <w:r>
              <w:rPr>
                <w:rFonts w:ascii="宋体" w:hAnsi="宋体" w:cs="宋体" w:eastAsia="宋体" w:hint="default"/>
                <w:spacing w:val="11"/>
                <w:sz w:val="16"/>
                <w:szCs w:val="16"/>
              </w:rPr>
              <w:t>沈阳同方多媒体科技有</w:t>
            </w:r>
            <w:r>
              <w:rPr>
                <w:rFonts w:ascii="宋体" w:hAnsi="宋体" w:cs="宋体" w:eastAsia="宋体" w:hint="default"/>
                <w:spacing w:val="-57"/>
                <w:sz w:val="16"/>
                <w:szCs w:val="16"/>
              </w:rPr>
              <w:t> </w:t>
            </w:r>
            <w:r>
              <w:rPr>
                <w:rFonts w:ascii="宋体" w:hAnsi="宋体" w:cs="宋体" w:eastAsia="宋体" w:hint="default"/>
                <w:sz w:val="16"/>
                <w:szCs w:val="16"/>
              </w:rPr>
              <w:t>限公司</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50" w:right="0"/>
              <w:jc w:val="left"/>
              <w:rPr>
                <w:rFonts w:ascii="宋体" w:hAnsi="宋体" w:cs="宋体" w:eastAsia="宋体" w:hint="default"/>
                <w:sz w:val="16"/>
                <w:szCs w:val="16"/>
              </w:rPr>
            </w:pPr>
            <w:r>
              <w:rPr>
                <w:rFonts w:ascii="宋体" w:hAnsi="宋体" w:cs="宋体" w:eastAsia="宋体" w:hint="default"/>
                <w:sz w:val="16"/>
                <w:szCs w:val="16"/>
              </w:rPr>
              <w:t>建设银行沈阳城内支行</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91"/>
              <w:jc w:val="right"/>
              <w:rPr>
                <w:rFonts w:ascii="宋体" w:hAnsi="宋体" w:cs="宋体" w:eastAsia="宋体" w:hint="default"/>
                <w:sz w:val="16"/>
                <w:szCs w:val="16"/>
              </w:rPr>
            </w:pPr>
            <w:r>
              <w:rPr>
                <w:rFonts w:ascii="Times New Roman" w:hAnsi="Times New Roman" w:cs="Times New Roman" w:eastAsia="Times New Roman" w:hint="default"/>
                <w:sz w:val="16"/>
                <w:szCs w:val="16"/>
              </w:rPr>
              <w:t>3,062.79</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万美元</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20"/>
              <w:jc w:val="center"/>
              <w:rPr>
                <w:rFonts w:ascii="Times New Roman" w:hAnsi="Times New Roman" w:cs="Times New Roman" w:eastAsia="Times New Roman" w:hint="default"/>
                <w:sz w:val="16"/>
                <w:szCs w:val="16"/>
              </w:rPr>
            </w:pPr>
            <w:r>
              <w:rPr>
                <w:rFonts w:ascii="Times New Roman"/>
                <w:sz w:val="16"/>
              </w:rPr>
              <w:t>2015.07.16-2016.08.12</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20" w:right="0"/>
              <w:jc w:val="center"/>
              <w:rPr>
                <w:rFonts w:ascii="宋体" w:hAnsi="宋体" w:cs="宋体" w:eastAsia="宋体" w:hint="default"/>
                <w:sz w:val="16"/>
                <w:szCs w:val="16"/>
              </w:rPr>
            </w:pPr>
            <w:r>
              <w:rPr>
                <w:rFonts w:ascii="宋体" w:hAnsi="宋体" w:cs="宋体" w:eastAsia="宋体" w:hint="default"/>
                <w:sz w:val="16"/>
                <w:szCs w:val="16"/>
              </w:rPr>
              <w:t>海外代付</w:t>
            </w:r>
          </w:p>
        </w:tc>
      </w:tr>
      <w:tr>
        <w:trPr>
          <w:trHeight w:val="235" w:hRule="exact"/>
        </w:trPr>
        <w:tc>
          <w:tcPr>
            <w:tcW w:w="1874" w:type="dxa"/>
            <w:vMerge/>
            <w:tcBorders>
              <w:left w:val="nil" w:sz="6" w:space="0" w:color="auto"/>
              <w:bottom w:val="nil" w:sz="6" w:space="0" w:color="auto"/>
              <w:right w:val="nil" w:sz="6" w:space="0" w:color="auto"/>
            </w:tcBorders>
          </w:tcPr>
          <w:p>
            <w:pPr/>
          </w:p>
        </w:tc>
        <w:tc>
          <w:tcPr>
            <w:tcW w:w="2165"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182" w:lineRule="exact"/>
              <w:ind w:right="91"/>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19,888.55</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万人民币</w:t>
            </w:r>
          </w:p>
        </w:tc>
        <w:tc>
          <w:tcPr>
            <w:tcW w:w="1704"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
        </w:tc>
      </w:tr>
      <w:tr>
        <w:trPr>
          <w:trHeight w:val="334" w:hRule="exact"/>
        </w:trPr>
        <w:tc>
          <w:tcPr>
            <w:tcW w:w="1874" w:type="dxa"/>
            <w:vMerge w:val="restart"/>
            <w:tcBorders>
              <w:top w:val="nil" w:sz="6" w:space="0" w:color="auto"/>
              <w:left w:val="nil" w:sz="6" w:space="0" w:color="auto"/>
              <w:right w:val="nil" w:sz="6" w:space="0" w:color="auto"/>
            </w:tcBorders>
          </w:tcPr>
          <w:p>
            <w:pPr>
              <w:pStyle w:val="TableParagraph"/>
              <w:spacing w:line="240" w:lineRule="auto" w:before="8"/>
              <w:ind w:left="71" w:right="48"/>
              <w:jc w:val="left"/>
              <w:rPr>
                <w:rFonts w:ascii="宋体" w:hAnsi="宋体" w:cs="宋体" w:eastAsia="宋体" w:hint="default"/>
                <w:sz w:val="16"/>
                <w:szCs w:val="16"/>
              </w:rPr>
            </w:pPr>
            <w:r>
              <w:rPr>
                <w:rFonts w:ascii="宋体" w:hAnsi="宋体" w:cs="宋体" w:eastAsia="宋体" w:hint="default"/>
                <w:spacing w:val="11"/>
                <w:sz w:val="16"/>
                <w:szCs w:val="16"/>
              </w:rPr>
              <w:t>沈阳同方多媒体科技有</w:t>
            </w:r>
            <w:r>
              <w:rPr>
                <w:rFonts w:ascii="宋体" w:hAnsi="宋体" w:cs="宋体" w:eastAsia="宋体" w:hint="default"/>
                <w:spacing w:val="-57"/>
                <w:sz w:val="16"/>
                <w:szCs w:val="16"/>
              </w:rPr>
              <w:t> </w:t>
            </w:r>
            <w:r>
              <w:rPr>
                <w:rFonts w:ascii="宋体" w:hAnsi="宋体" w:cs="宋体" w:eastAsia="宋体" w:hint="default"/>
                <w:sz w:val="16"/>
                <w:szCs w:val="16"/>
              </w:rPr>
              <w:t>限公司</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50" w:right="0"/>
              <w:jc w:val="left"/>
              <w:rPr>
                <w:rFonts w:ascii="宋体" w:hAnsi="宋体" w:cs="宋体" w:eastAsia="宋体" w:hint="default"/>
                <w:sz w:val="16"/>
                <w:szCs w:val="16"/>
              </w:rPr>
            </w:pPr>
            <w:r>
              <w:rPr>
                <w:rFonts w:ascii="宋体" w:hAnsi="宋体" w:cs="宋体" w:eastAsia="宋体" w:hint="default"/>
                <w:sz w:val="16"/>
                <w:szCs w:val="16"/>
              </w:rPr>
              <w:t>中信银行沈阳分行</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91"/>
              <w:jc w:val="right"/>
              <w:rPr>
                <w:rFonts w:ascii="宋体" w:hAnsi="宋体" w:cs="宋体" w:eastAsia="宋体" w:hint="default"/>
                <w:sz w:val="16"/>
                <w:szCs w:val="16"/>
              </w:rPr>
            </w:pPr>
            <w:r>
              <w:rPr>
                <w:rFonts w:ascii="Times New Roman" w:hAnsi="Times New Roman" w:cs="Times New Roman" w:eastAsia="Times New Roman" w:hint="default"/>
                <w:sz w:val="16"/>
                <w:szCs w:val="16"/>
              </w:rPr>
              <w:t>1,208.63</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万美元</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20"/>
              <w:jc w:val="center"/>
              <w:rPr>
                <w:rFonts w:ascii="Times New Roman" w:hAnsi="Times New Roman" w:cs="Times New Roman" w:eastAsia="Times New Roman" w:hint="default"/>
                <w:sz w:val="16"/>
                <w:szCs w:val="16"/>
              </w:rPr>
            </w:pPr>
            <w:r>
              <w:rPr>
                <w:rFonts w:ascii="Times New Roman"/>
                <w:sz w:val="16"/>
              </w:rPr>
              <w:t>2015.07.24-2016.01.21</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20" w:right="0"/>
              <w:jc w:val="center"/>
              <w:rPr>
                <w:rFonts w:ascii="宋体" w:hAnsi="宋体" w:cs="宋体" w:eastAsia="宋体" w:hint="default"/>
                <w:sz w:val="16"/>
                <w:szCs w:val="16"/>
              </w:rPr>
            </w:pPr>
            <w:r>
              <w:rPr>
                <w:rFonts w:ascii="宋体" w:hAnsi="宋体" w:cs="宋体" w:eastAsia="宋体" w:hint="default"/>
                <w:sz w:val="16"/>
                <w:szCs w:val="16"/>
              </w:rPr>
              <w:t>海外代付</w:t>
            </w:r>
          </w:p>
        </w:tc>
      </w:tr>
      <w:tr>
        <w:trPr>
          <w:trHeight w:val="199" w:hRule="exact"/>
        </w:trPr>
        <w:tc>
          <w:tcPr>
            <w:tcW w:w="1874" w:type="dxa"/>
            <w:vMerge/>
            <w:tcBorders>
              <w:left w:val="nil" w:sz="6" w:space="0" w:color="auto"/>
              <w:bottom w:val="nil" w:sz="6" w:space="0" w:color="auto"/>
              <w:right w:val="nil" w:sz="6" w:space="0" w:color="auto"/>
            </w:tcBorders>
          </w:tcPr>
          <w:p>
            <w:pPr/>
          </w:p>
        </w:tc>
        <w:tc>
          <w:tcPr>
            <w:tcW w:w="2165"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182" w:lineRule="exact"/>
              <w:ind w:right="91"/>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7,848.36</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万人民币</w:t>
            </w:r>
          </w:p>
        </w:tc>
        <w:tc>
          <w:tcPr>
            <w:tcW w:w="1704"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
        </w:tc>
      </w:tr>
      <w:tr>
        <w:trPr>
          <w:trHeight w:val="175" w:hRule="exact"/>
        </w:trPr>
        <w:tc>
          <w:tcPr>
            <w:tcW w:w="1874" w:type="dxa"/>
            <w:vMerge w:val="restart"/>
            <w:tcBorders>
              <w:top w:val="nil" w:sz="6" w:space="0" w:color="auto"/>
              <w:left w:val="nil" w:sz="6" w:space="0" w:color="auto"/>
              <w:right w:val="nil" w:sz="6" w:space="0" w:color="auto"/>
            </w:tcBorders>
          </w:tcPr>
          <w:p>
            <w:pPr>
              <w:pStyle w:val="TableParagraph"/>
              <w:spacing w:line="240" w:lineRule="auto" w:before="6"/>
              <w:ind w:left="71" w:right="197"/>
              <w:jc w:val="left"/>
              <w:rPr>
                <w:rFonts w:ascii="宋体" w:hAnsi="宋体" w:cs="宋体" w:eastAsia="宋体" w:hint="default"/>
                <w:sz w:val="16"/>
                <w:szCs w:val="16"/>
              </w:rPr>
            </w:pPr>
            <w:r>
              <w:rPr>
                <w:rFonts w:ascii="宋体" w:hAnsi="宋体" w:cs="宋体" w:eastAsia="宋体" w:hint="default"/>
                <w:spacing w:val="-1"/>
                <w:sz w:val="16"/>
                <w:szCs w:val="16"/>
              </w:rPr>
              <w:t>沈阳同方多媒体科技有</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限公司</w:t>
            </w:r>
          </w:p>
        </w:tc>
        <w:tc>
          <w:tcPr>
            <w:tcW w:w="2165"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194" w:lineRule="exact"/>
              <w:ind w:right="91"/>
              <w:jc w:val="right"/>
              <w:rPr>
                <w:rFonts w:ascii="宋体" w:hAnsi="宋体" w:cs="宋体" w:eastAsia="宋体" w:hint="default"/>
                <w:sz w:val="16"/>
                <w:szCs w:val="16"/>
              </w:rPr>
            </w:pPr>
            <w:r>
              <w:rPr>
                <w:rFonts w:ascii="Times New Roman" w:hAnsi="Times New Roman" w:cs="Times New Roman" w:eastAsia="Times New Roman" w:hint="default"/>
                <w:sz w:val="16"/>
                <w:szCs w:val="16"/>
              </w:rPr>
              <w:t>917.06</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万美元</w:t>
            </w:r>
          </w:p>
        </w:tc>
        <w:tc>
          <w:tcPr>
            <w:tcW w:w="1704"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
        </w:tc>
      </w:tr>
      <w:tr>
        <w:trPr>
          <w:trHeight w:val="136" w:hRule="exact"/>
        </w:trPr>
        <w:tc>
          <w:tcPr>
            <w:tcW w:w="1874" w:type="dxa"/>
            <w:vMerge/>
            <w:tcBorders>
              <w:left w:val="nil" w:sz="6" w:space="0" w:color="auto"/>
              <w:right w:val="nil" w:sz="6" w:space="0" w:color="auto"/>
            </w:tcBorders>
          </w:tcPr>
          <w:p>
            <w:pPr/>
          </w:p>
        </w:tc>
        <w:tc>
          <w:tcPr>
            <w:tcW w:w="2165" w:type="dxa"/>
            <w:tcBorders>
              <w:top w:val="nil" w:sz="6" w:space="0" w:color="auto"/>
              <w:left w:val="nil" w:sz="6" w:space="0" w:color="auto"/>
              <w:bottom w:val="nil" w:sz="6" w:space="0" w:color="auto"/>
              <w:right w:val="nil" w:sz="6" w:space="0" w:color="auto"/>
            </w:tcBorders>
          </w:tcPr>
          <w:p>
            <w:pPr>
              <w:pStyle w:val="TableParagraph"/>
              <w:spacing w:line="145" w:lineRule="exact"/>
              <w:ind w:left="50" w:right="0"/>
              <w:jc w:val="left"/>
              <w:rPr>
                <w:rFonts w:ascii="宋体" w:hAnsi="宋体" w:cs="宋体" w:eastAsia="宋体" w:hint="default"/>
                <w:sz w:val="16"/>
                <w:szCs w:val="16"/>
              </w:rPr>
            </w:pPr>
            <w:r>
              <w:rPr>
                <w:rFonts w:ascii="宋体" w:hAnsi="宋体" w:cs="宋体" w:eastAsia="宋体" w:hint="default"/>
                <w:sz w:val="16"/>
                <w:szCs w:val="16"/>
              </w:rPr>
              <w:t>中国银行沈阳分行</w:t>
            </w:r>
          </w:p>
        </w:tc>
        <w:tc>
          <w:tcPr>
            <w:tcW w:w="1687"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nil" w:sz="6" w:space="0" w:color="auto"/>
            </w:tcBorders>
          </w:tcPr>
          <w:p>
            <w:pPr>
              <w:pStyle w:val="TableParagraph"/>
              <w:spacing w:line="150" w:lineRule="exact"/>
              <w:ind w:right="20"/>
              <w:jc w:val="center"/>
              <w:rPr>
                <w:rFonts w:ascii="Times New Roman" w:hAnsi="Times New Roman" w:cs="Times New Roman" w:eastAsia="Times New Roman" w:hint="default"/>
                <w:sz w:val="16"/>
                <w:szCs w:val="16"/>
              </w:rPr>
            </w:pPr>
            <w:r>
              <w:rPr>
                <w:rFonts w:ascii="Times New Roman"/>
                <w:sz w:val="16"/>
              </w:rPr>
              <w:t>2015.07.10-2016.02.23</w:t>
            </w:r>
          </w:p>
        </w:tc>
        <w:tc>
          <w:tcPr>
            <w:tcW w:w="1182" w:type="dxa"/>
            <w:tcBorders>
              <w:top w:val="nil" w:sz="6" w:space="0" w:color="auto"/>
              <w:left w:val="nil" w:sz="6" w:space="0" w:color="auto"/>
              <w:bottom w:val="nil" w:sz="6" w:space="0" w:color="auto"/>
              <w:right w:val="nil" w:sz="6" w:space="0" w:color="auto"/>
            </w:tcBorders>
          </w:tcPr>
          <w:p>
            <w:pPr>
              <w:pStyle w:val="TableParagraph"/>
              <w:spacing w:line="145" w:lineRule="exact"/>
              <w:ind w:left="20" w:right="0"/>
              <w:jc w:val="center"/>
              <w:rPr>
                <w:rFonts w:ascii="宋体" w:hAnsi="宋体" w:cs="宋体" w:eastAsia="宋体" w:hint="default"/>
                <w:sz w:val="16"/>
                <w:szCs w:val="16"/>
              </w:rPr>
            </w:pPr>
            <w:r>
              <w:rPr>
                <w:rFonts w:ascii="宋体" w:hAnsi="宋体" w:cs="宋体" w:eastAsia="宋体" w:hint="default"/>
                <w:sz w:val="16"/>
                <w:szCs w:val="16"/>
              </w:rPr>
              <w:t>押汇贷款</w:t>
            </w:r>
          </w:p>
        </w:tc>
      </w:tr>
      <w:tr>
        <w:trPr>
          <w:trHeight w:val="216" w:hRule="exact"/>
        </w:trPr>
        <w:tc>
          <w:tcPr>
            <w:tcW w:w="1874" w:type="dxa"/>
            <w:vMerge/>
            <w:tcBorders>
              <w:left w:val="nil" w:sz="6" w:space="0" w:color="auto"/>
              <w:bottom w:val="nil" w:sz="6" w:space="0" w:color="auto"/>
              <w:right w:val="nil" w:sz="6" w:space="0" w:color="auto"/>
            </w:tcBorders>
          </w:tcPr>
          <w:p>
            <w:pPr/>
          </w:p>
        </w:tc>
        <w:tc>
          <w:tcPr>
            <w:tcW w:w="2165"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163" w:lineRule="exact"/>
              <w:ind w:right="91"/>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5,955.00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万人民币</w:t>
            </w:r>
          </w:p>
        </w:tc>
        <w:tc>
          <w:tcPr>
            <w:tcW w:w="1704"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
        </w:tc>
      </w:tr>
      <w:tr>
        <w:trPr>
          <w:trHeight w:val="335" w:hRule="exact"/>
        </w:trPr>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71" w:right="0"/>
              <w:jc w:val="left"/>
              <w:rPr>
                <w:rFonts w:ascii="Times New Roman" w:hAnsi="Times New Roman" w:cs="Times New Roman" w:eastAsia="Times New Roman" w:hint="default"/>
                <w:sz w:val="16"/>
                <w:szCs w:val="16"/>
              </w:rPr>
            </w:pPr>
            <w:r>
              <w:rPr>
                <w:rFonts w:ascii="Times New Roman"/>
                <w:sz w:val="16"/>
              </w:rPr>
              <w:t>TongFang Global</w:t>
            </w:r>
            <w:r>
              <w:rPr>
                <w:rFonts w:ascii="Times New Roman"/>
                <w:spacing w:val="-14"/>
                <w:sz w:val="16"/>
              </w:rPr>
              <w:t> </w:t>
            </w:r>
            <w:r>
              <w:rPr>
                <w:rFonts w:ascii="Times New Roman"/>
                <w:sz w:val="16"/>
              </w:rPr>
              <w:t>Limited</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50" w:right="0"/>
              <w:jc w:val="left"/>
              <w:rPr>
                <w:rFonts w:ascii="宋体" w:hAnsi="宋体" w:cs="宋体" w:eastAsia="宋体" w:hint="default"/>
                <w:sz w:val="16"/>
                <w:szCs w:val="16"/>
              </w:rPr>
            </w:pPr>
            <w:r>
              <w:rPr>
                <w:rFonts w:ascii="宋体" w:hAnsi="宋体" w:cs="宋体" w:eastAsia="宋体" w:hint="default"/>
                <w:sz w:val="16"/>
                <w:szCs w:val="16"/>
              </w:rPr>
              <w:t>香港汇丰银行</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91"/>
              <w:jc w:val="right"/>
              <w:rPr>
                <w:rFonts w:ascii="宋体" w:hAnsi="宋体" w:cs="宋体" w:eastAsia="宋体" w:hint="default"/>
                <w:sz w:val="16"/>
                <w:szCs w:val="16"/>
              </w:rPr>
            </w:pPr>
            <w:r>
              <w:rPr>
                <w:rFonts w:ascii="Times New Roman" w:hAnsi="Times New Roman" w:cs="Times New Roman" w:eastAsia="Times New Roman" w:hint="default"/>
                <w:sz w:val="16"/>
                <w:szCs w:val="16"/>
              </w:rPr>
              <w:t>1,767.63</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万美元</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right="20"/>
              <w:jc w:val="center"/>
              <w:rPr>
                <w:rFonts w:ascii="Times New Roman" w:hAnsi="Times New Roman" w:cs="Times New Roman" w:eastAsia="Times New Roman" w:hint="default"/>
                <w:sz w:val="16"/>
                <w:szCs w:val="16"/>
              </w:rPr>
            </w:pPr>
            <w:r>
              <w:rPr>
                <w:rFonts w:ascii="Times New Roman"/>
                <w:sz w:val="16"/>
              </w:rPr>
              <w:t>2015.11.04-2016.03.30</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20" w:right="0"/>
              <w:jc w:val="center"/>
              <w:rPr>
                <w:rFonts w:ascii="宋体" w:hAnsi="宋体" w:cs="宋体" w:eastAsia="宋体" w:hint="default"/>
                <w:sz w:val="16"/>
                <w:szCs w:val="16"/>
              </w:rPr>
            </w:pPr>
            <w:r>
              <w:rPr>
                <w:rFonts w:ascii="宋体" w:hAnsi="宋体" w:cs="宋体" w:eastAsia="宋体" w:hint="default"/>
                <w:sz w:val="16"/>
                <w:szCs w:val="16"/>
              </w:rPr>
              <w:t>押汇贷款</w:t>
            </w:r>
          </w:p>
        </w:tc>
      </w:tr>
      <w:tr>
        <w:trPr>
          <w:trHeight w:val="199" w:hRule="exact"/>
        </w:trPr>
        <w:tc>
          <w:tcPr>
            <w:tcW w:w="1874" w:type="dxa"/>
            <w:tcBorders>
              <w:top w:val="nil" w:sz="6" w:space="0" w:color="auto"/>
              <w:left w:val="nil" w:sz="6" w:space="0" w:color="auto"/>
              <w:bottom w:val="single" w:sz="4" w:space="0" w:color="000000"/>
              <w:right w:val="nil" w:sz="6" w:space="0" w:color="auto"/>
            </w:tcBorders>
          </w:tcPr>
          <w:p>
            <w:pPr/>
          </w:p>
        </w:tc>
        <w:tc>
          <w:tcPr>
            <w:tcW w:w="2165" w:type="dxa"/>
            <w:tcBorders>
              <w:top w:val="nil" w:sz="6" w:space="0" w:color="auto"/>
              <w:left w:val="nil" w:sz="6" w:space="0" w:color="auto"/>
              <w:bottom w:val="single" w:sz="4" w:space="0" w:color="000000"/>
              <w:right w:val="nil" w:sz="6" w:space="0" w:color="auto"/>
            </w:tcBorders>
          </w:tcPr>
          <w:p>
            <w:pPr/>
          </w:p>
        </w:tc>
        <w:tc>
          <w:tcPr>
            <w:tcW w:w="1687" w:type="dxa"/>
            <w:tcBorders>
              <w:top w:val="nil" w:sz="6" w:space="0" w:color="auto"/>
              <w:left w:val="nil" w:sz="6" w:space="0" w:color="auto"/>
              <w:bottom w:val="single" w:sz="4" w:space="0" w:color="000000"/>
              <w:right w:val="nil" w:sz="6" w:space="0" w:color="auto"/>
            </w:tcBorders>
          </w:tcPr>
          <w:p>
            <w:pPr>
              <w:pStyle w:val="TableParagraph"/>
              <w:spacing w:line="180" w:lineRule="exact"/>
              <w:ind w:right="91"/>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11,478.26</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万人民币</w:t>
            </w:r>
          </w:p>
        </w:tc>
        <w:tc>
          <w:tcPr>
            <w:tcW w:w="1704" w:type="dxa"/>
            <w:tcBorders>
              <w:top w:val="nil" w:sz="6" w:space="0" w:color="auto"/>
              <w:left w:val="nil" w:sz="6" w:space="0" w:color="auto"/>
              <w:bottom w:val="single" w:sz="4" w:space="0" w:color="000000"/>
              <w:right w:val="nil" w:sz="6" w:space="0" w:color="auto"/>
            </w:tcBorders>
          </w:tcPr>
          <w:p>
            <w:pPr/>
          </w:p>
        </w:tc>
        <w:tc>
          <w:tcPr>
            <w:tcW w:w="1182" w:type="dxa"/>
            <w:tcBorders>
              <w:top w:val="nil" w:sz="6" w:space="0" w:color="auto"/>
              <w:left w:val="nil" w:sz="6" w:space="0" w:color="auto"/>
              <w:bottom w:val="single" w:sz="4" w:space="0" w:color="000000"/>
              <w:right w:val="nil" w:sz="6" w:space="0" w:color="auto"/>
            </w:tcBorders>
          </w:tcPr>
          <w:p>
            <w:pPr/>
          </w:p>
        </w:tc>
      </w:tr>
      <w:tr>
        <w:trPr>
          <w:trHeight w:val="305" w:hRule="exact"/>
        </w:trPr>
        <w:tc>
          <w:tcPr>
            <w:tcW w:w="1874"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71"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65" w:type="dxa"/>
            <w:tcBorders>
              <w:top w:val="single" w:sz="4" w:space="0" w:color="000000"/>
              <w:left w:val="nil" w:sz="6" w:space="0" w:color="auto"/>
              <w:bottom w:val="single" w:sz="12" w:space="0" w:color="000000"/>
              <w:right w:val="nil" w:sz="6" w:space="0" w:color="auto"/>
            </w:tcBorders>
          </w:tcPr>
          <w:p>
            <w:pPr/>
          </w:p>
        </w:tc>
        <w:tc>
          <w:tcPr>
            <w:tcW w:w="1687" w:type="dxa"/>
            <w:tcBorders>
              <w:top w:val="single" w:sz="4" w:space="0" w:color="000000"/>
              <w:left w:val="nil" w:sz="6" w:space="0" w:color="auto"/>
              <w:bottom w:val="single" w:sz="12" w:space="0" w:color="000000"/>
              <w:right w:val="nil" w:sz="6" w:space="0" w:color="auto"/>
            </w:tcBorders>
          </w:tcPr>
          <w:p>
            <w:pPr>
              <w:pStyle w:val="TableParagraph"/>
              <w:spacing w:line="240" w:lineRule="auto" w:before="50"/>
              <w:ind w:right="95"/>
              <w:jc w:val="right"/>
              <w:rPr>
                <w:rFonts w:ascii="宋体" w:hAnsi="宋体" w:cs="宋体" w:eastAsia="宋体" w:hint="default"/>
                <w:sz w:val="16"/>
                <w:szCs w:val="16"/>
              </w:rPr>
            </w:pPr>
            <w:r>
              <w:rPr>
                <w:rFonts w:ascii="宋体" w:hAnsi="宋体" w:cs="宋体" w:eastAsia="宋体" w:hint="default"/>
                <w:b/>
                <w:bCs/>
                <w:sz w:val="16"/>
                <w:szCs w:val="16"/>
              </w:rPr>
              <w:t>约</w:t>
            </w:r>
            <w:r>
              <w:rPr>
                <w:rFonts w:ascii="宋体" w:hAnsi="宋体" w:cs="宋体" w:eastAsia="宋体" w:hint="default"/>
                <w:b/>
                <w:bCs/>
                <w:spacing w:val="-43"/>
                <w:sz w:val="16"/>
                <w:szCs w:val="16"/>
              </w:rPr>
              <w:t> </w:t>
            </w:r>
            <w:r>
              <w:rPr>
                <w:rFonts w:ascii="Times New Roman" w:hAnsi="Times New Roman" w:cs="Times New Roman" w:eastAsia="Times New Roman" w:hint="default"/>
                <w:b/>
                <w:bCs/>
                <w:sz w:val="16"/>
                <w:szCs w:val="16"/>
              </w:rPr>
              <w:t>62,517.52</w:t>
            </w:r>
            <w:r>
              <w:rPr>
                <w:rFonts w:ascii="Times New Roman" w:hAnsi="Times New Roman" w:cs="Times New Roman" w:eastAsia="Times New Roman" w:hint="default"/>
                <w:b/>
                <w:bCs/>
                <w:spacing w:val="-4"/>
                <w:sz w:val="16"/>
                <w:szCs w:val="16"/>
              </w:rPr>
              <w:t> </w:t>
            </w:r>
            <w:r>
              <w:rPr>
                <w:rFonts w:ascii="宋体" w:hAnsi="宋体" w:cs="宋体" w:eastAsia="宋体" w:hint="default"/>
                <w:b/>
                <w:bCs/>
                <w:sz w:val="16"/>
                <w:szCs w:val="16"/>
              </w:rPr>
              <w:t>万人民币</w:t>
            </w:r>
            <w:r>
              <w:rPr>
                <w:rFonts w:ascii="宋体" w:hAnsi="宋体" w:cs="宋体" w:eastAsia="宋体" w:hint="default"/>
                <w:sz w:val="16"/>
                <w:szCs w:val="16"/>
              </w:rPr>
            </w:r>
          </w:p>
        </w:tc>
        <w:tc>
          <w:tcPr>
            <w:tcW w:w="1704" w:type="dxa"/>
            <w:tcBorders>
              <w:top w:val="single" w:sz="4" w:space="0" w:color="000000"/>
              <w:left w:val="nil" w:sz="6" w:space="0" w:color="auto"/>
              <w:bottom w:val="single" w:sz="12" w:space="0" w:color="000000"/>
              <w:right w:val="nil" w:sz="6" w:space="0" w:color="auto"/>
            </w:tcBorders>
          </w:tcPr>
          <w:p>
            <w:pPr/>
          </w:p>
        </w:tc>
        <w:tc>
          <w:tcPr>
            <w:tcW w:w="1182" w:type="dxa"/>
            <w:tcBorders>
              <w:top w:val="single" w:sz="4" w:space="0" w:color="000000"/>
              <w:left w:val="nil" w:sz="6" w:space="0" w:color="auto"/>
              <w:bottom w:val="single" w:sz="12" w:space="0" w:color="000000"/>
              <w:right w:val="nil" w:sz="6" w:space="0" w:color="auto"/>
            </w:tcBorders>
          </w:tcPr>
          <w:p>
            <w:pPr/>
          </w:p>
        </w:tc>
      </w:tr>
    </w:tbl>
    <w:p>
      <w:pPr>
        <w:spacing w:after="0"/>
        <w:sectPr>
          <w:pgSz w:w="11910" w:h="16840"/>
          <w:pgMar w:header="645" w:footer="816" w:top="1080" w:bottom="1000" w:left="1500" w:right="1560"/>
        </w:sectPr>
      </w:pPr>
    </w:p>
    <w:p>
      <w:pPr>
        <w:spacing w:line="240" w:lineRule="auto" w:before="8"/>
        <w:rPr>
          <w:rFonts w:ascii="宋体" w:hAnsi="宋体" w:cs="宋体" w:eastAsia="宋体" w:hint="default"/>
          <w:sz w:val="26"/>
          <w:szCs w:val="26"/>
        </w:rPr>
      </w:pPr>
    </w:p>
    <w:p>
      <w:pPr>
        <w:tabs>
          <w:tab w:pos="1194" w:val="left" w:leader="none"/>
        </w:tabs>
        <w:spacing w:before="32"/>
        <w:ind w:left="808"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tab/>
      </w:r>
      <w:r>
        <w:rPr>
          <w:rFonts w:ascii="宋体" w:hAnsi="宋体" w:cs="宋体" w:eastAsia="宋体" w:hint="default"/>
          <w:sz w:val="22"/>
          <w:szCs w:val="22"/>
        </w:rPr>
        <w:t>信用证担保</w:t>
      </w:r>
    </w:p>
    <w:p>
      <w:pPr>
        <w:spacing w:line="240" w:lineRule="auto" w:before="8"/>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2351"/>
        <w:gridCol w:w="2146"/>
        <w:gridCol w:w="2115"/>
        <w:gridCol w:w="2051"/>
      </w:tblGrid>
      <w:tr>
        <w:trPr>
          <w:trHeight w:val="300" w:hRule="exact"/>
        </w:trPr>
        <w:tc>
          <w:tcPr>
            <w:tcW w:w="2351" w:type="dxa"/>
            <w:tcBorders>
              <w:top w:val="single" w:sz="12" w:space="0" w:color="000000"/>
              <w:left w:val="nil" w:sz="6" w:space="0" w:color="auto"/>
              <w:bottom w:val="single" w:sz="4" w:space="0" w:color="000000"/>
              <w:right w:val="nil" w:sz="6" w:space="0" w:color="auto"/>
            </w:tcBorders>
          </w:tcPr>
          <w:p>
            <w:pPr>
              <w:pStyle w:val="TableParagraph"/>
              <w:spacing w:line="240" w:lineRule="auto" w:before="15"/>
              <w:ind w:left="50" w:right="0"/>
              <w:jc w:val="center"/>
              <w:rPr>
                <w:rFonts w:ascii="宋体" w:hAnsi="宋体" w:cs="宋体" w:eastAsia="宋体" w:hint="default"/>
                <w:sz w:val="18"/>
                <w:szCs w:val="18"/>
              </w:rPr>
            </w:pPr>
            <w:r>
              <w:rPr>
                <w:rFonts w:ascii="宋体" w:hAnsi="宋体" w:cs="宋体" w:eastAsia="宋体" w:hint="default"/>
                <w:b/>
                <w:bCs/>
                <w:sz w:val="18"/>
                <w:szCs w:val="18"/>
              </w:rPr>
              <w:t>被担保方</w:t>
            </w:r>
            <w:r>
              <w:rPr>
                <w:rFonts w:ascii="宋体" w:hAnsi="宋体" w:cs="宋体" w:eastAsia="宋体" w:hint="default"/>
                <w:sz w:val="18"/>
                <w:szCs w:val="18"/>
              </w:rPr>
            </w:r>
          </w:p>
        </w:tc>
        <w:tc>
          <w:tcPr>
            <w:tcW w:w="2146" w:type="dxa"/>
            <w:tcBorders>
              <w:top w:val="single" w:sz="12" w:space="0" w:color="000000"/>
              <w:left w:val="nil" w:sz="6" w:space="0" w:color="auto"/>
              <w:bottom w:val="single" w:sz="4" w:space="0" w:color="000000"/>
              <w:right w:val="nil" w:sz="6" w:space="0" w:color="auto"/>
            </w:tcBorders>
          </w:tcPr>
          <w:p>
            <w:pPr>
              <w:pStyle w:val="TableParagraph"/>
              <w:spacing w:line="240" w:lineRule="auto" w:before="15"/>
              <w:ind w:left="738" w:right="0"/>
              <w:jc w:val="left"/>
              <w:rPr>
                <w:rFonts w:ascii="宋体" w:hAnsi="宋体" w:cs="宋体" w:eastAsia="宋体" w:hint="default"/>
                <w:sz w:val="18"/>
                <w:szCs w:val="18"/>
              </w:rPr>
            </w:pPr>
            <w:r>
              <w:rPr>
                <w:rFonts w:ascii="宋体" w:hAnsi="宋体" w:cs="宋体" w:eastAsia="宋体" w:hint="default"/>
                <w:b/>
                <w:bCs/>
                <w:sz w:val="18"/>
                <w:szCs w:val="18"/>
              </w:rPr>
              <w:t>贷款银行</w:t>
            </w:r>
            <w:r>
              <w:rPr>
                <w:rFonts w:ascii="宋体" w:hAnsi="宋体" w:cs="宋体" w:eastAsia="宋体" w:hint="default"/>
                <w:sz w:val="18"/>
                <w:szCs w:val="18"/>
              </w:rPr>
            </w:r>
          </w:p>
        </w:tc>
        <w:tc>
          <w:tcPr>
            <w:tcW w:w="2115" w:type="dxa"/>
            <w:tcBorders>
              <w:top w:val="single" w:sz="12" w:space="0" w:color="000000"/>
              <w:left w:val="nil" w:sz="6" w:space="0" w:color="auto"/>
              <w:bottom w:val="single" w:sz="4" w:space="0" w:color="000000"/>
              <w:right w:val="nil" w:sz="6" w:space="0" w:color="auto"/>
            </w:tcBorders>
          </w:tcPr>
          <w:p>
            <w:pPr>
              <w:pStyle w:val="TableParagraph"/>
              <w:spacing w:line="240" w:lineRule="auto" w:before="15"/>
              <w:ind w:left="558" w:right="0"/>
              <w:jc w:val="left"/>
              <w:rPr>
                <w:rFonts w:ascii="宋体" w:hAnsi="宋体" w:cs="宋体" w:eastAsia="宋体" w:hint="default"/>
                <w:sz w:val="18"/>
                <w:szCs w:val="18"/>
              </w:rPr>
            </w:pPr>
            <w:r>
              <w:rPr>
                <w:rFonts w:ascii="宋体" w:hAnsi="宋体" w:cs="宋体" w:eastAsia="宋体" w:hint="default"/>
                <w:b/>
                <w:bCs/>
                <w:sz w:val="18"/>
                <w:szCs w:val="18"/>
              </w:rPr>
              <w:t>信用证金额</w:t>
            </w:r>
            <w:r>
              <w:rPr>
                <w:rFonts w:ascii="宋体" w:hAnsi="宋体" w:cs="宋体" w:eastAsia="宋体" w:hint="default"/>
                <w:sz w:val="18"/>
                <w:szCs w:val="18"/>
              </w:rPr>
            </w:r>
          </w:p>
        </w:tc>
        <w:tc>
          <w:tcPr>
            <w:tcW w:w="2051" w:type="dxa"/>
            <w:tcBorders>
              <w:top w:val="single" w:sz="12" w:space="0" w:color="000000"/>
              <w:left w:val="nil" w:sz="6" w:space="0" w:color="auto"/>
              <w:bottom w:val="single" w:sz="4" w:space="0" w:color="000000"/>
              <w:right w:val="nil" w:sz="6" w:space="0" w:color="auto"/>
            </w:tcBorders>
          </w:tcPr>
          <w:p>
            <w:pPr>
              <w:pStyle w:val="TableParagraph"/>
              <w:spacing w:line="240" w:lineRule="auto" w:before="15"/>
              <w:ind w:right="116"/>
              <w:jc w:val="center"/>
              <w:rPr>
                <w:rFonts w:ascii="宋体" w:hAnsi="宋体" w:cs="宋体" w:eastAsia="宋体" w:hint="default"/>
                <w:sz w:val="18"/>
                <w:szCs w:val="18"/>
              </w:rPr>
            </w:pPr>
            <w:r>
              <w:rPr>
                <w:rFonts w:ascii="宋体" w:hAnsi="宋体" w:cs="宋体" w:eastAsia="宋体" w:hint="default"/>
                <w:b/>
                <w:bCs/>
                <w:sz w:val="18"/>
                <w:szCs w:val="18"/>
              </w:rPr>
              <w:t>信用证期限</w:t>
            </w:r>
            <w:r>
              <w:rPr>
                <w:rFonts w:ascii="宋体" w:hAnsi="宋体" w:cs="宋体" w:eastAsia="宋体" w:hint="default"/>
                <w:sz w:val="18"/>
                <w:szCs w:val="18"/>
              </w:rPr>
            </w:r>
          </w:p>
        </w:tc>
      </w:tr>
      <w:tr>
        <w:trPr>
          <w:trHeight w:val="245" w:hRule="exact"/>
        </w:trPr>
        <w:tc>
          <w:tcPr>
            <w:tcW w:w="2351" w:type="dxa"/>
            <w:tcBorders>
              <w:top w:val="single" w:sz="4" w:space="0" w:color="000000"/>
              <w:left w:val="nil" w:sz="6" w:space="0" w:color="auto"/>
              <w:bottom w:val="nil" w:sz="6" w:space="0" w:color="auto"/>
              <w:right w:val="nil" w:sz="6" w:space="0" w:color="auto"/>
            </w:tcBorders>
          </w:tcPr>
          <w:p>
            <w:pPr/>
          </w:p>
        </w:tc>
        <w:tc>
          <w:tcPr>
            <w:tcW w:w="2146" w:type="dxa"/>
            <w:tcBorders>
              <w:top w:val="single" w:sz="4" w:space="0" w:color="000000"/>
              <w:left w:val="nil" w:sz="6" w:space="0" w:color="auto"/>
              <w:bottom w:val="nil" w:sz="6" w:space="0" w:color="auto"/>
              <w:right w:val="nil" w:sz="6" w:space="0" w:color="auto"/>
            </w:tcBorders>
          </w:tcPr>
          <w:p>
            <w:pPr/>
          </w:p>
        </w:tc>
        <w:tc>
          <w:tcPr>
            <w:tcW w:w="2115" w:type="dxa"/>
            <w:tcBorders>
              <w:top w:val="single" w:sz="4" w:space="0" w:color="000000"/>
              <w:left w:val="nil" w:sz="6" w:space="0" w:color="auto"/>
              <w:bottom w:val="nil" w:sz="6" w:space="0" w:color="auto"/>
              <w:right w:val="nil" w:sz="6" w:space="0" w:color="auto"/>
            </w:tcBorders>
          </w:tcPr>
          <w:p>
            <w:pPr>
              <w:pStyle w:val="TableParagraph"/>
              <w:spacing w:line="240" w:lineRule="auto" w:before="36"/>
              <w:ind w:right="217"/>
              <w:jc w:val="right"/>
              <w:rPr>
                <w:rFonts w:ascii="宋体" w:hAnsi="宋体" w:cs="宋体" w:eastAsia="宋体" w:hint="default"/>
                <w:sz w:val="16"/>
                <w:szCs w:val="16"/>
              </w:rPr>
            </w:pPr>
            <w:r>
              <w:rPr>
                <w:rFonts w:ascii="Times New Roman" w:hAnsi="Times New Roman" w:cs="Times New Roman" w:eastAsia="Times New Roman" w:hint="default"/>
                <w:sz w:val="16"/>
                <w:szCs w:val="16"/>
              </w:rPr>
              <w:t>182.16</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万美元</w:t>
            </w:r>
          </w:p>
        </w:tc>
        <w:tc>
          <w:tcPr>
            <w:tcW w:w="2051" w:type="dxa"/>
            <w:tcBorders>
              <w:top w:val="single" w:sz="4" w:space="0" w:color="000000"/>
              <w:left w:val="nil" w:sz="6" w:space="0" w:color="auto"/>
              <w:bottom w:val="nil" w:sz="6" w:space="0" w:color="auto"/>
              <w:right w:val="nil" w:sz="6" w:space="0" w:color="auto"/>
            </w:tcBorders>
          </w:tcPr>
          <w:p>
            <w:pPr/>
          </w:p>
        </w:tc>
      </w:tr>
      <w:tr>
        <w:trPr>
          <w:trHeight w:val="138" w:hRule="exact"/>
        </w:trPr>
        <w:tc>
          <w:tcPr>
            <w:tcW w:w="2351" w:type="dxa"/>
            <w:tcBorders>
              <w:top w:val="nil" w:sz="6" w:space="0" w:color="auto"/>
              <w:left w:val="nil" w:sz="6" w:space="0" w:color="auto"/>
              <w:bottom w:val="nil" w:sz="6" w:space="0" w:color="auto"/>
              <w:right w:val="nil" w:sz="6" w:space="0" w:color="auto"/>
            </w:tcBorders>
          </w:tcPr>
          <w:p>
            <w:pPr>
              <w:pStyle w:val="TableParagraph"/>
              <w:spacing w:line="147" w:lineRule="exact"/>
              <w:ind w:left="122" w:right="0"/>
              <w:jc w:val="left"/>
              <w:rPr>
                <w:rFonts w:ascii="宋体" w:hAnsi="宋体" w:cs="宋体" w:eastAsia="宋体" w:hint="default"/>
                <w:sz w:val="16"/>
                <w:szCs w:val="16"/>
              </w:rPr>
            </w:pPr>
            <w:r>
              <w:rPr>
                <w:rFonts w:ascii="宋体" w:hAnsi="宋体" w:cs="宋体" w:eastAsia="宋体" w:hint="default"/>
                <w:sz w:val="16"/>
                <w:szCs w:val="16"/>
              </w:rPr>
              <w:t>沈阳同方多媒体科技有限公司</w:t>
            </w:r>
          </w:p>
        </w:tc>
        <w:tc>
          <w:tcPr>
            <w:tcW w:w="2146" w:type="dxa"/>
            <w:tcBorders>
              <w:top w:val="nil" w:sz="6" w:space="0" w:color="auto"/>
              <w:left w:val="nil" w:sz="6" w:space="0" w:color="auto"/>
              <w:bottom w:val="nil" w:sz="6" w:space="0" w:color="auto"/>
              <w:right w:val="nil" w:sz="6" w:space="0" w:color="auto"/>
            </w:tcBorders>
          </w:tcPr>
          <w:p>
            <w:pPr>
              <w:pStyle w:val="TableParagraph"/>
              <w:spacing w:line="147" w:lineRule="exact"/>
              <w:ind w:left="145" w:right="0"/>
              <w:jc w:val="left"/>
              <w:rPr>
                <w:rFonts w:ascii="宋体" w:hAnsi="宋体" w:cs="宋体" w:eastAsia="宋体" w:hint="default"/>
                <w:sz w:val="16"/>
                <w:szCs w:val="16"/>
              </w:rPr>
            </w:pPr>
            <w:r>
              <w:rPr>
                <w:rFonts w:ascii="宋体" w:hAnsi="宋体" w:cs="宋体" w:eastAsia="宋体" w:hint="default"/>
                <w:sz w:val="16"/>
                <w:szCs w:val="16"/>
              </w:rPr>
              <w:t>中国银行沈阳分行</w:t>
            </w:r>
          </w:p>
        </w:tc>
        <w:tc>
          <w:tcPr>
            <w:tcW w:w="2115" w:type="dxa"/>
            <w:tcBorders>
              <w:top w:val="nil" w:sz="6" w:space="0" w:color="auto"/>
              <w:left w:val="nil" w:sz="6" w:space="0" w:color="auto"/>
              <w:bottom w:val="nil" w:sz="6" w:space="0" w:color="auto"/>
              <w:right w:val="nil" w:sz="6" w:space="0" w:color="auto"/>
            </w:tcBorders>
          </w:tcPr>
          <w:p>
            <w:pPr/>
          </w:p>
        </w:tc>
        <w:tc>
          <w:tcPr>
            <w:tcW w:w="2051" w:type="dxa"/>
            <w:tcBorders>
              <w:top w:val="nil" w:sz="6" w:space="0" w:color="auto"/>
              <w:left w:val="nil" w:sz="6" w:space="0" w:color="auto"/>
              <w:bottom w:val="nil" w:sz="6" w:space="0" w:color="auto"/>
              <w:right w:val="nil" w:sz="6" w:space="0" w:color="auto"/>
            </w:tcBorders>
          </w:tcPr>
          <w:p>
            <w:pPr>
              <w:pStyle w:val="TableParagraph"/>
              <w:spacing w:line="159" w:lineRule="exact"/>
              <w:ind w:right="115"/>
              <w:jc w:val="center"/>
              <w:rPr>
                <w:rFonts w:ascii="Times New Roman" w:hAnsi="Times New Roman" w:cs="Times New Roman" w:eastAsia="Times New Roman" w:hint="default"/>
                <w:sz w:val="16"/>
                <w:szCs w:val="16"/>
              </w:rPr>
            </w:pPr>
            <w:r>
              <w:rPr>
                <w:rFonts w:ascii="Times New Roman"/>
                <w:sz w:val="16"/>
              </w:rPr>
              <w:t>2015.11.20-2016.08.12</w:t>
            </w:r>
          </w:p>
        </w:tc>
      </w:tr>
      <w:tr>
        <w:trPr>
          <w:trHeight w:val="212" w:hRule="exact"/>
        </w:trPr>
        <w:tc>
          <w:tcPr>
            <w:tcW w:w="2351"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c>
          <w:tcPr>
            <w:tcW w:w="2115" w:type="dxa"/>
            <w:tcBorders>
              <w:top w:val="nil" w:sz="6" w:space="0" w:color="auto"/>
              <w:left w:val="nil" w:sz="6" w:space="0" w:color="auto"/>
              <w:bottom w:val="nil" w:sz="6" w:space="0" w:color="auto"/>
              <w:right w:val="nil" w:sz="6" w:space="0" w:color="auto"/>
            </w:tcBorders>
          </w:tcPr>
          <w:p>
            <w:pPr>
              <w:pStyle w:val="TableParagraph"/>
              <w:spacing w:line="160" w:lineRule="exact"/>
              <w:ind w:right="217"/>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1,182.88</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2051" w:type="dxa"/>
            <w:tcBorders>
              <w:top w:val="nil" w:sz="6" w:space="0" w:color="auto"/>
              <w:left w:val="nil" w:sz="6" w:space="0" w:color="auto"/>
              <w:bottom w:val="nil" w:sz="6" w:space="0" w:color="auto"/>
              <w:right w:val="nil" w:sz="6" w:space="0" w:color="auto"/>
            </w:tcBorders>
          </w:tcPr>
          <w:p>
            <w:pPr/>
          </w:p>
        </w:tc>
      </w:tr>
      <w:tr>
        <w:trPr>
          <w:trHeight w:val="210" w:hRule="exact"/>
        </w:trPr>
        <w:tc>
          <w:tcPr>
            <w:tcW w:w="2351"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c>
          <w:tcPr>
            <w:tcW w:w="211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17"/>
              <w:jc w:val="right"/>
              <w:rPr>
                <w:rFonts w:ascii="宋体" w:hAnsi="宋体" w:cs="宋体" w:eastAsia="宋体" w:hint="default"/>
                <w:sz w:val="16"/>
                <w:szCs w:val="16"/>
              </w:rPr>
            </w:pPr>
            <w:r>
              <w:rPr>
                <w:rFonts w:ascii="Times New Roman" w:hAnsi="Times New Roman" w:cs="Times New Roman" w:eastAsia="Times New Roman" w:hint="default"/>
                <w:sz w:val="16"/>
                <w:szCs w:val="16"/>
              </w:rPr>
              <w:t>318.17</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万美元</w:t>
            </w:r>
          </w:p>
        </w:tc>
        <w:tc>
          <w:tcPr>
            <w:tcW w:w="2051" w:type="dxa"/>
            <w:tcBorders>
              <w:top w:val="nil" w:sz="6" w:space="0" w:color="auto"/>
              <w:left w:val="nil" w:sz="6" w:space="0" w:color="auto"/>
              <w:bottom w:val="nil" w:sz="6" w:space="0" w:color="auto"/>
              <w:right w:val="nil" w:sz="6" w:space="0" w:color="auto"/>
            </w:tcBorders>
          </w:tcPr>
          <w:p>
            <w:pPr/>
          </w:p>
        </w:tc>
      </w:tr>
      <w:tr>
        <w:trPr>
          <w:trHeight w:val="137" w:hRule="exact"/>
        </w:trPr>
        <w:tc>
          <w:tcPr>
            <w:tcW w:w="2351" w:type="dxa"/>
            <w:tcBorders>
              <w:top w:val="nil" w:sz="6" w:space="0" w:color="auto"/>
              <w:left w:val="nil" w:sz="6" w:space="0" w:color="auto"/>
              <w:bottom w:val="nil" w:sz="6" w:space="0" w:color="auto"/>
              <w:right w:val="nil" w:sz="6" w:space="0" w:color="auto"/>
            </w:tcBorders>
          </w:tcPr>
          <w:p>
            <w:pPr>
              <w:pStyle w:val="TableParagraph"/>
              <w:spacing w:line="145" w:lineRule="exact"/>
              <w:ind w:left="122" w:right="0"/>
              <w:jc w:val="left"/>
              <w:rPr>
                <w:rFonts w:ascii="宋体" w:hAnsi="宋体" w:cs="宋体" w:eastAsia="宋体" w:hint="default"/>
                <w:sz w:val="16"/>
                <w:szCs w:val="16"/>
              </w:rPr>
            </w:pPr>
            <w:r>
              <w:rPr>
                <w:rFonts w:ascii="宋体" w:hAnsi="宋体" w:cs="宋体" w:eastAsia="宋体" w:hint="default"/>
                <w:sz w:val="16"/>
                <w:szCs w:val="16"/>
              </w:rPr>
              <w:t>沈阳同方多媒体科技有限公司</w:t>
            </w:r>
          </w:p>
        </w:tc>
        <w:tc>
          <w:tcPr>
            <w:tcW w:w="2146" w:type="dxa"/>
            <w:tcBorders>
              <w:top w:val="nil" w:sz="6" w:space="0" w:color="auto"/>
              <w:left w:val="nil" w:sz="6" w:space="0" w:color="auto"/>
              <w:bottom w:val="nil" w:sz="6" w:space="0" w:color="auto"/>
              <w:right w:val="nil" w:sz="6" w:space="0" w:color="auto"/>
            </w:tcBorders>
          </w:tcPr>
          <w:p>
            <w:pPr>
              <w:pStyle w:val="TableParagraph"/>
              <w:spacing w:line="145" w:lineRule="exact"/>
              <w:ind w:left="145" w:right="0"/>
              <w:jc w:val="left"/>
              <w:rPr>
                <w:rFonts w:ascii="宋体" w:hAnsi="宋体" w:cs="宋体" w:eastAsia="宋体" w:hint="default"/>
                <w:sz w:val="16"/>
                <w:szCs w:val="16"/>
              </w:rPr>
            </w:pPr>
            <w:r>
              <w:rPr>
                <w:rFonts w:ascii="宋体" w:hAnsi="宋体" w:cs="宋体" w:eastAsia="宋体" w:hint="default"/>
                <w:sz w:val="16"/>
                <w:szCs w:val="16"/>
              </w:rPr>
              <w:t>汇丰银行沈阳分行</w:t>
            </w:r>
          </w:p>
        </w:tc>
        <w:tc>
          <w:tcPr>
            <w:tcW w:w="2115" w:type="dxa"/>
            <w:tcBorders>
              <w:top w:val="nil" w:sz="6" w:space="0" w:color="auto"/>
              <w:left w:val="nil" w:sz="6" w:space="0" w:color="auto"/>
              <w:bottom w:val="nil" w:sz="6" w:space="0" w:color="auto"/>
              <w:right w:val="nil" w:sz="6" w:space="0" w:color="auto"/>
            </w:tcBorders>
          </w:tcPr>
          <w:p>
            <w:pPr/>
          </w:p>
        </w:tc>
        <w:tc>
          <w:tcPr>
            <w:tcW w:w="2051" w:type="dxa"/>
            <w:tcBorders>
              <w:top w:val="nil" w:sz="6" w:space="0" w:color="auto"/>
              <w:left w:val="nil" w:sz="6" w:space="0" w:color="auto"/>
              <w:bottom w:val="nil" w:sz="6" w:space="0" w:color="auto"/>
              <w:right w:val="nil" w:sz="6" w:space="0" w:color="auto"/>
            </w:tcBorders>
          </w:tcPr>
          <w:p>
            <w:pPr>
              <w:pStyle w:val="TableParagraph"/>
              <w:spacing w:line="158" w:lineRule="exact"/>
              <w:ind w:right="115"/>
              <w:jc w:val="center"/>
              <w:rPr>
                <w:rFonts w:ascii="Times New Roman" w:hAnsi="Times New Roman" w:cs="Times New Roman" w:eastAsia="Times New Roman" w:hint="default"/>
                <w:sz w:val="16"/>
                <w:szCs w:val="16"/>
              </w:rPr>
            </w:pPr>
            <w:r>
              <w:rPr>
                <w:rFonts w:ascii="Times New Roman"/>
                <w:sz w:val="16"/>
              </w:rPr>
              <w:t>2015.07.28-2016.05.12</w:t>
            </w:r>
          </w:p>
        </w:tc>
      </w:tr>
      <w:tr>
        <w:trPr>
          <w:trHeight w:val="212" w:hRule="exact"/>
        </w:trPr>
        <w:tc>
          <w:tcPr>
            <w:tcW w:w="2351"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c>
          <w:tcPr>
            <w:tcW w:w="2115" w:type="dxa"/>
            <w:tcBorders>
              <w:top w:val="nil" w:sz="6" w:space="0" w:color="auto"/>
              <w:left w:val="nil" w:sz="6" w:space="0" w:color="auto"/>
              <w:bottom w:val="nil" w:sz="6" w:space="0" w:color="auto"/>
              <w:right w:val="nil" w:sz="6" w:space="0" w:color="auto"/>
            </w:tcBorders>
          </w:tcPr>
          <w:p>
            <w:pPr>
              <w:pStyle w:val="TableParagraph"/>
              <w:spacing w:line="160" w:lineRule="exact"/>
              <w:ind w:right="217"/>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2,066.08</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2051" w:type="dxa"/>
            <w:tcBorders>
              <w:top w:val="nil" w:sz="6" w:space="0" w:color="auto"/>
              <w:left w:val="nil" w:sz="6" w:space="0" w:color="auto"/>
              <w:bottom w:val="nil" w:sz="6" w:space="0" w:color="auto"/>
              <w:right w:val="nil" w:sz="6" w:space="0" w:color="auto"/>
            </w:tcBorders>
          </w:tcPr>
          <w:p>
            <w:pPr/>
          </w:p>
        </w:tc>
      </w:tr>
      <w:tr>
        <w:trPr>
          <w:trHeight w:val="281" w:hRule="exact"/>
        </w:trPr>
        <w:tc>
          <w:tcPr>
            <w:tcW w:w="2351" w:type="dxa"/>
            <w:tcBorders>
              <w:top w:val="nil" w:sz="6" w:space="0" w:color="auto"/>
              <w:left w:val="nil" w:sz="6" w:space="0" w:color="auto"/>
              <w:bottom w:val="nil" w:sz="6" w:space="0" w:color="auto"/>
              <w:right w:val="nil" w:sz="6" w:space="0" w:color="auto"/>
            </w:tcBorders>
          </w:tcPr>
          <w:p>
            <w:pPr>
              <w:pStyle w:val="TableParagraph"/>
              <w:spacing w:line="240" w:lineRule="auto" w:before="7"/>
              <w:ind w:left="122" w:right="0"/>
              <w:jc w:val="left"/>
              <w:rPr>
                <w:rFonts w:ascii="宋体" w:hAnsi="宋体" w:cs="宋体" w:eastAsia="宋体" w:hint="default"/>
                <w:sz w:val="16"/>
                <w:szCs w:val="16"/>
              </w:rPr>
            </w:pPr>
            <w:r>
              <w:rPr>
                <w:rFonts w:ascii="宋体" w:hAnsi="宋体" w:cs="宋体" w:eastAsia="宋体" w:hint="default"/>
                <w:sz w:val="16"/>
                <w:szCs w:val="16"/>
              </w:rPr>
              <w:t>沈阳同方多媒体科技有限公司</w:t>
            </w:r>
          </w:p>
        </w:tc>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7"/>
              <w:ind w:left="145" w:right="0"/>
              <w:jc w:val="left"/>
              <w:rPr>
                <w:rFonts w:ascii="宋体" w:hAnsi="宋体" w:cs="宋体" w:eastAsia="宋体" w:hint="default"/>
                <w:sz w:val="16"/>
                <w:szCs w:val="16"/>
              </w:rPr>
            </w:pPr>
            <w:r>
              <w:rPr>
                <w:rFonts w:ascii="宋体" w:hAnsi="宋体" w:cs="宋体" w:eastAsia="宋体" w:hint="default"/>
                <w:sz w:val="16"/>
                <w:szCs w:val="16"/>
              </w:rPr>
              <w:t>中信银行沈阳分行</w:t>
            </w:r>
          </w:p>
        </w:tc>
        <w:tc>
          <w:tcPr>
            <w:tcW w:w="211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17"/>
              <w:jc w:val="right"/>
              <w:rPr>
                <w:rFonts w:ascii="宋体" w:hAnsi="宋体" w:cs="宋体" w:eastAsia="宋体" w:hint="default"/>
                <w:sz w:val="16"/>
                <w:szCs w:val="16"/>
              </w:rPr>
            </w:pPr>
            <w:r>
              <w:rPr>
                <w:rFonts w:ascii="Times New Roman" w:hAnsi="Times New Roman" w:cs="Times New Roman" w:eastAsia="Times New Roman" w:hint="default"/>
                <w:sz w:val="16"/>
                <w:szCs w:val="16"/>
              </w:rPr>
              <w:t>1,000.00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万人民币</w:t>
            </w:r>
          </w:p>
        </w:tc>
        <w:tc>
          <w:tcPr>
            <w:tcW w:w="205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5"/>
              <w:jc w:val="center"/>
              <w:rPr>
                <w:rFonts w:ascii="Times New Roman" w:hAnsi="Times New Roman" w:cs="Times New Roman" w:eastAsia="Times New Roman" w:hint="default"/>
                <w:sz w:val="16"/>
                <w:szCs w:val="16"/>
              </w:rPr>
            </w:pPr>
            <w:r>
              <w:rPr>
                <w:rFonts w:ascii="Times New Roman"/>
                <w:sz w:val="16"/>
              </w:rPr>
              <w:t>2015.12.17-2016.07.20</w:t>
            </w:r>
          </w:p>
        </w:tc>
      </w:tr>
      <w:tr>
        <w:trPr>
          <w:trHeight w:val="210" w:hRule="exact"/>
        </w:trPr>
        <w:tc>
          <w:tcPr>
            <w:tcW w:w="2351"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c>
          <w:tcPr>
            <w:tcW w:w="211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17"/>
              <w:jc w:val="right"/>
              <w:rPr>
                <w:rFonts w:ascii="宋体" w:hAnsi="宋体" w:cs="宋体" w:eastAsia="宋体" w:hint="default"/>
                <w:sz w:val="16"/>
                <w:szCs w:val="16"/>
              </w:rPr>
            </w:pPr>
            <w:r>
              <w:rPr>
                <w:rFonts w:ascii="Times New Roman" w:hAnsi="Times New Roman" w:cs="Times New Roman" w:eastAsia="Times New Roman" w:hint="default"/>
                <w:sz w:val="16"/>
                <w:szCs w:val="16"/>
              </w:rPr>
              <w:t>307.99</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万美元</w:t>
            </w:r>
          </w:p>
        </w:tc>
        <w:tc>
          <w:tcPr>
            <w:tcW w:w="2051" w:type="dxa"/>
            <w:tcBorders>
              <w:top w:val="nil" w:sz="6" w:space="0" w:color="auto"/>
              <w:left w:val="nil" w:sz="6" w:space="0" w:color="auto"/>
              <w:bottom w:val="nil" w:sz="6" w:space="0" w:color="auto"/>
              <w:right w:val="nil" w:sz="6" w:space="0" w:color="auto"/>
            </w:tcBorders>
          </w:tcPr>
          <w:p>
            <w:pPr/>
          </w:p>
        </w:tc>
      </w:tr>
      <w:tr>
        <w:trPr>
          <w:trHeight w:val="137" w:hRule="exact"/>
        </w:trPr>
        <w:tc>
          <w:tcPr>
            <w:tcW w:w="2351" w:type="dxa"/>
            <w:tcBorders>
              <w:top w:val="nil" w:sz="6" w:space="0" w:color="auto"/>
              <w:left w:val="nil" w:sz="6" w:space="0" w:color="auto"/>
              <w:bottom w:val="nil" w:sz="6" w:space="0" w:color="auto"/>
              <w:right w:val="nil" w:sz="6" w:space="0" w:color="auto"/>
            </w:tcBorders>
          </w:tcPr>
          <w:p>
            <w:pPr>
              <w:pStyle w:val="TableParagraph"/>
              <w:spacing w:line="145" w:lineRule="exact"/>
              <w:ind w:left="122" w:right="0"/>
              <w:jc w:val="left"/>
              <w:rPr>
                <w:rFonts w:ascii="宋体" w:hAnsi="宋体" w:cs="宋体" w:eastAsia="宋体" w:hint="default"/>
                <w:sz w:val="16"/>
                <w:szCs w:val="16"/>
              </w:rPr>
            </w:pPr>
            <w:r>
              <w:rPr>
                <w:rFonts w:ascii="宋体" w:hAnsi="宋体" w:cs="宋体" w:eastAsia="宋体" w:hint="default"/>
                <w:sz w:val="16"/>
                <w:szCs w:val="16"/>
              </w:rPr>
              <w:t>同方江新造船有限公司</w:t>
            </w:r>
          </w:p>
        </w:tc>
        <w:tc>
          <w:tcPr>
            <w:tcW w:w="2146" w:type="dxa"/>
            <w:tcBorders>
              <w:top w:val="nil" w:sz="6" w:space="0" w:color="auto"/>
              <w:left w:val="nil" w:sz="6" w:space="0" w:color="auto"/>
              <w:bottom w:val="nil" w:sz="6" w:space="0" w:color="auto"/>
              <w:right w:val="nil" w:sz="6" w:space="0" w:color="auto"/>
            </w:tcBorders>
          </w:tcPr>
          <w:p>
            <w:pPr>
              <w:pStyle w:val="TableParagraph"/>
              <w:spacing w:line="145" w:lineRule="exact"/>
              <w:ind w:left="145" w:right="0"/>
              <w:jc w:val="left"/>
              <w:rPr>
                <w:rFonts w:ascii="宋体" w:hAnsi="宋体" w:cs="宋体" w:eastAsia="宋体" w:hint="default"/>
                <w:sz w:val="16"/>
                <w:szCs w:val="16"/>
              </w:rPr>
            </w:pPr>
            <w:r>
              <w:rPr>
                <w:rFonts w:ascii="宋体" w:hAnsi="宋体" w:cs="宋体" w:eastAsia="宋体" w:hint="default"/>
                <w:sz w:val="16"/>
                <w:szCs w:val="16"/>
              </w:rPr>
              <w:t>中国银行江西省分行</w:t>
            </w:r>
          </w:p>
        </w:tc>
        <w:tc>
          <w:tcPr>
            <w:tcW w:w="2115" w:type="dxa"/>
            <w:tcBorders>
              <w:top w:val="nil" w:sz="6" w:space="0" w:color="auto"/>
              <w:left w:val="nil" w:sz="6" w:space="0" w:color="auto"/>
              <w:bottom w:val="nil" w:sz="6" w:space="0" w:color="auto"/>
              <w:right w:val="nil" w:sz="6" w:space="0" w:color="auto"/>
            </w:tcBorders>
          </w:tcPr>
          <w:p>
            <w:pPr/>
          </w:p>
        </w:tc>
        <w:tc>
          <w:tcPr>
            <w:tcW w:w="2051" w:type="dxa"/>
            <w:tcBorders>
              <w:top w:val="nil" w:sz="6" w:space="0" w:color="auto"/>
              <w:left w:val="nil" w:sz="6" w:space="0" w:color="auto"/>
              <w:bottom w:val="nil" w:sz="6" w:space="0" w:color="auto"/>
              <w:right w:val="nil" w:sz="6" w:space="0" w:color="auto"/>
            </w:tcBorders>
          </w:tcPr>
          <w:p>
            <w:pPr>
              <w:pStyle w:val="TableParagraph"/>
              <w:spacing w:line="158" w:lineRule="exact"/>
              <w:ind w:right="115"/>
              <w:jc w:val="center"/>
              <w:rPr>
                <w:rFonts w:ascii="Times New Roman" w:hAnsi="Times New Roman" w:cs="Times New Roman" w:eastAsia="Times New Roman" w:hint="default"/>
                <w:sz w:val="16"/>
                <w:szCs w:val="16"/>
              </w:rPr>
            </w:pPr>
            <w:r>
              <w:rPr>
                <w:rFonts w:ascii="Times New Roman"/>
                <w:sz w:val="16"/>
              </w:rPr>
              <w:t>2015.10.16-2016.06.30</w:t>
            </w:r>
          </w:p>
        </w:tc>
      </w:tr>
      <w:tr>
        <w:trPr>
          <w:trHeight w:val="212" w:hRule="exact"/>
        </w:trPr>
        <w:tc>
          <w:tcPr>
            <w:tcW w:w="2351"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c>
          <w:tcPr>
            <w:tcW w:w="2115" w:type="dxa"/>
            <w:tcBorders>
              <w:top w:val="nil" w:sz="6" w:space="0" w:color="auto"/>
              <w:left w:val="nil" w:sz="6" w:space="0" w:color="auto"/>
              <w:bottom w:val="nil" w:sz="6" w:space="0" w:color="auto"/>
              <w:right w:val="nil" w:sz="6" w:space="0" w:color="auto"/>
            </w:tcBorders>
          </w:tcPr>
          <w:p>
            <w:pPr>
              <w:pStyle w:val="TableParagraph"/>
              <w:spacing w:line="160" w:lineRule="exact"/>
              <w:ind w:right="217"/>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1,999.99</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2051" w:type="dxa"/>
            <w:tcBorders>
              <w:top w:val="nil" w:sz="6" w:space="0" w:color="auto"/>
              <w:left w:val="nil" w:sz="6" w:space="0" w:color="auto"/>
              <w:bottom w:val="nil" w:sz="6" w:space="0" w:color="auto"/>
              <w:right w:val="nil" w:sz="6" w:space="0" w:color="auto"/>
            </w:tcBorders>
          </w:tcPr>
          <w:p>
            <w:pPr/>
          </w:p>
        </w:tc>
      </w:tr>
      <w:tr>
        <w:trPr>
          <w:trHeight w:val="216" w:hRule="exact"/>
        </w:trPr>
        <w:tc>
          <w:tcPr>
            <w:tcW w:w="2351" w:type="dxa"/>
            <w:tcBorders>
              <w:top w:val="nil" w:sz="6" w:space="0" w:color="auto"/>
              <w:left w:val="nil" w:sz="6" w:space="0" w:color="auto"/>
              <w:bottom w:val="nil" w:sz="6" w:space="0" w:color="auto"/>
              <w:right w:val="nil" w:sz="6" w:space="0" w:color="auto"/>
            </w:tcBorders>
          </w:tcPr>
          <w:p>
            <w:pPr/>
          </w:p>
        </w:tc>
        <w:tc>
          <w:tcPr>
            <w:tcW w:w="2146" w:type="dxa"/>
            <w:tcBorders>
              <w:top w:val="nil" w:sz="6" w:space="0" w:color="auto"/>
              <w:left w:val="nil" w:sz="6" w:space="0" w:color="auto"/>
              <w:bottom w:val="nil" w:sz="6" w:space="0" w:color="auto"/>
              <w:right w:val="nil" w:sz="6" w:space="0" w:color="auto"/>
            </w:tcBorders>
          </w:tcPr>
          <w:p>
            <w:pPr/>
          </w:p>
        </w:tc>
        <w:tc>
          <w:tcPr>
            <w:tcW w:w="211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17"/>
              <w:jc w:val="right"/>
              <w:rPr>
                <w:rFonts w:ascii="宋体" w:hAnsi="宋体" w:cs="宋体" w:eastAsia="宋体" w:hint="default"/>
                <w:sz w:val="16"/>
                <w:szCs w:val="16"/>
              </w:rPr>
            </w:pPr>
            <w:r>
              <w:rPr>
                <w:rFonts w:ascii="Times New Roman" w:hAnsi="Times New Roman" w:cs="Times New Roman" w:eastAsia="Times New Roman" w:hint="default"/>
                <w:sz w:val="16"/>
                <w:szCs w:val="16"/>
              </w:rPr>
              <w:t>57.46 </w:t>
            </w:r>
            <w:r>
              <w:rPr>
                <w:rFonts w:ascii="宋体" w:hAnsi="宋体" w:cs="宋体" w:eastAsia="宋体" w:hint="default"/>
                <w:sz w:val="16"/>
                <w:szCs w:val="16"/>
              </w:rPr>
              <w:t>万美元</w:t>
            </w:r>
          </w:p>
        </w:tc>
        <w:tc>
          <w:tcPr>
            <w:tcW w:w="2051" w:type="dxa"/>
            <w:tcBorders>
              <w:top w:val="nil" w:sz="6" w:space="0" w:color="auto"/>
              <w:left w:val="nil" w:sz="6" w:space="0" w:color="auto"/>
              <w:bottom w:val="nil" w:sz="6" w:space="0" w:color="auto"/>
              <w:right w:val="nil" w:sz="6" w:space="0" w:color="auto"/>
            </w:tcBorders>
          </w:tcPr>
          <w:p>
            <w:pPr/>
          </w:p>
        </w:tc>
      </w:tr>
      <w:tr>
        <w:trPr>
          <w:trHeight w:val="148" w:hRule="exact"/>
        </w:trPr>
        <w:tc>
          <w:tcPr>
            <w:tcW w:w="2351" w:type="dxa"/>
            <w:tcBorders>
              <w:top w:val="nil" w:sz="6" w:space="0" w:color="auto"/>
              <w:left w:val="nil" w:sz="6" w:space="0" w:color="auto"/>
              <w:bottom w:val="nil" w:sz="6" w:space="0" w:color="auto"/>
              <w:right w:val="nil" w:sz="6" w:space="0" w:color="auto"/>
            </w:tcBorders>
          </w:tcPr>
          <w:p>
            <w:pPr>
              <w:pStyle w:val="TableParagraph"/>
              <w:spacing w:line="164" w:lineRule="exact"/>
              <w:ind w:left="122" w:right="0"/>
              <w:jc w:val="left"/>
              <w:rPr>
                <w:rFonts w:ascii="Times New Roman" w:hAnsi="Times New Roman" w:cs="Times New Roman" w:eastAsia="Times New Roman" w:hint="default"/>
                <w:sz w:val="16"/>
                <w:szCs w:val="16"/>
              </w:rPr>
            </w:pPr>
            <w:r>
              <w:rPr>
                <w:rFonts w:ascii="Times New Roman"/>
                <w:sz w:val="16"/>
              </w:rPr>
              <w:t>TongFang Global</w:t>
            </w:r>
            <w:r>
              <w:rPr>
                <w:rFonts w:ascii="Times New Roman"/>
                <w:spacing w:val="-14"/>
                <w:sz w:val="16"/>
              </w:rPr>
              <w:t> </w:t>
            </w:r>
            <w:r>
              <w:rPr>
                <w:rFonts w:ascii="Times New Roman"/>
                <w:sz w:val="16"/>
              </w:rPr>
              <w:t>Limited</w:t>
            </w:r>
          </w:p>
        </w:tc>
        <w:tc>
          <w:tcPr>
            <w:tcW w:w="2146" w:type="dxa"/>
            <w:tcBorders>
              <w:top w:val="nil" w:sz="6" w:space="0" w:color="auto"/>
              <w:left w:val="nil" w:sz="6" w:space="0" w:color="auto"/>
              <w:bottom w:val="nil" w:sz="6" w:space="0" w:color="auto"/>
              <w:right w:val="nil" w:sz="6" w:space="0" w:color="auto"/>
            </w:tcBorders>
          </w:tcPr>
          <w:p>
            <w:pPr>
              <w:pStyle w:val="TableParagraph"/>
              <w:spacing w:line="151" w:lineRule="exact"/>
              <w:ind w:left="145" w:right="0"/>
              <w:jc w:val="left"/>
              <w:rPr>
                <w:rFonts w:ascii="宋体" w:hAnsi="宋体" w:cs="宋体" w:eastAsia="宋体" w:hint="default"/>
                <w:sz w:val="16"/>
                <w:szCs w:val="16"/>
              </w:rPr>
            </w:pPr>
            <w:r>
              <w:rPr>
                <w:rFonts w:ascii="宋体" w:hAnsi="宋体" w:cs="宋体" w:eastAsia="宋体" w:hint="default"/>
                <w:sz w:val="16"/>
                <w:szCs w:val="16"/>
              </w:rPr>
              <w:t>香港汇丰银行</w:t>
            </w:r>
          </w:p>
        </w:tc>
        <w:tc>
          <w:tcPr>
            <w:tcW w:w="2115" w:type="dxa"/>
            <w:tcBorders>
              <w:top w:val="nil" w:sz="6" w:space="0" w:color="auto"/>
              <w:left w:val="nil" w:sz="6" w:space="0" w:color="auto"/>
              <w:bottom w:val="nil" w:sz="6" w:space="0" w:color="auto"/>
              <w:right w:val="nil" w:sz="6" w:space="0" w:color="auto"/>
            </w:tcBorders>
          </w:tcPr>
          <w:p>
            <w:pPr/>
          </w:p>
        </w:tc>
        <w:tc>
          <w:tcPr>
            <w:tcW w:w="2051" w:type="dxa"/>
            <w:tcBorders>
              <w:top w:val="nil" w:sz="6" w:space="0" w:color="auto"/>
              <w:left w:val="nil" w:sz="6" w:space="0" w:color="auto"/>
              <w:bottom w:val="nil" w:sz="6" w:space="0" w:color="auto"/>
              <w:right w:val="nil" w:sz="6" w:space="0" w:color="auto"/>
            </w:tcBorders>
          </w:tcPr>
          <w:p>
            <w:pPr>
              <w:pStyle w:val="TableParagraph"/>
              <w:spacing w:line="164" w:lineRule="exact"/>
              <w:ind w:right="115"/>
              <w:jc w:val="center"/>
              <w:rPr>
                <w:rFonts w:ascii="Times New Roman" w:hAnsi="Times New Roman" w:cs="Times New Roman" w:eastAsia="Times New Roman" w:hint="default"/>
                <w:sz w:val="16"/>
                <w:szCs w:val="16"/>
              </w:rPr>
            </w:pPr>
            <w:r>
              <w:rPr>
                <w:rFonts w:ascii="Times New Roman"/>
                <w:sz w:val="16"/>
              </w:rPr>
              <w:t>2015.12.23-2016.05.06</w:t>
            </w:r>
          </w:p>
        </w:tc>
      </w:tr>
      <w:tr>
        <w:trPr>
          <w:trHeight w:val="192" w:hRule="exact"/>
        </w:trPr>
        <w:tc>
          <w:tcPr>
            <w:tcW w:w="2351" w:type="dxa"/>
            <w:tcBorders>
              <w:top w:val="nil" w:sz="6" w:space="0" w:color="auto"/>
              <w:left w:val="nil" w:sz="6" w:space="0" w:color="auto"/>
              <w:bottom w:val="single" w:sz="4" w:space="0" w:color="000000"/>
              <w:right w:val="nil" w:sz="6" w:space="0" w:color="auto"/>
            </w:tcBorders>
          </w:tcPr>
          <w:p>
            <w:pPr/>
          </w:p>
        </w:tc>
        <w:tc>
          <w:tcPr>
            <w:tcW w:w="2146" w:type="dxa"/>
            <w:tcBorders>
              <w:top w:val="nil" w:sz="6" w:space="0" w:color="auto"/>
              <w:left w:val="nil" w:sz="6" w:space="0" w:color="auto"/>
              <w:bottom w:val="single" w:sz="4" w:space="0" w:color="000000"/>
              <w:right w:val="nil" w:sz="6" w:space="0" w:color="auto"/>
            </w:tcBorders>
          </w:tcPr>
          <w:p>
            <w:pPr/>
          </w:p>
        </w:tc>
        <w:tc>
          <w:tcPr>
            <w:tcW w:w="2115" w:type="dxa"/>
            <w:tcBorders>
              <w:top w:val="nil" w:sz="6" w:space="0" w:color="auto"/>
              <w:left w:val="nil" w:sz="6" w:space="0" w:color="auto"/>
              <w:bottom w:val="single" w:sz="4" w:space="0" w:color="000000"/>
              <w:right w:val="nil" w:sz="6" w:space="0" w:color="auto"/>
            </w:tcBorders>
          </w:tcPr>
          <w:p>
            <w:pPr>
              <w:pStyle w:val="TableParagraph"/>
              <w:spacing w:line="165" w:lineRule="exact"/>
              <w:ind w:right="217"/>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373.11 </w:t>
            </w:r>
            <w:r>
              <w:rPr>
                <w:rFonts w:ascii="宋体" w:hAnsi="宋体" w:cs="宋体" w:eastAsia="宋体" w:hint="default"/>
                <w:sz w:val="16"/>
                <w:szCs w:val="16"/>
              </w:rPr>
              <w:t>万人民币</w:t>
            </w:r>
          </w:p>
        </w:tc>
        <w:tc>
          <w:tcPr>
            <w:tcW w:w="2051" w:type="dxa"/>
            <w:tcBorders>
              <w:top w:val="nil" w:sz="6" w:space="0" w:color="auto"/>
              <w:left w:val="nil" w:sz="6" w:space="0" w:color="auto"/>
              <w:bottom w:val="single" w:sz="4" w:space="0" w:color="000000"/>
              <w:right w:val="nil" w:sz="6" w:space="0" w:color="auto"/>
            </w:tcBorders>
          </w:tcPr>
          <w:p>
            <w:pPr/>
          </w:p>
        </w:tc>
      </w:tr>
      <w:tr>
        <w:trPr>
          <w:trHeight w:val="300" w:hRule="exact"/>
        </w:trPr>
        <w:tc>
          <w:tcPr>
            <w:tcW w:w="2351" w:type="dxa"/>
            <w:tcBorders>
              <w:top w:val="single" w:sz="4" w:space="0" w:color="000000"/>
              <w:left w:val="nil" w:sz="6" w:space="0" w:color="auto"/>
              <w:bottom w:val="single" w:sz="12" w:space="0" w:color="000000"/>
              <w:right w:val="nil" w:sz="6" w:space="0" w:color="auto"/>
            </w:tcBorders>
          </w:tcPr>
          <w:p>
            <w:pPr>
              <w:pStyle w:val="TableParagraph"/>
              <w:spacing w:line="240" w:lineRule="auto" w:before="13"/>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46" w:type="dxa"/>
            <w:tcBorders>
              <w:top w:val="single" w:sz="4" w:space="0" w:color="000000"/>
              <w:left w:val="nil" w:sz="6" w:space="0" w:color="auto"/>
              <w:bottom w:val="single" w:sz="12" w:space="0" w:color="000000"/>
              <w:right w:val="nil" w:sz="6" w:space="0" w:color="auto"/>
            </w:tcBorders>
          </w:tcPr>
          <w:p>
            <w:pPr/>
          </w:p>
        </w:tc>
        <w:tc>
          <w:tcPr>
            <w:tcW w:w="2115" w:type="dxa"/>
            <w:tcBorders>
              <w:top w:val="single" w:sz="4" w:space="0" w:color="000000"/>
              <w:left w:val="nil" w:sz="6" w:space="0" w:color="auto"/>
              <w:bottom w:val="single" w:sz="12" w:space="0" w:color="000000"/>
              <w:right w:val="nil" w:sz="6" w:space="0" w:color="auto"/>
            </w:tcBorders>
          </w:tcPr>
          <w:p>
            <w:pPr>
              <w:pStyle w:val="TableParagraph"/>
              <w:spacing w:line="240" w:lineRule="auto" w:before="13"/>
              <w:ind w:right="220"/>
              <w:jc w:val="right"/>
              <w:rPr>
                <w:rFonts w:ascii="宋体" w:hAnsi="宋体" w:cs="宋体" w:eastAsia="宋体" w:hint="default"/>
                <w:sz w:val="18"/>
                <w:szCs w:val="18"/>
              </w:rPr>
            </w:pPr>
            <w:r>
              <w:rPr>
                <w:rFonts w:ascii="宋体" w:hAnsi="宋体" w:cs="宋体" w:eastAsia="宋体" w:hint="default"/>
                <w:b/>
                <w:bCs/>
                <w:sz w:val="18"/>
                <w:szCs w:val="18"/>
              </w:rPr>
              <w:t>约</w:t>
            </w:r>
            <w:r>
              <w:rPr>
                <w:rFonts w:ascii="宋体" w:hAnsi="宋体" w:cs="宋体" w:eastAsia="宋体" w:hint="default"/>
                <w:b/>
                <w:bCs/>
                <w:spacing w:val="-47"/>
                <w:sz w:val="18"/>
                <w:szCs w:val="18"/>
              </w:rPr>
              <w:t> </w:t>
            </w:r>
            <w:r>
              <w:rPr>
                <w:rFonts w:ascii="Times New Roman" w:hAnsi="Times New Roman" w:cs="Times New Roman" w:eastAsia="Times New Roman" w:hint="default"/>
                <w:b/>
                <w:bCs/>
                <w:sz w:val="18"/>
                <w:szCs w:val="18"/>
              </w:rPr>
              <w:t>6,622.06</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万人民币</w:t>
            </w:r>
            <w:r>
              <w:rPr>
                <w:rFonts w:ascii="宋体" w:hAnsi="宋体" w:cs="宋体" w:eastAsia="宋体" w:hint="default"/>
                <w:sz w:val="18"/>
                <w:szCs w:val="18"/>
              </w:rPr>
            </w:r>
          </w:p>
        </w:tc>
        <w:tc>
          <w:tcPr>
            <w:tcW w:w="2051" w:type="dxa"/>
            <w:tcBorders>
              <w:top w:val="single" w:sz="4" w:space="0" w:color="000000"/>
              <w:left w:val="nil" w:sz="6" w:space="0" w:color="auto"/>
              <w:bottom w:val="single" w:sz="12" w:space="0" w:color="000000"/>
              <w:right w:val="nil" w:sz="6" w:space="0" w:color="auto"/>
            </w:tcBorders>
          </w:tcPr>
          <w:p>
            <w:pPr/>
          </w:p>
        </w:tc>
      </w:tr>
    </w:tbl>
    <w:p>
      <w:pPr>
        <w:tabs>
          <w:tab w:pos="1372" w:val="left" w:leader="none"/>
        </w:tabs>
        <w:spacing w:before="21"/>
        <w:ind w:left="808"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w:t>
        <w:tab/>
      </w:r>
      <w:r>
        <w:rPr>
          <w:rFonts w:ascii="宋体" w:hAnsi="宋体" w:cs="宋体" w:eastAsia="宋体" w:hint="default"/>
          <w:sz w:val="22"/>
          <w:szCs w:val="22"/>
        </w:rPr>
        <w:t>银行承兑汇票担保</w:t>
      </w:r>
    </w:p>
    <w:p>
      <w:pPr>
        <w:spacing w:line="240" w:lineRule="auto" w:before="8"/>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2502"/>
        <w:gridCol w:w="2700"/>
        <w:gridCol w:w="1617"/>
        <w:gridCol w:w="1810"/>
      </w:tblGrid>
      <w:tr>
        <w:trPr>
          <w:trHeight w:val="305" w:hRule="exact"/>
        </w:trPr>
        <w:tc>
          <w:tcPr>
            <w:tcW w:w="2502" w:type="dxa"/>
            <w:tcBorders>
              <w:top w:val="single" w:sz="12" w:space="0" w:color="000000"/>
              <w:left w:val="nil" w:sz="6" w:space="0" w:color="auto"/>
              <w:bottom w:val="single" w:sz="4" w:space="0" w:color="000000"/>
              <w:right w:val="nil" w:sz="6" w:space="0" w:color="auto"/>
            </w:tcBorders>
          </w:tcPr>
          <w:p>
            <w:pPr>
              <w:pStyle w:val="TableParagraph"/>
              <w:spacing w:line="240" w:lineRule="auto" w:before="50"/>
              <w:ind w:left="122" w:right="0"/>
              <w:jc w:val="left"/>
              <w:rPr>
                <w:rFonts w:ascii="宋体" w:hAnsi="宋体" w:cs="宋体" w:eastAsia="宋体" w:hint="default"/>
                <w:sz w:val="16"/>
                <w:szCs w:val="16"/>
              </w:rPr>
            </w:pPr>
            <w:r>
              <w:rPr>
                <w:rFonts w:ascii="宋体" w:hAnsi="宋体" w:cs="宋体" w:eastAsia="宋体" w:hint="default"/>
                <w:b/>
                <w:bCs/>
                <w:sz w:val="16"/>
                <w:szCs w:val="16"/>
              </w:rPr>
              <w:t>被担保方</w:t>
            </w:r>
            <w:r>
              <w:rPr>
                <w:rFonts w:ascii="宋体" w:hAnsi="宋体" w:cs="宋体" w:eastAsia="宋体" w:hint="default"/>
                <w:sz w:val="16"/>
                <w:szCs w:val="16"/>
              </w:rPr>
            </w:r>
          </w:p>
        </w:tc>
        <w:tc>
          <w:tcPr>
            <w:tcW w:w="2700" w:type="dxa"/>
            <w:tcBorders>
              <w:top w:val="single" w:sz="12" w:space="0" w:color="000000"/>
              <w:left w:val="nil" w:sz="6" w:space="0" w:color="auto"/>
              <w:bottom w:val="single" w:sz="4" w:space="0" w:color="000000"/>
              <w:right w:val="nil" w:sz="6" w:space="0" w:color="auto"/>
            </w:tcBorders>
          </w:tcPr>
          <w:p>
            <w:pPr>
              <w:pStyle w:val="TableParagraph"/>
              <w:spacing w:line="240" w:lineRule="auto" w:before="50"/>
              <w:ind w:left="52" w:right="0"/>
              <w:jc w:val="center"/>
              <w:rPr>
                <w:rFonts w:ascii="宋体" w:hAnsi="宋体" w:cs="宋体" w:eastAsia="宋体" w:hint="default"/>
                <w:sz w:val="16"/>
                <w:szCs w:val="16"/>
              </w:rPr>
            </w:pPr>
            <w:r>
              <w:rPr>
                <w:rFonts w:ascii="宋体" w:hAnsi="宋体" w:cs="宋体" w:eastAsia="宋体" w:hint="default"/>
                <w:b/>
                <w:bCs/>
                <w:sz w:val="16"/>
                <w:szCs w:val="16"/>
              </w:rPr>
              <w:t>贷款银行</w:t>
            </w:r>
            <w:r>
              <w:rPr>
                <w:rFonts w:ascii="宋体" w:hAnsi="宋体" w:cs="宋体" w:eastAsia="宋体" w:hint="default"/>
                <w:sz w:val="16"/>
                <w:szCs w:val="16"/>
              </w:rPr>
            </w:r>
          </w:p>
        </w:tc>
        <w:tc>
          <w:tcPr>
            <w:tcW w:w="1617" w:type="dxa"/>
            <w:tcBorders>
              <w:top w:val="single" w:sz="12" w:space="0" w:color="000000"/>
              <w:left w:val="nil" w:sz="6" w:space="0" w:color="auto"/>
              <w:bottom w:val="single" w:sz="4" w:space="0" w:color="000000"/>
              <w:right w:val="nil" w:sz="6" w:space="0" w:color="auto"/>
            </w:tcBorders>
          </w:tcPr>
          <w:p>
            <w:pPr>
              <w:pStyle w:val="TableParagraph"/>
              <w:spacing w:line="240" w:lineRule="auto" w:before="50"/>
              <w:ind w:right="168"/>
              <w:jc w:val="right"/>
              <w:rPr>
                <w:rFonts w:ascii="宋体" w:hAnsi="宋体" w:cs="宋体" w:eastAsia="宋体" w:hint="default"/>
                <w:sz w:val="16"/>
                <w:szCs w:val="16"/>
              </w:rPr>
            </w:pPr>
            <w:r>
              <w:rPr>
                <w:rFonts w:ascii="宋体" w:hAnsi="宋体" w:cs="宋体" w:eastAsia="宋体" w:hint="default"/>
                <w:b/>
                <w:bCs/>
                <w:sz w:val="16"/>
                <w:szCs w:val="16"/>
              </w:rPr>
              <w:t>银行承兑汇票金额</w:t>
            </w:r>
            <w:r>
              <w:rPr>
                <w:rFonts w:ascii="宋体" w:hAnsi="宋体" w:cs="宋体" w:eastAsia="宋体" w:hint="default"/>
                <w:sz w:val="16"/>
                <w:szCs w:val="16"/>
              </w:rPr>
            </w:r>
          </w:p>
        </w:tc>
        <w:tc>
          <w:tcPr>
            <w:tcW w:w="1810" w:type="dxa"/>
            <w:tcBorders>
              <w:top w:val="single" w:sz="12" w:space="0" w:color="000000"/>
              <w:left w:val="nil" w:sz="6" w:space="0" w:color="auto"/>
              <w:bottom w:val="single" w:sz="4" w:space="0" w:color="000000"/>
              <w:right w:val="nil" w:sz="6" w:space="0" w:color="auto"/>
            </w:tcBorders>
          </w:tcPr>
          <w:p>
            <w:pPr>
              <w:pStyle w:val="TableParagraph"/>
              <w:spacing w:line="240" w:lineRule="auto" w:before="50"/>
              <w:ind w:right="36"/>
              <w:jc w:val="center"/>
              <w:rPr>
                <w:rFonts w:ascii="宋体" w:hAnsi="宋体" w:cs="宋体" w:eastAsia="宋体" w:hint="default"/>
                <w:sz w:val="16"/>
                <w:szCs w:val="16"/>
              </w:rPr>
            </w:pPr>
            <w:r>
              <w:rPr>
                <w:rFonts w:ascii="宋体" w:hAnsi="宋体" w:cs="宋体" w:eastAsia="宋体" w:hint="default"/>
                <w:b/>
                <w:bCs/>
                <w:sz w:val="16"/>
                <w:szCs w:val="16"/>
              </w:rPr>
              <w:t>承兑票据期限</w:t>
            </w:r>
            <w:r>
              <w:rPr>
                <w:rFonts w:ascii="宋体" w:hAnsi="宋体" w:cs="宋体" w:eastAsia="宋体" w:hint="default"/>
                <w:sz w:val="16"/>
                <w:szCs w:val="16"/>
              </w:rPr>
            </w:r>
          </w:p>
        </w:tc>
      </w:tr>
      <w:tr>
        <w:trPr>
          <w:trHeight w:val="335" w:hRule="exact"/>
        </w:trPr>
        <w:tc>
          <w:tcPr>
            <w:tcW w:w="2502" w:type="dxa"/>
            <w:tcBorders>
              <w:top w:val="single" w:sz="4" w:space="0" w:color="000000"/>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6"/>
                <w:szCs w:val="16"/>
              </w:rPr>
            </w:pPr>
            <w:r>
              <w:rPr>
                <w:rFonts w:ascii="宋体" w:hAnsi="宋体" w:cs="宋体" w:eastAsia="宋体" w:hint="default"/>
                <w:sz w:val="16"/>
                <w:szCs w:val="16"/>
              </w:rPr>
              <w:t>同方人工环境有限公司</w:t>
            </w:r>
          </w:p>
        </w:tc>
        <w:tc>
          <w:tcPr>
            <w:tcW w:w="2700" w:type="dxa"/>
            <w:tcBorders>
              <w:top w:val="single" w:sz="4" w:space="0" w:color="000000"/>
              <w:left w:val="nil" w:sz="6" w:space="0" w:color="auto"/>
              <w:bottom w:val="nil" w:sz="6" w:space="0" w:color="auto"/>
              <w:right w:val="nil" w:sz="6" w:space="0" w:color="auto"/>
            </w:tcBorders>
          </w:tcPr>
          <w:p>
            <w:pPr>
              <w:pStyle w:val="TableParagraph"/>
              <w:spacing w:line="240" w:lineRule="auto" w:before="50"/>
              <w:ind w:left="138" w:right="0"/>
              <w:jc w:val="left"/>
              <w:rPr>
                <w:rFonts w:ascii="宋体" w:hAnsi="宋体" w:cs="宋体" w:eastAsia="宋体" w:hint="default"/>
                <w:sz w:val="16"/>
                <w:szCs w:val="16"/>
              </w:rPr>
            </w:pPr>
            <w:r>
              <w:rPr>
                <w:rFonts w:ascii="宋体" w:hAnsi="宋体" w:cs="宋体" w:eastAsia="宋体" w:hint="default"/>
                <w:sz w:val="16"/>
                <w:szCs w:val="16"/>
              </w:rPr>
              <w:t>北京银行清华园支行</w:t>
            </w:r>
          </w:p>
        </w:tc>
        <w:tc>
          <w:tcPr>
            <w:tcW w:w="1617" w:type="dxa"/>
            <w:tcBorders>
              <w:top w:val="single" w:sz="4" w:space="0" w:color="000000"/>
              <w:left w:val="nil" w:sz="6" w:space="0" w:color="auto"/>
              <w:bottom w:val="nil" w:sz="6" w:space="0" w:color="auto"/>
              <w:right w:val="nil" w:sz="6" w:space="0" w:color="auto"/>
            </w:tcBorders>
          </w:tcPr>
          <w:p>
            <w:pPr>
              <w:pStyle w:val="TableParagraph"/>
              <w:spacing w:line="240" w:lineRule="auto" w:before="50"/>
              <w:ind w:right="137"/>
              <w:jc w:val="right"/>
              <w:rPr>
                <w:rFonts w:ascii="宋体" w:hAnsi="宋体" w:cs="宋体" w:eastAsia="宋体" w:hint="default"/>
                <w:sz w:val="16"/>
                <w:szCs w:val="16"/>
              </w:rPr>
            </w:pPr>
            <w:r>
              <w:rPr>
                <w:rFonts w:ascii="Times New Roman" w:hAnsi="Times New Roman" w:cs="Times New Roman" w:eastAsia="Times New Roman" w:hint="default"/>
                <w:sz w:val="16"/>
                <w:szCs w:val="16"/>
              </w:rPr>
              <w:t>1,390.00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1810"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right="35"/>
              <w:jc w:val="center"/>
              <w:rPr>
                <w:rFonts w:ascii="Times New Roman" w:hAnsi="Times New Roman" w:cs="Times New Roman" w:eastAsia="Times New Roman" w:hint="default"/>
                <w:sz w:val="16"/>
                <w:szCs w:val="16"/>
              </w:rPr>
            </w:pPr>
            <w:r>
              <w:rPr>
                <w:rFonts w:ascii="Times New Roman"/>
                <w:sz w:val="16"/>
              </w:rPr>
              <w:t>2015.10.28-2016.05.20</w:t>
            </w:r>
          </w:p>
        </w:tc>
      </w:tr>
      <w:tr>
        <w:trPr>
          <w:trHeight w:val="286" w:hRule="exact"/>
        </w:trPr>
        <w:tc>
          <w:tcPr>
            <w:tcW w:w="2502"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16"/>
                <w:szCs w:val="16"/>
              </w:rPr>
            </w:pPr>
            <w:r>
              <w:rPr>
                <w:rFonts w:ascii="宋体" w:hAnsi="宋体" w:cs="宋体" w:eastAsia="宋体" w:hint="default"/>
                <w:sz w:val="16"/>
                <w:szCs w:val="16"/>
              </w:rPr>
              <w:t>同方光电（沈阳）有限公司</w:t>
            </w:r>
          </w:p>
        </w:tc>
        <w:tc>
          <w:tcPr>
            <w:tcW w:w="2700" w:type="dxa"/>
            <w:tcBorders>
              <w:top w:val="nil" w:sz="6" w:space="0" w:color="auto"/>
              <w:left w:val="nil" w:sz="6" w:space="0" w:color="auto"/>
              <w:bottom w:val="nil" w:sz="6" w:space="0" w:color="auto"/>
              <w:right w:val="nil" w:sz="6" w:space="0" w:color="auto"/>
            </w:tcBorders>
          </w:tcPr>
          <w:p>
            <w:pPr>
              <w:pStyle w:val="TableParagraph"/>
              <w:spacing w:line="240" w:lineRule="auto" w:before="5"/>
              <w:ind w:left="138" w:right="0"/>
              <w:jc w:val="left"/>
              <w:rPr>
                <w:rFonts w:ascii="宋体" w:hAnsi="宋体" w:cs="宋体" w:eastAsia="宋体" w:hint="default"/>
                <w:sz w:val="16"/>
                <w:szCs w:val="16"/>
              </w:rPr>
            </w:pPr>
            <w:r>
              <w:rPr>
                <w:rFonts w:ascii="宋体" w:hAnsi="宋体" w:cs="宋体" w:eastAsia="宋体" w:hint="default"/>
                <w:sz w:val="16"/>
                <w:szCs w:val="16"/>
              </w:rPr>
              <w:t>中信银行沈阳分行</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37"/>
              <w:jc w:val="right"/>
              <w:rPr>
                <w:rFonts w:ascii="宋体" w:hAnsi="宋体" w:cs="宋体" w:eastAsia="宋体" w:hint="default"/>
                <w:sz w:val="16"/>
                <w:szCs w:val="16"/>
              </w:rPr>
            </w:pPr>
            <w:r>
              <w:rPr>
                <w:rFonts w:ascii="Times New Roman" w:hAnsi="Times New Roman" w:cs="Times New Roman" w:eastAsia="Times New Roman" w:hint="default"/>
                <w:sz w:val="16"/>
                <w:szCs w:val="16"/>
              </w:rPr>
              <w:t>1,299.54</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万人民币</w:t>
            </w:r>
          </w:p>
        </w:tc>
        <w:tc>
          <w:tcPr>
            <w:tcW w:w="181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5"/>
              <w:jc w:val="center"/>
              <w:rPr>
                <w:rFonts w:ascii="Times New Roman" w:hAnsi="Times New Roman" w:cs="Times New Roman" w:eastAsia="Times New Roman" w:hint="default"/>
                <w:sz w:val="16"/>
                <w:szCs w:val="16"/>
              </w:rPr>
            </w:pPr>
            <w:r>
              <w:rPr>
                <w:rFonts w:ascii="Times New Roman"/>
                <w:sz w:val="16"/>
              </w:rPr>
              <w:t>2015.07.09-2016.06.28</w:t>
            </w:r>
          </w:p>
        </w:tc>
      </w:tr>
      <w:tr>
        <w:trPr>
          <w:trHeight w:val="286" w:hRule="exact"/>
        </w:trPr>
        <w:tc>
          <w:tcPr>
            <w:tcW w:w="2502"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16"/>
                <w:szCs w:val="16"/>
              </w:rPr>
            </w:pPr>
            <w:r>
              <w:rPr>
                <w:rFonts w:ascii="宋体" w:hAnsi="宋体" w:cs="宋体" w:eastAsia="宋体" w:hint="default"/>
                <w:sz w:val="16"/>
                <w:szCs w:val="16"/>
              </w:rPr>
              <w:t>北京同方软件股份有限公司</w:t>
            </w:r>
          </w:p>
        </w:tc>
        <w:tc>
          <w:tcPr>
            <w:tcW w:w="2700" w:type="dxa"/>
            <w:tcBorders>
              <w:top w:val="nil" w:sz="6" w:space="0" w:color="auto"/>
              <w:left w:val="nil" w:sz="6" w:space="0" w:color="auto"/>
              <w:bottom w:val="nil" w:sz="6" w:space="0" w:color="auto"/>
              <w:right w:val="nil" w:sz="6" w:space="0" w:color="auto"/>
            </w:tcBorders>
          </w:tcPr>
          <w:p>
            <w:pPr>
              <w:pStyle w:val="TableParagraph"/>
              <w:spacing w:line="240" w:lineRule="auto" w:before="5"/>
              <w:ind w:left="138" w:right="0"/>
              <w:jc w:val="left"/>
              <w:rPr>
                <w:rFonts w:ascii="宋体" w:hAnsi="宋体" w:cs="宋体" w:eastAsia="宋体" w:hint="default"/>
                <w:sz w:val="16"/>
                <w:szCs w:val="16"/>
              </w:rPr>
            </w:pPr>
            <w:r>
              <w:rPr>
                <w:rFonts w:ascii="宋体" w:hAnsi="宋体" w:cs="宋体" w:eastAsia="宋体" w:hint="default"/>
                <w:sz w:val="16"/>
                <w:szCs w:val="16"/>
              </w:rPr>
              <w:t>北京银行清华园支行</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37"/>
              <w:jc w:val="right"/>
              <w:rPr>
                <w:rFonts w:ascii="宋体" w:hAnsi="宋体" w:cs="宋体" w:eastAsia="宋体" w:hint="default"/>
                <w:sz w:val="16"/>
                <w:szCs w:val="16"/>
              </w:rPr>
            </w:pPr>
            <w:r>
              <w:rPr>
                <w:rFonts w:ascii="Times New Roman" w:hAnsi="Times New Roman" w:cs="Times New Roman" w:eastAsia="Times New Roman" w:hint="default"/>
                <w:sz w:val="16"/>
                <w:szCs w:val="16"/>
              </w:rPr>
              <w:t>850.00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万人民币</w:t>
            </w:r>
          </w:p>
        </w:tc>
        <w:tc>
          <w:tcPr>
            <w:tcW w:w="181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5"/>
              <w:jc w:val="center"/>
              <w:rPr>
                <w:rFonts w:ascii="Times New Roman" w:hAnsi="Times New Roman" w:cs="Times New Roman" w:eastAsia="Times New Roman" w:hint="default"/>
                <w:sz w:val="16"/>
                <w:szCs w:val="16"/>
              </w:rPr>
            </w:pPr>
            <w:r>
              <w:rPr>
                <w:rFonts w:ascii="Times New Roman"/>
                <w:sz w:val="16"/>
              </w:rPr>
              <w:t>2015.12.04-2016.06.04</w:t>
            </w:r>
          </w:p>
        </w:tc>
      </w:tr>
      <w:tr>
        <w:trPr>
          <w:trHeight w:val="283" w:hRule="exact"/>
        </w:trPr>
        <w:tc>
          <w:tcPr>
            <w:tcW w:w="2502"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16"/>
                <w:szCs w:val="16"/>
              </w:rPr>
            </w:pPr>
            <w:r>
              <w:rPr>
                <w:rFonts w:ascii="宋体" w:hAnsi="宋体" w:cs="宋体" w:eastAsia="宋体" w:hint="default"/>
                <w:sz w:val="16"/>
                <w:szCs w:val="16"/>
              </w:rPr>
              <w:t>同方计算机有限公司</w:t>
            </w:r>
          </w:p>
        </w:tc>
        <w:tc>
          <w:tcPr>
            <w:tcW w:w="2700" w:type="dxa"/>
            <w:tcBorders>
              <w:top w:val="nil" w:sz="6" w:space="0" w:color="auto"/>
              <w:left w:val="nil" w:sz="6" w:space="0" w:color="auto"/>
              <w:bottom w:val="nil" w:sz="6" w:space="0" w:color="auto"/>
              <w:right w:val="nil" w:sz="6" w:space="0" w:color="auto"/>
            </w:tcBorders>
          </w:tcPr>
          <w:p>
            <w:pPr>
              <w:pStyle w:val="TableParagraph"/>
              <w:spacing w:line="240" w:lineRule="auto" w:before="5"/>
              <w:ind w:left="138" w:right="0"/>
              <w:jc w:val="left"/>
              <w:rPr>
                <w:rFonts w:ascii="宋体" w:hAnsi="宋体" w:cs="宋体" w:eastAsia="宋体" w:hint="default"/>
                <w:sz w:val="16"/>
                <w:szCs w:val="16"/>
              </w:rPr>
            </w:pPr>
            <w:r>
              <w:rPr>
                <w:rFonts w:ascii="宋体" w:hAnsi="宋体" w:cs="宋体" w:eastAsia="宋体" w:hint="default"/>
                <w:sz w:val="16"/>
                <w:szCs w:val="16"/>
              </w:rPr>
              <w:t>中国银行无锡分行锡山支行营业部</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37"/>
              <w:jc w:val="right"/>
              <w:rPr>
                <w:rFonts w:ascii="宋体" w:hAnsi="宋体" w:cs="宋体" w:eastAsia="宋体" w:hint="default"/>
                <w:sz w:val="16"/>
                <w:szCs w:val="16"/>
              </w:rPr>
            </w:pPr>
            <w:r>
              <w:rPr>
                <w:rFonts w:ascii="Times New Roman" w:hAnsi="Times New Roman" w:cs="Times New Roman" w:eastAsia="Times New Roman" w:hint="default"/>
                <w:sz w:val="16"/>
                <w:szCs w:val="16"/>
              </w:rPr>
              <w:t>3,050.00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万人民币</w:t>
            </w:r>
          </w:p>
        </w:tc>
        <w:tc>
          <w:tcPr>
            <w:tcW w:w="181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5"/>
              <w:jc w:val="center"/>
              <w:rPr>
                <w:rFonts w:ascii="Times New Roman" w:hAnsi="Times New Roman" w:cs="Times New Roman" w:eastAsia="Times New Roman" w:hint="default"/>
                <w:sz w:val="16"/>
                <w:szCs w:val="16"/>
              </w:rPr>
            </w:pPr>
            <w:r>
              <w:rPr>
                <w:rFonts w:ascii="Times New Roman"/>
                <w:sz w:val="16"/>
              </w:rPr>
              <w:t>2015.11.26-2016.02.25</w:t>
            </w:r>
          </w:p>
        </w:tc>
      </w:tr>
      <w:tr>
        <w:trPr>
          <w:trHeight w:val="286" w:hRule="exact"/>
        </w:trPr>
        <w:tc>
          <w:tcPr>
            <w:tcW w:w="2502"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16"/>
                <w:szCs w:val="16"/>
              </w:rPr>
            </w:pPr>
            <w:r>
              <w:rPr>
                <w:rFonts w:ascii="宋体" w:hAnsi="宋体" w:cs="宋体" w:eastAsia="宋体" w:hint="default"/>
                <w:sz w:val="16"/>
                <w:szCs w:val="16"/>
              </w:rPr>
              <w:t>同方计算机有限公司</w:t>
            </w:r>
          </w:p>
        </w:tc>
        <w:tc>
          <w:tcPr>
            <w:tcW w:w="2700" w:type="dxa"/>
            <w:tcBorders>
              <w:top w:val="nil" w:sz="6" w:space="0" w:color="auto"/>
              <w:left w:val="nil" w:sz="6" w:space="0" w:color="auto"/>
              <w:bottom w:val="nil" w:sz="6" w:space="0" w:color="auto"/>
              <w:right w:val="nil" w:sz="6" w:space="0" w:color="auto"/>
            </w:tcBorders>
          </w:tcPr>
          <w:p>
            <w:pPr>
              <w:pStyle w:val="TableParagraph"/>
              <w:spacing w:line="240" w:lineRule="auto" w:before="5"/>
              <w:ind w:left="138" w:right="0"/>
              <w:jc w:val="left"/>
              <w:rPr>
                <w:rFonts w:ascii="宋体" w:hAnsi="宋体" w:cs="宋体" w:eastAsia="宋体" w:hint="default"/>
                <w:sz w:val="16"/>
                <w:szCs w:val="16"/>
              </w:rPr>
            </w:pPr>
            <w:r>
              <w:rPr>
                <w:rFonts w:ascii="宋体" w:hAnsi="宋体" w:cs="宋体" w:eastAsia="宋体" w:hint="default"/>
                <w:sz w:val="16"/>
                <w:szCs w:val="16"/>
              </w:rPr>
              <w:t>招商银行无锡分行营业部</w:t>
            </w:r>
          </w:p>
        </w:tc>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37"/>
              <w:jc w:val="right"/>
              <w:rPr>
                <w:rFonts w:ascii="宋体" w:hAnsi="宋体" w:cs="宋体" w:eastAsia="宋体" w:hint="default"/>
                <w:sz w:val="16"/>
                <w:szCs w:val="16"/>
              </w:rPr>
            </w:pPr>
            <w:r>
              <w:rPr>
                <w:rFonts w:ascii="Times New Roman" w:hAnsi="Times New Roman" w:cs="Times New Roman" w:eastAsia="Times New Roman" w:hint="default"/>
                <w:sz w:val="16"/>
                <w:szCs w:val="16"/>
              </w:rPr>
              <w:t>2,800.00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万人民币</w:t>
            </w:r>
          </w:p>
        </w:tc>
        <w:tc>
          <w:tcPr>
            <w:tcW w:w="181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5"/>
              <w:jc w:val="center"/>
              <w:rPr>
                <w:rFonts w:ascii="Times New Roman" w:hAnsi="Times New Roman" w:cs="Times New Roman" w:eastAsia="Times New Roman" w:hint="default"/>
                <w:sz w:val="16"/>
                <w:szCs w:val="16"/>
              </w:rPr>
            </w:pPr>
            <w:r>
              <w:rPr>
                <w:rFonts w:ascii="Times New Roman"/>
                <w:sz w:val="16"/>
              </w:rPr>
              <w:t>2015.12.22-2016.03.22</w:t>
            </w:r>
          </w:p>
        </w:tc>
      </w:tr>
      <w:tr>
        <w:trPr>
          <w:trHeight w:val="245" w:hRule="exact"/>
        </w:trPr>
        <w:tc>
          <w:tcPr>
            <w:tcW w:w="2502" w:type="dxa"/>
            <w:tcBorders>
              <w:top w:val="nil" w:sz="6" w:space="0" w:color="auto"/>
              <w:left w:val="nil" w:sz="6" w:space="0" w:color="auto"/>
              <w:bottom w:val="single" w:sz="4" w:space="0" w:color="000000"/>
              <w:right w:val="nil" w:sz="6" w:space="0" w:color="auto"/>
            </w:tcBorders>
          </w:tcPr>
          <w:p>
            <w:pPr>
              <w:pStyle w:val="TableParagraph"/>
              <w:spacing w:line="240" w:lineRule="auto" w:before="5"/>
              <w:ind w:left="122" w:right="0"/>
              <w:jc w:val="left"/>
              <w:rPr>
                <w:rFonts w:ascii="宋体" w:hAnsi="宋体" w:cs="宋体" w:eastAsia="宋体" w:hint="default"/>
                <w:sz w:val="16"/>
                <w:szCs w:val="16"/>
              </w:rPr>
            </w:pPr>
            <w:r>
              <w:rPr>
                <w:rFonts w:ascii="宋体" w:hAnsi="宋体" w:cs="宋体" w:eastAsia="宋体" w:hint="default"/>
                <w:sz w:val="16"/>
                <w:szCs w:val="16"/>
              </w:rPr>
              <w:t>北京壹人壹本信息科技有限公司</w:t>
            </w:r>
          </w:p>
        </w:tc>
        <w:tc>
          <w:tcPr>
            <w:tcW w:w="2700" w:type="dxa"/>
            <w:tcBorders>
              <w:top w:val="nil" w:sz="6" w:space="0" w:color="auto"/>
              <w:left w:val="nil" w:sz="6" w:space="0" w:color="auto"/>
              <w:bottom w:val="single" w:sz="4" w:space="0" w:color="000000"/>
              <w:right w:val="nil" w:sz="6" w:space="0" w:color="auto"/>
            </w:tcBorders>
          </w:tcPr>
          <w:p>
            <w:pPr>
              <w:pStyle w:val="TableParagraph"/>
              <w:spacing w:line="240" w:lineRule="auto" w:before="5"/>
              <w:ind w:left="138" w:right="0"/>
              <w:jc w:val="left"/>
              <w:rPr>
                <w:rFonts w:ascii="宋体" w:hAnsi="宋体" w:cs="宋体" w:eastAsia="宋体" w:hint="default"/>
                <w:sz w:val="16"/>
                <w:szCs w:val="16"/>
              </w:rPr>
            </w:pPr>
            <w:r>
              <w:rPr>
                <w:rFonts w:ascii="宋体" w:hAnsi="宋体" w:cs="宋体" w:eastAsia="宋体" w:hint="default"/>
                <w:sz w:val="16"/>
                <w:szCs w:val="16"/>
              </w:rPr>
              <w:t>北京银行清华园支行</w:t>
            </w:r>
          </w:p>
        </w:tc>
        <w:tc>
          <w:tcPr>
            <w:tcW w:w="1617" w:type="dxa"/>
            <w:tcBorders>
              <w:top w:val="nil" w:sz="6" w:space="0" w:color="auto"/>
              <w:left w:val="nil" w:sz="6" w:space="0" w:color="auto"/>
              <w:bottom w:val="single" w:sz="4" w:space="0" w:color="000000"/>
              <w:right w:val="nil" w:sz="6" w:space="0" w:color="auto"/>
            </w:tcBorders>
          </w:tcPr>
          <w:p>
            <w:pPr>
              <w:pStyle w:val="TableParagraph"/>
              <w:spacing w:line="240" w:lineRule="auto" w:before="5"/>
              <w:ind w:right="137"/>
              <w:jc w:val="right"/>
              <w:rPr>
                <w:rFonts w:ascii="宋体" w:hAnsi="宋体" w:cs="宋体" w:eastAsia="宋体" w:hint="default"/>
                <w:sz w:val="16"/>
                <w:szCs w:val="16"/>
              </w:rPr>
            </w:pPr>
            <w:r>
              <w:rPr>
                <w:rFonts w:ascii="Times New Roman" w:hAnsi="Times New Roman" w:cs="Times New Roman" w:eastAsia="Times New Roman" w:hint="default"/>
                <w:sz w:val="16"/>
                <w:szCs w:val="16"/>
              </w:rPr>
              <w:t>1,157.13</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1810"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right="35"/>
              <w:jc w:val="center"/>
              <w:rPr>
                <w:rFonts w:ascii="Times New Roman" w:hAnsi="Times New Roman" w:cs="Times New Roman" w:eastAsia="Times New Roman" w:hint="default"/>
                <w:sz w:val="16"/>
                <w:szCs w:val="16"/>
              </w:rPr>
            </w:pPr>
            <w:r>
              <w:rPr>
                <w:rFonts w:ascii="Times New Roman"/>
                <w:sz w:val="16"/>
              </w:rPr>
              <w:t>2015.12.10-2016.02.10</w:t>
            </w:r>
          </w:p>
        </w:tc>
      </w:tr>
      <w:tr>
        <w:trPr>
          <w:trHeight w:val="305" w:hRule="exact"/>
        </w:trPr>
        <w:tc>
          <w:tcPr>
            <w:tcW w:w="2502" w:type="dxa"/>
            <w:tcBorders>
              <w:top w:val="single" w:sz="4" w:space="0" w:color="000000"/>
              <w:left w:val="nil" w:sz="6" w:space="0" w:color="auto"/>
              <w:bottom w:val="single" w:sz="12" w:space="0" w:color="000000"/>
              <w:right w:val="nil" w:sz="6" w:space="0" w:color="auto"/>
            </w:tcBorders>
          </w:tcPr>
          <w:p>
            <w:pPr>
              <w:pStyle w:val="TableParagraph"/>
              <w:spacing w:line="240" w:lineRule="auto" w:before="50"/>
              <w:ind w:left="122" w:right="0"/>
              <w:jc w:val="left"/>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c>
        <w:tc>
          <w:tcPr>
            <w:tcW w:w="2700" w:type="dxa"/>
            <w:tcBorders>
              <w:top w:val="single" w:sz="4" w:space="0" w:color="000000"/>
              <w:left w:val="nil" w:sz="6" w:space="0" w:color="auto"/>
              <w:bottom w:val="single" w:sz="12" w:space="0" w:color="000000"/>
              <w:right w:val="nil" w:sz="6" w:space="0" w:color="auto"/>
            </w:tcBorders>
          </w:tcPr>
          <w:p>
            <w:pPr/>
          </w:p>
        </w:tc>
        <w:tc>
          <w:tcPr>
            <w:tcW w:w="1617" w:type="dxa"/>
            <w:tcBorders>
              <w:top w:val="single" w:sz="4" w:space="0" w:color="000000"/>
              <w:left w:val="nil" w:sz="6" w:space="0" w:color="auto"/>
              <w:bottom w:val="single" w:sz="12" w:space="0" w:color="000000"/>
              <w:right w:val="nil" w:sz="6" w:space="0" w:color="auto"/>
            </w:tcBorders>
          </w:tcPr>
          <w:p>
            <w:pPr>
              <w:pStyle w:val="TableParagraph"/>
              <w:spacing w:line="240" w:lineRule="auto" w:before="50"/>
              <w:ind w:right="139"/>
              <w:jc w:val="right"/>
              <w:rPr>
                <w:rFonts w:ascii="宋体" w:hAnsi="宋体" w:cs="宋体" w:eastAsia="宋体" w:hint="default"/>
                <w:sz w:val="16"/>
                <w:szCs w:val="16"/>
              </w:rPr>
            </w:pPr>
            <w:r>
              <w:rPr>
                <w:rFonts w:ascii="Times New Roman" w:hAnsi="Times New Roman" w:cs="Times New Roman" w:eastAsia="Times New Roman" w:hint="default"/>
                <w:b/>
                <w:bCs/>
                <w:sz w:val="16"/>
                <w:szCs w:val="16"/>
              </w:rPr>
              <w:t>10,546.67</w:t>
            </w:r>
            <w:r>
              <w:rPr>
                <w:rFonts w:ascii="Times New Roman" w:hAnsi="Times New Roman" w:cs="Times New Roman" w:eastAsia="Times New Roman" w:hint="default"/>
                <w:b/>
                <w:bCs/>
                <w:spacing w:val="-6"/>
                <w:sz w:val="16"/>
                <w:szCs w:val="16"/>
              </w:rPr>
              <w:t> </w:t>
            </w:r>
            <w:r>
              <w:rPr>
                <w:rFonts w:ascii="宋体" w:hAnsi="宋体" w:cs="宋体" w:eastAsia="宋体" w:hint="default"/>
                <w:b/>
                <w:bCs/>
                <w:sz w:val="16"/>
                <w:szCs w:val="16"/>
              </w:rPr>
              <w:t>万人民币</w:t>
            </w:r>
            <w:r>
              <w:rPr>
                <w:rFonts w:ascii="宋体" w:hAnsi="宋体" w:cs="宋体" w:eastAsia="宋体" w:hint="default"/>
                <w:sz w:val="16"/>
                <w:szCs w:val="16"/>
              </w:rPr>
            </w:r>
          </w:p>
        </w:tc>
        <w:tc>
          <w:tcPr>
            <w:tcW w:w="1810" w:type="dxa"/>
            <w:tcBorders>
              <w:top w:val="single" w:sz="4" w:space="0" w:color="000000"/>
              <w:left w:val="nil" w:sz="6" w:space="0" w:color="auto"/>
              <w:bottom w:val="single" w:sz="12" w:space="0" w:color="000000"/>
              <w:right w:val="nil" w:sz="6" w:space="0" w:color="auto"/>
            </w:tcBorders>
          </w:tcPr>
          <w:p>
            <w:pPr/>
          </w:p>
        </w:tc>
      </w:tr>
    </w:tbl>
    <w:p>
      <w:pPr>
        <w:tabs>
          <w:tab w:pos="1372" w:val="left" w:leader="none"/>
        </w:tabs>
        <w:spacing w:before="21"/>
        <w:ind w:left="808"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w:t>
        <w:tab/>
      </w:r>
      <w:r>
        <w:rPr>
          <w:rFonts w:ascii="宋体" w:hAnsi="宋体" w:cs="宋体" w:eastAsia="宋体" w:hint="default"/>
          <w:sz w:val="22"/>
          <w:szCs w:val="22"/>
        </w:rPr>
        <w:t>保函担保</w:t>
      </w:r>
    </w:p>
    <w:p>
      <w:pPr>
        <w:spacing w:line="240" w:lineRule="auto" w:before="8"/>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2285"/>
        <w:gridCol w:w="2432"/>
        <w:gridCol w:w="2216"/>
        <w:gridCol w:w="1807"/>
      </w:tblGrid>
      <w:tr>
        <w:trPr>
          <w:trHeight w:val="305" w:hRule="exact"/>
        </w:trPr>
        <w:tc>
          <w:tcPr>
            <w:tcW w:w="228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765"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243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15" w:right="0"/>
              <w:jc w:val="left"/>
              <w:rPr>
                <w:rFonts w:ascii="宋体" w:hAnsi="宋体" w:cs="宋体" w:eastAsia="宋体" w:hint="default"/>
                <w:sz w:val="18"/>
                <w:szCs w:val="18"/>
              </w:rPr>
            </w:pPr>
            <w:r>
              <w:rPr>
                <w:rFonts w:ascii="宋体" w:hAnsi="宋体" w:cs="宋体" w:eastAsia="宋体" w:hint="default"/>
                <w:b/>
                <w:bCs/>
                <w:sz w:val="18"/>
                <w:szCs w:val="18"/>
              </w:rPr>
              <w:t>贷款银行</w:t>
            </w:r>
            <w:r>
              <w:rPr>
                <w:rFonts w:ascii="宋体" w:hAnsi="宋体" w:cs="宋体" w:eastAsia="宋体" w:hint="default"/>
                <w:sz w:val="18"/>
                <w:szCs w:val="18"/>
              </w:rPr>
            </w:r>
          </w:p>
        </w:tc>
        <w:tc>
          <w:tcPr>
            <w:tcW w:w="221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842" w:right="0"/>
              <w:jc w:val="left"/>
              <w:rPr>
                <w:rFonts w:ascii="宋体" w:hAnsi="宋体" w:cs="宋体" w:eastAsia="宋体" w:hint="default"/>
                <w:sz w:val="18"/>
                <w:szCs w:val="18"/>
              </w:rPr>
            </w:pPr>
            <w:r>
              <w:rPr>
                <w:rFonts w:ascii="宋体" w:hAnsi="宋体" w:cs="宋体" w:eastAsia="宋体" w:hint="default"/>
                <w:b/>
                <w:bCs/>
                <w:sz w:val="18"/>
                <w:szCs w:val="18"/>
              </w:rPr>
              <w:t>保函金额</w:t>
            </w:r>
            <w:r>
              <w:rPr>
                <w:rFonts w:ascii="宋体" w:hAnsi="宋体" w:cs="宋体" w:eastAsia="宋体" w:hint="default"/>
                <w:sz w:val="18"/>
                <w:szCs w:val="18"/>
              </w:rPr>
            </w:r>
          </w:p>
        </w:tc>
        <w:tc>
          <w:tcPr>
            <w:tcW w:w="180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540" w:right="0"/>
              <w:jc w:val="left"/>
              <w:rPr>
                <w:rFonts w:ascii="宋体" w:hAnsi="宋体" w:cs="宋体" w:eastAsia="宋体" w:hint="default"/>
                <w:sz w:val="18"/>
                <w:szCs w:val="18"/>
              </w:rPr>
            </w:pPr>
            <w:r>
              <w:rPr>
                <w:rFonts w:ascii="宋体" w:hAnsi="宋体" w:cs="宋体" w:eastAsia="宋体" w:hint="default"/>
                <w:b/>
                <w:bCs/>
                <w:sz w:val="18"/>
                <w:szCs w:val="18"/>
              </w:rPr>
              <w:t>保函期限</w:t>
            </w:r>
            <w:r>
              <w:rPr>
                <w:rFonts w:ascii="宋体" w:hAnsi="宋体" w:cs="宋体" w:eastAsia="宋体" w:hint="default"/>
                <w:sz w:val="18"/>
                <w:szCs w:val="18"/>
              </w:rPr>
            </w:r>
          </w:p>
        </w:tc>
      </w:tr>
      <w:tr>
        <w:trPr>
          <w:trHeight w:val="336" w:hRule="exact"/>
        </w:trPr>
        <w:tc>
          <w:tcPr>
            <w:tcW w:w="2285" w:type="dxa"/>
            <w:tcBorders>
              <w:top w:val="single" w:sz="4" w:space="0" w:color="000000"/>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6"/>
                <w:szCs w:val="16"/>
              </w:rPr>
            </w:pPr>
            <w:r>
              <w:rPr>
                <w:rFonts w:ascii="宋体" w:hAnsi="宋体" w:cs="宋体" w:eastAsia="宋体" w:hint="default"/>
                <w:sz w:val="16"/>
                <w:szCs w:val="16"/>
              </w:rPr>
              <w:t>北京同方吉兆科技有限公司</w:t>
            </w:r>
          </w:p>
        </w:tc>
        <w:tc>
          <w:tcPr>
            <w:tcW w:w="2432" w:type="dxa"/>
            <w:tcBorders>
              <w:top w:val="single" w:sz="4" w:space="0" w:color="000000"/>
              <w:left w:val="nil" w:sz="6" w:space="0" w:color="auto"/>
              <w:bottom w:val="nil" w:sz="6" w:space="0" w:color="auto"/>
              <w:right w:val="nil" w:sz="6" w:space="0" w:color="auto"/>
            </w:tcBorders>
          </w:tcPr>
          <w:p>
            <w:pPr>
              <w:pStyle w:val="TableParagraph"/>
              <w:spacing w:line="240" w:lineRule="auto" w:before="50"/>
              <w:ind w:left="240" w:right="0"/>
              <w:jc w:val="left"/>
              <w:rPr>
                <w:rFonts w:ascii="宋体" w:hAnsi="宋体" w:cs="宋体" w:eastAsia="宋体" w:hint="default"/>
                <w:sz w:val="16"/>
                <w:szCs w:val="16"/>
              </w:rPr>
            </w:pPr>
            <w:r>
              <w:rPr>
                <w:rFonts w:ascii="宋体" w:hAnsi="宋体" w:cs="宋体" w:eastAsia="宋体" w:hint="default"/>
                <w:sz w:val="16"/>
                <w:szCs w:val="16"/>
              </w:rPr>
              <w:t>交通银行北京林萃路支行</w:t>
            </w:r>
          </w:p>
        </w:tc>
        <w:tc>
          <w:tcPr>
            <w:tcW w:w="2216" w:type="dxa"/>
            <w:tcBorders>
              <w:top w:val="single" w:sz="4" w:space="0" w:color="000000"/>
              <w:left w:val="nil" w:sz="6" w:space="0" w:color="auto"/>
              <w:bottom w:val="nil" w:sz="6" w:space="0" w:color="auto"/>
              <w:right w:val="nil" w:sz="6" w:space="0" w:color="auto"/>
            </w:tcBorders>
          </w:tcPr>
          <w:p>
            <w:pPr>
              <w:pStyle w:val="TableParagraph"/>
              <w:spacing w:line="240" w:lineRule="auto" w:before="50"/>
              <w:ind w:right="103"/>
              <w:jc w:val="right"/>
              <w:rPr>
                <w:rFonts w:ascii="宋体" w:hAnsi="宋体" w:cs="宋体" w:eastAsia="宋体" w:hint="default"/>
                <w:sz w:val="16"/>
                <w:szCs w:val="16"/>
              </w:rPr>
            </w:pPr>
            <w:r>
              <w:rPr>
                <w:rFonts w:ascii="Times New Roman" w:hAnsi="Times New Roman" w:cs="Times New Roman" w:eastAsia="Times New Roman" w:hint="default"/>
                <w:sz w:val="16"/>
                <w:szCs w:val="16"/>
              </w:rPr>
              <w:t>9.10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万人民币</w:t>
            </w:r>
          </w:p>
        </w:tc>
        <w:tc>
          <w:tcPr>
            <w:tcW w:w="1807"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left="153" w:right="0"/>
              <w:jc w:val="left"/>
              <w:rPr>
                <w:rFonts w:ascii="Times New Roman" w:hAnsi="Times New Roman" w:cs="Times New Roman" w:eastAsia="Times New Roman" w:hint="default"/>
                <w:sz w:val="16"/>
                <w:szCs w:val="16"/>
              </w:rPr>
            </w:pPr>
            <w:r>
              <w:rPr>
                <w:rFonts w:ascii="Times New Roman"/>
                <w:sz w:val="16"/>
              </w:rPr>
              <w:t>2013.11.19-2016.11.20</w:t>
            </w:r>
          </w:p>
        </w:tc>
      </w:tr>
      <w:tr>
        <w:trPr>
          <w:trHeight w:val="286"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6"/>
              <w:ind w:left="122" w:right="0"/>
              <w:jc w:val="left"/>
              <w:rPr>
                <w:rFonts w:ascii="宋体" w:hAnsi="宋体" w:cs="宋体" w:eastAsia="宋体" w:hint="default"/>
                <w:sz w:val="16"/>
                <w:szCs w:val="16"/>
              </w:rPr>
            </w:pPr>
            <w:r>
              <w:rPr>
                <w:rFonts w:ascii="宋体" w:hAnsi="宋体" w:cs="宋体" w:eastAsia="宋体" w:hint="default"/>
                <w:sz w:val="16"/>
                <w:szCs w:val="16"/>
              </w:rPr>
              <w:t>北京同方吉兆科技有限公司</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40" w:right="0"/>
              <w:jc w:val="left"/>
              <w:rPr>
                <w:rFonts w:ascii="宋体" w:hAnsi="宋体" w:cs="宋体" w:eastAsia="宋体" w:hint="default"/>
                <w:sz w:val="16"/>
                <w:szCs w:val="16"/>
              </w:rPr>
            </w:pPr>
            <w:r>
              <w:rPr>
                <w:rFonts w:ascii="宋体" w:hAnsi="宋体" w:cs="宋体" w:eastAsia="宋体" w:hint="default"/>
                <w:sz w:val="16"/>
                <w:szCs w:val="16"/>
              </w:rPr>
              <w:t>北京银行清华园支行</w:t>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3"/>
              <w:jc w:val="right"/>
              <w:rPr>
                <w:rFonts w:ascii="宋体" w:hAnsi="宋体" w:cs="宋体" w:eastAsia="宋体" w:hint="default"/>
                <w:sz w:val="16"/>
                <w:szCs w:val="16"/>
              </w:rPr>
            </w:pPr>
            <w:r>
              <w:rPr>
                <w:rFonts w:ascii="Times New Roman" w:hAnsi="Times New Roman" w:cs="Times New Roman" w:eastAsia="Times New Roman" w:hint="default"/>
                <w:sz w:val="16"/>
                <w:szCs w:val="16"/>
              </w:rPr>
              <w:t>1,170.33</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万人民币</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53" w:right="0"/>
              <w:jc w:val="left"/>
              <w:rPr>
                <w:rFonts w:ascii="Times New Roman" w:hAnsi="Times New Roman" w:cs="Times New Roman" w:eastAsia="Times New Roman" w:hint="default"/>
                <w:sz w:val="16"/>
                <w:szCs w:val="16"/>
              </w:rPr>
            </w:pPr>
            <w:r>
              <w:rPr>
                <w:rFonts w:ascii="Times New Roman"/>
                <w:sz w:val="16"/>
              </w:rPr>
              <w:t>2015.12.04-2016.06.08</w:t>
            </w:r>
          </w:p>
        </w:tc>
      </w:tr>
      <w:tr>
        <w:trPr>
          <w:trHeight w:val="286"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16"/>
                <w:szCs w:val="16"/>
              </w:rPr>
            </w:pPr>
            <w:r>
              <w:rPr>
                <w:rFonts w:ascii="宋体" w:hAnsi="宋体" w:cs="宋体" w:eastAsia="宋体" w:hint="default"/>
                <w:sz w:val="16"/>
                <w:szCs w:val="16"/>
              </w:rPr>
              <w:t>南通同方半导体有限公司</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40" w:right="0"/>
              <w:jc w:val="left"/>
              <w:rPr>
                <w:rFonts w:ascii="宋体" w:hAnsi="宋体" w:cs="宋体" w:eastAsia="宋体" w:hint="default"/>
                <w:sz w:val="16"/>
                <w:szCs w:val="16"/>
              </w:rPr>
            </w:pPr>
            <w:r>
              <w:rPr>
                <w:rFonts w:ascii="宋体" w:hAnsi="宋体" w:cs="宋体" w:eastAsia="宋体" w:hint="default"/>
                <w:sz w:val="16"/>
                <w:szCs w:val="16"/>
              </w:rPr>
              <w:t>中国银行江苏省分行</w:t>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3"/>
              <w:jc w:val="right"/>
              <w:rPr>
                <w:rFonts w:ascii="宋体" w:hAnsi="宋体" w:cs="宋体" w:eastAsia="宋体" w:hint="default"/>
                <w:sz w:val="16"/>
                <w:szCs w:val="16"/>
              </w:rPr>
            </w:pPr>
            <w:r>
              <w:rPr>
                <w:rFonts w:ascii="Times New Roman" w:hAnsi="Times New Roman" w:cs="Times New Roman" w:eastAsia="Times New Roman" w:hint="default"/>
                <w:sz w:val="16"/>
                <w:szCs w:val="16"/>
              </w:rPr>
              <w:t>700.00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万人民币</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53" w:right="0"/>
              <w:jc w:val="left"/>
              <w:rPr>
                <w:rFonts w:ascii="Times New Roman" w:hAnsi="Times New Roman" w:cs="Times New Roman" w:eastAsia="Times New Roman" w:hint="default"/>
                <w:sz w:val="16"/>
                <w:szCs w:val="16"/>
              </w:rPr>
            </w:pPr>
            <w:r>
              <w:rPr>
                <w:rFonts w:ascii="Times New Roman"/>
                <w:sz w:val="16"/>
              </w:rPr>
              <w:t>2015.07.16-2016.07.31</w:t>
            </w:r>
          </w:p>
        </w:tc>
      </w:tr>
      <w:tr>
        <w:trPr>
          <w:trHeight w:val="283"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16"/>
                <w:szCs w:val="16"/>
              </w:rPr>
            </w:pPr>
            <w:r>
              <w:rPr>
                <w:rFonts w:ascii="宋体" w:hAnsi="宋体" w:cs="宋体" w:eastAsia="宋体" w:hint="default"/>
                <w:sz w:val="16"/>
                <w:szCs w:val="16"/>
              </w:rPr>
              <w:t>同方人工环境有限公司</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40" w:right="0"/>
              <w:jc w:val="left"/>
              <w:rPr>
                <w:rFonts w:ascii="宋体" w:hAnsi="宋体" w:cs="宋体" w:eastAsia="宋体" w:hint="default"/>
                <w:sz w:val="16"/>
                <w:szCs w:val="16"/>
              </w:rPr>
            </w:pPr>
            <w:r>
              <w:rPr>
                <w:rFonts w:ascii="宋体" w:hAnsi="宋体" w:cs="宋体" w:eastAsia="宋体" w:hint="default"/>
                <w:sz w:val="16"/>
                <w:szCs w:val="16"/>
              </w:rPr>
              <w:t>北京银行清华园支行</w:t>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3"/>
              <w:jc w:val="right"/>
              <w:rPr>
                <w:rFonts w:ascii="宋体" w:hAnsi="宋体" w:cs="宋体" w:eastAsia="宋体" w:hint="default"/>
                <w:sz w:val="16"/>
                <w:szCs w:val="16"/>
              </w:rPr>
            </w:pPr>
            <w:r>
              <w:rPr>
                <w:rFonts w:ascii="Times New Roman" w:hAnsi="Times New Roman" w:cs="Times New Roman" w:eastAsia="Times New Roman" w:hint="default"/>
                <w:sz w:val="16"/>
                <w:szCs w:val="16"/>
              </w:rPr>
              <w:t>167.70 </w:t>
            </w:r>
            <w:r>
              <w:rPr>
                <w:rFonts w:ascii="宋体" w:hAnsi="宋体" w:cs="宋体" w:eastAsia="宋体" w:hint="default"/>
                <w:sz w:val="16"/>
                <w:szCs w:val="16"/>
              </w:rPr>
              <w:t>万人民币</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53" w:right="0"/>
              <w:jc w:val="left"/>
              <w:rPr>
                <w:rFonts w:ascii="Times New Roman" w:hAnsi="Times New Roman" w:cs="Times New Roman" w:eastAsia="Times New Roman" w:hint="default"/>
                <w:sz w:val="16"/>
                <w:szCs w:val="16"/>
              </w:rPr>
            </w:pPr>
            <w:r>
              <w:rPr>
                <w:rFonts w:ascii="Times New Roman"/>
                <w:sz w:val="16"/>
              </w:rPr>
              <w:t>2015.10.16-2016.01.16</w:t>
            </w:r>
          </w:p>
        </w:tc>
      </w:tr>
      <w:tr>
        <w:trPr>
          <w:trHeight w:val="286"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16"/>
                <w:szCs w:val="16"/>
              </w:rPr>
            </w:pPr>
            <w:r>
              <w:rPr>
                <w:rFonts w:ascii="宋体" w:hAnsi="宋体" w:cs="宋体" w:eastAsia="宋体" w:hint="default"/>
                <w:sz w:val="16"/>
                <w:szCs w:val="16"/>
              </w:rPr>
              <w:t>同方江新造船有限公司</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40" w:right="0"/>
              <w:jc w:val="left"/>
              <w:rPr>
                <w:rFonts w:ascii="宋体" w:hAnsi="宋体" w:cs="宋体" w:eastAsia="宋体" w:hint="default"/>
                <w:sz w:val="16"/>
                <w:szCs w:val="16"/>
              </w:rPr>
            </w:pPr>
            <w:r>
              <w:rPr>
                <w:rFonts w:ascii="宋体" w:hAnsi="宋体" w:cs="宋体" w:eastAsia="宋体" w:hint="default"/>
                <w:sz w:val="16"/>
                <w:szCs w:val="16"/>
              </w:rPr>
              <w:t>中国银行江西省分行</w:t>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3"/>
              <w:jc w:val="right"/>
              <w:rPr>
                <w:rFonts w:ascii="宋体" w:hAnsi="宋体" w:cs="宋体" w:eastAsia="宋体" w:hint="default"/>
                <w:sz w:val="16"/>
                <w:szCs w:val="16"/>
              </w:rPr>
            </w:pPr>
            <w:r>
              <w:rPr>
                <w:rFonts w:ascii="Times New Roman" w:hAnsi="Times New Roman" w:cs="Times New Roman" w:eastAsia="Times New Roman" w:hint="default"/>
                <w:sz w:val="16"/>
                <w:szCs w:val="16"/>
              </w:rPr>
              <w:t>27,218.10</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万人民币</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5" w:right="0"/>
              <w:jc w:val="left"/>
              <w:rPr>
                <w:rFonts w:ascii="Times New Roman" w:hAnsi="Times New Roman" w:cs="Times New Roman" w:eastAsia="Times New Roman" w:hint="default"/>
                <w:sz w:val="16"/>
                <w:szCs w:val="16"/>
              </w:rPr>
            </w:pPr>
            <w:r>
              <w:rPr>
                <w:rFonts w:ascii="Times New Roman"/>
                <w:sz w:val="16"/>
              </w:rPr>
              <w:t>2014.04.21-2016.06.30</w:t>
            </w:r>
          </w:p>
        </w:tc>
      </w:tr>
      <w:tr>
        <w:trPr>
          <w:trHeight w:val="286"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16"/>
                <w:szCs w:val="16"/>
              </w:rPr>
            </w:pPr>
            <w:r>
              <w:rPr>
                <w:rFonts w:ascii="宋体" w:hAnsi="宋体" w:cs="宋体" w:eastAsia="宋体" w:hint="default"/>
                <w:sz w:val="16"/>
                <w:szCs w:val="16"/>
              </w:rPr>
              <w:t>同方江新造船有限公司</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40" w:right="0"/>
              <w:jc w:val="left"/>
              <w:rPr>
                <w:rFonts w:ascii="宋体" w:hAnsi="宋体" w:cs="宋体" w:eastAsia="宋体" w:hint="default"/>
                <w:sz w:val="16"/>
                <w:szCs w:val="16"/>
              </w:rPr>
            </w:pPr>
            <w:r>
              <w:rPr>
                <w:rFonts w:ascii="宋体" w:hAnsi="宋体" w:cs="宋体" w:eastAsia="宋体" w:hint="default"/>
                <w:sz w:val="16"/>
                <w:szCs w:val="16"/>
              </w:rPr>
              <w:t>九江银行股份有限公司</w:t>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3"/>
              <w:jc w:val="right"/>
              <w:rPr>
                <w:rFonts w:ascii="宋体" w:hAnsi="宋体" w:cs="宋体" w:eastAsia="宋体" w:hint="default"/>
                <w:sz w:val="16"/>
                <w:szCs w:val="16"/>
              </w:rPr>
            </w:pPr>
            <w:r>
              <w:rPr>
                <w:rFonts w:ascii="Times New Roman" w:hAnsi="Times New Roman" w:cs="Times New Roman" w:eastAsia="Times New Roman" w:hint="default"/>
                <w:sz w:val="16"/>
                <w:szCs w:val="16"/>
              </w:rPr>
              <w:t>3,612.90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万人民币</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5" w:right="0"/>
              <w:jc w:val="left"/>
              <w:rPr>
                <w:rFonts w:ascii="Times New Roman" w:hAnsi="Times New Roman" w:cs="Times New Roman" w:eastAsia="Times New Roman" w:hint="default"/>
                <w:sz w:val="16"/>
                <w:szCs w:val="16"/>
              </w:rPr>
            </w:pPr>
            <w:r>
              <w:rPr>
                <w:rFonts w:ascii="Times New Roman"/>
                <w:sz w:val="16"/>
              </w:rPr>
              <w:t>2015.12.14-2017.03.31</w:t>
            </w:r>
          </w:p>
        </w:tc>
      </w:tr>
      <w:tr>
        <w:trPr>
          <w:trHeight w:val="286"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16"/>
                <w:szCs w:val="16"/>
              </w:rPr>
            </w:pPr>
            <w:r>
              <w:rPr>
                <w:rFonts w:ascii="宋体" w:hAnsi="宋体" w:cs="宋体" w:eastAsia="宋体" w:hint="default"/>
                <w:sz w:val="16"/>
                <w:szCs w:val="16"/>
              </w:rPr>
              <w:t>北京同方软件股份有限公司</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40" w:right="0"/>
              <w:jc w:val="left"/>
              <w:rPr>
                <w:rFonts w:ascii="宋体" w:hAnsi="宋体" w:cs="宋体" w:eastAsia="宋体" w:hint="default"/>
                <w:sz w:val="16"/>
                <w:szCs w:val="16"/>
              </w:rPr>
            </w:pPr>
            <w:r>
              <w:rPr>
                <w:rFonts w:ascii="宋体" w:hAnsi="宋体" w:cs="宋体" w:eastAsia="宋体" w:hint="default"/>
                <w:sz w:val="16"/>
                <w:szCs w:val="16"/>
              </w:rPr>
              <w:t>招商银行北京分行</w:t>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3"/>
              <w:jc w:val="right"/>
              <w:rPr>
                <w:rFonts w:ascii="宋体" w:hAnsi="宋体" w:cs="宋体" w:eastAsia="宋体" w:hint="default"/>
                <w:sz w:val="16"/>
                <w:szCs w:val="16"/>
              </w:rPr>
            </w:pPr>
            <w:r>
              <w:rPr>
                <w:rFonts w:ascii="Times New Roman" w:hAnsi="Times New Roman" w:cs="Times New Roman" w:eastAsia="Times New Roman" w:hint="default"/>
                <w:sz w:val="16"/>
                <w:szCs w:val="16"/>
              </w:rPr>
              <w:t>130.80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万人民币</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5" w:right="0"/>
              <w:jc w:val="left"/>
              <w:rPr>
                <w:rFonts w:ascii="Times New Roman" w:hAnsi="Times New Roman" w:cs="Times New Roman" w:eastAsia="Times New Roman" w:hint="default"/>
                <w:sz w:val="16"/>
                <w:szCs w:val="16"/>
              </w:rPr>
            </w:pPr>
            <w:r>
              <w:rPr>
                <w:rFonts w:ascii="Times New Roman"/>
                <w:sz w:val="16"/>
              </w:rPr>
              <w:t>2015.12.30-2016.12.20</w:t>
            </w:r>
          </w:p>
        </w:tc>
      </w:tr>
      <w:tr>
        <w:trPr>
          <w:trHeight w:val="332"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22" w:right="0"/>
              <w:jc w:val="left"/>
              <w:rPr>
                <w:rFonts w:ascii="宋体" w:hAnsi="宋体" w:cs="宋体" w:eastAsia="宋体" w:hint="default"/>
                <w:sz w:val="16"/>
                <w:szCs w:val="16"/>
              </w:rPr>
            </w:pPr>
            <w:r>
              <w:rPr>
                <w:rFonts w:ascii="宋体" w:hAnsi="宋体" w:cs="宋体" w:eastAsia="宋体" w:hint="default"/>
                <w:sz w:val="16"/>
                <w:szCs w:val="16"/>
              </w:rPr>
              <w:t>同方威视技术股份有限公司</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40" w:right="0"/>
              <w:jc w:val="left"/>
              <w:rPr>
                <w:rFonts w:ascii="宋体" w:hAnsi="宋体" w:cs="宋体" w:eastAsia="宋体" w:hint="default"/>
                <w:sz w:val="16"/>
                <w:szCs w:val="16"/>
              </w:rPr>
            </w:pPr>
            <w:r>
              <w:rPr>
                <w:rFonts w:ascii="宋体" w:hAnsi="宋体" w:cs="宋体" w:eastAsia="宋体" w:hint="default"/>
                <w:sz w:val="16"/>
                <w:szCs w:val="16"/>
              </w:rPr>
              <w:t>中国银行北京分行</w:t>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3"/>
              <w:jc w:val="right"/>
              <w:rPr>
                <w:rFonts w:ascii="宋体" w:hAnsi="宋体" w:cs="宋体" w:eastAsia="宋体" w:hint="default"/>
                <w:sz w:val="16"/>
                <w:szCs w:val="16"/>
              </w:rPr>
            </w:pPr>
            <w:r>
              <w:rPr>
                <w:rFonts w:ascii="Times New Roman" w:hAnsi="Times New Roman" w:cs="Times New Roman" w:eastAsia="Times New Roman" w:hint="default"/>
                <w:sz w:val="16"/>
                <w:szCs w:val="16"/>
              </w:rPr>
              <w:t>496.98</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万港元</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5"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2012.06.08-</w:t>
            </w:r>
            <w:r>
              <w:rPr>
                <w:rFonts w:ascii="宋体" w:hAnsi="宋体" w:cs="宋体" w:eastAsia="宋体" w:hint="default"/>
                <w:sz w:val="16"/>
                <w:szCs w:val="16"/>
              </w:rPr>
              <w:t>敞口</w:t>
            </w:r>
          </w:p>
        </w:tc>
      </w:tr>
      <w:tr>
        <w:trPr>
          <w:trHeight w:val="233" w:hRule="exact"/>
        </w:trPr>
        <w:tc>
          <w:tcPr>
            <w:tcW w:w="2285" w:type="dxa"/>
            <w:tcBorders>
              <w:top w:val="nil" w:sz="6" w:space="0" w:color="auto"/>
              <w:left w:val="nil" w:sz="6" w:space="0" w:color="auto"/>
              <w:bottom w:val="nil" w:sz="6" w:space="0" w:color="auto"/>
              <w:right w:val="nil" w:sz="6" w:space="0" w:color="auto"/>
            </w:tcBorders>
          </w:tcPr>
          <w:p>
            <w:pPr/>
          </w:p>
        </w:tc>
        <w:tc>
          <w:tcPr>
            <w:tcW w:w="2432" w:type="dxa"/>
            <w:tcBorders>
              <w:top w:val="nil" w:sz="6" w:space="0" w:color="auto"/>
              <w:left w:val="nil" w:sz="6" w:space="0" w:color="auto"/>
              <w:bottom w:val="nil" w:sz="6" w:space="0" w:color="auto"/>
              <w:right w:val="nil" w:sz="6" w:space="0" w:color="auto"/>
            </w:tcBorders>
          </w:tcPr>
          <w:p>
            <w:pPr/>
          </w:p>
        </w:tc>
        <w:tc>
          <w:tcPr>
            <w:tcW w:w="2216" w:type="dxa"/>
            <w:tcBorders>
              <w:top w:val="nil" w:sz="6" w:space="0" w:color="auto"/>
              <w:left w:val="nil" w:sz="6" w:space="0" w:color="auto"/>
              <w:bottom w:val="nil" w:sz="6" w:space="0" w:color="auto"/>
              <w:right w:val="nil" w:sz="6" w:space="0" w:color="auto"/>
            </w:tcBorders>
          </w:tcPr>
          <w:p>
            <w:pPr>
              <w:pStyle w:val="TableParagraph"/>
              <w:spacing w:line="178" w:lineRule="exact"/>
              <w:ind w:right="103"/>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416.36 </w:t>
            </w:r>
            <w:r>
              <w:rPr>
                <w:rFonts w:ascii="宋体" w:hAnsi="宋体" w:cs="宋体" w:eastAsia="宋体" w:hint="default"/>
                <w:sz w:val="16"/>
                <w:szCs w:val="16"/>
              </w:rPr>
              <w:t>万人民币</w:t>
            </w:r>
          </w:p>
        </w:tc>
        <w:tc>
          <w:tcPr>
            <w:tcW w:w="1807" w:type="dxa"/>
            <w:tcBorders>
              <w:top w:val="nil" w:sz="6" w:space="0" w:color="auto"/>
              <w:left w:val="nil" w:sz="6" w:space="0" w:color="auto"/>
              <w:bottom w:val="nil" w:sz="6" w:space="0" w:color="auto"/>
              <w:right w:val="nil" w:sz="6" w:space="0" w:color="auto"/>
            </w:tcBorders>
          </w:tcPr>
          <w:p>
            <w:pPr/>
          </w:p>
        </w:tc>
      </w:tr>
      <w:tr>
        <w:trPr>
          <w:trHeight w:val="335"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122" w:right="0"/>
              <w:jc w:val="left"/>
              <w:rPr>
                <w:rFonts w:ascii="宋体" w:hAnsi="宋体" w:cs="宋体" w:eastAsia="宋体" w:hint="default"/>
                <w:sz w:val="16"/>
                <w:szCs w:val="16"/>
              </w:rPr>
            </w:pPr>
            <w:r>
              <w:rPr>
                <w:rFonts w:ascii="宋体" w:hAnsi="宋体" w:cs="宋体" w:eastAsia="宋体" w:hint="default"/>
                <w:sz w:val="16"/>
                <w:szCs w:val="16"/>
              </w:rPr>
              <w:t>同方威视技术股份有限公司</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240" w:right="0"/>
              <w:jc w:val="left"/>
              <w:rPr>
                <w:rFonts w:ascii="宋体" w:hAnsi="宋体" w:cs="宋体" w:eastAsia="宋体" w:hint="default"/>
                <w:sz w:val="16"/>
                <w:szCs w:val="16"/>
              </w:rPr>
            </w:pPr>
            <w:r>
              <w:rPr>
                <w:rFonts w:ascii="宋体" w:hAnsi="宋体" w:cs="宋体" w:eastAsia="宋体" w:hint="default"/>
                <w:sz w:val="16"/>
                <w:szCs w:val="16"/>
              </w:rPr>
              <w:t>中国银行北京分行</w:t>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3"/>
              <w:jc w:val="right"/>
              <w:rPr>
                <w:rFonts w:ascii="宋体" w:hAnsi="宋体" w:cs="宋体" w:eastAsia="宋体" w:hint="default"/>
                <w:sz w:val="16"/>
                <w:szCs w:val="16"/>
              </w:rPr>
            </w:pPr>
            <w:r>
              <w:rPr>
                <w:rFonts w:ascii="Times New Roman" w:hAnsi="Times New Roman" w:cs="Times New Roman" w:eastAsia="Times New Roman" w:hint="default"/>
                <w:sz w:val="16"/>
                <w:szCs w:val="16"/>
              </w:rPr>
              <w:t>13.09</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万美元</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153" w:right="0"/>
              <w:jc w:val="left"/>
              <w:rPr>
                <w:rFonts w:ascii="Times New Roman" w:hAnsi="Times New Roman" w:cs="Times New Roman" w:eastAsia="Times New Roman" w:hint="default"/>
                <w:sz w:val="16"/>
                <w:szCs w:val="16"/>
              </w:rPr>
            </w:pPr>
            <w:r>
              <w:rPr>
                <w:rFonts w:ascii="Times New Roman"/>
                <w:sz w:val="16"/>
              </w:rPr>
              <w:t>2011.05.17-2016.06.01</w:t>
            </w:r>
          </w:p>
        </w:tc>
      </w:tr>
      <w:tr>
        <w:trPr>
          <w:trHeight w:val="236" w:hRule="exact"/>
        </w:trPr>
        <w:tc>
          <w:tcPr>
            <w:tcW w:w="2285" w:type="dxa"/>
            <w:tcBorders>
              <w:top w:val="nil" w:sz="6" w:space="0" w:color="auto"/>
              <w:left w:val="nil" w:sz="6" w:space="0" w:color="auto"/>
              <w:bottom w:val="nil" w:sz="6" w:space="0" w:color="auto"/>
              <w:right w:val="nil" w:sz="6" w:space="0" w:color="auto"/>
            </w:tcBorders>
          </w:tcPr>
          <w:p>
            <w:pPr/>
          </w:p>
        </w:tc>
        <w:tc>
          <w:tcPr>
            <w:tcW w:w="2432" w:type="dxa"/>
            <w:tcBorders>
              <w:top w:val="nil" w:sz="6" w:space="0" w:color="auto"/>
              <w:left w:val="nil" w:sz="6" w:space="0" w:color="auto"/>
              <w:bottom w:val="nil" w:sz="6" w:space="0" w:color="auto"/>
              <w:right w:val="nil" w:sz="6" w:space="0" w:color="auto"/>
            </w:tcBorders>
          </w:tcPr>
          <w:p>
            <w:pPr/>
          </w:p>
        </w:tc>
        <w:tc>
          <w:tcPr>
            <w:tcW w:w="2216" w:type="dxa"/>
            <w:tcBorders>
              <w:top w:val="nil" w:sz="6" w:space="0" w:color="auto"/>
              <w:left w:val="nil" w:sz="6" w:space="0" w:color="auto"/>
              <w:bottom w:val="nil" w:sz="6" w:space="0" w:color="auto"/>
              <w:right w:val="nil" w:sz="6" w:space="0" w:color="auto"/>
            </w:tcBorders>
          </w:tcPr>
          <w:p>
            <w:pPr>
              <w:pStyle w:val="TableParagraph"/>
              <w:spacing w:line="182" w:lineRule="exact"/>
              <w:ind w:right="103"/>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85.02 </w:t>
            </w:r>
            <w:r>
              <w:rPr>
                <w:rFonts w:ascii="宋体" w:hAnsi="宋体" w:cs="宋体" w:eastAsia="宋体" w:hint="default"/>
                <w:sz w:val="16"/>
                <w:szCs w:val="16"/>
              </w:rPr>
              <w:t>万人民币</w:t>
            </w:r>
          </w:p>
        </w:tc>
        <w:tc>
          <w:tcPr>
            <w:tcW w:w="1807" w:type="dxa"/>
            <w:tcBorders>
              <w:top w:val="nil" w:sz="6" w:space="0" w:color="auto"/>
              <w:left w:val="nil" w:sz="6" w:space="0" w:color="auto"/>
              <w:bottom w:val="nil" w:sz="6" w:space="0" w:color="auto"/>
              <w:right w:val="nil" w:sz="6" w:space="0" w:color="auto"/>
            </w:tcBorders>
          </w:tcPr>
          <w:p>
            <w:pPr/>
          </w:p>
        </w:tc>
      </w:tr>
      <w:tr>
        <w:trPr>
          <w:trHeight w:val="334"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122" w:right="0"/>
              <w:jc w:val="left"/>
              <w:rPr>
                <w:rFonts w:ascii="宋体" w:hAnsi="宋体" w:cs="宋体" w:eastAsia="宋体" w:hint="default"/>
                <w:sz w:val="16"/>
                <w:szCs w:val="16"/>
              </w:rPr>
            </w:pPr>
            <w:r>
              <w:rPr>
                <w:rFonts w:ascii="宋体" w:hAnsi="宋体" w:cs="宋体" w:eastAsia="宋体" w:hint="default"/>
                <w:sz w:val="16"/>
                <w:szCs w:val="16"/>
              </w:rPr>
              <w:t>同方威视技术股份有限公司</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240" w:right="0"/>
              <w:jc w:val="left"/>
              <w:rPr>
                <w:rFonts w:ascii="宋体" w:hAnsi="宋体" w:cs="宋体" w:eastAsia="宋体" w:hint="default"/>
                <w:sz w:val="16"/>
                <w:szCs w:val="16"/>
              </w:rPr>
            </w:pPr>
            <w:r>
              <w:rPr>
                <w:rFonts w:ascii="宋体" w:hAnsi="宋体" w:cs="宋体" w:eastAsia="宋体" w:hint="default"/>
                <w:sz w:val="16"/>
                <w:szCs w:val="16"/>
              </w:rPr>
              <w:t>中国银行北京分行</w:t>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3"/>
              <w:jc w:val="right"/>
              <w:rPr>
                <w:rFonts w:ascii="宋体" w:hAnsi="宋体" w:cs="宋体" w:eastAsia="宋体" w:hint="default"/>
                <w:sz w:val="16"/>
                <w:szCs w:val="16"/>
              </w:rPr>
            </w:pPr>
            <w:r>
              <w:rPr>
                <w:rFonts w:ascii="Times New Roman" w:hAnsi="Times New Roman" w:cs="Times New Roman" w:eastAsia="Times New Roman" w:hint="default"/>
                <w:sz w:val="16"/>
                <w:szCs w:val="16"/>
              </w:rPr>
              <w:t>122.51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万欧元</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153" w:right="0"/>
              <w:jc w:val="left"/>
              <w:rPr>
                <w:rFonts w:ascii="Times New Roman" w:hAnsi="Times New Roman" w:cs="Times New Roman" w:eastAsia="Times New Roman" w:hint="default"/>
                <w:sz w:val="16"/>
                <w:szCs w:val="16"/>
              </w:rPr>
            </w:pPr>
            <w:r>
              <w:rPr>
                <w:rFonts w:ascii="Times New Roman"/>
                <w:sz w:val="16"/>
              </w:rPr>
              <w:t>2009.06.19-2016.04.02</w:t>
            </w:r>
          </w:p>
        </w:tc>
      </w:tr>
      <w:tr>
        <w:trPr>
          <w:trHeight w:val="235" w:hRule="exact"/>
        </w:trPr>
        <w:tc>
          <w:tcPr>
            <w:tcW w:w="2285" w:type="dxa"/>
            <w:tcBorders>
              <w:top w:val="nil" w:sz="6" w:space="0" w:color="auto"/>
              <w:left w:val="nil" w:sz="6" w:space="0" w:color="auto"/>
              <w:bottom w:val="nil" w:sz="6" w:space="0" w:color="auto"/>
              <w:right w:val="nil" w:sz="6" w:space="0" w:color="auto"/>
            </w:tcBorders>
          </w:tcPr>
          <w:p>
            <w:pPr/>
          </w:p>
        </w:tc>
        <w:tc>
          <w:tcPr>
            <w:tcW w:w="2432" w:type="dxa"/>
            <w:tcBorders>
              <w:top w:val="nil" w:sz="6" w:space="0" w:color="auto"/>
              <w:left w:val="nil" w:sz="6" w:space="0" w:color="auto"/>
              <w:bottom w:val="nil" w:sz="6" w:space="0" w:color="auto"/>
              <w:right w:val="nil" w:sz="6" w:space="0" w:color="auto"/>
            </w:tcBorders>
          </w:tcPr>
          <w:p>
            <w:pPr/>
          </w:p>
        </w:tc>
        <w:tc>
          <w:tcPr>
            <w:tcW w:w="2216" w:type="dxa"/>
            <w:tcBorders>
              <w:top w:val="nil" w:sz="6" w:space="0" w:color="auto"/>
              <w:left w:val="nil" w:sz="6" w:space="0" w:color="auto"/>
              <w:bottom w:val="nil" w:sz="6" w:space="0" w:color="auto"/>
              <w:right w:val="nil" w:sz="6" w:space="0" w:color="auto"/>
            </w:tcBorders>
          </w:tcPr>
          <w:p>
            <w:pPr>
              <w:pStyle w:val="TableParagraph"/>
              <w:spacing w:line="180" w:lineRule="exact"/>
              <w:ind w:right="103"/>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869.26 </w:t>
            </w:r>
            <w:r>
              <w:rPr>
                <w:rFonts w:ascii="宋体" w:hAnsi="宋体" w:cs="宋体" w:eastAsia="宋体" w:hint="default"/>
                <w:sz w:val="16"/>
                <w:szCs w:val="16"/>
              </w:rPr>
              <w:t>万人民币</w:t>
            </w:r>
          </w:p>
        </w:tc>
        <w:tc>
          <w:tcPr>
            <w:tcW w:w="1807" w:type="dxa"/>
            <w:tcBorders>
              <w:top w:val="nil" w:sz="6" w:space="0" w:color="auto"/>
              <w:left w:val="nil" w:sz="6" w:space="0" w:color="auto"/>
              <w:bottom w:val="nil" w:sz="6" w:space="0" w:color="auto"/>
              <w:right w:val="nil" w:sz="6" w:space="0" w:color="auto"/>
            </w:tcBorders>
          </w:tcPr>
          <w:p>
            <w:pPr/>
          </w:p>
        </w:tc>
      </w:tr>
      <w:tr>
        <w:trPr>
          <w:trHeight w:val="335" w:hRule="exact"/>
        </w:trPr>
        <w:tc>
          <w:tcPr>
            <w:tcW w:w="2285"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22" w:right="0"/>
              <w:jc w:val="left"/>
              <w:rPr>
                <w:rFonts w:ascii="宋体" w:hAnsi="宋体" w:cs="宋体" w:eastAsia="宋体" w:hint="default"/>
                <w:sz w:val="16"/>
                <w:szCs w:val="16"/>
              </w:rPr>
            </w:pPr>
            <w:r>
              <w:rPr>
                <w:rFonts w:ascii="宋体" w:hAnsi="宋体" w:cs="宋体" w:eastAsia="宋体" w:hint="default"/>
                <w:sz w:val="16"/>
                <w:szCs w:val="16"/>
              </w:rPr>
              <w:t>同方威视技术股份有限公司</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240" w:right="0"/>
              <w:jc w:val="left"/>
              <w:rPr>
                <w:rFonts w:ascii="宋体" w:hAnsi="宋体" w:cs="宋体" w:eastAsia="宋体" w:hint="default"/>
                <w:sz w:val="16"/>
                <w:szCs w:val="16"/>
              </w:rPr>
            </w:pPr>
            <w:r>
              <w:rPr>
                <w:rFonts w:ascii="宋体" w:hAnsi="宋体" w:cs="宋体" w:eastAsia="宋体" w:hint="default"/>
                <w:sz w:val="16"/>
                <w:szCs w:val="16"/>
              </w:rPr>
              <w:t>中国银行北京分行</w:t>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3"/>
              <w:jc w:val="right"/>
              <w:rPr>
                <w:rFonts w:ascii="宋体" w:hAnsi="宋体" w:cs="宋体" w:eastAsia="宋体" w:hint="default"/>
                <w:sz w:val="16"/>
                <w:szCs w:val="16"/>
              </w:rPr>
            </w:pPr>
            <w:r>
              <w:rPr>
                <w:rFonts w:ascii="Times New Roman" w:hAnsi="Times New Roman" w:cs="Times New Roman" w:eastAsia="Times New Roman" w:hint="default"/>
                <w:sz w:val="16"/>
                <w:szCs w:val="16"/>
              </w:rPr>
              <w:t>20.00</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万以色列新谢克尔</w:t>
            </w:r>
          </w:p>
        </w:tc>
        <w:tc>
          <w:tcPr>
            <w:tcW w:w="180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153" w:right="0"/>
              <w:jc w:val="left"/>
              <w:rPr>
                <w:rFonts w:ascii="Times New Roman" w:hAnsi="Times New Roman" w:cs="Times New Roman" w:eastAsia="Times New Roman" w:hint="default"/>
                <w:sz w:val="16"/>
                <w:szCs w:val="16"/>
              </w:rPr>
            </w:pPr>
            <w:r>
              <w:rPr>
                <w:rFonts w:ascii="Times New Roman"/>
                <w:sz w:val="16"/>
              </w:rPr>
              <w:t>2011.02.25-2017.02.28</w:t>
            </w:r>
          </w:p>
        </w:tc>
      </w:tr>
      <w:tr>
        <w:trPr>
          <w:trHeight w:val="197" w:hRule="exact"/>
        </w:trPr>
        <w:tc>
          <w:tcPr>
            <w:tcW w:w="2285" w:type="dxa"/>
            <w:tcBorders>
              <w:top w:val="nil" w:sz="6" w:space="0" w:color="auto"/>
              <w:left w:val="nil" w:sz="6" w:space="0" w:color="auto"/>
              <w:bottom w:val="single" w:sz="4" w:space="0" w:color="000000"/>
              <w:right w:val="nil" w:sz="6" w:space="0" w:color="auto"/>
            </w:tcBorders>
          </w:tcPr>
          <w:p>
            <w:pPr/>
          </w:p>
        </w:tc>
        <w:tc>
          <w:tcPr>
            <w:tcW w:w="2432" w:type="dxa"/>
            <w:tcBorders>
              <w:top w:val="nil" w:sz="6" w:space="0" w:color="auto"/>
              <w:left w:val="nil" w:sz="6" w:space="0" w:color="auto"/>
              <w:bottom w:val="single" w:sz="4" w:space="0" w:color="000000"/>
              <w:right w:val="nil" w:sz="6" w:space="0" w:color="auto"/>
            </w:tcBorders>
          </w:tcPr>
          <w:p>
            <w:pPr/>
          </w:p>
        </w:tc>
        <w:tc>
          <w:tcPr>
            <w:tcW w:w="2216" w:type="dxa"/>
            <w:tcBorders>
              <w:top w:val="nil" w:sz="6" w:space="0" w:color="auto"/>
              <w:left w:val="nil" w:sz="6" w:space="0" w:color="auto"/>
              <w:bottom w:val="single" w:sz="4" w:space="0" w:color="000000"/>
              <w:right w:val="nil" w:sz="6" w:space="0" w:color="auto"/>
            </w:tcBorders>
          </w:tcPr>
          <w:p>
            <w:pPr>
              <w:pStyle w:val="TableParagraph"/>
              <w:spacing w:line="182" w:lineRule="exact"/>
              <w:ind w:right="103"/>
              <w:jc w:val="right"/>
              <w:rPr>
                <w:rFonts w:ascii="宋体" w:hAnsi="宋体" w:cs="宋体" w:eastAsia="宋体" w:hint="default"/>
                <w:sz w:val="16"/>
                <w:szCs w:val="16"/>
              </w:rPr>
            </w:pPr>
            <w:r>
              <w:rPr>
                <w:rFonts w:ascii="宋体" w:hAnsi="宋体" w:cs="宋体" w:eastAsia="宋体" w:hint="default"/>
                <w:sz w:val="16"/>
                <w:szCs w:val="16"/>
              </w:rPr>
              <w:t>约</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33.27 </w:t>
            </w:r>
            <w:r>
              <w:rPr>
                <w:rFonts w:ascii="宋体" w:hAnsi="宋体" w:cs="宋体" w:eastAsia="宋体" w:hint="default"/>
                <w:sz w:val="16"/>
                <w:szCs w:val="16"/>
              </w:rPr>
              <w:t>万人民币</w:t>
            </w:r>
          </w:p>
        </w:tc>
        <w:tc>
          <w:tcPr>
            <w:tcW w:w="1807" w:type="dxa"/>
            <w:tcBorders>
              <w:top w:val="nil" w:sz="6" w:space="0" w:color="auto"/>
              <w:left w:val="nil" w:sz="6" w:space="0" w:color="auto"/>
              <w:bottom w:val="single" w:sz="4" w:space="0" w:color="000000"/>
              <w:right w:val="nil" w:sz="6" w:space="0" w:color="auto"/>
            </w:tcBorders>
          </w:tcPr>
          <w:p>
            <w:pPr/>
          </w:p>
        </w:tc>
      </w:tr>
      <w:tr>
        <w:trPr>
          <w:trHeight w:val="307" w:hRule="exact"/>
        </w:trPr>
        <w:tc>
          <w:tcPr>
            <w:tcW w:w="2285"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432" w:type="dxa"/>
            <w:tcBorders>
              <w:top w:val="single" w:sz="4" w:space="0" w:color="000000"/>
              <w:left w:val="nil" w:sz="6" w:space="0" w:color="auto"/>
              <w:bottom w:val="single" w:sz="12" w:space="0" w:color="000000"/>
              <w:right w:val="nil" w:sz="6" w:space="0" w:color="auto"/>
            </w:tcBorders>
          </w:tcPr>
          <w:p>
            <w:pPr/>
          </w:p>
        </w:tc>
        <w:tc>
          <w:tcPr>
            <w:tcW w:w="2216"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sz w:val="18"/>
                <w:szCs w:val="18"/>
              </w:rPr>
              <w:t>约</w:t>
            </w:r>
            <w:r>
              <w:rPr>
                <w:rFonts w:ascii="宋体" w:hAnsi="宋体" w:cs="宋体" w:eastAsia="宋体" w:hint="default"/>
                <w:b/>
                <w:bCs/>
                <w:spacing w:val="-47"/>
                <w:sz w:val="18"/>
                <w:szCs w:val="18"/>
              </w:rPr>
              <w:t> </w:t>
            </w:r>
            <w:r>
              <w:rPr>
                <w:rFonts w:ascii="Times New Roman" w:hAnsi="Times New Roman" w:cs="Times New Roman" w:eastAsia="Times New Roman" w:hint="default"/>
                <w:b/>
                <w:bCs/>
                <w:sz w:val="18"/>
                <w:szCs w:val="18"/>
              </w:rPr>
              <w:t>34,412.84</w:t>
            </w:r>
            <w:r>
              <w:rPr>
                <w:rFonts w:ascii="Times New Roman" w:hAnsi="Times New Roman" w:cs="Times New Roman" w:eastAsia="Times New Roman" w:hint="default"/>
                <w:b/>
                <w:bCs/>
                <w:spacing w:val="-5"/>
                <w:sz w:val="18"/>
                <w:szCs w:val="18"/>
              </w:rPr>
              <w:t> </w:t>
            </w:r>
            <w:r>
              <w:rPr>
                <w:rFonts w:ascii="宋体" w:hAnsi="宋体" w:cs="宋体" w:eastAsia="宋体" w:hint="default"/>
                <w:b/>
                <w:bCs/>
                <w:sz w:val="18"/>
                <w:szCs w:val="18"/>
              </w:rPr>
              <w:t>万人民币</w:t>
            </w:r>
            <w:r>
              <w:rPr>
                <w:rFonts w:ascii="宋体" w:hAnsi="宋体" w:cs="宋体" w:eastAsia="宋体" w:hint="default"/>
                <w:sz w:val="18"/>
                <w:szCs w:val="18"/>
              </w:rPr>
            </w:r>
          </w:p>
        </w:tc>
        <w:tc>
          <w:tcPr>
            <w:tcW w:w="1807" w:type="dxa"/>
            <w:tcBorders>
              <w:top w:val="single" w:sz="4" w:space="0" w:color="000000"/>
              <w:left w:val="nil" w:sz="6" w:space="0" w:color="auto"/>
              <w:bottom w:val="single" w:sz="12" w:space="0" w:color="000000"/>
              <w:right w:val="nil" w:sz="6" w:space="0" w:color="auto"/>
            </w:tcBorders>
          </w:tcPr>
          <w:p>
            <w:pPr/>
          </w:p>
        </w:tc>
      </w:tr>
    </w:tbl>
    <w:p>
      <w:pPr>
        <w:spacing w:before="21"/>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控股子公司之间提供担保</w:t>
      </w:r>
    </w:p>
    <w:p>
      <w:pPr>
        <w:tabs>
          <w:tab w:pos="2452" w:val="left" w:leader="none"/>
        </w:tabs>
        <w:spacing w:line="280" w:lineRule="auto" w:before="110"/>
        <w:ind w:left="1482" w:right="223" w:firstLine="559"/>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tab/>
      </w:r>
      <w:r>
        <w:rPr>
          <w:rFonts w:ascii="宋体" w:hAnsi="宋体" w:cs="宋体" w:eastAsia="宋体" w:hint="default"/>
          <w:sz w:val="22"/>
          <w:szCs w:val="22"/>
        </w:rPr>
        <w:t>截至</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2015 </w:t>
      </w:r>
      <w:r>
        <w:rPr>
          <w:rFonts w:ascii="宋体" w:hAnsi="宋体" w:cs="宋体" w:eastAsia="宋体" w:hint="default"/>
          <w:sz w:val="22"/>
          <w:szCs w:val="22"/>
        </w:rPr>
        <w:t>年</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日，公司持股</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97%</w:t>
      </w:r>
      <w:r>
        <w:rPr>
          <w:rFonts w:ascii="宋体" w:hAnsi="宋体" w:cs="宋体" w:eastAsia="宋体" w:hint="default"/>
          <w:sz w:val="22"/>
          <w:szCs w:val="22"/>
        </w:rPr>
        <w:t>的山东同方鲁颖电子有限</w:t>
      </w:r>
      <w:r>
        <w:rPr>
          <w:rFonts w:ascii="宋体" w:hAnsi="宋体" w:cs="宋体" w:eastAsia="宋体" w:hint="default"/>
          <w:w w:val="100"/>
          <w:sz w:val="22"/>
          <w:szCs w:val="22"/>
        </w:rPr>
        <w:t> </w:t>
      </w:r>
      <w:r>
        <w:rPr>
          <w:rFonts w:ascii="宋体" w:hAnsi="宋体" w:cs="宋体" w:eastAsia="宋体" w:hint="default"/>
          <w:sz w:val="22"/>
          <w:szCs w:val="22"/>
        </w:rPr>
        <w:t>公司以保证方式为其下属持股</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72.73%</w:t>
      </w:r>
      <w:r>
        <w:rPr>
          <w:rFonts w:ascii="宋体" w:hAnsi="宋体" w:cs="宋体" w:eastAsia="宋体" w:hint="default"/>
          <w:sz w:val="22"/>
          <w:szCs w:val="22"/>
        </w:rPr>
        <w:t>的子公司沂南同皓电子元件有限公司</w:t>
      </w:r>
      <w:r>
        <w:rPr>
          <w:rFonts w:ascii="宋体" w:hAnsi="宋体" w:cs="宋体" w:eastAsia="宋体" w:hint="default"/>
          <w:w w:val="100"/>
          <w:sz w:val="22"/>
          <w:szCs w:val="22"/>
        </w:rPr>
        <w:t> </w:t>
      </w:r>
      <w:r>
        <w:rPr>
          <w:rFonts w:ascii="宋体" w:hAnsi="宋体" w:cs="宋体" w:eastAsia="宋体" w:hint="default"/>
          <w:sz w:val="22"/>
          <w:szCs w:val="22"/>
        </w:rPr>
        <w:t>的下列银行借款提供连带责任担保：</w:t>
      </w:r>
    </w:p>
    <w:p>
      <w:pPr>
        <w:spacing w:line="240" w:lineRule="auto" w:before="13"/>
        <w:rPr>
          <w:rFonts w:ascii="宋体" w:hAnsi="宋体" w:cs="宋体" w:eastAsia="宋体" w:hint="default"/>
          <w:sz w:val="9"/>
          <w:szCs w:val="9"/>
        </w:rPr>
      </w:pPr>
    </w:p>
    <w:tbl>
      <w:tblPr>
        <w:tblW w:w="0" w:type="auto"/>
        <w:jc w:val="left"/>
        <w:tblInd w:w="134" w:type="dxa"/>
        <w:tblLayout w:type="fixed"/>
        <w:tblCellMar>
          <w:top w:w="0" w:type="dxa"/>
          <w:left w:w="0" w:type="dxa"/>
          <w:bottom w:w="0" w:type="dxa"/>
          <w:right w:w="0" w:type="dxa"/>
        </w:tblCellMar>
        <w:tblLook w:val="01E0"/>
      </w:tblPr>
      <w:tblGrid>
        <w:gridCol w:w="2031"/>
        <w:gridCol w:w="2139"/>
        <w:gridCol w:w="2230"/>
        <w:gridCol w:w="2326"/>
      </w:tblGrid>
      <w:tr>
        <w:trPr>
          <w:trHeight w:val="305" w:hRule="exact"/>
        </w:trPr>
        <w:tc>
          <w:tcPr>
            <w:tcW w:w="203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623" w:right="0"/>
              <w:jc w:val="left"/>
              <w:rPr>
                <w:rFonts w:ascii="宋体" w:hAnsi="宋体" w:cs="宋体" w:eastAsia="宋体" w:hint="default"/>
                <w:sz w:val="18"/>
                <w:szCs w:val="18"/>
              </w:rPr>
            </w:pPr>
            <w:r>
              <w:rPr>
                <w:rFonts w:ascii="宋体" w:hAnsi="宋体" w:cs="宋体" w:eastAsia="宋体" w:hint="default"/>
                <w:b/>
                <w:bCs/>
                <w:sz w:val="18"/>
                <w:szCs w:val="18"/>
              </w:rPr>
              <w:t>贷款银行</w:t>
            </w:r>
            <w:r>
              <w:rPr>
                <w:rFonts w:ascii="宋体" w:hAnsi="宋体" w:cs="宋体" w:eastAsia="宋体" w:hint="default"/>
                <w:sz w:val="18"/>
                <w:szCs w:val="18"/>
              </w:rPr>
            </w:r>
          </w:p>
        </w:tc>
        <w:tc>
          <w:tcPr>
            <w:tcW w:w="213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684" w:right="0"/>
              <w:jc w:val="left"/>
              <w:rPr>
                <w:rFonts w:ascii="宋体" w:hAnsi="宋体" w:cs="宋体" w:eastAsia="宋体" w:hint="default"/>
                <w:sz w:val="18"/>
                <w:szCs w:val="18"/>
              </w:rPr>
            </w:pPr>
            <w:r>
              <w:rPr>
                <w:rFonts w:ascii="宋体" w:hAnsi="宋体" w:cs="宋体" w:eastAsia="宋体" w:hint="default"/>
                <w:b/>
                <w:bCs/>
                <w:sz w:val="18"/>
                <w:szCs w:val="18"/>
              </w:rPr>
              <w:t>贷款金额</w:t>
            </w:r>
            <w:r>
              <w:rPr>
                <w:rFonts w:ascii="宋体" w:hAnsi="宋体" w:cs="宋体" w:eastAsia="宋体" w:hint="default"/>
                <w:sz w:val="18"/>
                <w:szCs w:val="18"/>
              </w:rPr>
            </w:r>
          </w:p>
        </w:tc>
        <w:tc>
          <w:tcPr>
            <w:tcW w:w="223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732" w:right="0"/>
              <w:jc w:val="left"/>
              <w:rPr>
                <w:rFonts w:ascii="宋体" w:hAnsi="宋体" w:cs="宋体" w:eastAsia="宋体" w:hint="default"/>
                <w:sz w:val="18"/>
                <w:szCs w:val="18"/>
              </w:rPr>
            </w:pPr>
            <w:r>
              <w:rPr>
                <w:rFonts w:ascii="宋体" w:hAnsi="宋体" w:cs="宋体" w:eastAsia="宋体" w:hint="default"/>
                <w:b/>
                <w:bCs/>
                <w:sz w:val="18"/>
                <w:szCs w:val="18"/>
              </w:rPr>
              <w:t>贷款期限</w:t>
            </w:r>
            <w:r>
              <w:rPr>
                <w:rFonts w:ascii="宋体" w:hAnsi="宋体" w:cs="宋体" w:eastAsia="宋体" w:hint="default"/>
                <w:sz w:val="18"/>
                <w:szCs w:val="18"/>
              </w:rPr>
            </w:r>
          </w:p>
        </w:tc>
        <w:tc>
          <w:tcPr>
            <w:tcW w:w="232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50"/>
              <w:jc w:val="center"/>
              <w:rPr>
                <w:rFonts w:ascii="宋体" w:hAnsi="宋体" w:cs="宋体" w:eastAsia="宋体" w:hint="default"/>
                <w:sz w:val="18"/>
                <w:szCs w:val="18"/>
              </w:rPr>
            </w:pPr>
            <w:r>
              <w:rPr>
                <w:rFonts w:ascii="宋体" w:hAnsi="宋体" w:cs="宋体" w:eastAsia="宋体" w:hint="default"/>
                <w:b/>
                <w:bCs/>
                <w:sz w:val="18"/>
                <w:szCs w:val="18"/>
              </w:rPr>
              <w:t>保证期间</w:t>
            </w:r>
            <w:r>
              <w:rPr>
                <w:rFonts w:ascii="宋体" w:hAnsi="宋体" w:cs="宋体" w:eastAsia="宋体" w:hint="default"/>
                <w:sz w:val="18"/>
                <w:szCs w:val="18"/>
              </w:rPr>
            </w:r>
          </w:p>
        </w:tc>
      </w:tr>
    </w:tbl>
    <w:p>
      <w:pPr>
        <w:spacing w:after="0" w:line="240" w:lineRule="auto"/>
        <w:jc w:val="center"/>
        <w:rPr>
          <w:rFonts w:ascii="宋体" w:hAnsi="宋体" w:cs="宋体" w:eastAsia="宋体" w:hint="default"/>
          <w:sz w:val="18"/>
          <w:szCs w:val="18"/>
        </w:rPr>
        <w:sectPr>
          <w:pgSz w:w="11910" w:h="16840"/>
          <w:pgMar w:header="645" w:footer="816" w:top="1080" w:bottom="1000" w:left="1460" w:right="148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3"/>
          <w:szCs w:val="13"/>
        </w:rPr>
      </w:pPr>
    </w:p>
    <w:tbl>
      <w:tblPr>
        <w:tblW w:w="0" w:type="auto"/>
        <w:jc w:val="left"/>
        <w:tblInd w:w="119" w:type="dxa"/>
        <w:tblLayout w:type="fixed"/>
        <w:tblCellMar>
          <w:top w:w="0" w:type="dxa"/>
          <w:left w:w="0" w:type="dxa"/>
          <w:bottom w:w="0" w:type="dxa"/>
          <w:right w:w="0" w:type="dxa"/>
        </w:tblCellMar>
        <w:tblLook w:val="01E0"/>
      </w:tblPr>
      <w:tblGrid>
        <w:gridCol w:w="2127"/>
        <w:gridCol w:w="2138"/>
        <w:gridCol w:w="2148"/>
        <w:gridCol w:w="2327"/>
      </w:tblGrid>
      <w:tr>
        <w:trPr>
          <w:trHeight w:val="212" w:hRule="exact"/>
        </w:trPr>
        <w:tc>
          <w:tcPr>
            <w:tcW w:w="2127" w:type="dxa"/>
            <w:tcBorders>
              <w:top w:val="nil" w:sz="6" w:space="0" w:color="auto"/>
              <w:left w:val="nil" w:sz="6" w:space="0" w:color="auto"/>
              <w:bottom w:val="single" w:sz="4" w:space="0" w:color="000000"/>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农业银行沂南支行</w:t>
            </w:r>
          </w:p>
        </w:tc>
        <w:tc>
          <w:tcPr>
            <w:tcW w:w="2138" w:type="dxa"/>
            <w:tcBorders>
              <w:top w:val="nil" w:sz="6" w:space="0" w:color="auto"/>
              <w:left w:val="nil" w:sz="6" w:space="0" w:color="auto"/>
              <w:bottom w:val="single" w:sz="4" w:space="0" w:color="000000"/>
              <w:right w:val="nil" w:sz="6" w:space="0" w:color="auto"/>
            </w:tcBorders>
          </w:tcPr>
          <w:p>
            <w:pPr>
              <w:pStyle w:val="TableParagraph"/>
              <w:spacing w:line="194" w:lineRule="exact"/>
              <w:ind w:right="169"/>
              <w:jc w:val="right"/>
              <w:rPr>
                <w:rFonts w:ascii="宋体" w:hAnsi="宋体" w:cs="宋体" w:eastAsia="宋体" w:hint="default"/>
                <w:sz w:val="18"/>
                <w:szCs w:val="18"/>
              </w:rPr>
            </w:pPr>
            <w:r>
              <w:rPr>
                <w:rFonts w:ascii="Times New Roman" w:hAnsi="Times New Roman" w:cs="Times New Roman" w:eastAsia="Times New Roman" w:hint="default"/>
                <w:sz w:val="18"/>
                <w:szCs w:val="18"/>
              </w:rPr>
              <w:t>2,200.00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万人民币</w:t>
            </w:r>
          </w:p>
        </w:tc>
        <w:tc>
          <w:tcPr>
            <w:tcW w:w="2148" w:type="dxa"/>
            <w:tcBorders>
              <w:top w:val="nil" w:sz="6" w:space="0" w:color="auto"/>
              <w:left w:val="nil" w:sz="6" w:space="0" w:color="auto"/>
              <w:bottom w:val="single" w:sz="4" w:space="0" w:color="000000"/>
              <w:right w:val="nil" w:sz="6" w:space="0" w:color="auto"/>
            </w:tcBorders>
          </w:tcPr>
          <w:p>
            <w:pPr>
              <w:pStyle w:val="TableParagraph"/>
              <w:spacing w:line="203" w:lineRule="exact"/>
              <w:ind w:left="171" w:right="0"/>
              <w:jc w:val="left"/>
              <w:rPr>
                <w:rFonts w:ascii="Times New Roman" w:hAnsi="Times New Roman" w:cs="Times New Roman" w:eastAsia="Times New Roman" w:hint="default"/>
                <w:sz w:val="18"/>
                <w:szCs w:val="18"/>
              </w:rPr>
            </w:pPr>
            <w:r>
              <w:rPr>
                <w:rFonts w:ascii="Times New Roman"/>
                <w:sz w:val="18"/>
              </w:rPr>
              <w:t>2015.06.18-2016.06.16</w:t>
            </w:r>
          </w:p>
        </w:tc>
        <w:tc>
          <w:tcPr>
            <w:tcW w:w="2327" w:type="dxa"/>
            <w:tcBorders>
              <w:top w:val="nil" w:sz="6" w:space="0" w:color="auto"/>
              <w:left w:val="nil" w:sz="6" w:space="0" w:color="auto"/>
              <w:bottom w:val="single" w:sz="4" w:space="0" w:color="000000"/>
              <w:right w:val="nil" w:sz="6" w:space="0" w:color="auto"/>
            </w:tcBorders>
          </w:tcPr>
          <w:p>
            <w:pPr>
              <w:pStyle w:val="TableParagraph"/>
              <w:spacing w:line="203" w:lineRule="exact"/>
              <w:ind w:left="296" w:right="0"/>
              <w:jc w:val="left"/>
              <w:rPr>
                <w:rFonts w:ascii="Times New Roman" w:hAnsi="Times New Roman" w:cs="Times New Roman" w:eastAsia="Times New Roman" w:hint="default"/>
                <w:sz w:val="18"/>
                <w:szCs w:val="18"/>
              </w:rPr>
            </w:pPr>
            <w:r>
              <w:rPr>
                <w:rFonts w:ascii="Times New Roman"/>
                <w:sz w:val="18"/>
              </w:rPr>
              <w:t>2015.06.18-2018.06.16</w:t>
            </w:r>
          </w:p>
        </w:tc>
      </w:tr>
      <w:tr>
        <w:trPr>
          <w:trHeight w:val="308" w:hRule="exact"/>
        </w:trPr>
        <w:tc>
          <w:tcPr>
            <w:tcW w:w="2127" w:type="dxa"/>
            <w:tcBorders>
              <w:top w:val="single" w:sz="4" w:space="0" w:color="000000"/>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38" w:type="dxa"/>
            <w:tcBorders>
              <w:top w:val="single" w:sz="4" w:space="0" w:color="000000"/>
              <w:left w:val="nil" w:sz="6" w:space="0" w:color="auto"/>
              <w:bottom w:val="single" w:sz="12" w:space="0" w:color="000000"/>
              <w:right w:val="nil" w:sz="6" w:space="0" w:color="auto"/>
            </w:tcBorders>
          </w:tcPr>
          <w:p>
            <w:pPr>
              <w:pStyle w:val="TableParagraph"/>
              <w:spacing w:line="240" w:lineRule="auto" w:before="23"/>
              <w:ind w:right="172"/>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t>2,200.00</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万人民币</w:t>
            </w:r>
            <w:r>
              <w:rPr>
                <w:rFonts w:ascii="宋体" w:hAnsi="宋体" w:cs="宋体" w:eastAsia="宋体" w:hint="default"/>
                <w:sz w:val="18"/>
                <w:szCs w:val="18"/>
              </w:rPr>
            </w:r>
          </w:p>
        </w:tc>
        <w:tc>
          <w:tcPr>
            <w:tcW w:w="2148" w:type="dxa"/>
            <w:tcBorders>
              <w:top w:val="single" w:sz="4" w:space="0" w:color="000000"/>
              <w:left w:val="nil" w:sz="6" w:space="0" w:color="auto"/>
              <w:bottom w:val="single" w:sz="12" w:space="0" w:color="000000"/>
              <w:right w:val="nil" w:sz="6" w:space="0" w:color="auto"/>
            </w:tcBorders>
          </w:tcPr>
          <w:p>
            <w:pPr/>
          </w:p>
        </w:tc>
        <w:tc>
          <w:tcPr>
            <w:tcW w:w="2327" w:type="dxa"/>
            <w:tcBorders>
              <w:top w:val="single" w:sz="4" w:space="0" w:color="000000"/>
              <w:left w:val="nil" w:sz="6" w:space="0" w:color="auto"/>
              <w:bottom w:val="single" w:sz="12" w:space="0" w:color="000000"/>
              <w:right w:val="nil" w:sz="6" w:space="0" w:color="auto"/>
            </w:tcBorders>
          </w:tcPr>
          <w:p>
            <w:pPr/>
          </w:p>
        </w:tc>
      </w:tr>
    </w:tbl>
    <w:p>
      <w:pPr>
        <w:spacing w:line="288" w:lineRule="auto" w:before="21"/>
        <w:ind w:left="1482" w:right="213" w:firstLine="559"/>
        <w:jc w:val="both"/>
        <w:rPr>
          <w:rFonts w:ascii="宋体" w:hAnsi="宋体" w:cs="宋体" w:eastAsia="宋体" w:hint="default"/>
          <w:sz w:val="22"/>
          <w:szCs w:val="22"/>
        </w:rPr>
      </w:pPr>
      <w:r>
        <w:rPr>
          <w:rFonts w:ascii="Times New Roman" w:hAnsi="Times New Roman" w:cs="Times New Roman" w:eastAsia="Times New Roman" w:hint="default"/>
          <w:b/>
          <w:bCs/>
          <w:sz w:val="22"/>
          <w:szCs w:val="22"/>
        </w:rPr>
        <w:t>2)</w:t>
      </w:r>
      <w:r>
        <w:rPr>
          <w:rFonts w:ascii="Times New Roman" w:hAnsi="Times New Roman" w:cs="Times New Roman" w:eastAsia="Times New Roman" w:hint="default"/>
          <w:b/>
          <w:bCs/>
          <w:spacing w:val="10"/>
          <w:sz w:val="22"/>
          <w:szCs w:val="22"/>
        </w:rPr>
        <w:t> </w:t>
      </w:r>
      <w:r>
        <w:rPr>
          <w:rFonts w:ascii="宋体" w:hAnsi="宋体" w:cs="宋体" w:eastAsia="宋体" w:hint="default"/>
          <w:sz w:val="22"/>
          <w:szCs w:val="22"/>
        </w:rPr>
        <w:t>截至</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2015 </w:t>
      </w:r>
      <w:r>
        <w:rPr>
          <w:rFonts w:ascii="宋体" w:hAnsi="宋体" w:cs="宋体" w:eastAsia="宋体" w:hint="default"/>
          <w:sz w:val="22"/>
          <w:szCs w:val="22"/>
        </w:rPr>
        <w:t>年</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2"/>
          <w:sz w:val="22"/>
          <w:szCs w:val="22"/>
        </w:rPr>
        <w:t> </w:t>
      </w:r>
      <w:r>
        <w:rPr>
          <w:rFonts w:ascii="宋体" w:hAnsi="宋体" w:cs="宋体" w:eastAsia="宋体" w:hint="default"/>
          <w:spacing w:val="-9"/>
          <w:sz w:val="22"/>
          <w:szCs w:val="22"/>
        </w:rPr>
        <w:t>日，公司持股</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33.72%</w:t>
      </w:r>
      <w:r>
        <w:rPr>
          <w:rFonts w:ascii="宋体" w:hAnsi="宋体" w:cs="宋体" w:eastAsia="宋体" w:hint="default"/>
          <w:sz w:val="22"/>
          <w:szCs w:val="22"/>
        </w:rPr>
        <w:t>的同方泰德国际科技有</w:t>
      </w:r>
      <w:r>
        <w:rPr>
          <w:rFonts w:ascii="宋体" w:hAnsi="宋体" w:cs="宋体" w:eastAsia="宋体" w:hint="default"/>
          <w:w w:val="100"/>
          <w:sz w:val="22"/>
          <w:szCs w:val="22"/>
        </w:rPr>
        <w:t> </w:t>
      </w:r>
      <w:r>
        <w:rPr>
          <w:rFonts w:ascii="宋体" w:hAnsi="宋体" w:cs="宋体" w:eastAsia="宋体" w:hint="default"/>
          <w:spacing w:val="-1"/>
          <w:sz w:val="22"/>
          <w:szCs w:val="22"/>
        </w:rPr>
        <w:t>限公司之全资子公司同方泰德国际科技（北京）有限公司以保证方式为同方</w:t>
      </w:r>
      <w:r>
        <w:rPr>
          <w:rFonts w:ascii="宋体" w:hAnsi="宋体" w:cs="宋体" w:eastAsia="宋体" w:hint="default"/>
          <w:spacing w:val="-84"/>
          <w:sz w:val="22"/>
          <w:szCs w:val="22"/>
        </w:rPr>
        <w:t> </w:t>
      </w:r>
      <w:r>
        <w:rPr>
          <w:rFonts w:ascii="宋体" w:hAnsi="宋体" w:cs="宋体" w:eastAsia="宋体" w:hint="default"/>
          <w:spacing w:val="-84"/>
          <w:sz w:val="22"/>
          <w:szCs w:val="22"/>
        </w:rPr>
      </w:r>
      <w:r>
        <w:rPr>
          <w:rFonts w:ascii="宋体" w:hAnsi="宋体" w:cs="宋体" w:eastAsia="宋体" w:hint="default"/>
          <w:sz w:val="22"/>
          <w:szCs w:val="22"/>
        </w:rPr>
        <w:t>泰德国际科技有限公司的下列银行借款提供连带责任担保：</w:t>
      </w:r>
    </w:p>
    <w:p>
      <w:pPr>
        <w:spacing w:line="240" w:lineRule="auto" w:before="4"/>
        <w:rPr>
          <w:rFonts w:ascii="宋体" w:hAnsi="宋体" w:cs="宋体" w:eastAsia="宋体" w:hint="default"/>
          <w:sz w:val="9"/>
          <w:szCs w:val="9"/>
        </w:rPr>
      </w:pPr>
    </w:p>
    <w:tbl>
      <w:tblPr>
        <w:tblW w:w="0" w:type="auto"/>
        <w:jc w:val="left"/>
        <w:tblInd w:w="119" w:type="dxa"/>
        <w:tblLayout w:type="fixed"/>
        <w:tblCellMar>
          <w:top w:w="0" w:type="dxa"/>
          <w:left w:w="0" w:type="dxa"/>
          <w:bottom w:w="0" w:type="dxa"/>
          <w:right w:w="0" w:type="dxa"/>
        </w:tblCellMar>
        <w:tblLook w:val="01E0"/>
      </w:tblPr>
      <w:tblGrid>
        <w:gridCol w:w="1891"/>
        <w:gridCol w:w="2322"/>
        <w:gridCol w:w="2150"/>
        <w:gridCol w:w="2376"/>
      </w:tblGrid>
      <w:tr>
        <w:trPr>
          <w:trHeight w:val="307" w:hRule="exact"/>
        </w:trPr>
        <w:tc>
          <w:tcPr>
            <w:tcW w:w="189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638" w:right="0"/>
              <w:jc w:val="left"/>
              <w:rPr>
                <w:rFonts w:ascii="宋体" w:hAnsi="宋体" w:cs="宋体" w:eastAsia="宋体" w:hint="default"/>
                <w:sz w:val="18"/>
                <w:szCs w:val="18"/>
              </w:rPr>
            </w:pPr>
            <w:r>
              <w:rPr>
                <w:rFonts w:ascii="宋体" w:hAnsi="宋体" w:cs="宋体" w:eastAsia="宋体" w:hint="default"/>
                <w:b/>
                <w:bCs/>
                <w:sz w:val="18"/>
                <w:szCs w:val="18"/>
              </w:rPr>
              <w:t>贷款银行</w:t>
            </w:r>
            <w:r>
              <w:rPr>
                <w:rFonts w:ascii="宋体" w:hAnsi="宋体" w:cs="宋体" w:eastAsia="宋体" w:hint="default"/>
                <w:sz w:val="18"/>
                <w:szCs w:val="18"/>
              </w:rPr>
            </w:r>
          </w:p>
        </w:tc>
        <w:tc>
          <w:tcPr>
            <w:tcW w:w="232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32" w:right="0"/>
              <w:jc w:val="center"/>
              <w:rPr>
                <w:rFonts w:ascii="宋体" w:hAnsi="宋体" w:cs="宋体" w:eastAsia="宋体" w:hint="default"/>
                <w:sz w:val="18"/>
                <w:szCs w:val="18"/>
              </w:rPr>
            </w:pPr>
            <w:r>
              <w:rPr>
                <w:rFonts w:ascii="宋体" w:hAnsi="宋体" w:cs="宋体" w:eastAsia="宋体" w:hint="default"/>
                <w:b/>
                <w:bCs/>
                <w:sz w:val="18"/>
                <w:szCs w:val="18"/>
              </w:rPr>
              <w:t>贷款金额</w:t>
            </w:r>
            <w:r>
              <w:rPr>
                <w:rFonts w:ascii="宋体" w:hAnsi="宋体" w:cs="宋体" w:eastAsia="宋体" w:hint="default"/>
                <w:sz w:val="18"/>
                <w:szCs w:val="18"/>
              </w:rPr>
            </w:r>
          </w:p>
        </w:tc>
        <w:tc>
          <w:tcPr>
            <w:tcW w:w="215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40"/>
              <w:jc w:val="center"/>
              <w:rPr>
                <w:rFonts w:ascii="宋体" w:hAnsi="宋体" w:cs="宋体" w:eastAsia="宋体" w:hint="default"/>
                <w:sz w:val="18"/>
                <w:szCs w:val="18"/>
              </w:rPr>
            </w:pPr>
            <w:r>
              <w:rPr>
                <w:rFonts w:ascii="宋体" w:hAnsi="宋体" w:cs="宋体" w:eastAsia="宋体" w:hint="default"/>
                <w:b/>
                <w:bCs/>
                <w:sz w:val="18"/>
                <w:szCs w:val="18"/>
              </w:rPr>
              <w:t>贷款期限</w:t>
            </w:r>
            <w:r>
              <w:rPr>
                <w:rFonts w:ascii="宋体" w:hAnsi="宋体" w:cs="宋体" w:eastAsia="宋体" w:hint="default"/>
                <w:sz w:val="18"/>
                <w:szCs w:val="18"/>
              </w:rPr>
            </w:r>
          </w:p>
        </w:tc>
        <w:tc>
          <w:tcPr>
            <w:tcW w:w="237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1"/>
              <w:jc w:val="center"/>
              <w:rPr>
                <w:rFonts w:ascii="宋体" w:hAnsi="宋体" w:cs="宋体" w:eastAsia="宋体" w:hint="default"/>
                <w:sz w:val="18"/>
                <w:szCs w:val="18"/>
              </w:rPr>
            </w:pPr>
            <w:r>
              <w:rPr>
                <w:rFonts w:ascii="宋体" w:hAnsi="宋体" w:cs="宋体" w:eastAsia="宋体" w:hint="default"/>
                <w:b/>
                <w:bCs/>
                <w:sz w:val="18"/>
                <w:szCs w:val="18"/>
              </w:rPr>
              <w:t>保证期间</w:t>
            </w:r>
            <w:r>
              <w:rPr>
                <w:rFonts w:ascii="宋体" w:hAnsi="宋体" w:cs="宋体" w:eastAsia="宋体" w:hint="default"/>
                <w:sz w:val="18"/>
                <w:szCs w:val="18"/>
              </w:rPr>
            </w:r>
          </w:p>
        </w:tc>
      </w:tr>
      <w:tr>
        <w:trPr>
          <w:trHeight w:val="388" w:hRule="exact"/>
        </w:trPr>
        <w:tc>
          <w:tcPr>
            <w:tcW w:w="1891"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DBS Bank</w:t>
            </w:r>
            <w:r>
              <w:rPr>
                <w:rFonts w:ascii="Times New Roman"/>
                <w:spacing w:val="-4"/>
                <w:sz w:val="18"/>
              </w:rPr>
              <w:t> </w:t>
            </w:r>
            <w:r>
              <w:rPr>
                <w:rFonts w:ascii="Times New Roman"/>
                <w:sz w:val="18"/>
              </w:rPr>
              <w:t>Ltd</w:t>
            </w:r>
          </w:p>
        </w:tc>
        <w:tc>
          <w:tcPr>
            <w:tcW w:w="2322"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right="162"/>
              <w:jc w:val="right"/>
              <w:rPr>
                <w:rFonts w:ascii="宋体" w:hAnsi="宋体" w:cs="宋体" w:eastAsia="宋体" w:hint="default"/>
                <w:sz w:val="18"/>
                <w:szCs w:val="18"/>
              </w:rPr>
            </w:pPr>
            <w:r>
              <w:rPr>
                <w:rFonts w:ascii="Times New Roman" w:hAnsi="Times New Roman" w:cs="Times New Roman" w:eastAsia="Times New Roman" w:hint="default"/>
                <w:sz w:val="18"/>
                <w:szCs w:val="18"/>
              </w:rPr>
              <w:t>432.77 </w:t>
            </w:r>
            <w:r>
              <w:rPr>
                <w:rFonts w:ascii="宋体" w:hAnsi="宋体" w:cs="宋体" w:eastAsia="宋体" w:hint="default"/>
                <w:sz w:val="18"/>
                <w:szCs w:val="18"/>
              </w:rPr>
              <w:t>万新加坡元</w:t>
            </w:r>
          </w:p>
        </w:tc>
        <w:tc>
          <w:tcPr>
            <w:tcW w:w="2150"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38"/>
              <w:jc w:val="center"/>
              <w:rPr>
                <w:rFonts w:ascii="Times New Roman" w:hAnsi="Times New Roman" w:cs="Times New Roman" w:eastAsia="Times New Roman" w:hint="default"/>
                <w:sz w:val="18"/>
                <w:szCs w:val="18"/>
              </w:rPr>
            </w:pPr>
            <w:r>
              <w:rPr>
                <w:rFonts w:ascii="Times New Roman"/>
                <w:sz w:val="18"/>
              </w:rPr>
              <w:t>2015.03.18-2016.02.23</w:t>
            </w:r>
          </w:p>
        </w:tc>
        <w:tc>
          <w:tcPr>
            <w:tcW w:w="2376"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83"/>
              <w:jc w:val="center"/>
              <w:rPr>
                <w:rFonts w:ascii="Times New Roman" w:hAnsi="Times New Roman" w:cs="Times New Roman" w:eastAsia="Times New Roman" w:hint="default"/>
                <w:sz w:val="18"/>
                <w:szCs w:val="18"/>
              </w:rPr>
            </w:pPr>
            <w:r>
              <w:rPr>
                <w:rFonts w:ascii="Times New Roman"/>
                <w:sz w:val="18"/>
              </w:rPr>
              <w:t>2015.03.18-2018.02.23</w:t>
            </w:r>
          </w:p>
        </w:tc>
      </w:tr>
      <w:tr>
        <w:trPr>
          <w:trHeight w:val="212" w:hRule="exact"/>
        </w:trPr>
        <w:tc>
          <w:tcPr>
            <w:tcW w:w="1891" w:type="dxa"/>
            <w:tcBorders>
              <w:top w:val="nil" w:sz="6" w:space="0" w:color="auto"/>
              <w:left w:val="nil" w:sz="6" w:space="0" w:color="auto"/>
              <w:bottom w:val="single" w:sz="4" w:space="0" w:color="000000"/>
              <w:right w:val="nil" w:sz="6" w:space="0" w:color="auto"/>
            </w:tcBorders>
          </w:tcPr>
          <w:p>
            <w:pPr/>
          </w:p>
        </w:tc>
        <w:tc>
          <w:tcPr>
            <w:tcW w:w="2322" w:type="dxa"/>
            <w:tcBorders>
              <w:top w:val="nil" w:sz="6" w:space="0" w:color="auto"/>
              <w:left w:val="nil" w:sz="6" w:space="0" w:color="auto"/>
              <w:bottom w:val="single" w:sz="4" w:space="0" w:color="000000"/>
              <w:right w:val="nil" w:sz="6" w:space="0" w:color="auto"/>
            </w:tcBorders>
          </w:tcPr>
          <w:p>
            <w:pPr>
              <w:pStyle w:val="TableParagraph"/>
              <w:spacing w:line="191" w:lineRule="exact"/>
              <w:ind w:right="162"/>
              <w:jc w:val="right"/>
              <w:rPr>
                <w:rFonts w:ascii="宋体" w:hAnsi="宋体" w:cs="宋体" w:eastAsia="宋体" w:hint="default"/>
                <w:sz w:val="18"/>
                <w:szCs w:val="18"/>
              </w:rPr>
            </w:pPr>
            <w:r>
              <w:rPr>
                <w:rFonts w:ascii="宋体" w:hAnsi="宋体" w:cs="宋体" w:eastAsia="宋体" w:hint="default"/>
                <w:sz w:val="18"/>
                <w:szCs w:val="18"/>
              </w:rPr>
              <w:t>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1,985.34 </w:t>
            </w:r>
            <w:r>
              <w:rPr>
                <w:rFonts w:ascii="宋体" w:hAnsi="宋体" w:cs="宋体" w:eastAsia="宋体" w:hint="default"/>
                <w:sz w:val="18"/>
                <w:szCs w:val="18"/>
              </w:rPr>
              <w:t>万人民币</w:t>
            </w:r>
          </w:p>
        </w:tc>
        <w:tc>
          <w:tcPr>
            <w:tcW w:w="2150" w:type="dxa"/>
            <w:tcBorders>
              <w:top w:val="nil" w:sz="6" w:space="0" w:color="auto"/>
              <w:left w:val="nil" w:sz="6" w:space="0" w:color="auto"/>
              <w:bottom w:val="single" w:sz="4" w:space="0" w:color="000000"/>
              <w:right w:val="nil" w:sz="6" w:space="0" w:color="auto"/>
            </w:tcBorders>
          </w:tcPr>
          <w:p>
            <w:pPr/>
          </w:p>
        </w:tc>
        <w:tc>
          <w:tcPr>
            <w:tcW w:w="2376" w:type="dxa"/>
            <w:tcBorders>
              <w:top w:val="nil" w:sz="6" w:space="0" w:color="auto"/>
              <w:left w:val="nil" w:sz="6" w:space="0" w:color="auto"/>
              <w:bottom w:val="single" w:sz="4" w:space="0" w:color="000000"/>
              <w:right w:val="nil" w:sz="6" w:space="0" w:color="auto"/>
            </w:tcBorders>
          </w:tcPr>
          <w:p>
            <w:pPr/>
          </w:p>
        </w:tc>
      </w:tr>
      <w:tr>
        <w:trPr>
          <w:trHeight w:val="305" w:hRule="exact"/>
        </w:trPr>
        <w:tc>
          <w:tcPr>
            <w:tcW w:w="1891"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22"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right="165"/>
              <w:jc w:val="right"/>
              <w:rPr>
                <w:rFonts w:ascii="宋体" w:hAnsi="宋体" w:cs="宋体" w:eastAsia="宋体" w:hint="default"/>
                <w:sz w:val="18"/>
                <w:szCs w:val="18"/>
              </w:rPr>
            </w:pPr>
            <w:r>
              <w:rPr>
                <w:rFonts w:ascii="宋体" w:hAnsi="宋体" w:cs="宋体" w:eastAsia="宋体" w:hint="default"/>
                <w:b/>
                <w:bCs/>
                <w:sz w:val="18"/>
                <w:szCs w:val="18"/>
              </w:rPr>
              <w:t>约</w:t>
            </w:r>
            <w:r>
              <w:rPr>
                <w:rFonts w:ascii="宋体" w:hAnsi="宋体" w:cs="宋体" w:eastAsia="宋体" w:hint="default"/>
                <w:b/>
                <w:bCs/>
                <w:spacing w:val="-47"/>
                <w:sz w:val="18"/>
                <w:szCs w:val="18"/>
              </w:rPr>
              <w:t> </w:t>
            </w:r>
            <w:r>
              <w:rPr>
                <w:rFonts w:ascii="Times New Roman" w:hAnsi="Times New Roman" w:cs="Times New Roman" w:eastAsia="Times New Roman" w:hint="default"/>
                <w:b/>
                <w:bCs/>
                <w:sz w:val="18"/>
                <w:szCs w:val="18"/>
              </w:rPr>
              <w:t>1,985.34</w:t>
            </w:r>
            <w:r>
              <w:rPr>
                <w:rFonts w:ascii="Times New Roman" w:hAnsi="Times New Roman" w:cs="Times New Roman" w:eastAsia="Times New Roman" w:hint="default"/>
                <w:b/>
                <w:bCs/>
                <w:spacing w:val="-3"/>
                <w:sz w:val="18"/>
                <w:szCs w:val="18"/>
              </w:rPr>
              <w:t> </w:t>
            </w:r>
            <w:r>
              <w:rPr>
                <w:rFonts w:ascii="宋体" w:hAnsi="宋体" w:cs="宋体" w:eastAsia="宋体" w:hint="default"/>
                <w:b/>
                <w:bCs/>
                <w:sz w:val="18"/>
                <w:szCs w:val="18"/>
              </w:rPr>
              <w:t>万人民币</w:t>
            </w:r>
            <w:r>
              <w:rPr>
                <w:rFonts w:ascii="宋体" w:hAnsi="宋体" w:cs="宋体" w:eastAsia="宋体" w:hint="default"/>
                <w:sz w:val="18"/>
                <w:szCs w:val="18"/>
              </w:rPr>
            </w:r>
          </w:p>
        </w:tc>
        <w:tc>
          <w:tcPr>
            <w:tcW w:w="2150" w:type="dxa"/>
            <w:tcBorders>
              <w:top w:val="single" w:sz="4" w:space="0" w:color="000000"/>
              <w:left w:val="nil" w:sz="6" w:space="0" w:color="auto"/>
              <w:bottom w:val="single" w:sz="12" w:space="0" w:color="000000"/>
              <w:right w:val="nil" w:sz="6" w:space="0" w:color="auto"/>
            </w:tcBorders>
          </w:tcPr>
          <w:p>
            <w:pPr/>
          </w:p>
        </w:tc>
        <w:tc>
          <w:tcPr>
            <w:tcW w:w="2376" w:type="dxa"/>
            <w:tcBorders>
              <w:top w:val="single" w:sz="4" w:space="0" w:color="000000"/>
              <w:left w:val="nil" w:sz="6" w:space="0" w:color="auto"/>
              <w:bottom w:val="single" w:sz="12" w:space="0" w:color="000000"/>
              <w:right w:val="nil" w:sz="6" w:space="0" w:color="auto"/>
            </w:tcBorders>
          </w:tcPr>
          <w:p>
            <w:pPr/>
          </w:p>
        </w:tc>
      </w:tr>
    </w:tbl>
    <w:p>
      <w:pPr>
        <w:tabs>
          <w:tab w:pos="2452" w:val="left" w:leader="none"/>
        </w:tabs>
        <w:spacing w:line="280" w:lineRule="auto" w:before="21"/>
        <w:ind w:left="1482" w:right="213" w:firstLine="559"/>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w:t>
        <w:tab/>
      </w:r>
      <w:r>
        <w:rPr>
          <w:rFonts w:ascii="宋体" w:hAnsi="宋体" w:cs="宋体" w:eastAsia="宋体" w:hint="default"/>
          <w:sz w:val="22"/>
          <w:szCs w:val="22"/>
        </w:rPr>
        <w:t>截至</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1"/>
          <w:sz w:val="22"/>
          <w:szCs w:val="22"/>
        </w:rPr>
        <w:t> </w:t>
      </w:r>
      <w:r>
        <w:rPr>
          <w:rFonts w:ascii="宋体" w:hAnsi="宋体" w:cs="宋体" w:eastAsia="宋体" w:hint="default"/>
          <w:spacing w:val="-9"/>
          <w:sz w:val="22"/>
          <w:szCs w:val="22"/>
        </w:rPr>
        <w:t>日，公司持股</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69.09%</w:t>
      </w:r>
      <w:r>
        <w:rPr>
          <w:rFonts w:ascii="宋体" w:hAnsi="宋体" w:cs="宋体" w:eastAsia="宋体" w:hint="default"/>
          <w:sz w:val="22"/>
          <w:szCs w:val="22"/>
        </w:rPr>
        <w:t>的同方威视技术股份有</w:t>
      </w:r>
      <w:r>
        <w:rPr>
          <w:rFonts w:ascii="宋体" w:hAnsi="宋体" w:cs="宋体" w:eastAsia="宋体" w:hint="default"/>
          <w:w w:val="100"/>
          <w:sz w:val="22"/>
          <w:szCs w:val="22"/>
        </w:rPr>
        <w:t> </w:t>
      </w:r>
      <w:r>
        <w:rPr>
          <w:rFonts w:ascii="宋体" w:hAnsi="宋体" w:cs="宋体" w:eastAsia="宋体" w:hint="default"/>
          <w:sz w:val="22"/>
          <w:szCs w:val="22"/>
        </w:rPr>
        <w:t>限公司以保证方式为其下属持股</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99.99%</w:t>
      </w:r>
      <w:r>
        <w:rPr>
          <w:rFonts w:ascii="宋体" w:hAnsi="宋体" w:cs="宋体" w:eastAsia="宋体" w:hint="default"/>
          <w:sz w:val="22"/>
          <w:szCs w:val="22"/>
        </w:rPr>
        <w:t>的子公司</w:t>
      </w:r>
      <w:r>
        <w:rPr>
          <w:rFonts w:ascii="宋体" w:hAnsi="宋体" w:cs="宋体" w:eastAsia="宋体" w:hint="default"/>
          <w:spacing w:val="-59"/>
          <w:sz w:val="22"/>
          <w:szCs w:val="22"/>
        </w:rPr>
        <w:t> </w:t>
      </w:r>
      <w:r>
        <w:rPr>
          <w:rFonts w:ascii="Times New Roman" w:hAnsi="Times New Roman" w:cs="Times New Roman" w:eastAsia="Times New Roman" w:hint="default"/>
          <w:sz w:val="22"/>
          <w:szCs w:val="22"/>
        </w:rPr>
        <w:t>Nuctech</w:t>
      </w:r>
      <w:r>
        <w:rPr>
          <w:rFonts w:ascii="Times New Roman" w:hAnsi="Times New Roman" w:cs="Times New Roman" w:eastAsia="Times New Roman" w:hint="default"/>
          <w:spacing w:val="-1"/>
          <w:sz w:val="22"/>
          <w:szCs w:val="22"/>
        </w:rPr>
        <w:t> </w:t>
      </w:r>
      <w:r>
        <w:rPr>
          <w:rFonts w:ascii="Times New Roman" w:hAnsi="Times New Roman" w:cs="Times New Roman" w:eastAsia="Times New Roman" w:hint="default"/>
          <w:sz w:val="22"/>
          <w:szCs w:val="22"/>
        </w:rPr>
        <w:t>Warsaw</w:t>
      </w:r>
      <w:r>
        <w:rPr>
          <w:rFonts w:ascii="Times New Roman" w:hAnsi="Times New Roman" w:cs="Times New Roman" w:eastAsia="Times New Roman" w:hint="default"/>
          <w:spacing w:val="-1"/>
          <w:sz w:val="22"/>
          <w:szCs w:val="22"/>
        </w:rPr>
        <w:t> </w:t>
      </w:r>
      <w:r>
        <w:rPr>
          <w:rFonts w:ascii="Times New Roman" w:hAnsi="Times New Roman" w:cs="Times New Roman" w:eastAsia="Times New Roman" w:hint="default"/>
          <w:sz w:val="22"/>
          <w:szCs w:val="22"/>
        </w:rPr>
        <w:t>Co.,</w:t>
      </w:r>
      <w:r>
        <w:rPr>
          <w:rFonts w:ascii="Times New Roman" w:hAnsi="Times New Roman" w:cs="Times New Roman" w:eastAsia="Times New Roman" w:hint="default"/>
          <w:w w:val="100"/>
          <w:sz w:val="22"/>
          <w:szCs w:val="22"/>
        </w:rPr>
        <w:t> </w:t>
      </w:r>
      <w:r>
        <w:rPr>
          <w:rFonts w:ascii="Times New Roman" w:hAnsi="Times New Roman" w:cs="Times New Roman" w:eastAsia="Times New Roman" w:hint="default"/>
          <w:sz w:val="22"/>
          <w:szCs w:val="22"/>
        </w:rPr>
        <w:t>Limited Sp. z</w:t>
      </w:r>
      <w:r>
        <w:rPr>
          <w:rFonts w:ascii="Times New Roman" w:hAnsi="Times New Roman" w:cs="Times New Roman" w:eastAsia="Times New Roman" w:hint="default"/>
          <w:spacing w:val="-7"/>
          <w:sz w:val="22"/>
          <w:szCs w:val="22"/>
        </w:rPr>
        <w:t> </w:t>
      </w:r>
      <w:r>
        <w:rPr>
          <w:rFonts w:ascii="Times New Roman" w:hAnsi="Times New Roman" w:cs="Times New Roman" w:eastAsia="Times New Roman" w:hint="default"/>
          <w:sz w:val="22"/>
          <w:szCs w:val="22"/>
        </w:rPr>
        <w:t>o.o.</w:t>
      </w:r>
      <w:r>
        <w:rPr>
          <w:rFonts w:ascii="宋体" w:hAnsi="宋体" w:cs="宋体" w:eastAsia="宋体" w:hint="default"/>
          <w:sz w:val="22"/>
          <w:szCs w:val="22"/>
        </w:rPr>
        <w:t>的下列银行借款提供连带责任担保：</w:t>
      </w:r>
    </w:p>
    <w:p>
      <w:pPr>
        <w:spacing w:line="240" w:lineRule="auto" w:before="6"/>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991"/>
        <w:gridCol w:w="2223"/>
        <w:gridCol w:w="2153"/>
        <w:gridCol w:w="2373"/>
      </w:tblGrid>
      <w:tr>
        <w:trPr>
          <w:trHeight w:val="305" w:hRule="exact"/>
        </w:trPr>
        <w:tc>
          <w:tcPr>
            <w:tcW w:w="199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贷款银行</w:t>
            </w:r>
            <w:r>
              <w:rPr>
                <w:rFonts w:ascii="宋体" w:hAnsi="宋体" w:cs="宋体" w:eastAsia="宋体" w:hint="default"/>
                <w:sz w:val="18"/>
                <w:szCs w:val="18"/>
              </w:rPr>
            </w:r>
          </w:p>
        </w:tc>
        <w:tc>
          <w:tcPr>
            <w:tcW w:w="222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716" w:right="0"/>
              <w:jc w:val="left"/>
              <w:rPr>
                <w:rFonts w:ascii="宋体" w:hAnsi="宋体" w:cs="宋体" w:eastAsia="宋体" w:hint="default"/>
                <w:sz w:val="18"/>
                <w:szCs w:val="18"/>
              </w:rPr>
            </w:pPr>
            <w:r>
              <w:rPr>
                <w:rFonts w:ascii="宋体" w:hAnsi="宋体" w:cs="宋体" w:eastAsia="宋体" w:hint="default"/>
                <w:b/>
                <w:bCs/>
                <w:sz w:val="18"/>
                <w:szCs w:val="18"/>
              </w:rPr>
              <w:t>贷款金额</w:t>
            </w:r>
            <w:r>
              <w:rPr>
                <w:rFonts w:ascii="宋体" w:hAnsi="宋体" w:cs="宋体" w:eastAsia="宋体" w:hint="default"/>
                <w:sz w:val="18"/>
                <w:szCs w:val="18"/>
              </w:rPr>
            </w:r>
          </w:p>
        </w:tc>
        <w:tc>
          <w:tcPr>
            <w:tcW w:w="215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39"/>
              <w:jc w:val="center"/>
              <w:rPr>
                <w:rFonts w:ascii="宋体" w:hAnsi="宋体" w:cs="宋体" w:eastAsia="宋体" w:hint="default"/>
                <w:sz w:val="18"/>
                <w:szCs w:val="18"/>
              </w:rPr>
            </w:pPr>
            <w:r>
              <w:rPr>
                <w:rFonts w:ascii="宋体" w:hAnsi="宋体" w:cs="宋体" w:eastAsia="宋体" w:hint="default"/>
                <w:b/>
                <w:bCs/>
                <w:sz w:val="18"/>
                <w:szCs w:val="18"/>
              </w:rPr>
              <w:t>贷款期限</w:t>
            </w:r>
            <w:r>
              <w:rPr>
                <w:rFonts w:ascii="宋体" w:hAnsi="宋体" w:cs="宋体" w:eastAsia="宋体" w:hint="default"/>
                <w:sz w:val="18"/>
                <w:szCs w:val="18"/>
              </w:rPr>
            </w:r>
          </w:p>
        </w:tc>
        <w:tc>
          <w:tcPr>
            <w:tcW w:w="237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0"/>
              <w:jc w:val="center"/>
              <w:rPr>
                <w:rFonts w:ascii="宋体" w:hAnsi="宋体" w:cs="宋体" w:eastAsia="宋体" w:hint="default"/>
                <w:sz w:val="18"/>
                <w:szCs w:val="18"/>
              </w:rPr>
            </w:pPr>
            <w:r>
              <w:rPr>
                <w:rFonts w:ascii="宋体" w:hAnsi="宋体" w:cs="宋体" w:eastAsia="宋体" w:hint="default"/>
                <w:b/>
                <w:bCs/>
                <w:sz w:val="18"/>
                <w:szCs w:val="18"/>
              </w:rPr>
              <w:t>保证期间</w:t>
            </w:r>
            <w:r>
              <w:rPr>
                <w:rFonts w:ascii="宋体" w:hAnsi="宋体" w:cs="宋体" w:eastAsia="宋体" w:hint="default"/>
                <w:sz w:val="18"/>
                <w:szCs w:val="18"/>
              </w:rPr>
            </w:r>
          </w:p>
        </w:tc>
      </w:tr>
      <w:tr>
        <w:trPr>
          <w:trHeight w:val="390" w:hRule="exact"/>
        </w:trPr>
        <w:tc>
          <w:tcPr>
            <w:tcW w:w="1991" w:type="dxa"/>
            <w:tcBorders>
              <w:top w:val="single" w:sz="4" w:space="0" w:color="000000"/>
              <w:left w:val="nil" w:sz="6" w:space="0" w:color="auto"/>
              <w:bottom w:val="nil" w:sz="6" w:space="0" w:color="auto"/>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工商银行华沙分行</w:t>
            </w:r>
          </w:p>
        </w:tc>
        <w:tc>
          <w:tcPr>
            <w:tcW w:w="2223"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164"/>
              <w:jc w:val="right"/>
              <w:rPr>
                <w:rFonts w:ascii="宋体" w:hAnsi="宋体" w:cs="宋体" w:eastAsia="宋体" w:hint="default"/>
                <w:sz w:val="18"/>
                <w:szCs w:val="18"/>
              </w:rPr>
            </w:pPr>
            <w:r>
              <w:rPr>
                <w:rFonts w:ascii="Times New Roman" w:hAnsi="Times New Roman" w:cs="Times New Roman" w:eastAsia="Times New Roman" w:hint="default"/>
                <w:sz w:val="18"/>
                <w:szCs w:val="18"/>
              </w:rPr>
              <w:t>938.84 </w:t>
            </w:r>
            <w:r>
              <w:rPr>
                <w:rFonts w:ascii="宋体" w:hAnsi="宋体" w:cs="宋体" w:eastAsia="宋体" w:hint="default"/>
                <w:sz w:val="18"/>
                <w:szCs w:val="18"/>
              </w:rPr>
              <w:t>万欧元</w:t>
            </w:r>
          </w:p>
        </w:tc>
        <w:tc>
          <w:tcPr>
            <w:tcW w:w="2153"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37"/>
              <w:jc w:val="center"/>
              <w:rPr>
                <w:rFonts w:ascii="Times New Roman" w:hAnsi="Times New Roman" w:cs="Times New Roman" w:eastAsia="Times New Roman" w:hint="default"/>
                <w:sz w:val="18"/>
                <w:szCs w:val="18"/>
              </w:rPr>
            </w:pPr>
            <w:r>
              <w:rPr>
                <w:rFonts w:ascii="Times New Roman"/>
                <w:sz w:val="18"/>
              </w:rPr>
              <w:t>2015.05.27-2016.05.26</w:t>
            </w:r>
          </w:p>
        </w:tc>
        <w:tc>
          <w:tcPr>
            <w:tcW w:w="2373"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78"/>
              <w:jc w:val="center"/>
              <w:rPr>
                <w:rFonts w:ascii="Times New Roman" w:hAnsi="Times New Roman" w:cs="Times New Roman" w:eastAsia="Times New Roman" w:hint="default"/>
                <w:sz w:val="18"/>
                <w:szCs w:val="18"/>
              </w:rPr>
            </w:pPr>
            <w:r>
              <w:rPr>
                <w:rFonts w:ascii="Times New Roman"/>
                <w:sz w:val="18"/>
              </w:rPr>
              <w:t>2015.05.27-2018.05.26</w:t>
            </w:r>
          </w:p>
        </w:tc>
      </w:tr>
      <w:tr>
        <w:trPr>
          <w:trHeight w:val="210" w:hRule="exact"/>
        </w:trPr>
        <w:tc>
          <w:tcPr>
            <w:tcW w:w="1991" w:type="dxa"/>
            <w:tcBorders>
              <w:top w:val="nil" w:sz="6" w:space="0" w:color="auto"/>
              <w:left w:val="nil" w:sz="6" w:space="0" w:color="auto"/>
              <w:bottom w:val="single" w:sz="4" w:space="0" w:color="000000"/>
              <w:right w:val="nil" w:sz="6" w:space="0" w:color="auto"/>
            </w:tcBorders>
          </w:tcPr>
          <w:p>
            <w:pPr/>
          </w:p>
        </w:tc>
        <w:tc>
          <w:tcPr>
            <w:tcW w:w="2223" w:type="dxa"/>
            <w:tcBorders>
              <w:top w:val="nil" w:sz="6" w:space="0" w:color="auto"/>
              <w:left w:val="nil" w:sz="6" w:space="0" w:color="auto"/>
              <w:bottom w:val="single" w:sz="4" w:space="0" w:color="000000"/>
              <w:right w:val="nil" w:sz="6" w:space="0" w:color="auto"/>
            </w:tcBorders>
          </w:tcPr>
          <w:p>
            <w:pPr>
              <w:pStyle w:val="TableParagraph"/>
              <w:spacing w:line="191" w:lineRule="exact"/>
              <w:ind w:right="164"/>
              <w:jc w:val="right"/>
              <w:rPr>
                <w:rFonts w:ascii="宋体" w:hAnsi="宋体" w:cs="宋体" w:eastAsia="宋体" w:hint="default"/>
                <w:sz w:val="18"/>
                <w:szCs w:val="18"/>
              </w:rPr>
            </w:pPr>
            <w:r>
              <w:rPr>
                <w:rFonts w:ascii="宋体" w:hAnsi="宋体" w:cs="宋体" w:eastAsia="宋体" w:hint="default"/>
                <w:sz w:val="18"/>
                <w:szCs w:val="18"/>
              </w:rPr>
              <w:t>约</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6,661.28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万人民币</w:t>
            </w:r>
          </w:p>
        </w:tc>
        <w:tc>
          <w:tcPr>
            <w:tcW w:w="2153" w:type="dxa"/>
            <w:tcBorders>
              <w:top w:val="nil" w:sz="6" w:space="0" w:color="auto"/>
              <w:left w:val="nil" w:sz="6" w:space="0" w:color="auto"/>
              <w:bottom w:val="single" w:sz="4" w:space="0" w:color="000000"/>
              <w:right w:val="nil" w:sz="6" w:space="0" w:color="auto"/>
            </w:tcBorders>
          </w:tcPr>
          <w:p>
            <w:pPr/>
          </w:p>
        </w:tc>
        <w:tc>
          <w:tcPr>
            <w:tcW w:w="2373" w:type="dxa"/>
            <w:tcBorders>
              <w:top w:val="nil" w:sz="6" w:space="0" w:color="auto"/>
              <w:left w:val="nil" w:sz="6" w:space="0" w:color="auto"/>
              <w:bottom w:val="single" w:sz="4" w:space="0" w:color="000000"/>
              <w:right w:val="nil" w:sz="6" w:space="0" w:color="auto"/>
            </w:tcBorders>
          </w:tcPr>
          <w:p>
            <w:pPr/>
          </w:p>
        </w:tc>
      </w:tr>
      <w:tr>
        <w:trPr>
          <w:trHeight w:val="307" w:hRule="exact"/>
        </w:trPr>
        <w:tc>
          <w:tcPr>
            <w:tcW w:w="1991"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23"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right="167"/>
              <w:jc w:val="right"/>
              <w:rPr>
                <w:rFonts w:ascii="宋体" w:hAnsi="宋体" w:cs="宋体" w:eastAsia="宋体" w:hint="default"/>
                <w:sz w:val="18"/>
                <w:szCs w:val="18"/>
              </w:rPr>
            </w:pPr>
            <w:r>
              <w:rPr>
                <w:rFonts w:ascii="宋体" w:hAnsi="宋体" w:cs="宋体" w:eastAsia="宋体" w:hint="default"/>
                <w:b/>
                <w:bCs/>
                <w:sz w:val="18"/>
                <w:szCs w:val="18"/>
              </w:rPr>
              <w:t>约</w:t>
            </w:r>
            <w:r>
              <w:rPr>
                <w:rFonts w:ascii="宋体" w:hAnsi="宋体" w:cs="宋体" w:eastAsia="宋体" w:hint="default"/>
                <w:b/>
                <w:bCs/>
                <w:spacing w:val="-47"/>
                <w:sz w:val="18"/>
                <w:szCs w:val="18"/>
              </w:rPr>
              <w:t> </w:t>
            </w:r>
            <w:r>
              <w:rPr>
                <w:rFonts w:ascii="Times New Roman" w:hAnsi="Times New Roman" w:cs="Times New Roman" w:eastAsia="Times New Roman" w:hint="default"/>
                <w:b/>
                <w:bCs/>
                <w:sz w:val="18"/>
                <w:szCs w:val="18"/>
              </w:rPr>
              <w:t>6,661.28</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万人民币</w:t>
            </w:r>
            <w:r>
              <w:rPr>
                <w:rFonts w:ascii="宋体" w:hAnsi="宋体" w:cs="宋体" w:eastAsia="宋体" w:hint="default"/>
                <w:sz w:val="18"/>
                <w:szCs w:val="18"/>
              </w:rPr>
            </w:r>
          </w:p>
        </w:tc>
        <w:tc>
          <w:tcPr>
            <w:tcW w:w="2153" w:type="dxa"/>
            <w:tcBorders>
              <w:top w:val="single" w:sz="4" w:space="0" w:color="000000"/>
              <w:left w:val="nil" w:sz="6" w:space="0" w:color="auto"/>
              <w:bottom w:val="single" w:sz="12" w:space="0" w:color="000000"/>
              <w:right w:val="nil" w:sz="6" w:space="0" w:color="auto"/>
            </w:tcBorders>
          </w:tcPr>
          <w:p>
            <w:pPr/>
          </w:p>
        </w:tc>
        <w:tc>
          <w:tcPr>
            <w:tcW w:w="2373" w:type="dxa"/>
            <w:tcBorders>
              <w:top w:val="single" w:sz="4" w:space="0" w:color="000000"/>
              <w:left w:val="nil" w:sz="6" w:space="0" w:color="auto"/>
              <w:bottom w:val="single" w:sz="12" w:space="0" w:color="000000"/>
              <w:right w:val="nil" w:sz="6" w:space="0" w:color="auto"/>
            </w:tcBorders>
          </w:tcPr>
          <w:p>
            <w:pPr/>
          </w:p>
        </w:tc>
      </w:tr>
    </w:tbl>
    <w:p>
      <w:pPr>
        <w:spacing w:line="280" w:lineRule="auto" w:before="21"/>
        <w:ind w:left="1482" w:right="259" w:firstLine="559"/>
        <w:jc w:val="both"/>
        <w:rPr>
          <w:rFonts w:ascii="宋体" w:hAnsi="宋体" w:cs="宋体" w:eastAsia="宋体" w:hint="default"/>
          <w:sz w:val="22"/>
          <w:szCs w:val="22"/>
        </w:rPr>
      </w:pPr>
      <w:r>
        <w:rPr>
          <w:rFonts w:ascii="Times New Roman" w:hAnsi="Times New Roman" w:cs="Times New Roman" w:eastAsia="Times New Roman" w:hint="default"/>
          <w:b/>
          <w:bCs/>
          <w:sz w:val="22"/>
          <w:szCs w:val="22"/>
        </w:rPr>
        <w:t>4)</w:t>
      </w:r>
      <w:r>
        <w:rPr>
          <w:rFonts w:ascii="Times New Roman" w:hAnsi="Times New Roman" w:cs="Times New Roman" w:eastAsia="Times New Roman" w:hint="default"/>
          <w:b/>
          <w:bCs/>
          <w:spacing w:val="6"/>
          <w:sz w:val="22"/>
          <w:szCs w:val="22"/>
        </w:rPr>
        <w:t> </w:t>
      </w:r>
      <w:r>
        <w:rPr>
          <w:rFonts w:ascii="宋体" w:hAnsi="宋体" w:cs="宋体" w:eastAsia="宋体" w:hint="default"/>
          <w:sz w:val="22"/>
          <w:szCs w:val="22"/>
        </w:rPr>
        <w:t>截至</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年</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31 </w:t>
      </w:r>
      <w:r>
        <w:rPr>
          <w:rFonts w:ascii="宋体" w:hAnsi="宋体" w:cs="宋体" w:eastAsia="宋体" w:hint="default"/>
          <w:sz w:val="22"/>
          <w:szCs w:val="22"/>
        </w:rPr>
        <w:t>日，公司持股</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30.7813%</w:t>
      </w:r>
      <w:r>
        <w:rPr>
          <w:rFonts w:ascii="宋体" w:hAnsi="宋体" w:cs="宋体" w:eastAsia="宋体" w:hint="default"/>
          <w:sz w:val="22"/>
          <w:szCs w:val="22"/>
        </w:rPr>
        <w:t>的龙江环保集团股份</w:t>
      </w:r>
      <w:r>
        <w:rPr>
          <w:rFonts w:ascii="宋体" w:hAnsi="宋体" w:cs="宋体" w:eastAsia="宋体" w:hint="default"/>
          <w:w w:val="100"/>
          <w:sz w:val="22"/>
          <w:szCs w:val="22"/>
        </w:rPr>
        <w:t> </w:t>
      </w:r>
      <w:r>
        <w:rPr>
          <w:rFonts w:ascii="宋体" w:hAnsi="宋体" w:cs="宋体" w:eastAsia="宋体" w:hint="default"/>
          <w:sz w:val="22"/>
          <w:szCs w:val="22"/>
        </w:rPr>
        <w:t>有限公司以保证方式为其下属持股</w:t>
      </w:r>
      <w:r>
        <w:rPr>
          <w:rFonts w:ascii="宋体" w:hAnsi="宋体" w:cs="宋体" w:eastAsia="宋体" w:hint="default"/>
          <w:spacing w:val="-61"/>
          <w:sz w:val="22"/>
          <w:szCs w:val="22"/>
        </w:rPr>
        <w:t> </w:t>
      </w:r>
      <w:r>
        <w:rPr>
          <w:rFonts w:ascii="Times New Roman" w:hAnsi="Times New Roman" w:cs="Times New Roman" w:eastAsia="Times New Roman" w:hint="default"/>
          <w:sz w:val="22"/>
          <w:szCs w:val="22"/>
        </w:rPr>
        <w:t>100.00%</w:t>
      </w:r>
      <w:r>
        <w:rPr>
          <w:rFonts w:ascii="宋体" w:hAnsi="宋体" w:cs="宋体" w:eastAsia="宋体" w:hint="default"/>
          <w:sz w:val="22"/>
          <w:szCs w:val="22"/>
        </w:rPr>
        <w:t>的子公司牡丹江龙江环保供水有</w:t>
      </w:r>
      <w:r>
        <w:rPr>
          <w:rFonts w:ascii="宋体" w:hAnsi="宋体" w:cs="宋体" w:eastAsia="宋体" w:hint="default"/>
          <w:w w:val="100"/>
          <w:sz w:val="22"/>
          <w:szCs w:val="22"/>
        </w:rPr>
        <w:t> </w:t>
      </w:r>
      <w:r>
        <w:rPr>
          <w:rFonts w:ascii="宋体" w:hAnsi="宋体" w:cs="宋体" w:eastAsia="宋体" w:hint="default"/>
          <w:sz w:val="22"/>
          <w:szCs w:val="22"/>
        </w:rPr>
        <w:t>限公司的下列银行借款提供连带责任担保：</w:t>
      </w:r>
    </w:p>
    <w:p>
      <w:pPr>
        <w:spacing w:line="240" w:lineRule="auto" w:before="11"/>
        <w:rPr>
          <w:rFonts w:ascii="宋体" w:hAnsi="宋体" w:cs="宋体" w:eastAsia="宋体" w:hint="default"/>
          <w:sz w:val="9"/>
          <w:szCs w:val="9"/>
        </w:rPr>
      </w:pPr>
    </w:p>
    <w:tbl>
      <w:tblPr>
        <w:tblW w:w="0" w:type="auto"/>
        <w:jc w:val="left"/>
        <w:tblInd w:w="119" w:type="dxa"/>
        <w:tblLayout w:type="fixed"/>
        <w:tblCellMar>
          <w:top w:w="0" w:type="dxa"/>
          <w:left w:w="0" w:type="dxa"/>
          <w:bottom w:w="0" w:type="dxa"/>
          <w:right w:w="0" w:type="dxa"/>
        </w:tblCellMar>
        <w:tblLook w:val="01E0"/>
      </w:tblPr>
      <w:tblGrid>
        <w:gridCol w:w="2118"/>
        <w:gridCol w:w="2031"/>
        <w:gridCol w:w="2168"/>
        <w:gridCol w:w="2423"/>
      </w:tblGrid>
      <w:tr>
        <w:trPr>
          <w:trHeight w:val="312" w:hRule="exact"/>
        </w:trPr>
        <w:tc>
          <w:tcPr>
            <w:tcW w:w="2118"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left="626" w:right="0"/>
              <w:jc w:val="left"/>
              <w:rPr>
                <w:rFonts w:ascii="宋体" w:hAnsi="宋体" w:cs="宋体" w:eastAsia="宋体" w:hint="default"/>
                <w:sz w:val="18"/>
                <w:szCs w:val="18"/>
              </w:rPr>
            </w:pPr>
            <w:r>
              <w:rPr>
                <w:rFonts w:ascii="宋体" w:hAnsi="宋体" w:cs="宋体" w:eastAsia="宋体" w:hint="default"/>
                <w:b/>
                <w:bCs/>
                <w:sz w:val="18"/>
                <w:szCs w:val="18"/>
              </w:rPr>
              <w:t>贷款银行</w:t>
            </w:r>
            <w:r>
              <w:rPr>
                <w:rFonts w:ascii="宋体" w:hAnsi="宋体" w:cs="宋体" w:eastAsia="宋体" w:hint="default"/>
                <w:sz w:val="18"/>
                <w:szCs w:val="18"/>
              </w:rPr>
            </w:r>
          </w:p>
        </w:tc>
        <w:tc>
          <w:tcPr>
            <w:tcW w:w="2031"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left="546" w:right="0"/>
              <w:jc w:val="left"/>
              <w:rPr>
                <w:rFonts w:ascii="宋体" w:hAnsi="宋体" w:cs="宋体" w:eastAsia="宋体" w:hint="default"/>
                <w:sz w:val="18"/>
                <w:szCs w:val="18"/>
              </w:rPr>
            </w:pPr>
            <w:r>
              <w:rPr>
                <w:rFonts w:ascii="宋体" w:hAnsi="宋体" w:cs="宋体" w:eastAsia="宋体" w:hint="default"/>
                <w:b/>
                <w:bCs/>
                <w:sz w:val="18"/>
                <w:szCs w:val="18"/>
              </w:rPr>
              <w:t>贷款金额</w:t>
            </w:r>
            <w:r>
              <w:rPr>
                <w:rFonts w:ascii="宋体" w:hAnsi="宋体" w:cs="宋体" w:eastAsia="宋体" w:hint="default"/>
                <w:sz w:val="18"/>
                <w:szCs w:val="18"/>
              </w:rPr>
            </w:r>
          </w:p>
        </w:tc>
        <w:tc>
          <w:tcPr>
            <w:tcW w:w="2168"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right="159"/>
              <w:jc w:val="center"/>
              <w:rPr>
                <w:rFonts w:ascii="宋体" w:hAnsi="宋体" w:cs="宋体" w:eastAsia="宋体" w:hint="default"/>
                <w:sz w:val="18"/>
                <w:szCs w:val="18"/>
              </w:rPr>
            </w:pPr>
            <w:r>
              <w:rPr>
                <w:rFonts w:ascii="宋体" w:hAnsi="宋体" w:cs="宋体" w:eastAsia="宋体" w:hint="default"/>
                <w:b/>
                <w:bCs/>
                <w:sz w:val="18"/>
                <w:szCs w:val="18"/>
              </w:rPr>
              <w:t>贷款期限</w:t>
            </w:r>
            <w:r>
              <w:rPr>
                <w:rFonts w:ascii="宋体" w:hAnsi="宋体" w:cs="宋体" w:eastAsia="宋体" w:hint="default"/>
                <w:sz w:val="18"/>
                <w:szCs w:val="18"/>
              </w:rPr>
            </w:r>
          </w:p>
        </w:tc>
        <w:tc>
          <w:tcPr>
            <w:tcW w:w="2423" w:type="dxa"/>
            <w:tcBorders>
              <w:top w:val="single" w:sz="12" w:space="0" w:color="000000"/>
              <w:left w:val="nil" w:sz="6" w:space="0" w:color="auto"/>
              <w:bottom w:val="single" w:sz="8" w:space="0" w:color="000000"/>
              <w:right w:val="nil" w:sz="6" w:space="0" w:color="auto"/>
            </w:tcBorders>
          </w:tcPr>
          <w:p>
            <w:pPr>
              <w:pStyle w:val="TableParagraph"/>
              <w:spacing w:line="240" w:lineRule="auto" w:before="22"/>
              <w:ind w:right="97"/>
              <w:jc w:val="center"/>
              <w:rPr>
                <w:rFonts w:ascii="宋体" w:hAnsi="宋体" w:cs="宋体" w:eastAsia="宋体" w:hint="default"/>
                <w:sz w:val="18"/>
                <w:szCs w:val="18"/>
              </w:rPr>
            </w:pPr>
            <w:r>
              <w:rPr>
                <w:rFonts w:ascii="宋体" w:hAnsi="宋体" w:cs="宋体" w:eastAsia="宋体" w:hint="default"/>
                <w:b/>
                <w:bCs/>
                <w:sz w:val="18"/>
                <w:szCs w:val="18"/>
              </w:rPr>
              <w:t>保证期间</w:t>
            </w:r>
            <w:r>
              <w:rPr>
                <w:rFonts w:ascii="宋体" w:hAnsi="宋体" w:cs="宋体" w:eastAsia="宋体" w:hint="default"/>
                <w:sz w:val="18"/>
                <w:szCs w:val="18"/>
              </w:rPr>
            </w:r>
          </w:p>
        </w:tc>
      </w:tr>
      <w:tr>
        <w:trPr>
          <w:trHeight w:val="305" w:hRule="exact"/>
        </w:trPr>
        <w:tc>
          <w:tcPr>
            <w:tcW w:w="2118"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北京银行清华园支行</w:t>
            </w:r>
          </w:p>
        </w:tc>
        <w:tc>
          <w:tcPr>
            <w:tcW w:w="2031"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162"/>
              <w:jc w:val="right"/>
              <w:rPr>
                <w:rFonts w:ascii="宋体" w:hAnsi="宋体" w:cs="宋体" w:eastAsia="宋体" w:hint="default"/>
                <w:sz w:val="18"/>
                <w:szCs w:val="18"/>
              </w:rPr>
            </w:pPr>
            <w:r>
              <w:rPr>
                <w:rFonts w:ascii="Times New Roman" w:hAnsi="Times New Roman" w:cs="Times New Roman" w:eastAsia="Times New Roman" w:hint="default"/>
                <w:sz w:val="18"/>
                <w:szCs w:val="18"/>
              </w:rPr>
              <w:t>10,600.00 </w:t>
            </w:r>
            <w:r>
              <w:rPr>
                <w:rFonts w:ascii="宋体" w:hAnsi="宋体" w:cs="宋体" w:eastAsia="宋体" w:hint="default"/>
                <w:sz w:val="18"/>
                <w:szCs w:val="18"/>
              </w:rPr>
              <w:t>万人民币</w:t>
            </w:r>
          </w:p>
        </w:tc>
        <w:tc>
          <w:tcPr>
            <w:tcW w:w="2168" w:type="dxa"/>
            <w:tcBorders>
              <w:top w:val="single" w:sz="8" w:space="0" w:color="000000"/>
              <w:left w:val="nil" w:sz="6" w:space="0" w:color="auto"/>
              <w:bottom w:val="single" w:sz="8" w:space="0" w:color="000000"/>
              <w:right w:val="nil" w:sz="6" w:space="0" w:color="auto"/>
            </w:tcBorders>
          </w:tcPr>
          <w:p>
            <w:pPr>
              <w:pStyle w:val="TableParagraph"/>
              <w:spacing w:line="240" w:lineRule="auto" w:before="72"/>
              <w:ind w:right="155"/>
              <w:jc w:val="center"/>
              <w:rPr>
                <w:rFonts w:ascii="Times New Roman" w:hAnsi="Times New Roman" w:cs="Times New Roman" w:eastAsia="Times New Roman" w:hint="default"/>
                <w:sz w:val="18"/>
                <w:szCs w:val="18"/>
              </w:rPr>
            </w:pPr>
            <w:r>
              <w:rPr>
                <w:rFonts w:ascii="Times New Roman"/>
                <w:sz w:val="18"/>
              </w:rPr>
              <w:t>2011.01.06-2019.01.06</w:t>
            </w:r>
          </w:p>
        </w:tc>
        <w:tc>
          <w:tcPr>
            <w:tcW w:w="2423" w:type="dxa"/>
            <w:tcBorders>
              <w:top w:val="single" w:sz="8" w:space="0" w:color="000000"/>
              <w:left w:val="nil" w:sz="6" w:space="0" w:color="auto"/>
              <w:bottom w:val="single" w:sz="8" w:space="0" w:color="000000"/>
              <w:right w:val="nil" w:sz="6" w:space="0" w:color="auto"/>
            </w:tcBorders>
          </w:tcPr>
          <w:p>
            <w:pPr>
              <w:pStyle w:val="TableParagraph"/>
              <w:spacing w:line="240" w:lineRule="auto" w:before="72"/>
              <w:ind w:right="95"/>
              <w:jc w:val="center"/>
              <w:rPr>
                <w:rFonts w:ascii="Times New Roman" w:hAnsi="Times New Roman" w:cs="Times New Roman" w:eastAsia="Times New Roman" w:hint="default"/>
                <w:sz w:val="18"/>
                <w:szCs w:val="18"/>
              </w:rPr>
            </w:pPr>
            <w:r>
              <w:rPr>
                <w:rFonts w:ascii="Times New Roman"/>
                <w:sz w:val="18"/>
              </w:rPr>
              <w:t>2011.01.06-2021.01.06</w:t>
            </w:r>
          </w:p>
        </w:tc>
      </w:tr>
      <w:tr>
        <w:trPr>
          <w:trHeight w:val="310" w:hRule="exact"/>
        </w:trPr>
        <w:tc>
          <w:tcPr>
            <w:tcW w:w="2118" w:type="dxa"/>
            <w:tcBorders>
              <w:top w:val="single" w:sz="8" w:space="0" w:color="000000"/>
              <w:left w:val="nil" w:sz="6" w:space="0" w:color="auto"/>
              <w:bottom w:val="single" w:sz="12" w:space="0" w:color="000000"/>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031" w:type="dxa"/>
            <w:tcBorders>
              <w:top w:val="single" w:sz="8" w:space="0" w:color="000000"/>
              <w:left w:val="nil" w:sz="6" w:space="0" w:color="auto"/>
              <w:bottom w:val="single" w:sz="12" w:space="0" w:color="000000"/>
              <w:right w:val="nil" w:sz="6" w:space="0" w:color="auto"/>
            </w:tcBorders>
          </w:tcPr>
          <w:p>
            <w:pPr>
              <w:pStyle w:val="TableParagraph"/>
              <w:spacing w:line="240" w:lineRule="auto" w:before="20"/>
              <w:ind w:right="165"/>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t>10,600.00</w:t>
            </w:r>
            <w:r>
              <w:rPr>
                <w:rFonts w:ascii="Times New Roman" w:hAnsi="Times New Roman" w:cs="Times New Roman" w:eastAsia="Times New Roman" w:hint="default"/>
                <w:b/>
                <w:bCs/>
                <w:spacing w:val="-3"/>
                <w:sz w:val="18"/>
                <w:szCs w:val="18"/>
              </w:rPr>
              <w:t> </w:t>
            </w:r>
            <w:r>
              <w:rPr>
                <w:rFonts w:ascii="宋体" w:hAnsi="宋体" w:cs="宋体" w:eastAsia="宋体" w:hint="default"/>
                <w:b/>
                <w:bCs/>
                <w:sz w:val="18"/>
                <w:szCs w:val="18"/>
              </w:rPr>
              <w:t>万人民币</w:t>
            </w:r>
            <w:r>
              <w:rPr>
                <w:rFonts w:ascii="宋体" w:hAnsi="宋体" w:cs="宋体" w:eastAsia="宋体" w:hint="default"/>
                <w:sz w:val="18"/>
                <w:szCs w:val="18"/>
              </w:rPr>
            </w:r>
          </w:p>
        </w:tc>
        <w:tc>
          <w:tcPr>
            <w:tcW w:w="2168" w:type="dxa"/>
            <w:tcBorders>
              <w:top w:val="single" w:sz="8" w:space="0" w:color="000000"/>
              <w:left w:val="nil" w:sz="6" w:space="0" w:color="auto"/>
              <w:bottom w:val="single" w:sz="12" w:space="0" w:color="000000"/>
              <w:right w:val="nil" w:sz="6" w:space="0" w:color="auto"/>
            </w:tcBorders>
          </w:tcPr>
          <w:p>
            <w:pPr/>
          </w:p>
        </w:tc>
        <w:tc>
          <w:tcPr>
            <w:tcW w:w="2423" w:type="dxa"/>
            <w:tcBorders>
              <w:top w:val="single" w:sz="8" w:space="0" w:color="000000"/>
              <w:left w:val="nil" w:sz="6" w:space="0" w:color="auto"/>
              <w:bottom w:val="single" w:sz="12" w:space="0" w:color="000000"/>
              <w:right w:val="nil" w:sz="6" w:space="0" w:color="auto"/>
            </w:tcBorders>
          </w:tcPr>
          <w:p>
            <w:pPr/>
          </w:p>
        </w:tc>
      </w:tr>
    </w:tbl>
    <w:p>
      <w:pPr>
        <w:spacing w:line="280" w:lineRule="auto" w:before="22"/>
        <w:ind w:left="1482" w:right="259" w:firstLine="559"/>
        <w:jc w:val="both"/>
        <w:rPr>
          <w:rFonts w:ascii="宋体" w:hAnsi="宋体" w:cs="宋体" w:eastAsia="宋体" w:hint="default"/>
          <w:sz w:val="22"/>
          <w:szCs w:val="22"/>
        </w:rPr>
      </w:pPr>
      <w:r>
        <w:rPr>
          <w:rFonts w:ascii="Times New Roman" w:hAnsi="Times New Roman" w:cs="Times New Roman" w:eastAsia="Times New Roman" w:hint="default"/>
          <w:b/>
          <w:bCs/>
          <w:sz w:val="22"/>
          <w:szCs w:val="22"/>
        </w:rPr>
        <w:t>5)</w:t>
      </w:r>
      <w:r>
        <w:rPr>
          <w:rFonts w:ascii="Times New Roman" w:hAnsi="Times New Roman" w:cs="Times New Roman" w:eastAsia="Times New Roman" w:hint="default"/>
          <w:b/>
          <w:bCs/>
          <w:spacing w:val="6"/>
          <w:sz w:val="22"/>
          <w:szCs w:val="22"/>
        </w:rPr>
        <w:t> </w:t>
      </w:r>
      <w:r>
        <w:rPr>
          <w:rFonts w:ascii="宋体" w:hAnsi="宋体" w:cs="宋体" w:eastAsia="宋体" w:hint="default"/>
          <w:sz w:val="22"/>
          <w:szCs w:val="22"/>
        </w:rPr>
        <w:t>截至</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年</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31 </w:t>
      </w:r>
      <w:r>
        <w:rPr>
          <w:rFonts w:ascii="宋体" w:hAnsi="宋体" w:cs="宋体" w:eastAsia="宋体" w:hint="default"/>
          <w:sz w:val="22"/>
          <w:szCs w:val="22"/>
        </w:rPr>
        <w:t>日，公司持股</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30.7813%</w:t>
      </w:r>
      <w:r>
        <w:rPr>
          <w:rFonts w:ascii="宋体" w:hAnsi="宋体" w:cs="宋体" w:eastAsia="宋体" w:hint="default"/>
          <w:sz w:val="22"/>
          <w:szCs w:val="22"/>
        </w:rPr>
        <w:t>的龙江环保集团股份</w:t>
      </w:r>
      <w:r>
        <w:rPr>
          <w:rFonts w:ascii="宋体" w:hAnsi="宋体" w:cs="宋体" w:eastAsia="宋体" w:hint="default"/>
          <w:w w:val="100"/>
          <w:sz w:val="22"/>
          <w:szCs w:val="22"/>
        </w:rPr>
        <w:t> </w:t>
      </w:r>
      <w:r>
        <w:rPr>
          <w:rFonts w:ascii="宋体" w:hAnsi="宋体" w:cs="宋体" w:eastAsia="宋体" w:hint="default"/>
          <w:sz w:val="22"/>
          <w:szCs w:val="22"/>
        </w:rPr>
        <w:t>有限公司以保证方式为其下属持股</w:t>
      </w:r>
      <w:r>
        <w:rPr>
          <w:rFonts w:ascii="宋体" w:hAnsi="宋体" w:cs="宋体" w:eastAsia="宋体" w:hint="default"/>
          <w:spacing w:val="-61"/>
          <w:sz w:val="22"/>
          <w:szCs w:val="22"/>
        </w:rPr>
        <w:t> </w:t>
      </w:r>
      <w:r>
        <w:rPr>
          <w:rFonts w:ascii="Times New Roman" w:hAnsi="Times New Roman" w:cs="Times New Roman" w:eastAsia="Times New Roman" w:hint="default"/>
          <w:sz w:val="22"/>
          <w:szCs w:val="22"/>
        </w:rPr>
        <w:t>100.00%</w:t>
      </w:r>
      <w:r>
        <w:rPr>
          <w:rFonts w:ascii="宋体" w:hAnsi="宋体" w:cs="宋体" w:eastAsia="宋体" w:hint="default"/>
          <w:sz w:val="22"/>
          <w:szCs w:val="22"/>
        </w:rPr>
        <w:t>的子公司哈尔滨文太升龙江环保</w:t>
      </w:r>
      <w:r>
        <w:rPr>
          <w:rFonts w:ascii="宋体" w:hAnsi="宋体" w:cs="宋体" w:eastAsia="宋体" w:hint="default"/>
          <w:w w:val="100"/>
          <w:sz w:val="22"/>
          <w:szCs w:val="22"/>
        </w:rPr>
        <w:t> </w:t>
      </w:r>
      <w:r>
        <w:rPr>
          <w:rFonts w:ascii="宋体" w:hAnsi="宋体" w:cs="宋体" w:eastAsia="宋体" w:hint="default"/>
          <w:sz w:val="22"/>
          <w:szCs w:val="22"/>
        </w:rPr>
        <w:t>水务有限责任公司的下列银行借款提供连带责任担保：</w:t>
      </w:r>
    </w:p>
    <w:p>
      <w:pPr>
        <w:spacing w:line="240" w:lineRule="auto" w:before="0"/>
        <w:rPr>
          <w:rFonts w:ascii="宋体" w:hAnsi="宋体" w:cs="宋体" w:eastAsia="宋体" w:hint="default"/>
          <w:sz w:val="10"/>
          <w:szCs w:val="10"/>
        </w:rPr>
      </w:pPr>
    </w:p>
    <w:tbl>
      <w:tblPr>
        <w:tblW w:w="0" w:type="auto"/>
        <w:jc w:val="left"/>
        <w:tblInd w:w="119" w:type="dxa"/>
        <w:tblLayout w:type="fixed"/>
        <w:tblCellMar>
          <w:top w:w="0" w:type="dxa"/>
          <w:left w:w="0" w:type="dxa"/>
          <w:bottom w:w="0" w:type="dxa"/>
          <w:right w:w="0" w:type="dxa"/>
        </w:tblCellMar>
        <w:tblLook w:val="01E0"/>
      </w:tblPr>
      <w:tblGrid>
        <w:gridCol w:w="2307"/>
        <w:gridCol w:w="1857"/>
        <w:gridCol w:w="2161"/>
        <w:gridCol w:w="2415"/>
      </w:tblGrid>
      <w:tr>
        <w:trPr>
          <w:trHeight w:val="305" w:hRule="exact"/>
        </w:trPr>
        <w:tc>
          <w:tcPr>
            <w:tcW w:w="230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3" w:right="0"/>
              <w:jc w:val="center"/>
              <w:rPr>
                <w:rFonts w:ascii="宋体" w:hAnsi="宋体" w:cs="宋体" w:eastAsia="宋体" w:hint="default"/>
                <w:sz w:val="18"/>
                <w:szCs w:val="18"/>
              </w:rPr>
            </w:pPr>
            <w:r>
              <w:rPr>
                <w:rFonts w:ascii="宋体" w:hAnsi="宋体" w:cs="宋体" w:eastAsia="宋体" w:hint="default"/>
                <w:b/>
                <w:bCs/>
                <w:sz w:val="18"/>
                <w:szCs w:val="18"/>
              </w:rPr>
              <w:t>贷款银行</w:t>
            </w:r>
            <w:r>
              <w:rPr>
                <w:rFonts w:ascii="宋体" w:hAnsi="宋体" w:cs="宋体" w:eastAsia="宋体" w:hint="default"/>
                <w:sz w:val="18"/>
                <w:szCs w:val="18"/>
              </w:rPr>
            </w:r>
          </w:p>
        </w:tc>
        <w:tc>
          <w:tcPr>
            <w:tcW w:w="185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545" w:right="0"/>
              <w:jc w:val="left"/>
              <w:rPr>
                <w:rFonts w:ascii="宋体" w:hAnsi="宋体" w:cs="宋体" w:eastAsia="宋体" w:hint="default"/>
                <w:sz w:val="18"/>
                <w:szCs w:val="18"/>
              </w:rPr>
            </w:pPr>
            <w:r>
              <w:rPr>
                <w:rFonts w:ascii="宋体" w:hAnsi="宋体" w:cs="宋体" w:eastAsia="宋体" w:hint="default"/>
                <w:b/>
                <w:bCs/>
                <w:sz w:val="18"/>
                <w:szCs w:val="18"/>
              </w:rPr>
              <w:t>贷款金额</w:t>
            </w:r>
            <w:r>
              <w:rPr>
                <w:rFonts w:ascii="宋体" w:hAnsi="宋体" w:cs="宋体" w:eastAsia="宋体" w:hint="default"/>
                <w:sz w:val="18"/>
                <w:szCs w:val="18"/>
              </w:rPr>
            </w:r>
          </w:p>
        </w:tc>
        <w:tc>
          <w:tcPr>
            <w:tcW w:w="216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52"/>
              <w:jc w:val="center"/>
              <w:rPr>
                <w:rFonts w:ascii="宋体" w:hAnsi="宋体" w:cs="宋体" w:eastAsia="宋体" w:hint="default"/>
                <w:sz w:val="18"/>
                <w:szCs w:val="18"/>
              </w:rPr>
            </w:pPr>
            <w:r>
              <w:rPr>
                <w:rFonts w:ascii="宋体" w:hAnsi="宋体" w:cs="宋体" w:eastAsia="宋体" w:hint="default"/>
                <w:b/>
                <w:bCs/>
                <w:sz w:val="18"/>
                <w:szCs w:val="18"/>
              </w:rPr>
              <w:t>贷款期限</w:t>
            </w:r>
            <w:r>
              <w:rPr>
                <w:rFonts w:ascii="宋体" w:hAnsi="宋体" w:cs="宋体" w:eastAsia="宋体" w:hint="default"/>
                <w:sz w:val="18"/>
                <w:szCs w:val="18"/>
              </w:rPr>
            </w:r>
          </w:p>
        </w:tc>
        <w:tc>
          <w:tcPr>
            <w:tcW w:w="241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0"/>
              <w:jc w:val="center"/>
              <w:rPr>
                <w:rFonts w:ascii="宋体" w:hAnsi="宋体" w:cs="宋体" w:eastAsia="宋体" w:hint="default"/>
                <w:sz w:val="18"/>
                <w:szCs w:val="18"/>
              </w:rPr>
            </w:pPr>
            <w:r>
              <w:rPr>
                <w:rFonts w:ascii="宋体" w:hAnsi="宋体" w:cs="宋体" w:eastAsia="宋体" w:hint="default"/>
                <w:b/>
                <w:bCs/>
                <w:sz w:val="18"/>
                <w:szCs w:val="18"/>
              </w:rPr>
              <w:t>保证期间</w:t>
            </w:r>
            <w:r>
              <w:rPr>
                <w:rFonts w:ascii="宋体" w:hAnsi="宋体" w:cs="宋体" w:eastAsia="宋体" w:hint="default"/>
                <w:sz w:val="18"/>
                <w:szCs w:val="18"/>
              </w:rPr>
            </w:r>
          </w:p>
        </w:tc>
      </w:tr>
      <w:tr>
        <w:trPr>
          <w:trHeight w:val="295" w:hRule="exact"/>
        </w:trPr>
        <w:tc>
          <w:tcPr>
            <w:tcW w:w="2307"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工商银行北京亚运村支行</w:t>
            </w:r>
          </w:p>
        </w:tc>
        <w:tc>
          <w:tcPr>
            <w:tcW w:w="1857"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161"/>
              <w:jc w:val="right"/>
              <w:rPr>
                <w:rFonts w:ascii="宋体" w:hAnsi="宋体" w:cs="宋体" w:eastAsia="宋体" w:hint="default"/>
                <w:sz w:val="18"/>
                <w:szCs w:val="18"/>
              </w:rPr>
            </w:pPr>
            <w:r>
              <w:rPr>
                <w:rFonts w:ascii="Times New Roman" w:hAnsi="Times New Roman" w:cs="Times New Roman" w:eastAsia="Times New Roman" w:hint="default"/>
                <w:sz w:val="18"/>
                <w:szCs w:val="18"/>
              </w:rPr>
              <w:t>9,075.00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万人民币</w:t>
            </w:r>
          </w:p>
        </w:tc>
        <w:tc>
          <w:tcPr>
            <w:tcW w:w="2161"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53"/>
              <w:jc w:val="center"/>
              <w:rPr>
                <w:rFonts w:ascii="Times New Roman" w:hAnsi="Times New Roman" w:cs="Times New Roman" w:eastAsia="Times New Roman" w:hint="default"/>
                <w:sz w:val="18"/>
                <w:szCs w:val="18"/>
              </w:rPr>
            </w:pPr>
            <w:r>
              <w:rPr>
                <w:rFonts w:ascii="Times New Roman"/>
                <w:sz w:val="18"/>
              </w:rPr>
              <w:t>2014.04.01-2024.01.05</w:t>
            </w:r>
          </w:p>
        </w:tc>
        <w:tc>
          <w:tcPr>
            <w:tcW w:w="241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97"/>
              <w:jc w:val="center"/>
              <w:rPr>
                <w:rFonts w:ascii="Times New Roman" w:hAnsi="Times New Roman" w:cs="Times New Roman" w:eastAsia="Times New Roman" w:hint="default"/>
                <w:sz w:val="18"/>
                <w:szCs w:val="18"/>
              </w:rPr>
            </w:pPr>
            <w:r>
              <w:rPr>
                <w:rFonts w:ascii="Times New Roman"/>
                <w:sz w:val="18"/>
              </w:rPr>
              <w:t>2014.04.01-2026.01.05</w:t>
            </w:r>
          </w:p>
        </w:tc>
      </w:tr>
      <w:tr>
        <w:trPr>
          <w:trHeight w:val="295" w:hRule="exact"/>
        </w:trPr>
        <w:tc>
          <w:tcPr>
            <w:tcW w:w="2307"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工商银行哈尔滨和平支行</w:t>
            </w:r>
          </w:p>
        </w:tc>
        <w:tc>
          <w:tcPr>
            <w:tcW w:w="1857"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right="161"/>
              <w:jc w:val="right"/>
              <w:rPr>
                <w:rFonts w:ascii="宋体" w:hAnsi="宋体" w:cs="宋体" w:eastAsia="宋体" w:hint="default"/>
                <w:sz w:val="18"/>
                <w:szCs w:val="18"/>
              </w:rPr>
            </w:pPr>
            <w:r>
              <w:rPr>
                <w:rFonts w:ascii="Times New Roman" w:hAnsi="Times New Roman" w:cs="Times New Roman" w:eastAsia="Times New Roman" w:hint="default"/>
                <w:sz w:val="18"/>
                <w:szCs w:val="18"/>
              </w:rPr>
              <w:t>9,075.00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万人民币</w:t>
            </w:r>
          </w:p>
        </w:tc>
        <w:tc>
          <w:tcPr>
            <w:tcW w:w="2161"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53"/>
              <w:jc w:val="center"/>
              <w:rPr>
                <w:rFonts w:ascii="Times New Roman" w:hAnsi="Times New Roman" w:cs="Times New Roman" w:eastAsia="Times New Roman" w:hint="default"/>
                <w:sz w:val="18"/>
                <w:szCs w:val="18"/>
              </w:rPr>
            </w:pPr>
            <w:r>
              <w:rPr>
                <w:rFonts w:ascii="Times New Roman"/>
                <w:sz w:val="18"/>
              </w:rPr>
              <w:t>2014.04.01-2024.01.05</w:t>
            </w:r>
          </w:p>
        </w:tc>
        <w:tc>
          <w:tcPr>
            <w:tcW w:w="241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97"/>
              <w:jc w:val="center"/>
              <w:rPr>
                <w:rFonts w:ascii="Times New Roman" w:hAnsi="Times New Roman" w:cs="Times New Roman" w:eastAsia="Times New Roman" w:hint="default"/>
                <w:sz w:val="18"/>
                <w:szCs w:val="18"/>
              </w:rPr>
            </w:pPr>
            <w:r>
              <w:rPr>
                <w:rFonts w:ascii="Times New Roman"/>
                <w:sz w:val="18"/>
              </w:rPr>
              <w:t>2014.04.01-2026.01.05</w:t>
            </w:r>
          </w:p>
        </w:tc>
      </w:tr>
      <w:tr>
        <w:trPr>
          <w:trHeight w:val="307" w:hRule="exact"/>
        </w:trPr>
        <w:tc>
          <w:tcPr>
            <w:tcW w:w="2307"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57"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right="162"/>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t>18,150.00</w:t>
            </w:r>
            <w:r>
              <w:rPr>
                <w:rFonts w:ascii="Times New Roman" w:hAnsi="Times New Roman" w:cs="Times New Roman" w:eastAsia="Times New Roman" w:hint="default"/>
                <w:b/>
                <w:bCs/>
                <w:spacing w:val="-4"/>
                <w:sz w:val="18"/>
                <w:szCs w:val="18"/>
              </w:rPr>
              <w:t> </w:t>
            </w:r>
            <w:r>
              <w:rPr>
                <w:rFonts w:ascii="宋体" w:hAnsi="宋体" w:cs="宋体" w:eastAsia="宋体" w:hint="default"/>
                <w:b/>
                <w:bCs/>
                <w:sz w:val="18"/>
                <w:szCs w:val="18"/>
              </w:rPr>
              <w:t>万人民币</w:t>
            </w:r>
            <w:r>
              <w:rPr>
                <w:rFonts w:ascii="宋体" w:hAnsi="宋体" w:cs="宋体" w:eastAsia="宋体" w:hint="default"/>
                <w:sz w:val="18"/>
                <w:szCs w:val="18"/>
              </w:rPr>
            </w:r>
          </w:p>
        </w:tc>
        <w:tc>
          <w:tcPr>
            <w:tcW w:w="2161" w:type="dxa"/>
            <w:tcBorders>
              <w:top w:val="single" w:sz="4" w:space="0" w:color="000000"/>
              <w:left w:val="nil" w:sz="6" w:space="0" w:color="auto"/>
              <w:bottom w:val="single" w:sz="12" w:space="0" w:color="000000"/>
              <w:right w:val="nil" w:sz="6" w:space="0" w:color="auto"/>
            </w:tcBorders>
          </w:tcPr>
          <w:p>
            <w:pPr/>
          </w:p>
        </w:tc>
        <w:tc>
          <w:tcPr>
            <w:tcW w:w="2415" w:type="dxa"/>
            <w:tcBorders>
              <w:top w:val="single" w:sz="4" w:space="0" w:color="000000"/>
              <w:left w:val="nil" w:sz="6" w:space="0" w:color="auto"/>
              <w:bottom w:val="single" w:sz="12" w:space="0" w:color="000000"/>
              <w:right w:val="nil" w:sz="6" w:space="0" w:color="auto"/>
            </w:tcBorders>
          </w:tcPr>
          <w:p>
            <w:pPr/>
          </w:p>
        </w:tc>
      </w:tr>
    </w:tbl>
    <w:p>
      <w:pPr>
        <w:spacing w:line="280" w:lineRule="auto" w:before="21"/>
        <w:ind w:left="1482" w:right="0" w:firstLine="559"/>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6)</w:t>
      </w:r>
      <w:r>
        <w:rPr>
          <w:rFonts w:ascii="Times New Roman" w:hAnsi="Times New Roman" w:cs="Times New Roman" w:eastAsia="Times New Roman" w:hint="default"/>
          <w:b/>
          <w:bCs/>
          <w:spacing w:val="6"/>
          <w:sz w:val="22"/>
          <w:szCs w:val="22"/>
        </w:rPr>
        <w:t> </w:t>
      </w:r>
      <w:r>
        <w:rPr>
          <w:rFonts w:ascii="宋体" w:hAnsi="宋体" w:cs="宋体" w:eastAsia="宋体" w:hint="default"/>
          <w:sz w:val="22"/>
          <w:szCs w:val="22"/>
        </w:rPr>
        <w:t>截至</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年</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31 </w:t>
      </w:r>
      <w:r>
        <w:rPr>
          <w:rFonts w:ascii="宋体" w:hAnsi="宋体" w:cs="宋体" w:eastAsia="宋体" w:hint="default"/>
          <w:sz w:val="22"/>
          <w:szCs w:val="22"/>
        </w:rPr>
        <w:t>日，公司持股</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30.7813%</w:t>
      </w:r>
      <w:r>
        <w:rPr>
          <w:rFonts w:ascii="宋体" w:hAnsi="宋体" w:cs="宋体" w:eastAsia="宋体" w:hint="default"/>
          <w:sz w:val="22"/>
          <w:szCs w:val="22"/>
        </w:rPr>
        <w:t>的龙江环保集团股份</w:t>
      </w:r>
      <w:r>
        <w:rPr>
          <w:rFonts w:ascii="宋体" w:hAnsi="宋体" w:cs="宋体" w:eastAsia="宋体" w:hint="default"/>
          <w:w w:val="100"/>
          <w:sz w:val="22"/>
          <w:szCs w:val="22"/>
        </w:rPr>
        <w:t> </w:t>
      </w:r>
      <w:r>
        <w:rPr>
          <w:rFonts w:ascii="宋体" w:hAnsi="宋体" w:cs="宋体" w:eastAsia="宋体" w:hint="default"/>
          <w:sz w:val="22"/>
          <w:szCs w:val="22"/>
        </w:rPr>
        <w:t>有限公司之全资子公司哈尔滨平义龙江环保治水有限责任公司以部分</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BOT</w:t>
      </w:r>
      <w:r>
        <w:rPr>
          <w:rFonts w:ascii="Times New Roman" w:hAnsi="Times New Roman" w:cs="Times New Roman" w:eastAsia="Times New Roman" w:hint="default"/>
          <w:spacing w:val="-1"/>
          <w:w w:val="100"/>
          <w:sz w:val="22"/>
          <w:szCs w:val="22"/>
        </w:rPr>
        <w:t> </w:t>
      </w:r>
      <w:r>
        <w:rPr>
          <w:rFonts w:ascii="宋体" w:hAnsi="宋体" w:cs="宋体" w:eastAsia="宋体" w:hint="default"/>
          <w:sz w:val="22"/>
          <w:szCs w:val="22"/>
        </w:rPr>
        <w:t>项目收费权为其母公司的下列融资租赁借款提供质押担保：</w:t>
      </w:r>
    </w:p>
    <w:p>
      <w:pPr>
        <w:spacing w:line="240" w:lineRule="auto" w:before="11"/>
        <w:rPr>
          <w:rFonts w:ascii="宋体" w:hAnsi="宋体" w:cs="宋体" w:eastAsia="宋体" w:hint="default"/>
          <w:sz w:val="9"/>
          <w:szCs w:val="9"/>
        </w:rPr>
      </w:pPr>
    </w:p>
    <w:tbl>
      <w:tblPr>
        <w:tblW w:w="0" w:type="auto"/>
        <w:jc w:val="left"/>
        <w:tblInd w:w="119" w:type="dxa"/>
        <w:tblLayout w:type="fixed"/>
        <w:tblCellMar>
          <w:top w:w="0" w:type="dxa"/>
          <w:left w:w="0" w:type="dxa"/>
          <w:bottom w:w="0" w:type="dxa"/>
          <w:right w:w="0" w:type="dxa"/>
        </w:tblCellMar>
        <w:tblLook w:val="01E0"/>
      </w:tblPr>
      <w:tblGrid>
        <w:gridCol w:w="2249"/>
        <w:gridCol w:w="1894"/>
        <w:gridCol w:w="2169"/>
        <w:gridCol w:w="2428"/>
      </w:tblGrid>
      <w:tr>
        <w:trPr>
          <w:trHeight w:val="308" w:hRule="exact"/>
        </w:trPr>
        <w:tc>
          <w:tcPr>
            <w:tcW w:w="2249"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left="839" w:right="0"/>
              <w:jc w:val="left"/>
              <w:rPr>
                <w:rFonts w:ascii="宋体" w:hAnsi="宋体" w:cs="宋体" w:eastAsia="宋体" w:hint="default"/>
                <w:sz w:val="18"/>
                <w:szCs w:val="18"/>
              </w:rPr>
            </w:pPr>
            <w:r>
              <w:rPr>
                <w:rFonts w:ascii="宋体" w:hAnsi="宋体" w:cs="宋体" w:eastAsia="宋体" w:hint="default"/>
                <w:b/>
                <w:bCs/>
                <w:sz w:val="18"/>
                <w:szCs w:val="18"/>
              </w:rPr>
              <w:t>贷款银行</w:t>
            </w:r>
            <w:r>
              <w:rPr>
                <w:rFonts w:ascii="宋体" w:hAnsi="宋体" w:cs="宋体" w:eastAsia="宋体" w:hint="default"/>
                <w:sz w:val="18"/>
                <w:szCs w:val="18"/>
              </w:rPr>
            </w:r>
          </w:p>
        </w:tc>
        <w:tc>
          <w:tcPr>
            <w:tcW w:w="1894"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left="76" w:right="0"/>
              <w:jc w:val="center"/>
              <w:rPr>
                <w:rFonts w:ascii="宋体" w:hAnsi="宋体" w:cs="宋体" w:eastAsia="宋体" w:hint="default"/>
                <w:sz w:val="18"/>
                <w:szCs w:val="18"/>
              </w:rPr>
            </w:pPr>
            <w:r>
              <w:rPr>
                <w:rFonts w:ascii="宋体" w:hAnsi="宋体" w:cs="宋体" w:eastAsia="宋体" w:hint="default"/>
                <w:b/>
                <w:bCs/>
                <w:sz w:val="18"/>
                <w:szCs w:val="18"/>
              </w:rPr>
              <w:t>贷款金额</w:t>
            </w:r>
            <w:r>
              <w:rPr>
                <w:rFonts w:ascii="宋体" w:hAnsi="宋体" w:cs="宋体" w:eastAsia="宋体" w:hint="default"/>
                <w:sz w:val="18"/>
                <w:szCs w:val="18"/>
              </w:rPr>
            </w:r>
          </w:p>
        </w:tc>
        <w:tc>
          <w:tcPr>
            <w:tcW w:w="2169"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right="157"/>
              <w:jc w:val="center"/>
              <w:rPr>
                <w:rFonts w:ascii="宋体" w:hAnsi="宋体" w:cs="宋体" w:eastAsia="宋体" w:hint="default"/>
                <w:sz w:val="18"/>
                <w:szCs w:val="18"/>
              </w:rPr>
            </w:pPr>
            <w:r>
              <w:rPr>
                <w:rFonts w:ascii="宋体" w:hAnsi="宋体" w:cs="宋体" w:eastAsia="宋体" w:hint="default"/>
                <w:b/>
                <w:bCs/>
                <w:sz w:val="18"/>
                <w:szCs w:val="18"/>
              </w:rPr>
              <w:t>贷款期限</w:t>
            </w:r>
            <w:r>
              <w:rPr>
                <w:rFonts w:ascii="宋体" w:hAnsi="宋体" w:cs="宋体" w:eastAsia="宋体" w:hint="default"/>
                <w:sz w:val="18"/>
                <w:szCs w:val="18"/>
              </w:rPr>
            </w:r>
          </w:p>
        </w:tc>
        <w:tc>
          <w:tcPr>
            <w:tcW w:w="2428"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right="97"/>
              <w:jc w:val="center"/>
              <w:rPr>
                <w:rFonts w:ascii="宋体" w:hAnsi="宋体" w:cs="宋体" w:eastAsia="宋体" w:hint="default"/>
                <w:sz w:val="18"/>
                <w:szCs w:val="18"/>
              </w:rPr>
            </w:pPr>
            <w:r>
              <w:rPr>
                <w:rFonts w:ascii="宋体" w:hAnsi="宋体" w:cs="宋体" w:eastAsia="宋体" w:hint="default"/>
                <w:b/>
                <w:bCs/>
                <w:sz w:val="18"/>
                <w:szCs w:val="18"/>
              </w:rPr>
              <w:t>保证期间</w:t>
            </w:r>
            <w:r>
              <w:rPr>
                <w:rFonts w:ascii="宋体" w:hAnsi="宋体" w:cs="宋体" w:eastAsia="宋体" w:hint="default"/>
                <w:sz w:val="18"/>
                <w:szCs w:val="18"/>
              </w:rPr>
            </w:r>
          </w:p>
        </w:tc>
      </w:tr>
      <w:tr>
        <w:trPr>
          <w:trHeight w:val="293" w:hRule="exact"/>
        </w:trPr>
        <w:tc>
          <w:tcPr>
            <w:tcW w:w="2249"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招银金融租赁有限公司</w:t>
            </w:r>
          </w:p>
        </w:tc>
        <w:tc>
          <w:tcPr>
            <w:tcW w:w="1894"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16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7,514.95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万人民币</w:t>
            </w:r>
          </w:p>
        </w:tc>
        <w:tc>
          <w:tcPr>
            <w:tcW w:w="2169"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55"/>
              <w:jc w:val="center"/>
              <w:rPr>
                <w:rFonts w:ascii="Times New Roman" w:hAnsi="Times New Roman" w:cs="Times New Roman" w:eastAsia="Times New Roman" w:hint="default"/>
                <w:sz w:val="18"/>
                <w:szCs w:val="18"/>
              </w:rPr>
            </w:pPr>
            <w:r>
              <w:rPr>
                <w:rFonts w:ascii="Times New Roman"/>
                <w:sz w:val="18"/>
              </w:rPr>
              <w:t>2015.03.20-2020.03.20</w:t>
            </w:r>
          </w:p>
        </w:tc>
        <w:tc>
          <w:tcPr>
            <w:tcW w:w="2428"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99"/>
              <w:jc w:val="center"/>
              <w:rPr>
                <w:rFonts w:ascii="Times New Roman" w:hAnsi="Times New Roman" w:cs="Times New Roman" w:eastAsia="Times New Roman" w:hint="default"/>
                <w:sz w:val="18"/>
                <w:szCs w:val="18"/>
              </w:rPr>
            </w:pPr>
            <w:r>
              <w:rPr>
                <w:rFonts w:ascii="Times New Roman"/>
                <w:sz w:val="18"/>
              </w:rPr>
              <w:t>2015.03.20-2022.03.20</w:t>
            </w:r>
          </w:p>
        </w:tc>
      </w:tr>
      <w:tr>
        <w:trPr>
          <w:trHeight w:val="307" w:hRule="exact"/>
        </w:trPr>
        <w:tc>
          <w:tcPr>
            <w:tcW w:w="2249"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94"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58" w:right="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7,514.95</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万人民币</w:t>
            </w:r>
            <w:r>
              <w:rPr>
                <w:rFonts w:ascii="宋体" w:hAnsi="宋体" w:cs="宋体" w:eastAsia="宋体" w:hint="default"/>
                <w:sz w:val="18"/>
                <w:szCs w:val="18"/>
              </w:rPr>
            </w:r>
          </w:p>
        </w:tc>
        <w:tc>
          <w:tcPr>
            <w:tcW w:w="2169" w:type="dxa"/>
            <w:tcBorders>
              <w:top w:val="single" w:sz="4" w:space="0" w:color="000000"/>
              <w:left w:val="nil" w:sz="6" w:space="0" w:color="auto"/>
              <w:bottom w:val="single" w:sz="12" w:space="0" w:color="000000"/>
              <w:right w:val="nil" w:sz="6" w:space="0" w:color="auto"/>
            </w:tcBorders>
          </w:tcPr>
          <w:p>
            <w:pPr/>
          </w:p>
        </w:tc>
        <w:tc>
          <w:tcPr>
            <w:tcW w:w="2428" w:type="dxa"/>
            <w:tcBorders>
              <w:top w:val="single" w:sz="4" w:space="0" w:color="000000"/>
              <w:left w:val="nil" w:sz="6" w:space="0" w:color="auto"/>
              <w:bottom w:val="single" w:sz="12" w:space="0" w:color="000000"/>
              <w:right w:val="nil" w:sz="6" w:space="0" w:color="auto"/>
            </w:tcBorders>
          </w:tcPr>
          <w:p>
            <w:pPr/>
          </w:p>
        </w:tc>
      </w:tr>
    </w:tbl>
    <w:p>
      <w:pPr>
        <w:spacing w:line="280" w:lineRule="auto" w:before="21"/>
        <w:ind w:left="1482" w:right="0" w:firstLine="559"/>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7)</w:t>
      </w:r>
      <w:r>
        <w:rPr>
          <w:rFonts w:ascii="Times New Roman" w:hAnsi="Times New Roman" w:cs="Times New Roman" w:eastAsia="Times New Roman" w:hint="default"/>
          <w:b/>
          <w:bCs/>
          <w:spacing w:val="6"/>
          <w:sz w:val="22"/>
          <w:szCs w:val="22"/>
        </w:rPr>
        <w:t> </w:t>
      </w:r>
      <w:r>
        <w:rPr>
          <w:rFonts w:ascii="宋体" w:hAnsi="宋体" w:cs="宋体" w:eastAsia="宋体" w:hint="default"/>
          <w:sz w:val="22"/>
          <w:szCs w:val="22"/>
        </w:rPr>
        <w:t>截至</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年</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31 </w:t>
      </w:r>
      <w:r>
        <w:rPr>
          <w:rFonts w:ascii="宋体" w:hAnsi="宋体" w:cs="宋体" w:eastAsia="宋体" w:hint="default"/>
          <w:sz w:val="22"/>
          <w:szCs w:val="22"/>
        </w:rPr>
        <w:t>日，公司持股</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51.75%</w:t>
      </w:r>
      <w:r>
        <w:rPr>
          <w:rFonts w:ascii="宋体" w:hAnsi="宋体" w:cs="宋体" w:eastAsia="宋体" w:hint="default"/>
          <w:sz w:val="22"/>
          <w:szCs w:val="22"/>
        </w:rPr>
        <w:t>的同方友友控股有限公</w:t>
      </w:r>
      <w:r>
        <w:rPr>
          <w:rFonts w:ascii="宋体" w:hAnsi="宋体" w:cs="宋体" w:eastAsia="宋体" w:hint="default"/>
          <w:w w:val="100"/>
          <w:sz w:val="22"/>
          <w:szCs w:val="22"/>
        </w:rPr>
        <w:t> </w:t>
      </w:r>
      <w:r>
        <w:rPr>
          <w:rFonts w:ascii="宋体" w:hAnsi="宋体" w:cs="宋体" w:eastAsia="宋体" w:hint="default"/>
          <w:sz w:val="22"/>
          <w:szCs w:val="22"/>
        </w:rPr>
        <w:t>司以保证方式为其下属持股</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100.00%</w:t>
      </w:r>
      <w:r>
        <w:rPr>
          <w:rFonts w:ascii="宋体" w:hAnsi="宋体" w:cs="宋体" w:eastAsia="宋体" w:hint="default"/>
          <w:sz w:val="22"/>
          <w:szCs w:val="22"/>
        </w:rPr>
        <w:t>的子公司</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Neo-Neon</w:t>
      </w:r>
      <w:r>
        <w:rPr>
          <w:rFonts w:ascii="Times New Roman" w:hAnsi="Times New Roman" w:cs="Times New Roman" w:eastAsia="Times New Roman" w:hint="default"/>
          <w:spacing w:val="-1"/>
          <w:sz w:val="22"/>
          <w:szCs w:val="22"/>
        </w:rPr>
        <w:t> </w:t>
      </w:r>
      <w:r>
        <w:rPr>
          <w:rFonts w:ascii="Times New Roman" w:hAnsi="Times New Roman" w:cs="Times New Roman" w:eastAsia="Times New Roman" w:hint="default"/>
          <w:sz w:val="22"/>
          <w:szCs w:val="22"/>
        </w:rPr>
        <w:t>LED</w:t>
      </w:r>
      <w:r>
        <w:rPr>
          <w:rFonts w:ascii="Times New Roman" w:hAnsi="Times New Roman" w:cs="Times New Roman" w:eastAsia="Times New Roman" w:hint="default"/>
          <w:spacing w:val="-3"/>
          <w:sz w:val="22"/>
          <w:szCs w:val="22"/>
        </w:rPr>
        <w:t> </w:t>
      </w:r>
      <w:r>
        <w:rPr>
          <w:rFonts w:ascii="Times New Roman" w:hAnsi="Times New Roman" w:cs="Times New Roman" w:eastAsia="Times New Roman" w:hint="default"/>
          <w:sz w:val="22"/>
          <w:szCs w:val="22"/>
        </w:rPr>
        <w:t>Lighting</w:t>
      </w:r>
      <w:r>
        <w:rPr>
          <w:rFonts w:ascii="Times New Roman" w:hAnsi="Times New Roman" w:cs="Times New Roman" w:eastAsia="Times New Roman" w:hint="default"/>
          <w:w w:val="100"/>
          <w:sz w:val="22"/>
          <w:szCs w:val="22"/>
        </w:rPr>
        <w:t> </w:t>
      </w:r>
      <w:r>
        <w:rPr>
          <w:rFonts w:ascii="Times New Roman" w:hAnsi="Times New Roman" w:cs="Times New Roman" w:eastAsia="Times New Roman" w:hint="default"/>
          <w:sz w:val="22"/>
          <w:szCs w:val="22"/>
        </w:rPr>
        <w:t>International Limited</w:t>
      </w:r>
      <w:r>
        <w:rPr>
          <w:rFonts w:ascii="Times New Roman" w:hAnsi="Times New Roman" w:cs="Times New Roman" w:eastAsia="Times New Roman" w:hint="default"/>
          <w:spacing w:val="-6"/>
          <w:sz w:val="22"/>
          <w:szCs w:val="22"/>
        </w:rPr>
        <w:t> </w:t>
      </w:r>
      <w:r>
        <w:rPr>
          <w:rFonts w:ascii="宋体" w:hAnsi="宋体" w:cs="宋体" w:eastAsia="宋体" w:hint="default"/>
          <w:sz w:val="22"/>
          <w:szCs w:val="22"/>
        </w:rPr>
        <w:t>的下列银行借款提供连带责任担保：</w:t>
      </w:r>
    </w:p>
    <w:p>
      <w:pPr>
        <w:spacing w:line="240" w:lineRule="auto" w:before="5"/>
        <w:rPr>
          <w:rFonts w:ascii="宋体" w:hAnsi="宋体" w:cs="宋体" w:eastAsia="宋体" w:hint="default"/>
          <w:sz w:val="8"/>
          <w:szCs w:val="8"/>
        </w:rPr>
      </w:pPr>
    </w:p>
    <w:tbl>
      <w:tblPr>
        <w:tblW w:w="0" w:type="auto"/>
        <w:jc w:val="left"/>
        <w:tblInd w:w="134" w:type="dxa"/>
        <w:tblLayout w:type="fixed"/>
        <w:tblCellMar>
          <w:top w:w="0" w:type="dxa"/>
          <w:left w:w="0" w:type="dxa"/>
          <w:bottom w:w="0" w:type="dxa"/>
          <w:right w:w="0" w:type="dxa"/>
        </w:tblCellMar>
        <w:tblLook w:val="01E0"/>
      </w:tblPr>
      <w:tblGrid>
        <w:gridCol w:w="2581"/>
        <w:gridCol w:w="1676"/>
        <w:gridCol w:w="2112"/>
        <w:gridCol w:w="2356"/>
      </w:tblGrid>
      <w:tr>
        <w:trPr>
          <w:trHeight w:val="305" w:hRule="exact"/>
        </w:trPr>
        <w:tc>
          <w:tcPr>
            <w:tcW w:w="258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06"/>
              <w:jc w:val="center"/>
              <w:rPr>
                <w:rFonts w:ascii="宋体" w:hAnsi="宋体" w:cs="宋体" w:eastAsia="宋体" w:hint="default"/>
                <w:sz w:val="18"/>
                <w:szCs w:val="18"/>
              </w:rPr>
            </w:pPr>
            <w:r>
              <w:rPr>
                <w:rFonts w:ascii="宋体" w:hAnsi="宋体" w:cs="宋体" w:eastAsia="宋体" w:hint="default"/>
                <w:b/>
                <w:bCs/>
                <w:sz w:val="18"/>
                <w:szCs w:val="18"/>
              </w:rPr>
              <w:t>贷款银行</w:t>
            </w:r>
            <w:r>
              <w:rPr>
                <w:rFonts w:ascii="宋体" w:hAnsi="宋体" w:cs="宋体" w:eastAsia="宋体" w:hint="default"/>
                <w:sz w:val="18"/>
                <w:szCs w:val="18"/>
              </w:rPr>
            </w:r>
          </w:p>
        </w:tc>
        <w:tc>
          <w:tcPr>
            <w:tcW w:w="167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354" w:right="0"/>
              <w:jc w:val="left"/>
              <w:rPr>
                <w:rFonts w:ascii="宋体" w:hAnsi="宋体" w:cs="宋体" w:eastAsia="宋体" w:hint="default"/>
                <w:sz w:val="18"/>
                <w:szCs w:val="18"/>
              </w:rPr>
            </w:pPr>
            <w:r>
              <w:rPr>
                <w:rFonts w:ascii="宋体" w:hAnsi="宋体" w:cs="宋体" w:eastAsia="宋体" w:hint="default"/>
                <w:b/>
                <w:bCs/>
                <w:sz w:val="18"/>
                <w:szCs w:val="18"/>
              </w:rPr>
              <w:t>贷款金额</w:t>
            </w:r>
            <w:r>
              <w:rPr>
                <w:rFonts w:ascii="宋体" w:hAnsi="宋体" w:cs="宋体" w:eastAsia="宋体" w:hint="default"/>
                <w:sz w:val="18"/>
                <w:szCs w:val="18"/>
              </w:rPr>
            </w:r>
          </w:p>
        </w:tc>
        <w:tc>
          <w:tcPr>
            <w:tcW w:w="211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37"/>
              <w:jc w:val="center"/>
              <w:rPr>
                <w:rFonts w:ascii="宋体" w:hAnsi="宋体" w:cs="宋体" w:eastAsia="宋体" w:hint="default"/>
                <w:sz w:val="18"/>
                <w:szCs w:val="18"/>
              </w:rPr>
            </w:pPr>
            <w:r>
              <w:rPr>
                <w:rFonts w:ascii="宋体" w:hAnsi="宋体" w:cs="宋体" w:eastAsia="宋体" w:hint="default"/>
                <w:b/>
                <w:bCs/>
                <w:sz w:val="18"/>
                <w:szCs w:val="18"/>
              </w:rPr>
              <w:t>贷款期限</w:t>
            </w:r>
            <w:r>
              <w:rPr>
                <w:rFonts w:ascii="宋体" w:hAnsi="宋体" w:cs="宋体" w:eastAsia="宋体" w:hint="default"/>
                <w:sz w:val="18"/>
                <w:szCs w:val="18"/>
              </w:rPr>
            </w:r>
          </w:p>
        </w:tc>
        <w:tc>
          <w:tcPr>
            <w:tcW w:w="235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97"/>
              <w:jc w:val="center"/>
              <w:rPr>
                <w:rFonts w:ascii="宋体" w:hAnsi="宋体" w:cs="宋体" w:eastAsia="宋体" w:hint="default"/>
                <w:sz w:val="18"/>
                <w:szCs w:val="18"/>
              </w:rPr>
            </w:pPr>
            <w:r>
              <w:rPr>
                <w:rFonts w:ascii="宋体" w:hAnsi="宋体" w:cs="宋体" w:eastAsia="宋体" w:hint="default"/>
                <w:b/>
                <w:bCs/>
                <w:sz w:val="18"/>
                <w:szCs w:val="18"/>
              </w:rPr>
              <w:t>保证期间</w:t>
            </w:r>
            <w:r>
              <w:rPr>
                <w:rFonts w:ascii="宋体" w:hAnsi="宋体" w:cs="宋体" w:eastAsia="宋体" w:hint="default"/>
                <w:sz w:val="18"/>
                <w:szCs w:val="18"/>
              </w:rPr>
            </w:r>
          </w:p>
        </w:tc>
      </w:tr>
      <w:tr>
        <w:trPr>
          <w:trHeight w:val="220" w:hRule="exact"/>
        </w:trPr>
        <w:tc>
          <w:tcPr>
            <w:tcW w:w="2581" w:type="dxa"/>
            <w:tcBorders>
              <w:top w:val="single" w:sz="4" w:space="0" w:color="000000"/>
              <w:left w:val="nil" w:sz="6" w:space="0" w:color="auto"/>
              <w:bottom w:val="nil" w:sz="6" w:space="0" w:color="auto"/>
              <w:right w:val="nil" w:sz="6" w:space="0" w:color="auto"/>
            </w:tcBorders>
          </w:tcPr>
          <w:p>
            <w:pPr>
              <w:pStyle w:val="TableParagraph"/>
              <w:spacing w:line="205" w:lineRule="exact"/>
              <w:ind w:right="203"/>
              <w:jc w:val="center"/>
              <w:rPr>
                <w:rFonts w:ascii="宋体" w:hAnsi="宋体" w:cs="宋体" w:eastAsia="宋体" w:hint="default"/>
                <w:sz w:val="18"/>
                <w:szCs w:val="18"/>
              </w:rPr>
            </w:pPr>
            <w:r>
              <w:rPr>
                <w:rFonts w:ascii="宋体" w:hAnsi="宋体" w:cs="宋体" w:eastAsia="宋体" w:hint="default"/>
                <w:sz w:val="18"/>
                <w:szCs w:val="18"/>
              </w:rPr>
              <w:t>台新国际商业银行香港分行</w:t>
            </w:r>
          </w:p>
        </w:tc>
        <w:tc>
          <w:tcPr>
            <w:tcW w:w="1676" w:type="dxa"/>
            <w:tcBorders>
              <w:top w:val="single" w:sz="4" w:space="0" w:color="000000"/>
              <w:left w:val="nil" w:sz="6" w:space="0" w:color="auto"/>
              <w:bottom w:val="nil" w:sz="6" w:space="0" w:color="auto"/>
              <w:right w:val="nil" w:sz="6" w:space="0" w:color="auto"/>
            </w:tcBorders>
          </w:tcPr>
          <w:p>
            <w:pPr>
              <w:pStyle w:val="TableParagraph"/>
              <w:spacing w:line="219" w:lineRule="exact"/>
              <w:ind w:left="3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1,089.96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c>
        <w:tc>
          <w:tcPr>
            <w:tcW w:w="2112"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139"/>
              <w:jc w:val="center"/>
              <w:rPr>
                <w:rFonts w:ascii="Times New Roman" w:hAnsi="Times New Roman" w:cs="Times New Roman" w:eastAsia="Times New Roman" w:hint="default"/>
                <w:sz w:val="18"/>
                <w:szCs w:val="18"/>
              </w:rPr>
            </w:pPr>
            <w:r>
              <w:rPr>
                <w:rFonts w:ascii="Times New Roman"/>
                <w:sz w:val="18"/>
              </w:rPr>
              <w:t>2015.08.25-2016.10.31</w:t>
            </w:r>
          </w:p>
        </w:tc>
        <w:tc>
          <w:tcPr>
            <w:tcW w:w="2356"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99"/>
              <w:jc w:val="center"/>
              <w:rPr>
                <w:rFonts w:ascii="Times New Roman" w:hAnsi="Times New Roman" w:cs="Times New Roman" w:eastAsia="Times New Roman" w:hint="default"/>
                <w:sz w:val="18"/>
                <w:szCs w:val="18"/>
              </w:rPr>
            </w:pPr>
            <w:r>
              <w:rPr>
                <w:rFonts w:ascii="Times New Roman"/>
                <w:sz w:val="18"/>
              </w:rPr>
              <w:t>2015.08.25-2018.03.21</w:t>
            </w:r>
          </w:p>
        </w:tc>
      </w:tr>
    </w:tbl>
    <w:p>
      <w:pPr>
        <w:spacing w:after="0" w:line="240" w:lineRule="auto"/>
        <w:jc w:val="center"/>
        <w:rPr>
          <w:rFonts w:ascii="Times New Roman" w:hAnsi="Times New Roman" w:cs="Times New Roman" w:eastAsia="Times New Roman" w:hint="default"/>
          <w:sz w:val="18"/>
          <w:szCs w:val="18"/>
        </w:rPr>
        <w:sectPr>
          <w:pgSz w:w="11910" w:h="16840"/>
          <w:pgMar w:header="645" w:footer="816" w:top="1080" w:bottom="1000" w:left="1460" w:right="1480"/>
        </w:sectPr>
      </w:pPr>
    </w:p>
    <w:p>
      <w:pPr>
        <w:spacing w:line="240" w:lineRule="auto" w:before="6"/>
        <w:rPr>
          <w:rFonts w:ascii="宋体" w:hAnsi="宋体" w:cs="宋体" w:eastAsia="宋体" w:hint="default"/>
          <w:sz w:val="5"/>
          <w:szCs w:val="5"/>
        </w:rPr>
      </w:pPr>
    </w:p>
    <w:p>
      <w:pPr>
        <w:spacing w:line="417" w:lineRule="exact"/>
        <w:ind w:left="165" w:right="0" w:firstLine="0"/>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861822" cy="265175"/>
            <wp:effectExtent l="0" t="0" r="0" b="0"/>
            <wp:docPr id="33" name="image1.jpeg" descr=""/>
            <wp:cNvGraphicFramePr>
              <a:graphicFrameLocks noChangeAspect="1"/>
            </wp:cNvGraphicFramePr>
            <a:graphic>
              <a:graphicData uri="http://schemas.openxmlformats.org/drawingml/2006/picture">
                <pic:pic>
                  <pic:nvPicPr>
                    <pic:cNvPr id="34" name="image1.jpeg"/>
                    <pic:cNvPicPr/>
                  </pic:nvPicPr>
                  <pic:blipFill>
                    <a:blip r:embed="rId35" cstate="print"/>
                    <a:stretch>
                      <a:fillRect/>
                    </a:stretch>
                  </pic:blipFill>
                  <pic:spPr>
                    <a:xfrm>
                      <a:off x="0" y="0"/>
                      <a:ext cx="861822" cy="265175"/>
                    </a:xfrm>
                    <a:prstGeom prst="rect">
                      <a:avLst/>
                    </a:prstGeom>
                  </pic:spPr>
                </pic:pic>
              </a:graphicData>
            </a:graphic>
          </wp:inline>
        </w:drawing>
      </w:r>
      <w:r>
        <w:rPr>
          <w:rFonts w:ascii="宋体" w:hAnsi="宋体" w:cs="宋体" w:eastAsia="宋体" w:hint="default"/>
          <w:position w:val="-7"/>
          <w:sz w:val="20"/>
          <w:szCs w:val="20"/>
        </w:rPr>
      </w:r>
    </w:p>
    <w:tbl>
      <w:tblPr>
        <w:tblW w:w="0" w:type="auto"/>
        <w:jc w:val="left"/>
        <w:tblInd w:w="139" w:type="dxa"/>
        <w:tblLayout w:type="fixed"/>
        <w:tblCellMar>
          <w:top w:w="0" w:type="dxa"/>
          <w:left w:w="0" w:type="dxa"/>
          <w:bottom w:w="0" w:type="dxa"/>
          <w:right w:w="0" w:type="dxa"/>
        </w:tblCellMar>
        <w:tblLook w:val="01E0"/>
      </w:tblPr>
      <w:tblGrid>
        <w:gridCol w:w="1493"/>
        <w:gridCol w:w="7247"/>
      </w:tblGrid>
      <w:tr>
        <w:trPr>
          <w:trHeight w:val="607" w:hRule="exact"/>
        </w:trPr>
        <w:tc>
          <w:tcPr>
            <w:tcW w:w="1493" w:type="dxa"/>
            <w:tcBorders>
              <w:top w:val="single" w:sz="6" w:space="0" w:color="000000"/>
              <w:left w:val="nil" w:sz="6" w:space="0" w:color="auto"/>
              <w:bottom w:val="single" w:sz="4" w:space="0" w:color="000000"/>
              <w:right w:val="nil" w:sz="6" w:space="0" w:color="auto"/>
            </w:tcBorders>
          </w:tcPr>
          <w:p>
            <w:pPr/>
          </w:p>
        </w:tc>
        <w:tc>
          <w:tcPr>
            <w:tcW w:w="7247" w:type="dxa"/>
            <w:tcBorders>
              <w:top w:val="single" w:sz="6"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1010" w:right="0"/>
              <w:jc w:val="left"/>
              <w:rPr>
                <w:rFonts w:ascii="宋体" w:hAnsi="宋体" w:cs="宋体" w:eastAsia="宋体" w:hint="default"/>
                <w:sz w:val="18"/>
                <w:szCs w:val="18"/>
              </w:rPr>
            </w:pPr>
            <w:r>
              <w:rPr>
                <w:rFonts w:ascii="宋体" w:hAnsi="宋体" w:cs="宋体" w:eastAsia="宋体" w:hint="default"/>
                <w:sz w:val="18"/>
                <w:szCs w:val="18"/>
              </w:rPr>
              <w:t>约</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7,077.77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万人民币</w:t>
            </w:r>
          </w:p>
        </w:tc>
      </w:tr>
      <w:tr>
        <w:trPr>
          <w:trHeight w:val="305" w:hRule="exact"/>
        </w:trPr>
        <w:tc>
          <w:tcPr>
            <w:tcW w:w="1493"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7247"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005" w:right="0"/>
              <w:jc w:val="left"/>
              <w:rPr>
                <w:rFonts w:ascii="宋体" w:hAnsi="宋体" w:cs="宋体" w:eastAsia="宋体" w:hint="default"/>
                <w:sz w:val="18"/>
                <w:szCs w:val="18"/>
              </w:rPr>
            </w:pPr>
            <w:r>
              <w:rPr>
                <w:rFonts w:ascii="宋体" w:hAnsi="宋体" w:cs="宋体" w:eastAsia="宋体" w:hint="default"/>
                <w:b/>
                <w:bCs/>
                <w:sz w:val="18"/>
                <w:szCs w:val="18"/>
              </w:rPr>
              <w:t>约</w:t>
            </w:r>
            <w:r>
              <w:rPr>
                <w:rFonts w:ascii="宋体" w:hAnsi="宋体" w:cs="宋体" w:eastAsia="宋体" w:hint="default"/>
                <w:b/>
                <w:bCs/>
                <w:spacing w:val="-47"/>
                <w:sz w:val="18"/>
                <w:szCs w:val="18"/>
              </w:rPr>
              <w:t> </w:t>
            </w:r>
            <w:r>
              <w:rPr>
                <w:rFonts w:ascii="Times New Roman" w:hAnsi="Times New Roman" w:cs="Times New Roman" w:eastAsia="Times New Roman" w:hint="default"/>
                <w:b/>
                <w:bCs/>
                <w:sz w:val="18"/>
                <w:szCs w:val="18"/>
              </w:rPr>
              <w:t>7,077.77</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万人民币</w:t>
            </w:r>
            <w:r>
              <w:rPr>
                <w:rFonts w:ascii="宋体" w:hAnsi="宋体" w:cs="宋体" w:eastAsia="宋体" w:hint="default"/>
                <w:sz w:val="18"/>
                <w:szCs w:val="18"/>
              </w:rPr>
            </w:r>
          </w:p>
        </w:tc>
      </w:tr>
    </w:tbl>
    <w:p>
      <w:pPr>
        <w:spacing w:before="37"/>
        <w:ind w:left="71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其他关联方为控股子公司提供担保</w:t>
      </w:r>
    </w:p>
    <w:p>
      <w:pPr>
        <w:spacing w:line="280" w:lineRule="auto" w:before="113"/>
        <w:ind w:left="262" w:right="207" w:firstLine="439"/>
        <w:jc w:val="left"/>
        <w:rPr>
          <w:rFonts w:ascii="宋体" w:hAnsi="宋体" w:cs="宋体" w:eastAsia="宋体" w:hint="default"/>
          <w:sz w:val="22"/>
          <w:szCs w:val="22"/>
        </w:rPr>
      </w:pPr>
      <w:r>
        <w:rPr>
          <w:rFonts w:ascii="宋体" w:hAnsi="宋体" w:cs="宋体" w:eastAsia="宋体" w:hint="default"/>
          <w:sz w:val="22"/>
          <w:szCs w:val="22"/>
        </w:rPr>
        <w:t>截至</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日，公司联营企业同方投资有限公司以保证方式为公司控股子</w:t>
      </w:r>
      <w:r>
        <w:rPr>
          <w:rFonts w:ascii="宋体" w:hAnsi="宋体" w:cs="宋体" w:eastAsia="宋体" w:hint="default"/>
          <w:w w:val="100"/>
          <w:sz w:val="22"/>
          <w:szCs w:val="22"/>
        </w:rPr>
        <w:t> </w:t>
      </w:r>
      <w:r>
        <w:rPr>
          <w:rFonts w:ascii="宋体" w:hAnsi="宋体" w:cs="宋体" w:eastAsia="宋体" w:hint="default"/>
          <w:sz w:val="22"/>
          <w:szCs w:val="22"/>
        </w:rPr>
        <w:t>公司龙江环保集团股份有限公司的下列银行借款提供连带责任担保：</w:t>
      </w:r>
    </w:p>
    <w:p>
      <w:pPr>
        <w:spacing w:line="240" w:lineRule="auto" w:before="0"/>
        <w:rPr>
          <w:rFonts w:ascii="宋体" w:hAnsi="宋体" w:cs="宋体" w:eastAsia="宋体" w:hint="default"/>
          <w:sz w:val="10"/>
          <w:szCs w:val="10"/>
        </w:rPr>
      </w:pPr>
    </w:p>
    <w:tbl>
      <w:tblPr>
        <w:tblW w:w="0" w:type="auto"/>
        <w:jc w:val="left"/>
        <w:tblInd w:w="106" w:type="dxa"/>
        <w:tblLayout w:type="fixed"/>
        <w:tblCellMar>
          <w:top w:w="0" w:type="dxa"/>
          <w:left w:w="0" w:type="dxa"/>
          <w:bottom w:w="0" w:type="dxa"/>
          <w:right w:w="0" w:type="dxa"/>
        </w:tblCellMar>
        <w:tblLook w:val="01E0"/>
      </w:tblPr>
      <w:tblGrid>
        <w:gridCol w:w="2639"/>
        <w:gridCol w:w="1997"/>
        <w:gridCol w:w="2038"/>
        <w:gridCol w:w="2106"/>
      </w:tblGrid>
      <w:tr>
        <w:trPr>
          <w:trHeight w:val="305" w:hRule="exact"/>
        </w:trPr>
        <w:tc>
          <w:tcPr>
            <w:tcW w:w="263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84" w:right="0"/>
              <w:jc w:val="center"/>
              <w:rPr>
                <w:rFonts w:ascii="宋体" w:hAnsi="宋体" w:cs="宋体" w:eastAsia="宋体" w:hint="default"/>
                <w:sz w:val="18"/>
                <w:szCs w:val="18"/>
              </w:rPr>
            </w:pPr>
            <w:r>
              <w:rPr>
                <w:rFonts w:ascii="宋体" w:hAnsi="宋体" w:cs="宋体" w:eastAsia="宋体" w:hint="default"/>
                <w:b/>
                <w:bCs/>
                <w:sz w:val="18"/>
                <w:szCs w:val="18"/>
              </w:rPr>
              <w:t>贷款银行</w:t>
            </w:r>
            <w:r>
              <w:rPr>
                <w:rFonts w:ascii="宋体" w:hAnsi="宋体" w:cs="宋体" w:eastAsia="宋体" w:hint="default"/>
                <w:sz w:val="18"/>
                <w:szCs w:val="18"/>
              </w:rPr>
            </w:r>
          </w:p>
        </w:tc>
        <w:tc>
          <w:tcPr>
            <w:tcW w:w="199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651" w:right="0"/>
              <w:jc w:val="left"/>
              <w:rPr>
                <w:rFonts w:ascii="宋体" w:hAnsi="宋体" w:cs="宋体" w:eastAsia="宋体" w:hint="default"/>
                <w:sz w:val="18"/>
                <w:szCs w:val="18"/>
              </w:rPr>
            </w:pPr>
            <w:r>
              <w:rPr>
                <w:rFonts w:ascii="宋体" w:hAnsi="宋体" w:cs="宋体" w:eastAsia="宋体" w:hint="default"/>
                <w:b/>
                <w:bCs/>
                <w:sz w:val="18"/>
                <w:szCs w:val="18"/>
              </w:rPr>
              <w:t>贷款金额</w:t>
            </w:r>
            <w:r>
              <w:rPr>
                <w:rFonts w:ascii="宋体" w:hAnsi="宋体" w:cs="宋体" w:eastAsia="宋体" w:hint="default"/>
                <w:sz w:val="18"/>
                <w:szCs w:val="18"/>
              </w:rPr>
            </w:r>
          </w:p>
        </w:tc>
        <w:tc>
          <w:tcPr>
            <w:tcW w:w="203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53"/>
              <w:jc w:val="center"/>
              <w:rPr>
                <w:rFonts w:ascii="宋体" w:hAnsi="宋体" w:cs="宋体" w:eastAsia="宋体" w:hint="default"/>
                <w:sz w:val="18"/>
                <w:szCs w:val="18"/>
              </w:rPr>
            </w:pPr>
            <w:r>
              <w:rPr>
                <w:rFonts w:ascii="宋体" w:hAnsi="宋体" w:cs="宋体" w:eastAsia="宋体" w:hint="default"/>
                <w:b/>
                <w:bCs/>
                <w:sz w:val="18"/>
                <w:szCs w:val="18"/>
              </w:rPr>
              <w:t>贷款期限</w:t>
            </w:r>
            <w:r>
              <w:rPr>
                <w:rFonts w:ascii="宋体" w:hAnsi="宋体" w:cs="宋体" w:eastAsia="宋体" w:hint="default"/>
                <w:sz w:val="18"/>
                <w:szCs w:val="18"/>
              </w:rPr>
            </w:r>
          </w:p>
        </w:tc>
        <w:tc>
          <w:tcPr>
            <w:tcW w:w="210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1"/>
              <w:jc w:val="center"/>
              <w:rPr>
                <w:rFonts w:ascii="宋体" w:hAnsi="宋体" w:cs="宋体" w:eastAsia="宋体" w:hint="default"/>
                <w:sz w:val="18"/>
                <w:szCs w:val="18"/>
              </w:rPr>
            </w:pPr>
            <w:r>
              <w:rPr>
                <w:rFonts w:ascii="宋体" w:hAnsi="宋体" w:cs="宋体" w:eastAsia="宋体" w:hint="default"/>
                <w:b/>
                <w:bCs/>
                <w:sz w:val="18"/>
                <w:szCs w:val="18"/>
              </w:rPr>
              <w:t>保证期间</w:t>
            </w:r>
            <w:r>
              <w:rPr>
                <w:rFonts w:ascii="宋体" w:hAnsi="宋体" w:cs="宋体" w:eastAsia="宋体" w:hint="default"/>
                <w:sz w:val="18"/>
                <w:szCs w:val="18"/>
              </w:rPr>
            </w:r>
          </w:p>
        </w:tc>
      </w:tr>
      <w:tr>
        <w:trPr>
          <w:trHeight w:val="325" w:hRule="exact"/>
        </w:trPr>
        <w:tc>
          <w:tcPr>
            <w:tcW w:w="2639"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中国进出口银行黑龙江分行</w:t>
            </w:r>
          </w:p>
        </w:tc>
        <w:tc>
          <w:tcPr>
            <w:tcW w:w="1997"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148"/>
              <w:jc w:val="right"/>
              <w:rPr>
                <w:rFonts w:ascii="宋体" w:hAnsi="宋体" w:cs="宋体" w:eastAsia="宋体" w:hint="default"/>
                <w:sz w:val="18"/>
                <w:szCs w:val="18"/>
              </w:rPr>
            </w:pPr>
            <w:r>
              <w:rPr>
                <w:rFonts w:ascii="Times New Roman" w:hAnsi="Times New Roman" w:cs="Times New Roman" w:eastAsia="Times New Roman" w:hint="default"/>
                <w:sz w:val="18"/>
                <w:szCs w:val="18"/>
              </w:rPr>
              <w:t>12,600.00 </w:t>
            </w:r>
            <w:r>
              <w:rPr>
                <w:rFonts w:ascii="宋体" w:hAnsi="宋体" w:cs="宋体" w:eastAsia="宋体" w:hint="default"/>
                <w:sz w:val="18"/>
                <w:szCs w:val="18"/>
              </w:rPr>
              <w:t>万人民币</w:t>
            </w:r>
          </w:p>
        </w:tc>
        <w:tc>
          <w:tcPr>
            <w:tcW w:w="203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55"/>
              <w:jc w:val="center"/>
              <w:rPr>
                <w:rFonts w:ascii="Times New Roman" w:hAnsi="Times New Roman" w:cs="Times New Roman" w:eastAsia="Times New Roman" w:hint="default"/>
                <w:sz w:val="18"/>
                <w:szCs w:val="18"/>
              </w:rPr>
            </w:pPr>
            <w:r>
              <w:rPr>
                <w:rFonts w:ascii="Times New Roman"/>
                <w:sz w:val="18"/>
              </w:rPr>
              <w:t>2012.07.24-2022.07.22</w:t>
            </w:r>
          </w:p>
        </w:tc>
        <w:tc>
          <w:tcPr>
            <w:tcW w:w="2106"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7"/>
              <w:jc w:val="center"/>
              <w:rPr>
                <w:rFonts w:ascii="Times New Roman" w:hAnsi="Times New Roman" w:cs="Times New Roman" w:eastAsia="Times New Roman" w:hint="default"/>
                <w:sz w:val="18"/>
                <w:szCs w:val="18"/>
              </w:rPr>
            </w:pPr>
            <w:r>
              <w:rPr>
                <w:rFonts w:ascii="Times New Roman"/>
                <w:sz w:val="18"/>
              </w:rPr>
              <w:t>2012.07.24-2024.07.22</w:t>
            </w:r>
          </w:p>
        </w:tc>
      </w:tr>
      <w:tr>
        <w:trPr>
          <w:trHeight w:val="255" w:hRule="exact"/>
        </w:trPr>
        <w:tc>
          <w:tcPr>
            <w:tcW w:w="2639" w:type="dxa"/>
            <w:tcBorders>
              <w:top w:val="nil" w:sz="6" w:space="0" w:color="auto"/>
              <w:left w:val="nil" w:sz="6" w:space="0" w:color="auto"/>
              <w:bottom w:val="single" w:sz="4"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中国进出口银行黑龙江分行</w:t>
            </w:r>
          </w:p>
        </w:tc>
        <w:tc>
          <w:tcPr>
            <w:tcW w:w="1997" w:type="dxa"/>
            <w:tcBorders>
              <w:top w:val="nil" w:sz="6" w:space="0" w:color="auto"/>
              <w:left w:val="nil" w:sz="6" w:space="0" w:color="auto"/>
              <w:bottom w:val="single" w:sz="4" w:space="0" w:color="000000"/>
              <w:right w:val="nil" w:sz="6" w:space="0" w:color="auto"/>
            </w:tcBorders>
          </w:tcPr>
          <w:p>
            <w:pPr>
              <w:pStyle w:val="TableParagraph"/>
              <w:spacing w:line="237" w:lineRule="exact"/>
              <w:ind w:right="148"/>
              <w:jc w:val="right"/>
              <w:rPr>
                <w:rFonts w:ascii="宋体" w:hAnsi="宋体" w:cs="宋体" w:eastAsia="宋体" w:hint="default"/>
                <w:sz w:val="18"/>
                <w:szCs w:val="18"/>
              </w:rPr>
            </w:pPr>
            <w:r>
              <w:rPr>
                <w:rFonts w:ascii="Times New Roman" w:hAnsi="Times New Roman" w:cs="Times New Roman" w:eastAsia="Times New Roman" w:hint="default"/>
                <w:sz w:val="18"/>
                <w:szCs w:val="18"/>
              </w:rPr>
              <w:t>7,800.00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万人民币</w:t>
            </w:r>
          </w:p>
        </w:tc>
        <w:tc>
          <w:tcPr>
            <w:tcW w:w="203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55"/>
              <w:jc w:val="center"/>
              <w:rPr>
                <w:rFonts w:ascii="Times New Roman" w:hAnsi="Times New Roman" w:cs="Times New Roman" w:eastAsia="Times New Roman" w:hint="default"/>
                <w:sz w:val="18"/>
                <w:szCs w:val="18"/>
              </w:rPr>
            </w:pPr>
            <w:r>
              <w:rPr>
                <w:rFonts w:ascii="Times New Roman"/>
                <w:sz w:val="18"/>
              </w:rPr>
              <w:t>2012.07.24-2023.07.14</w:t>
            </w:r>
          </w:p>
        </w:tc>
        <w:tc>
          <w:tcPr>
            <w:tcW w:w="2106"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7"/>
              <w:jc w:val="center"/>
              <w:rPr>
                <w:rFonts w:ascii="Times New Roman" w:hAnsi="Times New Roman" w:cs="Times New Roman" w:eastAsia="Times New Roman" w:hint="default"/>
                <w:sz w:val="18"/>
                <w:szCs w:val="18"/>
              </w:rPr>
            </w:pPr>
            <w:r>
              <w:rPr>
                <w:rFonts w:ascii="Times New Roman"/>
                <w:sz w:val="18"/>
              </w:rPr>
              <w:t>2012.07.24-2025.07.14</w:t>
            </w:r>
          </w:p>
        </w:tc>
      </w:tr>
      <w:tr>
        <w:trPr>
          <w:trHeight w:val="305" w:hRule="exact"/>
        </w:trPr>
        <w:tc>
          <w:tcPr>
            <w:tcW w:w="2639"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97"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right="150"/>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t>20,400.00</w:t>
            </w:r>
            <w:r>
              <w:rPr>
                <w:rFonts w:ascii="Times New Roman" w:hAnsi="Times New Roman" w:cs="Times New Roman" w:eastAsia="Times New Roman" w:hint="default"/>
                <w:b/>
                <w:bCs/>
                <w:spacing w:val="-3"/>
                <w:sz w:val="18"/>
                <w:szCs w:val="18"/>
              </w:rPr>
              <w:t> </w:t>
            </w:r>
            <w:r>
              <w:rPr>
                <w:rFonts w:ascii="宋体" w:hAnsi="宋体" w:cs="宋体" w:eastAsia="宋体" w:hint="default"/>
                <w:b/>
                <w:bCs/>
                <w:sz w:val="18"/>
                <w:szCs w:val="18"/>
              </w:rPr>
              <w:t>万人民币</w:t>
            </w:r>
            <w:r>
              <w:rPr>
                <w:rFonts w:ascii="宋体" w:hAnsi="宋体" w:cs="宋体" w:eastAsia="宋体" w:hint="default"/>
                <w:sz w:val="18"/>
                <w:szCs w:val="18"/>
              </w:rPr>
            </w:r>
          </w:p>
        </w:tc>
        <w:tc>
          <w:tcPr>
            <w:tcW w:w="2038" w:type="dxa"/>
            <w:tcBorders>
              <w:top w:val="single" w:sz="4" w:space="0" w:color="000000"/>
              <w:left w:val="nil" w:sz="6" w:space="0" w:color="auto"/>
              <w:bottom w:val="single" w:sz="12" w:space="0" w:color="000000"/>
              <w:right w:val="nil" w:sz="6" w:space="0" w:color="auto"/>
            </w:tcBorders>
          </w:tcPr>
          <w:p>
            <w:pPr/>
          </w:p>
        </w:tc>
        <w:tc>
          <w:tcPr>
            <w:tcW w:w="2106" w:type="dxa"/>
            <w:tcBorders>
              <w:top w:val="single" w:sz="4" w:space="0" w:color="000000"/>
              <w:left w:val="nil" w:sz="6" w:space="0" w:color="auto"/>
              <w:bottom w:val="single" w:sz="12" w:space="0" w:color="000000"/>
              <w:right w:val="nil" w:sz="6" w:space="0" w:color="auto"/>
            </w:tcBorders>
          </w:tcPr>
          <w:p>
            <w:pPr/>
          </w:p>
        </w:tc>
      </w:tr>
    </w:tbl>
    <w:p>
      <w:pPr>
        <w:spacing w:before="21"/>
        <w:ind w:left="71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  </w:t>
      </w:r>
      <w:r>
        <w:rPr>
          <w:rFonts w:ascii="Times New Roman" w:hAnsi="Times New Roman" w:cs="Times New Roman" w:eastAsia="Times New Roman" w:hint="default"/>
          <w:b/>
          <w:bCs/>
          <w:spacing w:val="33"/>
          <w:sz w:val="22"/>
          <w:szCs w:val="22"/>
        </w:rPr>
        <w:t> </w:t>
      </w:r>
      <w:r>
        <w:rPr>
          <w:rFonts w:ascii="宋体" w:hAnsi="宋体" w:cs="宋体" w:eastAsia="宋体" w:hint="default"/>
          <w:sz w:val="22"/>
          <w:szCs w:val="22"/>
        </w:rPr>
        <w:t>接受母公司担保</w:t>
      </w:r>
    </w:p>
    <w:p>
      <w:pPr>
        <w:spacing w:line="280" w:lineRule="auto" w:before="113"/>
        <w:ind w:left="262" w:right="207" w:firstLine="439"/>
        <w:jc w:val="left"/>
        <w:rPr>
          <w:rFonts w:ascii="宋体" w:hAnsi="宋体" w:cs="宋体" w:eastAsia="宋体" w:hint="default"/>
          <w:sz w:val="22"/>
          <w:szCs w:val="22"/>
        </w:rPr>
      </w:pPr>
      <w:r>
        <w:rPr>
          <w:rFonts w:ascii="宋体" w:hAnsi="宋体" w:cs="宋体" w:eastAsia="宋体" w:hint="default"/>
          <w:sz w:val="22"/>
          <w:szCs w:val="22"/>
        </w:rPr>
        <w:t>截至</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年</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月</w:t>
      </w:r>
      <w:r>
        <w:rPr>
          <w:rFonts w:ascii="宋体" w:hAnsi="宋体" w:cs="宋体" w:eastAsia="宋体" w:hint="default"/>
          <w:spacing w:val="-50"/>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日，公司控股股东清华控股有限公司以保证方式为公司控股子</w:t>
      </w:r>
      <w:r>
        <w:rPr>
          <w:rFonts w:ascii="宋体" w:hAnsi="宋体" w:cs="宋体" w:eastAsia="宋体" w:hint="default"/>
          <w:w w:val="100"/>
          <w:sz w:val="22"/>
          <w:szCs w:val="22"/>
        </w:rPr>
        <w:t> </w:t>
      </w:r>
      <w:r>
        <w:rPr>
          <w:rFonts w:ascii="宋体" w:hAnsi="宋体" w:cs="宋体" w:eastAsia="宋体" w:hint="default"/>
          <w:sz w:val="22"/>
          <w:szCs w:val="22"/>
        </w:rPr>
        <w:t>公司龙江环保集团股份有限公司的下列银行借款提供连带责任担保：</w:t>
      </w:r>
    </w:p>
    <w:p>
      <w:pPr>
        <w:spacing w:line="240" w:lineRule="auto" w:before="0"/>
        <w:rPr>
          <w:rFonts w:ascii="宋体" w:hAnsi="宋体" w:cs="宋体" w:eastAsia="宋体" w:hint="default"/>
          <w:sz w:val="10"/>
          <w:szCs w:val="10"/>
        </w:rPr>
      </w:pPr>
    </w:p>
    <w:tbl>
      <w:tblPr>
        <w:tblW w:w="0" w:type="auto"/>
        <w:jc w:val="left"/>
        <w:tblInd w:w="139" w:type="dxa"/>
        <w:tblLayout w:type="fixed"/>
        <w:tblCellMar>
          <w:top w:w="0" w:type="dxa"/>
          <w:left w:w="0" w:type="dxa"/>
          <w:bottom w:w="0" w:type="dxa"/>
          <w:right w:w="0" w:type="dxa"/>
        </w:tblCellMar>
        <w:tblLook w:val="01E0"/>
      </w:tblPr>
      <w:tblGrid>
        <w:gridCol w:w="2311"/>
        <w:gridCol w:w="2209"/>
        <w:gridCol w:w="2004"/>
        <w:gridCol w:w="2216"/>
      </w:tblGrid>
      <w:tr>
        <w:trPr>
          <w:trHeight w:val="305" w:hRule="exact"/>
        </w:trPr>
        <w:tc>
          <w:tcPr>
            <w:tcW w:w="231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979" w:right="0"/>
              <w:jc w:val="left"/>
              <w:rPr>
                <w:rFonts w:ascii="宋体" w:hAnsi="宋体" w:cs="宋体" w:eastAsia="宋体" w:hint="default"/>
                <w:sz w:val="18"/>
                <w:szCs w:val="18"/>
              </w:rPr>
            </w:pPr>
            <w:r>
              <w:rPr>
                <w:rFonts w:ascii="宋体" w:hAnsi="宋体" w:cs="宋体" w:eastAsia="宋体" w:hint="default"/>
                <w:b/>
                <w:bCs/>
                <w:sz w:val="18"/>
                <w:szCs w:val="18"/>
              </w:rPr>
              <w:t>贷款银行</w:t>
            </w:r>
            <w:r>
              <w:rPr>
                <w:rFonts w:ascii="宋体" w:hAnsi="宋体" w:cs="宋体" w:eastAsia="宋体" w:hint="default"/>
                <w:sz w:val="18"/>
                <w:szCs w:val="18"/>
              </w:rPr>
            </w:r>
          </w:p>
        </w:tc>
        <w:tc>
          <w:tcPr>
            <w:tcW w:w="220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919" w:right="0"/>
              <w:jc w:val="left"/>
              <w:rPr>
                <w:rFonts w:ascii="宋体" w:hAnsi="宋体" w:cs="宋体" w:eastAsia="宋体" w:hint="default"/>
                <w:sz w:val="18"/>
                <w:szCs w:val="18"/>
              </w:rPr>
            </w:pPr>
            <w:r>
              <w:rPr>
                <w:rFonts w:ascii="宋体" w:hAnsi="宋体" w:cs="宋体" w:eastAsia="宋体" w:hint="default"/>
                <w:b/>
                <w:bCs/>
                <w:sz w:val="18"/>
                <w:szCs w:val="18"/>
              </w:rPr>
              <w:t>贷款金额</w:t>
            </w:r>
            <w:r>
              <w:rPr>
                <w:rFonts w:ascii="宋体" w:hAnsi="宋体" w:cs="宋体" w:eastAsia="宋体" w:hint="default"/>
                <w:sz w:val="18"/>
                <w:szCs w:val="18"/>
              </w:rPr>
            </w:r>
          </w:p>
        </w:tc>
        <w:tc>
          <w:tcPr>
            <w:tcW w:w="200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3"/>
              <w:jc w:val="center"/>
              <w:rPr>
                <w:rFonts w:ascii="宋体" w:hAnsi="宋体" w:cs="宋体" w:eastAsia="宋体" w:hint="default"/>
                <w:sz w:val="18"/>
                <w:szCs w:val="18"/>
              </w:rPr>
            </w:pPr>
            <w:r>
              <w:rPr>
                <w:rFonts w:ascii="宋体" w:hAnsi="宋体" w:cs="宋体" w:eastAsia="宋体" w:hint="default"/>
                <w:b/>
                <w:bCs/>
                <w:sz w:val="18"/>
                <w:szCs w:val="18"/>
              </w:rPr>
              <w:t>贷款期限</w:t>
            </w:r>
            <w:r>
              <w:rPr>
                <w:rFonts w:ascii="宋体" w:hAnsi="宋体" w:cs="宋体" w:eastAsia="宋体" w:hint="default"/>
                <w:sz w:val="18"/>
                <w:szCs w:val="18"/>
              </w:rPr>
            </w:r>
          </w:p>
        </w:tc>
        <w:tc>
          <w:tcPr>
            <w:tcW w:w="221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2"/>
              <w:jc w:val="center"/>
              <w:rPr>
                <w:rFonts w:ascii="宋体" w:hAnsi="宋体" w:cs="宋体" w:eastAsia="宋体" w:hint="default"/>
                <w:sz w:val="18"/>
                <w:szCs w:val="18"/>
              </w:rPr>
            </w:pPr>
            <w:r>
              <w:rPr>
                <w:rFonts w:ascii="宋体" w:hAnsi="宋体" w:cs="宋体" w:eastAsia="宋体" w:hint="default"/>
                <w:b/>
                <w:bCs/>
                <w:sz w:val="18"/>
                <w:szCs w:val="18"/>
              </w:rPr>
              <w:t>保证期间</w:t>
            </w:r>
            <w:r>
              <w:rPr>
                <w:rFonts w:ascii="宋体" w:hAnsi="宋体" w:cs="宋体" w:eastAsia="宋体" w:hint="default"/>
                <w:sz w:val="18"/>
                <w:szCs w:val="18"/>
              </w:rPr>
            </w:r>
          </w:p>
        </w:tc>
      </w:tr>
      <w:tr>
        <w:trPr>
          <w:trHeight w:val="325" w:hRule="exact"/>
        </w:trPr>
        <w:tc>
          <w:tcPr>
            <w:tcW w:w="2311"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亚洲开发银行</w:t>
            </w:r>
          </w:p>
        </w:tc>
        <w:tc>
          <w:tcPr>
            <w:tcW w:w="2209"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Times New Roman" w:hAnsi="Times New Roman" w:cs="Times New Roman" w:eastAsia="Times New Roman" w:hint="default"/>
                <w:sz w:val="18"/>
                <w:szCs w:val="18"/>
              </w:rPr>
              <w:t>13,793.10 </w:t>
            </w:r>
            <w:r>
              <w:rPr>
                <w:rFonts w:ascii="宋体" w:hAnsi="宋体" w:cs="宋体" w:eastAsia="宋体" w:hint="default"/>
                <w:sz w:val="18"/>
                <w:szCs w:val="18"/>
              </w:rPr>
              <w:t>万人民币</w:t>
            </w:r>
          </w:p>
        </w:tc>
        <w:tc>
          <w:tcPr>
            <w:tcW w:w="200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5"/>
              <w:jc w:val="center"/>
              <w:rPr>
                <w:rFonts w:ascii="Times New Roman" w:hAnsi="Times New Roman" w:cs="Times New Roman" w:eastAsia="Times New Roman" w:hint="default"/>
                <w:sz w:val="18"/>
                <w:szCs w:val="18"/>
              </w:rPr>
            </w:pPr>
            <w:r>
              <w:rPr>
                <w:rFonts w:ascii="Times New Roman"/>
                <w:sz w:val="18"/>
              </w:rPr>
              <w:t>2010.12.14-2019.12.08</w:t>
            </w:r>
          </w:p>
        </w:tc>
        <w:tc>
          <w:tcPr>
            <w:tcW w:w="2216"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5"/>
              <w:jc w:val="center"/>
              <w:rPr>
                <w:rFonts w:ascii="Times New Roman" w:hAnsi="Times New Roman" w:cs="Times New Roman" w:eastAsia="Times New Roman" w:hint="default"/>
                <w:sz w:val="18"/>
                <w:szCs w:val="18"/>
              </w:rPr>
            </w:pPr>
            <w:r>
              <w:rPr>
                <w:rFonts w:ascii="Times New Roman"/>
                <w:sz w:val="18"/>
              </w:rPr>
              <w:t>2010.12.14-2021.12.08</w:t>
            </w:r>
          </w:p>
        </w:tc>
      </w:tr>
      <w:tr>
        <w:trPr>
          <w:trHeight w:val="284" w:hRule="exact"/>
        </w:trPr>
        <w:tc>
          <w:tcPr>
            <w:tcW w:w="2311"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亚洲开发银行</w:t>
            </w:r>
          </w:p>
        </w:tc>
        <w:tc>
          <w:tcPr>
            <w:tcW w:w="2209" w:type="dxa"/>
            <w:tcBorders>
              <w:top w:val="nil" w:sz="6" w:space="0" w:color="auto"/>
              <w:left w:val="nil" w:sz="6" w:space="0" w:color="auto"/>
              <w:bottom w:val="nil" w:sz="6" w:space="0" w:color="auto"/>
              <w:right w:val="nil" w:sz="6" w:space="0" w:color="auto"/>
            </w:tcBorders>
          </w:tcPr>
          <w:p>
            <w:pPr>
              <w:pStyle w:val="TableParagraph"/>
              <w:spacing w:line="237" w:lineRule="exact"/>
              <w:ind w:right="106"/>
              <w:jc w:val="right"/>
              <w:rPr>
                <w:rFonts w:ascii="宋体" w:hAnsi="宋体" w:cs="宋体" w:eastAsia="宋体" w:hint="default"/>
                <w:sz w:val="18"/>
                <w:szCs w:val="18"/>
              </w:rPr>
            </w:pPr>
            <w:r>
              <w:rPr>
                <w:rFonts w:ascii="Times New Roman" w:hAnsi="Times New Roman" w:cs="Times New Roman" w:eastAsia="Times New Roman" w:hint="default"/>
                <w:sz w:val="18"/>
                <w:szCs w:val="18"/>
              </w:rPr>
              <w:t>3,882.35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万人民币</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4"/>
              <w:jc w:val="center"/>
              <w:rPr>
                <w:rFonts w:ascii="Times New Roman" w:hAnsi="Times New Roman" w:cs="Times New Roman" w:eastAsia="Times New Roman" w:hint="default"/>
                <w:sz w:val="18"/>
                <w:szCs w:val="18"/>
              </w:rPr>
            </w:pPr>
            <w:r>
              <w:rPr>
                <w:rFonts w:ascii="Times New Roman"/>
                <w:sz w:val="18"/>
              </w:rPr>
              <w:t>2013.05.16-2019.08.16</w:t>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center"/>
              <w:rPr>
                <w:rFonts w:ascii="Times New Roman" w:hAnsi="Times New Roman" w:cs="Times New Roman" w:eastAsia="Times New Roman" w:hint="default"/>
                <w:sz w:val="18"/>
                <w:szCs w:val="18"/>
              </w:rPr>
            </w:pPr>
            <w:r>
              <w:rPr>
                <w:rFonts w:ascii="Times New Roman"/>
                <w:sz w:val="18"/>
              </w:rPr>
              <w:t>2013.05.16-2021.08.16</w:t>
            </w:r>
          </w:p>
        </w:tc>
      </w:tr>
      <w:tr>
        <w:trPr>
          <w:trHeight w:val="284" w:hRule="exact"/>
        </w:trPr>
        <w:tc>
          <w:tcPr>
            <w:tcW w:w="2311"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亚洲开发银行</w:t>
            </w:r>
          </w:p>
        </w:tc>
        <w:tc>
          <w:tcPr>
            <w:tcW w:w="2209" w:type="dxa"/>
            <w:tcBorders>
              <w:top w:val="nil" w:sz="6" w:space="0" w:color="auto"/>
              <w:left w:val="nil" w:sz="6" w:space="0" w:color="auto"/>
              <w:bottom w:val="nil" w:sz="6" w:space="0" w:color="auto"/>
              <w:right w:val="nil" w:sz="6" w:space="0" w:color="auto"/>
            </w:tcBorders>
          </w:tcPr>
          <w:p>
            <w:pPr>
              <w:pStyle w:val="TableParagraph"/>
              <w:spacing w:line="235" w:lineRule="exact"/>
              <w:ind w:right="106"/>
              <w:jc w:val="right"/>
              <w:rPr>
                <w:rFonts w:ascii="宋体" w:hAnsi="宋体" w:cs="宋体" w:eastAsia="宋体" w:hint="default"/>
                <w:sz w:val="18"/>
                <w:szCs w:val="18"/>
              </w:rPr>
            </w:pPr>
            <w:r>
              <w:rPr>
                <w:rFonts w:ascii="Times New Roman" w:hAnsi="Times New Roman" w:cs="Times New Roman" w:eastAsia="Times New Roman" w:hint="default"/>
                <w:sz w:val="18"/>
                <w:szCs w:val="18"/>
              </w:rPr>
              <w:t>13,044.71 </w:t>
            </w:r>
            <w:r>
              <w:rPr>
                <w:rFonts w:ascii="宋体" w:hAnsi="宋体" w:cs="宋体" w:eastAsia="宋体" w:hint="default"/>
                <w:sz w:val="18"/>
                <w:szCs w:val="18"/>
              </w:rPr>
              <w:t>万人民币</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4"/>
              <w:jc w:val="center"/>
              <w:rPr>
                <w:rFonts w:ascii="Times New Roman" w:hAnsi="Times New Roman" w:cs="Times New Roman" w:eastAsia="Times New Roman" w:hint="default"/>
                <w:sz w:val="18"/>
                <w:szCs w:val="18"/>
              </w:rPr>
            </w:pPr>
            <w:r>
              <w:rPr>
                <w:rFonts w:ascii="Times New Roman"/>
                <w:sz w:val="18"/>
              </w:rPr>
              <w:t>2013.05.16-2019.08.16</w:t>
            </w:r>
          </w:p>
        </w:tc>
        <w:tc>
          <w:tcPr>
            <w:tcW w:w="221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center"/>
              <w:rPr>
                <w:rFonts w:ascii="Times New Roman" w:hAnsi="Times New Roman" w:cs="Times New Roman" w:eastAsia="Times New Roman" w:hint="default"/>
                <w:sz w:val="18"/>
                <w:szCs w:val="18"/>
              </w:rPr>
            </w:pPr>
            <w:r>
              <w:rPr>
                <w:rFonts w:ascii="Times New Roman"/>
                <w:sz w:val="18"/>
              </w:rPr>
              <w:t>2013.05.16-2021.08.16</w:t>
            </w:r>
          </w:p>
        </w:tc>
      </w:tr>
      <w:tr>
        <w:trPr>
          <w:trHeight w:val="255" w:hRule="exact"/>
        </w:trPr>
        <w:tc>
          <w:tcPr>
            <w:tcW w:w="2311" w:type="dxa"/>
            <w:tcBorders>
              <w:top w:val="nil" w:sz="6" w:space="0" w:color="auto"/>
              <w:left w:val="nil" w:sz="6" w:space="0" w:color="auto"/>
              <w:bottom w:val="single" w:sz="4"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亚洲开发银行</w:t>
            </w:r>
          </w:p>
        </w:tc>
        <w:tc>
          <w:tcPr>
            <w:tcW w:w="2209" w:type="dxa"/>
            <w:tcBorders>
              <w:top w:val="nil" w:sz="6" w:space="0" w:color="auto"/>
              <w:left w:val="nil" w:sz="6" w:space="0" w:color="auto"/>
              <w:bottom w:val="single" w:sz="4" w:space="0" w:color="000000"/>
              <w:right w:val="nil" w:sz="6" w:space="0" w:color="auto"/>
            </w:tcBorders>
          </w:tcPr>
          <w:p>
            <w:pPr>
              <w:pStyle w:val="TableParagraph"/>
              <w:spacing w:line="237" w:lineRule="exact"/>
              <w:ind w:right="106"/>
              <w:jc w:val="right"/>
              <w:rPr>
                <w:rFonts w:ascii="宋体" w:hAnsi="宋体" w:cs="宋体" w:eastAsia="宋体" w:hint="default"/>
                <w:sz w:val="18"/>
                <w:szCs w:val="18"/>
              </w:rPr>
            </w:pPr>
            <w:r>
              <w:rPr>
                <w:rFonts w:ascii="Times New Roman" w:hAnsi="Times New Roman" w:cs="Times New Roman" w:eastAsia="Times New Roman" w:hint="default"/>
                <w:sz w:val="18"/>
                <w:szCs w:val="18"/>
              </w:rPr>
              <w:t>28,729.41 </w:t>
            </w:r>
            <w:r>
              <w:rPr>
                <w:rFonts w:ascii="宋体" w:hAnsi="宋体" w:cs="宋体" w:eastAsia="宋体" w:hint="default"/>
                <w:sz w:val="18"/>
                <w:szCs w:val="18"/>
              </w:rPr>
              <w:t>万人民币</w:t>
            </w:r>
          </w:p>
        </w:tc>
        <w:tc>
          <w:tcPr>
            <w:tcW w:w="200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4"/>
              <w:jc w:val="center"/>
              <w:rPr>
                <w:rFonts w:ascii="Times New Roman" w:hAnsi="Times New Roman" w:cs="Times New Roman" w:eastAsia="Times New Roman" w:hint="default"/>
                <w:sz w:val="18"/>
                <w:szCs w:val="18"/>
              </w:rPr>
            </w:pPr>
            <w:r>
              <w:rPr>
                <w:rFonts w:ascii="Times New Roman"/>
                <w:sz w:val="18"/>
              </w:rPr>
              <w:t>2015.05.25-2019.08.16</w:t>
            </w:r>
          </w:p>
        </w:tc>
        <w:tc>
          <w:tcPr>
            <w:tcW w:w="2216"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5"/>
              <w:jc w:val="center"/>
              <w:rPr>
                <w:rFonts w:ascii="Times New Roman" w:hAnsi="Times New Roman" w:cs="Times New Roman" w:eastAsia="Times New Roman" w:hint="default"/>
                <w:sz w:val="18"/>
                <w:szCs w:val="18"/>
              </w:rPr>
            </w:pPr>
            <w:r>
              <w:rPr>
                <w:rFonts w:ascii="Times New Roman"/>
                <w:sz w:val="18"/>
              </w:rPr>
              <w:t>2015.05.25-2021.08.16</w:t>
            </w:r>
          </w:p>
        </w:tc>
      </w:tr>
      <w:tr>
        <w:trPr>
          <w:trHeight w:val="307" w:hRule="exact"/>
        </w:trPr>
        <w:tc>
          <w:tcPr>
            <w:tcW w:w="2311"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09"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t>59,449.57</w:t>
            </w:r>
            <w:r>
              <w:rPr>
                <w:rFonts w:ascii="Times New Roman" w:hAnsi="Times New Roman" w:cs="Times New Roman" w:eastAsia="Times New Roman" w:hint="default"/>
                <w:b/>
                <w:bCs/>
                <w:spacing w:val="-3"/>
                <w:sz w:val="18"/>
                <w:szCs w:val="18"/>
              </w:rPr>
              <w:t> </w:t>
            </w:r>
            <w:r>
              <w:rPr>
                <w:rFonts w:ascii="宋体" w:hAnsi="宋体" w:cs="宋体" w:eastAsia="宋体" w:hint="default"/>
                <w:b/>
                <w:bCs/>
                <w:sz w:val="18"/>
                <w:szCs w:val="18"/>
              </w:rPr>
              <w:t>万人民币</w:t>
            </w:r>
            <w:r>
              <w:rPr>
                <w:rFonts w:ascii="宋体" w:hAnsi="宋体" w:cs="宋体" w:eastAsia="宋体" w:hint="default"/>
                <w:sz w:val="18"/>
                <w:szCs w:val="18"/>
              </w:rPr>
            </w:r>
          </w:p>
        </w:tc>
        <w:tc>
          <w:tcPr>
            <w:tcW w:w="2004" w:type="dxa"/>
            <w:tcBorders>
              <w:top w:val="single" w:sz="4" w:space="0" w:color="000000"/>
              <w:left w:val="nil" w:sz="6" w:space="0" w:color="auto"/>
              <w:bottom w:val="single" w:sz="12" w:space="0" w:color="000000"/>
              <w:right w:val="nil" w:sz="6" w:space="0" w:color="auto"/>
            </w:tcBorders>
          </w:tcPr>
          <w:p>
            <w:pPr/>
          </w:p>
        </w:tc>
        <w:tc>
          <w:tcPr>
            <w:tcW w:w="2216" w:type="dxa"/>
            <w:tcBorders>
              <w:top w:val="single" w:sz="4" w:space="0" w:color="000000"/>
              <w:left w:val="nil" w:sz="6" w:space="0" w:color="auto"/>
              <w:bottom w:val="single" w:sz="12" w:space="0" w:color="000000"/>
              <w:right w:val="nil" w:sz="6" w:space="0" w:color="auto"/>
            </w:tcBorders>
          </w:tcPr>
          <w:p>
            <w:pPr/>
          </w:p>
        </w:tc>
      </w:tr>
    </w:tbl>
    <w:p>
      <w:pPr>
        <w:spacing w:before="81"/>
        <w:ind w:left="71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  </w:t>
      </w:r>
      <w:r>
        <w:rPr>
          <w:rFonts w:ascii="Times New Roman" w:hAnsi="Times New Roman" w:cs="Times New Roman" w:eastAsia="Times New Roman" w:hint="default"/>
          <w:b/>
          <w:bCs/>
          <w:spacing w:val="18"/>
          <w:sz w:val="22"/>
          <w:szCs w:val="22"/>
        </w:rPr>
        <w:t> </w:t>
      </w:r>
      <w:r>
        <w:rPr>
          <w:rFonts w:ascii="宋体" w:hAnsi="宋体" w:cs="宋体" w:eastAsia="宋体" w:hint="default"/>
          <w:sz w:val="22"/>
          <w:szCs w:val="22"/>
        </w:rPr>
        <w:t>关联方资金拆借</w:t>
      </w:r>
    </w:p>
    <w:p>
      <w:pPr>
        <w:spacing w:before="110"/>
        <w:ind w:left="71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21"/>
          <w:sz w:val="22"/>
          <w:szCs w:val="22"/>
        </w:rPr>
        <w:t> </w:t>
      </w:r>
      <w:r>
        <w:rPr>
          <w:rFonts w:ascii="宋体" w:hAnsi="宋体" w:cs="宋体" w:eastAsia="宋体" w:hint="default"/>
          <w:sz w:val="22"/>
          <w:szCs w:val="22"/>
        </w:rPr>
        <w:t>年度</w:t>
      </w:r>
    </w:p>
    <w:p>
      <w:pPr>
        <w:spacing w:line="240" w:lineRule="auto" w:before="8"/>
        <w:rPr>
          <w:rFonts w:ascii="宋体" w:hAnsi="宋体" w:cs="宋体" w:eastAsia="宋体" w:hint="default"/>
          <w:sz w:val="11"/>
          <w:szCs w:val="11"/>
        </w:rPr>
      </w:pPr>
    </w:p>
    <w:tbl>
      <w:tblPr>
        <w:tblW w:w="0" w:type="auto"/>
        <w:jc w:val="left"/>
        <w:tblInd w:w="139" w:type="dxa"/>
        <w:tblLayout w:type="fixed"/>
        <w:tblCellMar>
          <w:top w:w="0" w:type="dxa"/>
          <w:left w:w="0" w:type="dxa"/>
          <w:bottom w:w="0" w:type="dxa"/>
          <w:right w:w="0" w:type="dxa"/>
        </w:tblCellMar>
        <w:tblLook w:val="01E0"/>
      </w:tblPr>
      <w:tblGrid>
        <w:gridCol w:w="2165"/>
        <w:gridCol w:w="2696"/>
        <w:gridCol w:w="1204"/>
        <w:gridCol w:w="2674"/>
      </w:tblGrid>
      <w:tr>
        <w:trPr>
          <w:trHeight w:val="305" w:hRule="exact"/>
        </w:trPr>
        <w:tc>
          <w:tcPr>
            <w:tcW w:w="2165" w:type="dxa"/>
            <w:vMerge w:val="restart"/>
            <w:tcBorders>
              <w:top w:val="single" w:sz="12" w:space="0" w:color="000000"/>
              <w:left w:val="nil" w:sz="6" w:space="0" w:color="auto"/>
              <w:right w:val="nil" w:sz="6" w:space="0" w:color="auto"/>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269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226" w:right="0"/>
              <w:jc w:val="left"/>
              <w:rPr>
                <w:rFonts w:ascii="宋体" w:hAnsi="宋体" w:cs="宋体" w:eastAsia="宋体" w:hint="default"/>
                <w:sz w:val="18"/>
                <w:szCs w:val="18"/>
              </w:rPr>
            </w:pPr>
            <w:r>
              <w:rPr>
                <w:rFonts w:ascii="宋体" w:hAnsi="宋体" w:cs="宋体" w:eastAsia="宋体" w:hint="default"/>
                <w:b/>
                <w:bCs/>
                <w:sz w:val="18"/>
                <w:szCs w:val="18"/>
              </w:rPr>
              <w:t>从关联方获取资金</w:t>
            </w:r>
            <w:r>
              <w:rPr>
                <w:rFonts w:ascii="宋体" w:hAnsi="宋体" w:cs="宋体" w:eastAsia="宋体" w:hint="default"/>
                <w:sz w:val="18"/>
                <w:szCs w:val="18"/>
              </w:rPr>
            </w:r>
          </w:p>
        </w:tc>
        <w:tc>
          <w:tcPr>
            <w:tcW w:w="1204" w:type="dxa"/>
            <w:tcBorders>
              <w:top w:val="single" w:sz="12" w:space="0" w:color="000000"/>
              <w:left w:val="nil" w:sz="6" w:space="0" w:color="auto"/>
              <w:bottom w:val="single" w:sz="4" w:space="0" w:color="000000"/>
              <w:right w:val="nil" w:sz="6" w:space="0" w:color="auto"/>
            </w:tcBorders>
          </w:tcPr>
          <w:p>
            <w:pPr/>
          </w:p>
        </w:tc>
        <w:tc>
          <w:tcPr>
            <w:tcW w:w="2674" w:type="dxa"/>
            <w:vMerge w:val="restart"/>
            <w:tcBorders>
              <w:top w:val="single" w:sz="12" w:space="0" w:color="000000"/>
              <w:left w:val="nil" w:sz="6" w:space="0" w:color="auto"/>
              <w:right w:val="nil" w:sz="6" w:space="0" w:color="auto"/>
            </w:tcBorders>
          </w:tcPr>
          <w:p>
            <w:pPr>
              <w:pStyle w:val="TableParagraph"/>
              <w:spacing w:line="240" w:lineRule="auto" w:before="145"/>
              <w:ind w:right="0"/>
              <w:jc w:val="center"/>
              <w:rPr>
                <w:rFonts w:ascii="宋体" w:hAnsi="宋体" w:cs="宋体" w:eastAsia="宋体" w:hint="default"/>
                <w:sz w:val="18"/>
                <w:szCs w:val="18"/>
              </w:rPr>
            </w:pPr>
            <w:r>
              <w:rPr>
                <w:rFonts w:ascii="宋体" w:hAnsi="宋体" w:cs="宋体" w:eastAsia="宋体" w:hint="default"/>
                <w:b/>
                <w:bCs/>
                <w:sz w:val="18"/>
                <w:szCs w:val="18"/>
              </w:rPr>
              <w:t>备注</w:t>
            </w:r>
            <w:r>
              <w:rPr>
                <w:rFonts w:ascii="宋体" w:hAnsi="宋体" w:cs="宋体" w:eastAsia="宋体" w:hint="default"/>
                <w:sz w:val="18"/>
                <w:szCs w:val="18"/>
              </w:rPr>
            </w:r>
          </w:p>
        </w:tc>
      </w:tr>
      <w:tr>
        <w:trPr>
          <w:trHeight w:val="295" w:hRule="exact"/>
        </w:trPr>
        <w:tc>
          <w:tcPr>
            <w:tcW w:w="2165" w:type="dxa"/>
            <w:vMerge/>
            <w:tcBorders>
              <w:left w:val="nil" w:sz="6" w:space="0" w:color="auto"/>
              <w:bottom w:val="single" w:sz="4" w:space="0" w:color="000000"/>
              <w:right w:val="nil" w:sz="6" w:space="0" w:color="auto"/>
            </w:tcBorders>
          </w:tcPr>
          <w:p>
            <w:pPr/>
          </w:p>
        </w:tc>
        <w:tc>
          <w:tcPr>
            <w:tcW w:w="269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681" w:right="0"/>
              <w:jc w:val="left"/>
              <w:rPr>
                <w:rFonts w:ascii="宋体" w:hAnsi="宋体" w:cs="宋体" w:eastAsia="宋体" w:hint="default"/>
                <w:sz w:val="18"/>
                <w:szCs w:val="18"/>
              </w:rPr>
            </w:pPr>
            <w:r>
              <w:rPr>
                <w:rFonts w:ascii="宋体" w:hAnsi="宋体" w:cs="宋体" w:eastAsia="宋体" w:hint="default"/>
                <w:b/>
                <w:bCs/>
                <w:sz w:val="18"/>
                <w:szCs w:val="18"/>
              </w:rPr>
              <w:t>发生额</w:t>
            </w:r>
            <w:r>
              <w:rPr>
                <w:rFonts w:ascii="宋体" w:hAnsi="宋体" w:cs="宋体" w:eastAsia="宋体" w:hint="default"/>
                <w:sz w:val="18"/>
                <w:szCs w:val="18"/>
              </w:rPr>
            </w:r>
          </w:p>
        </w:tc>
        <w:tc>
          <w:tcPr>
            <w:tcW w:w="1204"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25" w:right="0"/>
              <w:jc w:val="left"/>
              <w:rPr>
                <w:rFonts w:ascii="宋体" w:hAnsi="宋体" w:cs="宋体" w:eastAsia="宋体" w:hint="default"/>
                <w:sz w:val="18"/>
                <w:szCs w:val="18"/>
              </w:rPr>
            </w:pPr>
            <w:r>
              <w:rPr>
                <w:rFonts w:ascii="宋体" w:hAnsi="宋体" w:cs="宋体" w:eastAsia="宋体" w:hint="default"/>
                <w:b/>
                <w:bCs/>
                <w:sz w:val="18"/>
                <w:szCs w:val="18"/>
              </w:rPr>
              <w:t>余额</w:t>
            </w:r>
            <w:r>
              <w:rPr>
                <w:rFonts w:ascii="宋体" w:hAnsi="宋体" w:cs="宋体" w:eastAsia="宋体" w:hint="default"/>
                <w:sz w:val="18"/>
                <w:szCs w:val="18"/>
              </w:rPr>
            </w:r>
          </w:p>
        </w:tc>
        <w:tc>
          <w:tcPr>
            <w:tcW w:w="2674" w:type="dxa"/>
            <w:vMerge/>
            <w:tcBorders>
              <w:left w:val="nil" w:sz="6" w:space="0" w:color="auto"/>
              <w:bottom w:val="single" w:sz="4" w:space="0" w:color="000000"/>
              <w:right w:val="nil" w:sz="6" w:space="0" w:color="auto"/>
            </w:tcBorders>
          </w:tcPr>
          <w:p>
            <w:pPr/>
          </w:p>
        </w:tc>
      </w:tr>
      <w:tr>
        <w:trPr>
          <w:trHeight w:val="326" w:hRule="exact"/>
        </w:trPr>
        <w:tc>
          <w:tcPr>
            <w:tcW w:w="2165"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2696"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left="477" w:right="0"/>
              <w:jc w:val="left"/>
              <w:rPr>
                <w:rFonts w:ascii="Times New Roman" w:hAnsi="Times New Roman" w:cs="Times New Roman" w:eastAsia="Times New Roman" w:hint="default"/>
                <w:sz w:val="18"/>
                <w:szCs w:val="18"/>
              </w:rPr>
            </w:pPr>
            <w:r>
              <w:rPr>
                <w:rFonts w:ascii="Times New Roman"/>
                <w:sz w:val="18"/>
              </w:rPr>
              <w:t>-1,933,706,071.30</w:t>
            </w:r>
          </w:p>
        </w:tc>
        <w:tc>
          <w:tcPr>
            <w:tcW w:w="120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0.00</w:t>
            </w:r>
          </w:p>
        </w:tc>
        <w:tc>
          <w:tcPr>
            <w:tcW w:w="2674"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18"/>
                <w:szCs w:val="18"/>
              </w:rPr>
            </w:pPr>
            <w:r>
              <w:rPr>
                <w:rFonts w:ascii="宋体" w:hAnsi="宋体" w:cs="宋体" w:eastAsia="宋体" w:hint="default"/>
                <w:sz w:val="18"/>
                <w:szCs w:val="18"/>
              </w:rPr>
              <w:t>重庆项目合作款</w:t>
            </w:r>
          </w:p>
        </w:tc>
      </w:tr>
      <w:tr>
        <w:trPr>
          <w:trHeight w:val="284"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269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11" w:right="0"/>
              <w:jc w:val="left"/>
              <w:rPr>
                <w:rFonts w:ascii="Times New Roman" w:hAnsi="Times New Roman" w:cs="Times New Roman" w:eastAsia="Times New Roman" w:hint="default"/>
                <w:sz w:val="18"/>
                <w:szCs w:val="18"/>
              </w:rPr>
            </w:pPr>
            <w:r>
              <w:rPr>
                <w:rFonts w:ascii="Times New Roman"/>
                <w:sz w:val="18"/>
              </w:rPr>
              <w:t>-208,993,111.11</w:t>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0.00</w:t>
            </w:r>
          </w:p>
        </w:tc>
        <w:tc>
          <w:tcPr>
            <w:tcW w:w="2674" w:type="dxa"/>
            <w:tcBorders>
              <w:top w:val="nil" w:sz="6" w:space="0" w:color="auto"/>
              <w:left w:val="nil" w:sz="6" w:space="0" w:color="auto"/>
              <w:bottom w:val="nil" w:sz="6" w:space="0" w:color="auto"/>
              <w:right w:val="nil" w:sz="6" w:space="0" w:color="auto"/>
            </w:tcBorders>
          </w:tcPr>
          <w:p>
            <w:pPr>
              <w:pStyle w:val="TableParagraph"/>
              <w:spacing w:line="237" w:lineRule="exact"/>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B.O.T.</w:t>
            </w:r>
            <w:r>
              <w:rPr>
                <w:rFonts w:ascii="宋体" w:hAnsi="宋体" w:cs="宋体" w:eastAsia="宋体" w:hint="default"/>
                <w:sz w:val="18"/>
                <w:szCs w:val="18"/>
              </w:rPr>
              <w:t>项目委托贷款本息</w:t>
            </w:r>
          </w:p>
        </w:tc>
      </w:tr>
      <w:tr>
        <w:trPr>
          <w:trHeight w:val="284"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269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3" w:right="0"/>
              <w:jc w:val="left"/>
              <w:rPr>
                <w:rFonts w:ascii="Times New Roman" w:hAnsi="Times New Roman" w:cs="Times New Roman" w:eastAsia="Times New Roman" w:hint="default"/>
                <w:sz w:val="18"/>
                <w:szCs w:val="18"/>
              </w:rPr>
            </w:pPr>
            <w:r>
              <w:rPr>
                <w:rFonts w:ascii="Times New Roman"/>
                <w:sz w:val="18"/>
              </w:rPr>
              <w:t>-20,000,000.00</w:t>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c>
          <w:tcPr>
            <w:tcW w:w="2674" w:type="dxa"/>
            <w:tcBorders>
              <w:top w:val="nil" w:sz="6" w:space="0" w:color="auto"/>
              <w:left w:val="nil" w:sz="6" w:space="0" w:color="auto"/>
              <w:bottom w:val="nil" w:sz="6" w:space="0" w:color="auto"/>
              <w:right w:val="nil" w:sz="6" w:space="0" w:color="auto"/>
            </w:tcBorders>
          </w:tcPr>
          <w:p>
            <w:pPr>
              <w:pStyle w:val="TableParagraph"/>
              <w:spacing w:line="222" w:lineRule="exact"/>
              <w:ind w:left="107" w:right="0"/>
              <w:jc w:val="left"/>
              <w:rPr>
                <w:rFonts w:ascii="宋体" w:hAnsi="宋体" w:cs="宋体" w:eastAsia="宋体" w:hint="default"/>
                <w:sz w:val="18"/>
                <w:szCs w:val="18"/>
              </w:rPr>
            </w:pPr>
            <w:r>
              <w:rPr>
                <w:rFonts w:ascii="宋体" w:hAnsi="宋体" w:cs="宋体" w:eastAsia="宋体" w:hint="default"/>
                <w:sz w:val="18"/>
                <w:szCs w:val="18"/>
              </w:rPr>
              <w:t>定向增发保证金</w:t>
            </w:r>
          </w:p>
        </w:tc>
      </w:tr>
      <w:tr>
        <w:trPr>
          <w:trHeight w:val="255" w:hRule="exact"/>
        </w:trPr>
        <w:tc>
          <w:tcPr>
            <w:tcW w:w="2165" w:type="dxa"/>
            <w:tcBorders>
              <w:top w:val="nil" w:sz="6" w:space="0" w:color="auto"/>
              <w:left w:val="nil" w:sz="6" w:space="0" w:color="auto"/>
              <w:bottom w:val="single" w:sz="4"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紫光集团有限公司</w:t>
            </w:r>
          </w:p>
        </w:tc>
        <w:tc>
          <w:tcPr>
            <w:tcW w:w="2696"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left="791" w:right="0"/>
              <w:jc w:val="left"/>
              <w:rPr>
                <w:rFonts w:ascii="Times New Roman" w:hAnsi="Times New Roman" w:cs="Times New Roman" w:eastAsia="Times New Roman" w:hint="default"/>
                <w:sz w:val="18"/>
                <w:szCs w:val="18"/>
              </w:rPr>
            </w:pPr>
            <w:r>
              <w:rPr>
                <w:rFonts w:ascii="Times New Roman"/>
                <w:sz w:val="18"/>
              </w:rPr>
              <w:t>-5,000,000.00</w:t>
            </w:r>
          </w:p>
        </w:tc>
        <w:tc>
          <w:tcPr>
            <w:tcW w:w="120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0.00</w:t>
            </w:r>
          </w:p>
        </w:tc>
        <w:tc>
          <w:tcPr>
            <w:tcW w:w="2674" w:type="dxa"/>
            <w:tcBorders>
              <w:top w:val="nil" w:sz="6" w:space="0" w:color="auto"/>
              <w:left w:val="nil" w:sz="6" w:space="0" w:color="auto"/>
              <w:bottom w:val="single" w:sz="4" w:space="0" w:color="000000"/>
              <w:right w:val="nil" w:sz="6" w:space="0" w:color="auto"/>
            </w:tcBorders>
          </w:tcPr>
          <w:p>
            <w:pPr>
              <w:pStyle w:val="TableParagraph"/>
              <w:spacing w:line="223" w:lineRule="exact"/>
              <w:ind w:left="107" w:right="0"/>
              <w:jc w:val="left"/>
              <w:rPr>
                <w:rFonts w:ascii="宋体" w:hAnsi="宋体" w:cs="宋体" w:eastAsia="宋体" w:hint="default"/>
                <w:sz w:val="18"/>
                <w:szCs w:val="18"/>
              </w:rPr>
            </w:pPr>
            <w:r>
              <w:rPr>
                <w:rFonts w:ascii="宋体" w:hAnsi="宋体" w:cs="宋体" w:eastAsia="宋体" w:hint="default"/>
                <w:sz w:val="18"/>
                <w:szCs w:val="18"/>
              </w:rPr>
              <w:t>定向增发保证金</w:t>
            </w:r>
          </w:p>
        </w:tc>
      </w:tr>
      <w:tr>
        <w:trPr>
          <w:trHeight w:val="307" w:hRule="exact"/>
        </w:trPr>
        <w:tc>
          <w:tcPr>
            <w:tcW w:w="2165"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696"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477" w:right="0"/>
              <w:jc w:val="left"/>
              <w:rPr>
                <w:rFonts w:ascii="Times New Roman" w:hAnsi="Times New Roman" w:cs="Times New Roman" w:eastAsia="Times New Roman" w:hint="default"/>
                <w:sz w:val="18"/>
                <w:szCs w:val="18"/>
              </w:rPr>
            </w:pPr>
            <w:r>
              <w:rPr>
                <w:rFonts w:ascii="Times New Roman"/>
                <w:b/>
                <w:sz w:val="18"/>
              </w:rPr>
              <w:t>-2,167,699,182.41</w:t>
            </w:r>
            <w:r>
              <w:rPr>
                <w:rFonts w:ascii="Times New Roman"/>
                <w:sz w:val="18"/>
              </w:rPr>
            </w:r>
          </w:p>
        </w:tc>
        <w:tc>
          <w:tcPr>
            <w:tcW w:w="120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2674" w:type="dxa"/>
            <w:tcBorders>
              <w:top w:val="single" w:sz="4" w:space="0" w:color="000000"/>
              <w:left w:val="nil" w:sz="6" w:space="0" w:color="auto"/>
              <w:bottom w:val="single" w:sz="12" w:space="0" w:color="000000"/>
              <w:right w:val="nil" w:sz="6" w:space="0" w:color="auto"/>
            </w:tcBorders>
          </w:tcPr>
          <w:p>
            <w:pPr/>
          </w:p>
        </w:tc>
      </w:tr>
    </w:tbl>
    <w:p>
      <w:pPr>
        <w:spacing w:before="21"/>
        <w:ind w:left="715" w:right="207" w:firstLine="0"/>
        <w:jc w:val="left"/>
        <w:rPr>
          <w:rFonts w:ascii="宋体" w:hAnsi="宋体" w:cs="宋体" w:eastAsia="宋体" w:hint="default"/>
          <w:sz w:val="22"/>
          <w:szCs w:val="22"/>
        </w:rPr>
      </w:pPr>
      <w:r>
        <w:rPr/>
        <w:pict>
          <v:group style="position:absolute;margin-left:187.250015pt;margin-top:35.97768pt;width:192.15pt;height:.5pt;mso-position-horizontal-relative:page;mso-position-vertical-relative:paragraph;z-index:-1196632" coordorigin="3745,720" coordsize="3843,10">
            <v:group style="position:absolute;left:3750;top:724;width:1836;height:2" coordorigin="3750,724" coordsize="1836,2">
              <v:shape style="position:absolute;left:3750;top:724;width:1836;height:2" coordorigin="3750,724" coordsize="1836,0" path="m3750,724l5586,724e" filled="false" stroked="true" strokeweight=".47998pt" strokecolor="#000000">
                <v:path arrowok="t"/>
              </v:shape>
            </v:group>
            <v:group style="position:absolute;left:5586;top:724;width:10;height:2" coordorigin="5586,724" coordsize="10,2">
              <v:shape style="position:absolute;left:5586;top:724;width:10;height:2" coordorigin="5586,724" coordsize="10,0" path="m5586,724l5595,724e" filled="false" stroked="true" strokeweight=".47998pt" strokecolor="#000000">
                <v:path arrowok="t"/>
              </v:shape>
            </v:group>
            <v:group style="position:absolute;left:5595;top:724;width:1988;height:2" coordorigin="5595,724" coordsize="1988,2">
              <v:shape style="position:absolute;left:5595;top:724;width:1988;height:2" coordorigin="5595,724" coordsize="1988,0" path="m5595,724l7583,724e" filled="false" stroked="true" strokeweight=".47998pt" strokecolor="#000000">
                <v:path arrowok="t"/>
              </v:shape>
            </v:group>
            <w10:wrap type="none"/>
          </v:group>
        </w:pict>
      </w: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sz w:val="22"/>
          <w:szCs w:val="22"/>
        </w:rPr>
        <w:t>2014</w:t>
      </w:r>
      <w:r>
        <w:rPr>
          <w:rFonts w:ascii="Times New Roman" w:hAnsi="Times New Roman" w:cs="Times New Roman" w:eastAsia="Times New Roman" w:hint="default"/>
          <w:spacing w:val="-21"/>
          <w:sz w:val="22"/>
          <w:szCs w:val="22"/>
        </w:rPr>
        <w:t> </w:t>
      </w:r>
      <w:r>
        <w:rPr>
          <w:rFonts w:ascii="宋体" w:hAnsi="宋体" w:cs="宋体" w:eastAsia="宋体" w:hint="default"/>
          <w:sz w:val="22"/>
          <w:szCs w:val="22"/>
        </w:rPr>
        <w:t>年度</w:t>
      </w:r>
    </w:p>
    <w:p>
      <w:pPr>
        <w:spacing w:line="240" w:lineRule="auto" w:before="1"/>
        <w:rPr>
          <w:rFonts w:ascii="宋体" w:hAnsi="宋体" w:cs="宋体" w:eastAsia="宋体" w:hint="default"/>
          <w:sz w:val="6"/>
          <w:szCs w:val="6"/>
        </w:rPr>
      </w:pPr>
    </w:p>
    <w:tbl>
      <w:tblPr>
        <w:tblW w:w="0" w:type="auto"/>
        <w:jc w:val="left"/>
        <w:tblInd w:w="139" w:type="dxa"/>
        <w:tblLayout w:type="fixed"/>
        <w:tblCellMar>
          <w:top w:w="0" w:type="dxa"/>
          <w:left w:w="0" w:type="dxa"/>
          <w:bottom w:w="0" w:type="dxa"/>
          <w:right w:w="0" w:type="dxa"/>
        </w:tblCellMar>
        <w:tblLook w:val="01E0"/>
      </w:tblPr>
      <w:tblGrid>
        <w:gridCol w:w="2136"/>
        <w:gridCol w:w="2128"/>
        <w:gridCol w:w="1738"/>
        <w:gridCol w:w="2738"/>
      </w:tblGrid>
      <w:tr>
        <w:trPr>
          <w:trHeight w:val="249" w:hRule="exact"/>
        </w:trPr>
        <w:tc>
          <w:tcPr>
            <w:tcW w:w="2136" w:type="dxa"/>
            <w:tcBorders>
              <w:top w:val="single" w:sz="12" w:space="0" w:color="000000"/>
              <w:left w:val="nil" w:sz="6" w:space="0" w:color="auto"/>
              <w:bottom w:val="nil" w:sz="6" w:space="0" w:color="auto"/>
              <w:right w:val="nil" w:sz="6" w:space="0" w:color="auto"/>
            </w:tcBorders>
          </w:tcPr>
          <w:p>
            <w:pPr/>
          </w:p>
        </w:tc>
        <w:tc>
          <w:tcPr>
            <w:tcW w:w="3866"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22"/>
              <w:ind w:left="1224" w:right="0"/>
              <w:jc w:val="left"/>
              <w:rPr>
                <w:rFonts w:ascii="宋体" w:hAnsi="宋体" w:cs="宋体" w:eastAsia="宋体" w:hint="default"/>
                <w:sz w:val="18"/>
                <w:szCs w:val="18"/>
              </w:rPr>
            </w:pPr>
            <w:r>
              <w:rPr>
                <w:rFonts w:ascii="宋体" w:hAnsi="宋体" w:cs="宋体" w:eastAsia="宋体" w:hint="default"/>
                <w:b/>
                <w:bCs/>
                <w:sz w:val="18"/>
                <w:szCs w:val="18"/>
              </w:rPr>
              <w:t>从关联方获取资金</w:t>
            </w:r>
            <w:r>
              <w:rPr>
                <w:rFonts w:ascii="宋体" w:hAnsi="宋体" w:cs="宋体" w:eastAsia="宋体" w:hint="default"/>
                <w:sz w:val="18"/>
                <w:szCs w:val="18"/>
              </w:rPr>
            </w:r>
          </w:p>
        </w:tc>
        <w:tc>
          <w:tcPr>
            <w:tcW w:w="2738" w:type="dxa"/>
            <w:tcBorders>
              <w:top w:val="single" w:sz="12" w:space="0" w:color="000000"/>
              <w:left w:val="nil" w:sz="6" w:space="0" w:color="auto"/>
              <w:bottom w:val="nil" w:sz="6" w:space="0" w:color="auto"/>
              <w:right w:val="nil" w:sz="6" w:space="0" w:color="auto"/>
            </w:tcBorders>
          </w:tcPr>
          <w:p>
            <w:pPr/>
          </w:p>
        </w:tc>
      </w:tr>
      <w:tr>
        <w:trPr>
          <w:trHeight w:val="157"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156"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2128" w:type="dxa"/>
            <w:tcBorders>
              <w:top w:val="nil" w:sz="6" w:space="0" w:color="auto"/>
              <w:left w:val="nil" w:sz="6" w:space="0" w:color="auto"/>
              <w:bottom w:val="nil" w:sz="6" w:space="0" w:color="auto"/>
              <w:right w:val="nil" w:sz="6" w:space="0" w:color="auto"/>
            </w:tcBorders>
          </w:tcPr>
          <w:p>
            <w:pPr/>
          </w:p>
        </w:tc>
        <w:tc>
          <w:tcPr>
            <w:tcW w:w="1738" w:type="dxa"/>
            <w:tcBorders>
              <w:top w:val="nil" w:sz="6" w:space="0" w:color="auto"/>
              <w:left w:val="nil" w:sz="6" w:space="0" w:color="auto"/>
              <w:bottom w:val="nil" w:sz="6" w:space="0" w:color="auto"/>
              <w:right w:val="nil" w:sz="6" w:space="0" w:color="auto"/>
            </w:tcBorders>
          </w:tcPr>
          <w:p>
            <w:pPr/>
          </w:p>
        </w:tc>
        <w:tc>
          <w:tcPr>
            <w:tcW w:w="2738" w:type="dxa"/>
            <w:tcBorders>
              <w:top w:val="nil" w:sz="6" w:space="0" w:color="auto"/>
              <w:left w:val="nil" w:sz="6" w:space="0" w:color="auto"/>
              <w:bottom w:val="nil" w:sz="6" w:space="0" w:color="auto"/>
              <w:right w:val="nil" w:sz="6" w:space="0" w:color="auto"/>
            </w:tcBorders>
          </w:tcPr>
          <w:p>
            <w:pPr>
              <w:pStyle w:val="TableParagraph"/>
              <w:spacing w:line="156" w:lineRule="exact"/>
              <w:ind w:right="0"/>
              <w:jc w:val="center"/>
              <w:rPr>
                <w:rFonts w:ascii="宋体" w:hAnsi="宋体" w:cs="宋体" w:eastAsia="宋体" w:hint="default"/>
                <w:sz w:val="18"/>
                <w:szCs w:val="18"/>
              </w:rPr>
            </w:pPr>
            <w:r>
              <w:rPr>
                <w:rFonts w:ascii="宋体" w:hAnsi="宋体" w:cs="宋体" w:eastAsia="宋体" w:hint="default"/>
                <w:b/>
                <w:bCs/>
                <w:sz w:val="18"/>
                <w:szCs w:val="18"/>
              </w:rPr>
              <w:t>备注</w:t>
            </w:r>
            <w:r>
              <w:rPr>
                <w:rFonts w:ascii="宋体" w:hAnsi="宋体" w:cs="宋体" w:eastAsia="宋体" w:hint="default"/>
                <w:sz w:val="18"/>
                <w:szCs w:val="18"/>
              </w:rPr>
            </w:r>
          </w:p>
        </w:tc>
      </w:tr>
      <w:tr>
        <w:trPr>
          <w:trHeight w:val="213" w:hRule="exact"/>
        </w:trPr>
        <w:tc>
          <w:tcPr>
            <w:tcW w:w="2136" w:type="dxa"/>
            <w:tcBorders>
              <w:top w:val="nil" w:sz="6" w:space="0" w:color="auto"/>
              <w:left w:val="nil" w:sz="6" w:space="0" w:color="auto"/>
              <w:bottom w:val="single" w:sz="4" w:space="0" w:color="000000"/>
              <w:right w:val="nil" w:sz="6" w:space="0" w:color="auto"/>
            </w:tcBorders>
          </w:tcPr>
          <w:p>
            <w:pPr/>
          </w:p>
        </w:tc>
        <w:tc>
          <w:tcPr>
            <w:tcW w:w="2128" w:type="dxa"/>
            <w:tcBorders>
              <w:top w:val="nil" w:sz="6" w:space="0" w:color="auto"/>
              <w:left w:val="nil" w:sz="6" w:space="0" w:color="auto"/>
              <w:bottom w:val="single" w:sz="4" w:space="0" w:color="000000"/>
              <w:right w:val="nil" w:sz="6" w:space="0" w:color="auto"/>
            </w:tcBorders>
          </w:tcPr>
          <w:p>
            <w:pPr>
              <w:pStyle w:val="TableParagraph"/>
              <w:spacing w:line="181" w:lineRule="exact"/>
              <w:ind w:left="677" w:right="0"/>
              <w:jc w:val="left"/>
              <w:rPr>
                <w:rFonts w:ascii="宋体" w:hAnsi="宋体" w:cs="宋体" w:eastAsia="宋体" w:hint="default"/>
                <w:sz w:val="18"/>
                <w:szCs w:val="18"/>
              </w:rPr>
            </w:pPr>
            <w:r>
              <w:rPr>
                <w:rFonts w:ascii="宋体" w:hAnsi="宋体" w:cs="宋体" w:eastAsia="宋体" w:hint="default"/>
                <w:b/>
                <w:bCs/>
                <w:sz w:val="18"/>
                <w:szCs w:val="18"/>
              </w:rPr>
              <w:t>发生额</w:t>
            </w:r>
            <w:r>
              <w:rPr>
                <w:rFonts w:ascii="宋体" w:hAnsi="宋体" w:cs="宋体" w:eastAsia="宋体" w:hint="default"/>
                <w:sz w:val="18"/>
                <w:szCs w:val="18"/>
              </w:rPr>
            </w:r>
          </w:p>
        </w:tc>
        <w:tc>
          <w:tcPr>
            <w:tcW w:w="1738" w:type="dxa"/>
            <w:tcBorders>
              <w:top w:val="nil" w:sz="6" w:space="0" w:color="auto"/>
              <w:left w:val="nil" w:sz="6" w:space="0" w:color="auto"/>
              <w:bottom w:val="single" w:sz="4" w:space="0" w:color="000000"/>
              <w:right w:val="nil" w:sz="6" w:space="0" w:color="auto"/>
            </w:tcBorders>
          </w:tcPr>
          <w:p>
            <w:pPr>
              <w:pStyle w:val="TableParagraph"/>
              <w:spacing w:line="181" w:lineRule="exact"/>
              <w:ind w:left="558" w:right="0"/>
              <w:jc w:val="left"/>
              <w:rPr>
                <w:rFonts w:ascii="宋体" w:hAnsi="宋体" w:cs="宋体" w:eastAsia="宋体" w:hint="default"/>
                <w:sz w:val="18"/>
                <w:szCs w:val="18"/>
              </w:rPr>
            </w:pPr>
            <w:r>
              <w:rPr>
                <w:rFonts w:ascii="宋体" w:hAnsi="宋体" w:cs="宋体" w:eastAsia="宋体" w:hint="default"/>
                <w:b/>
                <w:bCs/>
                <w:sz w:val="18"/>
                <w:szCs w:val="18"/>
              </w:rPr>
              <w:t>余额</w:t>
            </w:r>
            <w:r>
              <w:rPr>
                <w:rFonts w:ascii="宋体" w:hAnsi="宋体" w:cs="宋体" w:eastAsia="宋体" w:hint="default"/>
                <w:sz w:val="18"/>
                <w:szCs w:val="18"/>
              </w:rPr>
            </w:r>
          </w:p>
        </w:tc>
        <w:tc>
          <w:tcPr>
            <w:tcW w:w="2738" w:type="dxa"/>
            <w:tcBorders>
              <w:top w:val="nil" w:sz="6" w:space="0" w:color="auto"/>
              <w:left w:val="nil" w:sz="6" w:space="0" w:color="auto"/>
              <w:bottom w:val="single" w:sz="4" w:space="0" w:color="000000"/>
              <w:right w:val="nil" w:sz="6" w:space="0" w:color="auto"/>
            </w:tcBorders>
          </w:tcPr>
          <w:p>
            <w:pPr/>
          </w:p>
        </w:tc>
      </w:tr>
      <w:tr>
        <w:trPr>
          <w:trHeight w:val="325" w:hRule="exact"/>
        </w:trPr>
        <w:tc>
          <w:tcPr>
            <w:tcW w:w="2136"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212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366"/>
              <w:jc w:val="right"/>
              <w:rPr>
                <w:rFonts w:ascii="Times New Roman" w:hAnsi="Times New Roman" w:cs="Times New Roman" w:eastAsia="Times New Roman" w:hint="default"/>
                <w:sz w:val="18"/>
                <w:szCs w:val="18"/>
              </w:rPr>
            </w:pPr>
            <w:r>
              <w:rPr>
                <w:rFonts w:ascii="Times New Roman"/>
                <w:spacing w:val="-1"/>
                <w:sz w:val="18"/>
              </w:rPr>
              <w:t>101,250,763.04</w:t>
            </w:r>
          </w:p>
        </w:tc>
        <w:tc>
          <w:tcPr>
            <w:tcW w:w="173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7"/>
              <w:jc w:val="right"/>
              <w:rPr>
                <w:rFonts w:ascii="Times New Roman" w:hAnsi="Times New Roman" w:cs="Times New Roman" w:eastAsia="Times New Roman" w:hint="default"/>
                <w:sz w:val="18"/>
                <w:szCs w:val="18"/>
              </w:rPr>
            </w:pPr>
            <w:r>
              <w:rPr>
                <w:rFonts w:ascii="Times New Roman"/>
                <w:spacing w:val="-1"/>
                <w:sz w:val="18"/>
              </w:rPr>
              <w:t>1,933,706,071.30</w:t>
            </w:r>
          </w:p>
        </w:tc>
        <w:tc>
          <w:tcPr>
            <w:tcW w:w="2738"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18"/>
                <w:szCs w:val="18"/>
              </w:rPr>
            </w:pPr>
            <w:r>
              <w:rPr>
                <w:rFonts w:ascii="宋体" w:hAnsi="宋体" w:cs="宋体" w:eastAsia="宋体" w:hint="default"/>
                <w:sz w:val="18"/>
                <w:szCs w:val="18"/>
              </w:rPr>
              <w:t>重庆项目合作款</w:t>
            </w:r>
          </w:p>
        </w:tc>
      </w:tr>
      <w:tr>
        <w:trPr>
          <w:trHeight w:val="284"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6"/>
              <w:jc w:val="right"/>
              <w:rPr>
                <w:rFonts w:ascii="Times New Roman" w:hAnsi="Times New Roman" w:cs="Times New Roman" w:eastAsia="Times New Roman" w:hint="default"/>
                <w:sz w:val="18"/>
                <w:szCs w:val="18"/>
              </w:rPr>
            </w:pPr>
            <w:r>
              <w:rPr>
                <w:rFonts w:ascii="Times New Roman"/>
                <w:spacing w:val="-1"/>
                <w:sz w:val="18"/>
              </w:rPr>
              <w:t>-206,588,250.04</w:t>
            </w:r>
          </w:p>
        </w:tc>
        <w:tc>
          <w:tcPr>
            <w:tcW w:w="173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4"/>
              <w:jc w:val="right"/>
              <w:rPr>
                <w:rFonts w:ascii="Times New Roman" w:hAnsi="Times New Roman" w:cs="Times New Roman" w:eastAsia="Times New Roman" w:hint="default"/>
                <w:sz w:val="18"/>
                <w:szCs w:val="18"/>
              </w:rPr>
            </w:pPr>
            <w:r>
              <w:rPr>
                <w:rFonts w:ascii="Times New Roman"/>
                <w:spacing w:val="-1"/>
                <w:sz w:val="18"/>
              </w:rPr>
              <w:t>208,993,111.11</w:t>
            </w:r>
          </w:p>
        </w:tc>
        <w:tc>
          <w:tcPr>
            <w:tcW w:w="2738" w:type="dxa"/>
            <w:tcBorders>
              <w:top w:val="nil" w:sz="6" w:space="0" w:color="auto"/>
              <w:left w:val="nil" w:sz="6" w:space="0" w:color="auto"/>
              <w:bottom w:val="nil" w:sz="6" w:space="0" w:color="auto"/>
              <w:right w:val="nil" w:sz="6" w:space="0" w:color="auto"/>
            </w:tcBorders>
          </w:tcPr>
          <w:p>
            <w:pPr>
              <w:pStyle w:val="TableParagraph"/>
              <w:spacing w:line="237" w:lineRule="exact"/>
              <w:ind w:left="1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B.O.T.</w:t>
            </w:r>
            <w:r>
              <w:rPr>
                <w:rFonts w:ascii="宋体" w:hAnsi="宋体" w:cs="宋体" w:eastAsia="宋体" w:hint="default"/>
                <w:sz w:val="18"/>
                <w:szCs w:val="18"/>
              </w:rPr>
              <w:t>项目委托贷款本息</w:t>
            </w:r>
          </w:p>
        </w:tc>
      </w:tr>
      <w:tr>
        <w:trPr>
          <w:trHeight w:val="284"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66"/>
              <w:jc w:val="right"/>
              <w:rPr>
                <w:rFonts w:ascii="Times New Roman" w:hAnsi="Times New Roman" w:cs="Times New Roman" w:eastAsia="Times New Roman" w:hint="default"/>
                <w:sz w:val="18"/>
                <w:szCs w:val="18"/>
              </w:rPr>
            </w:pPr>
            <w:r>
              <w:rPr>
                <w:rFonts w:ascii="Times New Roman"/>
                <w:spacing w:val="-1"/>
                <w:sz w:val="18"/>
              </w:rPr>
              <w:t>-202,328,527.79</w:t>
            </w:r>
          </w:p>
        </w:tc>
        <w:tc>
          <w:tcPr>
            <w:tcW w:w="173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Times New Roman" w:hAnsi="Times New Roman" w:cs="Times New Roman" w:eastAsia="Times New Roman" w:hint="default"/>
                <w:sz w:val="18"/>
                <w:szCs w:val="18"/>
              </w:rPr>
            </w:pPr>
            <w:r>
              <w:rPr>
                <w:rFonts w:ascii="Times New Roman"/>
                <w:spacing w:val="-1"/>
                <w:sz w:val="18"/>
              </w:rPr>
              <w:t>0.00</w:t>
            </w:r>
          </w:p>
        </w:tc>
        <w:tc>
          <w:tcPr>
            <w:tcW w:w="2738" w:type="dxa"/>
            <w:tcBorders>
              <w:top w:val="nil" w:sz="6" w:space="0" w:color="auto"/>
              <w:left w:val="nil" w:sz="6" w:space="0" w:color="auto"/>
              <w:bottom w:val="nil" w:sz="6" w:space="0" w:color="auto"/>
              <w:right w:val="nil" w:sz="6" w:space="0" w:color="auto"/>
            </w:tcBorders>
          </w:tcPr>
          <w:p>
            <w:pPr>
              <w:pStyle w:val="TableParagraph"/>
              <w:spacing w:line="222" w:lineRule="exact"/>
              <w:ind w:left="106" w:right="0"/>
              <w:jc w:val="left"/>
              <w:rPr>
                <w:rFonts w:ascii="宋体" w:hAnsi="宋体" w:cs="宋体" w:eastAsia="宋体" w:hint="default"/>
                <w:sz w:val="18"/>
                <w:szCs w:val="18"/>
              </w:rPr>
            </w:pPr>
            <w:r>
              <w:rPr>
                <w:rFonts w:ascii="宋体" w:hAnsi="宋体" w:cs="宋体" w:eastAsia="宋体" w:hint="default"/>
                <w:sz w:val="18"/>
                <w:szCs w:val="18"/>
              </w:rPr>
              <w:t>中期票据委托贷款本息</w:t>
            </w:r>
          </w:p>
        </w:tc>
      </w:tr>
      <w:tr>
        <w:trPr>
          <w:trHeight w:val="286"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66"/>
              <w:jc w:val="right"/>
              <w:rPr>
                <w:rFonts w:ascii="Times New Roman" w:hAnsi="Times New Roman" w:cs="Times New Roman" w:eastAsia="Times New Roman" w:hint="default"/>
                <w:sz w:val="18"/>
                <w:szCs w:val="18"/>
              </w:rPr>
            </w:pPr>
            <w:r>
              <w:rPr>
                <w:rFonts w:ascii="Times New Roman"/>
                <w:spacing w:val="-1"/>
                <w:sz w:val="18"/>
              </w:rPr>
              <w:t>20,000,000.00</w:t>
            </w:r>
          </w:p>
        </w:tc>
        <w:tc>
          <w:tcPr>
            <w:tcW w:w="173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4"/>
              <w:jc w:val="right"/>
              <w:rPr>
                <w:rFonts w:ascii="Times New Roman" w:hAnsi="Times New Roman" w:cs="Times New Roman" w:eastAsia="Times New Roman" w:hint="default"/>
                <w:sz w:val="18"/>
                <w:szCs w:val="18"/>
              </w:rPr>
            </w:pPr>
            <w:r>
              <w:rPr>
                <w:rFonts w:ascii="Times New Roman"/>
                <w:spacing w:val="-1"/>
                <w:sz w:val="18"/>
              </w:rPr>
              <w:t>20,000,000.00</w:t>
            </w:r>
          </w:p>
        </w:tc>
        <w:tc>
          <w:tcPr>
            <w:tcW w:w="2738" w:type="dxa"/>
            <w:tcBorders>
              <w:top w:val="nil" w:sz="6" w:space="0" w:color="auto"/>
              <w:left w:val="nil" w:sz="6" w:space="0" w:color="auto"/>
              <w:bottom w:val="nil" w:sz="6" w:space="0" w:color="auto"/>
              <w:right w:val="nil" w:sz="6" w:space="0" w:color="auto"/>
            </w:tcBorders>
          </w:tcPr>
          <w:p>
            <w:pPr>
              <w:pStyle w:val="TableParagraph"/>
              <w:spacing w:line="223" w:lineRule="exact"/>
              <w:ind w:left="106" w:right="0"/>
              <w:jc w:val="left"/>
              <w:rPr>
                <w:rFonts w:ascii="宋体" w:hAnsi="宋体" w:cs="宋体" w:eastAsia="宋体" w:hint="default"/>
                <w:sz w:val="18"/>
                <w:szCs w:val="18"/>
              </w:rPr>
            </w:pPr>
            <w:r>
              <w:rPr>
                <w:rFonts w:ascii="宋体" w:hAnsi="宋体" w:cs="宋体" w:eastAsia="宋体" w:hint="default"/>
                <w:sz w:val="18"/>
                <w:szCs w:val="18"/>
              </w:rPr>
              <w:t>定向增发保证金</w:t>
            </w:r>
          </w:p>
        </w:tc>
      </w:tr>
      <w:tr>
        <w:trPr>
          <w:trHeight w:val="256" w:hRule="exact"/>
        </w:trPr>
        <w:tc>
          <w:tcPr>
            <w:tcW w:w="2136" w:type="dxa"/>
            <w:tcBorders>
              <w:top w:val="nil" w:sz="6" w:space="0" w:color="auto"/>
              <w:left w:val="nil" w:sz="6" w:space="0" w:color="auto"/>
              <w:bottom w:val="single" w:sz="4"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紫光集团有限公司</w:t>
            </w:r>
          </w:p>
        </w:tc>
        <w:tc>
          <w:tcPr>
            <w:tcW w:w="212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366"/>
              <w:jc w:val="right"/>
              <w:rPr>
                <w:rFonts w:ascii="Times New Roman" w:hAnsi="Times New Roman" w:cs="Times New Roman" w:eastAsia="Times New Roman" w:hint="default"/>
                <w:sz w:val="18"/>
                <w:szCs w:val="18"/>
              </w:rPr>
            </w:pPr>
            <w:r>
              <w:rPr>
                <w:rFonts w:ascii="Times New Roman"/>
                <w:spacing w:val="-1"/>
                <w:sz w:val="18"/>
              </w:rPr>
              <w:t>5,000,000.00</w:t>
            </w:r>
          </w:p>
        </w:tc>
        <w:tc>
          <w:tcPr>
            <w:tcW w:w="173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4"/>
              <w:jc w:val="right"/>
              <w:rPr>
                <w:rFonts w:ascii="Times New Roman" w:hAnsi="Times New Roman" w:cs="Times New Roman" w:eastAsia="Times New Roman" w:hint="default"/>
                <w:sz w:val="18"/>
                <w:szCs w:val="18"/>
              </w:rPr>
            </w:pPr>
            <w:r>
              <w:rPr>
                <w:rFonts w:ascii="Times New Roman"/>
                <w:spacing w:val="-1"/>
                <w:sz w:val="18"/>
              </w:rPr>
              <w:t>5,000,000.00</w:t>
            </w:r>
          </w:p>
        </w:tc>
        <w:tc>
          <w:tcPr>
            <w:tcW w:w="2738" w:type="dxa"/>
            <w:tcBorders>
              <w:top w:val="nil" w:sz="6" w:space="0" w:color="auto"/>
              <w:left w:val="nil" w:sz="6" w:space="0" w:color="auto"/>
              <w:bottom w:val="single" w:sz="4" w:space="0" w:color="000000"/>
              <w:right w:val="nil" w:sz="6" w:space="0" w:color="auto"/>
            </w:tcBorders>
          </w:tcPr>
          <w:p>
            <w:pPr>
              <w:pStyle w:val="TableParagraph"/>
              <w:spacing w:line="223" w:lineRule="exact"/>
              <w:ind w:left="106" w:right="0"/>
              <w:jc w:val="left"/>
              <w:rPr>
                <w:rFonts w:ascii="宋体" w:hAnsi="宋体" w:cs="宋体" w:eastAsia="宋体" w:hint="default"/>
                <w:sz w:val="18"/>
                <w:szCs w:val="18"/>
              </w:rPr>
            </w:pPr>
            <w:r>
              <w:rPr>
                <w:rFonts w:ascii="宋体" w:hAnsi="宋体" w:cs="宋体" w:eastAsia="宋体" w:hint="default"/>
                <w:sz w:val="18"/>
                <w:szCs w:val="18"/>
              </w:rPr>
              <w:t>定向增发保证金</w:t>
            </w:r>
          </w:p>
        </w:tc>
      </w:tr>
      <w:tr>
        <w:trPr>
          <w:trHeight w:val="307" w:hRule="exact"/>
        </w:trPr>
        <w:tc>
          <w:tcPr>
            <w:tcW w:w="2136"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28"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366"/>
              <w:jc w:val="right"/>
              <w:rPr>
                <w:rFonts w:ascii="Times New Roman" w:hAnsi="Times New Roman" w:cs="Times New Roman" w:eastAsia="Times New Roman" w:hint="default"/>
                <w:sz w:val="18"/>
                <w:szCs w:val="18"/>
              </w:rPr>
            </w:pPr>
            <w:r>
              <w:rPr>
                <w:rFonts w:ascii="Times New Roman"/>
                <w:b/>
                <w:spacing w:val="-1"/>
                <w:sz w:val="18"/>
              </w:rPr>
              <w:t>-282,666,014.79</w:t>
            </w:r>
            <w:r>
              <w:rPr>
                <w:rFonts w:ascii="Times New Roman"/>
                <w:spacing w:val="-1"/>
                <w:sz w:val="18"/>
              </w:rPr>
            </w:r>
          </w:p>
        </w:tc>
        <w:tc>
          <w:tcPr>
            <w:tcW w:w="1738"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b/>
                <w:spacing w:val="-1"/>
                <w:sz w:val="18"/>
              </w:rPr>
              <w:t>2,167,699,182.41</w:t>
            </w:r>
            <w:r>
              <w:rPr>
                <w:rFonts w:ascii="Times New Roman"/>
                <w:spacing w:val="-1"/>
                <w:sz w:val="18"/>
              </w:rPr>
            </w:r>
          </w:p>
        </w:tc>
        <w:tc>
          <w:tcPr>
            <w:tcW w:w="2738" w:type="dxa"/>
            <w:tcBorders>
              <w:top w:val="single" w:sz="4" w:space="0" w:color="000000"/>
              <w:left w:val="nil" w:sz="6" w:space="0" w:color="auto"/>
              <w:bottom w:val="single" w:sz="12" w:space="0" w:color="000000"/>
              <w:right w:val="nil" w:sz="6" w:space="0" w:color="auto"/>
            </w:tcBorders>
          </w:tcPr>
          <w:p>
            <w:pPr/>
          </w:p>
        </w:tc>
      </w:tr>
    </w:tbl>
    <w:p>
      <w:pPr>
        <w:spacing w:after="0"/>
        <w:sectPr>
          <w:headerReference w:type="default" r:id="rId98"/>
          <w:footerReference w:type="default" r:id="rId99"/>
          <w:pgSz w:w="11910" w:h="16840"/>
          <w:pgMar w:header="0" w:footer="816" w:top="560" w:bottom="1000" w:left="1440" w:right="1480"/>
          <w:pgNumType w:start="164"/>
        </w:sectPr>
      </w:pPr>
    </w:p>
    <w:p>
      <w:pPr>
        <w:spacing w:line="240" w:lineRule="auto" w:before="0"/>
        <w:rPr>
          <w:rFonts w:ascii="宋体" w:hAnsi="宋体" w:cs="宋体" w:eastAsia="宋体" w:hint="default"/>
          <w:sz w:val="20"/>
          <w:szCs w:val="20"/>
        </w:rPr>
      </w:pPr>
    </w:p>
    <w:p>
      <w:pPr>
        <w:spacing w:before="179"/>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6.  </w:t>
      </w:r>
      <w:r>
        <w:rPr>
          <w:rFonts w:ascii="Times New Roman" w:hAnsi="Times New Roman" w:cs="Times New Roman" w:eastAsia="Times New Roman" w:hint="default"/>
          <w:b/>
          <w:bCs/>
          <w:spacing w:val="18"/>
          <w:sz w:val="22"/>
          <w:szCs w:val="22"/>
        </w:rPr>
        <w:t> </w:t>
      </w:r>
      <w:r>
        <w:rPr>
          <w:rFonts w:ascii="宋体" w:hAnsi="宋体" w:cs="宋体" w:eastAsia="宋体" w:hint="default"/>
          <w:sz w:val="22"/>
          <w:szCs w:val="22"/>
        </w:rPr>
        <w:t>支付许可授权费</w:t>
      </w:r>
    </w:p>
    <w:p>
      <w:pPr>
        <w:spacing w:before="113"/>
        <w:ind w:left="681" w:right="0" w:firstLine="0"/>
        <w:jc w:val="left"/>
        <w:rPr>
          <w:rFonts w:ascii="宋体" w:hAnsi="宋体" w:cs="宋体" w:eastAsia="宋体" w:hint="default"/>
          <w:sz w:val="22"/>
          <w:szCs w:val="22"/>
        </w:rPr>
      </w:pPr>
      <w:r>
        <w:rPr>
          <w:rFonts w:ascii="宋体" w:hAnsi="宋体" w:cs="宋体" w:eastAsia="宋体" w:hint="default"/>
          <w:spacing w:val="8"/>
          <w:sz w:val="22"/>
          <w:szCs w:val="22"/>
        </w:rPr>
        <w:t>本公司及下属子公司 </w:t>
      </w:r>
      <w:r>
        <w:rPr>
          <w:rFonts w:ascii="Times New Roman" w:hAnsi="Times New Roman" w:cs="Times New Roman" w:eastAsia="Times New Roman" w:hint="default"/>
          <w:sz w:val="22"/>
          <w:szCs w:val="22"/>
        </w:rPr>
        <w:t>2015  </w:t>
      </w:r>
      <w:r>
        <w:rPr>
          <w:rFonts w:ascii="Times New Roman" w:hAnsi="Times New Roman" w:cs="Times New Roman" w:eastAsia="Times New Roman" w:hint="default"/>
          <w:spacing w:val="29"/>
          <w:sz w:val="22"/>
          <w:szCs w:val="22"/>
        </w:rPr>
        <w:t> </w:t>
      </w:r>
      <w:r>
        <w:rPr>
          <w:rFonts w:ascii="宋体" w:hAnsi="宋体" w:cs="宋体" w:eastAsia="宋体" w:hint="default"/>
          <w:spacing w:val="8"/>
          <w:sz w:val="22"/>
          <w:szCs w:val="22"/>
        </w:rPr>
        <w:t>年度应计提清华大学专利等技术成果实施许可使用费</w:t>
      </w:r>
    </w:p>
    <w:p>
      <w:pPr>
        <w:spacing w:before="53"/>
        <w:ind w:left="242" w:right="0"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51,268,868.01</w:t>
      </w:r>
      <w:r>
        <w:rPr>
          <w:rFonts w:ascii="Times New Roman" w:hAnsi="Times New Roman" w:cs="Times New Roman" w:eastAsia="Times New Roman" w:hint="default"/>
          <w:spacing w:val="-8"/>
          <w:sz w:val="22"/>
          <w:szCs w:val="22"/>
        </w:rPr>
        <w:t> </w:t>
      </w:r>
      <w:r>
        <w:rPr>
          <w:rFonts w:ascii="宋体" w:hAnsi="宋体" w:cs="宋体" w:eastAsia="宋体" w:hint="default"/>
          <w:sz w:val="22"/>
          <w:szCs w:val="22"/>
        </w:rPr>
        <w:t>元，实际支付</w:t>
      </w:r>
      <w:r>
        <w:rPr>
          <w:rFonts w:ascii="宋体" w:hAnsi="宋体" w:cs="宋体" w:eastAsia="宋体" w:hint="default"/>
          <w:spacing w:val="-63"/>
          <w:sz w:val="22"/>
          <w:szCs w:val="22"/>
        </w:rPr>
        <w:t> </w:t>
      </w:r>
      <w:r>
        <w:rPr>
          <w:rFonts w:ascii="Times New Roman" w:hAnsi="Times New Roman" w:cs="Times New Roman" w:eastAsia="Times New Roman" w:hint="default"/>
          <w:sz w:val="22"/>
          <w:szCs w:val="22"/>
        </w:rPr>
        <w:t>130,254,860.31</w:t>
      </w:r>
      <w:r>
        <w:rPr>
          <w:rFonts w:ascii="Times New Roman" w:hAnsi="Times New Roman" w:cs="Times New Roman" w:eastAsia="Times New Roman" w:hint="default"/>
          <w:spacing w:val="-8"/>
          <w:sz w:val="22"/>
          <w:szCs w:val="22"/>
        </w:rPr>
        <w:t> </w:t>
      </w:r>
      <w:r>
        <w:rPr>
          <w:rFonts w:ascii="宋体" w:hAnsi="宋体" w:cs="宋体" w:eastAsia="宋体" w:hint="default"/>
          <w:sz w:val="22"/>
          <w:szCs w:val="22"/>
        </w:rPr>
        <w:t>元（含以前年度已计提尚未支付的金额）。本</w:t>
      </w:r>
    </w:p>
    <w:p>
      <w:pPr>
        <w:spacing w:before="50"/>
        <w:ind w:left="242" w:right="0" w:firstLine="0"/>
        <w:jc w:val="left"/>
        <w:rPr>
          <w:rFonts w:ascii="宋体" w:hAnsi="宋体" w:cs="宋体" w:eastAsia="宋体" w:hint="default"/>
          <w:sz w:val="22"/>
          <w:szCs w:val="22"/>
        </w:rPr>
      </w:pPr>
      <w:r>
        <w:rPr>
          <w:rFonts w:ascii="宋体" w:hAnsi="宋体" w:cs="宋体" w:eastAsia="宋体" w:hint="default"/>
          <w:sz w:val="22"/>
          <w:szCs w:val="22"/>
        </w:rPr>
        <w:t>公司</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2014</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年度应计提清华大学专利等技术成果实施许可使用费</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79,905,660.31 </w:t>
      </w:r>
      <w:r>
        <w:rPr>
          <w:rFonts w:ascii="宋体" w:hAnsi="宋体" w:cs="宋体" w:eastAsia="宋体" w:hint="default"/>
          <w:spacing w:val="-5"/>
          <w:sz w:val="22"/>
          <w:szCs w:val="22"/>
        </w:rPr>
        <w:t>元，实际支</w:t>
      </w:r>
    </w:p>
    <w:p>
      <w:pPr>
        <w:spacing w:before="53"/>
        <w:ind w:left="242" w:right="0" w:firstLine="0"/>
        <w:jc w:val="left"/>
        <w:rPr>
          <w:rFonts w:ascii="宋体" w:hAnsi="宋体" w:cs="宋体" w:eastAsia="宋体" w:hint="default"/>
          <w:sz w:val="22"/>
          <w:szCs w:val="22"/>
        </w:rPr>
      </w:pPr>
      <w:r>
        <w:rPr>
          <w:rFonts w:ascii="宋体" w:hAnsi="宋体" w:cs="宋体" w:eastAsia="宋体" w:hint="default"/>
          <w:sz w:val="22"/>
          <w:szCs w:val="22"/>
        </w:rPr>
        <w:t>付</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33,876,000.00</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元。</w:t>
      </w:r>
    </w:p>
    <w:p>
      <w:pPr>
        <w:spacing w:before="170"/>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7.  </w:t>
      </w:r>
      <w:r>
        <w:rPr>
          <w:rFonts w:ascii="Times New Roman" w:hAnsi="Times New Roman" w:cs="Times New Roman" w:eastAsia="Times New Roman" w:hint="default"/>
          <w:b/>
          <w:bCs/>
          <w:spacing w:val="16"/>
          <w:sz w:val="22"/>
          <w:szCs w:val="22"/>
        </w:rPr>
        <w:t> </w:t>
      </w:r>
      <w:r>
        <w:rPr>
          <w:rFonts w:ascii="宋体" w:hAnsi="宋体" w:cs="宋体" w:eastAsia="宋体" w:hint="default"/>
          <w:sz w:val="22"/>
          <w:szCs w:val="22"/>
        </w:rPr>
        <w:t>关键管理人员薪酬</w:t>
      </w:r>
    </w:p>
    <w:p>
      <w:pPr>
        <w:spacing w:line="240" w:lineRule="auto" w:before="1"/>
        <w:rPr>
          <w:rFonts w:ascii="宋体" w:hAnsi="宋体" w:cs="宋体" w:eastAsia="宋体" w:hint="default"/>
          <w:sz w:val="6"/>
          <w:szCs w:val="6"/>
        </w:rPr>
      </w:pPr>
    </w:p>
    <w:tbl>
      <w:tblPr>
        <w:tblW w:w="0" w:type="auto"/>
        <w:jc w:val="left"/>
        <w:tblInd w:w="134" w:type="dxa"/>
        <w:tblLayout w:type="fixed"/>
        <w:tblCellMar>
          <w:top w:w="0" w:type="dxa"/>
          <w:left w:w="0" w:type="dxa"/>
          <w:bottom w:w="0" w:type="dxa"/>
          <w:right w:w="0" w:type="dxa"/>
        </w:tblCellMar>
        <w:tblLook w:val="01E0"/>
      </w:tblPr>
      <w:tblGrid>
        <w:gridCol w:w="2752"/>
        <w:gridCol w:w="3895"/>
        <w:gridCol w:w="2078"/>
      </w:tblGrid>
      <w:tr>
        <w:trPr>
          <w:trHeight w:val="307" w:hRule="exact"/>
        </w:trPr>
        <w:tc>
          <w:tcPr>
            <w:tcW w:w="275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389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936"/>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207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305" w:hRule="exact"/>
        </w:trPr>
        <w:tc>
          <w:tcPr>
            <w:tcW w:w="2752"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薪酬合计</w:t>
            </w:r>
          </w:p>
        </w:tc>
        <w:tc>
          <w:tcPr>
            <w:tcW w:w="3895"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right="934"/>
              <w:jc w:val="right"/>
              <w:rPr>
                <w:rFonts w:ascii="宋体" w:hAnsi="宋体" w:cs="宋体" w:eastAsia="宋体" w:hint="default"/>
                <w:sz w:val="18"/>
                <w:szCs w:val="18"/>
              </w:rPr>
            </w:pPr>
            <w:r>
              <w:rPr>
                <w:rFonts w:ascii="Times New Roman" w:hAnsi="Times New Roman" w:cs="Times New Roman" w:eastAsia="Times New Roman" w:hint="default"/>
                <w:sz w:val="18"/>
                <w:szCs w:val="18"/>
              </w:rPr>
              <w:t>1,516.97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2078"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right="103"/>
              <w:jc w:val="right"/>
              <w:rPr>
                <w:rFonts w:ascii="宋体" w:hAnsi="宋体" w:cs="宋体" w:eastAsia="宋体" w:hint="default"/>
                <w:sz w:val="18"/>
                <w:szCs w:val="18"/>
              </w:rPr>
            </w:pPr>
            <w:r>
              <w:rPr>
                <w:rFonts w:ascii="Times New Roman" w:hAnsi="Times New Roman" w:cs="Times New Roman" w:eastAsia="Times New Roman" w:hint="default"/>
                <w:sz w:val="18"/>
                <w:szCs w:val="18"/>
              </w:rPr>
              <w:t>1,318.26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bl>
    <w:p>
      <w:pPr>
        <w:spacing w:before="21"/>
        <w:ind w:left="582"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w:t>
      </w:r>
      <w:r>
        <w:rPr>
          <w:rFonts w:ascii="宋体" w:hAnsi="宋体" w:cs="宋体" w:eastAsia="宋体" w:hint="default"/>
          <w:b/>
          <w:bCs/>
          <w:sz w:val="22"/>
          <w:szCs w:val="22"/>
        </w:rPr>
        <w:t>三</w:t>
      </w:r>
      <w:r>
        <w:rPr>
          <w:rFonts w:ascii="Times New Roman" w:hAnsi="Times New Roman" w:cs="Times New Roman" w:eastAsia="Times New Roman" w:hint="default"/>
          <w:b/>
          <w:bCs/>
          <w:sz w:val="22"/>
          <w:szCs w:val="22"/>
        </w:rPr>
        <w:t>)</w:t>
      </w:r>
      <w:r>
        <w:rPr>
          <w:rFonts w:ascii="Times New Roman" w:hAnsi="Times New Roman" w:cs="Times New Roman" w:eastAsia="Times New Roman" w:hint="default"/>
          <w:b/>
          <w:bCs/>
          <w:spacing w:val="29"/>
          <w:sz w:val="22"/>
          <w:szCs w:val="22"/>
        </w:rPr>
        <w:t> </w:t>
      </w:r>
      <w:r>
        <w:rPr>
          <w:rFonts w:ascii="宋体" w:hAnsi="宋体" w:cs="宋体" w:eastAsia="宋体" w:hint="default"/>
          <w:b/>
          <w:bCs/>
          <w:sz w:val="22"/>
          <w:szCs w:val="22"/>
        </w:rPr>
        <w:t>关联方往来余额</w:t>
      </w:r>
      <w:r>
        <w:rPr>
          <w:rFonts w:ascii="宋体" w:hAnsi="宋体" w:cs="宋体" w:eastAsia="宋体" w:hint="default"/>
          <w:sz w:val="22"/>
          <w:szCs w:val="22"/>
        </w:rPr>
      </w:r>
    </w:p>
    <w:p>
      <w:pPr>
        <w:spacing w:before="113"/>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18"/>
          <w:sz w:val="22"/>
          <w:szCs w:val="22"/>
        </w:rPr>
        <w:t> </w:t>
      </w:r>
      <w:r>
        <w:rPr>
          <w:rFonts w:ascii="宋体" w:hAnsi="宋体" w:cs="宋体" w:eastAsia="宋体" w:hint="default"/>
          <w:sz w:val="22"/>
          <w:szCs w:val="22"/>
        </w:rPr>
        <w:t>应收项目</w:t>
      </w:r>
    </w:p>
    <w:p>
      <w:pPr>
        <w:spacing w:line="240" w:lineRule="auto" w:before="12"/>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104"/>
        <w:gridCol w:w="4322"/>
        <w:gridCol w:w="1922"/>
        <w:gridCol w:w="1392"/>
      </w:tblGrid>
      <w:tr>
        <w:trPr>
          <w:trHeight w:val="308" w:hRule="exact"/>
        </w:trPr>
        <w:tc>
          <w:tcPr>
            <w:tcW w:w="1104"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4322"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left="259" w:right="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1922"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right="243"/>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1392"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13" w:hRule="exact"/>
        </w:trPr>
        <w:tc>
          <w:tcPr>
            <w:tcW w:w="1104" w:type="dxa"/>
            <w:tcBorders>
              <w:top w:val="single" w:sz="4" w:space="0" w:color="000000"/>
              <w:left w:val="nil" w:sz="6" w:space="0" w:color="auto"/>
              <w:bottom w:val="nil" w:sz="6" w:space="0" w:color="auto"/>
              <w:right w:val="nil" w:sz="6" w:space="0" w:color="auto"/>
            </w:tcBorders>
          </w:tcPr>
          <w:p>
            <w:pPr/>
          </w:p>
        </w:tc>
        <w:tc>
          <w:tcPr>
            <w:tcW w:w="4322"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259" w:right="0"/>
              <w:jc w:val="left"/>
              <w:rPr>
                <w:rFonts w:ascii="宋体" w:hAnsi="宋体" w:cs="宋体" w:eastAsia="宋体" w:hint="default"/>
                <w:sz w:val="18"/>
                <w:szCs w:val="18"/>
              </w:rPr>
            </w:pPr>
            <w:r>
              <w:rPr>
                <w:rFonts w:ascii="宋体" w:hAnsi="宋体" w:cs="宋体" w:eastAsia="宋体" w:hint="default"/>
                <w:b/>
                <w:bCs/>
                <w:sz w:val="18"/>
                <w:szCs w:val="18"/>
              </w:rPr>
              <w:t>清华大学及其下属单位：</w:t>
            </w:r>
            <w:r>
              <w:rPr>
                <w:rFonts w:ascii="宋体" w:hAnsi="宋体" w:cs="宋体" w:eastAsia="宋体" w:hint="default"/>
                <w:sz w:val="18"/>
                <w:szCs w:val="18"/>
              </w:rPr>
            </w:r>
          </w:p>
        </w:tc>
        <w:tc>
          <w:tcPr>
            <w:tcW w:w="1922" w:type="dxa"/>
            <w:tcBorders>
              <w:top w:val="single" w:sz="4" w:space="0" w:color="000000"/>
              <w:left w:val="nil" w:sz="6" w:space="0" w:color="auto"/>
              <w:bottom w:val="nil" w:sz="6" w:space="0" w:color="auto"/>
              <w:right w:val="nil" w:sz="6" w:space="0" w:color="auto"/>
            </w:tcBorders>
          </w:tcPr>
          <w:p>
            <w:pPr/>
          </w:p>
        </w:tc>
        <w:tc>
          <w:tcPr>
            <w:tcW w:w="1392" w:type="dxa"/>
            <w:tcBorders>
              <w:top w:val="single" w:sz="4" w:space="0" w:color="000000"/>
              <w:left w:val="nil" w:sz="6" w:space="0" w:color="auto"/>
              <w:bottom w:val="nil" w:sz="6" w:space="0" w:color="auto"/>
              <w:right w:val="nil" w:sz="6" w:space="0" w:color="auto"/>
            </w:tcBorders>
          </w:tcPr>
          <w:p>
            <w:pPr/>
          </w:p>
        </w:tc>
      </w:tr>
      <w:tr>
        <w:trPr>
          <w:trHeight w:val="295"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33" w:lineRule="exact"/>
              <w:ind w:left="259"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43"/>
              <w:jc w:val="right"/>
              <w:rPr>
                <w:rFonts w:ascii="Times New Roman" w:hAnsi="Times New Roman" w:cs="Times New Roman" w:eastAsia="Times New Roman" w:hint="default"/>
                <w:sz w:val="18"/>
                <w:szCs w:val="18"/>
              </w:rPr>
            </w:pPr>
            <w:r>
              <w:rPr>
                <w:rFonts w:ascii="Times New Roman"/>
                <w:spacing w:val="-1"/>
                <w:sz w:val="18"/>
              </w:rPr>
              <w:t>3,748,041.39</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Times New Roman" w:hAnsi="Times New Roman" w:cs="Times New Roman" w:eastAsia="Times New Roman" w:hint="default"/>
                <w:sz w:val="18"/>
                <w:szCs w:val="18"/>
              </w:rPr>
            </w:pPr>
            <w:r>
              <w:rPr>
                <w:rFonts w:ascii="Times New Roman"/>
                <w:spacing w:val="-1"/>
                <w:sz w:val="18"/>
              </w:rPr>
              <w:t>3,517,511.95</w:t>
            </w:r>
          </w:p>
        </w:tc>
      </w:tr>
      <w:tr>
        <w:trPr>
          <w:trHeight w:val="276" w:hRule="exact"/>
        </w:trPr>
        <w:tc>
          <w:tcPr>
            <w:tcW w:w="1104" w:type="dxa"/>
            <w:tcBorders>
              <w:top w:val="nil" w:sz="6" w:space="0" w:color="auto"/>
              <w:left w:val="nil" w:sz="6" w:space="0" w:color="auto"/>
              <w:bottom w:val="nil" w:sz="6" w:space="0" w:color="auto"/>
              <w:right w:val="nil" w:sz="6" w:space="0" w:color="auto"/>
            </w:tcBorders>
          </w:tcPr>
          <w:p>
            <w:pP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b/>
                <w:bCs/>
                <w:sz w:val="18"/>
                <w:szCs w:val="18"/>
              </w:rPr>
              <w:t>控股股东及受同一控股股东控制的其他企业：</w:t>
            </w:r>
            <w:r>
              <w:rPr>
                <w:rFonts w:ascii="宋体" w:hAnsi="宋体" w:cs="宋体" w:eastAsia="宋体" w:hint="default"/>
                <w:sz w:val="18"/>
                <w:szCs w:val="18"/>
              </w:rPr>
            </w:r>
          </w:p>
        </w:tc>
        <w:tc>
          <w:tcPr>
            <w:tcW w:w="1922"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
        </w:tc>
      </w:tr>
      <w:tr>
        <w:trPr>
          <w:trHeight w:val="29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33" w:lineRule="exact"/>
              <w:ind w:left="259" w:right="0"/>
              <w:jc w:val="left"/>
              <w:rPr>
                <w:rFonts w:ascii="宋体" w:hAnsi="宋体" w:cs="宋体" w:eastAsia="宋体" w:hint="default"/>
                <w:sz w:val="18"/>
                <w:szCs w:val="18"/>
              </w:rPr>
            </w:pPr>
            <w:r>
              <w:rPr>
                <w:rFonts w:ascii="宋体" w:hAnsi="宋体" w:cs="宋体" w:eastAsia="宋体" w:hint="default"/>
                <w:sz w:val="18"/>
                <w:szCs w:val="18"/>
              </w:rPr>
              <w:t>绍兴乔波冰雪世界体育发展有限公司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43"/>
              <w:jc w:val="right"/>
              <w:rPr>
                <w:rFonts w:ascii="Times New Roman" w:hAnsi="Times New Roman" w:cs="Times New Roman" w:eastAsia="Times New Roman" w:hint="default"/>
                <w:sz w:val="18"/>
                <w:szCs w:val="18"/>
              </w:rPr>
            </w:pPr>
            <w:r>
              <w:rPr>
                <w:rFonts w:ascii="Times New Roman"/>
                <w:spacing w:val="-1"/>
                <w:sz w:val="18"/>
              </w:rPr>
              <w:t>180,400.00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sz w:val="18"/>
                <w:szCs w:val="18"/>
              </w:rPr>
              <w:t>清华同方光盘电子出版社</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3"/>
              <w:jc w:val="right"/>
              <w:rPr>
                <w:rFonts w:ascii="Times New Roman" w:hAnsi="Times New Roman" w:cs="Times New Roman" w:eastAsia="Times New Roman" w:hint="default"/>
                <w:sz w:val="18"/>
                <w:szCs w:val="18"/>
              </w:rPr>
            </w:pPr>
            <w:r>
              <w:rPr>
                <w:rFonts w:ascii="Times New Roman"/>
                <w:spacing w:val="-1"/>
                <w:sz w:val="18"/>
              </w:rPr>
              <w:t>48,891.27</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48,891.27</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26,595.00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北京乔波冰雪世界体育发展有限公司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12,880.00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清华大学出版社有限公司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11,689.40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sz w:val="18"/>
                <w:szCs w:val="18"/>
              </w:rPr>
              <w:t>启迪（江西）发展有限公司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3"/>
              <w:jc w:val="right"/>
              <w:rPr>
                <w:rFonts w:ascii="Times New Roman" w:hAnsi="Times New Roman" w:cs="Times New Roman" w:eastAsia="Times New Roman" w:hint="default"/>
                <w:sz w:val="18"/>
                <w:szCs w:val="18"/>
              </w:rPr>
            </w:pPr>
            <w:r>
              <w:rPr>
                <w:rFonts w:ascii="Times New Roman"/>
                <w:spacing w:val="-1"/>
                <w:sz w:val="18"/>
              </w:rPr>
              <w:t>10,000.00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10,000.00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清华大学建筑设计研究院有限公司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w w:val="95"/>
                <w:sz w:val="18"/>
              </w:rPr>
              <w:t>5,518.00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w w:val="95"/>
                <w:sz w:val="18"/>
              </w:rPr>
              <w:t>5,518.00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北京国环清华环境工程设计研究院有限公司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2"/>
              <w:jc w:val="right"/>
              <w:rPr>
                <w:rFonts w:ascii="Times New Roman" w:hAnsi="Times New Roman" w:cs="Times New Roman" w:eastAsia="Times New Roman" w:hint="default"/>
                <w:sz w:val="18"/>
                <w:szCs w:val="18"/>
              </w:rPr>
            </w:pPr>
            <w:r>
              <w:rPr>
                <w:rFonts w:ascii="Times New Roman"/>
                <w:spacing w:val="-1"/>
                <w:sz w:val="18"/>
              </w:rPr>
              <w:t>198.00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198.00</w:t>
            </w:r>
          </w:p>
        </w:tc>
      </w:tr>
      <w:tr>
        <w:trPr>
          <w:trHeight w:val="275" w:hRule="exact"/>
        </w:trPr>
        <w:tc>
          <w:tcPr>
            <w:tcW w:w="1104" w:type="dxa"/>
            <w:tcBorders>
              <w:top w:val="nil" w:sz="6" w:space="0" w:color="auto"/>
              <w:left w:val="nil" w:sz="6" w:space="0" w:color="auto"/>
              <w:bottom w:val="nil" w:sz="6" w:space="0" w:color="auto"/>
              <w:right w:val="nil" w:sz="6" w:space="0" w:color="auto"/>
            </w:tcBorders>
          </w:tcPr>
          <w:p>
            <w:pP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b/>
                <w:bCs/>
                <w:sz w:val="18"/>
                <w:szCs w:val="18"/>
              </w:rPr>
              <w:t>合营企业及联营企业：</w:t>
            </w:r>
            <w:r>
              <w:rPr>
                <w:rFonts w:ascii="宋体" w:hAnsi="宋体" w:cs="宋体" w:eastAsia="宋体" w:hint="default"/>
                <w:sz w:val="18"/>
                <w:szCs w:val="18"/>
              </w:rPr>
            </w:r>
          </w:p>
        </w:tc>
        <w:tc>
          <w:tcPr>
            <w:tcW w:w="1922"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
        </w:tc>
      </w:tr>
      <w:tr>
        <w:trPr>
          <w:trHeight w:val="29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32" w:lineRule="exact"/>
              <w:ind w:left="259" w:right="0"/>
              <w:jc w:val="left"/>
              <w:rPr>
                <w:rFonts w:ascii="宋体" w:hAnsi="宋体" w:cs="宋体" w:eastAsia="宋体" w:hint="default"/>
                <w:sz w:val="18"/>
                <w:szCs w:val="18"/>
              </w:rPr>
            </w:pPr>
            <w:r>
              <w:rPr>
                <w:rFonts w:ascii="宋体" w:hAnsi="宋体" w:cs="宋体" w:eastAsia="宋体" w:hint="default"/>
                <w:sz w:val="18"/>
                <w:szCs w:val="18"/>
              </w:rPr>
              <w:t>易程科技股份有限公司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43"/>
              <w:jc w:val="right"/>
              <w:rPr>
                <w:rFonts w:ascii="Times New Roman" w:hAnsi="Times New Roman" w:cs="Times New Roman" w:eastAsia="Times New Roman" w:hint="default"/>
                <w:sz w:val="18"/>
                <w:szCs w:val="18"/>
              </w:rPr>
            </w:pPr>
            <w:r>
              <w:rPr>
                <w:rFonts w:ascii="Times New Roman"/>
                <w:spacing w:val="-1"/>
                <w:sz w:val="18"/>
              </w:rPr>
              <w:t>86,819,002.75</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10"/>
              <w:jc w:val="right"/>
              <w:rPr>
                <w:rFonts w:ascii="Times New Roman" w:hAnsi="Times New Roman" w:cs="Times New Roman" w:eastAsia="Times New Roman" w:hint="default"/>
                <w:sz w:val="18"/>
                <w:szCs w:val="18"/>
              </w:rPr>
            </w:pPr>
            <w:r>
              <w:rPr>
                <w:rFonts w:ascii="Times New Roman"/>
                <w:spacing w:val="-1"/>
                <w:sz w:val="18"/>
              </w:rPr>
              <w:t>76,153,999.00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北京中检科威科技有限公司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8,773,127.00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6,429,840.00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吉林同方科贸有限责任公司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6,904,929.95</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6,814,929.95</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同方环境股份有限公司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2"/>
              <w:jc w:val="right"/>
              <w:rPr>
                <w:rFonts w:ascii="Times New Roman" w:hAnsi="Times New Roman" w:cs="Times New Roman" w:eastAsia="Times New Roman" w:hint="default"/>
                <w:sz w:val="18"/>
                <w:szCs w:val="18"/>
              </w:rPr>
            </w:pPr>
            <w:r>
              <w:rPr>
                <w:rFonts w:ascii="Times New Roman"/>
                <w:spacing w:val="-1"/>
                <w:sz w:val="18"/>
              </w:rPr>
              <w:t>6,189,945.32</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3,910,160.74</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sz w:val="18"/>
                <w:szCs w:val="18"/>
              </w:rPr>
              <w:t>山西左云晋能新能源发电有限公司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3"/>
              <w:jc w:val="right"/>
              <w:rPr>
                <w:rFonts w:ascii="Times New Roman" w:hAnsi="Times New Roman" w:cs="Times New Roman" w:eastAsia="Times New Roman" w:hint="default"/>
                <w:sz w:val="18"/>
                <w:szCs w:val="18"/>
              </w:rPr>
            </w:pPr>
            <w:r>
              <w:rPr>
                <w:rFonts w:ascii="Times New Roman"/>
                <w:spacing w:val="-1"/>
                <w:sz w:val="18"/>
              </w:rPr>
              <w:t>5,480,896.00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5,480,896.00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陕西省广电同方数字电视有限责任公司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4,663,070.00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2,394,637.00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深圳同方信息技术有限公司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3,535,680.65</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17,318,996.13</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同方川崎节能设备有限公司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2,474,489.00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14,014,006.11</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sz w:val="18"/>
                <w:szCs w:val="18"/>
              </w:rPr>
              <w:t>张家口市电广文化传媒有限公司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3"/>
              <w:jc w:val="right"/>
              <w:rPr>
                <w:rFonts w:ascii="Times New Roman" w:hAnsi="Times New Roman" w:cs="Times New Roman" w:eastAsia="Times New Roman" w:hint="default"/>
                <w:sz w:val="18"/>
                <w:szCs w:val="18"/>
              </w:rPr>
            </w:pPr>
            <w:r>
              <w:rPr>
                <w:rFonts w:ascii="Times New Roman"/>
                <w:spacing w:val="-1"/>
                <w:sz w:val="18"/>
              </w:rPr>
              <w:t>1,958,630.00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2,142,330.00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洛阳同方数字电视有限公司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1,638,508.53</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江西清华泰豪三波电机有限公司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1,011,116.73</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易程（苏州）软件股份有限公司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1,008,000.00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2,468,000.00</w:t>
            </w:r>
          </w:p>
        </w:tc>
      </w:tr>
      <w:tr>
        <w:trPr>
          <w:trHeight w:val="285"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sz w:val="18"/>
                <w:szCs w:val="18"/>
              </w:rPr>
              <w:t>易程（苏州）新技术股份有限公司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3"/>
              <w:jc w:val="right"/>
              <w:rPr>
                <w:rFonts w:ascii="Times New Roman" w:hAnsi="Times New Roman" w:cs="Times New Roman" w:eastAsia="Times New Roman" w:hint="default"/>
                <w:sz w:val="18"/>
                <w:szCs w:val="18"/>
              </w:rPr>
            </w:pPr>
            <w:r>
              <w:rPr>
                <w:rFonts w:ascii="Times New Roman"/>
                <w:spacing w:val="-1"/>
                <w:sz w:val="18"/>
              </w:rPr>
              <w:t>832,028.75</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832,028.75</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濮阳广电同方数字电视有限公司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480,000.00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781,590.00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天门广电同方数字电视有限公司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460,000.00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460,000.00</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同方（深圳）云计算技术股份有限公司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457,137.02</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2,591,074.00</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sz w:val="18"/>
                <w:szCs w:val="18"/>
              </w:rPr>
              <w:t>许昌广电同方数字电视有限公司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3"/>
              <w:jc w:val="right"/>
              <w:rPr>
                <w:rFonts w:ascii="Times New Roman" w:hAnsi="Times New Roman" w:cs="Times New Roman" w:eastAsia="Times New Roman" w:hint="default"/>
                <w:sz w:val="18"/>
                <w:szCs w:val="18"/>
              </w:rPr>
            </w:pPr>
            <w:r>
              <w:rPr>
                <w:rFonts w:ascii="Times New Roman"/>
                <w:spacing w:val="-1"/>
                <w:sz w:val="18"/>
              </w:rPr>
              <w:t>273,035.00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411,730.00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日照广电同方数字电视有限公司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255,485.00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101,100.00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泰豪软件股份有限公司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235,000.00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开封广电同方数字电视有限公司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226,700.00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15,400.00</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sz w:val="18"/>
                <w:szCs w:val="18"/>
              </w:rPr>
              <w:t>易程（苏州）电子科技股份有限公司</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3"/>
              <w:jc w:val="right"/>
              <w:rPr>
                <w:rFonts w:ascii="Times New Roman" w:hAnsi="Times New Roman" w:cs="Times New Roman" w:eastAsia="Times New Roman" w:hint="default"/>
                <w:sz w:val="18"/>
                <w:szCs w:val="18"/>
              </w:rPr>
            </w:pPr>
            <w:r>
              <w:rPr>
                <w:rFonts w:ascii="Times New Roman"/>
                <w:spacing w:val="-1"/>
                <w:sz w:val="18"/>
              </w:rPr>
              <w:t>219,740.00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67" w:hRule="exact"/>
        </w:trPr>
        <w:tc>
          <w:tcPr>
            <w:tcW w:w="1104" w:type="dxa"/>
            <w:tcBorders>
              <w:top w:val="nil" w:sz="6" w:space="0" w:color="auto"/>
              <w:left w:val="nil" w:sz="6" w:space="0" w:color="auto"/>
              <w:bottom w:val="single" w:sz="12"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322" w:type="dxa"/>
            <w:tcBorders>
              <w:top w:val="nil" w:sz="6" w:space="0" w:color="auto"/>
              <w:left w:val="nil" w:sz="6" w:space="0" w:color="auto"/>
              <w:bottom w:val="single" w:sz="12" w:space="0" w:color="000000"/>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达州广电同方数字电视有限公司</w:t>
            </w:r>
          </w:p>
        </w:tc>
        <w:tc>
          <w:tcPr>
            <w:tcW w:w="1922"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212,500.00</w:t>
            </w:r>
          </w:p>
        </w:tc>
        <w:tc>
          <w:tcPr>
            <w:tcW w:w="1392"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203,100.00</w:t>
            </w:r>
          </w:p>
        </w:tc>
      </w:tr>
    </w:tbl>
    <w:p>
      <w:pPr>
        <w:spacing w:after="0" w:line="240" w:lineRule="auto"/>
        <w:jc w:val="right"/>
        <w:rPr>
          <w:rFonts w:ascii="Times New Roman" w:hAnsi="Times New Roman" w:cs="Times New Roman" w:eastAsia="Times New Roman" w:hint="default"/>
          <w:sz w:val="18"/>
          <w:szCs w:val="18"/>
        </w:rPr>
        <w:sectPr>
          <w:headerReference w:type="default" r:id="rId100"/>
          <w:pgSz w:w="11910" w:h="16840"/>
          <w:pgMar w:header="645" w:footer="816" w:top="1080" w:bottom="1000" w:left="1460" w:right="148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1193"/>
        <w:gridCol w:w="4612"/>
        <w:gridCol w:w="1543"/>
        <w:gridCol w:w="1392"/>
      </w:tblGrid>
      <w:tr>
        <w:trPr>
          <w:trHeight w:val="307" w:hRule="exact"/>
        </w:trPr>
        <w:tc>
          <w:tcPr>
            <w:tcW w:w="119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461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70" w:right="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154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43"/>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139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3" w:hRule="exact"/>
        </w:trPr>
        <w:tc>
          <w:tcPr>
            <w:tcW w:w="1193"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612"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70" w:right="0"/>
              <w:jc w:val="left"/>
              <w:rPr>
                <w:rFonts w:ascii="宋体" w:hAnsi="宋体" w:cs="宋体" w:eastAsia="宋体" w:hint="default"/>
                <w:sz w:val="18"/>
                <w:szCs w:val="18"/>
              </w:rPr>
            </w:pPr>
            <w:r>
              <w:rPr>
                <w:rFonts w:ascii="宋体" w:hAnsi="宋体" w:cs="宋体" w:eastAsia="宋体" w:hint="default"/>
                <w:sz w:val="18"/>
                <w:szCs w:val="18"/>
              </w:rPr>
              <w:t>运城市蓝星同方数字电视有限公司</w:t>
            </w:r>
          </w:p>
        </w:tc>
        <w:tc>
          <w:tcPr>
            <w:tcW w:w="1543"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43"/>
              <w:jc w:val="right"/>
              <w:rPr>
                <w:rFonts w:ascii="Times New Roman" w:hAnsi="Times New Roman" w:cs="Times New Roman" w:eastAsia="Times New Roman" w:hint="default"/>
                <w:sz w:val="18"/>
                <w:szCs w:val="18"/>
              </w:rPr>
            </w:pPr>
            <w:r>
              <w:rPr>
                <w:rFonts w:ascii="Times New Roman"/>
                <w:spacing w:val="-1"/>
                <w:sz w:val="18"/>
              </w:rPr>
              <w:t>174,000.00</w:t>
            </w:r>
          </w:p>
        </w:tc>
        <w:tc>
          <w:tcPr>
            <w:tcW w:w="1392"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10"/>
              <w:jc w:val="right"/>
              <w:rPr>
                <w:rFonts w:ascii="Times New Roman" w:hAnsi="Times New Roman" w:cs="Times New Roman" w:eastAsia="Times New Roman" w:hint="default"/>
                <w:sz w:val="18"/>
                <w:szCs w:val="18"/>
              </w:rPr>
            </w:pPr>
            <w:r>
              <w:rPr>
                <w:rFonts w:ascii="Times New Roman"/>
                <w:spacing w:val="-1"/>
                <w:sz w:val="18"/>
              </w:rPr>
              <w:t>70,000.00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广州同方瑞风空调有限公司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156,566.80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北京中录同方文化传播有限公司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90,107.50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90,107.50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商丘同方恒泰数字电视有限公司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62,500.00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sz w:val="18"/>
                <w:szCs w:val="18"/>
              </w:rPr>
              <w:t>南阳广电同方数字电视有限责任公司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3"/>
              <w:jc w:val="right"/>
              <w:rPr>
                <w:rFonts w:ascii="Times New Roman" w:hAnsi="Times New Roman" w:cs="Times New Roman" w:eastAsia="Times New Roman" w:hint="default"/>
                <w:sz w:val="18"/>
                <w:szCs w:val="18"/>
              </w:rPr>
            </w:pPr>
            <w:r>
              <w:rPr>
                <w:rFonts w:ascii="Times New Roman"/>
                <w:spacing w:val="-1"/>
                <w:sz w:val="18"/>
              </w:rPr>
              <w:t>62,000.00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233,400.00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同方鼎欣科技股份有限公司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55,500.00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泰豪科技股份有限公司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36,268.00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广州同艺照明有限公司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33,879.00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sz w:val="18"/>
                <w:szCs w:val="18"/>
              </w:rPr>
              <w:t>同方投资有限公司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2"/>
              <w:jc w:val="right"/>
              <w:rPr>
                <w:rFonts w:ascii="Times New Roman" w:hAnsi="Times New Roman" w:cs="Times New Roman" w:eastAsia="Times New Roman" w:hint="default"/>
                <w:sz w:val="18"/>
                <w:szCs w:val="18"/>
              </w:rPr>
            </w:pPr>
            <w:r>
              <w:rPr>
                <w:rFonts w:ascii="Times New Roman"/>
                <w:spacing w:val="-1"/>
                <w:sz w:val="18"/>
              </w:rPr>
              <w:t>110.00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110.00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同方恩欧凯（无锡）膜技术有限公司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2"/>
              <w:jc w:val="right"/>
              <w:rPr>
                <w:rFonts w:ascii="Times New Roman" w:hAnsi="Times New Roman" w:cs="Times New Roman" w:eastAsia="Times New Roman" w:hint="default"/>
                <w:sz w:val="18"/>
                <w:szCs w:val="18"/>
              </w:rPr>
            </w:pPr>
            <w:r>
              <w:rPr>
                <w:rFonts w:ascii="Times New Roman"/>
                <w:spacing w:val="-1"/>
                <w:sz w:val="18"/>
              </w:rPr>
              <w:t>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4,743,600.00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北京朗视仪器有限公司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2"/>
              <w:jc w:val="right"/>
              <w:rPr>
                <w:rFonts w:ascii="Times New Roman" w:hAnsi="Times New Roman" w:cs="Times New Roman" w:eastAsia="Times New Roman" w:hint="default"/>
                <w:sz w:val="18"/>
                <w:szCs w:val="18"/>
              </w:rPr>
            </w:pPr>
            <w:r>
              <w:rPr>
                <w:rFonts w:ascii="Times New Roman"/>
                <w:spacing w:val="-1"/>
                <w:sz w:val="18"/>
              </w:rPr>
              <w:t>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1,800,000.00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泉州广电同方数字电视有限公司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2"/>
              <w:jc w:val="right"/>
              <w:rPr>
                <w:rFonts w:ascii="Times New Roman" w:hAnsi="Times New Roman" w:cs="Times New Roman" w:eastAsia="Times New Roman" w:hint="default"/>
                <w:sz w:val="18"/>
                <w:szCs w:val="18"/>
              </w:rPr>
            </w:pPr>
            <w:r>
              <w:rPr>
                <w:rFonts w:ascii="Times New Roman"/>
                <w:spacing w:val="-1"/>
                <w:sz w:val="18"/>
              </w:rPr>
              <w:t>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180,000.00</w:t>
            </w:r>
          </w:p>
        </w:tc>
      </w:tr>
      <w:tr>
        <w:trPr>
          <w:trHeight w:val="285"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北京亚仕同方科技有限公司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2"/>
              <w:jc w:val="right"/>
              <w:rPr>
                <w:rFonts w:ascii="Times New Roman" w:hAnsi="Times New Roman" w:cs="Times New Roman" w:eastAsia="Times New Roman" w:hint="default"/>
                <w:sz w:val="18"/>
                <w:szCs w:val="18"/>
              </w:rPr>
            </w:pPr>
            <w:r>
              <w:rPr>
                <w:rFonts w:ascii="Times New Roman"/>
                <w:spacing w:val="-1"/>
                <w:sz w:val="18"/>
              </w:rPr>
              <w:t>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332.40</w:t>
            </w:r>
          </w:p>
        </w:tc>
      </w:tr>
      <w:tr>
        <w:trPr>
          <w:trHeight w:val="276" w:hRule="exact"/>
        </w:trPr>
        <w:tc>
          <w:tcPr>
            <w:tcW w:w="1193" w:type="dxa"/>
            <w:tcBorders>
              <w:top w:val="nil" w:sz="6" w:space="0" w:color="auto"/>
              <w:left w:val="nil" w:sz="6" w:space="0" w:color="auto"/>
              <w:bottom w:val="nil" w:sz="6" w:space="0" w:color="auto"/>
              <w:right w:val="nil" w:sz="6" w:space="0" w:color="auto"/>
            </w:tcBorders>
          </w:tcPr>
          <w:p>
            <w:pP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b/>
                <w:bCs/>
                <w:sz w:val="18"/>
                <w:szCs w:val="18"/>
              </w:rPr>
              <w:t>其他关联关系方：</w:t>
            </w:r>
            <w:r>
              <w:rPr>
                <w:rFonts w:ascii="宋体" w:hAnsi="宋体" w:cs="宋体" w:eastAsia="宋体" w:hint="default"/>
                <w:sz w:val="18"/>
                <w:szCs w:val="18"/>
              </w:rPr>
            </w:r>
          </w:p>
        </w:tc>
        <w:tc>
          <w:tcPr>
            <w:tcW w:w="1543"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
        </w:tc>
      </w:tr>
      <w:tr>
        <w:trPr>
          <w:trHeight w:val="295"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612" w:type="dxa"/>
            <w:tcBorders>
              <w:top w:val="nil" w:sz="6" w:space="0" w:color="auto"/>
              <w:left w:val="nil" w:sz="6" w:space="0" w:color="auto"/>
              <w:bottom w:val="nil" w:sz="6" w:space="0" w:color="auto"/>
              <w:right w:val="nil" w:sz="6" w:space="0" w:color="auto"/>
            </w:tcBorders>
          </w:tcPr>
          <w:p>
            <w:pPr>
              <w:pStyle w:val="TableParagraph"/>
              <w:spacing w:line="23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北京紫光制药有限公司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43"/>
              <w:jc w:val="right"/>
              <w:rPr>
                <w:rFonts w:ascii="Times New Roman" w:hAnsi="Times New Roman" w:cs="Times New Roman" w:eastAsia="Times New Roman" w:hint="default"/>
                <w:sz w:val="18"/>
                <w:szCs w:val="18"/>
              </w:rPr>
            </w:pPr>
            <w:r>
              <w:rPr>
                <w:rFonts w:ascii="Times New Roman"/>
                <w:spacing w:val="-1"/>
                <w:sz w:val="18"/>
              </w:rPr>
              <w:t>58,800.00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75" w:hRule="exact"/>
        </w:trPr>
        <w:tc>
          <w:tcPr>
            <w:tcW w:w="1193" w:type="dxa"/>
            <w:tcBorders>
              <w:top w:val="nil" w:sz="6" w:space="0" w:color="auto"/>
              <w:left w:val="nil" w:sz="6" w:space="0" w:color="auto"/>
              <w:bottom w:val="nil" w:sz="6" w:space="0" w:color="auto"/>
              <w:right w:val="nil" w:sz="6" w:space="0" w:color="auto"/>
            </w:tcBorders>
          </w:tcPr>
          <w:p>
            <w:pP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b/>
                <w:bCs/>
                <w:sz w:val="18"/>
                <w:szCs w:val="18"/>
              </w:rPr>
              <w:t>清华大学及其下属单位：</w:t>
            </w:r>
            <w:r>
              <w:rPr>
                <w:rFonts w:ascii="宋体" w:hAnsi="宋体" w:cs="宋体" w:eastAsia="宋体" w:hint="default"/>
                <w:sz w:val="18"/>
                <w:szCs w:val="18"/>
              </w:rPr>
            </w:r>
          </w:p>
        </w:tc>
        <w:tc>
          <w:tcPr>
            <w:tcW w:w="1543"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
        </w:tc>
      </w:tr>
      <w:tr>
        <w:trPr>
          <w:trHeight w:val="29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32" w:lineRule="exact"/>
              <w:ind w:left="170"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43"/>
              <w:jc w:val="right"/>
              <w:rPr>
                <w:rFonts w:ascii="Times New Roman" w:hAnsi="Times New Roman" w:cs="Times New Roman" w:eastAsia="Times New Roman" w:hint="default"/>
                <w:sz w:val="18"/>
                <w:szCs w:val="18"/>
              </w:rPr>
            </w:pPr>
            <w:r>
              <w:rPr>
                <w:rFonts w:ascii="Times New Roman"/>
                <w:spacing w:val="-1"/>
                <w:sz w:val="18"/>
              </w:rPr>
              <w:t>12,500.00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10"/>
              <w:jc w:val="right"/>
              <w:rPr>
                <w:rFonts w:ascii="Times New Roman" w:hAnsi="Times New Roman" w:cs="Times New Roman" w:eastAsia="Times New Roman" w:hint="default"/>
                <w:sz w:val="18"/>
                <w:szCs w:val="18"/>
              </w:rPr>
            </w:pPr>
            <w:r>
              <w:rPr>
                <w:rFonts w:ascii="Times New Roman"/>
                <w:spacing w:val="-1"/>
                <w:sz w:val="18"/>
              </w:rPr>
              <w:t>72,500.00</w:t>
            </w:r>
          </w:p>
        </w:tc>
      </w:tr>
      <w:tr>
        <w:trPr>
          <w:trHeight w:val="276" w:hRule="exact"/>
        </w:trPr>
        <w:tc>
          <w:tcPr>
            <w:tcW w:w="1193" w:type="dxa"/>
            <w:tcBorders>
              <w:top w:val="nil" w:sz="6" w:space="0" w:color="auto"/>
              <w:left w:val="nil" w:sz="6" w:space="0" w:color="auto"/>
              <w:bottom w:val="nil" w:sz="6" w:space="0" w:color="auto"/>
              <w:right w:val="nil" w:sz="6" w:space="0" w:color="auto"/>
            </w:tcBorders>
          </w:tcPr>
          <w:p>
            <w:pP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b/>
                <w:bCs/>
                <w:sz w:val="18"/>
                <w:szCs w:val="18"/>
              </w:rPr>
              <w:t>控股股东及受同一控股股东控制的其他企业：</w:t>
            </w:r>
            <w:r>
              <w:rPr>
                <w:rFonts w:ascii="宋体" w:hAnsi="宋体" w:cs="宋体" w:eastAsia="宋体" w:hint="default"/>
                <w:sz w:val="18"/>
                <w:szCs w:val="18"/>
              </w:rPr>
            </w:r>
          </w:p>
        </w:tc>
        <w:tc>
          <w:tcPr>
            <w:tcW w:w="1543"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
        </w:tc>
      </w:tr>
      <w:tr>
        <w:trPr>
          <w:trHeight w:val="295"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33" w:lineRule="exact"/>
              <w:ind w:left="170" w:right="0"/>
              <w:jc w:val="left"/>
              <w:rPr>
                <w:rFonts w:ascii="宋体" w:hAnsi="宋体" w:cs="宋体" w:eastAsia="宋体" w:hint="default"/>
                <w:sz w:val="18"/>
                <w:szCs w:val="18"/>
              </w:rPr>
            </w:pPr>
            <w:r>
              <w:rPr>
                <w:rFonts w:ascii="宋体" w:hAnsi="宋体" w:cs="宋体" w:eastAsia="宋体" w:hint="default"/>
                <w:sz w:val="18"/>
                <w:szCs w:val="18"/>
              </w:rPr>
              <w:t>紫光股份有限公司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43"/>
              <w:jc w:val="right"/>
              <w:rPr>
                <w:rFonts w:ascii="Times New Roman" w:hAnsi="Times New Roman" w:cs="Times New Roman" w:eastAsia="Times New Roman" w:hint="default"/>
                <w:sz w:val="18"/>
                <w:szCs w:val="18"/>
              </w:rPr>
            </w:pPr>
            <w:r>
              <w:rPr>
                <w:rFonts w:ascii="Times New Roman"/>
                <w:spacing w:val="-1"/>
                <w:sz w:val="18"/>
              </w:rPr>
              <w:t>8,000,000.00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清华同方光盘电子出版社</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57,320.23</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57,320.23</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北京诚志永昌化工有限公司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2"/>
              <w:jc w:val="right"/>
              <w:rPr>
                <w:rFonts w:ascii="Times New Roman" w:hAnsi="Times New Roman" w:cs="Times New Roman" w:eastAsia="Times New Roman" w:hint="default"/>
                <w:sz w:val="18"/>
                <w:szCs w:val="18"/>
              </w:rPr>
            </w:pPr>
            <w:r>
              <w:rPr>
                <w:rFonts w:ascii="Times New Roman"/>
                <w:spacing w:val="-1"/>
                <w:sz w:val="18"/>
              </w:rPr>
              <w:t>25,015.28</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北京华清物业管理有限公司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w w:val="95"/>
                <w:sz w:val="18"/>
              </w:rPr>
              <w:t>3,236.59</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w w:val="95"/>
                <w:sz w:val="18"/>
              </w:rPr>
              <w:t>3,236.59</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pacing w:val="-12"/>
                <w:sz w:val="18"/>
                <w:szCs w:val="18"/>
              </w:rPr>
              <w:t>《中国学术期刊（光盘版）》电子杂志社有限公司</w:t>
            </w:r>
            <w:r>
              <w:rPr>
                <w:rFonts w:ascii="宋体" w:hAnsi="宋体" w:cs="宋体" w:eastAsia="宋体" w:hint="default"/>
                <w:sz w:val="18"/>
                <w:szCs w:val="18"/>
              </w:rPr>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2"/>
              <w:jc w:val="right"/>
              <w:rPr>
                <w:rFonts w:ascii="Times New Roman" w:hAnsi="Times New Roman" w:cs="Times New Roman" w:eastAsia="Times New Roman" w:hint="default"/>
                <w:sz w:val="18"/>
                <w:szCs w:val="18"/>
              </w:rPr>
            </w:pPr>
            <w:r>
              <w:rPr>
                <w:rFonts w:ascii="Times New Roman"/>
                <w:spacing w:val="-1"/>
                <w:sz w:val="18"/>
              </w:rPr>
              <w:t>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25,805,427.14</w:t>
            </w:r>
          </w:p>
        </w:tc>
      </w:tr>
      <w:tr>
        <w:trPr>
          <w:trHeight w:val="275" w:hRule="exact"/>
        </w:trPr>
        <w:tc>
          <w:tcPr>
            <w:tcW w:w="1193" w:type="dxa"/>
            <w:tcBorders>
              <w:top w:val="nil" w:sz="6" w:space="0" w:color="auto"/>
              <w:left w:val="nil" w:sz="6" w:space="0" w:color="auto"/>
              <w:bottom w:val="nil" w:sz="6" w:space="0" w:color="auto"/>
              <w:right w:val="nil" w:sz="6" w:space="0" w:color="auto"/>
            </w:tcBorders>
          </w:tcPr>
          <w:p>
            <w:pP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b/>
                <w:bCs/>
                <w:sz w:val="18"/>
                <w:szCs w:val="18"/>
              </w:rPr>
              <w:t>合营企业及联营企业：</w:t>
            </w:r>
            <w:r>
              <w:rPr>
                <w:rFonts w:ascii="宋体" w:hAnsi="宋体" w:cs="宋体" w:eastAsia="宋体" w:hint="default"/>
                <w:sz w:val="18"/>
                <w:szCs w:val="18"/>
              </w:rPr>
            </w:r>
          </w:p>
        </w:tc>
        <w:tc>
          <w:tcPr>
            <w:tcW w:w="1543"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
        </w:tc>
      </w:tr>
      <w:tr>
        <w:trPr>
          <w:trHeight w:val="29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32" w:lineRule="exact"/>
              <w:ind w:left="170" w:right="0"/>
              <w:jc w:val="left"/>
              <w:rPr>
                <w:rFonts w:ascii="宋体" w:hAnsi="宋体" w:cs="宋体" w:eastAsia="宋体" w:hint="default"/>
                <w:sz w:val="18"/>
                <w:szCs w:val="18"/>
              </w:rPr>
            </w:pPr>
            <w:r>
              <w:rPr>
                <w:rFonts w:ascii="宋体" w:hAnsi="宋体" w:cs="宋体" w:eastAsia="宋体" w:hint="default"/>
                <w:sz w:val="18"/>
                <w:szCs w:val="18"/>
              </w:rPr>
              <w:t>同方川崎节能设备有限公司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43"/>
              <w:jc w:val="right"/>
              <w:rPr>
                <w:rFonts w:ascii="Times New Roman" w:hAnsi="Times New Roman" w:cs="Times New Roman" w:eastAsia="Times New Roman" w:hint="default"/>
                <w:sz w:val="18"/>
                <w:szCs w:val="18"/>
              </w:rPr>
            </w:pPr>
            <w:r>
              <w:rPr>
                <w:rFonts w:ascii="Times New Roman"/>
                <w:spacing w:val="-1"/>
                <w:sz w:val="18"/>
              </w:rPr>
              <w:t>38,628,255.23</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10"/>
              <w:jc w:val="right"/>
              <w:rPr>
                <w:rFonts w:ascii="Times New Roman" w:hAnsi="Times New Roman" w:cs="Times New Roman" w:eastAsia="Times New Roman" w:hint="default"/>
                <w:sz w:val="18"/>
                <w:szCs w:val="18"/>
              </w:rPr>
            </w:pPr>
            <w:r>
              <w:rPr>
                <w:rFonts w:ascii="Times New Roman"/>
                <w:spacing w:val="-1"/>
                <w:sz w:val="18"/>
              </w:rPr>
              <w:t>32,317,553.92</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陕西省广电同方数字电视有限责任公司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12,011,755.04</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13,411,755.04</w:t>
            </w:r>
          </w:p>
        </w:tc>
      </w:tr>
      <w:tr>
        <w:trPr>
          <w:trHeight w:val="259"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同方（深圳）云计算技术股份有限公司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11,530,000.00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8,700,136.99</w:t>
            </w:r>
          </w:p>
        </w:tc>
      </w:tr>
      <w:tr>
        <w:trPr>
          <w:trHeight w:val="482"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195"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北京海视安数据科技有限公司（原北京威视数据系统</w:t>
            </w:r>
          </w:p>
          <w:p>
            <w:pPr>
              <w:pStyle w:val="TableParagraph"/>
              <w:spacing w:line="234" w:lineRule="exact"/>
              <w:ind w:left="170"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43"/>
              <w:jc w:val="right"/>
              <w:rPr>
                <w:rFonts w:ascii="Times New Roman" w:hAnsi="Times New Roman" w:cs="Times New Roman" w:eastAsia="Times New Roman" w:hint="default"/>
                <w:sz w:val="18"/>
                <w:szCs w:val="18"/>
              </w:rPr>
            </w:pPr>
            <w:r>
              <w:rPr>
                <w:rFonts w:ascii="Times New Roman"/>
                <w:spacing w:val="-1"/>
                <w:sz w:val="18"/>
              </w:rPr>
              <w:t>4,911,783.12</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08"/>
              <w:jc w:val="right"/>
              <w:rPr>
                <w:rFonts w:ascii="Times New Roman" w:hAnsi="Times New Roman" w:cs="Times New Roman" w:eastAsia="Times New Roman" w:hint="default"/>
                <w:sz w:val="18"/>
                <w:szCs w:val="18"/>
              </w:rPr>
            </w:pPr>
            <w:r>
              <w:rPr>
                <w:rFonts w:ascii="Times New Roman"/>
                <w:spacing w:val="-1"/>
                <w:sz w:val="18"/>
              </w:rPr>
              <w:t>4,911,783.12</w:t>
            </w:r>
          </w:p>
        </w:tc>
      </w:tr>
      <w:tr>
        <w:trPr>
          <w:trHeight w:val="295"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33" w:lineRule="exact"/>
              <w:ind w:left="170" w:right="0"/>
              <w:jc w:val="left"/>
              <w:rPr>
                <w:rFonts w:ascii="宋体" w:hAnsi="宋体" w:cs="宋体" w:eastAsia="宋体" w:hint="default"/>
                <w:sz w:val="18"/>
                <w:szCs w:val="18"/>
              </w:rPr>
            </w:pPr>
            <w:r>
              <w:rPr>
                <w:rFonts w:ascii="宋体" w:hAnsi="宋体" w:cs="宋体" w:eastAsia="宋体" w:hint="default"/>
                <w:sz w:val="18"/>
                <w:szCs w:val="18"/>
              </w:rPr>
              <w:t>泰豪科技股份有限公司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43"/>
              <w:jc w:val="right"/>
              <w:rPr>
                <w:rFonts w:ascii="Times New Roman" w:hAnsi="Times New Roman" w:cs="Times New Roman" w:eastAsia="Times New Roman" w:hint="default"/>
                <w:sz w:val="18"/>
                <w:szCs w:val="18"/>
              </w:rPr>
            </w:pPr>
            <w:r>
              <w:rPr>
                <w:rFonts w:ascii="Times New Roman"/>
                <w:spacing w:val="-1"/>
                <w:sz w:val="18"/>
              </w:rPr>
              <w:t>3,250,000.00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3,250,000.00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吉林同方科贸有限责任公司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2,108,656.15</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2,108,656.15</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重庆同方合志科技有限公司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658,040.43</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658,040.43</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sz w:val="18"/>
                <w:szCs w:val="18"/>
              </w:rPr>
              <w:t>深圳同方信息技术有限公司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3"/>
              <w:jc w:val="right"/>
              <w:rPr>
                <w:rFonts w:ascii="Times New Roman" w:hAnsi="Times New Roman" w:cs="Times New Roman" w:eastAsia="Times New Roman" w:hint="default"/>
                <w:sz w:val="18"/>
                <w:szCs w:val="18"/>
              </w:rPr>
            </w:pPr>
            <w:r>
              <w:rPr>
                <w:rFonts w:ascii="Times New Roman"/>
                <w:spacing w:val="-1"/>
                <w:sz w:val="18"/>
              </w:rPr>
              <w:t>162,418.79</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易程（苏州）新技术股份有限公司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32,977.10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易程科技股份有限公司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31,274.18</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93,100.31</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北京同方时讯电子有限公司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spacing w:val="-1"/>
                <w:sz w:val="18"/>
              </w:rPr>
              <w:t>27,636.80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31,793.23</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sz w:val="18"/>
                <w:szCs w:val="18"/>
              </w:rPr>
              <w:t>同方投资有限公司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3"/>
              <w:jc w:val="right"/>
              <w:rPr>
                <w:rFonts w:ascii="Times New Roman" w:hAnsi="Times New Roman" w:cs="Times New Roman" w:eastAsia="Times New Roman" w:hint="default"/>
                <w:sz w:val="18"/>
                <w:szCs w:val="18"/>
              </w:rPr>
            </w:pPr>
            <w:r>
              <w:rPr>
                <w:rFonts w:ascii="Times New Roman"/>
                <w:w w:val="95"/>
                <w:sz w:val="18"/>
              </w:rPr>
              <w:t>7,429.15</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15,434.24</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同方环境股份有限公司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w w:val="95"/>
                <w:sz w:val="18"/>
              </w:rPr>
              <w:t>6,179.75</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北京同方博宇工程技术有限公司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3"/>
              <w:jc w:val="right"/>
              <w:rPr>
                <w:rFonts w:ascii="Times New Roman" w:hAnsi="Times New Roman" w:cs="Times New Roman" w:eastAsia="Times New Roman" w:hint="default"/>
                <w:sz w:val="18"/>
                <w:szCs w:val="18"/>
              </w:rPr>
            </w:pPr>
            <w:r>
              <w:rPr>
                <w:rFonts w:ascii="Times New Roman"/>
                <w:w w:val="95"/>
                <w:sz w:val="18"/>
              </w:rPr>
              <w:t>5,236.87</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5"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北京亚仕同方科技有限公司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2"/>
              <w:jc w:val="right"/>
              <w:rPr>
                <w:rFonts w:ascii="Times New Roman" w:hAnsi="Times New Roman" w:cs="Times New Roman" w:eastAsia="Times New Roman" w:hint="default"/>
                <w:sz w:val="18"/>
                <w:szCs w:val="18"/>
              </w:rPr>
            </w:pPr>
            <w:r>
              <w:rPr>
                <w:rFonts w:ascii="Times New Roman"/>
                <w:spacing w:val="-1"/>
                <w:sz w:val="18"/>
              </w:rPr>
              <w:t>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17,775,551.13</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spacing w:val="-32"/>
                <w:sz w:val="18"/>
                <w:szCs w:val="18"/>
              </w:rPr>
              <w:t>东方欢旅科技有限公司（原北京同方易豪科技有限公司）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2"/>
              <w:jc w:val="right"/>
              <w:rPr>
                <w:rFonts w:ascii="Times New Roman" w:hAnsi="Times New Roman" w:cs="Times New Roman" w:eastAsia="Times New Roman" w:hint="default"/>
                <w:sz w:val="18"/>
                <w:szCs w:val="18"/>
              </w:rPr>
            </w:pPr>
            <w:r>
              <w:rPr>
                <w:rFonts w:ascii="Times New Roman"/>
                <w:spacing w:val="-1"/>
                <w:sz w:val="18"/>
              </w:rPr>
              <w:t>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11,622,579.27</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同方恩欧凯（无锡）膜技术有限公司</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2"/>
              <w:jc w:val="right"/>
              <w:rPr>
                <w:rFonts w:ascii="Times New Roman" w:hAnsi="Times New Roman" w:cs="Times New Roman" w:eastAsia="Times New Roman" w:hint="default"/>
                <w:sz w:val="18"/>
                <w:szCs w:val="18"/>
              </w:rPr>
            </w:pPr>
            <w:r>
              <w:rPr>
                <w:rFonts w:ascii="Times New Roman"/>
                <w:spacing w:val="-1"/>
                <w:sz w:val="18"/>
              </w:rPr>
              <w:t>0.00</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7,854,794.10</w:t>
            </w:r>
          </w:p>
        </w:tc>
      </w:tr>
      <w:tr>
        <w:trPr>
          <w:trHeight w:val="267" w:hRule="exact"/>
        </w:trPr>
        <w:tc>
          <w:tcPr>
            <w:tcW w:w="1193" w:type="dxa"/>
            <w:tcBorders>
              <w:top w:val="nil" w:sz="6" w:space="0" w:color="auto"/>
              <w:left w:val="nil" w:sz="6" w:space="0" w:color="auto"/>
              <w:bottom w:val="single" w:sz="12"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612" w:type="dxa"/>
            <w:tcBorders>
              <w:top w:val="nil" w:sz="6" w:space="0" w:color="auto"/>
              <w:left w:val="nil" w:sz="6" w:space="0" w:color="auto"/>
              <w:bottom w:val="single" w:sz="12" w:space="0" w:color="000000"/>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北京中检科威科技有限公司</w:t>
            </w:r>
          </w:p>
        </w:tc>
        <w:tc>
          <w:tcPr>
            <w:tcW w:w="1543"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242"/>
              <w:jc w:val="right"/>
              <w:rPr>
                <w:rFonts w:ascii="Times New Roman" w:hAnsi="Times New Roman" w:cs="Times New Roman" w:eastAsia="Times New Roman" w:hint="default"/>
                <w:sz w:val="18"/>
                <w:szCs w:val="18"/>
              </w:rPr>
            </w:pPr>
            <w:r>
              <w:rPr>
                <w:rFonts w:ascii="Times New Roman"/>
                <w:spacing w:val="-1"/>
                <w:sz w:val="18"/>
              </w:rPr>
              <w:t>0.00</w:t>
            </w:r>
          </w:p>
        </w:tc>
        <w:tc>
          <w:tcPr>
            <w:tcW w:w="1392"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145,299.14</w:t>
            </w:r>
          </w:p>
        </w:tc>
      </w:tr>
    </w:tbl>
    <w:p>
      <w:pPr>
        <w:spacing w:after="0" w:line="240" w:lineRule="auto"/>
        <w:jc w:val="right"/>
        <w:rPr>
          <w:rFonts w:ascii="Times New Roman" w:hAnsi="Times New Roman" w:cs="Times New Roman" w:eastAsia="Times New Roman" w:hint="default"/>
          <w:sz w:val="18"/>
          <w:szCs w:val="18"/>
        </w:rPr>
        <w:sectPr>
          <w:headerReference w:type="default" r:id="rId101"/>
          <w:pgSz w:w="11910" w:h="16840"/>
          <w:pgMar w:header="645" w:footer="816" w:top="1080" w:bottom="1000" w:left="1460" w:right="148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1104"/>
        <w:gridCol w:w="4460"/>
        <w:gridCol w:w="1830"/>
        <w:gridCol w:w="1346"/>
      </w:tblGrid>
      <w:tr>
        <w:trPr>
          <w:trHeight w:val="307" w:hRule="exact"/>
        </w:trPr>
        <w:tc>
          <w:tcPr>
            <w:tcW w:w="110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446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59" w:right="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183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89"/>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134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14" w:hRule="exact"/>
        </w:trPr>
        <w:tc>
          <w:tcPr>
            <w:tcW w:w="1104" w:type="dxa"/>
            <w:tcBorders>
              <w:top w:val="single" w:sz="4" w:space="0" w:color="000000"/>
              <w:left w:val="nil" w:sz="6" w:space="0" w:color="auto"/>
              <w:bottom w:val="nil" w:sz="6" w:space="0" w:color="auto"/>
              <w:right w:val="nil" w:sz="6" w:space="0" w:color="auto"/>
            </w:tcBorders>
          </w:tcPr>
          <w:p>
            <w:pPr/>
          </w:p>
        </w:tc>
        <w:tc>
          <w:tcPr>
            <w:tcW w:w="4460"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259" w:right="0"/>
              <w:jc w:val="left"/>
              <w:rPr>
                <w:rFonts w:ascii="宋体" w:hAnsi="宋体" w:cs="宋体" w:eastAsia="宋体" w:hint="default"/>
                <w:sz w:val="18"/>
                <w:szCs w:val="18"/>
              </w:rPr>
            </w:pPr>
            <w:r>
              <w:rPr>
                <w:rFonts w:ascii="宋体" w:hAnsi="宋体" w:cs="宋体" w:eastAsia="宋体" w:hint="default"/>
                <w:b/>
                <w:bCs/>
                <w:sz w:val="18"/>
                <w:szCs w:val="18"/>
              </w:rPr>
              <w:t>清华大学及其下属单位：</w:t>
            </w:r>
            <w:r>
              <w:rPr>
                <w:rFonts w:ascii="宋体" w:hAnsi="宋体" w:cs="宋体" w:eastAsia="宋体" w:hint="default"/>
                <w:sz w:val="18"/>
                <w:szCs w:val="18"/>
              </w:rPr>
            </w:r>
          </w:p>
        </w:tc>
        <w:tc>
          <w:tcPr>
            <w:tcW w:w="1830" w:type="dxa"/>
            <w:tcBorders>
              <w:top w:val="single" w:sz="4" w:space="0" w:color="000000"/>
              <w:left w:val="nil" w:sz="6" w:space="0" w:color="auto"/>
              <w:bottom w:val="nil" w:sz="6" w:space="0" w:color="auto"/>
              <w:right w:val="nil" w:sz="6" w:space="0" w:color="auto"/>
            </w:tcBorders>
          </w:tcPr>
          <w:p>
            <w:pPr/>
          </w:p>
        </w:tc>
        <w:tc>
          <w:tcPr>
            <w:tcW w:w="1346" w:type="dxa"/>
            <w:tcBorders>
              <w:top w:val="single" w:sz="4" w:space="0" w:color="000000"/>
              <w:left w:val="nil" w:sz="6" w:space="0" w:color="auto"/>
              <w:bottom w:val="nil" w:sz="6" w:space="0" w:color="auto"/>
              <w:right w:val="nil" w:sz="6" w:space="0" w:color="auto"/>
            </w:tcBorders>
          </w:tcPr>
          <w:p>
            <w:pPr/>
          </w:p>
        </w:tc>
      </w:tr>
      <w:tr>
        <w:trPr>
          <w:trHeight w:val="295"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4460" w:type="dxa"/>
            <w:tcBorders>
              <w:top w:val="nil" w:sz="6" w:space="0" w:color="auto"/>
              <w:left w:val="nil" w:sz="6" w:space="0" w:color="auto"/>
              <w:bottom w:val="nil" w:sz="6" w:space="0" w:color="auto"/>
              <w:right w:val="nil" w:sz="6" w:space="0" w:color="auto"/>
            </w:tcBorders>
          </w:tcPr>
          <w:p>
            <w:pPr>
              <w:pStyle w:val="TableParagraph"/>
              <w:spacing w:line="233" w:lineRule="exact"/>
              <w:ind w:left="259" w:right="0"/>
              <w:jc w:val="left"/>
              <w:rPr>
                <w:rFonts w:ascii="宋体" w:hAnsi="宋体" w:cs="宋体" w:eastAsia="宋体" w:hint="default"/>
                <w:sz w:val="18"/>
                <w:szCs w:val="18"/>
              </w:rPr>
            </w:pPr>
            <w:r>
              <w:rPr>
                <w:rFonts w:ascii="宋体" w:hAnsi="宋体" w:cs="宋体" w:eastAsia="宋体" w:hint="default"/>
                <w:sz w:val="18"/>
                <w:szCs w:val="18"/>
              </w:rPr>
              <w:t>北京通力华清科技有限责任公司</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89"/>
              <w:jc w:val="right"/>
              <w:rPr>
                <w:rFonts w:ascii="Times New Roman" w:hAnsi="Times New Roman" w:cs="Times New Roman" w:eastAsia="Times New Roman" w:hint="default"/>
                <w:sz w:val="18"/>
                <w:szCs w:val="18"/>
              </w:rPr>
            </w:pPr>
            <w:r>
              <w:rPr>
                <w:rFonts w:ascii="Times New Roman"/>
                <w:spacing w:val="-1"/>
                <w:sz w:val="18"/>
              </w:rPr>
              <w:t>8,535,875.00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4460"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9"/>
              <w:jc w:val="right"/>
              <w:rPr>
                <w:rFonts w:ascii="Times New Roman" w:hAnsi="Times New Roman" w:cs="Times New Roman" w:eastAsia="Times New Roman" w:hint="default"/>
                <w:sz w:val="18"/>
                <w:szCs w:val="18"/>
              </w:rPr>
            </w:pPr>
            <w:r>
              <w:rPr>
                <w:rFonts w:ascii="Times New Roman"/>
                <w:spacing w:val="-1"/>
                <w:sz w:val="18"/>
              </w:rPr>
              <w:t>75,820.22</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70,820.22</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4460"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清华大学机械厂</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8"/>
              <w:jc w:val="right"/>
              <w:rPr>
                <w:rFonts w:ascii="Times New Roman" w:hAnsi="Times New Roman" w:cs="Times New Roman" w:eastAsia="Times New Roman" w:hint="default"/>
                <w:sz w:val="18"/>
                <w:szCs w:val="18"/>
              </w:rPr>
            </w:pPr>
            <w:r>
              <w:rPr>
                <w:rFonts w:ascii="Times New Roman"/>
                <w:spacing w:val="-1"/>
                <w:sz w:val="18"/>
              </w:rPr>
              <w:t>0.00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3,931,237.05</w:t>
            </w:r>
          </w:p>
        </w:tc>
      </w:tr>
      <w:tr>
        <w:trPr>
          <w:trHeight w:val="275" w:hRule="exact"/>
        </w:trPr>
        <w:tc>
          <w:tcPr>
            <w:tcW w:w="1104" w:type="dxa"/>
            <w:tcBorders>
              <w:top w:val="nil" w:sz="6" w:space="0" w:color="auto"/>
              <w:left w:val="nil" w:sz="6" w:space="0" w:color="auto"/>
              <w:bottom w:val="nil" w:sz="6" w:space="0" w:color="auto"/>
              <w:right w:val="nil" w:sz="6" w:space="0" w:color="auto"/>
            </w:tcBorders>
          </w:tcPr>
          <w:p>
            <w:pPr/>
          </w:p>
        </w:tc>
        <w:tc>
          <w:tcPr>
            <w:tcW w:w="4460"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b/>
                <w:bCs/>
                <w:sz w:val="18"/>
                <w:szCs w:val="18"/>
              </w:rPr>
              <w:t>控股股东及受同一控股股东控制的其他企业：</w:t>
            </w:r>
            <w:r>
              <w:rPr>
                <w:rFonts w:ascii="宋体" w:hAnsi="宋体" w:cs="宋体" w:eastAsia="宋体" w:hint="default"/>
                <w:sz w:val="18"/>
                <w:szCs w:val="18"/>
              </w:rPr>
            </w:r>
          </w:p>
        </w:tc>
        <w:tc>
          <w:tcPr>
            <w:tcW w:w="1830"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r>
      <w:tr>
        <w:trPr>
          <w:trHeight w:val="295"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4460" w:type="dxa"/>
            <w:tcBorders>
              <w:top w:val="nil" w:sz="6" w:space="0" w:color="auto"/>
              <w:left w:val="nil" w:sz="6" w:space="0" w:color="auto"/>
              <w:bottom w:val="nil" w:sz="6" w:space="0" w:color="auto"/>
              <w:right w:val="nil" w:sz="6" w:space="0" w:color="auto"/>
            </w:tcBorders>
          </w:tcPr>
          <w:p>
            <w:pPr>
              <w:pStyle w:val="TableParagraph"/>
              <w:spacing w:line="233" w:lineRule="exact"/>
              <w:ind w:left="259" w:right="0"/>
              <w:jc w:val="left"/>
              <w:rPr>
                <w:rFonts w:ascii="宋体" w:hAnsi="宋体" w:cs="宋体" w:eastAsia="宋体" w:hint="default"/>
                <w:sz w:val="18"/>
                <w:szCs w:val="18"/>
              </w:rPr>
            </w:pPr>
            <w:r>
              <w:rPr>
                <w:rFonts w:ascii="宋体" w:hAnsi="宋体" w:cs="宋体" w:eastAsia="宋体" w:hint="default"/>
                <w:spacing w:val="-12"/>
                <w:sz w:val="18"/>
                <w:szCs w:val="18"/>
              </w:rPr>
              <w:t>《中国学术期刊（光盘版）》电子杂志社有限公司</w:t>
            </w:r>
            <w:r>
              <w:rPr>
                <w:rFonts w:ascii="宋体" w:hAnsi="宋体" w:cs="宋体" w:eastAsia="宋体" w:hint="default"/>
                <w:sz w:val="18"/>
                <w:szCs w:val="18"/>
              </w:rPr>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89"/>
              <w:jc w:val="right"/>
              <w:rPr>
                <w:rFonts w:ascii="Times New Roman" w:hAnsi="Times New Roman" w:cs="Times New Roman" w:eastAsia="Times New Roman" w:hint="default"/>
                <w:sz w:val="18"/>
                <w:szCs w:val="18"/>
              </w:rPr>
            </w:pPr>
            <w:r>
              <w:rPr>
                <w:rFonts w:ascii="Times New Roman"/>
                <w:spacing w:val="-1"/>
                <w:sz w:val="18"/>
              </w:rPr>
              <w:t>16,024,047.69</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4460"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北京清华同衡规划设计研究院有限公司</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9"/>
              <w:jc w:val="right"/>
              <w:rPr>
                <w:rFonts w:ascii="Times New Roman" w:hAnsi="Times New Roman" w:cs="Times New Roman" w:eastAsia="Times New Roman" w:hint="default"/>
                <w:sz w:val="18"/>
                <w:szCs w:val="18"/>
              </w:rPr>
            </w:pPr>
            <w:r>
              <w:rPr>
                <w:rFonts w:ascii="Times New Roman"/>
                <w:spacing w:val="-1"/>
                <w:sz w:val="18"/>
              </w:rPr>
              <w:t>261,000.00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2,200,000.00</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4460"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紫光软件系统有限公司</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9"/>
              <w:jc w:val="right"/>
              <w:rPr>
                <w:rFonts w:ascii="Times New Roman" w:hAnsi="Times New Roman" w:cs="Times New Roman" w:eastAsia="Times New Roman" w:hint="default"/>
                <w:sz w:val="18"/>
                <w:szCs w:val="18"/>
              </w:rPr>
            </w:pPr>
            <w:r>
              <w:rPr>
                <w:rFonts w:ascii="Times New Roman"/>
                <w:w w:val="95"/>
                <w:sz w:val="18"/>
              </w:rPr>
              <w:t>5,000.00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75" w:hRule="exact"/>
        </w:trPr>
        <w:tc>
          <w:tcPr>
            <w:tcW w:w="1104" w:type="dxa"/>
            <w:tcBorders>
              <w:top w:val="nil" w:sz="6" w:space="0" w:color="auto"/>
              <w:left w:val="nil" w:sz="6" w:space="0" w:color="auto"/>
              <w:bottom w:val="nil" w:sz="6" w:space="0" w:color="auto"/>
              <w:right w:val="nil" w:sz="6" w:space="0" w:color="auto"/>
            </w:tcBorders>
          </w:tcPr>
          <w:p>
            <w:pPr/>
          </w:p>
        </w:tc>
        <w:tc>
          <w:tcPr>
            <w:tcW w:w="4460"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b/>
                <w:bCs/>
                <w:sz w:val="18"/>
                <w:szCs w:val="18"/>
              </w:rPr>
              <w:t>合营企业及联营企业：</w:t>
            </w:r>
            <w:r>
              <w:rPr>
                <w:rFonts w:ascii="宋体" w:hAnsi="宋体" w:cs="宋体" w:eastAsia="宋体" w:hint="default"/>
                <w:sz w:val="18"/>
                <w:szCs w:val="18"/>
              </w:rPr>
            </w:r>
          </w:p>
        </w:tc>
        <w:tc>
          <w:tcPr>
            <w:tcW w:w="1830"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r>
      <w:tr>
        <w:trPr>
          <w:trHeight w:val="295"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4460" w:type="dxa"/>
            <w:tcBorders>
              <w:top w:val="nil" w:sz="6" w:space="0" w:color="auto"/>
              <w:left w:val="nil" w:sz="6" w:space="0" w:color="auto"/>
              <w:bottom w:val="nil" w:sz="6" w:space="0" w:color="auto"/>
              <w:right w:val="nil" w:sz="6" w:space="0" w:color="auto"/>
            </w:tcBorders>
          </w:tcPr>
          <w:p>
            <w:pPr>
              <w:pStyle w:val="TableParagraph"/>
              <w:spacing w:line="233" w:lineRule="exact"/>
              <w:ind w:left="259" w:right="0"/>
              <w:jc w:val="left"/>
              <w:rPr>
                <w:rFonts w:ascii="宋体" w:hAnsi="宋体" w:cs="宋体" w:eastAsia="宋体" w:hint="default"/>
                <w:sz w:val="18"/>
                <w:szCs w:val="18"/>
              </w:rPr>
            </w:pPr>
            <w:r>
              <w:rPr>
                <w:rFonts w:ascii="宋体" w:hAnsi="宋体" w:cs="宋体" w:eastAsia="宋体" w:hint="default"/>
                <w:sz w:val="18"/>
                <w:szCs w:val="18"/>
              </w:rPr>
              <w:t>同方环境股份有限公司</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89"/>
              <w:jc w:val="right"/>
              <w:rPr>
                <w:rFonts w:ascii="Times New Roman" w:hAnsi="Times New Roman" w:cs="Times New Roman" w:eastAsia="Times New Roman" w:hint="default"/>
                <w:sz w:val="18"/>
                <w:szCs w:val="18"/>
              </w:rPr>
            </w:pPr>
            <w:r>
              <w:rPr>
                <w:rFonts w:ascii="Times New Roman"/>
                <w:spacing w:val="-1"/>
                <w:sz w:val="18"/>
              </w:rPr>
              <w:t>2,454,000.00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2,454,000.00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4460"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吉林同方科贸有限责任公司</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9"/>
              <w:jc w:val="right"/>
              <w:rPr>
                <w:rFonts w:ascii="Times New Roman" w:hAnsi="Times New Roman" w:cs="Times New Roman" w:eastAsia="Times New Roman" w:hint="default"/>
                <w:sz w:val="18"/>
                <w:szCs w:val="18"/>
              </w:rPr>
            </w:pPr>
            <w:r>
              <w:rPr>
                <w:rFonts w:ascii="Times New Roman"/>
                <w:spacing w:val="-1"/>
                <w:sz w:val="18"/>
              </w:rPr>
              <w:t>2,206,284.17</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2,206,284.17</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4460"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北京同方时讯电子有限公司</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9"/>
              <w:jc w:val="right"/>
              <w:rPr>
                <w:rFonts w:ascii="Times New Roman" w:hAnsi="Times New Roman" w:cs="Times New Roman" w:eastAsia="Times New Roman" w:hint="default"/>
                <w:sz w:val="18"/>
                <w:szCs w:val="18"/>
              </w:rPr>
            </w:pPr>
            <w:r>
              <w:rPr>
                <w:rFonts w:ascii="Times New Roman"/>
                <w:spacing w:val="-1"/>
                <w:sz w:val="18"/>
              </w:rPr>
              <w:t>1,019,608.29</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1,586,268.19</w:t>
            </w:r>
          </w:p>
        </w:tc>
      </w:tr>
      <w:tr>
        <w:trPr>
          <w:trHeight w:val="285"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4460"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sz w:val="18"/>
                <w:szCs w:val="18"/>
              </w:rPr>
              <w:t>广州同方瑞风空调有限公司</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89"/>
              <w:jc w:val="right"/>
              <w:rPr>
                <w:rFonts w:ascii="Times New Roman" w:hAnsi="Times New Roman" w:cs="Times New Roman" w:eastAsia="Times New Roman" w:hint="default"/>
                <w:sz w:val="18"/>
                <w:szCs w:val="18"/>
              </w:rPr>
            </w:pPr>
            <w:r>
              <w:rPr>
                <w:rFonts w:ascii="Times New Roman"/>
                <w:spacing w:val="-1"/>
                <w:sz w:val="18"/>
              </w:rPr>
              <w:t>562,380.00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4460"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深圳同方信息技术有限公司</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9"/>
              <w:jc w:val="right"/>
              <w:rPr>
                <w:rFonts w:ascii="Times New Roman" w:hAnsi="Times New Roman" w:cs="Times New Roman" w:eastAsia="Times New Roman" w:hint="default"/>
                <w:sz w:val="18"/>
                <w:szCs w:val="18"/>
              </w:rPr>
            </w:pPr>
            <w:r>
              <w:rPr>
                <w:rFonts w:ascii="Times New Roman"/>
                <w:spacing w:val="-1"/>
                <w:sz w:val="18"/>
              </w:rPr>
              <w:t>45,000.00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45,000.00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4460"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泰豪科技股份有限公司</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9"/>
              <w:jc w:val="right"/>
              <w:rPr>
                <w:rFonts w:ascii="Times New Roman" w:hAnsi="Times New Roman" w:cs="Times New Roman" w:eastAsia="Times New Roman" w:hint="default"/>
                <w:sz w:val="18"/>
                <w:szCs w:val="18"/>
              </w:rPr>
            </w:pPr>
            <w:r>
              <w:rPr>
                <w:rFonts w:ascii="Times New Roman"/>
                <w:spacing w:val="-1"/>
                <w:sz w:val="18"/>
              </w:rPr>
              <w:t>44,433.35</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4460"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北京文录激光科技有限公司</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9"/>
              <w:jc w:val="right"/>
              <w:rPr>
                <w:rFonts w:ascii="Times New Roman" w:hAnsi="Times New Roman" w:cs="Times New Roman" w:eastAsia="Times New Roman" w:hint="default"/>
                <w:sz w:val="18"/>
                <w:szCs w:val="18"/>
              </w:rPr>
            </w:pPr>
            <w:r>
              <w:rPr>
                <w:rFonts w:ascii="Times New Roman"/>
                <w:spacing w:val="-1"/>
                <w:sz w:val="18"/>
              </w:rPr>
              <w:t>28,000.00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4460"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sz w:val="18"/>
                <w:szCs w:val="18"/>
              </w:rPr>
              <w:t>北京亚仕同方科技有限公司</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88"/>
              <w:jc w:val="right"/>
              <w:rPr>
                <w:rFonts w:ascii="Times New Roman" w:hAnsi="Times New Roman" w:cs="Times New Roman" w:eastAsia="Times New Roman" w:hint="default"/>
                <w:sz w:val="18"/>
                <w:szCs w:val="18"/>
              </w:rPr>
            </w:pPr>
            <w:r>
              <w:rPr>
                <w:rFonts w:ascii="Times New Roman"/>
                <w:spacing w:val="-1"/>
                <w:sz w:val="18"/>
              </w:rPr>
              <w:t>0.00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330,109.18</w:t>
            </w:r>
          </w:p>
        </w:tc>
      </w:tr>
      <w:tr>
        <w:trPr>
          <w:trHeight w:val="276" w:hRule="exact"/>
        </w:trPr>
        <w:tc>
          <w:tcPr>
            <w:tcW w:w="1104" w:type="dxa"/>
            <w:tcBorders>
              <w:top w:val="nil" w:sz="6" w:space="0" w:color="auto"/>
              <w:left w:val="nil" w:sz="6" w:space="0" w:color="auto"/>
              <w:bottom w:val="nil" w:sz="6" w:space="0" w:color="auto"/>
              <w:right w:val="nil" w:sz="6" w:space="0" w:color="auto"/>
            </w:tcBorders>
          </w:tcPr>
          <w:p>
            <w:pPr/>
          </w:p>
        </w:tc>
        <w:tc>
          <w:tcPr>
            <w:tcW w:w="4460"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b/>
                <w:bCs/>
                <w:sz w:val="18"/>
                <w:szCs w:val="18"/>
              </w:rPr>
              <w:t>合营企业及联营企业：</w:t>
            </w:r>
            <w:r>
              <w:rPr>
                <w:rFonts w:ascii="宋体" w:hAnsi="宋体" w:cs="宋体" w:eastAsia="宋体" w:hint="default"/>
                <w:sz w:val="18"/>
                <w:szCs w:val="18"/>
              </w:rPr>
            </w:r>
          </w:p>
        </w:tc>
        <w:tc>
          <w:tcPr>
            <w:tcW w:w="1830"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r>
      <w:tr>
        <w:trPr>
          <w:trHeight w:val="295"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4460" w:type="dxa"/>
            <w:tcBorders>
              <w:top w:val="nil" w:sz="6" w:space="0" w:color="auto"/>
              <w:left w:val="nil" w:sz="6" w:space="0" w:color="auto"/>
              <w:bottom w:val="nil" w:sz="6" w:space="0" w:color="auto"/>
              <w:right w:val="nil" w:sz="6" w:space="0" w:color="auto"/>
            </w:tcBorders>
          </w:tcPr>
          <w:p>
            <w:pPr>
              <w:pStyle w:val="TableParagraph"/>
              <w:spacing w:line="233" w:lineRule="exact"/>
              <w:ind w:left="259" w:right="0"/>
              <w:jc w:val="left"/>
              <w:rPr>
                <w:rFonts w:ascii="宋体" w:hAnsi="宋体" w:cs="宋体" w:eastAsia="宋体" w:hint="default"/>
                <w:sz w:val="18"/>
                <w:szCs w:val="18"/>
              </w:rPr>
            </w:pPr>
            <w:r>
              <w:rPr>
                <w:rFonts w:ascii="宋体" w:hAnsi="宋体" w:cs="宋体" w:eastAsia="宋体" w:hint="default"/>
                <w:sz w:val="18"/>
                <w:szCs w:val="18"/>
              </w:rPr>
              <w:t>同方投资有限公司</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88"/>
              <w:jc w:val="right"/>
              <w:rPr>
                <w:rFonts w:ascii="Times New Roman" w:hAnsi="Times New Roman" w:cs="Times New Roman" w:eastAsia="Times New Roman" w:hint="default"/>
                <w:sz w:val="18"/>
                <w:szCs w:val="18"/>
              </w:rPr>
            </w:pPr>
            <w:r>
              <w:rPr>
                <w:rFonts w:ascii="Times New Roman"/>
                <w:spacing w:val="-1"/>
                <w:sz w:val="18"/>
              </w:rPr>
              <w:t>90,909,090.91</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4460"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同方鼎欣科技股份有限公司</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7"/>
              <w:jc w:val="right"/>
              <w:rPr>
                <w:rFonts w:ascii="Times New Roman" w:hAnsi="Times New Roman" w:cs="Times New Roman" w:eastAsia="Times New Roman" w:hint="default"/>
                <w:sz w:val="18"/>
                <w:szCs w:val="18"/>
              </w:rPr>
            </w:pPr>
            <w:r>
              <w:rPr>
                <w:rFonts w:ascii="Times New Roman"/>
                <w:spacing w:val="-1"/>
                <w:sz w:val="18"/>
              </w:rPr>
              <w:t>17,068,000.00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4460"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sz w:val="18"/>
                <w:szCs w:val="18"/>
              </w:rPr>
              <w:t>北京辰安科技股份有限公司</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88"/>
              <w:jc w:val="right"/>
              <w:rPr>
                <w:rFonts w:ascii="Times New Roman" w:hAnsi="Times New Roman" w:cs="Times New Roman" w:eastAsia="Times New Roman" w:hint="default"/>
                <w:sz w:val="18"/>
                <w:szCs w:val="18"/>
              </w:rPr>
            </w:pPr>
            <w:r>
              <w:rPr>
                <w:rFonts w:ascii="Times New Roman"/>
                <w:spacing w:val="-1"/>
                <w:sz w:val="18"/>
              </w:rPr>
              <w:t>0.00</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675,000.00</w:t>
            </w:r>
          </w:p>
        </w:tc>
      </w:tr>
      <w:tr>
        <w:trPr>
          <w:trHeight w:val="267" w:hRule="exact"/>
        </w:trPr>
        <w:tc>
          <w:tcPr>
            <w:tcW w:w="1104" w:type="dxa"/>
            <w:tcBorders>
              <w:top w:val="nil" w:sz="6" w:space="0" w:color="auto"/>
              <w:left w:val="nil" w:sz="6" w:space="0" w:color="auto"/>
              <w:bottom w:val="single" w:sz="12"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4460" w:type="dxa"/>
            <w:tcBorders>
              <w:top w:val="nil" w:sz="6" w:space="0" w:color="auto"/>
              <w:left w:val="nil" w:sz="6" w:space="0" w:color="auto"/>
              <w:bottom w:val="single" w:sz="12" w:space="0" w:color="000000"/>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云南云电同方科技有限公司</w:t>
            </w:r>
          </w:p>
        </w:tc>
        <w:tc>
          <w:tcPr>
            <w:tcW w:w="183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288"/>
              <w:jc w:val="right"/>
              <w:rPr>
                <w:rFonts w:ascii="Times New Roman" w:hAnsi="Times New Roman" w:cs="Times New Roman" w:eastAsia="Times New Roman" w:hint="default"/>
                <w:sz w:val="18"/>
                <w:szCs w:val="18"/>
              </w:rPr>
            </w:pPr>
            <w:r>
              <w:rPr>
                <w:rFonts w:ascii="Times New Roman"/>
                <w:spacing w:val="-1"/>
                <w:sz w:val="18"/>
              </w:rPr>
              <w:t>0.00</w:t>
            </w:r>
          </w:p>
        </w:tc>
        <w:tc>
          <w:tcPr>
            <w:tcW w:w="1346"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5,344,868.89</w:t>
            </w:r>
          </w:p>
        </w:tc>
      </w:tr>
    </w:tbl>
    <w:p>
      <w:pPr>
        <w:spacing w:before="81"/>
        <w:ind w:left="695" w:right="142"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18"/>
          <w:sz w:val="22"/>
          <w:szCs w:val="22"/>
        </w:rPr>
        <w:t> </w:t>
      </w:r>
      <w:r>
        <w:rPr>
          <w:rFonts w:ascii="宋体" w:hAnsi="宋体" w:cs="宋体" w:eastAsia="宋体" w:hint="default"/>
          <w:sz w:val="22"/>
          <w:szCs w:val="22"/>
        </w:rPr>
        <w:t>应付项目</w:t>
      </w:r>
    </w:p>
    <w:p>
      <w:pPr>
        <w:spacing w:line="240" w:lineRule="auto" w:before="5"/>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1104"/>
        <w:gridCol w:w="4697"/>
        <w:gridCol w:w="1518"/>
        <w:gridCol w:w="1451"/>
      </w:tblGrid>
      <w:tr>
        <w:trPr>
          <w:trHeight w:val="307" w:hRule="exact"/>
        </w:trPr>
        <w:tc>
          <w:tcPr>
            <w:tcW w:w="110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469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59" w:right="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151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15"/>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145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14" w:hRule="exact"/>
        </w:trPr>
        <w:tc>
          <w:tcPr>
            <w:tcW w:w="1104" w:type="dxa"/>
            <w:tcBorders>
              <w:top w:val="single" w:sz="4" w:space="0" w:color="000000"/>
              <w:left w:val="nil" w:sz="6" w:space="0" w:color="auto"/>
              <w:bottom w:val="nil" w:sz="6" w:space="0" w:color="auto"/>
              <w:right w:val="nil" w:sz="6" w:space="0" w:color="auto"/>
            </w:tcBorders>
          </w:tcPr>
          <w:p>
            <w:pPr/>
          </w:p>
        </w:tc>
        <w:tc>
          <w:tcPr>
            <w:tcW w:w="4697"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259" w:right="0"/>
              <w:jc w:val="left"/>
              <w:rPr>
                <w:rFonts w:ascii="宋体" w:hAnsi="宋体" w:cs="宋体" w:eastAsia="宋体" w:hint="default"/>
                <w:sz w:val="18"/>
                <w:szCs w:val="18"/>
              </w:rPr>
            </w:pPr>
            <w:r>
              <w:rPr>
                <w:rFonts w:ascii="宋体" w:hAnsi="宋体" w:cs="宋体" w:eastAsia="宋体" w:hint="default"/>
                <w:b/>
                <w:bCs/>
                <w:sz w:val="18"/>
                <w:szCs w:val="18"/>
              </w:rPr>
              <w:t>清华大学及其下属单位：</w:t>
            </w:r>
            <w:r>
              <w:rPr>
                <w:rFonts w:ascii="宋体" w:hAnsi="宋体" w:cs="宋体" w:eastAsia="宋体" w:hint="default"/>
                <w:sz w:val="18"/>
                <w:szCs w:val="18"/>
              </w:rPr>
            </w:r>
          </w:p>
        </w:tc>
        <w:tc>
          <w:tcPr>
            <w:tcW w:w="1518" w:type="dxa"/>
            <w:tcBorders>
              <w:top w:val="single" w:sz="4" w:space="0" w:color="000000"/>
              <w:left w:val="nil" w:sz="6" w:space="0" w:color="auto"/>
              <w:bottom w:val="nil" w:sz="6" w:space="0" w:color="auto"/>
              <w:right w:val="nil" w:sz="6" w:space="0" w:color="auto"/>
            </w:tcBorders>
          </w:tcPr>
          <w:p>
            <w:pPr/>
          </w:p>
        </w:tc>
        <w:tc>
          <w:tcPr>
            <w:tcW w:w="1451" w:type="dxa"/>
            <w:tcBorders>
              <w:top w:val="single" w:sz="4" w:space="0" w:color="000000"/>
              <w:left w:val="nil" w:sz="6" w:space="0" w:color="auto"/>
              <w:bottom w:val="nil" w:sz="6" w:space="0" w:color="auto"/>
              <w:right w:val="nil" w:sz="6" w:space="0" w:color="auto"/>
            </w:tcBorders>
          </w:tcPr>
          <w:p>
            <w:pPr/>
          </w:p>
        </w:tc>
      </w:tr>
      <w:tr>
        <w:trPr>
          <w:trHeight w:val="295"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233" w:lineRule="exact"/>
              <w:ind w:left="259"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15"/>
              <w:jc w:val="right"/>
              <w:rPr>
                <w:rFonts w:ascii="Times New Roman" w:hAnsi="Times New Roman" w:cs="Times New Roman" w:eastAsia="Times New Roman" w:hint="default"/>
                <w:sz w:val="18"/>
                <w:szCs w:val="18"/>
              </w:rPr>
            </w:pPr>
            <w:r>
              <w:rPr>
                <w:rFonts w:ascii="Times New Roman"/>
                <w:spacing w:val="-1"/>
                <w:sz w:val="18"/>
              </w:rPr>
              <w:t>186,872,785.28</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345,058,519.11</w:t>
            </w:r>
          </w:p>
        </w:tc>
      </w:tr>
      <w:tr>
        <w:trPr>
          <w:trHeight w:val="276" w:hRule="exact"/>
        </w:trPr>
        <w:tc>
          <w:tcPr>
            <w:tcW w:w="1104" w:type="dxa"/>
            <w:tcBorders>
              <w:top w:val="nil" w:sz="6" w:space="0" w:color="auto"/>
              <w:left w:val="nil" w:sz="6" w:space="0" w:color="auto"/>
              <w:bottom w:val="nil" w:sz="6" w:space="0" w:color="auto"/>
              <w:right w:val="nil" w:sz="6" w:space="0" w:color="auto"/>
            </w:tcBorders>
          </w:tcPr>
          <w:p>
            <w:pPr/>
          </w:p>
        </w:tc>
        <w:tc>
          <w:tcPr>
            <w:tcW w:w="4697"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b/>
                <w:bCs/>
                <w:sz w:val="18"/>
                <w:szCs w:val="18"/>
              </w:rPr>
              <w:t>控股股东及受同一控股股东控制的其他企业：</w:t>
            </w:r>
            <w:r>
              <w:rPr>
                <w:rFonts w:ascii="宋体" w:hAnsi="宋体" w:cs="宋体" w:eastAsia="宋体" w:hint="default"/>
                <w:sz w:val="18"/>
                <w:szCs w:val="18"/>
              </w:rPr>
            </w:r>
          </w:p>
        </w:tc>
        <w:tc>
          <w:tcPr>
            <w:tcW w:w="1518" w:type="dxa"/>
            <w:tcBorders>
              <w:top w:val="nil" w:sz="6" w:space="0" w:color="auto"/>
              <w:left w:val="nil" w:sz="6" w:space="0" w:color="auto"/>
              <w:bottom w:val="nil" w:sz="6" w:space="0" w:color="auto"/>
              <w:right w:val="nil" w:sz="6" w:space="0" w:color="auto"/>
            </w:tcBorders>
          </w:tcPr>
          <w:p>
            <w:pPr/>
          </w:p>
        </w:tc>
        <w:tc>
          <w:tcPr>
            <w:tcW w:w="1451" w:type="dxa"/>
            <w:tcBorders>
              <w:top w:val="nil" w:sz="6" w:space="0" w:color="auto"/>
              <w:left w:val="nil" w:sz="6" w:space="0" w:color="auto"/>
              <w:bottom w:val="nil" w:sz="6" w:space="0" w:color="auto"/>
              <w:right w:val="nil" w:sz="6" w:space="0" w:color="auto"/>
            </w:tcBorders>
          </w:tcPr>
          <w:p>
            <w:pPr/>
          </w:p>
        </w:tc>
      </w:tr>
      <w:tr>
        <w:trPr>
          <w:trHeight w:val="29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233" w:lineRule="exact"/>
              <w:ind w:left="259" w:right="0"/>
              <w:jc w:val="left"/>
              <w:rPr>
                <w:rFonts w:ascii="宋体" w:hAnsi="宋体" w:cs="宋体" w:eastAsia="宋体" w:hint="default"/>
                <w:sz w:val="18"/>
                <w:szCs w:val="18"/>
              </w:rPr>
            </w:pPr>
            <w:r>
              <w:rPr>
                <w:rFonts w:ascii="宋体" w:hAnsi="宋体" w:cs="宋体" w:eastAsia="宋体" w:hint="default"/>
                <w:sz w:val="18"/>
                <w:szCs w:val="18"/>
              </w:rPr>
              <w:t>紫光股份有限公司</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14"/>
              <w:jc w:val="right"/>
              <w:rPr>
                <w:rFonts w:ascii="Times New Roman" w:hAnsi="Times New Roman" w:cs="Times New Roman" w:eastAsia="Times New Roman" w:hint="default"/>
                <w:sz w:val="18"/>
                <w:szCs w:val="18"/>
              </w:rPr>
            </w:pPr>
            <w:r>
              <w:rPr>
                <w:rFonts w:ascii="Times New Roman"/>
                <w:spacing w:val="-1"/>
                <w:sz w:val="18"/>
              </w:rPr>
              <w:t>556,250.00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540,000.00</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sz w:val="18"/>
                <w:szCs w:val="18"/>
              </w:rPr>
              <w:t>清华大学建筑设计研究院有限公司</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14"/>
              <w:jc w:val="right"/>
              <w:rPr>
                <w:rFonts w:ascii="Times New Roman" w:hAnsi="Times New Roman" w:cs="Times New Roman" w:eastAsia="Times New Roman" w:hint="default"/>
                <w:sz w:val="18"/>
                <w:szCs w:val="18"/>
              </w:rPr>
            </w:pPr>
            <w:r>
              <w:rPr>
                <w:rFonts w:ascii="Times New Roman"/>
                <w:spacing w:val="-1"/>
                <w:sz w:val="18"/>
              </w:rPr>
              <w:t>550,000.00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550,000.00</w:t>
            </w:r>
          </w:p>
        </w:tc>
      </w:tr>
      <w:tr>
        <w:trPr>
          <w:trHeight w:val="276" w:hRule="exact"/>
        </w:trPr>
        <w:tc>
          <w:tcPr>
            <w:tcW w:w="1104" w:type="dxa"/>
            <w:tcBorders>
              <w:top w:val="nil" w:sz="6" w:space="0" w:color="auto"/>
              <w:left w:val="nil" w:sz="6" w:space="0" w:color="auto"/>
              <w:bottom w:val="nil" w:sz="6" w:space="0" w:color="auto"/>
              <w:right w:val="nil" w:sz="6" w:space="0" w:color="auto"/>
            </w:tcBorders>
          </w:tcPr>
          <w:p>
            <w:pPr/>
          </w:p>
        </w:tc>
        <w:tc>
          <w:tcPr>
            <w:tcW w:w="4697"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b/>
                <w:bCs/>
                <w:sz w:val="18"/>
                <w:szCs w:val="18"/>
              </w:rPr>
              <w:t>合营企业及联营企业：</w:t>
            </w:r>
            <w:r>
              <w:rPr>
                <w:rFonts w:ascii="宋体" w:hAnsi="宋体" w:cs="宋体" w:eastAsia="宋体" w:hint="default"/>
                <w:sz w:val="18"/>
                <w:szCs w:val="18"/>
              </w:rPr>
            </w:r>
          </w:p>
        </w:tc>
        <w:tc>
          <w:tcPr>
            <w:tcW w:w="1518" w:type="dxa"/>
            <w:tcBorders>
              <w:top w:val="nil" w:sz="6" w:space="0" w:color="auto"/>
              <w:left w:val="nil" w:sz="6" w:space="0" w:color="auto"/>
              <w:bottom w:val="nil" w:sz="6" w:space="0" w:color="auto"/>
              <w:right w:val="nil" w:sz="6" w:space="0" w:color="auto"/>
            </w:tcBorders>
          </w:tcPr>
          <w:p>
            <w:pPr/>
          </w:p>
        </w:tc>
        <w:tc>
          <w:tcPr>
            <w:tcW w:w="1451" w:type="dxa"/>
            <w:tcBorders>
              <w:top w:val="nil" w:sz="6" w:space="0" w:color="auto"/>
              <w:left w:val="nil" w:sz="6" w:space="0" w:color="auto"/>
              <w:bottom w:val="nil" w:sz="6" w:space="0" w:color="auto"/>
              <w:right w:val="nil" w:sz="6" w:space="0" w:color="auto"/>
            </w:tcBorders>
          </w:tcPr>
          <w:p>
            <w:pPr/>
          </w:p>
        </w:tc>
      </w:tr>
      <w:tr>
        <w:trPr>
          <w:trHeight w:val="295"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233" w:lineRule="exact"/>
              <w:ind w:left="259" w:right="0"/>
              <w:jc w:val="left"/>
              <w:rPr>
                <w:rFonts w:ascii="宋体" w:hAnsi="宋体" w:cs="宋体" w:eastAsia="宋体" w:hint="default"/>
                <w:sz w:val="18"/>
                <w:szCs w:val="18"/>
              </w:rPr>
            </w:pPr>
            <w:r>
              <w:rPr>
                <w:rFonts w:ascii="宋体" w:hAnsi="宋体" w:cs="宋体" w:eastAsia="宋体" w:hint="default"/>
                <w:sz w:val="18"/>
                <w:szCs w:val="18"/>
              </w:rPr>
              <w:t>同方川崎节能设备有限公司</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15"/>
              <w:jc w:val="right"/>
              <w:rPr>
                <w:rFonts w:ascii="Times New Roman" w:hAnsi="Times New Roman" w:cs="Times New Roman" w:eastAsia="Times New Roman" w:hint="default"/>
                <w:sz w:val="18"/>
                <w:szCs w:val="18"/>
              </w:rPr>
            </w:pPr>
            <w:r>
              <w:rPr>
                <w:rFonts w:ascii="Times New Roman"/>
                <w:spacing w:val="-1"/>
                <w:sz w:val="18"/>
              </w:rPr>
              <w:t>57,677,347.00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36,154,893.91</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同方环境股份有限公司</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4"/>
              <w:jc w:val="right"/>
              <w:rPr>
                <w:rFonts w:ascii="Times New Roman" w:hAnsi="Times New Roman" w:cs="Times New Roman" w:eastAsia="Times New Roman" w:hint="default"/>
                <w:sz w:val="18"/>
                <w:szCs w:val="18"/>
              </w:rPr>
            </w:pPr>
            <w:r>
              <w:rPr>
                <w:rFonts w:ascii="Times New Roman"/>
                <w:spacing w:val="-1"/>
                <w:sz w:val="18"/>
              </w:rPr>
              <w:t>15,367,889.52</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19,585,866.57</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sz w:val="18"/>
                <w:szCs w:val="18"/>
              </w:rPr>
              <w:t>易程科技股份有限公司</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15"/>
              <w:jc w:val="right"/>
              <w:rPr>
                <w:rFonts w:ascii="Times New Roman" w:hAnsi="Times New Roman" w:cs="Times New Roman" w:eastAsia="Times New Roman" w:hint="default"/>
                <w:sz w:val="18"/>
                <w:szCs w:val="18"/>
              </w:rPr>
            </w:pPr>
            <w:r>
              <w:rPr>
                <w:rFonts w:ascii="Times New Roman"/>
                <w:spacing w:val="-1"/>
                <w:sz w:val="18"/>
              </w:rPr>
              <w:t>2,124,022.00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19,203,221.00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北京同方时讯电子有限公司</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5"/>
              <w:jc w:val="right"/>
              <w:rPr>
                <w:rFonts w:ascii="Times New Roman" w:hAnsi="Times New Roman" w:cs="Times New Roman" w:eastAsia="Times New Roman" w:hint="default"/>
                <w:sz w:val="18"/>
                <w:szCs w:val="18"/>
              </w:rPr>
            </w:pPr>
            <w:r>
              <w:rPr>
                <w:rFonts w:ascii="Times New Roman"/>
                <w:spacing w:val="-1"/>
                <w:sz w:val="18"/>
              </w:rPr>
              <w:t>1,920,000.00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1,920,000.00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广州同方瑞风空调有限公司</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4"/>
              <w:jc w:val="right"/>
              <w:rPr>
                <w:rFonts w:ascii="Times New Roman" w:hAnsi="Times New Roman" w:cs="Times New Roman" w:eastAsia="Times New Roman" w:hint="default"/>
                <w:sz w:val="18"/>
                <w:szCs w:val="18"/>
              </w:rPr>
            </w:pPr>
            <w:r>
              <w:rPr>
                <w:rFonts w:ascii="Times New Roman"/>
                <w:spacing w:val="-1"/>
                <w:sz w:val="18"/>
              </w:rPr>
              <w:t>921,819.00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同方鼎欣科技股份有限公司</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3"/>
              <w:jc w:val="right"/>
              <w:rPr>
                <w:rFonts w:ascii="Times New Roman" w:hAnsi="Times New Roman" w:cs="Times New Roman" w:eastAsia="Times New Roman" w:hint="default"/>
                <w:sz w:val="18"/>
                <w:szCs w:val="18"/>
              </w:rPr>
            </w:pPr>
            <w:r>
              <w:rPr>
                <w:rFonts w:ascii="Times New Roman"/>
                <w:sz w:val="18"/>
              </w:rPr>
              <w:t>812,805.50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5"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sz w:val="18"/>
                <w:szCs w:val="18"/>
              </w:rPr>
              <w:t>同方（深圳）云计算技术股份有限公司</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14"/>
              <w:jc w:val="right"/>
              <w:rPr>
                <w:rFonts w:ascii="Times New Roman" w:hAnsi="Times New Roman" w:cs="Times New Roman" w:eastAsia="Times New Roman" w:hint="default"/>
                <w:sz w:val="18"/>
                <w:szCs w:val="18"/>
              </w:rPr>
            </w:pPr>
            <w:r>
              <w:rPr>
                <w:rFonts w:ascii="Times New Roman"/>
                <w:spacing w:val="-1"/>
                <w:sz w:val="18"/>
              </w:rPr>
              <w:t>230,945.35</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407,254.12</w:t>
            </w:r>
          </w:p>
        </w:tc>
      </w:tr>
      <w:tr>
        <w:trPr>
          <w:trHeight w:val="259"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北京恩赛威节能技术服务有限责任公司</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4"/>
              <w:jc w:val="right"/>
              <w:rPr>
                <w:rFonts w:ascii="Times New Roman" w:hAnsi="Times New Roman" w:cs="Times New Roman" w:eastAsia="Times New Roman" w:hint="default"/>
                <w:sz w:val="18"/>
                <w:szCs w:val="18"/>
              </w:rPr>
            </w:pPr>
            <w:r>
              <w:rPr>
                <w:rFonts w:ascii="Times New Roman"/>
                <w:spacing w:val="-1"/>
                <w:sz w:val="18"/>
              </w:rPr>
              <w:t>80,000.00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80,000.00</w:t>
            </w:r>
          </w:p>
        </w:tc>
      </w:tr>
      <w:tr>
        <w:trPr>
          <w:trHeight w:val="483"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197" w:lineRule="exact"/>
              <w:ind w:left="259" w:right="0"/>
              <w:jc w:val="left"/>
              <w:rPr>
                <w:rFonts w:ascii="宋体" w:hAnsi="宋体" w:cs="宋体" w:eastAsia="宋体" w:hint="default"/>
                <w:sz w:val="18"/>
                <w:szCs w:val="18"/>
              </w:rPr>
            </w:pPr>
            <w:r>
              <w:rPr>
                <w:rFonts w:ascii="宋体" w:hAnsi="宋体" w:cs="宋体" w:eastAsia="宋体" w:hint="default"/>
                <w:spacing w:val="-3"/>
                <w:sz w:val="18"/>
                <w:szCs w:val="18"/>
              </w:rPr>
              <w:t>北京海视安数据科技有限公司（原北京威视数据系统有</w:t>
            </w: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14"/>
              <w:jc w:val="right"/>
              <w:rPr>
                <w:rFonts w:ascii="Times New Roman" w:hAnsi="Times New Roman" w:cs="Times New Roman" w:eastAsia="Times New Roman" w:hint="default"/>
                <w:sz w:val="18"/>
                <w:szCs w:val="18"/>
              </w:rPr>
            </w:pPr>
            <w:r>
              <w:rPr>
                <w:rFonts w:ascii="Times New Roman"/>
                <w:spacing w:val="-1"/>
                <w:sz w:val="18"/>
              </w:rPr>
              <w:t>48,822.00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9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232" w:lineRule="exact"/>
              <w:ind w:left="259" w:right="0"/>
              <w:jc w:val="left"/>
              <w:rPr>
                <w:rFonts w:ascii="宋体" w:hAnsi="宋体" w:cs="宋体" w:eastAsia="宋体" w:hint="default"/>
                <w:sz w:val="18"/>
                <w:szCs w:val="18"/>
              </w:rPr>
            </w:pPr>
            <w:r>
              <w:rPr>
                <w:rFonts w:ascii="宋体" w:hAnsi="宋体" w:cs="宋体" w:eastAsia="宋体" w:hint="default"/>
                <w:sz w:val="18"/>
                <w:szCs w:val="18"/>
              </w:rPr>
              <w:t>吉林同方科贸有限责任公司</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4"/>
              <w:jc w:val="right"/>
              <w:rPr>
                <w:rFonts w:ascii="Times New Roman" w:hAnsi="Times New Roman" w:cs="Times New Roman" w:eastAsia="Times New Roman" w:hint="default"/>
                <w:sz w:val="18"/>
                <w:szCs w:val="18"/>
              </w:rPr>
            </w:pPr>
            <w:r>
              <w:rPr>
                <w:rFonts w:ascii="Times New Roman"/>
                <w:spacing w:val="-1"/>
                <w:sz w:val="18"/>
              </w:rPr>
              <w:t>36,684.00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8"/>
              <w:jc w:val="right"/>
              <w:rPr>
                <w:rFonts w:ascii="Times New Roman" w:hAnsi="Times New Roman" w:cs="Times New Roman" w:eastAsia="Times New Roman" w:hint="default"/>
                <w:sz w:val="18"/>
                <w:szCs w:val="18"/>
              </w:rPr>
            </w:pPr>
            <w:r>
              <w:rPr>
                <w:rFonts w:ascii="Times New Roman"/>
                <w:spacing w:val="-1"/>
                <w:sz w:val="18"/>
              </w:rPr>
              <w:t>36,684.00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广州同艺照明有限公司</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4"/>
              <w:jc w:val="right"/>
              <w:rPr>
                <w:rFonts w:ascii="Times New Roman" w:hAnsi="Times New Roman" w:cs="Times New Roman" w:eastAsia="Times New Roman" w:hint="default"/>
                <w:sz w:val="18"/>
                <w:szCs w:val="18"/>
              </w:rPr>
            </w:pPr>
            <w:r>
              <w:rPr>
                <w:rFonts w:ascii="Times New Roman"/>
                <w:spacing w:val="-1"/>
                <w:sz w:val="18"/>
              </w:rPr>
              <w:t>22,480.00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150,450.00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泰豪科技股份有限公司</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4"/>
              <w:jc w:val="right"/>
              <w:rPr>
                <w:rFonts w:ascii="Times New Roman" w:hAnsi="Times New Roman" w:cs="Times New Roman" w:eastAsia="Times New Roman" w:hint="default"/>
                <w:sz w:val="18"/>
                <w:szCs w:val="18"/>
              </w:rPr>
            </w:pPr>
            <w:r>
              <w:rPr>
                <w:rFonts w:ascii="Times New Roman"/>
                <w:spacing w:val="-1"/>
                <w:sz w:val="18"/>
              </w:rPr>
              <w:t>20,506.81</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z w:val="18"/>
                <w:szCs w:val="18"/>
              </w:rPr>
              <w:t>北京辰安科技股份有限公司</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4"/>
              <w:jc w:val="right"/>
              <w:rPr>
                <w:rFonts w:ascii="Times New Roman" w:hAnsi="Times New Roman" w:cs="Times New Roman" w:eastAsia="Times New Roman" w:hint="default"/>
                <w:sz w:val="18"/>
                <w:szCs w:val="18"/>
              </w:rPr>
            </w:pPr>
            <w:r>
              <w:rPr>
                <w:rFonts w:ascii="Times New Roman"/>
                <w:spacing w:val="-1"/>
                <w:sz w:val="18"/>
              </w:rPr>
              <w:t>0.00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2,277,693.87</w:t>
            </w:r>
          </w:p>
        </w:tc>
      </w:tr>
      <w:tr>
        <w:trPr>
          <w:trHeight w:val="28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sz w:val="18"/>
                <w:szCs w:val="18"/>
              </w:rPr>
              <w:t>重庆同方合志科技有限公司</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14"/>
              <w:jc w:val="right"/>
              <w:rPr>
                <w:rFonts w:ascii="Times New Roman" w:hAnsi="Times New Roman" w:cs="Times New Roman" w:eastAsia="Times New Roman" w:hint="default"/>
                <w:sz w:val="18"/>
                <w:szCs w:val="18"/>
              </w:rPr>
            </w:pPr>
            <w:r>
              <w:rPr>
                <w:rFonts w:ascii="Times New Roman"/>
                <w:spacing w:val="-1"/>
                <w:sz w:val="18"/>
              </w:rPr>
              <w:t>0.00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430,650.00</w:t>
            </w:r>
          </w:p>
        </w:tc>
      </w:tr>
      <w:tr>
        <w:trPr>
          <w:trHeight w:val="267" w:hRule="exact"/>
        </w:trPr>
        <w:tc>
          <w:tcPr>
            <w:tcW w:w="1104" w:type="dxa"/>
            <w:tcBorders>
              <w:top w:val="nil" w:sz="6" w:space="0" w:color="auto"/>
              <w:left w:val="nil" w:sz="6" w:space="0" w:color="auto"/>
              <w:bottom w:val="single" w:sz="12"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697" w:type="dxa"/>
            <w:tcBorders>
              <w:top w:val="nil" w:sz="6" w:space="0" w:color="auto"/>
              <w:left w:val="nil" w:sz="6" w:space="0" w:color="auto"/>
              <w:bottom w:val="single" w:sz="12" w:space="0" w:color="000000"/>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pacing w:val="-24"/>
                <w:sz w:val="18"/>
                <w:szCs w:val="18"/>
              </w:rPr>
              <w:t>东方欢旅科技有限公司（原北京同方易豪科技有限公司）</w:t>
            </w:r>
            <w:r>
              <w:rPr>
                <w:rFonts w:ascii="宋体" w:hAnsi="宋体" w:cs="宋体" w:eastAsia="宋体" w:hint="default"/>
                <w:sz w:val="18"/>
                <w:szCs w:val="18"/>
              </w:rPr>
            </w:r>
          </w:p>
        </w:tc>
        <w:tc>
          <w:tcPr>
            <w:tcW w:w="1518"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214"/>
              <w:jc w:val="right"/>
              <w:rPr>
                <w:rFonts w:ascii="Times New Roman" w:hAnsi="Times New Roman" w:cs="Times New Roman" w:eastAsia="Times New Roman" w:hint="default"/>
                <w:sz w:val="18"/>
                <w:szCs w:val="18"/>
              </w:rPr>
            </w:pPr>
            <w:r>
              <w:rPr>
                <w:rFonts w:ascii="Times New Roman"/>
                <w:spacing w:val="-1"/>
                <w:sz w:val="18"/>
              </w:rPr>
              <w:t>0.00</w:t>
            </w:r>
          </w:p>
        </w:tc>
        <w:tc>
          <w:tcPr>
            <w:tcW w:w="1451"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27,685.00</w:t>
            </w:r>
          </w:p>
        </w:tc>
      </w:tr>
    </w:tbl>
    <w:p>
      <w:pPr>
        <w:spacing w:after="0" w:line="240" w:lineRule="auto"/>
        <w:jc w:val="right"/>
        <w:rPr>
          <w:rFonts w:ascii="Times New Roman" w:hAnsi="Times New Roman" w:cs="Times New Roman" w:eastAsia="Times New Roman" w:hint="default"/>
          <w:sz w:val="18"/>
          <w:szCs w:val="18"/>
        </w:rPr>
        <w:sectPr>
          <w:pgSz w:w="11910" w:h="16840"/>
          <w:pgMar w:header="645" w:footer="816" w:top="1080" w:bottom="1000" w:left="1460" w:right="144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1193"/>
        <w:gridCol w:w="4323"/>
        <w:gridCol w:w="1737"/>
        <w:gridCol w:w="1519"/>
      </w:tblGrid>
      <w:tr>
        <w:trPr>
          <w:trHeight w:val="307" w:hRule="exact"/>
        </w:trPr>
        <w:tc>
          <w:tcPr>
            <w:tcW w:w="119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432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70" w:right="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173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48"/>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151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14" w:hRule="exact"/>
        </w:trPr>
        <w:tc>
          <w:tcPr>
            <w:tcW w:w="1193" w:type="dxa"/>
            <w:tcBorders>
              <w:top w:val="single" w:sz="4" w:space="0" w:color="000000"/>
              <w:left w:val="nil" w:sz="6" w:space="0" w:color="auto"/>
              <w:bottom w:val="nil" w:sz="6" w:space="0" w:color="auto"/>
              <w:right w:val="nil" w:sz="6" w:space="0" w:color="auto"/>
            </w:tcBorders>
          </w:tcPr>
          <w:p>
            <w:pPr/>
          </w:p>
        </w:tc>
        <w:tc>
          <w:tcPr>
            <w:tcW w:w="4323"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70" w:right="0"/>
              <w:jc w:val="left"/>
              <w:rPr>
                <w:rFonts w:ascii="宋体" w:hAnsi="宋体" w:cs="宋体" w:eastAsia="宋体" w:hint="default"/>
                <w:sz w:val="18"/>
                <w:szCs w:val="18"/>
              </w:rPr>
            </w:pPr>
            <w:r>
              <w:rPr>
                <w:rFonts w:ascii="宋体" w:hAnsi="宋体" w:cs="宋体" w:eastAsia="宋体" w:hint="default"/>
                <w:b/>
                <w:bCs/>
                <w:sz w:val="18"/>
                <w:szCs w:val="18"/>
              </w:rPr>
              <w:t>其他关联关系方：</w:t>
            </w:r>
            <w:r>
              <w:rPr>
                <w:rFonts w:ascii="宋体" w:hAnsi="宋体" w:cs="宋体" w:eastAsia="宋体" w:hint="default"/>
                <w:sz w:val="18"/>
                <w:szCs w:val="18"/>
              </w:rPr>
            </w:r>
          </w:p>
        </w:tc>
        <w:tc>
          <w:tcPr>
            <w:tcW w:w="1737" w:type="dxa"/>
            <w:tcBorders>
              <w:top w:val="single" w:sz="4" w:space="0" w:color="000000"/>
              <w:left w:val="nil" w:sz="6" w:space="0" w:color="auto"/>
              <w:bottom w:val="nil" w:sz="6" w:space="0" w:color="auto"/>
              <w:right w:val="nil" w:sz="6" w:space="0" w:color="auto"/>
            </w:tcBorders>
          </w:tcPr>
          <w:p>
            <w:pPr/>
          </w:p>
        </w:tc>
        <w:tc>
          <w:tcPr>
            <w:tcW w:w="1519" w:type="dxa"/>
            <w:tcBorders>
              <w:top w:val="single" w:sz="4" w:space="0" w:color="000000"/>
              <w:left w:val="nil" w:sz="6" w:space="0" w:color="auto"/>
              <w:bottom w:val="nil" w:sz="6" w:space="0" w:color="auto"/>
              <w:right w:val="nil" w:sz="6" w:space="0" w:color="auto"/>
            </w:tcBorders>
          </w:tcPr>
          <w:p>
            <w:pPr/>
          </w:p>
        </w:tc>
      </w:tr>
      <w:tr>
        <w:trPr>
          <w:trHeight w:val="295"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323" w:type="dxa"/>
            <w:tcBorders>
              <w:top w:val="nil" w:sz="6" w:space="0" w:color="auto"/>
              <w:left w:val="nil" w:sz="6" w:space="0" w:color="auto"/>
              <w:bottom w:val="nil" w:sz="6" w:space="0" w:color="auto"/>
              <w:right w:val="nil" w:sz="6" w:space="0" w:color="auto"/>
            </w:tcBorders>
          </w:tcPr>
          <w:p>
            <w:pPr>
              <w:pStyle w:val="TableParagraph"/>
              <w:spacing w:line="23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北京清控人居环境研究院有限公司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47"/>
              <w:jc w:val="right"/>
              <w:rPr>
                <w:rFonts w:ascii="Times New Roman" w:hAnsi="Times New Roman" w:cs="Times New Roman" w:eastAsia="Times New Roman" w:hint="default"/>
                <w:sz w:val="18"/>
                <w:szCs w:val="18"/>
              </w:rPr>
            </w:pPr>
            <w:r>
              <w:rPr>
                <w:rFonts w:ascii="Times New Roman"/>
                <w:spacing w:val="-1"/>
                <w:sz w:val="18"/>
              </w:rPr>
              <w:t>4,804,302.58</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262,473.07</w:t>
            </w:r>
          </w:p>
        </w:tc>
      </w:tr>
      <w:tr>
        <w:trPr>
          <w:trHeight w:val="276" w:hRule="exact"/>
        </w:trPr>
        <w:tc>
          <w:tcPr>
            <w:tcW w:w="1193" w:type="dxa"/>
            <w:tcBorders>
              <w:top w:val="nil" w:sz="6" w:space="0" w:color="auto"/>
              <w:left w:val="nil" w:sz="6" w:space="0" w:color="auto"/>
              <w:bottom w:val="nil" w:sz="6" w:space="0" w:color="auto"/>
              <w:right w:val="nil" w:sz="6" w:space="0" w:color="auto"/>
            </w:tcBorders>
          </w:tcPr>
          <w:p>
            <w:pP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b/>
                <w:bCs/>
                <w:sz w:val="18"/>
                <w:szCs w:val="18"/>
              </w:rPr>
              <w:t>清华大学及其下属单位：</w:t>
            </w:r>
            <w:r>
              <w:rPr>
                <w:rFonts w:ascii="宋体" w:hAnsi="宋体" w:cs="宋体" w:eastAsia="宋体" w:hint="default"/>
                <w:sz w:val="18"/>
                <w:szCs w:val="18"/>
              </w:rPr>
            </w:r>
          </w:p>
        </w:tc>
        <w:tc>
          <w:tcPr>
            <w:tcW w:w="1737"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
        </w:tc>
      </w:tr>
      <w:tr>
        <w:trPr>
          <w:trHeight w:val="29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33" w:lineRule="exact"/>
              <w:ind w:left="170"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47"/>
              <w:jc w:val="right"/>
              <w:rPr>
                <w:rFonts w:ascii="Times New Roman" w:hAnsi="Times New Roman" w:cs="Times New Roman" w:eastAsia="Times New Roman" w:hint="default"/>
                <w:sz w:val="18"/>
                <w:szCs w:val="18"/>
              </w:rPr>
            </w:pPr>
            <w:r>
              <w:rPr>
                <w:rFonts w:ascii="Times New Roman"/>
                <w:spacing w:val="-1"/>
                <w:sz w:val="18"/>
              </w:rPr>
              <w:t>3,703,256.68</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738,776.68</w:t>
            </w:r>
          </w:p>
        </w:tc>
      </w:tr>
      <w:tr>
        <w:trPr>
          <w:trHeight w:val="275" w:hRule="exact"/>
        </w:trPr>
        <w:tc>
          <w:tcPr>
            <w:tcW w:w="1193" w:type="dxa"/>
            <w:tcBorders>
              <w:top w:val="nil" w:sz="6" w:space="0" w:color="auto"/>
              <w:left w:val="nil" w:sz="6" w:space="0" w:color="auto"/>
              <w:bottom w:val="nil" w:sz="6" w:space="0" w:color="auto"/>
              <w:right w:val="nil" w:sz="6" w:space="0" w:color="auto"/>
            </w:tcBorders>
          </w:tcPr>
          <w:p>
            <w:pPr/>
          </w:p>
        </w:tc>
        <w:tc>
          <w:tcPr>
            <w:tcW w:w="4323"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b/>
                <w:bCs/>
                <w:sz w:val="18"/>
                <w:szCs w:val="18"/>
              </w:rPr>
              <w:t>控股股东及受同一控股股东控制的其他企业：</w:t>
            </w:r>
            <w:r>
              <w:rPr>
                <w:rFonts w:ascii="宋体" w:hAnsi="宋体" w:cs="宋体" w:eastAsia="宋体" w:hint="default"/>
                <w:sz w:val="18"/>
                <w:szCs w:val="18"/>
              </w:rPr>
            </w:r>
          </w:p>
        </w:tc>
        <w:tc>
          <w:tcPr>
            <w:tcW w:w="1737"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
        </w:tc>
      </w:tr>
      <w:tr>
        <w:trPr>
          <w:trHeight w:val="295"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33" w:lineRule="exact"/>
              <w:ind w:left="170" w:right="0"/>
              <w:jc w:val="left"/>
              <w:rPr>
                <w:rFonts w:ascii="宋体" w:hAnsi="宋体" w:cs="宋体" w:eastAsia="宋体" w:hint="default"/>
                <w:sz w:val="18"/>
                <w:szCs w:val="18"/>
              </w:rPr>
            </w:pPr>
            <w:r>
              <w:rPr>
                <w:rFonts w:ascii="宋体" w:hAnsi="宋体" w:cs="宋体" w:eastAsia="宋体" w:hint="default"/>
                <w:sz w:val="18"/>
                <w:szCs w:val="18"/>
              </w:rPr>
              <w:t>西藏紫光春华投资有限公司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48"/>
              <w:jc w:val="right"/>
              <w:rPr>
                <w:rFonts w:ascii="Times New Roman" w:hAnsi="Times New Roman" w:cs="Times New Roman" w:eastAsia="Times New Roman" w:hint="default"/>
                <w:sz w:val="18"/>
                <w:szCs w:val="18"/>
              </w:rPr>
            </w:pPr>
            <w:r>
              <w:rPr>
                <w:rFonts w:ascii="Times New Roman"/>
                <w:spacing w:val="-1"/>
                <w:sz w:val="18"/>
              </w:rPr>
              <w:t>2,103,453,375.00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pacing w:val="-12"/>
                <w:sz w:val="18"/>
                <w:szCs w:val="18"/>
              </w:rPr>
              <w:t>《中国学术期刊（光盘版）》电子杂志社有限公司</w:t>
            </w:r>
            <w:r>
              <w:rPr>
                <w:rFonts w:ascii="宋体" w:hAnsi="宋体" w:cs="宋体" w:eastAsia="宋体" w:hint="default"/>
                <w:sz w:val="18"/>
                <w:szCs w:val="18"/>
              </w:rPr>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2,291,659.46</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1,711,787.40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清华同方光盘电子出版社</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261,355.38</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238,189.17</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北京华清物业管理有限公司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7"/>
              <w:jc w:val="right"/>
              <w:rPr>
                <w:rFonts w:ascii="Times New Roman" w:hAnsi="Times New Roman" w:cs="Times New Roman" w:eastAsia="Times New Roman" w:hint="default"/>
                <w:sz w:val="18"/>
                <w:szCs w:val="18"/>
              </w:rPr>
            </w:pPr>
            <w:r>
              <w:rPr>
                <w:rFonts w:ascii="Times New Roman"/>
                <w:spacing w:val="-1"/>
                <w:sz w:val="18"/>
              </w:rPr>
              <w:t>14,400.00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1,953,706,071.30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紫光集团有限公司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5,000,000.00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北京展讯高科通信技术有限公司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1,732,125.75</w:t>
            </w:r>
          </w:p>
        </w:tc>
      </w:tr>
      <w:tr>
        <w:trPr>
          <w:trHeight w:val="275" w:hRule="exact"/>
        </w:trPr>
        <w:tc>
          <w:tcPr>
            <w:tcW w:w="1193" w:type="dxa"/>
            <w:tcBorders>
              <w:top w:val="nil" w:sz="6" w:space="0" w:color="auto"/>
              <w:left w:val="nil" w:sz="6" w:space="0" w:color="auto"/>
              <w:bottom w:val="nil" w:sz="6" w:space="0" w:color="auto"/>
              <w:right w:val="nil" w:sz="6" w:space="0" w:color="auto"/>
            </w:tcBorders>
          </w:tcPr>
          <w:p>
            <w:pPr/>
          </w:p>
        </w:tc>
        <w:tc>
          <w:tcPr>
            <w:tcW w:w="4323"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b/>
                <w:bCs/>
                <w:sz w:val="18"/>
                <w:szCs w:val="18"/>
              </w:rPr>
              <w:t>合营企业及联营企业：</w:t>
            </w:r>
            <w:r>
              <w:rPr>
                <w:rFonts w:ascii="宋体" w:hAnsi="宋体" w:cs="宋体" w:eastAsia="宋体" w:hint="default"/>
                <w:sz w:val="18"/>
                <w:szCs w:val="18"/>
              </w:rPr>
            </w:r>
          </w:p>
        </w:tc>
        <w:tc>
          <w:tcPr>
            <w:tcW w:w="1737"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
        </w:tc>
      </w:tr>
      <w:tr>
        <w:trPr>
          <w:trHeight w:val="29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33" w:lineRule="exact"/>
              <w:ind w:left="170" w:right="0"/>
              <w:jc w:val="left"/>
              <w:rPr>
                <w:rFonts w:ascii="宋体" w:hAnsi="宋体" w:cs="宋体" w:eastAsia="宋体" w:hint="default"/>
                <w:sz w:val="18"/>
                <w:szCs w:val="18"/>
              </w:rPr>
            </w:pPr>
            <w:r>
              <w:rPr>
                <w:rFonts w:ascii="宋体" w:hAnsi="宋体" w:cs="宋体" w:eastAsia="宋体" w:hint="default"/>
                <w:sz w:val="18"/>
                <w:szCs w:val="18"/>
              </w:rPr>
              <w:t>易程科技股份有限公司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48"/>
              <w:jc w:val="right"/>
              <w:rPr>
                <w:rFonts w:ascii="Times New Roman" w:hAnsi="Times New Roman" w:cs="Times New Roman" w:eastAsia="Times New Roman" w:hint="default"/>
                <w:sz w:val="18"/>
                <w:szCs w:val="18"/>
              </w:rPr>
            </w:pPr>
            <w:r>
              <w:rPr>
                <w:rFonts w:ascii="Times New Roman"/>
                <w:spacing w:val="-1"/>
                <w:sz w:val="18"/>
              </w:rPr>
              <w:t>10,446,041.75</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10,407,045.25</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吉林同方科贸有限责任公司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528,470.47</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500,000.00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北京同方时讯电子有限公司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200,000.00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200,000.00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sz w:val="18"/>
                <w:szCs w:val="18"/>
              </w:rPr>
              <w:t>同方鼎欣科技股份有限公司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6"/>
              <w:jc w:val="right"/>
              <w:rPr>
                <w:rFonts w:ascii="Times New Roman" w:hAnsi="Times New Roman" w:cs="Times New Roman" w:eastAsia="Times New Roman" w:hint="default"/>
                <w:sz w:val="18"/>
                <w:szCs w:val="18"/>
              </w:rPr>
            </w:pPr>
            <w:r>
              <w:rPr>
                <w:rFonts w:ascii="Times New Roman"/>
                <w:spacing w:val="-1"/>
                <w:sz w:val="18"/>
              </w:rPr>
              <w:t>100,584.00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同方投资有限公司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57,648.75</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57,648.75</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泰豪科技股份有限公司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45,572.00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同方（深圳）云计算技术股份有限公司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14,224.24</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14,224.24</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sz w:val="18"/>
                <w:szCs w:val="18"/>
              </w:rPr>
              <w:t>同方环境股份有限公司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7"/>
              <w:jc w:val="right"/>
              <w:rPr>
                <w:rFonts w:ascii="Times New Roman" w:hAnsi="Times New Roman" w:cs="Times New Roman" w:eastAsia="Times New Roman" w:hint="default"/>
                <w:sz w:val="18"/>
                <w:szCs w:val="18"/>
              </w:rPr>
            </w:pPr>
            <w:r>
              <w:rPr>
                <w:rFonts w:ascii="Times New Roman"/>
                <w:spacing w:val="-1"/>
                <w:sz w:val="18"/>
              </w:rPr>
              <w:t>100.00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同方生态（澳门）一人有限公司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z w:val="18"/>
              </w:rPr>
              <w:t>58.84</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128,248.12</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北京同方博宇工程技术有限公司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z w:val="18"/>
              </w:rPr>
              <w:t>30.00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深圳同方信息技术有限公司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2,509,930.09</w:t>
            </w:r>
          </w:p>
        </w:tc>
      </w:tr>
      <w:tr>
        <w:trPr>
          <w:trHeight w:val="285"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sz w:val="18"/>
                <w:szCs w:val="18"/>
              </w:rPr>
              <w:t>同方恩欧凯（无锡）膜技术有限公司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160,000.00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北京亚仕同方科技有限公司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260,713.31</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pacing w:val="-28"/>
                <w:sz w:val="18"/>
                <w:szCs w:val="18"/>
              </w:rPr>
              <w:t>东方欢旅科技有限公司（原北京同方易豪科技有限公司）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81,000.00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易程（苏州）新技术股份有限公司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14,890.32</w:t>
            </w:r>
          </w:p>
        </w:tc>
      </w:tr>
      <w:tr>
        <w:trPr>
          <w:trHeight w:val="275" w:hRule="exact"/>
        </w:trPr>
        <w:tc>
          <w:tcPr>
            <w:tcW w:w="1193" w:type="dxa"/>
            <w:tcBorders>
              <w:top w:val="nil" w:sz="6" w:space="0" w:color="auto"/>
              <w:left w:val="nil" w:sz="6" w:space="0" w:color="auto"/>
              <w:bottom w:val="nil" w:sz="6" w:space="0" w:color="auto"/>
              <w:right w:val="nil" w:sz="6" w:space="0" w:color="auto"/>
            </w:tcBorders>
          </w:tcPr>
          <w:p>
            <w:pPr/>
          </w:p>
        </w:tc>
        <w:tc>
          <w:tcPr>
            <w:tcW w:w="4323"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b/>
                <w:bCs/>
                <w:sz w:val="18"/>
                <w:szCs w:val="18"/>
              </w:rPr>
              <w:t>其他关联关系方：</w:t>
            </w:r>
            <w:r>
              <w:rPr>
                <w:rFonts w:ascii="宋体" w:hAnsi="宋体" w:cs="宋体" w:eastAsia="宋体" w:hint="default"/>
                <w:sz w:val="18"/>
                <w:szCs w:val="18"/>
              </w:rPr>
            </w:r>
          </w:p>
        </w:tc>
        <w:tc>
          <w:tcPr>
            <w:tcW w:w="1737"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
        </w:tc>
      </w:tr>
      <w:tr>
        <w:trPr>
          <w:trHeight w:val="295"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3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北京清控人居环境研究院有限公司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47"/>
              <w:jc w:val="right"/>
              <w:rPr>
                <w:rFonts w:ascii="Times New Roman" w:hAnsi="Times New Roman" w:cs="Times New Roman" w:eastAsia="Times New Roman" w:hint="default"/>
                <w:sz w:val="18"/>
                <w:szCs w:val="18"/>
              </w:rPr>
            </w:pPr>
            <w:r>
              <w:rPr>
                <w:rFonts w:ascii="Times New Roman"/>
                <w:spacing w:val="-1"/>
                <w:sz w:val="18"/>
              </w:rPr>
              <w:t>463,496.00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55,000.00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北京紫光制药有限公司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w w:val="95"/>
                <w:sz w:val="18"/>
              </w:rPr>
              <w:t>1,030.00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75" w:hRule="exact"/>
        </w:trPr>
        <w:tc>
          <w:tcPr>
            <w:tcW w:w="1193" w:type="dxa"/>
            <w:tcBorders>
              <w:top w:val="nil" w:sz="6" w:space="0" w:color="auto"/>
              <w:left w:val="nil" w:sz="6" w:space="0" w:color="auto"/>
              <w:bottom w:val="nil" w:sz="6" w:space="0" w:color="auto"/>
              <w:right w:val="nil" w:sz="6" w:space="0" w:color="auto"/>
            </w:tcBorders>
          </w:tcPr>
          <w:p>
            <w:pP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b/>
                <w:bCs/>
                <w:sz w:val="18"/>
                <w:szCs w:val="18"/>
              </w:rPr>
              <w:t>清华大学及其下属单位：</w:t>
            </w:r>
            <w:r>
              <w:rPr>
                <w:rFonts w:ascii="宋体" w:hAnsi="宋体" w:cs="宋体" w:eastAsia="宋体" w:hint="default"/>
                <w:sz w:val="18"/>
                <w:szCs w:val="18"/>
              </w:rPr>
            </w:r>
          </w:p>
        </w:tc>
        <w:tc>
          <w:tcPr>
            <w:tcW w:w="1737"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
        </w:tc>
      </w:tr>
      <w:tr>
        <w:trPr>
          <w:trHeight w:val="29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4323" w:type="dxa"/>
            <w:tcBorders>
              <w:top w:val="nil" w:sz="6" w:space="0" w:color="auto"/>
              <w:left w:val="nil" w:sz="6" w:space="0" w:color="auto"/>
              <w:bottom w:val="nil" w:sz="6" w:space="0" w:color="auto"/>
              <w:right w:val="nil" w:sz="6" w:space="0" w:color="auto"/>
            </w:tcBorders>
          </w:tcPr>
          <w:p>
            <w:pPr>
              <w:pStyle w:val="TableParagraph"/>
              <w:spacing w:line="232" w:lineRule="exact"/>
              <w:ind w:left="170"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47"/>
              <w:jc w:val="right"/>
              <w:rPr>
                <w:rFonts w:ascii="Times New Roman" w:hAnsi="Times New Roman" w:cs="Times New Roman" w:eastAsia="Times New Roman" w:hint="default"/>
                <w:sz w:val="18"/>
                <w:szCs w:val="18"/>
              </w:rPr>
            </w:pPr>
            <w:r>
              <w:rPr>
                <w:rFonts w:ascii="Times New Roman"/>
                <w:spacing w:val="-1"/>
                <w:sz w:val="18"/>
              </w:rPr>
              <w:t>519,828.10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8"/>
              <w:jc w:val="right"/>
              <w:rPr>
                <w:rFonts w:ascii="Times New Roman" w:hAnsi="Times New Roman" w:cs="Times New Roman" w:eastAsia="Times New Roman" w:hint="default"/>
                <w:sz w:val="18"/>
                <w:szCs w:val="18"/>
              </w:rPr>
            </w:pPr>
            <w:r>
              <w:rPr>
                <w:rFonts w:ascii="Times New Roman"/>
                <w:spacing w:val="-1"/>
                <w:sz w:val="18"/>
              </w:rPr>
              <w:t>565,630.01</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北京清华工业开发研究院</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w w:val="95"/>
                <w:sz w:val="18"/>
              </w:rPr>
              <w:t>2,432.40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76" w:hRule="exact"/>
        </w:trPr>
        <w:tc>
          <w:tcPr>
            <w:tcW w:w="1193" w:type="dxa"/>
            <w:tcBorders>
              <w:top w:val="nil" w:sz="6" w:space="0" w:color="auto"/>
              <w:left w:val="nil" w:sz="6" w:space="0" w:color="auto"/>
              <w:bottom w:val="nil" w:sz="6" w:space="0" w:color="auto"/>
              <w:right w:val="nil" w:sz="6" w:space="0" w:color="auto"/>
            </w:tcBorders>
          </w:tcPr>
          <w:p>
            <w:pP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b/>
                <w:bCs/>
                <w:sz w:val="18"/>
                <w:szCs w:val="18"/>
              </w:rPr>
              <w:t>控股股东及受同一控股股东控制的其他企业：</w:t>
            </w:r>
            <w:r>
              <w:rPr>
                <w:rFonts w:ascii="宋体" w:hAnsi="宋体" w:cs="宋体" w:eastAsia="宋体" w:hint="default"/>
                <w:sz w:val="18"/>
                <w:szCs w:val="18"/>
              </w:rPr>
            </w:r>
          </w:p>
        </w:tc>
        <w:tc>
          <w:tcPr>
            <w:tcW w:w="1737"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
        </w:tc>
      </w:tr>
      <w:tr>
        <w:trPr>
          <w:trHeight w:val="29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4323" w:type="dxa"/>
            <w:tcBorders>
              <w:top w:val="nil" w:sz="6" w:space="0" w:color="auto"/>
              <w:left w:val="nil" w:sz="6" w:space="0" w:color="auto"/>
              <w:bottom w:val="nil" w:sz="6" w:space="0" w:color="auto"/>
              <w:right w:val="nil" w:sz="6" w:space="0" w:color="auto"/>
            </w:tcBorders>
          </w:tcPr>
          <w:p>
            <w:pPr>
              <w:pStyle w:val="TableParagraph"/>
              <w:spacing w:line="233" w:lineRule="exact"/>
              <w:ind w:left="170" w:right="0"/>
              <w:jc w:val="left"/>
              <w:rPr>
                <w:rFonts w:ascii="宋体" w:hAnsi="宋体" w:cs="宋体" w:eastAsia="宋体" w:hint="default"/>
                <w:sz w:val="18"/>
                <w:szCs w:val="18"/>
              </w:rPr>
            </w:pPr>
            <w:r>
              <w:rPr>
                <w:rFonts w:ascii="宋体" w:hAnsi="宋体" w:cs="宋体" w:eastAsia="宋体" w:hint="default"/>
                <w:sz w:val="18"/>
                <w:szCs w:val="18"/>
              </w:rPr>
              <w:t>紫光数码（苏州）集团有限公司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47"/>
              <w:jc w:val="right"/>
              <w:rPr>
                <w:rFonts w:ascii="Times New Roman" w:hAnsi="Times New Roman" w:cs="Times New Roman" w:eastAsia="Times New Roman" w:hint="default"/>
                <w:sz w:val="18"/>
                <w:szCs w:val="18"/>
              </w:rPr>
            </w:pPr>
            <w:r>
              <w:rPr>
                <w:rFonts w:ascii="Times New Roman"/>
                <w:spacing w:val="-1"/>
                <w:sz w:val="18"/>
              </w:rPr>
              <w:t>100,707.00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6"/>
              <w:jc w:val="right"/>
              <w:rPr>
                <w:rFonts w:ascii="Times New Roman" w:hAnsi="Times New Roman" w:cs="Times New Roman" w:eastAsia="Times New Roman" w:hint="default"/>
                <w:sz w:val="18"/>
                <w:szCs w:val="18"/>
              </w:rPr>
            </w:pPr>
            <w:r>
              <w:rPr>
                <w:rFonts w:ascii="Times New Roman"/>
                <w:w w:val="95"/>
                <w:sz w:val="18"/>
              </w:rPr>
              <w:t>9,820.00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w w:val="95"/>
                <w:sz w:val="18"/>
              </w:rPr>
              <w:t>9,820.00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博奥生物集团有限公司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6"/>
              <w:jc w:val="right"/>
              <w:rPr>
                <w:rFonts w:ascii="Times New Roman" w:hAnsi="Times New Roman" w:cs="Times New Roman" w:eastAsia="Times New Roman" w:hint="default"/>
                <w:sz w:val="18"/>
                <w:szCs w:val="18"/>
              </w:rPr>
            </w:pPr>
            <w:r>
              <w:rPr>
                <w:rFonts w:ascii="Times New Roman"/>
                <w:w w:val="95"/>
                <w:sz w:val="18"/>
              </w:rPr>
              <w:t>3,200.00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w w:val="95"/>
                <w:sz w:val="18"/>
              </w:rPr>
              <w:t>3,200.00</w:t>
            </w:r>
          </w:p>
        </w:tc>
      </w:tr>
      <w:tr>
        <w:trPr>
          <w:trHeight w:val="276" w:hRule="exact"/>
        </w:trPr>
        <w:tc>
          <w:tcPr>
            <w:tcW w:w="1193" w:type="dxa"/>
            <w:tcBorders>
              <w:top w:val="nil" w:sz="6" w:space="0" w:color="auto"/>
              <w:left w:val="nil" w:sz="6" w:space="0" w:color="auto"/>
              <w:bottom w:val="nil" w:sz="6" w:space="0" w:color="auto"/>
              <w:right w:val="nil" w:sz="6" w:space="0" w:color="auto"/>
            </w:tcBorders>
          </w:tcPr>
          <w:p>
            <w:pP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b/>
                <w:bCs/>
                <w:sz w:val="18"/>
                <w:szCs w:val="18"/>
              </w:rPr>
              <w:t>合营企业及联营企业：</w:t>
            </w:r>
            <w:r>
              <w:rPr>
                <w:rFonts w:ascii="宋体" w:hAnsi="宋体" w:cs="宋体" w:eastAsia="宋体" w:hint="default"/>
                <w:sz w:val="18"/>
                <w:szCs w:val="18"/>
              </w:rPr>
            </w:r>
          </w:p>
        </w:tc>
        <w:tc>
          <w:tcPr>
            <w:tcW w:w="1737"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
        </w:tc>
      </w:tr>
      <w:tr>
        <w:trPr>
          <w:trHeight w:val="29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4323" w:type="dxa"/>
            <w:tcBorders>
              <w:top w:val="nil" w:sz="6" w:space="0" w:color="auto"/>
              <w:left w:val="nil" w:sz="6" w:space="0" w:color="auto"/>
              <w:bottom w:val="nil" w:sz="6" w:space="0" w:color="auto"/>
              <w:right w:val="nil" w:sz="6" w:space="0" w:color="auto"/>
            </w:tcBorders>
          </w:tcPr>
          <w:p>
            <w:pPr>
              <w:pStyle w:val="TableParagraph"/>
              <w:spacing w:line="233" w:lineRule="exact"/>
              <w:ind w:left="170" w:right="0"/>
              <w:jc w:val="left"/>
              <w:rPr>
                <w:rFonts w:ascii="宋体" w:hAnsi="宋体" w:cs="宋体" w:eastAsia="宋体" w:hint="default"/>
                <w:sz w:val="18"/>
                <w:szCs w:val="18"/>
              </w:rPr>
            </w:pPr>
            <w:r>
              <w:rPr>
                <w:rFonts w:ascii="宋体" w:hAnsi="宋体" w:cs="宋体" w:eastAsia="宋体" w:hint="default"/>
                <w:sz w:val="18"/>
                <w:szCs w:val="18"/>
              </w:rPr>
              <w:t>陕西省广电同方数字电视有限责任公司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47"/>
              <w:jc w:val="right"/>
              <w:rPr>
                <w:rFonts w:ascii="Times New Roman" w:hAnsi="Times New Roman" w:cs="Times New Roman" w:eastAsia="Times New Roman" w:hint="default"/>
                <w:sz w:val="18"/>
                <w:szCs w:val="18"/>
              </w:rPr>
            </w:pPr>
            <w:r>
              <w:rPr>
                <w:rFonts w:ascii="Times New Roman"/>
                <w:spacing w:val="-1"/>
                <w:sz w:val="18"/>
              </w:rPr>
              <w:t>76,100.00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Times New Roman" w:hAnsi="Times New Roman" w:cs="Times New Roman" w:eastAsia="Times New Roman" w:hint="default"/>
                <w:sz w:val="18"/>
                <w:szCs w:val="18"/>
              </w:rPr>
            </w:pPr>
            <w:r>
              <w:rPr>
                <w:rFonts w:ascii="Times New Roman"/>
                <w:spacing w:val="-1"/>
                <w:sz w:val="18"/>
              </w:rPr>
              <w:t>155,000.00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sz w:val="18"/>
                <w:szCs w:val="18"/>
              </w:rPr>
              <w:t>易程科技股份有限公司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7"/>
              <w:jc w:val="right"/>
              <w:rPr>
                <w:rFonts w:ascii="Times New Roman" w:hAnsi="Times New Roman" w:cs="Times New Roman" w:eastAsia="Times New Roman" w:hint="default"/>
                <w:sz w:val="18"/>
                <w:szCs w:val="18"/>
              </w:rPr>
            </w:pPr>
            <w:r>
              <w:rPr>
                <w:rFonts w:ascii="Times New Roman"/>
                <w:spacing w:val="-1"/>
                <w:sz w:val="18"/>
              </w:rPr>
              <w:t>72,300.00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198,700.00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泰豪软件股份有限公司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62,000.00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吉林同方科贸有限责任公司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53,280.00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同方环境股份有限公司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w w:val="95"/>
                <w:sz w:val="18"/>
              </w:rPr>
              <w:t>3,758.30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2" w:lineRule="exact"/>
              <w:ind w:left="170" w:right="0"/>
              <w:jc w:val="left"/>
              <w:rPr>
                <w:rFonts w:ascii="宋体" w:hAnsi="宋体" w:cs="宋体" w:eastAsia="宋体" w:hint="default"/>
                <w:sz w:val="18"/>
                <w:szCs w:val="18"/>
              </w:rPr>
            </w:pPr>
            <w:r>
              <w:rPr>
                <w:rFonts w:ascii="宋体" w:hAnsi="宋体" w:cs="宋体" w:eastAsia="宋体" w:hint="default"/>
                <w:sz w:val="18"/>
                <w:szCs w:val="18"/>
              </w:rPr>
              <w:t>北京同方时讯电子有限公司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7"/>
              <w:jc w:val="right"/>
              <w:rPr>
                <w:rFonts w:ascii="Times New Roman" w:hAnsi="Times New Roman" w:cs="Times New Roman" w:eastAsia="Times New Roman" w:hint="default"/>
                <w:sz w:val="18"/>
                <w:szCs w:val="18"/>
              </w:rPr>
            </w:pPr>
            <w:r>
              <w:rPr>
                <w:rFonts w:ascii="Times New Roman"/>
                <w:spacing w:val="-1"/>
                <w:sz w:val="18"/>
              </w:rPr>
              <w:t>895.00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Times New Roman" w:hAnsi="Times New Roman" w:cs="Times New Roman" w:eastAsia="Times New Roman" w:hint="default"/>
                <w:sz w:val="18"/>
                <w:szCs w:val="18"/>
              </w:rPr>
            </w:pPr>
            <w:r>
              <w:rPr>
                <w:rFonts w:ascii="Times New Roman"/>
                <w:spacing w:val="-1"/>
                <w:sz w:val="18"/>
              </w:rPr>
              <w:t>895.00</w:t>
            </w:r>
          </w:p>
        </w:tc>
      </w:tr>
      <w:tr>
        <w:trPr>
          <w:trHeight w:val="286" w:hRule="exact"/>
        </w:trPr>
        <w:tc>
          <w:tcPr>
            <w:tcW w:w="119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4323" w:type="dxa"/>
            <w:tcBorders>
              <w:top w:val="nil" w:sz="6" w:space="0" w:color="auto"/>
              <w:left w:val="nil" w:sz="6" w:space="0" w:color="auto"/>
              <w:bottom w:val="nil" w:sz="6" w:space="0" w:color="auto"/>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达州广电同方数字电视有限公司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67" w:hRule="exact"/>
        </w:trPr>
        <w:tc>
          <w:tcPr>
            <w:tcW w:w="1193" w:type="dxa"/>
            <w:tcBorders>
              <w:top w:val="nil" w:sz="6" w:space="0" w:color="auto"/>
              <w:left w:val="nil" w:sz="6" w:space="0" w:color="auto"/>
              <w:bottom w:val="single" w:sz="12"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4323" w:type="dxa"/>
            <w:tcBorders>
              <w:top w:val="nil" w:sz="6" w:space="0" w:color="auto"/>
              <w:left w:val="nil" w:sz="6" w:space="0" w:color="auto"/>
              <w:bottom w:val="single" w:sz="12" w:space="0" w:color="000000"/>
              <w:right w:val="nil" w:sz="6" w:space="0" w:color="auto"/>
            </w:tcBorders>
          </w:tcPr>
          <w:p>
            <w:pPr>
              <w:pStyle w:val="TableParagraph"/>
              <w:spacing w:line="223" w:lineRule="exact"/>
              <w:ind w:left="170" w:right="0"/>
              <w:jc w:val="left"/>
              <w:rPr>
                <w:rFonts w:ascii="宋体" w:hAnsi="宋体" w:cs="宋体" w:eastAsia="宋体" w:hint="default"/>
                <w:sz w:val="18"/>
                <w:szCs w:val="18"/>
              </w:rPr>
            </w:pPr>
            <w:r>
              <w:rPr>
                <w:rFonts w:ascii="宋体" w:hAnsi="宋体" w:cs="宋体" w:eastAsia="宋体" w:hint="default"/>
                <w:sz w:val="18"/>
                <w:szCs w:val="18"/>
              </w:rPr>
              <w:t>同方恩欧凯（无锡）膜技术有限公司</w:t>
            </w:r>
          </w:p>
        </w:tc>
        <w:tc>
          <w:tcPr>
            <w:tcW w:w="173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47"/>
              <w:jc w:val="right"/>
              <w:rPr>
                <w:rFonts w:ascii="Times New Roman" w:hAnsi="Times New Roman" w:cs="Times New Roman" w:eastAsia="Times New Roman" w:hint="default"/>
                <w:sz w:val="18"/>
                <w:szCs w:val="18"/>
              </w:rPr>
            </w:pPr>
            <w:r>
              <w:rPr>
                <w:rFonts w:ascii="Times New Roman"/>
                <w:spacing w:val="-1"/>
                <w:sz w:val="18"/>
              </w:rPr>
              <w:t>0.00</w:t>
            </w:r>
          </w:p>
        </w:tc>
        <w:tc>
          <w:tcPr>
            <w:tcW w:w="1519"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150,000.00</w:t>
            </w:r>
          </w:p>
        </w:tc>
      </w:tr>
    </w:tbl>
    <w:p>
      <w:pPr>
        <w:spacing w:after="0" w:line="240" w:lineRule="auto"/>
        <w:jc w:val="right"/>
        <w:rPr>
          <w:rFonts w:ascii="Times New Roman" w:hAnsi="Times New Roman" w:cs="Times New Roman" w:eastAsia="Times New Roman" w:hint="default"/>
          <w:sz w:val="18"/>
          <w:szCs w:val="18"/>
        </w:rPr>
        <w:sectPr>
          <w:pgSz w:w="11910" w:h="16840"/>
          <w:pgMar w:header="645" w:footer="816" w:top="1080" w:bottom="1000" w:left="1460" w:right="1440"/>
        </w:sect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1104"/>
        <w:gridCol w:w="4523"/>
        <w:gridCol w:w="1737"/>
        <w:gridCol w:w="1407"/>
      </w:tblGrid>
      <w:tr>
        <w:trPr>
          <w:trHeight w:val="307" w:hRule="exact"/>
        </w:trPr>
        <w:tc>
          <w:tcPr>
            <w:tcW w:w="110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452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59" w:right="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173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259"/>
              <w:jc w:val="right"/>
              <w:rPr>
                <w:rFonts w:ascii="宋体" w:hAnsi="宋体" w:cs="宋体" w:eastAsia="宋体" w:hint="default"/>
                <w:sz w:val="18"/>
                <w:szCs w:val="18"/>
              </w:rPr>
            </w:pPr>
            <w:r>
              <w:rPr>
                <w:rFonts w:ascii="宋体" w:hAnsi="宋体" w:cs="宋体" w:eastAsia="宋体" w:hint="default"/>
                <w:b/>
                <w:bCs/>
                <w:w w:val="95"/>
                <w:sz w:val="18"/>
                <w:szCs w:val="18"/>
              </w:rPr>
              <w:t>年末余额</w:t>
            </w:r>
            <w:r>
              <w:rPr>
                <w:rFonts w:ascii="宋体" w:hAnsi="宋体" w:cs="宋体" w:eastAsia="宋体" w:hint="default"/>
                <w:sz w:val="18"/>
                <w:szCs w:val="18"/>
              </w:rPr>
            </w:r>
          </w:p>
        </w:tc>
        <w:tc>
          <w:tcPr>
            <w:tcW w:w="140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年初余额</w:t>
            </w:r>
            <w:r>
              <w:rPr>
                <w:rFonts w:ascii="宋体" w:hAnsi="宋体" w:cs="宋体" w:eastAsia="宋体" w:hint="default"/>
                <w:sz w:val="18"/>
                <w:szCs w:val="18"/>
              </w:rPr>
            </w:r>
          </w:p>
        </w:tc>
      </w:tr>
      <w:tr>
        <w:trPr>
          <w:trHeight w:val="323" w:hRule="exact"/>
        </w:trPr>
        <w:tc>
          <w:tcPr>
            <w:tcW w:w="1104"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4523"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259" w:right="0"/>
              <w:jc w:val="left"/>
              <w:rPr>
                <w:rFonts w:ascii="宋体" w:hAnsi="宋体" w:cs="宋体" w:eastAsia="宋体" w:hint="default"/>
                <w:sz w:val="18"/>
                <w:szCs w:val="18"/>
              </w:rPr>
            </w:pPr>
            <w:r>
              <w:rPr>
                <w:rFonts w:ascii="宋体" w:hAnsi="宋体" w:cs="宋体" w:eastAsia="宋体" w:hint="default"/>
                <w:sz w:val="18"/>
                <w:szCs w:val="18"/>
              </w:rPr>
              <w:t>易程（苏州）电子科技股份有限公司</w:t>
            </w:r>
          </w:p>
        </w:tc>
        <w:tc>
          <w:tcPr>
            <w:tcW w:w="1737"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58"/>
              <w:jc w:val="right"/>
              <w:rPr>
                <w:rFonts w:ascii="Times New Roman" w:hAnsi="Times New Roman" w:cs="Times New Roman" w:eastAsia="Times New Roman" w:hint="default"/>
                <w:sz w:val="18"/>
                <w:szCs w:val="18"/>
              </w:rPr>
            </w:pPr>
            <w:r>
              <w:rPr>
                <w:rFonts w:ascii="Times New Roman"/>
                <w:spacing w:val="-1"/>
                <w:sz w:val="18"/>
              </w:rPr>
              <w:t>0.00</w:t>
            </w:r>
          </w:p>
        </w:tc>
        <w:tc>
          <w:tcPr>
            <w:tcW w:w="1407"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8"/>
              <w:jc w:val="right"/>
              <w:rPr>
                <w:rFonts w:ascii="Times New Roman" w:hAnsi="Times New Roman" w:cs="Times New Roman" w:eastAsia="Times New Roman" w:hint="default"/>
                <w:sz w:val="18"/>
                <w:szCs w:val="18"/>
              </w:rPr>
            </w:pPr>
            <w:r>
              <w:rPr>
                <w:rFonts w:ascii="Times New Roman"/>
                <w:spacing w:val="-1"/>
                <w:sz w:val="18"/>
              </w:rPr>
              <w:t>57,175.00</w:t>
            </w:r>
          </w:p>
        </w:tc>
      </w:tr>
      <w:tr>
        <w:trPr>
          <w:trHeight w:val="286"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4523"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spacing w:val="-28"/>
                <w:sz w:val="18"/>
                <w:szCs w:val="18"/>
              </w:rPr>
              <w:t>东方欢旅科技有限公司（原北京同方易豪科技有限公司）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58"/>
              <w:jc w:val="right"/>
              <w:rPr>
                <w:rFonts w:ascii="Times New Roman" w:hAnsi="Times New Roman" w:cs="Times New Roman" w:eastAsia="Times New Roman" w:hint="default"/>
                <w:sz w:val="18"/>
                <w:szCs w:val="18"/>
              </w:rPr>
            </w:pPr>
            <w:r>
              <w:rPr>
                <w:rFonts w:ascii="Times New Roman"/>
                <w:spacing w:val="-1"/>
                <w:sz w:val="18"/>
              </w:rPr>
              <w:t>0.00</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15,572.40</w:t>
            </w:r>
          </w:p>
        </w:tc>
      </w:tr>
      <w:tr>
        <w:trPr>
          <w:trHeight w:val="276" w:hRule="exact"/>
        </w:trPr>
        <w:tc>
          <w:tcPr>
            <w:tcW w:w="1104" w:type="dxa"/>
            <w:tcBorders>
              <w:top w:val="nil" w:sz="6" w:space="0" w:color="auto"/>
              <w:left w:val="nil" w:sz="6" w:space="0" w:color="auto"/>
              <w:bottom w:val="nil" w:sz="6" w:space="0" w:color="auto"/>
              <w:right w:val="nil" w:sz="6" w:space="0" w:color="auto"/>
            </w:tcBorders>
          </w:tcPr>
          <w:p>
            <w:pPr/>
          </w:p>
        </w:tc>
        <w:tc>
          <w:tcPr>
            <w:tcW w:w="4523"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b/>
                <w:bCs/>
                <w:sz w:val="18"/>
                <w:szCs w:val="18"/>
              </w:rPr>
              <w:t>其他关联关系方：</w:t>
            </w:r>
            <w:r>
              <w:rPr>
                <w:rFonts w:ascii="宋体" w:hAnsi="宋体" w:cs="宋体" w:eastAsia="宋体" w:hint="default"/>
                <w:sz w:val="18"/>
                <w:szCs w:val="18"/>
              </w:rPr>
            </w:r>
          </w:p>
        </w:tc>
        <w:tc>
          <w:tcPr>
            <w:tcW w:w="1737" w:type="dxa"/>
            <w:tcBorders>
              <w:top w:val="nil" w:sz="6" w:space="0" w:color="auto"/>
              <w:left w:val="nil" w:sz="6" w:space="0" w:color="auto"/>
              <w:bottom w:val="nil" w:sz="6" w:space="0" w:color="auto"/>
              <w:right w:val="nil" w:sz="6" w:space="0" w:color="auto"/>
            </w:tcBorders>
          </w:tcPr>
          <w:p>
            <w:pPr/>
          </w:p>
        </w:tc>
        <w:tc>
          <w:tcPr>
            <w:tcW w:w="1407" w:type="dxa"/>
            <w:tcBorders>
              <w:top w:val="nil" w:sz="6" w:space="0" w:color="auto"/>
              <w:left w:val="nil" w:sz="6" w:space="0" w:color="auto"/>
              <w:bottom w:val="nil" w:sz="6" w:space="0" w:color="auto"/>
              <w:right w:val="nil" w:sz="6" w:space="0" w:color="auto"/>
            </w:tcBorders>
          </w:tcPr>
          <w:p>
            <w:pPr/>
          </w:p>
        </w:tc>
      </w:tr>
      <w:tr>
        <w:trPr>
          <w:trHeight w:val="294"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4523" w:type="dxa"/>
            <w:tcBorders>
              <w:top w:val="nil" w:sz="6" w:space="0" w:color="auto"/>
              <w:left w:val="nil" w:sz="6" w:space="0" w:color="auto"/>
              <w:bottom w:val="nil" w:sz="6" w:space="0" w:color="auto"/>
              <w:right w:val="nil" w:sz="6" w:space="0" w:color="auto"/>
            </w:tcBorders>
          </w:tcPr>
          <w:p>
            <w:pPr>
              <w:pStyle w:val="TableParagraph"/>
              <w:spacing w:line="233" w:lineRule="exact"/>
              <w:ind w:left="259" w:right="0"/>
              <w:jc w:val="left"/>
              <w:rPr>
                <w:rFonts w:ascii="宋体" w:hAnsi="宋体" w:cs="宋体" w:eastAsia="宋体" w:hint="default"/>
                <w:sz w:val="18"/>
                <w:szCs w:val="18"/>
              </w:rPr>
            </w:pPr>
            <w:r>
              <w:rPr>
                <w:rFonts w:ascii="宋体" w:hAnsi="宋体" w:cs="宋体" w:eastAsia="宋体" w:hint="default"/>
                <w:sz w:val="18"/>
                <w:szCs w:val="18"/>
              </w:rPr>
              <w:t>北京清控人居环境研究院有限公司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59"/>
              <w:jc w:val="right"/>
              <w:rPr>
                <w:rFonts w:ascii="Times New Roman" w:hAnsi="Times New Roman" w:cs="Times New Roman" w:eastAsia="Times New Roman" w:hint="default"/>
                <w:sz w:val="18"/>
                <w:szCs w:val="18"/>
              </w:rPr>
            </w:pPr>
            <w:r>
              <w:rPr>
                <w:rFonts w:ascii="Times New Roman"/>
                <w:spacing w:val="-1"/>
                <w:sz w:val="18"/>
              </w:rPr>
              <w:t>51,934.33</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75" w:hRule="exact"/>
        </w:trPr>
        <w:tc>
          <w:tcPr>
            <w:tcW w:w="1104" w:type="dxa"/>
            <w:tcBorders>
              <w:top w:val="nil" w:sz="6" w:space="0" w:color="auto"/>
              <w:left w:val="nil" w:sz="6" w:space="0" w:color="auto"/>
              <w:bottom w:val="nil" w:sz="6" w:space="0" w:color="auto"/>
              <w:right w:val="nil" w:sz="6" w:space="0" w:color="auto"/>
            </w:tcBorders>
          </w:tcPr>
          <w:p>
            <w:pPr/>
          </w:p>
        </w:tc>
        <w:tc>
          <w:tcPr>
            <w:tcW w:w="4523" w:type="dxa"/>
            <w:tcBorders>
              <w:top w:val="nil" w:sz="6" w:space="0" w:color="auto"/>
              <w:left w:val="nil" w:sz="6" w:space="0" w:color="auto"/>
              <w:bottom w:val="nil" w:sz="6" w:space="0" w:color="auto"/>
              <w:right w:val="nil" w:sz="6" w:space="0" w:color="auto"/>
            </w:tcBorders>
          </w:tcPr>
          <w:p>
            <w:pPr>
              <w:pStyle w:val="TableParagraph"/>
              <w:spacing w:line="222" w:lineRule="exact"/>
              <w:ind w:left="259" w:right="0"/>
              <w:jc w:val="left"/>
              <w:rPr>
                <w:rFonts w:ascii="宋体" w:hAnsi="宋体" w:cs="宋体" w:eastAsia="宋体" w:hint="default"/>
                <w:sz w:val="18"/>
                <w:szCs w:val="18"/>
              </w:rPr>
            </w:pPr>
            <w:r>
              <w:rPr>
                <w:rFonts w:ascii="宋体" w:hAnsi="宋体" w:cs="宋体" w:eastAsia="宋体" w:hint="default"/>
                <w:b/>
                <w:bCs/>
                <w:sz w:val="18"/>
                <w:szCs w:val="18"/>
              </w:rPr>
              <w:t>控股股东及受同一控股股东控制的其他企业：</w:t>
            </w:r>
            <w:r>
              <w:rPr>
                <w:rFonts w:ascii="宋体" w:hAnsi="宋体" w:cs="宋体" w:eastAsia="宋体" w:hint="default"/>
                <w:sz w:val="18"/>
                <w:szCs w:val="18"/>
              </w:rPr>
            </w:r>
          </w:p>
        </w:tc>
        <w:tc>
          <w:tcPr>
            <w:tcW w:w="1737" w:type="dxa"/>
            <w:tcBorders>
              <w:top w:val="nil" w:sz="6" w:space="0" w:color="auto"/>
              <w:left w:val="nil" w:sz="6" w:space="0" w:color="auto"/>
              <w:bottom w:val="nil" w:sz="6" w:space="0" w:color="auto"/>
              <w:right w:val="nil" w:sz="6" w:space="0" w:color="auto"/>
            </w:tcBorders>
          </w:tcPr>
          <w:p>
            <w:pPr/>
          </w:p>
        </w:tc>
        <w:tc>
          <w:tcPr>
            <w:tcW w:w="1407" w:type="dxa"/>
            <w:tcBorders>
              <w:top w:val="nil" w:sz="6" w:space="0" w:color="auto"/>
              <w:left w:val="nil" w:sz="6" w:space="0" w:color="auto"/>
              <w:bottom w:val="nil" w:sz="6" w:space="0" w:color="auto"/>
              <w:right w:val="nil" w:sz="6" w:space="0" w:color="auto"/>
            </w:tcBorders>
          </w:tcPr>
          <w:p>
            <w:pPr/>
          </w:p>
        </w:tc>
      </w:tr>
      <w:tr>
        <w:trPr>
          <w:trHeight w:val="295"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4523" w:type="dxa"/>
            <w:tcBorders>
              <w:top w:val="nil" w:sz="6" w:space="0" w:color="auto"/>
              <w:left w:val="nil" w:sz="6" w:space="0" w:color="auto"/>
              <w:bottom w:val="nil" w:sz="6" w:space="0" w:color="auto"/>
              <w:right w:val="nil" w:sz="6" w:space="0" w:color="auto"/>
            </w:tcBorders>
          </w:tcPr>
          <w:p>
            <w:pPr>
              <w:pStyle w:val="TableParagraph"/>
              <w:spacing w:line="233" w:lineRule="exact"/>
              <w:ind w:left="259"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57"/>
              <w:jc w:val="right"/>
              <w:rPr>
                <w:rFonts w:ascii="Times New Roman" w:hAnsi="Times New Roman" w:cs="Times New Roman" w:eastAsia="Times New Roman" w:hint="default"/>
                <w:sz w:val="18"/>
                <w:szCs w:val="18"/>
              </w:rPr>
            </w:pPr>
            <w:r>
              <w:rPr>
                <w:rFonts w:ascii="Times New Roman"/>
                <w:spacing w:val="-1"/>
                <w:sz w:val="18"/>
              </w:rPr>
              <w:t>60,264,872.80</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Times New Roman" w:hAnsi="Times New Roman" w:cs="Times New Roman" w:eastAsia="Times New Roman" w:hint="default"/>
                <w:sz w:val="18"/>
                <w:szCs w:val="18"/>
              </w:rPr>
            </w:pPr>
            <w:r>
              <w:rPr>
                <w:rFonts w:ascii="Times New Roman"/>
                <w:spacing w:val="-1"/>
                <w:sz w:val="18"/>
              </w:rPr>
              <w:t>47,475,937.80</w:t>
            </w:r>
          </w:p>
        </w:tc>
      </w:tr>
      <w:tr>
        <w:trPr>
          <w:trHeight w:val="276" w:hRule="exact"/>
        </w:trPr>
        <w:tc>
          <w:tcPr>
            <w:tcW w:w="1104" w:type="dxa"/>
            <w:tcBorders>
              <w:top w:val="nil" w:sz="6" w:space="0" w:color="auto"/>
              <w:left w:val="nil" w:sz="6" w:space="0" w:color="auto"/>
              <w:bottom w:val="nil" w:sz="6" w:space="0" w:color="auto"/>
              <w:right w:val="nil" w:sz="6" w:space="0" w:color="auto"/>
            </w:tcBorders>
          </w:tcPr>
          <w:p>
            <w:pPr/>
          </w:p>
        </w:tc>
        <w:tc>
          <w:tcPr>
            <w:tcW w:w="4523" w:type="dxa"/>
            <w:tcBorders>
              <w:top w:val="nil" w:sz="6" w:space="0" w:color="auto"/>
              <w:left w:val="nil" w:sz="6" w:space="0" w:color="auto"/>
              <w:bottom w:val="nil" w:sz="6" w:space="0" w:color="auto"/>
              <w:right w:val="nil" w:sz="6" w:space="0" w:color="auto"/>
            </w:tcBorders>
          </w:tcPr>
          <w:p>
            <w:pPr>
              <w:pStyle w:val="TableParagraph"/>
              <w:spacing w:line="223" w:lineRule="exact"/>
              <w:ind w:left="259" w:right="0"/>
              <w:jc w:val="left"/>
              <w:rPr>
                <w:rFonts w:ascii="宋体" w:hAnsi="宋体" w:cs="宋体" w:eastAsia="宋体" w:hint="default"/>
                <w:sz w:val="18"/>
                <w:szCs w:val="18"/>
              </w:rPr>
            </w:pPr>
            <w:r>
              <w:rPr>
                <w:rFonts w:ascii="宋体" w:hAnsi="宋体" w:cs="宋体" w:eastAsia="宋体" w:hint="default"/>
                <w:b/>
                <w:bCs/>
                <w:sz w:val="18"/>
                <w:szCs w:val="18"/>
              </w:rPr>
              <w:t>合营企业及联营企业：</w:t>
            </w:r>
            <w:r>
              <w:rPr>
                <w:rFonts w:ascii="宋体" w:hAnsi="宋体" w:cs="宋体" w:eastAsia="宋体" w:hint="default"/>
                <w:sz w:val="18"/>
                <w:szCs w:val="18"/>
              </w:rPr>
            </w:r>
          </w:p>
        </w:tc>
        <w:tc>
          <w:tcPr>
            <w:tcW w:w="1737" w:type="dxa"/>
            <w:tcBorders>
              <w:top w:val="nil" w:sz="6" w:space="0" w:color="auto"/>
              <w:left w:val="nil" w:sz="6" w:space="0" w:color="auto"/>
              <w:bottom w:val="nil" w:sz="6" w:space="0" w:color="auto"/>
              <w:right w:val="nil" w:sz="6" w:space="0" w:color="auto"/>
            </w:tcBorders>
          </w:tcPr>
          <w:p>
            <w:pPr/>
          </w:p>
        </w:tc>
        <w:tc>
          <w:tcPr>
            <w:tcW w:w="1407" w:type="dxa"/>
            <w:tcBorders>
              <w:top w:val="nil" w:sz="6" w:space="0" w:color="auto"/>
              <w:left w:val="nil" w:sz="6" w:space="0" w:color="auto"/>
              <w:bottom w:val="nil" w:sz="6" w:space="0" w:color="auto"/>
              <w:right w:val="nil" w:sz="6" w:space="0" w:color="auto"/>
            </w:tcBorders>
          </w:tcPr>
          <w:p>
            <w:pPr/>
          </w:p>
        </w:tc>
      </w:tr>
      <w:tr>
        <w:trPr>
          <w:trHeight w:val="275" w:hRule="exact"/>
        </w:trPr>
        <w:tc>
          <w:tcPr>
            <w:tcW w:w="1104" w:type="dxa"/>
            <w:tcBorders>
              <w:top w:val="nil" w:sz="6" w:space="0" w:color="auto"/>
              <w:left w:val="nil" w:sz="6" w:space="0" w:color="auto"/>
              <w:bottom w:val="single" w:sz="12" w:space="0" w:color="000000"/>
              <w:right w:val="nil" w:sz="6" w:space="0" w:color="auto"/>
            </w:tcBorders>
          </w:tcPr>
          <w:p>
            <w:pPr>
              <w:pStyle w:val="TableParagraph"/>
              <w:spacing w:line="233"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4523" w:type="dxa"/>
            <w:tcBorders>
              <w:top w:val="nil" w:sz="6" w:space="0" w:color="auto"/>
              <w:left w:val="nil" w:sz="6" w:space="0" w:color="auto"/>
              <w:bottom w:val="single" w:sz="12" w:space="0" w:color="000000"/>
              <w:right w:val="nil" w:sz="6" w:space="0" w:color="auto"/>
            </w:tcBorders>
          </w:tcPr>
          <w:p>
            <w:pPr>
              <w:pStyle w:val="TableParagraph"/>
              <w:spacing w:line="233" w:lineRule="exact"/>
              <w:ind w:left="259" w:right="0"/>
              <w:jc w:val="left"/>
              <w:rPr>
                <w:rFonts w:ascii="宋体" w:hAnsi="宋体" w:cs="宋体" w:eastAsia="宋体" w:hint="default"/>
                <w:sz w:val="18"/>
                <w:szCs w:val="18"/>
              </w:rPr>
            </w:pPr>
            <w:r>
              <w:rPr>
                <w:rFonts w:ascii="宋体" w:hAnsi="宋体" w:cs="宋体" w:eastAsia="宋体" w:hint="default"/>
                <w:sz w:val="18"/>
                <w:szCs w:val="18"/>
              </w:rPr>
              <w:t>同方投资有限公司</w:t>
            </w:r>
          </w:p>
        </w:tc>
        <w:tc>
          <w:tcPr>
            <w:tcW w:w="1737"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262"/>
              <w:jc w:val="right"/>
              <w:rPr>
                <w:rFonts w:ascii="Times New Roman" w:hAnsi="Times New Roman" w:cs="Times New Roman" w:eastAsia="Times New Roman" w:hint="default"/>
                <w:sz w:val="18"/>
                <w:szCs w:val="18"/>
              </w:rPr>
            </w:pPr>
            <w:r>
              <w:rPr>
                <w:rFonts w:ascii="Times New Roman"/>
                <w:spacing w:val="-1"/>
                <w:sz w:val="18"/>
              </w:rPr>
              <w:t>10,216,800.00</w:t>
            </w:r>
          </w:p>
        </w:tc>
        <w:tc>
          <w:tcPr>
            <w:tcW w:w="1407"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110"/>
              <w:jc w:val="right"/>
              <w:rPr>
                <w:rFonts w:ascii="Times New Roman" w:hAnsi="Times New Roman" w:cs="Times New Roman" w:eastAsia="Times New Roman" w:hint="default"/>
                <w:sz w:val="18"/>
                <w:szCs w:val="18"/>
              </w:rPr>
            </w:pPr>
            <w:r>
              <w:rPr>
                <w:rFonts w:ascii="Times New Roman"/>
                <w:spacing w:val="-1"/>
                <w:sz w:val="18"/>
              </w:rPr>
              <w:t>10,216,800.00</w:t>
            </w:r>
          </w:p>
        </w:tc>
      </w:tr>
    </w:tbl>
    <w:p>
      <w:pPr>
        <w:tabs>
          <w:tab w:pos="1374" w:val="left" w:leader="none"/>
        </w:tabs>
        <w:spacing w:before="21"/>
        <w:ind w:left="705" w:right="142" w:firstLine="0"/>
        <w:jc w:val="left"/>
        <w:rPr>
          <w:rFonts w:ascii="宋体" w:hAnsi="宋体" w:cs="宋体" w:eastAsia="宋体" w:hint="default"/>
          <w:sz w:val="22"/>
          <w:szCs w:val="22"/>
        </w:rPr>
      </w:pPr>
      <w:r>
        <w:rPr>
          <w:rFonts w:ascii="Times New Roman" w:hAnsi="Times New Roman" w:cs="Times New Roman" w:eastAsia="Times New Roman" w:hint="default"/>
          <w:b/>
          <w:bCs/>
          <w:spacing w:val="12"/>
          <w:sz w:val="22"/>
          <w:szCs w:val="22"/>
        </w:rPr>
        <w:t>38.</w:t>
        <w:tab/>
      </w:r>
      <w:r>
        <w:rPr>
          <w:rFonts w:ascii="宋体" w:hAnsi="宋体" w:cs="宋体" w:eastAsia="宋体" w:hint="default"/>
          <w:b/>
          <w:bCs/>
          <w:spacing w:val="30"/>
          <w:sz w:val="22"/>
          <w:szCs w:val="22"/>
        </w:rPr>
        <w:t>或有事项</w:t>
      </w:r>
      <w:r>
        <w:rPr>
          <w:rFonts w:ascii="宋体" w:hAnsi="宋体" w:cs="宋体" w:eastAsia="宋体" w:hint="default"/>
          <w:b/>
          <w:bCs/>
          <w:spacing w:val="-71"/>
          <w:sz w:val="22"/>
          <w:szCs w:val="22"/>
        </w:rPr>
        <w:t> </w:t>
      </w:r>
      <w:r>
        <w:rPr>
          <w:rFonts w:ascii="宋体" w:hAnsi="宋体" w:cs="宋体" w:eastAsia="宋体" w:hint="default"/>
          <w:sz w:val="22"/>
          <w:szCs w:val="22"/>
        </w:rPr>
      </w:r>
    </w:p>
    <w:p>
      <w:pPr>
        <w:spacing w:before="113"/>
        <w:ind w:left="640" w:right="142" w:firstLine="0"/>
        <w:jc w:val="left"/>
        <w:rPr>
          <w:rFonts w:ascii="宋体" w:hAnsi="宋体" w:cs="宋体" w:eastAsia="宋体" w:hint="default"/>
          <w:sz w:val="22"/>
          <w:szCs w:val="22"/>
        </w:rPr>
      </w:pPr>
      <w:r>
        <w:rPr>
          <w:rFonts w:ascii="宋体" w:hAnsi="宋体" w:cs="宋体" w:eastAsia="宋体" w:hint="default"/>
          <w:sz w:val="22"/>
          <w:szCs w:val="22"/>
        </w:rPr>
        <w:t>截至</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年</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31 </w:t>
      </w:r>
      <w:r>
        <w:rPr>
          <w:rFonts w:ascii="宋体" w:hAnsi="宋体" w:cs="宋体" w:eastAsia="宋体" w:hint="default"/>
          <w:sz w:val="22"/>
          <w:szCs w:val="22"/>
        </w:rPr>
        <w:t>日，本公司无需要披露的重大或有事项。</w:t>
      </w:r>
    </w:p>
    <w:p>
      <w:pPr>
        <w:tabs>
          <w:tab w:pos="1374" w:val="left" w:leader="none"/>
        </w:tabs>
        <w:spacing w:before="113"/>
        <w:ind w:left="705" w:right="142" w:firstLine="0"/>
        <w:jc w:val="left"/>
        <w:rPr>
          <w:rFonts w:ascii="宋体" w:hAnsi="宋体" w:cs="宋体" w:eastAsia="宋体" w:hint="default"/>
          <w:sz w:val="22"/>
          <w:szCs w:val="22"/>
        </w:rPr>
      </w:pPr>
      <w:r>
        <w:rPr>
          <w:rFonts w:ascii="Times New Roman" w:hAnsi="Times New Roman" w:cs="Times New Roman" w:eastAsia="Times New Roman" w:hint="default"/>
          <w:b/>
          <w:bCs/>
          <w:spacing w:val="12"/>
          <w:sz w:val="22"/>
          <w:szCs w:val="22"/>
        </w:rPr>
        <w:t>39.</w:t>
        <w:tab/>
      </w:r>
      <w:r>
        <w:rPr>
          <w:rFonts w:ascii="宋体" w:hAnsi="宋体" w:cs="宋体" w:eastAsia="宋体" w:hint="default"/>
          <w:b/>
          <w:bCs/>
          <w:spacing w:val="30"/>
          <w:sz w:val="22"/>
          <w:szCs w:val="22"/>
        </w:rPr>
        <w:t>承诺事项</w:t>
      </w:r>
      <w:r>
        <w:rPr>
          <w:rFonts w:ascii="宋体" w:hAnsi="宋体" w:cs="宋体" w:eastAsia="宋体" w:hint="default"/>
          <w:b/>
          <w:bCs/>
          <w:spacing w:val="-71"/>
          <w:sz w:val="22"/>
          <w:szCs w:val="22"/>
        </w:rPr>
        <w:t> </w:t>
      </w:r>
      <w:r>
        <w:rPr>
          <w:rFonts w:ascii="宋体" w:hAnsi="宋体" w:cs="宋体" w:eastAsia="宋体" w:hint="default"/>
          <w:sz w:val="22"/>
          <w:szCs w:val="22"/>
        </w:rPr>
      </w:r>
    </w:p>
    <w:p>
      <w:pPr>
        <w:spacing w:before="111"/>
        <w:ind w:left="640" w:right="142" w:firstLine="0"/>
        <w:jc w:val="left"/>
        <w:rPr>
          <w:rFonts w:ascii="宋体" w:hAnsi="宋体" w:cs="宋体" w:eastAsia="宋体" w:hint="default"/>
          <w:sz w:val="22"/>
          <w:szCs w:val="22"/>
        </w:rPr>
      </w:pPr>
      <w:r>
        <w:rPr>
          <w:rFonts w:ascii="宋体" w:hAnsi="宋体" w:cs="宋体" w:eastAsia="宋体" w:hint="default"/>
          <w:sz w:val="22"/>
          <w:szCs w:val="22"/>
        </w:rPr>
        <w:t>截至</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年</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31 </w:t>
      </w:r>
      <w:r>
        <w:rPr>
          <w:rFonts w:ascii="宋体" w:hAnsi="宋体" w:cs="宋体" w:eastAsia="宋体" w:hint="default"/>
          <w:sz w:val="22"/>
          <w:szCs w:val="22"/>
        </w:rPr>
        <w:t>日，本公司无需要披露的重大承诺事项。</w:t>
      </w:r>
    </w:p>
    <w:p>
      <w:pPr>
        <w:tabs>
          <w:tab w:pos="1374" w:val="left" w:leader="none"/>
        </w:tabs>
        <w:spacing w:before="113"/>
        <w:ind w:left="700" w:right="142" w:firstLine="0"/>
        <w:jc w:val="left"/>
        <w:rPr>
          <w:rFonts w:ascii="宋体" w:hAnsi="宋体" w:cs="宋体" w:eastAsia="宋体" w:hint="default"/>
          <w:sz w:val="22"/>
          <w:szCs w:val="22"/>
        </w:rPr>
      </w:pPr>
      <w:r>
        <w:rPr>
          <w:rFonts w:ascii="Times New Roman" w:hAnsi="Times New Roman" w:cs="Times New Roman" w:eastAsia="Times New Roman" w:hint="default"/>
          <w:b/>
          <w:bCs/>
          <w:spacing w:val="12"/>
          <w:sz w:val="22"/>
          <w:szCs w:val="22"/>
        </w:rPr>
        <w:t>40.</w:t>
        <w:tab/>
      </w:r>
      <w:r>
        <w:rPr>
          <w:rFonts w:ascii="宋体" w:hAnsi="宋体" w:cs="宋体" w:eastAsia="宋体" w:hint="default"/>
          <w:b/>
          <w:bCs/>
          <w:sz w:val="22"/>
          <w:szCs w:val="22"/>
        </w:rPr>
        <w:t>资</w:t>
      </w:r>
      <w:r>
        <w:rPr>
          <w:rFonts w:ascii="宋体" w:hAnsi="宋体" w:cs="宋体" w:eastAsia="宋体" w:hint="default"/>
          <w:b/>
          <w:bCs/>
          <w:spacing w:val="-72"/>
          <w:sz w:val="22"/>
          <w:szCs w:val="22"/>
        </w:rPr>
        <w:t> </w:t>
      </w:r>
      <w:r>
        <w:rPr>
          <w:rFonts w:ascii="宋体" w:hAnsi="宋体" w:cs="宋体" w:eastAsia="宋体" w:hint="default"/>
          <w:b/>
          <w:bCs/>
          <w:sz w:val="22"/>
          <w:szCs w:val="22"/>
        </w:rPr>
        <w:t>产</w:t>
      </w:r>
      <w:r>
        <w:rPr>
          <w:rFonts w:ascii="宋体" w:hAnsi="宋体" w:cs="宋体" w:eastAsia="宋体" w:hint="default"/>
          <w:b/>
          <w:bCs/>
          <w:spacing w:val="-72"/>
          <w:sz w:val="22"/>
          <w:szCs w:val="22"/>
        </w:rPr>
        <w:t> </w:t>
      </w:r>
      <w:r>
        <w:rPr>
          <w:rFonts w:ascii="宋体" w:hAnsi="宋体" w:cs="宋体" w:eastAsia="宋体" w:hint="default"/>
          <w:b/>
          <w:bCs/>
          <w:sz w:val="22"/>
          <w:szCs w:val="22"/>
        </w:rPr>
        <w:t>负</w:t>
      </w:r>
      <w:r>
        <w:rPr>
          <w:rFonts w:ascii="宋体" w:hAnsi="宋体" w:cs="宋体" w:eastAsia="宋体" w:hint="default"/>
          <w:b/>
          <w:bCs/>
          <w:spacing w:val="-72"/>
          <w:sz w:val="22"/>
          <w:szCs w:val="22"/>
        </w:rPr>
        <w:t> </w:t>
      </w:r>
      <w:r>
        <w:rPr>
          <w:rFonts w:ascii="宋体" w:hAnsi="宋体" w:cs="宋体" w:eastAsia="宋体" w:hint="default"/>
          <w:b/>
          <w:bCs/>
          <w:sz w:val="22"/>
          <w:szCs w:val="22"/>
        </w:rPr>
        <w:t>债</w:t>
      </w:r>
      <w:r>
        <w:rPr>
          <w:rFonts w:ascii="宋体" w:hAnsi="宋体" w:cs="宋体" w:eastAsia="宋体" w:hint="default"/>
          <w:b/>
          <w:bCs/>
          <w:spacing w:val="-74"/>
          <w:sz w:val="22"/>
          <w:szCs w:val="22"/>
        </w:rPr>
        <w:t> </w:t>
      </w:r>
      <w:r>
        <w:rPr>
          <w:rFonts w:ascii="宋体" w:hAnsi="宋体" w:cs="宋体" w:eastAsia="宋体" w:hint="default"/>
          <w:b/>
          <w:bCs/>
          <w:sz w:val="22"/>
          <w:szCs w:val="22"/>
        </w:rPr>
        <w:t>表</w:t>
      </w:r>
      <w:r>
        <w:rPr>
          <w:rFonts w:ascii="宋体" w:hAnsi="宋体" w:cs="宋体" w:eastAsia="宋体" w:hint="default"/>
          <w:b/>
          <w:bCs/>
          <w:spacing w:val="-72"/>
          <w:sz w:val="22"/>
          <w:szCs w:val="22"/>
        </w:rPr>
        <w:t> </w:t>
      </w:r>
      <w:r>
        <w:rPr>
          <w:rFonts w:ascii="宋体" w:hAnsi="宋体" w:cs="宋体" w:eastAsia="宋体" w:hint="default"/>
          <w:b/>
          <w:bCs/>
          <w:sz w:val="22"/>
          <w:szCs w:val="22"/>
        </w:rPr>
        <w:t>日</w:t>
      </w:r>
      <w:r>
        <w:rPr>
          <w:rFonts w:ascii="宋体" w:hAnsi="宋体" w:cs="宋体" w:eastAsia="宋体" w:hint="default"/>
          <w:b/>
          <w:bCs/>
          <w:spacing w:val="-72"/>
          <w:sz w:val="22"/>
          <w:szCs w:val="22"/>
        </w:rPr>
        <w:t> </w:t>
      </w:r>
      <w:r>
        <w:rPr>
          <w:rFonts w:ascii="宋体" w:hAnsi="宋体" w:cs="宋体" w:eastAsia="宋体" w:hint="default"/>
          <w:b/>
          <w:bCs/>
          <w:sz w:val="22"/>
          <w:szCs w:val="22"/>
        </w:rPr>
        <w:t>后</w:t>
      </w:r>
      <w:r>
        <w:rPr>
          <w:rFonts w:ascii="宋体" w:hAnsi="宋体" w:cs="宋体" w:eastAsia="宋体" w:hint="default"/>
          <w:b/>
          <w:bCs/>
          <w:spacing w:val="-72"/>
          <w:sz w:val="22"/>
          <w:szCs w:val="22"/>
        </w:rPr>
        <w:t> </w:t>
      </w:r>
      <w:r>
        <w:rPr>
          <w:rFonts w:ascii="宋体" w:hAnsi="宋体" w:cs="宋体" w:eastAsia="宋体" w:hint="default"/>
          <w:b/>
          <w:bCs/>
          <w:sz w:val="22"/>
          <w:szCs w:val="22"/>
        </w:rPr>
        <w:t>事</w:t>
      </w:r>
      <w:r>
        <w:rPr>
          <w:rFonts w:ascii="宋体" w:hAnsi="宋体" w:cs="宋体" w:eastAsia="宋体" w:hint="default"/>
          <w:b/>
          <w:bCs/>
          <w:spacing w:val="-74"/>
          <w:sz w:val="22"/>
          <w:szCs w:val="22"/>
        </w:rPr>
        <w:t> </w:t>
      </w:r>
      <w:r>
        <w:rPr>
          <w:rFonts w:ascii="宋体" w:hAnsi="宋体" w:cs="宋体" w:eastAsia="宋体" w:hint="default"/>
          <w:b/>
          <w:bCs/>
          <w:sz w:val="22"/>
          <w:szCs w:val="22"/>
        </w:rPr>
        <w:t>项</w:t>
      </w:r>
      <w:r>
        <w:rPr>
          <w:rFonts w:ascii="宋体" w:hAnsi="宋体" w:cs="宋体" w:eastAsia="宋体" w:hint="default"/>
          <w:sz w:val="22"/>
          <w:szCs w:val="22"/>
        </w:rPr>
      </w:r>
    </w:p>
    <w:p>
      <w:pPr>
        <w:spacing w:before="110"/>
        <w:ind w:left="695" w:right="142" w:firstLine="0"/>
        <w:jc w:val="left"/>
        <w:rPr>
          <w:rFonts w:ascii="宋体" w:hAnsi="宋体" w:cs="宋体" w:eastAsia="宋体" w:hint="default"/>
          <w:sz w:val="22"/>
          <w:szCs w:val="22"/>
        </w:rPr>
      </w:pPr>
      <w:r>
        <w:rPr>
          <w:rFonts w:ascii="Times New Roman" w:hAnsi="Times New Roman" w:cs="Times New Roman" w:eastAsia="Times New Roman" w:hint="default"/>
          <w:b/>
          <w:bCs/>
          <w:spacing w:val="9"/>
          <w:sz w:val="22"/>
          <w:szCs w:val="22"/>
        </w:rPr>
        <w:t>1. </w:t>
      </w:r>
      <w:r>
        <w:rPr>
          <w:rFonts w:ascii="Times New Roman" w:hAnsi="Times New Roman" w:cs="Times New Roman" w:eastAsia="Times New Roman" w:hint="default"/>
          <w:b/>
          <w:bCs/>
          <w:spacing w:val="44"/>
          <w:sz w:val="22"/>
          <w:szCs w:val="22"/>
        </w:rPr>
        <w:t> </w:t>
      </w:r>
      <w:r>
        <w:rPr>
          <w:rFonts w:ascii="宋体" w:hAnsi="宋体" w:cs="宋体" w:eastAsia="宋体" w:hint="default"/>
          <w:sz w:val="22"/>
          <w:szCs w:val="22"/>
        </w:rPr>
        <w:t>处</w:t>
      </w:r>
      <w:r>
        <w:rPr>
          <w:rFonts w:ascii="宋体" w:hAnsi="宋体" w:cs="宋体" w:eastAsia="宋体" w:hint="default"/>
          <w:spacing w:val="-72"/>
          <w:sz w:val="22"/>
          <w:szCs w:val="22"/>
        </w:rPr>
        <w:t> </w:t>
      </w:r>
      <w:r>
        <w:rPr>
          <w:rFonts w:ascii="宋体" w:hAnsi="宋体" w:cs="宋体" w:eastAsia="宋体" w:hint="default"/>
          <w:sz w:val="22"/>
          <w:szCs w:val="22"/>
        </w:rPr>
        <w:t>置</w:t>
      </w:r>
      <w:r>
        <w:rPr>
          <w:rFonts w:ascii="宋体" w:hAnsi="宋体" w:cs="宋体" w:eastAsia="宋体" w:hint="default"/>
          <w:spacing w:val="-72"/>
          <w:sz w:val="22"/>
          <w:szCs w:val="22"/>
        </w:rPr>
        <w:t> </w:t>
      </w:r>
      <w:r>
        <w:rPr>
          <w:rFonts w:ascii="宋体" w:hAnsi="宋体" w:cs="宋体" w:eastAsia="宋体" w:hint="default"/>
          <w:sz w:val="22"/>
          <w:szCs w:val="22"/>
        </w:rPr>
        <w:t>重</w:t>
      </w:r>
      <w:r>
        <w:rPr>
          <w:rFonts w:ascii="宋体" w:hAnsi="宋体" w:cs="宋体" w:eastAsia="宋体" w:hint="default"/>
          <w:spacing w:val="-72"/>
          <w:sz w:val="22"/>
          <w:szCs w:val="22"/>
        </w:rPr>
        <w:t> </w:t>
      </w:r>
      <w:r>
        <w:rPr>
          <w:rFonts w:ascii="宋体" w:hAnsi="宋体" w:cs="宋体" w:eastAsia="宋体" w:hint="default"/>
          <w:sz w:val="22"/>
          <w:szCs w:val="22"/>
        </w:rPr>
        <w:t>要</w:t>
      </w:r>
      <w:r>
        <w:rPr>
          <w:rFonts w:ascii="宋体" w:hAnsi="宋体" w:cs="宋体" w:eastAsia="宋体" w:hint="default"/>
          <w:spacing w:val="-70"/>
          <w:sz w:val="22"/>
          <w:szCs w:val="22"/>
        </w:rPr>
        <w:t> </w:t>
      </w:r>
      <w:r>
        <w:rPr>
          <w:rFonts w:ascii="宋体" w:hAnsi="宋体" w:cs="宋体" w:eastAsia="宋体" w:hint="default"/>
          <w:sz w:val="22"/>
          <w:szCs w:val="22"/>
        </w:rPr>
        <w:t>子</w:t>
      </w:r>
      <w:r>
        <w:rPr>
          <w:rFonts w:ascii="宋体" w:hAnsi="宋体" w:cs="宋体" w:eastAsia="宋体" w:hint="default"/>
          <w:spacing w:val="-72"/>
          <w:sz w:val="22"/>
          <w:szCs w:val="22"/>
        </w:rPr>
        <w:t> </w:t>
      </w:r>
      <w:r>
        <w:rPr>
          <w:rFonts w:ascii="宋体" w:hAnsi="宋体" w:cs="宋体" w:eastAsia="宋体" w:hint="default"/>
          <w:sz w:val="22"/>
          <w:szCs w:val="22"/>
        </w:rPr>
        <w:t>公</w:t>
      </w:r>
      <w:r>
        <w:rPr>
          <w:rFonts w:ascii="宋体" w:hAnsi="宋体" w:cs="宋体" w:eastAsia="宋体" w:hint="default"/>
          <w:spacing w:val="-72"/>
          <w:sz w:val="22"/>
          <w:szCs w:val="22"/>
        </w:rPr>
        <w:t> </w:t>
      </w:r>
      <w:r>
        <w:rPr>
          <w:rFonts w:ascii="宋体" w:hAnsi="宋体" w:cs="宋体" w:eastAsia="宋体" w:hint="default"/>
          <w:sz w:val="22"/>
          <w:szCs w:val="22"/>
        </w:rPr>
        <w:t>司</w:t>
      </w:r>
      <w:r>
        <w:rPr>
          <w:rFonts w:ascii="宋体" w:hAnsi="宋体" w:cs="宋体" w:eastAsia="宋体" w:hint="default"/>
          <w:spacing w:val="-70"/>
          <w:sz w:val="22"/>
          <w:szCs w:val="22"/>
        </w:rPr>
        <w:t> </w:t>
      </w:r>
      <w:r>
        <w:rPr>
          <w:rFonts w:ascii="宋体" w:hAnsi="宋体" w:cs="宋体" w:eastAsia="宋体" w:hint="default"/>
          <w:sz w:val="22"/>
          <w:szCs w:val="22"/>
        </w:rPr>
        <w:t>事</w:t>
      </w:r>
      <w:r>
        <w:rPr>
          <w:rFonts w:ascii="宋体" w:hAnsi="宋体" w:cs="宋体" w:eastAsia="宋体" w:hint="default"/>
          <w:spacing w:val="-72"/>
          <w:sz w:val="22"/>
          <w:szCs w:val="22"/>
        </w:rPr>
        <w:t> </w:t>
      </w:r>
      <w:r>
        <w:rPr>
          <w:rFonts w:ascii="宋体" w:hAnsi="宋体" w:cs="宋体" w:eastAsia="宋体" w:hint="default"/>
          <w:sz w:val="22"/>
          <w:szCs w:val="22"/>
        </w:rPr>
        <w:t>项</w:t>
      </w:r>
    </w:p>
    <w:p>
      <w:pPr>
        <w:spacing w:line="304" w:lineRule="auto" w:before="113"/>
        <w:ind w:left="242" w:right="254" w:firstLine="439"/>
        <w:jc w:val="right"/>
        <w:rPr>
          <w:rFonts w:ascii="宋体" w:hAnsi="宋体" w:cs="宋体" w:eastAsia="宋体" w:hint="default"/>
          <w:sz w:val="22"/>
          <w:szCs w:val="22"/>
        </w:rPr>
      </w:pP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11</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18</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日，公司召开了</w:t>
      </w:r>
      <w:r>
        <w:rPr>
          <w:rFonts w:ascii="宋体" w:hAnsi="宋体" w:cs="宋体" w:eastAsia="宋体" w:hint="default"/>
          <w:spacing w:val="-61"/>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年第三次临时股东大会。会议批准通过了《关</w:t>
      </w:r>
      <w:r>
        <w:rPr>
          <w:rFonts w:ascii="宋体" w:hAnsi="宋体" w:cs="宋体" w:eastAsia="宋体" w:hint="default"/>
          <w:w w:val="100"/>
          <w:sz w:val="22"/>
          <w:szCs w:val="22"/>
        </w:rPr>
        <w:t> </w:t>
      </w:r>
      <w:r>
        <w:rPr>
          <w:rFonts w:ascii="宋体" w:hAnsi="宋体" w:cs="宋体" w:eastAsia="宋体" w:hint="default"/>
          <w:sz w:val="22"/>
          <w:szCs w:val="22"/>
        </w:rPr>
        <w:t>于向紫光春华转让同方国芯</w:t>
      </w:r>
      <w:r>
        <w:rPr>
          <w:rFonts w:ascii="宋体" w:hAnsi="宋体" w:cs="宋体" w:eastAsia="宋体" w:hint="default"/>
          <w:spacing w:val="-8"/>
          <w:sz w:val="22"/>
          <w:szCs w:val="22"/>
        </w:rPr>
        <w:t> </w:t>
      </w:r>
      <w:r>
        <w:rPr>
          <w:rFonts w:ascii="Times New Roman" w:hAnsi="Times New Roman" w:cs="Times New Roman" w:eastAsia="Times New Roman" w:hint="default"/>
          <w:sz w:val="22"/>
          <w:szCs w:val="22"/>
        </w:rPr>
        <w:t>36.39%</w:t>
      </w:r>
      <w:r>
        <w:rPr>
          <w:rFonts w:ascii="宋体" w:hAnsi="宋体" w:cs="宋体" w:eastAsia="宋体" w:hint="default"/>
          <w:sz w:val="22"/>
          <w:szCs w:val="22"/>
        </w:rPr>
        <w:t>股权的关联交易暨预计新增日常关联交易的议案》。</w:t>
      </w:r>
      <w:r>
        <w:rPr>
          <w:rFonts w:ascii="宋体" w:hAnsi="宋体" w:cs="宋体" w:eastAsia="宋体" w:hint="default"/>
          <w:w w:val="100"/>
          <w:sz w:val="22"/>
          <w:szCs w:val="22"/>
        </w:rPr>
        <w:t> </w:t>
      </w:r>
      <w:r>
        <w:rPr>
          <w:rFonts w:ascii="Times New Roman" w:hAnsi="Times New Roman" w:cs="Times New Roman" w:eastAsia="Times New Roman" w:hint="default"/>
          <w:sz w:val="22"/>
          <w:szCs w:val="22"/>
        </w:rPr>
        <w:t>2016 </w:t>
      </w:r>
      <w:r>
        <w:rPr>
          <w:rFonts w:ascii="宋体" w:hAnsi="宋体" w:cs="宋体" w:eastAsia="宋体" w:hint="default"/>
          <w:sz w:val="22"/>
          <w:szCs w:val="22"/>
        </w:rPr>
        <w:t>年 </w:t>
      </w:r>
      <w:r>
        <w:rPr>
          <w:rFonts w:ascii="Times New Roman" w:hAnsi="Times New Roman" w:cs="Times New Roman" w:eastAsia="Times New Roman" w:hint="default"/>
          <w:sz w:val="22"/>
          <w:szCs w:val="22"/>
        </w:rPr>
        <w:t>4 </w:t>
      </w:r>
      <w:r>
        <w:rPr>
          <w:rFonts w:ascii="宋体" w:hAnsi="宋体" w:cs="宋体" w:eastAsia="宋体" w:hint="default"/>
          <w:sz w:val="22"/>
          <w:szCs w:val="22"/>
        </w:rPr>
        <w:t>月 </w:t>
      </w:r>
      <w:r>
        <w:rPr>
          <w:rFonts w:ascii="Times New Roman" w:hAnsi="Times New Roman" w:cs="Times New Roman" w:eastAsia="Times New Roman" w:hint="default"/>
          <w:sz w:val="22"/>
          <w:szCs w:val="22"/>
        </w:rPr>
        <w:t>8</w:t>
      </w:r>
      <w:r>
        <w:rPr>
          <w:rFonts w:ascii="Times New Roman" w:hAnsi="Times New Roman" w:cs="Times New Roman" w:eastAsia="Times New Roman" w:hint="default"/>
          <w:spacing w:val="-22"/>
          <w:sz w:val="22"/>
          <w:szCs w:val="22"/>
        </w:rPr>
        <w:t> </w:t>
      </w:r>
      <w:r>
        <w:rPr>
          <w:rFonts w:ascii="宋体" w:hAnsi="宋体" w:cs="宋体" w:eastAsia="宋体" w:hint="default"/>
          <w:sz w:val="22"/>
          <w:szCs w:val="22"/>
        </w:rPr>
        <w:t>日，公司收到中国证券登记结算有限责任公司出具的《证券登记过户</w:t>
      </w:r>
    </w:p>
    <w:p>
      <w:pPr>
        <w:spacing w:line="285" w:lineRule="auto" w:before="0"/>
        <w:ind w:left="242" w:right="142" w:firstLine="0"/>
        <w:jc w:val="left"/>
        <w:rPr>
          <w:rFonts w:ascii="宋体" w:hAnsi="宋体" w:cs="宋体" w:eastAsia="宋体" w:hint="default"/>
          <w:sz w:val="22"/>
          <w:szCs w:val="22"/>
        </w:rPr>
      </w:pPr>
      <w:r>
        <w:rPr>
          <w:rFonts w:ascii="宋体" w:hAnsi="宋体" w:cs="宋体" w:eastAsia="宋体" w:hint="default"/>
          <w:spacing w:val="-3"/>
          <w:sz w:val="22"/>
          <w:szCs w:val="22"/>
        </w:rPr>
        <w:t>确认书》：公司向紫光集团有限公司下属全资子公司西藏紫光春华投资有限公司出售持有</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z w:val="22"/>
          <w:szCs w:val="22"/>
        </w:rPr>
        <w:t>的下属同方国芯电子股份有限公司的</w:t>
      </w:r>
      <w:r>
        <w:rPr>
          <w:rFonts w:ascii="宋体" w:hAnsi="宋体" w:cs="宋体" w:eastAsia="宋体" w:hint="default"/>
          <w:spacing w:val="-51"/>
          <w:sz w:val="22"/>
          <w:szCs w:val="22"/>
        </w:rPr>
        <w:t> </w:t>
      </w:r>
      <w:r>
        <w:rPr>
          <w:rFonts w:ascii="Times New Roman" w:hAnsi="Times New Roman" w:cs="Times New Roman" w:eastAsia="Times New Roman" w:hint="default"/>
          <w:sz w:val="22"/>
          <w:szCs w:val="22"/>
        </w:rPr>
        <w:t>220,835,000</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股股份已于</w:t>
      </w:r>
      <w:r>
        <w:rPr>
          <w:rFonts w:ascii="宋体" w:hAnsi="宋体" w:cs="宋体" w:eastAsia="宋体" w:hint="default"/>
          <w:spacing w:val="-51"/>
          <w:sz w:val="22"/>
          <w:szCs w:val="22"/>
        </w:rPr>
        <w:t> </w:t>
      </w:r>
      <w:r>
        <w:rPr>
          <w:rFonts w:ascii="Times New Roman" w:hAnsi="Times New Roman" w:cs="Times New Roman" w:eastAsia="Times New Roman" w:hint="default"/>
          <w:sz w:val="22"/>
          <w:szCs w:val="22"/>
        </w:rPr>
        <w:t>2016</w:t>
      </w:r>
      <w:r>
        <w:rPr>
          <w:rFonts w:ascii="Times New Roman" w:hAnsi="Times New Roman" w:cs="Times New Roman" w:eastAsia="Times New Roman" w:hint="default"/>
          <w:spacing w:val="4"/>
          <w:sz w:val="22"/>
          <w:szCs w:val="22"/>
        </w:rPr>
        <w:t> </w:t>
      </w:r>
      <w:r>
        <w:rPr>
          <w:rFonts w:ascii="宋体" w:hAnsi="宋体" w:cs="宋体" w:eastAsia="宋体" w:hint="default"/>
          <w:sz w:val="22"/>
          <w:szCs w:val="22"/>
        </w:rPr>
        <w:t>年</w:t>
      </w:r>
      <w:r>
        <w:rPr>
          <w:rFonts w:ascii="宋体" w:hAnsi="宋体" w:cs="宋体" w:eastAsia="宋体" w:hint="default"/>
          <w:spacing w:val="-51"/>
          <w:sz w:val="22"/>
          <w:szCs w:val="22"/>
        </w:rPr>
        <w:t> </w:t>
      </w:r>
      <w:r>
        <w:rPr>
          <w:rFonts w:ascii="Times New Roman" w:hAnsi="Times New Roman" w:cs="Times New Roman" w:eastAsia="Times New Roman" w:hint="default"/>
          <w:sz w:val="22"/>
          <w:szCs w:val="22"/>
        </w:rPr>
        <w:t>4</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7</w:t>
      </w:r>
      <w:r>
        <w:rPr>
          <w:rFonts w:ascii="Times New Roman" w:hAnsi="Times New Roman" w:cs="Times New Roman" w:eastAsia="Times New Roman" w:hint="default"/>
          <w:spacing w:val="4"/>
          <w:sz w:val="22"/>
          <w:szCs w:val="22"/>
        </w:rPr>
        <w:t> </w:t>
      </w:r>
      <w:r>
        <w:rPr>
          <w:rFonts w:ascii="宋体" w:hAnsi="宋体" w:cs="宋体" w:eastAsia="宋体" w:hint="default"/>
          <w:sz w:val="22"/>
          <w:szCs w:val="22"/>
        </w:rPr>
        <w:t>日完成过户。</w:t>
      </w:r>
      <w:r>
        <w:rPr>
          <w:rFonts w:ascii="宋体" w:hAnsi="宋体" w:cs="宋体" w:eastAsia="宋体" w:hint="default"/>
          <w:w w:val="100"/>
          <w:sz w:val="22"/>
          <w:szCs w:val="22"/>
        </w:rPr>
        <w:t> </w:t>
      </w:r>
      <w:r>
        <w:rPr>
          <w:rFonts w:ascii="宋体" w:hAnsi="宋体" w:cs="宋体" w:eastAsia="宋体" w:hint="default"/>
          <w:sz w:val="22"/>
          <w:szCs w:val="22"/>
        </w:rPr>
        <w:t>至此，公司向紫光春华转让同方国芯 </w:t>
      </w:r>
      <w:r>
        <w:rPr>
          <w:rFonts w:ascii="Times New Roman" w:hAnsi="Times New Roman" w:cs="Times New Roman" w:eastAsia="Times New Roman" w:hint="default"/>
          <w:sz w:val="22"/>
          <w:szCs w:val="22"/>
        </w:rPr>
        <w:t>36.39%</w:t>
      </w:r>
      <w:r>
        <w:rPr>
          <w:rFonts w:ascii="宋体" w:hAnsi="宋体" w:cs="宋体" w:eastAsia="宋体" w:hint="default"/>
          <w:sz w:val="22"/>
          <w:szCs w:val="22"/>
        </w:rPr>
        <w:t>股权的关联交易已实施完成。本次交易完成</w:t>
      </w:r>
      <w:r>
        <w:rPr>
          <w:rFonts w:ascii="宋体" w:hAnsi="宋体" w:cs="宋体" w:eastAsia="宋体" w:hint="default"/>
          <w:spacing w:val="-91"/>
          <w:sz w:val="22"/>
          <w:szCs w:val="22"/>
        </w:rPr>
        <w:t> </w:t>
      </w:r>
      <w:r>
        <w:rPr>
          <w:rFonts w:ascii="宋体" w:hAnsi="宋体" w:cs="宋体" w:eastAsia="宋体" w:hint="default"/>
          <w:spacing w:val="-91"/>
          <w:sz w:val="22"/>
          <w:szCs w:val="22"/>
        </w:rPr>
      </w:r>
      <w:r>
        <w:rPr>
          <w:rFonts w:ascii="宋体" w:hAnsi="宋体" w:cs="宋体" w:eastAsia="宋体" w:hint="default"/>
          <w:sz w:val="22"/>
          <w:szCs w:val="22"/>
        </w:rPr>
        <w:t>后，公司仍持有同方国芯</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30,280,244</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股股份，持股比例由</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41.38%</w:t>
      </w:r>
      <w:r>
        <w:rPr>
          <w:rFonts w:ascii="宋体" w:hAnsi="宋体" w:cs="宋体" w:eastAsia="宋体" w:hint="default"/>
          <w:sz w:val="22"/>
          <w:szCs w:val="22"/>
        </w:rPr>
        <w:t>降至</w:t>
      </w:r>
      <w:r>
        <w:rPr>
          <w:rFonts w:ascii="宋体" w:hAnsi="宋体" w:cs="宋体" w:eastAsia="宋体" w:hint="default"/>
          <w:spacing w:val="-58"/>
          <w:sz w:val="22"/>
          <w:szCs w:val="22"/>
        </w:rPr>
        <w:t> </w:t>
      </w:r>
      <w:r>
        <w:rPr>
          <w:rFonts w:ascii="Times New Roman" w:hAnsi="Times New Roman" w:cs="Times New Roman" w:eastAsia="Times New Roman" w:hint="default"/>
          <w:sz w:val="22"/>
          <w:szCs w:val="22"/>
        </w:rPr>
        <w:t>4.99%</w:t>
      </w:r>
      <w:r>
        <w:rPr>
          <w:rFonts w:ascii="宋体" w:hAnsi="宋体" w:cs="宋体" w:eastAsia="宋体" w:hint="default"/>
          <w:sz w:val="22"/>
          <w:szCs w:val="22"/>
        </w:rPr>
        <w:t>。</w:t>
      </w:r>
    </w:p>
    <w:p>
      <w:pPr>
        <w:spacing w:before="64"/>
        <w:ind w:left="695" w:right="142" w:firstLine="0"/>
        <w:jc w:val="left"/>
        <w:rPr>
          <w:rFonts w:ascii="宋体" w:hAnsi="宋体" w:cs="宋体" w:eastAsia="宋体" w:hint="default"/>
          <w:sz w:val="22"/>
          <w:szCs w:val="22"/>
        </w:rPr>
      </w:pPr>
      <w:r>
        <w:rPr>
          <w:rFonts w:ascii="Times New Roman" w:hAnsi="Times New Roman" w:cs="Times New Roman" w:eastAsia="Times New Roman" w:hint="default"/>
          <w:b/>
          <w:bCs/>
          <w:spacing w:val="9"/>
          <w:sz w:val="22"/>
          <w:szCs w:val="22"/>
        </w:rPr>
        <w:t>2. </w:t>
      </w:r>
      <w:r>
        <w:rPr>
          <w:rFonts w:ascii="Times New Roman" w:hAnsi="Times New Roman" w:cs="Times New Roman" w:eastAsia="Times New Roman" w:hint="default"/>
          <w:b/>
          <w:bCs/>
          <w:spacing w:val="44"/>
          <w:sz w:val="22"/>
          <w:szCs w:val="22"/>
        </w:rPr>
        <w:t> </w:t>
      </w:r>
      <w:r>
        <w:rPr>
          <w:rFonts w:ascii="宋体" w:hAnsi="宋体" w:cs="宋体" w:eastAsia="宋体" w:hint="default"/>
          <w:sz w:val="22"/>
          <w:szCs w:val="22"/>
        </w:rPr>
        <w:t>重</w:t>
      </w:r>
      <w:r>
        <w:rPr>
          <w:rFonts w:ascii="宋体" w:hAnsi="宋体" w:cs="宋体" w:eastAsia="宋体" w:hint="default"/>
          <w:spacing w:val="-72"/>
          <w:sz w:val="22"/>
          <w:szCs w:val="22"/>
        </w:rPr>
        <w:t> </w:t>
      </w:r>
      <w:r>
        <w:rPr>
          <w:rFonts w:ascii="宋体" w:hAnsi="宋体" w:cs="宋体" w:eastAsia="宋体" w:hint="default"/>
          <w:sz w:val="22"/>
          <w:szCs w:val="22"/>
        </w:rPr>
        <w:t>大</w:t>
      </w:r>
      <w:r>
        <w:rPr>
          <w:rFonts w:ascii="宋体" w:hAnsi="宋体" w:cs="宋体" w:eastAsia="宋体" w:hint="default"/>
          <w:spacing w:val="-72"/>
          <w:sz w:val="22"/>
          <w:szCs w:val="22"/>
        </w:rPr>
        <w:t> </w:t>
      </w:r>
      <w:r>
        <w:rPr>
          <w:rFonts w:ascii="宋体" w:hAnsi="宋体" w:cs="宋体" w:eastAsia="宋体" w:hint="default"/>
          <w:sz w:val="22"/>
          <w:szCs w:val="22"/>
        </w:rPr>
        <w:t>收</w:t>
      </w:r>
      <w:r>
        <w:rPr>
          <w:rFonts w:ascii="宋体" w:hAnsi="宋体" w:cs="宋体" w:eastAsia="宋体" w:hint="default"/>
          <w:spacing w:val="-72"/>
          <w:sz w:val="22"/>
          <w:szCs w:val="22"/>
        </w:rPr>
        <w:t> </w:t>
      </w:r>
      <w:r>
        <w:rPr>
          <w:rFonts w:ascii="宋体" w:hAnsi="宋体" w:cs="宋体" w:eastAsia="宋体" w:hint="default"/>
          <w:sz w:val="22"/>
          <w:szCs w:val="22"/>
        </w:rPr>
        <w:t>购</w:t>
      </w:r>
      <w:r>
        <w:rPr>
          <w:rFonts w:ascii="宋体" w:hAnsi="宋体" w:cs="宋体" w:eastAsia="宋体" w:hint="default"/>
          <w:spacing w:val="-70"/>
          <w:sz w:val="22"/>
          <w:szCs w:val="22"/>
        </w:rPr>
        <w:t> </w:t>
      </w:r>
      <w:r>
        <w:rPr>
          <w:rFonts w:ascii="宋体" w:hAnsi="宋体" w:cs="宋体" w:eastAsia="宋体" w:hint="default"/>
          <w:sz w:val="22"/>
          <w:szCs w:val="22"/>
        </w:rPr>
        <w:t>及</w:t>
      </w:r>
      <w:r>
        <w:rPr>
          <w:rFonts w:ascii="宋体" w:hAnsi="宋体" w:cs="宋体" w:eastAsia="宋体" w:hint="default"/>
          <w:spacing w:val="-72"/>
          <w:sz w:val="22"/>
          <w:szCs w:val="22"/>
        </w:rPr>
        <w:t> </w:t>
      </w:r>
      <w:r>
        <w:rPr>
          <w:rFonts w:ascii="宋体" w:hAnsi="宋体" w:cs="宋体" w:eastAsia="宋体" w:hint="default"/>
          <w:sz w:val="22"/>
          <w:szCs w:val="22"/>
        </w:rPr>
        <w:t>关</w:t>
      </w:r>
      <w:r>
        <w:rPr>
          <w:rFonts w:ascii="宋体" w:hAnsi="宋体" w:cs="宋体" w:eastAsia="宋体" w:hint="default"/>
          <w:spacing w:val="-72"/>
          <w:sz w:val="22"/>
          <w:szCs w:val="22"/>
        </w:rPr>
        <w:t> </w:t>
      </w:r>
      <w:r>
        <w:rPr>
          <w:rFonts w:ascii="宋体" w:hAnsi="宋体" w:cs="宋体" w:eastAsia="宋体" w:hint="default"/>
          <w:sz w:val="22"/>
          <w:szCs w:val="22"/>
        </w:rPr>
        <w:t>联</w:t>
      </w:r>
      <w:r>
        <w:rPr>
          <w:rFonts w:ascii="宋体" w:hAnsi="宋体" w:cs="宋体" w:eastAsia="宋体" w:hint="default"/>
          <w:spacing w:val="-70"/>
          <w:sz w:val="22"/>
          <w:szCs w:val="22"/>
        </w:rPr>
        <w:t> </w:t>
      </w:r>
      <w:r>
        <w:rPr>
          <w:rFonts w:ascii="宋体" w:hAnsi="宋体" w:cs="宋体" w:eastAsia="宋体" w:hint="default"/>
          <w:sz w:val="22"/>
          <w:szCs w:val="22"/>
        </w:rPr>
        <w:t>交</w:t>
      </w:r>
      <w:r>
        <w:rPr>
          <w:rFonts w:ascii="宋体" w:hAnsi="宋体" w:cs="宋体" w:eastAsia="宋体" w:hint="default"/>
          <w:spacing w:val="-72"/>
          <w:sz w:val="22"/>
          <w:szCs w:val="22"/>
        </w:rPr>
        <w:t> </w:t>
      </w:r>
      <w:r>
        <w:rPr>
          <w:rFonts w:ascii="宋体" w:hAnsi="宋体" w:cs="宋体" w:eastAsia="宋体" w:hint="default"/>
          <w:sz w:val="22"/>
          <w:szCs w:val="22"/>
        </w:rPr>
        <w:t>易</w:t>
      </w:r>
      <w:r>
        <w:rPr>
          <w:rFonts w:ascii="宋体" w:hAnsi="宋体" w:cs="宋体" w:eastAsia="宋体" w:hint="default"/>
          <w:spacing w:val="-70"/>
          <w:sz w:val="22"/>
          <w:szCs w:val="22"/>
        </w:rPr>
        <w:t> </w:t>
      </w:r>
      <w:r>
        <w:rPr>
          <w:rFonts w:ascii="宋体" w:hAnsi="宋体" w:cs="宋体" w:eastAsia="宋体" w:hint="default"/>
          <w:sz w:val="22"/>
          <w:szCs w:val="22"/>
        </w:rPr>
        <w:t>事</w:t>
      </w:r>
      <w:r>
        <w:rPr>
          <w:rFonts w:ascii="宋体" w:hAnsi="宋体" w:cs="宋体" w:eastAsia="宋体" w:hint="default"/>
          <w:spacing w:val="-72"/>
          <w:sz w:val="22"/>
          <w:szCs w:val="22"/>
        </w:rPr>
        <w:t> </w:t>
      </w:r>
      <w:r>
        <w:rPr>
          <w:rFonts w:ascii="宋体" w:hAnsi="宋体" w:cs="宋体" w:eastAsia="宋体" w:hint="default"/>
          <w:sz w:val="22"/>
          <w:szCs w:val="22"/>
        </w:rPr>
        <w:t>项</w:t>
      </w:r>
    </w:p>
    <w:p>
      <w:pPr>
        <w:spacing w:line="280" w:lineRule="auto" w:before="113"/>
        <w:ind w:left="242" w:right="248" w:firstLine="439"/>
        <w:jc w:val="left"/>
        <w:rPr>
          <w:rFonts w:ascii="宋体" w:hAnsi="宋体" w:cs="宋体" w:eastAsia="宋体" w:hint="default"/>
          <w:sz w:val="22"/>
          <w:szCs w:val="22"/>
        </w:rPr>
      </w:pPr>
      <w:r>
        <w:rPr>
          <w:rFonts w:ascii="Times New Roman" w:hAnsi="Times New Roman" w:cs="Times New Roman" w:eastAsia="Times New Roman" w:hint="default"/>
          <w:sz w:val="22"/>
          <w:szCs w:val="22"/>
        </w:rPr>
        <w:t>2016</w:t>
      </w:r>
      <w:r>
        <w:rPr>
          <w:rFonts w:ascii="Times New Roman" w:hAnsi="Times New Roman" w:cs="Times New Roman" w:eastAsia="Times New Roman" w:hint="default"/>
          <w:spacing w:val="12"/>
          <w:sz w:val="22"/>
          <w:szCs w:val="22"/>
        </w:rPr>
        <w:t> </w:t>
      </w:r>
      <w:r>
        <w:rPr>
          <w:rFonts w:ascii="宋体" w:hAnsi="宋体" w:cs="宋体" w:eastAsia="宋体" w:hint="default"/>
          <w:sz w:val="22"/>
          <w:szCs w:val="22"/>
        </w:rPr>
        <w:t>年</w:t>
      </w:r>
      <w:r>
        <w:rPr>
          <w:rFonts w:ascii="宋体" w:hAnsi="宋体" w:cs="宋体" w:eastAsia="宋体" w:hint="default"/>
          <w:spacing w:val="-43"/>
          <w:sz w:val="22"/>
          <w:szCs w:val="22"/>
        </w:rPr>
        <w:t> </w:t>
      </w:r>
      <w:r>
        <w:rPr>
          <w:rFonts w:ascii="Times New Roman" w:hAnsi="Times New Roman" w:cs="Times New Roman" w:eastAsia="Times New Roman" w:hint="default"/>
          <w:sz w:val="22"/>
          <w:szCs w:val="22"/>
        </w:rPr>
        <w:t>2</w:t>
      </w:r>
      <w:r>
        <w:rPr>
          <w:rFonts w:ascii="Times New Roman" w:hAnsi="Times New Roman" w:cs="Times New Roman" w:eastAsia="Times New Roman" w:hint="default"/>
          <w:spacing w:val="12"/>
          <w:sz w:val="22"/>
          <w:szCs w:val="22"/>
        </w:rPr>
        <w:t> </w:t>
      </w:r>
      <w:r>
        <w:rPr>
          <w:rFonts w:ascii="宋体" w:hAnsi="宋体" w:cs="宋体" w:eastAsia="宋体" w:hint="default"/>
          <w:sz w:val="22"/>
          <w:szCs w:val="22"/>
        </w:rPr>
        <w:t>月</w:t>
      </w:r>
      <w:r>
        <w:rPr>
          <w:rFonts w:ascii="宋体" w:hAnsi="宋体" w:cs="宋体" w:eastAsia="宋体" w:hint="default"/>
          <w:spacing w:val="-43"/>
          <w:sz w:val="22"/>
          <w:szCs w:val="22"/>
        </w:rPr>
        <w:t> </w:t>
      </w:r>
      <w:r>
        <w:rPr>
          <w:rFonts w:ascii="Times New Roman" w:hAnsi="Times New Roman" w:cs="Times New Roman" w:eastAsia="Times New Roman" w:hint="default"/>
          <w:sz w:val="22"/>
          <w:szCs w:val="22"/>
        </w:rPr>
        <w:t>22</w:t>
      </w:r>
      <w:r>
        <w:rPr>
          <w:rFonts w:ascii="Times New Roman" w:hAnsi="Times New Roman" w:cs="Times New Roman" w:eastAsia="Times New Roman" w:hint="default"/>
          <w:spacing w:val="12"/>
          <w:sz w:val="22"/>
          <w:szCs w:val="22"/>
        </w:rPr>
        <w:t> </w:t>
      </w:r>
      <w:r>
        <w:rPr>
          <w:rFonts w:ascii="宋体" w:hAnsi="宋体" w:cs="宋体" w:eastAsia="宋体" w:hint="default"/>
          <w:sz w:val="22"/>
          <w:szCs w:val="22"/>
        </w:rPr>
        <w:t>日，公司召开了</w:t>
      </w:r>
      <w:r>
        <w:rPr>
          <w:rFonts w:ascii="宋体" w:hAnsi="宋体" w:cs="宋体" w:eastAsia="宋体" w:hint="default"/>
          <w:spacing w:val="-43"/>
          <w:sz w:val="22"/>
          <w:szCs w:val="22"/>
        </w:rPr>
        <w:t> </w:t>
      </w:r>
      <w:r>
        <w:rPr>
          <w:rFonts w:ascii="Times New Roman" w:hAnsi="Times New Roman" w:cs="Times New Roman" w:eastAsia="Times New Roman" w:hint="default"/>
          <w:sz w:val="22"/>
          <w:szCs w:val="22"/>
        </w:rPr>
        <w:t>2016</w:t>
      </w:r>
      <w:r>
        <w:rPr>
          <w:rFonts w:ascii="Times New Roman" w:hAnsi="Times New Roman" w:cs="Times New Roman" w:eastAsia="Times New Roman" w:hint="default"/>
          <w:spacing w:val="12"/>
          <w:sz w:val="22"/>
          <w:szCs w:val="22"/>
        </w:rPr>
        <w:t> </w:t>
      </w:r>
      <w:r>
        <w:rPr>
          <w:rFonts w:ascii="宋体" w:hAnsi="宋体" w:cs="宋体" w:eastAsia="宋体" w:hint="default"/>
          <w:sz w:val="22"/>
          <w:szCs w:val="22"/>
        </w:rPr>
        <w:t>年第一次临时股东大会，会议批准通过了《关</w:t>
      </w:r>
      <w:r>
        <w:rPr>
          <w:rFonts w:ascii="宋体" w:hAnsi="宋体" w:cs="宋体" w:eastAsia="宋体" w:hint="default"/>
          <w:w w:val="100"/>
          <w:sz w:val="22"/>
          <w:szCs w:val="22"/>
        </w:rPr>
        <w:t> </w:t>
      </w:r>
      <w:r>
        <w:rPr>
          <w:rFonts w:ascii="宋体" w:hAnsi="宋体" w:cs="宋体" w:eastAsia="宋体" w:hint="default"/>
          <w:sz w:val="22"/>
          <w:szCs w:val="22"/>
        </w:rPr>
        <w:t>于通过下属同方创新受让深圳华融泰 </w:t>
      </w:r>
      <w:r>
        <w:rPr>
          <w:rFonts w:ascii="Times New Roman" w:hAnsi="Times New Roman" w:cs="Times New Roman" w:eastAsia="Times New Roman" w:hint="default"/>
          <w:sz w:val="22"/>
          <w:szCs w:val="22"/>
        </w:rPr>
        <w:t>44%</w:t>
      </w:r>
      <w:r>
        <w:rPr>
          <w:rFonts w:ascii="宋体" w:hAnsi="宋体" w:cs="宋体" w:eastAsia="宋体" w:hint="default"/>
          <w:sz w:val="22"/>
          <w:szCs w:val="22"/>
        </w:rPr>
        <w:t>股权及向其增资不超过 </w:t>
      </w:r>
      <w:r>
        <w:rPr>
          <w:rFonts w:ascii="Times New Roman" w:hAnsi="Times New Roman" w:cs="Times New Roman" w:eastAsia="Times New Roman" w:hint="default"/>
          <w:sz w:val="22"/>
          <w:szCs w:val="22"/>
        </w:rPr>
        <w:t>1.95</w:t>
      </w:r>
      <w:r>
        <w:rPr>
          <w:rFonts w:ascii="Times New Roman" w:hAnsi="Times New Roman" w:cs="Times New Roman" w:eastAsia="Times New Roman" w:hint="default"/>
          <w:spacing w:val="48"/>
          <w:sz w:val="22"/>
          <w:szCs w:val="22"/>
        </w:rPr>
        <w:t> </w:t>
      </w:r>
      <w:r>
        <w:rPr>
          <w:rFonts w:ascii="宋体" w:hAnsi="宋体" w:cs="宋体" w:eastAsia="宋体" w:hint="default"/>
          <w:sz w:val="22"/>
          <w:szCs w:val="22"/>
        </w:rPr>
        <w:t>亿元的议案》。</w:t>
      </w:r>
    </w:p>
    <w:p>
      <w:pPr>
        <w:spacing w:line="290" w:lineRule="auto" w:before="71"/>
        <w:ind w:left="242" w:right="253" w:firstLine="439"/>
        <w:jc w:val="both"/>
        <w:rPr>
          <w:rFonts w:ascii="宋体" w:hAnsi="宋体" w:cs="宋体" w:eastAsia="宋体" w:hint="default"/>
          <w:sz w:val="22"/>
          <w:szCs w:val="22"/>
        </w:rPr>
      </w:pPr>
      <w:r>
        <w:rPr>
          <w:rFonts w:ascii="宋体" w:hAnsi="宋体" w:cs="宋体" w:eastAsia="宋体" w:hint="default"/>
          <w:spacing w:val="2"/>
          <w:sz w:val="22"/>
          <w:szCs w:val="22"/>
        </w:rPr>
        <w:t>公司拟通过下属全资子公司北京同方创新投资有限公司受让清华控股有限公司持有</w:t>
      </w:r>
      <w:r>
        <w:rPr>
          <w:rFonts w:ascii="宋体" w:hAnsi="宋体" w:cs="宋体" w:eastAsia="宋体" w:hint="default"/>
          <w:w w:val="100"/>
          <w:sz w:val="22"/>
          <w:szCs w:val="22"/>
        </w:rPr>
        <w:t> </w:t>
      </w:r>
      <w:r>
        <w:rPr>
          <w:rFonts w:ascii="宋体" w:hAnsi="宋体" w:cs="宋体" w:eastAsia="宋体" w:hint="default"/>
          <w:spacing w:val="-1"/>
          <w:w w:val="100"/>
          <w:sz w:val="22"/>
          <w:szCs w:val="22"/>
        </w:rPr>
        <w:t>的深圳市华融泰资产管理有限公司</w:t>
      </w:r>
      <w:r>
        <w:rPr>
          <w:rFonts w:ascii="宋体" w:hAnsi="宋体" w:cs="宋体" w:eastAsia="宋体" w:hint="default"/>
          <w:spacing w:val="-48"/>
          <w:w w:val="100"/>
          <w:sz w:val="22"/>
          <w:szCs w:val="22"/>
        </w:rPr>
        <w:t> </w:t>
      </w:r>
      <w:r>
        <w:rPr>
          <w:rFonts w:ascii="Times New Roman" w:hAnsi="Times New Roman" w:cs="Times New Roman" w:eastAsia="Times New Roman" w:hint="default"/>
          <w:spacing w:val="-5"/>
          <w:w w:val="100"/>
          <w:sz w:val="22"/>
          <w:szCs w:val="22"/>
        </w:rPr>
        <w:t>40%</w:t>
      </w:r>
      <w:r>
        <w:rPr>
          <w:rFonts w:ascii="宋体" w:hAnsi="宋体" w:cs="宋体" w:eastAsia="宋体" w:hint="default"/>
          <w:spacing w:val="-5"/>
          <w:w w:val="100"/>
          <w:sz w:val="22"/>
          <w:szCs w:val="22"/>
        </w:rPr>
        <w:t>的股权、受让深圳市奥融信投资发展有限公司持有</w:t>
      </w:r>
      <w:r>
        <w:rPr>
          <w:rFonts w:ascii="宋体" w:hAnsi="宋体" w:cs="宋体" w:eastAsia="宋体" w:hint="default"/>
          <w:spacing w:val="-108"/>
          <w:w w:val="100"/>
          <w:sz w:val="22"/>
          <w:szCs w:val="22"/>
        </w:rPr>
        <w:t> </w:t>
      </w:r>
      <w:r>
        <w:rPr>
          <w:rFonts w:ascii="宋体" w:hAnsi="宋体" w:cs="宋体" w:eastAsia="宋体" w:hint="default"/>
          <w:spacing w:val="-108"/>
          <w:w w:val="100"/>
          <w:sz w:val="22"/>
          <w:szCs w:val="22"/>
        </w:rPr>
      </w:r>
      <w:r>
        <w:rPr>
          <w:rFonts w:ascii="宋体" w:hAnsi="宋体" w:cs="宋体" w:eastAsia="宋体" w:hint="default"/>
          <w:sz w:val="22"/>
          <w:szCs w:val="22"/>
        </w:rPr>
        <w:t>的华融泰 </w:t>
      </w:r>
      <w:r>
        <w:rPr>
          <w:rFonts w:ascii="Times New Roman" w:hAnsi="Times New Roman" w:cs="Times New Roman" w:eastAsia="Times New Roman" w:hint="default"/>
          <w:sz w:val="22"/>
          <w:szCs w:val="22"/>
        </w:rPr>
        <w:t>4%</w:t>
      </w:r>
      <w:r>
        <w:rPr>
          <w:rFonts w:ascii="宋体" w:hAnsi="宋体" w:cs="宋体" w:eastAsia="宋体" w:hint="default"/>
          <w:sz w:val="22"/>
          <w:szCs w:val="22"/>
        </w:rPr>
        <w:t>的股权，并向华融泰增资不超过 </w:t>
      </w:r>
      <w:r>
        <w:rPr>
          <w:rFonts w:ascii="Times New Roman" w:hAnsi="Times New Roman" w:cs="Times New Roman" w:eastAsia="Times New Roman" w:hint="default"/>
          <w:sz w:val="22"/>
          <w:szCs w:val="22"/>
        </w:rPr>
        <w:t>1.95</w:t>
      </w:r>
      <w:r>
        <w:rPr>
          <w:rFonts w:ascii="Times New Roman" w:hAnsi="Times New Roman" w:cs="Times New Roman" w:eastAsia="Times New Roman" w:hint="default"/>
          <w:spacing w:val="18"/>
          <w:sz w:val="22"/>
          <w:szCs w:val="22"/>
        </w:rPr>
        <w:t> </w:t>
      </w:r>
      <w:r>
        <w:rPr>
          <w:rFonts w:ascii="宋体" w:hAnsi="宋体" w:cs="宋体" w:eastAsia="宋体" w:hint="default"/>
          <w:sz w:val="22"/>
          <w:szCs w:val="22"/>
        </w:rPr>
        <w:t>亿元。由于本次交易方为公司控股股</w:t>
      </w:r>
      <w:r>
        <w:rPr>
          <w:rFonts w:ascii="宋体" w:hAnsi="宋体" w:cs="宋体" w:eastAsia="宋体" w:hint="default"/>
          <w:w w:val="100"/>
          <w:sz w:val="22"/>
          <w:szCs w:val="22"/>
        </w:rPr>
        <w:t> </w:t>
      </w:r>
      <w:r>
        <w:rPr>
          <w:rFonts w:ascii="宋体" w:hAnsi="宋体" w:cs="宋体" w:eastAsia="宋体" w:hint="default"/>
          <w:spacing w:val="-3"/>
          <w:sz w:val="22"/>
          <w:szCs w:val="22"/>
        </w:rPr>
        <w:t>东清华控股，另一交易方奥融信系公司副董事长黄俞先生实际控制的子公司，均为本公司</w:t>
      </w:r>
      <w:r>
        <w:rPr>
          <w:rFonts w:ascii="宋体" w:hAnsi="宋体" w:cs="宋体" w:eastAsia="宋体" w:hint="default"/>
          <w:spacing w:val="-73"/>
          <w:sz w:val="22"/>
          <w:szCs w:val="22"/>
        </w:rPr>
        <w:t> </w:t>
      </w:r>
      <w:r>
        <w:rPr>
          <w:rFonts w:ascii="宋体" w:hAnsi="宋体" w:cs="宋体" w:eastAsia="宋体" w:hint="default"/>
          <w:spacing w:val="-73"/>
          <w:sz w:val="22"/>
          <w:szCs w:val="22"/>
        </w:rPr>
      </w:r>
      <w:r>
        <w:rPr>
          <w:rFonts w:ascii="宋体" w:hAnsi="宋体" w:cs="宋体" w:eastAsia="宋体" w:hint="default"/>
          <w:spacing w:val="-3"/>
          <w:sz w:val="22"/>
          <w:szCs w:val="22"/>
        </w:rPr>
        <w:t>关联法人，且华融泰实际控制人为黄俞先生，故本次交易构成关联交易。截至本财务报告</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z w:val="22"/>
          <w:szCs w:val="22"/>
        </w:rPr>
        <w:t>批准报出日，该项交易已完成。</w:t>
      </w:r>
    </w:p>
    <w:p>
      <w:pPr>
        <w:spacing w:before="84"/>
        <w:ind w:left="695" w:right="142" w:firstLine="0"/>
        <w:jc w:val="left"/>
        <w:rPr>
          <w:rFonts w:ascii="宋体" w:hAnsi="宋体" w:cs="宋体" w:eastAsia="宋体" w:hint="default"/>
          <w:sz w:val="22"/>
          <w:szCs w:val="22"/>
        </w:rPr>
      </w:pPr>
      <w:r>
        <w:rPr>
          <w:rFonts w:ascii="Times New Roman" w:hAnsi="Times New Roman" w:cs="Times New Roman" w:eastAsia="Times New Roman" w:hint="default"/>
          <w:b/>
          <w:bCs/>
          <w:spacing w:val="9"/>
          <w:sz w:val="22"/>
          <w:szCs w:val="22"/>
        </w:rPr>
        <w:t>3. </w:t>
      </w:r>
      <w:r>
        <w:rPr>
          <w:rFonts w:ascii="Times New Roman" w:hAnsi="Times New Roman" w:cs="Times New Roman" w:eastAsia="Times New Roman" w:hint="default"/>
          <w:b/>
          <w:bCs/>
          <w:spacing w:val="43"/>
          <w:sz w:val="22"/>
          <w:szCs w:val="22"/>
        </w:rPr>
        <w:t> </w:t>
      </w:r>
      <w:r>
        <w:rPr>
          <w:rFonts w:ascii="宋体" w:hAnsi="宋体" w:cs="宋体" w:eastAsia="宋体" w:hint="default"/>
          <w:sz w:val="22"/>
          <w:szCs w:val="22"/>
        </w:rPr>
        <w:t>股</w:t>
      </w:r>
      <w:r>
        <w:rPr>
          <w:rFonts w:ascii="宋体" w:hAnsi="宋体" w:cs="宋体" w:eastAsia="宋体" w:hint="default"/>
          <w:spacing w:val="-72"/>
          <w:sz w:val="22"/>
          <w:szCs w:val="22"/>
        </w:rPr>
        <w:t> </w:t>
      </w:r>
      <w:r>
        <w:rPr>
          <w:rFonts w:ascii="宋体" w:hAnsi="宋体" w:cs="宋体" w:eastAsia="宋体" w:hint="default"/>
          <w:sz w:val="22"/>
          <w:szCs w:val="22"/>
        </w:rPr>
        <w:t>利</w:t>
      </w:r>
      <w:r>
        <w:rPr>
          <w:rFonts w:ascii="宋体" w:hAnsi="宋体" w:cs="宋体" w:eastAsia="宋体" w:hint="default"/>
          <w:spacing w:val="-72"/>
          <w:sz w:val="22"/>
          <w:szCs w:val="22"/>
        </w:rPr>
        <w:t> </w:t>
      </w:r>
      <w:r>
        <w:rPr>
          <w:rFonts w:ascii="宋体" w:hAnsi="宋体" w:cs="宋体" w:eastAsia="宋体" w:hint="default"/>
          <w:sz w:val="22"/>
          <w:szCs w:val="22"/>
        </w:rPr>
        <w:t>分</w:t>
      </w:r>
      <w:r>
        <w:rPr>
          <w:rFonts w:ascii="宋体" w:hAnsi="宋体" w:cs="宋体" w:eastAsia="宋体" w:hint="default"/>
          <w:spacing w:val="-72"/>
          <w:sz w:val="22"/>
          <w:szCs w:val="22"/>
        </w:rPr>
        <w:t> </w:t>
      </w:r>
      <w:r>
        <w:rPr>
          <w:rFonts w:ascii="宋体" w:hAnsi="宋体" w:cs="宋体" w:eastAsia="宋体" w:hint="default"/>
          <w:sz w:val="22"/>
          <w:szCs w:val="22"/>
        </w:rPr>
        <w:t>配</w:t>
      </w:r>
      <w:r>
        <w:rPr>
          <w:rFonts w:ascii="宋体" w:hAnsi="宋体" w:cs="宋体" w:eastAsia="宋体" w:hint="default"/>
          <w:spacing w:val="-70"/>
          <w:sz w:val="22"/>
          <w:szCs w:val="22"/>
        </w:rPr>
        <w:t> </w:t>
      </w:r>
      <w:r>
        <w:rPr>
          <w:rFonts w:ascii="宋体" w:hAnsi="宋体" w:cs="宋体" w:eastAsia="宋体" w:hint="default"/>
          <w:sz w:val="22"/>
          <w:szCs w:val="22"/>
        </w:rPr>
        <w:t>事</w:t>
      </w:r>
      <w:r>
        <w:rPr>
          <w:rFonts w:ascii="宋体" w:hAnsi="宋体" w:cs="宋体" w:eastAsia="宋体" w:hint="default"/>
          <w:spacing w:val="-72"/>
          <w:sz w:val="22"/>
          <w:szCs w:val="22"/>
        </w:rPr>
        <w:t> </w:t>
      </w:r>
      <w:r>
        <w:rPr>
          <w:rFonts w:ascii="宋体" w:hAnsi="宋体" w:cs="宋体" w:eastAsia="宋体" w:hint="default"/>
          <w:sz w:val="22"/>
          <w:szCs w:val="22"/>
        </w:rPr>
        <w:t>项</w:t>
      </w:r>
    </w:p>
    <w:p>
      <w:pPr>
        <w:spacing w:line="280" w:lineRule="auto" w:before="110"/>
        <w:ind w:left="242" w:right="251" w:firstLine="439"/>
        <w:jc w:val="left"/>
        <w:rPr>
          <w:rFonts w:ascii="宋体" w:hAnsi="宋体" w:cs="宋体" w:eastAsia="宋体" w:hint="default"/>
          <w:sz w:val="22"/>
          <w:szCs w:val="22"/>
        </w:rPr>
      </w:pPr>
      <w:r>
        <w:rPr>
          <w:rFonts w:ascii="宋体" w:hAnsi="宋体" w:cs="宋体" w:eastAsia="宋体" w:hint="default"/>
          <w:sz w:val="22"/>
          <w:szCs w:val="22"/>
        </w:rPr>
        <w:t>根据</w:t>
      </w:r>
      <w:r>
        <w:rPr>
          <w:rFonts w:ascii="宋体" w:hAnsi="宋体" w:cs="宋体" w:eastAsia="宋体" w:hint="default"/>
          <w:spacing w:val="-49"/>
          <w:sz w:val="22"/>
          <w:szCs w:val="22"/>
        </w:rPr>
        <w:t> </w:t>
      </w:r>
      <w:r>
        <w:rPr>
          <w:rFonts w:ascii="Times New Roman" w:hAnsi="Times New Roman" w:cs="Times New Roman" w:eastAsia="Times New Roman" w:hint="default"/>
          <w:sz w:val="22"/>
          <w:szCs w:val="22"/>
        </w:rPr>
        <w:t>2016</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年</w:t>
      </w:r>
      <w:r>
        <w:rPr>
          <w:rFonts w:ascii="宋体" w:hAnsi="宋体" w:cs="宋体" w:eastAsia="宋体" w:hint="default"/>
          <w:spacing w:val="-49"/>
          <w:sz w:val="22"/>
          <w:szCs w:val="22"/>
        </w:rPr>
        <w:t> </w:t>
      </w:r>
      <w:r>
        <w:rPr>
          <w:rFonts w:ascii="Times New Roman" w:hAnsi="Times New Roman" w:cs="Times New Roman" w:eastAsia="Times New Roman" w:hint="default"/>
          <w:sz w:val="22"/>
          <w:szCs w:val="22"/>
        </w:rPr>
        <w:t>4</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月</w:t>
      </w:r>
      <w:r>
        <w:rPr>
          <w:rFonts w:ascii="宋体" w:hAnsi="宋体" w:cs="宋体" w:eastAsia="宋体" w:hint="default"/>
          <w:spacing w:val="-49"/>
          <w:sz w:val="22"/>
          <w:szCs w:val="22"/>
        </w:rPr>
        <w:t> </w:t>
      </w:r>
      <w:r>
        <w:rPr>
          <w:rFonts w:ascii="Times New Roman" w:hAnsi="Times New Roman" w:cs="Times New Roman" w:eastAsia="Times New Roman" w:hint="default"/>
          <w:sz w:val="22"/>
          <w:szCs w:val="22"/>
        </w:rPr>
        <w:t>18</w:t>
      </w:r>
      <w:r>
        <w:rPr>
          <w:rFonts w:ascii="Times New Roman" w:hAnsi="Times New Roman" w:cs="Times New Roman" w:eastAsia="Times New Roman" w:hint="default"/>
          <w:spacing w:val="6"/>
          <w:sz w:val="22"/>
          <w:szCs w:val="22"/>
        </w:rPr>
        <w:t> </w:t>
      </w:r>
      <w:r>
        <w:rPr>
          <w:rFonts w:ascii="宋体" w:hAnsi="宋体" w:cs="宋体" w:eastAsia="宋体" w:hint="default"/>
          <w:spacing w:val="-4"/>
          <w:sz w:val="22"/>
          <w:szCs w:val="22"/>
        </w:rPr>
        <w:t>日本公司第六届董事会第十八次会议决议，本公司董事会拟定的</w:t>
      </w:r>
      <w:r>
        <w:rPr>
          <w:rFonts w:ascii="宋体" w:hAnsi="宋体" w:cs="宋体" w:eastAsia="宋体" w:hint="default"/>
          <w:w w:val="100"/>
          <w:sz w:val="22"/>
          <w:szCs w:val="22"/>
        </w:rPr>
        <w:t> </w:t>
      </w:r>
      <w:r>
        <w:rPr>
          <w:rFonts w:ascii="宋体" w:hAnsi="宋体" w:cs="宋体" w:eastAsia="宋体" w:hint="default"/>
          <w:sz w:val="22"/>
          <w:szCs w:val="22"/>
        </w:rPr>
        <w:t>利润分配和资本公积不转增股本方案为：</w:t>
      </w:r>
    </w:p>
    <w:p>
      <w:pPr>
        <w:spacing w:before="90"/>
        <w:ind w:left="681" w:right="142" w:firstLine="0"/>
        <w:jc w:val="left"/>
        <w:rPr>
          <w:rFonts w:ascii="Times New Roman" w:hAnsi="Times New Roman" w:cs="Times New Roman" w:eastAsia="Times New Roman" w:hint="default"/>
          <w:sz w:val="22"/>
          <w:szCs w:val="22"/>
        </w:rPr>
      </w:pPr>
      <w:r>
        <w:rPr>
          <w:rFonts w:ascii="宋体" w:hAnsi="宋体" w:cs="宋体" w:eastAsia="宋体" w:hint="default"/>
          <w:sz w:val="22"/>
          <w:szCs w:val="22"/>
        </w:rPr>
        <w:t>以公司截至</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日的总股本</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2,963,898,951</w:t>
      </w:r>
      <w:r>
        <w:rPr>
          <w:rFonts w:ascii="Times New Roman" w:hAnsi="Times New Roman" w:cs="Times New Roman" w:eastAsia="Times New Roman" w:hint="default"/>
          <w:spacing w:val="1"/>
          <w:sz w:val="22"/>
          <w:szCs w:val="22"/>
        </w:rPr>
        <w:t> </w:t>
      </w:r>
      <w:r>
        <w:rPr>
          <w:rFonts w:ascii="宋体" w:hAnsi="宋体" w:cs="宋体" w:eastAsia="宋体" w:hint="default"/>
          <w:spacing w:val="-7"/>
          <w:sz w:val="22"/>
          <w:szCs w:val="22"/>
        </w:rPr>
        <w:t>股为基准，向全体股东以每</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10</w:t>
      </w:r>
    </w:p>
    <w:p>
      <w:pPr>
        <w:spacing w:before="53"/>
        <w:ind w:left="242" w:right="142" w:firstLine="0"/>
        <w:jc w:val="left"/>
        <w:rPr>
          <w:rFonts w:ascii="Times New Roman" w:hAnsi="Times New Roman" w:cs="Times New Roman" w:eastAsia="Times New Roman" w:hint="default"/>
          <w:sz w:val="22"/>
          <w:szCs w:val="22"/>
        </w:rPr>
      </w:pPr>
      <w:r>
        <w:rPr>
          <w:rFonts w:ascii="宋体" w:hAnsi="宋体" w:cs="宋体" w:eastAsia="宋体" w:hint="default"/>
          <w:sz w:val="22"/>
          <w:szCs w:val="22"/>
        </w:rPr>
        <w:t>股派送现金红利</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1.3</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元</w:t>
      </w:r>
      <w:r>
        <w:rPr>
          <w:rFonts w:ascii="Times New Roman" w:hAnsi="Times New Roman" w:cs="Times New Roman" w:eastAsia="Times New Roman" w:hint="default"/>
          <w:sz w:val="22"/>
          <w:szCs w:val="22"/>
        </w:rPr>
        <w:t>(</w:t>
      </w:r>
      <w:r>
        <w:rPr>
          <w:rFonts w:ascii="宋体" w:hAnsi="宋体" w:cs="宋体" w:eastAsia="宋体" w:hint="default"/>
          <w:sz w:val="22"/>
          <w:szCs w:val="22"/>
        </w:rPr>
        <w:t>含税</w:t>
      </w:r>
      <w:r>
        <w:rPr>
          <w:rFonts w:ascii="Times New Roman" w:hAnsi="Times New Roman" w:cs="Times New Roman" w:eastAsia="Times New Roman" w:hint="default"/>
          <w:sz w:val="22"/>
          <w:szCs w:val="22"/>
        </w:rPr>
        <w:t>)</w:t>
      </w:r>
      <w:r>
        <w:rPr>
          <w:rFonts w:ascii="宋体" w:hAnsi="宋体" w:cs="宋体" w:eastAsia="宋体" w:hint="default"/>
          <w:sz w:val="22"/>
          <w:szCs w:val="22"/>
        </w:rPr>
        <w:t>，共</w:t>
      </w:r>
      <w:r>
        <w:rPr>
          <w:rFonts w:ascii="宋体" w:hAnsi="宋体" w:cs="宋体" w:eastAsia="宋体" w:hint="default"/>
          <w:spacing w:val="-59"/>
          <w:sz w:val="22"/>
          <w:szCs w:val="22"/>
        </w:rPr>
        <w:t> </w:t>
      </w:r>
      <w:r>
        <w:rPr>
          <w:rFonts w:ascii="Times New Roman" w:hAnsi="Times New Roman" w:cs="Times New Roman" w:eastAsia="Times New Roman" w:hint="default"/>
          <w:sz w:val="22"/>
          <w:szCs w:val="22"/>
        </w:rPr>
        <w:t>385,306,863.63</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元</w:t>
      </w:r>
      <w:r>
        <w:rPr>
          <w:rFonts w:ascii="Times New Roman" w:hAnsi="Times New Roman" w:cs="Times New Roman" w:eastAsia="Times New Roman" w:hint="default"/>
          <w:sz w:val="22"/>
          <w:szCs w:val="22"/>
        </w:rPr>
        <w:t>,</w:t>
      </w:r>
      <w:r>
        <w:rPr>
          <w:rFonts w:ascii="宋体" w:hAnsi="宋体" w:cs="宋体" w:eastAsia="宋体" w:hint="default"/>
          <w:sz w:val="22"/>
          <w:szCs w:val="22"/>
        </w:rPr>
        <w:t>尚余可供分配的利润</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4,025,361,802.02</w:t>
      </w:r>
    </w:p>
    <w:p>
      <w:pPr>
        <w:spacing w:before="53"/>
        <w:ind w:left="242" w:right="142" w:firstLine="0"/>
        <w:jc w:val="left"/>
        <w:rPr>
          <w:rFonts w:ascii="宋体" w:hAnsi="宋体" w:cs="宋体" w:eastAsia="宋体" w:hint="default"/>
          <w:sz w:val="22"/>
          <w:szCs w:val="22"/>
        </w:rPr>
      </w:pPr>
      <w:r>
        <w:rPr>
          <w:rFonts w:ascii="宋体" w:hAnsi="宋体" w:cs="宋体" w:eastAsia="宋体" w:hint="default"/>
          <w:sz w:val="22"/>
          <w:szCs w:val="22"/>
        </w:rPr>
        <w:t>元留待以后年度分配。资本公积不转增。</w:t>
      </w:r>
    </w:p>
    <w:p>
      <w:pPr>
        <w:spacing w:after="0"/>
        <w:jc w:val="left"/>
        <w:rPr>
          <w:rFonts w:ascii="宋体" w:hAnsi="宋体" w:cs="宋体" w:eastAsia="宋体" w:hint="default"/>
          <w:sz w:val="22"/>
          <w:szCs w:val="22"/>
        </w:rPr>
        <w:sectPr>
          <w:pgSz w:w="11910" w:h="16840"/>
          <w:pgMar w:header="645" w:footer="816" w:top="1080" w:bottom="1000" w:left="1460" w:right="1440"/>
        </w:sectPr>
      </w:pPr>
    </w:p>
    <w:p>
      <w:pPr>
        <w:spacing w:line="240" w:lineRule="auto" w:before="1"/>
        <w:rPr>
          <w:rFonts w:ascii="宋体" w:hAnsi="宋体" w:cs="宋体" w:eastAsia="宋体" w:hint="default"/>
          <w:sz w:val="22"/>
          <w:szCs w:val="22"/>
        </w:rPr>
      </w:pPr>
    </w:p>
    <w:p>
      <w:pPr>
        <w:spacing w:line="283" w:lineRule="auto" w:before="32"/>
        <w:ind w:left="1109" w:right="208" w:hanging="454"/>
        <w:jc w:val="left"/>
        <w:rPr>
          <w:rFonts w:ascii="宋体" w:hAnsi="宋体" w:cs="宋体" w:eastAsia="宋体" w:hint="default"/>
          <w:sz w:val="22"/>
          <w:szCs w:val="22"/>
        </w:rPr>
      </w:pPr>
      <w:r>
        <w:rPr>
          <w:rFonts w:ascii="Times New Roman" w:hAnsi="Times New Roman" w:cs="Times New Roman" w:eastAsia="Times New Roman" w:hint="default"/>
          <w:b/>
          <w:bCs/>
          <w:spacing w:val="9"/>
          <w:sz w:val="22"/>
          <w:szCs w:val="22"/>
        </w:rPr>
        <w:t>4.</w:t>
      </w:r>
      <w:r>
        <w:rPr>
          <w:rFonts w:ascii="Times New Roman" w:hAnsi="Times New Roman" w:cs="Times New Roman" w:eastAsia="Times New Roman" w:hint="default"/>
          <w:b/>
          <w:bCs/>
          <w:spacing w:val="45"/>
          <w:sz w:val="22"/>
          <w:szCs w:val="22"/>
        </w:rPr>
        <w:t> </w:t>
      </w:r>
      <w:r>
        <w:rPr>
          <w:rFonts w:ascii="宋体" w:hAnsi="宋体" w:cs="宋体" w:eastAsia="宋体" w:hint="default"/>
          <w:spacing w:val="27"/>
          <w:sz w:val="22"/>
          <w:szCs w:val="22"/>
        </w:rPr>
        <w:t>除存在上</w:t>
      </w:r>
      <w:r>
        <w:rPr>
          <w:rFonts w:ascii="宋体" w:hAnsi="宋体" w:cs="宋体" w:eastAsia="宋体" w:hint="default"/>
          <w:spacing w:val="-69"/>
          <w:sz w:val="22"/>
          <w:szCs w:val="22"/>
        </w:rPr>
        <w:t> </w:t>
      </w:r>
      <w:r>
        <w:rPr>
          <w:rFonts w:ascii="宋体" w:hAnsi="宋体" w:cs="宋体" w:eastAsia="宋体" w:hint="default"/>
          <w:sz w:val="22"/>
          <w:szCs w:val="22"/>
        </w:rPr>
        <w:t>述</w:t>
      </w:r>
      <w:r>
        <w:rPr>
          <w:rFonts w:ascii="宋体" w:hAnsi="宋体" w:cs="宋体" w:eastAsia="宋体" w:hint="default"/>
          <w:spacing w:val="-71"/>
          <w:sz w:val="22"/>
          <w:szCs w:val="22"/>
        </w:rPr>
        <w:t> </w:t>
      </w:r>
      <w:r>
        <w:rPr>
          <w:rFonts w:ascii="宋体" w:hAnsi="宋体" w:cs="宋体" w:eastAsia="宋体" w:hint="default"/>
          <w:sz w:val="22"/>
          <w:szCs w:val="22"/>
        </w:rPr>
        <w:t>资</w:t>
      </w:r>
      <w:r>
        <w:rPr>
          <w:rFonts w:ascii="宋体" w:hAnsi="宋体" w:cs="宋体" w:eastAsia="宋体" w:hint="default"/>
          <w:spacing w:val="-71"/>
          <w:sz w:val="22"/>
          <w:szCs w:val="22"/>
        </w:rPr>
        <w:t> </w:t>
      </w:r>
      <w:r>
        <w:rPr>
          <w:rFonts w:ascii="宋体" w:hAnsi="宋体" w:cs="宋体" w:eastAsia="宋体" w:hint="default"/>
          <w:sz w:val="22"/>
          <w:szCs w:val="22"/>
        </w:rPr>
        <w:t>产</w:t>
      </w:r>
      <w:r>
        <w:rPr>
          <w:rFonts w:ascii="宋体" w:hAnsi="宋体" w:cs="宋体" w:eastAsia="宋体" w:hint="default"/>
          <w:spacing w:val="-69"/>
          <w:sz w:val="22"/>
          <w:szCs w:val="22"/>
        </w:rPr>
        <w:t> </w:t>
      </w:r>
      <w:r>
        <w:rPr>
          <w:rFonts w:ascii="宋体" w:hAnsi="宋体" w:cs="宋体" w:eastAsia="宋体" w:hint="default"/>
          <w:sz w:val="22"/>
          <w:szCs w:val="22"/>
        </w:rPr>
        <w:t>负</w:t>
      </w:r>
      <w:r>
        <w:rPr>
          <w:rFonts w:ascii="宋体" w:hAnsi="宋体" w:cs="宋体" w:eastAsia="宋体" w:hint="default"/>
          <w:spacing w:val="-71"/>
          <w:sz w:val="22"/>
          <w:szCs w:val="22"/>
        </w:rPr>
        <w:t> </w:t>
      </w:r>
      <w:r>
        <w:rPr>
          <w:rFonts w:ascii="宋体" w:hAnsi="宋体" w:cs="宋体" w:eastAsia="宋体" w:hint="default"/>
          <w:sz w:val="22"/>
          <w:szCs w:val="22"/>
        </w:rPr>
        <w:t>债</w:t>
      </w:r>
      <w:r>
        <w:rPr>
          <w:rFonts w:ascii="宋体" w:hAnsi="宋体" w:cs="宋体" w:eastAsia="宋体" w:hint="default"/>
          <w:spacing w:val="-69"/>
          <w:sz w:val="22"/>
          <w:szCs w:val="22"/>
        </w:rPr>
        <w:t> </w:t>
      </w:r>
      <w:r>
        <w:rPr>
          <w:rFonts w:ascii="宋体" w:hAnsi="宋体" w:cs="宋体" w:eastAsia="宋体" w:hint="default"/>
          <w:sz w:val="22"/>
          <w:szCs w:val="22"/>
        </w:rPr>
        <w:t>表</w:t>
      </w:r>
      <w:r>
        <w:rPr>
          <w:rFonts w:ascii="宋体" w:hAnsi="宋体" w:cs="宋体" w:eastAsia="宋体" w:hint="default"/>
          <w:spacing w:val="-71"/>
          <w:sz w:val="22"/>
          <w:szCs w:val="22"/>
        </w:rPr>
        <w:t> </w:t>
      </w:r>
      <w:r>
        <w:rPr>
          <w:rFonts w:ascii="宋体" w:hAnsi="宋体" w:cs="宋体" w:eastAsia="宋体" w:hint="default"/>
          <w:sz w:val="22"/>
          <w:szCs w:val="22"/>
        </w:rPr>
        <w:t>日</w:t>
      </w:r>
      <w:r>
        <w:rPr>
          <w:rFonts w:ascii="宋体" w:hAnsi="宋体" w:cs="宋体" w:eastAsia="宋体" w:hint="default"/>
          <w:spacing w:val="-71"/>
          <w:sz w:val="22"/>
          <w:szCs w:val="22"/>
        </w:rPr>
        <w:t> </w:t>
      </w:r>
      <w:r>
        <w:rPr>
          <w:rFonts w:ascii="宋体" w:hAnsi="宋体" w:cs="宋体" w:eastAsia="宋体" w:hint="default"/>
          <w:sz w:val="22"/>
          <w:szCs w:val="22"/>
        </w:rPr>
        <w:t>后</w:t>
      </w:r>
      <w:r>
        <w:rPr>
          <w:rFonts w:ascii="宋体" w:hAnsi="宋体" w:cs="宋体" w:eastAsia="宋体" w:hint="default"/>
          <w:spacing w:val="-71"/>
          <w:sz w:val="22"/>
          <w:szCs w:val="22"/>
        </w:rPr>
        <w:t> </w:t>
      </w:r>
      <w:r>
        <w:rPr>
          <w:rFonts w:ascii="宋体" w:hAnsi="宋体" w:cs="宋体" w:eastAsia="宋体" w:hint="default"/>
          <w:sz w:val="22"/>
          <w:szCs w:val="22"/>
        </w:rPr>
        <w:t>披</w:t>
      </w:r>
      <w:r>
        <w:rPr>
          <w:rFonts w:ascii="宋体" w:hAnsi="宋体" w:cs="宋体" w:eastAsia="宋体" w:hint="default"/>
          <w:spacing w:val="-69"/>
          <w:sz w:val="22"/>
          <w:szCs w:val="22"/>
        </w:rPr>
        <w:t> </w:t>
      </w:r>
      <w:r>
        <w:rPr>
          <w:rFonts w:ascii="宋体" w:hAnsi="宋体" w:cs="宋体" w:eastAsia="宋体" w:hint="default"/>
          <w:sz w:val="22"/>
          <w:szCs w:val="22"/>
        </w:rPr>
        <w:t>露</w:t>
      </w:r>
      <w:r>
        <w:rPr>
          <w:rFonts w:ascii="宋体" w:hAnsi="宋体" w:cs="宋体" w:eastAsia="宋体" w:hint="default"/>
          <w:spacing w:val="-71"/>
          <w:sz w:val="22"/>
          <w:szCs w:val="22"/>
        </w:rPr>
        <w:t> </w:t>
      </w:r>
      <w:r>
        <w:rPr>
          <w:rFonts w:ascii="宋体" w:hAnsi="宋体" w:cs="宋体" w:eastAsia="宋体" w:hint="default"/>
          <w:sz w:val="22"/>
          <w:szCs w:val="22"/>
        </w:rPr>
        <w:t>事</w:t>
      </w:r>
      <w:r>
        <w:rPr>
          <w:rFonts w:ascii="宋体" w:hAnsi="宋体" w:cs="宋体" w:eastAsia="宋体" w:hint="default"/>
          <w:spacing w:val="-71"/>
          <w:sz w:val="22"/>
          <w:szCs w:val="22"/>
        </w:rPr>
        <w:t> </w:t>
      </w:r>
      <w:r>
        <w:rPr>
          <w:rFonts w:ascii="宋体" w:hAnsi="宋体" w:cs="宋体" w:eastAsia="宋体" w:hint="default"/>
          <w:sz w:val="22"/>
          <w:szCs w:val="22"/>
        </w:rPr>
        <w:t>项</w:t>
      </w:r>
      <w:r>
        <w:rPr>
          <w:rFonts w:ascii="宋体" w:hAnsi="宋体" w:cs="宋体" w:eastAsia="宋体" w:hint="default"/>
          <w:spacing w:val="-69"/>
          <w:sz w:val="22"/>
          <w:szCs w:val="22"/>
        </w:rPr>
        <w:t> </w:t>
      </w:r>
      <w:r>
        <w:rPr>
          <w:rFonts w:ascii="宋体" w:hAnsi="宋体" w:cs="宋体" w:eastAsia="宋体" w:hint="default"/>
          <w:sz w:val="22"/>
          <w:szCs w:val="22"/>
        </w:rPr>
        <w:t>外</w:t>
      </w:r>
      <w:r>
        <w:rPr>
          <w:rFonts w:ascii="宋体" w:hAnsi="宋体" w:cs="宋体" w:eastAsia="宋体" w:hint="default"/>
          <w:spacing w:val="-71"/>
          <w:sz w:val="22"/>
          <w:szCs w:val="22"/>
        </w:rPr>
        <w:t> </w:t>
      </w:r>
      <w:r>
        <w:rPr>
          <w:rFonts w:ascii="宋体" w:hAnsi="宋体" w:cs="宋体" w:eastAsia="宋体" w:hint="default"/>
          <w:spacing w:val="-27"/>
          <w:sz w:val="22"/>
          <w:szCs w:val="22"/>
        </w:rPr>
        <w:t>，本</w:t>
      </w:r>
      <w:r>
        <w:rPr>
          <w:rFonts w:ascii="宋体" w:hAnsi="宋体" w:cs="宋体" w:eastAsia="宋体" w:hint="default"/>
          <w:spacing w:val="-71"/>
          <w:sz w:val="22"/>
          <w:szCs w:val="22"/>
        </w:rPr>
        <w:t> </w:t>
      </w:r>
      <w:r>
        <w:rPr>
          <w:rFonts w:ascii="宋体" w:hAnsi="宋体" w:cs="宋体" w:eastAsia="宋体" w:hint="default"/>
          <w:sz w:val="22"/>
          <w:szCs w:val="22"/>
        </w:rPr>
        <w:t>公</w:t>
      </w:r>
      <w:r>
        <w:rPr>
          <w:rFonts w:ascii="宋体" w:hAnsi="宋体" w:cs="宋体" w:eastAsia="宋体" w:hint="default"/>
          <w:spacing w:val="-71"/>
          <w:sz w:val="22"/>
          <w:szCs w:val="22"/>
        </w:rPr>
        <w:t> </w:t>
      </w:r>
      <w:r>
        <w:rPr>
          <w:rFonts w:ascii="宋体" w:hAnsi="宋体" w:cs="宋体" w:eastAsia="宋体" w:hint="default"/>
          <w:sz w:val="22"/>
          <w:szCs w:val="22"/>
        </w:rPr>
        <w:t>司</w:t>
      </w:r>
      <w:r>
        <w:rPr>
          <w:rFonts w:ascii="宋体" w:hAnsi="宋体" w:cs="宋体" w:eastAsia="宋体" w:hint="default"/>
          <w:spacing w:val="-71"/>
          <w:sz w:val="22"/>
          <w:szCs w:val="22"/>
        </w:rPr>
        <w:t> </w:t>
      </w:r>
      <w:r>
        <w:rPr>
          <w:rFonts w:ascii="宋体" w:hAnsi="宋体" w:cs="宋体" w:eastAsia="宋体" w:hint="default"/>
          <w:sz w:val="22"/>
          <w:szCs w:val="22"/>
        </w:rPr>
        <w:t>无</w:t>
      </w:r>
      <w:r>
        <w:rPr>
          <w:rFonts w:ascii="宋体" w:hAnsi="宋体" w:cs="宋体" w:eastAsia="宋体" w:hint="default"/>
          <w:spacing w:val="-69"/>
          <w:sz w:val="22"/>
          <w:szCs w:val="22"/>
        </w:rPr>
        <w:t> </w:t>
      </w:r>
      <w:r>
        <w:rPr>
          <w:rFonts w:ascii="宋体" w:hAnsi="宋体" w:cs="宋体" w:eastAsia="宋体" w:hint="default"/>
          <w:sz w:val="22"/>
          <w:szCs w:val="22"/>
        </w:rPr>
        <w:t>其</w:t>
      </w:r>
      <w:r>
        <w:rPr>
          <w:rFonts w:ascii="宋体" w:hAnsi="宋体" w:cs="宋体" w:eastAsia="宋体" w:hint="default"/>
          <w:spacing w:val="-71"/>
          <w:sz w:val="22"/>
          <w:szCs w:val="22"/>
        </w:rPr>
        <w:t> </w:t>
      </w:r>
      <w:r>
        <w:rPr>
          <w:rFonts w:ascii="宋体" w:hAnsi="宋体" w:cs="宋体" w:eastAsia="宋体" w:hint="default"/>
          <w:sz w:val="22"/>
          <w:szCs w:val="22"/>
        </w:rPr>
        <w:t>他</w:t>
      </w:r>
      <w:r>
        <w:rPr>
          <w:rFonts w:ascii="宋体" w:hAnsi="宋体" w:cs="宋体" w:eastAsia="宋体" w:hint="default"/>
          <w:spacing w:val="-71"/>
          <w:sz w:val="22"/>
          <w:szCs w:val="22"/>
        </w:rPr>
        <w:t> </w:t>
      </w:r>
      <w:r>
        <w:rPr>
          <w:rFonts w:ascii="宋体" w:hAnsi="宋体" w:cs="宋体" w:eastAsia="宋体" w:hint="default"/>
          <w:sz w:val="22"/>
          <w:szCs w:val="22"/>
        </w:rPr>
        <w:t>重</w:t>
      </w:r>
      <w:r>
        <w:rPr>
          <w:rFonts w:ascii="宋体" w:hAnsi="宋体" w:cs="宋体" w:eastAsia="宋体" w:hint="default"/>
          <w:spacing w:val="-69"/>
          <w:sz w:val="22"/>
          <w:szCs w:val="22"/>
        </w:rPr>
        <w:t> </w:t>
      </w:r>
      <w:r>
        <w:rPr>
          <w:rFonts w:ascii="宋体" w:hAnsi="宋体" w:cs="宋体" w:eastAsia="宋体" w:hint="default"/>
          <w:sz w:val="22"/>
          <w:szCs w:val="22"/>
        </w:rPr>
        <w:t>大</w:t>
      </w:r>
      <w:r>
        <w:rPr>
          <w:rFonts w:ascii="宋体" w:hAnsi="宋体" w:cs="宋体" w:eastAsia="宋体" w:hint="default"/>
          <w:spacing w:val="-71"/>
          <w:sz w:val="22"/>
          <w:szCs w:val="22"/>
        </w:rPr>
        <w:t> </w:t>
      </w:r>
      <w:r>
        <w:rPr>
          <w:rFonts w:ascii="宋体" w:hAnsi="宋体" w:cs="宋体" w:eastAsia="宋体" w:hint="default"/>
          <w:sz w:val="22"/>
          <w:szCs w:val="22"/>
        </w:rPr>
        <w:t>资</w:t>
      </w:r>
      <w:r>
        <w:rPr>
          <w:rFonts w:ascii="宋体" w:hAnsi="宋体" w:cs="宋体" w:eastAsia="宋体" w:hint="default"/>
          <w:spacing w:val="-69"/>
          <w:sz w:val="22"/>
          <w:szCs w:val="22"/>
        </w:rPr>
        <w:t> </w:t>
      </w:r>
      <w:r>
        <w:rPr>
          <w:rFonts w:ascii="宋体" w:hAnsi="宋体" w:cs="宋体" w:eastAsia="宋体" w:hint="default"/>
          <w:sz w:val="22"/>
          <w:szCs w:val="22"/>
        </w:rPr>
        <w:t>产</w:t>
      </w:r>
      <w:r>
        <w:rPr>
          <w:rFonts w:ascii="宋体" w:hAnsi="宋体" w:cs="宋体" w:eastAsia="宋体" w:hint="default"/>
          <w:spacing w:val="-71"/>
          <w:sz w:val="22"/>
          <w:szCs w:val="22"/>
        </w:rPr>
        <w:t> </w:t>
      </w:r>
      <w:r>
        <w:rPr>
          <w:rFonts w:ascii="宋体" w:hAnsi="宋体" w:cs="宋体" w:eastAsia="宋体" w:hint="default"/>
          <w:sz w:val="22"/>
          <w:szCs w:val="22"/>
        </w:rPr>
        <w:t>负</w:t>
      </w:r>
      <w:r>
        <w:rPr>
          <w:rFonts w:ascii="宋体" w:hAnsi="宋体" w:cs="宋体" w:eastAsia="宋体" w:hint="default"/>
          <w:spacing w:val="-71"/>
          <w:sz w:val="22"/>
          <w:szCs w:val="22"/>
        </w:rPr>
        <w:t> </w:t>
      </w:r>
      <w:r>
        <w:rPr>
          <w:rFonts w:ascii="宋体" w:hAnsi="宋体" w:cs="宋体" w:eastAsia="宋体" w:hint="default"/>
          <w:sz w:val="22"/>
          <w:szCs w:val="22"/>
        </w:rPr>
        <w:t>债</w:t>
      </w:r>
      <w:r>
        <w:rPr>
          <w:rFonts w:ascii="宋体" w:hAnsi="宋体" w:cs="宋体" w:eastAsia="宋体" w:hint="default"/>
          <w:w w:val="100"/>
          <w:sz w:val="22"/>
          <w:szCs w:val="22"/>
        </w:rPr>
        <w:t> </w:t>
      </w:r>
      <w:r>
        <w:rPr>
          <w:rFonts w:ascii="宋体" w:hAnsi="宋体" w:cs="宋体" w:eastAsia="宋体" w:hint="default"/>
          <w:sz w:val="22"/>
          <w:szCs w:val="22"/>
        </w:rPr>
        <w:t>表</w:t>
      </w:r>
      <w:r>
        <w:rPr>
          <w:rFonts w:ascii="宋体" w:hAnsi="宋体" w:cs="宋体" w:eastAsia="宋体" w:hint="default"/>
          <w:spacing w:val="-72"/>
          <w:sz w:val="22"/>
          <w:szCs w:val="22"/>
        </w:rPr>
        <w:t> </w:t>
      </w:r>
      <w:r>
        <w:rPr>
          <w:rFonts w:ascii="宋体" w:hAnsi="宋体" w:cs="宋体" w:eastAsia="宋体" w:hint="default"/>
          <w:sz w:val="22"/>
          <w:szCs w:val="22"/>
        </w:rPr>
        <w:t>日</w:t>
      </w:r>
      <w:r>
        <w:rPr>
          <w:rFonts w:ascii="宋体" w:hAnsi="宋体" w:cs="宋体" w:eastAsia="宋体" w:hint="default"/>
          <w:spacing w:val="-72"/>
          <w:sz w:val="22"/>
          <w:szCs w:val="22"/>
        </w:rPr>
        <w:t> </w:t>
      </w:r>
      <w:r>
        <w:rPr>
          <w:rFonts w:ascii="宋体" w:hAnsi="宋体" w:cs="宋体" w:eastAsia="宋体" w:hint="default"/>
          <w:sz w:val="22"/>
          <w:szCs w:val="22"/>
        </w:rPr>
        <w:t>后</w:t>
      </w:r>
      <w:r>
        <w:rPr>
          <w:rFonts w:ascii="宋体" w:hAnsi="宋体" w:cs="宋体" w:eastAsia="宋体" w:hint="default"/>
          <w:spacing w:val="-72"/>
          <w:sz w:val="22"/>
          <w:szCs w:val="22"/>
        </w:rPr>
        <w:t> </w:t>
      </w:r>
      <w:r>
        <w:rPr>
          <w:rFonts w:ascii="宋体" w:hAnsi="宋体" w:cs="宋体" w:eastAsia="宋体" w:hint="default"/>
          <w:sz w:val="22"/>
          <w:szCs w:val="22"/>
        </w:rPr>
        <w:t>事</w:t>
      </w:r>
      <w:r>
        <w:rPr>
          <w:rFonts w:ascii="宋体" w:hAnsi="宋体" w:cs="宋体" w:eastAsia="宋体" w:hint="default"/>
          <w:spacing w:val="-69"/>
          <w:sz w:val="22"/>
          <w:szCs w:val="22"/>
        </w:rPr>
        <w:t> </w:t>
      </w:r>
      <w:r>
        <w:rPr>
          <w:rFonts w:ascii="宋体" w:hAnsi="宋体" w:cs="宋体" w:eastAsia="宋体" w:hint="default"/>
          <w:sz w:val="22"/>
          <w:szCs w:val="22"/>
        </w:rPr>
        <w:t>项</w:t>
      </w:r>
      <w:r>
        <w:rPr>
          <w:rFonts w:ascii="宋体" w:hAnsi="宋体" w:cs="宋体" w:eastAsia="宋体" w:hint="default"/>
          <w:spacing w:val="-71"/>
          <w:sz w:val="22"/>
          <w:szCs w:val="22"/>
        </w:rPr>
        <w:t> </w:t>
      </w:r>
      <w:r>
        <w:rPr>
          <w:rFonts w:ascii="宋体" w:hAnsi="宋体" w:cs="宋体" w:eastAsia="宋体" w:hint="default"/>
          <w:sz w:val="22"/>
          <w:szCs w:val="22"/>
        </w:rPr>
        <w:t>。</w:t>
      </w:r>
    </w:p>
    <w:p>
      <w:pPr>
        <w:tabs>
          <w:tab w:pos="1334" w:val="left" w:leader="none"/>
        </w:tabs>
        <w:spacing w:before="90"/>
        <w:ind w:left="665" w:right="94" w:firstLine="0"/>
        <w:jc w:val="left"/>
        <w:rPr>
          <w:rFonts w:ascii="宋体" w:hAnsi="宋体" w:cs="宋体" w:eastAsia="宋体" w:hint="default"/>
          <w:sz w:val="22"/>
          <w:szCs w:val="22"/>
        </w:rPr>
      </w:pPr>
      <w:r>
        <w:rPr>
          <w:rFonts w:ascii="Times New Roman" w:hAnsi="Times New Roman" w:cs="Times New Roman" w:eastAsia="Times New Roman" w:hint="default"/>
          <w:b/>
          <w:bCs/>
          <w:spacing w:val="12"/>
          <w:sz w:val="22"/>
          <w:szCs w:val="22"/>
        </w:rPr>
        <w:t>41.</w:t>
        <w:tab/>
      </w:r>
      <w:r>
        <w:rPr>
          <w:rFonts w:ascii="宋体" w:hAnsi="宋体" w:cs="宋体" w:eastAsia="宋体" w:hint="default"/>
          <w:b/>
          <w:bCs/>
          <w:sz w:val="22"/>
          <w:szCs w:val="22"/>
        </w:rPr>
        <w:t>其</w:t>
      </w:r>
      <w:r>
        <w:rPr>
          <w:rFonts w:ascii="宋体" w:hAnsi="宋体" w:cs="宋体" w:eastAsia="宋体" w:hint="default"/>
          <w:b/>
          <w:bCs/>
          <w:spacing w:val="-72"/>
          <w:sz w:val="22"/>
          <w:szCs w:val="22"/>
        </w:rPr>
        <w:t> </w:t>
      </w:r>
      <w:r>
        <w:rPr>
          <w:rFonts w:ascii="宋体" w:hAnsi="宋体" w:cs="宋体" w:eastAsia="宋体" w:hint="default"/>
          <w:b/>
          <w:bCs/>
          <w:sz w:val="22"/>
          <w:szCs w:val="22"/>
        </w:rPr>
        <w:t>他</w:t>
      </w:r>
      <w:r>
        <w:rPr>
          <w:rFonts w:ascii="宋体" w:hAnsi="宋体" w:cs="宋体" w:eastAsia="宋体" w:hint="default"/>
          <w:b/>
          <w:bCs/>
          <w:spacing w:val="-72"/>
          <w:sz w:val="22"/>
          <w:szCs w:val="22"/>
        </w:rPr>
        <w:t> </w:t>
      </w:r>
      <w:r>
        <w:rPr>
          <w:rFonts w:ascii="宋体" w:hAnsi="宋体" w:cs="宋体" w:eastAsia="宋体" w:hint="default"/>
          <w:b/>
          <w:bCs/>
          <w:sz w:val="22"/>
          <w:szCs w:val="22"/>
        </w:rPr>
        <w:t>重</w:t>
      </w:r>
      <w:r>
        <w:rPr>
          <w:rFonts w:ascii="宋体" w:hAnsi="宋体" w:cs="宋体" w:eastAsia="宋体" w:hint="default"/>
          <w:b/>
          <w:bCs/>
          <w:spacing w:val="-72"/>
          <w:sz w:val="22"/>
          <w:szCs w:val="22"/>
        </w:rPr>
        <w:t> </w:t>
      </w:r>
      <w:r>
        <w:rPr>
          <w:rFonts w:ascii="宋体" w:hAnsi="宋体" w:cs="宋体" w:eastAsia="宋体" w:hint="default"/>
          <w:b/>
          <w:bCs/>
          <w:sz w:val="22"/>
          <w:szCs w:val="22"/>
        </w:rPr>
        <w:t>要</w:t>
      </w:r>
      <w:r>
        <w:rPr>
          <w:rFonts w:ascii="宋体" w:hAnsi="宋体" w:cs="宋体" w:eastAsia="宋体" w:hint="default"/>
          <w:b/>
          <w:bCs/>
          <w:spacing w:val="-74"/>
          <w:sz w:val="22"/>
          <w:szCs w:val="22"/>
        </w:rPr>
        <w:t> </w:t>
      </w:r>
      <w:r>
        <w:rPr>
          <w:rFonts w:ascii="宋体" w:hAnsi="宋体" w:cs="宋体" w:eastAsia="宋体" w:hint="default"/>
          <w:b/>
          <w:bCs/>
          <w:sz w:val="22"/>
          <w:szCs w:val="22"/>
        </w:rPr>
        <w:t>事</w:t>
      </w:r>
      <w:r>
        <w:rPr>
          <w:rFonts w:ascii="宋体" w:hAnsi="宋体" w:cs="宋体" w:eastAsia="宋体" w:hint="default"/>
          <w:b/>
          <w:bCs/>
          <w:spacing w:val="-72"/>
          <w:sz w:val="22"/>
          <w:szCs w:val="22"/>
        </w:rPr>
        <w:t> </w:t>
      </w:r>
      <w:r>
        <w:rPr>
          <w:rFonts w:ascii="宋体" w:hAnsi="宋体" w:cs="宋体" w:eastAsia="宋体" w:hint="default"/>
          <w:b/>
          <w:bCs/>
          <w:sz w:val="22"/>
          <w:szCs w:val="22"/>
        </w:rPr>
        <w:t>项</w:t>
      </w:r>
      <w:r>
        <w:rPr>
          <w:rFonts w:ascii="宋体" w:hAnsi="宋体" w:cs="宋体" w:eastAsia="宋体" w:hint="default"/>
          <w:sz w:val="22"/>
          <w:szCs w:val="22"/>
        </w:rPr>
      </w:r>
    </w:p>
    <w:p>
      <w:pPr>
        <w:spacing w:before="170"/>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24"/>
          <w:sz w:val="22"/>
          <w:szCs w:val="22"/>
        </w:rPr>
        <w:t> </w:t>
      </w:r>
      <w:r>
        <w:rPr>
          <w:rFonts w:ascii="宋体" w:hAnsi="宋体" w:cs="宋体" w:eastAsia="宋体" w:hint="default"/>
          <w:spacing w:val="27"/>
          <w:sz w:val="22"/>
          <w:szCs w:val="22"/>
        </w:rPr>
        <w:t>分部信息</w:t>
      </w:r>
      <w:r>
        <w:rPr>
          <w:rFonts w:ascii="宋体" w:hAnsi="宋体" w:cs="宋体" w:eastAsia="宋体" w:hint="default"/>
          <w:spacing w:val="-72"/>
          <w:sz w:val="22"/>
          <w:szCs w:val="22"/>
        </w:rPr>
        <w:t> </w:t>
      </w:r>
      <w:r>
        <w:rPr>
          <w:rFonts w:ascii="宋体" w:hAnsi="宋体" w:cs="宋体" w:eastAsia="宋体" w:hint="default"/>
          <w:sz w:val="22"/>
          <w:szCs w:val="22"/>
        </w:rPr>
      </w:r>
    </w:p>
    <w:p>
      <w:pPr>
        <w:spacing w:line="328" w:lineRule="auto" w:before="41"/>
        <w:ind w:left="641" w:right="94"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r>
      <w:r>
        <w:rPr>
          <w:rFonts w:ascii="Times New Roman" w:hAnsi="Times New Roman" w:cs="Times New Roman" w:eastAsia="Times New Roman" w:hint="default"/>
          <w:b/>
          <w:bCs/>
          <w:spacing w:val="30"/>
          <w:sz w:val="22"/>
          <w:szCs w:val="22"/>
        </w:rPr>
        <w:t> </w:t>
      </w:r>
      <w:r>
        <w:rPr>
          <w:rFonts w:ascii="宋体" w:hAnsi="宋体" w:cs="宋体" w:eastAsia="宋体" w:hint="default"/>
          <w:sz w:val="22"/>
          <w:szCs w:val="22"/>
        </w:rPr>
        <w:t>报告分部的确定依据与会计政策</w:t>
      </w:r>
      <w:r>
        <w:rPr>
          <w:rFonts w:ascii="宋体" w:hAnsi="宋体" w:cs="宋体" w:eastAsia="宋体" w:hint="default"/>
          <w:w w:val="100"/>
          <w:sz w:val="22"/>
          <w:szCs w:val="22"/>
        </w:rPr>
        <w:t> </w:t>
      </w:r>
      <w:r>
        <w:rPr>
          <w:rFonts w:ascii="宋体" w:hAnsi="宋体" w:cs="宋体" w:eastAsia="宋体" w:hint="default"/>
          <w:spacing w:val="-3"/>
          <w:sz w:val="22"/>
          <w:szCs w:val="22"/>
        </w:rPr>
        <w:t>本公司以内部组织结构、管理要求、内部报告制度为依据确定经营分部。经营分部是</w:t>
      </w:r>
    </w:p>
    <w:p>
      <w:pPr>
        <w:spacing w:line="274" w:lineRule="exact" w:before="0"/>
        <w:ind w:left="184" w:right="4744" w:firstLine="0"/>
        <w:jc w:val="center"/>
        <w:rPr>
          <w:rFonts w:ascii="宋体" w:hAnsi="宋体" w:cs="宋体" w:eastAsia="宋体" w:hint="default"/>
          <w:sz w:val="22"/>
          <w:szCs w:val="22"/>
        </w:rPr>
      </w:pPr>
      <w:r>
        <w:rPr>
          <w:rFonts w:ascii="宋体" w:hAnsi="宋体" w:cs="宋体" w:eastAsia="宋体" w:hint="default"/>
          <w:sz w:val="22"/>
          <w:szCs w:val="22"/>
        </w:rPr>
        <w:t>公司内部同时满足下列条件的组成部分：</w:t>
      </w:r>
    </w:p>
    <w:p>
      <w:pPr>
        <w:tabs>
          <w:tab w:pos="1053" w:val="left" w:leader="none"/>
        </w:tabs>
        <w:spacing w:before="129"/>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tab/>
      </w:r>
      <w:r>
        <w:rPr>
          <w:rFonts w:ascii="宋体" w:hAnsi="宋体" w:cs="宋体" w:eastAsia="宋体" w:hint="default"/>
          <w:sz w:val="22"/>
          <w:szCs w:val="22"/>
        </w:rPr>
        <w:t>该组成部分能够在日常活动中产生收入、发生费用；</w:t>
      </w:r>
    </w:p>
    <w:p>
      <w:pPr>
        <w:spacing w:line="280" w:lineRule="auto" w:before="110"/>
        <w:ind w:left="1109" w:right="94" w:firstLine="460"/>
        <w:jc w:val="left"/>
        <w:rPr>
          <w:rFonts w:ascii="宋体" w:hAnsi="宋体" w:cs="宋体" w:eastAsia="宋体" w:hint="default"/>
          <w:sz w:val="22"/>
          <w:szCs w:val="22"/>
        </w:rPr>
      </w:pPr>
      <w:r>
        <w:rPr>
          <w:rFonts w:ascii="Times New Roman" w:hAnsi="Times New Roman" w:cs="Times New Roman" w:eastAsia="Times New Roman" w:hint="default"/>
          <w:b/>
          <w:bCs/>
          <w:w w:val="100"/>
          <w:sz w:val="22"/>
          <w:szCs w:val="22"/>
        </w:rPr>
        <w:t>2)</w:t>
      </w:r>
      <w:r>
        <w:rPr>
          <w:rFonts w:ascii="Times New Roman" w:hAnsi="Times New Roman" w:cs="Times New Roman" w:eastAsia="Times New Roman" w:hint="default"/>
          <w:b/>
          <w:bCs/>
          <w:spacing w:val="42"/>
          <w:w w:val="100"/>
          <w:sz w:val="22"/>
          <w:szCs w:val="22"/>
        </w:rPr>
        <w:t> </w:t>
      </w:r>
      <w:r>
        <w:rPr>
          <w:rFonts w:ascii="宋体" w:hAnsi="宋体" w:cs="宋体" w:eastAsia="宋体" w:hint="default"/>
          <w:spacing w:val="-5"/>
          <w:w w:val="100"/>
          <w:sz w:val="22"/>
          <w:szCs w:val="22"/>
        </w:rPr>
        <w:t>公司管理层能够定期评价该组成部分的经营成果，以决定向其配置资源、</w:t>
      </w:r>
      <w:r>
        <w:rPr>
          <w:rFonts w:ascii="宋体" w:hAnsi="宋体" w:cs="宋体" w:eastAsia="宋体" w:hint="default"/>
          <w:w w:val="100"/>
          <w:sz w:val="22"/>
          <w:szCs w:val="22"/>
        </w:rPr>
        <w:t> </w:t>
      </w:r>
      <w:r>
        <w:rPr>
          <w:rFonts w:ascii="宋体" w:hAnsi="宋体" w:cs="宋体" w:eastAsia="宋体" w:hint="default"/>
          <w:sz w:val="22"/>
          <w:szCs w:val="22"/>
        </w:rPr>
        <w:t>评价其业绩；</w:t>
      </w:r>
    </w:p>
    <w:p>
      <w:pPr>
        <w:spacing w:line="280" w:lineRule="auto" w:before="93"/>
        <w:ind w:left="1109" w:right="94" w:firstLine="46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w:t>
      </w:r>
      <w:r>
        <w:rPr>
          <w:rFonts w:ascii="Times New Roman" w:hAnsi="Times New Roman" w:cs="Times New Roman" w:eastAsia="Times New Roman" w:hint="default"/>
          <w:b/>
          <w:bCs/>
          <w:spacing w:val="13"/>
          <w:sz w:val="22"/>
          <w:szCs w:val="22"/>
        </w:rPr>
        <w:t> </w:t>
      </w:r>
      <w:r>
        <w:rPr>
          <w:rFonts w:ascii="宋体" w:hAnsi="宋体" w:cs="宋体" w:eastAsia="宋体" w:hint="default"/>
          <w:sz w:val="22"/>
          <w:szCs w:val="22"/>
        </w:rPr>
        <w:t>公司能够取得该组成部分的财务状况、经营成果和现金流量等有关会计</w:t>
      </w:r>
      <w:r>
        <w:rPr>
          <w:rFonts w:ascii="宋体" w:hAnsi="宋体" w:cs="宋体" w:eastAsia="宋体" w:hint="default"/>
          <w:w w:val="100"/>
          <w:sz w:val="22"/>
          <w:szCs w:val="22"/>
        </w:rPr>
        <w:t> </w:t>
      </w:r>
      <w:r>
        <w:rPr>
          <w:rFonts w:ascii="宋体" w:hAnsi="宋体" w:cs="宋体" w:eastAsia="宋体" w:hint="default"/>
          <w:sz w:val="22"/>
          <w:szCs w:val="22"/>
        </w:rPr>
        <w:t>信息。</w:t>
      </w:r>
    </w:p>
    <w:p>
      <w:pPr>
        <w:spacing w:line="295" w:lineRule="auto" w:before="92"/>
        <w:ind w:left="202" w:right="94" w:firstLine="439"/>
        <w:jc w:val="left"/>
        <w:rPr>
          <w:rFonts w:ascii="宋体" w:hAnsi="宋体" w:cs="宋体" w:eastAsia="宋体" w:hint="default"/>
          <w:sz w:val="22"/>
          <w:szCs w:val="22"/>
        </w:rPr>
      </w:pPr>
      <w:r>
        <w:rPr>
          <w:rFonts w:ascii="宋体" w:hAnsi="宋体" w:cs="宋体" w:eastAsia="宋体" w:hint="default"/>
          <w:sz w:val="22"/>
          <w:szCs w:val="22"/>
        </w:rPr>
        <w:t>如果两个或多个经营分部存在相似经济特征且同时在以下方面具有相同或相似性的，</w:t>
      </w:r>
      <w:r>
        <w:rPr>
          <w:rFonts w:ascii="宋体" w:hAnsi="宋体" w:cs="宋体" w:eastAsia="宋体" w:hint="default"/>
          <w:w w:val="100"/>
          <w:sz w:val="22"/>
          <w:szCs w:val="22"/>
        </w:rPr>
        <w:t> </w:t>
      </w:r>
      <w:r>
        <w:rPr>
          <w:rFonts w:ascii="宋体" w:hAnsi="宋体" w:cs="宋体" w:eastAsia="宋体" w:hint="default"/>
          <w:sz w:val="22"/>
          <w:szCs w:val="22"/>
        </w:rPr>
        <w:t>可以合并为一个经营分部：</w:t>
      </w:r>
    </w:p>
    <w:p>
      <w:pPr>
        <w:tabs>
          <w:tab w:pos="1053" w:val="left" w:leader="none"/>
        </w:tabs>
        <w:spacing w:before="79"/>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tab/>
      </w:r>
      <w:r>
        <w:rPr>
          <w:rFonts w:ascii="宋体" w:hAnsi="宋体" w:cs="宋体" w:eastAsia="宋体" w:hint="default"/>
          <w:sz w:val="22"/>
          <w:szCs w:val="22"/>
        </w:rPr>
        <w:t>各单项产品或劳务的性质；</w:t>
      </w:r>
    </w:p>
    <w:p>
      <w:pPr>
        <w:tabs>
          <w:tab w:pos="1053" w:val="left" w:leader="none"/>
        </w:tabs>
        <w:spacing w:before="113"/>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tab/>
      </w:r>
      <w:r>
        <w:rPr>
          <w:rFonts w:ascii="宋体" w:hAnsi="宋体" w:cs="宋体" w:eastAsia="宋体" w:hint="default"/>
          <w:sz w:val="22"/>
          <w:szCs w:val="22"/>
        </w:rPr>
        <w:t>生产过程的性质；</w:t>
      </w:r>
    </w:p>
    <w:p>
      <w:pPr>
        <w:tabs>
          <w:tab w:pos="1053" w:val="left" w:leader="none"/>
        </w:tabs>
        <w:spacing w:before="110"/>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w:t>
        <w:tab/>
      </w:r>
      <w:r>
        <w:rPr>
          <w:rFonts w:ascii="宋体" w:hAnsi="宋体" w:cs="宋体" w:eastAsia="宋体" w:hint="default"/>
          <w:sz w:val="22"/>
          <w:szCs w:val="22"/>
        </w:rPr>
        <w:t>产品或劳务的客户类型；</w:t>
      </w:r>
    </w:p>
    <w:p>
      <w:pPr>
        <w:tabs>
          <w:tab w:pos="1053" w:val="left" w:leader="none"/>
        </w:tabs>
        <w:spacing w:before="113"/>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w:t>
        <w:tab/>
      </w:r>
      <w:r>
        <w:rPr>
          <w:rFonts w:ascii="宋体" w:hAnsi="宋体" w:cs="宋体" w:eastAsia="宋体" w:hint="default"/>
          <w:sz w:val="22"/>
          <w:szCs w:val="22"/>
        </w:rPr>
        <w:t>销售产品或提供劳务的方式；</w:t>
      </w:r>
    </w:p>
    <w:p>
      <w:pPr>
        <w:tabs>
          <w:tab w:pos="1053" w:val="left" w:leader="none"/>
        </w:tabs>
        <w:spacing w:line="328" w:lineRule="auto" w:before="110"/>
        <w:ind w:left="641" w:right="217" w:firstLine="14"/>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w:t>
        <w:tab/>
      </w:r>
      <w:r>
        <w:rPr>
          <w:rFonts w:ascii="宋体" w:hAnsi="宋体" w:cs="宋体" w:eastAsia="宋体" w:hint="default"/>
          <w:sz w:val="22"/>
          <w:szCs w:val="22"/>
        </w:rPr>
        <w:t>生产产品及提供劳务受法律、行政法规的影响。</w:t>
      </w:r>
      <w:r>
        <w:rPr>
          <w:rFonts w:ascii="宋体" w:hAnsi="宋体" w:cs="宋体" w:eastAsia="宋体" w:hint="default"/>
          <w:w w:val="100"/>
          <w:sz w:val="22"/>
          <w:szCs w:val="22"/>
        </w:rPr>
        <w:t> </w:t>
      </w:r>
      <w:r>
        <w:rPr>
          <w:rFonts w:ascii="宋体" w:hAnsi="宋体" w:cs="宋体" w:eastAsia="宋体" w:hint="default"/>
          <w:spacing w:val="-3"/>
          <w:sz w:val="22"/>
          <w:szCs w:val="22"/>
        </w:rPr>
        <w:t>本公司以经营分部基础，考虑重要性原则，兼顾不同会计期间分部信息的可比性和一</w:t>
      </w:r>
    </w:p>
    <w:p>
      <w:pPr>
        <w:spacing w:line="295" w:lineRule="auto" w:before="0"/>
        <w:ind w:left="202" w:right="94" w:firstLine="0"/>
        <w:jc w:val="left"/>
        <w:rPr>
          <w:rFonts w:ascii="宋体" w:hAnsi="宋体" w:cs="宋体" w:eastAsia="宋体" w:hint="default"/>
          <w:sz w:val="22"/>
          <w:szCs w:val="22"/>
        </w:rPr>
      </w:pPr>
      <w:r>
        <w:rPr>
          <w:rFonts w:ascii="宋体" w:hAnsi="宋体" w:cs="宋体" w:eastAsia="宋体" w:hint="default"/>
          <w:spacing w:val="-9"/>
          <w:sz w:val="22"/>
          <w:szCs w:val="22"/>
        </w:rPr>
        <w:t>致性，将报告分部最终确定为“公共安全”、“互联网服务与终端”、“智慧城市”、“节</w:t>
      </w:r>
      <w:r>
        <w:rPr>
          <w:rFonts w:ascii="宋体" w:hAnsi="宋体" w:cs="宋体" w:eastAsia="宋体" w:hint="default"/>
          <w:spacing w:val="-53"/>
          <w:sz w:val="22"/>
          <w:szCs w:val="22"/>
        </w:rPr>
        <w:t> </w:t>
      </w:r>
      <w:r>
        <w:rPr>
          <w:rFonts w:ascii="宋体" w:hAnsi="宋体" w:cs="宋体" w:eastAsia="宋体" w:hint="default"/>
          <w:spacing w:val="-53"/>
          <w:sz w:val="22"/>
          <w:szCs w:val="22"/>
        </w:rPr>
      </w:r>
      <w:r>
        <w:rPr>
          <w:rFonts w:ascii="宋体" w:hAnsi="宋体" w:cs="宋体" w:eastAsia="宋体" w:hint="default"/>
          <w:sz w:val="22"/>
          <w:szCs w:val="22"/>
        </w:rPr>
        <w:t>能环保”、“科技园区”、“总部与投资”。</w:t>
      </w:r>
    </w:p>
    <w:p>
      <w:pPr>
        <w:spacing w:before="79"/>
        <w:ind w:left="602" w:right="94" w:firstLine="0"/>
        <w:jc w:val="left"/>
        <w:rPr>
          <w:rFonts w:ascii="宋体" w:hAnsi="宋体" w:cs="宋体" w:eastAsia="宋体" w:hint="default"/>
          <w:sz w:val="22"/>
          <w:szCs w:val="22"/>
        </w:rPr>
      </w:pPr>
      <w:r>
        <w:rPr>
          <w:rFonts w:ascii="宋体" w:hAnsi="宋体" w:cs="宋体" w:eastAsia="宋体" w:hint="default"/>
          <w:spacing w:val="-21"/>
          <w:sz w:val="22"/>
          <w:szCs w:val="22"/>
        </w:rPr>
        <w:t>本公司提供分部信息所采用的会计政策，与编制合并财务报表时所采用的会计政策一致。</w:t>
      </w:r>
    </w:p>
    <w:p>
      <w:pPr>
        <w:spacing w:before="127"/>
        <w:ind w:left="655" w:right="94"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28"/>
          <w:sz w:val="22"/>
          <w:szCs w:val="22"/>
        </w:rPr>
        <w:t> </w:t>
      </w:r>
      <w:r>
        <w:rPr>
          <w:rFonts w:ascii="宋体" w:hAnsi="宋体" w:cs="宋体" w:eastAsia="宋体" w:hint="default"/>
          <w:sz w:val="22"/>
          <w:szCs w:val="22"/>
        </w:rPr>
        <w:t>本年度报告分部的财务信息</w:t>
      </w:r>
    </w:p>
    <w:p>
      <w:pPr>
        <w:spacing w:line="240" w:lineRule="auto" w:before="1"/>
        <w:rPr>
          <w:rFonts w:ascii="宋体" w:hAnsi="宋体" w:cs="宋体" w:eastAsia="宋体" w:hint="default"/>
          <w:sz w:val="6"/>
          <w:szCs w:val="6"/>
        </w:rPr>
      </w:pPr>
    </w:p>
    <w:tbl>
      <w:tblPr>
        <w:tblW w:w="0" w:type="auto"/>
        <w:jc w:val="left"/>
        <w:tblInd w:w="158" w:type="dxa"/>
        <w:tblLayout w:type="fixed"/>
        <w:tblCellMar>
          <w:top w:w="0" w:type="dxa"/>
          <w:left w:w="0" w:type="dxa"/>
          <w:bottom w:w="0" w:type="dxa"/>
          <w:right w:w="0" w:type="dxa"/>
        </w:tblCellMar>
        <w:tblLook w:val="01E0"/>
      </w:tblPr>
      <w:tblGrid>
        <w:gridCol w:w="1524"/>
        <w:gridCol w:w="1491"/>
        <w:gridCol w:w="1437"/>
        <w:gridCol w:w="1405"/>
        <w:gridCol w:w="1405"/>
        <w:gridCol w:w="1317"/>
      </w:tblGrid>
      <w:tr>
        <w:trPr>
          <w:trHeight w:val="276" w:hRule="exact"/>
        </w:trPr>
        <w:tc>
          <w:tcPr>
            <w:tcW w:w="1524" w:type="dxa"/>
            <w:vMerge w:val="restart"/>
            <w:tcBorders>
              <w:top w:val="single" w:sz="12" w:space="0" w:color="000000"/>
              <w:left w:val="nil" w:sz="6" w:space="0" w:color="auto"/>
              <w:right w:val="nil" w:sz="6" w:space="0" w:color="auto"/>
            </w:tcBorders>
          </w:tcPr>
          <w:p>
            <w:pPr>
              <w:pStyle w:val="TableParagraph"/>
              <w:spacing w:line="240" w:lineRule="auto" w:before="123"/>
              <w:ind w:left="407" w:right="0"/>
              <w:jc w:val="left"/>
              <w:rPr>
                <w:rFonts w:ascii="宋体" w:hAnsi="宋体" w:cs="宋体" w:eastAsia="宋体" w:hint="default"/>
                <w:sz w:val="18"/>
                <w:szCs w:val="18"/>
              </w:rPr>
            </w:pPr>
            <w:r>
              <w:rPr>
                <w:rFonts w:ascii="宋体" w:hAnsi="宋体" w:cs="宋体" w:eastAsia="宋体" w:hint="default"/>
                <w:b/>
                <w:bCs/>
                <w:sz w:val="18"/>
                <w:szCs w:val="18"/>
              </w:rPr>
              <w:t>报告分部</w:t>
            </w:r>
            <w:r>
              <w:rPr>
                <w:rFonts w:ascii="宋体" w:hAnsi="宋体" w:cs="宋体" w:eastAsia="宋体" w:hint="default"/>
                <w:sz w:val="18"/>
                <w:szCs w:val="18"/>
              </w:rPr>
            </w:r>
          </w:p>
        </w:tc>
        <w:tc>
          <w:tcPr>
            <w:tcW w:w="2927" w:type="dxa"/>
            <w:gridSpan w:val="2"/>
            <w:tcBorders>
              <w:top w:val="single" w:sz="12" w:space="0" w:color="000000"/>
              <w:left w:val="nil" w:sz="6" w:space="0" w:color="auto"/>
              <w:bottom w:val="single" w:sz="4" w:space="0" w:color="000000"/>
              <w:right w:val="nil" w:sz="6" w:space="0" w:color="auto"/>
            </w:tcBorders>
          </w:tcPr>
          <w:p>
            <w:pPr>
              <w:pStyle w:val="TableParagraph"/>
              <w:spacing w:line="241" w:lineRule="exact"/>
              <w:ind w:left="718"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2015</w:t>
            </w:r>
            <w:r>
              <w:rPr>
                <w:rFonts w:ascii="Times New Roman" w:hAnsi="Times New Roman" w:cs="Times New Roman" w:eastAsia="Times New Roman" w:hint="default"/>
                <w:b/>
                <w:bCs/>
                <w:spacing w:val="-1"/>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Times New Roman" w:hAnsi="Times New Roman" w:cs="Times New Roman" w:eastAsia="Times New Roman" w:hint="default"/>
                <w:b/>
                <w:bCs/>
                <w:sz w:val="18"/>
                <w:szCs w:val="18"/>
              </w:rPr>
              <w:t>12</w:t>
            </w:r>
            <w:r>
              <w:rPr>
                <w:rFonts w:ascii="Times New Roman" w:hAnsi="Times New Roman" w:cs="Times New Roman" w:eastAsia="Times New Roman" w:hint="default"/>
                <w:b/>
                <w:bCs/>
                <w:spacing w:val="-1"/>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Times New Roman" w:hAnsi="Times New Roman" w:cs="Times New Roman" w:eastAsia="Times New Roman" w:hint="default"/>
                <w:b/>
                <w:bCs/>
                <w:sz w:val="18"/>
                <w:szCs w:val="18"/>
              </w:rPr>
              <w:t>31</w:t>
            </w:r>
            <w:r>
              <w:rPr>
                <w:rFonts w:ascii="Times New Roman" w:hAnsi="Times New Roman" w:cs="Times New Roman" w:eastAsia="Times New Roman" w:hint="default"/>
                <w:b/>
                <w:bCs/>
                <w:spacing w:val="-1"/>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1405" w:type="dxa"/>
            <w:tcBorders>
              <w:top w:val="single" w:sz="12" w:space="0" w:color="000000"/>
              <w:left w:val="nil" w:sz="6" w:space="0" w:color="auto"/>
              <w:bottom w:val="single" w:sz="4" w:space="0" w:color="000000"/>
              <w:right w:val="nil" w:sz="6" w:space="0" w:color="auto"/>
            </w:tcBorders>
          </w:tcPr>
          <w:p>
            <w:pPr/>
          </w:p>
        </w:tc>
        <w:tc>
          <w:tcPr>
            <w:tcW w:w="1405" w:type="dxa"/>
            <w:tcBorders>
              <w:top w:val="single" w:sz="12" w:space="0" w:color="000000"/>
              <w:left w:val="nil" w:sz="6" w:space="0" w:color="auto"/>
              <w:bottom w:val="single" w:sz="4" w:space="0" w:color="000000"/>
              <w:right w:val="nil" w:sz="6" w:space="0" w:color="auto"/>
            </w:tcBorders>
          </w:tcPr>
          <w:p>
            <w:pPr>
              <w:pStyle w:val="TableParagraph"/>
              <w:spacing w:line="241" w:lineRule="exact"/>
              <w:ind w:left="276"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2015</w:t>
            </w:r>
            <w:r>
              <w:rPr>
                <w:rFonts w:ascii="Times New Roman" w:hAnsi="Times New Roman" w:cs="Times New Roman" w:eastAsia="Times New Roman" w:hint="default"/>
                <w:b/>
                <w:bCs/>
                <w:spacing w:val="-3"/>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tc>
        <w:tc>
          <w:tcPr>
            <w:tcW w:w="1317" w:type="dxa"/>
            <w:tcBorders>
              <w:top w:val="single" w:sz="12" w:space="0" w:color="000000"/>
              <w:left w:val="nil" w:sz="6" w:space="0" w:color="auto"/>
              <w:bottom w:val="single" w:sz="4" w:space="0" w:color="000000"/>
              <w:right w:val="nil" w:sz="6" w:space="0" w:color="auto"/>
            </w:tcBorders>
          </w:tcPr>
          <w:p>
            <w:pPr/>
          </w:p>
        </w:tc>
      </w:tr>
      <w:tr>
        <w:trPr>
          <w:trHeight w:val="283" w:hRule="exact"/>
        </w:trPr>
        <w:tc>
          <w:tcPr>
            <w:tcW w:w="1524" w:type="dxa"/>
            <w:vMerge/>
            <w:tcBorders>
              <w:left w:val="nil" w:sz="6" w:space="0" w:color="auto"/>
              <w:bottom w:val="single" w:sz="4" w:space="0" w:color="000000"/>
              <w:right w:val="nil" w:sz="6" w:space="0" w:color="auto"/>
            </w:tcBorders>
          </w:tcPr>
          <w:p>
            <w:pPr/>
          </w:p>
        </w:tc>
        <w:tc>
          <w:tcPr>
            <w:tcW w:w="1491"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367" w:right="0"/>
              <w:jc w:val="left"/>
              <w:rPr>
                <w:rFonts w:ascii="宋体" w:hAnsi="宋体" w:cs="宋体" w:eastAsia="宋体" w:hint="default"/>
                <w:sz w:val="18"/>
                <w:szCs w:val="18"/>
              </w:rPr>
            </w:pPr>
            <w:r>
              <w:rPr>
                <w:rFonts w:ascii="宋体" w:hAnsi="宋体" w:cs="宋体" w:eastAsia="宋体" w:hint="default"/>
                <w:b/>
                <w:bCs/>
                <w:sz w:val="18"/>
                <w:szCs w:val="18"/>
              </w:rPr>
              <w:t>资产总额</w:t>
            </w:r>
            <w:r>
              <w:rPr>
                <w:rFonts w:ascii="宋体" w:hAnsi="宋体" w:cs="宋体" w:eastAsia="宋体" w:hint="default"/>
                <w:sz w:val="18"/>
                <w:szCs w:val="18"/>
              </w:rPr>
            </w:r>
          </w:p>
        </w:tc>
        <w:tc>
          <w:tcPr>
            <w:tcW w:w="1437"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343" w:right="0"/>
              <w:jc w:val="left"/>
              <w:rPr>
                <w:rFonts w:ascii="宋体" w:hAnsi="宋体" w:cs="宋体" w:eastAsia="宋体" w:hint="default"/>
                <w:sz w:val="18"/>
                <w:szCs w:val="18"/>
              </w:rPr>
            </w:pPr>
            <w:r>
              <w:rPr>
                <w:rFonts w:ascii="宋体" w:hAnsi="宋体" w:cs="宋体" w:eastAsia="宋体" w:hint="default"/>
                <w:b/>
                <w:bCs/>
                <w:sz w:val="18"/>
                <w:szCs w:val="18"/>
              </w:rPr>
              <w:t>负债总额</w:t>
            </w:r>
            <w:r>
              <w:rPr>
                <w:rFonts w:ascii="宋体" w:hAnsi="宋体" w:cs="宋体" w:eastAsia="宋体" w:hint="default"/>
                <w:sz w:val="18"/>
                <w:szCs w:val="18"/>
              </w:rPr>
            </w:r>
          </w:p>
        </w:tc>
        <w:tc>
          <w:tcPr>
            <w:tcW w:w="1405"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159" w:right="0"/>
              <w:jc w:val="left"/>
              <w:rPr>
                <w:rFonts w:ascii="宋体" w:hAnsi="宋体" w:cs="宋体" w:eastAsia="宋体" w:hint="default"/>
                <w:sz w:val="18"/>
                <w:szCs w:val="18"/>
              </w:rPr>
            </w:pPr>
            <w:r>
              <w:rPr>
                <w:rFonts w:ascii="宋体" w:hAnsi="宋体" w:cs="宋体" w:eastAsia="宋体" w:hint="default"/>
                <w:b/>
                <w:bCs/>
                <w:sz w:val="18"/>
                <w:szCs w:val="18"/>
              </w:rPr>
              <w:t>主营业务收入</w:t>
            </w:r>
            <w:r>
              <w:rPr>
                <w:rFonts w:ascii="宋体" w:hAnsi="宋体" w:cs="宋体" w:eastAsia="宋体" w:hint="default"/>
                <w:sz w:val="18"/>
                <w:szCs w:val="18"/>
              </w:rPr>
            </w:r>
          </w:p>
        </w:tc>
        <w:tc>
          <w:tcPr>
            <w:tcW w:w="1405"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158" w:right="0"/>
              <w:jc w:val="left"/>
              <w:rPr>
                <w:rFonts w:ascii="宋体" w:hAnsi="宋体" w:cs="宋体" w:eastAsia="宋体" w:hint="default"/>
                <w:sz w:val="18"/>
                <w:szCs w:val="18"/>
              </w:rPr>
            </w:pPr>
            <w:r>
              <w:rPr>
                <w:rFonts w:ascii="宋体" w:hAnsi="宋体" w:cs="宋体" w:eastAsia="宋体" w:hint="default"/>
                <w:b/>
                <w:bCs/>
                <w:sz w:val="18"/>
                <w:szCs w:val="18"/>
              </w:rPr>
              <w:t>主营业务成本</w:t>
            </w:r>
            <w:r>
              <w:rPr>
                <w:rFonts w:ascii="宋体" w:hAnsi="宋体" w:cs="宋体" w:eastAsia="宋体" w:hint="default"/>
                <w:sz w:val="18"/>
                <w:szCs w:val="18"/>
              </w:rPr>
            </w:r>
          </w:p>
        </w:tc>
        <w:tc>
          <w:tcPr>
            <w:tcW w:w="1317"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b/>
                <w:bCs/>
                <w:sz w:val="18"/>
                <w:szCs w:val="18"/>
              </w:rPr>
              <w:t>利润总额</w:t>
            </w:r>
            <w:r>
              <w:rPr>
                <w:rFonts w:ascii="宋体" w:hAnsi="宋体" w:cs="宋体" w:eastAsia="宋体" w:hint="default"/>
                <w:sz w:val="18"/>
                <w:szCs w:val="18"/>
              </w:rPr>
            </w:r>
          </w:p>
        </w:tc>
      </w:tr>
      <w:tr>
        <w:trPr>
          <w:trHeight w:val="312" w:hRule="exact"/>
        </w:trPr>
        <w:tc>
          <w:tcPr>
            <w:tcW w:w="1524" w:type="dxa"/>
            <w:tcBorders>
              <w:top w:val="single" w:sz="4" w:space="0" w:color="000000"/>
              <w:left w:val="nil" w:sz="6" w:space="0" w:color="auto"/>
              <w:bottom w:val="nil" w:sz="6" w:space="0" w:color="auto"/>
              <w:right w:val="nil" w:sz="6" w:space="0" w:color="auto"/>
            </w:tcBorders>
          </w:tcPr>
          <w:p>
            <w:pPr>
              <w:pStyle w:val="TableParagraph"/>
              <w:spacing w:line="240" w:lineRule="auto" w:before="10"/>
              <w:ind w:left="43" w:right="0"/>
              <w:jc w:val="left"/>
              <w:rPr>
                <w:rFonts w:ascii="宋体" w:hAnsi="宋体" w:cs="宋体" w:eastAsia="宋体" w:hint="default"/>
                <w:sz w:val="18"/>
                <w:szCs w:val="18"/>
              </w:rPr>
            </w:pPr>
            <w:r>
              <w:rPr>
                <w:rFonts w:ascii="宋体" w:hAnsi="宋体" w:cs="宋体" w:eastAsia="宋体" w:hint="default"/>
                <w:sz w:val="18"/>
                <w:szCs w:val="18"/>
              </w:rPr>
              <w:t>公共安全</w:t>
            </w:r>
          </w:p>
        </w:tc>
        <w:tc>
          <w:tcPr>
            <w:tcW w:w="1491" w:type="dxa"/>
            <w:tcBorders>
              <w:top w:val="single" w:sz="4" w:space="0" w:color="000000"/>
              <w:left w:val="nil" w:sz="6" w:space="0" w:color="auto"/>
              <w:bottom w:val="nil" w:sz="6" w:space="0" w:color="auto"/>
              <w:right w:val="nil" w:sz="6" w:space="0" w:color="auto"/>
            </w:tcBorders>
          </w:tcPr>
          <w:p>
            <w:pPr>
              <w:pStyle w:val="TableParagraph"/>
              <w:spacing w:line="240" w:lineRule="auto" w:before="62"/>
              <w:ind w:right="58"/>
              <w:jc w:val="right"/>
              <w:rPr>
                <w:rFonts w:ascii="Times New Roman" w:hAnsi="Times New Roman" w:cs="Times New Roman" w:eastAsia="Times New Roman" w:hint="default"/>
                <w:sz w:val="18"/>
                <w:szCs w:val="18"/>
              </w:rPr>
            </w:pPr>
            <w:r>
              <w:rPr>
                <w:rFonts w:ascii="Times New Roman"/>
                <w:spacing w:val="-1"/>
                <w:sz w:val="18"/>
              </w:rPr>
              <w:t>9,505,186,338.84</w:t>
            </w:r>
          </w:p>
        </w:tc>
        <w:tc>
          <w:tcPr>
            <w:tcW w:w="1437" w:type="dxa"/>
            <w:tcBorders>
              <w:top w:val="single" w:sz="4" w:space="0" w:color="000000"/>
              <w:left w:val="nil" w:sz="6" w:space="0" w:color="auto"/>
              <w:bottom w:val="nil" w:sz="6" w:space="0" w:color="auto"/>
              <w:right w:val="nil" w:sz="6" w:space="0" w:color="auto"/>
            </w:tcBorders>
          </w:tcPr>
          <w:p>
            <w:pPr>
              <w:pStyle w:val="TableParagraph"/>
              <w:spacing w:line="240" w:lineRule="auto" w:before="62"/>
              <w:ind w:right="28"/>
              <w:jc w:val="right"/>
              <w:rPr>
                <w:rFonts w:ascii="Times New Roman" w:hAnsi="Times New Roman" w:cs="Times New Roman" w:eastAsia="Times New Roman" w:hint="default"/>
                <w:sz w:val="18"/>
                <w:szCs w:val="18"/>
              </w:rPr>
            </w:pPr>
            <w:r>
              <w:rPr>
                <w:rFonts w:ascii="Times New Roman"/>
                <w:spacing w:val="-1"/>
                <w:sz w:val="18"/>
              </w:rPr>
              <w:t>7,127,874,701.15</w:t>
            </w:r>
          </w:p>
        </w:tc>
        <w:tc>
          <w:tcPr>
            <w:tcW w:w="1405" w:type="dxa"/>
            <w:tcBorders>
              <w:top w:val="single" w:sz="4" w:space="0" w:color="000000"/>
              <w:left w:val="nil" w:sz="6" w:space="0" w:color="auto"/>
              <w:bottom w:val="nil" w:sz="6" w:space="0" w:color="auto"/>
              <w:right w:val="nil" w:sz="6" w:space="0" w:color="auto"/>
            </w:tcBorders>
          </w:tcPr>
          <w:p>
            <w:pPr>
              <w:pStyle w:val="TableParagraph"/>
              <w:spacing w:line="240" w:lineRule="auto" w:before="62"/>
              <w:ind w:right="27"/>
              <w:jc w:val="right"/>
              <w:rPr>
                <w:rFonts w:ascii="Times New Roman" w:hAnsi="Times New Roman" w:cs="Times New Roman" w:eastAsia="Times New Roman" w:hint="default"/>
                <w:sz w:val="18"/>
                <w:szCs w:val="18"/>
              </w:rPr>
            </w:pPr>
            <w:r>
              <w:rPr>
                <w:rFonts w:ascii="Times New Roman"/>
                <w:spacing w:val="-1"/>
                <w:sz w:val="18"/>
              </w:rPr>
              <w:t>4,927,808,315.39</w:t>
            </w:r>
          </w:p>
        </w:tc>
        <w:tc>
          <w:tcPr>
            <w:tcW w:w="1405" w:type="dxa"/>
            <w:tcBorders>
              <w:top w:val="single" w:sz="4" w:space="0" w:color="000000"/>
              <w:left w:val="nil" w:sz="6" w:space="0" w:color="auto"/>
              <w:bottom w:val="nil" w:sz="6" w:space="0" w:color="auto"/>
              <w:right w:val="nil" w:sz="6" w:space="0" w:color="auto"/>
            </w:tcBorders>
          </w:tcPr>
          <w:p>
            <w:pPr>
              <w:pStyle w:val="TableParagraph"/>
              <w:spacing w:line="240" w:lineRule="auto" w:before="62"/>
              <w:ind w:right="28"/>
              <w:jc w:val="right"/>
              <w:rPr>
                <w:rFonts w:ascii="Times New Roman" w:hAnsi="Times New Roman" w:cs="Times New Roman" w:eastAsia="Times New Roman" w:hint="default"/>
                <w:sz w:val="18"/>
                <w:szCs w:val="18"/>
              </w:rPr>
            </w:pPr>
            <w:r>
              <w:rPr>
                <w:rFonts w:ascii="Times New Roman"/>
                <w:spacing w:val="-1"/>
                <w:sz w:val="18"/>
              </w:rPr>
              <w:t>3,354,350,854.17</w:t>
            </w:r>
          </w:p>
        </w:tc>
        <w:tc>
          <w:tcPr>
            <w:tcW w:w="1317" w:type="dxa"/>
            <w:tcBorders>
              <w:top w:val="single" w:sz="4" w:space="0" w:color="000000"/>
              <w:left w:val="nil" w:sz="6" w:space="0" w:color="auto"/>
              <w:bottom w:val="nil" w:sz="6" w:space="0" w:color="auto"/>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8"/>
                <w:szCs w:val="18"/>
              </w:rPr>
            </w:pPr>
            <w:r>
              <w:rPr>
                <w:rFonts w:ascii="Times New Roman"/>
                <w:spacing w:val="-1"/>
                <w:sz w:val="18"/>
              </w:rPr>
              <w:t>609,860,945.51</w:t>
            </w:r>
          </w:p>
        </w:tc>
      </w:tr>
      <w:tr>
        <w:trPr>
          <w:trHeight w:val="284" w:hRule="exact"/>
        </w:trPr>
        <w:tc>
          <w:tcPr>
            <w:tcW w:w="1524" w:type="dxa"/>
            <w:tcBorders>
              <w:top w:val="nil" w:sz="6" w:space="0" w:color="auto"/>
              <w:left w:val="nil" w:sz="6" w:space="0" w:color="auto"/>
              <w:bottom w:val="nil" w:sz="6" w:space="0" w:color="auto"/>
              <w:right w:val="nil" w:sz="6" w:space="0" w:color="auto"/>
            </w:tcBorders>
          </w:tcPr>
          <w:p>
            <w:pPr>
              <w:pStyle w:val="TableParagraph"/>
              <w:spacing w:line="222" w:lineRule="exact"/>
              <w:ind w:left="43" w:right="0"/>
              <w:jc w:val="left"/>
              <w:rPr>
                <w:rFonts w:ascii="宋体" w:hAnsi="宋体" w:cs="宋体" w:eastAsia="宋体" w:hint="default"/>
                <w:sz w:val="18"/>
                <w:szCs w:val="18"/>
              </w:rPr>
            </w:pPr>
            <w:r>
              <w:rPr>
                <w:rFonts w:ascii="宋体" w:hAnsi="宋体" w:cs="宋体" w:eastAsia="宋体" w:hint="default"/>
                <w:sz w:val="18"/>
                <w:szCs w:val="18"/>
              </w:rPr>
              <w:t>互联网服务与终端</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6"/>
              <w:jc w:val="right"/>
              <w:rPr>
                <w:rFonts w:ascii="Times New Roman" w:hAnsi="Times New Roman" w:cs="Times New Roman" w:eastAsia="Times New Roman" w:hint="default"/>
                <w:sz w:val="18"/>
                <w:szCs w:val="18"/>
              </w:rPr>
            </w:pPr>
            <w:r>
              <w:rPr>
                <w:rFonts w:ascii="Times New Roman"/>
                <w:spacing w:val="-1"/>
                <w:sz w:val="18"/>
              </w:rPr>
              <w:t>15,706,436,948.74</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8"/>
              <w:jc w:val="right"/>
              <w:rPr>
                <w:rFonts w:ascii="Times New Roman" w:hAnsi="Times New Roman" w:cs="Times New Roman" w:eastAsia="Times New Roman" w:hint="default"/>
                <w:sz w:val="18"/>
                <w:szCs w:val="18"/>
              </w:rPr>
            </w:pPr>
            <w:r>
              <w:rPr>
                <w:rFonts w:ascii="Times New Roman"/>
                <w:spacing w:val="-1"/>
                <w:sz w:val="18"/>
              </w:rPr>
              <w:t>9,909,746,481.98</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
              <w:jc w:val="right"/>
              <w:rPr>
                <w:rFonts w:ascii="Times New Roman" w:hAnsi="Times New Roman" w:cs="Times New Roman" w:eastAsia="Times New Roman" w:hint="default"/>
                <w:sz w:val="18"/>
                <w:szCs w:val="18"/>
              </w:rPr>
            </w:pPr>
            <w:r>
              <w:rPr>
                <w:rFonts w:ascii="Times New Roman"/>
                <w:spacing w:val="-1"/>
                <w:sz w:val="18"/>
              </w:rPr>
              <w:t>15,568,907,079.08</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13,480,557,503.34</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9,883,314.18</w:t>
            </w:r>
          </w:p>
        </w:tc>
      </w:tr>
      <w:tr>
        <w:trPr>
          <w:trHeight w:val="284" w:hRule="exact"/>
        </w:trPr>
        <w:tc>
          <w:tcPr>
            <w:tcW w:w="1524" w:type="dxa"/>
            <w:tcBorders>
              <w:top w:val="nil" w:sz="6" w:space="0" w:color="auto"/>
              <w:left w:val="nil" w:sz="6" w:space="0" w:color="auto"/>
              <w:bottom w:val="nil" w:sz="6" w:space="0" w:color="auto"/>
              <w:right w:val="nil" w:sz="6" w:space="0" w:color="auto"/>
            </w:tcBorders>
          </w:tcPr>
          <w:p>
            <w:pPr>
              <w:pStyle w:val="TableParagraph"/>
              <w:spacing w:line="223" w:lineRule="exact"/>
              <w:ind w:left="43" w:right="0"/>
              <w:jc w:val="left"/>
              <w:rPr>
                <w:rFonts w:ascii="宋体" w:hAnsi="宋体" w:cs="宋体" w:eastAsia="宋体" w:hint="default"/>
                <w:sz w:val="18"/>
                <w:szCs w:val="18"/>
              </w:rPr>
            </w:pPr>
            <w:r>
              <w:rPr>
                <w:rFonts w:ascii="宋体" w:hAnsi="宋体" w:cs="宋体" w:eastAsia="宋体" w:hint="default"/>
                <w:sz w:val="18"/>
                <w:szCs w:val="18"/>
              </w:rPr>
              <w:t>智慧城市</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8"/>
              <w:jc w:val="right"/>
              <w:rPr>
                <w:rFonts w:ascii="Times New Roman" w:hAnsi="Times New Roman" w:cs="Times New Roman" w:eastAsia="Times New Roman" w:hint="default"/>
                <w:sz w:val="18"/>
                <w:szCs w:val="18"/>
              </w:rPr>
            </w:pPr>
            <w:r>
              <w:rPr>
                <w:rFonts w:ascii="Times New Roman"/>
                <w:spacing w:val="-1"/>
                <w:sz w:val="18"/>
              </w:rPr>
              <w:t>3,615,732,275.27</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
              <w:jc w:val="right"/>
              <w:rPr>
                <w:rFonts w:ascii="Times New Roman" w:hAnsi="Times New Roman" w:cs="Times New Roman" w:eastAsia="Times New Roman" w:hint="default"/>
                <w:sz w:val="18"/>
                <w:szCs w:val="18"/>
              </w:rPr>
            </w:pPr>
            <w:r>
              <w:rPr>
                <w:rFonts w:ascii="Times New Roman"/>
                <w:spacing w:val="-1"/>
                <w:sz w:val="18"/>
              </w:rPr>
              <w:t>2,628,129,580.64</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7"/>
              <w:jc w:val="right"/>
              <w:rPr>
                <w:rFonts w:ascii="Times New Roman" w:hAnsi="Times New Roman" w:cs="Times New Roman" w:eastAsia="Times New Roman" w:hint="default"/>
                <w:sz w:val="18"/>
                <w:szCs w:val="18"/>
              </w:rPr>
            </w:pPr>
            <w:r>
              <w:rPr>
                <w:rFonts w:ascii="Times New Roman"/>
                <w:spacing w:val="-1"/>
                <w:sz w:val="18"/>
              </w:rPr>
              <w:t>3,325,791,838.00</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
              <w:jc w:val="right"/>
              <w:rPr>
                <w:rFonts w:ascii="Times New Roman" w:hAnsi="Times New Roman" w:cs="Times New Roman" w:eastAsia="Times New Roman" w:hint="default"/>
                <w:sz w:val="18"/>
                <w:szCs w:val="18"/>
              </w:rPr>
            </w:pPr>
            <w:r>
              <w:rPr>
                <w:rFonts w:ascii="Times New Roman"/>
                <w:spacing w:val="-1"/>
                <w:sz w:val="18"/>
              </w:rPr>
              <w:t>2,840,935,417.18</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6"/>
              <w:jc w:val="right"/>
              <w:rPr>
                <w:rFonts w:ascii="Times New Roman" w:hAnsi="Times New Roman" w:cs="Times New Roman" w:eastAsia="Times New Roman" w:hint="default"/>
                <w:sz w:val="18"/>
                <w:szCs w:val="18"/>
              </w:rPr>
            </w:pPr>
            <w:r>
              <w:rPr>
                <w:rFonts w:ascii="Times New Roman"/>
                <w:spacing w:val="-1"/>
                <w:sz w:val="18"/>
              </w:rPr>
              <w:t>141,563,233.41</w:t>
            </w:r>
          </w:p>
        </w:tc>
      </w:tr>
      <w:tr>
        <w:trPr>
          <w:trHeight w:val="284" w:hRule="exact"/>
        </w:trPr>
        <w:tc>
          <w:tcPr>
            <w:tcW w:w="1524" w:type="dxa"/>
            <w:tcBorders>
              <w:top w:val="nil" w:sz="6" w:space="0" w:color="auto"/>
              <w:left w:val="nil" w:sz="6" w:space="0" w:color="auto"/>
              <w:bottom w:val="nil" w:sz="6" w:space="0" w:color="auto"/>
              <w:right w:val="nil" w:sz="6" w:space="0" w:color="auto"/>
            </w:tcBorders>
          </w:tcPr>
          <w:p>
            <w:pPr>
              <w:pStyle w:val="TableParagraph"/>
              <w:spacing w:line="222" w:lineRule="exact"/>
              <w:ind w:left="43" w:right="0"/>
              <w:jc w:val="left"/>
              <w:rPr>
                <w:rFonts w:ascii="宋体" w:hAnsi="宋体" w:cs="宋体" w:eastAsia="宋体" w:hint="default"/>
                <w:sz w:val="18"/>
                <w:szCs w:val="18"/>
              </w:rPr>
            </w:pPr>
            <w:r>
              <w:rPr>
                <w:rFonts w:ascii="宋体" w:hAnsi="宋体" w:cs="宋体" w:eastAsia="宋体" w:hint="default"/>
                <w:sz w:val="18"/>
                <w:szCs w:val="18"/>
              </w:rPr>
              <w:t>节能环保</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6"/>
              <w:jc w:val="right"/>
              <w:rPr>
                <w:rFonts w:ascii="Times New Roman" w:hAnsi="Times New Roman" w:cs="Times New Roman" w:eastAsia="Times New Roman" w:hint="default"/>
                <w:sz w:val="18"/>
                <w:szCs w:val="18"/>
              </w:rPr>
            </w:pPr>
            <w:r>
              <w:rPr>
                <w:rFonts w:ascii="Times New Roman"/>
                <w:spacing w:val="-1"/>
                <w:sz w:val="18"/>
              </w:rPr>
              <w:t>16,662,039,299.59</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10,966,077,664.08</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7"/>
              <w:jc w:val="right"/>
              <w:rPr>
                <w:rFonts w:ascii="Times New Roman" w:hAnsi="Times New Roman" w:cs="Times New Roman" w:eastAsia="Times New Roman" w:hint="default"/>
                <w:sz w:val="18"/>
                <w:szCs w:val="18"/>
              </w:rPr>
            </w:pPr>
            <w:r>
              <w:rPr>
                <w:rFonts w:ascii="Times New Roman"/>
                <w:spacing w:val="-1"/>
                <w:sz w:val="18"/>
              </w:rPr>
              <w:t>4,655,865,670.53</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8"/>
              <w:jc w:val="right"/>
              <w:rPr>
                <w:rFonts w:ascii="Times New Roman" w:hAnsi="Times New Roman" w:cs="Times New Roman" w:eastAsia="Times New Roman" w:hint="default"/>
                <w:sz w:val="18"/>
                <w:szCs w:val="18"/>
              </w:rPr>
            </w:pPr>
            <w:r>
              <w:rPr>
                <w:rFonts w:ascii="Times New Roman"/>
                <w:spacing w:val="-1"/>
                <w:sz w:val="18"/>
              </w:rPr>
              <w:t>3,409,413,983.95</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796,119,492.38</w:t>
            </w:r>
          </w:p>
        </w:tc>
      </w:tr>
      <w:tr>
        <w:trPr>
          <w:trHeight w:val="285" w:hRule="exact"/>
        </w:trPr>
        <w:tc>
          <w:tcPr>
            <w:tcW w:w="1524" w:type="dxa"/>
            <w:tcBorders>
              <w:top w:val="nil" w:sz="6" w:space="0" w:color="auto"/>
              <w:left w:val="nil" w:sz="6" w:space="0" w:color="auto"/>
              <w:bottom w:val="nil" w:sz="6" w:space="0" w:color="auto"/>
              <w:right w:val="nil" w:sz="6" w:space="0" w:color="auto"/>
            </w:tcBorders>
          </w:tcPr>
          <w:p>
            <w:pPr>
              <w:pStyle w:val="TableParagraph"/>
              <w:spacing w:line="222" w:lineRule="exact"/>
              <w:ind w:left="43" w:right="0"/>
              <w:jc w:val="left"/>
              <w:rPr>
                <w:rFonts w:ascii="宋体" w:hAnsi="宋体" w:cs="宋体" w:eastAsia="宋体" w:hint="default"/>
                <w:sz w:val="18"/>
                <w:szCs w:val="18"/>
              </w:rPr>
            </w:pPr>
            <w:r>
              <w:rPr>
                <w:rFonts w:ascii="宋体" w:hAnsi="宋体" w:cs="宋体" w:eastAsia="宋体" w:hint="default"/>
                <w:sz w:val="18"/>
                <w:szCs w:val="18"/>
              </w:rPr>
              <w:t>科技园区</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8"/>
              <w:jc w:val="right"/>
              <w:rPr>
                <w:rFonts w:ascii="Times New Roman" w:hAnsi="Times New Roman" w:cs="Times New Roman" w:eastAsia="Times New Roman" w:hint="default"/>
                <w:sz w:val="18"/>
                <w:szCs w:val="18"/>
              </w:rPr>
            </w:pPr>
            <w:r>
              <w:rPr>
                <w:rFonts w:ascii="Times New Roman"/>
                <w:spacing w:val="-1"/>
                <w:sz w:val="18"/>
              </w:rPr>
              <w:t>3,132,351,809.43</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8"/>
              <w:jc w:val="right"/>
              <w:rPr>
                <w:rFonts w:ascii="Times New Roman" w:hAnsi="Times New Roman" w:cs="Times New Roman" w:eastAsia="Times New Roman" w:hint="default"/>
                <w:sz w:val="18"/>
                <w:szCs w:val="18"/>
              </w:rPr>
            </w:pPr>
            <w:r>
              <w:rPr>
                <w:rFonts w:ascii="Times New Roman"/>
                <w:spacing w:val="-1"/>
                <w:sz w:val="18"/>
              </w:rPr>
              <w:t>2,412,765,556.75</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
              <w:jc w:val="right"/>
              <w:rPr>
                <w:rFonts w:ascii="Times New Roman" w:hAnsi="Times New Roman" w:cs="Times New Roman" w:eastAsia="Times New Roman" w:hint="default"/>
                <w:sz w:val="18"/>
                <w:szCs w:val="18"/>
              </w:rPr>
            </w:pPr>
            <w:r>
              <w:rPr>
                <w:rFonts w:ascii="Times New Roman"/>
                <w:spacing w:val="-1"/>
                <w:sz w:val="18"/>
              </w:rPr>
              <w:t>117,484,521.26</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8"/>
              <w:jc w:val="right"/>
              <w:rPr>
                <w:rFonts w:ascii="Times New Roman" w:hAnsi="Times New Roman" w:cs="Times New Roman" w:eastAsia="Times New Roman" w:hint="default"/>
                <w:sz w:val="18"/>
                <w:szCs w:val="18"/>
              </w:rPr>
            </w:pPr>
            <w:r>
              <w:rPr>
                <w:rFonts w:ascii="Times New Roman"/>
                <w:spacing w:val="-1"/>
                <w:sz w:val="18"/>
              </w:rPr>
              <w:t>85,272,318.50</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9"/>
              <w:jc w:val="right"/>
              <w:rPr>
                <w:rFonts w:ascii="Times New Roman" w:hAnsi="Times New Roman" w:cs="Times New Roman" w:eastAsia="Times New Roman" w:hint="default"/>
                <w:sz w:val="18"/>
                <w:szCs w:val="18"/>
              </w:rPr>
            </w:pPr>
            <w:r>
              <w:rPr>
                <w:rFonts w:ascii="Times New Roman"/>
                <w:spacing w:val="-1"/>
                <w:sz w:val="18"/>
              </w:rPr>
              <w:t>61,304,381.69</w:t>
            </w:r>
          </w:p>
        </w:tc>
      </w:tr>
      <w:tr>
        <w:trPr>
          <w:trHeight w:val="255" w:hRule="exact"/>
        </w:trPr>
        <w:tc>
          <w:tcPr>
            <w:tcW w:w="1524" w:type="dxa"/>
            <w:tcBorders>
              <w:top w:val="nil" w:sz="6" w:space="0" w:color="auto"/>
              <w:left w:val="nil" w:sz="6" w:space="0" w:color="auto"/>
              <w:bottom w:val="single" w:sz="4" w:space="0" w:color="000000"/>
              <w:right w:val="nil" w:sz="6" w:space="0" w:color="auto"/>
            </w:tcBorders>
          </w:tcPr>
          <w:p>
            <w:pPr>
              <w:pStyle w:val="TableParagraph"/>
              <w:spacing w:line="223" w:lineRule="exact"/>
              <w:ind w:left="43" w:right="0"/>
              <w:jc w:val="left"/>
              <w:rPr>
                <w:rFonts w:ascii="宋体" w:hAnsi="宋体" w:cs="宋体" w:eastAsia="宋体" w:hint="default"/>
                <w:sz w:val="18"/>
                <w:szCs w:val="18"/>
              </w:rPr>
            </w:pPr>
            <w:r>
              <w:rPr>
                <w:rFonts w:ascii="宋体" w:hAnsi="宋体" w:cs="宋体" w:eastAsia="宋体" w:hint="default"/>
                <w:sz w:val="18"/>
                <w:szCs w:val="18"/>
              </w:rPr>
              <w:t>总部与投资</w:t>
            </w:r>
          </w:p>
        </w:tc>
        <w:tc>
          <w:tcPr>
            <w:tcW w:w="1491"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58"/>
              <w:jc w:val="right"/>
              <w:rPr>
                <w:rFonts w:ascii="Times New Roman" w:hAnsi="Times New Roman" w:cs="Times New Roman" w:eastAsia="Times New Roman" w:hint="default"/>
                <w:sz w:val="18"/>
                <w:szCs w:val="18"/>
              </w:rPr>
            </w:pPr>
            <w:r>
              <w:rPr>
                <w:rFonts w:ascii="Times New Roman"/>
                <w:spacing w:val="-1"/>
                <w:sz w:val="18"/>
              </w:rPr>
              <w:t>9,220,657,653.31</w:t>
            </w:r>
          </w:p>
        </w:tc>
        <w:tc>
          <w:tcPr>
            <w:tcW w:w="1437"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28"/>
              <w:jc w:val="right"/>
              <w:rPr>
                <w:rFonts w:ascii="Times New Roman" w:hAnsi="Times New Roman" w:cs="Times New Roman" w:eastAsia="Times New Roman" w:hint="default"/>
                <w:sz w:val="18"/>
                <w:szCs w:val="18"/>
              </w:rPr>
            </w:pPr>
            <w:r>
              <w:rPr>
                <w:rFonts w:ascii="Times New Roman"/>
                <w:spacing w:val="-1"/>
                <w:sz w:val="18"/>
              </w:rPr>
              <w:t>2,141,750,120.19</w:t>
            </w:r>
          </w:p>
        </w:tc>
        <w:tc>
          <w:tcPr>
            <w:tcW w:w="140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27"/>
              <w:jc w:val="right"/>
              <w:rPr>
                <w:rFonts w:ascii="Times New Roman" w:hAnsi="Times New Roman" w:cs="Times New Roman" w:eastAsia="Times New Roman" w:hint="default"/>
                <w:sz w:val="18"/>
                <w:szCs w:val="18"/>
              </w:rPr>
            </w:pPr>
            <w:r>
              <w:rPr>
                <w:rFonts w:ascii="Times New Roman"/>
                <w:spacing w:val="-1"/>
                <w:sz w:val="18"/>
              </w:rPr>
              <w:t>0.00</w:t>
            </w:r>
          </w:p>
        </w:tc>
        <w:tc>
          <w:tcPr>
            <w:tcW w:w="140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26"/>
              <w:jc w:val="right"/>
              <w:rPr>
                <w:rFonts w:ascii="Times New Roman" w:hAnsi="Times New Roman" w:cs="Times New Roman" w:eastAsia="Times New Roman" w:hint="default"/>
                <w:sz w:val="18"/>
                <w:szCs w:val="18"/>
              </w:rPr>
            </w:pPr>
            <w:r>
              <w:rPr>
                <w:rFonts w:ascii="Times New Roman"/>
                <w:spacing w:val="-1"/>
                <w:sz w:val="18"/>
              </w:rPr>
              <w:t>0.00</w:t>
            </w:r>
          </w:p>
        </w:tc>
        <w:tc>
          <w:tcPr>
            <w:tcW w:w="1317"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26"/>
              <w:jc w:val="right"/>
              <w:rPr>
                <w:rFonts w:ascii="Times New Roman" w:hAnsi="Times New Roman" w:cs="Times New Roman" w:eastAsia="Times New Roman" w:hint="default"/>
                <w:sz w:val="18"/>
                <w:szCs w:val="18"/>
              </w:rPr>
            </w:pPr>
            <w:r>
              <w:rPr>
                <w:rFonts w:ascii="Times New Roman"/>
                <w:spacing w:val="-1"/>
                <w:sz w:val="18"/>
              </w:rPr>
              <w:t>754,631,862.02</w:t>
            </w:r>
          </w:p>
        </w:tc>
      </w:tr>
      <w:tr>
        <w:trPr>
          <w:trHeight w:val="283" w:hRule="exact"/>
        </w:trPr>
        <w:tc>
          <w:tcPr>
            <w:tcW w:w="1524"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491" w:type="dxa"/>
            <w:tcBorders>
              <w:top w:val="single" w:sz="4" w:space="0" w:color="000000"/>
              <w:left w:val="nil" w:sz="6" w:space="0" w:color="auto"/>
              <w:bottom w:val="single" w:sz="4" w:space="0" w:color="000000"/>
              <w:right w:val="nil" w:sz="6" w:space="0" w:color="auto"/>
            </w:tcBorders>
          </w:tcPr>
          <w:p>
            <w:pPr>
              <w:pStyle w:val="TableParagraph"/>
              <w:spacing w:line="240" w:lineRule="auto" w:before="67"/>
              <w:ind w:right="56"/>
              <w:jc w:val="right"/>
              <w:rPr>
                <w:rFonts w:ascii="Times New Roman" w:hAnsi="Times New Roman" w:cs="Times New Roman" w:eastAsia="Times New Roman" w:hint="default"/>
                <w:sz w:val="18"/>
                <w:szCs w:val="18"/>
              </w:rPr>
            </w:pPr>
            <w:r>
              <w:rPr>
                <w:rFonts w:ascii="Times New Roman"/>
                <w:b/>
                <w:spacing w:val="-1"/>
                <w:sz w:val="18"/>
              </w:rPr>
              <w:t>57,842,404,325.18</w:t>
            </w:r>
            <w:r>
              <w:rPr>
                <w:rFonts w:ascii="Times New Roman"/>
                <w:spacing w:val="-1"/>
                <w:sz w:val="18"/>
              </w:rPr>
            </w:r>
          </w:p>
        </w:tc>
        <w:tc>
          <w:tcPr>
            <w:tcW w:w="1437" w:type="dxa"/>
            <w:tcBorders>
              <w:top w:val="single" w:sz="4" w:space="0" w:color="000000"/>
              <w:left w:val="nil" w:sz="6" w:space="0" w:color="auto"/>
              <w:bottom w:val="single" w:sz="4" w:space="0" w:color="000000"/>
              <w:right w:val="nil" w:sz="6" w:space="0" w:color="auto"/>
            </w:tcBorders>
          </w:tcPr>
          <w:p>
            <w:pPr>
              <w:pStyle w:val="TableParagraph"/>
              <w:spacing w:line="240" w:lineRule="auto" w:before="67"/>
              <w:ind w:right="26"/>
              <w:jc w:val="right"/>
              <w:rPr>
                <w:rFonts w:ascii="Times New Roman" w:hAnsi="Times New Roman" w:cs="Times New Roman" w:eastAsia="Times New Roman" w:hint="default"/>
                <w:sz w:val="18"/>
                <w:szCs w:val="18"/>
              </w:rPr>
            </w:pPr>
            <w:r>
              <w:rPr>
                <w:rFonts w:ascii="Times New Roman"/>
                <w:b/>
                <w:spacing w:val="-1"/>
                <w:sz w:val="18"/>
              </w:rPr>
              <w:t>35,186,344,104.79</w:t>
            </w:r>
            <w:r>
              <w:rPr>
                <w:rFonts w:ascii="Times New Roman"/>
                <w:spacing w:val="-1"/>
                <w:sz w:val="18"/>
              </w:rPr>
            </w:r>
          </w:p>
        </w:tc>
        <w:tc>
          <w:tcPr>
            <w:tcW w:w="1405" w:type="dxa"/>
            <w:tcBorders>
              <w:top w:val="single" w:sz="4" w:space="0" w:color="000000"/>
              <w:left w:val="nil" w:sz="6" w:space="0" w:color="auto"/>
              <w:bottom w:val="single" w:sz="4" w:space="0" w:color="000000"/>
              <w:right w:val="nil" w:sz="6" w:space="0" w:color="auto"/>
            </w:tcBorders>
          </w:tcPr>
          <w:p>
            <w:pPr>
              <w:pStyle w:val="TableParagraph"/>
              <w:spacing w:line="240" w:lineRule="auto" w:before="67"/>
              <w:ind w:right="24"/>
              <w:jc w:val="right"/>
              <w:rPr>
                <w:rFonts w:ascii="Times New Roman" w:hAnsi="Times New Roman" w:cs="Times New Roman" w:eastAsia="Times New Roman" w:hint="default"/>
                <w:sz w:val="18"/>
                <w:szCs w:val="18"/>
              </w:rPr>
            </w:pPr>
            <w:r>
              <w:rPr>
                <w:rFonts w:ascii="Times New Roman"/>
                <w:b/>
                <w:spacing w:val="-1"/>
                <w:sz w:val="18"/>
              </w:rPr>
              <w:t>28,595,857,424.26</w:t>
            </w:r>
            <w:r>
              <w:rPr>
                <w:rFonts w:ascii="Times New Roman"/>
                <w:spacing w:val="-1"/>
                <w:sz w:val="18"/>
              </w:rPr>
            </w:r>
          </w:p>
        </w:tc>
        <w:tc>
          <w:tcPr>
            <w:tcW w:w="1405" w:type="dxa"/>
            <w:tcBorders>
              <w:top w:val="single" w:sz="4" w:space="0" w:color="000000"/>
              <w:left w:val="nil" w:sz="6" w:space="0" w:color="auto"/>
              <w:bottom w:val="single" w:sz="4" w:space="0" w:color="000000"/>
              <w:right w:val="nil" w:sz="6" w:space="0" w:color="auto"/>
            </w:tcBorders>
          </w:tcPr>
          <w:p>
            <w:pPr>
              <w:pStyle w:val="TableParagraph"/>
              <w:spacing w:line="240" w:lineRule="auto" w:before="67"/>
              <w:ind w:right="26"/>
              <w:jc w:val="right"/>
              <w:rPr>
                <w:rFonts w:ascii="Times New Roman" w:hAnsi="Times New Roman" w:cs="Times New Roman" w:eastAsia="Times New Roman" w:hint="default"/>
                <w:sz w:val="18"/>
                <w:szCs w:val="18"/>
              </w:rPr>
            </w:pPr>
            <w:r>
              <w:rPr>
                <w:rFonts w:ascii="Times New Roman"/>
                <w:b/>
                <w:spacing w:val="-1"/>
                <w:sz w:val="18"/>
              </w:rPr>
              <w:t>23,170,530,077.14</w:t>
            </w:r>
            <w:r>
              <w:rPr>
                <w:rFonts w:ascii="Times New Roman"/>
                <w:spacing w:val="-1"/>
                <w:sz w:val="18"/>
              </w:rPr>
            </w:r>
          </w:p>
        </w:tc>
        <w:tc>
          <w:tcPr>
            <w:tcW w:w="1317" w:type="dxa"/>
            <w:tcBorders>
              <w:top w:val="single" w:sz="4" w:space="0" w:color="000000"/>
              <w:left w:val="nil" w:sz="6" w:space="0" w:color="auto"/>
              <w:bottom w:val="single" w:sz="4" w:space="0" w:color="000000"/>
              <w:right w:val="nil" w:sz="6" w:space="0" w:color="auto"/>
            </w:tcBorders>
          </w:tcPr>
          <w:p>
            <w:pPr>
              <w:pStyle w:val="TableParagraph"/>
              <w:spacing w:line="240" w:lineRule="auto" w:before="67"/>
              <w:ind w:right="27"/>
              <w:jc w:val="right"/>
              <w:rPr>
                <w:rFonts w:ascii="Times New Roman" w:hAnsi="Times New Roman" w:cs="Times New Roman" w:eastAsia="Times New Roman" w:hint="default"/>
                <w:sz w:val="18"/>
                <w:szCs w:val="18"/>
              </w:rPr>
            </w:pPr>
            <w:r>
              <w:rPr>
                <w:rFonts w:ascii="Times New Roman"/>
                <w:b/>
                <w:spacing w:val="-1"/>
                <w:sz w:val="18"/>
              </w:rPr>
              <w:t>2,373,363,229.19</w:t>
            </w:r>
            <w:r>
              <w:rPr>
                <w:rFonts w:ascii="Times New Roman"/>
                <w:spacing w:val="-1"/>
                <w:sz w:val="18"/>
              </w:rPr>
            </w:r>
          </w:p>
        </w:tc>
      </w:tr>
      <w:tr>
        <w:trPr>
          <w:trHeight w:val="286" w:hRule="exact"/>
        </w:trPr>
        <w:tc>
          <w:tcPr>
            <w:tcW w:w="1524"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43" w:right="0"/>
              <w:jc w:val="left"/>
              <w:rPr>
                <w:rFonts w:ascii="宋体" w:hAnsi="宋体" w:cs="宋体" w:eastAsia="宋体" w:hint="default"/>
                <w:sz w:val="18"/>
                <w:szCs w:val="18"/>
              </w:rPr>
            </w:pPr>
            <w:r>
              <w:rPr>
                <w:rFonts w:ascii="宋体" w:hAnsi="宋体" w:cs="宋体" w:eastAsia="宋体" w:hint="default"/>
                <w:sz w:val="18"/>
                <w:szCs w:val="18"/>
              </w:rPr>
              <w:t>业务板块间抵销</w:t>
            </w:r>
          </w:p>
        </w:tc>
        <w:tc>
          <w:tcPr>
            <w:tcW w:w="1491" w:type="dxa"/>
            <w:tcBorders>
              <w:top w:val="single" w:sz="4" w:space="0" w:color="000000"/>
              <w:left w:val="nil" w:sz="6" w:space="0" w:color="auto"/>
              <w:bottom w:val="single" w:sz="4" w:space="0" w:color="000000"/>
              <w:right w:val="nil" w:sz="6" w:space="0" w:color="auto"/>
            </w:tcBorders>
          </w:tcPr>
          <w:p>
            <w:pPr>
              <w:pStyle w:val="TableParagraph"/>
              <w:spacing w:line="240" w:lineRule="auto" w:before="62"/>
              <w:ind w:right="56"/>
              <w:jc w:val="right"/>
              <w:rPr>
                <w:rFonts w:ascii="Times New Roman" w:hAnsi="Times New Roman" w:cs="Times New Roman" w:eastAsia="Times New Roman" w:hint="default"/>
                <w:sz w:val="18"/>
                <w:szCs w:val="18"/>
              </w:rPr>
            </w:pPr>
            <w:r>
              <w:rPr>
                <w:rFonts w:ascii="Times New Roman"/>
                <w:spacing w:val="-1"/>
                <w:sz w:val="18"/>
              </w:rPr>
              <w:t>-981,568,452.59</w:t>
            </w:r>
          </w:p>
        </w:tc>
        <w:tc>
          <w:tcPr>
            <w:tcW w:w="1437" w:type="dxa"/>
            <w:tcBorders>
              <w:top w:val="single" w:sz="4" w:space="0" w:color="000000"/>
              <w:left w:val="nil" w:sz="6" w:space="0" w:color="auto"/>
              <w:bottom w:val="single" w:sz="4" w:space="0" w:color="000000"/>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8"/>
                <w:szCs w:val="18"/>
              </w:rPr>
            </w:pPr>
            <w:r>
              <w:rPr>
                <w:rFonts w:ascii="Times New Roman"/>
                <w:spacing w:val="-1"/>
                <w:sz w:val="18"/>
              </w:rPr>
              <w:t>-981,344,705.95</w:t>
            </w:r>
          </w:p>
        </w:tc>
        <w:tc>
          <w:tcPr>
            <w:tcW w:w="1405" w:type="dxa"/>
            <w:tcBorders>
              <w:top w:val="single" w:sz="4" w:space="0" w:color="000000"/>
              <w:left w:val="nil" w:sz="6" w:space="0" w:color="auto"/>
              <w:bottom w:val="single" w:sz="4" w:space="0" w:color="000000"/>
              <w:right w:val="nil" w:sz="6" w:space="0" w:color="auto"/>
            </w:tcBorders>
          </w:tcPr>
          <w:p>
            <w:pPr>
              <w:pStyle w:val="TableParagraph"/>
              <w:spacing w:line="240" w:lineRule="auto" w:before="62"/>
              <w:ind w:right="24"/>
              <w:jc w:val="right"/>
              <w:rPr>
                <w:rFonts w:ascii="Times New Roman" w:hAnsi="Times New Roman" w:cs="Times New Roman" w:eastAsia="Times New Roman" w:hint="default"/>
                <w:sz w:val="18"/>
                <w:szCs w:val="18"/>
              </w:rPr>
            </w:pPr>
            <w:r>
              <w:rPr>
                <w:rFonts w:ascii="Times New Roman"/>
                <w:spacing w:val="-1"/>
                <w:sz w:val="18"/>
              </w:rPr>
              <w:t>-363,848,024.18</w:t>
            </w:r>
          </w:p>
        </w:tc>
        <w:tc>
          <w:tcPr>
            <w:tcW w:w="1405" w:type="dxa"/>
            <w:tcBorders>
              <w:top w:val="single" w:sz="4" w:space="0" w:color="000000"/>
              <w:left w:val="nil" w:sz="6" w:space="0" w:color="auto"/>
              <w:bottom w:val="single" w:sz="4" w:space="0" w:color="000000"/>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8"/>
                <w:szCs w:val="18"/>
              </w:rPr>
            </w:pPr>
            <w:r>
              <w:rPr>
                <w:rFonts w:ascii="Times New Roman"/>
                <w:spacing w:val="-1"/>
                <w:sz w:val="18"/>
              </w:rPr>
              <w:t>-359,924,163.35</w:t>
            </w:r>
          </w:p>
        </w:tc>
        <w:tc>
          <w:tcPr>
            <w:tcW w:w="1317" w:type="dxa"/>
            <w:tcBorders>
              <w:top w:val="single" w:sz="4" w:space="0" w:color="000000"/>
              <w:left w:val="nil" w:sz="6" w:space="0" w:color="auto"/>
              <w:bottom w:val="single" w:sz="4" w:space="0" w:color="000000"/>
              <w:right w:val="nil" w:sz="6" w:space="0" w:color="auto"/>
            </w:tcBorders>
          </w:tcPr>
          <w:p>
            <w:pPr>
              <w:pStyle w:val="TableParagraph"/>
              <w:spacing w:line="240" w:lineRule="auto" w:before="62"/>
              <w:ind w:right="28"/>
              <w:jc w:val="right"/>
              <w:rPr>
                <w:rFonts w:ascii="Times New Roman" w:hAnsi="Times New Roman" w:cs="Times New Roman" w:eastAsia="Times New Roman" w:hint="default"/>
                <w:sz w:val="18"/>
                <w:szCs w:val="18"/>
              </w:rPr>
            </w:pPr>
            <w:r>
              <w:rPr>
                <w:rFonts w:ascii="Times New Roman"/>
                <w:spacing w:val="-1"/>
                <w:sz w:val="18"/>
              </w:rPr>
              <w:t>0.00</w:t>
            </w:r>
          </w:p>
        </w:tc>
      </w:tr>
      <w:tr>
        <w:trPr>
          <w:trHeight w:val="295" w:hRule="exact"/>
        </w:trPr>
        <w:tc>
          <w:tcPr>
            <w:tcW w:w="1524" w:type="dxa"/>
            <w:tcBorders>
              <w:top w:val="single" w:sz="4" w:space="0" w:color="000000"/>
              <w:left w:val="nil" w:sz="6" w:space="0" w:color="auto"/>
              <w:bottom w:val="single" w:sz="12" w:space="0" w:color="000000"/>
              <w:right w:val="nil" w:sz="6" w:space="0" w:color="auto"/>
            </w:tcBorders>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491" w:type="dxa"/>
            <w:tcBorders>
              <w:top w:val="single" w:sz="4" w:space="0" w:color="000000"/>
              <w:left w:val="nil" w:sz="6" w:space="0" w:color="auto"/>
              <w:bottom w:val="single" w:sz="12" w:space="0" w:color="000000"/>
              <w:right w:val="nil" w:sz="6" w:space="0" w:color="auto"/>
            </w:tcBorders>
          </w:tcPr>
          <w:p>
            <w:pPr>
              <w:pStyle w:val="TableParagraph"/>
              <w:spacing w:line="240" w:lineRule="auto" w:before="67"/>
              <w:ind w:right="56"/>
              <w:jc w:val="right"/>
              <w:rPr>
                <w:rFonts w:ascii="Times New Roman" w:hAnsi="Times New Roman" w:cs="Times New Roman" w:eastAsia="Times New Roman" w:hint="default"/>
                <w:sz w:val="18"/>
                <w:szCs w:val="18"/>
              </w:rPr>
            </w:pPr>
            <w:r>
              <w:rPr>
                <w:rFonts w:ascii="Times New Roman"/>
                <w:b/>
                <w:spacing w:val="-1"/>
                <w:sz w:val="18"/>
              </w:rPr>
              <w:t>56,860,835,872.59</w:t>
            </w:r>
            <w:r>
              <w:rPr>
                <w:rFonts w:ascii="Times New Roman"/>
                <w:spacing w:val="-1"/>
                <w:sz w:val="18"/>
              </w:rPr>
            </w:r>
          </w:p>
        </w:tc>
        <w:tc>
          <w:tcPr>
            <w:tcW w:w="1437" w:type="dxa"/>
            <w:tcBorders>
              <w:top w:val="single" w:sz="4" w:space="0" w:color="000000"/>
              <w:left w:val="nil" w:sz="6" w:space="0" w:color="auto"/>
              <w:bottom w:val="single" w:sz="12" w:space="0" w:color="000000"/>
              <w:right w:val="nil" w:sz="6" w:space="0" w:color="auto"/>
            </w:tcBorders>
          </w:tcPr>
          <w:p>
            <w:pPr>
              <w:pStyle w:val="TableParagraph"/>
              <w:spacing w:line="240" w:lineRule="auto" w:before="67"/>
              <w:ind w:right="26"/>
              <w:jc w:val="right"/>
              <w:rPr>
                <w:rFonts w:ascii="Times New Roman" w:hAnsi="Times New Roman" w:cs="Times New Roman" w:eastAsia="Times New Roman" w:hint="default"/>
                <w:sz w:val="18"/>
                <w:szCs w:val="18"/>
              </w:rPr>
            </w:pPr>
            <w:r>
              <w:rPr>
                <w:rFonts w:ascii="Times New Roman"/>
                <w:b/>
                <w:spacing w:val="-1"/>
                <w:sz w:val="18"/>
              </w:rPr>
              <w:t>34,204,999,398.84</w:t>
            </w:r>
            <w:r>
              <w:rPr>
                <w:rFonts w:ascii="Times New Roman"/>
                <w:spacing w:val="-1"/>
                <w:sz w:val="18"/>
              </w:rPr>
            </w:r>
          </w:p>
        </w:tc>
        <w:tc>
          <w:tcPr>
            <w:tcW w:w="1405" w:type="dxa"/>
            <w:tcBorders>
              <w:top w:val="single" w:sz="4" w:space="0" w:color="000000"/>
              <w:left w:val="nil" w:sz="6" w:space="0" w:color="auto"/>
              <w:bottom w:val="single" w:sz="12" w:space="0" w:color="000000"/>
              <w:right w:val="nil" w:sz="6" w:space="0" w:color="auto"/>
            </w:tcBorders>
          </w:tcPr>
          <w:p>
            <w:pPr>
              <w:pStyle w:val="TableParagraph"/>
              <w:spacing w:line="240" w:lineRule="auto" w:before="67"/>
              <w:ind w:right="24"/>
              <w:jc w:val="right"/>
              <w:rPr>
                <w:rFonts w:ascii="Times New Roman" w:hAnsi="Times New Roman" w:cs="Times New Roman" w:eastAsia="Times New Roman" w:hint="default"/>
                <w:sz w:val="18"/>
                <w:szCs w:val="18"/>
              </w:rPr>
            </w:pPr>
            <w:r>
              <w:rPr>
                <w:rFonts w:ascii="Times New Roman"/>
                <w:b/>
                <w:spacing w:val="-1"/>
                <w:sz w:val="18"/>
              </w:rPr>
              <w:t>28,232,009,400.08</w:t>
            </w:r>
            <w:r>
              <w:rPr>
                <w:rFonts w:ascii="Times New Roman"/>
                <w:spacing w:val="-1"/>
                <w:sz w:val="18"/>
              </w:rPr>
            </w:r>
          </w:p>
        </w:tc>
        <w:tc>
          <w:tcPr>
            <w:tcW w:w="1405" w:type="dxa"/>
            <w:tcBorders>
              <w:top w:val="single" w:sz="4" w:space="0" w:color="000000"/>
              <w:left w:val="nil" w:sz="6" w:space="0" w:color="auto"/>
              <w:bottom w:val="single" w:sz="12" w:space="0" w:color="000000"/>
              <w:right w:val="nil" w:sz="6" w:space="0" w:color="auto"/>
            </w:tcBorders>
          </w:tcPr>
          <w:p>
            <w:pPr>
              <w:pStyle w:val="TableParagraph"/>
              <w:spacing w:line="240" w:lineRule="auto" w:before="67"/>
              <w:ind w:right="26"/>
              <w:jc w:val="right"/>
              <w:rPr>
                <w:rFonts w:ascii="Times New Roman" w:hAnsi="Times New Roman" w:cs="Times New Roman" w:eastAsia="Times New Roman" w:hint="default"/>
                <w:sz w:val="18"/>
                <w:szCs w:val="18"/>
              </w:rPr>
            </w:pPr>
            <w:r>
              <w:rPr>
                <w:rFonts w:ascii="Times New Roman"/>
                <w:b/>
                <w:spacing w:val="-1"/>
                <w:sz w:val="18"/>
              </w:rPr>
              <w:t>22,810,605,913.79</w:t>
            </w:r>
            <w:r>
              <w:rPr>
                <w:rFonts w:ascii="Times New Roman"/>
                <w:spacing w:val="-1"/>
                <w:sz w:val="18"/>
              </w:rPr>
            </w:r>
          </w:p>
        </w:tc>
        <w:tc>
          <w:tcPr>
            <w:tcW w:w="1317" w:type="dxa"/>
            <w:tcBorders>
              <w:top w:val="single" w:sz="4" w:space="0" w:color="000000"/>
              <w:left w:val="nil" w:sz="6" w:space="0" w:color="auto"/>
              <w:bottom w:val="single" w:sz="12" w:space="0" w:color="000000"/>
              <w:right w:val="nil" w:sz="6" w:space="0" w:color="auto"/>
            </w:tcBorders>
          </w:tcPr>
          <w:p>
            <w:pPr>
              <w:pStyle w:val="TableParagraph"/>
              <w:spacing w:line="240" w:lineRule="auto" w:before="67"/>
              <w:ind w:right="27"/>
              <w:jc w:val="right"/>
              <w:rPr>
                <w:rFonts w:ascii="Times New Roman" w:hAnsi="Times New Roman" w:cs="Times New Roman" w:eastAsia="Times New Roman" w:hint="default"/>
                <w:sz w:val="18"/>
                <w:szCs w:val="18"/>
              </w:rPr>
            </w:pPr>
            <w:r>
              <w:rPr>
                <w:rFonts w:ascii="Times New Roman"/>
                <w:b/>
                <w:spacing w:val="-1"/>
                <w:sz w:val="18"/>
              </w:rPr>
              <w:t>2,373,363,229.19</w:t>
            </w:r>
            <w:r>
              <w:rPr>
                <w:rFonts w:ascii="Times New Roman"/>
                <w:spacing w:val="-1"/>
                <w:sz w:val="18"/>
              </w:rPr>
            </w:r>
          </w:p>
        </w:tc>
      </w:tr>
    </w:tbl>
    <w:p>
      <w:pPr>
        <w:spacing w:before="21"/>
        <w:ind w:left="202" w:right="94" w:firstLine="0"/>
        <w:jc w:val="left"/>
        <w:rPr>
          <w:rFonts w:ascii="宋体" w:hAnsi="宋体" w:cs="宋体" w:eastAsia="宋体" w:hint="default"/>
          <w:sz w:val="22"/>
          <w:szCs w:val="22"/>
        </w:rPr>
      </w:pPr>
      <w:r>
        <w:rPr>
          <w:rFonts w:ascii="宋体" w:hAnsi="宋体" w:cs="宋体" w:eastAsia="宋体" w:hint="default"/>
          <w:sz w:val="22"/>
          <w:szCs w:val="22"/>
        </w:rPr>
        <w:t>（续）</w:t>
      </w:r>
    </w:p>
    <w:p>
      <w:pPr>
        <w:spacing w:line="240" w:lineRule="auto" w:before="9"/>
        <w:rPr>
          <w:rFonts w:ascii="宋体" w:hAnsi="宋体" w:cs="宋体" w:eastAsia="宋体" w:hint="default"/>
          <w:sz w:val="12"/>
          <w:szCs w:val="12"/>
        </w:rPr>
      </w:pPr>
    </w:p>
    <w:tbl>
      <w:tblPr>
        <w:tblW w:w="0" w:type="auto"/>
        <w:jc w:val="left"/>
        <w:tblInd w:w="173" w:type="dxa"/>
        <w:tblLayout w:type="fixed"/>
        <w:tblCellMar>
          <w:top w:w="0" w:type="dxa"/>
          <w:left w:w="0" w:type="dxa"/>
          <w:bottom w:w="0" w:type="dxa"/>
          <w:right w:w="0" w:type="dxa"/>
        </w:tblCellMar>
        <w:tblLook w:val="01E0"/>
      </w:tblPr>
      <w:tblGrid>
        <w:gridCol w:w="1510"/>
        <w:gridCol w:w="1462"/>
        <w:gridCol w:w="1360"/>
        <w:gridCol w:w="1510"/>
        <w:gridCol w:w="1474"/>
        <w:gridCol w:w="1250"/>
      </w:tblGrid>
      <w:tr>
        <w:trPr>
          <w:trHeight w:val="274" w:hRule="exact"/>
        </w:trPr>
        <w:tc>
          <w:tcPr>
            <w:tcW w:w="1510" w:type="dxa"/>
            <w:vMerge w:val="restart"/>
            <w:tcBorders>
              <w:top w:val="single" w:sz="12" w:space="0" w:color="000000"/>
              <w:left w:val="nil" w:sz="6" w:space="0" w:color="auto"/>
              <w:right w:val="nil" w:sz="6" w:space="0" w:color="auto"/>
            </w:tcBorders>
          </w:tcPr>
          <w:p>
            <w:pPr>
              <w:pStyle w:val="TableParagraph"/>
              <w:spacing w:line="240" w:lineRule="auto" w:before="123"/>
              <w:ind w:left="393" w:right="0"/>
              <w:jc w:val="left"/>
              <w:rPr>
                <w:rFonts w:ascii="宋体" w:hAnsi="宋体" w:cs="宋体" w:eastAsia="宋体" w:hint="default"/>
                <w:sz w:val="18"/>
                <w:szCs w:val="18"/>
              </w:rPr>
            </w:pPr>
            <w:r>
              <w:rPr>
                <w:rFonts w:ascii="宋体" w:hAnsi="宋体" w:cs="宋体" w:eastAsia="宋体" w:hint="default"/>
                <w:b/>
                <w:bCs/>
                <w:sz w:val="18"/>
                <w:szCs w:val="18"/>
              </w:rPr>
              <w:t>报告分部</w:t>
            </w:r>
            <w:r>
              <w:rPr>
                <w:rFonts w:ascii="宋体" w:hAnsi="宋体" w:cs="宋体" w:eastAsia="宋体" w:hint="default"/>
                <w:sz w:val="18"/>
                <w:szCs w:val="18"/>
              </w:rPr>
            </w:r>
          </w:p>
        </w:tc>
        <w:tc>
          <w:tcPr>
            <w:tcW w:w="2822" w:type="dxa"/>
            <w:gridSpan w:val="2"/>
            <w:tcBorders>
              <w:top w:val="single" w:sz="12" w:space="0" w:color="000000"/>
              <w:left w:val="nil" w:sz="6" w:space="0" w:color="auto"/>
              <w:bottom w:val="single" w:sz="4" w:space="0" w:color="000000"/>
              <w:right w:val="nil" w:sz="6" w:space="0" w:color="auto"/>
            </w:tcBorders>
          </w:tcPr>
          <w:p>
            <w:pPr>
              <w:pStyle w:val="TableParagraph"/>
              <w:spacing w:line="241" w:lineRule="exact"/>
              <w:ind w:left="718"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1"/>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Times New Roman" w:hAnsi="Times New Roman" w:cs="Times New Roman" w:eastAsia="Times New Roman" w:hint="default"/>
                <w:b/>
                <w:bCs/>
                <w:sz w:val="18"/>
                <w:szCs w:val="18"/>
              </w:rPr>
              <w:t>12</w:t>
            </w:r>
            <w:r>
              <w:rPr>
                <w:rFonts w:ascii="Times New Roman" w:hAnsi="Times New Roman" w:cs="Times New Roman" w:eastAsia="Times New Roman" w:hint="default"/>
                <w:b/>
                <w:bCs/>
                <w:spacing w:val="-1"/>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Times New Roman" w:hAnsi="Times New Roman" w:cs="Times New Roman" w:eastAsia="Times New Roman" w:hint="default"/>
                <w:b/>
                <w:bCs/>
                <w:sz w:val="18"/>
                <w:szCs w:val="18"/>
              </w:rPr>
              <w:t>31</w:t>
            </w:r>
            <w:r>
              <w:rPr>
                <w:rFonts w:ascii="Times New Roman" w:hAnsi="Times New Roman" w:cs="Times New Roman" w:eastAsia="Times New Roman" w:hint="default"/>
                <w:b/>
                <w:bCs/>
                <w:spacing w:val="-1"/>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1510" w:type="dxa"/>
            <w:tcBorders>
              <w:top w:val="single" w:sz="12" w:space="0" w:color="000000"/>
              <w:left w:val="nil" w:sz="6" w:space="0" w:color="auto"/>
              <w:bottom w:val="single" w:sz="4" w:space="0" w:color="000000"/>
              <w:right w:val="nil" w:sz="6" w:space="0" w:color="auto"/>
            </w:tcBorders>
          </w:tcPr>
          <w:p>
            <w:pPr/>
          </w:p>
        </w:tc>
        <w:tc>
          <w:tcPr>
            <w:tcW w:w="1474" w:type="dxa"/>
            <w:tcBorders>
              <w:top w:val="single" w:sz="12" w:space="0" w:color="000000"/>
              <w:left w:val="nil" w:sz="6" w:space="0" w:color="auto"/>
              <w:bottom w:val="single" w:sz="4" w:space="0" w:color="000000"/>
              <w:right w:val="nil" w:sz="6" w:space="0" w:color="auto"/>
            </w:tcBorders>
          </w:tcPr>
          <w:p>
            <w:pPr>
              <w:pStyle w:val="TableParagraph"/>
              <w:spacing w:line="241" w:lineRule="exact"/>
              <w:ind w:right="151"/>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3"/>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tc>
        <w:tc>
          <w:tcPr>
            <w:tcW w:w="1250" w:type="dxa"/>
            <w:tcBorders>
              <w:top w:val="single" w:sz="12" w:space="0" w:color="000000"/>
              <w:left w:val="nil" w:sz="6" w:space="0" w:color="auto"/>
              <w:bottom w:val="single" w:sz="4" w:space="0" w:color="000000"/>
              <w:right w:val="nil" w:sz="6" w:space="0" w:color="auto"/>
            </w:tcBorders>
          </w:tcPr>
          <w:p>
            <w:pPr/>
          </w:p>
        </w:tc>
      </w:tr>
      <w:tr>
        <w:trPr>
          <w:trHeight w:val="286" w:hRule="exact"/>
        </w:trPr>
        <w:tc>
          <w:tcPr>
            <w:tcW w:w="1510" w:type="dxa"/>
            <w:vMerge/>
            <w:tcBorders>
              <w:left w:val="nil" w:sz="6" w:space="0" w:color="auto"/>
              <w:bottom w:val="single" w:sz="4" w:space="0" w:color="000000"/>
              <w:right w:val="nil" w:sz="6" w:space="0" w:color="auto"/>
            </w:tcBorders>
          </w:tcPr>
          <w:p>
            <w:pPr/>
          </w:p>
        </w:tc>
        <w:tc>
          <w:tcPr>
            <w:tcW w:w="1462" w:type="dxa"/>
            <w:tcBorders>
              <w:top w:val="single" w:sz="4" w:space="0" w:color="000000"/>
              <w:left w:val="nil" w:sz="6" w:space="0" w:color="auto"/>
              <w:bottom w:val="single" w:sz="4" w:space="0" w:color="000000"/>
              <w:right w:val="nil" w:sz="6" w:space="0" w:color="auto"/>
            </w:tcBorders>
          </w:tcPr>
          <w:p>
            <w:pPr>
              <w:pStyle w:val="TableParagraph"/>
              <w:spacing w:line="240" w:lineRule="auto" w:before="13"/>
              <w:ind w:left="367" w:right="0"/>
              <w:jc w:val="left"/>
              <w:rPr>
                <w:rFonts w:ascii="宋体" w:hAnsi="宋体" w:cs="宋体" w:eastAsia="宋体" w:hint="default"/>
                <w:sz w:val="18"/>
                <w:szCs w:val="18"/>
              </w:rPr>
            </w:pPr>
            <w:r>
              <w:rPr>
                <w:rFonts w:ascii="宋体" w:hAnsi="宋体" w:cs="宋体" w:eastAsia="宋体" w:hint="default"/>
                <w:b/>
                <w:bCs/>
                <w:sz w:val="18"/>
                <w:szCs w:val="18"/>
              </w:rPr>
              <w:t>资产总额</w:t>
            </w:r>
            <w:r>
              <w:rPr>
                <w:rFonts w:ascii="宋体" w:hAnsi="宋体" w:cs="宋体" w:eastAsia="宋体" w:hint="default"/>
                <w:sz w:val="18"/>
                <w:szCs w:val="18"/>
              </w:rPr>
            </w:r>
          </w:p>
        </w:tc>
        <w:tc>
          <w:tcPr>
            <w:tcW w:w="1360" w:type="dxa"/>
            <w:tcBorders>
              <w:top w:val="single" w:sz="4" w:space="0" w:color="000000"/>
              <w:left w:val="nil" w:sz="6" w:space="0" w:color="auto"/>
              <w:bottom w:val="single" w:sz="4" w:space="0" w:color="000000"/>
              <w:right w:val="nil" w:sz="6" w:space="0" w:color="auto"/>
            </w:tcBorders>
          </w:tcPr>
          <w:p>
            <w:pPr>
              <w:pStyle w:val="TableParagraph"/>
              <w:spacing w:line="240" w:lineRule="auto" w:before="13"/>
              <w:ind w:left="372" w:right="0"/>
              <w:jc w:val="left"/>
              <w:rPr>
                <w:rFonts w:ascii="宋体" w:hAnsi="宋体" w:cs="宋体" w:eastAsia="宋体" w:hint="default"/>
                <w:sz w:val="18"/>
                <w:szCs w:val="18"/>
              </w:rPr>
            </w:pPr>
            <w:r>
              <w:rPr>
                <w:rFonts w:ascii="宋体" w:hAnsi="宋体" w:cs="宋体" w:eastAsia="宋体" w:hint="default"/>
                <w:b/>
                <w:bCs/>
                <w:sz w:val="18"/>
                <w:szCs w:val="18"/>
              </w:rPr>
              <w:t>负债总额</w:t>
            </w:r>
            <w:r>
              <w:rPr>
                <w:rFonts w:ascii="宋体" w:hAnsi="宋体" w:cs="宋体" w:eastAsia="宋体" w:hint="default"/>
                <w:sz w:val="18"/>
                <w:szCs w:val="18"/>
              </w:rPr>
            </w:r>
          </w:p>
        </w:tc>
        <w:tc>
          <w:tcPr>
            <w:tcW w:w="1510" w:type="dxa"/>
            <w:tcBorders>
              <w:top w:val="single" w:sz="4" w:space="0" w:color="000000"/>
              <w:left w:val="nil" w:sz="6" w:space="0" w:color="auto"/>
              <w:bottom w:val="single" w:sz="4" w:space="0" w:color="000000"/>
              <w:right w:val="nil" w:sz="6" w:space="0" w:color="auto"/>
            </w:tcBorders>
          </w:tcPr>
          <w:p>
            <w:pPr>
              <w:pStyle w:val="TableParagraph"/>
              <w:spacing w:line="240" w:lineRule="auto" w:before="13"/>
              <w:ind w:left="265" w:right="0"/>
              <w:jc w:val="left"/>
              <w:rPr>
                <w:rFonts w:ascii="宋体" w:hAnsi="宋体" w:cs="宋体" w:eastAsia="宋体" w:hint="default"/>
                <w:sz w:val="18"/>
                <w:szCs w:val="18"/>
              </w:rPr>
            </w:pPr>
            <w:r>
              <w:rPr>
                <w:rFonts w:ascii="宋体" w:hAnsi="宋体" w:cs="宋体" w:eastAsia="宋体" w:hint="default"/>
                <w:b/>
                <w:bCs/>
                <w:sz w:val="18"/>
                <w:szCs w:val="18"/>
              </w:rPr>
              <w:t>主营业务收入</w:t>
            </w:r>
            <w:r>
              <w:rPr>
                <w:rFonts w:ascii="宋体" w:hAnsi="宋体" w:cs="宋体" w:eastAsia="宋体" w:hint="default"/>
                <w:sz w:val="18"/>
                <w:szCs w:val="18"/>
              </w:rPr>
            </w:r>
          </w:p>
        </w:tc>
        <w:tc>
          <w:tcPr>
            <w:tcW w:w="1474" w:type="dxa"/>
            <w:tcBorders>
              <w:top w:val="single" w:sz="4" w:space="0" w:color="000000"/>
              <w:left w:val="nil" w:sz="6" w:space="0" w:color="auto"/>
              <w:bottom w:val="single" w:sz="4" w:space="0" w:color="000000"/>
              <w:right w:val="nil" w:sz="6" w:space="0" w:color="auto"/>
            </w:tcBorders>
          </w:tcPr>
          <w:p>
            <w:pPr>
              <w:pStyle w:val="TableParagraph"/>
              <w:spacing w:line="240" w:lineRule="auto" w:before="13"/>
              <w:ind w:right="67"/>
              <w:jc w:val="center"/>
              <w:rPr>
                <w:rFonts w:ascii="宋体" w:hAnsi="宋体" w:cs="宋体" w:eastAsia="宋体" w:hint="default"/>
                <w:sz w:val="18"/>
                <w:szCs w:val="18"/>
              </w:rPr>
            </w:pPr>
            <w:r>
              <w:rPr>
                <w:rFonts w:ascii="宋体" w:hAnsi="宋体" w:cs="宋体" w:eastAsia="宋体" w:hint="default"/>
                <w:b/>
                <w:bCs/>
                <w:sz w:val="18"/>
                <w:szCs w:val="18"/>
              </w:rPr>
              <w:t>主营业务成本</w:t>
            </w:r>
            <w:r>
              <w:rPr>
                <w:rFonts w:ascii="宋体" w:hAnsi="宋体" w:cs="宋体" w:eastAsia="宋体" w:hint="default"/>
                <w:sz w:val="18"/>
                <w:szCs w:val="18"/>
              </w:rPr>
            </w:r>
          </w:p>
        </w:tc>
        <w:tc>
          <w:tcPr>
            <w:tcW w:w="1250" w:type="dxa"/>
            <w:tcBorders>
              <w:top w:val="single" w:sz="4" w:space="0" w:color="000000"/>
              <w:left w:val="nil" w:sz="6" w:space="0" w:color="auto"/>
              <w:bottom w:val="single" w:sz="4" w:space="0" w:color="000000"/>
              <w:right w:val="nil" w:sz="6" w:space="0" w:color="auto"/>
            </w:tcBorders>
          </w:tcPr>
          <w:p>
            <w:pPr>
              <w:pStyle w:val="TableParagraph"/>
              <w:spacing w:line="240" w:lineRule="auto" w:before="13"/>
              <w:ind w:left="229" w:right="0"/>
              <w:jc w:val="left"/>
              <w:rPr>
                <w:rFonts w:ascii="宋体" w:hAnsi="宋体" w:cs="宋体" w:eastAsia="宋体" w:hint="default"/>
                <w:sz w:val="18"/>
                <w:szCs w:val="18"/>
              </w:rPr>
            </w:pPr>
            <w:r>
              <w:rPr>
                <w:rFonts w:ascii="宋体" w:hAnsi="宋体" w:cs="宋体" w:eastAsia="宋体" w:hint="default"/>
                <w:b/>
                <w:bCs/>
                <w:sz w:val="18"/>
                <w:szCs w:val="18"/>
              </w:rPr>
              <w:t>利润总额</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10" w:h="16840"/>
          <w:pgMar w:header="645" w:footer="816" w:top="1080" w:bottom="1000" w:left="1500" w:right="1480"/>
        </w:sectPr>
      </w:pPr>
    </w:p>
    <w:p>
      <w:pPr>
        <w:spacing w:line="240" w:lineRule="auto" w:before="7"/>
        <w:rPr>
          <w:rFonts w:ascii="宋体" w:hAnsi="宋体" w:cs="宋体" w:eastAsia="宋体" w:hint="default"/>
          <w:sz w:val="27"/>
          <w:szCs w:val="27"/>
        </w:rPr>
      </w:pPr>
    </w:p>
    <w:tbl>
      <w:tblPr>
        <w:tblW w:w="0" w:type="auto"/>
        <w:jc w:val="left"/>
        <w:tblInd w:w="213" w:type="dxa"/>
        <w:tblLayout w:type="fixed"/>
        <w:tblCellMar>
          <w:top w:w="0" w:type="dxa"/>
          <w:left w:w="0" w:type="dxa"/>
          <w:bottom w:w="0" w:type="dxa"/>
          <w:right w:w="0" w:type="dxa"/>
        </w:tblCellMar>
        <w:tblLook w:val="01E0"/>
      </w:tblPr>
      <w:tblGrid>
        <w:gridCol w:w="1530"/>
        <w:gridCol w:w="1470"/>
        <w:gridCol w:w="1437"/>
        <w:gridCol w:w="1405"/>
        <w:gridCol w:w="1405"/>
        <w:gridCol w:w="1317"/>
      </w:tblGrid>
      <w:tr>
        <w:trPr>
          <w:trHeight w:val="315" w:hRule="exact"/>
        </w:trPr>
        <w:tc>
          <w:tcPr>
            <w:tcW w:w="1530" w:type="dxa"/>
            <w:tcBorders>
              <w:top w:val="single" w:sz="4" w:space="0" w:color="000000"/>
              <w:left w:val="nil" w:sz="6" w:space="0" w:color="auto"/>
              <w:bottom w:val="nil" w:sz="6" w:space="0" w:color="auto"/>
              <w:right w:val="nil" w:sz="6" w:space="0" w:color="auto"/>
            </w:tcBorders>
          </w:tcPr>
          <w:p>
            <w:pPr>
              <w:pStyle w:val="TableParagraph"/>
              <w:spacing w:line="240" w:lineRule="auto" w:before="10"/>
              <w:ind w:left="28" w:right="0"/>
              <w:jc w:val="left"/>
              <w:rPr>
                <w:rFonts w:ascii="宋体" w:hAnsi="宋体" w:cs="宋体" w:eastAsia="宋体" w:hint="default"/>
                <w:sz w:val="18"/>
                <w:szCs w:val="18"/>
              </w:rPr>
            </w:pPr>
            <w:r>
              <w:rPr>
                <w:rFonts w:ascii="宋体" w:hAnsi="宋体" w:cs="宋体" w:eastAsia="宋体" w:hint="default"/>
                <w:sz w:val="18"/>
                <w:szCs w:val="18"/>
              </w:rPr>
              <w:t>公共安全</w:t>
            </w:r>
          </w:p>
        </w:tc>
        <w:tc>
          <w:tcPr>
            <w:tcW w:w="1470" w:type="dxa"/>
            <w:tcBorders>
              <w:top w:val="single" w:sz="4" w:space="0" w:color="000000"/>
              <w:left w:val="nil" w:sz="6" w:space="0" w:color="auto"/>
              <w:bottom w:val="nil" w:sz="6" w:space="0" w:color="auto"/>
              <w:right w:val="nil" w:sz="6" w:space="0" w:color="auto"/>
            </w:tcBorders>
          </w:tcPr>
          <w:p>
            <w:pPr>
              <w:pStyle w:val="TableParagraph"/>
              <w:spacing w:line="240" w:lineRule="auto" w:before="64"/>
              <w:ind w:right="58"/>
              <w:jc w:val="right"/>
              <w:rPr>
                <w:rFonts w:ascii="Times New Roman" w:hAnsi="Times New Roman" w:cs="Times New Roman" w:eastAsia="Times New Roman" w:hint="default"/>
                <w:sz w:val="18"/>
                <w:szCs w:val="18"/>
              </w:rPr>
            </w:pPr>
            <w:r>
              <w:rPr>
                <w:rFonts w:ascii="Times New Roman"/>
                <w:spacing w:val="-1"/>
                <w:sz w:val="18"/>
              </w:rPr>
              <w:t>6,272,167,387.02</w:t>
            </w:r>
          </w:p>
        </w:tc>
        <w:tc>
          <w:tcPr>
            <w:tcW w:w="1437" w:type="dxa"/>
            <w:tcBorders>
              <w:top w:val="single" w:sz="4" w:space="0" w:color="000000"/>
              <w:left w:val="nil" w:sz="6" w:space="0" w:color="auto"/>
              <w:bottom w:val="nil" w:sz="6" w:space="0" w:color="auto"/>
              <w:right w:val="nil" w:sz="6" w:space="0" w:color="auto"/>
            </w:tcBorders>
          </w:tcPr>
          <w:p>
            <w:pPr>
              <w:pStyle w:val="TableParagraph"/>
              <w:spacing w:line="240" w:lineRule="auto" w:before="64"/>
              <w:ind w:right="28"/>
              <w:jc w:val="right"/>
              <w:rPr>
                <w:rFonts w:ascii="Times New Roman" w:hAnsi="Times New Roman" w:cs="Times New Roman" w:eastAsia="Times New Roman" w:hint="default"/>
                <w:sz w:val="18"/>
                <w:szCs w:val="18"/>
              </w:rPr>
            </w:pPr>
            <w:r>
              <w:rPr>
                <w:rFonts w:ascii="Times New Roman"/>
                <w:spacing w:val="-1"/>
                <w:sz w:val="18"/>
              </w:rPr>
              <w:t>4,250,133,223.44</w:t>
            </w:r>
          </w:p>
        </w:tc>
        <w:tc>
          <w:tcPr>
            <w:tcW w:w="1405" w:type="dxa"/>
            <w:tcBorders>
              <w:top w:val="single" w:sz="4" w:space="0" w:color="000000"/>
              <w:left w:val="nil" w:sz="6" w:space="0" w:color="auto"/>
              <w:bottom w:val="nil" w:sz="6" w:space="0" w:color="auto"/>
              <w:right w:val="nil" w:sz="6" w:space="0" w:color="auto"/>
            </w:tcBorders>
          </w:tcPr>
          <w:p>
            <w:pPr>
              <w:pStyle w:val="TableParagraph"/>
              <w:spacing w:line="240" w:lineRule="auto" w:before="64"/>
              <w:ind w:right="27"/>
              <w:jc w:val="right"/>
              <w:rPr>
                <w:rFonts w:ascii="Times New Roman" w:hAnsi="Times New Roman" w:cs="Times New Roman" w:eastAsia="Times New Roman" w:hint="default"/>
                <w:sz w:val="18"/>
                <w:szCs w:val="18"/>
              </w:rPr>
            </w:pPr>
            <w:r>
              <w:rPr>
                <w:rFonts w:ascii="Times New Roman"/>
                <w:spacing w:val="-1"/>
                <w:sz w:val="18"/>
              </w:rPr>
              <w:t>4,532,829,117.30</w:t>
            </w:r>
          </w:p>
        </w:tc>
        <w:tc>
          <w:tcPr>
            <w:tcW w:w="1405" w:type="dxa"/>
            <w:tcBorders>
              <w:top w:val="single" w:sz="4" w:space="0" w:color="000000"/>
              <w:left w:val="nil" w:sz="6" w:space="0" w:color="auto"/>
              <w:bottom w:val="nil" w:sz="6" w:space="0" w:color="auto"/>
              <w:right w:val="nil" w:sz="6" w:space="0" w:color="auto"/>
            </w:tcBorders>
          </w:tcPr>
          <w:p>
            <w:pPr>
              <w:pStyle w:val="TableParagraph"/>
              <w:spacing w:line="240" w:lineRule="auto" w:before="64"/>
              <w:ind w:right="28"/>
              <w:jc w:val="right"/>
              <w:rPr>
                <w:rFonts w:ascii="Times New Roman" w:hAnsi="Times New Roman" w:cs="Times New Roman" w:eastAsia="Times New Roman" w:hint="default"/>
                <w:sz w:val="18"/>
                <w:szCs w:val="18"/>
              </w:rPr>
            </w:pPr>
            <w:r>
              <w:rPr>
                <w:rFonts w:ascii="Times New Roman"/>
                <w:spacing w:val="-1"/>
                <w:sz w:val="18"/>
              </w:rPr>
              <w:t>3,187,385,037.34</w:t>
            </w:r>
          </w:p>
        </w:tc>
        <w:tc>
          <w:tcPr>
            <w:tcW w:w="1317" w:type="dxa"/>
            <w:tcBorders>
              <w:top w:val="single" w:sz="4" w:space="0" w:color="000000"/>
              <w:left w:val="nil" w:sz="6" w:space="0" w:color="auto"/>
              <w:bottom w:val="nil" w:sz="6" w:space="0" w:color="auto"/>
              <w:right w:val="nil" w:sz="6" w:space="0" w:color="auto"/>
            </w:tcBorders>
          </w:tcPr>
          <w:p>
            <w:pPr>
              <w:pStyle w:val="TableParagraph"/>
              <w:spacing w:line="240" w:lineRule="auto" w:before="64"/>
              <w:ind w:right="26"/>
              <w:jc w:val="right"/>
              <w:rPr>
                <w:rFonts w:ascii="Times New Roman" w:hAnsi="Times New Roman" w:cs="Times New Roman" w:eastAsia="Times New Roman" w:hint="default"/>
                <w:sz w:val="18"/>
                <w:szCs w:val="18"/>
              </w:rPr>
            </w:pPr>
            <w:r>
              <w:rPr>
                <w:rFonts w:ascii="Times New Roman"/>
                <w:spacing w:val="-1"/>
                <w:sz w:val="18"/>
              </w:rPr>
              <w:t>516,418,737.77</w:t>
            </w:r>
          </w:p>
        </w:tc>
      </w:tr>
      <w:tr>
        <w:trPr>
          <w:trHeight w:val="283"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22" w:lineRule="exact"/>
              <w:ind w:left="28" w:right="0"/>
              <w:jc w:val="left"/>
              <w:rPr>
                <w:rFonts w:ascii="宋体" w:hAnsi="宋体" w:cs="宋体" w:eastAsia="宋体" w:hint="default"/>
                <w:sz w:val="18"/>
                <w:szCs w:val="18"/>
              </w:rPr>
            </w:pPr>
            <w:r>
              <w:rPr>
                <w:rFonts w:ascii="宋体" w:hAnsi="宋体" w:cs="宋体" w:eastAsia="宋体" w:hint="default"/>
                <w:sz w:val="18"/>
                <w:szCs w:val="18"/>
              </w:rPr>
              <w:t>互联网服务与终端</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6"/>
              <w:jc w:val="right"/>
              <w:rPr>
                <w:rFonts w:ascii="Times New Roman" w:hAnsi="Times New Roman" w:cs="Times New Roman" w:eastAsia="Times New Roman" w:hint="default"/>
                <w:sz w:val="18"/>
                <w:szCs w:val="18"/>
              </w:rPr>
            </w:pPr>
            <w:r>
              <w:rPr>
                <w:rFonts w:ascii="Times New Roman"/>
                <w:spacing w:val="-1"/>
                <w:sz w:val="18"/>
              </w:rPr>
              <w:t>14,856,618,141.83</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8"/>
              <w:jc w:val="right"/>
              <w:rPr>
                <w:rFonts w:ascii="Times New Roman" w:hAnsi="Times New Roman" w:cs="Times New Roman" w:eastAsia="Times New Roman" w:hint="default"/>
                <w:sz w:val="18"/>
                <w:szCs w:val="18"/>
              </w:rPr>
            </w:pPr>
            <w:r>
              <w:rPr>
                <w:rFonts w:ascii="Times New Roman"/>
                <w:spacing w:val="-1"/>
                <w:sz w:val="18"/>
              </w:rPr>
              <w:t>8,980,368,297.11</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4"/>
              <w:jc w:val="right"/>
              <w:rPr>
                <w:rFonts w:ascii="Times New Roman" w:hAnsi="Times New Roman" w:cs="Times New Roman" w:eastAsia="Times New Roman" w:hint="default"/>
                <w:sz w:val="18"/>
                <w:szCs w:val="18"/>
              </w:rPr>
            </w:pPr>
            <w:r>
              <w:rPr>
                <w:rFonts w:ascii="Times New Roman"/>
                <w:spacing w:val="-1"/>
                <w:sz w:val="18"/>
              </w:rPr>
              <w:t>13,801,382,823.07</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11,762,513,214.29</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334,280,682.65</w:t>
            </w:r>
          </w:p>
        </w:tc>
      </w:tr>
      <w:tr>
        <w:trPr>
          <w:trHeight w:val="283"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22" w:lineRule="exact"/>
              <w:ind w:left="28" w:right="0"/>
              <w:jc w:val="left"/>
              <w:rPr>
                <w:rFonts w:ascii="宋体" w:hAnsi="宋体" w:cs="宋体" w:eastAsia="宋体" w:hint="default"/>
                <w:sz w:val="18"/>
                <w:szCs w:val="18"/>
              </w:rPr>
            </w:pPr>
            <w:r>
              <w:rPr>
                <w:rFonts w:ascii="宋体" w:hAnsi="宋体" w:cs="宋体" w:eastAsia="宋体" w:hint="default"/>
                <w:sz w:val="18"/>
                <w:szCs w:val="18"/>
              </w:rPr>
              <w:t>智慧城市</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8"/>
              <w:jc w:val="right"/>
              <w:rPr>
                <w:rFonts w:ascii="Times New Roman" w:hAnsi="Times New Roman" w:cs="Times New Roman" w:eastAsia="Times New Roman" w:hint="default"/>
                <w:sz w:val="18"/>
                <w:szCs w:val="18"/>
              </w:rPr>
            </w:pPr>
            <w:r>
              <w:rPr>
                <w:rFonts w:ascii="Times New Roman"/>
                <w:spacing w:val="-1"/>
                <w:sz w:val="18"/>
              </w:rPr>
              <w:t>3,861,619,753.22</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8"/>
              <w:jc w:val="right"/>
              <w:rPr>
                <w:rFonts w:ascii="Times New Roman" w:hAnsi="Times New Roman" w:cs="Times New Roman" w:eastAsia="Times New Roman" w:hint="default"/>
                <w:sz w:val="18"/>
                <w:szCs w:val="18"/>
              </w:rPr>
            </w:pPr>
            <w:r>
              <w:rPr>
                <w:rFonts w:ascii="Times New Roman"/>
                <w:spacing w:val="-1"/>
                <w:sz w:val="18"/>
              </w:rPr>
              <w:t>2,819,167,320.42</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7"/>
              <w:jc w:val="right"/>
              <w:rPr>
                <w:rFonts w:ascii="Times New Roman" w:hAnsi="Times New Roman" w:cs="Times New Roman" w:eastAsia="Times New Roman" w:hint="default"/>
                <w:sz w:val="18"/>
                <w:szCs w:val="18"/>
              </w:rPr>
            </w:pPr>
            <w:r>
              <w:rPr>
                <w:rFonts w:ascii="Times New Roman"/>
                <w:spacing w:val="-1"/>
                <w:sz w:val="18"/>
              </w:rPr>
              <w:t>3,252,144,518.91</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8"/>
              <w:jc w:val="right"/>
              <w:rPr>
                <w:rFonts w:ascii="Times New Roman" w:hAnsi="Times New Roman" w:cs="Times New Roman" w:eastAsia="Times New Roman" w:hint="default"/>
                <w:sz w:val="18"/>
                <w:szCs w:val="18"/>
              </w:rPr>
            </w:pPr>
            <w:r>
              <w:rPr>
                <w:rFonts w:ascii="Times New Roman"/>
                <w:spacing w:val="-1"/>
                <w:sz w:val="18"/>
              </w:rPr>
              <w:t>2,746,719,364.12</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134,515,715.85</w:t>
            </w:r>
          </w:p>
        </w:tc>
      </w:tr>
      <w:tr>
        <w:trPr>
          <w:trHeight w:val="284"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22" w:lineRule="exact"/>
              <w:ind w:left="28" w:right="0"/>
              <w:jc w:val="left"/>
              <w:rPr>
                <w:rFonts w:ascii="宋体" w:hAnsi="宋体" w:cs="宋体" w:eastAsia="宋体" w:hint="default"/>
                <w:sz w:val="18"/>
                <w:szCs w:val="18"/>
              </w:rPr>
            </w:pPr>
            <w:r>
              <w:rPr>
                <w:rFonts w:ascii="宋体" w:hAnsi="宋体" w:cs="宋体" w:eastAsia="宋体" w:hint="default"/>
                <w:sz w:val="18"/>
                <w:szCs w:val="18"/>
              </w:rPr>
              <w:t>节能环保</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6"/>
              <w:jc w:val="right"/>
              <w:rPr>
                <w:rFonts w:ascii="Times New Roman" w:hAnsi="Times New Roman" w:cs="Times New Roman" w:eastAsia="Times New Roman" w:hint="default"/>
                <w:sz w:val="18"/>
                <w:szCs w:val="18"/>
              </w:rPr>
            </w:pPr>
            <w:r>
              <w:rPr>
                <w:rFonts w:ascii="Times New Roman"/>
                <w:spacing w:val="-1"/>
                <w:sz w:val="18"/>
              </w:rPr>
              <w:t>14,357,487,778.30</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8"/>
              <w:jc w:val="right"/>
              <w:rPr>
                <w:rFonts w:ascii="Times New Roman" w:hAnsi="Times New Roman" w:cs="Times New Roman" w:eastAsia="Times New Roman" w:hint="default"/>
                <w:sz w:val="18"/>
                <w:szCs w:val="18"/>
              </w:rPr>
            </w:pPr>
            <w:r>
              <w:rPr>
                <w:rFonts w:ascii="Times New Roman"/>
                <w:spacing w:val="-1"/>
                <w:sz w:val="18"/>
              </w:rPr>
              <w:t>9,829,185,817.17</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7"/>
              <w:jc w:val="right"/>
              <w:rPr>
                <w:rFonts w:ascii="Times New Roman" w:hAnsi="Times New Roman" w:cs="Times New Roman" w:eastAsia="Times New Roman" w:hint="default"/>
                <w:sz w:val="18"/>
                <w:szCs w:val="18"/>
              </w:rPr>
            </w:pPr>
            <w:r>
              <w:rPr>
                <w:rFonts w:ascii="Times New Roman"/>
                <w:spacing w:val="-1"/>
                <w:sz w:val="18"/>
              </w:rPr>
              <w:t>4,393,832,411.91</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8"/>
              <w:jc w:val="right"/>
              <w:rPr>
                <w:rFonts w:ascii="Times New Roman" w:hAnsi="Times New Roman" w:cs="Times New Roman" w:eastAsia="Times New Roman" w:hint="default"/>
                <w:sz w:val="18"/>
                <w:szCs w:val="18"/>
              </w:rPr>
            </w:pPr>
            <w:r>
              <w:rPr>
                <w:rFonts w:ascii="Times New Roman"/>
                <w:spacing w:val="-1"/>
                <w:sz w:val="18"/>
              </w:rPr>
              <w:t>3,265,743,567.11</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183,201,399.47</w:t>
            </w:r>
          </w:p>
        </w:tc>
      </w:tr>
      <w:tr>
        <w:trPr>
          <w:trHeight w:val="284"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23" w:lineRule="exact"/>
              <w:ind w:left="28" w:right="0"/>
              <w:jc w:val="left"/>
              <w:rPr>
                <w:rFonts w:ascii="宋体" w:hAnsi="宋体" w:cs="宋体" w:eastAsia="宋体" w:hint="default"/>
                <w:sz w:val="18"/>
                <w:szCs w:val="18"/>
              </w:rPr>
            </w:pPr>
            <w:r>
              <w:rPr>
                <w:rFonts w:ascii="宋体" w:hAnsi="宋体" w:cs="宋体" w:eastAsia="宋体" w:hint="default"/>
                <w:sz w:val="18"/>
                <w:szCs w:val="18"/>
              </w:rPr>
              <w:t>科技园区</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8"/>
              <w:jc w:val="right"/>
              <w:rPr>
                <w:rFonts w:ascii="Times New Roman" w:hAnsi="Times New Roman" w:cs="Times New Roman" w:eastAsia="Times New Roman" w:hint="default"/>
                <w:sz w:val="18"/>
                <w:szCs w:val="18"/>
              </w:rPr>
            </w:pPr>
            <w:r>
              <w:rPr>
                <w:rFonts w:ascii="Times New Roman"/>
                <w:spacing w:val="-1"/>
                <w:sz w:val="18"/>
              </w:rPr>
              <w:t>3,198,802,581.04</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
              <w:jc w:val="right"/>
              <w:rPr>
                <w:rFonts w:ascii="Times New Roman" w:hAnsi="Times New Roman" w:cs="Times New Roman" w:eastAsia="Times New Roman" w:hint="default"/>
                <w:sz w:val="18"/>
                <w:szCs w:val="18"/>
              </w:rPr>
            </w:pPr>
            <w:r>
              <w:rPr>
                <w:rFonts w:ascii="Times New Roman"/>
                <w:spacing w:val="-1"/>
                <w:sz w:val="18"/>
              </w:rPr>
              <w:t>2,397,565,314.18</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4"/>
              <w:jc w:val="right"/>
              <w:rPr>
                <w:rFonts w:ascii="Times New Roman" w:hAnsi="Times New Roman" w:cs="Times New Roman" w:eastAsia="Times New Roman" w:hint="default"/>
                <w:sz w:val="18"/>
                <w:szCs w:val="18"/>
              </w:rPr>
            </w:pPr>
            <w:r>
              <w:rPr>
                <w:rFonts w:ascii="Times New Roman"/>
                <w:spacing w:val="-1"/>
                <w:sz w:val="18"/>
              </w:rPr>
              <w:t>101,568,651.30</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
              <w:jc w:val="right"/>
              <w:rPr>
                <w:rFonts w:ascii="Times New Roman" w:hAnsi="Times New Roman" w:cs="Times New Roman" w:eastAsia="Times New Roman" w:hint="default"/>
                <w:sz w:val="18"/>
                <w:szCs w:val="18"/>
              </w:rPr>
            </w:pPr>
            <w:r>
              <w:rPr>
                <w:rFonts w:ascii="Times New Roman"/>
                <w:spacing w:val="-1"/>
                <w:sz w:val="18"/>
              </w:rPr>
              <w:t>78,611,917.01</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9"/>
              <w:jc w:val="right"/>
              <w:rPr>
                <w:rFonts w:ascii="Times New Roman" w:hAnsi="Times New Roman" w:cs="Times New Roman" w:eastAsia="Times New Roman" w:hint="default"/>
                <w:sz w:val="18"/>
                <w:szCs w:val="18"/>
              </w:rPr>
            </w:pPr>
            <w:r>
              <w:rPr>
                <w:rFonts w:ascii="Times New Roman"/>
                <w:spacing w:val="-1"/>
                <w:sz w:val="18"/>
              </w:rPr>
              <w:t>41,752,982.45</w:t>
            </w:r>
          </w:p>
        </w:tc>
      </w:tr>
      <w:tr>
        <w:trPr>
          <w:trHeight w:val="254" w:hRule="exact"/>
        </w:trPr>
        <w:tc>
          <w:tcPr>
            <w:tcW w:w="1530" w:type="dxa"/>
            <w:tcBorders>
              <w:top w:val="nil" w:sz="6" w:space="0" w:color="auto"/>
              <w:left w:val="nil" w:sz="6" w:space="0" w:color="auto"/>
              <w:bottom w:val="single" w:sz="4" w:space="0" w:color="000000"/>
              <w:right w:val="nil" w:sz="6" w:space="0" w:color="auto"/>
            </w:tcBorders>
          </w:tcPr>
          <w:p>
            <w:pPr>
              <w:pStyle w:val="TableParagraph"/>
              <w:spacing w:line="222" w:lineRule="exact"/>
              <w:ind w:left="28" w:right="0"/>
              <w:jc w:val="left"/>
              <w:rPr>
                <w:rFonts w:ascii="宋体" w:hAnsi="宋体" w:cs="宋体" w:eastAsia="宋体" w:hint="default"/>
                <w:sz w:val="18"/>
                <w:szCs w:val="18"/>
              </w:rPr>
            </w:pPr>
            <w:r>
              <w:rPr>
                <w:rFonts w:ascii="宋体" w:hAnsi="宋体" w:cs="宋体" w:eastAsia="宋体" w:hint="default"/>
                <w:sz w:val="18"/>
                <w:szCs w:val="18"/>
              </w:rPr>
              <w:t>总部与投资</w:t>
            </w:r>
          </w:p>
        </w:tc>
        <w:tc>
          <w:tcPr>
            <w:tcW w:w="1470"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58"/>
              <w:jc w:val="right"/>
              <w:rPr>
                <w:rFonts w:ascii="Times New Roman" w:hAnsi="Times New Roman" w:cs="Times New Roman" w:eastAsia="Times New Roman" w:hint="default"/>
                <w:sz w:val="18"/>
                <w:szCs w:val="18"/>
              </w:rPr>
            </w:pPr>
            <w:r>
              <w:rPr>
                <w:rFonts w:ascii="Times New Roman"/>
                <w:spacing w:val="-1"/>
                <w:sz w:val="18"/>
              </w:rPr>
              <w:t>7,867,901,836.19</w:t>
            </w:r>
          </w:p>
        </w:tc>
        <w:tc>
          <w:tcPr>
            <w:tcW w:w="143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8"/>
              <w:jc w:val="right"/>
              <w:rPr>
                <w:rFonts w:ascii="Times New Roman" w:hAnsi="Times New Roman" w:cs="Times New Roman" w:eastAsia="Times New Roman" w:hint="default"/>
                <w:sz w:val="18"/>
                <w:szCs w:val="18"/>
              </w:rPr>
            </w:pPr>
            <w:r>
              <w:rPr>
                <w:rFonts w:ascii="Times New Roman"/>
                <w:spacing w:val="-1"/>
                <w:sz w:val="18"/>
              </w:rPr>
              <w:t>6,773,962,179.46</w:t>
            </w:r>
          </w:p>
        </w:tc>
        <w:tc>
          <w:tcPr>
            <w:tcW w:w="1405"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7"/>
              <w:jc w:val="right"/>
              <w:rPr>
                <w:rFonts w:ascii="Times New Roman" w:hAnsi="Times New Roman" w:cs="Times New Roman" w:eastAsia="Times New Roman" w:hint="default"/>
                <w:sz w:val="18"/>
                <w:szCs w:val="18"/>
              </w:rPr>
            </w:pPr>
            <w:r>
              <w:rPr>
                <w:rFonts w:ascii="Times New Roman"/>
                <w:spacing w:val="-1"/>
                <w:sz w:val="18"/>
              </w:rPr>
              <w:t>0.00</w:t>
            </w:r>
          </w:p>
        </w:tc>
        <w:tc>
          <w:tcPr>
            <w:tcW w:w="1405"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0.00</w:t>
            </w:r>
          </w:p>
        </w:tc>
        <w:tc>
          <w:tcPr>
            <w:tcW w:w="131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213,010,525.46</w:t>
            </w:r>
          </w:p>
        </w:tc>
      </w:tr>
      <w:tr>
        <w:trPr>
          <w:trHeight w:val="286" w:hRule="exact"/>
        </w:trPr>
        <w:tc>
          <w:tcPr>
            <w:tcW w:w="1530"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16"/>
              <w:jc w:val="center"/>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470" w:type="dxa"/>
            <w:tcBorders>
              <w:top w:val="single" w:sz="4" w:space="0" w:color="000000"/>
              <w:left w:val="nil" w:sz="6" w:space="0" w:color="auto"/>
              <w:bottom w:val="single" w:sz="4" w:space="0" w:color="000000"/>
              <w:right w:val="nil" w:sz="6" w:space="0" w:color="auto"/>
            </w:tcBorders>
          </w:tcPr>
          <w:p>
            <w:pPr>
              <w:pStyle w:val="TableParagraph"/>
              <w:spacing w:line="240" w:lineRule="auto" w:before="67"/>
              <w:ind w:right="56"/>
              <w:jc w:val="right"/>
              <w:rPr>
                <w:rFonts w:ascii="Times New Roman" w:hAnsi="Times New Roman" w:cs="Times New Roman" w:eastAsia="Times New Roman" w:hint="default"/>
                <w:sz w:val="18"/>
                <w:szCs w:val="18"/>
              </w:rPr>
            </w:pPr>
            <w:r>
              <w:rPr>
                <w:rFonts w:ascii="Times New Roman"/>
                <w:b/>
                <w:spacing w:val="-1"/>
                <w:sz w:val="18"/>
              </w:rPr>
              <w:t>50,414,597,477.60</w:t>
            </w:r>
            <w:r>
              <w:rPr>
                <w:rFonts w:ascii="Times New Roman"/>
                <w:spacing w:val="-1"/>
                <w:sz w:val="18"/>
              </w:rPr>
            </w:r>
          </w:p>
        </w:tc>
        <w:tc>
          <w:tcPr>
            <w:tcW w:w="1437" w:type="dxa"/>
            <w:tcBorders>
              <w:top w:val="single" w:sz="4" w:space="0" w:color="000000"/>
              <w:left w:val="nil" w:sz="6" w:space="0" w:color="auto"/>
              <w:bottom w:val="single" w:sz="4" w:space="0" w:color="000000"/>
              <w:right w:val="nil" w:sz="6" w:space="0" w:color="auto"/>
            </w:tcBorders>
          </w:tcPr>
          <w:p>
            <w:pPr>
              <w:pStyle w:val="TableParagraph"/>
              <w:spacing w:line="240" w:lineRule="auto" w:before="67"/>
              <w:ind w:right="26"/>
              <w:jc w:val="right"/>
              <w:rPr>
                <w:rFonts w:ascii="Times New Roman" w:hAnsi="Times New Roman" w:cs="Times New Roman" w:eastAsia="Times New Roman" w:hint="default"/>
                <w:sz w:val="18"/>
                <w:szCs w:val="18"/>
              </w:rPr>
            </w:pPr>
            <w:r>
              <w:rPr>
                <w:rFonts w:ascii="Times New Roman"/>
                <w:b/>
                <w:spacing w:val="-1"/>
                <w:sz w:val="18"/>
              </w:rPr>
              <w:t>35,050,382,151.78</w:t>
            </w:r>
            <w:r>
              <w:rPr>
                <w:rFonts w:ascii="Times New Roman"/>
                <w:spacing w:val="-1"/>
                <w:sz w:val="18"/>
              </w:rPr>
            </w:r>
          </w:p>
        </w:tc>
        <w:tc>
          <w:tcPr>
            <w:tcW w:w="1405" w:type="dxa"/>
            <w:tcBorders>
              <w:top w:val="single" w:sz="4" w:space="0" w:color="000000"/>
              <w:left w:val="nil" w:sz="6" w:space="0" w:color="auto"/>
              <w:bottom w:val="single" w:sz="4" w:space="0" w:color="000000"/>
              <w:right w:val="nil" w:sz="6" w:space="0" w:color="auto"/>
            </w:tcBorders>
          </w:tcPr>
          <w:p>
            <w:pPr>
              <w:pStyle w:val="TableParagraph"/>
              <w:spacing w:line="240" w:lineRule="auto" w:before="67"/>
              <w:ind w:right="24"/>
              <w:jc w:val="right"/>
              <w:rPr>
                <w:rFonts w:ascii="Times New Roman" w:hAnsi="Times New Roman" w:cs="Times New Roman" w:eastAsia="Times New Roman" w:hint="default"/>
                <w:sz w:val="18"/>
                <w:szCs w:val="18"/>
              </w:rPr>
            </w:pPr>
            <w:r>
              <w:rPr>
                <w:rFonts w:ascii="Times New Roman"/>
                <w:b/>
                <w:spacing w:val="-1"/>
                <w:sz w:val="18"/>
              </w:rPr>
              <w:t>26,081,757,522.49</w:t>
            </w:r>
            <w:r>
              <w:rPr>
                <w:rFonts w:ascii="Times New Roman"/>
                <w:spacing w:val="-1"/>
                <w:sz w:val="18"/>
              </w:rPr>
            </w:r>
          </w:p>
        </w:tc>
        <w:tc>
          <w:tcPr>
            <w:tcW w:w="1405" w:type="dxa"/>
            <w:tcBorders>
              <w:top w:val="single" w:sz="4" w:space="0" w:color="000000"/>
              <w:left w:val="nil" w:sz="6" w:space="0" w:color="auto"/>
              <w:bottom w:val="single" w:sz="4" w:space="0" w:color="000000"/>
              <w:right w:val="nil" w:sz="6" w:space="0" w:color="auto"/>
            </w:tcBorders>
          </w:tcPr>
          <w:p>
            <w:pPr>
              <w:pStyle w:val="TableParagraph"/>
              <w:spacing w:line="240" w:lineRule="auto" w:before="67"/>
              <w:ind w:right="26"/>
              <w:jc w:val="right"/>
              <w:rPr>
                <w:rFonts w:ascii="Times New Roman" w:hAnsi="Times New Roman" w:cs="Times New Roman" w:eastAsia="Times New Roman" w:hint="default"/>
                <w:sz w:val="18"/>
                <w:szCs w:val="18"/>
              </w:rPr>
            </w:pPr>
            <w:r>
              <w:rPr>
                <w:rFonts w:ascii="Times New Roman"/>
                <w:b/>
                <w:spacing w:val="-1"/>
                <w:sz w:val="18"/>
              </w:rPr>
              <w:t>21,040,973,099.87</w:t>
            </w:r>
            <w:r>
              <w:rPr>
                <w:rFonts w:ascii="Times New Roman"/>
                <w:spacing w:val="-1"/>
                <w:sz w:val="18"/>
              </w:rPr>
            </w:r>
          </w:p>
        </w:tc>
        <w:tc>
          <w:tcPr>
            <w:tcW w:w="1317" w:type="dxa"/>
            <w:tcBorders>
              <w:top w:val="single" w:sz="4" w:space="0" w:color="000000"/>
              <w:left w:val="nil" w:sz="6" w:space="0" w:color="auto"/>
              <w:bottom w:val="single" w:sz="4" w:space="0" w:color="000000"/>
              <w:right w:val="nil" w:sz="6" w:space="0" w:color="auto"/>
            </w:tcBorders>
          </w:tcPr>
          <w:p>
            <w:pPr>
              <w:pStyle w:val="TableParagraph"/>
              <w:spacing w:line="240" w:lineRule="auto" w:before="67"/>
              <w:ind w:right="27"/>
              <w:jc w:val="right"/>
              <w:rPr>
                <w:rFonts w:ascii="Times New Roman" w:hAnsi="Times New Roman" w:cs="Times New Roman" w:eastAsia="Times New Roman" w:hint="default"/>
                <w:sz w:val="18"/>
                <w:szCs w:val="18"/>
              </w:rPr>
            </w:pPr>
            <w:r>
              <w:rPr>
                <w:rFonts w:ascii="Times New Roman"/>
                <w:b/>
                <w:spacing w:val="-1"/>
                <w:sz w:val="18"/>
              </w:rPr>
              <w:t>1,423,180,043.65</w:t>
            </w:r>
            <w:r>
              <w:rPr>
                <w:rFonts w:ascii="Times New Roman"/>
                <w:spacing w:val="-1"/>
                <w:sz w:val="18"/>
              </w:rPr>
            </w:r>
          </w:p>
        </w:tc>
      </w:tr>
      <w:tr>
        <w:trPr>
          <w:trHeight w:val="283" w:hRule="exact"/>
        </w:trPr>
        <w:tc>
          <w:tcPr>
            <w:tcW w:w="1530"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28" w:right="0"/>
              <w:jc w:val="left"/>
              <w:rPr>
                <w:rFonts w:ascii="宋体" w:hAnsi="宋体" w:cs="宋体" w:eastAsia="宋体" w:hint="default"/>
                <w:sz w:val="18"/>
                <w:szCs w:val="18"/>
              </w:rPr>
            </w:pPr>
            <w:r>
              <w:rPr>
                <w:rFonts w:ascii="宋体" w:hAnsi="宋体" w:cs="宋体" w:eastAsia="宋体" w:hint="default"/>
                <w:sz w:val="18"/>
                <w:szCs w:val="18"/>
              </w:rPr>
              <w:t>业务板块间抵销</w:t>
            </w:r>
          </w:p>
        </w:tc>
        <w:tc>
          <w:tcPr>
            <w:tcW w:w="1470" w:type="dxa"/>
            <w:tcBorders>
              <w:top w:val="single" w:sz="4" w:space="0" w:color="000000"/>
              <w:left w:val="nil" w:sz="6" w:space="0" w:color="auto"/>
              <w:bottom w:val="single" w:sz="4" w:space="0" w:color="000000"/>
              <w:right w:val="nil" w:sz="6" w:space="0" w:color="auto"/>
            </w:tcBorders>
          </w:tcPr>
          <w:p>
            <w:pPr>
              <w:pStyle w:val="TableParagraph"/>
              <w:spacing w:line="240" w:lineRule="auto" w:before="62"/>
              <w:ind w:right="56"/>
              <w:jc w:val="right"/>
              <w:rPr>
                <w:rFonts w:ascii="Times New Roman" w:hAnsi="Times New Roman" w:cs="Times New Roman" w:eastAsia="Times New Roman" w:hint="default"/>
                <w:sz w:val="18"/>
                <w:szCs w:val="18"/>
              </w:rPr>
            </w:pPr>
            <w:r>
              <w:rPr>
                <w:rFonts w:ascii="Times New Roman"/>
                <w:spacing w:val="-1"/>
                <w:sz w:val="18"/>
              </w:rPr>
              <w:t>-689,588,571.64</w:t>
            </w:r>
          </w:p>
        </w:tc>
        <w:tc>
          <w:tcPr>
            <w:tcW w:w="1437" w:type="dxa"/>
            <w:tcBorders>
              <w:top w:val="single" w:sz="4" w:space="0" w:color="000000"/>
              <w:left w:val="nil" w:sz="6" w:space="0" w:color="auto"/>
              <w:bottom w:val="single" w:sz="4" w:space="0" w:color="000000"/>
              <w:right w:val="nil" w:sz="6" w:space="0" w:color="auto"/>
            </w:tcBorders>
          </w:tcPr>
          <w:p>
            <w:pPr>
              <w:pStyle w:val="TableParagraph"/>
              <w:spacing w:line="240" w:lineRule="auto" w:before="62"/>
              <w:ind w:right="25"/>
              <w:jc w:val="right"/>
              <w:rPr>
                <w:rFonts w:ascii="Times New Roman" w:hAnsi="Times New Roman" w:cs="Times New Roman" w:eastAsia="Times New Roman" w:hint="default"/>
                <w:sz w:val="18"/>
                <w:szCs w:val="18"/>
              </w:rPr>
            </w:pPr>
            <w:r>
              <w:rPr>
                <w:rFonts w:ascii="Times New Roman"/>
                <w:spacing w:val="-1"/>
                <w:sz w:val="18"/>
              </w:rPr>
              <w:t>-689,364,825.00</w:t>
            </w:r>
          </w:p>
        </w:tc>
        <w:tc>
          <w:tcPr>
            <w:tcW w:w="1405" w:type="dxa"/>
            <w:tcBorders>
              <w:top w:val="single" w:sz="4" w:space="0" w:color="000000"/>
              <w:left w:val="nil" w:sz="6" w:space="0" w:color="auto"/>
              <w:bottom w:val="single" w:sz="4" w:space="0" w:color="000000"/>
              <w:right w:val="nil" w:sz="6" w:space="0" w:color="auto"/>
            </w:tcBorders>
          </w:tcPr>
          <w:p>
            <w:pPr>
              <w:pStyle w:val="TableParagraph"/>
              <w:spacing w:line="240" w:lineRule="auto" w:before="62"/>
              <w:ind w:right="24"/>
              <w:jc w:val="right"/>
              <w:rPr>
                <w:rFonts w:ascii="Times New Roman" w:hAnsi="Times New Roman" w:cs="Times New Roman" w:eastAsia="Times New Roman" w:hint="default"/>
                <w:sz w:val="18"/>
                <w:szCs w:val="18"/>
              </w:rPr>
            </w:pPr>
            <w:r>
              <w:rPr>
                <w:rFonts w:ascii="Times New Roman"/>
                <w:spacing w:val="-1"/>
                <w:sz w:val="18"/>
              </w:rPr>
              <w:t>-324,844,711.05</w:t>
            </w:r>
          </w:p>
        </w:tc>
        <w:tc>
          <w:tcPr>
            <w:tcW w:w="1405" w:type="dxa"/>
            <w:tcBorders>
              <w:top w:val="single" w:sz="4" w:space="0" w:color="000000"/>
              <w:left w:val="nil" w:sz="6" w:space="0" w:color="auto"/>
              <w:bottom w:val="single" w:sz="4" w:space="0" w:color="000000"/>
              <w:right w:val="nil" w:sz="6" w:space="0" w:color="auto"/>
            </w:tcBorders>
          </w:tcPr>
          <w:p>
            <w:pPr>
              <w:pStyle w:val="TableParagraph"/>
              <w:spacing w:line="240" w:lineRule="auto" w:before="62"/>
              <w:ind w:right="26"/>
              <w:jc w:val="right"/>
              <w:rPr>
                <w:rFonts w:ascii="Times New Roman" w:hAnsi="Times New Roman" w:cs="Times New Roman" w:eastAsia="Times New Roman" w:hint="default"/>
                <w:sz w:val="18"/>
                <w:szCs w:val="18"/>
              </w:rPr>
            </w:pPr>
            <w:r>
              <w:rPr>
                <w:rFonts w:ascii="Times New Roman"/>
                <w:spacing w:val="-1"/>
                <w:sz w:val="18"/>
              </w:rPr>
              <w:t>-313,402,928.43</w:t>
            </w:r>
          </w:p>
        </w:tc>
        <w:tc>
          <w:tcPr>
            <w:tcW w:w="1317" w:type="dxa"/>
            <w:tcBorders>
              <w:top w:val="single" w:sz="4" w:space="0" w:color="000000"/>
              <w:left w:val="nil" w:sz="6" w:space="0" w:color="auto"/>
              <w:bottom w:val="single" w:sz="4" w:space="0" w:color="000000"/>
              <w:right w:val="nil" w:sz="6" w:space="0" w:color="auto"/>
            </w:tcBorders>
          </w:tcPr>
          <w:p>
            <w:pPr>
              <w:pStyle w:val="TableParagraph"/>
              <w:spacing w:line="240" w:lineRule="auto" w:before="62"/>
              <w:ind w:right="28"/>
              <w:jc w:val="right"/>
              <w:rPr>
                <w:rFonts w:ascii="Times New Roman" w:hAnsi="Times New Roman" w:cs="Times New Roman" w:eastAsia="Times New Roman" w:hint="default"/>
                <w:sz w:val="18"/>
                <w:szCs w:val="18"/>
              </w:rPr>
            </w:pPr>
            <w:r>
              <w:rPr>
                <w:rFonts w:ascii="Times New Roman"/>
                <w:spacing w:val="-1"/>
                <w:sz w:val="18"/>
              </w:rPr>
              <w:t>0.00</w:t>
            </w:r>
          </w:p>
        </w:tc>
      </w:tr>
      <w:tr>
        <w:trPr>
          <w:trHeight w:val="295" w:hRule="exact"/>
        </w:trPr>
        <w:tc>
          <w:tcPr>
            <w:tcW w:w="1530" w:type="dxa"/>
            <w:tcBorders>
              <w:top w:val="single" w:sz="4" w:space="0" w:color="000000"/>
              <w:left w:val="nil" w:sz="6" w:space="0" w:color="auto"/>
              <w:bottom w:val="single" w:sz="12" w:space="0" w:color="000000"/>
              <w:right w:val="nil" w:sz="6" w:space="0" w:color="auto"/>
            </w:tcBorders>
          </w:tcPr>
          <w:p>
            <w:pPr>
              <w:pStyle w:val="TableParagraph"/>
              <w:spacing w:line="240" w:lineRule="auto" w:before="10"/>
              <w:ind w:right="16"/>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470" w:type="dxa"/>
            <w:tcBorders>
              <w:top w:val="single" w:sz="4" w:space="0" w:color="000000"/>
              <w:left w:val="nil" w:sz="6" w:space="0" w:color="auto"/>
              <w:bottom w:val="single" w:sz="12" w:space="0" w:color="000000"/>
              <w:right w:val="nil" w:sz="6" w:space="0" w:color="auto"/>
            </w:tcBorders>
          </w:tcPr>
          <w:p>
            <w:pPr>
              <w:pStyle w:val="TableParagraph"/>
              <w:spacing w:line="240" w:lineRule="auto" w:before="67"/>
              <w:ind w:right="56"/>
              <w:jc w:val="right"/>
              <w:rPr>
                <w:rFonts w:ascii="Times New Roman" w:hAnsi="Times New Roman" w:cs="Times New Roman" w:eastAsia="Times New Roman" w:hint="default"/>
                <w:sz w:val="18"/>
                <w:szCs w:val="18"/>
              </w:rPr>
            </w:pPr>
            <w:r>
              <w:rPr>
                <w:rFonts w:ascii="Times New Roman"/>
                <w:b/>
                <w:spacing w:val="-1"/>
                <w:sz w:val="18"/>
              </w:rPr>
              <w:t>49,725,008,905.96</w:t>
            </w:r>
            <w:r>
              <w:rPr>
                <w:rFonts w:ascii="Times New Roman"/>
                <w:spacing w:val="-1"/>
                <w:sz w:val="18"/>
              </w:rPr>
            </w:r>
          </w:p>
        </w:tc>
        <w:tc>
          <w:tcPr>
            <w:tcW w:w="1437" w:type="dxa"/>
            <w:tcBorders>
              <w:top w:val="single" w:sz="4" w:space="0" w:color="000000"/>
              <w:left w:val="nil" w:sz="6" w:space="0" w:color="auto"/>
              <w:bottom w:val="single" w:sz="12" w:space="0" w:color="000000"/>
              <w:right w:val="nil" w:sz="6" w:space="0" w:color="auto"/>
            </w:tcBorders>
          </w:tcPr>
          <w:p>
            <w:pPr>
              <w:pStyle w:val="TableParagraph"/>
              <w:spacing w:line="240" w:lineRule="auto" w:before="67"/>
              <w:ind w:right="26"/>
              <w:jc w:val="right"/>
              <w:rPr>
                <w:rFonts w:ascii="Times New Roman" w:hAnsi="Times New Roman" w:cs="Times New Roman" w:eastAsia="Times New Roman" w:hint="default"/>
                <w:sz w:val="18"/>
                <w:szCs w:val="18"/>
              </w:rPr>
            </w:pPr>
            <w:r>
              <w:rPr>
                <w:rFonts w:ascii="Times New Roman"/>
                <w:b/>
                <w:spacing w:val="-1"/>
                <w:sz w:val="18"/>
              </w:rPr>
              <w:t>34,361,017,326.78</w:t>
            </w:r>
            <w:r>
              <w:rPr>
                <w:rFonts w:ascii="Times New Roman"/>
                <w:spacing w:val="-1"/>
                <w:sz w:val="18"/>
              </w:rPr>
            </w:r>
          </w:p>
        </w:tc>
        <w:tc>
          <w:tcPr>
            <w:tcW w:w="1405" w:type="dxa"/>
            <w:tcBorders>
              <w:top w:val="single" w:sz="4" w:space="0" w:color="000000"/>
              <w:left w:val="nil" w:sz="6" w:space="0" w:color="auto"/>
              <w:bottom w:val="single" w:sz="12" w:space="0" w:color="000000"/>
              <w:right w:val="nil" w:sz="6" w:space="0" w:color="auto"/>
            </w:tcBorders>
          </w:tcPr>
          <w:p>
            <w:pPr>
              <w:pStyle w:val="TableParagraph"/>
              <w:spacing w:line="240" w:lineRule="auto" w:before="67"/>
              <w:ind w:right="24"/>
              <w:jc w:val="right"/>
              <w:rPr>
                <w:rFonts w:ascii="Times New Roman" w:hAnsi="Times New Roman" w:cs="Times New Roman" w:eastAsia="Times New Roman" w:hint="default"/>
                <w:sz w:val="18"/>
                <w:szCs w:val="18"/>
              </w:rPr>
            </w:pPr>
            <w:r>
              <w:rPr>
                <w:rFonts w:ascii="Times New Roman"/>
                <w:b/>
                <w:spacing w:val="-1"/>
                <w:sz w:val="18"/>
              </w:rPr>
              <w:t>25,756,912,811.44</w:t>
            </w:r>
            <w:r>
              <w:rPr>
                <w:rFonts w:ascii="Times New Roman"/>
                <w:spacing w:val="-1"/>
                <w:sz w:val="18"/>
              </w:rPr>
            </w:r>
          </w:p>
        </w:tc>
        <w:tc>
          <w:tcPr>
            <w:tcW w:w="1405" w:type="dxa"/>
            <w:tcBorders>
              <w:top w:val="single" w:sz="4" w:space="0" w:color="000000"/>
              <w:left w:val="nil" w:sz="6" w:space="0" w:color="auto"/>
              <w:bottom w:val="single" w:sz="12" w:space="0" w:color="000000"/>
              <w:right w:val="nil" w:sz="6" w:space="0" w:color="auto"/>
            </w:tcBorders>
          </w:tcPr>
          <w:p>
            <w:pPr>
              <w:pStyle w:val="TableParagraph"/>
              <w:spacing w:line="240" w:lineRule="auto" w:before="67"/>
              <w:ind w:right="26"/>
              <w:jc w:val="right"/>
              <w:rPr>
                <w:rFonts w:ascii="Times New Roman" w:hAnsi="Times New Roman" w:cs="Times New Roman" w:eastAsia="Times New Roman" w:hint="default"/>
                <w:sz w:val="18"/>
                <w:szCs w:val="18"/>
              </w:rPr>
            </w:pPr>
            <w:r>
              <w:rPr>
                <w:rFonts w:ascii="Times New Roman"/>
                <w:b/>
                <w:spacing w:val="-1"/>
                <w:sz w:val="18"/>
              </w:rPr>
              <w:t>20,727,570,171.44</w:t>
            </w:r>
            <w:r>
              <w:rPr>
                <w:rFonts w:ascii="Times New Roman"/>
                <w:spacing w:val="-1"/>
                <w:sz w:val="18"/>
              </w:rPr>
            </w:r>
          </w:p>
        </w:tc>
        <w:tc>
          <w:tcPr>
            <w:tcW w:w="1317" w:type="dxa"/>
            <w:tcBorders>
              <w:top w:val="single" w:sz="4" w:space="0" w:color="000000"/>
              <w:left w:val="nil" w:sz="6" w:space="0" w:color="auto"/>
              <w:bottom w:val="single" w:sz="12" w:space="0" w:color="000000"/>
              <w:right w:val="nil" w:sz="6" w:space="0" w:color="auto"/>
            </w:tcBorders>
          </w:tcPr>
          <w:p>
            <w:pPr>
              <w:pStyle w:val="TableParagraph"/>
              <w:spacing w:line="240" w:lineRule="auto" w:before="67"/>
              <w:ind w:right="27"/>
              <w:jc w:val="right"/>
              <w:rPr>
                <w:rFonts w:ascii="Times New Roman" w:hAnsi="Times New Roman" w:cs="Times New Roman" w:eastAsia="Times New Roman" w:hint="default"/>
                <w:sz w:val="18"/>
                <w:szCs w:val="18"/>
              </w:rPr>
            </w:pPr>
            <w:r>
              <w:rPr>
                <w:rFonts w:ascii="Times New Roman"/>
                <w:b/>
                <w:spacing w:val="-1"/>
                <w:sz w:val="18"/>
              </w:rPr>
              <w:t>1,423,180,043.65</w:t>
            </w:r>
            <w:r>
              <w:rPr>
                <w:rFonts w:ascii="Times New Roman"/>
                <w:spacing w:val="-1"/>
                <w:sz w:val="18"/>
              </w:rPr>
            </w:r>
          </w:p>
        </w:tc>
      </w:tr>
    </w:tbl>
    <w:p>
      <w:pPr>
        <w:tabs>
          <w:tab w:pos="1374" w:val="left" w:leader="none"/>
        </w:tabs>
        <w:spacing w:before="81"/>
        <w:ind w:left="700" w:right="0" w:firstLine="0"/>
        <w:jc w:val="left"/>
        <w:rPr>
          <w:rFonts w:ascii="宋体" w:hAnsi="宋体" w:cs="宋体" w:eastAsia="宋体" w:hint="default"/>
          <w:sz w:val="22"/>
          <w:szCs w:val="22"/>
        </w:rPr>
      </w:pPr>
      <w:r>
        <w:rPr>
          <w:rFonts w:ascii="Times New Roman" w:hAnsi="Times New Roman" w:cs="Times New Roman" w:eastAsia="Times New Roman" w:hint="default"/>
          <w:b/>
          <w:bCs/>
          <w:spacing w:val="12"/>
          <w:sz w:val="22"/>
          <w:szCs w:val="22"/>
        </w:rPr>
        <w:t>42.</w:t>
        <w:tab/>
      </w:r>
      <w:r>
        <w:rPr>
          <w:rFonts w:ascii="宋体" w:hAnsi="宋体" w:cs="宋体" w:eastAsia="宋体" w:hint="default"/>
          <w:b/>
          <w:bCs/>
          <w:sz w:val="22"/>
          <w:szCs w:val="22"/>
        </w:rPr>
        <w:t>母</w:t>
      </w:r>
      <w:r>
        <w:rPr>
          <w:rFonts w:ascii="宋体" w:hAnsi="宋体" w:cs="宋体" w:eastAsia="宋体" w:hint="default"/>
          <w:b/>
          <w:bCs/>
          <w:spacing w:val="-72"/>
          <w:sz w:val="22"/>
          <w:szCs w:val="22"/>
        </w:rPr>
        <w:t> </w:t>
      </w:r>
      <w:r>
        <w:rPr>
          <w:rFonts w:ascii="宋体" w:hAnsi="宋体" w:cs="宋体" w:eastAsia="宋体" w:hint="default"/>
          <w:b/>
          <w:bCs/>
          <w:sz w:val="22"/>
          <w:szCs w:val="22"/>
        </w:rPr>
        <w:t>公</w:t>
      </w:r>
      <w:r>
        <w:rPr>
          <w:rFonts w:ascii="宋体" w:hAnsi="宋体" w:cs="宋体" w:eastAsia="宋体" w:hint="default"/>
          <w:b/>
          <w:bCs/>
          <w:spacing w:val="-72"/>
          <w:sz w:val="22"/>
          <w:szCs w:val="22"/>
        </w:rPr>
        <w:t> </w:t>
      </w:r>
      <w:r>
        <w:rPr>
          <w:rFonts w:ascii="宋体" w:hAnsi="宋体" w:cs="宋体" w:eastAsia="宋体" w:hint="default"/>
          <w:b/>
          <w:bCs/>
          <w:sz w:val="22"/>
          <w:szCs w:val="22"/>
        </w:rPr>
        <w:t>司</w:t>
      </w:r>
      <w:r>
        <w:rPr>
          <w:rFonts w:ascii="宋体" w:hAnsi="宋体" w:cs="宋体" w:eastAsia="宋体" w:hint="default"/>
          <w:b/>
          <w:bCs/>
          <w:spacing w:val="-72"/>
          <w:sz w:val="22"/>
          <w:szCs w:val="22"/>
        </w:rPr>
        <w:t> </w:t>
      </w:r>
      <w:r>
        <w:rPr>
          <w:rFonts w:ascii="宋体" w:hAnsi="宋体" w:cs="宋体" w:eastAsia="宋体" w:hint="default"/>
          <w:b/>
          <w:bCs/>
          <w:sz w:val="22"/>
          <w:szCs w:val="22"/>
        </w:rPr>
        <w:t>财</w:t>
      </w:r>
      <w:r>
        <w:rPr>
          <w:rFonts w:ascii="宋体" w:hAnsi="宋体" w:cs="宋体" w:eastAsia="宋体" w:hint="default"/>
          <w:b/>
          <w:bCs/>
          <w:spacing w:val="-74"/>
          <w:sz w:val="22"/>
          <w:szCs w:val="22"/>
        </w:rPr>
        <w:t> </w:t>
      </w:r>
      <w:r>
        <w:rPr>
          <w:rFonts w:ascii="宋体" w:hAnsi="宋体" w:cs="宋体" w:eastAsia="宋体" w:hint="default"/>
          <w:b/>
          <w:bCs/>
          <w:sz w:val="22"/>
          <w:szCs w:val="22"/>
        </w:rPr>
        <w:t>务</w:t>
      </w:r>
      <w:r>
        <w:rPr>
          <w:rFonts w:ascii="宋体" w:hAnsi="宋体" w:cs="宋体" w:eastAsia="宋体" w:hint="default"/>
          <w:b/>
          <w:bCs/>
          <w:spacing w:val="-72"/>
          <w:sz w:val="22"/>
          <w:szCs w:val="22"/>
        </w:rPr>
        <w:t> </w:t>
      </w:r>
      <w:r>
        <w:rPr>
          <w:rFonts w:ascii="宋体" w:hAnsi="宋体" w:cs="宋体" w:eastAsia="宋体" w:hint="default"/>
          <w:b/>
          <w:bCs/>
          <w:sz w:val="22"/>
          <w:szCs w:val="22"/>
        </w:rPr>
        <w:t>报</w:t>
      </w:r>
      <w:r>
        <w:rPr>
          <w:rFonts w:ascii="宋体" w:hAnsi="宋体" w:cs="宋体" w:eastAsia="宋体" w:hint="default"/>
          <w:b/>
          <w:bCs/>
          <w:spacing w:val="-72"/>
          <w:sz w:val="22"/>
          <w:szCs w:val="22"/>
        </w:rPr>
        <w:t> </w:t>
      </w:r>
      <w:r>
        <w:rPr>
          <w:rFonts w:ascii="宋体" w:hAnsi="宋体" w:cs="宋体" w:eastAsia="宋体" w:hint="default"/>
          <w:b/>
          <w:bCs/>
          <w:sz w:val="22"/>
          <w:szCs w:val="22"/>
        </w:rPr>
        <w:t>表</w:t>
      </w:r>
      <w:r>
        <w:rPr>
          <w:rFonts w:ascii="宋体" w:hAnsi="宋体" w:cs="宋体" w:eastAsia="宋体" w:hint="default"/>
          <w:b/>
          <w:bCs/>
          <w:spacing w:val="-72"/>
          <w:sz w:val="22"/>
          <w:szCs w:val="22"/>
        </w:rPr>
        <w:t> </w:t>
      </w:r>
      <w:r>
        <w:rPr>
          <w:rFonts w:ascii="宋体" w:hAnsi="宋体" w:cs="宋体" w:eastAsia="宋体" w:hint="default"/>
          <w:b/>
          <w:bCs/>
          <w:sz w:val="22"/>
          <w:szCs w:val="22"/>
        </w:rPr>
        <w:t>主</w:t>
      </w:r>
      <w:r>
        <w:rPr>
          <w:rFonts w:ascii="宋体" w:hAnsi="宋体" w:cs="宋体" w:eastAsia="宋体" w:hint="default"/>
          <w:b/>
          <w:bCs/>
          <w:spacing w:val="-74"/>
          <w:sz w:val="22"/>
          <w:szCs w:val="22"/>
        </w:rPr>
        <w:t> </w:t>
      </w:r>
      <w:r>
        <w:rPr>
          <w:rFonts w:ascii="宋体" w:hAnsi="宋体" w:cs="宋体" w:eastAsia="宋体" w:hint="default"/>
          <w:b/>
          <w:bCs/>
          <w:sz w:val="22"/>
          <w:szCs w:val="22"/>
        </w:rPr>
        <w:t>要</w:t>
      </w:r>
      <w:r>
        <w:rPr>
          <w:rFonts w:ascii="宋体" w:hAnsi="宋体" w:cs="宋体" w:eastAsia="宋体" w:hint="default"/>
          <w:b/>
          <w:bCs/>
          <w:spacing w:val="-74"/>
          <w:sz w:val="22"/>
          <w:szCs w:val="22"/>
        </w:rPr>
        <w:t> </w:t>
      </w:r>
      <w:r>
        <w:rPr>
          <w:rFonts w:ascii="宋体" w:hAnsi="宋体" w:cs="宋体" w:eastAsia="宋体" w:hint="default"/>
          <w:b/>
          <w:bCs/>
          <w:sz w:val="22"/>
          <w:szCs w:val="22"/>
        </w:rPr>
        <w:t>项</w:t>
      </w:r>
      <w:r>
        <w:rPr>
          <w:rFonts w:ascii="宋体" w:hAnsi="宋体" w:cs="宋体" w:eastAsia="宋体" w:hint="default"/>
          <w:b/>
          <w:bCs/>
          <w:spacing w:val="-72"/>
          <w:sz w:val="22"/>
          <w:szCs w:val="22"/>
        </w:rPr>
        <w:t> </w:t>
      </w:r>
      <w:r>
        <w:rPr>
          <w:rFonts w:ascii="宋体" w:hAnsi="宋体" w:cs="宋体" w:eastAsia="宋体" w:hint="default"/>
          <w:b/>
          <w:bCs/>
          <w:sz w:val="22"/>
          <w:szCs w:val="22"/>
        </w:rPr>
        <w:t>目</w:t>
      </w:r>
      <w:r>
        <w:rPr>
          <w:rFonts w:ascii="宋体" w:hAnsi="宋体" w:cs="宋体" w:eastAsia="宋体" w:hint="default"/>
          <w:b/>
          <w:bCs/>
          <w:spacing w:val="-72"/>
          <w:sz w:val="22"/>
          <w:szCs w:val="22"/>
        </w:rPr>
        <w:t> </w:t>
      </w:r>
      <w:r>
        <w:rPr>
          <w:rFonts w:ascii="宋体" w:hAnsi="宋体" w:cs="宋体" w:eastAsia="宋体" w:hint="default"/>
          <w:b/>
          <w:bCs/>
          <w:sz w:val="22"/>
          <w:szCs w:val="22"/>
        </w:rPr>
        <w:t>注</w:t>
      </w:r>
      <w:r>
        <w:rPr>
          <w:rFonts w:ascii="宋体" w:hAnsi="宋体" w:cs="宋体" w:eastAsia="宋体" w:hint="default"/>
          <w:b/>
          <w:bCs/>
          <w:spacing w:val="-72"/>
          <w:sz w:val="22"/>
          <w:szCs w:val="22"/>
        </w:rPr>
        <w:t> </w:t>
      </w:r>
      <w:r>
        <w:rPr>
          <w:rFonts w:ascii="宋体" w:hAnsi="宋体" w:cs="宋体" w:eastAsia="宋体" w:hint="default"/>
          <w:b/>
          <w:bCs/>
          <w:sz w:val="22"/>
          <w:szCs w:val="22"/>
        </w:rPr>
        <w:t>释</w:t>
      </w:r>
      <w:r>
        <w:rPr>
          <w:rFonts w:ascii="宋体" w:hAnsi="宋体" w:cs="宋体" w:eastAsia="宋体" w:hint="default"/>
          <w:sz w:val="22"/>
          <w:szCs w:val="22"/>
        </w:rPr>
      </w:r>
    </w:p>
    <w:p>
      <w:pPr>
        <w:spacing w:before="113"/>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20"/>
          <w:sz w:val="22"/>
          <w:szCs w:val="22"/>
        </w:rPr>
        <w:t> </w:t>
      </w:r>
      <w:r>
        <w:rPr>
          <w:rFonts w:ascii="宋体" w:hAnsi="宋体" w:cs="宋体" w:eastAsia="宋体" w:hint="default"/>
          <w:spacing w:val="9"/>
          <w:sz w:val="22"/>
          <w:szCs w:val="22"/>
        </w:rPr>
        <w:t>应收账款</w:t>
      </w:r>
      <w:r>
        <w:rPr>
          <w:rFonts w:ascii="宋体" w:hAnsi="宋体" w:cs="宋体" w:eastAsia="宋体" w:hint="default"/>
          <w:spacing w:val="-72"/>
          <w:sz w:val="22"/>
          <w:szCs w:val="22"/>
        </w:rPr>
        <w:t> </w:t>
      </w:r>
      <w:r>
        <w:rPr>
          <w:rFonts w:ascii="宋体" w:hAnsi="宋体" w:cs="宋体" w:eastAsia="宋体" w:hint="default"/>
          <w:sz w:val="22"/>
          <w:szCs w:val="22"/>
        </w:rPr>
      </w:r>
    </w:p>
    <w:p>
      <w:pPr>
        <w:spacing w:before="110"/>
        <w:ind w:left="695" w:right="0" w:firstLine="0"/>
        <w:jc w:val="left"/>
        <w:rPr>
          <w:rFonts w:ascii="宋体" w:hAnsi="宋体" w:cs="宋体" w:eastAsia="宋体" w:hint="default"/>
          <w:sz w:val="22"/>
          <w:szCs w:val="22"/>
        </w:rPr>
      </w:pPr>
      <w:r>
        <w:rPr/>
        <w:pict>
          <v:group style="position:absolute;margin-left:199.490005pt;margin-top:59.777691pt;width:240.55pt;height:.5pt;mso-position-horizontal-relative:page;mso-position-vertical-relative:paragraph;z-index:-1196608" coordorigin="3990,1196" coordsize="4811,10">
            <v:group style="position:absolute;left:3995;top:1200;width:1488;height:2" coordorigin="3995,1200" coordsize="1488,2">
              <v:shape style="position:absolute;left:3995;top:1200;width:1488;height:2" coordorigin="3995,1200" coordsize="1488,0" path="m3995,1200l5483,1200e" filled="false" stroked="true" strokeweight=".47998pt" strokecolor="#000000">
                <v:path arrowok="t"/>
              </v:shape>
            </v:group>
            <v:group style="position:absolute;left:5483;top:1200;width:10;height:2" coordorigin="5483,1200" coordsize="10,2">
              <v:shape style="position:absolute;left:5483;top:1200;width:10;height:2" coordorigin="5483,1200" coordsize="10,0" path="m5483,1200l5492,1200e" filled="false" stroked="true" strokeweight=".47998pt" strokecolor="#000000">
                <v:path arrowok="t"/>
              </v:shape>
            </v:group>
            <v:group style="position:absolute;left:5492;top:1200;width:891;height:2" coordorigin="5492,1200" coordsize="891,2">
              <v:shape style="position:absolute;left:5492;top:1200;width:891;height:2" coordorigin="5492,1200" coordsize="891,0" path="m5492,1200l6383,1200e" filled="false" stroked="true" strokeweight=".47998pt" strokecolor="#000000">
                <v:path arrowok="t"/>
              </v:shape>
            </v:group>
            <v:group style="position:absolute;left:6383;top:1200;width:10;height:2" coordorigin="6383,1200" coordsize="10,2">
              <v:shape style="position:absolute;left:6383;top:1200;width:10;height:2" coordorigin="6383,1200" coordsize="10,0" path="m6383,1200l6393,1200e" filled="false" stroked="true" strokeweight=".47998pt" strokecolor="#000000">
                <v:path arrowok="t"/>
              </v:shape>
            </v:group>
            <v:group style="position:absolute;left:6393;top:1200;width:1359;height:2" coordorigin="6393,1200" coordsize="1359,2">
              <v:shape style="position:absolute;left:6393;top:1200;width:1359;height:2" coordorigin="6393,1200" coordsize="1359,0" path="m6393,1200l7751,1200e" filled="false" stroked="true" strokeweight=".47998pt" strokecolor="#000000">
                <v:path arrowok="t"/>
              </v:shape>
            </v:group>
            <v:group style="position:absolute;left:7751;top:1200;width:10;height:2" coordorigin="7751,1200" coordsize="10,2">
              <v:shape style="position:absolute;left:7751;top:1200;width:10;height:2" coordorigin="7751,1200" coordsize="10,0" path="m7751,1200l7761,1200e" filled="false" stroked="true" strokeweight=".47998pt" strokecolor="#000000">
                <v:path arrowok="t"/>
              </v:shape>
            </v:group>
            <v:group style="position:absolute;left:7761;top:1200;width:1035;height:2" coordorigin="7761,1200" coordsize="1035,2">
              <v:shape style="position:absolute;left:7761;top:1200;width:1035;height:2" coordorigin="7761,1200" coordsize="1035,0" path="m7761,1200l8795,1200e" filled="false" stroked="true" strokeweight=".47998pt" strokecolor="#000000">
                <v:path arrowok="t"/>
              </v:shape>
            </v:group>
            <w10:wrap type="none"/>
          </v:group>
        </w:pict>
      </w: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应收账款分类</w:t>
      </w:r>
    </w:p>
    <w:p>
      <w:pPr>
        <w:spacing w:line="240" w:lineRule="auto" w:before="8"/>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2415"/>
        <w:gridCol w:w="1579"/>
        <w:gridCol w:w="823"/>
        <w:gridCol w:w="1381"/>
        <w:gridCol w:w="1043"/>
        <w:gridCol w:w="1499"/>
      </w:tblGrid>
      <w:tr>
        <w:trPr>
          <w:trHeight w:val="305" w:hRule="exact"/>
        </w:trPr>
        <w:tc>
          <w:tcPr>
            <w:tcW w:w="2415" w:type="dxa"/>
            <w:tcBorders>
              <w:top w:val="single" w:sz="12" w:space="0" w:color="000000"/>
              <w:left w:val="nil" w:sz="6" w:space="0" w:color="auto"/>
              <w:bottom w:val="nil" w:sz="6" w:space="0" w:color="auto"/>
              <w:right w:val="nil" w:sz="6" w:space="0" w:color="auto"/>
            </w:tcBorders>
          </w:tcPr>
          <w:p>
            <w:pPr/>
          </w:p>
        </w:tc>
        <w:tc>
          <w:tcPr>
            <w:tcW w:w="1579" w:type="dxa"/>
            <w:tcBorders>
              <w:top w:val="single" w:sz="12" w:space="0" w:color="000000"/>
              <w:left w:val="nil" w:sz="6" w:space="0" w:color="auto"/>
              <w:bottom w:val="single" w:sz="4" w:space="0" w:color="000000"/>
              <w:right w:val="nil" w:sz="6" w:space="0" w:color="auto"/>
            </w:tcBorders>
          </w:tcPr>
          <w:p>
            <w:pPr/>
          </w:p>
        </w:tc>
        <w:tc>
          <w:tcPr>
            <w:tcW w:w="823" w:type="dxa"/>
            <w:tcBorders>
              <w:top w:val="single" w:sz="12" w:space="0" w:color="000000"/>
              <w:left w:val="nil" w:sz="6" w:space="0" w:color="auto"/>
              <w:bottom w:val="single" w:sz="4" w:space="0" w:color="000000"/>
              <w:right w:val="nil" w:sz="6" w:space="0" w:color="auto"/>
            </w:tcBorders>
          </w:tcPr>
          <w:p>
            <w:pPr/>
          </w:p>
        </w:tc>
        <w:tc>
          <w:tcPr>
            <w:tcW w:w="1381"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left="396"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043" w:type="dxa"/>
            <w:tcBorders>
              <w:top w:val="single" w:sz="12" w:space="0" w:color="000000"/>
              <w:left w:val="nil" w:sz="6" w:space="0" w:color="auto"/>
              <w:bottom w:val="single" w:sz="4" w:space="0" w:color="000000"/>
              <w:right w:val="nil" w:sz="6" w:space="0" w:color="auto"/>
            </w:tcBorders>
          </w:tcPr>
          <w:p>
            <w:pPr/>
          </w:p>
        </w:tc>
        <w:tc>
          <w:tcPr>
            <w:tcW w:w="1499" w:type="dxa"/>
            <w:tcBorders>
              <w:top w:val="single" w:sz="12" w:space="0" w:color="000000"/>
              <w:left w:val="nil" w:sz="6" w:space="0" w:color="auto"/>
              <w:bottom w:val="single" w:sz="4" w:space="0" w:color="000000"/>
              <w:right w:val="nil" w:sz="6" w:space="0" w:color="auto"/>
            </w:tcBorders>
          </w:tcPr>
          <w:p>
            <w:pPr/>
          </w:p>
        </w:tc>
      </w:tr>
      <w:tr>
        <w:trPr>
          <w:trHeight w:val="252" w:hRule="exact"/>
        </w:trPr>
        <w:tc>
          <w:tcPr>
            <w:tcW w:w="2415"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3" w:right="0"/>
              <w:jc w:val="center"/>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1579" w:type="dxa"/>
            <w:tcBorders>
              <w:top w:val="single" w:sz="4" w:space="0" w:color="000000"/>
              <w:left w:val="nil" w:sz="6" w:space="0" w:color="auto"/>
              <w:bottom w:val="nil" w:sz="6" w:space="0" w:color="auto"/>
              <w:right w:val="nil" w:sz="6" w:space="0" w:color="auto"/>
            </w:tcBorders>
          </w:tcPr>
          <w:p>
            <w:pPr>
              <w:pStyle w:val="TableParagraph"/>
              <w:spacing w:line="240" w:lineRule="auto" w:before="41"/>
              <w:ind w:left="830"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823" w:type="dxa"/>
            <w:tcBorders>
              <w:top w:val="single" w:sz="4" w:space="0" w:color="000000"/>
              <w:left w:val="nil" w:sz="6" w:space="0" w:color="auto"/>
              <w:bottom w:val="nil" w:sz="6" w:space="0" w:color="auto"/>
              <w:right w:val="nil" w:sz="6" w:space="0" w:color="auto"/>
            </w:tcBorders>
          </w:tcPr>
          <w:p>
            <w:pPr/>
          </w:p>
        </w:tc>
        <w:tc>
          <w:tcPr>
            <w:tcW w:w="2424"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41"/>
              <w:ind w:right="42"/>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499" w:type="dxa"/>
            <w:tcBorders>
              <w:top w:val="single" w:sz="4" w:space="0" w:color="000000"/>
              <w:left w:val="nil" w:sz="6" w:space="0" w:color="auto"/>
              <w:bottom w:val="nil" w:sz="6" w:space="0" w:color="auto"/>
              <w:right w:val="nil" w:sz="6" w:space="0" w:color="auto"/>
            </w:tcBorders>
          </w:tcPr>
          <w:p>
            <w:pPr/>
          </w:p>
        </w:tc>
      </w:tr>
      <w:tr>
        <w:trPr>
          <w:trHeight w:val="164" w:hRule="exact"/>
        </w:trPr>
        <w:tc>
          <w:tcPr>
            <w:tcW w:w="2415" w:type="dxa"/>
            <w:tcBorders>
              <w:top w:val="nil" w:sz="6" w:space="0" w:color="auto"/>
              <w:left w:val="nil" w:sz="6" w:space="0" w:color="auto"/>
              <w:bottom w:val="nil" w:sz="6" w:space="0" w:color="auto"/>
              <w:right w:val="nil" w:sz="6" w:space="0" w:color="auto"/>
            </w:tcBorders>
          </w:tcPr>
          <w:p>
            <w:pPr/>
          </w:p>
        </w:tc>
        <w:tc>
          <w:tcPr>
            <w:tcW w:w="1579" w:type="dxa"/>
            <w:tcBorders>
              <w:top w:val="nil" w:sz="6" w:space="0" w:color="auto"/>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nil" w:sz="6" w:space="0" w:color="auto"/>
            </w:tcBorders>
          </w:tcPr>
          <w:p>
            <w:pPr/>
          </w:p>
        </w:tc>
        <w:tc>
          <w:tcPr>
            <w:tcW w:w="1043" w:type="dxa"/>
            <w:tcBorders>
              <w:top w:val="nil" w:sz="6" w:space="0" w:color="auto"/>
              <w:left w:val="nil" w:sz="6" w:space="0" w:color="auto"/>
              <w:bottom w:val="nil" w:sz="6" w:space="0" w:color="auto"/>
              <w:right w:val="nil" w:sz="6" w:space="0" w:color="auto"/>
            </w:tcBorders>
          </w:tcPr>
          <w:p>
            <w:pPr/>
          </w:p>
        </w:tc>
        <w:tc>
          <w:tcPr>
            <w:tcW w:w="1499" w:type="dxa"/>
            <w:tcBorders>
              <w:top w:val="nil" w:sz="6" w:space="0" w:color="auto"/>
              <w:left w:val="nil" w:sz="6" w:space="0" w:color="auto"/>
              <w:bottom w:val="nil" w:sz="6" w:space="0" w:color="auto"/>
              <w:right w:val="nil" w:sz="6" w:space="0" w:color="auto"/>
            </w:tcBorders>
          </w:tcPr>
          <w:p>
            <w:pPr>
              <w:pStyle w:val="TableParagraph"/>
              <w:spacing w:line="163" w:lineRule="exact"/>
              <w:ind w:left="375"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213" w:hRule="exact"/>
        </w:trPr>
        <w:tc>
          <w:tcPr>
            <w:tcW w:w="2415" w:type="dxa"/>
            <w:tcBorders>
              <w:top w:val="nil" w:sz="6" w:space="0" w:color="auto"/>
              <w:left w:val="nil" w:sz="6" w:space="0" w:color="auto"/>
              <w:bottom w:val="single" w:sz="4" w:space="0" w:color="000000"/>
              <w:right w:val="nil" w:sz="6" w:space="0" w:color="auto"/>
            </w:tcBorders>
          </w:tcPr>
          <w:p>
            <w:pPr/>
          </w:p>
        </w:tc>
        <w:tc>
          <w:tcPr>
            <w:tcW w:w="1579" w:type="dxa"/>
            <w:tcBorders>
              <w:top w:val="nil" w:sz="6" w:space="0" w:color="auto"/>
              <w:left w:val="nil" w:sz="6" w:space="0" w:color="auto"/>
              <w:bottom w:val="single" w:sz="4" w:space="0" w:color="000000"/>
              <w:right w:val="nil" w:sz="6" w:space="0" w:color="auto"/>
            </w:tcBorders>
          </w:tcPr>
          <w:p>
            <w:pPr>
              <w:pStyle w:val="TableParagraph"/>
              <w:spacing w:line="181" w:lineRule="exact"/>
              <w:ind w:right="89"/>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23" w:type="dxa"/>
            <w:tcBorders>
              <w:top w:val="nil" w:sz="6" w:space="0" w:color="auto"/>
              <w:left w:val="nil" w:sz="6" w:space="0" w:color="auto"/>
              <w:bottom w:val="single" w:sz="4" w:space="0" w:color="000000"/>
              <w:right w:val="nil" w:sz="6" w:space="0" w:color="auto"/>
            </w:tcBorders>
          </w:tcPr>
          <w:p>
            <w:pPr>
              <w:pStyle w:val="TableParagraph"/>
              <w:spacing w:line="181" w:lineRule="exact"/>
              <w:ind w:left="175"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381" w:type="dxa"/>
            <w:tcBorders>
              <w:top w:val="nil" w:sz="6" w:space="0" w:color="auto"/>
              <w:left w:val="nil" w:sz="6" w:space="0" w:color="auto"/>
              <w:bottom w:val="single" w:sz="4" w:space="0" w:color="000000"/>
              <w:right w:val="nil" w:sz="6" w:space="0" w:color="auto"/>
            </w:tcBorders>
          </w:tcPr>
          <w:p>
            <w:pPr>
              <w:pStyle w:val="TableParagraph"/>
              <w:spacing w:line="181" w:lineRule="exact"/>
              <w:ind w:right="38"/>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043" w:type="dxa"/>
            <w:tcBorders>
              <w:top w:val="nil" w:sz="6" w:space="0" w:color="auto"/>
              <w:left w:val="nil" w:sz="6" w:space="0" w:color="auto"/>
              <w:bottom w:val="single" w:sz="4" w:space="0" w:color="000000"/>
              <w:right w:val="nil" w:sz="6" w:space="0" w:color="auto"/>
            </w:tcBorders>
          </w:tcPr>
          <w:p>
            <w:pPr>
              <w:pStyle w:val="TableParagraph"/>
              <w:spacing w:line="181" w:lineRule="exact"/>
              <w:ind w:left="134" w:right="0"/>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sz w:val="18"/>
                <w:szCs w:val="18"/>
              </w:rPr>
            </w:r>
          </w:p>
        </w:tc>
        <w:tc>
          <w:tcPr>
            <w:tcW w:w="1499" w:type="dxa"/>
            <w:tcBorders>
              <w:top w:val="nil" w:sz="6" w:space="0" w:color="auto"/>
              <w:left w:val="nil" w:sz="6" w:space="0" w:color="auto"/>
              <w:bottom w:val="single" w:sz="4" w:space="0" w:color="000000"/>
              <w:right w:val="nil" w:sz="6" w:space="0" w:color="auto"/>
            </w:tcBorders>
          </w:tcPr>
          <w:p>
            <w:pPr/>
          </w:p>
        </w:tc>
      </w:tr>
      <w:tr>
        <w:trPr>
          <w:trHeight w:val="575" w:hRule="exact"/>
        </w:trPr>
        <w:tc>
          <w:tcPr>
            <w:tcW w:w="2415" w:type="dxa"/>
            <w:tcBorders>
              <w:top w:val="single" w:sz="4" w:space="0" w:color="000000"/>
              <w:left w:val="nil" w:sz="6" w:space="0" w:color="auto"/>
              <w:bottom w:val="nil" w:sz="6" w:space="0" w:color="auto"/>
              <w:right w:val="nil" w:sz="6" w:space="0" w:color="auto"/>
            </w:tcBorders>
          </w:tcPr>
          <w:p>
            <w:pPr>
              <w:pStyle w:val="TableParagraph"/>
              <w:spacing w:line="232" w:lineRule="exact" w:before="47"/>
              <w:ind w:left="122" w:right="101"/>
              <w:jc w:val="left"/>
              <w:rPr>
                <w:rFonts w:ascii="宋体" w:hAnsi="宋体" w:cs="宋体" w:eastAsia="宋体" w:hint="default"/>
                <w:sz w:val="18"/>
                <w:szCs w:val="18"/>
              </w:rPr>
            </w:pPr>
            <w:r>
              <w:rPr>
                <w:rFonts w:ascii="宋体" w:hAnsi="宋体" w:cs="宋体" w:eastAsia="宋体" w:hint="default"/>
                <w:spacing w:val="2"/>
                <w:sz w:val="18"/>
                <w:szCs w:val="18"/>
              </w:rPr>
              <w:t>单项金额重大并单项计提坏 </w:t>
            </w:r>
            <w:r>
              <w:rPr>
                <w:rFonts w:ascii="宋体" w:hAnsi="宋体" w:cs="宋体" w:eastAsia="宋体" w:hint="default"/>
                <w:sz w:val="18"/>
                <w:szCs w:val="18"/>
              </w:rPr>
              <w:t>账准备的应收账款</w:t>
            </w:r>
          </w:p>
        </w:tc>
        <w:tc>
          <w:tcPr>
            <w:tcW w:w="1579"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96"/>
              <w:jc w:val="right"/>
              <w:rPr>
                <w:rFonts w:ascii="Times New Roman" w:hAnsi="Times New Roman" w:cs="Times New Roman" w:eastAsia="Times New Roman" w:hint="default"/>
                <w:sz w:val="18"/>
                <w:szCs w:val="18"/>
              </w:rPr>
            </w:pPr>
            <w:r>
              <w:rPr>
                <w:rFonts w:ascii="Times New Roman"/>
                <w:spacing w:val="-1"/>
                <w:sz w:val="18"/>
              </w:rPr>
              <w:t>0.00</w:t>
            </w:r>
          </w:p>
        </w:tc>
        <w:tc>
          <w:tcPr>
            <w:tcW w:w="823"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22"/>
              <w:jc w:val="right"/>
              <w:rPr>
                <w:rFonts w:ascii="Times New Roman" w:hAnsi="Times New Roman" w:cs="Times New Roman" w:eastAsia="Times New Roman" w:hint="default"/>
                <w:sz w:val="18"/>
                <w:szCs w:val="18"/>
              </w:rPr>
            </w:pPr>
            <w:r>
              <w:rPr>
                <w:rFonts w:ascii="Times New Roman"/>
                <w:sz w:val="18"/>
              </w:rPr>
              <w:t>0.00%</w:t>
            </w:r>
          </w:p>
        </w:tc>
        <w:tc>
          <w:tcPr>
            <w:tcW w:w="1381"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32"/>
              <w:jc w:val="right"/>
              <w:rPr>
                <w:rFonts w:ascii="Times New Roman" w:hAnsi="Times New Roman" w:cs="Times New Roman" w:eastAsia="Times New Roman" w:hint="default"/>
                <w:sz w:val="18"/>
                <w:szCs w:val="18"/>
              </w:rPr>
            </w:pPr>
            <w:r>
              <w:rPr>
                <w:rFonts w:ascii="Times New Roman"/>
                <w:spacing w:val="-1"/>
                <w:sz w:val="18"/>
              </w:rPr>
              <w:t>0.00</w:t>
            </w:r>
          </w:p>
        </w:tc>
        <w:tc>
          <w:tcPr>
            <w:tcW w:w="1043"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31"/>
              <w:jc w:val="right"/>
              <w:rPr>
                <w:rFonts w:ascii="Times New Roman" w:hAnsi="Times New Roman" w:cs="Times New Roman" w:eastAsia="Times New Roman" w:hint="default"/>
                <w:sz w:val="18"/>
                <w:szCs w:val="18"/>
              </w:rPr>
            </w:pPr>
            <w:r>
              <w:rPr>
                <w:rFonts w:ascii="Times New Roman"/>
                <w:sz w:val="18"/>
              </w:rPr>
              <w:t>0.00%</w:t>
            </w:r>
          </w:p>
        </w:tc>
        <w:tc>
          <w:tcPr>
            <w:tcW w:w="1499"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0.00</w:t>
            </w:r>
          </w:p>
        </w:tc>
      </w:tr>
      <w:tr>
        <w:trPr>
          <w:trHeight w:val="570" w:hRule="exact"/>
        </w:trPr>
        <w:tc>
          <w:tcPr>
            <w:tcW w:w="2415" w:type="dxa"/>
            <w:tcBorders>
              <w:top w:val="nil" w:sz="6" w:space="0" w:color="auto"/>
              <w:left w:val="nil" w:sz="6" w:space="0" w:color="auto"/>
              <w:bottom w:val="nil" w:sz="6" w:space="0" w:color="auto"/>
              <w:right w:val="nil" w:sz="6" w:space="0" w:color="auto"/>
            </w:tcBorders>
          </w:tcPr>
          <w:p>
            <w:pPr>
              <w:pStyle w:val="TableParagraph"/>
              <w:spacing w:line="232" w:lineRule="exact" w:before="48"/>
              <w:ind w:left="122" w:right="101"/>
              <w:jc w:val="left"/>
              <w:rPr>
                <w:rFonts w:ascii="宋体" w:hAnsi="宋体" w:cs="宋体" w:eastAsia="宋体" w:hint="default"/>
                <w:sz w:val="18"/>
                <w:szCs w:val="18"/>
              </w:rPr>
            </w:pPr>
            <w:r>
              <w:rPr>
                <w:rFonts w:ascii="宋体" w:hAnsi="宋体" w:cs="宋体" w:eastAsia="宋体" w:hint="default"/>
                <w:spacing w:val="2"/>
                <w:sz w:val="18"/>
                <w:szCs w:val="18"/>
              </w:rPr>
              <w:t>按信用风险特征组合计提坏 </w:t>
            </w:r>
            <w:r>
              <w:rPr>
                <w:rFonts w:ascii="宋体" w:hAnsi="宋体" w:cs="宋体" w:eastAsia="宋体" w:hint="default"/>
                <w:sz w:val="18"/>
                <w:szCs w:val="18"/>
              </w:rPr>
              <w:t>账准备的应收账款</w:t>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1,720,036,442.56</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22"/>
              <w:jc w:val="right"/>
              <w:rPr>
                <w:rFonts w:ascii="Times New Roman" w:hAnsi="Times New Roman" w:cs="Times New Roman" w:eastAsia="Times New Roman" w:hint="default"/>
                <w:sz w:val="18"/>
                <w:szCs w:val="18"/>
              </w:rPr>
            </w:pPr>
            <w:r>
              <w:rPr>
                <w:rFonts w:ascii="Times New Roman"/>
                <w:spacing w:val="-1"/>
                <w:sz w:val="18"/>
              </w:rPr>
              <w:t>100.00%</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32"/>
              <w:jc w:val="right"/>
              <w:rPr>
                <w:rFonts w:ascii="Times New Roman" w:hAnsi="Times New Roman" w:cs="Times New Roman" w:eastAsia="Times New Roman" w:hint="default"/>
                <w:sz w:val="18"/>
                <w:szCs w:val="18"/>
              </w:rPr>
            </w:pPr>
            <w:r>
              <w:rPr>
                <w:rFonts w:ascii="Times New Roman"/>
                <w:spacing w:val="-1"/>
                <w:sz w:val="18"/>
              </w:rPr>
              <w:t>321,398,412.57</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28"/>
              <w:jc w:val="right"/>
              <w:rPr>
                <w:rFonts w:ascii="Times New Roman" w:hAnsi="Times New Roman" w:cs="Times New Roman" w:eastAsia="Times New Roman" w:hint="default"/>
                <w:sz w:val="18"/>
                <w:szCs w:val="18"/>
              </w:rPr>
            </w:pPr>
            <w:r>
              <w:rPr>
                <w:rFonts w:ascii="Times New Roman"/>
                <w:sz w:val="18"/>
              </w:rPr>
              <w:t>18.69%</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1,398,638,029.99</w:t>
            </w:r>
          </w:p>
        </w:tc>
      </w:tr>
      <w:tr>
        <w:trPr>
          <w:trHeight w:val="576" w:hRule="exact"/>
        </w:trPr>
        <w:tc>
          <w:tcPr>
            <w:tcW w:w="2415" w:type="dxa"/>
            <w:tcBorders>
              <w:top w:val="nil" w:sz="6" w:space="0" w:color="auto"/>
              <w:left w:val="nil" w:sz="6" w:space="0" w:color="auto"/>
              <w:bottom w:val="single" w:sz="4" w:space="0" w:color="000000"/>
              <w:right w:val="nil" w:sz="6" w:space="0" w:color="auto"/>
            </w:tcBorders>
          </w:tcPr>
          <w:p>
            <w:pPr>
              <w:pStyle w:val="TableParagraph"/>
              <w:spacing w:line="232" w:lineRule="exact" w:before="47"/>
              <w:ind w:left="122" w:right="101"/>
              <w:jc w:val="left"/>
              <w:rPr>
                <w:rFonts w:ascii="宋体" w:hAnsi="宋体" w:cs="宋体" w:eastAsia="宋体" w:hint="default"/>
                <w:sz w:val="18"/>
                <w:szCs w:val="18"/>
              </w:rPr>
            </w:pPr>
            <w:r>
              <w:rPr>
                <w:rFonts w:ascii="宋体" w:hAnsi="宋体" w:cs="宋体" w:eastAsia="宋体" w:hint="default"/>
                <w:spacing w:val="2"/>
                <w:sz w:val="18"/>
                <w:szCs w:val="18"/>
              </w:rPr>
              <w:t>单项金额不重大但单项计提 </w:t>
            </w:r>
            <w:r>
              <w:rPr>
                <w:rFonts w:ascii="宋体" w:hAnsi="宋体" w:cs="宋体" w:eastAsia="宋体" w:hint="default"/>
                <w:sz w:val="18"/>
                <w:szCs w:val="18"/>
              </w:rPr>
              <w:t>坏账准备的应收账款</w:t>
            </w:r>
          </w:p>
        </w:tc>
        <w:tc>
          <w:tcPr>
            <w:tcW w:w="1579"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96"/>
              <w:jc w:val="right"/>
              <w:rPr>
                <w:rFonts w:ascii="Times New Roman" w:hAnsi="Times New Roman" w:cs="Times New Roman" w:eastAsia="Times New Roman" w:hint="default"/>
                <w:sz w:val="18"/>
                <w:szCs w:val="18"/>
              </w:rPr>
            </w:pPr>
            <w:r>
              <w:rPr>
                <w:rFonts w:ascii="Times New Roman"/>
                <w:spacing w:val="-1"/>
                <w:sz w:val="18"/>
              </w:rPr>
              <w:t>0.00</w:t>
            </w:r>
          </w:p>
        </w:tc>
        <w:tc>
          <w:tcPr>
            <w:tcW w:w="823"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21"/>
              <w:jc w:val="right"/>
              <w:rPr>
                <w:rFonts w:ascii="Times New Roman" w:hAnsi="Times New Roman" w:cs="Times New Roman" w:eastAsia="Times New Roman" w:hint="default"/>
                <w:sz w:val="18"/>
                <w:szCs w:val="18"/>
              </w:rPr>
            </w:pPr>
            <w:r>
              <w:rPr>
                <w:rFonts w:ascii="Times New Roman"/>
                <w:sz w:val="18"/>
              </w:rPr>
              <w:t>0.00%</w:t>
            </w:r>
          </w:p>
        </w:tc>
        <w:tc>
          <w:tcPr>
            <w:tcW w:w="1381"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32"/>
              <w:jc w:val="right"/>
              <w:rPr>
                <w:rFonts w:ascii="Times New Roman" w:hAnsi="Times New Roman" w:cs="Times New Roman" w:eastAsia="Times New Roman" w:hint="default"/>
                <w:sz w:val="18"/>
                <w:szCs w:val="18"/>
              </w:rPr>
            </w:pPr>
            <w:r>
              <w:rPr>
                <w:rFonts w:ascii="Times New Roman"/>
                <w:spacing w:val="-1"/>
                <w:sz w:val="18"/>
              </w:rPr>
              <w:t>0.00</w:t>
            </w:r>
          </w:p>
        </w:tc>
        <w:tc>
          <w:tcPr>
            <w:tcW w:w="1043"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31"/>
              <w:jc w:val="right"/>
              <w:rPr>
                <w:rFonts w:ascii="Times New Roman" w:hAnsi="Times New Roman" w:cs="Times New Roman" w:eastAsia="Times New Roman" w:hint="default"/>
                <w:sz w:val="18"/>
                <w:szCs w:val="18"/>
              </w:rPr>
            </w:pPr>
            <w:r>
              <w:rPr>
                <w:rFonts w:ascii="Times New Roman"/>
                <w:spacing w:val="-1"/>
                <w:sz w:val="18"/>
              </w:rPr>
              <w:t>100.00%</w:t>
            </w:r>
          </w:p>
        </w:tc>
        <w:tc>
          <w:tcPr>
            <w:tcW w:w="1499"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0.00</w:t>
            </w:r>
          </w:p>
        </w:tc>
      </w:tr>
      <w:tr>
        <w:trPr>
          <w:trHeight w:val="307" w:hRule="exact"/>
        </w:trPr>
        <w:tc>
          <w:tcPr>
            <w:tcW w:w="2415"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7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120" w:right="0"/>
              <w:jc w:val="left"/>
              <w:rPr>
                <w:rFonts w:ascii="Times New Roman" w:hAnsi="Times New Roman" w:cs="Times New Roman" w:eastAsia="Times New Roman" w:hint="default"/>
                <w:sz w:val="18"/>
                <w:szCs w:val="18"/>
              </w:rPr>
            </w:pPr>
            <w:r>
              <w:rPr>
                <w:rFonts w:ascii="Times New Roman"/>
                <w:b/>
                <w:sz w:val="18"/>
              </w:rPr>
              <w:t>1,720,036,442.56</w:t>
            </w:r>
            <w:r>
              <w:rPr>
                <w:rFonts w:ascii="Times New Roman"/>
                <w:sz w:val="18"/>
              </w:rPr>
            </w:r>
          </w:p>
        </w:tc>
        <w:tc>
          <w:tcPr>
            <w:tcW w:w="82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18"/>
              <w:jc w:val="right"/>
              <w:rPr>
                <w:rFonts w:ascii="Times New Roman" w:hAnsi="Times New Roman" w:cs="Times New Roman" w:eastAsia="Times New Roman" w:hint="default"/>
                <w:sz w:val="18"/>
                <w:szCs w:val="18"/>
              </w:rPr>
            </w:pPr>
            <w:r>
              <w:rPr>
                <w:rFonts w:ascii="Times New Roman"/>
                <w:b/>
                <w:spacing w:val="-1"/>
                <w:sz w:val="18"/>
              </w:rPr>
              <w:t>100.00%</w:t>
            </w:r>
            <w:r>
              <w:rPr>
                <w:rFonts w:ascii="Times New Roman"/>
                <w:spacing w:val="-1"/>
                <w:sz w:val="18"/>
              </w:rPr>
            </w:r>
          </w:p>
        </w:tc>
        <w:tc>
          <w:tcPr>
            <w:tcW w:w="1381"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32"/>
              <w:jc w:val="right"/>
              <w:rPr>
                <w:rFonts w:ascii="Times New Roman" w:hAnsi="Times New Roman" w:cs="Times New Roman" w:eastAsia="Times New Roman" w:hint="default"/>
                <w:sz w:val="18"/>
                <w:szCs w:val="18"/>
              </w:rPr>
            </w:pPr>
            <w:r>
              <w:rPr>
                <w:rFonts w:ascii="Times New Roman"/>
                <w:b/>
                <w:spacing w:val="-1"/>
                <w:sz w:val="18"/>
              </w:rPr>
              <w:t>321,398,412.57</w:t>
            </w:r>
            <w:r>
              <w:rPr>
                <w:rFonts w:ascii="Times New Roman"/>
                <w:spacing w:val="-1"/>
                <w:sz w:val="18"/>
              </w:rPr>
            </w:r>
          </w:p>
        </w:tc>
        <w:tc>
          <w:tcPr>
            <w:tcW w:w="104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29"/>
              <w:jc w:val="right"/>
              <w:rPr>
                <w:rFonts w:ascii="Times New Roman" w:hAnsi="Times New Roman" w:cs="Times New Roman" w:eastAsia="Times New Roman" w:hint="default"/>
                <w:sz w:val="18"/>
                <w:szCs w:val="18"/>
              </w:rPr>
            </w:pPr>
            <w:r>
              <w:rPr>
                <w:rFonts w:ascii="Times New Roman"/>
                <w:b/>
                <w:sz w:val="18"/>
              </w:rPr>
              <w:t>18.69%</w:t>
            </w:r>
            <w:r>
              <w:rPr>
                <w:rFonts w:ascii="Times New Roman"/>
                <w:sz w:val="18"/>
              </w:rPr>
            </w:r>
          </w:p>
        </w:tc>
        <w:tc>
          <w:tcPr>
            <w:tcW w:w="149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1,398,638,029.99</w:t>
            </w:r>
            <w:r>
              <w:rPr>
                <w:rFonts w:ascii="Times New Roman"/>
                <w:spacing w:val="-1"/>
                <w:sz w:val="18"/>
              </w:rPr>
            </w:r>
          </w:p>
        </w:tc>
      </w:tr>
    </w:tbl>
    <w:p>
      <w:pPr>
        <w:spacing w:before="81"/>
        <w:ind w:left="242" w:right="0" w:firstLine="0"/>
        <w:jc w:val="left"/>
        <w:rPr>
          <w:rFonts w:ascii="宋体" w:hAnsi="宋体" w:cs="宋体" w:eastAsia="宋体" w:hint="default"/>
          <w:sz w:val="22"/>
          <w:szCs w:val="22"/>
        </w:rPr>
      </w:pPr>
      <w:r>
        <w:rPr/>
        <w:pict>
          <v:group style="position:absolute;margin-left:199.490005pt;margin-top:57.237667pt;width:240.55pt;height:.5pt;mso-position-horizontal-relative:page;mso-position-vertical-relative:paragraph;z-index:-1196584" coordorigin="3990,1145" coordsize="4811,10">
            <v:group style="position:absolute;left:3995;top:1150;width:1488;height:2" coordorigin="3995,1150" coordsize="1488,2">
              <v:shape style="position:absolute;left:3995;top:1150;width:1488;height:2" coordorigin="3995,1150" coordsize="1488,0" path="m3995,1150l5483,1150e" filled="false" stroked="true" strokeweight=".47998pt" strokecolor="#000000">
                <v:path arrowok="t"/>
              </v:shape>
            </v:group>
            <v:group style="position:absolute;left:5483;top:1150;width:10;height:2" coordorigin="5483,1150" coordsize="10,2">
              <v:shape style="position:absolute;left:5483;top:1150;width:10;height:2" coordorigin="5483,1150" coordsize="10,0" path="m5483,1150l5492,1150e" filled="false" stroked="true" strokeweight=".47998pt" strokecolor="#000000">
                <v:path arrowok="t"/>
              </v:shape>
            </v:group>
            <v:group style="position:absolute;left:5492;top:1150;width:891;height:2" coordorigin="5492,1150" coordsize="891,2">
              <v:shape style="position:absolute;left:5492;top:1150;width:891;height:2" coordorigin="5492,1150" coordsize="891,0" path="m5492,1150l6383,1150e" filled="false" stroked="true" strokeweight=".47998pt" strokecolor="#000000">
                <v:path arrowok="t"/>
              </v:shape>
            </v:group>
            <v:group style="position:absolute;left:6383;top:1150;width:10;height:2" coordorigin="6383,1150" coordsize="10,2">
              <v:shape style="position:absolute;left:6383;top:1150;width:10;height:2" coordorigin="6383,1150" coordsize="10,0" path="m6383,1150l6393,1150e" filled="false" stroked="true" strokeweight=".47998pt" strokecolor="#000000">
                <v:path arrowok="t"/>
              </v:shape>
            </v:group>
            <v:group style="position:absolute;left:6393;top:1150;width:1359;height:2" coordorigin="6393,1150" coordsize="1359,2">
              <v:shape style="position:absolute;left:6393;top:1150;width:1359;height:2" coordorigin="6393,1150" coordsize="1359,0" path="m6393,1150l7751,1150e" filled="false" stroked="true" strokeweight=".47998pt" strokecolor="#000000">
                <v:path arrowok="t"/>
              </v:shape>
            </v:group>
            <v:group style="position:absolute;left:7751;top:1150;width:10;height:2" coordorigin="7751,1150" coordsize="10,2">
              <v:shape style="position:absolute;left:7751;top:1150;width:10;height:2" coordorigin="7751,1150" coordsize="10,0" path="m7751,1150l7761,1150e" filled="false" stroked="true" strokeweight=".47998pt" strokecolor="#000000">
                <v:path arrowok="t"/>
              </v:shape>
            </v:group>
            <v:group style="position:absolute;left:7761;top:1150;width:1035;height:2" coordorigin="7761,1150" coordsize="1035,2">
              <v:shape style="position:absolute;left:7761;top:1150;width:1035;height:2" coordorigin="7761,1150" coordsize="1035,0" path="m7761,1150l8795,1150e" filled="false" stroked="true" strokeweight=".47998pt" strokecolor="#000000">
                <v:path arrowok="t"/>
              </v:shape>
            </v:group>
            <w10:wrap type="none"/>
          </v:group>
        </w:pict>
      </w:r>
      <w:r>
        <w:rPr>
          <w:rFonts w:ascii="宋体" w:hAnsi="宋体" w:cs="宋体" w:eastAsia="宋体" w:hint="default"/>
          <w:sz w:val="22"/>
          <w:szCs w:val="22"/>
        </w:rPr>
        <w:t>（续）</w:t>
      </w:r>
    </w:p>
    <w:p>
      <w:pPr>
        <w:spacing w:line="240" w:lineRule="auto" w:before="9"/>
        <w:rPr>
          <w:rFonts w:ascii="宋体" w:hAnsi="宋体" w:cs="宋体" w:eastAsia="宋体" w:hint="default"/>
          <w:sz w:val="12"/>
          <w:szCs w:val="12"/>
        </w:rPr>
      </w:pPr>
    </w:p>
    <w:tbl>
      <w:tblPr>
        <w:tblW w:w="0" w:type="auto"/>
        <w:jc w:val="left"/>
        <w:tblInd w:w="119" w:type="dxa"/>
        <w:tblLayout w:type="fixed"/>
        <w:tblCellMar>
          <w:top w:w="0" w:type="dxa"/>
          <w:left w:w="0" w:type="dxa"/>
          <w:bottom w:w="0" w:type="dxa"/>
          <w:right w:w="0" w:type="dxa"/>
        </w:tblCellMar>
        <w:tblLook w:val="01E0"/>
      </w:tblPr>
      <w:tblGrid>
        <w:gridCol w:w="2415"/>
        <w:gridCol w:w="1579"/>
        <w:gridCol w:w="823"/>
        <w:gridCol w:w="1533"/>
        <w:gridCol w:w="891"/>
        <w:gridCol w:w="1499"/>
      </w:tblGrid>
      <w:tr>
        <w:trPr>
          <w:trHeight w:val="305" w:hRule="exact"/>
        </w:trPr>
        <w:tc>
          <w:tcPr>
            <w:tcW w:w="2415" w:type="dxa"/>
            <w:tcBorders>
              <w:top w:val="single" w:sz="12" w:space="0" w:color="000000"/>
              <w:left w:val="nil" w:sz="6" w:space="0" w:color="auto"/>
              <w:bottom w:val="nil" w:sz="6" w:space="0" w:color="auto"/>
              <w:right w:val="nil" w:sz="6" w:space="0" w:color="auto"/>
            </w:tcBorders>
          </w:tcPr>
          <w:p>
            <w:pPr/>
          </w:p>
        </w:tc>
        <w:tc>
          <w:tcPr>
            <w:tcW w:w="1579" w:type="dxa"/>
            <w:tcBorders>
              <w:top w:val="single" w:sz="12" w:space="0" w:color="000000"/>
              <w:left w:val="nil" w:sz="6" w:space="0" w:color="auto"/>
              <w:bottom w:val="single" w:sz="4" w:space="0" w:color="000000"/>
              <w:right w:val="nil" w:sz="6" w:space="0" w:color="auto"/>
            </w:tcBorders>
          </w:tcPr>
          <w:p>
            <w:pPr/>
          </w:p>
        </w:tc>
        <w:tc>
          <w:tcPr>
            <w:tcW w:w="823" w:type="dxa"/>
            <w:tcBorders>
              <w:top w:val="single" w:sz="12" w:space="0" w:color="000000"/>
              <w:left w:val="nil" w:sz="6" w:space="0" w:color="auto"/>
              <w:bottom w:val="single" w:sz="4" w:space="0" w:color="000000"/>
              <w:right w:val="nil" w:sz="6" w:space="0" w:color="auto"/>
            </w:tcBorders>
          </w:tcPr>
          <w:p>
            <w:pPr/>
          </w:p>
        </w:tc>
        <w:tc>
          <w:tcPr>
            <w:tcW w:w="1533"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left="396"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891" w:type="dxa"/>
            <w:tcBorders>
              <w:top w:val="single" w:sz="12" w:space="0" w:color="000000"/>
              <w:left w:val="nil" w:sz="6" w:space="0" w:color="auto"/>
              <w:bottom w:val="single" w:sz="4" w:space="0" w:color="000000"/>
              <w:right w:val="nil" w:sz="6" w:space="0" w:color="auto"/>
            </w:tcBorders>
          </w:tcPr>
          <w:p>
            <w:pPr/>
          </w:p>
        </w:tc>
        <w:tc>
          <w:tcPr>
            <w:tcW w:w="1499" w:type="dxa"/>
            <w:tcBorders>
              <w:top w:val="single" w:sz="12" w:space="0" w:color="000000"/>
              <w:left w:val="nil" w:sz="6" w:space="0" w:color="auto"/>
              <w:bottom w:val="single" w:sz="4" w:space="0" w:color="000000"/>
              <w:right w:val="nil" w:sz="6" w:space="0" w:color="auto"/>
            </w:tcBorders>
          </w:tcPr>
          <w:p>
            <w:pPr/>
          </w:p>
        </w:tc>
      </w:tr>
      <w:tr>
        <w:trPr>
          <w:trHeight w:val="242" w:hRule="exact"/>
        </w:trPr>
        <w:tc>
          <w:tcPr>
            <w:tcW w:w="2415" w:type="dxa"/>
            <w:tcBorders>
              <w:top w:val="nil" w:sz="6" w:space="0" w:color="auto"/>
              <w:left w:val="nil" w:sz="6" w:space="0" w:color="auto"/>
              <w:bottom w:val="nil" w:sz="6" w:space="0" w:color="auto"/>
              <w:right w:val="nil" w:sz="6" w:space="0" w:color="auto"/>
            </w:tcBorders>
          </w:tcPr>
          <w:p>
            <w:pPr>
              <w:pStyle w:val="TableParagraph"/>
              <w:spacing w:line="240" w:lineRule="auto" w:before="1"/>
              <w:ind w:left="13" w:right="0"/>
              <w:jc w:val="center"/>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1579"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830"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823" w:type="dxa"/>
            <w:tcBorders>
              <w:top w:val="single" w:sz="4" w:space="0" w:color="000000"/>
              <w:left w:val="nil" w:sz="6" w:space="0" w:color="auto"/>
              <w:bottom w:val="nil" w:sz="6" w:space="0" w:color="auto"/>
              <w:right w:val="nil" w:sz="6" w:space="0" w:color="auto"/>
            </w:tcBorders>
          </w:tcPr>
          <w:p>
            <w:pPr/>
          </w:p>
        </w:tc>
        <w:tc>
          <w:tcPr>
            <w:tcW w:w="1533"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828" w:right="-18"/>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c>
        <w:tc>
          <w:tcPr>
            <w:tcW w:w="891" w:type="dxa"/>
            <w:tcBorders>
              <w:top w:val="single" w:sz="4" w:space="0" w:color="000000"/>
              <w:left w:val="nil" w:sz="6" w:space="0" w:color="auto"/>
              <w:bottom w:val="nil" w:sz="6" w:space="0" w:color="auto"/>
              <w:right w:val="nil" w:sz="6" w:space="0" w:color="auto"/>
            </w:tcBorders>
          </w:tcPr>
          <w:p>
            <w:pPr/>
          </w:p>
        </w:tc>
        <w:tc>
          <w:tcPr>
            <w:tcW w:w="1499" w:type="dxa"/>
            <w:tcBorders>
              <w:top w:val="single" w:sz="4" w:space="0" w:color="000000"/>
              <w:left w:val="nil" w:sz="6" w:space="0" w:color="auto"/>
              <w:bottom w:val="nil" w:sz="6" w:space="0" w:color="auto"/>
              <w:right w:val="nil" w:sz="6" w:space="0" w:color="auto"/>
            </w:tcBorders>
          </w:tcPr>
          <w:p>
            <w:pPr/>
          </w:p>
        </w:tc>
      </w:tr>
      <w:tr>
        <w:trPr>
          <w:trHeight w:val="140" w:hRule="exact"/>
        </w:trPr>
        <w:tc>
          <w:tcPr>
            <w:tcW w:w="2415" w:type="dxa"/>
            <w:tcBorders>
              <w:top w:val="nil" w:sz="6" w:space="0" w:color="auto"/>
              <w:left w:val="nil" w:sz="6" w:space="0" w:color="auto"/>
              <w:bottom w:val="nil" w:sz="6" w:space="0" w:color="auto"/>
              <w:right w:val="nil" w:sz="6" w:space="0" w:color="auto"/>
            </w:tcBorders>
          </w:tcPr>
          <w:p>
            <w:pPr/>
          </w:p>
        </w:tc>
        <w:tc>
          <w:tcPr>
            <w:tcW w:w="1579" w:type="dxa"/>
            <w:tcBorders>
              <w:top w:val="nil" w:sz="6" w:space="0" w:color="auto"/>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
        </w:tc>
        <w:tc>
          <w:tcPr>
            <w:tcW w:w="1533"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
        </w:tc>
        <w:tc>
          <w:tcPr>
            <w:tcW w:w="1499" w:type="dxa"/>
            <w:tcBorders>
              <w:top w:val="nil" w:sz="6" w:space="0" w:color="auto"/>
              <w:left w:val="nil" w:sz="6" w:space="0" w:color="auto"/>
              <w:bottom w:val="nil" w:sz="6" w:space="0" w:color="auto"/>
              <w:right w:val="nil" w:sz="6" w:space="0" w:color="auto"/>
            </w:tcBorders>
          </w:tcPr>
          <w:p>
            <w:pPr>
              <w:pStyle w:val="TableParagraph"/>
              <w:spacing w:line="143" w:lineRule="exact"/>
              <w:ind w:left="375"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209" w:hRule="exact"/>
        </w:trPr>
        <w:tc>
          <w:tcPr>
            <w:tcW w:w="2415" w:type="dxa"/>
            <w:tcBorders>
              <w:top w:val="nil" w:sz="6" w:space="0" w:color="auto"/>
              <w:left w:val="nil" w:sz="6" w:space="0" w:color="auto"/>
              <w:bottom w:val="single" w:sz="4" w:space="0" w:color="000000"/>
              <w:right w:val="nil" w:sz="6" w:space="0" w:color="auto"/>
            </w:tcBorders>
          </w:tcPr>
          <w:p>
            <w:pPr/>
          </w:p>
        </w:tc>
        <w:tc>
          <w:tcPr>
            <w:tcW w:w="1579" w:type="dxa"/>
            <w:tcBorders>
              <w:top w:val="nil" w:sz="6" w:space="0" w:color="auto"/>
              <w:left w:val="nil" w:sz="6" w:space="0" w:color="auto"/>
              <w:bottom w:val="single" w:sz="4" w:space="0" w:color="000000"/>
              <w:right w:val="nil" w:sz="6" w:space="0" w:color="auto"/>
            </w:tcBorders>
          </w:tcPr>
          <w:p>
            <w:pPr>
              <w:pStyle w:val="TableParagraph"/>
              <w:spacing w:line="176" w:lineRule="exact"/>
              <w:ind w:right="89"/>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23" w:type="dxa"/>
            <w:tcBorders>
              <w:top w:val="nil" w:sz="6" w:space="0" w:color="auto"/>
              <w:left w:val="nil" w:sz="6" w:space="0" w:color="auto"/>
              <w:bottom w:val="single" w:sz="4" w:space="0" w:color="000000"/>
              <w:right w:val="nil" w:sz="6" w:space="0" w:color="auto"/>
            </w:tcBorders>
          </w:tcPr>
          <w:p>
            <w:pPr>
              <w:pStyle w:val="TableParagraph"/>
              <w:spacing w:line="176" w:lineRule="exact"/>
              <w:ind w:left="175"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533" w:type="dxa"/>
            <w:tcBorders>
              <w:top w:val="nil" w:sz="6" w:space="0" w:color="auto"/>
              <w:left w:val="nil" w:sz="6" w:space="0" w:color="auto"/>
              <w:bottom w:val="single" w:sz="4" w:space="0" w:color="000000"/>
              <w:right w:val="nil" w:sz="6" w:space="0" w:color="auto"/>
            </w:tcBorders>
          </w:tcPr>
          <w:p>
            <w:pPr>
              <w:pStyle w:val="TableParagraph"/>
              <w:spacing w:line="176" w:lineRule="exact"/>
              <w:ind w:left="487"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91" w:type="dxa"/>
            <w:tcBorders>
              <w:top w:val="nil" w:sz="6" w:space="0" w:color="auto"/>
              <w:left w:val="nil" w:sz="6" w:space="0" w:color="auto"/>
              <w:bottom w:val="single" w:sz="4" w:space="0" w:color="000000"/>
              <w:right w:val="nil" w:sz="6" w:space="0" w:color="auto"/>
            </w:tcBorders>
          </w:tcPr>
          <w:p>
            <w:pPr>
              <w:pStyle w:val="TableParagraph"/>
              <w:spacing w:line="176" w:lineRule="exact"/>
              <w:ind w:left="-18" w:right="0"/>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sz w:val="18"/>
                <w:szCs w:val="18"/>
              </w:rPr>
            </w:r>
          </w:p>
        </w:tc>
        <w:tc>
          <w:tcPr>
            <w:tcW w:w="1499" w:type="dxa"/>
            <w:tcBorders>
              <w:top w:val="nil" w:sz="6" w:space="0" w:color="auto"/>
              <w:left w:val="nil" w:sz="6" w:space="0" w:color="auto"/>
              <w:bottom w:val="single" w:sz="4" w:space="0" w:color="000000"/>
              <w:right w:val="nil" w:sz="6" w:space="0" w:color="auto"/>
            </w:tcBorders>
          </w:tcPr>
          <w:p>
            <w:pPr/>
          </w:p>
        </w:tc>
      </w:tr>
      <w:tr>
        <w:trPr>
          <w:trHeight w:val="574" w:hRule="exact"/>
        </w:trPr>
        <w:tc>
          <w:tcPr>
            <w:tcW w:w="2415" w:type="dxa"/>
            <w:tcBorders>
              <w:top w:val="single" w:sz="4" w:space="0" w:color="000000"/>
              <w:left w:val="nil" w:sz="6" w:space="0" w:color="auto"/>
              <w:bottom w:val="nil" w:sz="6" w:space="0" w:color="auto"/>
              <w:right w:val="nil" w:sz="6" w:space="0" w:color="auto"/>
            </w:tcBorders>
          </w:tcPr>
          <w:p>
            <w:pPr>
              <w:pStyle w:val="TableParagraph"/>
              <w:spacing w:line="232" w:lineRule="exact" w:before="47"/>
              <w:ind w:left="122" w:right="101"/>
              <w:jc w:val="left"/>
              <w:rPr>
                <w:rFonts w:ascii="宋体" w:hAnsi="宋体" w:cs="宋体" w:eastAsia="宋体" w:hint="default"/>
                <w:sz w:val="18"/>
                <w:szCs w:val="18"/>
              </w:rPr>
            </w:pPr>
            <w:r>
              <w:rPr>
                <w:rFonts w:ascii="宋体" w:hAnsi="宋体" w:cs="宋体" w:eastAsia="宋体" w:hint="default"/>
                <w:spacing w:val="2"/>
                <w:sz w:val="18"/>
                <w:szCs w:val="18"/>
              </w:rPr>
              <w:t>单项金额重大并单项计提坏 </w:t>
            </w:r>
            <w:r>
              <w:rPr>
                <w:rFonts w:ascii="宋体" w:hAnsi="宋体" w:cs="宋体" w:eastAsia="宋体" w:hint="default"/>
                <w:sz w:val="18"/>
                <w:szCs w:val="18"/>
              </w:rPr>
              <w:t>账准备的应收账款</w:t>
            </w:r>
          </w:p>
        </w:tc>
        <w:tc>
          <w:tcPr>
            <w:tcW w:w="1579"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96"/>
              <w:jc w:val="right"/>
              <w:rPr>
                <w:rFonts w:ascii="Times New Roman" w:hAnsi="Times New Roman" w:cs="Times New Roman" w:eastAsia="Times New Roman" w:hint="default"/>
                <w:sz w:val="18"/>
                <w:szCs w:val="18"/>
              </w:rPr>
            </w:pPr>
            <w:r>
              <w:rPr>
                <w:rFonts w:ascii="Times New Roman"/>
                <w:spacing w:val="-1"/>
                <w:sz w:val="18"/>
              </w:rPr>
              <w:t>0.00</w:t>
            </w:r>
          </w:p>
        </w:tc>
        <w:tc>
          <w:tcPr>
            <w:tcW w:w="823"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22"/>
              <w:jc w:val="right"/>
              <w:rPr>
                <w:rFonts w:ascii="Times New Roman" w:hAnsi="Times New Roman" w:cs="Times New Roman" w:eastAsia="Times New Roman" w:hint="default"/>
                <w:sz w:val="18"/>
                <w:szCs w:val="18"/>
              </w:rPr>
            </w:pPr>
            <w:r>
              <w:rPr>
                <w:rFonts w:ascii="Times New Roman"/>
                <w:sz w:val="18"/>
              </w:rPr>
              <w:t>0.00%</w:t>
            </w:r>
          </w:p>
        </w:tc>
        <w:tc>
          <w:tcPr>
            <w:tcW w:w="1533"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931" w:right="0"/>
              <w:jc w:val="left"/>
              <w:rPr>
                <w:rFonts w:ascii="Times New Roman" w:hAnsi="Times New Roman" w:cs="Times New Roman" w:eastAsia="Times New Roman" w:hint="default"/>
                <w:sz w:val="18"/>
                <w:szCs w:val="18"/>
              </w:rPr>
            </w:pPr>
            <w:r>
              <w:rPr>
                <w:rFonts w:ascii="Times New Roman"/>
                <w:sz w:val="18"/>
              </w:rPr>
              <w:t>0.00</w:t>
            </w:r>
          </w:p>
        </w:tc>
        <w:tc>
          <w:tcPr>
            <w:tcW w:w="891"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31"/>
              <w:jc w:val="right"/>
              <w:rPr>
                <w:rFonts w:ascii="Times New Roman" w:hAnsi="Times New Roman" w:cs="Times New Roman" w:eastAsia="Times New Roman" w:hint="default"/>
                <w:sz w:val="18"/>
                <w:szCs w:val="18"/>
              </w:rPr>
            </w:pPr>
            <w:r>
              <w:rPr>
                <w:rFonts w:ascii="Times New Roman"/>
                <w:sz w:val="18"/>
              </w:rPr>
              <w:t>0.00%</w:t>
            </w:r>
          </w:p>
        </w:tc>
        <w:tc>
          <w:tcPr>
            <w:tcW w:w="1499"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0.00</w:t>
            </w:r>
          </w:p>
        </w:tc>
      </w:tr>
      <w:tr>
        <w:trPr>
          <w:trHeight w:val="571" w:hRule="exact"/>
        </w:trPr>
        <w:tc>
          <w:tcPr>
            <w:tcW w:w="241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101"/>
              <w:jc w:val="left"/>
              <w:rPr>
                <w:rFonts w:ascii="宋体" w:hAnsi="宋体" w:cs="宋体" w:eastAsia="宋体" w:hint="default"/>
                <w:sz w:val="18"/>
                <w:szCs w:val="18"/>
              </w:rPr>
            </w:pPr>
            <w:r>
              <w:rPr>
                <w:rFonts w:ascii="宋体" w:hAnsi="宋体" w:cs="宋体" w:eastAsia="宋体" w:hint="default"/>
                <w:spacing w:val="2"/>
                <w:sz w:val="18"/>
                <w:szCs w:val="18"/>
              </w:rPr>
              <w:t>按信用风险特征组合计提坏 </w:t>
            </w:r>
            <w:r>
              <w:rPr>
                <w:rFonts w:ascii="宋体" w:hAnsi="宋体" w:cs="宋体" w:eastAsia="宋体" w:hint="default"/>
                <w:sz w:val="18"/>
                <w:szCs w:val="18"/>
              </w:rPr>
              <w:t>账准备的应收账款</w:t>
            </w: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1,675,600,475.53</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19"/>
              <w:jc w:val="right"/>
              <w:rPr>
                <w:rFonts w:ascii="Times New Roman" w:hAnsi="Times New Roman" w:cs="Times New Roman" w:eastAsia="Times New Roman" w:hint="default"/>
                <w:sz w:val="18"/>
                <w:szCs w:val="18"/>
              </w:rPr>
            </w:pPr>
            <w:r>
              <w:rPr>
                <w:rFonts w:ascii="Times New Roman"/>
                <w:sz w:val="18"/>
              </w:rPr>
              <w:t>99.99%</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279,917,592.93</w:t>
            </w:r>
          </w:p>
        </w:tc>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28"/>
              <w:jc w:val="right"/>
              <w:rPr>
                <w:rFonts w:ascii="Times New Roman" w:hAnsi="Times New Roman" w:cs="Times New Roman" w:eastAsia="Times New Roman" w:hint="default"/>
                <w:sz w:val="18"/>
                <w:szCs w:val="18"/>
              </w:rPr>
            </w:pPr>
            <w:r>
              <w:rPr>
                <w:rFonts w:ascii="Times New Roman"/>
                <w:sz w:val="18"/>
              </w:rPr>
              <w:t>16.71%</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1,395,682,882.60</w:t>
            </w:r>
          </w:p>
        </w:tc>
      </w:tr>
      <w:tr>
        <w:trPr>
          <w:trHeight w:val="576" w:hRule="exact"/>
        </w:trPr>
        <w:tc>
          <w:tcPr>
            <w:tcW w:w="2415" w:type="dxa"/>
            <w:tcBorders>
              <w:top w:val="nil" w:sz="6" w:space="0" w:color="auto"/>
              <w:left w:val="nil" w:sz="6" w:space="0" w:color="auto"/>
              <w:bottom w:val="single" w:sz="4" w:space="0" w:color="000000"/>
              <w:right w:val="nil" w:sz="6" w:space="0" w:color="auto"/>
            </w:tcBorders>
          </w:tcPr>
          <w:p>
            <w:pPr>
              <w:pStyle w:val="TableParagraph"/>
              <w:spacing w:line="232" w:lineRule="exact" w:before="47"/>
              <w:ind w:left="122" w:right="101"/>
              <w:jc w:val="left"/>
              <w:rPr>
                <w:rFonts w:ascii="宋体" w:hAnsi="宋体" w:cs="宋体" w:eastAsia="宋体" w:hint="default"/>
                <w:sz w:val="18"/>
                <w:szCs w:val="18"/>
              </w:rPr>
            </w:pPr>
            <w:r>
              <w:rPr>
                <w:rFonts w:ascii="宋体" w:hAnsi="宋体" w:cs="宋体" w:eastAsia="宋体" w:hint="default"/>
                <w:spacing w:val="2"/>
                <w:sz w:val="18"/>
                <w:szCs w:val="18"/>
              </w:rPr>
              <w:t>单项金额不重大但单项计提 </w:t>
            </w:r>
            <w:r>
              <w:rPr>
                <w:rFonts w:ascii="宋体" w:hAnsi="宋体" w:cs="宋体" w:eastAsia="宋体" w:hint="default"/>
                <w:sz w:val="18"/>
                <w:szCs w:val="18"/>
              </w:rPr>
              <w:t>坏账准备的应收账款</w:t>
            </w:r>
          </w:p>
        </w:tc>
        <w:tc>
          <w:tcPr>
            <w:tcW w:w="1579"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568" w:right="0"/>
              <w:jc w:val="left"/>
              <w:rPr>
                <w:rFonts w:ascii="Times New Roman" w:hAnsi="Times New Roman" w:cs="Times New Roman" w:eastAsia="Times New Roman" w:hint="default"/>
                <w:sz w:val="18"/>
                <w:szCs w:val="18"/>
              </w:rPr>
            </w:pPr>
            <w:r>
              <w:rPr>
                <w:rFonts w:ascii="Times New Roman"/>
                <w:sz w:val="18"/>
              </w:rPr>
              <w:t>152,376.00</w:t>
            </w:r>
          </w:p>
        </w:tc>
        <w:tc>
          <w:tcPr>
            <w:tcW w:w="823"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22"/>
              <w:jc w:val="right"/>
              <w:rPr>
                <w:rFonts w:ascii="Times New Roman" w:hAnsi="Times New Roman" w:cs="Times New Roman" w:eastAsia="Times New Roman" w:hint="default"/>
                <w:sz w:val="18"/>
                <w:szCs w:val="18"/>
              </w:rPr>
            </w:pPr>
            <w:r>
              <w:rPr>
                <w:rFonts w:ascii="Times New Roman"/>
                <w:sz w:val="18"/>
              </w:rPr>
              <w:t>0.01%</w:t>
            </w:r>
          </w:p>
        </w:tc>
        <w:tc>
          <w:tcPr>
            <w:tcW w:w="1533"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434" w:right="0"/>
              <w:jc w:val="left"/>
              <w:rPr>
                <w:rFonts w:ascii="Times New Roman" w:hAnsi="Times New Roman" w:cs="Times New Roman" w:eastAsia="Times New Roman" w:hint="default"/>
                <w:sz w:val="18"/>
                <w:szCs w:val="18"/>
              </w:rPr>
            </w:pPr>
            <w:r>
              <w:rPr>
                <w:rFonts w:ascii="Times New Roman"/>
                <w:sz w:val="18"/>
              </w:rPr>
              <w:t>152,376.00</w:t>
            </w:r>
          </w:p>
        </w:tc>
        <w:tc>
          <w:tcPr>
            <w:tcW w:w="891"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31"/>
              <w:jc w:val="right"/>
              <w:rPr>
                <w:rFonts w:ascii="Times New Roman" w:hAnsi="Times New Roman" w:cs="Times New Roman" w:eastAsia="Times New Roman" w:hint="default"/>
                <w:sz w:val="18"/>
                <w:szCs w:val="18"/>
              </w:rPr>
            </w:pPr>
            <w:r>
              <w:rPr>
                <w:rFonts w:ascii="Times New Roman"/>
                <w:spacing w:val="-1"/>
                <w:sz w:val="18"/>
              </w:rPr>
              <w:t>100.00%</w:t>
            </w:r>
          </w:p>
        </w:tc>
        <w:tc>
          <w:tcPr>
            <w:tcW w:w="1499"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0.00</w:t>
            </w:r>
          </w:p>
        </w:tc>
      </w:tr>
      <w:tr>
        <w:trPr>
          <w:trHeight w:val="305" w:hRule="exact"/>
        </w:trPr>
        <w:tc>
          <w:tcPr>
            <w:tcW w:w="2415"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7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120" w:right="0"/>
              <w:jc w:val="left"/>
              <w:rPr>
                <w:rFonts w:ascii="Times New Roman" w:hAnsi="Times New Roman" w:cs="Times New Roman" w:eastAsia="Times New Roman" w:hint="default"/>
                <w:sz w:val="18"/>
                <w:szCs w:val="18"/>
              </w:rPr>
            </w:pPr>
            <w:r>
              <w:rPr>
                <w:rFonts w:ascii="Times New Roman"/>
                <w:b/>
                <w:sz w:val="18"/>
              </w:rPr>
              <w:t>1,675,752,851.53</w:t>
            </w:r>
            <w:r>
              <w:rPr>
                <w:rFonts w:ascii="Times New Roman"/>
                <w:sz w:val="18"/>
              </w:rPr>
            </w:r>
          </w:p>
        </w:tc>
        <w:tc>
          <w:tcPr>
            <w:tcW w:w="82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18"/>
              <w:jc w:val="right"/>
              <w:rPr>
                <w:rFonts w:ascii="Times New Roman" w:hAnsi="Times New Roman" w:cs="Times New Roman" w:eastAsia="Times New Roman" w:hint="default"/>
                <w:sz w:val="18"/>
                <w:szCs w:val="18"/>
              </w:rPr>
            </w:pPr>
            <w:r>
              <w:rPr>
                <w:rFonts w:ascii="Times New Roman"/>
                <w:b/>
                <w:spacing w:val="-1"/>
                <w:sz w:val="18"/>
              </w:rPr>
              <w:t>100.00%</w:t>
            </w:r>
            <w:r>
              <w:rPr>
                <w:rFonts w:ascii="Times New Roman"/>
                <w:spacing w:val="-1"/>
                <w:sz w:val="18"/>
              </w:rPr>
            </w:r>
          </w:p>
        </w:tc>
        <w:tc>
          <w:tcPr>
            <w:tcW w:w="153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120" w:right="0"/>
              <w:jc w:val="left"/>
              <w:rPr>
                <w:rFonts w:ascii="Times New Roman" w:hAnsi="Times New Roman" w:cs="Times New Roman" w:eastAsia="Times New Roman" w:hint="default"/>
                <w:sz w:val="18"/>
                <w:szCs w:val="18"/>
              </w:rPr>
            </w:pPr>
            <w:r>
              <w:rPr>
                <w:rFonts w:ascii="Times New Roman"/>
                <w:b/>
                <w:sz w:val="18"/>
              </w:rPr>
              <w:t>280,069,968.93</w:t>
            </w:r>
            <w:r>
              <w:rPr>
                <w:rFonts w:ascii="Times New Roman"/>
                <w:sz w:val="18"/>
              </w:rPr>
            </w:r>
          </w:p>
        </w:tc>
        <w:tc>
          <w:tcPr>
            <w:tcW w:w="891"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29"/>
              <w:jc w:val="right"/>
              <w:rPr>
                <w:rFonts w:ascii="Times New Roman" w:hAnsi="Times New Roman" w:cs="Times New Roman" w:eastAsia="Times New Roman" w:hint="default"/>
                <w:sz w:val="18"/>
                <w:szCs w:val="18"/>
              </w:rPr>
            </w:pPr>
            <w:r>
              <w:rPr>
                <w:rFonts w:ascii="Times New Roman"/>
                <w:b/>
                <w:sz w:val="18"/>
              </w:rPr>
              <w:t>16.71%</w:t>
            </w:r>
            <w:r>
              <w:rPr>
                <w:rFonts w:ascii="Times New Roman"/>
                <w:sz w:val="18"/>
              </w:rPr>
            </w:r>
          </w:p>
        </w:tc>
        <w:tc>
          <w:tcPr>
            <w:tcW w:w="149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1,395,682,882.60</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645" w:footer="816" w:top="1080" w:bottom="1000" w:left="1460" w:right="1480"/>
        </w:sectPr>
      </w:pPr>
    </w:p>
    <w:p>
      <w:pPr>
        <w:spacing w:line="240" w:lineRule="auto" w:before="0"/>
        <w:rPr>
          <w:rFonts w:ascii="宋体" w:hAnsi="宋体" w:cs="宋体" w:eastAsia="宋体" w:hint="default"/>
          <w:sz w:val="20"/>
          <w:szCs w:val="20"/>
        </w:rPr>
      </w:pPr>
    </w:p>
    <w:p>
      <w:pPr>
        <w:spacing w:before="179"/>
        <w:ind w:left="69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r>
      <w:r>
        <w:rPr>
          <w:rFonts w:ascii="Times New Roman" w:hAnsi="Times New Roman" w:cs="Times New Roman" w:eastAsia="Times New Roman" w:hint="default"/>
          <w:b/>
          <w:bCs/>
          <w:spacing w:val="7"/>
          <w:sz w:val="22"/>
          <w:szCs w:val="22"/>
        </w:rPr>
        <w:t> </w:t>
      </w:r>
      <w:r>
        <w:rPr>
          <w:rFonts w:ascii="宋体" w:hAnsi="宋体" w:cs="宋体" w:eastAsia="宋体" w:hint="default"/>
          <w:sz w:val="22"/>
          <w:szCs w:val="22"/>
        </w:rPr>
        <w:t>组合中，按账龄分析法计提坏账准备的应收账款</w:t>
      </w:r>
    </w:p>
    <w:p>
      <w:pPr>
        <w:spacing w:line="240" w:lineRule="auto" w:before="8"/>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2367"/>
        <w:gridCol w:w="1989"/>
        <w:gridCol w:w="1992"/>
        <w:gridCol w:w="2392"/>
      </w:tblGrid>
      <w:tr>
        <w:trPr>
          <w:trHeight w:val="305" w:hRule="exact"/>
        </w:trPr>
        <w:tc>
          <w:tcPr>
            <w:tcW w:w="2367" w:type="dxa"/>
            <w:vMerge w:val="restart"/>
            <w:tcBorders>
              <w:top w:val="single" w:sz="12" w:space="0" w:color="000000"/>
              <w:left w:val="nil" w:sz="6" w:space="0" w:color="auto"/>
              <w:right w:val="nil" w:sz="6" w:space="0" w:color="auto"/>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1989" w:type="dxa"/>
            <w:tcBorders>
              <w:top w:val="single" w:sz="12" w:space="0" w:color="000000"/>
              <w:left w:val="nil" w:sz="6" w:space="0" w:color="auto"/>
              <w:bottom w:val="single" w:sz="4" w:space="0" w:color="000000"/>
              <w:right w:val="nil" w:sz="6" w:space="0" w:color="auto"/>
            </w:tcBorders>
          </w:tcPr>
          <w:p>
            <w:pPr/>
          </w:p>
        </w:tc>
        <w:tc>
          <w:tcPr>
            <w:tcW w:w="199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836"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392" w:type="dxa"/>
            <w:tcBorders>
              <w:top w:val="single" w:sz="12" w:space="0" w:color="000000"/>
              <w:left w:val="nil" w:sz="6" w:space="0" w:color="auto"/>
              <w:bottom w:val="single" w:sz="4" w:space="0" w:color="000000"/>
              <w:right w:val="nil" w:sz="6" w:space="0" w:color="auto"/>
            </w:tcBorders>
          </w:tcPr>
          <w:p>
            <w:pPr/>
          </w:p>
        </w:tc>
      </w:tr>
      <w:tr>
        <w:trPr>
          <w:trHeight w:val="295" w:hRule="exact"/>
        </w:trPr>
        <w:tc>
          <w:tcPr>
            <w:tcW w:w="2367" w:type="dxa"/>
            <w:vMerge/>
            <w:tcBorders>
              <w:left w:val="nil" w:sz="6" w:space="0" w:color="auto"/>
              <w:bottom w:val="single" w:sz="4" w:space="0" w:color="000000"/>
              <w:right w:val="nil" w:sz="6" w:space="0" w:color="auto"/>
            </w:tcBorders>
          </w:tcPr>
          <w:p>
            <w:pPr/>
          </w:p>
        </w:tc>
        <w:tc>
          <w:tcPr>
            <w:tcW w:w="1989"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446" w:right="0"/>
              <w:jc w:val="left"/>
              <w:rPr>
                <w:rFonts w:ascii="宋体" w:hAnsi="宋体" w:cs="宋体" w:eastAsia="宋体" w:hint="default"/>
                <w:sz w:val="18"/>
                <w:szCs w:val="18"/>
              </w:rPr>
            </w:pPr>
            <w:r>
              <w:rPr>
                <w:rFonts w:ascii="宋体" w:hAnsi="宋体" w:cs="宋体" w:eastAsia="宋体" w:hint="default"/>
                <w:b/>
                <w:bCs/>
                <w:sz w:val="18"/>
                <w:szCs w:val="18"/>
              </w:rPr>
              <w:t>应收账款</w:t>
            </w:r>
            <w:r>
              <w:rPr>
                <w:rFonts w:ascii="宋体" w:hAnsi="宋体" w:cs="宋体" w:eastAsia="宋体" w:hint="default"/>
                <w:sz w:val="18"/>
                <w:szCs w:val="18"/>
              </w:rPr>
            </w:r>
          </w:p>
        </w:tc>
        <w:tc>
          <w:tcPr>
            <w:tcW w:w="1992"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635" w:right="0"/>
              <w:jc w:val="left"/>
              <w:rPr>
                <w:rFonts w:ascii="宋体" w:hAnsi="宋体" w:cs="宋体" w:eastAsia="宋体" w:hint="default"/>
                <w:sz w:val="18"/>
                <w:szCs w:val="18"/>
              </w:rPr>
            </w:pPr>
            <w:r>
              <w:rPr>
                <w:rFonts w:ascii="宋体" w:hAnsi="宋体" w:cs="宋体" w:eastAsia="宋体" w:hint="default"/>
                <w:b/>
                <w:bCs/>
                <w:sz w:val="18"/>
                <w:szCs w:val="18"/>
              </w:rPr>
              <w:t>比重</w:t>
            </w:r>
            <w:r>
              <w:rPr>
                <w:rFonts w:ascii="宋体" w:hAnsi="宋体" w:cs="宋体" w:eastAsia="宋体" w:hint="default"/>
                <w:sz w:val="18"/>
                <w:szCs w:val="18"/>
              </w:rPr>
            </w:r>
          </w:p>
        </w:tc>
        <w:tc>
          <w:tcPr>
            <w:tcW w:w="2392"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4"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325" w:hRule="exact"/>
        </w:trPr>
        <w:tc>
          <w:tcPr>
            <w:tcW w:w="2367"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89"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477"/>
              <w:jc w:val="right"/>
              <w:rPr>
                <w:rFonts w:ascii="Times New Roman" w:hAnsi="Times New Roman" w:cs="Times New Roman" w:eastAsia="Times New Roman" w:hint="default"/>
                <w:sz w:val="18"/>
                <w:szCs w:val="18"/>
              </w:rPr>
            </w:pPr>
            <w:r>
              <w:rPr>
                <w:rFonts w:ascii="Times New Roman"/>
                <w:spacing w:val="-1"/>
                <w:sz w:val="18"/>
              </w:rPr>
              <w:t>854,423,636.60</w:t>
            </w:r>
          </w:p>
        </w:tc>
        <w:tc>
          <w:tcPr>
            <w:tcW w:w="1992"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left="539" w:right="0"/>
              <w:jc w:val="left"/>
              <w:rPr>
                <w:rFonts w:ascii="Times New Roman" w:hAnsi="Times New Roman" w:cs="Times New Roman" w:eastAsia="Times New Roman" w:hint="default"/>
                <w:sz w:val="18"/>
                <w:szCs w:val="18"/>
              </w:rPr>
            </w:pPr>
            <w:r>
              <w:rPr>
                <w:rFonts w:ascii="Times New Roman"/>
                <w:sz w:val="18"/>
              </w:rPr>
              <w:t>49.67%</w:t>
            </w:r>
          </w:p>
        </w:tc>
        <w:tc>
          <w:tcPr>
            <w:tcW w:w="2392"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8,523,433.78</w:t>
            </w:r>
          </w:p>
        </w:tc>
      </w:tr>
      <w:tr>
        <w:trPr>
          <w:trHeight w:val="284" w:hRule="exact"/>
        </w:trPr>
        <w:tc>
          <w:tcPr>
            <w:tcW w:w="2367" w:type="dxa"/>
            <w:tcBorders>
              <w:top w:val="nil" w:sz="6" w:space="0" w:color="auto"/>
              <w:left w:val="nil" w:sz="6" w:space="0" w:color="auto"/>
              <w:bottom w:val="nil" w:sz="6" w:space="0" w:color="auto"/>
              <w:right w:val="nil" w:sz="6" w:space="0" w:color="auto"/>
            </w:tcBorders>
          </w:tcPr>
          <w:p>
            <w:pPr>
              <w:pStyle w:val="TableParagraph"/>
              <w:spacing w:line="237"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77"/>
              <w:jc w:val="right"/>
              <w:rPr>
                <w:rFonts w:ascii="Times New Roman" w:hAnsi="Times New Roman" w:cs="Times New Roman" w:eastAsia="Times New Roman" w:hint="default"/>
                <w:sz w:val="18"/>
                <w:szCs w:val="18"/>
              </w:rPr>
            </w:pPr>
            <w:r>
              <w:rPr>
                <w:rFonts w:ascii="Times New Roman"/>
                <w:spacing w:val="-1"/>
                <w:sz w:val="18"/>
              </w:rPr>
              <w:t>148,026,590.81</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582" w:right="0"/>
              <w:jc w:val="left"/>
              <w:rPr>
                <w:rFonts w:ascii="Times New Roman" w:hAnsi="Times New Roman" w:cs="Times New Roman" w:eastAsia="Times New Roman" w:hint="default"/>
                <w:sz w:val="18"/>
                <w:szCs w:val="18"/>
              </w:rPr>
            </w:pPr>
            <w:r>
              <w:rPr>
                <w:rFonts w:ascii="Times New Roman"/>
                <w:sz w:val="18"/>
              </w:rPr>
              <w:t>8.61%</w:t>
            </w: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6,625,033.59</w:t>
            </w:r>
          </w:p>
        </w:tc>
      </w:tr>
      <w:tr>
        <w:trPr>
          <w:trHeight w:val="284" w:hRule="exact"/>
        </w:trPr>
        <w:tc>
          <w:tcPr>
            <w:tcW w:w="2367"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77"/>
              <w:jc w:val="right"/>
              <w:rPr>
                <w:rFonts w:ascii="Times New Roman" w:hAnsi="Times New Roman" w:cs="Times New Roman" w:eastAsia="Times New Roman" w:hint="default"/>
                <w:sz w:val="18"/>
                <w:szCs w:val="18"/>
              </w:rPr>
            </w:pPr>
            <w:r>
              <w:rPr>
                <w:rFonts w:ascii="Times New Roman"/>
                <w:spacing w:val="-1"/>
                <w:sz w:val="18"/>
              </w:rPr>
              <w:t>82,426,299.92</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82" w:right="0"/>
              <w:jc w:val="left"/>
              <w:rPr>
                <w:rFonts w:ascii="Times New Roman" w:hAnsi="Times New Roman" w:cs="Times New Roman" w:eastAsia="Times New Roman" w:hint="default"/>
                <w:sz w:val="18"/>
                <w:szCs w:val="18"/>
              </w:rPr>
            </w:pPr>
            <w:r>
              <w:rPr>
                <w:rFonts w:ascii="Times New Roman"/>
                <w:sz w:val="18"/>
              </w:rPr>
              <w:t>4.79%</w:t>
            </w: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12,252,978.18</w:t>
            </w:r>
          </w:p>
        </w:tc>
      </w:tr>
      <w:tr>
        <w:trPr>
          <w:trHeight w:val="286" w:hRule="exact"/>
        </w:trPr>
        <w:tc>
          <w:tcPr>
            <w:tcW w:w="2367" w:type="dxa"/>
            <w:tcBorders>
              <w:top w:val="nil" w:sz="6" w:space="0" w:color="auto"/>
              <w:left w:val="nil" w:sz="6" w:space="0" w:color="auto"/>
              <w:bottom w:val="nil" w:sz="6" w:space="0" w:color="auto"/>
              <w:right w:val="nil" w:sz="6" w:space="0" w:color="auto"/>
            </w:tcBorders>
          </w:tcPr>
          <w:p>
            <w:pPr>
              <w:pStyle w:val="TableParagraph"/>
              <w:spacing w:line="237"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77"/>
              <w:jc w:val="right"/>
              <w:rPr>
                <w:rFonts w:ascii="Times New Roman" w:hAnsi="Times New Roman" w:cs="Times New Roman" w:eastAsia="Times New Roman" w:hint="default"/>
                <w:sz w:val="18"/>
                <w:szCs w:val="18"/>
              </w:rPr>
            </w:pPr>
            <w:r>
              <w:rPr>
                <w:rFonts w:ascii="Times New Roman"/>
                <w:spacing w:val="-1"/>
                <w:sz w:val="18"/>
              </w:rPr>
              <w:t>73,529,386.59</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582" w:right="0"/>
              <w:jc w:val="left"/>
              <w:rPr>
                <w:rFonts w:ascii="Times New Roman" w:hAnsi="Times New Roman" w:cs="Times New Roman" w:eastAsia="Times New Roman" w:hint="default"/>
                <w:sz w:val="18"/>
                <w:szCs w:val="18"/>
              </w:rPr>
            </w:pPr>
            <w:r>
              <w:rPr>
                <w:rFonts w:ascii="Times New Roman"/>
                <w:sz w:val="18"/>
              </w:rPr>
              <w:t>4.28%</w:t>
            </w: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21,668,274.33</w:t>
            </w:r>
          </w:p>
        </w:tc>
      </w:tr>
      <w:tr>
        <w:trPr>
          <w:trHeight w:val="286" w:hRule="exact"/>
        </w:trPr>
        <w:tc>
          <w:tcPr>
            <w:tcW w:w="2367" w:type="dxa"/>
            <w:tcBorders>
              <w:top w:val="nil" w:sz="6" w:space="0" w:color="auto"/>
              <w:left w:val="nil" w:sz="6" w:space="0" w:color="auto"/>
              <w:bottom w:val="nil" w:sz="6" w:space="0" w:color="auto"/>
              <w:right w:val="nil" w:sz="6" w:space="0" w:color="auto"/>
            </w:tcBorders>
          </w:tcPr>
          <w:p>
            <w:pPr>
              <w:pStyle w:val="TableParagraph"/>
              <w:spacing w:line="237"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77"/>
              <w:jc w:val="right"/>
              <w:rPr>
                <w:rFonts w:ascii="Times New Roman" w:hAnsi="Times New Roman" w:cs="Times New Roman" w:eastAsia="Times New Roman" w:hint="default"/>
                <w:sz w:val="18"/>
                <w:szCs w:val="18"/>
              </w:rPr>
            </w:pPr>
            <w:r>
              <w:rPr>
                <w:rFonts w:ascii="Times New Roman"/>
                <w:spacing w:val="-1"/>
                <w:sz w:val="18"/>
              </w:rPr>
              <w:t>312,926,922.10</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539" w:right="0"/>
              <w:jc w:val="left"/>
              <w:rPr>
                <w:rFonts w:ascii="Times New Roman" w:hAnsi="Times New Roman" w:cs="Times New Roman" w:eastAsia="Times New Roman" w:hint="default"/>
                <w:sz w:val="18"/>
                <w:szCs w:val="18"/>
              </w:rPr>
            </w:pPr>
            <w:r>
              <w:rPr>
                <w:rFonts w:ascii="Times New Roman"/>
                <w:sz w:val="18"/>
              </w:rPr>
              <w:t>18.19%</w:t>
            </w: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24,920,407.81</w:t>
            </w:r>
          </w:p>
        </w:tc>
      </w:tr>
      <w:tr>
        <w:trPr>
          <w:trHeight w:val="255" w:hRule="exact"/>
        </w:trPr>
        <w:tc>
          <w:tcPr>
            <w:tcW w:w="2367" w:type="dxa"/>
            <w:tcBorders>
              <w:top w:val="nil" w:sz="6" w:space="0" w:color="auto"/>
              <w:left w:val="nil" w:sz="6" w:space="0" w:color="auto"/>
              <w:bottom w:val="single" w:sz="4" w:space="0" w:color="000000"/>
              <w:right w:val="nil" w:sz="6" w:space="0" w:color="auto"/>
            </w:tcBorders>
          </w:tcPr>
          <w:p>
            <w:pPr>
              <w:pStyle w:val="TableParagraph"/>
              <w:spacing w:line="237"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89"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477"/>
              <w:jc w:val="right"/>
              <w:rPr>
                <w:rFonts w:ascii="Times New Roman" w:hAnsi="Times New Roman" w:cs="Times New Roman" w:eastAsia="Times New Roman" w:hint="default"/>
                <w:sz w:val="18"/>
                <w:szCs w:val="18"/>
              </w:rPr>
            </w:pPr>
            <w:r>
              <w:rPr>
                <w:rFonts w:ascii="Times New Roman"/>
                <w:spacing w:val="-1"/>
                <w:sz w:val="18"/>
              </w:rPr>
              <w:t>248,703,606.54</w:t>
            </w:r>
          </w:p>
        </w:tc>
        <w:tc>
          <w:tcPr>
            <w:tcW w:w="1992"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left="539" w:right="0"/>
              <w:jc w:val="left"/>
              <w:rPr>
                <w:rFonts w:ascii="Times New Roman" w:hAnsi="Times New Roman" w:cs="Times New Roman" w:eastAsia="Times New Roman" w:hint="default"/>
                <w:sz w:val="18"/>
                <w:szCs w:val="18"/>
              </w:rPr>
            </w:pPr>
            <w:r>
              <w:rPr>
                <w:rFonts w:ascii="Times New Roman"/>
                <w:sz w:val="18"/>
              </w:rPr>
              <w:t>14.46%</w:t>
            </w:r>
          </w:p>
        </w:tc>
        <w:tc>
          <w:tcPr>
            <w:tcW w:w="2392"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247,408,284.88</w:t>
            </w:r>
          </w:p>
        </w:tc>
      </w:tr>
      <w:tr>
        <w:trPr>
          <w:trHeight w:val="305" w:hRule="exact"/>
        </w:trPr>
        <w:tc>
          <w:tcPr>
            <w:tcW w:w="2367"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8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477"/>
              <w:jc w:val="right"/>
              <w:rPr>
                <w:rFonts w:ascii="Times New Roman" w:hAnsi="Times New Roman" w:cs="Times New Roman" w:eastAsia="Times New Roman" w:hint="default"/>
                <w:sz w:val="18"/>
                <w:szCs w:val="18"/>
              </w:rPr>
            </w:pPr>
            <w:r>
              <w:rPr>
                <w:rFonts w:ascii="Times New Roman"/>
                <w:b/>
                <w:spacing w:val="-1"/>
                <w:sz w:val="18"/>
              </w:rPr>
              <w:t>1,720,036,442.56</w:t>
            </w:r>
            <w:r>
              <w:rPr>
                <w:rFonts w:ascii="Times New Roman"/>
                <w:spacing w:val="-1"/>
                <w:sz w:val="18"/>
              </w:rPr>
            </w:r>
          </w:p>
        </w:tc>
        <w:tc>
          <w:tcPr>
            <w:tcW w:w="199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479" w:right="0"/>
              <w:jc w:val="lef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239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321,398,412.57</w:t>
            </w:r>
            <w:r>
              <w:rPr>
                <w:rFonts w:ascii="Times New Roman"/>
                <w:spacing w:val="-1"/>
                <w:sz w:val="18"/>
              </w:rPr>
            </w:r>
          </w:p>
        </w:tc>
      </w:tr>
    </w:tbl>
    <w:p>
      <w:pPr>
        <w:spacing w:before="21"/>
        <w:ind w:left="1602"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r>
      <w:r>
        <w:rPr>
          <w:rFonts w:ascii="Times New Roman" w:hAnsi="Times New Roman" w:cs="Times New Roman" w:eastAsia="Times New Roman" w:hint="default"/>
          <w:b/>
          <w:bCs/>
          <w:spacing w:val="3"/>
          <w:sz w:val="22"/>
          <w:szCs w:val="22"/>
        </w:rPr>
        <w:t> </w:t>
      </w:r>
      <w:r>
        <w:rPr>
          <w:rFonts w:ascii="宋体" w:hAnsi="宋体" w:cs="宋体" w:eastAsia="宋体" w:hint="default"/>
          <w:sz w:val="22"/>
          <w:szCs w:val="22"/>
        </w:rPr>
        <w:t>本年按欠款方归集的年末余额前五名应收账款汇总金额为</w:t>
      </w:r>
    </w:p>
    <w:p>
      <w:pPr>
        <w:spacing w:before="53"/>
        <w:ind w:left="1149" w:right="0"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584,488,623.86 </w:t>
      </w:r>
      <w:r>
        <w:rPr>
          <w:rFonts w:ascii="宋体" w:hAnsi="宋体" w:cs="宋体" w:eastAsia="宋体" w:hint="default"/>
          <w:spacing w:val="-4"/>
          <w:sz w:val="22"/>
          <w:szCs w:val="22"/>
        </w:rPr>
        <w:t>元，占应收账款年末余额合计数的比例</w:t>
      </w:r>
      <w:r>
        <w:rPr>
          <w:rFonts w:ascii="宋体" w:hAnsi="宋体" w:cs="宋体" w:eastAsia="宋体" w:hint="default"/>
          <w:spacing w:val="-16"/>
          <w:sz w:val="22"/>
          <w:szCs w:val="22"/>
        </w:rPr>
        <w:t> </w:t>
      </w:r>
      <w:r>
        <w:rPr>
          <w:rFonts w:ascii="Times New Roman" w:hAnsi="Times New Roman" w:cs="Times New Roman" w:eastAsia="Times New Roman" w:hint="default"/>
          <w:spacing w:val="-3"/>
          <w:sz w:val="22"/>
          <w:szCs w:val="22"/>
        </w:rPr>
        <w:t>33.98%</w:t>
      </w:r>
      <w:r>
        <w:rPr>
          <w:rFonts w:ascii="宋体" w:hAnsi="宋体" w:cs="宋体" w:eastAsia="宋体" w:hint="default"/>
          <w:spacing w:val="-3"/>
          <w:sz w:val="22"/>
          <w:szCs w:val="22"/>
        </w:rPr>
        <w:t>，相应计提的坏账</w:t>
      </w:r>
    </w:p>
    <w:p>
      <w:pPr>
        <w:spacing w:before="51"/>
        <w:ind w:left="1149" w:right="207" w:firstLine="0"/>
        <w:jc w:val="left"/>
        <w:rPr>
          <w:rFonts w:ascii="宋体" w:hAnsi="宋体" w:cs="宋体" w:eastAsia="宋体" w:hint="default"/>
          <w:sz w:val="22"/>
          <w:szCs w:val="22"/>
        </w:rPr>
      </w:pPr>
      <w:r>
        <w:rPr>
          <w:rFonts w:ascii="宋体" w:hAnsi="宋体" w:cs="宋体" w:eastAsia="宋体" w:hint="default"/>
          <w:sz w:val="22"/>
          <w:szCs w:val="22"/>
        </w:rPr>
        <w:t>准备年末余额汇总金额为</w:t>
      </w:r>
      <w:r>
        <w:rPr>
          <w:rFonts w:ascii="宋体" w:hAnsi="宋体" w:cs="宋体" w:eastAsia="宋体" w:hint="default"/>
          <w:spacing w:val="-54"/>
          <w:sz w:val="22"/>
          <w:szCs w:val="22"/>
        </w:rPr>
        <w:t> </w:t>
      </w:r>
      <w:r>
        <w:rPr>
          <w:rFonts w:ascii="Times New Roman" w:hAnsi="Times New Roman" w:cs="Times New Roman" w:eastAsia="Times New Roman" w:hint="default"/>
          <w:sz w:val="22"/>
          <w:szCs w:val="22"/>
        </w:rPr>
        <w:t>3,442,488.63</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元。</w:t>
      </w:r>
    </w:p>
    <w:p>
      <w:pPr>
        <w:spacing w:before="113"/>
        <w:ind w:left="69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16"/>
          <w:sz w:val="22"/>
          <w:szCs w:val="22"/>
        </w:rPr>
        <w:t> </w:t>
      </w:r>
      <w:r>
        <w:rPr>
          <w:rFonts w:ascii="宋体" w:hAnsi="宋体" w:cs="宋体" w:eastAsia="宋体" w:hint="default"/>
          <w:sz w:val="22"/>
          <w:szCs w:val="22"/>
        </w:rPr>
        <w:t>其他应收款</w:t>
      </w:r>
    </w:p>
    <w:p>
      <w:pPr>
        <w:spacing w:before="113"/>
        <w:ind w:left="695" w:right="207" w:firstLine="0"/>
        <w:jc w:val="left"/>
        <w:rPr>
          <w:rFonts w:ascii="宋体" w:hAnsi="宋体" w:cs="宋体" w:eastAsia="宋体" w:hint="default"/>
          <w:sz w:val="22"/>
          <w:szCs w:val="22"/>
        </w:rPr>
      </w:pPr>
      <w:r>
        <w:rPr/>
        <w:pict>
          <v:group style="position:absolute;margin-left:198.769989pt;margin-top:58.817631pt;width:240.65pt;height:.5pt;mso-position-horizontal-relative:page;mso-position-vertical-relative:paragraph;z-index:-1196536" coordorigin="3975,1176" coordsize="4813,10">
            <v:group style="position:absolute;left:3980;top:1181;width:1565;height:2" coordorigin="3980,1181" coordsize="1565,2">
              <v:shape style="position:absolute;left:3980;top:1181;width:1565;height:2" coordorigin="3980,1181" coordsize="1565,0" path="m3980,1181l5545,1181e" filled="false" stroked="true" strokeweight=".48001pt" strokecolor="#000000">
                <v:path arrowok="t"/>
              </v:shape>
            </v:group>
            <v:group style="position:absolute;left:5545;top:1181;width:10;height:2" coordorigin="5545,1181" coordsize="10,2">
              <v:shape style="position:absolute;left:5545;top:1181;width:10;height:2" coordorigin="5545,1181" coordsize="10,0" path="m5545,1181l5555,1181e" filled="false" stroked="true" strokeweight=".48001pt" strokecolor="#000000">
                <v:path arrowok="t"/>
              </v:shape>
            </v:group>
            <v:group style="position:absolute;left:5555;top:1181;width:911;height:2" coordorigin="5555,1181" coordsize="911,2">
              <v:shape style="position:absolute;left:5555;top:1181;width:911;height:2" coordorigin="5555,1181" coordsize="911,0" path="m5555,1181l6465,1181e" filled="false" stroked="true" strokeweight=".48001pt" strokecolor="#000000">
                <v:path arrowok="t"/>
              </v:shape>
            </v:group>
            <v:group style="position:absolute;left:6465;top:1181;width:10;height:2" coordorigin="6465,1181" coordsize="10,2">
              <v:shape style="position:absolute;left:6465;top:1181;width:10;height:2" coordorigin="6465,1181" coordsize="10,0" path="m6465,1181l6474,1181e" filled="false" stroked="true" strokeweight=".48001pt" strokecolor="#000000">
                <v:path arrowok="t"/>
              </v:shape>
            </v:group>
            <v:group style="position:absolute;left:6474;top:1181;width:1332;height:2" coordorigin="6474,1181" coordsize="1332,2">
              <v:shape style="position:absolute;left:6474;top:1181;width:1332;height:2" coordorigin="6474,1181" coordsize="1332,0" path="m6474,1181l7806,1181e" filled="false" stroked="true" strokeweight=".48001pt" strokecolor="#000000">
                <v:path arrowok="t"/>
              </v:shape>
            </v:group>
            <v:group style="position:absolute;left:7806;top:1181;width:10;height:2" coordorigin="7806,1181" coordsize="10,2">
              <v:shape style="position:absolute;left:7806;top:1181;width:10;height:2" coordorigin="7806,1181" coordsize="10,0" path="m7806,1181l7816,1181e" filled="false" stroked="true" strokeweight=".48001pt" strokecolor="#000000">
                <v:path arrowok="t"/>
              </v:shape>
            </v:group>
            <v:group style="position:absolute;left:7816;top:1181;width:968;height:2" coordorigin="7816,1181" coordsize="968,2">
              <v:shape style="position:absolute;left:7816;top:1181;width:968;height:2" coordorigin="7816,1181" coordsize="968,0" path="m7816,1181l8783,1181e" filled="false" stroked="true" strokeweight=".48001pt" strokecolor="#000000">
                <v:path arrowok="t"/>
              </v:shape>
            </v:group>
            <w10:wrap type="none"/>
          </v:group>
        </w:pict>
      </w: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21"/>
          <w:sz w:val="22"/>
          <w:szCs w:val="22"/>
        </w:rPr>
        <w:t> </w:t>
      </w:r>
      <w:r>
        <w:rPr>
          <w:rFonts w:ascii="宋体" w:hAnsi="宋体" w:cs="宋体" w:eastAsia="宋体" w:hint="default"/>
          <w:sz w:val="22"/>
          <w:szCs w:val="22"/>
        </w:rPr>
        <w:t>其他应收款分类</w:t>
      </w:r>
    </w:p>
    <w:p>
      <w:pPr>
        <w:spacing w:line="240" w:lineRule="auto" w:before="5"/>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2401"/>
        <w:gridCol w:w="1653"/>
        <w:gridCol w:w="833"/>
        <w:gridCol w:w="1349"/>
        <w:gridCol w:w="967"/>
        <w:gridCol w:w="1567"/>
      </w:tblGrid>
      <w:tr>
        <w:trPr>
          <w:trHeight w:val="307" w:hRule="exact"/>
        </w:trPr>
        <w:tc>
          <w:tcPr>
            <w:tcW w:w="2401" w:type="dxa"/>
            <w:tcBorders>
              <w:top w:val="single" w:sz="12" w:space="0" w:color="000000"/>
              <w:left w:val="nil" w:sz="6" w:space="0" w:color="auto"/>
              <w:bottom w:val="nil" w:sz="6" w:space="0" w:color="auto"/>
              <w:right w:val="nil" w:sz="6" w:space="0" w:color="auto"/>
            </w:tcBorders>
          </w:tcPr>
          <w:p>
            <w:pPr/>
          </w:p>
        </w:tc>
        <w:tc>
          <w:tcPr>
            <w:tcW w:w="1653" w:type="dxa"/>
            <w:tcBorders>
              <w:top w:val="single" w:sz="12" w:space="0" w:color="000000"/>
              <w:left w:val="nil" w:sz="6" w:space="0" w:color="auto"/>
              <w:bottom w:val="single" w:sz="4" w:space="0" w:color="000000"/>
              <w:right w:val="nil" w:sz="6" w:space="0" w:color="auto"/>
            </w:tcBorders>
          </w:tcPr>
          <w:p>
            <w:pPr/>
          </w:p>
        </w:tc>
        <w:tc>
          <w:tcPr>
            <w:tcW w:w="833" w:type="dxa"/>
            <w:tcBorders>
              <w:top w:val="single" w:sz="12" w:space="0" w:color="000000"/>
              <w:left w:val="nil" w:sz="6" w:space="0" w:color="auto"/>
              <w:bottom w:val="single" w:sz="4" w:space="0" w:color="000000"/>
              <w:right w:val="nil" w:sz="6" w:space="0" w:color="auto"/>
            </w:tcBorders>
          </w:tcPr>
          <w:p>
            <w:pPr/>
          </w:p>
        </w:tc>
        <w:tc>
          <w:tcPr>
            <w:tcW w:w="134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336"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967" w:type="dxa"/>
            <w:tcBorders>
              <w:top w:val="single" w:sz="12" w:space="0" w:color="000000"/>
              <w:left w:val="nil" w:sz="6" w:space="0" w:color="auto"/>
              <w:bottom w:val="single" w:sz="4" w:space="0" w:color="000000"/>
              <w:right w:val="nil" w:sz="6" w:space="0" w:color="auto"/>
            </w:tcBorders>
          </w:tcPr>
          <w:p>
            <w:pPr/>
          </w:p>
        </w:tc>
        <w:tc>
          <w:tcPr>
            <w:tcW w:w="1567" w:type="dxa"/>
            <w:tcBorders>
              <w:top w:val="single" w:sz="12" w:space="0" w:color="000000"/>
              <w:left w:val="nil" w:sz="6" w:space="0" w:color="auto"/>
              <w:bottom w:val="single" w:sz="4" w:space="0" w:color="000000"/>
              <w:right w:val="nil" w:sz="6" w:space="0" w:color="auto"/>
            </w:tcBorders>
          </w:tcPr>
          <w:p>
            <w:pPr/>
          </w:p>
        </w:tc>
      </w:tr>
      <w:tr>
        <w:trPr>
          <w:trHeight w:val="240" w:hRule="exact"/>
        </w:trPr>
        <w:tc>
          <w:tcPr>
            <w:tcW w:w="2401" w:type="dxa"/>
            <w:tcBorders>
              <w:top w:val="nil" w:sz="6" w:space="0" w:color="auto"/>
              <w:left w:val="nil" w:sz="6" w:space="0" w:color="auto"/>
              <w:bottom w:val="nil" w:sz="6" w:space="0" w:color="auto"/>
              <w:right w:val="nil" w:sz="6" w:space="0" w:color="auto"/>
            </w:tcBorders>
          </w:tcPr>
          <w:p>
            <w:pPr>
              <w:pStyle w:val="TableParagraph"/>
              <w:spacing w:line="234" w:lineRule="exact"/>
              <w:ind w:left="13" w:right="0"/>
              <w:jc w:val="center"/>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1653"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880"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833" w:type="dxa"/>
            <w:tcBorders>
              <w:top w:val="single" w:sz="4" w:space="0" w:color="000000"/>
              <w:left w:val="nil" w:sz="6" w:space="0" w:color="auto"/>
              <w:bottom w:val="nil" w:sz="6" w:space="0" w:color="auto"/>
              <w:right w:val="nil" w:sz="6" w:space="0" w:color="auto"/>
            </w:tcBorders>
          </w:tcPr>
          <w:p>
            <w:pPr/>
          </w:p>
        </w:tc>
        <w:tc>
          <w:tcPr>
            <w:tcW w:w="2315"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67" w:type="dxa"/>
            <w:tcBorders>
              <w:top w:val="single" w:sz="4" w:space="0" w:color="000000"/>
              <w:left w:val="nil" w:sz="6" w:space="0" w:color="auto"/>
              <w:bottom w:val="nil" w:sz="6" w:space="0" w:color="auto"/>
              <w:right w:val="nil" w:sz="6" w:space="0" w:color="auto"/>
            </w:tcBorders>
          </w:tcPr>
          <w:p>
            <w:pPr/>
          </w:p>
        </w:tc>
      </w:tr>
      <w:tr>
        <w:trPr>
          <w:trHeight w:val="140" w:hRule="exact"/>
        </w:trPr>
        <w:tc>
          <w:tcPr>
            <w:tcW w:w="2401" w:type="dxa"/>
            <w:tcBorders>
              <w:top w:val="nil" w:sz="6" w:space="0" w:color="auto"/>
              <w:left w:val="nil" w:sz="6" w:space="0" w:color="auto"/>
              <w:bottom w:val="nil" w:sz="6" w:space="0" w:color="auto"/>
              <w:right w:val="nil" w:sz="6" w:space="0" w:color="auto"/>
            </w:tcBorders>
          </w:tcPr>
          <w:p>
            <w:pPr/>
          </w:p>
        </w:tc>
        <w:tc>
          <w:tcPr>
            <w:tcW w:w="1653"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
        </w:tc>
        <w:tc>
          <w:tcPr>
            <w:tcW w:w="1349" w:type="dxa"/>
            <w:tcBorders>
              <w:top w:val="nil" w:sz="6" w:space="0" w:color="auto"/>
              <w:left w:val="nil" w:sz="6" w:space="0" w:color="auto"/>
              <w:bottom w:val="nil" w:sz="6" w:space="0" w:color="auto"/>
              <w:right w:val="nil" w:sz="6" w:space="0" w:color="auto"/>
            </w:tcBorders>
          </w:tcPr>
          <w:p>
            <w:pPr/>
          </w:p>
        </w:tc>
        <w:tc>
          <w:tcPr>
            <w:tcW w:w="967" w:type="dxa"/>
            <w:tcBorders>
              <w:top w:val="nil" w:sz="6" w:space="0" w:color="auto"/>
              <w:left w:val="nil" w:sz="6" w:space="0" w:color="auto"/>
              <w:bottom w:val="nil" w:sz="6" w:space="0" w:color="auto"/>
              <w:right w:val="nil" w:sz="6" w:space="0" w:color="auto"/>
            </w:tcBorders>
          </w:tcPr>
          <w:p>
            <w:pPr/>
          </w:p>
        </w:tc>
        <w:tc>
          <w:tcPr>
            <w:tcW w:w="1567" w:type="dxa"/>
            <w:tcBorders>
              <w:top w:val="nil" w:sz="6" w:space="0" w:color="auto"/>
              <w:left w:val="nil" w:sz="6" w:space="0" w:color="auto"/>
              <w:bottom w:val="nil" w:sz="6" w:space="0" w:color="auto"/>
              <w:right w:val="nil" w:sz="6" w:space="0" w:color="auto"/>
            </w:tcBorders>
          </w:tcPr>
          <w:p>
            <w:pPr>
              <w:pStyle w:val="TableParagraph"/>
              <w:spacing w:line="143" w:lineRule="exact"/>
              <w:ind w:left="421"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209" w:hRule="exact"/>
        </w:trPr>
        <w:tc>
          <w:tcPr>
            <w:tcW w:w="2401" w:type="dxa"/>
            <w:tcBorders>
              <w:top w:val="nil" w:sz="6" w:space="0" w:color="auto"/>
              <w:left w:val="nil" w:sz="6" w:space="0" w:color="auto"/>
              <w:bottom w:val="single" w:sz="4" w:space="0" w:color="000000"/>
              <w:right w:val="nil" w:sz="6" w:space="0" w:color="auto"/>
            </w:tcBorders>
          </w:tcPr>
          <w:p>
            <w:pPr/>
          </w:p>
        </w:tc>
        <w:tc>
          <w:tcPr>
            <w:tcW w:w="1653" w:type="dxa"/>
            <w:tcBorders>
              <w:top w:val="nil" w:sz="6" w:space="0" w:color="auto"/>
              <w:left w:val="nil" w:sz="6" w:space="0" w:color="auto"/>
              <w:bottom w:val="single" w:sz="4" w:space="0" w:color="000000"/>
              <w:right w:val="nil" w:sz="6" w:space="0" w:color="auto"/>
            </w:tcBorders>
          </w:tcPr>
          <w:p>
            <w:pPr>
              <w:pStyle w:val="TableParagraph"/>
              <w:spacing w:line="176" w:lineRule="exact"/>
              <w:ind w:right="81"/>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33" w:type="dxa"/>
            <w:tcBorders>
              <w:top w:val="nil" w:sz="6" w:space="0" w:color="auto"/>
              <w:left w:val="nil" w:sz="6" w:space="0" w:color="auto"/>
              <w:bottom w:val="single" w:sz="4" w:space="0" w:color="000000"/>
              <w:right w:val="nil" w:sz="6" w:space="0" w:color="auto"/>
            </w:tcBorders>
          </w:tcPr>
          <w:p>
            <w:pPr>
              <w:pStyle w:val="TableParagraph"/>
              <w:spacing w:line="176" w:lineRule="exact"/>
              <w:ind w:left="189"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349" w:type="dxa"/>
            <w:tcBorders>
              <w:top w:val="nil" w:sz="6" w:space="0" w:color="auto"/>
              <w:left w:val="nil" w:sz="6" w:space="0" w:color="auto"/>
              <w:bottom w:val="single" w:sz="4" w:space="0" w:color="000000"/>
              <w:right w:val="nil" w:sz="6" w:space="0" w:color="auto"/>
            </w:tcBorders>
          </w:tcPr>
          <w:p>
            <w:pPr>
              <w:pStyle w:val="TableParagraph"/>
              <w:spacing w:line="176" w:lineRule="exact"/>
              <w:ind w:right="6"/>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967" w:type="dxa"/>
            <w:tcBorders>
              <w:top w:val="nil" w:sz="6" w:space="0" w:color="auto"/>
              <w:left w:val="nil" w:sz="6" w:space="0" w:color="auto"/>
              <w:bottom w:val="single" w:sz="4" w:space="0" w:color="000000"/>
              <w:right w:val="nil" w:sz="6" w:space="0" w:color="auto"/>
            </w:tcBorders>
          </w:tcPr>
          <w:p>
            <w:pPr>
              <w:pStyle w:val="TableParagraph"/>
              <w:spacing w:line="176" w:lineRule="exact"/>
              <w:ind w:right="126"/>
              <w:jc w:val="right"/>
              <w:rPr>
                <w:rFonts w:ascii="宋体" w:hAnsi="宋体" w:cs="宋体" w:eastAsia="宋体" w:hint="default"/>
                <w:sz w:val="18"/>
                <w:szCs w:val="18"/>
              </w:rPr>
            </w:pPr>
            <w:r>
              <w:rPr>
                <w:rFonts w:ascii="宋体" w:hAnsi="宋体" w:cs="宋体" w:eastAsia="宋体" w:hint="default"/>
                <w:b/>
                <w:bCs/>
                <w:w w:val="95"/>
                <w:sz w:val="18"/>
                <w:szCs w:val="18"/>
              </w:rPr>
              <w:t>计提比例</w:t>
            </w:r>
            <w:r>
              <w:rPr>
                <w:rFonts w:ascii="宋体" w:hAnsi="宋体" w:cs="宋体" w:eastAsia="宋体" w:hint="default"/>
                <w:sz w:val="18"/>
                <w:szCs w:val="18"/>
              </w:rPr>
            </w:r>
          </w:p>
        </w:tc>
        <w:tc>
          <w:tcPr>
            <w:tcW w:w="1567" w:type="dxa"/>
            <w:tcBorders>
              <w:top w:val="nil" w:sz="6" w:space="0" w:color="auto"/>
              <w:left w:val="nil" w:sz="6" w:space="0" w:color="auto"/>
              <w:bottom w:val="single" w:sz="4" w:space="0" w:color="000000"/>
              <w:right w:val="nil" w:sz="6" w:space="0" w:color="auto"/>
            </w:tcBorders>
          </w:tcPr>
          <w:p>
            <w:pPr/>
          </w:p>
        </w:tc>
      </w:tr>
      <w:tr>
        <w:trPr>
          <w:trHeight w:val="574" w:hRule="exact"/>
        </w:trPr>
        <w:tc>
          <w:tcPr>
            <w:tcW w:w="2401" w:type="dxa"/>
            <w:tcBorders>
              <w:top w:val="single" w:sz="4" w:space="0" w:color="000000"/>
              <w:left w:val="nil" w:sz="6" w:space="0" w:color="auto"/>
              <w:bottom w:val="nil" w:sz="6" w:space="0" w:color="auto"/>
              <w:right w:val="nil" w:sz="6" w:space="0" w:color="auto"/>
            </w:tcBorders>
          </w:tcPr>
          <w:p>
            <w:pPr>
              <w:pStyle w:val="TableParagraph"/>
              <w:spacing w:line="232" w:lineRule="exact" w:before="47"/>
              <w:ind w:left="122" w:right="109"/>
              <w:jc w:val="left"/>
              <w:rPr>
                <w:rFonts w:ascii="宋体" w:hAnsi="宋体" w:cs="宋体" w:eastAsia="宋体" w:hint="default"/>
                <w:sz w:val="18"/>
                <w:szCs w:val="18"/>
              </w:rPr>
            </w:pPr>
            <w:r>
              <w:rPr>
                <w:rFonts w:ascii="宋体" w:hAnsi="宋体" w:cs="宋体" w:eastAsia="宋体" w:hint="default"/>
                <w:sz w:val="18"/>
                <w:szCs w:val="18"/>
              </w:rPr>
              <w:t>单项金额重大并单项计提坏</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账准备的其他应收款</w:t>
            </w:r>
          </w:p>
        </w:tc>
        <w:tc>
          <w:tcPr>
            <w:tcW w:w="1653"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91"/>
              <w:jc w:val="right"/>
              <w:rPr>
                <w:rFonts w:ascii="Times New Roman" w:hAnsi="Times New Roman" w:cs="Times New Roman" w:eastAsia="Times New Roman" w:hint="default"/>
                <w:sz w:val="18"/>
                <w:szCs w:val="18"/>
              </w:rPr>
            </w:pPr>
            <w:r>
              <w:rPr>
                <w:rFonts w:ascii="Times New Roman"/>
                <w:spacing w:val="-1"/>
                <w:sz w:val="18"/>
              </w:rPr>
              <w:t>0.00</w:t>
            </w:r>
          </w:p>
        </w:tc>
        <w:tc>
          <w:tcPr>
            <w:tcW w:w="833"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0.00%</w:t>
            </w:r>
          </w:p>
        </w:tc>
        <w:tc>
          <w:tcPr>
            <w:tcW w:w="1349"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14"/>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0.00%</w:t>
            </w:r>
          </w:p>
        </w:tc>
        <w:tc>
          <w:tcPr>
            <w:tcW w:w="1567"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0.00</w:t>
            </w:r>
          </w:p>
        </w:tc>
      </w:tr>
      <w:tr>
        <w:trPr>
          <w:trHeight w:val="571" w:hRule="exact"/>
        </w:trPr>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109"/>
              <w:jc w:val="left"/>
              <w:rPr>
                <w:rFonts w:ascii="宋体" w:hAnsi="宋体" w:cs="宋体" w:eastAsia="宋体" w:hint="default"/>
                <w:sz w:val="18"/>
                <w:szCs w:val="18"/>
              </w:rPr>
            </w:pPr>
            <w:r>
              <w:rPr>
                <w:rFonts w:ascii="宋体" w:hAnsi="宋体" w:cs="宋体" w:eastAsia="宋体" w:hint="default"/>
                <w:sz w:val="18"/>
                <w:szCs w:val="18"/>
              </w:rPr>
              <w:t>按信用风险特征组合计提坏</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账准备的其他应收款</w:t>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108" w:right="0"/>
              <w:jc w:val="left"/>
              <w:rPr>
                <w:rFonts w:ascii="Times New Roman" w:hAnsi="Times New Roman" w:cs="Times New Roman" w:eastAsia="Times New Roman" w:hint="default"/>
                <w:sz w:val="18"/>
                <w:szCs w:val="18"/>
              </w:rPr>
            </w:pPr>
            <w:r>
              <w:rPr>
                <w:rFonts w:ascii="Times New Roman"/>
                <w:sz w:val="18"/>
              </w:rPr>
              <w:t>10,855,252,878.76</w:t>
            </w:r>
          </w:p>
        </w:tc>
        <w:tc>
          <w:tcPr>
            <w:tcW w:w="83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100.00%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14"/>
              <w:jc w:val="right"/>
              <w:rPr>
                <w:rFonts w:ascii="Times New Roman" w:hAnsi="Times New Roman" w:cs="Times New Roman" w:eastAsia="Times New Roman" w:hint="default"/>
                <w:sz w:val="18"/>
                <w:szCs w:val="18"/>
              </w:rPr>
            </w:pPr>
            <w:r>
              <w:rPr>
                <w:rFonts w:ascii="Times New Roman"/>
                <w:spacing w:val="-1"/>
                <w:sz w:val="18"/>
              </w:rPr>
              <w:t>165,810,468.50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1.53%</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10,689,442,410.26</w:t>
            </w:r>
          </w:p>
        </w:tc>
      </w:tr>
      <w:tr>
        <w:trPr>
          <w:trHeight w:val="576" w:hRule="exact"/>
        </w:trPr>
        <w:tc>
          <w:tcPr>
            <w:tcW w:w="2401" w:type="dxa"/>
            <w:tcBorders>
              <w:top w:val="nil" w:sz="6" w:space="0" w:color="auto"/>
              <w:left w:val="nil" w:sz="6" w:space="0" w:color="auto"/>
              <w:bottom w:val="single" w:sz="4" w:space="0" w:color="000000"/>
              <w:right w:val="nil" w:sz="6" w:space="0" w:color="auto"/>
            </w:tcBorders>
          </w:tcPr>
          <w:p>
            <w:pPr>
              <w:pStyle w:val="TableParagraph"/>
              <w:spacing w:line="234" w:lineRule="exact" w:before="45"/>
              <w:ind w:left="122" w:right="109"/>
              <w:jc w:val="left"/>
              <w:rPr>
                <w:rFonts w:ascii="宋体" w:hAnsi="宋体" w:cs="宋体" w:eastAsia="宋体" w:hint="default"/>
                <w:sz w:val="18"/>
                <w:szCs w:val="18"/>
              </w:rPr>
            </w:pPr>
            <w:r>
              <w:rPr>
                <w:rFonts w:ascii="宋体" w:hAnsi="宋体" w:cs="宋体" w:eastAsia="宋体" w:hint="default"/>
                <w:sz w:val="18"/>
                <w:szCs w:val="18"/>
              </w:rPr>
              <w:t>单项金额不重大但单项计提</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坏账准备的其他应收款</w:t>
            </w:r>
          </w:p>
        </w:tc>
        <w:tc>
          <w:tcPr>
            <w:tcW w:w="1653"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91"/>
              <w:jc w:val="right"/>
              <w:rPr>
                <w:rFonts w:ascii="Times New Roman" w:hAnsi="Times New Roman" w:cs="Times New Roman" w:eastAsia="Times New Roman" w:hint="default"/>
                <w:sz w:val="18"/>
                <w:szCs w:val="18"/>
              </w:rPr>
            </w:pPr>
            <w:r>
              <w:rPr>
                <w:rFonts w:ascii="Times New Roman"/>
                <w:spacing w:val="-1"/>
                <w:sz w:val="18"/>
              </w:rPr>
              <w:t>0.00</w:t>
            </w:r>
          </w:p>
        </w:tc>
        <w:tc>
          <w:tcPr>
            <w:tcW w:w="833"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0.00%</w:t>
            </w:r>
          </w:p>
        </w:tc>
        <w:tc>
          <w:tcPr>
            <w:tcW w:w="1349"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14"/>
              <w:jc w:val="right"/>
              <w:rPr>
                <w:rFonts w:ascii="Times New Roman" w:hAnsi="Times New Roman" w:cs="Times New Roman" w:eastAsia="Times New Roman" w:hint="default"/>
                <w:sz w:val="18"/>
                <w:szCs w:val="18"/>
              </w:rPr>
            </w:pPr>
            <w:r>
              <w:rPr>
                <w:rFonts w:ascii="Times New Roman"/>
                <w:spacing w:val="-1"/>
                <w:sz w:val="18"/>
              </w:rPr>
              <w:t>0.00</w:t>
            </w:r>
          </w:p>
        </w:tc>
        <w:tc>
          <w:tcPr>
            <w:tcW w:w="967"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0.00%</w:t>
            </w:r>
          </w:p>
        </w:tc>
        <w:tc>
          <w:tcPr>
            <w:tcW w:w="1567"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0.00</w:t>
            </w:r>
          </w:p>
        </w:tc>
      </w:tr>
      <w:tr>
        <w:trPr>
          <w:trHeight w:val="305" w:hRule="exact"/>
        </w:trPr>
        <w:tc>
          <w:tcPr>
            <w:tcW w:w="2401"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5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108" w:right="0"/>
              <w:jc w:val="left"/>
              <w:rPr>
                <w:rFonts w:ascii="Times New Roman" w:hAnsi="Times New Roman" w:cs="Times New Roman" w:eastAsia="Times New Roman" w:hint="default"/>
                <w:sz w:val="18"/>
                <w:szCs w:val="18"/>
              </w:rPr>
            </w:pPr>
            <w:r>
              <w:rPr>
                <w:rFonts w:ascii="Times New Roman"/>
                <w:b/>
                <w:sz w:val="18"/>
              </w:rPr>
              <w:t>10,855,252,878.76</w:t>
            </w:r>
            <w:r>
              <w:rPr>
                <w:rFonts w:ascii="Times New Roman"/>
                <w:sz w:val="18"/>
              </w:rPr>
            </w:r>
          </w:p>
        </w:tc>
        <w:tc>
          <w:tcPr>
            <w:tcW w:w="83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4"/>
              <w:jc w:val="right"/>
              <w:rPr>
                <w:rFonts w:ascii="Times New Roman" w:hAnsi="Times New Roman" w:cs="Times New Roman" w:eastAsia="Times New Roman" w:hint="default"/>
                <w:sz w:val="18"/>
                <w:szCs w:val="18"/>
              </w:rPr>
            </w:pPr>
            <w:r>
              <w:rPr>
                <w:rFonts w:ascii="Times New Roman"/>
                <w:b/>
                <w:spacing w:val="-1"/>
                <w:sz w:val="18"/>
              </w:rPr>
              <w:t>100.00%</w:t>
            </w:r>
            <w:r>
              <w:rPr>
                <w:rFonts w:ascii="Times New Roman"/>
                <w:spacing w:val="-1"/>
                <w:sz w:val="18"/>
              </w:rPr>
            </w:r>
          </w:p>
        </w:tc>
        <w:tc>
          <w:tcPr>
            <w:tcW w:w="134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14"/>
              <w:jc w:val="right"/>
              <w:rPr>
                <w:rFonts w:ascii="Times New Roman" w:hAnsi="Times New Roman" w:cs="Times New Roman" w:eastAsia="Times New Roman" w:hint="default"/>
                <w:sz w:val="18"/>
                <w:szCs w:val="18"/>
              </w:rPr>
            </w:pPr>
            <w:r>
              <w:rPr>
                <w:rFonts w:ascii="Times New Roman"/>
                <w:b/>
                <w:spacing w:val="-1"/>
                <w:sz w:val="18"/>
              </w:rPr>
              <w:t>165,810,468.50</w:t>
            </w:r>
            <w:r>
              <w:rPr>
                <w:rFonts w:ascii="Times New Roman"/>
                <w:spacing w:val="-1"/>
                <w:sz w:val="18"/>
              </w:rPr>
            </w:r>
          </w:p>
        </w:tc>
        <w:tc>
          <w:tcPr>
            <w:tcW w:w="967"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b/>
                <w:sz w:val="18"/>
              </w:rPr>
              <w:t>1.53%</w:t>
            </w:r>
            <w:r>
              <w:rPr>
                <w:rFonts w:ascii="Times New Roman"/>
                <w:sz w:val="18"/>
              </w:rPr>
            </w:r>
          </w:p>
        </w:tc>
        <w:tc>
          <w:tcPr>
            <w:tcW w:w="1567"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10,689,442,410.26</w:t>
            </w:r>
            <w:r>
              <w:rPr>
                <w:rFonts w:ascii="Times New Roman"/>
                <w:spacing w:val="-1"/>
                <w:sz w:val="18"/>
              </w:rPr>
            </w:r>
          </w:p>
        </w:tc>
      </w:tr>
    </w:tbl>
    <w:p>
      <w:pPr>
        <w:spacing w:before="81"/>
        <w:ind w:left="242" w:right="207" w:firstLine="0"/>
        <w:jc w:val="left"/>
        <w:rPr>
          <w:rFonts w:ascii="宋体" w:hAnsi="宋体" w:cs="宋体" w:eastAsia="宋体" w:hint="default"/>
          <w:sz w:val="22"/>
          <w:szCs w:val="22"/>
        </w:rPr>
      </w:pPr>
      <w:r>
        <w:rPr>
          <w:rFonts w:ascii="宋体" w:hAnsi="宋体" w:cs="宋体" w:eastAsia="宋体" w:hint="default"/>
          <w:sz w:val="22"/>
          <w:szCs w:val="22"/>
        </w:rPr>
        <w:t>（续）</w:t>
      </w:r>
    </w:p>
    <w:p>
      <w:pPr>
        <w:spacing w:line="240" w:lineRule="auto" w:before="11"/>
        <w:rPr>
          <w:rFonts w:ascii="宋体" w:hAnsi="宋体" w:cs="宋体" w:eastAsia="宋体" w:hint="default"/>
          <w:sz w:val="12"/>
          <w:szCs w:val="12"/>
        </w:rPr>
      </w:pPr>
    </w:p>
    <w:p>
      <w:pPr>
        <w:spacing w:line="28" w:lineRule="exact"/>
        <w:ind w:left="119" w:right="0" w:firstLine="0"/>
        <w:rPr>
          <w:rFonts w:ascii="宋体" w:hAnsi="宋体" w:cs="宋体" w:eastAsia="宋体" w:hint="default"/>
          <w:sz w:val="2"/>
          <w:szCs w:val="2"/>
        </w:rPr>
      </w:pPr>
      <w:r>
        <w:rPr>
          <w:rFonts w:ascii="宋体" w:hAnsi="宋体" w:cs="宋体" w:eastAsia="宋体" w:hint="default"/>
          <w:position w:val="0"/>
          <w:sz w:val="2"/>
          <w:szCs w:val="2"/>
        </w:rPr>
        <w:pict>
          <v:group style="width:437.75pt;height:1.45pt;mso-position-horizontal-relative:char;mso-position-vertical-relative:line" coordorigin="0,0" coordsize="8755,29">
            <v:group style="position:absolute;left:14;top:14;width:2427;height:2" coordorigin="14,14" coordsize="2427,2">
              <v:shape style="position:absolute;left:14;top:14;width:2427;height:2" coordorigin="14,14" coordsize="2427,0" path="m14,14l2441,14e" filled="false" stroked="true" strokeweight="1.44pt" strokecolor="#000000">
                <v:path arrowok="t"/>
              </v:shape>
            </v:group>
            <v:group style="position:absolute;left:2441;top:14;width:29;height:2" coordorigin="2441,14" coordsize="29,2">
              <v:shape style="position:absolute;left:2441;top:14;width:29;height:2" coordorigin="2441,14" coordsize="29,0" path="m2441,14l2470,14e" filled="false" stroked="true" strokeweight="1.44pt" strokecolor="#000000">
                <v:path arrowok="t"/>
              </v:shape>
            </v:group>
            <v:group style="position:absolute;left:2470;top:14;width:6270;height:2" coordorigin="2470,14" coordsize="6270,2">
              <v:shape style="position:absolute;left:2470;top:14;width:6270;height:2" coordorigin="2470,14" coordsize="6270,0" path="m2470,14l8740,14e" filled="false" stroked="true" strokeweight="1.44pt" strokecolor="#000000">
                <v:path arrowok="t"/>
              </v:shape>
            </v:group>
          </v:group>
        </w:pict>
      </w:r>
      <w:r>
        <w:rPr>
          <w:rFonts w:ascii="宋体" w:hAnsi="宋体" w:cs="宋体" w:eastAsia="宋体" w:hint="default"/>
          <w:position w:val="0"/>
          <w:sz w:val="2"/>
          <w:szCs w:val="2"/>
        </w:rPr>
      </w:r>
    </w:p>
    <w:p>
      <w:pPr>
        <w:spacing w:after="0" w:line="28" w:lineRule="exact"/>
        <w:rPr>
          <w:rFonts w:ascii="宋体" w:hAnsi="宋体" w:cs="宋体" w:eastAsia="宋体" w:hint="default"/>
          <w:sz w:val="2"/>
          <w:szCs w:val="2"/>
        </w:rPr>
        <w:sectPr>
          <w:pgSz w:w="11910" w:h="16840"/>
          <w:pgMar w:header="645" w:footer="816" w:top="1080" w:bottom="1000" w:left="1460" w:right="1460"/>
        </w:sectPr>
      </w:pPr>
    </w:p>
    <w:p>
      <w:pPr>
        <w:spacing w:line="240" w:lineRule="auto" w:before="4"/>
        <w:rPr>
          <w:rFonts w:ascii="宋体" w:hAnsi="宋体" w:cs="宋体" w:eastAsia="宋体" w:hint="default"/>
          <w:sz w:val="22"/>
          <w:szCs w:val="22"/>
        </w:rPr>
      </w:pPr>
    </w:p>
    <w:p>
      <w:pPr>
        <w:spacing w:before="0"/>
        <w:ind w:left="237" w:right="0" w:firstLine="0"/>
        <w:jc w:val="center"/>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before="145"/>
        <w:ind w:left="242" w:right="0" w:firstLine="0"/>
        <w:jc w:val="center"/>
        <w:rPr>
          <w:rFonts w:ascii="宋体" w:hAnsi="宋体" w:cs="宋体" w:eastAsia="宋体" w:hint="default"/>
          <w:sz w:val="18"/>
          <w:szCs w:val="18"/>
        </w:rPr>
      </w:pPr>
      <w:r>
        <w:rPr/>
        <w:pict>
          <v:group style="position:absolute;margin-left:79.463982pt;margin-top:5.641677pt;width:436.8pt;height:.5pt;mso-position-horizontal-relative:page;mso-position-vertical-relative:paragraph;z-index:2680" coordorigin="1589,113" coordsize="8736,10">
            <v:group style="position:absolute;left:1594;top:118;width:2427;height:2" coordorigin="1594,118" coordsize="2427,2">
              <v:shape style="position:absolute;left:1594;top:118;width:2427;height:2" coordorigin="1594,118" coordsize="2427,0" path="m1594,118l4021,118e" filled="false" stroked="true" strokeweight=".48004pt" strokecolor="#000000">
                <v:path arrowok="t"/>
              </v:shape>
            </v:group>
            <v:group style="position:absolute;left:4021;top:118;width:10;height:2" coordorigin="4021,118" coordsize="10,2">
              <v:shape style="position:absolute;left:4021;top:118;width:10;height:2" coordorigin="4021,118" coordsize="10,0" path="m4021,118l4031,118e" filled="false" stroked="true" strokeweight=".48004pt" strokecolor="#000000">
                <v:path arrowok="t"/>
              </v:shape>
            </v:group>
            <v:group style="position:absolute;left:4031;top:118;width:1467;height:2" coordorigin="4031,118" coordsize="1467,2">
              <v:shape style="position:absolute;left:4031;top:118;width:1467;height:2" coordorigin="4031,118" coordsize="1467,0" path="m4031,118l5497,118e" filled="false" stroked="true" strokeweight=".48004pt" strokecolor="#000000">
                <v:path arrowok="t"/>
              </v:shape>
            </v:group>
            <v:group style="position:absolute;left:5497;top:118;width:10;height:2" coordorigin="5497,118" coordsize="10,2">
              <v:shape style="position:absolute;left:5497;top:118;width:10;height:2" coordorigin="5497,118" coordsize="10,0" path="m5497,118l5507,118e" filled="false" stroked="true" strokeweight=".48004pt" strokecolor="#000000">
                <v:path arrowok="t"/>
              </v:shape>
            </v:group>
            <v:group style="position:absolute;left:5507;top:118;width:1014;height:2" coordorigin="5507,118" coordsize="1014,2">
              <v:shape style="position:absolute;left:5507;top:118;width:1014;height:2" coordorigin="5507,118" coordsize="1014,0" path="m5507,118l6520,118e" filled="false" stroked="true" strokeweight=".48004pt" strokecolor="#000000">
                <v:path arrowok="t"/>
              </v:shape>
            </v:group>
            <v:group style="position:absolute;left:6520;top:118;width:10;height:2" coordorigin="6520,118" coordsize="10,2">
              <v:shape style="position:absolute;left:6520;top:118;width:10;height:2" coordorigin="6520,118" coordsize="10,0" path="m6520,118l6529,118e" filled="false" stroked="true" strokeweight=".48004pt" strokecolor="#000000">
                <v:path arrowok="t"/>
              </v:shape>
            </v:group>
            <v:group style="position:absolute;left:6529;top:118;width:1332;height:2" coordorigin="6529,118" coordsize="1332,2">
              <v:shape style="position:absolute;left:6529;top:118;width:1332;height:2" coordorigin="6529,118" coordsize="1332,0" path="m6529,118l7861,118e" filled="false" stroked="true" strokeweight=".48004pt" strokecolor="#000000">
                <v:path arrowok="t"/>
              </v:shape>
            </v:group>
            <v:group style="position:absolute;left:7861;top:118;width:10;height:2" coordorigin="7861,118" coordsize="10,2">
              <v:shape style="position:absolute;left:7861;top:118;width:10;height:2" coordorigin="7861,118" coordsize="10,0" path="m7861,118l7871,118e" filled="false" stroked="true" strokeweight=".48004pt" strokecolor="#000000">
                <v:path arrowok="t"/>
              </v:shape>
            </v:group>
            <v:group style="position:absolute;left:7871;top:118;width:971;height:2" coordorigin="7871,118" coordsize="971,2">
              <v:shape style="position:absolute;left:7871;top:118;width:971;height:2" coordorigin="7871,118" coordsize="971,0" path="m7871,118l8841,118e" filled="false" stroked="true" strokeweight=".48004pt" strokecolor="#000000">
                <v:path arrowok="t"/>
              </v:shape>
            </v:group>
            <v:group style="position:absolute;left:8841;top:118;width:10;height:2" coordorigin="8841,118" coordsize="10,2">
              <v:shape style="position:absolute;left:8841;top:118;width:10;height:2" coordorigin="8841,118" coordsize="10,0" path="m8841,118l8851,118e" filled="false" stroked="true" strokeweight=".48004pt" strokecolor="#000000">
                <v:path arrowok="t"/>
              </v:shape>
            </v:group>
            <v:group style="position:absolute;left:8851;top:118;width:1469;height:2" coordorigin="8851,118" coordsize="1469,2">
              <v:shape style="position:absolute;left:8851;top:118;width:1469;height:2" coordorigin="8851,118" coordsize="1469,0" path="m8851,118l10320,118e" filled="false" stroked="true" strokeweight=".48004pt" strokecolor="#000000">
                <v:path arrowok="t"/>
              </v:shape>
            </v:group>
            <w10:wrap type="none"/>
          </v:group>
        </w:pict>
      </w:r>
      <w:r>
        <w:rPr/>
        <w:pict>
          <v:shape style="position:absolute;margin-left:79.704002pt;margin-top:16.159655pt;width:436.3pt;height:92.5pt;mso-position-horizontal-relative:page;mso-position-vertical-relative:paragraph;z-index:27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71"/>
                    <w:gridCol w:w="956"/>
                    <w:gridCol w:w="1475"/>
                    <w:gridCol w:w="849"/>
                    <w:gridCol w:w="1476"/>
                  </w:tblGrid>
                  <w:tr>
                    <w:trPr>
                      <w:trHeight w:val="374" w:hRule="exact"/>
                    </w:trPr>
                    <w:tc>
                      <w:tcPr>
                        <w:tcW w:w="3971" w:type="dxa"/>
                        <w:tcBorders>
                          <w:top w:val="nil" w:sz="6" w:space="0" w:color="auto"/>
                          <w:left w:val="nil" w:sz="6" w:space="0" w:color="auto"/>
                          <w:bottom w:val="nil" w:sz="6" w:space="0" w:color="auto"/>
                          <w:right w:val="nil" w:sz="6" w:space="0" w:color="auto"/>
                        </w:tcBorders>
                      </w:tcPr>
                      <w:p>
                        <w:pPr>
                          <w:pStyle w:val="TableParagraph"/>
                          <w:tabs>
                            <w:tab w:pos="3480" w:val="left" w:leader="none"/>
                          </w:tabs>
                          <w:spacing w:line="290" w:lineRule="exact"/>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账准备的其他应收款</w:t>
                        </w:r>
                        <w:r>
                          <w:rPr>
                            <w:rFonts w:ascii="Times New Roman" w:hAnsi="Times New Roman" w:cs="Times New Roman" w:eastAsia="Times New Roman" w:hint="default"/>
                            <w:position w:val="12"/>
                            <w:sz w:val="18"/>
                            <w:szCs w:val="18"/>
                          </w:rPr>
                          <w:tab/>
                          <w:t>0.00</w:t>
                        </w:r>
                        <w:r>
                          <w:rPr>
                            <w:rFonts w:ascii="Times New Roman" w:hAnsi="Times New Roman" w:cs="Times New Roman" w:eastAsia="Times New Roman" w:hint="default"/>
                            <w:sz w:val="18"/>
                            <w:szCs w:val="18"/>
                          </w:rPr>
                        </w:r>
                      </w:p>
                    </w:tc>
                    <w:tc>
                      <w:tcPr>
                        <w:tcW w:w="956" w:type="dxa"/>
                        <w:tcBorders>
                          <w:top w:val="nil" w:sz="6" w:space="0" w:color="auto"/>
                          <w:left w:val="nil" w:sz="6" w:space="0" w:color="auto"/>
                          <w:bottom w:val="nil" w:sz="6" w:space="0" w:color="auto"/>
                          <w:right w:val="nil" w:sz="6" w:space="0" w:color="auto"/>
                        </w:tcBorders>
                      </w:tcPr>
                      <w:p>
                        <w:pPr>
                          <w:pStyle w:val="TableParagraph"/>
                          <w:spacing w:line="184" w:lineRule="exact"/>
                          <w:ind w:right="106"/>
                          <w:jc w:val="right"/>
                          <w:rPr>
                            <w:rFonts w:ascii="Times New Roman" w:hAnsi="Times New Roman" w:cs="Times New Roman" w:eastAsia="Times New Roman" w:hint="default"/>
                            <w:sz w:val="18"/>
                            <w:szCs w:val="18"/>
                          </w:rPr>
                        </w:pPr>
                        <w:r>
                          <w:rPr>
                            <w:rFonts w:ascii="Times New Roman"/>
                            <w:sz w:val="18"/>
                          </w:rPr>
                          <w:t>0.00%</w:t>
                        </w:r>
                      </w:p>
                    </w:tc>
                    <w:tc>
                      <w:tcPr>
                        <w:tcW w:w="1475" w:type="dxa"/>
                        <w:tcBorders>
                          <w:top w:val="nil" w:sz="6" w:space="0" w:color="auto"/>
                          <w:left w:val="nil" w:sz="6" w:space="0" w:color="auto"/>
                          <w:bottom w:val="nil" w:sz="6" w:space="0" w:color="auto"/>
                          <w:right w:val="nil" w:sz="6" w:space="0" w:color="auto"/>
                        </w:tcBorders>
                      </w:tcPr>
                      <w:p>
                        <w:pPr>
                          <w:pStyle w:val="TableParagraph"/>
                          <w:spacing w:line="184" w:lineRule="exact"/>
                          <w:ind w:right="241"/>
                          <w:jc w:val="right"/>
                          <w:rPr>
                            <w:rFonts w:ascii="Times New Roman" w:hAnsi="Times New Roman" w:cs="Times New Roman" w:eastAsia="Times New Roman" w:hint="default"/>
                            <w:sz w:val="18"/>
                            <w:szCs w:val="18"/>
                          </w:rPr>
                        </w:pPr>
                        <w:r>
                          <w:rPr>
                            <w:rFonts w:ascii="Times New Roman"/>
                            <w:spacing w:val="-1"/>
                            <w:sz w:val="18"/>
                          </w:rPr>
                          <w:t>0.00</w:t>
                        </w:r>
                      </w:p>
                    </w:tc>
                    <w:tc>
                      <w:tcPr>
                        <w:tcW w:w="849" w:type="dxa"/>
                        <w:tcBorders>
                          <w:top w:val="nil" w:sz="6" w:space="0" w:color="auto"/>
                          <w:left w:val="nil" w:sz="6" w:space="0" w:color="auto"/>
                          <w:bottom w:val="nil" w:sz="6" w:space="0" w:color="auto"/>
                          <w:right w:val="nil" w:sz="6" w:space="0" w:color="auto"/>
                        </w:tcBorders>
                      </w:tcPr>
                      <w:p>
                        <w:pPr>
                          <w:pStyle w:val="TableParagraph"/>
                          <w:spacing w:line="184" w:lineRule="exact"/>
                          <w:ind w:right="108"/>
                          <w:jc w:val="right"/>
                          <w:rPr>
                            <w:rFonts w:ascii="Times New Roman" w:hAnsi="Times New Roman" w:cs="Times New Roman" w:eastAsia="Times New Roman" w:hint="default"/>
                            <w:sz w:val="18"/>
                            <w:szCs w:val="18"/>
                          </w:rPr>
                        </w:pPr>
                        <w:r>
                          <w:rPr>
                            <w:rFonts w:ascii="Times New Roman"/>
                            <w:sz w:val="18"/>
                          </w:rPr>
                          <w:t>0.00%</w:t>
                        </w:r>
                      </w:p>
                    </w:tc>
                    <w:tc>
                      <w:tcPr>
                        <w:tcW w:w="1476" w:type="dxa"/>
                        <w:tcBorders>
                          <w:top w:val="nil" w:sz="6" w:space="0" w:color="auto"/>
                          <w:left w:val="nil" w:sz="6" w:space="0" w:color="auto"/>
                          <w:bottom w:val="nil" w:sz="6" w:space="0" w:color="auto"/>
                          <w:right w:val="nil" w:sz="6" w:space="0" w:color="auto"/>
                        </w:tcBorders>
                      </w:tcPr>
                      <w:p>
                        <w:pPr>
                          <w:pStyle w:val="TableParagraph"/>
                          <w:spacing w:line="184" w:lineRule="exact"/>
                          <w:ind w:right="105"/>
                          <w:jc w:val="right"/>
                          <w:rPr>
                            <w:rFonts w:ascii="Times New Roman" w:hAnsi="Times New Roman" w:cs="Times New Roman" w:eastAsia="Times New Roman" w:hint="default"/>
                            <w:sz w:val="18"/>
                            <w:szCs w:val="18"/>
                          </w:rPr>
                        </w:pPr>
                        <w:r>
                          <w:rPr>
                            <w:rFonts w:ascii="Times New Roman"/>
                            <w:spacing w:val="-1"/>
                            <w:sz w:val="18"/>
                          </w:rPr>
                          <w:t>0.00</w:t>
                        </w:r>
                      </w:p>
                    </w:tc>
                  </w:tr>
                  <w:tr>
                    <w:trPr>
                      <w:trHeight w:val="570" w:hRule="exact"/>
                    </w:trPr>
                    <w:tc>
                      <w:tcPr>
                        <w:tcW w:w="3971" w:type="dxa"/>
                        <w:tcBorders>
                          <w:top w:val="nil" w:sz="6" w:space="0" w:color="auto"/>
                          <w:left w:val="nil" w:sz="6" w:space="0" w:color="auto"/>
                          <w:bottom w:val="nil" w:sz="6" w:space="0" w:color="auto"/>
                          <w:right w:val="nil" w:sz="6" w:space="0" w:color="auto"/>
                        </w:tcBorders>
                      </w:tcPr>
                      <w:p>
                        <w:pPr>
                          <w:pStyle w:val="TableParagraph"/>
                          <w:tabs>
                            <w:tab w:pos="2534" w:val="left" w:leader="none"/>
                          </w:tabs>
                          <w:spacing w:line="158" w:lineRule="auto" w:before="87"/>
                          <w:ind w:left="108" w:right="173"/>
                          <w:jc w:val="left"/>
                          <w:rPr>
                            <w:rFonts w:ascii="Times New Roman" w:hAnsi="Times New Roman" w:cs="Times New Roman" w:eastAsia="Times New Roman" w:hint="default"/>
                            <w:sz w:val="18"/>
                            <w:szCs w:val="18"/>
                          </w:rPr>
                        </w:pPr>
                        <w:r>
                          <w:rPr>
                            <w:rFonts w:ascii="宋体" w:hAnsi="宋体" w:cs="宋体" w:eastAsia="宋体" w:hint="default"/>
                            <w:spacing w:val="4"/>
                            <w:sz w:val="18"/>
                            <w:szCs w:val="18"/>
                          </w:rPr>
                          <w:t>按信用风险特征组合计提坏 </w:t>
                        </w:r>
                        <w:r>
                          <w:rPr>
                            <w:rFonts w:ascii="宋体" w:hAnsi="宋体" w:cs="宋体" w:eastAsia="宋体" w:hint="default"/>
                            <w:position w:val="-11"/>
                            <w:sz w:val="18"/>
                            <w:szCs w:val="18"/>
                          </w:rPr>
                          <w:t>账准备的其他应收款</w:t>
                          <w:tab/>
                        </w:r>
                        <w:r>
                          <w:rPr>
                            <w:rFonts w:ascii="Times New Roman" w:hAnsi="Times New Roman" w:cs="Times New Roman" w:eastAsia="Times New Roman" w:hint="default"/>
                            <w:sz w:val="18"/>
                            <w:szCs w:val="18"/>
                          </w:rPr>
                          <w:t>5,632,753,133.60</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100.00%</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242"/>
                          <w:jc w:val="right"/>
                          <w:rPr>
                            <w:rFonts w:ascii="Times New Roman" w:hAnsi="Times New Roman" w:cs="Times New Roman" w:eastAsia="Times New Roman" w:hint="default"/>
                            <w:sz w:val="18"/>
                            <w:szCs w:val="18"/>
                          </w:rPr>
                        </w:pPr>
                        <w:r>
                          <w:rPr>
                            <w:rFonts w:ascii="Times New Roman"/>
                            <w:spacing w:val="-1"/>
                            <w:sz w:val="18"/>
                          </w:rPr>
                          <w:t>180,673,785.95</w:t>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3.21%</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5,452,079,347.65</w:t>
                        </w:r>
                      </w:p>
                    </w:tc>
                  </w:tr>
                  <w:tr>
                    <w:trPr>
                      <w:trHeight w:val="571" w:hRule="exact"/>
                    </w:trPr>
                    <w:tc>
                      <w:tcPr>
                        <w:tcW w:w="3971" w:type="dxa"/>
                        <w:tcBorders>
                          <w:top w:val="nil" w:sz="6" w:space="0" w:color="auto"/>
                          <w:left w:val="nil" w:sz="6" w:space="0" w:color="auto"/>
                          <w:bottom w:val="single" w:sz="4" w:space="0" w:color="000000"/>
                          <w:right w:val="nil" w:sz="6" w:space="0" w:color="auto"/>
                        </w:tcBorders>
                      </w:tcPr>
                      <w:p>
                        <w:pPr>
                          <w:pStyle w:val="TableParagraph"/>
                          <w:tabs>
                            <w:tab w:pos="3480" w:val="left" w:leader="none"/>
                          </w:tabs>
                          <w:spacing w:line="158" w:lineRule="auto" w:before="89"/>
                          <w:ind w:left="108" w:right="172"/>
                          <w:jc w:val="left"/>
                          <w:rPr>
                            <w:rFonts w:ascii="Times New Roman" w:hAnsi="Times New Roman" w:cs="Times New Roman" w:eastAsia="Times New Roman" w:hint="default"/>
                            <w:sz w:val="18"/>
                            <w:szCs w:val="18"/>
                          </w:rPr>
                        </w:pPr>
                        <w:r>
                          <w:rPr>
                            <w:rFonts w:ascii="宋体" w:hAnsi="宋体" w:cs="宋体" w:eastAsia="宋体" w:hint="default"/>
                            <w:spacing w:val="4"/>
                            <w:sz w:val="18"/>
                            <w:szCs w:val="18"/>
                          </w:rPr>
                          <w:t>单项金额不重大但单项计提 </w:t>
                        </w:r>
                        <w:r>
                          <w:rPr>
                            <w:rFonts w:ascii="宋体" w:hAnsi="宋体" w:cs="宋体" w:eastAsia="宋体" w:hint="default"/>
                            <w:sz w:val="18"/>
                            <w:szCs w:val="18"/>
                          </w:rPr>
                          <w:t>坏账准备的其他应收款</w:t>
                        </w:r>
                        <w:r>
                          <w:rPr>
                            <w:rFonts w:ascii="Times New Roman" w:hAnsi="Times New Roman" w:cs="Times New Roman" w:eastAsia="Times New Roman" w:hint="default"/>
                            <w:position w:val="12"/>
                            <w:sz w:val="18"/>
                            <w:szCs w:val="18"/>
                          </w:rPr>
                          <w:tab/>
                          <w:t>0.00</w:t>
                        </w:r>
                        <w:r>
                          <w:rPr>
                            <w:rFonts w:ascii="Times New Roman" w:hAnsi="Times New Roman" w:cs="Times New Roman" w:eastAsia="Times New Roman" w:hint="default"/>
                            <w:sz w:val="18"/>
                            <w:szCs w:val="18"/>
                          </w:rPr>
                        </w:r>
                      </w:p>
                    </w:tc>
                    <w:tc>
                      <w:tcPr>
                        <w:tcW w:w="956"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0.00%</w:t>
                        </w:r>
                      </w:p>
                    </w:tc>
                    <w:tc>
                      <w:tcPr>
                        <w:tcW w:w="1475"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241"/>
                          <w:jc w:val="right"/>
                          <w:rPr>
                            <w:rFonts w:ascii="Times New Roman" w:hAnsi="Times New Roman" w:cs="Times New Roman" w:eastAsia="Times New Roman" w:hint="default"/>
                            <w:sz w:val="18"/>
                            <w:szCs w:val="18"/>
                          </w:rPr>
                        </w:pPr>
                        <w:r>
                          <w:rPr>
                            <w:rFonts w:ascii="Times New Roman"/>
                            <w:spacing w:val="-1"/>
                            <w:sz w:val="18"/>
                          </w:rPr>
                          <w:t>0.00</w:t>
                        </w:r>
                      </w:p>
                    </w:tc>
                    <w:tc>
                      <w:tcPr>
                        <w:tcW w:w="849"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z w:val="18"/>
                          </w:rPr>
                          <w:t>0.00%</w:t>
                        </w:r>
                      </w:p>
                    </w:tc>
                    <w:tc>
                      <w:tcPr>
                        <w:tcW w:w="1476"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0.00</w:t>
                        </w:r>
                      </w:p>
                    </w:tc>
                  </w:tr>
                  <w:tr>
                    <w:trPr>
                      <w:trHeight w:val="305" w:hRule="exact"/>
                    </w:trPr>
                    <w:tc>
                      <w:tcPr>
                        <w:tcW w:w="3971" w:type="dxa"/>
                        <w:tcBorders>
                          <w:top w:val="single" w:sz="4" w:space="0" w:color="000000"/>
                          <w:left w:val="nil" w:sz="6" w:space="0" w:color="auto"/>
                          <w:bottom w:val="single" w:sz="12" w:space="0" w:color="000000"/>
                          <w:right w:val="nil" w:sz="6" w:space="0" w:color="auto"/>
                        </w:tcBorders>
                      </w:tcPr>
                      <w:p>
                        <w:pPr>
                          <w:pStyle w:val="TableParagraph"/>
                          <w:tabs>
                            <w:tab w:pos="2534" w:val="left" w:leader="none"/>
                          </w:tabs>
                          <w:spacing w:line="240" w:lineRule="auto" w:before="24"/>
                          <w:ind w:left="108" w:right="0"/>
                          <w:jc w:val="left"/>
                          <w:rPr>
                            <w:rFonts w:ascii="Times New Roman" w:hAnsi="Times New Roman" w:cs="Times New Roman" w:eastAsia="Times New Roman" w:hint="default"/>
                            <w:sz w:val="18"/>
                            <w:szCs w:val="18"/>
                          </w:rPr>
                        </w:pPr>
                        <w:r>
                          <w:rPr>
                            <w:rFonts w:ascii="宋体" w:hAnsi="宋体" w:cs="宋体" w:eastAsia="宋体" w:hint="default"/>
                            <w:b/>
                            <w:bCs/>
                            <w:position w:val="1"/>
                            <w:sz w:val="18"/>
                            <w:szCs w:val="18"/>
                          </w:rPr>
                          <w:t>合计</w:t>
                          <w:tab/>
                        </w:r>
                        <w:r>
                          <w:rPr>
                            <w:rFonts w:ascii="Times New Roman" w:hAnsi="Times New Roman" w:cs="Times New Roman" w:eastAsia="Times New Roman" w:hint="default"/>
                            <w:b/>
                            <w:bCs/>
                            <w:sz w:val="18"/>
                            <w:szCs w:val="18"/>
                          </w:rPr>
                          <w:t>5,632,753,133.60</w:t>
                        </w:r>
                        <w:r>
                          <w:rPr>
                            <w:rFonts w:ascii="Times New Roman" w:hAnsi="Times New Roman" w:cs="Times New Roman" w:eastAsia="Times New Roman" w:hint="default"/>
                            <w:sz w:val="18"/>
                            <w:szCs w:val="18"/>
                          </w:rPr>
                        </w:r>
                      </w:p>
                    </w:tc>
                    <w:tc>
                      <w:tcPr>
                        <w:tcW w:w="956"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2"/>
                          <w:jc w:val="right"/>
                          <w:rPr>
                            <w:rFonts w:ascii="Times New Roman" w:hAnsi="Times New Roman" w:cs="Times New Roman" w:eastAsia="Times New Roman" w:hint="default"/>
                            <w:sz w:val="18"/>
                            <w:szCs w:val="18"/>
                          </w:rPr>
                        </w:pPr>
                        <w:r>
                          <w:rPr>
                            <w:rFonts w:ascii="Times New Roman"/>
                            <w:b/>
                            <w:spacing w:val="-1"/>
                            <w:sz w:val="18"/>
                          </w:rPr>
                          <w:t>100.00%</w:t>
                        </w:r>
                        <w:r>
                          <w:rPr>
                            <w:rFonts w:ascii="Times New Roman"/>
                            <w:spacing w:val="-1"/>
                            <w:sz w:val="18"/>
                          </w:rPr>
                        </w:r>
                      </w:p>
                    </w:tc>
                    <w:tc>
                      <w:tcPr>
                        <w:tcW w:w="1475"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242"/>
                          <w:jc w:val="right"/>
                          <w:rPr>
                            <w:rFonts w:ascii="Times New Roman" w:hAnsi="Times New Roman" w:cs="Times New Roman" w:eastAsia="Times New Roman" w:hint="default"/>
                            <w:sz w:val="18"/>
                            <w:szCs w:val="18"/>
                          </w:rPr>
                        </w:pPr>
                        <w:r>
                          <w:rPr>
                            <w:rFonts w:ascii="Times New Roman"/>
                            <w:b/>
                            <w:spacing w:val="-1"/>
                            <w:sz w:val="18"/>
                          </w:rPr>
                          <w:t>180,673,785.95</w:t>
                        </w:r>
                        <w:r>
                          <w:rPr>
                            <w:rFonts w:ascii="Times New Roman"/>
                            <w:spacing w:val="-1"/>
                            <w:sz w:val="18"/>
                          </w:rPr>
                        </w:r>
                      </w:p>
                    </w:tc>
                    <w:tc>
                      <w:tcPr>
                        <w:tcW w:w="849"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7"/>
                          <w:jc w:val="right"/>
                          <w:rPr>
                            <w:rFonts w:ascii="Times New Roman" w:hAnsi="Times New Roman" w:cs="Times New Roman" w:eastAsia="Times New Roman" w:hint="default"/>
                            <w:sz w:val="18"/>
                            <w:szCs w:val="18"/>
                          </w:rPr>
                        </w:pPr>
                        <w:r>
                          <w:rPr>
                            <w:rFonts w:ascii="Times New Roman"/>
                            <w:b/>
                            <w:sz w:val="18"/>
                          </w:rPr>
                          <w:t>3.21%</w:t>
                        </w:r>
                        <w:r>
                          <w:rPr>
                            <w:rFonts w:ascii="Times New Roman"/>
                            <w:sz w:val="18"/>
                          </w:rPr>
                        </w:r>
                      </w:p>
                    </w:tc>
                    <w:tc>
                      <w:tcPr>
                        <w:tcW w:w="1476"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b/>
                            <w:spacing w:val="-1"/>
                            <w:sz w:val="18"/>
                          </w:rPr>
                          <w:t>5,452,079,347.65</w:t>
                        </w:r>
                        <w:r>
                          <w:rPr>
                            <w:rFonts w:ascii="Times New Roman"/>
                            <w:spacing w:val="-1"/>
                            <w:sz w:val="18"/>
                          </w:rPr>
                        </w:r>
                      </w:p>
                    </w:tc>
                  </w:tr>
                </w:tbl>
                <w:p>
                  <w:pPr/>
                </w:p>
              </w:txbxContent>
            </v:textbox>
            <w10:wrap type="none"/>
          </v:shape>
        </w:pict>
      </w:r>
      <w:r>
        <w:rPr>
          <w:rFonts w:ascii="宋体" w:hAnsi="宋体" w:cs="宋体" w:eastAsia="宋体" w:hint="default"/>
          <w:spacing w:val="4"/>
          <w:sz w:val="18"/>
          <w:szCs w:val="18"/>
        </w:rPr>
        <w:t>单项金额重大并单项计提坏</w:t>
      </w:r>
      <w:r>
        <w:rPr>
          <w:rFonts w:ascii="宋体" w:hAnsi="宋体" w:cs="宋体" w:eastAsia="宋体" w:hint="default"/>
          <w:sz w:val="18"/>
          <w:szCs w:val="18"/>
        </w:rPr>
      </w:r>
    </w:p>
    <w:p>
      <w:pPr>
        <w:spacing w:before="23"/>
        <w:ind w:left="2472" w:right="-20" w:firstLine="0"/>
        <w:jc w:val="left"/>
        <w:rPr>
          <w:rFonts w:ascii="宋体" w:hAnsi="宋体" w:cs="宋体" w:eastAsia="宋体" w:hint="default"/>
          <w:sz w:val="18"/>
          <w:szCs w:val="18"/>
        </w:rPr>
      </w:pPr>
      <w:r>
        <w:rPr/>
        <w:br w:type="column"/>
      </w:r>
      <w:r>
        <w:rPr>
          <w:rFonts w:ascii="宋体" w:hAnsi="宋体" w:cs="宋体" w:eastAsia="宋体" w:hint="default"/>
          <w:b/>
          <w:bCs/>
          <w:sz w:val="18"/>
          <w:szCs w:val="18"/>
        </w:rPr>
        <w:t>年初余额</w:t>
      </w:r>
      <w:r>
        <w:rPr>
          <w:rFonts w:ascii="宋体" w:hAnsi="宋体" w:cs="宋体" w:eastAsia="宋体" w:hint="default"/>
          <w:sz w:val="18"/>
          <w:szCs w:val="18"/>
        </w:rPr>
      </w:r>
    </w:p>
    <w:p>
      <w:pPr>
        <w:tabs>
          <w:tab w:pos="2980" w:val="left" w:leader="none"/>
        </w:tabs>
        <w:spacing w:before="59"/>
        <w:ind w:left="573" w:right="-20" w:firstLine="0"/>
        <w:jc w:val="left"/>
        <w:rPr>
          <w:rFonts w:ascii="宋体" w:hAnsi="宋体" w:cs="宋体" w:eastAsia="宋体" w:hint="default"/>
          <w:sz w:val="18"/>
          <w:szCs w:val="18"/>
        </w:rPr>
      </w:pPr>
      <w:r>
        <w:rPr/>
        <w:pict>
          <v:group style="position:absolute;margin-left:200.810013pt;margin-top:1.341727pt;width:315.45pt;height:.5pt;mso-position-horizontal-relative:page;mso-position-vertical-relative:paragraph;z-index:2632" coordorigin="4016,27" coordsize="6309,10">
            <v:group style="position:absolute;left:4021;top:32;width:2499;height:2" coordorigin="4021,32" coordsize="2499,2">
              <v:shape style="position:absolute;left:4021;top:32;width:2499;height:2" coordorigin="4021,32" coordsize="2499,0" path="m4021,32l6520,32e" filled="false" stroked="true" strokeweight=".47998pt" strokecolor="#000000">
                <v:path arrowok="t"/>
              </v:shape>
            </v:group>
            <v:group style="position:absolute;left:6520;top:32;width:10;height:2" coordorigin="6520,32" coordsize="10,2">
              <v:shape style="position:absolute;left:6520;top:32;width:10;height:2" coordorigin="6520,32" coordsize="10,0" path="m6520,32l6529,32e" filled="false" stroked="true" strokeweight=".47998pt" strokecolor="#000000">
                <v:path arrowok="t"/>
              </v:shape>
            </v:group>
            <v:group style="position:absolute;left:6529;top:32;width:2312;height:2" coordorigin="6529,32" coordsize="2312,2">
              <v:shape style="position:absolute;left:6529;top:32;width:2312;height:2" coordorigin="6529,32" coordsize="2312,0" path="m6529,32l8841,32e" filled="false" stroked="true" strokeweight=".47998pt" strokecolor="#000000">
                <v:path arrowok="t"/>
              </v:shape>
            </v:group>
            <v:group style="position:absolute;left:8841;top:32;width:10;height:2" coordorigin="8841,32" coordsize="10,2">
              <v:shape style="position:absolute;left:8841;top:32;width:10;height:2" coordorigin="8841,32" coordsize="10,0" path="m8841,32l8851,32e" filled="false" stroked="true" strokeweight=".47998pt" strokecolor="#000000">
                <v:path arrowok="t"/>
              </v:shape>
            </v:group>
            <v:group style="position:absolute;left:8851;top:32;width:1469;height:2" coordorigin="8851,32" coordsize="1469,2">
              <v:shape style="position:absolute;left:8851;top:32;width:1469;height:2" coordorigin="8851,32" coordsize="1469,0" path="m8851,32l10320,32e" filled="false" stroked="true" strokeweight=".47998pt" strokecolor="#000000">
                <v:path arrowok="t"/>
              </v:shape>
            </v:group>
            <w10:wrap type="none"/>
          </v:group>
        </w:pict>
      </w:r>
      <w:r>
        <w:rPr/>
        <w:pict>
          <v:group style="position:absolute;margin-left:200.810013pt;margin-top:16.101727pt;width:241.5pt;height:.5pt;mso-position-horizontal-relative:page;mso-position-vertical-relative:paragraph;z-index:2656" coordorigin="4016,322" coordsize="4830,10">
            <v:group style="position:absolute;left:4021;top:327;width:1476;height:2" coordorigin="4021,327" coordsize="1476,2">
              <v:shape style="position:absolute;left:4021;top:327;width:1476;height:2" coordorigin="4021,327" coordsize="1476,0" path="m4021,327l5497,327e" filled="false" stroked="true" strokeweight=".47998pt" strokecolor="#000000">
                <v:path arrowok="t"/>
              </v:shape>
            </v:group>
            <v:group style="position:absolute;left:5497;top:327;width:10;height:2" coordorigin="5497,327" coordsize="10,2">
              <v:shape style="position:absolute;left:5497;top:327;width:10;height:2" coordorigin="5497,327" coordsize="10,0" path="m5497,327l5507,327e" filled="false" stroked="true" strokeweight=".47998pt" strokecolor="#000000">
                <v:path arrowok="t"/>
              </v:shape>
            </v:group>
            <v:group style="position:absolute;left:5507;top:327;width:1014;height:2" coordorigin="5507,327" coordsize="1014,2">
              <v:shape style="position:absolute;left:5507;top:327;width:1014;height:2" coordorigin="5507,327" coordsize="1014,0" path="m5507,327l6520,327e" filled="false" stroked="true" strokeweight=".47998pt" strokecolor="#000000">
                <v:path arrowok="t"/>
              </v:shape>
            </v:group>
            <v:group style="position:absolute;left:6520;top:327;width:10;height:2" coordorigin="6520,327" coordsize="10,2">
              <v:shape style="position:absolute;left:6520;top:327;width:10;height:2" coordorigin="6520,327" coordsize="10,0" path="m6520,327l6529,327e" filled="false" stroked="true" strokeweight=".47998pt" strokecolor="#000000">
                <v:path arrowok="t"/>
              </v:shape>
            </v:group>
            <v:group style="position:absolute;left:6529;top:327;width:1332;height:2" coordorigin="6529,327" coordsize="1332,2">
              <v:shape style="position:absolute;left:6529;top:327;width:1332;height:2" coordorigin="6529,327" coordsize="1332,0" path="m6529,327l7861,327e" filled="false" stroked="true" strokeweight=".47998pt" strokecolor="#000000">
                <v:path arrowok="t"/>
              </v:shape>
            </v:group>
            <v:group style="position:absolute;left:7861;top:327;width:10;height:2" coordorigin="7861,327" coordsize="10,2">
              <v:shape style="position:absolute;left:7861;top:327;width:10;height:2" coordorigin="7861,327" coordsize="10,0" path="m7861,327l7871,327e" filled="false" stroked="true" strokeweight=".47998pt" strokecolor="#000000">
                <v:path arrowok="t"/>
              </v:shape>
            </v:group>
            <v:group style="position:absolute;left:7871;top:327;width:971;height:2" coordorigin="7871,327" coordsize="971,2">
              <v:shape style="position:absolute;left:7871;top:327;width:971;height:2" coordorigin="7871,327" coordsize="971,0" path="m7871,327l8841,327e" filled="false" stroked="true" strokeweight=".47998pt" strokecolor="#000000">
                <v:path arrowok="t"/>
              </v:shape>
            </v:group>
            <w10:wrap type="none"/>
          </v:group>
        </w:pict>
      </w:r>
      <w:r>
        <w:rPr>
          <w:rFonts w:ascii="宋体" w:hAnsi="宋体" w:cs="宋体" w:eastAsia="宋体" w:hint="default"/>
          <w:b/>
          <w:bCs/>
          <w:w w:val="95"/>
          <w:sz w:val="18"/>
          <w:szCs w:val="18"/>
        </w:rPr>
        <w:t>账面余额</w:t>
        <w:tab/>
      </w:r>
      <w:r>
        <w:rPr>
          <w:rFonts w:ascii="宋体" w:hAnsi="宋体" w:cs="宋体" w:eastAsia="宋体" w:hint="default"/>
          <w:b/>
          <w:bCs/>
          <w:sz w:val="18"/>
          <w:szCs w:val="18"/>
        </w:rPr>
        <w:t>坏账准备</w:t>
      </w:r>
      <w:r>
        <w:rPr>
          <w:rFonts w:ascii="宋体" w:hAnsi="宋体" w:cs="宋体" w:eastAsia="宋体" w:hint="default"/>
          <w:sz w:val="18"/>
          <w:szCs w:val="18"/>
        </w:rPr>
      </w:r>
    </w:p>
    <w:p>
      <w:pPr>
        <w:tabs>
          <w:tab w:pos="1490" w:val="left" w:leader="none"/>
          <w:tab w:pos="2671" w:val="left" w:leader="none"/>
          <w:tab w:pos="3652" w:val="left" w:leader="none"/>
        </w:tabs>
        <w:spacing w:before="59"/>
        <w:ind w:left="242" w:right="-20" w:firstLine="0"/>
        <w:jc w:val="left"/>
        <w:rPr>
          <w:rFonts w:ascii="宋体" w:hAnsi="宋体" w:cs="宋体" w:eastAsia="宋体" w:hint="default"/>
          <w:sz w:val="18"/>
          <w:szCs w:val="18"/>
        </w:rPr>
      </w:pPr>
      <w:r>
        <w:rPr>
          <w:rFonts w:ascii="宋体" w:hAnsi="宋体" w:cs="宋体" w:eastAsia="宋体" w:hint="default"/>
          <w:b/>
          <w:bCs/>
          <w:sz w:val="18"/>
          <w:szCs w:val="18"/>
        </w:rPr>
        <w:t>金额</w:t>
        <w:tab/>
        <w:t>比例</w:t>
        <w:tab/>
        <w:t>金额</w:t>
        <w:tab/>
        <w:t>计提比例</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9"/>
        <w:rPr>
          <w:rFonts w:ascii="宋体" w:hAnsi="宋体" w:cs="宋体" w:eastAsia="宋体" w:hint="default"/>
          <w:b/>
          <w:bCs/>
          <w:sz w:val="15"/>
          <w:szCs w:val="15"/>
        </w:rPr>
      </w:pPr>
    </w:p>
    <w:p>
      <w:pPr>
        <w:spacing w:before="0"/>
        <w:ind w:left="242" w:right="0" w:firstLine="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1910" w:h="16840"/>
          <w:pgMar w:top="1020" w:bottom="280" w:left="1460" w:right="1460"/>
          <w:cols w:num="3" w:equalWidth="0">
            <w:col w:w="2460" w:space="416"/>
            <w:col w:w="4376" w:space="265"/>
            <w:col w:w="1473"/>
          </w:cols>
        </w:sectPr>
      </w:pPr>
    </w:p>
    <w:p>
      <w:pPr>
        <w:spacing w:line="240" w:lineRule="auto" w:before="6"/>
        <w:rPr>
          <w:rFonts w:ascii="宋体" w:hAnsi="宋体" w:cs="宋体" w:eastAsia="宋体" w:hint="default"/>
          <w:b/>
          <w:bCs/>
          <w:sz w:val="5"/>
          <w:szCs w:val="5"/>
        </w:rPr>
      </w:pPr>
    </w:p>
    <w:p>
      <w:pPr>
        <w:spacing w:line="447" w:lineRule="exact"/>
        <w:ind w:left="145"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32.15pt;height:22.35pt;mso-position-horizontal-relative:char;mso-position-vertical-relative:line" coordorigin="0,0" coordsize="8643,447">
            <v:group style="position:absolute;left:68;top:440;width:8567;height:2" coordorigin="68,440" coordsize="8567,2">
              <v:shape style="position:absolute;left:68;top:440;width:8567;height:2" coordorigin="68,440" coordsize="8567,0" path="m68,440l8635,440e" filled="false" stroked="true" strokeweight=".72pt" strokecolor="#000000">
                <v:path arrowok="t"/>
              </v:shape>
              <v:shape style="position:absolute;left:0;top:0;width:1365;height:420" type="#_x0000_t75" stroked="false">
                <v:imagedata r:id="rId35" o:title=""/>
              </v:shape>
            </v:group>
          </v:group>
        </w:pict>
      </w:r>
      <w:r>
        <w:rPr>
          <w:rFonts w:ascii="宋体" w:hAnsi="宋体" w:cs="宋体" w:eastAsia="宋体" w:hint="default"/>
          <w:position w:val="-8"/>
          <w:sz w:val="20"/>
          <w:szCs w:val="20"/>
        </w:rPr>
      </w:r>
    </w:p>
    <w:p>
      <w:pPr>
        <w:spacing w:line="240" w:lineRule="auto" w:before="0"/>
        <w:rPr>
          <w:rFonts w:ascii="宋体" w:hAnsi="宋体" w:cs="宋体" w:eastAsia="宋体" w:hint="default"/>
          <w:b/>
          <w:bCs/>
          <w:sz w:val="20"/>
          <w:szCs w:val="20"/>
        </w:rPr>
      </w:pPr>
    </w:p>
    <w:p>
      <w:pPr>
        <w:spacing w:before="179"/>
        <w:ind w:left="695"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w:t>
      </w:r>
      <w:r>
        <w:rPr>
          <w:rFonts w:ascii="宋体" w:hAnsi="宋体" w:cs="宋体" w:eastAsia="宋体" w:hint="default"/>
          <w:b/>
          <w:bCs/>
          <w:sz w:val="22"/>
          <w:szCs w:val="22"/>
        </w:rPr>
        <w:t>）</w:t>
      </w:r>
      <w:r>
        <w:rPr>
          <w:rFonts w:ascii="宋体" w:hAnsi="宋体" w:cs="宋体" w:eastAsia="宋体" w:hint="default"/>
          <w:b/>
          <w:bCs/>
          <w:spacing w:val="-59"/>
          <w:sz w:val="22"/>
          <w:szCs w:val="22"/>
        </w:rPr>
        <w:t> </w:t>
      </w:r>
      <w:r>
        <w:rPr>
          <w:rFonts w:ascii="宋体" w:hAnsi="宋体" w:cs="宋体" w:eastAsia="宋体" w:hint="default"/>
          <w:sz w:val="22"/>
          <w:szCs w:val="22"/>
        </w:rPr>
        <w:t>组合中，按账龄分析法计提坏账准备的其他应收款</w:t>
      </w:r>
    </w:p>
    <w:p>
      <w:pPr>
        <w:spacing w:line="240" w:lineRule="auto" w:before="8"/>
        <w:rPr>
          <w:rFonts w:ascii="宋体" w:hAnsi="宋体" w:cs="宋体" w:eastAsia="宋体" w:hint="default"/>
          <w:sz w:val="11"/>
          <w:szCs w:val="11"/>
        </w:rPr>
      </w:pPr>
    </w:p>
    <w:p>
      <w:pPr>
        <w:spacing w:line="28" w:lineRule="exact"/>
        <w:ind w:left="119" w:right="0" w:firstLine="0"/>
        <w:rPr>
          <w:rFonts w:ascii="宋体" w:hAnsi="宋体" w:cs="宋体" w:eastAsia="宋体" w:hint="default"/>
          <w:sz w:val="2"/>
          <w:szCs w:val="2"/>
        </w:rPr>
      </w:pPr>
      <w:r>
        <w:rPr>
          <w:rFonts w:ascii="宋体" w:hAnsi="宋体" w:cs="宋体" w:eastAsia="宋体" w:hint="default"/>
          <w:position w:val="0"/>
          <w:sz w:val="2"/>
          <w:szCs w:val="2"/>
        </w:rPr>
        <w:pict>
          <v:group style="width:437.75pt;height:1.45pt;mso-position-horizontal-relative:char;mso-position-vertical-relative:line" coordorigin="0,0" coordsize="8755,29">
            <v:group style="position:absolute;left:14;top:14;width:2338;height:2" coordorigin="14,14" coordsize="2338,2">
              <v:shape style="position:absolute;left:14;top:14;width:2338;height:2" coordorigin="14,14" coordsize="2338,0" path="m14,14l2352,14e" filled="false" stroked="true" strokeweight="1.44pt" strokecolor="#000000">
                <v:path arrowok="t"/>
              </v:shape>
            </v:group>
            <v:group style="position:absolute;left:2353;top:14;width:29;height:2" coordorigin="2353,14" coordsize="29,2">
              <v:shape style="position:absolute;left:2353;top:14;width:29;height:2" coordorigin="2353,14" coordsize="29,0" path="m2353,14l2381,14e" filled="false" stroked="true" strokeweight="1.44pt" strokecolor="#000000">
                <v:path arrowok="t"/>
              </v:shape>
            </v:group>
            <v:group style="position:absolute;left:2381;top:14;width:6359;height:2" coordorigin="2381,14" coordsize="6359,2">
              <v:shape style="position:absolute;left:2381;top:14;width:6359;height:2" coordorigin="2381,14" coordsize="6359,0" path="m2381,14l8740,14e" filled="false" stroked="true" strokeweight="1.44pt" strokecolor="#000000">
                <v:path arrowok="t"/>
              </v:shape>
            </v:group>
          </v:group>
        </w:pict>
      </w:r>
      <w:r>
        <w:rPr>
          <w:rFonts w:ascii="宋体" w:hAnsi="宋体" w:cs="宋体" w:eastAsia="宋体" w:hint="default"/>
          <w:position w:val="0"/>
          <w:sz w:val="2"/>
          <w:szCs w:val="2"/>
        </w:rPr>
      </w:r>
    </w:p>
    <w:p>
      <w:pPr>
        <w:spacing w:before="23"/>
        <w:ind w:left="5281" w:right="3044" w:firstLine="0"/>
        <w:jc w:val="center"/>
        <w:rPr>
          <w:rFonts w:ascii="宋体" w:hAnsi="宋体" w:cs="宋体" w:eastAsia="宋体" w:hint="default"/>
          <w:sz w:val="18"/>
          <w:szCs w:val="18"/>
        </w:rPr>
      </w:pPr>
      <w:r>
        <w:rPr/>
        <w:pict>
          <v:shape style="position:absolute;margin-left:79.704002pt;margin-top:10.527319pt;width:436.3pt;height:142.950pt;mso-position-horizontal-relative:page;mso-position-vertical-relative:paragraph;z-index:28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84"/>
                    <w:gridCol w:w="3537"/>
                    <w:gridCol w:w="1910"/>
                    <w:gridCol w:w="2394"/>
                  </w:tblGrid>
                  <w:tr>
                    <w:trPr>
                      <w:trHeight w:val="397" w:hRule="exact"/>
                    </w:trPr>
                    <w:tc>
                      <w:tcPr>
                        <w:tcW w:w="884" w:type="dxa"/>
                        <w:tcBorders>
                          <w:top w:val="nil" w:sz="6" w:space="0" w:color="auto"/>
                          <w:left w:val="nil" w:sz="6" w:space="0" w:color="auto"/>
                          <w:bottom w:val="single" w:sz="4" w:space="0" w:color="000000"/>
                          <w:right w:val="nil" w:sz="6" w:space="0" w:color="auto"/>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3537" w:type="dxa"/>
                        <w:tcBorders>
                          <w:top w:val="nil" w:sz="6" w:space="0" w:color="auto"/>
                          <w:left w:val="nil" w:sz="6" w:space="0" w:color="auto"/>
                          <w:bottom w:val="single" w:sz="4" w:space="0" w:color="000000"/>
                          <w:right w:val="nil" w:sz="6" w:space="0" w:color="auto"/>
                        </w:tcBorders>
                      </w:tcPr>
                      <w:p>
                        <w:pPr>
                          <w:pStyle w:val="TableParagraph"/>
                          <w:spacing w:line="240" w:lineRule="auto" w:before="127"/>
                          <w:ind w:left="1809" w:right="0"/>
                          <w:jc w:val="left"/>
                          <w:rPr>
                            <w:rFonts w:ascii="宋体" w:hAnsi="宋体" w:cs="宋体" w:eastAsia="宋体" w:hint="default"/>
                            <w:sz w:val="18"/>
                            <w:szCs w:val="18"/>
                          </w:rPr>
                        </w:pPr>
                        <w:r>
                          <w:rPr>
                            <w:rFonts w:ascii="宋体" w:hAnsi="宋体" w:cs="宋体" w:eastAsia="宋体" w:hint="default"/>
                            <w:b/>
                            <w:bCs/>
                            <w:sz w:val="18"/>
                            <w:szCs w:val="18"/>
                          </w:rPr>
                          <w:t>其他应收款</w:t>
                        </w:r>
                        <w:r>
                          <w:rPr>
                            <w:rFonts w:ascii="宋体" w:hAnsi="宋体" w:cs="宋体" w:eastAsia="宋体" w:hint="default"/>
                            <w:sz w:val="18"/>
                            <w:szCs w:val="18"/>
                          </w:rPr>
                        </w:r>
                      </w:p>
                    </w:tc>
                    <w:tc>
                      <w:tcPr>
                        <w:tcW w:w="1910" w:type="dxa"/>
                        <w:tcBorders>
                          <w:top w:val="nil" w:sz="6" w:space="0" w:color="auto"/>
                          <w:left w:val="nil" w:sz="6" w:space="0" w:color="auto"/>
                          <w:bottom w:val="single" w:sz="4" w:space="0" w:color="000000"/>
                          <w:right w:val="nil" w:sz="6" w:space="0" w:color="auto"/>
                        </w:tcBorders>
                      </w:tcPr>
                      <w:p>
                        <w:pPr>
                          <w:pStyle w:val="TableParagraph"/>
                          <w:spacing w:line="240" w:lineRule="auto" w:before="127"/>
                          <w:ind w:left="547" w:right="0"/>
                          <w:jc w:val="left"/>
                          <w:rPr>
                            <w:rFonts w:ascii="宋体" w:hAnsi="宋体" w:cs="宋体" w:eastAsia="宋体" w:hint="default"/>
                            <w:sz w:val="18"/>
                            <w:szCs w:val="18"/>
                          </w:rPr>
                        </w:pPr>
                        <w:r>
                          <w:rPr>
                            <w:rFonts w:ascii="宋体" w:hAnsi="宋体" w:cs="宋体" w:eastAsia="宋体" w:hint="default"/>
                            <w:b/>
                            <w:bCs/>
                            <w:sz w:val="18"/>
                            <w:szCs w:val="18"/>
                          </w:rPr>
                          <w:t>比重</w:t>
                        </w:r>
                        <w:r>
                          <w:rPr>
                            <w:rFonts w:ascii="宋体" w:hAnsi="宋体" w:cs="宋体" w:eastAsia="宋体" w:hint="default"/>
                            <w:sz w:val="18"/>
                            <w:szCs w:val="18"/>
                          </w:rPr>
                        </w:r>
                      </w:p>
                    </w:tc>
                    <w:tc>
                      <w:tcPr>
                        <w:tcW w:w="2394" w:type="dxa"/>
                        <w:tcBorders>
                          <w:top w:val="nil" w:sz="6" w:space="0" w:color="auto"/>
                          <w:left w:val="nil" w:sz="6" w:space="0" w:color="auto"/>
                          <w:bottom w:val="single" w:sz="4" w:space="0" w:color="000000"/>
                          <w:right w:val="nil" w:sz="6" w:space="0" w:color="auto"/>
                        </w:tcBorders>
                      </w:tcPr>
                      <w:p>
                        <w:pPr>
                          <w:pStyle w:val="TableParagraph"/>
                          <w:spacing w:line="240" w:lineRule="auto" w:before="127"/>
                          <w:ind w:left="11"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323" w:hRule="exact"/>
                    </w:trPr>
                    <w:tc>
                      <w:tcPr>
                        <w:tcW w:w="884"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3537"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left="1701" w:right="0"/>
                          <w:jc w:val="left"/>
                          <w:rPr>
                            <w:rFonts w:ascii="Times New Roman" w:hAnsi="Times New Roman" w:cs="Times New Roman" w:eastAsia="Times New Roman" w:hint="default"/>
                            <w:sz w:val="18"/>
                            <w:szCs w:val="18"/>
                          </w:rPr>
                        </w:pPr>
                        <w:r>
                          <w:rPr>
                            <w:rFonts w:ascii="Times New Roman"/>
                            <w:sz w:val="18"/>
                          </w:rPr>
                          <w:t>7,694,729,982.76</w:t>
                        </w:r>
                      </w:p>
                    </w:tc>
                    <w:tc>
                      <w:tcPr>
                        <w:tcW w:w="1910"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left="451" w:right="0"/>
                          <w:jc w:val="left"/>
                          <w:rPr>
                            <w:rFonts w:ascii="Times New Roman" w:hAnsi="Times New Roman" w:cs="Times New Roman" w:eastAsia="Times New Roman" w:hint="default"/>
                            <w:sz w:val="18"/>
                            <w:szCs w:val="18"/>
                          </w:rPr>
                        </w:pPr>
                        <w:r>
                          <w:rPr>
                            <w:rFonts w:ascii="Times New Roman"/>
                            <w:sz w:val="18"/>
                          </w:rPr>
                          <w:t>70.88%</w:t>
                        </w:r>
                      </w:p>
                    </w:tc>
                    <w:tc>
                      <w:tcPr>
                        <w:tcW w:w="2394"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7"/>
                          <w:jc w:val="right"/>
                          <w:rPr>
                            <w:rFonts w:ascii="Times New Roman" w:hAnsi="Times New Roman" w:cs="Times New Roman" w:eastAsia="Times New Roman" w:hint="default"/>
                            <w:sz w:val="18"/>
                            <w:szCs w:val="18"/>
                          </w:rPr>
                        </w:pPr>
                        <w:r>
                          <w:rPr>
                            <w:rFonts w:ascii="Times New Roman"/>
                            <w:spacing w:val="-1"/>
                            <w:sz w:val="18"/>
                          </w:rPr>
                          <w:t>880,113.44</w:t>
                        </w:r>
                      </w:p>
                    </w:tc>
                  </w:tr>
                  <w:tr>
                    <w:trPr>
                      <w:trHeight w:val="286" w:hRule="exact"/>
                    </w:trPr>
                    <w:tc>
                      <w:tcPr>
                        <w:tcW w:w="884" w:type="dxa"/>
                        <w:tcBorders>
                          <w:top w:val="nil" w:sz="6" w:space="0" w:color="auto"/>
                          <w:left w:val="nil" w:sz="6" w:space="0" w:color="auto"/>
                          <w:bottom w:val="nil" w:sz="6" w:space="0" w:color="auto"/>
                          <w:right w:val="nil" w:sz="6" w:space="0" w:color="auto"/>
                        </w:tcBorders>
                      </w:tcPr>
                      <w:p>
                        <w:pPr>
                          <w:pStyle w:val="TableParagraph"/>
                          <w:spacing w:line="237"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53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701" w:right="0"/>
                          <w:jc w:val="left"/>
                          <w:rPr>
                            <w:rFonts w:ascii="Times New Roman" w:hAnsi="Times New Roman" w:cs="Times New Roman" w:eastAsia="Times New Roman" w:hint="default"/>
                            <w:sz w:val="18"/>
                            <w:szCs w:val="18"/>
                          </w:rPr>
                        </w:pPr>
                        <w:r>
                          <w:rPr>
                            <w:rFonts w:ascii="Times New Roman"/>
                            <w:sz w:val="18"/>
                          </w:rPr>
                          <w:t>1,600,894,614.61</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51" w:right="0"/>
                          <w:jc w:val="left"/>
                          <w:rPr>
                            <w:rFonts w:ascii="Times New Roman" w:hAnsi="Times New Roman" w:cs="Times New Roman" w:eastAsia="Times New Roman" w:hint="default"/>
                            <w:sz w:val="18"/>
                            <w:szCs w:val="18"/>
                          </w:rPr>
                        </w:pPr>
                        <w:r>
                          <w:rPr>
                            <w:rFonts w:ascii="Times New Roman"/>
                            <w:sz w:val="18"/>
                          </w:rPr>
                          <w:t>14.75%</w:t>
                        </w:r>
                      </w:p>
                    </w:tc>
                    <w:tc>
                      <w:tcPr>
                        <w:tcW w:w="23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1,822,273.17</w:t>
                        </w:r>
                      </w:p>
                    </w:tc>
                  </w:tr>
                  <w:tr>
                    <w:trPr>
                      <w:trHeight w:val="284" w:hRule="exact"/>
                    </w:trPr>
                    <w:tc>
                      <w:tcPr>
                        <w:tcW w:w="884" w:type="dxa"/>
                        <w:tcBorders>
                          <w:top w:val="nil" w:sz="6" w:space="0" w:color="auto"/>
                          <w:left w:val="nil" w:sz="6" w:space="0" w:color="auto"/>
                          <w:bottom w:val="nil" w:sz="6" w:space="0" w:color="auto"/>
                          <w:right w:val="nil" w:sz="6" w:space="0" w:color="auto"/>
                        </w:tcBorders>
                      </w:tcPr>
                      <w:p>
                        <w:pPr>
                          <w:pStyle w:val="TableParagraph"/>
                          <w:spacing w:line="237"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53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835" w:right="0"/>
                          <w:jc w:val="left"/>
                          <w:rPr>
                            <w:rFonts w:ascii="Times New Roman" w:hAnsi="Times New Roman" w:cs="Times New Roman" w:eastAsia="Times New Roman" w:hint="default"/>
                            <w:sz w:val="18"/>
                            <w:szCs w:val="18"/>
                          </w:rPr>
                        </w:pPr>
                        <w:r>
                          <w:rPr>
                            <w:rFonts w:ascii="Times New Roman"/>
                            <w:sz w:val="18"/>
                          </w:rPr>
                          <w:t>154,586,787.81</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94" w:right="0"/>
                          <w:jc w:val="left"/>
                          <w:rPr>
                            <w:rFonts w:ascii="Times New Roman" w:hAnsi="Times New Roman" w:cs="Times New Roman" w:eastAsia="Times New Roman" w:hint="default"/>
                            <w:sz w:val="18"/>
                            <w:szCs w:val="18"/>
                          </w:rPr>
                        </w:pPr>
                        <w:r>
                          <w:rPr>
                            <w:rFonts w:ascii="Times New Roman"/>
                            <w:sz w:val="18"/>
                          </w:rPr>
                          <w:t>1.42%</w:t>
                        </w:r>
                      </w:p>
                    </w:tc>
                    <w:tc>
                      <w:tcPr>
                        <w:tcW w:w="23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2,528,505.56</w:t>
                        </w:r>
                      </w:p>
                    </w:tc>
                  </w:tr>
                  <w:tr>
                    <w:trPr>
                      <w:trHeight w:val="284" w:hRule="exact"/>
                    </w:trPr>
                    <w:tc>
                      <w:tcPr>
                        <w:tcW w:w="884"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53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835" w:right="0"/>
                          <w:jc w:val="left"/>
                          <w:rPr>
                            <w:rFonts w:ascii="Times New Roman" w:hAnsi="Times New Roman" w:cs="Times New Roman" w:eastAsia="Times New Roman" w:hint="default"/>
                            <w:sz w:val="18"/>
                            <w:szCs w:val="18"/>
                          </w:rPr>
                        </w:pPr>
                        <w:r>
                          <w:rPr>
                            <w:rFonts w:ascii="Times New Roman"/>
                            <w:sz w:val="18"/>
                          </w:rPr>
                          <w:t>382,088,963.24</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94" w:right="0"/>
                          <w:jc w:val="left"/>
                          <w:rPr>
                            <w:rFonts w:ascii="Times New Roman" w:hAnsi="Times New Roman" w:cs="Times New Roman" w:eastAsia="Times New Roman" w:hint="default"/>
                            <w:sz w:val="18"/>
                            <w:szCs w:val="18"/>
                          </w:rPr>
                        </w:pPr>
                        <w:r>
                          <w:rPr>
                            <w:rFonts w:ascii="Times New Roman"/>
                            <w:sz w:val="18"/>
                          </w:rPr>
                          <w:t>3.52%</w:t>
                        </w:r>
                      </w:p>
                    </w:tc>
                    <w:tc>
                      <w:tcPr>
                        <w:tcW w:w="23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1,857,366.24</w:t>
                        </w:r>
                      </w:p>
                    </w:tc>
                  </w:tr>
                  <w:tr>
                    <w:trPr>
                      <w:trHeight w:val="286" w:hRule="exact"/>
                    </w:trPr>
                    <w:tc>
                      <w:tcPr>
                        <w:tcW w:w="884" w:type="dxa"/>
                        <w:tcBorders>
                          <w:top w:val="nil" w:sz="6" w:space="0" w:color="auto"/>
                          <w:left w:val="nil" w:sz="6" w:space="0" w:color="auto"/>
                          <w:bottom w:val="nil" w:sz="6" w:space="0" w:color="auto"/>
                          <w:right w:val="nil" w:sz="6" w:space="0" w:color="auto"/>
                        </w:tcBorders>
                      </w:tcPr>
                      <w:p>
                        <w:pPr>
                          <w:pStyle w:val="TableParagraph"/>
                          <w:spacing w:line="237"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53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835" w:right="0"/>
                          <w:jc w:val="left"/>
                          <w:rPr>
                            <w:rFonts w:ascii="Times New Roman" w:hAnsi="Times New Roman" w:cs="Times New Roman" w:eastAsia="Times New Roman" w:hint="default"/>
                            <w:sz w:val="18"/>
                            <w:szCs w:val="18"/>
                          </w:rPr>
                        </w:pPr>
                        <w:r>
                          <w:rPr>
                            <w:rFonts w:ascii="Times New Roman"/>
                            <w:sz w:val="18"/>
                          </w:rPr>
                          <w:t>417,525,484.22</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94" w:right="0"/>
                          <w:jc w:val="left"/>
                          <w:rPr>
                            <w:rFonts w:ascii="Times New Roman" w:hAnsi="Times New Roman" w:cs="Times New Roman" w:eastAsia="Times New Roman" w:hint="default"/>
                            <w:sz w:val="18"/>
                            <w:szCs w:val="18"/>
                          </w:rPr>
                        </w:pPr>
                        <w:r>
                          <w:rPr>
                            <w:rFonts w:ascii="Times New Roman"/>
                            <w:sz w:val="18"/>
                          </w:rPr>
                          <w:t>3.85%</w:t>
                        </w:r>
                      </w:p>
                    </w:tc>
                    <w:tc>
                      <w:tcPr>
                        <w:tcW w:w="239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5,448,982.79</w:t>
                        </w:r>
                      </w:p>
                    </w:tc>
                  </w:tr>
                  <w:tr>
                    <w:trPr>
                      <w:trHeight w:val="255" w:hRule="exact"/>
                    </w:trPr>
                    <w:tc>
                      <w:tcPr>
                        <w:tcW w:w="884" w:type="dxa"/>
                        <w:tcBorders>
                          <w:top w:val="nil" w:sz="6" w:space="0" w:color="auto"/>
                          <w:left w:val="nil" w:sz="6" w:space="0" w:color="auto"/>
                          <w:bottom w:val="single" w:sz="4" w:space="0" w:color="000000"/>
                          <w:right w:val="nil" w:sz="6" w:space="0" w:color="auto"/>
                        </w:tcBorders>
                      </w:tcPr>
                      <w:p>
                        <w:pPr>
                          <w:pStyle w:val="TableParagraph"/>
                          <w:spacing w:line="237"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537"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left="1835" w:right="0"/>
                          <w:jc w:val="left"/>
                          <w:rPr>
                            <w:rFonts w:ascii="Times New Roman" w:hAnsi="Times New Roman" w:cs="Times New Roman" w:eastAsia="Times New Roman" w:hint="default"/>
                            <w:sz w:val="18"/>
                            <w:szCs w:val="18"/>
                          </w:rPr>
                        </w:pPr>
                        <w:r>
                          <w:rPr>
                            <w:rFonts w:ascii="Times New Roman"/>
                            <w:sz w:val="18"/>
                          </w:rPr>
                          <w:t>605,427,046.12</w:t>
                        </w:r>
                      </w:p>
                    </w:tc>
                    <w:tc>
                      <w:tcPr>
                        <w:tcW w:w="1910"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left="494" w:right="0"/>
                          <w:jc w:val="left"/>
                          <w:rPr>
                            <w:rFonts w:ascii="Times New Roman" w:hAnsi="Times New Roman" w:cs="Times New Roman" w:eastAsia="Times New Roman" w:hint="default"/>
                            <w:sz w:val="18"/>
                            <w:szCs w:val="18"/>
                          </w:rPr>
                        </w:pPr>
                        <w:r>
                          <w:rPr>
                            <w:rFonts w:ascii="Times New Roman"/>
                            <w:sz w:val="18"/>
                          </w:rPr>
                          <w:t>5.58%</w:t>
                        </w:r>
                      </w:p>
                    </w:tc>
                    <w:tc>
                      <w:tcPr>
                        <w:tcW w:w="239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153,273,227.30</w:t>
                        </w:r>
                      </w:p>
                    </w:tc>
                  </w:tr>
                  <w:tr>
                    <w:trPr>
                      <w:trHeight w:val="307" w:hRule="exact"/>
                    </w:trPr>
                    <w:tc>
                      <w:tcPr>
                        <w:tcW w:w="884"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537"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1610" w:right="0"/>
                          <w:jc w:val="left"/>
                          <w:rPr>
                            <w:rFonts w:ascii="Times New Roman" w:hAnsi="Times New Roman" w:cs="Times New Roman" w:eastAsia="Times New Roman" w:hint="default"/>
                            <w:sz w:val="18"/>
                            <w:szCs w:val="18"/>
                          </w:rPr>
                        </w:pPr>
                        <w:r>
                          <w:rPr>
                            <w:rFonts w:ascii="Times New Roman"/>
                            <w:b/>
                            <w:sz w:val="18"/>
                          </w:rPr>
                          <w:t>10,855,252,878.76</w:t>
                        </w:r>
                        <w:r>
                          <w:rPr>
                            <w:rFonts w:ascii="Times New Roman"/>
                            <w:sz w:val="18"/>
                          </w:rPr>
                        </w:r>
                      </w:p>
                    </w:tc>
                    <w:tc>
                      <w:tcPr>
                        <w:tcW w:w="1910"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391" w:right="0"/>
                          <w:jc w:val="lef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239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165,810,468.50</w:t>
                        </w:r>
                        <w:r>
                          <w:rPr>
                            <w:rFonts w:ascii="Times New Roman"/>
                            <w:spacing w:val="-1"/>
                            <w:sz w:val="18"/>
                          </w:rPr>
                        </w:r>
                      </w:p>
                    </w:tc>
                  </w:tr>
                  <w:tr>
                    <w:trPr>
                      <w:trHeight w:val="436" w:hRule="exact"/>
                    </w:trPr>
                    <w:tc>
                      <w:tcPr>
                        <w:tcW w:w="884" w:type="dxa"/>
                        <w:tcBorders>
                          <w:top w:val="single" w:sz="12" w:space="0" w:color="000000"/>
                          <w:left w:val="nil" w:sz="6" w:space="0" w:color="auto"/>
                          <w:bottom w:val="nil" w:sz="6" w:space="0" w:color="auto"/>
                          <w:right w:val="nil" w:sz="6" w:space="0" w:color="auto"/>
                        </w:tcBorders>
                      </w:tcPr>
                      <w:p>
                        <w:pPr>
                          <w:pStyle w:val="TableParagraph"/>
                          <w:spacing w:line="240" w:lineRule="auto" w:before="73"/>
                          <w:ind w:left="561" w:right="0"/>
                          <w:jc w:val="left"/>
                          <w:rPr>
                            <w:rFonts w:ascii="Times New Roman" w:hAnsi="Times New Roman" w:cs="Times New Roman" w:eastAsia="Times New Roman" w:hint="default"/>
                            <w:sz w:val="22"/>
                            <w:szCs w:val="22"/>
                          </w:rPr>
                        </w:pPr>
                        <w:r>
                          <w:rPr>
                            <w:rFonts w:ascii="Times New Roman"/>
                            <w:b/>
                            <w:sz w:val="22"/>
                          </w:rPr>
                          <w:t>(2)</w:t>
                        </w:r>
                        <w:r>
                          <w:rPr>
                            <w:rFonts w:ascii="Times New Roman"/>
                            <w:sz w:val="22"/>
                          </w:rPr>
                        </w:r>
                      </w:p>
                    </w:tc>
                    <w:tc>
                      <w:tcPr>
                        <w:tcW w:w="3537" w:type="dxa"/>
                        <w:tcBorders>
                          <w:top w:val="single" w:sz="12" w:space="0" w:color="000000"/>
                          <w:left w:val="nil" w:sz="6" w:space="0" w:color="auto"/>
                          <w:bottom w:val="nil" w:sz="6" w:space="0" w:color="auto"/>
                          <w:right w:val="nil" w:sz="6" w:space="0" w:color="auto"/>
                        </w:tcBorders>
                      </w:tcPr>
                      <w:p>
                        <w:pPr>
                          <w:pStyle w:val="TableParagraph"/>
                          <w:spacing w:line="240" w:lineRule="auto" w:before="21"/>
                          <w:ind w:left="64" w:right="0"/>
                          <w:jc w:val="left"/>
                          <w:rPr>
                            <w:rFonts w:ascii="宋体" w:hAnsi="宋体" w:cs="宋体" w:eastAsia="宋体" w:hint="default"/>
                            <w:sz w:val="22"/>
                            <w:szCs w:val="22"/>
                          </w:rPr>
                        </w:pPr>
                        <w:r>
                          <w:rPr>
                            <w:rFonts w:ascii="宋体" w:hAnsi="宋体" w:cs="宋体" w:eastAsia="宋体" w:hint="default"/>
                            <w:sz w:val="22"/>
                            <w:szCs w:val="22"/>
                          </w:rPr>
                          <w:t>其他应收款按款项性质分类情况</w:t>
                        </w:r>
                      </w:p>
                    </w:tc>
                    <w:tc>
                      <w:tcPr>
                        <w:tcW w:w="1910" w:type="dxa"/>
                        <w:tcBorders>
                          <w:top w:val="single" w:sz="12" w:space="0" w:color="000000"/>
                          <w:left w:val="nil" w:sz="6" w:space="0" w:color="auto"/>
                          <w:bottom w:val="nil" w:sz="6" w:space="0" w:color="auto"/>
                          <w:right w:val="nil" w:sz="6" w:space="0" w:color="auto"/>
                        </w:tcBorders>
                      </w:tcPr>
                      <w:p>
                        <w:pPr/>
                      </w:p>
                    </w:tc>
                    <w:tc>
                      <w:tcPr>
                        <w:tcW w:w="2394" w:type="dxa"/>
                        <w:tcBorders>
                          <w:top w:val="single" w:sz="12" w:space="0" w:color="000000"/>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b/>
          <w:bCs/>
          <w:sz w:val="18"/>
          <w:szCs w:val="18"/>
        </w:rPr>
        <w:t>年末余额</w:t>
      </w:r>
      <w:r>
        <w:rPr>
          <w:rFonts w:ascii="宋体" w:hAnsi="宋体" w:cs="宋体" w:eastAsia="宋体" w:hint="default"/>
          <w:sz w:val="18"/>
          <w:szCs w:val="18"/>
        </w:rPr>
      </w:r>
    </w:p>
    <w:p>
      <w:pPr>
        <w:spacing w:line="240" w:lineRule="auto" w:before="1"/>
        <w:rPr>
          <w:rFonts w:ascii="宋体" w:hAnsi="宋体" w:cs="宋体" w:eastAsia="宋体" w:hint="default"/>
          <w:b/>
          <w:bCs/>
          <w:sz w:val="2"/>
          <w:szCs w:val="2"/>
        </w:rPr>
      </w:pPr>
    </w:p>
    <w:p>
      <w:pPr>
        <w:spacing w:line="20" w:lineRule="exact"/>
        <w:ind w:left="2462" w:right="0" w:firstLine="0"/>
        <w:rPr>
          <w:rFonts w:ascii="宋体" w:hAnsi="宋体" w:cs="宋体" w:eastAsia="宋体" w:hint="default"/>
          <w:sz w:val="2"/>
          <w:szCs w:val="2"/>
        </w:rPr>
      </w:pPr>
      <w:r>
        <w:rPr>
          <w:rFonts w:ascii="宋体" w:hAnsi="宋体" w:cs="宋体" w:eastAsia="宋体" w:hint="default"/>
          <w:sz w:val="2"/>
          <w:szCs w:val="2"/>
        </w:rPr>
        <w:pict>
          <v:group style="width:320.350pt;height:1pt;mso-position-horizontal-relative:char;mso-position-vertical-relative:line" coordorigin="0,0" coordsize="6407,20">
            <v:group style="position:absolute;left:10;top:10;width:1616;height:2" coordorigin="10,10" coordsize="1616,2">
              <v:shape style="position:absolute;left:10;top:10;width:1616;height:2" coordorigin="10,10" coordsize="1616,0" path="m10,10l1625,10e" filled="false" stroked="true" strokeweight=".96pt" strokecolor="#000000">
                <v:path arrowok="t"/>
              </v:shape>
            </v:group>
            <v:group style="position:absolute;left:1625;top:10;width:20;height:2" coordorigin="1625,10" coordsize="20,2">
              <v:shape style="position:absolute;left:1625;top:10;width:20;height:2" coordorigin="1625,10" coordsize="20,0" path="m1625,10l1644,10e" filled="false" stroked="true" strokeweight=".96pt" strokecolor="#000000">
                <v:path arrowok="t"/>
              </v:shape>
            </v:group>
            <v:group style="position:absolute;left:1644;top:10;width:2377;height:2" coordorigin="1644,10" coordsize="2377,2">
              <v:shape style="position:absolute;left:1644;top:10;width:2377;height:2" coordorigin="1644,10" coordsize="2377,0" path="m1644,10l4020,10e" filled="false" stroked="true" strokeweight=".96pt" strokecolor="#000000">
                <v:path arrowok="t"/>
              </v:shape>
            </v:group>
            <v:group style="position:absolute;left:4020;top:10;width:20;height:2" coordorigin="4020,10" coordsize="20,2">
              <v:shape style="position:absolute;left:4020;top:10;width:20;height:2" coordorigin="4020,10" coordsize="20,0" path="m4020,10l4040,10e" filled="false" stroked="true" strokeweight=".96pt" strokecolor="#000000">
                <v:path arrowok="t"/>
              </v:shape>
            </v:group>
            <v:group style="position:absolute;left:4040;top:10;width:2358;height:2" coordorigin="4040,10" coordsize="2358,2">
              <v:shape style="position:absolute;left:4040;top:10;width:2358;height:2" coordorigin="4040,10" coordsize="2358,0" path="m4040,10l6397,10e" filled="false" stroked="true" strokeweight=".96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5"/>
          <w:szCs w:val="15"/>
        </w:rPr>
      </w:pPr>
    </w:p>
    <w:tbl>
      <w:tblPr>
        <w:tblW w:w="0" w:type="auto"/>
        <w:jc w:val="left"/>
        <w:tblInd w:w="134" w:type="dxa"/>
        <w:tblLayout w:type="fixed"/>
        <w:tblCellMar>
          <w:top w:w="0" w:type="dxa"/>
          <w:left w:w="0" w:type="dxa"/>
          <w:bottom w:w="0" w:type="dxa"/>
          <w:right w:w="0" w:type="dxa"/>
        </w:tblCellMar>
        <w:tblLook w:val="01E0"/>
      </w:tblPr>
      <w:tblGrid>
        <w:gridCol w:w="2772"/>
        <w:gridCol w:w="3761"/>
        <w:gridCol w:w="2192"/>
      </w:tblGrid>
      <w:tr>
        <w:trPr>
          <w:trHeight w:val="305" w:hRule="exact"/>
        </w:trPr>
        <w:tc>
          <w:tcPr>
            <w:tcW w:w="277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款项性质</w:t>
            </w:r>
            <w:r>
              <w:rPr>
                <w:rFonts w:ascii="宋体" w:hAnsi="宋体" w:cs="宋体" w:eastAsia="宋体" w:hint="default"/>
                <w:sz w:val="18"/>
                <w:szCs w:val="18"/>
              </w:rPr>
            </w:r>
          </w:p>
        </w:tc>
        <w:tc>
          <w:tcPr>
            <w:tcW w:w="376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823"/>
              <w:jc w:val="right"/>
              <w:rPr>
                <w:rFonts w:ascii="宋体" w:hAnsi="宋体" w:cs="宋体" w:eastAsia="宋体" w:hint="default"/>
                <w:sz w:val="18"/>
                <w:szCs w:val="18"/>
              </w:rPr>
            </w:pPr>
            <w:r>
              <w:rPr>
                <w:rFonts w:ascii="宋体" w:hAnsi="宋体" w:cs="宋体" w:eastAsia="宋体" w:hint="default"/>
                <w:b/>
                <w:bCs/>
                <w:w w:val="95"/>
                <w:sz w:val="18"/>
                <w:szCs w:val="18"/>
              </w:rPr>
              <w:t>年末账面余额</w:t>
            </w:r>
            <w:r>
              <w:rPr>
                <w:rFonts w:ascii="宋体" w:hAnsi="宋体" w:cs="宋体" w:eastAsia="宋体" w:hint="default"/>
                <w:sz w:val="18"/>
                <w:szCs w:val="18"/>
              </w:rPr>
            </w:r>
          </w:p>
        </w:tc>
        <w:tc>
          <w:tcPr>
            <w:tcW w:w="219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6"/>
              <w:jc w:val="right"/>
              <w:rPr>
                <w:rFonts w:ascii="宋体" w:hAnsi="宋体" w:cs="宋体" w:eastAsia="宋体" w:hint="default"/>
                <w:sz w:val="18"/>
                <w:szCs w:val="18"/>
              </w:rPr>
            </w:pPr>
            <w:r>
              <w:rPr>
                <w:rFonts w:ascii="宋体" w:hAnsi="宋体" w:cs="宋体" w:eastAsia="宋体" w:hint="default"/>
                <w:b/>
                <w:bCs/>
                <w:w w:val="95"/>
                <w:sz w:val="18"/>
                <w:szCs w:val="18"/>
              </w:rPr>
              <w:t>年初账面余额</w:t>
            </w:r>
            <w:r>
              <w:rPr>
                <w:rFonts w:ascii="宋体" w:hAnsi="宋体" w:cs="宋体" w:eastAsia="宋体" w:hint="default"/>
                <w:sz w:val="18"/>
                <w:szCs w:val="18"/>
              </w:rPr>
            </w:r>
          </w:p>
        </w:tc>
      </w:tr>
      <w:tr>
        <w:trPr>
          <w:trHeight w:val="326" w:hRule="exact"/>
        </w:trPr>
        <w:tc>
          <w:tcPr>
            <w:tcW w:w="2772"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761"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right="823"/>
              <w:jc w:val="right"/>
              <w:rPr>
                <w:rFonts w:ascii="Times New Roman" w:hAnsi="Times New Roman" w:cs="Times New Roman" w:eastAsia="Times New Roman" w:hint="default"/>
                <w:sz w:val="18"/>
                <w:szCs w:val="18"/>
              </w:rPr>
            </w:pPr>
            <w:r>
              <w:rPr>
                <w:rFonts w:ascii="Times New Roman"/>
                <w:spacing w:val="-1"/>
                <w:sz w:val="18"/>
              </w:rPr>
              <w:t>10,670,189,798.84</w:t>
            </w:r>
          </w:p>
        </w:tc>
        <w:tc>
          <w:tcPr>
            <w:tcW w:w="2192" w:type="dxa"/>
            <w:tcBorders>
              <w:top w:val="single" w:sz="4" w:space="0" w:color="000000"/>
              <w:left w:val="nil" w:sz="6" w:space="0" w:color="auto"/>
              <w:bottom w:val="nil" w:sz="6" w:space="0" w:color="auto"/>
              <w:right w:val="nil" w:sz="6" w:space="0" w:color="auto"/>
            </w:tcBorders>
          </w:tcPr>
          <w:p>
            <w:pPr>
              <w:pStyle w:val="TableParagraph"/>
              <w:spacing w:line="240" w:lineRule="auto" w:before="75"/>
              <w:ind w:right="106"/>
              <w:jc w:val="right"/>
              <w:rPr>
                <w:rFonts w:ascii="Times New Roman" w:hAnsi="Times New Roman" w:cs="Times New Roman" w:eastAsia="Times New Roman" w:hint="default"/>
                <w:sz w:val="18"/>
                <w:szCs w:val="18"/>
              </w:rPr>
            </w:pPr>
            <w:r>
              <w:rPr>
                <w:rFonts w:ascii="Times New Roman"/>
                <w:spacing w:val="-1"/>
                <w:sz w:val="18"/>
              </w:rPr>
              <w:t>5,406,024,376.75</w:t>
            </w:r>
          </w:p>
        </w:tc>
      </w:tr>
      <w:tr>
        <w:trPr>
          <w:trHeight w:val="286" w:hRule="exact"/>
        </w:trPr>
        <w:tc>
          <w:tcPr>
            <w:tcW w:w="277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保证金、押金</w:t>
            </w:r>
          </w:p>
        </w:tc>
        <w:tc>
          <w:tcPr>
            <w:tcW w:w="37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3"/>
              <w:jc w:val="right"/>
              <w:rPr>
                <w:rFonts w:ascii="Times New Roman" w:hAnsi="Times New Roman" w:cs="Times New Roman" w:eastAsia="Times New Roman" w:hint="default"/>
                <w:sz w:val="18"/>
                <w:szCs w:val="18"/>
              </w:rPr>
            </w:pPr>
            <w:r>
              <w:rPr>
                <w:rFonts w:ascii="Times New Roman"/>
                <w:spacing w:val="-1"/>
                <w:sz w:val="18"/>
              </w:rPr>
              <w:t>136,803,776.34</w:t>
            </w:r>
          </w:p>
        </w:tc>
        <w:tc>
          <w:tcPr>
            <w:tcW w:w="21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129,495,180.60</w:t>
            </w:r>
          </w:p>
        </w:tc>
      </w:tr>
      <w:tr>
        <w:trPr>
          <w:trHeight w:val="284" w:hRule="exact"/>
        </w:trPr>
        <w:tc>
          <w:tcPr>
            <w:tcW w:w="277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7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3"/>
              <w:jc w:val="right"/>
              <w:rPr>
                <w:rFonts w:ascii="Times New Roman" w:hAnsi="Times New Roman" w:cs="Times New Roman" w:eastAsia="Times New Roman" w:hint="default"/>
                <w:sz w:val="18"/>
                <w:szCs w:val="18"/>
              </w:rPr>
            </w:pPr>
            <w:r>
              <w:rPr>
                <w:rFonts w:ascii="Times New Roman"/>
                <w:spacing w:val="-1"/>
                <w:sz w:val="18"/>
              </w:rPr>
              <w:t>38,752,776.11</w:t>
            </w:r>
          </w:p>
        </w:tc>
        <w:tc>
          <w:tcPr>
            <w:tcW w:w="21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44,967,594.63</w:t>
            </w:r>
          </w:p>
        </w:tc>
      </w:tr>
      <w:tr>
        <w:trPr>
          <w:trHeight w:val="284" w:hRule="exact"/>
        </w:trPr>
        <w:tc>
          <w:tcPr>
            <w:tcW w:w="2772"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代垫款项</w:t>
            </w:r>
          </w:p>
        </w:tc>
        <w:tc>
          <w:tcPr>
            <w:tcW w:w="376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22"/>
              <w:jc w:val="right"/>
              <w:rPr>
                <w:rFonts w:ascii="Times New Roman" w:hAnsi="Times New Roman" w:cs="Times New Roman" w:eastAsia="Times New Roman" w:hint="default"/>
                <w:sz w:val="18"/>
                <w:szCs w:val="18"/>
              </w:rPr>
            </w:pPr>
            <w:r>
              <w:rPr>
                <w:rFonts w:ascii="Times New Roman"/>
                <w:spacing w:val="-1"/>
                <w:sz w:val="18"/>
              </w:rPr>
              <w:t>5,550,061.08</w:t>
            </w:r>
          </w:p>
        </w:tc>
        <w:tc>
          <w:tcPr>
            <w:tcW w:w="21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spacing w:val="-1"/>
                <w:sz w:val="18"/>
              </w:rPr>
              <w:t>23,561,613.06</w:t>
            </w:r>
          </w:p>
        </w:tc>
      </w:tr>
      <w:tr>
        <w:trPr>
          <w:trHeight w:val="286" w:hRule="exact"/>
        </w:trPr>
        <w:tc>
          <w:tcPr>
            <w:tcW w:w="277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节能补贴款</w:t>
            </w:r>
          </w:p>
        </w:tc>
        <w:tc>
          <w:tcPr>
            <w:tcW w:w="37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22"/>
              <w:jc w:val="right"/>
              <w:rPr>
                <w:rFonts w:ascii="Times New Roman" w:hAnsi="Times New Roman" w:cs="Times New Roman" w:eastAsia="Times New Roman" w:hint="default"/>
                <w:sz w:val="18"/>
                <w:szCs w:val="18"/>
              </w:rPr>
            </w:pPr>
            <w:r>
              <w:rPr>
                <w:rFonts w:ascii="Times New Roman"/>
                <w:spacing w:val="-1"/>
                <w:sz w:val="18"/>
              </w:rPr>
              <w:t>0.00</w:t>
            </w:r>
          </w:p>
        </w:tc>
        <w:tc>
          <w:tcPr>
            <w:tcW w:w="21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16,640,260.00</w:t>
            </w:r>
          </w:p>
        </w:tc>
      </w:tr>
      <w:tr>
        <w:trPr>
          <w:trHeight w:val="255" w:hRule="exact"/>
        </w:trPr>
        <w:tc>
          <w:tcPr>
            <w:tcW w:w="2772"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其他款项</w:t>
            </w:r>
          </w:p>
        </w:tc>
        <w:tc>
          <w:tcPr>
            <w:tcW w:w="3761"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822"/>
              <w:jc w:val="right"/>
              <w:rPr>
                <w:rFonts w:ascii="Times New Roman" w:hAnsi="Times New Roman" w:cs="Times New Roman" w:eastAsia="Times New Roman" w:hint="default"/>
                <w:sz w:val="18"/>
                <w:szCs w:val="18"/>
              </w:rPr>
            </w:pPr>
            <w:r>
              <w:rPr>
                <w:rFonts w:ascii="Times New Roman"/>
                <w:spacing w:val="-1"/>
                <w:sz w:val="18"/>
              </w:rPr>
              <w:t>3,956,466.39</w:t>
            </w:r>
          </w:p>
        </w:tc>
        <w:tc>
          <w:tcPr>
            <w:tcW w:w="2192"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12,064,108.56</w:t>
            </w:r>
          </w:p>
        </w:tc>
      </w:tr>
      <w:tr>
        <w:trPr>
          <w:trHeight w:val="307" w:hRule="exact"/>
        </w:trPr>
        <w:tc>
          <w:tcPr>
            <w:tcW w:w="2772"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761"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823"/>
              <w:jc w:val="right"/>
              <w:rPr>
                <w:rFonts w:ascii="Times New Roman" w:hAnsi="Times New Roman" w:cs="Times New Roman" w:eastAsia="Times New Roman" w:hint="default"/>
                <w:sz w:val="18"/>
                <w:szCs w:val="18"/>
              </w:rPr>
            </w:pPr>
            <w:r>
              <w:rPr>
                <w:rFonts w:ascii="Times New Roman"/>
                <w:b/>
                <w:spacing w:val="-1"/>
                <w:sz w:val="18"/>
              </w:rPr>
              <w:t>10,855,252,878.76</w:t>
            </w:r>
            <w:r>
              <w:rPr>
                <w:rFonts w:ascii="Times New Roman"/>
                <w:spacing w:val="-1"/>
                <w:sz w:val="18"/>
              </w:rPr>
            </w:r>
          </w:p>
        </w:tc>
        <w:tc>
          <w:tcPr>
            <w:tcW w:w="2192"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b/>
                <w:spacing w:val="-1"/>
                <w:sz w:val="18"/>
              </w:rPr>
              <w:t>5,632,753,133.60</w:t>
            </w:r>
            <w:r>
              <w:rPr>
                <w:rFonts w:ascii="Times New Roman"/>
                <w:spacing w:val="-1"/>
                <w:sz w:val="18"/>
              </w:rPr>
            </w:r>
          </w:p>
        </w:tc>
      </w:tr>
    </w:tbl>
    <w:p>
      <w:pPr>
        <w:tabs>
          <w:tab w:pos="1165" w:val="left" w:leader="none"/>
        </w:tabs>
        <w:spacing w:line="280" w:lineRule="auto" w:before="21"/>
        <w:ind w:left="311" w:right="116" w:firstLine="383"/>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w:t>
        <w:tab/>
      </w:r>
      <w:r>
        <w:rPr>
          <w:rFonts w:ascii="宋体" w:hAnsi="宋体" w:cs="宋体" w:eastAsia="宋体" w:hint="default"/>
          <w:sz w:val="22"/>
          <w:szCs w:val="22"/>
        </w:rPr>
        <w:t>本年按欠款方归集的年末余额前五名其他应收款汇总金额为</w:t>
      </w:r>
      <w:r>
        <w:rPr>
          <w:rFonts w:ascii="宋体" w:hAnsi="宋体" w:cs="宋体" w:eastAsia="宋体" w:hint="default"/>
          <w:spacing w:val="-61"/>
          <w:sz w:val="22"/>
          <w:szCs w:val="22"/>
        </w:rPr>
        <w:t> </w:t>
      </w:r>
      <w:r>
        <w:rPr>
          <w:rFonts w:ascii="Times New Roman" w:hAnsi="Times New Roman" w:cs="Times New Roman" w:eastAsia="Times New Roman" w:hint="default"/>
          <w:sz w:val="22"/>
          <w:szCs w:val="22"/>
        </w:rPr>
        <w:t>8,020,865,751.29</w:t>
      </w:r>
      <w:r>
        <w:rPr>
          <w:rFonts w:ascii="Times New Roman" w:hAnsi="Times New Roman" w:cs="Times New Roman" w:eastAsia="Times New Roman" w:hint="default"/>
          <w:spacing w:val="-8"/>
          <w:sz w:val="22"/>
          <w:szCs w:val="22"/>
        </w:rPr>
        <w:t> </w:t>
      </w:r>
      <w:r>
        <w:rPr>
          <w:rFonts w:ascii="宋体" w:hAnsi="宋体" w:cs="宋体" w:eastAsia="宋体" w:hint="default"/>
          <w:sz w:val="22"/>
          <w:szCs w:val="22"/>
        </w:rPr>
        <w:t>元，</w:t>
      </w:r>
      <w:r>
        <w:rPr>
          <w:rFonts w:ascii="宋体" w:hAnsi="宋体" w:cs="宋体" w:eastAsia="宋体" w:hint="default"/>
          <w:w w:val="100"/>
          <w:sz w:val="22"/>
          <w:szCs w:val="22"/>
        </w:rPr>
        <w:t> </w:t>
      </w:r>
      <w:r>
        <w:rPr>
          <w:rFonts w:ascii="宋体" w:hAnsi="宋体" w:cs="宋体" w:eastAsia="宋体" w:hint="default"/>
          <w:spacing w:val="-1"/>
          <w:sz w:val="22"/>
          <w:szCs w:val="22"/>
        </w:rPr>
        <w:t>占其他应收款年末余额合计数的比例</w:t>
      </w:r>
      <w:r>
        <w:rPr>
          <w:rFonts w:ascii="宋体" w:hAnsi="宋体" w:cs="宋体" w:eastAsia="宋体" w:hint="default"/>
          <w:spacing w:val="-22"/>
          <w:sz w:val="22"/>
          <w:szCs w:val="22"/>
        </w:rPr>
        <w:t> </w:t>
      </w:r>
      <w:r>
        <w:rPr>
          <w:rFonts w:ascii="Times New Roman" w:hAnsi="Times New Roman" w:cs="Times New Roman" w:eastAsia="Times New Roman" w:hint="default"/>
          <w:spacing w:val="-1"/>
          <w:sz w:val="22"/>
          <w:szCs w:val="22"/>
        </w:rPr>
        <w:t>73.89%</w:t>
      </w:r>
      <w:r>
        <w:rPr>
          <w:rFonts w:ascii="宋体" w:hAnsi="宋体" w:cs="宋体" w:eastAsia="宋体" w:hint="default"/>
          <w:spacing w:val="-1"/>
          <w:sz w:val="22"/>
          <w:szCs w:val="22"/>
        </w:rPr>
        <w:t>，相应计提的坏账准备年末余额汇总金额为</w:t>
      </w:r>
    </w:p>
    <w:p>
      <w:pPr>
        <w:spacing w:before="11"/>
        <w:ind w:left="311" w:right="0" w:firstLine="0"/>
        <w:jc w:val="left"/>
        <w:rPr>
          <w:rFonts w:ascii="宋体" w:hAnsi="宋体" w:cs="宋体" w:eastAsia="宋体" w:hint="default"/>
          <w:sz w:val="22"/>
          <w:szCs w:val="22"/>
        </w:rPr>
      </w:pPr>
      <w:r>
        <w:rPr>
          <w:rFonts w:ascii="Times New Roman" w:hAnsi="Times New Roman" w:cs="Times New Roman" w:eastAsia="Times New Roman" w:hint="default"/>
          <w:sz w:val="22"/>
          <w:szCs w:val="22"/>
        </w:rPr>
        <w:t>0.00</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元。</w:t>
      </w:r>
    </w:p>
    <w:p>
      <w:pPr>
        <w:spacing w:after="0"/>
        <w:jc w:val="left"/>
        <w:rPr>
          <w:rFonts w:ascii="宋体" w:hAnsi="宋体" w:cs="宋体" w:eastAsia="宋体" w:hint="default"/>
          <w:sz w:val="22"/>
          <w:szCs w:val="22"/>
        </w:rPr>
        <w:sectPr>
          <w:headerReference w:type="default" r:id="rId102"/>
          <w:footerReference w:type="default" r:id="rId103"/>
          <w:pgSz w:w="11910" w:h="16840"/>
          <w:pgMar w:header="0" w:footer="816" w:top="560" w:bottom="1000" w:left="1460" w:right="1360"/>
          <w:pgNumType w:start="173"/>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p>
      <w:pPr>
        <w:spacing w:before="32"/>
        <w:ind w:left="692"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16"/>
          <w:sz w:val="22"/>
          <w:szCs w:val="22"/>
        </w:rPr>
        <w:t> </w:t>
      </w:r>
      <w:r>
        <w:rPr>
          <w:rFonts w:ascii="宋体" w:hAnsi="宋体" w:cs="宋体" w:eastAsia="宋体" w:hint="default"/>
          <w:sz w:val="22"/>
          <w:szCs w:val="22"/>
        </w:rPr>
        <w:t>长期股权投资</w:t>
      </w:r>
    </w:p>
    <w:p>
      <w:pPr>
        <w:spacing w:before="110"/>
        <w:ind w:left="692"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16"/>
          <w:sz w:val="22"/>
          <w:szCs w:val="22"/>
        </w:rPr>
        <w:t> </w:t>
      </w:r>
      <w:r>
        <w:rPr>
          <w:rFonts w:ascii="宋体" w:hAnsi="宋体" w:cs="宋体" w:eastAsia="宋体" w:hint="default"/>
          <w:sz w:val="22"/>
          <w:szCs w:val="22"/>
        </w:rPr>
        <w:t>长期股权投资分类</w:t>
      </w:r>
    </w:p>
    <w:p>
      <w:pPr>
        <w:spacing w:line="240" w:lineRule="auto" w:before="8"/>
        <w:rPr>
          <w:rFonts w:ascii="宋体" w:hAnsi="宋体" w:cs="宋体" w:eastAsia="宋体" w:hint="default"/>
          <w:sz w:val="11"/>
          <w:szCs w:val="11"/>
        </w:rPr>
      </w:pPr>
    </w:p>
    <w:p>
      <w:pPr>
        <w:spacing w:line="28" w:lineRule="exact"/>
        <w:ind w:left="116" w:right="0" w:firstLine="0"/>
        <w:rPr>
          <w:rFonts w:ascii="宋体" w:hAnsi="宋体" w:cs="宋体" w:eastAsia="宋体" w:hint="default"/>
          <w:sz w:val="2"/>
          <w:szCs w:val="2"/>
        </w:rPr>
      </w:pPr>
      <w:r>
        <w:rPr>
          <w:rFonts w:ascii="宋体" w:hAnsi="宋体" w:cs="宋体" w:eastAsia="宋体" w:hint="default"/>
          <w:position w:val="0"/>
          <w:sz w:val="2"/>
          <w:szCs w:val="2"/>
        </w:rPr>
        <w:pict>
          <v:group style="width:712.3pt;height:1.45pt;mso-position-horizontal-relative:char;mso-position-vertical-relative:line" coordorigin="0,0" coordsize="14246,29">
            <v:group style="position:absolute;left:14;top:14;width:2701;height:2" coordorigin="14,14" coordsize="2701,2">
              <v:shape style="position:absolute;left:14;top:14;width:2701;height:2" coordorigin="14,14" coordsize="2701,0" path="m14,14l2715,14e" filled="false" stroked="true" strokeweight="1.44pt" strokecolor="#000000">
                <v:path arrowok="t"/>
              </v:shape>
            </v:group>
            <v:group style="position:absolute;left:2715;top:14;width:29;height:2" coordorigin="2715,14" coordsize="29,2">
              <v:shape style="position:absolute;left:2715;top:14;width:29;height:2" coordorigin="2715,14" coordsize="29,0" path="m2715,14l2744,14e" filled="false" stroked="true" strokeweight="1.44pt" strokecolor="#000000">
                <v:path arrowok="t"/>
              </v:shape>
            </v:group>
            <v:group style="position:absolute;left:2744;top:14;width:5730;height:2" coordorigin="2744,14" coordsize="5730,2">
              <v:shape style="position:absolute;left:2744;top:14;width:5730;height:2" coordorigin="2744,14" coordsize="5730,0" path="m2744,14l8473,14e" filled="false" stroked="true" strokeweight="1.44pt" strokecolor="#000000">
                <v:path arrowok="t"/>
              </v:shape>
            </v:group>
            <v:group style="position:absolute;left:8473;top:14;width:29;height:2" coordorigin="8473,14" coordsize="29,2">
              <v:shape style="position:absolute;left:8473;top:14;width:29;height:2" coordorigin="8473,14" coordsize="29,0" path="m8473,14l8502,14e" filled="false" stroked="true" strokeweight="1.44pt" strokecolor="#000000">
                <v:path arrowok="t"/>
              </v:shape>
            </v:group>
            <v:group style="position:absolute;left:8502;top:14;width:5730;height:2" coordorigin="8502,14" coordsize="5730,2">
              <v:shape style="position:absolute;left:8502;top:14;width:5730;height:2" coordorigin="8502,14" coordsize="5730,0" path="m8502,14l14231,14e" filled="false" stroked="true" strokeweight="1.44pt" strokecolor="#000000">
                <v:path arrowok="t"/>
              </v:shape>
            </v:group>
          </v:group>
        </w:pict>
      </w:r>
      <w:r>
        <w:rPr>
          <w:rFonts w:ascii="宋体" w:hAnsi="宋体" w:cs="宋体" w:eastAsia="宋体" w:hint="default"/>
          <w:position w:val="0"/>
          <w:sz w:val="2"/>
          <w:szCs w:val="2"/>
        </w:rPr>
      </w:r>
    </w:p>
    <w:p>
      <w:pPr>
        <w:tabs>
          <w:tab w:pos="8457" w:val="left" w:leader="none"/>
        </w:tabs>
        <w:spacing w:line="184" w:lineRule="exact" w:before="23"/>
        <w:ind w:left="2699" w:right="0" w:firstLine="0"/>
        <w:jc w:val="center"/>
        <w:rPr>
          <w:rFonts w:ascii="宋体" w:hAnsi="宋体" w:cs="宋体" w:eastAsia="宋体" w:hint="default"/>
          <w:sz w:val="18"/>
          <w:szCs w:val="18"/>
        </w:rPr>
      </w:pPr>
      <w:r>
        <w:rPr>
          <w:rFonts w:ascii="宋体" w:hAnsi="宋体" w:cs="宋体" w:eastAsia="宋体" w:hint="default"/>
          <w:b/>
          <w:bCs/>
          <w:w w:val="95"/>
          <w:sz w:val="18"/>
          <w:szCs w:val="18"/>
        </w:rPr>
        <w:t>年末余额</w:t>
        <w:tab/>
      </w:r>
      <w:r>
        <w:rPr>
          <w:rFonts w:ascii="宋体" w:hAnsi="宋体" w:cs="宋体" w:eastAsia="宋体" w:hint="default"/>
          <w:b/>
          <w:bCs/>
          <w:sz w:val="18"/>
          <w:szCs w:val="18"/>
        </w:rPr>
        <w:t>年初余额</w:t>
      </w:r>
      <w:r>
        <w:rPr>
          <w:rFonts w:ascii="宋体" w:hAnsi="宋体" w:cs="宋体" w:eastAsia="宋体" w:hint="default"/>
          <w:sz w:val="18"/>
          <w:szCs w:val="18"/>
        </w:rPr>
      </w:r>
    </w:p>
    <w:p>
      <w:pPr>
        <w:spacing w:line="157" w:lineRule="exact" w:before="0"/>
        <w:ind w:left="238" w:right="0" w:firstLine="0"/>
        <w:jc w:val="left"/>
        <w:rPr>
          <w:rFonts w:ascii="宋体" w:hAnsi="宋体" w:cs="宋体" w:eastAsia="宋体" w:hint="default"/>
          <w:sz w:val="18"/>
          <w:szCs w:val="18"/>
        </w:rPr>
      </w:pPr>
      <w:r>
        <w:rPr/>
        <w:pict>
          <v:group style="position:absolute;margin-left:200.300003pt;margin-top:3.963039pt;width:576.35pt;height:.5pt;mso-position-horizontal-relative:page;mso-position-vertical-relative:paragraph;z-index:2848" coordorigin="4006,79" coordsize="11527,10">
            <v:group style="position:absolute;left:4011;top:84;width:2024;height:2" coordorigin="4011,84" coordsize="2024,2">
              <v:shape style="position:absolute;left:4011;top:84;width:2024;height:2" coordorigin="4011,84" coordsize="2024,0" path="m4011,84l6034,84e" filled="false" stroked="true" strokeweight=".48pt" strokecolor="#000000">
                <v:path arrowok="t"/>
              </v:shape>
            </v:group>
            <v:group style="position:absolute;left:6035;top:84;width:10;height:2" coordorigin="6035,84" coordsize="10,2">
              <v:shape style="position:absolute;left:6035;top:84;width:10;height:2" coordorigin="6035,84" coordsize="10,0" path="m6035,84l6044,84e" filled="false" stroked="true" strokeweight=".48pt" strokecolor="#000000">
                <v:path arrowok="t"/>
              </v:shape>
            </v:group>
            <v:group style="position:absolute;left:6044;top:84;width:1702;height:2" coordorigin="6044,84" coordsize="1702,2">
              <v:shape style="position:absolute;left:6044;top:84;width:1702;height:2" coordorigin="6044,84" coordsize="1702,0" path="m6044,84l7746,84e" filled="false" stroked="true" strokeweight=".48pt" strokecolor="#000000">
                <v:path arrowok="t"/>
              </v:shape>
            </v:group>
            <v:group style="position:absolute;left:7746;top:84;width:10;height:2" coordorigin="7746,84" coordsize="10,2">
              <v:shape style="position:absolute;left:7746;top:84;width:10;height:2" coordorigin="7746,84" coordsize="10,0" path="m7746,84l7755,84e" filled="false" stroked="true" strokeweight=".48pt" strokecolor="#000000">
                <v:path arrowok="t"/>
              </v:shape>
            </v:group>
            <v:group style="position:absolute;left:7755;top:84;width:2014;height:2" coordorigin="7755,84" coordsize="2014,2">
              <v:shape style="position:absolute;left:7755;top:84;width:2014;height:2" coordorigin="7755,84" coordsize="2014,0" path="m7755,84l9769,84e" filled="false" stroked="true" strokeweight=".48pt" strokecolor="#000000">
                <v:path arrowok="t"/>
              </v:shape>
            </v:group>
            <v:group style="position:absolute;left:9769;top:84;width:10;height:2" coordorigin="9769,84" coordsize="10,2">
              <v:shape style="position:absolute;left:9769;top:84;width:10;height:2" coordorigin="9769,84" coordsize="10,0" path="m9769,84l9779,84e" filled="false" stroked="true" strokeweight=".48pt" strokecolor="#000000">
                <v:path arrowok="t"/>
              </v:shape>
            </v:group>
            <v:group style="position:absolute;left:9779;top:84;width:2016;height:2" coordorigin="9779,84" coordsize="2016,2">
              <v:shape style="position:absolute;left:9779;top:84;width:2016;height:2" coordorigin="9779,84" coordsize="2016,0" path="m9779,84l11795,84e" filled="false" stroked="true" strokeweight=".48pt" strokecolor="#000000">
                <v:path arrowok="t"/>
              </v:shape>
            </v:group>
            <v:group style="position:absolute;left:11795;top:84;width:10;height:2" coordorigin="11795,84" coordsize="10,2">
              <v:shape style="position:absolute;left:11795;top:84;width:10;height:2" coordorigin="11795,84" coordsize="10,0" path="m11795,84l11805,84e" filled="false" stroked="true" strokeweight=".48pt" strokecolor="#000000">
                <v:path arrowok="t"/>
              </v:shape>
            </v:group>
            <v:group style="position:absolute;left:11805;top:84;width:1700;height:2" coordorigin="11805,84" coordsize="1700,2">
              <v:shape style="position:absolute;left:11805;top:84;width:1700;height:2" coordorigin="11805,84" coordsize="1700,0" path="m11805,84l13504,84e" filled="false" stroked="true" strokeweight=".48pt" strokecolor="#000000">
                <v:path arrowok="t"/>
              </v:shape>
            </v:group>
            <v:group style="position:absolute;left:13504;top:84;width:10;height:2" coordorigin="13504,84" coordsize="10,2">
              <v:shape style="position:absolute;left:13504;top:84;width:10;height:2" coordorigin="13504,84" coordsize="10,0" path="m13504,84l13514,84e" filled="false" stroked="true" strokeweight=".48pt" strokecolor="#000000">
                <v:path arrowok="t"/>
              </v:shape>
            </v:group>
            <v:group style="position:absolute;left:13514;top:84;width:2014;height:2" coordorigin="13514,84" coordsize="2014,2">
              <v:shape style="position:absolute;left:13514;top:84;width:2014;height:2" coordorigin="13514,84" coordsize="2014,0" path="m13514,84l15528,84e" filled="false" stroked="true" strokeweight=".48pt" strokecolor="#000000">
                <v:path arrowok="t"/>
              </v:shape>
            </v:group>
            <w10:wrap type="none"/>
          </v:group>
        </w:pict>
      </w:r>
      <w:r>
        <w:rPr>
          <w:rFonts w:ascii="宋体" w:hAnsi="宋体" w:cs="宋体" w:eastAsia="宋体" w:hint="default"/>
          <w:b/>
          <w:bCs/>
          <w:sz w:val="18"/>
          <w:szCs w:val="18"/>
        </w:rPr>
        <w:t>项目</w:t>
      </w:r>
      <w:r>
        <w:rPr>
          <w:rFonts w:ascii="宋体" w:hAnsi="宋体" w:cs="宋体" w:eastAsia="宋体" w:hint="default"/>
          <w:sz w:val="18"/>
          <w:szCs w:val="18"/>
        </w:rPr>
      </w:r>
    </w:p>
    <w:p>
      <w:pPr>
        <w:tabs>
          <w:tab w:pos="4569" w:val="left" w:leader="none"/>
          <w:tab w:pos="6437" w:val="left" w:leader="none"/>
          <w:tab w:pos="8460" w:val="left" w:leader="none"/>
          <w:tab w:pos="10327" w:val="left" w:leader="none"/>
          <w:tab w:pos="12193" w:val="left" w:leader="none"/>
        </w:tabs>
        <w:spacing w:line="209" w:lineRule="exact" w:before="0"/>
        <w:ind w:left="2699" w:right="0" w:firstLine="0"/>
        <w:jc w:val="center"/>
        <w:rPr>
          <w:rFonts w:ascii="宋体" w:hAnsi="宋体" w:cs="宋体" w:eastAsia="宋体" w:hint="default"/>
          <w:sz w:val="18"/>
          <w:szCs w:val="18"/>
        </w:rPr>
      </w:pPr>
      <w:r>
        <w:rPr>
          <w:rFonts w:ascii="宋体" w:hAnsi="宋体" w:cs="宋体" w:eastAsia="宋体" w:hint="default"/>
          <w:b/>
          <w:bCs/>
          <w:w w:val="95"/>
          <w:sz w:val="18"/>
          <w:szCs w:val="18"/>
        </w:rPr>
        <w:t>账面余额</w:t>
        <w:tab/>
        <w:t>减值准备</w:t>
        <w:tab/>
        <w:t>账面价值</w:t>
        <w:tab/>
        <w:t>账面余额</w:t>
        <w:tab/>
        <w:t>减值准备</w:t>
        <w:tab/>
      </w:r>
      <w:r>
        <w:rPr>
          <w:rFonts w:ascii="宋体" w:hAnsi="宋体" w:cs="宋体" w:eastAsia="宋体" w:hint="default"/>
          <w:b/>
          <w:bCs/>
          <w:sz w:val="18"/>
          <w:szCs w:val="18"/>
        </w:rPr>
        <w:t>账面价值</w:t>
      </w:r>
      <w:r>
        <w:rPr>
          <w:rFonts w:ascii="宋体" w:hAnsi="宋体" w:cs="宋体" w:eastAsia="宋体" w:hint="default"/>
          <w:sz w:val="18"/>
          <w:szCs w:val="18"/>
        </w:rPr>
      </w:r>
    </w:p>
    <w:p>
      <w:pPr>
        <w:spacing w:line="240" w:lineRule="auto" w:before="6"/>
        <w:rPr>
          <w:rFonts w:ascii="宋体" w:hAnsi="宋体" w:cs="宋体" w:eastAsia="宋体" w:hint="default"/>
          <w:b/>
          <w:bCs/>
          <w:sz w:val="2"/>
          <w:szCs w:val="2"/>
        </w:rPr>
      </w:pPr>
    </w:p>
    <w:tbl>
      <w:tblPr>
        <w:tblW w:w="0" w:type="auto"/>
        <w:jc w:val="left"/>
        <w:tblInd w:w="130" w:type="dxa"/>
        <w:tblLayout w:type="fixed"/>
        <w:tblCellMar>
          <w:top w:w="0" w:type="dxa"/>
          <w:left w:w="0" w:type="dxa"/>
          <w:bottom w:w="0" w:type="dxa"/>
          <w:right w:w="0" w:type="dxa"/>
        </w:tblCellMar>
        <w:tblLook w:val="01E0"/>
      </w:tblPr>
      <w:tblGrid>
        <w:gridCol w:w="2629"/>
        <w:gridCol w:w="2321"/>
        <w:gridCol w:w="1756"/>
        <w:gridCol w:w="2023"/>
        <w:gridCol w:w="1980"/>
        <w:gridCol w:w="1754"/>
        <w:gridCol w:w="1753"/>
      </w:tblGrid>
      <w:tr>
        <w:trPr>
          <w:trHeight w:val="326" w:hRule="exact"/>
        </w:trPr>
        <w:tc>
          <w:tcPr>
            <w:tcW w:w="2629"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2321"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338"/>
              <w:jc w:val="right"/>
              <w:rPr>
                <w:rFonts w:ascii="Times New Roman" w:hAnsi="Times New Roman" w:cs="Times New Roman" w:eastAsia="Times New Roman" w:hint="default"/>
                <w:sz w:val="18"/>
                <w:szCs w:val="18"/>
              </w:rPr>
            </w:pPr>
            <w:r>
              <w:rPr>
                <w:rFonts w:ascii="Times New Roman"/>
                <w:spacing w:val="-1"/>
                <w:sz w:val="18"/>
              </w:rPr>
              <w:t>6,573,756,444.48</w:t>
            </w:r>
          </w:p>
        </w:tc>
        <w:tc>
          <w:tcPr>
            <w:tcW w:w="1756"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380"/>
              <w:jc w:val="right"/>
              <w:rPr>
                <w:rFonts w:ascii="Times New Roman" w:hAnsi="Times New Roman" w:cs="Times New Roman" w:eastAsia="Times New Roman" w:hint="default"/>
                <w:sz w:val="18"/>
                <w:szCs w:val="18"/>
              </w:rPr>
            </w:pPr>
            <w:r>
              <w:rPr>
                <w:rFonts w:ascii="Times New Roman"/>
                <w:spacing w:val="-1"/>
                <w:sz w:val="18"/>
              </w:rPr>
              <w:t>45,757,599.40</w:t>
            </w:r>
          </w:p>
        </w:tc>
        <w:tc>
          <w:tcPr>
            <w:tcW w:w="2023"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0"/>
              <w:jc w:val="center"/>
              <w:rPr>
                <w:rFonts w:ascii="Times New Roman" w:hAnsi="Times New Roman" w:cs="Times New Roman" w:eastAsia="Times New Roman" w:hint="default"/>
                <w:sz w:val="18"/>
                <w:szCs w:val="18"/>
              </w:rPr>
            </w:pPr>
            <w:r>
              <w:rPr>
                <w:rFonts w:ascii="Times New Roman"/>
                <w:sz w:val="18"/>
              </w:rPr>
              <w:t>6,527,998,845.08</w:t>
            </w:r>
          </w:p>
        </w:tc>
        <w:tc>
          <w:tcPr>
            <w:tcW w:w="1980"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left="43" w:right="0"/>
              <w:jc w:val="center"/>
              <w:rPr>
                <w:rFonts w:ascii="Times New Roman" w:hAnsi="Times New Roman" w:cs="Times New Roman" w:eastAsia="Times New Roman" w:hint="default"/>
                <w:sz w:val="18"/>
                <w:szCs w:val="18"/>
              </w:rPr>
            </w:pPr>
            <w:r>
              <w:rPr>
                <w:rFonts w:ascii="Times New Roman"/>
                <w:sz w:val="18"/>
              </w:rPr>
              <w:t>6,676,236,991.55</w:t>
            </w:r>
          </w:p>
        </w:tc>
        <w:tc>
          <w:tcPr>
            <w:tcW w:w="175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379"/>
              <w:jc w:val="right"/>
              <w:rPr>
                <w:rFonts w:ascii="Times New Roman" w:hAnsi="Times New Roman" w:cs="Times New Roman" w:eastAsia="Times New Roman" w:hint="default"/>
                <w:sz w:val="18"/>
                <w:szCs w:val="18"/>
              </w:rPr>
            </w:pPr>
            <w:r>
              <w:rPr>
                <w:rFonts w:ascii="Times New Roman"/>
                <w:spacing w:val="-1"/>
                <w:sz w:val="18"/>
              </w:rPr>
              <w:t>45,757,599.40</w:t>
            </w:r>
          </w:p>
        </w:tc>
        <w:tc>
          <w:tcPr>
            <w:tcW w:w="1753"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11"/>
              <w:jc w:val="right"/>
              <w:rPr>
                <w:rFonts w:ascii="Times New Roman" w:hAnsi="Times New Roman" w:cs="Times New Roman" w:eastAsia="Times New Roman" w:hint="default"/>
                <w:sz w:val="18"/>
                <w:szCs w:val="18"/>
              </w:rPr>
            </w:pPr>
            <w:r>
              <w:rPr>
                <w:rFonts w:ascii="Times New Roman"/>
                <w:spacing w:val="-1"/>
                <w:sz w:val="18"/>
              </w:rPr>
              <w:t>6,630,479,392.15</w:t>
            </w:r>
          </w:p>
        </w:tc>
      </w:tr>
      <w:tr>
        <w:trPr>
          <w:trHeight w:val="256" w:hRule="exact"/>
        </w:trPr>
        <w:tc>
          <w:tcPr>
            <w:tcW w:w="2629"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对联营、合营企业投资</w:t>
            </w:r>
          </w:p>
        </w:tc>
        <w:tc>
          <w:tcPr>
            <w:tcW w:w="2321"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338"/>
              <w:jc w:val="right"/>
              <w:rPr>
                <w:rFonts w:ascii="Times New Roman" w:hAnsi="Times New Roman" w:cs="Times New Roman" w:eastAsia="Times New Roman" w:hint="default"/>
                <w:sz w:val="18"/>
                <w:szCs w:val="18"/>
              </w:rPr>
            </w:pPr>
            <w:r>
              <w:rPr>
                <w:rFonts w:ascii="Times New Roman"/>
                <w:spacing w:val="-1"/>
                <w:sz w:val="18"/>
              </w:rPr>
              <w:t>3,225,689,714.23</w:t>
            </w:r>
          </w:p>
        </w:tc>
        <w:tc>
          <w:tcPr>
            <w:tcW w:w="1756"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379"/>
              <w:jc w:val="right"/>
              <w:rPr>
                <w:rFonts w:ascii="Times New Roman" w:hAnsi="Times New Roman" w:cs="Times New Roman" w:eastAsia="Times New Roman" w:hint="default"/>
                <w:sz w:val="18"/>
                <w:szCs w:val="18"/>
              </w:rPr>
            </w:pPr>
            <w:r>
              <w:rPr>
                <w:rFonts w:ascii="Times New Roman"/>
                <w:spacing w:val="-1"/>
                <w:sz w:val="18"/>
              </w:rPr>
              <w:t>0.00</w:t>
            </w:r>
          </w:p>
        </w:tc>
        <w:tc>
          <w:tcPr>
            <w:tcW w:w="2023"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0"/>
              <w:jc w:val="center"/>
              <w:rPr>
                <w:rFonts w:ascii="Times New Roman" w:hAnsi="Times New Roman" w:cs="Times New Roman" w:eastAsia="Times New Roman" w:hint="default"/>
                <w:sz w:val="18"/>
                <w:szCs w:val="18"/>
              </w:rPr>
            </w:pPr>
            <w:r>
              <w:rPr>
                <w:rFonts w:ascii="Times New Roman"/>
                <w:sz w:val="18"/>
              </w:rPr>
              <w:t>3,225,689,714.23</w:t>
            </w:r>
          </w:p>
        </w:tc>
        <w:tc>
          <w:tcPr>
            <w:tcW w:w="1980"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left="43" w:right="0"/>
              <w:jc w:val="center"/>
              <w:rPr>
                <w:rFonts w:ascii="Times New Roman" w:hAnsi="Times New Roman" w:cs="Times New Roman" w:eastAsia="Times New Roman" w:hint="default"/>
                <w:sz w:val="18"/>
                <w:szCs w:val="18"/>
              </w:rPr>
            </w:pPr>
            <w:r>
              <w:rPr>
                <w:rFonts w:ascii="Times New Roman"/>
                <w:sz w:val="18"/>
              </w:rPr>
              <w:t>2,963,606,973.31</w:t>
            </w:r>
          </w:p>
        </w:tc>
        <w:tc>
          <w:tcPr>
            <w:tcW w:w="1754"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378"/>
              <w:jc w:val="right"/>
              <w:rPr>
                <w:rFonts w:ascii="Times New Roman" w:hAnsi="Times New Roman" w:cs="Times New Roman" w:eastAsia="Times New Roman" w:hint="default"/>
                <w:sz w:val="18"/>
                <w:szCs w:val="18"/>
              </w:rPr>
            </w:pPr>
            <w:r>
              <w:rPr>
                <w:rFonts w:ascii="Times New Roman"/>
                <w:spacing w:val="-1"/>
                <w:sz w:val="18"/>
              </w:rPr>
              <w:t>0.00</w:t>
            </w:r>
          </w:p>
        </w:tc>
        <w:tc>
          <w:tcPr>
            <w:tcW w:w="1753"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11"/>
              <w:jc w:val="right"/>
              <w:rPr>
                <w:rFonts w:ascii="Times New Roman" w:hAnsi="Times New Roman" w:cs="Times New Roman" w:eastAsia="Times New Roman" w:hint="default"/>
                <w:sz w:val="18"/>
                <w:szCs w:val="18"/>
              </w:rPr>
            </w:pPr>
            <w:r>
              <w:rPr>
                <w:rFonts w:ascii="Times New Roman"/>
                <w:spacing w:val="-1"/>
                <w:sz w:val="18"/>
              </w:rPr>
              <w:t>2,963,606,973.31</w:t>
            </w:r>
          </w:p>
        </w:tc>
      </w:tr>
      <w:tr>
        <w:trPr>
          <w:trHeight w:val="307" w:hRule="exact"/>
        </w:trPr>
        <w:tc>
          <w:tcPr>
            <w:tcW w:w="2629"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21"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338"/>
              <w:jc w:val="right"/>
              <w:rPr>
                <w:rFonts w:ascii="Times New Roman" w:hAnsi="Times New Roman" w:cs="Times New Roman" w:eastAsia="Times New Roman" w:hint="default"/>
                <w:sz w:val="18"/>
                <w:szCs w:val="18"/>
              </w:rPr>
            </w:pPr>
            <w:r>
              <w:rPr>
                <w:rFonts w:ascii="Times New Roman"/>
                <w:b/>
                <w:spacing w:val="-1"/>
                <w:sz w:val="18"/>
              </w:rPr>
              <w:t>9,799,446,158.71</w:t>
            </w:r>
            <w:r>
              <w:rPr>
                <w:rFonts w:ascii="Times New Roman"/>
                <w:spacing w:val="-1"/>
                <w:sz w:val="18"/>
              </w:rPr>
            </w:r>
          </w:p>
        </w:tc>
        <w:tc>
          <w:tcPr>
            <w:tcW w:w="1756"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380"/>
              <w:jc w:val="right"/>
              <w:rPr>
                <w:rFonts w:ascii="Times New Roman" w:hAnsi="Times New Roman" w:cs="Times New Roman" w:eastAsia="Times New Roman" w:hint="default"/>
                <w:sz w:val="18"/>
                <w:szCs w:val="18"/>
              </w:rPr>
            </w:pPr>
            <w:r>
              <w:rPr>
                <w:rFonts w:ascii="Times New Roman"/>
                <w:b/>
                <w:spacing w:val="-1"/>
                <w:sz w:val="18"/>
              </w:rPr>
              <w:t>45,757,599.40</w:t>
            </w:r>
            <w:r>
              <w:rPr>
                <w:rFonts w:ascii="Times New Roman"/>
                <w:spacing w:val="-1"/>
                <w:sz w:val="18"/>
              </w:rPr>
            </w:r>
          </w:p>
        </w:tc>
        <w:tc>
          <w:tcPr>
            <w:tcW w:w="202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b/>
                <w:sz w:val="18"/>
              </w:rPr>
              <w:t>9,753,688,559.31</w:t>
            </w:r>
            <w:r>
              <w:rPr>
                <w:rFonts w:ascii="Times New Roman"/>
                <w:sz w:val="18"/>
              </w:rPr>
            </w:r>
          </w:p>
        </w:tc>
        <w:tc>
          <w:tcPr>
            <w:tcW w:w="1980"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left="43" w:right="0"/>
              <w:jc w:val="center"/>
              <w:rPr>
                <w:rFonts w:ascii="Times New Roman" w:hAnsi="Times New Roman" w:cs="Times New Roman" w:eastAsia="Times New Roman" w:hint="default"/>
                <w:sz w:val="18"/>
                <w:szCs w:val="18"/>
              </w:rPr>
            </w:pPr>
            <w:r>
              <w:rPr>
                <w:rFonts w:ascii="Times New Roman"/>
                <w:b/>
                <w:sz w:val="18"/>
              </w:rPr>
              <w:t>9,639,843,964.86</w:t>
            </w:r>
            <w:r>
              <w:rPr>
                <w:rFonts w:ascii="Times New Roman"/>
                <w:sz w:val="18"/>
              </w:rPr>
            </w:r>
          </w:p>
        </w:tc>
        <w:tc>
          <w:tcPr>
            <w:tcW w:w="1754"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379"/>
              <w:jc w:val="right"/>
              <w:rPr>
                <w:rFonts w:ascii="Times New Roman" w:hAnsi="Times New Roman" w:cs="Times New Roman" w:eastAsia="Times New Roman" w:hint="default"/>
                <w:sz w:val="18"/>
                <w:szCs w:val="18"/>
              </w:rPr>
            </w:pPr>
            <w:r>
              <w:rPr>
                <w:rFonts w:ascii="Times New Roman"/>
                <w:b/>
                <w:spacing w:val="-1"/>
                <w:sz w:val="18"/>
              </w:rPr>
              <w:t>45,757,599.40</w:t>
            </w:r>
            <w:r>
              <w:rPr>
                <w:rFonts w:ascii="Times New Roman"/>
                <w:spacing w:val="-1"/>
                <w:sz w:val="18"/>
              </w:rPr>
            </w:r>
          </w:p>
        </w:tc>
        <w:tc>
          <w:tcPr>
            <w:tcW w:w="1753"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11"/>
              <w:jc w:val="right"/>
              <w:rPr>
                <w:rFonts w:ascii="Times New Roman" w:hAnsi="Times New Roman" w:cs="Times New Roman" w:eastAsia="Times New Roman" w:hint="default"/>
                <w:sz w:val="18"/>
                <w:szCs w:val="18"/>
              </w:rPr>
            </w:pPr>
            <w:r>
              <w:rPr>
                <w:rFonts w:ascii="Times New Roman"/>
                <w:b/>
                <w:spacing w:val="-1"/>
                <w:sz w:val="18"/>
              </w:rPr>
              <w:t>9,594,086,365.46</w:t>
            </w:r>
            <w:r>
              <w:rPr>
                <w:rFonts w:ascii="Times New Roman"/>
                <w:spacing w:val="-1"/>
                <w:sz w:val="18"/>
              </w:rPr>
            </w:r>
          </w:p>
        </w:tc>
      </w:tr>
    </w:tbl>
    <w:p>
      <w:pPr>
        <w:spacing w:before="67"/>
        <w:ind w:left="692"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20"/>
          <w:sz w:val="22"/>
          <w:szCs w:val="22"/>
        </w:rPr>
        <w:t> </w:t>
      </w:r>
      <w:r>
        <w:rPr>
          <w:rFonts w:ascii="宋体" w:hAnsi="宋体" w:cs="宋体" w:eastAsia="宋体" w:hint="default"/>
          <w:sz w:val="22"/>
          <w:szCs w:val="22"/>
        </w:rPr>
        <w:t>对子公司投资</w:t>
      </w:r>
    </w:p>
    <w:p>
      <w:pPr>
        <w:spacing w:line="240" w:lineRule="auto" w:before="5"/>
        <w:rPr>
          <w:rFonts w:ascii="宋体" w:hAnsi="宋体" w:cs="宋体" w:eastAsia="宋体" w:hint="default"/>
          <w:sz w:val="11"/>
          <w:szCs w:val="11"/>
        </w:rPr>
      </w:pPr>
    </w:p>
    <w:tbl>
      <w:tblPr>
        <w:tblW w:w="0" w:type="auto"/>
        <w:jc w:val="left"/>
        <w:tblInd w:w="130" w:type="dxa"/>
        <w:tblLayout w:type="fixed"/>
        <w:tblCellMar>
          <w:top w:w="0" w:type="dxa"/>
          <w:left w:w="0" w:type="dxa"/>
          <w:bottom w:w="0" w:type="dxa"/>
          <w:right w:w="0" w:type="dxa"/>
        </w:tblCellMar>
        <w:tblLook w:val="01E0"/>
      </w:tblPr>
      <w:tblGrid>
        <w:gridCol w:w="3904"/>
        <w:gridCol w:w="2313"/>
        <w:gridCol w:w="1127"/>
        <w:gridCol w:w="1340"/>
        <w:gridCol w:w="1654"/>
        <w:gridCol w:w="1979"/>
        <w:gridCol w:w="1900"/>
      </w:tblGrid>
      <w:tr>
        <w:trPr>
          <w:trHeight w:val="305" w:hRule="exact"/>
        </w:trPr>
        <w:tc>
          <w:tcPr>
            <w:tcW w:w="390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c>
        <w:tc>
          <w:tcPr>
            <w:tcW w:w="2313"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8"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12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36"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34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209"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65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377"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97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87" w:right="0"/>
              <w:jc w:val="left"/>
              <w:rPr>
                <w:rFonts w:ascii="宋体" w:hAnsi="宋体" w:cs="宋体" w:eastAsia="宋体" w:hint="default"/>
                <w:sz w:val="18"/>
                <w:szCs w:val="18"/>
              </w:rPr>
            </w:pPr>
            <w:r>
              <w:rPr>
                <w:rFonts w:ascii="宋体" w:hAnsi="宋体" w:cs="宋体" w:eastAsia="宋体" w:hint="default"/>
                <w:b/>
                <w:bCs/>
                <w:sz w:val="18"/>
                <w:szCs w:val="18"/>
              </w:rPr>
              <w:t>本年计提减值准备</w:t>
            </w:r>
            <w:r>
              <w:rPr>
                <w:rFonts w:ascii="宋体" w:hAnsi="宋体" w:cs="宋体" w:eastAsia="宋体" w:hint="default"/>
                <w:sz w:val="18"/>
                <w:szCs w:val="18"/>
              </w:rPr>
            </w:r>
          </w:p>
        </w:tc>
        <w:tc>
          <w:tcPr>
            <w:tcW w:w="190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86" w:right="0"/>
              <w:jc w:val="left"/>
              <w:rPr>
                <w:rFonts w:ascii="宋体" w:hAnsi="宋体" w:cs="宋体" w:eastAsia="宋体" w:hint="default"/>
                <w:sz w:val="18"/>
                <w:szCs w:val="18"/>
              </w:rPr>
            </w:pPr>
            <w:r>
              <w:rPr>
                <w:rFonts w:ascii="宋体" w:hAnsi="宋体" w:cs="宋体" w:eastAsia="宋体" w:hint="default"/>
                <w:b/>
                <w:bCs/>
                <w:sz w:val="18"/>
                <w:szCs w:val="18"/>
              </w:rPr>
              <w:t>减值准备年末余额</w:t>
            </w:r>
            <w:r>
              <w:rPr>
                <w:rFonts w:ascii="宋体" w:hAnsi="宋体" w:cs="宋体" w:eastAsia="宋体" w:hint="default"/>
                <w:sz w:val="18"/>
                <w:szCs w:val="18"/>
              </w:rPr>
            </w:r>
          </w:p>
        </w:tc>
      </w:tr>
      <w:tr>
        <w:trPr>
          <w:trHeight w:val="325" w:hRule="exact"/>
        </w:trPr>
        <w:tc>
          <w:tcPr>
            <w:tcW w:w="3904"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北京壹人壹本信息科技有限公司</w:t>
            </w:r>
          </w:p>
        </w:tc>
        <w:tc>
          <w:tcPr>
            <w:tcW w:w="2313"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35"/>
              <w:jc w:val="right"/>
              <w:rPr>
                <w:rFonts w:ascii="Times New Roman" w:hAnsi="Times New Roman" w:cs="Times New Roman" w:eastAsia="Times New Roman" w:hint="default"/>
                <w:sz w:val="18"/>
                <w:szCs w:val="18"/>
              </w:rPr>
            </w:pPr>
            <w:r>
              <w:rPr>
                <w:rFonts w:ascii="Times New Roman"/>
                <w:spacing w:val="-1"/>
                <w:sz w:val="18"/>
              </w:rPr>
              <w:t>1,213,925,700.00</w:t>
            </w:r>
          </w:p>
        </w:tc>
        <w:tc>
          <w:tcPr>
            <w:tcW w:w="1127"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85"/>
              <w:jc w:val="right"/>
              <w:rPr>
                <w:rFonts w:ascii="Times New Roman" w:hAnsi="Times New Roman" w:cs="Times New Roman" w:eastAsia="Times New Roman" w:hint="default"/>
                <w:sz w:val="18"/>
                <w:szCs w:val="18"/>
              </w:rPr>
            </w:pPr>
            <w:r>
              <w:rPr>
                <w:rFonts w:ascii="Times New Roman"/>
                <w:spacing w:val="-1"/>
                <w:sz w:val="18"/>
              </w:rPr>
              <w:t>1,213,925,700.00</w:t>
            </w:r>
          </w:p>
        </w:tc>
        <w:tc>
          <w:tcPr>
            <w:tcW w:w="1979"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390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南通同方半导体有限公司</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814,000,000.00</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814,000,000.00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5" w:hRule="exact"/>
        </w:trPr>
        <w:tc>
          <w:tcPr>
            <w:tcW w:w="390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同方计算机有限公司</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599,910,000.00</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599,910,000.00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5" w:hRule="exact"/>
        </w:trPr>
        <w:tc>
          <w:tcPr>
            <w:tcW w:w="3904"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同方人工环境有限公司</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4"/>
              <w:jc w:val="right"/>
              <w:rPr>
                <w:rFonts w:ascii="Times New Roman" w:hAnsi="Times New Roman" w:cs="Times New Roman" w:eastAsia="Times New Roman" w:hint="default"/>
                <w:sz w:val="18"/>
                <w:szCs w:val="18"/>
              </w:rPr>
            </w:pPr>
            <w:r>
              <w:rPr>
                <w:rFonts w:ascii="Times New Roman"/>
                <w:spacing w:val="-1"/>
                <w:sz w:val="18"/>
              </w:rPr>
              <w:t>434,834,441.73</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5"/>
              <w:jc w:val="right"/>
              <w:rPr>
                <w:rFonts w:ascii="Times New Roman" w:hAnsi="Times New Roman" w:cs="Times New Roman" w:eastAsia="Times New Roman" w:hint="default"/>
                <w:sz w:val="18"/>
                <w:szCs w:val="18"/>
              </w:rPr>
            </w:pPr>
            <w:r>
              <w:rPr>
                <w:rFonts w:ascii="Times New Roman"/>
                <w:spacing w:val="-1"/>
                <w:sz w:val="18"/>
              </w:rPr>
              <w:t>434,834,441.73</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390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同方工业有限公司</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400,000,000.00</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400,000,000.00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390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同方国芯电子股份有限公司</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369,770,200.00</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369,770,200.00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390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沈阳同方多媒体科技有限公司</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315,870,970.73</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315,870,970.73</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3904"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深圳市同方多媒体科技有限公司</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4"/>
              <w:jc w:val="right"/>
              <w:rPr>
                <w:rFonts w:ascii="Times New Roman" w:hAnsi="Times New Roman" w:cs="Times New Roman" w:eastAsia="Times New Roman" w:hint="default"/>
                <w:sz w:val="18"/>
                <w:szCs w:val="18"/>
              </w:rPr>
            </w:pPr>
            <w:r>
              <w:rPr>
                <w:rFonts w:ascii="Times New Roman"/>
                <w:spacing w:val="-1"/>
                <w:sz w:val="18"/>
              </w:rPr>
              <w:t>300,000,000.00</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5"/>
              <w:jc w:val="right"/>
              <w:rPr>
                <w:rFonts w:ascii="Times New Roman" w:hAnsi="Times New Roman" w:cs="Times New Roman" w:eastAsia="Times New Roman" w:hint="default"/>
                <w:sz w:val="18"/>
                <w:szCs w:val="18"/>
              </w:rPr>
            </w:pPr>
            <w:r>
              <w:rPr>
                <w:rFonts w:ascii="Times New Roman"/>
                <w:spacing w:val="-1"/>
                <w:sz w:val="18"/>
              </w:rPr>
              <w:t>300,000,000.00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390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龙江环保集团股份有限公司</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277,085,530.96</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277,085,530.96</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390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北京同方凌讯科技有限公司</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247,000,000.00</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247,000,000.00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390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南通同方科技园有限公司</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200,000,000.00</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200,000,000.00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5" w:hRule="exact"/>
        </w:trPr>
        <w:tc>
          <w:tcPr>
            <w:tcW w:w="3904"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北京同方创新投资有限公司</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4"/>
              <w:jc w:val="right"/>
              <w:rPr>
                <w:rFonts w:ascii="Times New Roman" w:hAnsi="Times New Roman" w:cs="Times New Roman" w:eastAsia="Times New Roman" w:hint="default"/>
                <w:sz w:val="18"/>
                <w:szCs w:val="18"/>
              </w:rPr>
            </w:pPr>
            <w:r>
              <w:rPr>
                <w:rFonts w:ascii="Times New Roman"/>
                <w:spacing w:val="-1"/>
                <w:sz w:val="18"/>
              </w:rPr>
              <w:t>169,666,900.00</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5"/>
              <w:jc w:val="right"/>
              <w:rPr>
                <w:rFonts w:ascii="Times New Roman" w:hAnsi="Times New Roman" w:cs="Times New Roman" w:eastAsia="Times New Roman" w:hint="default"/>
                <w:sz w:val="18"/>
                <w:szCs w:val="18"/>
              </w:rPr>
            </w:pPr>
            <w:r>
              <w:rPr>
                <w:rFonts w:ascii="Times New Roman"/>
                <w:spacing w:val="-1"/>
                <w:sz w:val="18"/>
              </w:rPr>
              <w:t>169,666,900.00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96" w:hRule="exact"/>
        </w:trPr>
        <w:tc>
          <w:tcPr>
            <w:tcW w:w="390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沈阳同方科技园有限公司</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155,271,232.65</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155,271,232.65</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76" w:hRule="exact"/>
        </w:trPr>
        <w:tc>
          <w:tcPr>
            <w:tcW w:w="390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Times New Roman" w:hAnsi="Times New Roman" w:cs="Times New Roman" w:eastAsia="Times New Roman" w:hint="default"/>
                <w:sz w:val="18"/>
                <w:szCs w:val="18"/>
              </w:rPr>
            </w:pPr>
            <w:r>
              <w:rPr>
                <w:rFonts w:ascii="Times New Roman"/>
                <w:sz w:val="18"/>
              </w:rPr>
              <w:t>Resuccess Investments</w:t>
            </w:r>
            <w:r>
              <w:rPr>
                <w:rFonts w:ascii="Times New Roman"/>
                <w:spacing w:val="-8"/>
                <w:sz w:val="18"/>
              </w:rPr>
              <w:t> </w:t>
            </w:r>
            <w:r>
              <w:rPr>
                <w:rFonts w:ascii="Times New Roman"/>
                <w:sz w:val="18"/>
              </w:rPr>
              <w:t>Ltd.</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4"/>
              <w:jc w:val="right"/>
              <w:rPr>
                <w:rFonts w:ascii="Times New Roman" w:hAnsi="Times New Roman" w:cs="Times New Roman" w:eastAsia="Times New Roman" w:hint="default"/>
                <w:sz w:val="18"/>
                <w:szCs w:val="18"/>
              </w:rPr>
            </w:pPr>
            <w:r>
              <w:rPr>
                <w:rFonts w:ascii="Times New Roman"/>
                <w:spacing w:val="-1"/>
                <w:sz w:val="18"/>
              </w:rPr>
              <w:t>140,504,808.10</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5"/>
              <w:jc w:val="right"/>
              <w:rPr>
                <w:rFonts w:ascii="Times New Roman" w:hAnsi="Times New Roman" w:cs="Times New Roman" w:eastAsia="Times New Roman" w:hint="default"/>
                <w:sz w:val="18"/>
                <w:szCs w:val="18"/>
              </w:rPr>
            </w:pPr>
            <w:r>
              <w:rPr>
                <w:rFonts w:ascii="Times New Roman"/>
                <w:spacing w:val="-1"/>
                <w:sz w:val="18"/>
              </w:rPr>
              <w:t>140,504,808.10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390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北京同方吉兆科技有限公司</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117,771,000.00</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117,771,000.00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3904"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同方知网数字出版技术股份有限公司</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4"/>
              <w:jc w:val="right"/>
              <w:rPr>
                <w:rFonts w:ascii="Times New Roman" w:hAnsi="Times New Roman" w:cs="Times New Roman" w:eastAsia="Times New Roman" w:hint="default"/>
                <w:sz w:val="18"/>
                <w:szCs w:val="18"/>
              </w:rPr>
            </w:pPr>
            <w:r>
              <w:rPr>
                <w:rFonts w:ascii="Times New Roman"/>
                <w:spacing w:val="-1"/>
                <w:sz w:val="18"/>
              </w:rPr>
              <w:t>100,054,351.74</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5"/>
              <w:jc w:val="right"/>
              <w:rPr>
                <w:rFonts w:ascii="Times New Roman" w:hAnsi="Times New Roman" w:cs="Times New Roman" w:eastAsia="Times New Roman" w:hint="default"/>
                <w:sz w:val="18"/>
                <w:szCs w:val="18"/>
              </w:rPr>
            </w:pPr>
            <w:r>
              <w:rPr>
                <w:rFonts w:ascii="Times New Roman"/>
                <w:spacing w:val="-1"/>
                <w:sz w:val="18"/>
              </w:rPr>
              <w:t>100,054,351.74</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95" w:hRule="exact"/>
        </w:trPr>
        <w:tc>
          <w:tcPr>
            <w:tcW w:w="390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山东同方鲁颖电子有限公司</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82,866,626.66</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82,866,626.66</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58" w:hRule="exact"/>
        </w:trPr>
        <w:tc>
          <w:tcPr>
            <w:tcW w:w="3904"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08" w:right="0"/>
              <w:jc w:val="left"/>
              <w:rPr>
                <w:rFonts w:ascii="Times New Roman" w:hAnsi="Times New Roman" w:cs="Times New Roman" w:eastAsia="Times New Roman" w:hint="default"/>
                <w:sz w:val="18"/>
                <w:szCs w:val="18"/>
              </w:rPr>
            </w:pPr>
            <w:r>
              <w:rPr>
                <w:rFonts w:ascii="Times New Roman"/>
                <w:sz w:val="18"/>
              </w:rPr>
              <w:t>Tongfang Global</w:t>
            </w:r>
            <w:r>
              <w:rPr>
                <w:rFonts w:ascii="Times New Roman"/>
                <w:spacing w:val="-9"/>
                <w:sz w:val="18"/>
              </w:rPr>
              <w:t> </w:t>
            </w:r>
            <w:r>
              <w:rPr>
                <w:rFonts w:ascii="Times New Roman"/>
                <w:sz w:val="18"/>
              </w:rPr>
              <w:t>Limited</w:t>
            </w:r>
          </w:p>
        </w:tc>
        <w:tc>
          <w:tcPr>
            <w:tcW w:w="2313"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34"/>
              <w:jc w:val="right"/>
              <w:rPr>
                <w:rFonts w:ascii="Times New Roman" w:hAnsi="Times New Roman" w:cs="Times New Roman" w:eastAsia="Times New Roman" w:hint="default"/>
                <w:sz w:val="18"/>
                <w:szCs w:val="18"/>
              </w:rPr>
            </w:pPr>
            <w:r>
              <w:rPr>
                <w:rFonts w:ascii="Times New Roman"/>
                <w:spacing w:val="-1"/>
                <w:sz w:val="18"/>
              </w:rPr>
              <w:t>65,228,000.00</w:t>
            </w:r>
          </w:p>
        </w:tc>
        <w:tc>
          <w:tcPr>
            <w:tcW w:w="1127"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207"/>
              <w:jc w:val="right"/>
              <w:rPr>
                <w:rFonts w:ascii="Times New Roman" w:hAnsi="Times New Roman" w:cs="Times New Roman" w:eastAsia="Times New Roman" w:hint="default"/>
                <w:sz w:val="18"/>
                <w:szCs w:val="18"/>
              </w:rPr>
            </w:pPr>
            <w:r>
              <w:rPr>
                <w:rFonts w:ascii="Times New Roman"/>
                <w:spacing w:val="-1"/>
                <w:sz w:val="18"/>
              </w:rPr>
              <w:t>0.00</w:t>
            </w:r>
          </w:p>
        </w:tc>
        <w:tc>
          <w:tcPr>
            <w:tcW w:w="1340"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85"/>
              <w:jc w:val="right"/>
              <w:rPr>
                <w:rFonts w:ascii="Times New Roman" w:hAnsi="Times New Roman" w:cs="Times New Roman" w:eastAsia="Times New Roman" w:hint="default"/>
                <w:sz w:val="18"/>
                <w:szCs w:val="18"/>
              </w:rPr>
            </w:pPr>
            <w:r>
              <w:rPr>
                <w:rFonts w:ascii="Times New Roman"/>
                <w:spacing w:val="-1"/>
                <w:sz w:val="18"/>
              </w:rPr>
              <w:t>65,228,000.00</w:t>
            </w:r>
          </w:p>
        </w:tc>
        <w:tc>
          <w:tcPr>
            <w:tcW w:w="1979"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00"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10"/>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headerReference w:type="default" r:id="rId104"/>
          <w:footerReference w:type="default" r:id="rId105"/>
          <w:pgSz w:w="16840" w:h="11910" w:orient="landscape"/>
          <w:pgMar w:header="600" w:footer="815" w:top="1080" w:bottom="1000" w:left="1180" w:right="1180"/>
          <w:pgNumType w:start="174"/>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3"/>
          <w:szCs w:val="13"/>
        </w:rPr>
      </w:pPr>
    </w:p>
    <w:tbl>
      <w:tblPr>
        <w:tblW w:w="0" w:type="auto"/>
        <w:jc w:val="left"/>
        <w:tblInd w:w="110" w:type="dxa"/>
        <w:tblLayout w:type="fixed"/>
        <w:tblCellMar>
          <w:top w:w="0" w:type="dxa"/>
          <w:left w:w="0" w:type="dxa"/>
          <w:bottom w:w="0" w:type="dxa"/>
          <w:right w:w="0" w:type="dxa"/>
        </w:tblCellMar>
        <w:tblLook w:val="01E0"/>
      </w:tblPr>
      <w:tblGrid>
        <w:gridCol w:w="4142"/>
        <w:gridCol w:w="2076"/>
        <w:gridCol w:w="1028"/>
        <w:gridCol w:w="1440"/>
        <w:gridCol w:w="1654"/>
        <w:gridCol w:w="1979"/>
        <w:gridCol w:w="1899"/>
      </w:tblGrid>
      <w:tr>
        <w:trPr>
          <w:trHeight w:val="305" w:hRule="exact"/>
        </w:trPr>
        <w:tc>
          <w:tcPr>
            <w:tcW w:w="4142"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c>
        <w:tc>
          <w:tcPr>
            <w:tcW w:w="2076"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851"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028"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36"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440"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309"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654"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377"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97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86" w:right="0"/>
              <w:jc w:val="left"/>
              <w:rPr>
                <w:rFonts w:ascii="宋体" w:hAnsi="宋体" w:cs="宋体" w:eastAsia="宋体" w:hint="default"/>
                <w:sz w:val="18"/>
                <w:szCs w:val="18"/>
              </w:rPr>
            </w:pPr>
            <w:r>
              <w:rPr>
                <w:rFonts w:ascii="宋体" w:hAnsi="宋体" w:cs="宋体" w:eastAsia="宋体" w:hint="default"/>
                <w:b/>
                <w:bCs/>
                <w:sz w:val="18"/>
                <w:szCs w:val="18"/>
              </w:rPr>
              <w:t>本年计提减值准备</w:t>
            </w:r>
            <w:r>
              <w:rPr>
                <w:rFonts w:ascii="宋体" w:hAnsi="宋体" w:cs="宋体" w:eastAsia="宋体" w:hint="default"/>
                <w:sz w:val="18"/>
                <w:szCs w:val="18"/>
              </w:rPr>
            </w:r>
          </w:p>
        </w:tc>
        <w:tc>
          <w:tcPr>
            <w:tcW w:w="189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85" w:right="0"/>
              <w:jc w:val="left"/>
              <w:rPr>
                <w:rFonts w:ascii="宋体" w:hAnsi="宋体" w:cs="宋体" w:eastAsia="宋体" w:hint="default"/>
                <w:sz w:val="18"/>
                <w:szCs w:val="18"/>
              </w:rPr>
            </w:pPr>
            <w:r>
              <w:rPr>
                <w:rFonts w:ascii="宋体" w:hAnsi="宋体" w:cs="宋体" w:eastAsia="宋体" w:hint="default"/>
                <w:b/>
                <w:bCs/>
                <w:sz w:val="18"/>
                <w:szCs w:val="18"/>
              </w:rPr>
              <w:t>减值准备年末余额</w:t>
            </w:r>
            <w:r>
              <w:rPr>
                <w:rFonts w:ascii="宋体" w:hAnsi="宋体" w:cs="宋体" w:eastAsia="宋体" w:hint="default"/>
                <w:sz w:val="18"/>
                <w:szCs w:val="18"/>
              </w:rPr>
            </w:r>
          </w:p>
        </w:tc>
      </w:tr>
      <w:tr>
        <w:trPr>
          <w:trHeight w:val="324" w:hRule="exact"/>
        </w:trPr>
        <w:tc>
          <w:tcPr>
            <w:tcW w:w="4142"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同方锐安科技有限公司</w:t>
            </w:r>
          </w:p>
        </w:tc>
        <w:tc>
          <w:tcPr>
            <w:tcW w:w="2076"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34"/>
              <w:jc w:val="right"/>
              <w:rPr>
                <w:rFonts w:ascii="Times New Roman" w:hAnsi="Times New Roman" w:cs="Times New Roman" w:eastAsia="Times New Roman" w:hint="default"/>
                <w:sz w:val="18"/>
                <w:szCs w:val="18"/>
              </w:rPr>
            </w:pPr>
            <w:r>
              <w:rPr>
                <w:rFonts w:ascii="Times New Roman"/>
                <w:spacing w:val="-1"/>
                <w:sz w:val="18"/>
              </w:rPr>
              <w:t>60,000,000.00</w:t>
            </w:r>
          </w:p>
        </w:tc>
        <w:tc>
          <w:tcPr>
            <w:tcW w:w="1028"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85"/>
              <w:jc w:val="right"/>
              <w:rPr>
                <w:rFonts w:ascii="Times New Roman" w:hAnsi="Times New Roman" w:cs="Times New Roman" w:eastAsia="Times New Roman" w:hint="default"/>
                <w:sz w:val="18"/>
                <w:szCs w:val="18"/>
              </w:rPr>
            </w:pPr>
            <w:r>
              <w:rPr>
                <w:rFonts w:ascii="Times New Roman"/>
                <w:spacing w:val="-1"/>
                <w:sz w:val="18"/>
              </w:rPr>
              <w:t>60,000,000.00</w:t>
            </w:r>
          </w:p>
        </w:tc>
        <w:tc>
          <w:tcPr>
            <w:tcW w:w="1979"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4142"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淮安同方水务有限公司</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4"/>
              <w:jc w:val="right"/>
              <w:rPr>
                <w:rFonts w:ascii="Times New Roman" w:hAnsi="Times New Roman" w:cs="Times New Roman" w:eastAsia="Times New Roman" w:hint="default"/>
                <w:sz w:val="18"/>
                <w:szCs w:val="18"/>
              </w:rPr>
            </w:pPr>
            <w:r>
              <w:rPr>
                <w:rFonts w:ascii="Times New Roman"/>
                <w:spacing w:val="-1"/>
                <w:sz w:val="18"/>
              </w:rPr>
              <w:t>57,260,000.00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5"/>
              <w:jc w:val="right"/>
              <w:rPr>
                <w:rFonts w:ascii="Times New Roman" w:hAnsi="Times New Roman" w:cs="Times New Roman" w:eastAsia="Times New Roman" w:hint="default"/>
                <w:sz w:val="18"/>
                <w:szCs w:val="18"/>
              </w:rPr>
            </w:pPr>
            <w:r>
              <w:rPr>
                <w:rFonts w:ascii="Times New Roman"/>
                <w:spacing w:val="-1"/>
                <w:sz w:val="18"/>
              </w:rPr>
              <w:t>57,260,000.00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414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同方威视技术股份有限公司</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57,000,000.00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57,000,000.00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95" w:hRule="exact"/>
        </w:trPr>
        <w:tc>
          <w:tcPr>
            <w:tcW w:w="414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同方鼎欣科技股份有限公司</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55,480,547.07</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4"/>
              <w:jc w:val="right"/>
              <w:rPr>
                <w:rFonts w:ascii="Times New Roman" w:hAnsi="Times New Roman" w:cs="Times New Roman" w:eastAsia="Times New Roman" w:hint="default"/>
                <w:sz w:val="18"/>
                <w:szCs w:val="18"/>
              </w:rPr>
            </w:pPr>
            <w:r>
              <w:rPr>
                <w:rFonts w:ascii="Times New Roman"/>
                <w:spacing w:val="-1"/>
                <w:sz w:val="18"/>
              </w:rPr>
              <w:t>55,480,547.07</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75" w:hRule="exact"/>
        </w:trPr>
        <w:tc>
          <w:tcPr>
            <w:tcW w:w="414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Times New Roman" w:hAnsi="Times New Roman" w:cs="Times New Roman" w:eastAsia="Times New Roman" w:hint="default"/>
                <w:sz w:val="18"/>
                <w:szCs w:val="18"/>
              </w:rPr>
            </w:pPr>
            <w:r>
              <w:rPr>
                <w:rFonts w:ascii="Times New Roman"/>
                <w:sz w:val="18"/>
              </w:rPr>
              <w:t>TongFang HongKong</w:t>
            </w:r>
            <w:r>
              <w:rPr>
                <w:rFonts w:ascii="Times New Roman"/>
                <w:spacing w:val="-11"/>
                <w:sz w:val="18"/>
              </w:rPr>
              <w:t> </w:t>
            </w:r>
            <w:r>
              <w:rPr>
                <w:rFonts w:ascii="Times New Roman"/>
                <w:sz w:val="18"/>
              </w:rPr>
              <w:t>Limited</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4"/>
              <w:jc w:val="right"/>
              <w:rPr>
                <w:rFonts w:ascii="Times New Roman" w:hAnsi="Times New Roman" w:cs="Times New Roman" w:eastAsia="Times New Roman" w:hint="default"/>
                <w:sz w:val="18"/>
                <w:szCs w:val="18"/>
              </w:rPr>
            </w:pPr>
            <w:r>
              <w:rPr>
                <w:rFonts w:ascii="Times New Roman"/>
                <w:spacing w:val="-1"/>
                <w:sz w:val="18"/>
              </w:rPr>
              <w:t>52,708,800.00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5"/>
              <w:jc w:val="right"/>
              <w:rPr>
                <w:rFonts w:ascii="Times New Roman" w:hAnsi="Times New Roman" w:cs="Times New Roman" w:eastAsia="Times New Roman" w:hint="default"/>
                <w:sz w:val="18"/>
                <w:szCs w:val="18"/>
              </w:rPr>
            </w:pPr>
            <w:r>
              <w:rPr>
                <w:rFonts w:ascii="Times New Roman"/>
                <w:spacing w:val="-1"/>
                <w:sz w:val="18"/>
              </w:rPr>
              <w:t>52,708,800.00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5" w:hRule="exact"/>
        </w:trPr>
        <w:tc>
          <w:tcPr>
            <w:tcW w:w="4142"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同方科技园有限公司</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4"/>
              <w:jc w:val="right"/>
              <w:rPr>
                <w:rFonts w:ascii="Times New Roman" w:hAnsi="Times New Roman" w:cs="Times New Roman" w:eastAsia="Times New Roman" w:hint="default"/>
                <w:sz w:val="18"/>
                <w:szCs w:val="18"/>
              </w:rPr>
            </w:pPr>
            <w:r>
              <w:rPr>
                <w:rFonts w:ascii="Times New Roman"/>
                <w:spacing w:val="-1"/>
                <w:sz w:val="18"/>
              </w:rPr>
              <w:t>51,640,000.00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5"/>
              <w:jc w:val="right"/>
              <w:rPr>
                <w:rFonts w:ascii="Times New Roman" w:hAnsi="Times New Roman" w:cs="Times New Roman" w:eastAsia="Times New Roman" w:hint="default"/>
                <w:sz w:val="18"/>
                <w:szCs w:val="18"/>
              </w:rPr>
            </w:pPr>
            <w:r>
              <w:rPr>
                <w:rFonts w:ascii="Times New Roman"/>
                <w:spacing w:val="-1"/>
                <w:sz w:val="18"/>
              </w:rPr>
              <w:t>51,640,000.00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414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同方炭素科技有限公司</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47,000,000.00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4"/>
              <w:jc w:val="right"/>
              <w:rPr>
                <w:rFonts w:ascii="Times New Roman" w:hAnsi="Times New Roman" w:cs="Times New Roman" w:eastAsia="Times New Roman" w:hint="default"/>
                <w:sz w:val="18"/>
                <w:szCs w:val="18"/>
              </w:rPr>
            </w:pPr>
            <w:r>
              <w:rPr>
                <w:rFonts w:ascii="Times New Roman"/>
                <w:spacing w:val="-1"/>
                <w:sz w:val="18"/>
              </w:rPr>
              <w:t>47,000,000.00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4"/>
              <w:jc w:val="right"/>
              <w:rPr>
                <w:rFonts w:ascii="Times New Roman" w:hAnsi="Times New Roman" w:cs="Times New Roman" w:eastAsia="Times New Roman" w:hint="default"/>
                <w:sz w:val="18"/>
                <w:szCs w:val="18"/>
              </w:rPr>
            </w:pPr>
            <w:r>
              <w:rPr>
                <w:rFonts w:ascii="Times New Roman"/>
                <w:spacing w:val="-1"/>
                <w:sz w:val="18"/>
              </w:rPr>
              <w:t>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414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清芯光电有限公司</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45,757,599.40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45,757,599.40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45,757,599.40</w:t>
            </w:r>
          </w:p>
        </w:tc>
      </w:tr>
      <w:tr>
        <w:trPr>
          <w:trHeight w:val="284" w:hRule="exact"/>
        </w:trPr>
        <w:tc>
          <w:tcPr>
            <w:tcW w:w="414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同方泰德国际科技有限公司</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43,363,900.00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43,363,900.00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4142"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同方光电（香港）有限公司</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4"/>
              <w:jc w:val="right"/>
              <w:rPr>
                <w:rFonts w:ascii="Times New Roman" w:hAnsi="Times New Roman" w:cs="Times New Roman" w:eastAsia="Times New Roman" w:hint="default"/>
                <w:sz w:val="18"/>
                <w:szCs w:val="18"/>
              </w:rPr>
            </w:pPr>
            <w:r>
              <w:rPr>
                <w:rFonts w:ascii="Times New Roman"/>
                <w:spacing w:val="-1"/>
                <w:sz w:val="18"/>
              </w:rPr>
              <w:t>39,478,529.25</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5"/>
              <w:jc w:val="right"/>
              <w:rPr>
                <w:rFonts w:ascii="Times New Roman" w:hAnsi="Times New Roman" w:cs="Times New Roman" w:eastAsia="Times New Roman" w:hint="default"/>
                <w:sz w:val="18"/>
                <w:szCs w:val="18"/>
              </w:rPr>
            </w:pPr>
            <w:r>
              <w:rPr>
                <w:rFonts w:ascii="Times New Roman"/>
                <w:spacing w:val="-1"/>
                <w:sz w:val="18"/>
              </w:rPr>
              <w:t>39,478,529.25</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414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惠州市同方水务有限公司</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36,000,000.00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36,000,000.00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95" w:hRule="exact"/>
        </w:trPr>
        <w:tc>
          <w:tcPr>
            <w:tcW w:w="414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北京同方软件股份有限公司</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34,864,600.00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34,864,600.00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75" w:hRule="exact"/>
        </w:trPr>
        <w:tc>
          <w:tcPr>
            <w:tcW w:w="414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Times New Roman" w:hAnsi="Times New Roman" w:cs="Times New Roman" w:eastAsia="Times New Roman" w:hint="default"/>
                <w:sz w:val="18"/>
                <w:szCs w:val="18"/>
              </w:rPr>
            </w:pPr>
            <w:r>
              <w:rPr>
                <w:rFonts w:ascii="Times New Roman"/>
                <w:sz w:val="18"/>
              </w:rPr>
              <w:t>TongFang Asia Pacific (R&amp;D Center) Pte</w:t>
            </w:r>
            <w:r>
              <w:rPr>
                <w:rFonts w:ascii="Times New Roman"/>
                <w:spacing w:val="-8"/>
                <w:sz w:val="18"/>
              </w:rPr>
              <w:t> </w:t>
            </w:r>
            <w:r>
              <w:rPr>
                <w:rFonts w:ascii="Times New Roman"/>
                <w:sz w:val="18"/>
              </w:rPr>
              <w:t>Ltd.</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4"/>
              <w:jc w:val="right"/>
              <w:rPr>
                <w:rFonts w:ascii="Times New Roman" w:hAnsi="Times New Roman" w:cs="Times New Roman" w:eastAsia="Times New Roman" w:hint="default"/>
                <w:sz w:val="18"/>
                <w:szCs w:val="18"/>
              </w:rPr>
            </w:pPr>
            <w:r>
              <w:rPr>
                <w:rFonts w:ascii="Times New Roman"/>
                <w:spacing w:val="-1"/>
                <w:sz w:val="18"/>
              </w:rPr>
              <w:t>21,772,500.00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5"/>
              <w:jc w:val="right"/>
              <w:rPr>
                <w:rFonts w:ascii="Times New Roman" w:hAnsi="Times New Roman" w:cs="Times New Roman" w:eastAsia="Times New Roman" w:hint="default"/>
                <w:sz w:val="18"/>
                <w:szCs w:val="18"/>
              </w:rPr>
            </w:pPr>
            <w:r>
              <w:rPr>
                <w:rFonts w:ascii="Times New Roman"/>
                <w:spacing w:val="-1"/>
                <w:sz w:val="18"/>
              </w:rPr>
              <w:t>21,772,500.00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94" w:hRule="exact"/>
        </w:trPr>
        <w:tc>
          <w:tcPr>
            <w:tcW w:w="4142"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北京同方光盘股份有限公司</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4"/>
              <w:jc w:val="right"/>
              <w:rPr>
                <w:rFonts w:ascii="Times New Roman" w:hAnsi="Times New Roman" w:cs="Times New Roman" w:eastAsia="Times New Roman" w:hint="default"/>
                <w:sz w:val="18"/>
                <w:szCs w:val="18"/>
              </w:rPr>
            </w:pPr>
            <w:r>
              <w:rPr>
                <w:rFonts w:ascii="Times New Roman"/>
                <w:spacing w:val="-1"/>
                <w:sz w:val="18"/>
              </w:rPr>
              <w:t>21,479,648.26</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5"/>
              <w:jc w:val="right"/>
              <w:rPr>
                <w:rFonts w:ascii="Times New Roman" w:hAnsi="Times New Roman" w:cs="Times New Roman" w:eastAsia="Times New Roman" w:hint="default"/>
                <w:sz w:val="18"/>
                <w:szCs w:val="18"/>
              </w:rPr>
            </w:pPr>
            <w:r>
              <w:rPr>
                <w:rFonts w:ascii="Times New Roman"/>
                <w:spacing w:val="-1"/>
                <w:sz w:val="18"/>
              </w:rPr>
              <w:t>21,479,648.26</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76" w:hRule="exact"/>
        </w:trPr>
        <w:tc>
          <w:tcPr>
            <w:tcW w:w="414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8" w:right="0"/>
              <w:jc w:val="left"/>
              <w:rPr>
                <w:rFonts w:ascii="Times New Roman" w:hAnsi="Times New Roman" w:cs="Times New Roman" w:eastAsia="Times New Roman" w:hint="default"/>
                <w:sz w:val="18"/>
                <w:szCs w:val="18"/>
              </w:rPr>
            </w:pPr>
            <w:r>
              <w:rPr>
                <w:rFonts w:ascii="Times New Roman"/>
                <w:sz w:val="18"/>
              </w:rPr>
              <w:t>THTF USA</w:t>
            </w:r>
            <w:r>
              <w:rPr>
                <w:rFonts w:ascii="Times New Roman"/>
                <w:spacing w:val="-6"/>
                <w:sz w:val="18"/>
              </w:rPr>
              <w:t> </w:t>
            </w:r>
            <w:r>
              <w:rPr>
                <w:rFonts w:ascii="Times New Roman"/>
                <w:sz w:val="18"/>
              </w:rPr>
              <w:t>Inc.</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4"/>
              <w:jc w:val="right"/>
              <w:rPr>
                <w:rFonts w:ascii="Times New Roman" w:hAnsi="Times New Roman" w:cs="Times New Roman" w:eastAsia="Times New Roman" w:hint="default"/>
                <w:sz w:val="18"/>
                <w:szCs w:val="18"/>
              </w:rPr>
            </w:pPr>
            <w:r>
              <w:rPr>
                <w:rFonts w:ascii="Times New Roman"/>
                <w:spacing w:val="-1"/>
                <w:sz w:val="18"/>
              </w:rPr>
              <w:t>20,641,105.00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5"/>
              <w:jc w:val="right"/>
              <w:rPr>
                <w:rFonts w:ascii="Times New Roman" w:hAnsi="Times New Roman" w:cs="Times New Roman" w:eastAsia="Times New Roman" w:hint="default"/>
                <w:sz w:val="18"/>
                <w:szCs w:val="18"/>
              </w:rPr>
            </w:pPr>
            <w:r>
              <w:rPr>
                <w:rFonts w:ascii="Times New Roman"/>
                <w:spacing w:val="-1"/>
                <w:sz w:val="18"/>
              </w:rPr>
              <w:t>20,641,105.00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6" w:hRule="exact"/>
        </w:trPr>
        <w:tc>
          <w:tcPr>
            <w:tcW w:w="414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同方健康科技（北京）股份有限公司</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17,500,000.00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17,500,000.00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84" w:hRule="exact"/>
        </w:trPr>
        <w:tc>
          <w:tcPr>
            <w:tcW w:w="414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北京同方物业管理有限公司</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4"/>
              <w:jc w:val="right"/>
              <w:rPr>
                <w:rFonts w:ascii="Times New Roman" w:hAnsi="Times New Roman" w:cs="Times New Roman" w:eastAsia="Times New Roman" w:hint="default"/>
                <w:sz w:val="18"/>
                <w:szCs w:val="18"/>
              </w:rPr>
            </w:pPr>
            <w:r>
              <w:rPr>
                <w:rFonts w:ascii="Times New Roman"/>
                <w:spacing w:val="-1"/>
                <w:sz w:val="18"/>
              </w:rPr>
              <w:t>9,530,000.00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5"/>
              <w:jc w:val="right"/>
              <w:rPr>
                <w:rFonts w:ascii="Times New Roman" w:hAnsi="Times New Roman" w:cs="Times New Roman" w:eastAsia="Times New Roman" w:hint="default"/>
                <w:sz w:val="18"/>
                <w:szCs w:val="18"/>
              </w:rPr>
            </w:pPr>
            <w:r>
              <w:rPr>
                <w:rFonts w:ascii="Times New Roman"/>
                <w:spacing w:val="-1"/>
                <w:sz w:val="18"/>
              </w:rPr>
              <w:t>9,530,000.00</w:t>
            </w:r>
          </w:p>
        </w:tc>
        <w:tc>
          <w:tcPr>
            <w:tcW w:w="197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257" w:hRule="exact"/>
        </w:trPr>
        <w:tc>
          <w:tcPr>
            <w:tcW w:w="4142" w:type="dxa"/>
            <w:tcBorders>
              <w:top w:val="nil" w:sz="6" w:space="0" w:color="auto"/>
              <w:left w:val="nil" w:sz="6" w:space="0" w:color="auto"/>
              <w:bottom w:val="single" w:sz="4" w:space="0" w:color="000000"/>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北京市同方教育培训学校</w:t>
            </w:r>
          </w:p>
        </w:tc>
        <w:tc>
          <w:tcPr>
            <w:tcW w:w="2076"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34"/>
              <w:jc w:val="right"/>
              <w:rPr>
                <w:rFonts w:ascii="Times New Roman" w:hAnsi="Times New Roman" w:cs="Times New Roman" w:eastAsia="Times New Roman" w:hint="default"/>
                <w:sz w:val="18"/>
                <w:szCs w:val="18"/>
              </w:rPr>
            </w:pPr>
            <w:r>
              <w:rPr>
                <w:rFonts w:ascii="Times New Roman"/>
                <w:spacing w:val="-1"/>
                <w:sz w:val="18"/>
              </w:rPr>
              <w:t>1,000,000.00</w:t>
            </w:r>
          </w:p>
        </w:tc>
        <w:tc>
          <w:tcPr>
            <w:tcW w:w="1028"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0.00</w:t>
            </w:r>
          </w:p>
        </w:tc>
        <w:tc>
          <w:tcPr>
            <w:tcW w:w="1440"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05"/>
              <w:jc w:val="right"/>
              <w:rPr>
                <w:rFonts w:ascii="Times New Roman" w:hAnsi="Times New Roman" w:cs="Times New Roman" w:eastAsia="Times New Roman" w:hint="default"/>
                <w:sz w:val="18"/>
                <w:szCs w:val="18"/>
              </w:rPr>
            </w:pPr>
            <w:r>
              <w:rPr>
                <w:rFonts w:ascii="Times New Roman"/>
                <w:spacing w:val="-1"/>
                <w:sz w:val="18"/>
              </w:rPr>
              <w:t>0.00</w:t>
            </w:r>
          </w:p>
        </w:tc>
        <w:tc>
          <w:tcPr>
            <w:tcW w:w="1654"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85"/>
              <w:jc w:val="right"/>
              <w:rPr>
                <w:rFonts w:ascii="Times New Roman" w:hAnsi="Times New Roman" w:cs="Times New Roman" w:eastAsia="Times New Roman" w:hint="default"/>
                <w:sz w:val="18"/>
                <w:szCs w:val="18"/>
              </w:rPr>
            </w:pPr>
            <w:r>
              <w:rPr>
                <w:rFonts w:ascii="Times New Roman"/>
                <w:spacing w:val="-1"/>
                <w:sz w:val="18"/>
              </w:rPr>
              <w:t>1,000,000.00</w:t>
            </w:r>
          </w:p>
        </w:tc>
        <w:tc>
          <w:tcPr>
            <w:tcW w:w="1979"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86"/>
              <w:jc w:val="right"/>
              <w:rPr>
                <w:rFonts w:ascii="Times New Roman" w:hAnsi="Times New Roman" w:cs="Times New Roman" w:eastAsia="Times New Roman" w:hint="default"/>
                <w:sz w:val="18"/>
                <w:szCs w:val="18"/>
              </w:rPr>
            </w:pPr>
            <w:r>
              <w:rPr>
                <w:rFonts w:ascii="Times New Roman"/>
                <w:spacing w:val="-1"/>
                <w:sz w:val="18"/>
              </w:rPr>
              <w:t>0.00</w:t>
            </w:r>
          </w:p>
        </w:tc>
        <w:tc>
          <w:tcPr>
            <w:tcW w:w="1899"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10"/>
              <w:jc w:val="right"/>
              <w:rPr>
                <w:rFonts w:ascii="Times New Roman" w:hAnsi="Times New Roman" w:cs="Times New Roman" w:eastAsia="Times New Roman" w:hint="default"/>
                <w:sz w:val="18"/>
                <w:szCs w:val="18"/>
              </w:rPr>
            </w:pPr>
            <w:r>
              <w:rPr>
                <w:rFonts w:ascii="Times New Roman"/>
                <w:spacing w:val="-1"/>
                <w:sz w:val="18"/>
              </w:rPr>
              <w:t>0.00</w:t>
            </w:r>
          </w:p>
        </w:tc>
      </w:tr>
      <w:tr>
        <w:trPr>
          <w:trHeight w:val="305" w:hRule="exact"/>
        </w:trPr>
        <w:tc>
          <w:tcPr>
            <w:tcW w:w="4142"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076"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35"/>
              <w:jc w:val="right"/>
              <w:rPr>
                <w:rFonts w:ascii="Times New Roman" w:hAnsi="Times New Roman" w:cs="Times New Roman" w:eastAsia="Times New Roman" w:hint="default"/>
                <w:sz w:val="18"/>
                <w:szCs w:val="18"/>
              </w:rPr>
            </w:pPr>
            <w:r>
              <w:rPr>
                <w:rFonts w:ascii="Times New Roman"/>
                <w:b/>
                <w:spacing w:val="-1"/>
                <w:sz w:val="18"/>
              </w:rPr>
              <w:t>6,676,236,991.55</w:t>
            </w:r>
            <w:r>
              <w:rPr>
                <w:rFonts w:ascii="Times New Roman"/>
                <w:spacing w:val="-1"/>
                <w:sz w:val="18"/>
              </w:rPr>
            </w:r>
          </w:p>
        </w:tc>
        <w:tc>
          <w:tcPr>
            <w:tcW w:w="1028"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440"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204"/>
              <w:jc w:val="right"/>
              <w:rPr>
                <w:rFonts w:ascii="Times New Roman" w:hAnsi="Times New Roman" w:cs="Times New Roman" w:eastAsia="Times New Roman" w:hint="default"/>
                <w:sz w:val="18"/>
                <w:szCs w:val="18"/>
              </w:rPr>
            </w:pPr>
            <w:r>
              <w:rPr>
                <w:rFonts w:ascii="Times New Roman"/>
                <w:b/>
                <w:spacing w:val="-1"/>
                <w:sz w:val="18"/>
              </w:rPr>
              <w:t>102,480,547.07</w:t>
            </w:r>
            <w:r>
              <w:rPr>
                <w:rFonts w:ascii="Times New Roman"/>
                <w:spacing w:val="-1"/>
                <w:sz w:val="18"/>
              </w:rPr>
            </w:r>
          </w:p>
        </w:tc>
        <w:tc>
          <w:tcPr>
            <w:tcW w:w="1654"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85"/>
              <w:jc w:val="right"/>
              <w:rPr>
                <w:rFonts w:ascii="Times New Roman" w:hAnsi="Times New Roman" w:cs="Times New Roman" w:eastAsia="Times New Roman" w:hint="default"/>
                <w:sz w:val="18"/>
                <w:szCs w:val="18"/>
              </w:rPr>
            </w:pPr>
            <w:r>
              <w:rPr>
                <w:rFonts w:ascii="Times New Roman"/>
                <w:b/>
                <w:spacing w:val="-1"/>
                <w:sz w:val="18"/>
              </w:rPr>
              <w:t>6,573,756,444.48</w:t>
            </w:r>
            <w:r>
              <w:rPr>
                <w:rFonts w:ascii="Times New Roman"/>
                <w:spacing w:val="-1"/>
                <w:sz w:val="18"/>
              </w:rPr>
            </w:r>
          </w:p>
        </w:tc>
        <w:tc>
          <w:tcPr>
            <w:tcW w:w="1979"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83"/>
              <w:jc w:val="right"/>
              <w:rPr>
                <w:rFonts w:ascii="Times New Roman" w:hAnsi="Times New Roman" w:cs="Times New Roman" w:eastAsia="Times New Roman" w:hint="default"/>
                <w:sz w:val="18"/>
                <w:szCs w:val="18"/>
              </w:rPr>
            </w:pPr>
            <w:r>
              <w:rPr>
                <w:rFonts w:ascii="Times New Roman"/>
                <w:b/>
                <w:spacing w:val="-1"/>
                <w:sz w:val="18"/>
              </w:rPr>
              <w:t>0.00</w:t>
            </w:r>
            <w:r>
              <w:rPr>
                <w:rFonts w:ascii="Times New Roman"/>
                <w:spacing w:val="-1"/>
                <w:sz w:val="18"/>
              </w:rPr>
            </w:r>
          </w:p>
        </w:tc>
        <w:tc>
          <w:tcPr>
            <w:tcW w:w="1899" w:type="dxa"/>
            <w:tcBorders>
              <w:top w:val="single" w:sz="4" w:space="0" w:color="000000"/>
              <w:left w:val="nil" w:sz="6" w:space="0" w:color="auto"/>
              <w:bottom w:val="single" w:sz="12" w:space="0" w:color="000000"/>
              <w:right w:val="nil" w:sz="6" w:space="0" w:color="auto"/>
            </w:tcBorders>
          </w:tcPr>
          <w:p>
            <w:pPr>
              <w:pStyle w:val="TableParagraph"/>
              <w:spacing w:line="240" w:lineRule="auto" w:before="76"/>
              <w:ind w:right="108"/>
              <w:jc w:val="right"/>
              <w:rPr>
                <w:rFonts w:ascii="Times New Roman" w:hAnsi="Times New Roman" w:cs="Times New Roman" w:eastAsia="Times New Roman" w:hint="default"/>
                <w:sz w:val="18"/>
                <w:szCs w:val="18"/>
              </w:rPr>
            </w:pPr>
            <w:r>
              <w:rPr>
                <w:rFonts w:ascii="Times New Roman"/>
                <w:b/>
                <w:spacing w:val="-1"/>
                <w:sz w:val="18"/>
              </w:rPr>
              <w:t>45,757,599.40</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headerReference w:type="default" r:id="rId106"/>
          <w:pgSz w:w="16840" w:h="11910" w:orient="landscape"/>
          <w:pgMar w:header="600" w:footer="815" w:top="1080" w:bottom="1000" w:left="1200" w:right="12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7"/>
          <w:szCs w:val="17"/>
        </w:rPr>
      </w:pPr>
    </w:p>
    <w:p>
      <w:pPr>
        <w:spacing w:before="32"/>
        <w:ind w:left="632"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 </w:t>
      </w:r>
      <w:r>
        <w:rPr>
          <w:rFonts w:ascii="Times New Roman" w:hAnsi="Times New Roman" w:cs="Times New Roman" w:eastAsia="Times New Roman" w:hint="default"/>
          <w:b/>
          <w:bCs/>
          <w:spacing w:val="20"/>
          <w:sz w:val="22"/>
          <w:szCs w:val="22"/>
        </w:rPr>
        <w:t> </w:t>
      </w:r>
      <w:r>
        <w:rPr>
          <w:rFonts w:ascii="宋体" w:hAnsi="宋体" w:cs="宋体" w:eastAsia="宋体" w:hint="default"/>
          <w:sz w:val="22"/>
          <w:szCs w:val="22"/>
        </w:rPr>
        <w:t>对联营、合营企业投资</w:t>
      </w:r>
    </w:p>
    <w:p>
      <w:pPr>
        <w:spacing w:line="240" w:lineRule="auto" w:before="5"/>
        <w:rPr>
          <w:rFonts w:ascii="宋体" w:hAnsi="宋体" w:cs="宋体" w:eastAsia="宋体" w:hint="default"/>
          <w:sz w:val="11"/>
          <w:szCs w:val="11"/>
        </w:rPr>
      </w:pPr>
    </w:p>
    <w:p>
      <w:pPr>
        <w:spacing w:line="28" w:lineRule="exact"/>
        <w:ind w:left="106" w:right="0" w:firstLine="0"/>
        <w:rPr>
          <w:rFonts w:ascii="宋体" w:hAnsi="宋体" w:cs="宋体" w:eastAsia="宋体" w:hint="default"/>
          <w:sz w:val="2"/>
          <w:szCs w:val="2"/>
        </w:rPr>
      </w:pPr>
      <w:r>
        <w:rPr>
          <w:rFonts w:ascii="宋体" w:hAnsi="宋体" w:cs="宋体" w:eastAsia="宋体" w:hint="default"/>
          <w:position w:val="0"/>
          <w:sz w:val="2"/>
          <w:szCs w:val="2"/>
        </w:rPr>
        <w:pict>
          <v:group style="width:699pt;height:1.45pt;mso-position-horizontal-relative:char;mso-position-vertical-relative:line" coordorigin="0,0" coordsize="13980,29">
            <v:group style="position:absolute;left:14;top:14;width:2509;height:2" coordorigin="14,14" coordsize="2509,2">
              <v:shape style="position:absolute;left:14;top:14;width:2509;height:2" coordorigin="14,14" coordsize="2509,0" path="m14,14l2523,14e" filled="false" stroked="true" strokeweight="1.44pt" strokecolor="#000000">
                <v:path arrowok="t"/>
              </v:shape>
            </v:group>
            <v:group style="position:absolute;left:2523;top:14;width:29;height:2" coordorigin="2523,14" coordsize="29,2">
              <v:shape style="position:absolute;left:2523;top:14;width:29;height:2" coordorigin="2523,14" coordsize="29,0" path="m2523,14l2552,14e" filled="false" stroked="true" strokeweight="1.44pt" strokecolor="#000000">
                <v:path arrowok="t"/>
              </v:shape>
            </v:group>
            <v:group style="position:absolute;left:2552;top:14;width:1205;height:2" coordorigin="2552,14" coordsize="1205,2">
              <v:shape style="position:absolute;left:2552;top:14;width:1205;height:2" coordorigin="2552,14" coordsize="1205,0" path="m2552,14l3756,14e" filled="false" stroked="true" strokeweight="1.44pt" strokecolor="#000000">
                <v:path arrowok="t"/>
              </v:shape>
            </v:group>
            <v:group style="position:absolute;left:3756;top:14;width:29;height:2" coordorigin="3756,14" coordsize="29,2">
              <v:shape style="position:absolute;left:3756;top:14;width:29;height:2" coordorigin="3756,14" coordsize="29,0" path="m3756,14l3785,14e" filled="false" stroked="true" strokeweight="1.44pt" strokecolor="#000000">
                <v:path arrowok="t"/>
              </v:shape>
            </v:group>
            <v:group style="position:absolute;left:3785;top:14;width:7934;height:2" coordorigin="3785,14" coordsize="7934,2">
              <v:shape style="position:absolute;left:3785;top:14;width:7934;height:2" coordorigin="3785,14" coordsize="7934,0" path="m3785,14l11719,14e" filled="false" stroked="true" strokeweight="1.44pt" strokecolor="#000000">
                <v:path arrowok="t"/>
              </v:shape>
            </v:group>
            <v:group style="position:absolute;left:11719;top:14;width:29;height:2" coordorigin="11719,14" coordsize="29,2">
              <v:shape style="position:absolute;left:11719;top:14;width:29;height:2" coordorigin="11719,14" coordsize="29,0" path="m11719,14l11748,14e" filled="false" stroked="true" strokeweight="1.44pt" strokecolor="#000000">
                <v:path arrowok="t"/>
              </v:shape>
            </v:group>
            <v:group style="position:absolute;left:11748;top:14;width:1205;height:2" coordorigin="11748,14" coordsize="1205,2">
              <v:shape style="position:absolute;left:11748;top:14;width:1205;height:2" coordorigin="11748,14" coordsize="1205,0" path="m11748,14l12952,14e" filled="false" stroked="true" strokeweight="1.44pt" strokecolor="#000000">
                <v:path arrowok="t"/>
              </v:shape>
            </v:group>
            <v:group style="position:absolute;left:12952;top:14;width:29;height:2" coordorigin="12952,14" coordsize="29,2">
              <v:shape style="position:absolute;left:12952;top:14;width:29;height:2" coordorigin="12952,14" coordsize="29,0" path="m12952,14l12981,14e" filled="false" stroked="true" strokeweight="1.44pt" strokecolor="#000000">
                <v:path arrowok="t"/>
              </v:shape>
            </v:group>
            <v:group style="position:absolute;left:12981;top:14;width:984;height:2" coordorigin="12981,14" coordsize="984,2">
              <v:shape style="position:absolute;left:12981;top:14;width:984;height:2" coordorigin="12981,14" coordsize="984,0" path="m12981,14l13965,14e" filled="false" stroked="true" strokeweight="1.44pt" strokecolor="#000000">
                <v:path arrowok="t"/>
              </v:shape>
            </v:group>
          </v:group>
        </w:pict>
      </w:r>
      <w:r>
        <w:rPr>
          <w:rFonts w:ascii="宋体" w:hAnsi="宋体" w:cs="宋体" w:eastAsia="宋体" w:hint="default"/>
          <w:position w:val="0"/>
          <w:sz w:val="2"/>
          <w:szCs w:val="2"/>
        </w:rPr>
      </w:r>
    </w:p>
    <w:p>
      <w:pPr>
        <w:spacing w:after="0" w:line="28" w:lineRule="exact"/>
        <w:rPr>
          <w:rFonts w:ascii="宋体" w:hAnsi="宋体" w:cs="宋体" w:eastAsia="宋体" w:hint="default"/>
          <w:sz w:val="2"/>
          <w:szCs w:val="2"/>
        </w:rPr>
        <w:sectPr>
          <w:pgSz w:w="16840" w:h="11910" w:orient="landscape"/>
          <w:pgMar w:header="600" w:footer="815" w:top="1080" w:bottom="1000" w:left="1240" w:right="1260"/>
        </w:sectPr>
      </w:pPr>
    </w:p>
    <w:p>
      <w:pPr>
        <w:spacing w:line="240" w:lineRule="auto" w:before="7"/>
        <w:rPr>
          <w:rFonts w:ascii="宋体" w:hAnsi="宋体" w:cs="宋体" w:eastAsia="宋体" w:hint="default"/>
          <w:sz w:val="17"/>
          <w:szCs w:val="17"/>
        </w:rPr>
      </w:pPr>
    </w:p>
    <w:p>
      <w:pPr>
        <w:tabs>
          <w:tab w:pos="2921" w:val="left" w:leader="none"/>
        </w:tabs>
        <w:spacing w:line="624" w:lineRule="auto" w:before="0"/>
        <w:ind w:left="178" w:right="0" w:firstLine="794"/>
        <w:jc w:val="left"/>
        <w:rPr>
          <w:rFonts w:ascii="宋体" w:hAnsi="宋体" w:cs="宋体" w:eastAsia="宋体" w:hint="default"/>
          <w:sz w:val="16"/>
          <w:szCs w:val="16"/>
        </w:rPr>
      </w:pPr>
      <w:r>
        <w:rPr/>
        <w:pict>
          <v:group style="position:absolute;margin-left:67.800003pt;margin-top:24.223755pt;width:698.05pt;height:.5pt;mso-position-horizontal-relative:page;mso-position-vertical-relative:paragraph;z-index:-1196224" coordorigin="1356,484" coordsize="13961,10">
            <v:group style="position:absolute;left:1361;top:489;width:2509;height:2" coordorigin="1361,489" coordsize="2509,2">
              <v:shape style="position:absolute;left:1361;top:489;width:2509;height:2" coordorigin="1361,489" coordsize="2509,0" path="m1361,489l3869,489e" filled="false" stroked="true" strokeweight=".48pt" strokecolor="#000000">
                <v:path arrowok="t"/>
              </v:shape>
            </v:group>
            <v:group style="position:absolute;left:3869;top:489;width:10;height:2" coordorigin="3869,489" coordsize="10,2">
              <v:shape style="position:absolute;left:3869;top:489;width:10;height:2" coordorigin="3869,489" coordsize="10,0" path="m3869,489l3879,489e" filled="false" stroked="true" strokeweight=".48pt" strokecolor="#000000">
                <v:path arrowok="t"/>
              </v:shape>
            </v:group>
            <v:group style="position:absolute;left:3879;top:489;width:1224;height:2" coordorigin="3879,489" coordsize="1224,2">
              <v:shape style="position:absolute;left:3879;top:489;width:1224;height:2" coordorigin="3879,489" coordsize="1224,0" path="m3879,489l5103,489e" filled="false" stroked="true" strokeweight=".48pt" strokecolor="#000000">
                <v:path arrowok="t"/>
              </v:shape>
            </v:group>
            <v:group style="position:absolute;left:5103;top:489;width:10;height:2" coordorigin="5103,489" coordsize="10,2">
              <v:shape style="position:absolute;left:5103;top:489;width:10;height:2" coordorigin="5103,489" coordsize="10,0" path="m5103,489l5112,489e" filled="false" stroked="true" strokeweight=".48pt" strokecolor="#000000">
                <v:path arrowok="t"/>
              </v:shape>
            </v:group>
            <v:group style="position:absolute;left:5112;top:489;width:1124;height:2" coordorigin="5112,489" coordsize="1124,2">
              <v:shape style="position:absolute;left:5112;top:489;width:1124;height:2" coordorigin="5112,489" coordsize="1124,0" path="m5112,489l6236,489e" filled="false" stroked="true" strokeweight=".48pt" strokecolor="#000000">
                <v:path arrowok="t"/>
              </v:shape>
            </v:group>
            <v:group style="position:absolute;left:6236;top:489;width:10;height:2" coordorigin="6236,489" coordsize="10,2">
              <v:shape style="position:absolute;left:6236;top:489;width:10;height:2" coordorigin="6236,489" coordsize="10,0" path="m6236,489l6246,489e" filled="false" stroked="true" strokeweight=".48pt" strokecolor="#000000">
                <v:path arrowok="t"/>
              </v:shape>
            </v:group>
            <v:group style="position:absolute;left:6246;top:489;width:1025;height:2" coordorigin="6246,489" coordsize="1025,2">
              <v:shape style="position:absolute;left:6246;top:489;width:1025;height:2" coordorigin="6246,489" coordsize="1025,0" path="m6246,489l7271,489e" filled="false" stroked="true" strokeweight=".48pt" strokecolor="#000000">
                <v:path arrowok="t"/>
              </v:shape>
            </v:group>
            <v:group style="position:absolute;left:7271;top:489;width:10;height:2" coordorigin="7271,489" coordsize="10,2">
              <v:shape style="position:absolute;left:7271;top:489;width:10;height:2" coordorigin="7271,489" coordsize="10,0" path="m7271,489l7280,489e" filled="false" stroked="true" strokeweight=".48pt" strokecolor="#000000">
                <v:path arrowok="t"/>
              </v:shape>
            </v:group>
            <v:group style="position:absolute;left:7280;top:489;width:1222;height:2" coordorigin="7280,489" coordsize="1222,2">
              <v:shape style="position:absolute;left:7280;top:489;width:1222;height:2" coordorigin="7280,489" coordsize="1222,0" path="m7280,489l8502,489e" filled="false" stroked="true" strokeweight=".48pt" strokecolor="#000000">
                <v:path arrowok="t"/>
              </v:shape>
            </v:group>
            <v:group style="position:absolute;left:8502;top:489;width:10;height:2" coordorigin="8502,489" coordsize="10,2">
              <v:shape style="position:absolute;left:8502;top:489;width:10;height:2" coordorigin="8502,489" coordsize="10,0" path="m8502,489l8511,489e" filled="false" stroked="true" strokeweight=".48pt" strokecolor="#000000">
                <v:path arrowok="t"/>
              </v:shape>
            </v:group>
            <v:group style="position:absolute;left:8511;top:489;width:1223;height:2" coordorigin="8511,489" coordsize="1223,2">
              <v:shape style="position:absolute;left:8511;top:489;width:1223;height:2" coordorigin="8511,489" coordsize="1223,0" path="m8511,489l9733,489e" filled="false" stroked="true" strokeweight=".48pt" strokecolor="#000000">
                <v:path arrowok="t"/>
              </v:shape>
            </v:group>
            <v:group style="position:absolute;left:9733;top:489;width:10;height:2" coordorigin="9733,489" coordsize="10,2">
              <v:shape style="position:absolute;left:9733;top:489;width:10;height:2" coordorigin="9733,489" coordsize="10,0" path="m9733,489l9743,489e" filled="false" stroked="true" strokeweight=".48pt" strokecolor="#000000">
                <v:path arrowok="t"/>
              </v:shape>
            </v:group>
            <v:group style="position:absolute;left:9743;top:489;width:1028;height:2" coordorigin="9743,489" coordsize="1028,2">
              <v:shape style="position:absolute;left:9743;top:489;width:1028;height:2" coordorigin="9743,489" coordsize="1028,0" path="m9743,489l10770,489e" filled="false" stroked="true" strokeweight=".48pt" strokecolor="#000000">
                <v:path arrowok="t"/>
              </v:shape>
            </v:group>
            <v:group style="position:absolute;left:10770;top:489;width:10;height:2" coordorigin="10770,489" coordsize="10,2">
              <v:shape style="position:absolute;left:10770;top:489;width:10;height:2" coordorigin="10770,489" coordsize="10,0" path="m10770,489l10780,489e" filled="false" stroked="true" strokeweight=".48pt" strokecolor="#000000">
                <v:path arrowok="t"/>
              </v:shape>
            </v:group>
            <v:group style="position:absolute;left:10780;top:489;width:1248;height:2" coordorigin="10780,489" coordsize="1248,2">
              <v:shape style="position:absolute;left:10780;top:489;width:1248;height:2" coordorigin="10780,489" coordsize="1248,0" path="m10780,489l12028,489e" filled="false" stroked="true" strokeweight=".48pt" strokecolor="#000000">
                <v:path arrowok="t"/>
              </v:shape>
            </v:group>
            <v:group style="position:absolute;left:12028;top:489;width:10;height:2" coordorigin="12028,489" coordsize="10,2">
              <v:shape style="position:absolute;left:12028;top:489;width:10;height:2" coordorigin="12028,489" coordsize="10,0" path="m12028,489l12037,489e" filled="false" stroked="true" strokeweight=".48pt" strokecolor="#000000">
                <v:path arrowok="t"/>
              </v:shape>
            </v:group>
            <v:group style="position:absolute;left:12037;top:489;width:1028;height:2" coordorigin="12037,489" coordsize="1028,2">
              <v:shape style="position:absolute;left:12037;top:489;width:1028;height:2" coordorigin="12037,489" coordsize="1028,0" path="m12037,489l13065,489e" filled="false" stroked="true" strokeweight=".48pt" strokecolor="#000000">
                <v:path arrowok="t"/>
              </v:shape>
            </v:group>
            <v:group style="position:absolute;left:13065;top:489;width:10;height:2" coordorigin="13065,489" coordsize="10,2">
              <v:shape style="position:absolute;left:13065;top:489;width:10;height:2" coordorigin="13065,489" coordsize="10,0" path="m13065,489l13075,489e" filled="false" stroked="true" strokeweight=".48pt" strokecolor="#000000">
                <v:path arrowok="t"/>
              </v:shape>
            </v:group>
            <v:group style="position:absolute;left:13075;top:489;width:1224;height:2" coordorigin="13075,489" coordsize="1224,2">
              <v:shape style="position:absolute;left:13075;top:489;width:1224;height:2" coordorigin="13075,489" coordsize="1224,0" path="m13075,489l14299,489e" filled="false" stroked="true" strokeweight=".48pt" strokecolor="#000000">
                <v:path arrowok="t"/>
              </v:shape>
            </v:group>
            <v:group style="position:absolute;left:14299;top:489;width:10;height:2" coordorigin="14299,489" coordsize="10,2">
              <v:shape style="position:absolute;left:14299;top:489;width:10;height:2" coordorigin="14299,489" coordsize="10,0" path="m14299,489l14308,489e" filled="false" stroked="true" strokeweight=".48pt" strokecolor="#000000">
                <v:path arrowok="t"/>
              </v:shape>
            </v:group>
            <v:group style="position:absolute;left:14308;top:489;width:1004;height:2" coordorigin="14308,489" coordsize="1004,2">
              <v:shape style="position:absolute;left:14308;top:489;width:1004;height:2" coordorigin="14308,489" coordsize="1004,0" path="m14308,489l15312,489e" filled="false" stroked="true" strokeweight=".48pt" strokecolor="#000000">
                <v:path arrowok="t"/>
              </v:shape>
            </v:group>
            <w10:wrap type="none"/>
          </v:group>
        </w:pict>
      </w:r>
      <w:r>
        <w:rPr/>
        <w:pict>
          <v:shape style="position:absolute;margin-left:68.040001pt;margin-top:44.754177pt;width:697.55pt;height:281.25pt;mso-position-horizontal-relative:page;mso-position-vertical-relative:paragraph;z-index:29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751"/>
                    <w:gridCol w:w="1124"/>
                    <w:gridCol w:w="1092"/>
                    <w:gridCol w:w="1246"/>
                    <w:gridCol w:w="1161"/>
                    <w:gridCol w:w="1109"/>
                    <w:gridCol w:w="1187"/>
                    <w:gridCol w:w="1035"/>
                    <w:gridCol w:w="1544"/>
                    <w:gridCol w:w="704"/>
                  </w:tblGrid>
                  <w:tr>
                    <w:trPr>
                      <w:trHeight w:val="288" w:hRule="exact"/>
                    </w:trPr>
                    <w:tc>
                      <w:tcPr>
                        <w:tcW w:w="3751" w:type="dxa"/>
                        <w:tcBorders>
                          <w:top w:val="nil" w:sz="6" w:space="0" w:color="auto"/>
                          <w:left w:val="nil" w:sz="6" w:space="0" w:color="auto"/>
                          <w:bottom w:val="nil" w:sz="6" w:space="0" w:color="auto"/>
                          <w:right w:val="nil" w:sz="6" w:space="0" w:color="auto"/>
                        </w:tcBorders>
                      </w:tcPr>
                      <w:p>
                        <w:pPr>
                          <w:pStyle w:val="TableParagraph"/>
                          <w:tabs>
                            <w:tab w:pos="2563" w:val="left" w:leader="none"/>
                          </w:tabs>
                          <w:spacing w:line="153" w:lineRule="exact"/>
                          <w:ind w:left="57" w:right="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同方全球人寿保险有限公司</w:t>
                          <w:tab/>
                        </w:r>
                        <w:r>
                          <w:rPr>
                            <w:rFonts w:ascii="Times New Roman" w:hAnsi="Times New Roman" w:cs="Times New Roman" w:eastAsia="Times New Roman" w:hint="default"/>
                            <w:spacing w:val="-1"/>
                            <w:sz w:val="16"/>
                            <w:szCs w:val="16"/>
                          </w:rPr>
                          <w:t>1,036,388,956.78</w:t>
                        </w:r>
                      </w:p>
                      <w:p>
                        <w:pPr>
                          <w:pStyle w:val="TableParagraph"/>
                          <w:spacing w:line="175" w:lineRule="exact"/>
                          <w:ind w:left="57" w:right="0"/>
                          <w:jc w:val="left"/>
                          <w:rPr>
                            <w:rFonts w:ascii="宋体" w:hAnsi="宋体" w:cs="宋体" w:eastAsia="宋体" w:hint="default"/>
                            <w:sz w:val="16"/>
                            <w:szCs w:val="16"/>
                          </w:rPr>
                        </w:pPr>
                        <w:r>
                          <w:rPr>
                            <w:rFonts w:ascii="宋体" w:hAnsi="宋体" w:cs="宋体" w:eastAsia="宋体" w:hint="default"/>
                            <w:sz w:val="16"/>
                            <w:szCs w:val="16"/>
                          </w:rPr>
                          <w:t>同方恩欧凯（无锡）膜技术有限公</w:t>
                        </w:r>
                      </w:p>
                    </w:tc>
                    <w:tc>
                      <w:tcPr>
                        <w:tcW w:w="1124" w:type="dxa"/>
                        <w:tcBorders>
                          <w:top w:val="nil" w:sz="6" w:space="0" w:color="auto"/>
                          <w:left w:val="nil" w:sz="6" w:space="0" w:color="auto"/>
                          <w:bottom w:val="nil" w:sz="6" w:space="0" w:color="auto"/>
                          <w:right w:val="nil" w:sz="6" w:space="0" w:color="auto"/>
                        </w:tcBorders>
                      </w:tcPr>
                      <w:p>
                        <w:pPr>
                          <w:pStyle w:val="TableParagraph"/>
                          <w:spacing w:line="164" w:lineRule="exact"/>
                          <w:ind w:right="55"/>
                          <w:jc w:val="right"/>
                          <w:rPr>
                            <w:rFonts w:ascii="Times New Roman" w:hAnsi="Times New Roman" w:cs="Times New Roman" w:eastAsia="Times New Roman" w:hint="default"/>
                            <w:sz w:val="16"/>
                            <w:szCs w:val="16"/>
                          </w:rPr>
                        </w:pPr>
                        <w:r>
                          <w:rPr>
                            <w:rFonts w:ascii="Times New Roman"/>
                            <w:spacing w:val="-1"/>
                            <w:sz w:val="16"/>
                          </w:rPr>
                          <w:t>151,700,943.40</w:t>
                        </w:r>
                      </w:p>
                    </w:tc>
                    <w:tc>
                      <w:tcPr>
                        <w:tcW w:w="1092" w:type="dxa"/>
                        <w:tcBorders>
                          <w:top w:val="nil" w:sz="6" w:space="0" w:color="auto"/>
                          <w:left w:val="nil" w:sz="6" w:space="0" w:color="auto"/>
                          <w:bottom w:val="nil" w:sz="6" w:space="0" w:color="auto"/>
                          <w:right w:val="nil" w:sz="6" w:space="0" w:color="auto"/>
                        </w:tcBorders>
                      </w:tcPr>
                      <w:p>
                        <w:pPr>
                          <w:pStyle w:val="TableParagraph"/>
                          <w:spacing w:line="164" w:lineRule="exact"/>
                          <w:ind w:right="114"/>
                          <w:jc w:val="right"/>
                          <w:rPr>
                            <w:rFonts w:ascii="Times New Roman" w:hAnsi="Times New Roman" w:cs="Times New Roman" w:eastAsia="Times New Roman" w:hint="default"/>
                            <w:sz w:val="16"/>
                            <w:szCs w:val="16"/>
                          </w:rPr>
                        </w:pPr>
                        <w:r>
                          <w:rPr>
                            <w:rFonts w:ascii="Times New Roman"/>
                            <w:spacing w:val="-1"/>
                            <w:sz w:val="16"/>
                          </w:rPr>
                          <w:t>0.00</w:t>
                        </w:r>
                      </w:p>
                    </w:tc>
                    <w:tc>
                      <w:tcPr>
                        <w:tcW w:w="1246" w:type="dxa"/>
                        <w:tcBorders>
                          <w:top w:val="nil" w:sz="6" w:space="0" w:color="auto"/>
                          <w:left w:val="nil" w:sz="6" w:space="0" w:color="auto"/>
                          <w:bottom w:val="nil" w:sz="6" w:space="0" w:color="auto"/>
                          <w:right w:val="nil" w:sz="6" w:space="0" w:color="auto"/>
                        </w:tcBorders>
                      </w:tcPr>
                      <w:p>
                        <w:pPr>
                          <w:pStyle w:val="TableParagraph"/>
                          <w:spacing w:line="164" w:lineRule="exact"/>
                          <w:ind w:right="128"/>
                          <w:jc w:val="right"/>
                          <w:rPr>
                            <w:rFonts w:ascii="Times New Roman" w:hAnsi="Times New Roman" w:cs="Times New Roman" w:eastAsia="Times New Roman" w:hint="default"/>
                            <w:sz w:val="16"/>
                            <w:szCs w:val="16"/>
                          </w:rPr>
                        </w:pPr>
                        <w:r>
                          <w:rPr>
                            <w:rFonts w:ascii="Times New Roman"/>
                            <w:spacing w:val="-1"/>
                            <w:sz w:val="16"/>
                          </w:rPr>
                          <w:t>-7,166,491.48</w:t>
                        </w:r>
                      </w:p>
                    </w:tc>
                    <w:tc>
                      <w:tcPr>
                        <w:tcW w:w="1161" w:type="dxa"/>
                        <w:tcBorders>
                          <w:top w:val="nil" w:sz="6" w:space="0" w:color="auto"/>
                          <w:left w:val="nil" w:sz="6" w:space="0" w:color="auto"/>
                          <w:bottom w:val="nil" w:sz="6" w:space="0" w:color="auto"/>
                          <w:right w:val="nil" w:sz="6" w:space="0" w:color="auto"/>
                        </w:tcBorders>
                      </w:tcPr>
                      <w:p>
                        <w:pPr>
                          <w:pStyle w:val="TableParagraph"/>
                          <w:spacing w:line="164" w:lineRule="exact"/>
                          <w:ind w:right="55"/>
                          <w:jc w:val="right"/>
                          <w:rPr>
                            <w:rFonts w:ascii="Times New Roman" w:hAnsi="Times New Roman" w:cs="Times New Roman" w:eastAsia="Times New Roman" w:hint="default"/>
                            <w:sz w:val="16"/>
                            <w:szCs w:val="16"/>
                          </w:rPr>
                        </w:pPr>
                        <w:r>
                          <w:rPr>
                            <w:rFonts w:ascii="Times New Roman"/>
                            <w:spacing w:val="-1"/>
                            <w:sz w:val="16"/>
                          </w:rPr>
                          <w:t>9,647,181.29</w:t>
                        </w:r>
                      </w:p>
                    </w:tc>
                    <w:tc>
                      <w:tcPr>
                        <w:tcW w:w="1109" w:type="dxa"/>
                        <w:tcBorders>
                          <w:top w:val="nil" w:sz="6" w:space="0" w:color="auto"/>
                          <w:left w:val="nil" w:sz="6" w:space="0" w:color="auto"/>
                          <w:bottom w:val="nil" w:sz="6" w:space="0" w:color="auto"/>
                          <w:right w:val="nil" w:sz="6" w:space="0" w:color="auto"/>
                        </w:tcBorders>
                      </w:tcPr>
                      <w:p>
                        <w:pPr>
                          <w:pStyle w:val="TableParagraph"/>
                          <w:spacing w:line="164" w:lineRule="exact"/>
                          <w:ind w:right="127"/>
                          <w:jc w:val="right"/>
                          <w:rPr>
                            <w:rFonts w:ascii="Times New Roman" w:hAnsi="Times New Roman" w:cs="Times New Roman" w:eastAsia="Times New Roman" w:hint="default"/>
                            <w:sz w:val="16"/>
                            <w:szCs w:val="16"/>
                          </w:rPr>
                        </w:pPr>
                        <w:r>
                          <w:rPr>
                            <w:rFonts w:ascii="Times New Roman"/>
                            <w:spacing w:val="-1"/>
                            <w:sz w:val="16"/>
                          </w:rPr>
                          <w:t>0.00</w:t>
                        </w:r>
                      </w:p>
                    </w:tc>
                    <w:tc>
                      <w:tcPr>
                        <w:tcW w:w="1187" w:type="dxa"/>
                        <w:tcBorders>
                          <w:top w:val="nil" w:sz="6" w:space="0" w:color="auto"/>
                          <w:left w:val="nil" w:sz="6" w:space="0" w:color="auto"/>
                          <w:bottom w:val="nil" w:sz="6" w:space="0" w:color="auto"/>
                          <w:right w:val="nil" w:sz="6" w:space="0" w:color="auto"/>
                        </w:tcBorders>
                      </w:tcPr>
                      <w:p>
                        <w:pPr>
                          <w:pStyle w:val="TableParagraph"/>
                          <w:spacing w:line="164" w:lineRule="exact"/>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35" w:type="dxa"/>
                        <w:tcBorders>
                          <w:top w:val="nil" w:sz="6" w:space="0" w:color="auto"/>
                          <w:left w:val="nil" w:sz="6" w:space="0" w:color="auto"/>
                          <w:bottom w:val="nil" w:sz="6" w:space="0" w:color="auto"/>
                          <w:right w:val="nil" w:sz="6" w:space="0" w:color="auto"/>
                        </w:tcBorders>
                      </w:tcPr>
                      <w:p>
                        <w:pPr>
                          <w:pStyle w:val="TableParagraph"/>
                          <w:spacing w:line="164" w:lineRule="exact"/>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544" w:type="dxa"/>
                        <w:tcBorders>
                          <w:top w:val="nil" w:sz="6" w:space="0" w:color="auto"/>
                          <w:left w:val="nil" w:sz="6" w:space="0" w:color="auto"/>
                          <w:bottom w:val="nil" w:sz="6" w:space="0" w:color="auto"/>
                          <w:right w:val="nil" w:sz="6" w:space="0" w:color="auto"/>
                        </w:tcBorders>
                      </w:tcPr>
                      <w:p>
                        <w:pPr>
                          <w:pStyle w:val="TableParagraph"/>
                          <w:spacing w:line="164" w:lineRule="exact"/>
                          <w:ind w:right="364"/>
                          <w:jc w:val="right"/>
                          <w:rPr>
                            <w:rFonts w:ascii="Times New Roman" w:hAnsi="Times New Roman" w:cs="Times New Roman" w:eastAsia="Times New Roman" w:hint="default"/>
                            <w:sz w:val="16"/>
                            <w:szCs w:val="16"/>
                          </w:rPr>
                        </w:pPr>
                        <w:r>
                          <w:rPr>
                            <w:rFonts w:ascii="Times New Roman"/>
                            <w:spacing w:val="-1"/>
                            <w:sz w:val="16"/>
                          </w:rPr>
                          <w:t>1,190,570,589.99</w:t>
                        </w:r>
                      </w:p>
                    </w:tc>
                    <w:tc>
                      <w:tcPr>
                        <w:tcW w:w="704" w:type="dxa"/>
                        <w:tcBorders>
                          <w:top w:val="nil" w:sz="6" w:space="0" w:color="auto"/>
                          <w:left w:val="nil" w:sz="6" w:space="0" w:color="auto"/>
                          <w:bottom w:val="nil" w:sz="6" w:space="0" w:color="auto"/>
                          <w:right w:val="nil" w:sz="6" w:space="0" w:color="auto"/>
                        </w:tcBorders>
                      </w:tcPr>
                      <w:p>
                        <w:pPr>
                          <w:pStyle w:val="TableParagraph"/>
                          <w:spacing w:line="164" w:lineRule="exact"/>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300" w:hRule="exact"/>
                    </w:trPr>
                    <w:tc>
                      <w:tcPr>
                        <w:tcW w:w="3751" w:type="dxa"/>
                        <w:tcBorders>
                          <w:top w:val="nil" w:sz="6" w:space="0" w:color="auto"/>
                          <w:left w:val="nil" w:sz="6" w:space="0" w:color="auto"/>
                          <w:bottom w:val="single" w:sz="4" w:space="0" w:color="000000"/>
                          <w:right w:val="nil" w:sz="6" w:space="0" w:color="auto"/>
                        </w:tcBorders>
                      </w:tcPr>
                      <w:p>
                        <w:pPr>
                          <w:pStyle w:val="TableParagraph"/>
                          <w:tabs>
                            <w:tab w:pos="2786" w:val="left" w:leader="none"/>
                          </w:tabs>
                          <w:spacing w:line="240" w:lineRule="auto" w:before="60"/>
                          <w:ind w:right="6"/>
                          <w:jc w:val="center"/>
                          <w:rPr>
                            <w:rFonts w:ascii="Times New Roman" w:hAnsi="Times New Roman" w:cs="Times New Roman" w:eastAsia="Times New Roman" w:hint="default"/>
                            <w:sz w:val="16"/>
                            <w:szCs w:val="16"/>
                          </w:rPr>
                        </w:pPr>
                        <w:r>
                          <w:rPr>
                            <w:rFonts w:ascii="宋体" w:hAnsi="宋体" w:cs="宋体" w:eastAsia="宋体" w:hint="default"/>
                            <w:position w:val="1"/>
                            <w:sz w:val="16"/>
                            <w:szCs w:val="16"/>
                          </w:rPr>
                          <w:t>司</w:t>
                          <w:tab/>
                        </w:r>
                        <w:r>
                          <w:rPr>
                            <w:rFonts w:ascii="Times New Roman" w:hAnsi="Times New Roman" w:cs="Times New Roman" w:eastAsia="Times New Roman" w:hint="default"/>
                            <w:sz w:val="16"/>
                            <w:szCs w:val="16"/>
                          </w:rPr>
                          <w:t>7,679,070.10</w:t>
                        </w:r>
                      </w:p>
                    </w:tc>
                    <w:tc>
                      <w:tcPr>
                        <w:tcW w:w="1124" w:type="dxa"/>
                        <w:tcBorders>
                          <w:top w:val="nil" w:sz="6" w:space="0" w:color="auto"/>
                          <w:left w:val="nil" w:sz="6" w:space="0" w:color="auto"/>
                          <w:bottom w:val="single" w:sz="4" w:space="0" w:color="000000"/>
                          <w:right w:val="nil" w:sz="6" w:space="0" w:color="auto"/>
                        </w:tcBorders>
                      </w:tcPr>
                      <w:p>
                        <w:pPr>
                          <w:pStyle w:val="TableParagraph"/>
                          <w:spacing w:line="240" w:lineRule="auto" w:before="107"/>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92" w:type="dxa"/>
                        <w:tcBorders>
                          <w:top w:val="nil" w:sz="6" w:space="0" w:color="auto"/>
                          <w:left w:val="nil" w:sz="6" w:space="0" w:color="auto"/>
                          <w:bottom w:val="single" w:sz="4" w:space="0" w:color="000000"/>
                          <w:right w:val="nil" w:sz="6" w:space="0" w:color="auto"/>
                        </w:tcBorders>
                      </w:tcPr>
                      <w:p>
                        <w:pPr>
                          <w:pStyle w:val="TableParagraph"/>
                          <w:spacing w:line="240" w:lineRule="auto" w:before="107"/>
                          <w:ind w:right="114"/>
                          <w:jc w:val="right"/>
                          <w:rPr>
                            <w:rFonts w:ascii="Times New Roman" w:hAnsi="Times New Roman" w:cs="Times New Roman" w:eastAsia="Times New Roman" w:hint="default"/>
                            <w:sz w:val="16"/>
                            <w:szCs w:val="16"/>
                          </w:rPr>
                        </w:pPr>
                        <w:r>
                          <w:rPr>
                            <w:rFonts w:ascii="Times New Roman"/>
                            <w:spacing w:val="-1"/>
                            <w:sz w:val="16"/>
                          </w:rPr>
                          <w:t>6,826,972.97</w:t>
                        </w:r>
                      </w:p>
                    </w:tc>
                    <w:tc>
                      <w:tcPr>
                        <w:tcW w:w="1246" w:type="dxa"/>
                        <w:tcBorders>
                          <w:top w:val="nil" w:sz="6" w:space="0" w:color="auto"/>
                          <w:left w:val="nil" w:sz="6" w:space="0" w:color="auto"/>
                          <w:bottom w:val="single" w:sz="4" w:space="0" w:color="000000"/>
                          <w:right w:val="nil" w:sz="6" w:space="0" w:color="auto"/>
                        </w:tcBorders>
                      </w:tcPr>
                      <w:p>
                        <w:pPr>
                          <w:pStyle w:val="TableParagraph"/>
                          <w:spacing w:line="240" w:lineRule="auto" w:before="107"/>
                          <w:ind w:right="128"/>
                          <w:jc w:val="right"/>
                          <w:rPr>
                            <w:rFonts w:ascii="Times New Roman" w:hAnsi="Times New Roman" w:cs="Times New Roman" w:eastAsia="Times New Roman" w:hint="default"/>
                            <w:sz w:val="16"/>
                            <w:szCs w:val="16"/>
                          </w:rPr>
                        </w:pPr>
                        <w:r>
                          <w:rPr>
                            <w:rFonts w:ascii="Times New Roman"/>
                            <w:spacing w:val="-1"/>
                            <w:sz w:val="16"/>
                          </w:rPr>
                          <w:t>-852,097.13</w:t>
                        </w:r>
                      </w:p>
                    </w:tc>
                    <w:tc>
                      <w:tcPr>
                        <w:tcW w:w="1161" w:type="dxa"/>
                        <w:tcBorders>
                          <w:top w:val="nil" w:sz="6" w:space="0" w:color="auto"/>
                          <w:left w:val="nil" w:sz="6" w:space="0" w:color="auto"/>
                          <w:bottom w:val="single" w:sz="4" w:space="0" w:color="000000"/>
                          <w:right w:val="nil" w:sz="6" w:space="0" w:color="auto"/>
                        </w:tcBorders>
                      </w:tcPr>
                      <w:p>
                        <w:pPr>
                          <w:pStyle w:val="TableParagraph"/>
                          <w:spacing w:line="240" w:lineRule="auto" w:before="107"/>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1109" w:type="dxa"/>
                        <w:tcBorders>
                          <w:top w:val="nil" w:sz="6" w:space="0" w:color="auto"/>
                          <w:left w:val="nil" w:sz="6" w:space="0" w:color="auto"/>
                          <w:bottom w:val="single" w:sz="4" w:space="0" w:color="000000"/>
                          <w:right w:val="nil" w:sz="6" w:space="0" w:color="auto"/>
                        </w:tcBorders>
                      </w:tcPr>
                      <w:p>
                        <w:pPr>
                          <w:pStyle w:val="TableParagraph"/>
                          <w:spacing w:line="240" w:lineRule="auto" w:before="107"/>
                          <w:ind w:right="127"/>
                          <w:jc w:val="right"/>
                          <w:rPr>
                            <w:rFonts w:ascii="Times New Roman" w:hAnsi="Times New Roman" w:cs="Times New Roman" w:eastAsia="Times New Roman" w:hint="default"/>
                            <w:sz w:val="16"/>
                            <w:szCs w:val="16"/>
                          </w:rPr>
                        </w:pPr>
                        <w:r>
                          <w:rPr>
                            <w:rFonts w:ascii="Times New Roman"/>
                            <w:spacing w:val="-1"/>
                            <w:sz w:val="16"/>
                          </w:rPr>
                          <w:t>0.00</w:t>
                        </w:r>
                      </w:p>
                    </w:tc>
                    <w:tc>
                      <w:tcPr>
                        <w:tcW w:w="1187" w:type="dxa"/>
                        <w:tcBorders>
                          <w:top w:val="nil" w:sz="6" w:space="0" w:color="auto"/>
                          <w:left w:val="nil" w:sz="6" w:space="0" w:color="auto"/>
                          <w:bottom w:val="single" w:sz="4" w:space="0" w:color="000000"/>
                          <w:right w:val="nil" w:sz="6" w:space="0" w:color="auto"/>
                        </w:tcBorders>
                      </w:tcPr>
                      <w:p>
                        <w:pPr>
                          <w:pStyle w:val="TableParagraph"/>
                          <w:spacing w:line="240" w:lineRule="auto" w:before="107"/>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35" w:type="dxa"/>
                        <w:tcBorders>
                          <w:top w:val="nil" w:sz="6" w:space="0" w:color="auto"/>
                          <w:left w:val="nil" w:sz="6" w:space="0" w:color="auto"/>
                          <w:bottom w:val="single" w:sz="4" w:space="0" w:color="000000"/>
                          <w:right w:val="nil" w:sz="6" w:space="0" w:color="auto"/>
                        </w:tcBorders>
                      </w:tcPr>
                      <w:p>
                        <w:pPr>
                          <w:pStyle w:val="TableParagraph"/>
                          <w:spacing w:line="240" w:lineRule="auto" w:before="107"/>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544" w:type="dxa"/>
                        <w:tcBorders>
                          <w:top w:val="nil" w:sz="6" w:space="0" w:color="auto"/>
                          <w:left w:val="nil" w:sz="6" w:space="0" w:color="auto"/>
                          <w:bottom w:val="single" w:sz="4" w:space="0" w:color="000000"/>
                          <w:right w:val="nil" w:sz="6" w:space="0" w:color="auto"/>
                        </w:tcBorders>
                      </w:tcPr>
                      <w:p>
                        <w:pPr>
                          <w:pStyle w:val="TableParagraph"/>
                          <w:spacing w:line="240" w:lineRule="auto" w:before="107"/>
                          <w:ind w:right="363"/>
                          <w:jc w:val="right"/>
                          <w:rPr>
                            <w:rFonts w:ascii="Times New Roman" w:hAnsi="Times New Roman" w:cs="Times New Roman" w:eastAsia="Times New Roman" w:hint="default"/>
                            <w:sz w:val="16"/>
                            <w:szCs w:val="16"/>
                          </w:rPr>
                        </w:pPr>
                        <w:r>
                          <w:rPr>
                            <w:rFonts w:ascii="Times New Roman"/>
                            <w:spacing w:val="-1"/>
                            <w:sz w:val="16"/>
                          </w:rPr>
                          <w:t>0.00</w:t>
                        </w:r>
                      </w:p>
                    </w:tc>
                    <w:tc>
                      <w:tcPr>
                        <w:tcW w:w="704" w:type="dxa"/>
                        <w:tcBorders>
                          <w:top w:val="nil" w:sz="6" w:space="0" w:color="auto"/>
                          <w:left w:val="nil" w:sz="6" w:space="0" w:color="auto"/>
                          <w:bottom w:val="single" w:sz="4" w:space="0" w:color="000000"/>
                          <w:right w:val="nil" w:sz="6" w:space="0" w:color="auto"/>
                        </w:tcBorders>
                      </w:tcPr>
                      <w:p>
                        <w:pPr>
                          <w:pStyle w:val="TableParagraph"/>
                          <w:spacing w:line="240" w:lineRule="auto" w:before="107"/>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629" w:hRule="exact"/>
                    </w:trPr>
                    <w:tc>
                      <w:tcPr>
                        <w:tcW w:w="3751" w:type="dxa"/>
                        <w:tcBorders>
                          <w:top w:val="single" w:sz="4" w:space="0" w:color="000000"/>
                          <w:left w:val="nil" w:sz="6" w:space="0" w:color="auto"/>
                          <w:bottom w:val="nil" w:sz="6" w:space="0" w:color="auto"/>
                          <w:right w:val="nil" w:sz="6" w:space="0" w:color="auto"/>
                        </w:tcBorders>
                      </w:tcPr>
                      <w:p>
                        <w:pPr>
                          <w:pStyle w:val="TableParagraph"/>
                          <w:spacing w:line="240" w:lineRule="auto" w:before="53"/>
                          <w:ind w:left="57" w:right="0"/>
                          <w:jc w:val="left"/>
                          <w:rPr>
                            <w:rFonts w:ascii="宋体" w:hAnsi="宋体" w:cs="宋体" w:eastAsia="宋体" w:hint="default"/>
                            <w:sz w:val="16"/>
                            <w:szCs w:val="16"/>
                          </w:rPr>
                        </w:pPr>
                        <w:r>
                          <w:rPr>
                            <w:rFonts w:ascii="宋体" w:hAnsi="宋体" w:cs="宋体" w:eastAsia="宋体" w:hint="default"/>
                            <w:sz w:val="16"/>
                            <w:szCs w:val="16"/>
                          </w:rPr>
                          <w:t>二、联营企业</w:t>
                        </w:r>
                      </w:p>
                      <w:p>
                        <w:pPr>
                          <w:pStyle w:val="TableParagraph"/>
                          <w:tabs>
                            <w:tab w:pos="2683" w:val="left" w:leader="none"/>
                          </w:tabs>
                          <w:spacing w:line="240" w:lineRule="auto" w:before="71"/>
                          <w:ind w:left="57" w:right="0"/>
                          <w:jc w:val="left"/>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泰豪科技股份有限公司</w:t>
                          <w:tab/>
                        </w:r>
                        <w:r>
                          <w:rPr>
                            <w:rFonts w:ascii="Times New Roman" w:hAnsi="Times New Roman" w:cs="Times New Roman" w:eastAsia="Times New Roman" w:hint="default"/>
                            <w:spacing w:val="-1"/>
                            <w:sz w:val="16"/>
                            <w:szCs w:val="16"/>
                          </w:rPr>
                          <w:t>478,149,651.69</w:t>
                        </w:r>
                      </w:p>
                    </w:tc>
                    <w:tc>
                      <w:tcPr>
                        <w:tcW w:w="112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92"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14"/>
                          <w:jc w:val="right"/>
                          <w:rPr>
                            <w:rFonts w:ascii="Times New Roman" w:hAnsi="Times New Roman" w:cs="Times New Roman" w:eastAsia="Times New Roman" w:hint="default"/>
                            <w:sz w:val="16"/>
                            <w:szCs w:val="16"/>
                          </w:rPr>
                        </w:pPr>
                        <w:r>
                          <w:rPr>
                            <w:rFonts w:ascii="Times New Roman"/>
                            <w:spacing w:val="-1"/>
                            <w:sz w:val="16"/>
                          </w:rPr>
                          <w:t>4,188,822.25</w:t>
                        </w:r>
                      </w:p>
                    </w:tc>
                    <w:tc>
                      <w:tcPr>
                        <w:tcW w:w="1246"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28"/>
                          <w:jc w:val="right"/>
                          <w:rPr>
                            <w:rFonts w:ascii="Times New Roman" w:hAnsi="Times New Roman" w:cs="Times New Roman" w:eastAsia="Times New Roman" w:hint="default"/>
                            <w:sz w:val="16"/>
                            <w:szCs w:val="16"/>
                          </w:rPr>
                        </w:pPr>
                        <w:r>
                          <w:rPr>
                            <w:rFonts w:ascii="Times New Roman"/>
                            <w:spacing w:val="-2"/>
                            <w:sz w:val="16"/>
                          </w:rPr>
                          <w:t>14,901,794.26</w:t>
                        </w:r>
                      </w:p>
                    </w:tc>
                    <w:tc>
                      <w:tcPr>
                        <w:tcW w:w="1161"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1109"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29"/>
                          <w:jc w:val="right"/>
                          <w:rPr>
                            <w:rFonts w:ascii="Times New Roman" w:hAnsi="Times New Roman" w:cs="Times New Roman" w:eastAsia="Times New Roman" w:hint="default"/>
                            <w:sz w:val="16"/>
                            <w:szCs w:val="16"/>
                          </w:rPr>
                        </w:pPr>
                        <w:r>
                          <w:rPr>
                            <w:rFonts w:ascii="Times New Roman"/>
                            <w:spacing w:val="-2"/>
                            <w:sz w:val="16"/>
                          </w:rPr>
                          <w:t>55,501,857.77</w:t>
                        </w:r>
                      </w:p>
                    </w:tc>
                    <w:tc>
                      <w:tcPr>
                        <w:tcW w:w="1187"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54"/>
                          <w:jc w:val="right"/>
                          <w:rPr>
                            <w:rFonts w:ascii="Times New Roman" w:hAnsi="Times New Roman" w:cs="Times New Roman" w:eastAsia="Times New Roman" w:hint="default"/>
                            <w:sz w:val="16"/>
                            <w:szCs w:val="16"/>
                          </w:rPr>
                        </w:pPr>
                        <w:r>
                          <w:rPr>
                            <w:rFonts w:ascii="Times New Roman"/>
                            <w:spacing w:val="-1"/>
                            <w:sz w:val="16"/>
                          </w:rPr>
                          <w:t>6,150,740.70</w:t>
                        </w:r>
                      </w:p>
                    </w:tc>
                    <w:tc>
                      <w:tcPr>
                        <w:tcW w:w="1035"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54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364"/>
                          <w:jc w:val="right"/>
                          <w:rPr>
                            <w:rFonts w:ascii="Times New Roman" w:hAnsi="Times New Roman" w:cs="Times New Roman" w:eastAsia="Times New Roman" w:hint="default"/>
                            <w:sz w:val="16"/>
                            <w:szCs w:val="16"/>
                          </w:rPr>
                        </w:pPr>
                        <w:r>
                          <w:rPr>
                            <w:rFonts w:ascii="Times New Roman"/>
                            <w:spacing w:val="-1"/>
                            <w:sz w:val="16"/>
                          </w:rPr>
                          <w:t>538,213,740.77</w:t>
                        </w:r>
                      </w:p>
                    </w:tc>
                    <w:tc>
                      <w:tcPr>
                        <w:tcW w:w="70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3751" w:type="dxa"/>
                        <w:tcBorders>
                          <w:top w:val="nil" w:sz="6" w:space="0" w:color="auto"/>
                          <w:left w:val="nil" w:sz="6" w:space="0" w:color="auto"/>
                          <w:bottom w:val="nil" w:sz="6" w:space="0" w:color="auto"/>
                          <w:right w:val="nil" w:sz="6" w:space="0" w:color="auto"/>
                        </w:tcBorders>
                      </w:tcPr>
                      <w:p>
                        <w:pPr>
                          <w:pStyle w:val="TableParagraph"/>
                          <w:tabs>
                            <w:tab w:pos="2625" w:val="left" w:leader="none"/>
                          </w:tabs>
                          <w:spacing w:line="226" w:lineRule="exact"/>
                          <w:ind w:right="6"/>
                          <w:jc w:val="center"/>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同方投资有限公司</w:t>
                          <w:tab/>
                        </w:r>
                        <w:r>
                          <w:rPr>
                            <w:rFonts w:ascii="Times New Roman" w:hAnsi="Times New Roman" w:cs="Times New Roman" w:eastAsia="Times New Roman" w:hint="default"/>
                            <w:spacing w:val="-1"/>
                            <w:sz w:val="16"/>
                            <w:szCs w:val="16"/>
                          </w:rPr>
                          <w:t>396,161,626.26</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14"/>
                          <w:jc w:val="right"/>
                          <w:rPr>
                            <w:rFonts w:ascii="Times New Roman" w:hAnsi="Times New Roman" w:cs="Times New Roman" w:eastAsia="Times New Roman" w:hint="default"/>
                            <w:sz w:val="16"/>
                            <w:szCs w:val="16"/>
                          </w:rPr>
                        </w:pPr>
                        <w:r>
                          <w:rPr>
                            <w:rFonts w:ascii="Times New Roman"/>
                            <w:spacing w:val="-1"/>
                            <w:sz w:val="16"/>
                          </w:rPr>
                          <w:t>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8"/>
                          <w:jc w:val="right"/>
                          <w:rPr>
                            <w:rFonts w:ascii="Times New Roman" w:hAnsi="Times New Roman" w:cs="Times New Roman" w:eastAsia="Times New Roman" w:hint="default"/>
                            <w:sz w:val="16"/>
                            <w:szCs w:val="16"/>
                          </w:rPr>
                        </w:pPr>
                        <w:r>
                          <w:rPr>
                            <w:rFonts w:ascii="Times New Roman"/>
                            <w:spacing w:val="-2"/>
                            <w:sz w:val="16"/>
                          </w:rPr>
                          <w:t>65,021,170.32</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6"/>
                          <w:jc w:val="right"/>
                          <w:rPr>
                            <w:rFonts w:ascii="Times New Roman" w:hAnsi="Times New Roman" w:cs="Times New Roman" w:eastAsia="Times New Roman" w:hint="default"/>
                            <w:sz w:val="16"/>
                            <w:szCs w:val="16"/>
                          </w:rPr>
                        </w:pPr>
                        <w:r>
                          <w:rPr>
                            <w:rFonts w:ascii="Times New Roman"/>
                            <w:spacing w:val="-1"/>
                            <w:sz w:val="16"/>
                          </w:rPr>
                          <w:t>-24,289,563.03</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7"/>
                          <w:jc w:val="right"/>
                          <w:rPr>
                            <w:rFonts w:ascii="Times New Roman" w:hAnsi="Times New Roman" w:cs="Times New Roman" w:eastAsia="Times New Roman" w:hint="default"/>
                            <w:sz w:val="16"/>
                            <w:szCs w:val="16"/>
                          </w:rPr>
                        </w:pPr>
                        <w:r>
                          <w:rPr>
                            <w:rFonts w:ascii="Times New Roman"/>
                            <w:spacing w:val="-1"/>
                            <w:sz w:val="16"/>
                          </w:rPr>
                          <w:t>565,038.43</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6"/>
                          <w:jc w:val="right"/>
                          <w:rPr>
                            <w:rFonts w:ascii="Times New Roman" w:hAnsi="Times New Roman" w:cs="Times New Roman" w:eastAsia="Times New Roman" w:hint="default"/>
                            <w:sz w:val="16"/>
                            <w:szCs w:val="16"/>
                          </w:rPr>
                        </w:pPr>
                        <w:r>
                          <w:rPr>
                            <w:rFonts w:ascii="Times New Roman"/>
                            <w:spacing w:val="-2"/>
                            <w:sz w:val="16"/>
                          </w:rPr>
                          <w:t>72,727,272.73</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64"/>
                          <w:jc w:val="right"/>
                          <w:rPr>
                            <w:rFonts w:ascii="Times New Roman" w:hAnsi="Times New Roman" w:cs="Times New Roman" w:eastAsia="Times New Roman" w:hint="default"/>
                            <w:sz w:val="16"/>
                            <w:szCs w:val="16"/>
                          </w:rPr>
                        </w:pPr>
                        <w:r>
                          <w:rPr>
                            <w:rFonts w:ascii="Times New Roman"/>
                            <w:spacing w:val="-1"/>
                            <w:sz w:val="16"/>
                          </w:rPr>
                          <w:t>364,730,999.25</w:t>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3751" w:type="dxa"/>
                        <w:tcBorders>
                          <w:top w:val="nil" w:sz="6" w:space="0" w:color="auto"/>
                          <w:left w:val="nil" w:sz="6" w:space="0" w:color="auto"/>
                          <w:bottom w:val="nil" w:sz="6" w:space="0" w:color="auto"/>
                          <w:right w:val="nil" w:sz="6" w:space="0" w:color="auto"/>
                        </w:tcBorders>
                      </w:tcPr>
                      <w:p>
                        <w:pPr>
                          <w:pStyle w:val="TableParagraph"/>
                          <w:tabs>
                            <w:tab w:pos="2625" w:val="left" w:leader="none"/>
                          </w:tabs>
                          <w:spacing w:line="226" w:lineRule="exact"/>
                          <w:ind w:right="6"/>
                          <w:jc w:val="center"/>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同方江新造船有限公司</w:t>
                          <w:tab/>
                        </w:r>
                        <w:r>
                          <w:rPr>
                            <w:rFonts w:ascii="Times New Roman" w:hAnsi="Times New Roman" w:cs="Times New Roman" w:eastAsia="Times New Roman" w:hint="default"/>
                            <w:spacing w:val="-1"/>
                            <w:sz w:val="16"/>
                            <w:szCs w:val="16"/>
                          </w:rPr>
                          <w:t>329,082,998.86</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14"/>
                          <w:jc w:val="right"/>
                          <w:rPr>
                            <w:rFonts w:ascii="Times New Roman" w:hAnsi="Times New Roman" w:cs="Times New Roman" w:eastAsia="Times New Roman" w:hint="default"/>
                            <w:sz w:val="16"/>
                            <w:szCs w:val="16"/>
                          </w:rPr>
                        </w:pPr>
                        <w:r>
                          <w:rPr>
                            <w:rFonts w:ascii="Times New Roman"/>
                            <w:spacing w:val="-1"/>
                            <w:sz w:val="16"/>
                          </w:rPr>
                          <w:t>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8"/>
                          <w:jc w:val="right"/>
                          <w:rPr>
                            <w:rFonts w:ascii="Times New Roman" w:hAnsi="Times New Roman" w:cs="Times New Roman" w:eastAsia="Times New Roman" w:hint="default"/>
                            <w:sz w:val="16"/>
                            <w:szCs w:val="16"/>
                          </w:rPr>
                        </w:pPr>
                        <w:r>
                          <w:rPr>
                            <w:rFonts w:ascii="Times New Roman"/>
                            <w:spacing w:val="-1"/>
                            <w:sz w:val="16"/>
                          </w:rPr>
                          <w:t>-4,775,371.65</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7"/>
                          <w:jc w:val="right"/>
                          <w:rPr>
                            <w:rFonts w:ascii="Times New Roman" w:hAnsi="Times New Roman" w:cs="Times New Roman" w:eastAsia="Times New Roman" w:hint="default"/>
                            <w:sz w:val="16"/>
                            <w:szCs w:val="16"/>
                          </w:rPr>
                        </w:pPr>
                        <w:r>
                          <w:rPr>
                            <w:rFonts w:ascii="Times New Roman"/>
                            <w:spacing w:val="-1"/>
                            <w:sz w:val="16"/>
                          </w:rPr>
                          <w:t>0.00</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64"/>
                          <w:jc w:val="right"/>
                          <w:rPr>
                            <w:rFonts w:ascii="Times New Roman" w:hAnsi="Times New Roman" w:cs="Times New Roman" w:eastAsia="Times New Roman" w:hint="default"/>
                            <w:sz w:val="16"/>
                            <w:szCs w:val="16"/>
                          </w:rPr>
                        </w:pPr>
                        <w:r>
                          <w:rPr>
                            <w:rFonts w:ascii="Times New Roman"/>
                            <w:spacing w:val="-1"/>
                            <w:sz w:val="16"/>
                          </w:rPr>
                          <w:t>324,307,627.21</w:t>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4" w:hRule="exact"/>
                    </w:trPr>
                    <w:tc>
                      <w:tcPr>
                        <w:tcW w:w="3751" w:type="dxa"/>
                        <w:tcBorders>
                          <w:top w:val="nil" w:sz="6" w:space="0" w:color="auto"/>
                          <w:left w:val="nil" w:sz="6" w:space="0" w:color="auto"/>
                          <w:bottom w:val="nil" w:sz="6" w:space="0" w:color="auto"/>
                          <w:right w:val="nil" w:sz="6" w:space="0" w:color="auto"/>
                        </w:tcBorders>
                      </w:tcPr>
                      <w:p>
                        <w:pPr>
                          <w:pStyle w:val="TableParagraph"/>
                          <w:tabs>
                            <w:tab w:pos="2625" w:val="left" w:leader="none"/>
                          </w:tabs>
                          <w:spacing w:line="226" w:lineRule="exact"/>
                          <w:ind w:right="6"/>
                          <w:jc w:val="center"/>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嘉融投资有限公司</w:t>
                          <w:tab/>
                        </w:r>
                        <w:r>
                          <w:rPr>
                            <w:rFonts w:ascii="Times New Roman" w:hAnsi="Times New Roman" w:cs="Times New Roman" w:eastAsia="Times New Roman" w:hint="default"/>
                            <w:spacing w:val="-1"/>
                            <w:sz w:val="16"/>
                            <w:szCs w:val="16"/>
                          </w:rPr>
                          <w:t>327,203,081.27</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14"/>
                          <w:jc w:val="right"/>
                          <w:rPr>
                            <w:rFonts w:ascii="Times New Roman" w:hAnsi="Times New Roman" w:cs="Times New Roman" w:eastAsia="Times New Roman" w:hint="default"/>
                            <w:sz w:val="16"/>
                            <w:szCs w:val="16"/>
                          </w:rPr>
                        </w:pPr>
                        <w:r>
                          <w:rPr>
                            <w:rFonts w:ascii="Times New Roman"/>
                            <w:spacing w:val="-1"/>
                            <w:sz w:val="16"/>
                          </w:rPr>
                          <w:t>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6"/>
                          <w:jc w:val="right"/>
                          <w:rPr>
                            <w:rFonts w:ascii="Times New Roman" w:hAnsi="Times New Roman" w:cs="Times New Roman" w:eastAsia="Times New Roman" w:hint="default"/>
                            <w:sz w:val="16"/>
                            <w:szCs w:val="16"/>
                          </w:rPr>
                        </w:pPr>
                        <w:r>
                          <w:rPr>
                            <w:rFonts w:ascii="Times New Roman"/>
                            <w:spacing w:val="-1"/>
                            <w:sz w:val="16"/>
                          </w:rPr>
                          <w:t>4,539,585.41</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7"/>
                          <w:jc w:val="right"/>
                          <w:rPr>
                            <w:rFonts w:ascii="Times New Roman" w:hAnsi="Times New Roman" w:cs="Times New Roman" w:eastAsia="Times New Roman" w:hint="default"/>
                            <w:sz w:val="16"/>
                            <w:szCs w:val="16"/>
                          </w:rPr>
                        </w:pPr>
                        <w:r>
                          <w:rPr>
                            <w:rFonts w:ascii="Times New Roman"/>
                            <w:spacing w:val="-1"/>
                            <w:sz w:val="16"/>
                          </w:rPr>
                          <w:t>0.00</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8,684,390.00</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64"/>
                          <w:jc w:val="right"/>
                          <w:rPr>
                            <w:rFonts w:ascii="Times New Roman" w:hAnsi="Times New Roman" w:cs="Times New Roman" w:eastAsia="Times New Roman" w:hint="default"/>
                            <w:sz w:val="16"/>
                            <w:szCs w:val="16"/>
                          </w:rPr>
                        </w:pPr>
                        <w:r>
                          <w:rPr>
                            <w:rFonts w:ascii="Times New Roman"/>
                            <w:spacing w:val="-1"/>
                            <w:sz w:val="16"/>
                          </w:rPr>
                          <w:t>323,058,276.68</w:t>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4" w:hRule="exact"/>
                    </w:trPr>
                    <w:tc>
                      <w:tcPr>
                        <w:tcW w:w="3751" w:type="dxa"/>
                        <w:tcBorders>
                          <w:top w:val="nil" w:sz="6" w:space="0" w:color="auto"/>
                          <w:left w:val="nil" w:sz="6" w:space="0" w:color="auto"/>
                          <w:bottom w:val="nil" w:sz="6" w:space="0" w:color="auto"/>
                          <w:right w:val="nil" w:sz="6" w:space="0" w:color="auto"/>
                        </w:tcBorders>
                      </w:tcPr>
                      <w:p>
                        <w:pPr>
                          <w:pStyle w:val="TableParagraph"/>
                          <w:tabs>
                            <w:tab w:pos="2625" w:val="left" w:leader="none"/>
                          </w:tabs>
                          <w:spacing w:line="225" w:lineRule="exact"/>
                          <w:ind w:right="6"/>
                          <w:jc w:val="center"/>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同方环境股份有限公司</w:t>
                          <w:tab/>
                        </w:r>
                        <w:r>
                          <w:rPr>
                            <w:rFonts w:ascii="Times New Roman" w:hAnsi="Times New Roman" w:cs="Times New Roman" w:eastAsia="Times New Roman" w:hint="default"/>
                            <w:spacing w:val="-1"/>
                            <w:sz w:val="16"/>
                            <w:szCs w:val="16"/>
                          </w:rPr>
                          <w:t>165,895,326.10</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14"/>
                          <w:jc w:val="right"/>
                          <w:rPr>
                            <w:rFonts w:ascii="Times New Roman" w:hAnsi="Times New Roman" w:cs="Times New Roman" w:eastAsia="Times New Roman" w:hint="default"/>
                            <w:sz w:val="16"/>
                            <w:szCs w:val="16"/>
                          </w:rPr>
                        </w:pPr>
                        <w:r>
                          <w:rPr>
                            <w:rFonts w:ascii="Times New Roman"/>
                            <w:spacing w:val="-1"/>
                            <w:sz w:val="16"/>
                          </w:rPr>
                          <w:t>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28"/>
                          <w:jc w:val="right"/>
                          <w:rPr>
                            <w:rFonts w:ascii="Times New Roman" w:hAnsi="Times New Roman" w:cs="Times New Roman" w:eastAsia="Times New Roman" w:hint="default"/>
                            <w:sz w:val="16"/>
                            <w:szCs w:val="16"/>
                          </w:rPr>
                        </w:pPr>
                        <w:r>
                          <w:rPr>
                            <w:rFonts w:ascii="Times New Roman"/>
                            <w:spacing w:val="-2"/>
                            <w:sz w:val="16"/>
                          </w:rPr>
                          <w:t>13,098,166.44</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
                          <w:jc w:val="right"/>
                          <w:rPr>
                            <w:rFonts w:ascii="Times New Roman" w:hAnsi="Times New Roman" w:cs="Times New Roman" w:eastAsia="Times New Roman" w:hint="default"/>
                            <w:sz w:val="16"/>
                            <w:szCs w:val="16"/>
                          </w:rPr>
                        </w:pPr>
                        <w:r>
                          <w:rPr>
                            <w:rFonts w:ascii="Times New Roman"/>
                            <w:spacing w:val="-1"/>
                            <w:sz w:val="16"/>
                          </w:rPr>
                          <w:t>86,029.79</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27"/>
                          <w:jc w:val="right"/>
                          <w:rPr>
                            <w:rFonts w:ascii="Times New Roman" w:hAnsi="Times New Roman" w:cs="Times New Roman" w:eastAsia="Times New Roman" w:hint="default"/>
                            <w:sz w:val="16"/>
                            <w:szCs w:val="16"/>
                          </w:rPr>
                        </w:pPr>
                        <w:r>
                          <w:rPr>
                            <w:rFonts w:ascii="Times New Roman"/>
                            <w:spacing w:val="-1"/>
                            <w:sz w:val="16"/>
                          </w:rPr>
                          <w:t>-10,904.16</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6"/>
                          <w:jc w:val="right"/>
                          <w:rPr>
                            <w:rFonts w:ascii="Times New Roman" w:hAnsi="Times New Roman" w:cs="Times New Roman" w:eastAsia="Times New Roman" w:hint="default"/>
                            <w:sz w:val="16"/>
                            <w:szCs w:val="16"/>
                          </w:rPr>
                        </w:pPr>
                        <w:r>
                          <w:rPr>
                            <w:rFonts w:ascii="Times New Roman"/>
                            <w:spacing w:val="-2"/>
                            <w:sz w:val="16"/>
                          </w:rPr>
                          <w:t>33,626,880.00</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364"/>
                          <w:jc w:val="right"/>
                          <w:rPr>
                            <w:rFonts w:ascii="Times New Roman" w:hAnsi="Times New Roman" w:cs="Times New Roman" w:eastAsia="Times New Roman" w:hint="default"/>
                            <w:sz w:val="16"/>
                            <w:szCs w:val="16"/>
                          </w:rPr>
                        </w:pPr>
                        <w:r>
                          <w:rPr>
                            <w:rFonts w:ascii="Times New Roman"/>
                            <w:spacing w:val="-1"/>
                            <w:sz w:val="16"/>
                          </w:rPr>
                          <w:t>145,441,738.17</w:t>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3751" w:type="dxa"/>
                        <w:tcBorders>
                          <w:top w:val="nil" w:sz="6" w:space="0" w:color="auto"/>
                          <w:left w:val="nil" w:sz="6" w:space="0" w:color="auto"/>
                          <w:bottom w:val="nil" w:sz="6" w:space="0" w:color="auto"/>
                          <w:right w:val="nil" w:sz="6" w:space="0" w:color="auto"/>
                        </w:tcBorders>
                      </w:tcPr>
                      <w:p>
                        <w:pPr>
                          <w:pStyle w:val="TableParagraph"/>
                          <w:tabs>
                            <w:tab w:pos="2705" w:val="left" w:leader="none"/>
                          </w:tabs>
                          <w:spacing w:line="226" w:lineRule="exact"/>
                          <w:ind w:right="8"/>
                          <w:jc w:val="center"/>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同方泰豪动漫产业投资有限公司</w:t>
                          <w:tab/>
                        </w:r>
                        <w:r>
                          <w:rPr>
                            <w:rFonts w:ascii="Times New Roman" w:hAnsi="Times New Roman" w:cs="Times New Roman" w:eastAsia="Times New Roman" w:hint="default"/>
                            <w:spacing w:val="-2"/>
                            <w:sz w:val="16"/>
                            <w:szCs w:val="16"/>
                          </w:rPr>
                          <w:t>79,615,482.24</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7"/>
                          <w:jc w:val="right"/>
                          <w:rPr>
                            <w:rFonts w:ascii="Times New Roman" w:hAnsi="Times New Roman" w:cs="Times New Roman" w:eastAsia="Times New Roman" w:hint="default"/>
                            <w:sz w:val="16"/>
                            <w:szCs w:val="16"/>
                          </w:rPr>
                        </w:pPr>
                        <w:r>
                          <w:rPr>
                            <w:rFonts w:ascii="Times New Roman"/>
                            <w:spacing w:val="-2"/>
                            <w:sz w:val="16"/>
                          </w:rPr>
                          <w:t>80,000,000.00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14"/>
                          <w:jc w:val="right"/>
                          <w:rPr>
                            <w:rFonts w:ascii="Times New Roman" w:hAnsi="Times New Roman" w:cs="Times New Roman" w:eastAsia="Times New Roman" w:hint="default"/>
                            <w:sz w:val="16"/>
                            <w:szCs w:val="16"/>
                          </w:rPr>
                        </w:pPr>
                        <w:r>
                          <w:rPr>
                            <w:rFonts w:ascii="Times New Roman"/>
                            <w:spacing w:val="-1"/>
                            <w:sz w:val="16"/>
                          </w:rPr>
                          <w:t>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8"/>
                          <w:jc w:val="right"/>
                          <w:rPr>
                            <w:rFonts w:ascii="Times New Roman" w:hAnsi="Times New Roman" w:cs="Times New Roman" w:eastAsia="Times New Roman" w:hint="default"/>
                            <w:sz w:val="16"/>
                            <w:szCs w:val="16"/>
                          </w:rPr>
                        </w:pPr>
                        <w:r>
                          <w:rPr>
                            <w:rFonts w:ascii="Times New Roman"/>
                            <w:spacing w:val="-1"/>
                            <w:sz w:val="16"/>
                          </w:rPr>
                          <w:t>-2,643,846.68</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7"/>
                          <w:jc w:val="right"/>
                          <w:rPr>
                            <w:rFonts w:ascii="Times New Roman" w:hAnsi="Times New Roman" w:cs="Times New Roman" w:eastAsia="Times New Roman" w:hint="default"/>
                            <w:sz w:val="16"/>
                            <w:szCs w:val="16"/>
                          </w:rPr>
                        </w:pPr>
                        <w:r>
                          <w:rPr>
                            <w:rFonts w:ascii="Times New Roman"/>
                            <w:spacing w:val="-1"/>
                            <w:sz w:val="16"/>
                          </w:rPr>
                          <w:t>0.00</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64"/>
                          <w:jc w:val="right"/>
                          <w:rPr>
                            <w:rFonts w:ascii="Times New Roman" w:hAnsi="Times New Roman" w:cs="Times New Roman" w:eastAsia="Times New Roman" w:hint="default"/>
                            <w:sz w:val="16"/>
                            <w:szCs w:val="16"/>
                          </w:rPr>
                        </w:pPr>
                        <w:r>
                          <w:rPr>
                            <w:rFonts w:ascii="Times New Roman"/>
                            <w:spacing w:val="-1"/>
                            <w:sz w:val="16"/>
                          </w:rPr>
                          <w:t>156,971,635.56</w:t>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3751" w:type="dxa"/>
                        <w:tcBorders>
                          <w:top w:val="nil" w:sz="6" w:space="0" w:color="auto"/>
                          <w:left w:val="nil" w:sz="6" w:space="0" w:color="auto"/>
                          <w:bottom w:val="nil" w:sz="6" w:space="0" w:color="auto"/>
                          <w:right w:val="nil" w:sz="6" w:space="0" w:color="auto"/>
                        </w:tcBorders>
                      </w:tcPr>
                      <w:p>
                        <w:pPr>
                          <w:pStyle w:val="TableParagraph"/>
                          <w:tabs>
                            <w:tab w:pos="2705" w:val="left" w:leader="none"/>
                          </w:tabs>
                          <w:spacing w:line="227" w:lineRule="exact"/>
                          <w:ind w:right="8"/>
                          <w:jc w:val="center"/>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云南云电同方科技有限公司</w:t>
                          <w:tab/>
                        </w:r>
                        <w:r>
                          <w:rPr>
                            <w:rFonts w:ascii="Times New Roman" w:hAnsi="Times New Roman" w:cs="Times New Roman" w:eastAsia="Times New Roman" w:hint="default"/>
                            <w:spacing w:val="-2"/>
                            <w:sz w:val="16"/>
                            <w:szCs w:val="16"/>
                          </w:rPr>
                          <w:t>72,256,643.04</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14"/>
                          <w:jc w:val="right"/>
                          <w:rPr>
                            <w:rFonts w:ascii="Times New Roman" w:hAnsi="Times New Roman" w:cs="Times New Roman" w:eastAsia="Times New Roman" w:hint="default"/>
                            <w:sz w:val="16"/>
                            <w:szCs w:val="16"/>
                          </w:rPr>
                        </w:pPr>
                        <w:r>
                          <w:rPr>
                            <w:rFonts w:ascii="Times New Roman"/>
                            <w:spacing w:val="-1"/>
                            <w:sz w:val="16"/>
                          </w:rPr>
                          <w:t>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8"/>
                          <w:jc w:val="right"/>
                          <w:rPr>
                            <w:rFonts w:ascii="Times New Roman" w:hAnsi="Times New Roman" w:cs="Times New Roman" w:eastAsia="Times New Roman" w:hint="default"/>
                            <w:sz w:val="16"/>
                            <w:szCs w:val="16"/>
                          </w:rPr>
                        </w:pPr>
                        <w:r>
                          <w:rPr>
                            <w:rFonts w:ascii="Times New Roman"/>
                            <w:spacing w:val="-2"/>
                            <w:sz w:val="16"/>
                          </w:rPr>
                          <w:t>11,717,014.01</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7"/>
                          <w:jc w:val="right"/>
                          <w:rPr>
                            <w:rFonts w:ascii="Times New Roman" w:hAnsi="Times New Roman" w:cs="Times New Roman" w:eastAsia="Times New Roman" w:hint="default"/>
                            <w:sz w:val="16"/>
                            <w:szCs w:val="16"/>
                          </w:rPr>
                        </w:pPr>
                        <w:r>
                          <w:rPr>
                            <w:rFonts w:ascii="Times New Roman"/>
                            <w:spacing w:val="-1"/>
                            <w:sz w:val="16"/>
                          </w:rPr>
                          <w:t>0.00</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2,316,469.28</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66"/>
                          <w:jc w:val="right"/>
                          <w:rPr>
                            <w:rFonts w:ascii="Times New Roman" w:hAnsi="Times New Roman" w:cs="Times New Roman" w:eastAsia="Times New Roman" w:hint="default"/>
                            <w:sz w:val="16"/>
                            <w:szCs w:val="16"/>
                          </w:rPr>
                        </w:pPr>
                        <w:r>
                          <w:rPr>
                            <w:rFonts w:ascii="Times New Roman"/>
                            <w:spacing w:val="-2"/>
                            <w:sz w:val="16"/>
                          </w:rPr>
                          <w:t>81,657,187.77</w:t>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4" w:hRule="exact"/>
                    </w:trPr>
                    <w:tc>
                      <w:tcPr>
                        <w:tcW w:w="3751" w:type="dxa"/>
                        <w:tcBorders>
                          <w:top w:val="nil" w:sz="6" w:space="0" w:color="auto"/>
                          <w:left w:val="nil" w:sz="6" w:space="0" w:color="auto"/>
                          <w:bottom w:val="nil" w:sz="6" w:space="0" w:color="auto"/>
                          <w:right w:val="nil" w:sz="6" w:space="0" w:color="auto"/>
                        </w:tcBorders>
                      </w:tcPr>
                      <w:p>
                        <w:pPr>
                          <w:pStyle w:val="TableParagraph"/>
                          <w:tabs>
                            <w:tab w:pos="2705" w:val="left" w:leader="none"/>
                          </w:tabs>
                          <w:spacing w:line="226" w:lineRule="exact"/>
                          <w:ind w:right="8"/>
                          <w:jc w:val="center"/>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北京辰安科技股份有限公司</w:t>
                          <w:tab/>
                        </w:r>
                        <w:r>
                          <w:rPr>
                            <w:rFonts w:ascii="Times New Roman" w:hAnsi="Times New Roman" w:cs="Times New Roman" w:eastAsia="Times New Roman" w:hint="default"/>
                            <w:spacing w:val="-2"/>
                            <w:sz w:val="16"/>
                            <w:szCs w:val="16"/>
                          </w:rPr>
                          <w:t>38,921,149.94</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14"/>
                          <w:jc w:val="right"/>
                          <w:rPr>
                            <w:rFonts w:ascii="Times New Roman" w:hAnsi="Times New Roman" w:cs="Times New Roman" w:eastAsia="Times New Roman" w:hint="default"/>
                            <w:sz w:val="16"/>
                            <w:szCs w:val="16"/>
                          </w:rPr>
                        </w:pPr>
                        <w:r>
                          <w:rPr>
                            <w:rFonts w:ascii="Times New Roman"/>
                            <w:spacing w:val="-1"/>
                            <w:sz w:val="16"/>
                          </w:rPr>
                          <w:t>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6"/>
                          <w:jc w:val="right"/>
                          <w:rPr>
                            <w:rFonts w:ascii="Times New Roman" w:hAnsi="Times New Roman" w:cs="Times New Roman" w:eastAsia="Times New Roman" w:hint="default"/>
                            <w:sz w:val="16"/>
                            <w:szCs w:val="16"/>
                          </w:rPr>
                        </w:pPr>
                        <w:r>
                          <w:rPr>
                            <w:rFonts w:ascii="Times New Roman"/>
                            <w:spacing w:val="-1"/>
                            <w:sz w:val="16"/>
                          </w:rPr>
                          <w:t>8,752,242.67</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5"/>
                          <w:jc w:val="right"/>
                          <w:rPr>
                            <w:rFonts w:ascii="Times New Roman" w:hAnsi="Times New Roman" w:cs="Times New Roman" w:eastAsia="Times New Roman" w:hint="default"/>
                            <w:sz w:val="16"/>
                            <w:szCs w:val="16"/>
                          </w:rPr>
                        </w:pPr>
                        <w:r>
                          <w:rPr>
                            <w:rFonts w:ascii="Times New Roman"/>
                            <w:spacing w:val="-1"/>
                            <w:sz w:val="16"/>
                          </w:rPr>
                          <w:t>-1,359.46</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7"/>
                          <w:jc w:val="right"/>
                          <w:rPr>
                            <w:rFonts w:ascii="Times New Roman" w:hAnsi="Times New Roman" w:cs="Times New Roman" w:eastAsia="Times New Roman" w:hint="default"/>
                            <w:sz w:val="16"/>
                            <w:szCs w:val="16"/>
                          </w:rPr>
                        </w:pPr>
                        <w:r>
                          <w:rPr>
                            <w:rFonts w:ascii="Times New Roman"/>
                            <w:spacing w:val="-1"/>
                            <w:sz w:val="16"/>
                          </w:rPr>
                          <w:t>-15,097.71</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675,000.00</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66"/>
                          <w:jc w:val="right"/>
                          <w:rPr>
                            <w:rFonts w:ascii="Times New Roman" w:hAnsi="Times New Roman" w:cs="Times New Roman" w:eastAsia="Times New Roman" w:hint="default"/>
                            <w:sz w:val="16"/>
                            <w:szCs w:val="16"/>
                          </w:rPr>
                        </w:pPr>
                        <w:r>
                          <w:rPr>
                            <w:rFonts w:ascii="Times New Roman"/>
                            <w:spacing w:val="-2"/>
                            <w:sz w:val="16"/>
                          </w:rPr>
                          <w:t>46,981,935.44</w:t>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92" w:hRule="exact"/>
                    </w:trPr>
                    <w:tc>
                      <w:tcPr>
                        <w:tcW w:w="3751" w:type="dxa"/>
                        <w:tcBorders>
                          <w:top w:val="nil" w:sz="6" w:space="0" w:color="auto"/>
                          <w:left w:val="nil" w:sz="6" w:space="0" w:color="auto"/>
                          <w:bottom w:val="nil" w:sz="6" w:space="0" w:color="auto"/>
                          <w:right w:val="nil" w:sz="6" w:space="0" w:color="auto"/>
                        </w:tcBorders>
                      </w:tcPr>
                      <w:p>
                        <w:pPr>
                          <w:pStyle w:val="TableParagraph"/>
                          <w:tabs>
                            <w:tab w:pos="2705" w:val="left" w:leader="none"/>
                          </w:tabs>
                          <w:spacing w:line="225" w:lineRule="exact"/>
                          <w:ind w:right="8"/>
                          <w:jc w:val="center"/>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北京同方电子商务有限公司</w:t>
                          <w:tab/>
                        </w:r>
                        <w:r>
                          <w:rPr>
                            <w:rFonts w:ascii="Times New Roman" w:hAnsi="Times New Roman" w:cs="Times New Roman" w:eastAsia="Times New Roman" w:hint="default"/>
                            <w:spacing w:val="-2"/>
                            <w:sz w:val="16"/>
                            <w:szCs w:val="16"/>
                          </w:rPr>
                          <w:t>27,086,606.16</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14"/>
                          <w:jc w:val="right"/>
                          <w:rPr>
                            <w:rFonts w:ascii="Times New Roman" w:hAnsi="Times New Roman" w:cs="Times New Roman" w:eastAsia="Times New Roman" w:hint="default"/>
                            <w:sz w:val="16"/>
                            <w:szCs w:val="16"/>
                          </w:rPr>
                        </w:pPr>
                        <w:r>
                          <w:rPr>
                            <w:rFonts w:ascii="Times New Roman"/>
                            <w:spacing w:val="-1"/>
                            <w:sz w:val="16"/>
                          </w:rPr>
                          <w:t>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26"/>
                          <w:jc w:val="right"/>
                          <w:rPr>
                            <w:rFonts w:ascii="Times New Roman" w:hAnsi="Times New Roman" w:cs="Times New Roman" w:eastAsia="Times New Roman" w:hint="default"/>
                            <w:sz w:val="16"/>
                            <w:szCs w:val="16"/>
                          </w:rPr>
                        </w:pPr>
                        <w:r>
                          <w:rPr>
                            <w:rFonts w:ascii="Times New Roman"/>
                            <w:spacing w:val="-1"/>
                            <w:sz w:val="16"/>
                          </w:rPr>
                          <w:t>1,339,706.86</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27"/>
                          <w:jc w:val="right"/>
                          <w:rPr>
                            <w:rFonts w:ascii="Times New Roman" w:hAnsi="Times New Roman" w:cs="Times New Roman" w:eastAsia="Times New Roman" w:hint="default"/>
                            <w:sz w:val="16"/>
                            <w:szCs w:val="16"/>
                          </w:rPr>
                        </w:pPr>
                        <w:r>
                          <w:rPr>
                            <w:rFonts w:ascii="Times New Roman"/>
                            <w:spacing w:val="-1"/>
                            <w:sz w:val="16"/>
                          </w:rPr>
                          <w:t>0.00</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366"/>
                          <w:jc w:val="right"/>
                          <w:rPr>
                            <w:rFonts w:ascii="Times New Roman" w:hAnsi="Times New Roman" w:cs="Times New Roman" w:eastAsia="Times New Roman" w:hint="default"/>
                            <w:sz w:val="16"/>
                            <w:szCs w:val="16"/>
                          </w:rPr>
                        </w:pPr>
                        <w:r>
                          <w:rPr>
                            <w:rFonts w:ascii="Times New Roman"/>
                            <w:spacing w:val="-2"/>
                            <w:sz w:val="16"/>
                          </w:rPr>
                          <w:t>28,426,313.02</w:t>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350" w:hRule="exact"/>
                    </w:trPr>
                    <w:tc>
                      <w:tcPr>
                        <w:tcW w:w="3751" w:type="dxa"/>
                        <w:tcBorders>
                          <w:top w:val="nil" w:sz="6" w:space="0" w:color="auto"/>
                          <w:left w:val="nil" w:sz="6" w:space="0" w:color="auto"/>
                          <w:bottom w:val="nil" w:sz="6" w:space="0" w:color="auto"/>
                          <w:right w:val="nil" w:sz="6" w:space="0" w:color="auto"/>
                        </w:tcBorders>
                      </w:tcPr>
                      <w:p>
                        <w:pPr>
                          <w:pStyle w:val="TableParagraph"/>
                          <w:spacing w:line="86" w:lineRule="exact"/>
                          <w:ind w:left="57" w:right="0"/>
                          <w:jc w:val="left"/>
                          <w:rPr>
                            <w:rFonts w:ascii="宋体" w:hAnsi="宋体" w:cs="宋体" w:eastAsia="宋体" w:hint="default"/>
                            <w:sz w:val="16"/>
                            <w:szCs w:val="16"/>
                          </w:rPr>
                        </w:pPr>
                        <w:r>
                          <w:rPr>
                            <w:rFonts w:ascii="宋体" w:hAnsi="宋体" w:cs="宋体" w:eastAsia="宋体" w:hint="default"/>
                            <w:sz w:val="16"/>
                            <w:szCs w:val="16"/>
                          </w:rPr>
                          <w:t>东方欢旅科技有限公司（原北京同</w:t>
                        </w:r>
                      </w:p>
                      <w:p>
                        <w:pPr>
                          <w:pStyle w:val="TableParagraph"/>
                          <w:tabs>
                            <w:tab w:pos="2844" w:val="left" w:leader="none"/>
                          </w:tabs>
                          <w:spacing w:line="245" w:lineRule="exact"/>
                          <w:ind w:left="57" w:right="0"/>
                          <w:jc w:val="left"/>
                          <w:rPr>
                            <w:rFonts w:ascii="Times New Roman" w:hAnsi="Times New Roman" w:cs="Times New Roman" w:eastAsia="Times New Roman" w:hint="default"/>
                            <w:sz w:val="16"/>
                            <w:szCs w:val="16"/>
                          </w:rPr>
                        </w:pPr>
                        <w:r>
                          <w:rPr>
                            <w:rFonts w:ascii="宋体" w:hAnsi="宋体" w:cs="宋体" w:eastAsia="宋体" w:hint="default"/>
                            <w:spacing w:val="-1"/>
                            <w:position w:val="-10"/>
                            <w:sz w:val="16"/>
                            <w:szCs w:val="16"/>
                          </w:rPr>
                          <w:t>方易豪科技有限公司）</w:t>
                          <w:tab/>
                        </w:r>
                        <w:r>
                          <w:rPr>
                            <w:rFonts w:ascii="Times New Roman" w:hAnsi="Times New Roman" w:cs="Times New Roman" w:eastAsia="Times New Roman" w:hint="default"/>
                            <w:spacing w:val="-1"/>
                            <w:sz w:val="16"/>
                            <w:szCs w:val="16"/>
                          </w:rPr>
                          <w:t>2,852,167.54</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4"/>
                          <w:jc w:val="right"/>
                          <w:rPr>
                            <w:rFonts w:ascii="Times New Roman" w:hAnsi="Times New Roman" w:cs="Times New Roman" w:eastAsia="Times New Roman" w:hint="default"/>
                            <w:sz w:val="16"/>
                            <w:szCs w:val="16"/>
                          </w:rPr>
                        </w:pPr>
                        <w:r>
                          <w:rPr>
                            <w:rFonts w:ascii="Times New Roman"/>
                            <w:spacing w:val="-1"/>
                            <w:sz w:val="16"/>
                          </w:rPr>
                          <w:t>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28"/>
                          <w:jc w:val="right"/>
                          <w:rPr>
                            <w:rFonts w:ascii="Times New Roman" w:hAnsi="Times New Roman" w:cs="Times New Roman" w:eastAsia="Times New Roman" w:hint="default"/>
                            <w:sz w:val="16"/>
                            <w:szCs w:val="16"/>
                          </w:rPr>
                        </w:pPr>
                        <w:r>
                          <w:rPr>
                            <w:rFonts w:ascii="Times New Roman"/>
                            <w:spacing w:val="-1"/>
                            <w:sz w:val="16"/>
                          </w:rPr>
                          <w:t>-271,720.08</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27"/>
                          <w:jc w:val="right"/>
                          <w:rPr>
                            <w:rFonts w:ascii="Times New Roman" w:hAnsi="Times New Roman" w:cs="Times New Roman" w:eastAsia="Times New Roman" w:hint="default"/>
                            <w:sz w:val="16"/>
                            <w:szCs w:val="16"/>
                          </w:rPr>
                        </w:pPr>
                        <w:r>
                          <w:rPr>
                            <w:rFonts w:ascii="Times New Roman"/>
                            <w:spacing w:val="-1"/>
                            <w:sz w:val="16"/>
                          </w:rPr>
                          <w:t>0.00</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4"/>
                          <w:jc w:val="right"/>
                          <w:rPr>
                            <w:rFonts w:ascii="Times New Roman" w:hAnsi="Times New Roman" w:cs="Times New Roman" w:eastAsia="Times New Roman" w:hint="default"/>
                            <w:sz w:val="16"/>
                            <w:szCs w:val="16"/>
                          </w:rPr>
                        </w:pPr>
                        <w:r>
                          <w:rPr>
                            <w:rFonts w:ascii="Times New Roman"/>
                            <w:spacing w:val="-1"/>
                            <w:sz w:val="16"/>
                          </w:rPr>
                          <w:t>-2,580,447.46</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63"/>
                          <w:jc w:val="right"/>
                          <w:rPr>
                            <w:rFonts w:ascii="Times New Roman" w:hAnsi="Times New Roman" w:cs="Times New Roman" w:eastAsia="Times New Roman" w:hint="default"/>
                            <w:sz w:val="16"/>
                            <w:szCs w:val="16"/>
                          </w:rPr>
                        </w:pPr>
                        <w:r>
                          <w:rPr>
                            <w:rFonts w:ascii="Times New Roman"/>
                            <w:spacing w:val="-1"/>
                            <w:sz w:val="16"/>
                          </w:rPr>
                          <w:t>0.00</w:t>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343" w:hRule="exact"/>
                    </w:trPr>
                    <w:tc>
                      <w:tcPr>
                        <w:tcW w:w="3751" w:type="dxa"/>
                        <w:tcBorders>
                          <w:top w:val="nil" w:sz="6" w:space="0" w:color="auto"/>
                          <w:left w:val="nil" w:sz="6" w:space="0" w:color="auto"/>
                          <w:bottom w:val="nil" w:sz="6" w:space="0" w:color="auto"/>
                          <w:right w:val="nil" w:sz="6" w:space="0" w:color="auto"/>
                        </w:tcBorders>
                      </w:tcPr>
                      <w:p>
                        <w:pPr>
                          <w:pStyle w:val="TableParagraph"/>
                          <w:tabs>
                            <w:tab w:pos="2786" w:val="left" w:leader="none"/>
                          </w:tabs>
                          <w:spacing w:line="240" w:lineRule="auto" w:before="52"/>
                          <w:ind w:right="6"/>
                          <w:jc w:val="center"/>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吉林同方科贸有限责任公司</w:t>
                          <w:tab/>
                        </w:r>
                        <w:r>
                          <w:rPr>
                            <w:rFonts w:ascii="Times New Roman" w:hAnsi="Times New Roman" w:cs="Times New Roman" w:eastAsia="Times New Roman" w:hint="default"/>
                            <w:spacing w:val="-1"/>
                            <w:sz w:val="16"/>
                            <w:szCs w:val="16"/>
                          </w:rPr>
                          <w:t>1,321,122.21</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14"/>
                          <w:jc w:val="right"/>
                          <w:rPr>
                            <w:rFonts w:ascii="Times New Roman" w:hAnsi="Times New Roman" w:cs="Times New Roman" w:eastAsia="Times New Roman" w:hint="default"/>
                            <w:sz w:val="16"/>
                            <w:szCs w:val="16"/>
                          </w:rPr>
                        </w:pPr>
                        <w:r>
                          <w:rPr>
                            <w:rFonts w:ascii="Times New Roman"/>
                            <w:spacing w:val="-1"/>
                            <w:sz w:val="16"/>
                          </w:rPr>
                          <w:t>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26"/>
                          <w:jc w:val="right"/>
                          <w:rPr>
                            <w:rFonts w:ascii="Times New Roman" w:hAnsi="Times New Roman" w:cs="Times New Roman" w:eastAsia="Times New Roman" w:hint="default"/>
                            <w:sz w:val="16"/>
                            <w:szCs w:val="16"/>
                          </w:rPr>
                        </w:pPr>
                        <w:r>
                          <w:rPr>
                            <w:rFonts w:ascii="Times New Roman"/>
                            <w:spacing w:val="-1"/>
                            <w:sz w:val="16"/>
                          </w:rPr>
                          <w:t>-32,042.29</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27"/>
                          <w:jc w:val="right"/>
                          <w:rPr>
                            <w:rFonts w:ascii="Times New Roman" w:hAnsi="Times New Roman" w:cs="Times New Roman" w:eastAsia="Times New Roman" w:hint="default"/>
                            <w:sz w:val="16"/>
                            <w:szCs w:val="16"/>
                          </w:rPr>
                        </w:pPr>
                        <w:r>
                          <w:rPr>
                            <w:rFonts w:ascii="Times New Roman"/>
                            <w:spacing w:val="-1"/>
                            <w:sz w:val="16"/>
                          </w:rPr>
                          <w:t>0.00</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63"/>
                          <w:jc w:val="right"/>
                          <w:rPr>
                            <w:rFonts w:ascii="Times New Roman" w:hAnsi="Times New Roman" w:cs="Times New Roman" w:eastAsia="Times New Roman" w:hint="default"/>
                            <w:sz w:val="16"/>
                            <w:szCs w:val="16"/>
                          </w:rPr>
                        </w:pPr>
                        <w:r>
                          <w:rPr>
                            <w:rFonts w:ascii="Times New Roman"/>
                            <w:spacing w:val="-1"/>
                            <w:sz w:val="16"/>
                          </w:rPr>
                          <w:t>1,289,079.92</w:t>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4" w:hRule="exact"/>
                    </w:trPr>
                    <w:tc>
                      <w:tcPr>
                        <w:tcW w:w="3751" w:type="dxa"/>
                        <w:tcBorders>
                          <w:top w:val="nil" w:sz="6" w:space="0" w:color="auto"/>
                          <w:left w:val="nil" w:sz="6" w:space="0" w:color="auto"/>
                          <w:bottom w:val="nil" w:sz="6" w:space="0" w:color="auto"/>
                          <w:right w:val="nil" w:sz="6" w:space="0" w:color="auto"/>
                        </w:tcBorders>
                      </w:tcPr>
                      <w:p>
                        <w:pPr>
                          <w:pStyle w:val="TableParagraph"/>
                          <w:tabs>
                            <w:tab w:pos="2906" w:val="left" w:leader="none"/>
                          </w:tabs>
                          <w:spacing w:line="226" w:lineRule="exact"/>
                          <w:ind w:right="6"/>
                          <w:jc w:val="center"/>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重庆同方合志科技有限公司</w:t>
                          <w:tab/>
                        </w:r>
                        <w:r>
                          <w:rPr>
                            <w:rFonts w:ascii="Times New Roman" w:hAnsi="Times New Roman" w:cs="Times New Roman" w:eastAsia="Times New Roman" w:hint="default"/>
                            <w:spacing w:val="-1"/>
                            <w:sz w:val="16"/>
                            <w:szCs w:val="16"/>
                          </w:rPr>
                          <w:t>993,091.12</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14"/>
                          <w:jc w:val="right"/>
                          <w:rPr>
                            <w:rFonts w:ascii="Times New Roman" w:hAnsi="Times New Roman" w:cs="Times New Roman" w:eastAsia="Times New Roman" w:hint="default"/>
                            <w:sz w:val="16"/>
                            <w:szCs w:val="16"/>
                          </w:rPr>
                        </w:pPr>
                        <w:r>
                          <w:rPr>
                            <w:rFonts w:ascii="Times New Roman"/>
                            <w:spacing w:val="-1"/>
                            <w:sz w:val="16"/>
                          </w:rPr>
                          <w:t>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8"/>
                          <w:jc w:val="right"/>
                          <w:rPr>
                            <w:rFonts w:ascii="Times New Roman" w:hAnsi="Times New Roman" w:cs="Times New Roman" w:eastAsia="Times New Roman" w:hint="default"/>
                            <w:sz w:val="16"/>
                            <w:szCs w:val="16"/>
                          </w:rPr>
                        </w:pPr>
                        <w:r>
                          <w:rPr>
                            <w:rFonts w:ascii="Times New Roman"/>
                            <w:spacing w:val="-1"/>
                            <w:sz w:val="16"/>
                          </w:rPr>
                          <w:t>-313,021.95</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7"/>
                          <w:jc w:val="right"/>
                          <w:rPr>
                            <w:rFonts w:ascii="Times New Roman" w:hAnsi="Times New Roman" w:cs="Times New Roman" w:eastAsia="Times New Roman" w:hint="default"/>
                            <w:sz w:val="16"/>
                            <w:szCs w:val="16"/>
                          </w:rPr>
                        </w:pPr>
                        <w:r>
                          <w:rPr>
                            <w:rFonts w:ascii="Times New Roman"/>
                            <w:spacing w:val="-1"/>
                            <w:sz w:val="16"/>
                          </w:rPr>
                          <w:t>0.00</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63"/>
                          <w:jc w:val="right"/>
                          <w:rPr>
                            <w:rFonts w:ascii="Times New Roman" w:hAnsi="Times New Roman" w:cs="Times New Roman" w:eastAsia="Times New Roman" w:hint="default"/>
                            <w:sz w:val="16"/>
                            <w:szCs w:val="16"/>
                          </w:rPr>
                        </w:pPr>
                        <w:r>
                          <w:rPr>
                            <w:rFonts w:ascii="Times New Roman"/>
                            <w:spacing w:val="-1"/>
                            <w:sz w:val="16"/>
                          </w:rPr>
                          <w:t>680,069.17</w:t>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4" w:hRule="exact"/>
                    </w:trPr>
                    <w:tc>
                      <w:tcPr>
                        <w:tcW w:w="3751" w:type="dxa"/>
                        <w:tcBorders>
                          <w:top w:val="nil" w:sz="6" w:space="0" w:color="auto"/>
                          <w:left w:val="nil" w:sz="6" w:space="0" w:color="auto"/>
                          <w:bottom w:val="nil" w:sz="6" w:space="0" w:color="auto"/>
                          <w:right w:val="nil" w:sz="6" w:space="0" w:color="auto"/>
                        </w:tcBorders>
                      </w:tcPr>
                      <w:p>
                        <w:pPr>
                          <w:pStyle w:val="TableParagraph"/>
                          <w:tabs>
                            <w:tab w:pos="3345" w:val="left" w:leader="none"/>
                          </w:tabs>
                          <w:spacing w:line="240" w:lineRule="auto" w:before="3"/>
                          <w:ind w:right="6"/>
                          <w:jc w:val="center"/>
                          <w:rPr>
                            <w:rFonts w:ascii="Times New Roman" w:hAnsi="Times New Roman" w:cs="Times New Roman" w:eastAsia="Times New Roman" w:hint="default"/>
                            <w:sz w:val="16"/>
                            <w:szCs w:val="16"/>
                          </w:rPr>
                        </w:pPr>
                        <w:r>
                          <w:rPr>
                            <w:rFonts w:ascii="宋体" w:hAnsi="宋体" w:cs="宋体" w:eastAsia="宋体" w:hint="default"/>
                            <w:spacing w:val="-1"/>
                            <w:sz w:val="16"/>
                            <w:szCs w:val="16"/>
                          </w:rPr>
                          <w:t>同方鼎欣科技股份有限公司</w:t>
                        </w:r>
                        <w:r>
                          <w:rPr>
                            <w:rFonts w:ascii="Times New Roman" w:hAnsi="Times New Roman" w:cs="Times New Roman" w:eastAsia="Times New Roman" w:hint="default"/>
                            <w:spacing w:val="-1"/>
                            <w:sz w:val="16"/>
                            <w:szCs w:val="16"/>
                          </w:rPr>
                          <w:tab/>
                          <w:t>0.00</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14"/>
                          <w:jc w:val="right"/>
                          <w:rPr>
                            <w:rFonts w:ascii="Times New Roman" w:hAnsi="Times New Roman" w:cs="Times New Roman" w:eastAsia="Times New Roman" w:hint="default"/>
                            <w:sz w:val="16"/>
                            <w:szCs w:val="16"/>
                          </w:rPr>
                        </w:pPr>
                        <w:r>
                          <w:rPr>
                            <w:rFonts w:ascii="Times New Roman"/>
                            <w:spacing w:val="-1"/>
                            <w:sz w:val="16"/>
                          </w:rPr>
                          <w:t>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26"/>
                          <w:jc w:val="right"/>
                          <w:rPr>
                            <w:rFonts w:ascii="Times New Roman" w:hAnsi="Times New Roman" w:cs="Times New Roman" w:eastAsia="Times New Roman" w:hint="default"/>
                            <w:sz w:val="16"/>
                            <w:szCs w:val="16"/>
                          </w:rPr>
                        </w:pPr>
                        <w:r>
                          <w:rPr>
                            <w:rFonts w:ascii="Times New Roman"/>
                            <w:spacing w:val="-1"/>
                            <w:sz w:val="16"/>
                          </w:rPr>
                          <w:t>4,974,208.24</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
                          <w:jc w:val="right"/>
                          <w:rPr>
                            <w:rFonts w:ascii="Times New Roman" w:hAnsi="Times New Roman" w:cs="Times New Roman" w:eastAsia="Times New Roman" w:hint="default"/>
                            <w:sz w:val="16"/>
                            <w:szCs w:val="16"/>
                          </w:rPr>
                        </w:pPr>
                        <w:r>
                          <w:rPr>
                            <w:rFonts w:ascii="Times New Roman"/>
                            <w:spacing w:val="-1"/>
                            <w:sz w:val="16"/>
                          </w:rPr>
                          <w:t>-79,231.10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27"/>
                          <w:jc w:val="right"/>
                          <w:rPr>
                            <w:rFonts w:ascii="Times New Roman" w:hAnsi="Times New Roman" w:cs="Times New Roman" w:eastAsia="Times New Roman" w:hint="default"/>
                            <w:sz w:val="16"/>
                            <w:szCs w:val="16"/>
                          </w:rPr>
                        </w:pPr>
                        <w:r>
                          <w:rPr>
                            <w:rFonts w:ascii="Times New Roman"/>
                            <w:spacing w:val="-1"/>
                            <w:sz w:val="16"/>
                          </w:rPr>
                          <w:t>0.00</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4"/>
                          <w:jc w:val="right"/>
                          <w:rPr>
                            <w:rFonts w:ascii="Times New Roman" w:hAnsi="Times New Roman" w:cs="Times New Roman" w:eastAsia="Times New Roman" w:hint="default"/>
                            <w:sz w:val="16"/>
                            <w:szCs w:val="16"/>
                          </w:rPr>
                        </w:pPr>
                        <w:r>
                          <w:rPr>
                            <w:rFonts w:ascii="Times New Roman"/>
                            <w:spacing w:val="-1"/>
                            <w:sz w:val="16"/>
                          </w:rPr>
                          <w:t>2,364,000.00</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6"/>
                          <w:jc w:val="right"/>
                          <w:rPr>
                            <w:rFonts w:ascii="Times New Roman" w:hAnsi="Times New Roman" w:cs="Times New Roman" w:eastAsia="Times New Roman" w:hint="default"/>
                            <w:sz w:val="16"/>
                            <w:szCs w:val="16"/>
                          </w:rPr>
                        </w:pPr>
                        <w:r>
                          <w:rPr>
                            <w:rFonts w:ascii="Times New Roman"/>
                            <w:spacing w:val="-2"/>
                            <w:sz w:val="16"/>
                          </w:rPr>
                          <w:t>18,478,962.21</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366"/>
                          <w:jc w:val="right"/>
                          <w:rPr>
                            <w:rFonts w:ascii="Times New Roman" w:hAnsi="Times New Roman" w:cs="Times New Roman" w:eastAsia="Times New Roman" w:hint="default"/>
                            <w:sz w:val="16"/>
                            <w:szCs w:val="16"/>
                          </w:rPr>
                        </w:pPr>
                        <w:r>
                          <w:rPr>
                            <w:rFonts w:ascii="Times New Roman"/>
                            <w:spacing w:val="-2"/>
                            <w:sz w:val="16"/>
                          </w:rPr>
                          <w:t>21,009,939.35</w:t>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86" w:hRule="exact"/>
                    </w:trPr>
                    <w:tc>
                      <w:tcPr>
                        <w:tcW w:w="3751" w:type="dxa"/>
                        <w:tcBorders>
                          <w:top w:val="nil" w:sz="6" w:space="0" w:color="auto"/>
                          <w:left w:val="nil" w:sz="6" w:space="0" w:color="auto"/>
                          <w:bottom w:val="nil" w:sz="6" w:space="0" w:color="auto"/>
                          <w:right w:val="nil" w:sz="6" w:space="0" w:color="auto"/>
                        </w:tcBorders>
                      </w:tcPr>
                      <w:p>
                        <w:pPr>
                          <w:pStyle w:val="TableParagraph"/>
                          <w:tabs>
                            <w:tab w:pos="3345" w:val="left" w:leader="none"/>
                          </w:tabs>
                          <w:spacing w:line="226" w:lineRule="exact"/>
                          <w:ind w:right="6"/>
                          <w:jc w:val="center"/>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北京中录同方文化传播有限公司</w:t>
                        </w:r>
                        <w:r>
                          <w:rPr>
                            <w:rFonts w:ascii="Times New Roman" w:hAnsi="Times New Roman" w:cs="Times New Roman" w:eastAsia="Times New Roman" w:hint="default"/>
                            <w:spacing w:val="-1"/>
                            <w:sz w:val="16"/>
                            <w:szCs w:val="16"/>
                          </w:rPr>
                          <w:tab/>
                          <w:t>0.00</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14"/>
                          <w:jc w:val="right"/>
                          <w:rPr>
                            <w:rFonts w:ascii="Times New Roman" w:hAnsi="Times New Roman" w:cs="Times New Roman" w:eastAsia="Times New Roman" w:hint="default"/>
                            <w:sz w:val="16"/>
                            <w:szCs w:val="16"/>
                          </w:rPr>
                        </w:pPr>
                        <w:r>
                          <w:rPr>
                            <w:rFonts w:ascii="Times New Roman"/>
                            <w:spacing w:val="-1"/>
                            <w:sz w:val="16"/>
                          </w:rPr>
                          <w:t>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6"/>
                          <w:jc w:val="right"/>
                          <w:rPr>
                            <w:rFonts w:ascii="Times New Roman" w:hAnsi="Times New Roman" w:cs="Times New Roman" w:eastAsia="Times New Roman" w:hint="default"/>
                            <w:sz w:val="16"/>
                            <w:szCs w:val="16"/>
                          </w:rPr>
                        </w:pPr>
                        <w:r>
                          <w:rPr>
                            <w:rFonts w:ascii="Times New Roman"/>
                            <w:spacing w:val="-1"/>
                            <w:sz w:val="16"/>
                          </w:rPr>
                          <w:t>0.00</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7"/>
                          <w:jc w:val="right"/>
                          <w:rPr>
                            <w:rFonts w:ascii="Times New Roman" w:hAnsi="Times New Roman" w:cs="Times New Roman" w:eastAsia="Times New Roman" w:hint="default"/>
                            <w:sz w:val="16"/>
                            <w:szCs w:val="16"/>
                          </w:rPr>
                        </w:pPr>
                        <w:r>
                          <w:rPr>
                            <w:rFonts w:ascii="Times New Roman"/>
                            <w:spacing w:val="-1"/>
                            <w:sz w:val="16"/>
                          </w:rPr>
                          <w:t>0.00</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63"/>
                          <w:jc w:val="right"/>
                          <w:rPr>
                            <w:rFonts w:ascii="Times New Roman" w:hAnsi="Times New Roman" w:cs="Times New Roman" w:eastAsia="Times New Roman" w:hint="default"/>
                            <w:sz w:val="16"/>
                            <w:szCs w:val="16"/>
                          </w:rPr>
                        </w:pPr>
                        <w:r>
                          <w:rPr>
                            <w:rFonts w:ascii="Times New Roman"/>
                            <w:spacing w:val="-1"/>
                            <w:sz w:val="16"/>
                          </w:rPr>
                          <w:t>0.00</w:t>
                        </w:r>
                      </w:p>
                    </w:tc>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238" w:hRule="exact"/>
                    </w:trPr>
                    <w:tc>
                      <w:tcPr>
                        <w:tcW w:w="3751" w:type="dxa"/>
                        <w:tcBorders>
                          <w:top w:val="nil" w:sz="6" w:space="0" w:color="auto"/>
                          <w:left w:val="nil" w:sz="6" w:space="0" w:color="auto"/>
                          <w:bottom w:val="single" w:sz="4" w:space="0" w:color="000000"/>
                          <w:right w:val="nil" w:sz="6" w:space="0" w:color="auto"/>
                        </w:tcBorders>
                      </w:tcPr>
                      <w:p>
                        <w:pPr>
                          <w:pStyle w:val="TableParagraph"/>
                          <w:tabs>
                            <w:tab w:pos="3345" w:val="left" w:leader="none"/>
                          </w:tabs>
                          <w:spacing w:line="227" w:lineRule="exact"/>
                          <w:ind w:right="6"/>
                          <w:jc w:val="center"/>
                          <w:rPr>
                            <w:rFonts w:ascii="Times New Roman" w:hAnsi="Times New Roman" w:cs="Times New Roman" w:eastAsia="Times New Roman" w:hint="default"/>
                            <w:sz w:val="16"/>
                            <w:szCs w:val="16"/>
                          </w:rPr>
                        </w:pPr>
                        <w:r>
                          <w:rPr>
                            <w:rFonts w:ascii="宋体" w:hAnsi="宋体" w:cs="宋体" w:eastAsia="宋体" w:hint="default"/>
                            <w:spacing w:val="-1"/>
                            <w:position w:val="1"/>
                            <w:sz w:val="16"/>
                            <w:szCs w:val="16"/>
                          </w:rPr>
                          <w:t>北京亚仕同方科技有限公司</w:t>
                        </w:r>
                        <w:r>
                          <w:rPr>
                            <w:rFonts w:ascii="Times New Roman" w:hAnsi="Times New Roman" w:cs="Times New Roman" w:eastAsia="Times New Roman" w:hint="default"/>
                            <w:spacing w:val="-1"/>
                            <w:sz w:val="16"/>
                            <w:szCs w:val="16"/>
                          </w:rPr>
                          <w:tab/>
                          <w:t>0.00</w:t>
                        </w:r>
                      </w:p>
                    </w:tc>
                    <w:tc>
                      <w:tcPr>
                        <w:tcW w:w="1124" w:type="dxa"/>
                        <w:tcBorders>
                          <w:top w:val="nil" w:sz="6" w:space="0" w:color="auto"/>
                          <w:left w:val="nil" w:sz="6" w:space="0" w:color="auto"/>
                          <w:bottom w:val="single" w:sz="4" w:space="0" w:color="000000"/>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92" w:type="dxa"/>
                        <w:tcBorders>
                          <w:top w:val="nil" w:sz="6" w:space="0" w:color="auto"/>
                          <w:left w:val="nil" w:sz="6" w:space="0" w:color="auto"/>
                          <w:bottom w:val="single" w:sz="4" w:space="0" w:color="000000"/>
                          <w:right w:val="nil" w:sz="6" w:space="0" w:color="auto"/>
                        </w:tcBorders>
                      </w:tcPr>
                      <w:p>
                        <w:pPr>
                          <w:pStyle w:val="TableParagraph"/>
                          <w:spacing w:line="240" w:lineRule="auto" w:before="42"/>
                          <w:ind w:right="114"/>
                          <w:jc w:val="right"/>
                          <w:rPr>
                            <w:rFonts w:ascii="Times New Roman" w:hAnsi="Times New Roman" w:cs="Times New Roman" w:eastAsia="Times New Roman" w:hint="default"/>
                            <w:sz w:val="16"/>
                            <w:szCs w:val="16"/>
                          </w:rPr>
                        </w:pPr>
                        <w:r>
                          <w:rPr>
                            <w:rFonts w:ascii="Times New Roman"/>
                            <w:spacing w:val="-1"/>
                            <w:sz w:val="16"/>
                          </w:rPr>
                          <w:t>0.00</w:t>
                        </w:r>
                      </w:p>
                    </w:tc>
                    <w:tc>
                      <w:tcPr>
                        <w:tcW w:w="1246" w:type="dxa"/>
                        <w:tcBorders>
                          <w:top w:val="nil" w:sz="6" w:space="0" w:color="auto"/>
                          <w:left w:val="nil" w:sz="6" w:space="0" w:color="auto"/>
                          <w:bottom w:val="single" w:sz="4" w:space="0" w:color="000000"/>
                          <w:right w:val="nil" w:sz="6" w:space="0" w:color="auto"/>
                        </w:tcBorders>
                      </w:tcPr>
                      <w:p>
                        <w:pPr>
                          <w:pStyle w:val="TableParagraph"/>
                          <w:spacing w:line="240" w:lineRule="auto" w:before="42"/>
                          <w:ind w:right="126"/>
                          <w:jc w:val="right"/>
                          <w:rPr>
                            <w:rFonts w:ascii="Times New Roman" w:hAnsi="Times New Roman" w:cs="Times New Roman" w:eastAsia="Times New Roman" w:hint="default"/>
                            <w:sz w:val="16"/>
                            <w:szCs w:val="16"/>
                          </w:rPr>
                        </w:pPr>
                        <w:r>
                          <w:rPr>
                            <w:rFonts w:ascii="Times New Roman"/>
                            <w:spacing w:val="-1"/>
                            <w:sz w:val="16"/>
                          </w:rPr>
                          <w:t>2,350,581.93</w:t>
                        </w:r>
                      </w:p>
                    </w:tc>
                    <w:tc>
                      <w:tcPr>
                        <w:tcW w:w="1161" w:type="dxa"/>
                        <w:tcBorders>
                          <w:top w:val="nil" w:sz="6" w:space="0" w:color="auto"/>
                          <w:left w:val="nil" w:sz="6" w:space="0" w:color="auto"/>
                          <w:bottom w:val="single" w:sz="4" w:space="0" w:color="000000"/>
                          <w:right w:val="nil" w:sz="6" w:space="0" w:color="auto"/>
                        </w:tcBorders>
                      </w:tcPr>
                      <w:p>
                        <w:pPr>
                          <w:pStyle w:val="TableParagraph"/>
                          <w:spacing w:line="240" w:lineRule="auto" w:before="42"/>
                          <w:ind w:right="55"/>
                          <w:jc w:val="right"/>
                          <w:rPr>
                            <w:rFonts w:ascii="Times New Roman" w:hAnsi="Times New Roman" w:cs="Times New Roman" w:eastAsia="Times New Roman" w:hint="default"/>
                            <w:sz w:val="16"/>
                            <w:szCs w:val="16"/>
                          </w:rPr>
                        </w:pPr>
                        <w:r>
                          <w:rPr>
                            <w:rFonts w:ascii="Times New Roman"/>
                            <w:spacing w:val="-1"/>
                            <w:sz w:val="16"/>
                          </w:rPr>
                          <w:t>0.00</w:t>
                        </w:r>
                      </w:p>
                    </w:tc>
                    <w:tc>
                      <w:tcPr>
                        <w:tcW w:w="1109" w:type="dxa"/>
                        <w:tcBorders>
                          <w:top w:val="nil" w:sz="6" w:space="0" w:color="auto"/>
                          <w:left w:val="nil" w:sz="6" w:space="0" w:color="auto"/>
                          <w:bottom w:val="single" w:sz="4" w:space="0" w:color="000000"/>
                          <w:right w:val="nil" w:sz="6" w:space="0" w:color="auto"/>
                        </w:tcBorders>
                      </w:tcPr>
                      <w:p>
                        <w:pPr>
                          <w:pStyle w:val="TableParagraph"/>
                          <w:spacing w:line="240" w:lineRule="auto" w:before="42"/>
                          <w:ind w:right="127"/>
                          <w:jc w:val="right"/>
                          <w:rPr>
                            <w:rFonts w:ascii="Times New Roman" w:hAnsi="Times New Roman" w:cs="Times New Roman" w:eastAsia="Times New Roman" w:hint="default"/>
                            <w:sz w:val="16"/>
                            <w:szCs w:val="16"/>
                          </w:rPr>
                        </w:pPr>
                        <w:r>
                          <w:rPr>
                            <w:rFonts w:ascii="Times New Roman"/>
                            <w:spacing w:val="-1"/>
                            <w:sz w:val="16"/>
                          </w:rPr>
                          <w:t>0.00</w:t>
                        </w:r>
                      </w:p>
                    </w:tc>
                    <w:tc>
                      <w:tcPr>
                        <w:tcW w:w="1187" w:type="dxa"/>
                        <w:tcBorders>
                          <w:top w:val="nil" w:sz="6" w:space="0" w:color="auto"/>
                          <w:left w:val="nil" w:sz="6" w:space="0" w:color="auto"/>
                          <w:bottom w:val="single" w:sz="4" w:space="0" w:color="000000"/>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035" w:type="dxa"/>
                        <w:tcBorders>
                          <w:top w:val="nil" w:sz="6" w:space="0" w:color="auto"/>
                          <w:left w:val="nil" w:sz="6" w:space="0" w:color="auto"/>
                          <w:bottom w:val="single" w:sz="4" w:space="0" w:color="000000"/>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c>
                      <w:tcPr>
                        <w:tcW w:w="1544" w:type="dxa"/>
                        <w:tcBorders>
                          <w:top w:val="nil" w:sz="6" w:space="0" w:color="auto"/>
                          <w:left w:val="nil" w:sz="6" w:space="0" w:color="auto"/>
                          <w:bottom w:val="single" w:sz="4" w:space="0" w:color="000000"/>
                          <w:right w:val="nil" w:sz="6" w:space="0" w:color="auto"/>
                        </w:tcBorders>
                      </w:tcPr>
                      <w:p>
                        <w:pPr>
                          <w:pStyle w:val="TableParagraph"/>
                          <w:spacing w:line="240" w:lineRule="auto" w:before="42"/>
                          <w:ind w:right="363"/>
                          <w:jc w:val="right"/>
                          <w:rPr>
                            <w:rFonts w:ascii="Times New Roman" w:hAnsi="Times New Roman" w:cs="Times New Roman" w:eastAsia="Times New Roman" w:hint="default"/>
                            <w:sz w:val="16"/>
                            <w:szCs w:val="16"/>
                          </w:rPr>
                        </w:pPr>
                        <w:r>
                          <w:rPr>
                            <w:rFonts w:ascii="Times New Roman"/>
                            <w:spacing w:val="-1"/>
                            <w:sz w:val="16"/>
                          </w:rPr>
                          <w:t>2,350,581.93</w:t>
                        </w:r>
                      </w:p>
                    </w:tc>
                    <w:tc>
                      <w:tcPr>
                        <w:tcW w:w="704" w:type="dxa"/>
                        <w:tcBorders>
                          <w:top w:val="nil" w:sz="6" w:space="0" w:color="auto"/>
                          <w:left w:val="nil" w:sz="6" w:space="0" w:color="auto"/>
                          <w:bottom w:val="single" w:sz="4" w:space="0" w:color="000000"/>
                          <w:right w:val="nil" w:sz="6" w:space="0" w:color="auto"/>
                        </w:tcBorders>
                      </w:tcPr>
                      <w:p>
                        <w:pPr>
                          <w:pStyle w:val="TableParagraph"/>
                          <w:spacing w:line="240" w:lineRule="auto" w:before="42"/>
                          <w:ind w:right="54"/>
                          <w:jc w:val="right"/>
                          <w:rPr>
                            <w:rFonts w:ascii="Times New Roman" w:hAnsi="Times New Roman" w:cs="Times New Roman" w:eastAsia="Times New Roman" w:hint="default"/>
                            <w:sz w:val="16"/>
                            <w:szCs w:val="16"/>
                          </w:rPr>
                        </w:pPr>
                        <w:r>
                          <w:rPr>
                            <w:rFonts w:ascii="Times New Roman"/>
                            <w:spacing w:val="-1"/>
                            <w:sz w:val="16"/>
                          </w:rPr>
                          <w:t>0.00</w:t>
                        </w:r>
                      </w:p>
                    </w:tc>
                  </w:tr>
                  <w:tr>
                    <w:trPr>
                      <w:trHeight w:val="305" w:hRule="exact"/>
                    </w:trPr>
                    <w:tc>
                      <w:tcPr>
                        <w:tcW w:w="3751" w:type="dxa"/>
                        <w:tcBorders>
                          <w:top w:val="single" w:sz="4" w:space="0" w:color="000000"/>
                          <w:left w:val="nil" w:sz="6" w:space="0" w:color="auto"/>
                          <w:bottom w:val="single" w:sz="12" w:space="0" w:color="000000"/>
                          <w:right w:val="nil" w:sz="6" w:space="0" w:color="auto"/>
                        </w:tcBorders>
                      </w:tcPr>
                      <w:p>
                        <w:pPr>
                          <w:pStyle w:val="TableParagraph"/>
                          <w:tabs>
                            <w:tab w:pos="2505" w:val="left" w:leader="none"/>
                          </w:tabs>
                          <w:spacing w:line="240" w:lineRule="auto" w:before="50"/>
                          <w:ind w:right="6"/>
                          <w:jc w:val="center"/>
                          <w:rPr>
                            <w:rFonts w:ascii="Times New Roman" w:hAnsi="Times New Roman" w:cs="Times New Roman" w:eastAsia="Times New Roman" w:hint="default"/>
                            <w:sz w:val="16"/>
                            <w:szCs w:val="16"/>
                          </w:rPr>
                        </w:pPr>
                        <w:r>
                          <w:rPr>
                            <w:rFonts w:ascii="宋体" w:hAnsi="宋体" w:cs="宋体" w:eastAsia="宋体" w:hint="default"/>
                            <w:b/>
                            <w:bCs/>
                            <w:position w:val="1"/>
                            <w:sz w:val="16"/>
                            <w:szCs w:val="16"/>
                          </w:rPr>
                          <w:t>合计</w:t>
                          <w:tab/>
                        </w:r>
                        <w:r>
                          <w:rPr>
                            <w:rFonts w:ascii="Times New Roman" w:hAnsi="Times New Roman" w:cs="Times New Roman" w:eastAsia="Times New Roman" w:hint="default"/>
                            <w:b/>
                            <w:bCs/>
                            <w:sz w:val="16"/>
                            <w:szCs w:val="16"/>
                          </w:rPr>
                          <w:t>2,963,606,973.31</w:t>
                        </w:r>
                        <w:r>
                          <w:rPr>
                            <w:rFonts w:ascii="Times New Roman" w:hAnsi="Times New Roman" w:cs="Times New Roman" w:eastAsia="Times New Roman" w:hint="default"/>
                            <w:sz w:val="16"/>
                            <w:szCs w:val="16"/>
                          </w:rPr>
                        </w:r>
                      </w:p>
                    </w:tc>
                    <w:tc>
                      <w:tcPr>
                        <w:tcW w:w="1124"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55"/>
                          <w:jc w:val="right"/>
                          <w:rPr>
                            <w:rFonts w:ascii="Times New Roman" w:hAnsi="Times New Roman" w:cs="Times New Roman" w:eastAsia="Times New Roman" w:hint="default"/>
                            <w:sz w:val="16"/>
                            <w:szCs w:val="16"/>
                          </w:rPr>
                        </w:pPr>
                        <w:r>
                          <w:rPr>
                            <w:rFonts w:ascii="Times New Roman"/>
                            <w:b/>
                            <w:spacing w:val="-1"/>
                            <w:sz w:val="16"/>
                          </w:rPr>
                          <w:t>231,700,943.40</w:t>
                        </w:r>
                        <w:r>
                          <w:rPr>
                            <w:rFonts w:ascii="Times New Roman"/>
                            <w:spacing w:val="-1"/>
                            <w:sz w:val="16"/>
                          </w:rPr>
                        </w:r>
                      </w:p>
                    </w:tc>
                    <w:tc>
                      <w:tcPr>
                        <w:tcW w:w="1092"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114"/>
                          <w:jc w:val="right"/>
                          <w:rPr>
                            <w:rFonts w:ascii="Times New Roman" w:hAnsi="Times New Roman" w:cs="Times New Roman" w:eastAsia="Times New Roman" w:hint="default"/>
                            <w:sz w:val="16"/>
                            <w:szCs w:val="16"/>
                          </w:rPr>
                        </w:pPr>
                        <w:r>
                          <w:rPr>
                            <w:rFonts w:ascii="Times New Roman"/>
                            <w:b/>
                            <w:spacing w:val="-2"/>
                            <w:sz w:val="16"/>
                          </w:rPr>
                          <w:t>11,015,795.22</w:t>
                        </w:r>
                        <w:r>
                          <w:rPr>
                            <w:rFonts w:ascii="Times New Roman"/>
                            <w:spacing w:val="-2"/>
                            <w:sz w:val="16"/>
                          </w:rPr>
                        </w:r>
                      </w:p>
                    </w:tc>
                    <w:tc>
                      <w:tcPr>
                        <w:tcW w:w="1246"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126"/>
                          <w:jc w:val="right"/>
                          <w:rPr>
                            <w:rFonts w:ascii="Times New Roman" w:hAnsi="Times New Roman" w:cs="Times New Roman" w:eastAsia="Times New Roman" w:hint="default"/>
                            <w:sz w:val="16"/>
                            <w:szCs w:val="16"/>
                          </w:rPr>
                        </w:pPr>
                        <w:r>
                          <w:rPr>
                            <w:rFonts w:ascii="Times New Roman"/>
                            <w:b/>
                            <w:spacing w:val="-1"/>
                            <w:sz w:val="16"/>
                          </w:rPr>
                          <w:t>110,639,878.88</w:t>
                        </w:r>
                        <w:r>
                          <w:rPr>
                            <w:rFonts w:ascii="Times New Roman"/>
                            <w:spacing w:val="-1"/>
                            <w:sz w:val="16"/>
                          </w:rPr>
                        </w:r>
                      </w:p>
                    </w:tc>
                    <w:tc>
                      <w:tcPr>
                        <w:tcW w:w="1161"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56"/>
                          <w:jc w:val="right"/>
                          <w:rPr>
                            <w:rFonts w:ascii="Times New Roman" w:hAnsi="Times New Roman" w:cs="Times New Roman" w:eastAsia="Times New Roman" w:hint="default"/>
                            <w:sz w:val="16"/>
                            <w:szCs w:val="16"/>
                          </w:rPr>
                        </w:pPr>
                        <w:r>
                          <w:rPr>
                            <w:rFonts w:ascii="Times New Roman"/>
                            <w:b/>
                            <w:spacing w:val="-1"/>
                            <w:sz w:val="16"/>
                          </w:rPr>
                          <w:t>-14,636,942.51</w:t>
                        </w:r>
                        <w:r>
                          <w:rPr>
                            <w:rFonts w:ascii="Times New Roman"/>
                            <w:spacing w:val="-1"/>
                            <w:sz w:val="16"/>
                          </w:rPr>
                        </w:r>
                      </w:p>
                    </w:tc>
                    <w:tc>
                      <w:tcPr>
                        <w:tcW w:w="1109"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129"/>
                          <w:jc w:val="right"/>
                          <w:rPr>
                            <w:rFonts w:ascii="Times New Roman" w:hAnsi="Times New Roman" w:cs="Times New Roman" w:eastAsia="Times New Roman" w:hint="default"/>
                            <w:sz w:val="16"/>
                            <w:szCs w:val="16"/>
                          </w:rPr>
                        </w:pPr>
                        <w:r>
                          <w:rPr>
                            <w:rFonts w:ascii="Times New Roman"/>
                            <w:b/>
                            <w:spacing w:val="-2"/>
                            <w:sz w:val="16"/>
                          </w:rPr>
                          <w:t>56,040,894.33</w:t>
                        </w:r>
                        <w:r>
                          <w:rPr>
                            <w:rFonts w:ascii="Times New Roman"/>
                            <w:spacing w:val="-2"/>
                            <w:sz w:val="16"/>
                          </w:rPr>
                        </w:r>
                      </w:p>
                    </w:tc>
                    <w:tc>
                      <w:tcPr>
                        <w:tcW w:w="1187"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54"/>
                          <w:jc w:val="right"/>
                          <w:rPr>
                            <w:rFonts w:ascii="Times New Roman" w:hAnsi="Times New Roman" w:cs="Times New Roman" w:eastAsia="Times New Roman" w:hint="default"/>
                            <w:sz w:val="16"/>
                            <w:szCs w:val="16"/>
                          </w:rPr>
                        </w:pPr>
                        <w:r>
                          <w:rPr>
                            <w:rFonts w:ascii="Times New Roman"/>
                            <w:b/>
                            <w:spacing w:val="-1"/>
                            <w:sz w:val="16"/>
                          </w:rPr>
                          <w:t>126,544,752.71</w:t>
                        </w:r>
                        <w:r>
                          <w:rPr>
                            <w:rFonts w:ascii="Times New Roman"/>
                            <w:spacing w:val="-1"/>
                            <w:sz w:val="16"/>
                          </w:rPr>
                        </w:r>
                      </w:p>
                    </w:tc>
                    <w:tc>
                      <w:tcPr>
                        <w:tcW w:w="1035"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56"/>
                          <w:jc w:val="right"/>
                          <w:rPr>
                            <w:rFonts w:ascii="Times New Roman" w:hAnsi="Times New Roman" w:cs="Times New Roman" w:eastAsia="Times New Roman" w:hint="default"/>
                            <w:sz w:val="16"/>
                            <w:szCs w:val="16"/>
                          </w:rPr>
                        </w:pPr>
                        <w:r>
                          <w:rPr>
                            <w:rFonts w:ascii="Times New Roman"/>
                            <w:b/>
                            <w:spacing w:val="-2"/>
                            <w:sz w:val="16"/>
                          </w:rPr>
                          <w:t>15,898,514.75</w:t>
                        </w:r>
                        <w:r>
                          <w:rPr>
                            <w:rFonts w:ascii="Times New Roman"/>
                            <w:spacing w:val="-2"/>
                            <w:sz w:val="16"/>
                          </w:rPr>
                        </w:r>
                      </w:p>
                    </w:tc>
                    <w:tc>
                      <w:tcPr>
                        <w:tcW w:w="1544"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364"/>
                          <w:jc w:val="right"/>
                          <w:rPr>
                            <w:rFonts w:ascii="Times New Roman" w:hAnsi="Times New Roman" w:cs="Times New Roman" w:eastAsia="Times New Roman" w:hint="default"/>
                            <w:sz w:val="16"/>
                            <w:szCs w:val="16"/>
                          </w:rPr>
                        </w:pPr>
                        <w:r>
                          <w:rPr>
                            <w:rFonts w:ascii="Times New Roman"/>
                            <w:b/>
                            <w:spacing w:val="-1"/>
                            <w:sz w:val="16"/>
                          </w:rPr>
                          <w:t>3,225,689,714.23</w:t>
                        </w:r>
                        <w:r>
                          <w:rPr>
                            <w:rFonts w:ascii="Times New Roman"/>
                            <w:spacing w:val="-1"/>
                            <w:sz w:val="16"/>
                          </w:rPr>
                        </w:r>
                      </w:p>
                    </w:tc>
                    <w:tc>
                      <w:tcPr>
                        <w:tcW w:w="704" w:type="dxa"/>
                        <w:tcBorders>
                          <w:top w:val="single" w:sz="4" w:space="0" w:color="000000"/>
                          <w:left w:val="nil" w:sz="6" w:space="0" w:color="auto"/>
                          <w:bottom w:val="single" w:sz="12" w:space="0" w:color="000000"/>
                          <w:right w:val="nil" w:sz="6" w:space="0" w:color="auto"/>
                        </w:tcBorders>
                      </w:tcPr>
                      <w:p>
                        <w:pPr>
                          <w:pStyle w:val="TableParagraph"/>
                          <w:spacing w:line="240" w:lineRule="auto" w:before="98"/>
                          <w:ind w:right="54"/>
                          <w:jc w:val="right"/>
                          <w:rPr>
                            <w:rFonts w:ascii="Times New Roman" w:hAnsi="Times New Roman" w:cs="Times New Roman" w:eastAsia="Times New Roman" w:hint="default"/>
                            <w:sz w:val="16"/>
                            <w:szCs w:val="16"/>
                          </w:rPr>
                        </w:pPr>
                        <w:r>
                          <w:rPr>
                            <w:rFonts w:ascii="Times New Roman"/>
                            <w:b/>
                            <w:spacing w:val="-1"/>
                            <w:sz w:val="16"/>
                          </w:rPr>
                          <w:t>0.00</w:t>
                        </w:r>
                        <w:r>
                          <w:rPr>
                            <w:rFonts w:ascii="Times New Roman"/>
                            <w:spacing w:val="-1"/>
                            <w:sz w:val="16"/>
                          </w:rPr>
                        </w:r>
                      </w:p>
                    </w:tc>
                  </w:tr>
                </w:tbl>
                <w:p>
                  <w:pPr/>
                </w:p>
              </w:txbxContent>
            </v:textbox>
            <w10:wrap type="none"/>
          </v:shape>
        </w:pict>
      </w:r>
      <w:r>
        <w:rPr>
          <w:rFonts w:ascii="宋体" w:hAnsi="宋体" w:cs="宋体" w:eastAsia="宋体" w:hint="default"/>
          <w:b/>
          <w:bCs/>
          <w:sz w:val="16"/>
          <w:szCs w:val="16"/>
        </w:rPr>
        <w:t>被投资单位</w:t>
        <w:tab/>
        <w:t>年初余额</w:t>
      </w:r>
      <w:r>
        <w:rPr>
          <w:rFonts w:ascii="宋体" w:hAnsi="宋体" w:cs="宋体" w:eastAsia="宋体" w:hint="default"/>
          <w:b/>
          <w:bCs/>
          <w:w w:val="100"/>
          <w:sz w:val="16"/>
          <w:szCs w:val="16"/>
        </w:rPr>
        <w:t> </w:t>
      </w:r>
      <w:r>
        <w:rPr>
          <w:rFonts w:ascii="宋体" w:hAnsi="宋体" w:cs="宋体" w:eastAsia="宋体" w:hint="default"/>
          <w:sz w:val="16"/>
          <w:szCs w:val="16"/>
        </w:rPr>
        <w:t>一、合营企业</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8"/>
        <w:rPr>
          <w:rFonts w:ascii="宋体" w:hAnsi="宋体" w:cs="宋体" w:eastAsia="宋体" w:hint="default"/>
          <w:sz w:val="20"/>
          <w:szCs w:val="20"/>
        </w:rPr>
      </w:pPr>
    </w:p>
    <w:p>
      <w:pPr>
        <w:tabs>
          <w:tab w:pos="1258" w:val="left" w:leader="none"/>
        </w:tabs>
        <w:spacing w:before="0"/>
        <w:ind w:left="178" w:right="-19" w:firstLine="0"/>
        <w:jc w:val="left"/>
        <w:rPr>
          <w:rFonts w:ascii="宋体" w:hAnsi="宋体" w:cs="宋体" w:eastAsia="宋体" w:hint="default"/>
          <w:sz w:val="16"/>
          <w:szCs w:val="16"/>
        </w:rPr>
      </w:pPr>
      <w:r>
        <w:rPr>
          <w:rFonts w:ascii="宋体" w:hAnsi="宋体" w:cs="宋体" w:eastAsia="宋体" w:hint="default"/>
          <w:b/>
          <w:bCs/>
          <w:sz w:val="16"/>
          <w:szCs w:val="16"/>
        </w:rPr>
        <w:t>追加投资</w:t>
        <w:tab/>
        <w:t>减少投资</w:t>
      </w:r>
      <w:r>
        <w:rPr>
          <w:rFonts w:ascii="宋体" w:hAnsi="宋体" w:cs="宋体" w:eastAsia="宋体" w:hint="default"/>
          <w:sz w:val="16"/>
          <w:szCs w:val="16"/>
        </w:rPr>
      </w:r>
    </w:p>
    <w:p>
      <w:pPr>
        <w:spacing w:line="240" w:lineRule="auto" w:before="7"/>
        <w:rPr>
          <w:rFonts w:ascii="宋体" w:hAnsi="宋体" w:cs="宋体" w:eastAsia="宋体" w:hint="default"/>
          <w:b/>
          <w:bCs/>
          <w:sz w:val="22"/>
          <w:szCs w:val="22"/>
        </w:rPr>
      </w:pPr>
      <w:r>
        <w:rPr/>
        <w:br w:type="column"/>
      </w:r>
      <w:r>
        <w:rPr>
          <w:rFonts w:ascii="宋体"/>
          <w:b/>
          <w:sz w:val="22"/>
        </w:rPr>
      </w:r>
    </w:p>
    <w:p>
      <w:pPr>
        <w:spacing w:line="206" w:lineRule="exact" w:before="0"/>
        <w:ind w:left="257" w:right="-18" w:hanging="80"/>
        <w:jc w:val="left"/>
        <w:rPr>
          <w:rFonts w:ascii="宋体" w:hAnsi="宋体" w:cs="宋体" w:eastAsia="宋体" w:hint="default"/>
          <w:sz w:val="16"/>
          <w:szCs w:val="16"/>
        </w:rPr>
      </w:pPr>
      <w:r>
        <w:rPr/>
        <w:pict>
          <v:group style="position:absolute;margin-left:254.899994pt;margin-top:-.279999pt;width:398.6pt;height:.5pt;mso-position-horizontal-relative:page;mso-position-vertical-relative:paragraph;z-index:-1196248" coordorigin="5098,-6" coordsize="7972,10">
            <v:group style="position:absolute;left:5103;top:-1;width:1134;height:2" coordorigin="5103,-1" coordsize="1134,2">
              <v:shape style="position:absolute;left:5103;top:-1;width:1134;height:2" coordorigin="5103,-1" coordsize="1134,0" path="m5103,-1l6236,-1e" filled="false" stroked="true" strokeweight=".48pt" strokecolor="#000000">
                <v:path arrowok="t"/>
              </v:shape>
            </v:group>
            <v:group style="position:absolute;left:6236;top:-1;width:10;height:2" coordorigin="6236,-1" coordsize="10,2">
              <v:shape style="position:absolute;left:6236;top:-1;width:10;height:2" coordorigin="6236,-1" coordsize="10,0" path="m6236,-1l6246,-1e" filled="false" stroked="true" strokeweight=".48pt" strokecolor="#000000">
                <v:path arrowok="t"/>
              </v:shape>
            </v:group>
            <v:group style="position:absolute;left:6246;top:-1;width:1025;height:2" coordorigin="6246,-1" coordsize="1025,2">
              <v:shape style="position:absolute;left:6246;top:-1;width:1025;height:2" coordorigin="6246,-1" coordsize="1025,0" path="m6246,-1l7271,-1e" filled="false" stroked="true" strokeweight=".48pt" strokecolor="#000000">
                <v:path arrowok="t"/>
              </v:shape>
            </v:group>
            <v:group style="position:absolute;left:7271;top:-1;width:10;height:2" coordorigin="7271,-1" coordsize="10,2">
              <v:shape style="position:absolute;left:7271;top:-1;width:10;height:2" coordorigin="7271,-1" coordsize="10,0" path="m7271,-1l7280,-1e" filled="false" stroked="true" strokeweight=".48pt" strokecolor="#000000">
                <v:path arrowok="t"/>
              </v:shape>
            </v:group>
            <v:group style="position:absolute;left:7280;top:-1;width:1222;height:2" coordorigin="7280,-1" coordsize="1222,2">
              <v:shape style="position:absolute;left:7280;top:-1;width:1222;height:2" coordorigin="7280,-1" coordsize="1222,0" path="m7280,-1l8502,-1e" filled="false" stroked="true" strokeweight=".48pt" strokecolor="#000000">
                <v:path arrowok="t"/>
              </v:shape>
            </v:group>
            <v:group style="position:absolute;left:8502;top:-1;width:10;height:2" coordorigin="8502,-1" coordsize="10,2">
              <v:shape style="position:absolute;left:8502;top:-1;width:10;height:2" coordorigin="8502,-1" coordsize="10,0" path="m8502,-1l8511,-1e" filled="false" stroked="true" strokeweight=".48pt" strokecolor="#000000">
                <v:path arrowok="t"/>
              </v:shape>
            </v:group>
            <v:group style="position:absolute;left:8511;top:-1;width:1223;height:2" coordorigin="8511,-1" coordsize="1223,2">
              <v:shape style="position:absolute;left:8511;top:-1;width:1223;height:2" coordorigin="8511,-1" coordsize="1223,0" path="m8511,-1l9733,-1e" filled="false" stroked="true" strokeweight=".48pt" strokecolor="#000000">
                <v:path arrowok="t"/>
              </v:shape>
            </v:group>
            <v:group style="position:absolute;left:9733;top:-1;width:10;height:2" coordorigin="9733,-1" coordsize="10,2">
              <v:shape style="position:absolute;left:9733;top:-1;width:10;height:2" coordorigin="9733,-1" coordsize="10,0" path="m9733,-1l9743,-1e" filled="false" stroked="true" strokeweight=".48pt" strokecolor="#000000">
                <v:path arrowok="t"/>
              </v:shape>
            </v:group>
            <v:group style="position:absolute;left:9743;top:-1;width:1028;height:2" coordorigin="9743,-1" coordsize="1028,2">
              <v:shape style="position:absolute;left:9743;top:-1;width:1028;height:2" coordorigin="9743,-1" coordsize="1028,0" path="m9743,-1l10770,-1e" filled="false" stroked="true" strokeweight=".48pt" strokecolor="#000000">
                <v:path arrowok="t"/>
              </v:shape>
            </v:group>
            <v:group style="position:absolute;left:10770;top:-1;width:10;height:2" coordorigin="10770,-1" coordsize="10,2">
              <v:shape style="position:absolute;left:10770;top:-1;width:10;height:2" coordorigin="10770,-1" coordsize="10,0" path="m10770,-1l10780,-1e" filled="false" stroked="true" strokeweight=".48pt" strokecolor="#000000">
                <v:path arrowok="t"/>
              </v:shape>
            </v:group>
            <v:group style="position:absolute;left:10780;top:-1;width:1248;height:2" coordorigin="10780,-1" coordsize="1248,2">
              <v:shape style="position:absolute;left:10780;top:-1;width:1248;height:2" coordorigin="10780,-1" coordsize="1248,0" path="m10780,-1l12028,-1e" filled="false" stroked="true" strokeweight=".48pt" strokecolor="#000000">
                <v:path arrowok="t"/>
              </v:shape>
            </v:group>
            <v:group style="position:absolute;left:12028;top:-1;width:10;height:2" coordorigin="12028,-1" coordsize="10,2">
              <v:shape style="position:absolute;left:12028;top:-1;width:10;height:2" coordorigin="12028,-1" coordsize="10,0" path="m12028,-1l12037,-1e" filled="false" stroked="true" strokeweight=".48pt" strokecolor="#000000">
                <v:path arrowok="t"/>
              </v:shape>
            </v:group>
            <v:group style="position:absolute;left:12037;top:-1;width:1028;height:2" coordorigin="12037,-1" coordsize="1028,2">
              <v:shape style="position:absolute;left:12037;top:-1;width:1028;height:2" coordorigin="12037,-1" coordsize="1028,0" path="m12037,-1l13065,-1e" filled="false" stroked="true" strokeweight=".48pt" strokecolor="#000000">
                <v:path arrowok="t"/>
              </v:shape>
            </v:group>
            <w10:wrap type="none"/>
          </v:group>
        </w:pict>
      </w:r>
      <w:r>
        <w:rPr>
          <w:rFonts w:ascii="宋体" w:hAnsi="宋体" w:cs="宋体" w:eastAsia="宋体" w:hint="default"/>
          <w:b/>
          <w:bCs/>
          <w:sz w:val="16"/>
          <w:szCs w:val="16"/>
        </w:rPr>
        <w:t>权益法下确认</w:t>
      </w:r>
      <w:r>
        <w:rPr>
          <w:rFonts w:ascii="宋体" w:hAnsi="宋体" w:cs="宋体" w:eastAsia="宋体" w:hint="default"/>
          <w:b/>
          <w:bCs/>
          <w:w w:val="100"/>
          <w:sz w:val="16"/>
          <w:szCs w:val="16"/>
        </w:rPr>
        <w:t> </w:t>
      </w:r>
      <w:r>
        <w:rPr>
          <w:rFonts w:ascii="宋体" w:hAnsi="宋体" w:cs="宋体" w:eastAsia="宋体" w:hint="default"/>
          <w:b/>
          <w:bCs/>
          <w:sz w:val="16"/>
          <w:szCs w:val="16"/>
        </w:rPr>
        <w:t>的投资损益</w:t>
      </w:r>
      <w:r>
        <w:rPr>
          <w:rFonts w:ascii="宋体" w:hAnsi="宋体" w:cs="宋体" w:eastAsia="宋体" w:hint="default"/>
          <w:sz w:val="16"/>
          <w:szCs w:val="16"/>
        </w:rPr>
      </w:r>
    </w:p>
    <w:p>
      <w:pPr>
        <w:spacing w:line="242" w:lineRule="auto" w:before="54"/>
        <w:ind w:left="178" w:right="0" w:hanging="34"/>
        <w:jc w:val="center"/>
        <w:rPr>
          <w:rFonts w:ascii="宋体" w:hAnsi="宋体" w:cs="宋体" w:eastAsia="宋体" w:hint="default"/>
          <w:sz w:val="16"/>
          <w:szCs w:val="16"/>
        </w:rPr>
      </w:pPr>
      <w:r>
        <w:rPr/>
        <w:br w:type="column"/>
      </w:r>
      <w:r>
        <w:rPr>
          <w:rFonts w:ascii="宋体" w:hAnsi="宋体" w:cs="宋体" w:eastAsia="宋体" w:hint="default"/>
          <w:b/>
          <w:bCs/>
          <w:sz w:val="16"/>
          <w:szCs w:val="16"/>
        </w:rPr>
        <w:t>本年增减变动</w:t>
      </w:r>
      <w:r>
        <w:rPr>
          <w:rFonts w:ascii="宋体" w:hAnsi="宋体" w:cs="宋体" w:eastAsia="宋体" w:hint="default"/>
          <w:b/>
          <w:bCs/>
          <w:w w:val="100"/>
          <w:sz w:val="16"/>
          <w:szCs w:val="16"/>
        </w:rPr>
        <w:t> </w:t>
      </w:r>
      <w:r>
        <w:rPr>
          <w:rFonts w:ascii="宋体" w:hAnsi="宋体" w:cs="宋体" w:eastAsia="宋体" w:hint="default"/>
          <w:b/>
          <w:bCs/>
          <w:sz w:val="16"/>
          <w:szCs w:val="16"/>
        </w:rPr>
        <w:t>其他综合收益</w:t>
      </w:r>
      <w:r>
        <w:rPr>
          <w:rFonts w:ascii="宋体" w:hAnsi="宋体" w:cs="宋体" w:eastAsia="宋体" w:hint="default"/>
          <w:b/>
          <w:bCs/>
          <w:w w:val="100"/>
          <w:sz w:val="16"/>
          <w:szCs w:val="16"/>
        </w:rPr>
        <w:t> </w:t>
      </w:r>
      <w:r>
        <w:rPr>
          <w:rFonts w:ascii="宋体" w:hAnsi="宋体" w:cs="宋体" w:eastAsia="宋体" w:hint="default"/>
          <w:b/>
          <w:bCs/>
          <w:sz w:val="16"/>
          <w:szCs w:val="16"/>
        </w:rPr>
        <w:t>调整</w:t>
      </w:r>
      <w:r>
        <w:rPr>
          <w:rFonts w:ascii="宋体" w:hAnsi="宋体" w:cs="宋体" w:eastAsia="宋体" w:hint="default"/>
          <w:sz w:val="16"/>
          <w:szCs w:val="16"/>
        </w:rPr>
      </w:r>
    </w:p>
    <w:p>
      <w:pPr>
        <w:spacing w:line="240" w:lineRule="auto" w:before="7"/>
        <w:rPr>
          <w:rFonts w:ascii="宋体" w:hAnsi="宋体" w:cs="宋体" w:eastAsia="宋体" w:hint="default"/>
          <w:b/>
          <w:bCs/>
          <w:sz w:val="22"/>
          <w:szCs w:val="22"/>
        </w:rPr>
      </w:pPr>
      <w:r>
        <w:rPr/>
        <w:br w:type="column"/>
      </w:r>
      <w:r>
        <w:rPr>
          <w:rFonts w:ascii="宋体"/>
          <w:b/>
          <w:sz w:val="22"/>
        </w:rPr>
      </w:r>
    </w:p>
    <w:p>
      <w:pPr>
        <w:spacing w:line="206" w:lineRule="exact" w:before="0"/>
        <w:ind w:left="500" w:right="-19" w:hanging="322"/>
        <w:jc w:val="left"/>
        <w:rPr>
          <w:rFonts w:ascii="宋体" w:hAnsi="宋体" w:cs="宋体" w:eastAsia="宋体" w:hint="default"/>
          <w:sz w:val="16"/>
          <w:szCs w:val="16"/>
        </w:rPr>
      </w:pPr>
      <w:r>
        <w:rPr>
          <w:rFonts w:ascii="宋体" w:hAnsi="宋体" w:cs="宋体" w:eastAsia="宋体" w:hint="default"/>
          <w:b/>
          <w:bCs/>
          <w:sz w:val="16"/>
          <w:szCs w:val="16"/>
        </w:rPr>
        <w:t>其他权益变</w:t>
      </w:r>
      <w:r>
        <w:rPr>
          <w:rFonts w:ascii="宋体" w:hAnsi="宋体" w:cs="宋体" w:eastAsia="宋体" w:hint="default"/>
          <w:b/>
          <w:bCs/>
          <w:w w:val="100"/>
          <w:sz w:val="16"/>
          <w:szCs w:val="16"/>
        </w:rPr>
        <w:t> </w:t>
      </w:r>
      <w:r>
        <w:rPr>
          <w:rFonts w:ascii="宋体" w:hAnsi="宋体" w:cs="宋体" w:eastAsia="宋体" w:hint="default"/>
          <w:b/>
          <w:bCs/>
          <w:sz w:val="16"/>
          <w:szCs w:val="16"/>
        </w:rPr>
        <w:t>动</w:t>
      </w:r>
      <w:r>
        <w:rPr>
          <w:rFonts w:ascii="宋体" w:hAnsi="宋体" w:cs="宋体" w:eastAsia="宋体" w:hint="default"/>
          <w:sz w:val="16"/>
          <w:szCs w:val="16"/>
        </w:rPr>
      </w:r>
    </w:p>
    <w:p>
      <w:pPr>
        <w:spacing w:line="240" w:lineRule="auto" w:before="11"/>
        <w:rPr>
          <w:rFonts w:ascii="宋体" w:hAnsi="宋体" w:cs="宋体" w:eastAsia="宋体" w:hint="default"/>
          <w:b/>
          <w:bCs/>
          <w:sz w:val="20"/>
          <w:szCs w:val="20"/>
        </w:rPr>
      </w:pPr>
      <w:r>
        <w:rPr/>
        <w:br w:type="column"/>
      </w:r>
      <w:r>
        <w:rPr>
          <w:rFonts w:ascii="宋体"/>
          <w:b/>
          <w:sz w:val="20"/>
        </w:rPr>
      </w:r>
    </w:p>
    <w:p>
      <w:pPr>
        <w:spacing w:line="208" w:lineRule="exact" w:before="0"/>
        <w:ind w:left="144" w:right="-19" w:firstLine="0"/>
        <w:jc w:val="left"/>
        <w:rPr>
          <w:rFonts w:ascii="宋体" w:hAnsi="宋体" w:cs="宋体" w:eastAsia="宋体" w:hint="default"/>
          <w:sz w:val="16"/>
          <w:szCs w:val="16"/>
        </w:rPr>
      </w:pPr>
      <w:r>
        <w:rPr>
          <w:rFonts w:ascii="宋体" w:hAnsi="宋体" w:cs="宋体" w:eastAsia="宋体" w:hint="default"/>
          <w:b/>
          <w:bCs/>
          <w:sz w:val="16"/>
          <w:szCs w:val="16"/>
        </w:rPr>
        <w:t>宣告发放现金股</w:t>
      </w:r>
      <w:r>
        <w:rPr>
          <w:rFonts w:ascii="宋体" w:hAnsi="宋体" w:cs="宋体" w:eastAsia="宋体" w:hint="default"/>
          <w:sz w:val="16"/>
          <w:szCs w:val="16"/>
        </w:rPr>
      </w:r>
    </w:p>
    <w:p>
      <w:pPr>
        <w:tabs>
          <w:tab w:pos="1692" w:val="left" w:leader="none"/>
        </w:tabs>
        <w:spacing w:line="208" w:lineRule="exact" w:before="0"/>
        <w:ind w:left="384" w:right="-19" w:firstLine="0"/>
        <w:jc w:val="left"/>
        <w:rPr>
          <w:rFonts w:ascii="宋体" w:hAnsi="宋体" w:cs="宋体" w:eastAsia="宋体" w:hint="default"/>
          <w:sz w:val="16"/>
          <w:szCs w:val="16"/>
        </w:rPr>
      </w:pPr>
      <w:r>
        <w:rPr>
          <w:rFonts w:ascii="宋体" w:hAnsi="宋体" w:cs="宋体" w:eastAsia="宋体" w:hint="default"/>
          <w:b/>
          <w:bCs/>
          <w:sz w:val="16"/>
          <w:szCs w:val="16"/>
        </w:rPr>
        <w:t>利或利润</w:t>
        <w:tab/>
        <w:t>其他</w:t>
      </w:r>
      <w:r>
        <w:rPr>
          <w:rFonts w:ascii="宋体" w:hAnsi="宋体" w:cs="宋体" w:eastAsia="宋体" w:hint="default"/>
          <w:sz w:val="16"/>
          <w:szCs w:val="16"/>
        </w:rPr>
      </w:r>
    </w:p>
    <w:p>
      <w:pPr>
        <w:spacing w:line="240" w:lineRule="auto" w:before="6"/>
        <w:rPr>
          <w:rFonts w:ascii="宋体" w:hAnsi="宋体" w:cs="宋体" w:eastAsia="宋体" w:hint="default"/>
          <w:b/>
          <w:bCs/>
          <w:sz w:val="14"/>
          <w:szCs w:val="14"/>
        </w:rPr>
      </w:pPr>
      <w:r>
        <w:rPr/>
        <w:br w:type="column"/>
      </w:r>
      <w:r>
        <w:rPr>
          <w:rFonts w:ascii="宋体"/>
          <w:b/>
          <w:sz w:val="14"/>
        </w:rPr>
      </w:r>
    </w:p>
    <w:p>
      <w:pPr>
        <w:tabs>
          <w:tab w:pos="1222" w:val="left" w:leader="none"/>
        </w:tabs>
        <w:spacing w:line="156" w:lineRule="auto" w:before="0"/>
        <w:ind w:left="1383" w:right="365" w:hanging="1205"/>
        <w:jc w:val="left"/>
        <w:rPr>
          <w:rFonts w:ascii="宋体" w:hAnsi="宋体" w:cs="宋体" w:eastAsia="宋体" w:hint="default"/>
          <w:sz w:val="16"/>
          <w:szCs w:val="16"/>
        </w:rPr>
      </w:pPr>
      <w:r>
        <w:rPr>
          <w:rFonts w:ascii="宋体" w:hAnsi="宋体" w:cs="宋体" w:eastAsia="宋体" w:hint="default"/>
          <w:b/>
          <w:bCs/>
          <w:position w:val="-10"/>
          <w:sz w:val="16"/>
          <w:szCs w:val="16"/>
        </w:rPr>
        <w:t>年末余额</w:t>
        <w:tab/>
      </w:r>
      <w:r>
        <w:rPr>
          <w:rFonts w:ascii="宋体" w:hAnsi="宋体" w:cs="宋体" w:eastAsia="宋体" w:hint="default"/>
          <w:b/>
          <w:bCs/>
          <w:sz w:val="16"/>
          <w:szCs w:val="16"/>
        </w:rPr>
        <w:t>减值准备年</w:t>
      </w:r>
      <w:r>
        <w:rPr>
          <w:rFonts w:ascii="宋体" w:hAnsi="宋体" w:cs="宋体" w:eastAsia="宋体" w:hint="default"/>
          <w:b/>
          <w:bCs/>
          <w:w w:val="100"/>
          <w:sz w:val="16"/>
          <w:szCs w:val="16"/>
        </w:rPr>
        <w:t> </w:t>
      </w:r>
      <w:r>
        <w:rPr>
          <w:rFonts w:ascii="宋体" w:hAnsi="宋体" w:cs="宋体" w:eastAsia="宋体" w:hint="default"/>
          <w:b/>
          <w:bCs/>
          <w:sz w:val="16"/>
          <w:szCs w:val="16"/>
        </w:rPr>
        <w:t>末余额</w:t>
      </w:r>
      <w:r>
        <w:rPr>
          <w:rFonts w:ascii="宋体" w:hAnsi="宋体" w:cs="宋体" w:eastAsia="宋体" w:hint="default"/>
          <w:sz w:val="16"/>
          <w:szCs w:val="16"/>
        </w:rPr>
      </w:r>
    </w:p>
    <w:p>
      <w:pPr>
        <w:spacing w:after="0" w:line="156" w:lineRule="auto"/>
        <w:jc w:val="left"/>
        <w:rPr>
          <w:rFonts w:ascii="宋体" w:hAnsi="宋体" w:cs="宋体" w:eastAsia="宋体" w:hint="default"/>
          <w:sz w:val="16"/>
          <w:szCs w:val="16"/>
        </w:rPr>
        <w:sectPr>
          <w:type w:val="continuous"/>
          <w:pgSz w:w="16840" w:h="11910" w:orient="landscape"/>
          <w:pgMar w:top="1020" w:bottom="280" w:left="1240" w:right="1260"/>
          <w:cols w:num="7" w:equalWidth="0">
            <w:col w:w="3566" w:space="363"/>
            <w:col w:w="1903" w:space="152"/>
            <w:col w:w="1144" w:space="54"/>
            <w:col w:w="1177" w:space="71"/>
            <w:col w:w="983" w:space="40"/>
            <w:col w:w="2015" w:space="472"/>
            <w:col w:w="2400"/>
          </w:cols>
        </w:sectPr>
      </w:pPr>
    </w:p>
    <w:p>
      <w:pPr>
        <w:spacing w:line="240" w:lineRule="auto" w:before="6"/>
        <w:rPr>
          <w:rFonts w:ascii="宋体" w:hAnsi="宋体" w:cs="宋体" w:eastAsia="宋体" w:hint="default"/>
          <w:b/>
          <w:bCs/>
          <w:sz w:val="5"/>
          <w:szCs w:val="5"/>
        </w:rPr>
      </w:pPr>
    </w:p>
    <w:p>
      <w:pPr>
        <w:spacing w:line="417" w:lineRule="exact"/>
        <w:ind w:left="145" w:right="0" w:firstLine="0"/>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861822" cy="265175"/>
            <wp:effectExtent l="0" t="0" r="0" b="0"/>
            <wp:docPr id="35" name="image1.jpeg" descr=""/>
            <wp:cNvGraphicFramePr>
              <a:graphicFrameLocks noChangeAspect="1"/>
            </wp:cNvGraphicFramePr>
            <a:graphic>
              <a:graphicData uri="http://schemas.openxmlformats.org/drawingml/2006/picture">
                <pic:pic>
                  <pic:nvPicPr>
                    <pic:cNvPr id="36" name="image1.jpeg"/>
                    <pic:cNvPicPr/>
                  </pic:nvPicPr>
                  <pic:blipFill>
                    <a:blip r:embed="rId35" cstate="print"/>
                    <a:stretch>
                      <a:fillRect/>
                    </a:stretch>
                  </pic:blipFill>
                  <pic:spPr>
                    <a:xfrm>
                      <a:off x="0" y="0"/>
                      <a:ext cx="861822" cy="265175"/>
                    </a:xfrm>
                    <a:prstGeom prst="rect">
                      <a:avLst/>
                    </a:prstGeom>
                  </pic:spPr>
                </pic:pic>
              </a:graphicData>
            </a:graphic>
          </wp:inline>
        </w:drawing>
      </w:r>
      <w:r>
        <w:rPr>
          <w:rFonts w:ascii="宋体" w:hAnsi="宋体" w:cs="宋体" w:eastAsia="宋体" w:hint="default"/>
          <w:position w:val="-7"/>
          <w:sz w:val="20"/>
          <w:szCs w:val="20"/>
        </w:rPr>
      </w:r>
    </w:p>
    <w:p>
      <w:pPr>
        <w:spacing w:line="240" w:lineRule="auto" w:before="10"/>
        <w:rPr>
          <w:rFonts w:ascii="宋体" w:hAnsi="宋体" w:cs="宋体" w:eastAsia="宋体" w:hint="default"/>
          <w:b/>
          <w:bCs/>
          <w:sz w:val="5"/>
          <w:szCs w:val="5"/>
        </w:rPr>
      </w:pPr>
    </w:p>
    <w:p>
      <w:pPr>
        <w:spacing w:line="20" w:lineRule="exact"/>
        <w:ind w:left="206"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b/>
          <w:bCs/>
          <w:sz w:val="26"/>
          <w:szCs w:val="26"/>
        </w:rPr>
      </w:pPr>
    </w:p>
    <w:p>
      <w:pPr>
        <w:spacing w:before="32"/>
        <w:ind w:left="69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  </w:t>
      </w:r>
      <w:r>
        <w:rPr>
          <w:rFonts w:ascii="Times New Roman" w:hAnsi="Times New Roman" w:cs="Times New Roman" w:eastAsia="Times New Roman" w:hint="default"/>
          <w:b/>
          <w:bCs/>
          <w:spacing w:val="16"/>
          <w:sz w:val="22"/>
          <w:szCs w:val="22"/>
        </w:rPr>
        <w:t> </w:t>
      </w:r>
      <w:r>
        <w:rPr>
          <w:rFonts w:ascii="宋体" w:hAnsi="宋体" w:cs="宋体" w:eastAsia="宋体" w:hint="default"/>
          <w:sz w:val="22"/>
          <w:szCs w:val="22"/>
        </w:rPr>
        <w:t>营业收入和营业成本</w:t>
      </w:r>
    </w:p>
    <w:p>
      <w:pPr>
        <w:spacing w:line="240" w:lineRule="auto" w:before="8"/>
        <w:rPr>
          <w:rFonts w:ascii="宋体" w:hAnsi="宋体" w:cs="宋体" w:eastAsia="宋体" w:hint="default"/>
          <w:sz w:val="11"/>
          <w:szCs w:val="11"/>
        </w:rPr>
      </w:pPr>
    </w:p>
    <w:p>
      <w:pPr>
        <w:spacing w:line="28" w:lineRule="exact"/>
        <w:ind w:left="119" w:right="0" w:firstLine="0"/>
        <w:rPr>
          <w:rFonts w:ascii="宋体" w:hAnsi="宋体" w:cs="宋体" w:eastAsia="宋体" w:hint="default"/>
          <w:sz w:val="2"/>
          <w:szCs w:val="2"/>
        </w:rPr>
      </w:pPr>
      <w:r>
        <w:rPr>
          <w:rFonts w:ascii="宋体" w:hAnsi="宋体" w:cs="宋体" w:eastAsia="宋体" w:hint="default"/>
          <w:position w:val="0"/>
          <w:sz w:val="2"/>
          <w:szCs w:val="2"/>
        </w:rPr>
        <w:pict>
          <v:group style="width:437.75pt;height:1.45pt;mso-position-horizontal-relative:char;mso-position-vertical-relative:line" coordorigin="0,0" coordsize="8755,29">
            <v:group style="position:absolute;left:14;top:14;width:1268;height:2" coordorigin="14,14" coordsize="1268,2">
              <v:shape style="position:absolute;left:14;top:14;width:1268;height:2" coordorigin="14,14" coordsize="1268,0" path="m14,14l1282,14e" filled="false" stroked="true" strokeweight="1.44pt" strokecolor="#000000">
                <v:path arrowok="t"/>
              </v:shape>
            </v:group>
            <v:group style="position:absolute;left:1282;top:14;width:29;height:2" coordorigin="1282,14" coordsize="29,2">
              <v:shape style="position:absolute;left:1282;top:14;width:29;height:2" coordorigin="1282,14" coordsize="29,0" path="m1282,14l1310,14e" filled="false" stroked="true" strokeweight="1.44pt" strokecolor="#000000">
                <v:path arrowok="t"/>
              </v:shape>
            </v:group>
            <v:group style="position:absolute;left:1310;top:14;width:3669;height:2" coordorigin="1310,14" coordsize="3669,2">
              <v:shape style="position:absolute;left:1310;top:14;width:3669;height:2" coordorigin="1310,14" coordsize="3669,0" path="m1310,14l4979,14e" filled="false" stroked="true" strokeweight="1.44pt" strokecolor="#000000">
                <v:path arrowok="t"/>
              </v:shape>
            </v:group>
            <v:group style="position:absolute;left:4979;top:14;width:29;height:2" coordorigin="4979,14" coordsize="29,2">
              <v:shape style="position:absolute;left:4979;top:14;width:29;height:2" coordorigin="4979,14" coordsize="29,0" path="m4979,14l5007,14e" filled="false" stroked="true" strokeweight="1.44pt" strokecolor="#000000">
                <v:path arrowok="t"/>
              </v:shape>
            </v:group>
            <v:group style="position:absolute;left:5007;top:14;width:3733;height:2" coordorigin="5007,14" coordsize="3733,2">
              <v:shape style="position:absolute;left:5007;top:14;width:3733;height:2" coordorigin="5007,14" coordsize="3733,0" path="m5007,14l8740,14e" filled="false" stroked="true" strokeweight="1.44pt" strokecolor="#000000">
                <v:path arrowok="t"/>
              </v:shape>
            </v:group>
          </v:group>
        </w:pict>
      </w:r>
      <w:r>
        <w:rPr>
          <w:rFonts w:ascii="宋体" w:hAnsi="宋体" w:cs="宋体" w:eastAsia="宋体" w:hint="default"/>
          <w:position w:val="0"/>
          <w:sz w:val="2"/>
          <w:szCs w:val="2"/>
        </w:rPr>
      </w:r>
    </w:p>
    <w:p>
      <w:pPr>
        <w:tabs>
          <w:tab w:pos="6526" w:val="left" w:leader="none"/>
        </w:tabs>
        <w:spacing w:before="23"/>
        <w:ind w:left="2796" w:right="207" w:firstLine="0"/>
        <w:jc w:val="left"/>
        <w:rPr>
          <w:rFonts w:ascii="宋体" w:hAnsi="宋体" w:cs="宋体" w:eastAsia="宋体" w:hint="default"/>
          <w:sz w:val="18"/>
          <w:szCs w:val="18"/>
        </w:rPr>
      </w:pPr>
      <w:r>
        <w:rPr/>
        <w:pict>
          <v:shape style="position:absolute;margin-left:79.704002pt;margin-top:10.527319pt;width:436.3pt;height:65.6pt;mso-position-horizontal-relative:page;mso-position-vertical-relative:paragraph;z-index:30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03"/>
                    <w:gridCol w:w="2015"/>
                    <w:gridCol w:w="1849"/>
                    <w:gridCol w:w="1879"/>
                    <w:gridCol w:w="1679"/>
                  </w:tblGrid>
                  <w:tr>
                    <w:trPr>
                      <w:trHeight w:val="397" w:hRule="exact"/>
                    </w:trPr>
                    <w:tc>
                      <w:tcPr>
                        <w:tcW w:w="1303" w:type="dxa"/>
                        <w:tcBorders>
                          <w:top w:val="nil" w:sz="6" w:space="0" w:color="auto"/>
                          <w:left w:val="nil" w:sz="6" w:space="0" w:color="auto"/>
                          <w:bottom w:val="single" w:sz="4" w:space="0" w:color="000000"/>
                          <w:right w:val="nil" w:sz="6" w:space="0" w:color="auto"/>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015" w:type="dxa"/>
                        <w:tcBorders>
                          <w:top w:val="nil" w:sz="6" w:space="0" w:color="auto"/>
                          <w:left w:val="nil" w:sz="6" w:space="0" w:color="auto"/>
                          <w:bottom w:val="single" w:sz="4" w:space="0" w:color="000000"/>
                          <w:right w:val="nil" w:sz="6" w:space="0" w:color="auto"/>
                        </w:tcBorders>
                      </w:tcPr>
                      <w:p>
                        <w:pPr>
                          <w:pStyle w:val="TableParagraph"/>
                          <w:spacing w:line="240" w:lineRule="auto" w:before="127"/>
                          <w:ind w:right="206"/>
                          <w:jc w:val="center"/>
                          <w:rPr>
                            <w:rFonts w:ascii="宋体" w:hAnsi="宋体" w:cs="宋体" w:eastAsia="宋体" w:hint="default"/>
                            <w:sz w:val="18"/>
                            <w:szCs w:val="18"/>
                          </w:rPr>
                        </w:pPr>
                        <w:r>
                          <w:rPr>
                            <w:rFonts w:ascii="宋体" w:hAnsi="宋体" w:cs="宋体" w:eastAsia="宋体" w:hint="default"/>
                            <w:b/>
                            <w:bCs/>
                            <w:sz w:val="18"/>
                            <w:szCs w:val="18"/>
                          </w:rPr>
                          <w:t>收入</w:t>
                        </w:r>
                        <w:r>
                          <w:rPr>
                            <w:rFonts w:ascii="宋体" w:hAnsi="宋体" w:cs="宋体" w:eastAsia="宋体" w:hint="default"/>
                            <w:sz w:val="18"/>
                            <w:szCs w:val="18"/>
                          </w:rPr>
                        </w:r>
                      </w:p>
                    </w:tc>
                    <w:tc>
                      <w:tcPr>
                        <w:tcW w:w="1849" w:type="dxa"/>
                        <w:tcBorders>
                          <w:top w:val="nil" w:sz="6" w:space="0" w:color="auto"/>
                          <w:left w:val="nil" w:sz="6" w:space="0" w:color="auto"/>
                          <w:bottom w:val="single" w:sz="4" w:space="0" w:color="000000"/>
                          <w:right w:val="nil" w:sz="6" w:space="0" w:color="auto"/>
                        </w:tcBorders>
                      </w:tcPr>
                      <w:p>
                        <w:pPr>
                          <w:pStyle w:val="TableParagraph"/>
                          <w:spacing w:line="240" w:lineRule="auto" w:before="127"/>
                          <w:ind w:left="556" w:right="0"/>
                          <w:jc w:val="left"/>
                          <w:rPr>
                            <w:rFonts w:ascii="宋体" w:hAnsi="宋体" w:cs="宋体" w:eastAsia="宋体" w:hint="default"/>
                            <w:sz w:val="18"/>
                            <w:szCs w:val="18"/>
                          </w:rPr>
                        </w:pPr>
                        <w:r>
                          <w:rPr>
                            <w:rFonts w:ascii="宋体" w:hAnsi="宋体" w:cs="宋体" w:eastAsia="宋体" w:hint="default"/>
                            <w:b/>
                            <w:bCs/>
                            <w:sz w:val="18"/>
                            <w:szCs w:val="18"/>
                          </w:rPr>
                          <w:t>成本</w:t>
                        </w:r>
                        <w:r>
                          <w:rPr>
                            <w:rFonts w:ascii="宋体" w:hAnsi="宋体" w:cs="宋体" w:eastAsia="宋体" w:hint="default"/>
                            <w:sz w:val="18"/>
                            <w:szCs w:val="18"/>
                          </w:rPr>
                        </w:r>
                      </w:p>
                    </w:tc>
                    <w:tc>
                      <w:tcPr>
                        <w:tcW w:w="1879" w:type="dxa"/>
                        <w:tcBorders>
                          <w:top w:val="nil" w:sz="6" w:space="0" w:color="auto"/>
                          <w:left w:val="nil" w:sz="6" w:space="0" w:color="auto"/>
                          <w:bottom w:val="single" w:sz="4" w:space="0" w:color="000000"/>
                          <w:right w:val="nil" w:sz="6" w:space="0" w:color="auto"/>
                        </w:tcBorders>
                      </w:tcPr>
                      <w:p>
                        <w:pPr>
                          <w:pStyle w:val="TableParagraph"/>
                          <w:spacing w:line="240" w:lineRule="auto" w:before="127"/>
                          <w:ind w:left="555" w:right="0"/>
                          <w:jc w:val="left"/>
                          <w:rPr>
                            <w:rFonts w:ascii="宋体" w:hAnsi="宋体" w:cs="宋体" w:eastAsia="宋体" w:hint="default"/>
                            <w:sz w:val="18"/>
                            <w:szCs w:val="18"/>
                          </w:rPr>
                        </w:pPr>
                        <w:r>
                          <w:rPr>
                            <w:rFonts w:ascii="宋体" w:hAnsi="宋体" w:cs="宋体" w:eastAsia="宋体" w:hint="default"/>
                            <w:b/>
                            <w:bCs/>
                            <w:sz w:val="18"/>
                            <w:szCs w:val="18"/>
                          </w:rPr>
                          <w:t>收入</w:t>
                        </w:r>
                        <w:r>
                          <w:rPr>
                            <w:rFonts w:ascii="宋体" w:hAnsi="宋体" w:cs="宋体" w:eastAsia="宋体" w:hint="default"/>
                            <w:sz w:val="18"/>
                            <w:szCs w:val="18"/>
                          </w:rPr>
                        </w:r>
                      </w:p>
                    </w:tc>
                    <w:tc>
                      <w:tcPr>
                        <w:tcW w:w="1679" w:type="dxa"/>
                        <w:tcBorders>
                          <w:top w:val="nil" w:sz="6" w:space="0" w:color="auto"/>
                          <w:left w:val="nil" w:sz="6" w:space="0" w:color="auto"/>
                          <w:bottom w:val="single" w:sz="4" w:space="0" w:color="000000"/>
                          <w:right w:val="nil" w:sz="6" w:space="0" w:color="auto"/>
                        </w:tcBorders>
                      </w:tcPr>
                      <w:p>
                        <w:pPr>
                          <w:pStyle w:val="TableParagraph"/>
                          <w:spacing w:line="240" w:lineRule="auto" w:before="127"/>
                          <w:ind w:left="555" w:right="0"/>
                          <w:jc w:val="left"/>
                          <w:rPr>
                            <w:rFonts w:ascii="宋体" w:hAnsi="宋体" w:cs="宋体" w:eastAsia="宋体" w:hint="default"/>
                            <w:sz w:val="18"/>
                            <w:szCs w:val="18"/>
                          </w:rPr>
                        </w:pPr>
                        <w:r>
                          <w:rPr>
                            <w:rFonts w:ascii="宋体" w:hAnsi="宋体" w:cs="宋体" w:eastAsia="宋体" w:hint="default"/>
                            <w:b/>
                            <w:bCs/>
                            <w:sz w:val="18"/>
                            <w:szCs w:val="18"/>
                          </w:rPr>
                          <w:t>成本</w:t>
                        </w:r>
                        <w:r>
                          <w:rPr>
                            <w:rFonts w:ascii="宋体" w:hAnsi="宋体" w:cs="宋体" w:eastAsia="宋体" w:hint="default"/>
                            <w:sz w:val="18"/>
                            <w:szCs w:val="18"/>
                          </w:rPr>
                        </w:r>
                      </w:p>
                    </w:tc>
                  </w:tr>
                  <w:tr>
                    <w:trPr>
                      <w:trHeight w:val="323" w:hRule="exact"/>
                    </w:trPr>
                    <w:tc>
                      <w:tcPr>
                        <w:tcW w:w="1303"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2015"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276"/>
                          <w:jc w:val="right"/>
                          <w:rPr>
                            <w:rFonts w:ascii="Times New Roman" w:hAnsi="Times New Roman" w:cs="Times New Roman" w:eastAsia="Times New Roman" w:hint="default"/>
                            <w:sz w:val="18"/>
                            <w:szCs w:val="18"/>
                          </w:rPr>
                        </w:pPr>
                        <w:r>
                          <w:rPr>
                            <w:rFonts w:ascii="Times New Roman"/>
                            <w:spacing w:val="-1"/>
                            <w:sz w:val="18"/>
                          </w:rPr>
                          <w:t>6,430,684,346.64</w:t>
                        </w:r>
                      </w:p>
                    </w:tc>
                    <w:tc>
                      <w:tcPr>
                        <w:tcW w:w="1849"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308"/>
                          <w:jc w:val="right"/>
                          <w:rPr>
                            <w:rFonts w:ascii="Times New Roman" w:hAnsi="Times New Roman" w:cs="Times New Roman" w:eastAsia="Times New Roman" w:hint="default"/>
                            <w:sz w:val="18"/>
                            <w:szCs w:val="18"/>
                          </w:rPr>
                        </w:pPr>
                        <w:r>
                          <w:rPr>
                            <w:rFonts w:ascii="Times New Roman"/>
                            <w:spacing w:val="-1"/>
                            <w:sz w:val="18"/>
                          </w:rPr>
                          <w:t>6,026,522,986.84</w:t>
                        </w:r>
                      </w:p>
                    </w:tc>
                    <w:tc>
                      <w:tcPr>
                        <w:tcW w:w="1879"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307"/>
                          <w:jc w:val="right"/>
                          <w:rPr>
                            <w:rFonts w:ascii="Times New Roman" w:hAnsi="Times New Roman" w:cs="Times New Roman" w:eastAsia="Times New Roman" w:hint="default"/>
                            <w:sz w:val="18"/>
                            <w:szCs w:val="18"/>
                          </w:rPr>
                        </w:pPr>
                        <w:r>
                          <w:rPr>
                            <w:rFonts w:ascii="Times New Roman"/>
                            <w:spacing w:val="-1"/>
                            <w:sz w:val="18"/>
                          </w:rPr>
                          <w:t>8,024,194,287.76</w:t>
                        </w:r>
                      </w:p>
                    </w:tc>
                    <w:tc>
                      <w:tcPr>
                        <w:tcW w:w="1679" w:type="dxa"/>
                        <w:tcBorders>
                          <w:top w:val="single" w:sz="4" w:space="0" w:color="000000"/>
                          <w:left w:val="nil" w:sz="6" w:space="0" w:color="auto"/>
                          <w:bottom w:val="nil" w:sz="6" w:space="0" w:color="auto"/>
                          <w:right w:val="nil" w:sz="6" w:space="0" w:color="auto"/>
                        </w:tcBorders>
                      </w:tcPr>
                      <w:p>
                        <w:pPr>
                          <w:pStyle w:val="TableParagraph"/>
                          <w:spacing w:line="240" w:lineRule="auto" w:before="72"/>
                          <w:ind w:right="108"/>
                          <w:jc w:val="right"/>
                          <w:rPr>
                            <w:rFonts w:ascii="Times New Roman" w:hAnsi="Times New Roman" w:cs="Times New Roman" w:eastAsia="Times New Roman" w:hint="default"/>
                            <w:sz w:val="18"/>
                            <w:szCs w:val="18"/>
                          </w:rPr>
                        </w:pPr>
                        <w:r>
                          <w:rPr>
                            <w:rFonts w:ascii="Times New Roman"/>
                            <w:spacing w:val="-1"/>
                            <w:sz w:val="18"/>
                          </w:rPr>
                          <w:t>7,588,704,546.65</w:t>
                        </w:r>
                      </w:p>
                    </w:tc>
                  </w:tr>
                  <w:tr>
                    <w:trPr>
                      <w:trHeight w:val="255" w:hRule="exact"/>
                    </w:trPr>
                    <w:tc>
                      <w:tcPr>
                        <w:tcW w:w="1303"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2015"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276"/>
                          <w:jc w:val="right"/>
                          <w:rPr>
                            <w:rFonts w:ascii="Times New Roman" w:hAnsi="Times New Roman" w:cs="Times New Roman" w:eastAsia="Times New Roman" w:hint="default"/>
                            <w:sz w:val="18"/>
                            <w:szCs w:val="18"/>
                          </w:rPr>
                        </w:pPr>
                        <w:r>
                          <w:rPr>
                            <w:rFonts w:ascii="Times New Roman"/>
                            <w:spacing w:val="-1"/>
                            <w:sz w:val="18"/>
                          </w:rPr>
                          <w:t>157,774,524.49</w:t>
                        </w:r>
                      </w:p>
                    </w:tc>
                    <w:tc>
                      <w:tcPr>
                        <w:tcW w:w="1849"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308"/>
                          <w:jc w:val="right"/>
                          <w:rPr>
                            <w:rFonts w:ascii="Times New Roman" w:hAnsi="Times New Roman" w:cs="Times New Roman" w:eastAsia="Times New Roman" w:hint="default"/>
                            <w:sz w:val="18"/>
                            <w:szCs w:val="18"/>
                          </w:rPr>
                        </w:pPr>
                        <w:r>
                          <w:rPr>
                            <w:rFonts w:ascii="Times New Roman"/>
                            <w:spacing w:val="-1"/>
                            <w:sz w:val="18"/>
                          </w:rPr>
                          <w:t>62,483,791.63</w:t>
                        </w:r>
                      </w:p>
                    </w:tc>
                    <w:tc>
                      <w:tcPr>
                        <w:tcW w:w="1879"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306"/>
                          <w:jc w:val="right"/>
                          <w:rPr>
                            <w:rFonts w:ascii="Times New Roman" w:hAnsi="Times New Roman" w:cs="Times New Roman" w:eastAsia="Times New Roman" w:hint="default"/>
                            <w:sz w:val="18"/>
                            <w:szCs w:val="18"/>
                          </w:rPr>
                        </w:pPr>
                        <w:r>
                          <w:rPr>
                            <w:rFonts w:ascii="Times New Roman"/>
                            <w:spacing w:val="-1"/>
                            <w:sz w:val="18"/>
                          </w:rPr>
                          <w:t>146,669,696.18</w:t>
                        </w:r>
                      </w:p>
                    </w:tc>
                    <w:tc>
                      <w:tcPr>
                        <w:tcW w:w="1679"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50,132,803.92</w:t>
                        </w:r>
                      </w:p>
                    </w:tc>
                  </w:tr>
                  <w:tr>
                    <w:trPr>
                      <w:trHeight w:val="307" w:hRule="exact"/>
                    </w:trPr>
                    <w:tc>
                      <w:tcPr>
                        <w:tcW w:w="1303"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015"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276"/>
                          <w:jc w:val="right"/>
                          <w:rPr>
                            <w:rFonts w:ascii="Times New Roman" w:hAnsi="Times New Roman" w:cs="Times New Roman" w:eastAsia="Times New Roman" w:hint="default"/>
                            <w:sz w:val="18"/>
                            <w:szCs w:val="18"/>
                          </w:rPr>
                        </w:pPr>
                        <w:r>
                          <w:rPr>
                            <w:rFonts w:ascii="Times New Roman"/>
                            <w:b/>
                            <w:spacing w:val="-1"/>
                            <w:sz w:val="18"/>
                          </w:rPr>
                          <w:t>6,588,458,871.13</w:t>
                        </w:r>
                        <w:r>
                          <w:rPr>
                            <w:rFonts w:ascii="Times New Roman"/>
                            <w:spacing w:val="-1"/>
                            <w:sz w:val="18"/>
                          </w:rPr>
                        </w:r>
                      </w:p>
                    </w:tc>
                    <w:tc>
                      <w:tcPr>
                        <w:tcW w:w="184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308"/>
                          <w:jc w:val="right"/>
                          <w:rPr>
                            <w:rFonts w:ascii="Times New Roman" w:hAnsi="Times New Roman" w:cs="Times New Roman" w:eastAsia="Times New Roman" w:hint="default"/>
                            <w:sz w:val="18"/>
                            <w:szCs w:val="18"/>
                          </w:rPr>
                        </w:pPr>
                        <w:r>
                          <w:rPr>
                            <w:rFonts w:ascii="Times New Roman"/>
                            <w:b/>
                            <w:spacing w:val="-1"/>
                            <w:sz w:val="18"/>
                          </w:rPr>
                          <w:t>6,089,006,778.47</w:t>
                        </w:r>
                        <w:r>
                          <w:rPr>
                            <w:rFonts w:ascii="Times New Roman"/>
                            <w:spacing w:val="-1"/>
                            <w:sz w:val="18"/>
                          </w:rPr>
                        </w:r>
                      </w:p>
                    </w:tc>
                    <w:tc>
                      <w:tcPr>
                        <w:tcW w:w="187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307"/>
                          <w:jc w:val="right"/>
                          <w:rPr>
                            <w:rFonts w:ascii="Times New Roman" w:hAnsi="Times New Roman" w:cs="Times New Roman" w:eastAsia="Times New Roman" w:hint="default"/>
                            <w:sz w:val="18"/>
                            <w:szCs w:val="18"/>
                          </w:rPr>
                        </w:pPr>
                        <w:r>
                          <w:rPr>
                            <w:rFonts w:ascii="Times New Roman"/>
                            <w:b/>
                            <w:spacing w:val="-1"/>
                            <w:sz w:val="18"/>
                          </w:rPr>
                          <w:t>8,170,863,983.94</w:t>
                        </w:r>
                        <w:r>
                          <w:rPr>
                            <w:rFonts w:ascii="Times New Roman"/>
                            <w:spacing w:val="-1"/>
                            <w:sz w:val="18"/>
                          </w:rPr>
                        </w:r>
                      </w:p>
                    </w:tc>
                    <w:tc>
                      <w:tcPr>
                        <w:tcW w:w="167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7,638,837,350.57</w:t>
                        </w:r>
                        <w:r>
                          <w:rPr>
                            <w:rFonts w:ascii="Times New Roman"/>
                            <w:spacing w:val="-1"/>
                            <w:sz w:val="18"/>
                          </w:rPr>
                        </w:r>
                      </w:p>
                    </w:tc>
                  </w:tr>
                </w:tbl>
                <w:p>
                  <w:pPr/>
                </w:p>
              </w:txbxContent>
            </v:textbox>
            <w10:wrap type="none"/>
          </v:shape>
        </w:pict>
      </w:r>
      <w:r>
        <w:rPr>
          <w:rFonts w:ascii="宋体" w:hAnsi="宋体" w:cs="宋体" w:eastAsia="宋体" w:hint="default"/>
          <w:b/>
          <w:bCs/>
          <w:w w:val="95"/>
          <w:sz w:val="18"/>
          <w:szCs w:val="18"/>
        </w:rPr>
        <w:t>本年发生额</w:t>
        <w:tab/>
      </w:r>
      <w:r>
        <w:rPr>
          <w:rFonts w:ascii="宋体" w:hAnsi="宋体" w:cs="宋体" w:eastAsia="宋体" w:hint="default"/>
          <w:b/>
          <w:bCs/>
          <w:sz w:val="18"/>
          <w:szCs w:val="18"/>
        </w:rPr>
        <w:t>上年发生额</w:t>
      </w:r>
      <w:r>
        <w:rPr>
          <w:rFonts w:ascii="宋体" w:hAnsi="宋体" w:cs="宋体" w:eastAsia="宋体" w:hint="default"/>
          <w:sz w:val="18"/>
          <w:szCs w:val="18"/>
        </w:rPr>
      </w:r>
    </w:p>
    <w:p>
      <w:pPr>
        <w:spacing w:line="240" w:lineRule="auto" w:before="1"/>
        <w:rPr>
          <w:rFonts w:ascii="宋体" w:hAnsi="宋体" w:cs="宋体" w:eastAsia="宋体" w:hint="default"/>
          <w:b/>
          <w:bCs/>
          <w:sz w:val="2"/>
          <w:szCs w:val="2"/>
        </w:rPr>
      </w:pPr>
    </w:p>
    <w:p>
      <w:pPr>
        <w:spacing w:line="20" w:lineRule="exact"/>
        <w:ind w:left="1396" w:right="0" w:firstLine="0"/>
        <w:rPr>
          <w:rFonts w:ascii="宋体" w:hAnsi="宋体" w:cs="宋体" w:eastAsia="宋体" w:hint="default"/>
          <w:sz w:val="2"/>
          <w:szCs w:val="2"/>
        </w:rPr>
      </w:pPr>
      <w:r>
        <w:rPr>
          <w:rFonts w:ascii="宋体" w:hAnsi="宋体" w:cs="宋体" w:eastAsia="宋体" w:hint="default"/>
          <w:sz w:val="2"/>
          <w:szCs w:val="2"/>
        </w:rPr>
        <w:pict>
          <v:group style="width:373.4pt;height:.5pt;mso-position-horizontal-relative:char;mso-position-vertical-relative:line" coordorigin="0,0" coordsize="7468,10">
            <v:group style="position:absolute;left:5;top:5;width:1880;height:2" coordorigin="5,5" coordsize="1880,2">
              <v:shape style="position:absolute;left:5;top:5;width:1880;height:2" coordorigin="5,5" coordsize="1880,0" path="m5,5l1884,5e" filled="false" stroked="true" strokeweight=".48pt" strokecolor="#000000">
                <v:path arrowok="t"/>
              </v:shape>
            </v:group>
            <v:group style="position:absolute;left:1885;top:5;width:10;height:2" coordorigin="1885,5" coordsize="10,2">
              <v:shape style="position:absolute;left:1885;top:5;width:10;height:2" coordorigin="1885,5" coordsize="10,0" path="m1885,5l1894,5e" filled="false" stroked="true" strokeweight=".48pt" strokecolor="#000000">
                <v:path arrowok="t"/>
              </v:shape>
            </v:group>
            <v:group style="position:absolute;left:1894;top:5;width:1808;height:2" coordorigin="1894,5" coordsize="1808,2">
              <v:shape style="position:absolute;left:1894;top:5;width:1808;height:2" coordorigin="1894,5" coordsize="1808,0" path="m1894,5l3702,5e" filled="false" stroked="true" strokeweight=".48pt" strokecolor="#000000">
                <v:path arrowok="t"/>
              </v:shape>
            </v:group>
            <v:group style="position:absolute;left:3702;top:5;width:10;height:2" coordorigin="3702,5" coordsize="10,2">
              <v:shape style="position:absolute;left:3702;top:5;width:10;height:2" coordorigin="3702,5" coordsize="10,0" path="m3702,5l3711,5e" filled="false" stroked="true" strokeweight=".48pt" strokecolor="#000000">
                <v:path arrowok="t"/>
              </v:shape>
            </v:group>
            <v:group style="position:absolute;left:3711;top:5;width:1873;height:2" coordorigin="3711,5" coordsize="1873,2">
              <v:shape style="position:absolute;left:3711;top:5;width:1873;height:2" coordorigin="3711,5" coordsize="1873,0" path="m3711,5l5584,5e" filled="false" stroked="true" strokeweight=".48pt" strokecolor="#000000">
                <v:path arrowok="t"/>
              </v:shape>
            </v:group>
            <v:group style="position:absolute;left:5584;top:5;width:10;height:2" coordorigin="5584,5" coordsize="10,2">
              <v:shape style="position:absolute;left:5584;top:5;width:10;height:2" coordorigin="5584,5" coordsize="10,0" path="m5584,5l5594,5e" filled="false" stroked="true" strokeweight=".48pt" strokecolor="#000000">
                <v:path arrowok="t"/>
              </v:shape>
            </v:group>
            <v:group style="position:absolute;left:5594;top:5;width:1870;height:2" coordorigin="5594,5" coordsize="1870,2">
              <v:shape style="position:absolute;left:5594;top:5;width:1870;height:2" coordorigin="5594,5" coordsize="1870,0" path="m5594,5l7463,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5"/>
          <w:szCs w:val="15"/>
        </w:rPr>
      </w:pPr>
    </w:p>
    <w:p>
      <w:pPr>
        <w:spacing w:before="32"/>
        <w:ind w:left="695" w:right="207"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5.  </w:t>
      </w:r>
      <w:r>
        <w:rPr>
          <w:rFonts w:ascii="Times New Roman" w:hAnsi="Times New Roman" w:cs="Times New Roman" w:eastAsia="Times New Roman" w:hint="default"/>
          <w:b/>
          <w:bCs/>
          <w:spacing w:val="18"/>
          <w:sz w:val="22"/>
          <w:szCs w:val="22"/>
        </w:rPr>
        <w:t> </w:t>
      </w:r>
      <w:r>
        <w:rPr>
          <w:rFonts w:ascii="宋体" w:hAnsi="宋体" w:cs="宋体" w:eastAsia="宋体" w:hint="default"/>
          <w:sz w:val="22"/>
          <w:szCs w:val="22"/>
        </w:rPr>
        <w:t>投资收益</w:t>
      </w:r>
    </w:p>
    <w:p>
      <w:pPr>
        <w:spacing w:line="240" w:lineRule="auto" w:before="5"/>
        <w:rPr>
          <w:rFonts w:ascii="宋体" w:hAnsi="宋体" w:cs="宋体" w:eastAsia="宋体" w:hint="default"/>
          <w:sz w:val="11"/>
          <w:szCs w:val="11"/>
        </w:rPr>
      </w:pPr>
    </w:p>
    <w:tbl>
      <w:tblPr>
        <w:tblW w:w="0" w:type="auto"/>
        <w:jc w:val="left"/>
        <w:tblInd w:w="134" w:type="dxa"/>
        <w:tblLayout w:type="fixed"/>
        <w:tblCellMar>
          <w:top w:w="0" w:type="dxa"/>
          <w:left w:w="0" w:type="dxa"/>
          <w:bottom w:w="0" w:type="dxa"/>
          <w:right w:w="0" w:type="dxa"/>
        </w:tblCellMar>
        <w:tblLook w:val="01E0"/>
      </w:tblPr>
      <w:tblGrid>
        <w:gridCol w:w="5255"/>
        <w:gridCol w:w="1821"/>
        <w:gridCol w:w="1649"/>
      </w:tblGrid>
      <w:tr>
        <w:trPr>
          <w:trHeight w:val="305" w:hRule="exact"/>
        </w:trPr>
        <w:tc>
          <w:tcPr>
            <w:tcW w:w="5255"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21"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411"/>
              <w:jc w:val="right"/>
              <w:rPr>
                <w:rFonts w:ascii="宋体" w:hAnsi="宋体" w:cs="宋体" w:eastAsia="宋体" w:hint="default"/>
                <w:sz w:val="18"/>
                <w:szCs w:val="18"/>
              </w:rPr>
            </w:pPr>
            <w:r>
              <w:rPr>
                <w:rFonts w:ascii="宋体" w:hAnsi="宋体" w:cs="宋体" w:eastAsia="宋体" w:hint="default"/>
                <w:b/>
                <w:bCs/>
                <w:w w:val="95"/>
                <w:sz w:val="18"/>
                <w:szCs w:val="18"/>
              </w:rPr>
              <w:t>本年发生额</w:t>
            </w:r>
            <w:r>
              <w:rPr>
                <w:rFonts w:ascii="宋体" w:hAnsi="宋体" w:cs="宋体" w:eastAsia="宋体" w:hint="default"/>
                <w:sz w:val="18"/>
                <w:szCs w:val="18"/>
              </w:rPr>
            </w:r>
          </w:p>
        </w:tc>
        <w:tc>
          <w:tcPr>
            <w:tcW w:w="1649"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right="108"/>
              <w:jc w:val="right"/>
              <w:rPr>
                <w:rFonts w:ascii="宋体" w:hAnsi="宋体" w:cs="宋体" w:eastAsia="宋体" w:hint="default"/>
                <w:sz w:val="18"/>
                <w:szCs w:val="18"/>
              </w:rPr>
            </w:pPr>
            <w:r>
              <w:rPr>
                <w:rFonts w:ascii="宋体" w:hAnsi="宋体" w:cs="宋体" w:eastAsia="宋体" w:hint="default"/>
                <w:b/>
                <w:bCs/>
                <w:w w:val="95"/>
                <w:sz w:val="18"/>
                <w:szCs w:val="18"/>
              </w:rPr>
              <w:t>上年发生额</w:t>
            </w:r>
            <w:r>
              <w:rPr>
                <w:rFonts w:ascii="宋体" w:hAnsi="宋体" w:cs="宋体" w:eastAsia="宋体" w:hint="default"/>
                <w:sz w:val="18"/>
                <w:szCs w:val="18"/>
              </w:rPr>
            </w:r>
          </w:p>
        </w:tc>
      </w:tr>
      <w:tr>
        <w:trPr>
          <w:trHeight w:val="508" w:hRule="exact"/>
        </w:trPr>
        <w:tc>
          <w:tcPr>
            <w:tcW w:w="5255" w:type="dxa"/>
            <w:tcBorders>
              <w:top w:val="single" w:sz="4" w:space="0" w:color="000000"/>
              <w:left w:val="nil" w:sz="6" w:space="0" w:color="auto"/>
              <w:bottom w:val="nil" w:sz="6" w:space="0" w:color="auto"/>
              <w:right w:val="nil" w:sz="6" w:space="0" w:color="auto"/>
            </w:tcBorders>
          </w:tcPr>
          <w:p>
            <w:pPr>
              <w:pStyle w:val="TableParagraph"/>
              <w:spacing w:line="206" w:lineRule="exact"/>
              <w:ind w:left="108" w:right="0"/>
              <w:jc w:val="left"/>
              <w:rPr>
                <w:rFonts w:ascii="宋体" w:hAnsi="宋体" w:cs="宋体" w:eastAsia="宋体" w:hint="default"/>
                <w:sz w:val="18"/>
                <w:szCs w:val="18"/>
              </w:rPr>
            </w:pPr>
            <w:r>
              <w:rPr>
                <w:rFonts w:ascii="宋体" w:hAnsi="宋体" w:cs="宋体" w:eastAsia="宋体" w:hint="default"/>
                <w:spacing w:val="6"/>
                <w:sz w:val="18"/>
                <w:szCs w:val="18"/>
              </w:rPr>
              <w:t>处置以公允价值计量且其变动计入当期损益的金融资产取得</w:t>
            </w:r>
            <w:r>
              <w:rPr>
                <w:rFonts w:ascii="宋体" w:hAnsi="宋体" w:cs="宋体" w:eastAsia="宋体" w:hint="default"/>
                <w:sz w:val="18"/>
                <w:szCs w:val="18"/>
              </w:rPr>
            </w:r>
          </w:p>
          <w:p>
            <w:pPr>
              <w:pStyle w:val="TableParagraph"/>
              <w:spacing w:line="234" w:lineRule="exact"/>
              <w:ind w:left="108" w:right="0"/>
              <w:jc w:val="left"/>
              <w:rPr>
                <w:rFonts w:ascii="宋体" w:hAnsi="宋体" w:cs="宋体" w:eastAsia="宋体" w:hint="default"/>
                <w:sz w:val="18"/>
                <w:szCs w:val="18"/>
              </w:rPr>
            </w:pPr>
            <w:r>
              <w:rPr>
                <w:rFonts w:ascii="宋体" w:hAnsi="宋体" w:cs="宋体" w:eastAsia="宋体" w:hint="default"/>
                <w:sz w:val="18"/>
                <w:szCs w:val="18"/>
              </w:rPr>
              <w:t>的投资收益</w:t>
            </w:r>
          </w:p>
        </w:tc>
        <w:tc>
          <w:tcPr>
            <w:tcW w:w="1821"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411"/>
              <w:jc w:val="right"/>
              <w:rPr>
                <w:rFonts w:ascii="Times New Roman" w:hAnsi="Times New Roman" w:cs="Times New Roman" w:eastAsia="Times New Roman" w:hint="default"/>
                <w:sz w:val="18"/>
                <w:szCs w:val="18"/>
              </w:rPr>
            </w:pPr>
            <w:r>
              <w:rPr>
                <w:rFonts w:ascii="Times New Roman"/>
                <w:spacing w:val="-1"/>
                <w:sz w:val="18"/>
              </w:rPr>
              <w:t>577,715,118.47</w:t>
            </w:r>
          </w:p>
        </w:tc>
        <w:tc>
          <w:tcPr>
            <w:tcW w:w="1649"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17,090.50</w:t>
            </w:r>
          </w:p>
        </w:tc>
      </w:tr>
      <w:tr>
        <w:trPr>
          <w:trHeight w:val="284" w:hRule="exact"/>
        </w:trPr>
        <w:tc>
          <w:tcPr>
            <w:tcW w:w="525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11"/>
              <w:jc w:val="right"/>
              <w:rPr>
                <w:rFonts w:ascii="Times New Roman" w:hAnsi="Times New Roman" w:cs="Times New Roman" w:eastAsia="Times New Roman" w:hint="default"/>
                <w:sz w:val="18"/>
                <w:szCs w:val="18"/>
              </w:rPr>
            </w:pPr>
            <w:r>
              <w:rPr>
                <w:rFonts w:ascii="Times New Roman"/>
                <w:spacing w:val="-1"/>
                <w:sz w:val="18"/>
              </w:rPr>
              <w:t>153,815,524.40</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174,755,762.20</w:t>
            </w:r>
          </w:p>
        </w:tc>
      </w:tr>
      <w:tr>
        <w:trPr>
          <w:trHeight w:val="285" w:hRule="exact"/>
        </w:trPr>
        <w:tc>
          <w:tcPr>
            <w:tcW w:w="5255"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11"/>
              <w:jc w:val="right"/>
              <w:rPr>
                <w:rFonts w:ascii="Times New Roman" w:hAnsi="Times New Roman" w:cs="Times New Roman" w:eastAsia="Times New Roman" w:hint="default"/>
                <w:sz w:val="18"/>
                <w:szCs w:val="18"/>
              </w:rPr>
            </w:pPr>
            <w:r>
              <w:rPr>
                <w:rFonts w:ascii="Times New Roman"/>
                <w:spacing w:val="-1"/>
                <w:sz w:val="18"/>
              </w:rPr>
              <w:t>110,639,878.88</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116,850,327.54</w:t>
            </w:r>
          </w:p>
        </w:tc>
      </w:tr>
      <w:tr>
        <w:trPr>
          <w:trHeight w:val="260" w:hRule="exact"/>
        </w:trPr>
        <w:tc>
          <w:tcPr>
            <w:tcW w:w="5255"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11"/>
              <w:jc w:val="right"/>
              <w:rPr>
                <w:rFonts w:ascii="Times New Roman" w:hAnsi="Times New Roman" w:cs="Times New Roman" w:eastAsia="Times New Roman" w:hint="default"/>
                <w:sz w:val="18"/>
                <w:szCs w:val="18"/>
              </w:rPr>
            </w:pPr>
            <w:r>
              <w:rPr>
                <w:rFonts w:ascii="Times New Roman"/>
                <w:spacing w:val="-1"/>
                <w:sz w:val="18"/>
              </w:rPr>
              <w:t>99,726,230.91</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21,126,620.32</w:t>
            </w:r>
          </w:p>
        </w:tc>
      </w:tr>
      <w:tr>
        <w:trPr>
          <w:trHeight w:val="493" w:hRule="exact"/>
        </w:trPr>
        <w:tc>
          <w:tcPr>
            <w:tcW w:w="5255" w:type="dxa"/>
            <w:tcBorders>
              <w:top w:val="nil" w:sz="6" w:space="0" w:color="auto"/>
              <w:left w:val="nil" w:sz="6" w:space="0" w:color="auto"/>
              <w:bottom w:val="nil" w:sz="6" w:space="0" w:color="auto"/>
              <w:right w:val="nil" w:sz="6" w:space="0" w:color="auto"/>
            </w:tcBorders>
          </w:tcPr>
          <w:p>
            <w:pPr>
              <w:pStyle w:val="TableParagraph"/>
              <w:spacing w:line="197" w:lineRule="exact"/>
              <w:ind w:left="108" w:right="0"/>
              <w:jc w:val="left"/>
              <w:rPr>
                <w:rFonts w:ascii="宋体" w:hAnsi="宋体" w:cs="宋体" w:eastAsia="宋体" w:hint="default"/>
                <w:sz w:val="18"/>
                <w:szCs w:val="18"/>
              </w:rPr>
            </w:pPr>
            <w:r>
              <w:rPr>
                <w:rFonts w:ascii="宋体" w:hAnsi="宋体" w:cs="宋体" w:eastAsia="宋体" w:hint="default"/>
                <w:spacing w:val="6"/>
                <w:sz w:val="18"/>
                <w:szCs w:val="18"/>
              </w:rPr>
              <w:t>持有以公允价值计量且其变动计入当期损益的金融资产期间</w:t>
            </w:r>
            <w:r>
              <w:rPr>
                <w:rFonts w:ascii="宋体" w:hAnsi="宋体" w:cs="宋体" w:eastAsia="宋体" w:hint="default"/>
                <w:sz w:val="18"/>
                <w:szCs w:val="18"/>
              </w:rPr>
            </w: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取得的投资收益</w:t>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411"/>
              <w:jc w:val="right"/>
              <w:rPr>
                <w:rFonts w:ascii="Times New Roman" w:hAnsi="Times New Roman" w:cs="Times New Roman" w:eastAsia="Times New Roman" w:hint="default"/>
                <w:sz w:val="18"/>
                <w:szCs w:val="18"/>
              </w:rPr>
            </w:pPr>
            <w:r>
              <w:rPr>
                <w:rFonts w:ascii="Times New Roman"/>
                <w:spacing w:val="-1"/>
                <w:sz w:val="18"/>
              </w:rPr>
              <w:t>4,566,936.30</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3,117,508.25</w:t>
            </w:r>
          </w:p>
        </w:tc>
      </w:tr>
      <w:tr>
        <w:trPr>
          <w:trHeight w:val="284" w:hRule="exact"/>
        </w:trPr>
        <w:tc>
          <w:tcPr>
            <w:tcW w:w="5255" w:type="dxa"/>
            <w:tcBorders>
              <w:top w:val="nil" w:sz="6" w:space="0" w:color="auto"/>
              <w:left w:val="nil" w:sz="6" w:space="0" w:color="auto"/>
              <w:bottom w:val="nil" w:sz="6" w:space="0" w:color="auto"/>
              <w:right w:val="nil" w:sz="6" w:space="0" w:color="auto"/>
            </w:tcBorders>
          </w:tcPr>
          <w:p>
            <w:pPr>
              <w:pStyle w:val="TableParagraph"/>
              <w:spacing w:line="222" w:lineRule="exact"/>
              <w:ind w:left="108" w:right="0"/>
              <w:jc w:val="left"/>
              <w:rPr>
                <w:rFonts w:ascii="宋体" w:hAnsi="宋体" w:cs="宋体" w:eastAsia="宋体" w:hint="default"/>
                <w:sz w:val="18"/>
                <w:szCs w:val="18"/>
              </w:rPr>
            </w:pPr>
            <w:r>
              <w:rPr>
                <w:rFonts w:ascii="宋体" w:hAnsi="宋体" w:cs="宋体" w:eastAsia="宋体" w:hint="default"/>
                <w:sz w:val="18"/>
                <w:szCs w:val="18"/>
              </w:rPr>
              <w:t>委托贷款收益</w:t>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11"/>
              <w:jc w:val="right"/>
              <w:rPr>
                <w:rFonts w:ascii="Times New Roman" w:hAnsi="Times New Roman" w:cs="Times New Roman" w:eastAsia="Times New Roman" w:hint="default"/>
                <w:sz w:val="18"/>
                <w:szCs w:val="18"/>
              </w:rPr>
            </w:pPr>
            <w:r>
              <w:rPr>
                <w:rFonts w:ascii="Times New Roman"/>
                <w:spacing w:val="-1"/>
                <w:sz w:val="18"/>
              </w:rPr>
              <w:t>1,584,148.75</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8"/>
              <w:jc w:val="right"/>
              <w:rPr>
                <w:rFonts w:ascii="Times New Roman" w:hAnsi="Times New Roman" w:cs="Times New Roman" w:eastAsia="Times New Roman" w:hint="default"/>
                <w:sz w:val="18"/>
                <w:szCs w:val="18"/>
              </w:rPr>
            </w:pPr>
            <w:r>
              <w:rPr>
                <w:rFonts w:ascii="Times New Roman"/>
                <w:spacing w:val="-1"/>
                <w:sz w:val="18"/>
              </w:rPr>
              <w:t>2,821,903.75</w:t>
            </w:r>
          </w:p>
        </w:tc>
      </w:tr>
      <w:tr>
        <w:trPr>
          <w:trHeight w:val="255" w:hRule="exact"/>
        </w:trPr>
        <w:tc>
          <w:tcPr>
            <w:tcW w:w="5255" w:type="dxa"/>
            <w:tcBorders>
              <w:top w:val="nil" w:sz="6" w:space="0" w:color="auto"/>
              <w:left w:val="nil" w:sz="6" w:space="0" w:color="auto"/>
              <w:bottom w:val="single" w:sz="4" w:space="0" w:color="000000"/>
              <w:right w:val="nil" w:sz="6" w:space="0" w:color="auto"/>
            </w:tcBorders>
          </w:tcPr>
          <w:p>
            <w:pPr>
              <w:pStyle w:val="TableParagraph"/>
              <w:spacing w:line="223" w:lineRule="exact"/>
              <w:ind w:left="108" w:right="0"/>
              <w:jc w:val="left"/>
              <w:rPr>
                <w:rFonts w:ascii="宋体" w:hAnsi="宋体" w:cs="宋体" w:eastAsia="宋体" w:hint="default"/>
                <w:sz w:val="18"/>
                <w:szCs w:val="18"/>
              </w:rPr>
            </w:pPr>
            <w:r>
              <w:rPr>
                <w:rFonts w:ascii="宋体" w:hAnsi="宋体" w:cs="宋体" w:eastAsia="宋体" w:hint="default"/>
                <w:sz w:val="18"/>
                <w:szCs w:val="18"/>
              </w:rPr>
              <w:t>持有可供出售金融资产期间取得的投资收益</w:t>
            </w:r>
          </w:p>
        </w:tc>
        <w:tc>
          <w:tcPr>
            <w:tcW w:w="1821"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410"/>
              <w:jc w:val="right"/>
              <w:rPr>
                <w:rFonts w:ascii="Times New Roman" w:hAnsi="Times New Roman" w:cs="Times New Roman" w:eastAsia="Times New Roman" w:hint="default"/>
                <w:sz w:val="18"/>
                <w:szCs w:val="18"/>
              </w:rPr>
            </w:pPr>
            <w:r>
              <w:rPr>
                <w:rFonts w:ascii="Times New Roman"/>
                <w:spacing w:val="-1"/>
                <w:sz w:val="18"/>
              </w:rPr>
              <w:t>205,853.00</w:t>
            </w:r>
          </w:p>
        </w:tc>
        <w:tc>
          <w:tcPr>
            <w:tcW w:w="1649"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2,236,011.68</w:t>
            </w:r>
            <w:r>
              <w:rPr>
                <w:rFonts w:ascii="Times New Roman"/>
                <w:sz w:val="18"/>
              </w:rPr>
            </w:r>
          </w:p>
        </w:tc>
      </w:tr>
      <w:tr>
        <w:trPr>
          <w:trHeight w:val="307" w:hRule="exact"/>
        </w:trPr>
        <w:tc>
          <w:tcPr>
            <w:tcW w:w="5255"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21"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411"/>
              <w:jc w:val="right"/>
              <w:rPr>
                <w:rFonts w:ascii="Times New Roman" w:hAnsi="Times New Roman" w:cs="Times New Roman" w:eastAsia="Times New Roman" w:hint="default"/>
                <w:sz w:val="18"/>
                <w:szCs w:val="18"/>
              </w:rPr>
            </w:pPr>
            <w:r>
              <w:rPr>
                <w:rFonts w:ascii="Times New Roman"/>
                <w:b/>
                <w:spacing w:val="-1"/>
                <w:sz w:val="18"/>
              </w:rPr>
              <w:t>948,253,690.71</w:t>
            </w:r>
            <w:r>
              <w:rPr>
                <w:rFonts w:ascii="Times New Roman"/>
                <w:spacing w:val="-1"/>
                <w:sz w:val="18"/>
              </w:rPr>
            </w:r>
          </w:p>
        </w:tc>
        <w:tc>
          <w:tcPr>
            <w:tcW w:w="1649" w:type="dxa"/>
            <w:tcBorders>
              <w:top w:val="single" w:sz="4" w:space="0" w:color="000000"/>
              <w:left w:val="nil" w:sz="6" w:space="0" w:color="auto"/>
              <w:bottom w:val="single" w:sz="12" w:space="0" w:color="000000"/>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8"/>
                <w:szCs w:val="18"/>
              </w:rPr>
            </w:pPr>
            <w:r>
              <w:rPr>
                <w:rFonts w:ascii="Times New Roman"/>
                <w:b/>
                <w:spacing w:val="-1"/>
                <w:sz w:val="18"/>
              </w:rPr>
              <w:t>320,925,224.24</w:t>
            </w:r>
            <w:r>
              <w:rPr>
                <w:rFonts w:ascii="Times New Roman"/>
                <w:spacing w:val="-1"/>
                <w:sz w:val="18"/>
              </w:rPr>
            </w:r>
          </w:p>
        </w:tc>
      </w:tr>
    </w:tbl>
    <w:p>
      <w:pPr>
        <w:tabs>
          <w:tab w:pos="1374" w:val="left" w:leader="none"/>
        </w:tabs>
        <w:spacing w:before="81"/>
        <w:ind w:left="700" w:right="207" w:firstLine="0"/>
        <w:jc w:val="left"/>
        <w:rPr>
          <w:rFonts w:ascii="宋体" w:hAnsi="宋体" w:cs="宋体" w:eastAsia="宋体" w:hint="default"/>
          <w:sz w:val="22"/>
          <w:szCs w:val="22"/>
        </w:rPr>
      </w:pPr>
      <w:r>
        <w:rPr>
          <w:rFonts w:ascii="Times New Roman" w:hAnsi="Times New Roman" w:cs="Times New Roman" w:eastAsia="Times New Roman" w:hint="default"/>
          <w:b/>
          <w:bCs/>
          <w:spacing w:val="12"/>
          <w:sz w:val="22"/>
          <w:szCs w:val="22"/>
        </w:rPr>
        <w:t>43.</w:t>
        <w:tab/>
      </w:r>
      <w:r>
        <w:rPr>
          <w:rFonts w:ascii="宋体" w:hAnsi="宋体" w:cs="宋体" w:eastAsia="宋体" w:hint="default"/>
          <w:b/>
          <w:bCs/>
          <w:sz w:val="22"/>
          <w:szCs w:val="22"/>
        </w:rPr>
        <w:t>财</w:t>
      </w:r>
      <w:r>
        <w:rPr>
          <w:rFonts w:ascii="宋体" w:hAnsi="宋体" w:cs="宋体" w:eastAsia="宋体" w:hint="default"/>
          <w:b/>
          <w:bCs/>
          <w:spacing w:val="-72"/>
          <w:sz w:val="22"/>
          <w:szCs w:val="22"/>
        </w:rPr>
        <w:t> </w:t>
      </w:r>
      <w:r>
        <w:rPr>
          <w:rFonts w:ascii="宋体" w:hAnsi="宋体" w:cs="宋体" w:eastAsia="宋体" w:hint="default"/>
          <w:b/>
          <w:bCs/>
          <w:sz w:val="22"/>
          <w:szCs w:val="22"/>
        </w:rPr>
        <w:t>务</w:t>
      </w:r>
      <w:r>
        <w:rPr>
          <w:rFonts w:ascii="宋体" w:hAnsi="宋体" w:cs="宋体" w:eastAsia="宋体" w:hint="default"/>
          <w:b/>
          <w:bCs/>
          <w:spacing w:val="-72"/>
          <w:sz w:val="22"/>
          <w:szCs w:val="22"/>
        </w:rPr>
        <w:t> </w:t>
      </w:r>
      <w:r>
        <w:rPr>
          <w:rFonts w:ascii="宋体" w:hAnsi="宋体" w:cs="宋体" w:eastAsia="宋体" w:hint="default"/>
          <w:b/>
          <w:bCs/>
          <w:sz w:val="22"/>
          <w:szCs w:val="22"/>
        </w:rPr>
        <w:t>报</w:t>
      </w:r>
      <w:r>
        <w:rPr>
          <w:rFonts w:ascii="宋体" w:hAnsi="宋体" w:cs="宋体" w:eastAsia="宋体" w:hint="default"/>
          <w:b/>
          <w:bCs/>
          <w:spacing w:val="-72"/>
          <w:sz w:val="22"/>
          <w:szCs w:val="22"/>
        </w:rPr>
        <w:t> </w:t>
      </w:r>
      <w:r>
        <w:rPr>
          <w:rFonts w:ascii="宋体" w:hAnsi="宋体" w:cs="宋体" w:eastAsia="宋体" w:hint="default"/>
          <w:b/>
          <w:bCs/>
          <w:sz w:val="22"/>
          <w:szCs w:val="22"/>
        </w:rPr>
        <w:t>告</w:t>
      </w:r>
      <w:r>
        <w:rPr>
          <w:rFonts w:ascii="宋体" w:hAnsi="宋体" w:cs="宋体" w:eastAsia="宋体" w:hint="default"/>
          <w:b/>
          <w:bCs/>
          <w:spacing w:val="-74"/>
          <w:sz w:val="22"/>
          <w:szCs w:val="22"/>
        </w:rPr>
        <w:t> </w:t>
      </w:r>
      <w:r>
        <w:rPr>
          <w:rFonts w:ascii="宋体" w:hAnsi="宋体" w:cs="宋体" w:eastAsia="宋体" w:hint="default"/>
          <w:b/>
          <w:bCs/>
          <w:sz w:val="22"/>
          <w:szCs w:val="22"/>
        </w:rPr>
        <w:t>批</w:t>
      </w:r>
      <w:r>
        <w:rPr>
          <w:rFonts w:ascii="宋体" w:hAnsi="宋体" w:cs="宋体" w:eastAsia="宋体" w:hint="default"/>
          <w:b/>
          <w:bCs/>
          <w:spacing w:val="-72"/>
          <w:sz w:val="22"/>
          <w:szCs w:val="22"/>
        </w:rPr>
        <w:t> </w:t>
      </w:r>
      <w:r>
        <w:rPr>
          <w:rFonts w:ascii="宋体" w:hAnsi="宋体" w:cs="宋体" w:eastAsia="宋体" w:hint="default"/>
          <w:b/>
          <w:bCs/>
          <w:sz w:val="22"/>
          <w:szCs w:val="22"/>
        </w:rPr>
        <w:t>准</w:t>
      </w:r>
      <w:r>
        <w:rPr>
          <w:rFonts w:ascii="宋体" w:hAnsi="宋体" w:cs="宋体" w:eastAsia="宋体" w:hint="default"/>
          <w:sz w:val="22"/>
          <w:szCs w:val="22"/>
        </w:rPr>
      </w:r>
    </w:p>
    <w:p>
      <w:pPr>
        <w:spacing w:before="110"/>
        <w:ind w:left="901" w:right="207" w:firstLine="0"/>
        <w:jc w:val="left"/>
        <w:rPr>
          <w:rFonts w:ascii="宋体" w:hAnsi="宋体" w:cs="宋体" w:eastAsia="宋体" w:hint="default"/>
          <w:sz w:val="22"/>
          <w:szCs w:val="22"/>
        </w:rPr>
      </w:pPr>
      <w:r>
        <w:rPr>
          <w:rFonts w:ascii="宋体" w:hAnsi="宋体" w:cs="宋体" w:eastAsia="宋体" w:hint="default"/>
          <w:sz w:val="22"/>
          <w:szCs w:val="22"/>
        </w:rPr>
        <w:t>本财务报告于</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2016 </w:t>
      </w:r>
      <w:r>
        <w:rPr>
          <w:rFonts w:ascii="宋体" w:hAnsi="宋体" w:cs="宋体" w:eastAsia="宋体" w:hint="default"/>
          <w:sz w:val="22"/>
          <w:szCs w:val="22"/>
        </w:rPr>
        <w:t>年</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4</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18 </w:t>
      </w:r>
      <w:r>
        <w:rPr>
          <w:rFonts w:ascii="宋体" w:hAnsi="宋体" w:cs="宋体" w:eastAsia="宋体" w:hint="default"/>
          <w:sz w:val="22"/>
          <w:szCs w:val="22"/>
        </w:rPr>
        <w:t>日由本公司董事会批准报出。</w:t>
      </w:r>
    </w:p>
    <w:p>
      <w:pPr>
        <w:spacing w:after="0"/>
        <w:jc w:val="left"/>
        <w:rPr>
          <w:rFonts w:ascii="宋体" w:hAnsi="宋体" w:cs="宋体" w:eastAsia="宋体" w:hint="default"/>
          <w:sz w:val="22"/>
          <w:szCs w:val="22"/>
        </w:rPr>
        <w:sectPr>
          <w:headerReference w:type="default" r:id="rId107"/>
          <w:footerReference w:type="default" r:id="rId108"/>
          <w:pgSz w:w="11910" w:h="16840"/>
          <w:pgMar w:header="0" w:footer="780" w:top="500" w:bottom="980" w:left="1460" w:right="1460"/>
          <w:pgNumType w:start="177"/>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p>
      <w:pPr>
        <w:spacing w:before="32"/>
        <w:ind w:left="198" w:right="0" w:firstLine="0"/>
        <w:jc w:val="left"/>
        <w:rPr>
          <w:rFonts w:ascii="宋体" w:hAnsi="宋体" w:cs="宋体" w:eastAsia="宋体" w:hint="default"/>
          <w:sz w:val="22"/>
          <w:szCs w:val="22"/>
        </w:rPr>
      </w:pPr>
      <w:r>
        <w:rPr>
          <w:rFonts w:ascii="宋体" w:hAnsi="宋体" w:cs="宋体" w:eastAsia="宋体" w:hint="default"/>
          <w:b/>
          <w:bCs/>
          <w:sz w:val="22"/>
          <w:szCs w:val="22"/>
        </w:rPr>
        <w:t>财</w:t>
      </w:r>
      <w:r>
        <w:rPr>
          <w:rFonts w:ascii="宋体" w:hAnsi="宋体" w:cs="宋体" w:eastAsia="宋体" w:hint="default"/>
          <w:b/>
          <w:bCs/>
          <w:spacing w:val="-72"/>
          <w:sz w:val="22"/>
          <w:szCs w:val="22"/>
        </w:rPr>
        <w:t> </w:t>
      </w:r>
      <w:r>
        <w:rPr>
          <w:rFonts w:ascii="宋体" w:hAnsi="宋体" w:cs="宋体" w:eastAsia="宋体" w:hint="default"/>
          <w:b/>
          <w:bCs/>
          <w:sz w:val="22"/>
          <w:szCs w:val="22"/>
        </w:rPr>
        <w:t>务</w:t>
      </w:r>
      <w:r>
        <w:rPr>
          <w:rFonts w:ascii="宋体" w:hAnsi="宋体" w:cs="宋体" w:eastAsia="宋体" w:hint="default"/>
          <w:b/>
          <w:bCs/>
          <w:spacing w:val="-72"/>
          <w:sz w:val="22"/>
          <w:szCs w:val="22"/>
        </w:rPr>
        <w:t> </w:t>
      </w:r>
      <w:r>
        <w:rPr>
          <w:rFonts w:ascii="宋体" w:hAnsi="宋体" w:cs="宋体" w:eastAsia="宋体" w:hint="default"/>
          <w:b/>
          <w:bCs/>
          <w:sz w:val="22"/>
          <w:szCs w:val="22"/>
        </w:rPr>
        <w:t>报</w:t>
      </w:r>
      <w:r>
        <w:rPr>
          <w:rFonts w:ascii="宋体" w:hAnsi="宋体" w:cs="宋体" w:eastAsia="宋体" w:hint="default"/>
          <w:b/>
          <w:bCs/>
          <w:spacing w:val="-72"/>
          <w:sz w:val="22"/>
          <w:szCs w:val="22"/>
        </w:rPr>
        <w:t> </w:t>
      </w:r>
      <w:r>
        <w:rPr>
          <w:rFonts w:ascii="宋体" w:hAnsi="宋体" w:cs="宋体" w:eastAsia="宋体" w:hint="default"/>
          <w:b/>
          <w:bCs/>
          <w:sz w:val="22"/>
          <w:szCs w:val="22"/>
        </w:rPr>
        <w:t>表</w:t>
      </w:r>
      <w:r>
        <w:rPr>
          <w:rFonts w:ascii="宋体" w:hAnsi="宋体" w:cs="宋体" w:eastAsia="宋体" w:hint="default"/>
          <w:b/>
          <w:bCs/>
          <w:spacing w:val="-74"/>
          <w:sz w:val="22"/>
          <w:szCs w:val="22"/>
        </w:rPr>
        <w:t> </w:t>
      </w:r>
      <w:r>
        <w:rPr>
          <w:rFonts w:ascii="宋体" w:hAnsi="宋体" w:cs="宋体" w:eastAsia="宋体" w:hint="default"/>
          <w:b/>
          <w:bCs/>
          <w:sz w:val="22"/>
          <w:szCs w:val="22"/>
        </w:rPr>
        <w:t>补</w:t>
      </w:r>
      <w:r>
        <w:rPr>
          <w:rFonts w:ascii="宋体" w:hAnsi="宋体" w:cs="宋体" w:eastAsia="宋体" w:hint="default"/>
          <w:b/>
          <w:bCs/>
          <w:spacing w:val="-72"/>
          <w:sz w:val="22"/>
          <w:szCs w:val="22"/>
        </w:rPr>
        <w:t> </w:t>
      </w:r>
      <w:r>
        <w:rPr>
          <w:rFonts w:ascii="宋体" w:hAnsi="宋体" w:cs="宋体" w:eastAsia="宋体" w:hint="default"/>
          <w:b/>
          <w:bCs/>
          <w:sz w:val="22"/>
          <w:szCs w:val="22"/>
        </w:rPr>
        <w:t>充</w:t>
      </w:r>
      <w:r>
        <w:rPr>
          <w:rFonts w:ascii="宋体" w:hAnsi="宋体" w:cs="宋体" w:eastAsia="宋体" w:hint="default"/>
          <w:b/>
          <w:bCs/>
          <w:spacing w:val="-72"/>
          <w:sz w:val="22"/>
          <w:szCs w:val="22"/>
        </w:rPr>
        <w:t> </w:t>
      </w:r>
      <w:r>
        <w:rPr>
          <w:rFonts w:ascii="宋体" w:hAnsi="宋体" w:cs="宋体" w:eastAsia="宋体" w:hint="default"/>
          <w:b/>
          <w:bCs/>
          <w:sz w:val="22"/>
          <w:szCs w:val="22"/>
        </w:rPr>
        <w:t>资</w:t>
      </w:r>
      <w:r>
        <w:rPr>
          <w:rFonts w:ascii="宋体" w:hAnsi="宋体" w:cs="宋体" w:eastAsia="宋体" w:hint="default"/>
          <w:b/>
          <w:bCs/>
          <w:spacing w:val="-72"/>
          <w:sz w:val="22"/>
          <w:szCs w:val="22"/>
        </w:rPr>
        <w:t> </w:t>
      </w:r>
      <w:r>
        <w:rPr>
          <w:rFonts w:ascii="宋体" w:hAnsi="宋体" w:cs="宋体" w:eastAsia="宋体" w:hint="default"/>
          <w:b/>
          <w:bCs/>
          <w:sz w:val="22"/>
          <w:szCs w:val="22"/>
        </w:rPr>
        <w:t>料</w:t>
      </w:r>
      <w:r>
        <w:rPr>
          <w:rFonts w:ascii="宋体" w:hAnsi="宋体" w:cs="宋体" w:eastAsia="宋体" w:hint="default"/>
          <w:sz w:val="22"/>
          <w:szCs w:val="22"/>
        </w:rPr>
      </w:r>
    </w:p>
    <w:p>
      <w:pPr>
        <w:spacing w:before="127"/>
        <w:ind w:left="652"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本年非经常性损益明细表</w:t>
      </w:r>
    </w:p>
    <w:p>
      <w:pPr>
        <w:spacing w:before="113"/>
        <w:ind w:left="1530" w:right="0" w:firstLine="0"/>
        <w:jc w:val="left"/>
        <w:rPr>
          <w:rFonts w:ascii="Times New Roman" w:hAnsi="Times New Roman" w:cs="Times New Roman" w:eastAsia="Times New Roman" w:hint="default"/>
          <w:sz w:val="22"/>
          <w:szCs w:val="22"/>
        </w:rPr>
      </w:pPr>
      <w:r>
        <w:rPr>
          <w:rFonts w:ascii="Times New Roman" w:hAnsi="Times New Roman" w:cs="Times New Roman" w:eastAsia="Times New Roman" w:hint="default"/>
          <w:b/>
          <w:bCs/>
          <w:sz w:val="22"/>
          <w:szCs w:val="22"/>
        </w:rPr>
        <w:t>(1)  </w:t>
      </w:r>
      <w:r>
        <w:rPr>
          <w:rFonts w:ascii="宋体" w:hAnsi="宋体" w:cs="宋体" w:eastAsia="宋体" w:hint="default"/>
          <w:sz w:val="22"/>
          <w:szCs w:val="22"/>
        </w:rPr>
        <w:t>按照中国证券监督管理委员会《公开发行证券的公司信息披露解释性公告第</w:t>
      </w:r>
      <w:r>
        <w:rPr>
          <w:rFonts w:ascii="宋体" w:hAnsi="宋体" w:cs="宋体" w:eastAsia="宋体" w:hint="default"/>
          <w:spacing w:val="-80"/>
          <w:sz w:val="22"/>
          <w:szCs w:val="22"/>
        </w:rPr>
        <w:t> </w:t>
      </w:r>
      <w:r>
        <w:rPr>
          <w:rFonts w:ascii="Times New Roman" w:hAnsi="Times New Roman" w:cs="Times New Roman" w:eastAsia="Times New Roman" w:hint="default"/>
          <w:sz w:val="22"/>
          <w:szCs w:val="22"/>
        </w:rPr>
        <w:t>1</w:t>
      </w:r>
    </w:p>
    <w:p>
      <w:pPr>
        <w:spacing w:before="53"/>
        <w:ind w:left="1106" w:right="0" w:firstLine="0"/>
        <w:jc w:val="left"/>
        <w:rPr>
          <w:rFonts w:ascii="宋体" w:hAnsi="宋体" w:cs="宋体" w:eastAsia="宋体" w:hint="default"/>
          <w:sz w:val="22"/>
          <w:szCs w:val="22"/>
        </w:rPr>
      </w:pPr>
      <w:r>
        <w:rPr>
          <w:rFonts w:ascii="宋体" w:hAnsi="宋体" w:cs="宋体" w:eastAsia="宋体" w:hint="default"/>
          <w:sz w:val="22"/>
          <w:szCs w:val="22"/>
        </w:rPr>
        <w:t>号</w:t>
      </w:r>
      <w:r>
        <w:rPr>
          <w:rFonts w:ascii="Times New Roman" w:hAnsi="Times New Roman" w:cs="Times New Roman" w:eastAsia="Times New Roman" w:hint="default"/>
          <w:sz w:val="22"/>
          <w:szCs w:val="22"/>
        </w:rPr>
        <w:t>—</w:t>
      </w:r>
      <w:r>
        <w:rPr>
          <w:rFonts w:ascii="宋体" w:hAnsi="宋体" w:cs="宋体" w:eastAsia="宋体" w:hint="default"/>
          <w:sz w:val="22"/>
          <w:szCs w:val="22"/>
        </w:rPr>
        <w:t>非经常性损益（</w:t>
      </w:r>
      <w:r>
        <w:rPr>
          <w:rFonts w:ascii="Times New Roman" w:hAnsi="Times New Roman" w:cs="Times New Roman" w:eastAsia="Times New Roman" w:hint="default"/>
          <w:sz w:val="22"/>
          <w:szCs w:val="22"/>
        </w:rPr>
        <w:t>2008</w:t>
      </w:r>
      <w:r>
        <w:rPr>
          <w:rFonts w:ascii="宋体" w:hAnsi="宋体" w:cs="宋体" w:eastAsia="宋体" w:hint="default"/>
          <w:sz w:val="22"/>
          <w:szCs w:val="22"/>
        </w:rPr>
        <w:t>）》的规定，本公司</w:t>
      </w:r>
      <w:r>
        <w:rPr>
          <w:rFonts w:ascii="宋体" w:hAnsi="宋体" w:cs="宋体" w:eastAsia="宋体" w:hint="default"/>
          <w:spacing w:val="-60"/>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5"/>
          <w:sz w:val="22"/>
          <w:szCs w:val="22"/>
        </w:rPr>
        <w:t> </w:t>
      </w:r>
      <w:r>
        <w:rPr>
          <w:rFonts w:ascii="宋体" w:hAnsi="宋体" w:cs="宋体" w:eastAsia="宋体" w:hint="default"/>
          <w:sz w:val="22"/>
          <w:szCs w:val="22"/>
        </w:rPr>
        <w:t>年度非经常性损益如下：</w:t>
      </w:r>
    </w:p>
    <w:p>
      <w:pPr>
        <w:spacing w:line="240" w:lineRule="auto" w:before="5"/>
        <w:rPr>
          <w:rFonts w:ascii="宋体" w:hAnsi="宋体" w:cs="宋体" w:eastAsia="宋体" w:hint="default"/>
          <w:sz w:val="11"/>
          <w:szCs w:val="11"/>
        </w:rPr>
      </w:pPr>
    </w:p>
    <w:tbl>
      <w:tblPr>
        <w:tblW w:w="0" w:type="auto"/>
        <w:jc w:val="left"/>
        <w:tblInd w:w="141" w:type="dxa"/>
        <w:tblLayout w:type="fixed"/>
        <w:tblCellMar>
          <w:top w:w="0" w:type="dxa"/>
          <w:left w:w="0" w:type="dxa"/>
          <w:bottom w:w="0" w:type="dxa"/>
          <w:right w:w="0" w:type="dxa"/>
        </w:tblCellMar>
        <w:tblLook w:val="01E0"/>
      </w:tblPr>
      <w:tblGrid>
        <w:gridCol w:w="7358"/>
        <w:gridCol w:w="1960"/>
      </w:tblGrid>
      <w:tr>
        <w:trPr>
          <w:trHeight w:val="336" w:hRule="exact"/>
        </w:trPr>
        <w:tc>
          <w:tcPr>
            <w:tcW w:w="7358"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left="57"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60" w:type="dxa"/>
            <w:tcBorders>
              <w:top w:val="single" w:sz="12" w:space="0" w:color="000000"/>
              <w:left w:val="nil" w:sz="6" w:space="0" w:color="auto"/>
              <w:bottom w:val="single" w:sz="4" w:space="0" w:color="000000"/>
              <w:right w:val="nil" w:sz="6" w:space="0" w:color="auto"/>
            </w:tcBorders>
          </w:tcPr>
          <w:p>
            <w:pPr>
              <w:pStyle w:val="TableParagraph"/>
              <w:spacing w:line="240" w:lineRule="auto" w:before="53"/>
              <w:ind w:right="58"/>
              <w:jc w:val="right"/>
              <w:rPr>
                <w:rFonts w:ascii="宋体" w:hAnsi="宋体" w:cs="宋体" w:eastAsia="宋体" w:hint="default"/>
                <w:sz w:val="18"/>
                <w:szCs w:val="18"/>
              </w:rPr>
            </w:pPr>
            <w:r>
              <w:rPr>
                <w:rFonts w:ascii="宋体" w:hAnsi="宋体" w:cs="宋体" w:eastAsia="宋体" w:hint="default"/>
                <w:b/>
                <w:bCs/>
                <w:w w:val="95"/>
                <w:sz w:val="18"/>
                <w:szCs w:val="18"/>
              </w:rPr>
              <w:t>本年金额</w:t>
            </w:r>
            <w:r>
              <w:rPr>
                <w:rFonts w:ascii="宋体" w:hAnsi="宋体" w:cs="宋体" w:eastAsia="宋体" w:hint="default"/>
                <w:sz w:val="18"/>
                <w:szCs w:val="18"/>
              </w:rPr>
            </w:r>
          </w:p>
        </w:tc>
      </w:tr>
      <w:tr>
        <w:trPr>
          <w:trHeight w:val="324" w:hRule="exact"/>
        </w:trPr>
        <w:tc>
          <w:tcPr>
            <w:tcW w:w="7358"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57"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960"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57"/>
              <w:jc w:val="right"/>
              <w:rPr>
                <w:rFonts w:ascii="Times New Roman" w:hAnsi="Times New Roman" w:cs="Times New Roman" w:eastAsia="Times New Roman" w:hint="default"/>
                <w:sz w:val="18"/>
                <w:szCs w:val="18"/>
              </w:rPr>
            </w:pPr>
            <w:r>
              <w:rPr>
                <w:rFonts w:ascii="Times New Roman"/>
                <w:spacing w:val="-1"/>
                <w:sz w:val="18"/>
              </w:rPr>
              <w:t>716,371,317.42</w:t>
            </w:r>
          </w:p>
        </w:tc>
      </w:tr>
      <w:tr>
        <w:trPr>
          <w:trHeight w:val="284" w:hRule="exact"/>
        </w:trPr>
        <w:tc>
          <w:tcPr>
            <w:tcW w:w="7358" w:type="dxa"/>
            <w:tcBorders>
              <w:top w:val="nil" w:sz="6" w:space="0" w:color="auto"/>
              <w:left w:val="nil" w:sz="6" w:space="0" w:color="auto"/>
              <w:bottom w:val="nil" w:sz="6" w:space="0" w:color="auto"/>
              <w:right w:val="nil" w:sz="6" w:space="0" w:color="auto"/>
            </w:tcBorders>
          </w:tcPr>
          <w:p>
            <w:pPr>
              <w:pStyle w:val="TableParagraph"/>
              <w:spacing w:line="222" w:lineRule="exact"/>
              <w:ind w:left="57"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越权审批，或无正式批准文件，或偶发性的税收返还、减免</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76" w:hRule="exact"/>
        </w:trPr>
        <w:tc>
          <w:tcPr>
            <w:tcW w:w="7358" w:type="dxa"/>
            <w:tcBorders>
              <w:top w:val="nil" w:sz="6" w:space="0" w:color="auto"/>
              <w:left w:val="nil" w:sz="6" w:space="0" w:color="auto"/>
              <w:bottom w:val="nil" w:sz="6" w:space="0" w:color="auto"/>
              <w:right w:val="nil" w:sz="6" w:space="0" w:color="auto"/>
            </w:tcBorders>
          </w:tcPr>
          <w:p>
            <w:pPr>
              <w:pStyle w:val="TableParagraph"/>
              <w:spacing w:line="223" w:lineRule="exact"/>
              <w:ind w:left="57" w:right="0"/>
              <w:jc w:val="left"/>
              <w:rPr>
                <w:rFonts w:ascii="宋体" w:hAnsi="宋体" w:cs="宋体" w:eastAsia="宋体" w:hint="default"/>
                <w:sz w:val="18"/>
                <w:szCs w:val="18"/>
              </w:rPr>
            </w:pPr>
            <w:r>
              <w:rPr>
                <w:rFonts w:ascii="宋体" w:hAnsi="宋体" w:cs="宋体" w:eastAsia="宋体" w:hint="default"/>
                <w:sz w:val="18"/>
                <w:szCs w:val="18"/>
              </w:rPr>
              <w:t>计入当期损益的政府补助</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7"/>
              <w:jc w:val="right"/>
              <w:rPr>
                <w:rFonts w:ascii="Times New Roman" w:hAnsi="Times New Roman" w:cs="Times New Roman" w:eastAsia="Times New Roman" w:hint="default"/>
                <w:sz w:val="18"/>
                <w:szCs w:val="18"/>
              </w:rPr>
            </w:pPr>
            <w:r>
              <w:rPr>
                <w:rFonts w:ascii="Times New Roman"/>
                <w:spacing w:val="-1"/>
                <w:sz w:val="18"/>
              </w:rPr>
              <w:t>220,786,354.82</w:t>
            </w:r>
          </w:p>
        </w:tc>
      </w:tr>
      <w:tr>
        <w:trPr>
          <w:trHeight w:val="275" w:hRule="exact"/>
        </w:trPr>
        <w:tc>
          <w:tcPr>
            <w:tcW w:w="7358" w:type="dxa"/>
            <w:tcBorders>
              <w:top w:val="nil" w:sz="6" w:space="0" w:color="auto"/>
              <w:left w:val="nil" w:sz="6" w:space="0" w:color="auto"/>
              <w:bottom w:val="nil" w:sz="6" w:space="0" w:color="auto"/>
              <w:right w:val="nil" w:sz="6" w:space="0" w:color="auto"/>
            </w:tcBorders>
          </w:tcPr>
          <w:p>
            <w:pPr>
              <w:pStyle w:val="TableParagraph"/>
              <w:spacing w:line="233" w:lineRule="exact"/>
              <w:ind w:left="57"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7"/>
              <w:jc w:val="right"/>
              <w:rPr>
                <w:rFonts w:ascii="Times New Roman" w:hAnsi="Times New Roman" w:cs="Times New Roman" w:eastAsia="Times New Roman" w:hint="default"/>
                <w:sz w:val="18"/>
                <w:szCs w:val="18"/>
              </w:rPr>
            </w:pPr>
            <w:r>
              <w:rPr>
                <w:rFonts w:ascii="Times New Roman"/>
                <w:spacing w:val="-1"/>
                <w:sz w:val="18"/>
              </w:rPr>
              <w:t>0.00</w:t>
            </w:r>
          </w:p>
        </w:tc>
      </w:tr>
      <w:tr>
        <w:trPr>
          <w:trHeight w:val="270" w:hRule="exact"/>
        </w:trPr>
        <w:tc>
          <w:tcPr>
            <w:tcW w:w="7358" w:type="dxa"/>
            <w:tcBorders>
              <w:top w:val="nil" w:sz="6" w:space="0" w:color="auto"/>
              <w:left w:val="nil" w:sz="6" w:space="0" w:color="auto"/>
              <w:bottom w:val="nil" w:sz="6" w:space="0" w:color="auto"/>
              <w:right w:val="nil" w:sz="6" w:space="0" w:color="auto"/>
            </w:tcBorders>
          </w:tcPr>
          <w:p>
            <w:pPr>
              <w:pStyle w:val="TableParagraph"/>
              <w:spacing w:line="240" w:lineRule="auto" w:before="8"/>
              <w:ind w:left="57"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57"/>
              <w:jc w:val="right"/>
              <w:rPr>
                <w:rFonts w:ascii="Times New Roman" w:hAnsi="Times New Roman" w:cs="Times New Roman" w:eastAsia="Times New Roman" w:hint="default"/>
                <w:sz w:val="18"/>
                <w:szCs w:val="18"/>
              </w:rPr>
            </w:pPr>
            <w:r>
              <w:rPr>
                <w:rFonts w:ascii="Times New Roman"/>
                <w:spacing w:val="-1"/>
                <w:sz w:val="18"/>
              </w:rPr>
              <w:t>0.00</w:t>
            </w:r>
          </w:p>
        </w:tc>
      </w:tr>
      <w:tr>
        <w:trPr>
          <w:trHeight w:val="725" w:hRule="exact"/>
        </w:trPr>
        <w:tc>
          <w:tcPr>
            <w:tcW w:w="7358" w:type="dxa"/>
            <w:tcBorders>
              <w:top w:val="nil" w:sz="6" w:space="0" w:color="auto"/>
              <w:left w:val="nil" w:sz="6" w:space="0" w:color="auto"/>
              <w:bottom w:val="nil" w:sz="6" w:space="0" w:color="auto"/>
              <w:right w:val="nil" w:sz="6" w:space="0" w:color="auto"/>
            </w:tcBorders>
          </w:tcPr>
          <w:p>
            <w:pPr>
              <w:pStyle w:val="TableParagraph"/>
              <w:spacing w:line="205" w:lineRule="exact"/>
              <w:ind w:left="57" w:right="0"/>
              <w:jc w:val="left"/>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除同公司正常经营业务相关的有效套期保值业务外，持有交易性金融资产、交易性金</w:t>
            </w:r>
          </w:p>
          <w:p>
            <w:pPr>
              <w:pStyle w:val="TableParagraph"/>
              <w:spacing w:line="232" w:lineRule="exact" w:before="23"/>
              <w:ind w:left="57" w:right="638"/>
              <w:jc w:val="left"/>
              <w:rPr>
                <w:rFonts w:ascii="宋体" w:hAnsi="宋体" w:cs="宋体" w:eastAsia="宋体" w:hint="default"/>
                <w:sz w:val="18"/>
                <w:szCs w:val="18"/>
              </w:rPr>
            </w:pPr>
            <w:r>
              <w:rPr>
                <w:rFonts w:ascii="宋体" w:hAnsi="宋体" w:cs="宋体" w:eastAsia="宋体" w:hint="default"/>
                <w:sz w:val="18"/>
                <w:szCs w:val="18"/>
              </w:rPr>
              <w:t>融负债产生的公允价值变动损益，以及处置交易性金融资产、交易性金融负债和可供 出售金融资产取得的投资收益</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57"/>
              <w:jc w:val="right"/>
              <w:rPr>
                <w:rFonts w:ascii="Times New Roman" w:hAnsi="Times New Roman" w:cs="Times New Roman" w:eastAsia="Times New Roman" w:hint="default"/>
                <w:sz w:val="18"/>
                <w:szCs w:val="18"/>
              </w:rPr>
            </w:pPr>
            <w:r>
              <w:rPr>
                <w:rFonts w:ascii="Times New Roman"/>
                <w:spacing w:val="-1"/>
                <w:sz w:val="18"/>
              </w:rPr>
              <w:t>357,112,591.30</w:t>
            </w:r>
          </w:p>
        </w:tc>
      </w:tr>
      <w:tr>
        <w:trPr>
          <w:trHeight w:val="295" w:hRule="exact"/>
        </w:trPr>
        <w:tc>
          <w:tcPr>
            <w:tcW w:w="7358" w:type="dxa"/>
            <w:tcBorders>
              <w:top w:val="nil" w:sz="6" w:space="0" w:color="auto"/>
              <w:left w:val="nil" w:sz="6" w:space="0" w:color="auto"/>
              <w:bottom w:val="nil" w:sz="6" w:space="0" w:color="auto"/>
              <w:right w:val="nil" w:sz="6" w:space="0" w:color="auto"/>
            </w:tcBorders>
          </w:tcPr>
          <w:p>
            <w:pPr>
              <w:pStyle w:val="TableParagraph"/>
              <w:spacing w:line="233" w:lineRule="exact"/>
              <w:ind w:left="57" w:right="0"/>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采用公允价值模式进行后续计量的投资性房地产公允价值变动产生的损益</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7"/>
              <w:jc w:val="right"/>
              <w:rPr>
                <w:rFonts w:ascii="Times New Roman" w:hAnsi="Times New Roman" w:cs="Times New Roman" w:eastAsia="Times New Roman" w:hint="default"/>
                <w:sz w:val="18"/>
                <w:szCs w:val="18"/>
              </w:rPr>
            </w:pPr>
            <w:r>
              <w:rPr>
                <w:rFonts w:ascii="Times New Roman"/>
                <w:spacing w:val="-1"/>
                <w:sz w:val="18"/>
              </w:rPr>
              <w:t>-1,794,889.76</w:t>
            </w:r>
          </w:p>
        </w:tc>
      </w:tr>
      <w:tr>
        <w:trPr>
          <w:trHeight w:val="293" w:hRule="exact"/>
        </w:trPr>
        <w:tc>
          <w:tcPr>
            <w:tcW w:w="7358" w:type="dxa"/>
            <w:tcBorders>
              <w:top w:val="nil" w:sz="6" w:space="0" w:color="auto"/>
              <w:left w:val="nil" w:sz="6" w:space="0" w:color="auto"/>
              <w:bottom w:val="nil" w:sz="6" w:space="0" w:color="auto"/>
              <w:right w:val="nil" w:sz="6" w:space="0" w:color="auto"/>
            </w:tcBorders>
          </w:tcPr>
          <w:p>
            <w:pPr>
              <w:pStyle w:val="TableParagraph"/>
              <w:spacing w:line="223" w:lineRule="exact"/>
              <w:ind w:left="57"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7"/>
              <w:jc w:val="right"/>
              <w:rPr>
                <w:rFonts w:ascii="Times New Roman" w:hAnsi="Times New Roman" w:cs="Times New Roman" w:eastAsia="Times New Roman" w:hint="default"/>
                <w:sz w:val="18"/>
                <w:szCs w:val="18"/>
              </w:rPr>
            </w:pPr>
            <w:r>
              <w:rPr>
                <w:rFonts w:ascii="Times New Roman"/>
                <w:spacing w:val="-1"/>
                <w:sz w:val="18"/>
              </w:rPr>
              <w:t>1,511,571.82</w:t>
            </w:r>
          </w:p>
        </w:tc>
      </w:tr>
      <w:tr>
        <w:trPr>
          <w:trHeight w:val="263" w:hRule="exact"/>
        </w:trPr>
        <w:tc>
          <w:tcPr>
            <w:tcW w:w="7358" w:type="dxa"/>
            <w:tcBorders>
              <w:top w:val="nil" w:sz="6" w:space="0" w:color="auto"/>
              <w:left w:val="nil" w:sz="6" w:space="0" w:color="auto"/>
              <w:bottom w:val="single" w:sz="4" w:space="0" w:color="000000"/>
              <w:right w:val="nil" w:sz="6" w:space="0" w:color="auto"/>
            </w:tcBorders>
          </w:tcPr>
          <w:p>
            <w:pPr>
              <w:pStyle w:val="TableParagraph"/>
              <w:spacing w:line="230" w:lineRule="exact"/>
              <w:ind w:left="57"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960" w:type="dxa"/>
            <w:tcBorders>
              <w:top w:val="nil" w:sz="6" w:space="0" w:color="auto"/>
              <w:left w:val="nil" w:sz="6" w:space="0" w:color="auto"/>
              <w:bottom w:val="single" w:sz="4" w:space="0" w:color="000000"/>
              <w:right w:val="nil" w:sz="6" w:space="0" w:color="auto"/>
            </w:tcBorders>
          </w:tcPr>
          <w:p>
            <w:pPr>
              <w:pStyle w:val="TableParagraph"/>
              <w:spacing w:line="240" w:lineRule="auto" w:before="46"/>
              <w:ind w:right="57"/>
              <w:jc w:val="right"/>
              <w:rPr>
                <w:rFonts w:ascii="Times New Roman" w:hAnsi="Times New Roman" w:cs="Times New Roman" w:eastAsia="Times New Roman" w:hint="default"/>
                <w:sz w:val="18"/>
                <w:szCs w:val="18"/>
              </w:rPr>
            </w:pPr>
            <w:r>
              <w:rPr>
                <w:rFonts w:ascii="Times New Roman"/>
                <w:spacing w:val="-1"/>
                <w:sz w:val="18"/>
              </w:rPr>
              <w:t>-6,056,260.63</w:t>
            </w:r>
          </w:p>
        </w:tc>
      </w:tr>
      <w:tr>
        <w:trPr>
          <w:trHeight w:val="310" w:hRule="exact"/>
        </w:trPr>
        <w:tc>
          <w:tcPr>
            <w:tcW w:w="7358"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left="57"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960"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right="58"/>
              <w:jc w:val="right"/>
              <w:rPr>
                <w:rFonts w:ascii="Times New Roman" w:hAnsi="Times New Roman" w:cs="Times New Roman" w:eastAsia="Times New Roman" w:hint="default"/>
                <w:sz w:val="18"/>
                <w:szCs w:val="18"/>
              </w:rPr>
            </w:pPr>
            <w:r>
              <w:rPr>
                <w:rFonts w:ascii="Times New Roman"/>
                <w:b/>
                <w:spacing w:val="-1"/>
                <w:sz w:val="18"/>
              </w:rPr>
              <w:t>1,287,930,684.97</w:t>
            </w:r>
            <w:r>
              <w:rPr>
                <w:rFonts w:ascii="Times New Roman"/>
                <w:spacing w:val="-1"/>
                <w:sz w:val="18"/>
              </w:rPr>
            </w:r>
          </w:p>
        </w:tc>
      </w:tr>
      <w:tr>
        <w:trPr>
          <w:trHeight w:val="333" w:hRule="exact"/>
        </w:trPr>
        <w:tc>
          <w:tcPr>
            <w:tcW w:w="7358"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57"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960"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57"/>
              <w:jc w:val="right"/>
              <w:rPr>
                <w:rFonts w:ascii="Times New Roman" w:hAnsi="Times New Roman" w:cs="Times New Roman" w:eastAsia="Times New Roman" w:hint="default"/>
                <w:sz w:val="18"/>
                <w:szCs w:val="18"/>
              </w:rPr>
            </w:pPr>
            <w:r>
              <w:rPr>
                <w:rFonts w:ascii="Times New Roman"/>
                <w:spacing w:val="-1"/>
                <w:sz w:val="18"/>
              </w:rPr>
              <w:t>103,411,507.43</w:t>
            </w:r>
          </w:p>
        </w:tc>
      </w:tr>
      <w:tr>
        <w:trPr>
          <w:trHeight w:val="263" w:hRule="exact"/>
        </w:trPr>
        <w:tc>
          <w:tcPr>
            <w:tcW w:w="7358" w:type="dxa"/>
            <w:tcBorders>
              <w:top w:val="nil" w:sz="6" w:space="0" w:color="auto"/>
              <w:left w:val="nil" w:sz="6" w:space="0" w:color="auto"/>
              <w:bottom w:val="single" w:sz="4" w:space="0" w:color="000000"/>
              <w:right w:val="nil" w:sz="6" w:space="0" w:color="auto"/>
            </w:tcBorders>
          </w:tcPr>
          <w:p>
            <w:pPr>
              <w:pStyle w:val="TableParagraph"/>
              <w:spacing w:line="230" w:lineRule="exact"/>
              <w:ind w:left="57"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960" w:type="dxa"/>
            <w:tcBorders>
              <w:top w:val="nil" w:sz="6" w:space="0" w:color="auto"/>
              <w:left w:val="nil" w:sz="6" w:space="0" w:color="auto"/>
              <w:bottom w:val="single" w:sz="4" w:space="0" w:color="000000"/>
              <w:right w:val="nil" w:sz="6" w:space="0" w:color="auto"/>
            </w:tcBorders>
          </w:tcPr>
          <w:p>
            <w:pPr>
              <w:pStyle w:val="TableParagraph"/>
              <w:spacing w:line="240" w:lineRule="auto" w:before="46"/>
              <w:ind w:right="57"/>
              <w:jc w:val="right"/>
              <w:rPr>
                <w:rFonts w:ascii="Times New Roman" w:hAnsi="Times New Roman" w:cs="Times New Roman" w:eastAsia="Times New Roman" w:hint="default"/>
                <w:sz w:val="18"/>
                <w:szCs w:val="18"/>
              </w:rPr>
            </w:pPr>
            <w:r>
              <w:rPr>
                <w:rFonts w:ascii="Times New Roman"/>
                <w:spacing w:val="-1"/>
                <w:sz w:val="18"/>
              </w:rPr>
              <w:t>469,026,612.66</w:t>
            </w:r>
          </w:p>
        </w:tc>
      </w:tr>
      <w:tr>
        <w:trPr>
          <w:trHeight w:val="322" w:hRule="exact"/>
        </w:trPr>
        <w:tc>
          <w:tcPr>
            <w:tcW w:w="7358" w:type="dxa"/>
            <w:tcBorders>
              <w:top w:val="single" w:sz="4" w:space="0" w:color="000000"/>
              <w:left w:val="nil" w:sz="6" w:space="0" w:color="auto"/>
              <w:bottom w:val="single" w:sz="12" w:space="0" w:color="000000"/>
              <w:right w:val="nil" w:sz="6" w:space="0" w:color="auto"/>
            </w:tcBorders>
          </w:tcPr>
          <w:p>
            <w:pPr>
              <w:pStyle w:val="TableParagraph"/>
              <w:spacing w:line="240" w:lineRule="auto" w:before="37"/>
              <w:ind w:left="57"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60"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right="57"/>
              <w:jc w:val="right"/>
              <w:rPr>
                <w:rFonts w:ascii="Times New Roman" w:hAnsi="Times New Roman" w:cs="Times New Roman" w:eastAsia="Times New Roman" w:hint="default"/>
                <w:sz w:val="18"/>
                <w:szCs w:val="18"/>
              </w:rPr>
            </w:pPr>
            <w:r>
              <w:rPr>
                <w:rFonts w:ascii="Times New Roman"/>
                <w:b/>
                <w:spacing w:val="-1"/>
                <w:sz w:val="18"/>
              </w:rPr>
              <w:t>715,492,564.88</w:t>
            </w:r>
            <w:r>
              <w:rPr>
                <w:rFonts w:ascii="Times New Roman"/>
                <w:spacing w:val="-1"/>
                <w:sz w:val="18"/>
              </w:rPr>
            </w:r>
          </w:p>
        </w:tc>
      </w:tr>
    </w:tbl>
    <w:p>
      <w:pPr>
        <w:spacing w:before="22"/>
        <w:ind w:left="652"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净资产收益率及每股收益</w:t>
      </w:r>
    </w:p>
    <w:p>
      <w:pPr>
        <w:spacing w:line="280" w:lineRule="auto" w:before="110"/>
        <w:ind w:left="198" w:right="160" w:firstLine="499"/>
        <w:jc w:val="both"/>
        <w:rPr>
          <w:rFonts w:ascii="宋体" w:hAnsi="宋体" w:cs="宋体" w:eastAsia="宋体" w:hint="default"/>
          <w:sz w:val="22"/>
          <w:szCs w:val="22"/>
        </w:rPr>
      </w:pPr>
      <w:r>
        <w:rPr>
          <w:rFonts w:ascii="宋体" w:hAnsi="宋体" w:cs="宋体" w:eastAsia="宋体" w:hint="default"/>
          <w:spacing w:val="-4"/>
          <w:w w:val="100"/>
          <w:sz w:val="22"/>
          <w:szCs w:val="22"/>
        </w:rPr>
        <w:t>按照中国证券监督管理委员会《公开发行证券的公司信息披露编报规则第</w:t>
      </w:r>
      <w:r>
        <w:rPr>
          <w:rFonts w:ascii="宋体" w:hAnsi="宋体" w:cs="宋体" w:eastAsia="宋体" w:hint="default"/>
          <w:spacing w:val="-54"/>
          <w:w w:val="100"/>
          <w:sz w:val="22"/>
          <w:szCs w:val="22"/>
        </w:rPr>
        <w:t> </w:t>
      </w:r>
      <w:r>
        <w:rPr>
          <w:rFonts w:ascii="Times New Roman" w:hAnsi="Times New Roman" w:cs="Times New Roman" w:eastAsia="Times New Roman" w:hint="default"/>
          <w:w w:val="100"/>
          <w:sz w:val="22"/>
          <w:szCs w:val="22"/>
        </w:rPr>
        <w:t>9</w:t>
      </w:r>
      <w:r>
        <w:rPr>
          <w:rFonts w:ascii="Times New Roman" w:hAnsi="Times New Roman" w:cs="Times New Roman" w:eastAsia="Times New Roman" w:hint="default"/>
          <w:spacing w:val="-1"/>
          <w:w w:val="100"/>
          <w:sz w:val="22"/>
          <w:szCs w:val="22"/>
        </w:rPr>
        <w:t> </w:t>
      </w:r>
      <w:r>
        <w:rPr>
          <w:rFonts w:ascii="宋体" w:hAnsi="宋体" w:cs="宋体" w:eastAsia="宋体" w:hint="default"/>
          <w:spacing w:val="-1"/>
          <w:w w:val="100"/>
          <w:sz w:val="22"/>
          <w:szCs w:val="22"/>
        </w:rPr>
        <w:t>号—净资产收益</w:t>
      </w:r>
      <w:r>
        <w:rPr>
          <w:rFonts w:ascii="宋体" w:hAnsi="宋体" w:cs="宋体" w:eastAsia="宋体" w:hint="default"/>
          <w:w w:val="100"/>
          <w:sz w:val="22"/>
          <w:szCs w:val="22"/>
        </w:rPr>
        <w:t> </w:t>
      </w:r>
      <w:r>
        <w:rPr>
          <w:rFonts w:ascii="宋体" w:hAnsi="宋体" w:cs="宋体" w:eastAsia="宋体" w:hint="default"/>
          <w:spacing w:val="-4"/>
          <w:sz w:val="22"/>
          <w:szCs w:val="22"/>
        </w:rPr>
        <w:t>率和每股收益的计算及披露（</w:t>
      </w:r>
      <w:r>
        <w:rPr>
          <w:rFonts w:ascii="Times New Roman" w:hAnsi="Times New Roman" w:cs="Times New Roman" w:eastAsia="Times New Roman" w:hint="default"/>
          <w:spacing w:val="-4"/>
          <w:sz w:val="22"/>
          <w:szCs w:val="22"/>
        </w:rPr>
        <w:t>2010</w:t>
      </w:r>
      <w:r>
        <w:rPr>
          <w:rFonts w:ascii="Times New Roman" w:hAnsi="Times New Roman" w:cs="Times New Roman" w:eastAsia="Times New Roman" w:hint="default"/>
          <w:spacing w:val="7"/>
          <w:sz w:val="22"/>
          <w:szCs w:val="22"/>
        </w:rPr>
        <w:t> </w:t>
      </w:r>
      <w:r>
        <w:rPr>
          <w:rFonts w:ascii="宋体" w:hAnsi="宋体" w:cs="宋体" w:eastAsia="宋体" w:hint="default"/>
          <w:spacing w:val="-14"/>
          <w:sz w:val="22"/>
          <w:szCs w:val="22"/>
        </w:rPr>
        <w:t>年修订）》的规定，本公司</w:t>
      </w:r>
      <w:r>
        <w:rPr>
          <w:rFonts w:ascii="宋体" w:hAnsi="宋体" w:cs="宋体" w:eastAsia="宋体" w:hint="default"/>
          <w:spacing w:val="-48"/>
          <w:sz w:val="22"/>
          <w:szCs w:val="22"/>
        </w:rPr>
        <w:t> </w:t>
      </w:r>
      <w:r>
        <w:rPr>
          <w:rFonts w:ascii="Times New Roman" w:hAnsi="Times New Roman" w:cs="Times New Roman" w:eastAsia="Times New Roman" w:hint="default"/>
          <w:sz w:val="22"/>
          <w:szCs w:val="22"/>
        </w:rPr>
        <w:t>2015</w:t>
      </w:r>
      <w:r>
        <w:rPr>
          <w:rFonts w:ascii="Times New Roman" w:hAnsi="Times New Roman" w:cs="Times New Roman" w:eastAsia="Times New Roman" w:hint="default"/>
          <w:spacing w:val="7"/>
          <w:sz w:val="22"/>
          <w:szCs w:val="22"/>
        </w:rPr>
        <w:t> </w:t>
      </w:r>
      <w:r>
        <w:rPr>
          <w:rFonts w:ascii="宋体" w:hAnsi="宋体" w:cs="宋体" w:eastAsia="宋体" w:hint="default"/>
          <w:sz w:val="22"/>
          <w:szCs w:val="22"/>
        </w:rPr>
        <w:t>年度加权平均净资产收益率、</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基本每股收益和稀释每股收益如下：</w:t>
      </w:r>
    </w:p>
    <w:p>
      <w:pPr>
        <w:spacing w:line="240" w:lineRule="auto" w:before="11"/>
        <w:rPr>
          <w:rFonts w:ascii="宋体" w:hAnsi="宋体" w:cs="宋体" w:eastAsia="宋体" w:hint="default"/>
          <w:sz w:val="9"/>
          <w:szCs w:val="9"/>
        </w:rPr>
      </w:pPr>
    </w:p>
    <w:tbl>
      <w:tblPr>
        <w:tblW w:w="0" w:type="auto"/>
        <w:jc w:val="left"/>
        <w:tblInd w:w="170" w:type="dxa"/>
        <w:tblLayout w:type="fixed"/>
        <w:tblCellMar>
          <w:top w:w="0" w:type="dxa"/>
          <w:left w:w="0" w:type="dxa"/>
          <w:bottom w:w="0" w:type="dxa"/>
          <w:right w:w="0" w:type="dxa"/>
        </w:tblCellMar>
        <w:tblLook w:val="01E0"/>
      </w:tblPr>
      <w:tblGrid>
        <w:gridCol w:w="4099"/>
        <w:gridCol w:w="1256"/>
        <w:gridCol w:w="1815"/>
        <w:gridCol w:w="1344"/>
      </w:tblGrid>
      <w:tr>
        <w:trPr>
          <w:trHeight w:val="307" w:hRule="exact"/>
        </w:trPr>
        <w:tc>
          <w:tcPr>
            <w:tcW w:w="4099" w:type="dxa"/>
            <w:vMerge w:val="restart"/>
            <w:tcBorders>
              <w:top w:val="single" w:sz="12" w:space="0" w:color="000000"/>
              <w:left w:val="nil" w:sz="6" w:space="0" w:color="auto"/>
              <w:right w:val="nil" w:sz="6" w:space="0" w:color="auto"/>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b/>
                <w:bCs/>
                <w:sz w:val="18"/>
                <w:szCs w:val="18"/>
              </w:rPr>
              <w:t>报告期利润</w:t>
            </w:r>
            <w:r>
              <w:rPr>
                <w:rFonts w:ascii="宋体" w:hAnsi="宋体" w:cs="宋体" w:eastAsia="宋体" w:hint="default"/>
                <w:sz w:val="18"/>
                <w:szCs w:val="18"/>
              </w:rPr>
            </w:r>
          </w:p>
        </w:tc>
        <w:tc>
          <w:tcPr>
            <w:tcW w:w="1256" w:type="dxa"/>
            <w:vMerge w:val="restart"/>
            <w:tcBorders>
              <w:top w:val="single" w:sz="12" w:space="0" w:color="000000"/>
              <w:left w:val="nil" w:sz="6" w:space="0" w:color="auto"/>
              <w:right w:val="nil" w:sz="6" w:space="0" w:color="auto"/>
            </w:tcBorders>
          </w:tcPr>
          <w:p>
            <w:pPr>
              <w:pStyle w:val="TableParagraph"/>
              <w:spacing w:line="240" w:lineRule="auto" w:before="27"/>
              <w:ind w:left="197" w:right="154"/>
              <w:jc w:val="left"/>
              <w:rPr>
                <w:rFonts w:ascii="宋体" w:hAnsi="宋体" w:cs="宋体" w:eastAsia="宋体" w:hint="default"/>
                <w:sz w:val="18"/>
                <w:szCs w:val="18"/>
              </w:rPr>
            </w:pPr>
            <w:r>
              <w:rPr>
                <w:rFonts w:ascii="宋体" w:hAnsi="宋体" w:cs="宋体" w:eastAsia="宋体" w:hint="default"/>
                <w:b/>
                <w:bCs/>
                <w:sz w:val="18"/>
                <w:szCs w:val="18"/>
              </w:rPr>
              <w:t>加权平均净</w:t>
            </w:r>
            <w:r>
              <w:rPr>
                <w:rFonts w:ascii="宋体" w:hAnsi="宋体" w:cs="宋体" w:eastAsia="宋体" w:hint="default"/>
                <w:b/>
                <w:bCs/>
                <w:w w:val="99"/>
                <w:sz w:val="18"/>
                <w:szCs w:val="18"/>
              </w:rPr>
              <w:t> </w:t>
            </w:r>
            <w:r>
              <w:rPr>
                <w:rFonts w:ascii="宋体" w:hAnsi="宋体" w:cs="宋体" w:eastAsia="宋体" w:hint="default"/>
                <w:b/>
                <w:bCs/>
                <w:sz w:val="18"/>
                <w:szCs w:val="18"/>
              </w:rPr>
              <w:t>资产收益率</w:t>
            </w:r>
            <w:r>
              <w:rPr>
                <w:rFonts w:ascii="宋体" w:hAnsi="宋体" w:cs="宋体" w:eastAsia="宋体" w:hint="default"/>
                <w:sz w:val="18"/>
                <w:szCs w:val="18"/>
              </w:rPr>
            </w:r>
          </w:p>
        </w:tc>
        <w:tc>
          <w:tcPr>
            <w:tcW w:w="3159" w:type="dxa"/>
            <w:gridSpan w:val="2"/>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1" w:right="0"/>
              <w:jc w:val="center"/>
              <w:rPr>
                <w:rFonts w:ascii="宋体" w:hAnsi="宋体" w:cs="宋体" w:eastAsia="宋体" w:hint="default"/>
                <w:sz w:val="18"/>
                <w:szCs w:val="18"/>
              </w:rPr>
            </w:pPr>
            <w:r>
              <w:rPr>
                <w:rFonts w:ascii="宋体" w:hAnsi="宋体" w:cs="宋体" w:eastAsia="宋体" w:hint="default"/>
                <w:b/>
                <w:bCs/>
                <w:sz w:val="18"/>
                <w:szCs w:val="18"/>
              </w:rPr>
              <w:t>每股收益</w:t>
            </w:r>
            <w:r>
              <w:rPr>
                <w:rFonts w:ascii="宋体" w:hAnsi="宋体" w:cs="宋体" w:eastAsia="宋体" w:hint="default"/>
                <w:sz w:val="18"/>
                <w:szCs w:val="18"/>
              </w:rPr>
            </w:r>
          </w:p>
        </w:tc>
      </w:tr>
      <w:tr>
        <w:trPr>
          <w:trHeight w:val="293" w:hRule="exact"/>
        </w:trPr>
        <w:tc>
          <w:tcPr>
            <w:tcW w:w="4099" w:type="dxa"/>
            <w:vMerge/>
            <w:tcBorders>
              <w:left w:val="nil" w:sz="6" w:space="0" w:color="auto"/>
              <w:bottom w:val="single" w:sz="4" w:space="0" w:color="000000"/>
              <w:right w:val="nil" w:sz="6" w:space="0" w:color="auto"/>
            </w:tcBorders>
          </w:tcPr>
          <w:p>
            <w:pPr/>
          </w:p>
        </w:tc>
        <w:tc>
          <w:tcPr>
            <w:tcW w:w="1256" w:type="dxa"/>
            <w:vMerge/>
            <w:tcBorders>
              <w:left w:val="nil" w:sz="6" w:space="0" w:color="auto"/>
              <w:bottom w:val="single" w:sz="4" w:space="0" w:color="000000"/>
              <w:right w:val="nil" w:sz="6" w:space="0" w:color="auto"/>
            </w:tcBorders>
          </w:tcPr>
          <w:p>
            <w:pPr/>
          </w:p>
        </w:tc>
        <w:tc>
          <w:tcPr>
            <w:tcW w:w="1815"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357" w:right="0"/>
              <w:jc w:val="left"/>
              <w:rPr>
                <w:rFonts w:ascii="宋体" w:hAnsi="宋体" w:cs="宋体" w:eastAsia="宋体" w:hint="default"/>
                <w:sz w:val="18"/>
                <w:szCs w:val="18"/>
              </w:rPr>
            </w:pPr>
            <w:r>
              <w:rPr>
                <w:rFonts w:ascii="宋体" w:hAnsi="宋体" w:cs="宋体" w:eastAsia="宋体" w:hint="default"/>
                <w:b/>
                <w:bCs/>
                <w:sz w:val="18"/>
                <w:szCs w:val="18"/>
              </w:rPr>
              <w:t>基本每股收益</w:t>
            </w:r>
            <w:r>
              <w:rPr>
                <w:rFonts w:ascii="宋体" w:hAnsi="宋体" w:cs="宋体" w:eastAsia="宋体" w:hint="default"/>
                <w:sz w:val="18"/>
                <w:szCs w:val="18"/>
              </w:rPr>
            </w:r>
          </w:p>
        </w:tc>
        <w:tc>
          <w:tcPr>
            <w:tcW w:w="1344"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right="135"/>
              <w:jc w:val="right"/>
              <w:rPr>
                <w:rFonts w:ascii="宋体" w:hAnsi="宋体" w:cs="宋体" w:eastAsia="宋体" w:hint="default"/>
                <w:sz w:val="18"/>
                <w:szCs w:val="18"/>
              </w:rPr>
            </w:pPr>
            <w:r>
              <w:rPr>
                <w:rFonts w:ascii="宋体" w:hAnsi="宋体" w:cs="宋体" w:eastAsia="宋体" w:hint="default"/>
                <w:b/>
                <w:bCs/>
                <w:w w:val="95"/>
                <w:sz w:val="18"/>
                <w:szCs w:val="18"/>
              </w:rPr>
              <w:t>稀释每股收益</w:t>
            </w:r>
            <w:r>
              <w:rPr>
                <w:rFonts w:ascii="宋体" w:hAnsi="宋体" w:cs="宋体" w:eastAsia="宋体" w:hint="default"/>
                <w:sz w:val="18"/>
                <w:szCs w:val="18"/>
              </w:rPr>
            </w:r>
          </w:p>
        </w:tc>
      </w:tr>
      <w:tr>
        <w:trPr>
          <w:trHeight w:val="325" w:hRule="exact"/>
        </w:trPr>
        <w:tc>
          <w:tcPr>
            <w:tcW w:w="4099" w:type="dxa"/>
            <w:tcBorders>
              <w:top w:val="single" w:sz="4" w:space="0" w:color="000000"/>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归属于母公司股东的净利润</w:t>
            </w:r>
          </w:p>
        </w:tc>
        <w:tc>
          <w:tcPr>
            <w:tcW w:w="1256"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z w:val="18"/>
              </w:rPr>
              <w:t>7.67%</w:t>
            </w:r>
          </w:p>
        </w:tc>
        <w:tc>
          <w:tcPr>
            <w:tcW w:w="1815"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20"/>
              <w:jc w:val="right"/>
              <w:rPr>
                <w:rFonts w:ascii="Times New Roman" w:hAnsi="Times New Roman" w:cs="Times New Roman" w:eastAsia="Times New Roman" w:hint="default"/>
                <w:sz w:val="18"/>
                <w:szCs w:val="18"/>
              </w:rPr>
            </w:pPr>
            <w:r>
              <w:rPr>
                <w:rFonts w:ascii="Times New Roman"/>
                <w:spacing w:val="-1"/>
                <w:sz w:val="18"/>
              </w:rPr>
              <w:t>0.44</w:t>
            </w:r>
          </w:p>
        </w:tc>
        <w:tc>
          <w:tcPr>
            <w:tcW w:w="1344" w:type="dxa"/>
            <w:tcBorders>
              <w:top w:val="single" w:sz="4" w:space="0" w:color="000000"/>
              <w:left w:val="nil" w:sz="6" w:space="0" w:color="auto"/>
              <w:bottom w:val="nil" w:sz="6" w:space="0" w:color="auto"/>
              <w:right w:val="nil" w:sz="6" w:space="0" w:color="auto"/>
            </w:tcBorders>
          </w:tcPr>
          <w:p>
            <w:pPr>
              <w:pStyle w:val="TableParagraph"/>
              <w:spacing w:line="240" w:lineRule="auto" w:before="74"/>
              <w:ind w:right="102"/>
              <w:jc w:val="right"/>
              <w:rPr>
                <w:rFonts w:ascii="Times New Roman" w:hAnsi="Times New Roman" w:cs="Times New Roman" w:eastAsia="Times New Roman" w:hint="default"/>
                <w:sz w:val="18"/>
                <w:szCs w:val="18"/>
              </w:rPr>
            </w:pPr>
            <w:r>
              <w:rPr>
                <w:rFonts w:ascii="Times New Roman"/>
                <w:spacing w:val="-1"/>
                <w:sz w:val="18"/>
              </w:rPr>
              <w:t>0.44</w:t>
            </w:r>
          </w:p>
        </w:tc>
      </w:tr>
      <w:tr>
        <w:trPr>
          <w:trHeight w:val="267" w:hRule="exact"/>
        </w:trPr>
        <w:tc>
          <w:tcPr>
            <w:tcW w:w="4099" w:type="dxa"/>
            <w:tcBorders>
              <w:top w:val="nil" w:sz="6" w:space="0" w:color="auto"/>
              <w:left w:val="nil" w:sz="6" w:space="0" w:color="auto"/>
              <w:bottom w:val="single" w:sz="12" w:space="0" w:color="000000"/>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扣除非经常性损益后归属于母公司股东的净利润</w:t>
            </w:r>
          </w:p>
        </w:tc>
        <w:tc>
          <w:tcPr>
            <w:tcW w:w="1256"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z w:val="18"/>
              </w:rPr>
              <w:t>3.32%</w:t>
            </w:r>
          </w:p>
        </w:tc>
        <w:tc>
          <w:tcPr>
            <w:tcW w:w="181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22"/>
              <w:jc w:val="right"/>
              <w:rPr>
                <w:rFonts w:ascii="Times New Roman" w:hAnsi="Times New Roman" w:cs="Times New Roman" w:eastAsia="Times New Roman" w:hint="default"/>
                <w:sz w:val="18"/>
                <w:szCs w:val="18"/>
              </w:rPr>
            </w:pPr>
            <w:r>
              <w:rPr>
                <w:rFonts w:ascii="Times New Roman"/>
                <w:spacing w:val="-1"/>
                <w:sz w:val="18"/>
              </w:rPr>
              <w:t>0.19</w:t>
            </w:r>
          </w:p>
        </w:tc>
        <w:tc>
          <w:tcPr>
            <w:tcW w:w="1344"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5"/>
              <w:jc w:val="right"/>
              <w:rPr>
                <w:rFonts w:ascii="Times New Roman" w:hAnsi="Times New Roman" w:cs="Times New Roman" w:eastAsia="Times New Roman" w:hint="default"/>
                <w:sz w:val="18"/>
                <w:szCs w:val="18"/>
              </w:rPr>
            </w:pPr>
            <w:r>
              <w:rPr>
                <w:rFonts w:ascii="Times New Roman"/>
                <w:spacing w:val="-1"/>
                <w:sz w:val="18"/>
              </w:rPr>
              <w:t>0.19</w:t>
            </w:r>
          </w:p>
        </w:tc>
      </w:tr>
    </w:tbl>
    <w:p>
      <w:pPr>
        <w:spacing w:after="0" w:line="240" w:lineRule="auto"/>
        <w:jc w:val="right"/>
        <w:rPr>
          <w:rFonts w:ascii="Times New Roman" w:hAnsi="Times New Roman" w:cs="Times New Roman" w:eastAsia="Times New Roman" w:hint="default"/>
          <w:sz w:val="18"/>
          <w:szCs w:val="18"/>
        </w:rPr>
        <w:sectPr>
          <w:headerReference w:type="default" r:id="rId109"/>
          <w:pgSz w:w="11910" w:h="16840"/>
          <w:pgMar w:header="585" w:footer="780" w:top="1080" w:bottom="1020" w:left="1220" w:right="11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pStyle w:val="Heading1"/>
        <w:spacing w:line="240" w:lineRule="auto"/>
        <w:ind w:left="3543" w:right="3238"/>
        <w:jc w:val="center"/>
        <w:rPr>
          <w:b w:val="0"/>
          <w:bCs w:val="0"/>
        </w:rPr>
      </w:pPr>
      <w:bookmarkStart w:name="_TOC_250000" w:id="11"/>
      <w:r>
        <w:rPr/>
        <w:t>第十一章</w:t>
      </w:r>
      <w:r>
        <w:rPr>
          <w:spacing w:val="-6"/>
        </w:rPr>
        <w:t> </w:t>
      </w:r>
      <w:r>
        <w:rPr/>
        <w:t>备查文件</w:t>
      </w:r>
      <w:bookmarkEnd w:id="11"/>
      <w:r>
        <w:rPr>
          <w:b w:val="0"/>
          <w:bCs w:val="0"/>
        </w:rPr>
      </w:r>
    </w:p>
    <w:p>
      <w:pPr>
        <w:spacing w:line="240" w:lineRule="auto" w:before="0"/>
        <w:rPr>
          <w:rFonts w:ascii="黑体" w:hAnsi="黑体" w:cs="黑体" w:eastAsia="黑体" w:hint="default"/>
          <w:b/>
          <w:bCs/>
          <w:sz w:val="32"/>
          <w:szCs w:val="32"/>
        </w:rPr>
      </w:pPr>
    </w:p>
    <w:p>
      <w:pPr>
        <w:spacing w:line="240" w:lineRule="auto" w:before="0"/>
        <w:rPr>
          <w:rFonts w:ascii="黑体" w:hAnsi="黑体" w:cs="黑体" w:eastAsia="黑体" w:hint="default"/>
          <w:b/>
          <w:bCs/>
          <w:sz w:val="32"/>
          <w:szCs w:val="32"/>
        </w:rPr>
      </w:pPr>
    </w:p>
    <w:p>
      <w:pPr>
        <w:spacing w:line="240" w:lineRule="auto" w:before="7"/>
        <w:rPr>
          <w:rFonts w:ascii="黑体" w:hAnsi="黑体" w:cs="黑体" w:eastAsia="黑体" w:hint="default"/>
          <w:b/>
          <w:bCs/>
          <w:sz w:val="30"/>
          <w:szCs w:val="30"/>
        </w:rPr>
      </w:pPr>
    </w:p>
    <w:p>
      <w:pPr>
        <w:pStyle w:val="BodyText"/>
        <w:spacing w:line="240" w:lineRule="auto"/>
        <w:ind w:left="198" w:right="0"/>
        <w:jc w:val="left"/>
      </w:pPr>
      <w:r>
        <w:rPr>
          <w:rFonts w:ascii="宋体" w:hAnsi="宋体" w:cs="宋体" w:eastAsia="宋体" w:hint="default"/>
        </w:rPr>
        <w:t>1</w:t>
      </w:r>
      <w:r>
        <w:rPr/>
        <w:t>、载有董事长亲笔签署的年度报告正本；</w:t>
      </w:r>
    </w:p>
    <w:p>
      <w:pPr>
        <w:spacing w:line="240" w:lineRule="auto" w:before="9"/>
        <w:rPr>
          <w:rFonts w:ascii="宋体" w:hAnsi="宋体" w:cs="宋体" w:eastAsia="宋体" w:hint="default"/>
          <w:sz w:val="23"/>
          <w:szCs w:val="23"/>
        </w:rPr>
      </w:pPr>
    </w:p>
    <w:p>
      <w:pPr>
        <w:pStyle w:val="BodyText"/>
        <w:spacing w:line="240" w:lineRule="auto"/>
        <w:ind w:left="198" w:right="0"/>
        <w:jc w:val="left"/>
      </w:pPr>
      <w:r>
        <w:rPr>
          <w:rFonts w:ascii="宋体" w:hAnsi="宋体" w:cs="宋体" w:eastAsia="宋体" w:hint="default"/>
        </w:rPr>
        <w:t>2</w:t>
      </w:r>
      <w:r>
        <w:rPr/>
        <w:t>、载有法定代表人、财务负责人、会计主管亲笔签字并盖章的财务报表；</w:t>
      </w:r>
    </w:p>
    <w:p>
      <w:pPr>
        <w:spacing w:line="240" w:lineRule="auto" w:before="7"/>
        <w:rPr>
          <w:rFonts w:ascii="宋体" w:hAnsi="宋体" w:cs="宋体" w:eastAsia="宋体" w:hint="default"/>
          <w:sz w:val="23"/>
          <w:szCs w:val="23"/>
        </w:rPr>
      </w:pPr>
    </w:p>
    <w:p>
      <w:pPr>
        <w:pStyle w:val="BodyText"/>
        <w:spacing w:line="240" w:lineRule="auto"/>
        <w:ind w:left="198" w:right="0"/>
        <w:jc w:val="left"/>
      </w:pPr>
      <w:r>
        <w:rPr>
          <w:rFonts w:ascii="宋体" w:hAnsi="宋体" w:cs="宋体" w:eastAsia="宋体" w:hint="default"/>
        </w:rPr>
        <w:t>3</w:t>
      </w:r>
      <w:r>
        <w:rPr/>
        <w:t>、载有会计师事务所盖章、注册会计师亲笔签字并盖章的审计报告正本；</w:t>
      </w:r>
    </w:p>
    <w:p>
      <w:pPr>
        <w:spacing w:line="240" w:lineRule="auto" w:before="10"/>
        <w:rPr>
          <w:rFonts w:ascii="宋体" w:hAnsi="宋体" w:cs="宋体" w:eastAsia="宋体" w:hint="default"/>
          <w:sz w:val="23"/>
          <w:szCs w:val="23"/>
        </w:rPr>
      </w:pPr>
    </w:p>
    <w:p>
      <w:pPr>
        <w:pStyle w:val="BodyText"/>
        <w:spacing w:line="240" w:lineRule="auto"/>
        <w:ind w:left="198" w:right="0"/>
        <w:jc w:val="left"/>
      </w:pPr>
      <w:r>
        <w:rPr>
          <w:rFonts w:ascii="宋体" w:hAnsi="宋体" w:cs="宋体" w:eastAsia="宋体" w:hint="default"/>
          <w:spacing w:val="-8"/>
        </w:rPr>
        <w:t>4</w:t>
      </w:r>
      <w:r>
        <w:rPr>
          <w:spacing w:val="-8"/>
        </w:rPr>
        <w:t>、报告期内在中国证券报、上海证券报和证券时报刊登的定期报告、公告的正本及原件。</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3"/>
          <w:szCs w:val="23"/>
        </w:rPr>
      </w:pPr>
    </w:p>
    <w:p>
      <w:pPr>
        <w:pStyle w:val="Heading3"/>
        <w:spacing w:line="312" w:lineRule="exact"/>
        <w:ind w:left="6991" w:right="142" w:firstLine="482"/>
        <w:jc w:val="right"/>
        <w:rPr>
          <w:b w:val="0"/>
          <w:bCs w:val="0"/>
        </w:rPr>
      </w:pPr>
      <w:r>
        <w:rPr>
          <w:w w:val="95"/>
        </w:rPr>
        <w:t>同方股份有限公司</w:t>
      </w:r>
      <w:r>
        <w:rPr>
          <w:w w:val="99"/>
        </w:rPr>
        <w:t> </w:t>
      </w:r>
      <w:r>
        <w:rPr>
          <w:w w:val="95"/>
        </w:rPr>
        <w:t>二○一六年四月二十日</w:t>
      </w:r>
      <w:r>
        <w:rPr>
          <w:b w:val="0"/>
          <w:bCs w:val="0"/>
        </w:rPr>
      </w:r>
    </w:p>
    <w:sectPr>
      <w:pgSz w:w="11910" w:h="16840"/>
      <w:pgMar w:header="585" w:footer="780" w:top="1080" w:bottom="980" w:left="1220" w:right="11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黑体">
    <w:altName w:val="黑体"/>
    <w:charset w:val="86"/>
    <w:family w:val="modern"/>
    <w:pitch w:val="fixed"/>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type id="_x0000_t202" o:spt="202" coordsize="21600,21600" path="m,l,21600r21600,l21600,xe">
          <v:stroke joinstyle="miter"/>
          <v:path gradientshapeok="t" o:connecttype="rect"/>
        </v:shapetype>
        <v:shape style="position:absolute;margin-left:293.369995pt;margin-top:791.917908pt;width:14.2pt;height:11pt;mso-position-horizontal-relative:page;mso-position-vertical-relative:page;z-index:-1198072" type="#_x0000_t202" filled="false" stroked="false">
          <v:textbox inset="0,0,0,0">
            <w:txbxContent>
              <w:p>
                <w:pPr>
                  <w:spacing w:line="204" w:lineRule="exact" w:before="0"/>
                  <w:ind w:left="61"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r>
                  <w:rPr>
                    <w:rFonts w:ascii="Times New Roman"/>
                    <w:spacing w:val="1"/>
                    <w:sz w:val="18"/>
                  </w:rPr>
                </w:r>
                <w:r>
                  <w:rPr>
                    <w:rFonts w:ascii="Times New Roman"/>
                    <w:sz w:val="18"/>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88.893921pt;width:13.15pt;height:11pt;mso-position-horizontal-relative:page;mso-position-vertical-relative:page;z-index:-11968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96</w:t>
                </w:r>
                <w:r>
                  <w:rPr/>
                  <w:fldChar w:fldCharType="end"/>
                </w:r>
                <w:r>
                  <w:rPr>
                    <w:rFonts w:ascii="Times New Roman"/>
                    <w:spacing w:val="1"/>
                    <w:sz w:val="18"/>
                  </w:rPr>
                </w:r>
                <w:r>
                  <w:rPr>
                    <w:rFonts w:ascii="Times New Roman"/>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88.893921pt;width:13.15pt;height:11pt;mso-position-horizontal-relative:page;mso-position-vertical-relative:page;z-index:-11968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97</w:t>
                </w:r>
                <w:r>
                  <w:rPr/>
                  <w:fldChar w:fldCharType="end"/>
                </w:r>
                <w:r>
                  <w:rPr>
                    <w:rFonts w:ascii="Times New Roman"/>
                    <w:spacing w:val="1"/>
                    <w:sz w:val="18"/>
                  </w:rPr>
                </w:r>
                <w:r>
                  <w:rPr>
                    <w:rFonts w:ascii="Times New Roman"/>
                    <w:sz w:val="18"/>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88.893921pt;width:13.15pt;height:11pt;mso-position-horizontal-relative:page;mso-position-vertical-relative:page;z-index:-11967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98</w:t>
                </w:r>
                <w:r>
                  <w:rPr/>
                  <w:fldChar w:fldCharType="end"/>
                </w:r>
                <w:r>
                  <w:rPr>
                    <w:rFonts w:ascii="Times New Roman"/>
                    <w:spacing w:val="1"/>
                    <w:sz w:val="18"/>
                  </w:rPr>
                </w:r>
                <w:r>
                  <w:rPr>
                    <w:rFonts w:ascii="Times New Roman"/>
                    <w:sz w:val="18"/>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88.893921pt;width:13.15pt;height:11pt;mso-position-horizontal-relative:page;mso-position-vertical-relative:page;z-index:-11967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99</w:t>
                </w:r>
                <w:r>
                  <w:rPr/>
                  <w:fldChar w:fldCharType="end"/>
                </w:r>
                <w:r>
                  <w:rPr>
                    <w:rFonts w:ascii="Times New Roman"/>
                    <w:spacing w:val="1"/>
                    <w:sz w:val="18"/>
                  </w:rPr>
                </w:r>
                <w:r>
                  <w:rPr>
                    <w:rFonts w:ascii="Times New Roman"/>
                    <w:sz w:val="18"/>
                  </w:rPr>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049988pt;margin-top:788.893921pt;width:15.7pt;height:11pt;mso-position-horizontal-relative:page;mso-position-vertical-relative:page;z-index:-119668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049988pt;margin-top:788.893921pt;width:17.7pt;height:11pt;mso-position-horizontal-relative:page;mso-position-vertical-relative:page;z-index:-11966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r>
                  <w:rPr>
                    <w:rFonts w:ascii="Times New Roman"/>
                    <w:spacing w:val="1"/>
                    <w:sz w:val="18"/>
                  </w:rPr>
                </w:r>
                <w:r>
                  <w:rPr>
                    <w:rFonts w:ascii="Times New Roman"/>
                    <w:sz w:val="18"/>
                  </w:rPr>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2.290009pt;margin-top:542.677917pt;width:17.3pt;height:11pt;mso-position-horizontal-relative:page;mso-position-vertical-relative:page;z-index:-11963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112</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170013pt;margin-top:788.893921pt;width:17.3pt;height:11pt;mso-position-horizontal-relative:page;mso-position-vertical-relative:page;z-index:-11961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115</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7.390015pt;margin-top:545.293945pt;width:13.15pt;height:11pt;mso-position-horizontal-relative:page;mso-position-vertical-relative:page;z-index:-11974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82</w:t>
                </w:r>
                <w:r>
                  <w:rPr/>
                  <w:fldChar w:fldCharType="end"/>
                </w:r>
                <w:r>
                  <w:rPr>
                    <w:rFonts w:ascii="Times New Roman"/>
                    <w:spacing w:val="1"/>
                    <w:sz w:val="18"/>
                  </w:rPr>
                </w:r>
                <w:r>
                  <w:rPr>
                    <w:rFonts w:ascii="Times New Roman"/>
                    <w:sz w:val="18"/>
                  </w:rPr>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170013pt;margin-top:788.893921pt;width:17.3pt;height:11pt;mso-position-horizontal-relative:page;mso-position-vertical-relative:page;z-index:-11961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119</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89.049988pt;margin-top:788.893921pt;width:17.7pt;height:11pt;mso-position-horizontal-relative:page;mso-position-vertical-relative:page;z-index:-11960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133</w:t>
                </w:r>
                <w:r>
                  <w:rPr/>
                  <w:fldChar w:fldCharType="end"/>
                </w:r>
                <w:r>
                  <w:rPr>
                    <w:rFonts w:ascii="Times New Roman"/>
                    <w:spacing w:val="1"/>
                    <w:sz w:val="18"/>
                  </w:rPr>
                </w:r>
                <w:r>
                  <w:rPr>
                    <w:rFonts w:ascii="Times New Roman"/>
                    <w:sz w:val="18"/>
                  </w:rPr>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89.049988pt;margin-top:788.893921pt;width:17.7pt;height:11pt;mso-position-horizontal-relative:page;mso-position-vertical-relative:page;z-index:-11958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137</w:t>
                </w:r>
                <w:r>
                  <w:rPr/>
                  <w:fldChar w:fldCharType="end"/>
                </w:r>
                <w:r>
                  <w:rPr>
                    <w:rFonts w:ascii="Times New Roman"/>
                    <w:spacing w:val="1"/>
                    <w:sz w:val="18"/>
                  </w:rPr>
                </w:r>
                <w:r>
                  <w:rPr>
                    <w:rFonts w:ascii="Times New Roman"/>
                    <w:sz w:val="18"/>
                  </w:rPr>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89.049988pt;margin-top:788.893921pt;width:17.7pt;height:11pt;mso-position-horizontal-relative:page;mso-position-vertical-relative:page;z-index:-11956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153</w:t>
                </w:r>
                <w:r>
                  <w:rPr/>
                  <w:fldChar w:fldCharType="end"/>
                </w:r>
                <w:r>
                  <w:rPr>
                    <w:rFonts w:ascii="Times New Roman"/>
                    <w:spacing w:val="1"/>
                    <w:sz w:val="18"/>
                  </w:rPr>
                </w:r>
                <w:r>
                  <w:rPr>
                    <w:rFonts w:ascii="Times New Roman"/>
                    <w:sz w:val="18"/>
                  </w:rPr>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89.049988pt;margin-top:788.893921pt;width:17.7pt;height:11pt;mso-position-horizontal-relative:page;mso-position-vertical-relative:page;z-index:-11955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164</w:t>
                </w:r>
                <w:r>
                  <w:rPr/>
                  <w:fldChar w:fldCharType="end"/>
                </w:r>
                <w:r>
                  <w:rPr>
                    <w:rFonts w:ascii="Times New Roman"/>
                    <w:spacing w:val="1"/>
                    <w:sz w:val="18"/>
                  </w:rPr>
                </w:r>
                <w:r>
                  <w:rPr>
                    <w:rFonts w:ascii="Times New Roman"/>
                    <w:sz w:val="18"/>
                  </w:rPr>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89.049988pt;margin-top:788.893921pt;width:17.7pt;height:11pt;mso-position-horizontal-relative:page;mso-position-vertical-relative:page;z-index:-11954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173</w:t>
                </w:r>
                <w:r>
                  <w:rPr/>
                  <w:fldChar w:fldCharType="end"/>
                </w:r>
                <w:r>
                  <w:rPr>
                    <w:rFonts w:ascii="Times New Roman"/>
                    <w:spacing w:val="1"/>
                    <w:sz w:val="18"/>
                  </w:rPr>
                </w:r>
                <w:r>
                  <w:rPr>
                    <w:rFonts w:ascii="Times New Roman"/>
                    <w:sz w:val="18"/>
                  </w:rPr>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2.170013pt;margin-top:542.677917pt;width:17.7pt;height:11pt;mso-position-horizontal-relative:page;mso-position-vertical-relative:page;z-index:-119538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174</w:t>
                </w:r>
                <w:r>
                  <w:rPr/>
                  <w:fldChar w:fldCharType="end"/>
                </w:r>
                <w:r>
                  <w:rPr>
                    <w:rFonts w:ascii="Times New Roman"/>
                    <w:spacing w:val="1"/>
                    <w:sz w:val="18"/>
                  </w:rPr>
                </w:r>
                <w:r>
                  <w:rPr>
                    <w:rFonts w:ascii="Times New Roman"/>
                    <w:sz w:val="18"/>
                  </w:rPr>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89.049988pt;margin-top:788.893921pt;width:20.8pt;height:13.8pt;mso-position-horizontal-relative:page;mso-position-vertical-relative:page;z-index:-1195312" type="#_x0000_t202" filled="false" stroked="false">
          <v:textbox inset="0,0,0,0">
            <w:txbxContent>
              <w:p>
                <w:pPr>
                  <w:spacing w:before="52"/>
                  <w:ind w:left="102"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179</w:t>
                </w:r>
                <w:r>
                  <w:rPr/>
                  <w:fldChar w:fldCharType="end"/>
                </w:r>
                <w:r>
                  <w:rPr>
                    <w:rFonts w:ascii="Times New Roman"/>
                    <w:spacing w:val="1"/>
                    <w:sz w:val="18"/>
                  </w:rPr>
                </w:r>
                <w:r>
                  <w:rPr>
                    <w:rFonts w:ascii="Times New Roman"/>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88.893921pt;width:13.15pt;height:11pt;mso-position-horizontal-relative:page;mso-position-vertical-relative:page;z-index:-11970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86</w:t>
                </w:r>
                <w:r>
                  <w:rPr/>
                  <w:fldChar w:fldCharType="end"/>
                </w:r>
                <w:r>
                  <w:rPr>
                    <w:rFonts w:ascii="Times New Roman"/>
                    <w:spacing w:val="1"/>
                    <w:sz w:val="18"/>
                  </w:rPr>
                </w:r>
                <w:r>
                  <w:rPr>
                    <w:rFonts w:ascii="Times New Roman"/>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88.893921pt;width:13.15pt;height:11pt;mso-position-horizontal-relative:page;mso-position-vertical-relative:page;z-index:-11969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90</w:t>
                </w:r>
                <w:r>
                  <w:rPr/>
                  <w:fldChar w:fldCharType="end"/>
                </w:r>
                <w:r>
                  <w:rPr>
                    <w:rFonts w:ascii="Times New Roman"/>
                    <w:spacing w:val="1"/>
                    <w:sz w:val="18"/>
                  </w:rPr>
                </w:r>
                <w:r>
                  <w:rPr>
                    <w:rFonts w:ascii="Times New Roman"/>
                    <w:sz w:val="18"/>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88.893921pt;width:13.15pt;height:11pt;mso-position-horizontal-relative:page;mso-position-vertical-relative:page;z-index:-11969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91</w:t>
                </w:r>
                <w:r>
                  <w:rPr/>
                  <w:fldChar w:fldCharType="end"/>
                </w:r>
                <w:r>
                  <w:rPr>
                    <w:rFonts w:ascii="Times New Roman"/>
                    <w:spacing w:val="1"/>
                    <w:sz w:val="18"/>
                  </w:rPr>
                </w:r>
                <w:r>
                  <w:rPr>
                    <w:rFonts w:ascii="Times New Roman"/>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88.893921pt;width:13.15pt;height:11pt;mso-position-horizontal-relative:page;mso-position-vertical-relative:page;z-index:-11969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92</w:t>
                </w:r>
                <w:r>
                  <w:rPr/>
                  <w:fldChar w:fldCharType="end"/>
                </w:r>
                <w:r>
                  <w:rPr>
                    <w:rFonts w:ascii="Times New Roman"/>
                    <w:spacing w:val="1"/>
                    <w:sz w:val="18"/>
                  </w:rPr>
                </w:r>
                <w:r>
                  <w:rPr>
                    <w:rFonts w:ascii="Times New Roman"/>
                    <w:sz w:val="18"/>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88.893921pt;width:13.15pt;height:11pt;mso-position-horizontal-relative:page;mso-position-vertical-relative:page;z-index:-11968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93</w:t>
                </w:r>
                <w:r>
                  <w:rPr/>
                  <w:fldChar w:fldCharType="end"/>
                </w:r>
                <w:r>
                  <w:rPr>
                    <w:rFonts w:ascii="Times New Roman"/>
                    <w:spacing w:val="1"/>
                    <w:sz w:val="18"/>
                  </w:rPr>
                </w:r>
                <w:r>
                  <w:rPr>
                    <w:rFonts w:ascii="Times New Roman"/>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88.893921pt;width:13.15pt;height:11pt;mso-position-horizontal-relative:page;mso-position-vertical-relative:page;z-index:-11968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94</w:t>
                </w:r>
                <w:r>
                  <w:rPr/>
                  <w:fldChar w:fldCharType="end"/>
                </w:r>
                <w:r>
                  <w:rPr>
                    <w:rFonts w:ascii="Times New Roman"/>
                    <w:spacing w:val="1"/>
                    <w:sz w:val="18"/>
                  </w:rPr>
                </w:r>
                <w:r>
                  <w:rPr>
                    <w:rFonts w:ascii="Times New Roman"/>
                    <w:sz w:val="18"/>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88.893921pt;width:13.15pt;height:11pt;mso-position-horizontal-relative:page;mso-position-vertical-relative:page;z-index:-11968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95</w:t>
                </w:r>
                <w:r>
                  <w:rPr/>
                  <w:fldChar w:fldCharType="end"/>
                </w:r>
                <w:r>
                  <w:rPr>
                    <w:rFonts w:ascii="Times New Roman"/>
                    <w:spacing w:val="1"/>
                    <w:sz w:val="18"/>
                  </w:rPr>
                </w:r>
                <w:r>
                  <w:rPr>
                    <w:rFonts w:ascii="Times New Roman"/>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pt;margin-top:30.899982pt;width:68.25pt;height:21pt;mso-position-horizontal-relative:page;mso-position-vertical-relative:page;z-index:-1198120" type="#_x0000_t75" stroked="false">
          <v:imagedata r:id="rId1" o:title=""/>
        </v:shape>
      </w:pict>
    </w:r>
    <w:r>
      <w:rPr/>
      <w:pict>
        <v:group style="position:absolute;margin-left:69.503998pt;margin-top:54.239983pt;width:456.45pt;height:.1pt;mso-position-horizontal-relative:page;mso-position-vertical-relative:page;z-index:-1198096" coordorigin="1390,1085" coordsize="9129,2">
          <v:shape style="position:absolute;left:1390;top:1085;width:9129;height:2" coordorigin="1390,1085" coordsize="9129,0" path="m1390,1085l10519,1085e" filled="false" stroked="true" strokeweight=".72pt" strokecolor="#000000">
            <v:path arrowok="t"/>
          </v:shape>
          <w10:wrap type="none"/>
        </v:group>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400002pt;margin-top:31.399982pt;width:68.25pt;height:21pt;mso-position-horizontal-relative:page;mso-position-vertical-relative:page;z-index:-1197664" type="#_x0000_t75" stroked="false">
          <v:imagedata r:id="rId1" o:title=""/>
        </v:shape>
      </w:pict>
    </w:r>
    <w:r>
      <w:rPr/>
      <w:pict>
        <v:group style="position:absolute;margin-left:69.503998pt;margin-top:54.239983pt;width:463.05pt;height:.1pt;mso-position-horizontal-relative:page;mso-position-vertical-relative:page;z-index:-1197640" coordorigin="1390,1085" coordsize="9261,2">
          <v:shape style="position:absolute;left:1390;top:1085;width:9261;height:2" coordorigin="1390,1085" coordsize="9261,0" path="m1390,1085l10651,1085e" filled="false" stroked="true" strokeweight=".72pt" strokecolor="#000000">
            <v:path arrowok="t"/>
          </v:shape>
          <w10:wrap type="none"/>
        </v:group>
      </w:pict>
    </w:r>
    <w:r>
      <w:rPr/>
      <w:pict>
        <v:shape style="position:absolute;margin-left:251.770004pt;margin-top:85.787483pt;width:98.35pt;height:14pt;mso-position-horizontal-relative:page;mso-position-vertical-relative:page;z-index:-1197616" type="#_x0000_t202" filled="false" stroked="false">
          <v:textbox inset="0,0,0,0">
            <w:txbxContent>
              <w:p>
                <w:pPr>
                  <w:spacing w:line="260" w:lineRule="exact" w:before="0"/>
                  <w:ind w:left="20" w:right="0" w:firstLine="0"/>
                  <w:jc w:val="left"/>
                  <w:rPr>
                    <w:rFonts w:ascii="宋体" w:hAnsi="宋体" w:cs="宋体" w:eastAsia="宋体" w:hint="default"/>
                    <w:sz w:val="24"/>
                    <w:szCs w:val="24"/>
                  </w:rPr>
                </w:pPr>
                <w:r>
                  <w:rPr>
                    <w:rFonts w:ascii="宋体" w:hAnsi="宋体" w:cs="宋体" w:eastAsia="宋体" w:hint="default"/>
                    <w:b/>
                    <w:bCs/>
                    <w:sz w:val="24"/>
                    <w:szCs w:val="24"/>
                  </w:rPr>
                  <w:t>同方股份有限公司</w:t>
                </w:r>
                <w:r>
                  <w:rPr>
                    <w:rFonts w:ascii="宋体" w:hAnsi="宋体" w:cs="宋体" w:eastAsia="宋体" w:hint="default"/>
                    <w:sz w:val="24"/>
                    <w:szCs w:val="24"/>
                  </w:rPr>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400002pt;margin-top:31.400007pt;width:68.25pt;height:21pt;mso-position-horizontal-relative:page;mso-position-vertical-relative:page;z-index:-1197592" type="#_x0000_t75" stroked="false">
          <v:imagedata r:id="rId1" o:title=""/>
        </v:shape>
      </w:pict>
    </w:r>
    <w:r>
      <w:rPr/>
      <w:pict>
        <v:group style="position:absolute;margin-left:69.480003pt;margin-top:54.240005pt;width:688.95pt;height:.1pt;mso-position-horizontal-relative:page;mso-position-vertical-relative:page;z-index:-1197568" coordorigin="1390,1085" coordsize="13779,2">
          <v:shape style="position:absolute;left:1390;top:1085;width:13779;height:2" coordorigin="1390,1085" coordsize="13779,0" path="m1390,1085l15168,1085e" filled="false" stroked="true" strokeweight=".72pt" strokecolor="#000000">
            <v:path arrowok="t"/>
          </v:shape>
          <w10:wrap type="none"/>
        </v:group>
      </w:pict>
    </w:r>
    <w:r>
      <w:rPr/>
      <w:pict>
        <v:shape style="position:absolute;margin-left:333.010010pt;margin-top:73.307510pt;width:161.7pt;height:29.6pt;mso-position-horizontal-relative:page;mso-position-vertical-relative:page;z-index:-1197544" type="#_x0000_t202" filled="false" stroked="false">
          <v:textbox inset="0,0,0,0">
            <w:txbxContent>
              <w:p>
                <w:pPr>
                  <w:spacing w:line="259" w:lineRule="exact" w:before="0"/>
                  <w:ind w:left="0" w:right="0" w:firstLine="0"/>
                  <w:jc w:val="center"/>
                  <w:rPr>
                    <w:rFonts w:ascii="宋体" w:hAnsi="宋体" w:cs="宋体" w:eastAsia="宋体" w:hint="default"/>
                    <w:sz w:val="24"/>
                    <w:szCs w:val="24"/>
                  </w:rPr>
                </w:pPr>
                <w:r>
                  <w:rPr>
                    <w:rFonts w:ascii="宋体" w:hAnsi="宋体" w:cs="宋体" w:eastAsia="宋体" w:hint="default"/>
                    <w:b/>
                    <w:bCs/>
                    <w:sz w:val="24"/>
                    <w:szCs w:val="24"/>
                  </w:rPr>
                  <w:t>同方股份有限公司</w:t>
                </w:r>
                <w:r>
                  <w:rPr>
                    <w:rFonts w:ascii="宋体" w:hAnsi="宋体" w:cs="宋体" w:eastAsia="宋体" w:hint="default"/>
                    <w:sz w:val="24"/>
                    <w:szCs w:val="24"/>
                  </w:rPr>
                </w:r>
              </w:p>
              <w:p>
                <w:pPr>
                  <w:spacing w:line="313" w:lineRule="exact" w:before="0"/>
                  <w:ind w:left="0" w:right="0" w:firstLine="0"/>
                  <w:jc w:val="center"/>
                  <w:rPr>
                    <w:rFonts w:ascii="宋体" w:hAnsi="宋体" w:cs="宋体" w:eastAsia="宋体" w:hint="default"/>
                    <w:sz w:val="24"/>
                    <w:szCs w:val="24"/>
                  </w:rPr>
                </w:pPr>
                <w:r>
                  <w:rPr>
                    <w:rFonts w:ascii="宋体" w:hAnsi="宋体" w:cs="宋体" w:eastAsia="宋体" w:hint="default"/>
                    <w:b/>
                    <w:bCs/>
                    <w:sz w:val="24"/>
                    <w:szCs w:val="24"/>
                  </w:rPr>
                  <w:t>2015</w:t>
                </w:r>
                <w:r>
                  <w:rPr>
                    <w:rFonts w:ascii="宋体" w:hAnsi="宋体" w:cs="宋体" w:eastAsia="宋体" w:hint="default"/>
                    <w:b/>
                    <w:bCs/>
                    <w:spacing w:val="-64"/>
                    <w:sz w:val="24"/>
                    <w:szCs w:val="24"/>
                  </w:rPr>
                  <w:t> </w:t>
                </w:r>
                <w:r>
                  <w:rPr>
                    <w:rFonts w:ascii="宋体" w:hAnsi="宋体" w:cs="宋体" w:eastAsia="宋体" w:hint="default"/>
                    <w:b/>
                    <w:bCs/>
                    <w:sz w:val="24"/>
                    <w:szCs w:val="24"/>
                  </w:rPr>
                  <w:t>年度合并股东权益变动表</w:t>
                </w:r>
                <w:r>
                  <w:rPr>
                    <w:rFonts w:ascii="宋体" w:hAnsi="宋体" w:cs="宋体" w:eastAsia="宋体" w:hint="default"/>
                    <w:sz w:val="24"/>
                    <w:szCs w:val="24"/>
                  </w:rPr>
                </w:r>
              </w:p>
            </w:txbxContent>
          </v:textbox>
          <w10:wrap type="none"/>
        </v:shape>
      </w:pict>
    </w:r>
    <w:r>
      <w:rPr/>
      <w:pict>
        <v:shape style="position:absolute;margin-left:69.919998pt;margin-top:104.34063pt;width:132.4pt;height:12pt;mso-position-horizontal-relative:page;mso-position-vertical-relative:page;z-index:-1197520" type="#_x0000_t202" filled="false" stroked="false">
          <v:textbox inset="0,0,0,0">
            <w:txbxContent>
              <w:p>
                <w:pPr>
                  <w:spacing w:line="219" w:lineRule="exact" w:before="0"/>
                  <w:ind w:left="20" w:right="0" w:firstLine="0"/>
                  <w:jc w:val="left"/>
                  <w:rPr>
                    <w:rFonts w:ascii="宋体" w:hAnsi="宋体" w:cs="宋体" w:eastAsia="宋体" w:hint="default"/>
                    <w:sz w:val="20"/>
                    <w:szCs w:val="20"/>
                  </w:rPr>
                </w:pPr>
                <w:r>
                  <w:rPr>
                    <w:rFonts w:ascii="宋体" w:hAnsi="宋体" w:cs="宋体" w:eastAsia="宋体" w:hint="default"/>
                    <w:b/>
                    <w:bCs/>
                    <w:sz w:val="20"/>
                    <w:szCs w:val="20"/>
                  </w:rPr>
                  <w:t>编制单位：同方股份有限公司</w:t>
                </w:r>
                <w:r>
                  <w:rPr>
                    <w:rFonts w:ascii="宋体" w:hAnsi="宋体" w:cs="宋体" w:eastAsia="宋体" w:hint="default"/>
                    <w:sz w:val="20"/>
                    <w:szCs w:val="20"/>
                  </w:rPr>
                </w:r>
              </w:p>
            </w:txbxContent>
          </v:textbox>
          <w10:wrap type="none"/>
        </v:shape>
      </w:pict>
    </w:r>
    <w:r>
      <w:rPr/>
      <w:pict>
        <v:shape style="position:absolute;margin-left:677.460022pt;margin-top:104.34063pt;width:72.25pt;height:12pt;mso-position-horizontal-relative:page;mso-position-vertical-relative:page;z-index:-1197496" type="#_x0000_t202" filled="false" stroked="false">
          <v:textbox inset="0,0,0,0">
            <w:txbxContent>
              <w:p>
                <w:pPr>
                  <w:spacing w:line="219" w:lineRule="exact" w:before="0"/>
                  <w:ind w:left="20" w:right="0" w:firstLine="0"/>
                  <w:jc w:val="left"/>
                  <w:rPr>
                    <w:rFonts w:ascii="宋体" w:hAnsi="宋体" w:cs="宋体" w:eastAsia="宋体" w:hint="default"/>
                    <w:sz w:val="20"/>
                    <w:szCs w:val="20"/>
                  </w:rPr>
                </w:pPr>
                <w:r>
                  <w:rPr>
                    <w:rFonts w:ascii="宋体" w:hAnsi="宋体" w:cs="宋体" w:eastAsia="宋体" w:hint="default"/>
                    <w:b/>
                    <w:bCs/>
                    <w:sz w:val="20"/>
                    <w:szCs w:val="20"/>
                  </w:rPr>
                  <w:t>单位：人民币元</w:t>
                </w:r>
                <w:r>
                  <w:rPr>
                    <w:rFonts w:ascii="宋体" w:hAnsi="宋体" w:cs="宋体" w:eastAsia="宋体" w:hint="default"/>
                    <w:sz w:val="20"/>
                    <w:szCs w:val="20"/>
                  </w:rPr>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400002pt;margin-top:31.400007pt;width:68.25pt;height:21pt;mso-position-horizontal-relative:page;mso-position-vertical-relative:page;z-index:-1197448" type="#_x0000_t75" stroked="false">
          <v:imagedata r:id="rId1" o:title=""/>
        </v:shape>
      </w:pict>
    </w:r>
    <w:r>
      <w:rPr/>
      <w:pict>
        <v:group style="position:absolute;margin-left:69.480003pt;margin-top:54.240005pt;width:688.95pt;height:.1pt;mso-position-horizontal-relative:page;mso-position-vertical-relative:page;z-index:-1197424" coordorigin="1390,1085" coordsize="13779,2">
          <v:shape style="position:absolute;left:1390;top:1085;width:13779;height:2" coordorigin="1390,1085" coordsize="13779,0" path="m1390,1085l15168,1085e" filled="false" stroked="true" strokeweight=".72pt" strokecolor="#000000">
            <v:path arrowok="t"/>
          </v:shape>
          <w10:wrap type="none"/>
        </v:group>
      </w:pict>
    </w:r>
    <w:r>
      <w:rPr/>
      <w:pict>
        <v:shape style="position:absolute;margin-left:333.010010pt;margin-top:73.307510pt;width:161.7pt;height:29.6pt;mso-position-horizontal-relative:page;mso-position-vertical-relative:page;z-index:-1197400" type="#_x0000_t202" filled="false" stroked="false">
          <v:textbox inset="0,0,0,0">
            <w:txbxContent>
              <w:p>
                <w:pPr>
                  <w:spacing w:line="259" w:lineRule="exact" w:before="0"/>
                  <w:ind w:left="0" w:right="0" w:firstLine="0"/>
                  <w:jc w:val="center"/>
                  <w:rPr>
                    <w:rFonts w:ascii="宋体" w:hAnsi="宋体" w:cs="宋体" w:eastAsia="宋体" w:hint="default"/>
                    <w:sz w:val="24"/>
                    <w:szCs w:val="24"/>
                  </w:rPr>
                </w:pPr>
                <w:r>
                  <w:rPr>
                    <w:rFonts w:ascii="宋体" w:hAnsi="宋体" w:cs="宋体" w:eastAsia="宋体" w:hint="default"/>
                    <w:b/>
                    <w:bCs/>
                    <w:sz w:val="24"/>
                    <w:szCs w:val="24"/>
                  </w:rPr>
                  <w:t>同方股份有限公司</w:t>
                </w:r>
                <w:r>
                  <w:rPr>
                    <w:rFonts w:ascii="宋体" w:hAnsi="宋体" w:cs="宋体" w:eastAsia="宋体" w:hint="default"/>
                    <w:sz w:val="24"/>
                    <w:szCs w:val="24"/>
                  </w:rPr>
                </w:r>
              </w:p>
              <w:p>
                <w:pPr>
                  <w:spacing w:line="313" w:lineRule="exact" w:before="0"/>
                  <w:ind w:left="0" w:right="0" w:firstLine="0"/>
                  <w:jc w:val="center"/>
                  <w:rPr>
                    <w:rFonts w:ascii="宋体" w:hAnsi="宋体" w:cs="宋体" w:eastAsia="宋体" w:hint="default"/>
                    <w:sz w:val="24"/>
                    <w:szCs w:val="24"/>
                  </w:rPr>
                </w:pPr>
                <w:r>
                  <w:rPr>
                    <w:rFonts w:ascii="宋体" w:hAnsi="宋体" w:cs="宋体" w:eastAsia="宋体" w:hint="default"/>
                    <w:b/>
                    <w:bCs/>
                    <w:sz w:val="24"/>
                    <w:szCs w:val="24"/>
                  </w:rPr>
                  <w:t>2014</w:t>
                </w:r>
                <w:r>
                  <w:rPr>
                    <w:rFonts w:ascii="宋体" w:hAnsi="宋体" w:cs="宋体" w:eastAsia="宋体" w:hint="default"/>
                    <w:b/>
                    <w:bCs/>
                    <w:spacing w:val="-64"/>
                    <w:sz w:val="24"/>
                    <w:szCs w:val="24"/>
                  </w:rPr>
                  <w:t> </w:t>
                </w:r>
                <w:r>
                  <w:rPr>
                    <w:rFonts w:ascii="宋体" w:hAnsi="宋体" w:cs="宋体" w:eastAsia="宋体" w:hint="default"/>
                    <w:b/>
                    <w:bCs/>
                    <w:sz w:val="24"/>
                    <w:szCs w:val="24"/>
                  </w:rPr>
                  <w:t>年度合并股东权益变动表</w:t>
                </w:r>
                <w:r>
                  <w:rPr>
                    <w:rFonts w:ascii="宋体" w:hAnsi="宋体" w:cs="宋体" w:eastAsia="宋体" w:hint="default"/>
                    <w:sz w:val="24"/>
                    <w:szCs w:val="24"/>
                  </w:rPr>
                </w:r>
              </w:p>
            </w:txbxContent>
          </v:textbox>
          <w10:wrap type="none"/>
        </v:shape>
      </w:pict>
    </w:r>
    <w:r>
      <w:rPr/>
      <w:pict>
        <v:shape style="position:absolute;margin-left:69.919998pt;margin-top:104.34063pt;width:132.4pt;height:12pt;mso-position-horizontal-relative:page;mso-position-vertical-relative:page;z-index:-1197376" type="#_x0000_t202" filled="false" stroked="false">
          <v:textbox inset="0,0,0,0">
            <w:txbxContent>
              <w:p>
                <w:pPr>
                  <w:spacing w:line="219" w:lineRule="exact" w:before="0"/>
                  <w:ind w:left="20" w:right="0" w:firstLine="0"/>
                  <w:jc w:val="left"/>
                  <w:rPr>
                    <w:rFonts w:ascii="宋体" w:hAnsi="宋体" w:cs="宋体" w:eastAsia="宋体" w:hint="default"/>
                    <w:sz w:val="20"/>
                    <w:szCs w:val="20"/>
                  </w:rPr>
                </w:pPr>
                <w:r>
                  <w:rPr>
                    <w:rFonts w:ascii="宋体" w:hAnsi="宋体" w:cs="宋体" w:eastAsia="宋体" w:hint="default"/>
                    <w:b/>
                    <w:bCs/>
                    <w:sz w:val="20"/>
                    <w:szCs w:val="20"/>
                  </w:rPr>
                  <w:t>编制单位：同方股份有限公司</w:t>
                </w:r>
                <w:r>
                  <w:rPr>
                    <w:rFonts w:ascii="宋体" w:hAnsi="宋体" w:cs="宋体" w:eastAsia="宋体" w:hint="default"/>
                    <w:sz w:val="20"/>
                    <w:szCs w:val="20"/>
                  </w:rPr>
                </w:r>
              </w:p>
            </w:txbxContent>
          </v:textbox>
          <w10:wrap type="none"/>
        </v:shape>
      </w:pict>
    </w:r>
    <w:r>
      <w:rPr/>
      <w:pict>
        <v:shape style="position:absolute;margin-left:677.460022pt;margin-top:104.34063pt;width:72.25pt;height:12pt;mso-position-horizontal-relative:page;mso-position-vertical-relative:page;z-index:-1197352" type="#_x0000_t202" filled="false" stroked="false">
          <v:textbox inset="0,0,0,0">
            <w:txbxContent>
              <w:p>
                <w:pPr>
                  <w:spacing w:line="219" w:lineRule="exact" w:before="0"/>
                  <w:ind w:left="20" w:right="0" w:firstLine="0"/>
                  <w:jc w:val="left"/>
                  <w:rPr>
                    <w:rFonts w:ascii="宋体" w:hAnsi="宋体" w:cs="宋体" w:eastAsia="宋体" w:hint="default"/>
                    <w:sz w:val="20"/>
                    <w:szCs w:val="20"/>
                  </w:rPr>
                </w:pPr>
                <w:r>
                  <w:rPr>
                    <w:rFonts w:ascii="宋体" w:hAnsi="宋体" w:cs="宋体" w:eastAsia="宋体" w:hint="default"/>
                    <w:b/>
                    <w:bCs/>
                    <w:sz w:val="20"/>
                    <w:szCs w:val="20"/>
                  </w:rPr>
                  <w:t>单位：人民币元</w:t>
                </w:r>
                <w:r>
                  <w:rPr>
                    <w:rFonts w:ascii="宋体" w:hAnsi="宋体" w:cs="宋体" w:eastAsia="宋体" w:hint="default"/>
                    <w:sz w:val="20"/>
                    <w:szCs w:val="20"/>
                  </w:rPr>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400002pt;margin-top:31.400007pt;width:68.25pt;height:21pt;mso-position-horizontal-relative:page;mso-position-vertical-relative:page;z-index:-1197328" type="#_x0000_t75" stroked="false">
          <v:imagedata r:id="rId1" o:title=""/>
        </v:shape>
      </w:pict>
    </w:r>
    <w:r>
      <w:rPr/>
      <w:pict>
        <v:group style="position:absolute;margin-left:69.480003pt;margin-top:54.240005pt;width:688.95pt;height:.1pt;mso-position-horizontal-relative:page;mso-position-vertical-relative:page;z-index:-1197304" coordorigin="1390,1085" coordsize="13779,2">
          <v:shape style="position:absolute;left:1390;top:1085;width:13779;height:2" coordorigin="1390,1085" coordsize="13779,0" path="m1390,1085l15168,1085e" filled="false" stroked="true" strokeweight=".72pt" strokecolor="#000000">
            <v:path arrowok="t"/>
          </v:shape>
          <w10:wrap type="none"/>
        </v:group>
      </w:pict>
    </w:r>
    <w:r>
      <w:rPr/>
      <w:pict>
        <v:shape style="position:absolute;margin-left:327.010010pt;margin-top:73.307510pt;width:173.75pt;height:29.6pt;mso-position-horizontal-relative:page;mso-position-vertical-relative:page;z-index:-1197280" type="#_x0000_t202" filled="false" stroked="false">
          <v:textbox inset="0,0,0,0">
            <w:txbxContent>
              <w:p>
                <w:pPr>
                  <w:spacing w:line="259" w:lineRule="exact" w:before="0"/>
                  <w:ind w:left="0" w:right="0" w:firstLine="0"/>
                  <w:jc w:val="center"/>
                  <w:rPr>
                    <w:rFonts w:ascii="宋体" w:hAnsi="宋体" w:cs="宋体" w:eastAsia="宋体" w:hint="default"/>
                    <w:sz w:val="24"/>
                    <w:szCs w:val="24"/>
                  </w:rPr>
                </w:pPr>
                <w:r>
                  <w:rPr>
                    <w:rFonts w:ascii="宋体" w:hAnsi="宋体" w:cs="宋体" w:eastAsia="宋体" w:hint="default"/>
                    <w:b/>
                    <w:bCs/>
                    <w:sz w:val="24"/>
                    <w:szCs w:val="24"/>
                  </w:rPr>
                  <w:t>同方股份有限公司</w:t>
                </w:r>
                <w:r>
                  <w:rPr>
                    <w:rFonts w:ascii="宋体" w:hAnsi="宋体" w:cs="宋体" w:eastAsia="宋体" w:hint="default"/>
                    <w:sz w:val="24"/>
                    <w:szCs w:val="24"/>
                  </w:rPr>
                </w:r>
              </w:p>
              <w:p>
                <w:pPr>
                  <w:spacing w:line="313" w:lineRule="exact" w:before="0"/>
                  <w:ind w:left="0" w:right="0" w:firstLine="0"/>
                  <w:jc w:val="center"/>
                  <w:rPr>
                    <w:rFonts w:ascii="宋体" w:hAnsi="宋体" w:cs="宋体" w:eastAsia="宋体" w:hint="default"/>
                    <w:sz w:val="24"/>
                    <w:szCs w:val="24"/>
                  </w:rPr>
                </w:pPr>
                <w:r>
                  <w:rPr>
                    <w:rFonts w:ascii="宋体" w:hAnsi="宋体" w:cs="宋体" w:eastAsia="宋体" w:hint="default"/>
                    <w:b/>
                    <w:bCs/>
                    <w:sz w:val="24"/>
                    <w:szCs w:val="24"/>
                  </w:rPr>
                  <w:t>2015</w:t>
                </w:r>
                <w:r>
                  <w:rPr>
                    <w:rFonts w:ascii="宋体" w:hAnsi="宋体" w:cs="宋体" w:eastAsia="宋体" w:hint="default"/>
                    <w:b/>
                    <w:bCs/>
                    <w:spacing w:val="-65"/>
                    <w:sz w:val="24"/>
                    <w:szCs w:val="24"/>
                  </w:rPr>
                  <w:t> </w:t>
                </w:r>
                <w:r>
                  <w:rPr>
                    <w:rFonts w:ascii="宋体" w:hAnsi="宋体" w:cs="宋体" w:eastAsia="宋体" w:hint="default"/>
                    <w:b/>
                    <w:bCs/>
                    <w:sz w:val="24"/>
                    <w:szCs w:val="24"/>
                  </w:rPr>
                  <w:t>年度母公司股东权益变动表</w:t>
                </w:r>
                <w:r>
                  <w:rPr>
                    <w:rFonts w:ascii="宋体" w:hAnsi="宋体" w:cs="宋体" w:eastAsia="宋体" w:hint="default"/>
                    <w:sz w:val="24"/>
                    <w:szCs w:val="24"/>
                  </w:rPr>
                </w:r>
              </w:p>
            </w:txbxContent>
          </v:textbox>
          <w10:wrap type="none"/>
        </v:shape>
      </w:pict>
    </w:r>
    <w:r>
      <w:rPr/>
      <w:pict>
        <v:shape style="position:absolute;margin-left:69.919998pt;margin-top:104.34063pt;width:132.4pt;height:12pt;mso-position-horizontal-relative:page;mso-position-vertical-relative:page;z-index:-1197256" type="#_x0000_t202" filled="false" stroked="false">
          <v:textbox inset="0,0,0,0">
            <w:txbxContent>
              <w:p>
                <w:pPr>
                  <w:spacing w:line="219" w:lineRule="exact" w:before="0"/>
                  <w:ind w:left="20" w:right="0" w:firstLine="0"/>
                  <w:jc w:val="left"/>
                  <w:rPr>
                    <w:rFonts w:ascii="宋体" w:hAnsi="宋体" w:cs="宋体" w:eastAsia="宋体" w:hint="default"/>
                    <w:sz w:val="20"/>
                    <w:szCs w:val="20"/>
                  </w:rPr>
                </w:pPr>
                <w:r>
                  <w:rPr>
                    <w:rFonts w:ascii="宋体" w:hAnsi="宋体" w:cs="宋体" w:eastAsia="宋体" w:hint="default"/>
                    <w:b/>
                    <w:bCs/>
                    <w:sz w:val="20"/>
                    <w:szCs w:val="20"/>
                  </w:rPr>
                  <w:t>编制单位：同方股份有限公司</w:t>
                </w:r>
                <w:r>
                  <w:rPr>
                    <w:rFonts w:ascii="宋体" w:hAnsi="宋体" w:cs="宋体" w:eastAsia="宋体" w:hint="default"/>
                    <w:sz w:val="20"/>
                    <w:szCs w:val="20"/>
                  </w:rPr>
                </w:r>
              </w:p>
            </w:txbxContent>
          </v:textbox>
          <w10:wrap type="none"/>
        </v:shape>
      </w:pict>
    </w:r>
    <w:r>
      <w:rPr/>
      <w:pict>
        <v:shape style="position:absolute;margin-left:677.460022pt;margin-top:104.34063pt;width:72.25pt;height:12pt;mso-position-horizontal-relative:page;mso-position-vertical-relative:page;z-index:-1197232" type="#_x0000_t202" filled="false" stroked="false">
          <v:textbox inset="0,0,0,0">
            <w:txbxContent>
              <w:p>
                <w:pPr>
                  <w:spacing w:line="219" w:lineRule="exact" w:before="0"/>
                  <w:ind w:left="20" w:right="0" w:firstLine="0"/>
                  <w:jc w:val="left"/>
                  <w:rPr>
                    <w:rFonts w:ascii="宋体" w:hAnsi="宋体" w:cs="宋体" w:eastAsia="宋体" w:hint="default"/>
                    <w:sz w:val="20"/>
                    <w:szCs w:val="20"/>
                  </w:rPr>
                </w:pPr>
                <w:r>
                  <w:rPr>
                    <w:rFonts w:ascii="宋体" w:hAnsi="宋体" w:cs="宋体" w:eastAsia="宋体" w:hint="default"/>
                    <w:b/>
                    <w:bCs/>
                    <w:sz w:val="20"/>
                    <w:szCs w:val="20"/>
                  </w:rPr>
                  <w:t>单位：人民币元</w:t>
                </w:r>
                <w:r>
                  <w:rPr>
                    <w:rFonts w:ascii="宋体" w:hAnsi="宋体" w:cs="宋体" w:eastAsia="宋体" w:hint="default"/>
                    <w:sz w:val="20"/>
                    <w:szCs w:val="20"/>
                  </w:rPr>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400002pt;margin-top:31.400007pt;width:68.25pt;height:21pt;mso-position-horizontal-relative:page;mso-position-vertical-relative:page;z-index:-1197208" type="#_x0000_t75" stroked="false">
          <v:imagedata r:id="rId1" o:title=""/>
        </v:shape>
      </w:pict>
    </w:r>
    <w:r>
      <w:rPr/>
      <w:pict>
        <v:group style="position:absolute;margin-left:69.480003pt;margin-top:54.240005pt;width:688.95pt;height:.1pt;mso-position-horizontal-relative:page;mso-position-vertical-relative:page;z-index:-1197184" coordorigin="1390,1085" coordsize="13779,2">
          <v:shape style="position:absolute;left:1390;top:1085;width:13779;height:2" coordorigin="1390,1085" coordsize="13779,0" path="m1390,1085l15168,1085e" filled="false" stroked="true" strokeweight=".72pt" strokecolor="#000000">
            <v:path arrowok="t"/>
          </v:shape>
          <w10:wrap type="none"/>
        </v:group>
      </w:pict>
    </w:r>
    <w:r>
      <w:rPr/>
      <w:pict>
        <v:shape style="position:absolute;margin-left:327.010010pt;margin-top:73.307510pt;width:173.75pt;height:29.6pt;mso-position-horizontal-relative:page;mso-position-vertical-relative:page;z-index:-1197160" type="#_x0000_t202" filled="false" stroked="false">
          <v:textbox inset="0,0,0,0">
            <w:txbxContent>
              <w:p>
                <w:pPr>
                  <w:spacing w:line="259" w:lineRule="exact" w:before="0"/>
                  <w:ind w:left="0" w:right="0" w:firstLine="0"/>
                  <w:jc w:val="center"/>
                  <w:rPr>
                    <w:rFonts w:ascii="宋体" w:hAnsi="宋体" w:cs="宋体" w:eastAsia="宋体" w:hint="default"/>
                    <w:sz w:val="24"/>
                    <w:szCs w:val="24"/>
                  </w:rPr>
                </w:pPr>
                <w:r>
                  <w:rPr>
                    <w:rFonts w:ascii="宋体" w:hAnsi="宋体" w:cs="宋体" w:eastAsia="宋体" w:hint="default"/>
                    <w:b/>
                    <w:bCs/>
                    <w:sz w:val="24"/>
                    <w:szCs w:val="24"/>
                  </w:rPr>
                  <w:t>同方股份有限公司</w:t>
                </w:r>
                <w:r>
                  <w:rPr>
                    <w:rFonts w:ascii="宋体" w:hAnsi="宋体" w:cs="宋体" w:eastAsia="宋体" w:hint="default"/>
                    <w:sz w:val="24"/>
                    <w:szCs w:val="24"/>
                  </w:rPr>
                </w:r>
              </w:p>
              <w:p>
                <w:pPr>
                  <w:spacing w:line="313" w:lineRule="exact" w:before="0"/>
                  <w:ind w:left="0" w:right="0" w:firstLine="0"/>
                  <w:jc w:val="center"/>
                  <w:rPr>
                    <w:rFonts w:ascii="宋体" w:hAnsi="宋体" w:cs="宋体" w:eastAsia="宋体" w:hint="default"/>
                    <w:sz w:val="24"/>
                    <w:szCs w:val="24"/>
                  </w:rPr>
                </w:pPr>
                <w:r>
                  <w:rPr>
                    <w:rFonts w:ascii="宋体" w:hAnsi="宋体" w:cs="宋体" w:eastAsia="宋体" w:hint="default"/>
                    <w:b/>
                    <w:bCs/>
                    <w:sz w:val="24"/>
                    <w:szCs w:val="24"/>
                  </w:rPr>
                  <w:t>2014</w:t>
                </w:r>
                <w:r>
                  <w:rPr>
                    <w:rFonts w:ascii="宋体" w:hAnsi="宋体" w:cs="宋体" w:eastAsia="宋体" w:hint="default"/>
                    <w:b/>
                    <w:bCs/>
                    <w:spacing w:val="-65"/>
                    <w:sz w:val="24"/>
                    <w:szCs w:val="24"/>
                  </w:rPr>
                  <w:t> </w:t>
                </w:r>
                <w:r>
                  <w:rPr>
                    <w:rFonts w:ascii="宋体" w:hAnsi="宋体" w:cs="宋体" w:eastAsia="宋体" w:hint="default"/>
                    <w:b/>
                    <w:bCs/>
                    <w:sz w:val="24"/>
                    <w:szCs w:val="24"/>
                  </w:rPr>
                  <w:t>年度母公司股东权益变动表</w:t>
                </w:r>
                <w:r>
                  <w:rPr>
                    <w:rFonts w:ascii="宋体" w:hAnsi="宋体" w:cs="宋体" w:eastAsia="宋体" w:hint="default"/>
                    <w:sz w:val="24"/>
                    <w:szCs w:val="24"/>
                  </w:rPr>
                </w:r>
              </w:p>
            </w:txbxContent>
          </v:textbox>
          <w10:wrap type="none"/>
        </v:shape>
      </w:pict>
    </w:r>
    <w:r>
      <w:rPr/>
      <w:pict>
        <v:shape style="position:absolute;margin-left:69.919998pt;margin-top:104.34063pt;width:132.4pt;height:12pt;mso-position-horizontal-relative:page;mso-position-vertical-relative:page;z-index:-1197136" type="#_x0000_t202" filled="false" stroked="false">
          <v:textbox inset="0,0,0,0">
            <w:txbxContent>
              <w:p>
                <w:pPr>
                  <w:spacing w:line="219" w:lineRule="exact" w:before="0"/>
                  <w:ind w:left="20" w:right="0" w:firstLine="0"/>
                  <w:jc w:val="left"/>
                  <w:rPr>
                    <w:rFonts w:ascii="宋体" w:hAnsi="宋体" w:cs="宋体" w:eastAsia="宋体" w:hint="default"/>
                    <w:sz w:val="20"/>
                    <w:szCs w:val="20"/>
                  </w:rPr>
                </w:pPr>
                <w:r>
                  <w:rPr>
                    <w:rFonts w:ascii="宋体" w:hAnsi="宋体" w:cs="宋体" w:eastAsia="宋体" w:hint="default"/>
                    <w:b/>
                    <w:bCs/>
                    <w:sz w:val="20"/>
                    <w:szCs w:val="20"/>
                  </w:rPr>
                  <w:t>编制单位：同方股份有限公司</w:t>
                </w:r>
                <w:r>
                  <w:rPr>
                    <w:rFonts w:ascii="宋体" w:hAnsi="宋体" w:cs="宋体" w:eastAsia="宋体" w:hint="default"/>
                    <w:sz w:val="20"/>
                    <w:szCs w:val="20"/>
                  </w:rPr>
                </w:r>
              </w:p>
            </w:txbxContent>
          </v:textbox>
          <w10:wrap type="none"/>
        </v:shape>
      </w:pict>
    </w:r>
    <w:r>
      <w:rPr/>
      <w:pict>
        <v:shape style="position:absolute;margin-left:677.460022pt;margin-top:104.34063pt;width:72.25pt;height:12pt;mso-position-horizontal-relative:page;mso-position-vertical-relative:page;z-index:-1197112" type="#_x0000_t202" filled="false" stroked="false">
          <v:textbox inset="0,0,0,0">
            <w:txbxContent>
              <w:p>
                <w:pPr>
                  <w:spacing w:line="219" w:lineRule="exact" w:before="0"/>
                  <w:ind w:left="20" w:right="0" w:firstLine="0"/>
                  <w:jc w:val="left"/>
                  <w:rPr>
                    <w:rFonts w:ascii="宋体" w:hAnsi="宋体" w:cs="宋体" w:eastAsia="宋体" w:hint="default"/>
                    <w:sz w:val="20"/>
                    <w:szCs w:val="20"/>
                  </w:rPr>
                </w:pPr>
                <w:r>
                  <w:rPr>
                    <w:rFonts w:ascii="宋体" w:hAnsi="宋体" w:cs="宋体" w:eastAsia="宋体" w:hint="default"/>
                    <w:b/>
                    <w:bCs/>
                    <w:sz w:val="20"/>
                    <w:szCs w:val="20"/>
                  </w:rPr>
                  <w:t>单位：人民币元</w:t>
                </w:r>
                <w:r>
                  <w:rPr>
                    <w:rFonts w:ascii="宋体" w:hAnsi="宋体" w:cs="宋体" w:eastAsia="宋体" w:hint="default"/>
                    <w:sz w:val="20"/>
                    <w:szCs w:val="20"/>
                  </w:rPr>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0.25pt;margin-top:29.249992pt;width:68.25pt;height:21pt;mso-position-horizontal-relative:page;mso-position-vertical-relative:page;z-index:-1197088" type="#_x0000_t75" stroked="false">
          <v:imagedata r:id="rId1" o:title=""/>
        </v:shape>
      </w:pict>
    </w:r>
    <w:r>
      <w:rPr/>
      <w:pict>
        <v:group style="position:absolute;margin-left:83.664001pt;margin-top:54.239994pt;width:428.35pt;height:.1pt;mso-position-horizontal-relative:page;mso-position-vertical-relative:page;z-index:-1197064" coordorigin="1673,1085" coordsize="8567,2">
          <v:shape style="position:absolute;left:1673;top:1085;width:8567;height:2" coordorigin="1673,1085" coordsize="8567,0" path="m1673,1085l10240,1085e" filled="false" stroked="true" strokeweight=".72pt" strokecolor="#000000">
            <v:path arrowok="t"/>
          </v:shape>
          <w10:wrap type="none"/>
        </v:group>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0.25pt;margin-top:29.249992pt;width:68.25pt;height:21pt;mso-position-horizontal-relative:page;mso-position-vertical-relative:page;z-index:-1197016" type="#_x0000_t75" stroked="false">
          <v:imagedata r:id="rId1" o:title=""/>
        </v:shape>
      </w:pict>
    </w:r>
    <w:r>
      <w:rPr/>
      <w:pict>
        <v:group style="position:absolute;margin-left:83.664001pt;margin-top:54.239994pt;width:428.35pt;height:.1pt;mso-position-horizontal-relative:page;mso-position-vertical-relative:page;z-index:-1196992" coordorigin="1673,1085" coordsize="8567,2">
          <v:shape style="position:absolute;left:1673;top:1085;width:8567;height:2" coordorigin="1673,1085" coordsize="8567,0" path="m1673,1085l10240,1085e" filled="false" stroked="true" strokeweight=".72pt" strokecolor="#000000">
            <v:path arrowok="t"/>
          </v:shape>
          <w10:wrap type="none"/>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400002pt;margin-top:31.399982pt;width:68.25pt;height:21pt;mso-position-horizontal-relative:page;mso-position-vertical-relative:page;z-index:-1198048" type="#_x0000_t75" stroked="false">
          <v:imagedata r:id="rId1" o:title=""/>
        </v:shape>
      </w:pict>
    </w:r>
    <w:r>
      <w:rPr/>
      <w:pict>
        <v:group style="position:absolute;margin-left:69.503998pt;margin-top:54.239983pt;width:463.05pt;height:.1pt;mso-position-horizontal-relative:page;mso-position-vertical-relative:page;z-index:-1198024" coordorigin="1390,1085" coordsize="9261,2">
          <v:shape style="position:absolute;left:1390;top:1085;width:9261;height:2" coordorigin="1390,1085" coordsize="9261,0" path="m1390,1085l10651,1085e" filled="false" stroked="true" strokeweight=".72pt" strokecolor="#000000">
            <v:path arrowok="t"/>
          </v:shape>
          <w10:wrap type="none"/>
        </v:group>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0.25pt;margin-top:29.249992pt;width:68.25pt;height:21pt;mso-position-horizontal-relative:page;mso-position-vertical-relative:page;z-index:-1196728" type="#_x0000_t75" stroked="false">
          <v:imagedata r:id="rId1" o:title=""/>
        </v:shape>
      </w:pict>
    </w:r>
    <w:r>
      <w:rPr/>
      <w:pict>
        <v:group style="position:absolute;margin-left:83.664001pt;margin-top:54.239994pt;width:428.35pt;height:.1pt;mso-position-horizontal-relative:page;mso-position-vertical-relative:page;z-index:-1196704" coordorigin="1673,1085" coordsize="8567,2">
          <v:shape style="position:absolute;left:1673;top:1085;width:8567;height:2" coordorigin="1673,1085" coordsize="8567,0" path="m1673,1085l10240,1085e" filled="false" stroked="true" strokeweight=".72pt" strokecolor="#000000">
            <v:path arrowok="t"/>
          </v:shape>
          <w10:wrap type="none"/>
        </v:group>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0.25pt;margin-top:29.249992pt;width:68.25pt;height:21pt;mso-position-horizontal-relative:page;mso-position-vertical-relative:page;z-index:-1196632" type="#_x0000_t75" stroked="false">
          <v:imagedata r:id="rId1" o:title=""/>
        </v:shape>
      </w:pict>
    </w:r>
    <w:r>
      <w:rPr/>
      <w:pict>
        <v:group style="position:absolute;margin-left:83.664001pt;margin-top:54.239994pt;width:428.35pt;height:.1pt;mso-position-horizontal-relative:page;mso-position-vertical-relative:page;z-index:-1196608" coordorigin="1673,1085" coordsize="8567,2">
          <v:shape style="position:absolute;left:1673;top:1085;width:8567;height:2" coordorigin="1673,1085" coordsize="8567,0" path="m1673,1085l10240,1085e" filled="false" stroked="true" strokeweight=".72pt" strokecolor="#000000">
            <v:path arrowok="t"/>
          </v:shape>
          <w10:wrap type="none"/>
        </v:group>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0.25pt;margin-top:29.249992pt;width:68.25pt;height:21pt;mso-position-horizontal-relative:page;mso-position-vertical-relative:page;z-index:-1196584" type="#_x0000_t75" stroked="false">
          <v:imagedata r:id="rId1" o:title=""/>
        </v:shape>
      </w:pict>
    </w:r>
    <w:r>
      <w:rPr/>
      <w:pict>
        <v:group style="position:absolute;margin-left:83.664001pt;margin-top:54.239994pt;width:428.35pt;height:.1pt;mso-position-horizontal-relative:page;mso-position-vertical-relative:page;z-index:-1196560" coordorigin="1673,1085" coordsize="8567,2">
          <v:shape style="position:absolute;left:1673;top:1085;width:8567;height:2" coordorigin="1673,1085" coordsize="8567,0" path="m1673,1085l10240,1085e" filled="false" stroked="true" strokeweight=".72pt" strokecolor="#000000">
            <v:path arrowok="t"/>
          </v:shape>
          <w10:wrap type="none"/>
        </v:group>
      </w:pict>
    </w:r>
    <w:r>
      <w:rPr/>
      <w:pict>
        <v:shape style="position:absolute;margin-left:106.779999pt;margin-top:79.032494pt;width:278.350pt;height:13.65pt;mso-position-horizontal-relative:page;mso-position-vertical-relative:page;z-index:-1196536" type="#_x0000_t202" filled="false" stroked="false">
          <v:textbox inset="0,0,0,0">
            <w:txbxContent>
              <w:p>
                <w:pPr>
                  <w:spacing w:line="257" w:lineRule="exact" w:before="0"/>
                  <w:ind w:left="20"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w:t>
                </w:r>
                <w:r>
                  <w:rPr>
                    <w:rFonts w:ascii="Times New Roman" w:hAnsi="Times New Roman" w:cs="Times New Roman" w:eastAsia="Times New Roman" w:hint="default"/>
                    <w:b/>
                    <w:bCs/>
                    <w:spacing w:val="3"/>
                    <w:sz w:val="22"/>
                    <w:szCs w:val="22"/>
                  </w:rPr>
                  <w:t> </w:t>
                </w:r>
                <w:r>
                  <w:rPr>
                    <w:rFonts w:ascii="宋体" w:hAnsi="宋体" w:cs="宋体" w:eastAsia="宋体" w:hint="default"/>
                    <w:sz w:val="22"/>
                    <w:szCs w:val="22"/>
                  </w:rPr>
                  <w:t>年末单项金额虽不重大但单独计提坏账准备的应收账款</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400002pt;margin-top:31.399982pt;width:68.25pt;height:21pt;mso-position-horizontal-relative:page;mso-position-vertical-relative:page;z-index:-1198000" type="#_x0000_t75" stroked="false">
          <v:imagedata r:id="rId1" o:title=""/>
        </v:shape>
      </w:pict>
    </w:r>
    <w:r>
      <w:rPr/>
      <w:pict>
        <v:group style="position:absolute;margin-left:69.503998pt;margin-top:54.239983pt;width:463.05pt;height:.1pt;mso-position-horizontal-relative:page;mso-position-vertical-relative:page;z-index:-1197976" coordorigin="1390,1085" coordsize="9261,2">
          <v:shape style="position:absolute;left:1390;top:1085;width:9261;height:2" coordorigin="1390,1085" coordsize="9261,0" path="m1390,1085l10651,1085e" filled="false" stroked="true" strokeweight=".72pt" strokecolor="#000000">
            <v:path arrowok="t"/>
          </v:shape>
          <w10:wrap type="none"/>
        </v:group>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0.25pt;margin-top:29.249992pt;width:68.25pt;height:21pt;mso-position-horizontal-relative:page;mso-position-vertical-relative:page;z-index:-1196512" type="#_x0000_t75" stroked="false">
          <v:imagedata r:id="rId1" o:title=""/>
        </v:shape>
      </w:pict>
    </w:r>
    <w:r>
      <w:rPr/>
      <w:pict>
        <v:group style="position:absolute;margin-left:83.664001pt;margin-top:54.239994pt;width:428.35pt;height:.1pt;mso-position-horizontal-relative:page;mso-position-vertical-relative:page;z-index:-1196488" coordorigin="1673,1085" coordsize="8567,2">
          <v:shape style="position:absolute;left:1673;top:1085;width:8567;height:2" coordorigin="1673,1085" coordsize="8567,0" path="m1673,1085l10240,1085e" filled="false" stroked="true" strokeweight=".72pt" strokecolor="#000000">
            <v:path arrowok="t"/>
          </v:shape>
          <w10:wrap type="none"/>
        </v:group>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0.25pt;margin-top:29.249992pt;width:68.25pt;height:21pt;mso-position-horizontal-relative:page;mso-position-vertical-relative:page;z-index:-1196464" type="#_x0000_t75" stroked="false">
          <v:imagedata r:id="rId1" o:title=""/>
        </v:shape>
      </w:pict>
    </w:r>
    <w:r>
      <w:rPr/>
      <w:pict>
        <v:group style="position:absolute;margin-left:83.664001pt;margin-top:54.239994pt;width:428.35pt;height:.1pt;mso-position-horizontal-relative:page;mso-position-vertical-relative:page;z-index:-1196440" coordorigin="1673,1085" coordsize="8567,2">
          <v:shape style="position:absolute;left:1673;top:1085;width:8567;height:2" coordorigin="1673,1085" coordsize="8567,0" path="m1673,1085l10240,1085e" filled="false" stroked="true" strokeweight=".72pt" strokecolor="#000000">
            <v:path arrowok="t"/>
          </v:shape>
          <w10:wrap type="none"/>
        </v:group>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0.25pt;margin-top:31.499992pt;width:68.25pt;height:21pt;mso-position-horizontal-relative:page;mso-position-vertical-relative:page;z-index:-1196416" type="#_x0000_t75" stroked="false">
          <v:imagedata r:id="rId1" o:title=""/>
        </v:shape>
      </w:pict>
    </w:r>
    <w:r>
      <w:rPr/>
      <w:pict>
        <v:group style="position:absolute;margin-left:83.664001pt;margin-top:54.239994pt;width:428.35pt;height:.1pt;mso-position-horizontal-relative:page;mso-position-vertical-relative:page;z-index:-1196392" coordorigin="1673,1085" coordsize="8567,2">
          <v:shape style="position:absolute;left:1673;top:1085;width:8567;height:2" coordorigin="1673,1085" coordsize="8567,0" path="m1673,1085l10240,1085e" filled="false" stroked="true" strokeweight=".72pt" strokecolor="#000000">
            <v:path arrowok="t"/>
          </v:shape>
          <w10:wrap type="none"/>
        </v:group>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9.75pt;margin-top:29.250002pt;width:68.25pt;height:21pt;mso-position-horizontal-relative:page;mso-position-vertical-relative:page;z-index:-1196368" type="#_x0000_t75" stroked="false">
          <v:imagedata r:id="rId1" o:title=""/>
        </v:shape>
      </w:pict>
    </w:r>
    <w:r>
      <w:rPr/>
      <w:pict>
        <v:group style="position:absolute;margin-left:69.480003pt;margin-top:54.240002pt;width:702.95pt;height:.1pt;mso-position-horizontal-relative:page;mso-position-vertical-relative:page;z-index:-1196344" coordorigin="1390,1085" coordsize="14059,2">
          <v:shape style="position:absolute;left:1390;top:1085;width:14059;height:2" coordorigin="1390,1085" coordsize="14059,0" path="m1390,1085l15448,1085e" filled="false" stroked="true" strokeweight=".72pt" strokecolor="#000000">
            <v:path arrowok="t"/>
          </v:shape>
          <w10:wrap type="none"/>
        </v:group>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9.75pt;margin-top:29.250002pt;width:68.25pt;height:21pt;mso-position-horizontal-relative:page;mso-position-vertical-relative:page;z-index:-1196296" type="#_x0000_t75" stroked="false">
          <v:imagedata r:id="rId1" o:title=""/>
        </v:shape>
      </w:pict>
    </w:r>
    <w:r>
      <w:rPr/>
      <w:pict>
        <v:group style="position:absolute;margin-left:69.480003pt;margin-top:54.240002pt;width:702.95pt;height:.1pt;mso-position-horizontal-relative:page;mso-position-vertical-relative:page;z-index:-1196272" coordorigin="1390,1085" coordsize="14059,2">
          <v:shape style="position:absolute;left:1390;top:1085;width:14059;height:2" coordorigin="1390,1085" coordsize="14059,0" path="m1390,1085l15448,1085e" filled="false" stroked="true" strokeweight=".72pt" strokecolor="#000000">
            <v:path arrowok="t"/>
          </v:shape>
          <w10:wrap type="none"/>
        </v:group>
      </w:pict>
    </w:r>
    <w:r>
      <w:rPr/>
      <w:pict>
        <v:group style="position:absolute;margin-left:67.320pt;margin-top:85.100006pt;width:741.5pt;height:1.45pt;mso-position-horizontal-relative:page;mso-position-vertical-relative:page;z-index:-1196248" coordorigin="1346,1702" coordsize="14830,29">
          <v:group style="position:absolute;left:1361;top:1716;width:2754;height:2" coordorigin="1361,1716" coordsize="2754,2">
            <v:shape style="position:absolute;left:1361;top:1716;width:2754;height:2" coordorigin="1361,1716" coordsize="2754,0" path="m1361,1716l4114,1716e" filled="false" stroked="true" strokeweight="1.44pt" strokecolor="#000000">
              <v:path arrowok="t"/>
            </v:shape>
          </v:group>
          <v:group style="position:absolute;left:4114;top:1716;width:29;height:2" coordorigin="4114,1716" coordsize="29,2">
            <v:shape style="position:absolute;left:4114;top:1716;width:29;height:2" coordorigin="4114,1716" coordsize="29,0" path="m4114,1716l4143,1716e" filled="false" stroked="true" strokeweight="1.44pt" strokecolor="#000000">
              <v:path arrowok="t"/>
            </v:shape>
          </v:group>
          <v:group style="position:absolute;left:4143;top:1716;width:1244;height:2" coordorigin="4143,1716" coordsize="1244,2">
            <v:shape style="position:absolute;left:4143;top:1716;width:1244;height:2" coordorigin="4143,1716" coordsize="1244,0" path="m4143,1716l5386,1716e" filled="false" stroked="true" strokeweight="1.44pt" strokecolor="#000000">
              <v:path arrowok="t"/>
            </v:shape>
          </v:group>
          <v:group style="position:absolute;left:5386;top:1716;width:29;height:2" coordorigin="5386,1716" coordsize="29,2">
            <v:shape style="position:absolute;left:5386;top:1716;width:29;height:2" coordorigin="5386,1716" coordsize="29,0" path="m5386,1716l5415,1716e" filled="false" stroked="true" strokeweight="1.44pt" strokecolor="#000000">
              <v:path arrowok="t"/>
            </v:shape>
          </v:group>
          <v:group style="position:absolute;left:5415;top:1716;width:8339;height:2" coordorigin="5415,1716" coordsize="8339,2">
            <v:shape style="position:absolute;left:5415;top:1716;width:8339;height:2" coordorigin="5415,1716" coordsize="8339,0" path="m5415,1716l13754,1716e" filled="false" stroked="true" strokeweight="1.44pt" strokecolor="#000000">
              <v:path arrowok="t"/>
            </v:shape>
          </v:group>
          <v:group style="position:absolute;left:13754;top:1716;width:29;height:2" coordorigin="13754,1716" coordsize="29,2">
            <v:shape style="position:absolute;left:13754;top:1716;width:29;height:2" coordorigin="13754,1716" coordsize="29,0" path="m13754,1716l13783,1716e" filled="false" stroked="true" strokeweight="1.44pt" strokecolor="#000000">
              <v:path arrowok="t"/>
            </v:shape>
          </v:group>
          <v:group style="position:absolute;left:13783;top:1716;width:1246;height:2" coordorigin="13783,1716" coordsize="1246,2">
            <v:shape style="position:absolute;left:13783;top:1716;width:1246;height:2" coordorigin="13783,1716" coordsize="1246,0" path="m13783,1716l15028,1716e" filled="false" stroked="true" strokeweight="1.44pt" strokecolor="#000000">
              <v:path arrowok="t"/>
            </v:shape>
          </v:group>
          <v:group style="position:absolute;left:15028;top:1716;width:29;height:2" coordorigin="15028,1716" coordsize="29,2">
            <v:shape style="position:absolute;left:15028;top:1716;width:29;height:2" coordorigin="15028,1716" coordsize="29,0" path="m15028,1716l15057,1716e" filled="false" stroked="true" strokeweight="1.44pt" strokecolor="#000000">
              <v:path arrowok="t"/>
            </v:shape>
          </v:group>
          <v:group style="position:absolute;left:15057;top:1716;width:1104;height:2" coordorigin="15057,1716" coordsize="1104,2">
            <v:shape style="position:absolute;left:15057;top:1716;width:1104;height:2" coordorigin="15057,1716" coordsize="1104,0" path="m15057,1716l16161,1716e" filled="false" stroked="true" strokeweight="1.44pt" strokecolor="#000000">
              <v:path arrowok="t"/>
            </v:shape>
          </v:group>
          <w10:wrap type="none"/>
        </v:group>
      </w:pict>
    </w:r>
    <w:r>
      <w:rPr/>
      <w:pict>
        <v:shape style="position:absolute;margin-left:453.369995pt;margin-top:90.63063pt;width:50.25pt;height:10.050pt;mso-position-horizontal-relative:page;mso-position-vertical-relative:page;z-index:-1196224" type="#_x0000_t202" filled="false" stroked="false">
          <v:textbox inset="0,0,0,0">
            <w:txbxContent>
              <w:p>
                <w:pPr>
                  <w:spacing w:line="181" w:lineRule="exact" w:before="0"/>
                  <w:ind w:left="20" w:right="0" w:firstLine="0"/>
                  <w:jc w:val="left"/>
                  <w:rPr>
                    <w:rFonts w:ascii="宋体" w:hAnsi="宋体" w:cs="宋体" w:eastAsia="宋体" w:hint="default"/>
                    <w:sz w:val="16"/>
                    <w:szCs w:val="16"/>
                  </w:rPr>
                </w:pPr>
                <w:r>
                  <w:rPr>
                    <w:rFonts w:ascii="宋体" w:hAnsi="宋体" w:cs="宋体" w:eastAsia="宋体" w:hint="default"/>
                    <w:b/>
                    <w:bCs/>
                    <w:sz w:val="16"/>
                    <w:szCs w:val="16"/>
                  </w:rPr>
                  <w:t>本年增减变动</w:t>
                </w:r>
                <w:r>
                  <w:rPr>
                    <w:rFonts w:ascii="宋体" w:hAnsi="宋体" w:cs="宋体" w:eastAsia="宋体" w:hint="default"/>
                    <w:sz w:val="16"/>
                    <w:szCs w:val="16"/>
                  </w:rPr>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0.25pt;margin-top:29.249992pt;width:68.25pt;height:21pt;mso-position-horizontal-relative:page;mso-position-vertical-relative:page;z-index:-1196200" type="#_x0000_t75" stroked="false">
          <v:imagedata r:id="rId1" o:title=""/>
        </v:shape>
      </w:pict>
    </w:r>
    <w:r>
      <w:rPr/>
      <w:pict>
        <v:group style="position:absolute;margin-left:83.664001pt;margin-top:54.239994pt;width:428.35pt;height:.1pt;mso-position-horizontal-relative:page;mso-position-vertical-relative:page;z-index:-1196176" coordorigin="1673,1085" coordsize="8567,2">
          <v:shape style="position:absolute;left:1673;top:1085;width:8567;height:2" coordorigin="1673,1085" coordsize="8567,0" path="m1673,1085l10240,1085e" filled="false" stroked="true" strokeweight=".72pt" strokecolor="#000000">
            <v:path arrowok="t"/>
          </v:shape>
          <w10:wrap type="none"/>
        </v:group>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04.260002pt;margin-top:76.032494pt;width:66pt;height:13.65pt;mso-position-horizontal-relative:page;mso-position-vertical-relative:page;z-index:-1196128" type="#_x0000_t202" filled="false" stroked="false">
          <v:textbox inset="0,0,0,0">
            <w:txbxContent>
              <w:p>
                <w:pPr>
                  <w:spacing w:line="257" w:lineRule="exact" w:before="0"/>
                  <w:ind w:left="20"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16.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开发支出</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6080"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r>
      <w:rPr/>
      <w:pict>
        <v:shape style="position:absolute;margin-left:106.779999pt;margin-top:73.032494pt;width:90.8pt;height:13.65pt;mso-position-horizontal-relative:page;mso-position-vertical-relative:page;z-index:-1196056" type="#_x0000_t202" filled="false" stroked="false">
          <v:textbox inset="0,0,0,0">
            <w:txbxContent>
              <w:p>
                <w:pPr>
                  <w:spacing w:line="257" w:lineRule="exact" w:before="0"/>
                  <w:ind w:left="20"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(2)  </w:t>
                </w:r>
                <w:r>
                  <w:rPr>
                    <w:rFonts w:ascii="Times New Roman" w:hAnsi="Times New Roman" w:cs="Times New Roman" w:eastAsia="Times New Roman" w:hint="default"/>
                    <w:b/>
                    <w:bCs/>
                    <w:spacing w:val="32"/>
                    <w:sz w:val="22"/>
                    <w:szCs w:val="22"/>
                  </w:rPr>
                  <w:t> </w:t>
                </w:r>
                <w:r>
                  <w:rPr>
                    <w:rFonts w:ascii="宋体" w:hAnsi="宋体" w:cs="宋体" w:eastAsia="宋体" w:hint="default"/>
                    <w:sz w:val="22"/>
                    <w:szCs w:val="22"/>
                  </w:rPr>
                  <w:t>商誉减值准备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400002pt;margin-top:31.399982pt;width:68.25pt;height:21pt;mso-position-horizontal-relative:page;mso-position-vertical-relative:page;z-index:-1197952" type="#_x0000_t75" stroked="false">
          <v:imagedata r:id="rId1" o:title=""/>
        </v:shape>
      </w:pict>
    </w:r>
    <w:r>
      <w:rPr/>
      <w:pict>
        <v:group style="position:absolute;margin-left:69.503998pt;margin-top:54.239983pt;width:463.05pt;height:.1pt;mso-position-horizontal-relative:page;mso-position-vertical-relative:page;z-index:-1197928" coordorigin="1390,1085" coordsize="9261,2">
          <v:shape style="position:absolute;left:1390;top:1085;width:9261;height:2" coordorigin="1390,1085" coordsize="9261,0" path="m1390,1085l10651,1085e" filled="false" stroked="true" strokeweight=".72pt" strokecolor="#000000">
            <v:path arrowok="t"/>
          </v:shape>
          <w10:wrap type="none"/>
        </v:group>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6008"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5984"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r>
      <w:rPr/>
      <w:pict>
        <v:shape style="position:absolute;margin-left:104.260002pt;margin-top:79.032494pt;width:76.9pt;height:13.65pt;mso-position-horizontal-relative:page;mso-position-vertical-relative:page;z-index:-1195960" type="#_x0000_t202" filled="false" stroked="false">
          <v:textbox inset="0,0,0,0">
            <w:txbxContent>
              <w:p>
                <w:pPr>
                  <w:spacing w:line="257" w:lineRule="exact" w:before="0"/>
                  <w:ind w:left="20"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30. </w:t>
                </w:r>
                <w:r>
                  <w:rPr>
                    <w:rFonts w:ascii="Times New Roman" w:hAnsi="Times New Roman" w:cs="Times New Roman" w:eastAsia="Times New Roman" w:hint="default"/>
                    <w:b/>
                    <w:bCs/>
                    <w:spacing w:val="12"/>
                    <w:sz w:val="22"/>
                    <w:szCs w:val="22"/>
                  </w:rPr>
                  <w:t> </w:t>
                </w:r>
                <w:r>
                  <w:rPr>
                    <w:rFonts w:ascii="宋体" w:hAnsi="宋体" w:cs="宋体" w:eastAsia="宋体" w:hint="default"/>
                    <w:sz w:val="22"/>
                    <w:szCs w:val="22"/>
                  </w:rPr>
                  <w:t>其他应付款</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5936"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5912"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r>
      <w:rPr/>
      <w:pict>
        <v:shape style="position:absolute;margin-left:104.260002pt;margin-top:79.032494pt;width:66pt;height:13.65pt;mso-position-horizontal-relative:page;mso-position-vertical-relative:page;z-index:-1195888" type="#_x0000_t202" filled="false" stroked="false">
          <v:textbox inset="0,0,0,0">
            <w:txbxContent>
              <w:p>
                <w:pPr>
                  <w:spacing w:line="257" w:lineRule="exact" w:before="0"/>
                  <w:ind w:left="20" w:right="0" w:firstLine="0"/>
                  <w:jc w:val="left"/>
                  <w:rPr>
                    <w:rFonts w:ascii="宋体" w:hAnsi="宋体" w:cs="宋体" w:eastAsia="宋体" w:hint="default"/>
                    <w:sz w:val="22"/>
                    <w:szCs w:val="22"/>
                  </w:rPr>
                </w:pPr>
                <w:r>
                  <w:rPr>
                    <w:rFonts w:ascii="Times New Roman" w:hAnsi="Times New Roman" w:cs="Times New Roman" w:eastAsia="Times New Roman" w:hint="default"/>
                    <w:b/>
                    <w:bCs/>
                    <w:sz w:val="22"/>
                    <w:szCs w:val="22"/>
                  </w:rPr>
                  <w:t>49. </w:t>
                </w:r>
                <w:r>
                  <w:rPr>
                    <w:rFonts w:ascii="Times New Roman" w:hAnsi="Times New Roman" w:cs="Times New Roman" w:eastAsia="Times New Roman" w:hint="default"/>
                    <w:b/>
                    <w:bCs/>
                    <w:spacing w:val="14"/>
                    <w:sz w:val="22"/>
                    <w:szCs w:val="22"/>
                  </w:rPr>
                  <w:t> </w:t>
                </w:r>
                <w:r>
                  <w:rPr>
                    <w:rFonts w:ascii="宋体" w:hAnsi="宋体" w:cs="宋体" w:eastAsia="宋体" w:hint="default"/>
                    <w:sz w:val="22"/>
                    <w:szCs w:val="22"/>
                  </w:rPr>
                  <w:t>财务费用</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5864"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5816"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5792"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400002pt;margin-top:31.399982pt;width:68.25pt;height:21pt;mso-position-horizontal-relative:page;mso-position-vertical-relative:page;z-index:-1197904" type="#_x0000_t75" stroked="false">
          <v:imagedata r:id="rId1" o:title=""/>
        </v:shape>
      </w:pict>
    </w:r>
    <w:r>
      <w:rPr/>
      <w:pict>
        <v:group style="position:absolute;margin-left:69.503998pt;margin-top:54.239983pt;width:463.05pt;height:.1pt;mso-position-horizontal-relative:page;mso-position-vertical-relative:page;z-index:-1197880" coordorigin="1390,1085" coordsize="9261,2">
          <v:shape style="position:absolute;left:1390;top:1085;width:9261;height:2" coordorigin="1390,1085" coordsize="9261,0" path="m1390,1085l10651,1085e" filled="false" stroked="true" strokeweight=".72pt" strokecolor="#000000">
            <v:path arrowok="t"/>
          </v:shape>
          <w10:wrap type="none"/>
        </v:group>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5768"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5744"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r>
      <w:rPr/>
      <w:pict>
        <v:shape style="position:absolute;margin-left:84.103996pt;margin-top:79.032494pt;width:43.4pt;height:13.65pt;mso-position-horizontal-relative:page;mso-position-vertical-relative:page;z-index:-1195720" type="#_x0000_t202" filled="false" stroked="false">
          <v:textbox inset="0,0,0,0">
            <w:txbxContent>
              <w:p>
                <w:pPr>
                  <w:spacing w:line="257"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（续</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1</w:t>
                </w:r>
                <w:r>
                  <w:rPr>
                    <w:rFonts w:ascii="宋体" w:hAnsi="宋体" w:cs="宋体" w:eastAsia="宋体" w:hint="default"/>
                    <w:sz w:val="22"/>
                    <w:szCs w:val="22"/>
                  </w:rPr>
                  <w:t>）</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5696"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r>
      <w:rPr/>
      <w:pict>
        <v:shape style="position:absolute;margin-left:84.103996pt;margin-top:79.032494pt;width:43.4pt;height:13.65pt;mso-position-horizontal-relative:page;mso-position-vertical-relative:page;z-index:-1195672" type="#_x0000_t202" filled="false" stroked="false">
          <v:textbox inset="0,0,0,0">
            <w:txbxContent>
              <w:p>
                <w:pPr>
                  <w:spacing w:line="257"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（续</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3</w:t>
                </w:r>
                <w:r>
                  <w:rPr>
                    <w:rFonts w:ascii="宋体" w:hAnsi="宋体" w:cs="宋体" w:eastAsia="宋体" w:hint="default"/>
                    <w:sz w:val="22"/>
                    <w:szCs w:val="22"/>
                  </w:rPr>
                  <w:t>）</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5648"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5600"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5576"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5552"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400002pt;margin-top:31.399982pt;width:68.25pt;height:21pt;mso-position-horizontal-relative:page;mso-position-vertical-relative:page;z-index:-1197856" type="#_x0000_t75" stroked="false">
          <v:imagedata r:id="rId1" o:title=""/>
        </v:shape>
      </w:pict>
    </w:r>
    <w:r>
      <w:rPr/>
      <w:pict>
        <v:group style="position:absolute;margin-left:69.503998pt;margin-top:54.239983pt;width:463.05pt;height:.1pt;mso-position-horizontal-relative:page;mso-position-vertical-relative:page;z-index:-1197832" coordorigin="1390,1085" coordsize="9261,2">
          <v:shape style="position:absolute;left:1390;top:1085;width:9261;height:2" coordorigin="1390,1085" coordsize="9261,0" path="m1390,1085l10651,1085e" filled="false" stroked="true" strokeweight=".72pt" strokecolor="#000000">
            <v:path arrowok="t"/>
          </v:shape>
          <w10:wrap type="none"/>
        </v:group>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5504"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0.25pt;margin-top:32.249992pt;width:432.15pt;height:22.35pt;mso-position-horizontal-relative:page;mso-position-vertical-relative:page;z-index:-1195480" coordorigin="1605,645" coordsize="8643,447">
          <v:group style="position:absolute;left:1673;top:1085;width:8567;height:2" coordorigin="1673,1085" coordsize="8567,2">
            <v:shape style="position:absolute;left:1673;top:1085;width:8567;height:2" coordorigin="1673,1085" coordsize="8567,0" path="m1673,1085l10240,1085e" filled="false" stroked="true" strokeweight=".72pt" strokecolor="#000000">
              <v:path arrowok="t"/>
            </v:shape>
            <v:shape style="position:absolute;left:1605;top:645;width:1365;height:420" type="#_x0000_t75" stroked="false">
              <v:imagedata r:id="rId1" o:title=""/>
            </v:shape>
          </v:group>
          <w10:wrap type="none"/>
        </v:group>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9pt;margin-top:30.000002pt;width:68.25pt;height:21pt;mso-position-horizontal-relative:page;mso-position-vertical-relative:page;z-index:-1195432" type="#_x0000_t75" stroked="false">
          <v:imagedata r:id="rId1" o:title=""/>
        </v:shape>
      </w:pict>
    </w:r>
    <w:r>
      <w:rPr/>
      <w:pict>
        <v:group style="position:absolute;margin-left:69.480003pt;margin-top:54.240002pt;width:702.95pt;height:.1pt;mso-position-horizontal-relative:page;mso-position-vertical-relative:page;z-index:-1195408" coordorigin="1390,1085" coordsize="14059,2">
          <v:shape style="position:absolute;left:1390;top:1085;width:14059;height:2" coordorigin="1390,1085" coordsize="14059,0" path="m1390,1085l15448,1085e" filled="false" stroked="true" strokeweight=".72pt" strokecolor="#000000">
            <v:path arrowok="t"/>
          </v:shape>
          <w10:wrap type="none"/>
        </v:group>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9pt;margin-top:30.000002pt;width:68.25pt;height:21pt;mso-position-horizontal-relative:page;mso-position-vertical-relative:page;z-index:-1195360" type="#_x0000_t75" stroked="false">
          <v:imagedata r:id="rId1" o:title=""/>
        </v:shape>
      </w:pict>
    </w:r>
    <w:r>
      <w:rPr/>
      <w:pict>
        <v:group style="position:absolute;margin-left:69.480003pt;margin-top:54.240002pt;width:702.95pt;height:.1pt;mso-position-horizontal-relative:page;mso-position-vertical-relative:page;z-index:-1195336" coordorigin="1390,1085" coordsize="14059,2">
          <v:shape style="position:absolute;left:1390;top:1085;width:14059;height:2" coordorigin="1390,1085" coordsize="14059,0" path="m1390,1085l15448,1085e" filled="false" stroked="true" strokeweight=".72pt" strokecolor="#000000">
            <v:path arrowok="t"/>
          </v:shape>
          <w10:wrap type="none"/>
        </v:group>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6.099998pt;margin-top:29.249983pt;width:68.25pt;height:21pt;mso-position-horizontal-relative:page;mso-position-vertical-relative:page;z-index:-1195288" type="#_x0000_t75" stroked="false">
          <v:imagedata r:id="rId1" o:title=""/>
        </v:shape>
      </w:pict>
    </w:r>
    <w:r>
      <w:rPr/>
      <w:pict>
        <v:group style="position:absolute;margin-left:69.503998pt;margin-top:54.239983pt;width:463.05pt;height:.1pt;mso-position-horizontal-relative:page;mso-position-vertical-relative:page;z-index:-1195264" coordorigin="1390,1085" coordsize="9261,2">
          <v:shape style="position:absolute;left:1390;top:1085;width:9261;height:2" coordorigin="1390,1085" coordsize="9261,0" path="m1390,1085l10651,1085e" filled="false" stroked="true" strokeweight=".72pt" strokecolor="#000000">
            <v:path arrowok="t"/>
          </v:shape>
          <w10:wrap type="none"/>
        </v:group>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400002pt;margin-top:31.399982pt;width:68.25pt;height:21pt;mso-position-horizontal-relative:page;mso-position-vertical-relative:page;z-index:-1197808" type="#_x0000_t75" stroked="false">
          <v:imagedata r:id="rId1" o:title=""/>
        </v:shape>
      </w:pict>
    </w:r>
    <w:r>
      <w:rPr/>
      <w:pict>
        <v:group style="position:absolute;margin-left:69.503998pt;margin-top:54.239983pt;width:463.05pt;height:.1pt;mso-position-horizontal-relative:page;mso-position-vertical-relative:page;z-index:-1197784" coordorigin="1390,1085" coordsize="9261,2">
          <v:shape style="position:absolute;left:1390;top:1085;width:9261;height:2" coordorigin="1390,1085" coordsize="9261,0" path="m1390,1085l10651,1085e" filled="false" stroked="true" strokeweight=".72pt" strokecolor="#000000">
            <v:path arrowok="t"/>
          </v:shape>
          <w10:wrap type="none"/>
        </v:group>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400002pt;margin-top:31.399982pt;width:68.25pt;height:21pt;mso-position-horizontal-relative:page;mso-position-vertical-relative:page;z-index:-1197760" type="#_x0000_t75" stroked="false">
          <v:imagedata r:id="rId1" o:title=""/>
        </v:shape>
      </w:pict>
    </w:r>
    <w:r>
      <w:rPr/>
      <w:pict>
        <v:group style="position:absolute;margin-left:69.503998pt;margin-top:54.239983pt;width:463.05pt;height:.1pt;mso-position-horizontal-relative:page;mso-position-vertical-relative:page;z-index:-1197736" coordorigin="1390,1085" coordsize="9261,2">
          <v:shape style="position:absolute;left:1390;top:1085;width:9261;height:2" coordorigin="1390,1085" coordsize="9261,0" path="m1390,1085l10651,1085e" filled="false" stroked="true" strokeweight=".72pt" strokecolor="#000000">
            <v:path arrowok="t"/>
          </v:shape>
          <w10:wrap type="none"/>
        </v:group>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400002pt;margin-top:31.399982pt;width:68.25pt;height:21pt;mso-position-horizontal-relative:page;mso-position-vertical-relative:page;z-index:-1197712" type="#_x0000_t75" stroked="false">
          <v:imagedata r:id="rId1" o:title=""/>
        </v:shape>
      </w:pict>
    </w:r>
    <w:r>
      <w:rPr/>
      <w:pict>
        <v:group style="position:absolute;margin-left:69.503998pt;margin-top:54.239983pt;width:463.05pt;height:.1pt;mso-position-horizontal-relative:page;mso-position-vertical-relative:page;z-index:-1197688" coordorigin="1390,1085" coordsize="9261,2">
          <v:shape style="position:absolute;left:1390;top:1085;width:9261;height:2" coordorigin="1390,1085" coordsize="9261,0" path="m1390,1085l10651,1085e" filled="false" stroked="true" strokeweight=".72pt" strokecolor="#000000">
            <v:path arrowok="t"/>
          </v:shape>
          <w10:wrap type="none"/>
        </v:group>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18"/>
      <w:ind w:left="138"/>
    </w:pPr>
    <w:rPr>
      <w:rFonts w:ascii="黑体" w:hAnsi="黑体" w:eastAsia="黑体"/>
      <w:sz w:val="24"/>
      <w:szCs w:val="24"/>
    </w:rPr>
  </w:style>
  <w:style w:styleId="BodyText" w:type="paragraph">
    <w:name w:val="Body Text"/>
    <w:basedOn w:val="Normal"/>
    <w:uiPriority w:val="1"/>
    <w:qFormat/>
    <w:pPr>
      <w:ind w:left="158"/>
    </w:pPr>
    <w:rPr>
      <w:rFonts w:ascii="宋体" w:hAnsi="宋体" w:eastAsia="宋体"/>
      <w:sz w:val="24"/>
      <w:szCs w:val="24"/>
    </w:rPr>
  </w:style>
  <w:style w:styleId="Heading1" w:type="paragraph">
    <w:name w:val="Heading 1"/>
    <w:basedOn w:val="Normal"/>
    <w:uiPriority w:val="1"/>
    <w:qFormat/>
    <w:pPr>
      <w:outlineLvl w:val="1"/>
    </w:pPr>
    <w:rPr>
      <w:rFonts w:ascii="黑体" w:hAnsi="黑体" w:eastAsia="黑体"/>
      <w:b/>
      <w:bCs/>
      <w:sz w:val="32"/>
      <w:szCs w:val="32"/>
    </w:rPr>
  </w:style>
  <w:style w:styleId="Heading2" w:type="paragraph">
    <w:name w:val="Heading 2"/>
    <w:basedOn w:val="Normal"/>
    <w:uiPriority w:val="1"/>
    <w:qFormat/>
    <w:pPr>
      <w:ind w:left="238"/>
      <w:outlineLvl w:val="2"/>
    </w:pPr>
    <w:rPr>
      <w:rFonts w:ascii="黑体" w:hAnsi="黑体" w:eastAsia="黑体"/>
      <w:sz w:val="28"/>
      <w:szCs w:val="28"/>
    </w:rPr>
  </w:style>
  <w:style w:styleId="Heading3" w:type="paragraph">
    <w:name w:val="Heading 3"/>
    <w:basedOn w:val="Normal"/>
    <w:uiPriority w:val="1"/>
    <w:qFormat/>
    <w:pPr>
      <w:ind w:left="495"/>
      <w:outlineLvl w:val="3"/>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hyperlink" Target="http://www.cnki.net/" TargetMode="External"/><Relationship Id="rId9" Type="http://schemas.openxmlformats.org/officeDocument/2006/relationships/header" Target="header2.xml"/><Relationship Id="rId10" Type="http://schemas.openxmlformats.org/officeDocument/2006/relationships/hyperlink" Target="mailto:600100@thtf.com.cn" TargetMode="External"/><Relationship Id="rId11" Type="http://schemas.openxmlformats.org/officeDocument/2006/relationships/hyperlink" Target="http://www.thtf.com.cn/" TargetMode="External"/><Relationship Id="rId12" Type="http://schemas.openxmlformats.org/officeDocument/2006/relationships/hyperlink" Target="http://www.sse.com.cn/"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footer" Target="footer2.xml"/><Relationship Id="rId27" Type="http://schemas.openxmlformats.org/officeDocument/2006/relationships/header" Target="header12.xml"/><Relationship Id="rId28" Type="http://schemas.openxmlformats.org/officeDocument/2006/relationships/header" Target="header13.xml"/><Relationship Id="rId29" Type="http://schemas.openxmlformats.org/officeDocument/2006/relationships/header" Target="header14.xml"/><Relationship Id="rId30" Type="http://schemas.openxmlformats.org/officeDocument/2006/relationships/header" Target="header15.xml"/><Relationship Id="rId31" Type="http://schemas.openxmlformats.org/officeDocument/2006/relationships/footer" Target="footer3.xml"/><Relationship Id="rId32" Type="http://schemas.openxmlformats.org/officeDocument/2006/relationships/header" Target="header16.xml"/><Relationship Id="rId33" Type="http://schemas.openxmlformats.org/officeDocument/2006/relationships/header" Target="header17.xml"/><Relationship Id="rId34" Type="http://schemas.openxmlformats.org/officeDocument/2006/relationships/footer" Target="footer4.xml"/><Relationship Id="rId35" Type="http://schemas.openxmlformats.org/officeDocument/2006/relationships/image" Target="media/image1.jpeg"/><Relationship Id="rId36" Type="http://schemas.openxmlformats.org/officeDocument/2006/relationships/header" Target="header18.xml"/><Relationship Id="rId37" Type="http://schemas.openxmlformats.org/officeDocument/2006/relationships/footer" Target="footer5.xml"/><Relationship Id="rId38" Type="http://schemas.openxmlformats.org/officeDocument/2006/relationships/header" Target="header19.xml"/><Relationship Id="rId39" Type="http://schemas.openxmlformats.org/officeDocument/2006/relationships/footer" Target="footer6.xml"/><Relationship Id="rId40" Type="http://schemas.openxmlformats.org/officeDocument/2006/relationships/hyperlink" Target="http://baike.baidu.com/view/26411.htm" TargetMode="External"/><Relationship Id="rId41" Type="http://schemas.openxmlformats.org/officeDocument/2006/relationships/header" Target="header20.xml"/><Relationship Id="rId42" Type="http://schemas.openxmlformats.org/officeDocument/2006/relationships/footer" Target="footer7.xml"/><Relationship Id="rId43" Type="http://schemas.openxmlformats.org/officeDocument/2006/relationships/header" Target="header21.xml"/><Relationship Id="rId44" Type="http://schemas.openxmlformats.org/officeDocument/2006/relationships/footer" Target="footer8.xml"/><Relationship Id="rId45" Type="http://schemas.openxmlformats.org/officeDocument/2006/relationships/header" Target="header22.xml"/><Relationship Id="rId46" Type="http://schemas.openxmlformats.org/officeDocument/2006/relationships/footer" Target="footer9.xml"/><Relationship Id="rId47" Type="http://schemas.openxmlformats.org/officeDocument/2006/relationships/header" Target="header23.xml"/><Relationship Id="rId48" Type="http://schemas.openxmlformats.org/officeDocument/2006/relationships/footer" Target="footer10.xml"/><Relationship Id="rId49" Type="http://schemas.openxmlformats.org/officeDocument/2006/relationships/header" Target="header24.xml"/><Relationship Id="rId50" Type="http://schemas.openxmlformats.org/officeDocument/2006/relationships/footer" Target="footer11.xml"/><Relationship Id="rId51" Type="http://schemas.openxmlformats.org/officeDocument/2006/relationships/header" Target="header25.xml"/><Relationship Id="rId52" Type="http://schemas.openxmlformats.org/officeDocument/2006/relationships/footer" Target="footer12.xml"/><Relationship Id="rId53" Type="http://schemas.openxmlformats.org/officeDocument/2006/relationships/header" Target="header26.xml"/><Relationship Id="rId54" Type="http://schemas.openxmlformats.org/officeDocument/2006/relationships/footer" Target="footer13.xml"/><Relationship Id="rId55" Type="http://schemas.openxmlformats.org/officeDocument/2006/relationships/header" Target="header27.xml"/><Relationship Id="rId56" Type="http://schemas.openxmlformats.org/officeDocument/2006/relationships/footer" Target="footer14.xml"/><Relationship Id="rId57" Type="http://schemas.openxmlformats.org/officeDocument/2006/relationships/footer" Target="footer15.xml"/><Relationship Id="rId58" Type="http://schemas.openxmlformats.org/officeDocument/2006/relationships/header" Target="header28.xml"/><Relationship Id="rId59" Type="http://schemas.openxmlformats.org/officeDocument/2006/relationships/header" Target="header29.xml"/><Relationship Id="rId60" Type="http://schemas.openxmlformats.org/officeDocument/2006/relationships/header" Target="header30.xml"/><Relationship Id="rId61" Type="http://schemas.openxmlformats.org/officeDocument/2006/relationships/header" Target="header31.xml"/><Relationship Id="rId62" Type="http://schemas.openxmlformats.org/officeDocument/2006/relationships/header" Target="header32.xml"/><Relationship Id="rId63" Type="http://schemas.openxmlformats.org/officeDocument/2006/relationships/footer" Target="footer16.xml"/><Relationship Id="rId64" Type="http://schemas.openxmlformats.org/officeDocument/2006/relationships/header" Target="header33.xml"/><Relationship Id="rId65" Type="http://schemas.openxmlformats.org/officeDocument/2006/relationships/footer" Target="footer17.xml"/><Relationship Id="rId66" Type="http://schemas.openxmlformats.org/officeDocument/2006/relationships/header" Target="header34.xml"/><Relationship Id="rId67" Type="http://schemas.openxmlformats.org/officeDocument/2006/relationships/footer" Target="footer18.xml"/><Relationship Id="rId68" Type="http://schemas.openxmlformats.org/officeDocument/2006/relationships/header" Target="header35.xml"/><Relationship Id="rId69" Type="http://schemas.openxmlformats.org/officeDocument/2006/relationships/header" Target="header36.xml"/><Relationship Id="rId70" Type="http://schemas.openxmlformats.org/officeDocument/2006/relationships/footer" Target="footer19.xml"/><Relationship Id="rId71" Type="http://schemas.openxmlformats.org/officeDocument/2006/relationships/header" Target="header37.xml"/><Relationship Id="rId72" Type="http://schemas.openxmlformats.org/officeDocument/2006/relationships/footer" Target="footer20.xml"/><Relationship Id="rId73" Type="http://schemas.openxmlformats.org/officeDocument/2006/relationships/header" Target="header38.xml"/><Relationship Id="rId74" Type="http://schemas.openxmlformats.org/officeDocument/2006/relationships/footer" Target="footer21.xml"/><Relationship Id="rId75" Type="http://schemas.openxmlformats.org/officeDocument/2006/relationships/header" Target="header39.xml"/><Relationship Id="rId76" Type="http://schemas.openxmlformats.org/officeDocument/2006/relationships/footer" Target="footer22.xml"/><Relationship Id="rId77" Type="http://schemas.openxmlformats.org/officeDocument/2006/relationships/header" Target="header40.xml"/><Relationship Id="rId78" Type="http://schemas.openxmlformats.org/officeDocument/2006/relationships/header" Target="header41.xml"/><Relationship Id="rId79" Type="http://schemas.openxmlformats.org/officeDocument/2006/relationships/header" Target="header42.xml"/><Relationship Id="rId80" Type="http://schemas.openxmlformats.org/officeDocument/2006/relationships/header" Target="header43.xml"/><Relationship Id="rId81" Type="http://schemas.openxmlformats.org/officeDocument/2006/relationships/header" Target="header44.xml"/><Relationship Id="rId82" Type="http://schemas.openxmlformats.org/officeDocument/2006/relationships/header" Target="header45.xml"/><Relationship Id="rId83" Type="http://schemas.openxmlformats.org/officeDocument/2006/relationships/header" Target="header46.xml"/><Relationship Id="rId84" Type="http://schemas.openxmlformats.org/officeDocument/2006/relationships/header" Target="header47.xml"/><Relationship Id="rId85" Type="http://schemas.openxmlformats.org/officeDocument/2006/relationships/footer" Target="footer23.xml"/><Relationship Id="rId86" Type="http://schemas.openxmlformats.org/officeDocument/2006/relationships/header" Target="header48.xml"/><Relationship Id="rId87" Type="http://schemas.openxmlformats.org/officeDocument/2006/relationships/header" Target="header49.xml"/><Relationship Id="rId88" Type="http://schemas.openxmlformats.org/officeDocument/2006/relationships/header" Target="header50.xml"/><Relationship Id="rId89" Type="http://schemas.openxmlformats.org/officeDocument/2006/relationships/header" Target="header51.xml"/><Relationship Id="rId90" Type="http://schemas.openxmlformats.org/officeDocument/2006/relationships/header" Target="header52.xml"/><Relationship Id="rId91" Type="http://schemas.openxmlformats.org/officeDocument/2006/relationships/header" Target="header53.xml"/><Relationship Id="rId92" Type="http://schemas.openxmlformats.org/officeDocument/2006/relationships/header" Target="header54.xml"/><Relationship Id="rId93" Type="http://schemas.openxmlformats.org/officeDocument/2006/relationships/header" Target="header55.xml"/><Relationship Id="rId94" Type="http://schemas.openxmlformats.org/officeDocument/2006/relationships/footer" Target="footer24.xml"/><Relationship Id="rId95" Type="http://schemas.openxmlformats.org/officeDocument/2006/relationships/header" Target="header56.xml"/><Relationship Id="rId96" Type="http://schemas.openxmlformats.org/officeDocument/2006/relationships/header" Target="header57.xml"/><Relationship Id="rId97" Type="http://schemas.openxmlformats.org/officeDocument/2006/relationships/header" Target="header58.xml"/><Relationship Id="rId98" Type="http://schemas.openxmlformats.org/officeDocument/2006/relationships/header" Target="header59.xml"/><Relationship Id="rId99" Type="http://schemas.openxmlformats.org/officeDocument/2006/relationships/footer" Target="footer25.xml"/><Relationship Id="rId100" Type="http://schemas.openxmlformats.org/officeDocument/2006/relationships/header" Target="header60.xml"/><Relationship Id="rId101" Type="http://schemas.openxmlformats.org/officeDocument/2006/relationships/header" Target="header61.xml"/><Relationship Id="rId102" Type="http://schemas.openxmlformats.org/officeDocument/2006/relationships/header" Target="header62.xml"/><Relationship Id="rId103" Type="http://schemas.openxmlformats.org/officeDocument/2006/relationships/footer" Target="footer26.xml"/><Relationship Id="rId104" Type="http://schemas.openxmlformats.org/officeDocument/2006/relationships/header" Target="header63.xml"/><Relationship Id="rId105" Type="http://schemas.openxmlformats.org/officeDocument/2006/relationships/footer" Target="footer27.xml"/><Relationship Id="rId106" Type="http://schemas.openxmlformats.org/officeDocument/2006/relationships/header" Target="header64.xml"/><Relationship Id="rId107" Type="http://schemas.openxmlformats.org/officeDocument/2006/relationships/header" Target="header65.xml"/><Relationship Id="rId108" Type="http://schemas.openxmlformats.org/officeDocument/2006/relationships/footer" Target="footer28.xml"/><Relationship Id="rId109" Type="http://schemas.openxmlformats.org/officeDocument/2006/relationships/header" Target="header66.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27.xml.rels><?xml version="1.0" encoding="UTF-8" standalone="yes"?>
<Relationships xmlns="http://schemas.openxmlformats.org/package/2006/relationships"><Relationship Id="rId1" Type="http://schemas.openxmlformats.org/officeDocument/2006/relationships/image" Target="media/image1.jpeg"/></Relationships>

</file>

<file path=word/_rels/header28.xml.rels><?xml version="1.0" encoding="UTF-8" standalone="yes"?>
<Relationships xmlns="http://schemas.openxmlformats.org/package/2006/relationships"><Relationship Id="rId1" Type="http://schemas.openxmlformats.org/officeDocument/2006/relationships/image" Target="media/image1.jpeg"/></Relationships>

</file>

<file path=word/_rels/header29.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30.xml.rels><?xml version="1.0" encoding="UTF-8" standalone="yes"?>
<Relationships xmlns="http://schemas.openxmlformats.org/package/2006/relationships"><Relationship Id="rId1" Type="http://schemas.openxmlformats.org/officeDocument/2006/relationships/image" Target="media/image1.jpeg"/></Relationships>

</file>

<file path=word/_rels/header31.xml.rels><?xml version="1.0" encoding="UTF-8" standalone="yes"?>
<Relationships xmlns="http://schemas.openxmlformats.org/package/2006/relationships"><Relationship Id="rId1" Type="http://schemas.openxmlformats.org/officeDocument/2006/relationships/image" Target="media/image1.jpeg"/></Relationships>

</file>

<file path=word/_rels/header33.xml.rels><?xml version="1.0" encoding="UTF-8" standalone="yes"?>
<Relationships xmlns="http://schemas.openxmlformats.org/package/2006/relationships"><Relationship Id="rId1" Type="http://schemas.openxmlformats.org/officeDocument/2006/relationships/image" Target="media/image1.jpeg"/></Relationships>

</file>

<file path=word/_rels/header34.xml.rels><?xml version="1.0" encoding="UTF-8" standalone="yes"?>
<Relationships xmlns="http://schemas.openxmlformats.org/package/2006/relationships"><Relationship Id="rId1" Type="http://schemas.openxmlformats.org/officeDocument/2006/relationships/image" Target="media/image1.jpeg"/></Relationships>

</file>

<file path=word/_rels/header35.xml.rels><?xml version="1.0" encoding="UTF-8" standalone="yes"?>
<Relationships xmlns="http://schemas.openxmlformats.org/package/2006/relationships"><Relationship Id="rId1" Type="http://schemas.openxmlformats.org/officeDocument/2006/relationships/image" Target="media/image1.jpeg"/></Relationships>

</file>

<file path=word/_rels/header36.xml.rels><?xml version="1.0" encoding="UTF-8" standalone="yes"?>
<Relationships xmlns="http://schemas.openxmlformats.org/package/2006/relationships"><Relationship Id="rId1" Type="http://schemas.openxmlformats.org/officeDocument/2006/relationships/image" Target="media/image1.jpeg"/></Relationships>

</file>

<file path=word/_rels/header39.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40.xml.rels><?xml version="1.0" encoding="UTF-8" standalone="yes"?>
<Relationships xmlns="http://schemas.openxmlformats.org/package/2006/relationships"><Relationship Id="rId1" Type="http://schemas.openxmlformats.org/officeDocument/2006/relationships/image" Target="media/image1.jpeg"/></Relationships>

</file>

<file path=word/_rels/header41.xml.rels><?xml version="1.0" encoding="UTF-8" standalone="yes"?>
<Relationships xmlns="http://schemas.openxmlformats.org/package/2006/relationships"><Relationship Id="rId1" Type="http://schemas.openxmlformats.org/officeDocument/2006/relationships/image" Target="media/image1.jpeg"/></Relationships>

</file>

<file path=word/_rels/header43.xml.rels><?xml version="1.0" encoding="UTF-8" standalone="yes"?>
<Relationships xmlns="http://schemas.openxmlformats.org/package/2006/relationships"><Relationship Id="rId1" Type="http://schemas.openxmlformats.org/officeDocument/2006/relationships/image" Target="media/image1.jpeg"/></Relationships>

</file>

<file path=word/_rels/header44.xml.rels><?xml version="1.0" encoding="UTF-8" standalone="yes"?>
<Relationships xmlns="http://schemas.openxmlformats.org/package/2006/relationships"><Relationship Id="rId1" Type="http://schemas.openxmlformats.org/officeDocument/2006/relationships/image" Target="media/image1.jpeg"/></Relationships>

</file>

<file path=word/_rels/header45.xml.rels><?xml version="1.0" encoding="UTF-8" standalone="yes"?>
<Relationships xmlns="http://schemas.openxmlformats.org/package/2006/relationships"><Relationship Id="rId1" Type="http://schemas.openxmlformats.org/officeDocument/2006/relationships/image" Target="media/image1.jpeg"/></Relationships>

</file>

<file path=word/_rels/header48.xml.rels><?xml version="1.0" encoding="UTF-8" standalone="yes"?>
<Relationships xmlns="http://schemas.openxmlformats.org/package/2006/relationships"><Relationship Id="rId1" Type="http://schemas.openxmlformats.org/officeDocument/2006/relationships/image" Target="media/image1.jpeg"/></Relationships>

</file>

<file path=word/_rels/header49.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50.xml.rels><?xml version="1.0" encoding="UTF-8" standalone="yes"?>
<Relationships xmlns="http://schemas.openxmlformats.org/package/2006/relationships"><Relationship Id="rId1" Type="http://schemas.openxmlformats.org/officeDocument/2006/relationships/image" Target="media/image1.jpeg"/></Relationships>

</file>

<file path=word/_rels/header51.xml.rels><?xml version="1.0" encoding="UTF-8" standalone="yes"?>
<Relationships xmlns="http://schemas.openxmlformats.org/package/2006/relationships"><Relationship Id="rId1" Type="http://schemas.openxmlformats.org/officeDocument/2006/relationships/image" Target="media/image1.jpeg"/></Relationships>

</file>

<file path=word/_rels/header52.xml.rels><?xml version="1.0" encoding="UTF-8" standalone="yes"?>
<Relationships xmlns="http://schemas.openxmlformats.org/package/2006/relationships"><Relationship Id="rId1" Type="http://schemas.openxmlformats.org/officeDocument/2006/relationships/image" Target="media/image1.jpeg"/></Relationships>

</file>

<file path=word/_rels/header53.xml.rels><?xml version="1.0" encoding="UTF-8" standalone="yes"?>
<Relationships xmlns="http://schemas.openxmlformats.org/package/2006/relationships"><Relationship Id="rId1" Type="http://schemas.openxmlformats.org/officeDocument/2006/relationships/image" Target="media/image1.jpeg"/></Relationships>

</file>

<file path=word/_rels/header56.xml.rels><?xml version="1.0" encoding="UTF-8" standalone="yes"?>
<Relationships xmlns="http://schemas.openxmlformats.org/package/2006/relationships"><Relationship Id="rId1" Type="http://schemas.openxmlformats.org/officeDocument/2006/relationships/image" Target="media/image1.jpeg"/></Relationships>

</file>

<file path=word/_rels/header57.xml.rels><?xml version="1.0" encoding="UTF-8" standalone="yes"?>
<Relationships xmlns="http://schemas.openxmlformats.org/package/2006/relationships"><Relationship Id="rId1" Type="http://schemas.openxmlformats.org/officeDocument/2006/relationships/image" Target="media/image1.jpeg"/></Relationships>

</file>

<file path=word/_rels/header58.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60.xml.rels><?xml version="1.0" encoding="UTF-8" standalone="yes"?>
<Relationships xmlns="http://schemas.openxmlformats.org/package/2006/relationships"><Relationship Id="rId1" Type="http://schemas.openxmlformats.org/officeDocument/2006/relationships/image" Target="media/image1.jpeg"/></Relationships>

</file>

<file path=word/_rels/header61.xml.rels><?xml version="1.0" encoding="UTF-8" standalone="yes"?>
<Relationships xmlns="http://schemas.openxmlformats.org/package/2006/relationships"><Relationship Id="rId1" Type="http://schemas.openxmlformats.org/officeDocument/2006/relationships/image" Target="media/image1.jpeg"/></Relationships>

</file>

<file path=word/_rels/header63.xml.rels><?xml version="1.0" encoding="UTF-8" standalone="yes"?>
<Relationships xmlns="http://schemas.openxmlformats.org/package/2006/relationships"><Relationship Id="rId1" Type="http://schemas.openxmlformats.org/officeDocument/2006/relationships/image" Target="media/image1.jpeg"/></Relationships>

</file>

<file path=word/_rels/header64.xml.rels><?xml version="1.0" encoding="UTF-8" standalone="yes"?>
<Relationships xmlns="http://schemas.openxmlformats.org/package/2006/relationships"><Relationship Id="rId1" Type="http://schemas.openxmlformats.org/officeDocument/2006/relationships/image" Target="media/image1.jpeg"/></Relationships>

</file>

<file path=word/_rels/header6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SSE.</dc:creator>
  <dc:title>清华同方股份有限公司</dc:title>
  <dcterms:created xsi:type="dcterms:W3CDTF">2020-05-04T17:36:38Z</dcterms:created>
  <dcterms:modified xsi:type="dcterms:W3CDTF">2020-05-04T17:36:38Z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2016-04-19T00:00:00Z</vt:filetime>
  </property>
  <property fmtid="{D5CDD505-2E9C-101B-9397-08002B2CF9AE}" pid="3" name="Creator">
    <vt:lpwstr>Microsoft® Office Word 2007</vt:lpwstr>
  </property>
  <property fmtid="{D5CDD505-2E9C-101B-9397-08002B2CF9AE}" pid="4" name="LastSaved">
    <vt:filetime>2020-05-04T00:00:00Z</vt:filetime>
  </property>
</Properties>
</file>